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0C2" w:rsidRDefault="007F30C2">
      <w:pPr>
        <w:spacing w:after="0" w:line="240" w:lineRule="auto"/>
        <w:jc w:val="center"/>
        <w:rPr>
          <w:rFonts w:ascii="Palatino Linotype" w:eastAsia="Times New Roman" w:hAnsi="Palatino Linotype" w:cs="Times New Roman"/>
          <w:lang w:eastAsia="en-US"/>
        </w:rPr>
      </w:pPr>
      <w:bookmarkStart w:id="0" w:name="_GoBack"/>
      <w:bookmarkEnd w:id="0"/>
    </w:p>
    <w:p w:rsidR="007F30C2" w:rsidRDefault="007F30C2">
      <w:pPr>
        <w:spacing w:after="0" w:line="240" w:lineRule="auto"/>
        <w:jc w:val="center"/>
        <w:rPr>
          <w:rFonts w:ascii="Palatino Linotype" w:eastAsia="Times New Roman" w:hAnsi="Palatino Linotype" w:cs="Times New Roman"/>
          <w:lang w:eastAsia="en-US"/>
        </w:rPr>
      </w:pPr>
    </w:p>
    <w:p w:rsidR="007F30C2" w:rsidRPr="002E2EAA" w:rsidRDefault="0096665D">
      <w:pPr>
        <w:spacing w:after="0" w:line="240" w:lineRule="auto"/>
        <w:jc w:val="center"/>
        <w:rPr>
          <w:rFonts w:ascii="Palatino Linotype" w:eastAsia="Times New Roman" w:hAnsi="Palatino Linotype" w:cs="Times New Roman"/>
          <w:lang w:eastAsia="en-US"/>
        </w:rPr>
      </w:pPr>
      <w:r w:rsidRPr="002E2EAA">
        <w:rPr>
          <w:rFonts w:ascii="Palatino Linotype" w:eastAsia="Times New Roman" w:hAnsi="Palatino Linotype" w:cs="Times New Roman"/>
          <w:noProof/>
          <w:lang w:val="en-GB" w:eastAsia="en-GB"/>
        </w:rPr>
        <w:drawing>
          <wp:inline distT="0" distB="0" distL="0" distR="0">
            <wp:extent cx="2807970" cy="13023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7970" cy="1302385"/>
                    </a:xfrm>
                    <a:prstGeom prst="rect">
                      <a:avLst/>
                    </a:prstGeom>
                    <a:noFill/>
                  </pic:spPr>
                </pic:pic>
              </a:graphicData>
            </a:graphic>
          </wp:inline>
        </w:drawing>
      </w: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1004DA" w:rsidRDefault="00933E28">
      <w:pPr>
        <w:spacing w:before="120" w:after="120" w:line="240" w:lineRule="auto"/>
        <w:jc w:val="center"/>
        <w:rPr>
          <w:rFonts w:ascii="Palatino Linotype" w:eastAsia="Times New Roman" w:hAnsi="Palatino Linotype" w:cs="Times New Roman"/>
          <w:b/>
          <w:sz w:val="28"/>
          <w:szCs w:val="28"/>
          <w:lang w:eastAsia="en-US"/>
        </w:rPr>
      </w:pPr>
      <w:r w:rsidRPr="002E2EAA">
        <w:rPr>
          <w:rFonts w:ascii="Palatino Linotype" w:eastAsia="Times New Roman" w:hAnsi="Palatino Linotype" w:cs="Times New Roman"/>
          <w:b/>
          <w:sz w:val="28"/>
          <w:szCs w:val="28"/>
          <w:lang w:eastAsia="en-US"/>
        </w:rPr>
        <w:t>REPORT FOR THE REVIEW OF THE PERU REPORT AND THE ADOPTION OF THE FINAL OBSERVATIONS AND RECOMMENDATIONS TO THE PERUVIAN STATE</w:t>
      </w: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1004DA" w:rsidRDefault="00933E28">
      <w:pPr>
        <w:spacing w:before="120" w:after="120" w:line="240" w:lineRule="auto"/>
        <w:jc w:val="center"/>
        <w:rPr>
          <w:rFonts w:ascii="Palatino Linotype" w:eastAsia="Times New Roman" w:hAnsi="Palatino Linotype" w:cs="Times New Roman"/>
          <w:lang w:eastAsia="en-US"/>
        </w:rPr>
      </w:pPr>
      <w:r w:rsidRPr="002E2EAA">
        <w:rPr>
          <w:rFonts w:ascii="Palatino Linotype" w:eastAsia="Times New Roman" w:hAnsi="Palatino Linotype" w:cs="Times New Roman"/>
          <w:b/>
          <w:sz w:val="28"/>
          <w:szCs w:val="28"/>
          <w:lang w:eastAsia="en-US"/>
        </w:rPr>
        <w:t>"ASSESSMENT OF THE SITUATION OF PERSONS WITH DISABILITIES AND THE IMPLEMENTATION OF THE CONVENTION ON THE RIGHTS OF PERSONS WITH DISABILITIES IN PERU".</w:t>
      </w: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96665D">
      <w:pPr>
        <w:spacing w:after="0" w:line="240" w:lineRule="auto"/>
        <w:jc w:val="both"/>
        <w:rPr>
          <w:rFonts w:ascii="Arial" w:eastAsia="Times New Roman" w:hAnsi="Arial" w:cs="Arial"/>
          <w:sz w:val="24"/>
          <w:szCs w:val="24"/>
          <w:lang w:eastAsia="en-US"/>
        </w:rPr>
      </w:pPr>
      <w:r w:rsidRPr="002E2EAA">
        <w:rPr>
          <w:rFonts w:ascii="Arial" w:eastAsia="Times New Roman" w:hAnsi="Arial" w:cs="Arial"/>
          <w:b/>
          <w:noProof/>
          <w:sz w:val="24"/>
          <w:szCs w:val="24"/>
          <w:lang w:val="en-GB" w:eastAsia="en-GB"/>
        </w:rPr>
        <w:drawing>
          <wp:inline distT="0" distB="0" distL="0" distR="0">
            <wp:extent cx="2209165" cy="1024255"/>
            <wp:effectExtent l="0" t="0" r="63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9165" cy="1024255"/>
                    </a:xfrm>
                    <a:prstGeom prst="rect">
                      <a:avLst/>
                    </a:prstGeom>
                    <a:noFill/>
                    <a:ln>
                      <a:noFill/>
                    </a:ln>
                  </pic:spPr>
                </pic:pic>
              </a:graphicData>
            </a:graphic>
          </wp:inline>
        </w:drawing>
      </w:r>
    </w:p>
    <w:p w:rsidR="001004DA" w:rsidRDefault="00933E28">
      <w:pPr>
        <w:spacing w:after="0" w:line="240" w:lineRule="auto"/>
        <w:jc w:val="both"/>
        <w:rPr>
          <w:rFonts w:eastAsia="Times New Roman" w:cs="Arial"/>
          <w:sz w:val="24"/>
          <w:szCs w:val="24"/>
          <w:lang w:eastAsia="en-US"/>
        </w:rPr>
      </w:pPr>
      <w:r w:rsidRPr="002E2EAA">
        <w:rPr>
          <w:rFonts w:eastAsia="Times New Roman" w:cs="Arial"/>
          <w:sz w:val="24"/>
          <w:szCs w:val="24"/>
          <w:lang w:eastAsia="en-US"/>
        </w:rPr>
        <w:t>Ombudsman's Office</w:t>
      </w:r>
    </w:p>
    <w:p w:rsidR="001004DA" w:rsidRDefault="00933E28">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Jr. Ucayali N° 394-388 Lima 1, Peru </w:t>
      </w:r>
    </w:p>
    <w:p w:rsidR="001004DA" w:rsidRDefault="00933E28">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Phone. (511) 311-0300 </w:t>
      </w:r>
    </w:p>
    <w:p w:rsidR="001004DA" w:rsidRDefault="00933E28">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Fax: (511) 426-7889 </w:t>
      </w:r>
    </w:p>
    <w:p w:rsidR="001004DA" w:rsidRDefault="00933E28">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Website: </w:t>
      </w:r>
      <w:hyperlink r:id="rId10">
        <w:r w:rsidRPr="002E2EAA">
          <w:rPr>
            <w:rFonts w:eastAsia="Times New Roman" w:cs="Arial"/>
            <w:sz w:val="24"/>
            <w:szCs w:val="24"/>
            <w:u w:val="single"/>
            <w:lang w:eastAsia="en-US"/>
          </w:rPr>
          <w:t>http://www.defensoria.gob.pe</w:t>
        </w:r>
      </w:hyperlink>
    </w:p>
    <w:p w:rsidR="001004DA" w:rsidRDefault="00933E28">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E-mail: consulta@defensoria.gob.pe </w:t>
      </w:r>
    </w:p>
    <w:p w:rsidR="001004DA" w:rsidRDefault="00933E28">
      <w:pPr>
        <w:spacing w:after="0" w:line="240" w:lineRule="auto"/>
        <w:jc w:val="both"/>
        <w:rPr>
          <w:rFonts w:eastAsia="Times New Roman" w:cs="Arial"/>
          <w:sz w:val="24"/>
          <w:szCs w:val="24"/>
          <w:lang w:eastAsia="en-US"/>
        </w:rPr>
      </w:pPr>
      <w:r w:rsidRPr="002E2EAA">
        <w:rPr>
          <w:rFonts w:eastAsia="Times New Roman" w:cs="Arial"/>
          <w:sz w:val="24"/>
          <w:szCs w:val="24"/>
          <w:lang w:eastAsia="en-US"/>
        </w:rPr>
        <w:t>Toll free: 0800-15170</w:t>
      </w: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1004DA" w:rsidRDefault="00933E28">
      <w:pPr>
        <w:spacing w:after="0" w:line="240" w:lineRule="auto"/>
        <w:jc w:val="both"/>
        <w:rPr>
          <w:rFonts w:eastAsia="Times New Roman" w:cs="Times New Roman"/>
          <w:b/>
          <w:sz w:val="24"/>
          <w:szCs w:val="24"/>
          <w:lang w:eastAsia="en-US"/>
        </w:rPr>
      </w:pPr>
      <w:r w:rsidRPr="002E2EAA">
        <w:rPr>
          <w:rFonts w:eastAsia="Times New Roman" w:cs="Times New Roman"/>
          <w:lang w:eastAsia="en-US"/>
        </w:rPr>
        <w:t>This Report has been prepared by the Independent Mechanism to Promote, Protect and Monitor the Implementation of the Convention on the Rights of Persons with Disabilities (MICDPD) of the Office of the United Nations High Commissioner for Human Rights and P</w:t>
      </w:r>
      <w:r w:rsidRPr="002E2EAA">
        <w:rPr>
          <w:rFonts w:eastAsia="Times New Roman" w:cs="Times New Roman"/>
          <w:lang w:eastAsia="en-US"/>
        </w:rPr>
        <w:t xml:space="preserve">ersons with Disabilities. </w:t>
      </w:r>
    </w:p>
    <w:p w:rsidR="001004DA" w:rsidRDefault="00933E28">
      <w:pPr>
        <w:spacing w:before="120" w:after="120" w:line="240" w:lineRule="auto"/>
        <w:jc w:val="center"/>
        <w:rPr>
          <w:rFonts w:ascii="Arial" w:eastAsia="Times New Roman" w:hAnsi="Arial" w:cs="Arial"/>
          <w:b/>
          <w:sz w:val="28"/>
          <w:szCs w:val="28"/>
          <w:lang w:eastAsia="en-US"/>
        </w:rPr>
      </w:pPr>
      <w:r w:rsidRPr="002E2EAA">
        <w:rPr>
          <w:rFonts w:ascii="Arial" w:eastAsia="Times New Roman" w:hAnsi="Arial" w:cs="Arial"/>
          <w:b/>
          <w:sz w:val="28"/>
          <w:szCs w:val="28"/>
          <w:lang w:eastAsia="en-US"/>
        </w:rPr>
        <w:lastRenderedPageBreak/>
        <w:t>ASSESSMENT OF THE SITUATION OF PERSONS WITH DISABILITIES AND THE IMPLEMENTATION OF THE CONVENTION ON THE RIGHTS OF PERSONS WITH DISABILITIES IN PERU</w:t>
      </w:r>
    </w:p>
    <w:p w:rsidR="007F30C2" w:rsidRPr="002E2EAA" w:rsidRDefault="007F30C2">
      <w:pPr>
        <w:widowControl w:val="0"/>
        <w:spacing w:before="120" w:after="120" w:line="240" w:lineRule="auto"/>
        <w:ind w:right="20"/>
        <w:jc w:val="both"/>
        <w:rPr>
          <w:rFonts w:ascii="Arial" w:eastAsia="Arial" w:hAnsi="Arial" w:cs="Arial"/>
        </w:rPr>
      </w:pPr>
    </w:p>
    <w:p w:rsidR="001004DA" w:rsidRDefault="00933E28">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 xml:space="preserve">On March 30, 2007, the Convention on the Rights of Persons with Disabilities (CRPD) and its Optional Protocol were signed in New York City (United States). A few months later, it was approved by the Congress of the Republic, being included in the national </w:t>
      </w:r>
      <w:r w:rsidRPr="002E2EAA">
        <w:rPr>
          <w:rFonts w:ascii="Arial" w:eastAsia="Times New Roman" w:hAnsi="Arial" w:cs="Arial"/>
          <w:lang w:val="es-MX" w:eastAsia="en-US"/>
        </w:rPr>
        <w:t>legislation (Legislative Resolution No. 29127 of October 31, 2007). In December 2012, within the framework of Law No. 29973, General Law on Persons with Disabilities (LGPD), the functions of the Ombudsman's Office were expanded in order to assign it the re</w:t>
      </w:r>
      <w:r w:rsidRPr="002E2EAA">
        <w:rPr>
          <w:rFonts w:ascii="Arial" w:eastAsia="Times New Roman" w:hAnsi="Arial" w:cs="Arial"/>
          <w:lang w:val="es-MX" w:eastAsia="en-US"/>
        </w:rPr>
        <w:t xml:space="preserve">sponsibility of being the Independent Mechanism in charge of promoting, protecting and monitoring the Convention on the Rights of Persons with Disabilities -MICDPD. In the organizational structure of the Ombudsman's Office, the MICDPD operates through the </w:t>
      </w:r>
      <w:r w:rsidRPr="002E2EAA">
        <w:rPr>
          <w:rFonts w:ascii="Arial" w:eastAsia="Times New Roman" w:hAnsi="Arial" w:cs="Arial"/>
          <w:lang w:val="es-MX" w:eastAsia="en-US"/>
        </w:rPr>
        <w:t xml:space="preserve">Program for the Defense and Promotion of the Rights of Persons with Disabilities, attached to the Office for Human Rights and Persons with Disabilities. </w:t>
      </w:r>
    </w:p>
    <w:p w:rsidR="001004DA" w:rsidRDefault="00933E28">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The Ombudsman's Office began its functions in 1996. According to the Political Constitution of Peru (a</w:t>
      </w:r>
      <w:r w:rsidRPr="002E2EAA">
        <w:rPr>
          <w:rFonts w:ascii="Arial" w:eastAsia="Times New Roman" w:hAnsi="Arial" w:cs="Arial"/>
          <w:lang w:val="es-MX" w:eastAsia="en-US"/>
        </w:rPr>
        <w:t>rticles 161º and 162º), the institution is responsible for defending and promoting the rights of individuals and the community, with autonomy and emphasis on vulnerable population groups, through the supervision of the fulfillment of the State's obligation</w:t>
      </w:r>
      <w:r w:rsidRPr="002E2EAA">
        <w:rPr>
          <w:rFonts w:ascii="Arial" w:eastAsia="Times New Roman" w:hAnsi="Arial" w:cs="Arial"/>
          <w:lang w:val="es-MX" w:eastAsia="en-US"/>
        </w:rPr>
        <w:t>s. We have "A" accreditation from the Global Alliance of National Human Rights Institutions (GANHRI).</w:t>
      </w:r>
    </w:p>
    <w:p w:rsidR="001004DA" w:rsidRDefault="00933E28">
      <w:pPr>
        <w:widowControl w:val="0"/>
        <w:spacing w:before="120" w:after="120" w:line="240" w:lineRule="auto"/>
        <w:ind w:right="20"/>
        <w:jc w:val="both"/>
        <w:rPr>
          <w:rFonts w:ascii="Arial" w:eastAsia="Times New Roman" w:hAnsi="Arial" w:cs="Arial"/>
          <w:lang w:val="es-MX" w:eastAsia="en-US"/>
        </w:rPr>
      </w:pPr>
      <w:r w:rsidRPr="002E2EAA">
        <w:rPr>
          <w:rFonts w:ascii="Arial" w:eastAsia="Times New Roman" w:hAnsi="Arial" w:cs="Arial"/>
          <w:lang w:val="es-MX" w:eastAsia="en-US"/>
        </w:rPr>
        <w:t>Within the framework of the review of the report of the Peruvian State on the situation of persons with disabilities and the application of the Convention</w:t>
      </w:r>
      <w:r w:rsidRPr="002E2EAA">
        <w:rPr>
          <w:rFonts w:ascii="Arial" w:eastAsia="Times New Roman" w:hAnsi="Arial" w:cs="Arial"/>
          <w:lang w:val="es-MX" w:eastAsia="en-US"/>
        </w:rPr>
        <w:t xml:space="preserve"> on the Rights of Persons with Disabilities in Peru, we present our contributions so that they may be taken into consideration by the Committee on the Rights of Persons with Disabilities at its 28th session to be held from March 6 to 24 of this year. </w:t>
      </w:r>
    </w:p>
    <w:p w:rsidR="007F30C2" w:rsidRPr="002E2EAA" w:rsidRDefault="007F30C2">
      <w:pPr>
        <w:spacing w:before="120" w:after="120" w:line="240" w:lineRule="auto"/>
        <w:jc w:val="both"/>
        <w:rPr>
          <w:rFonts w:ascii="Arial" w:eastAsia="Times New Roman" w:hAnsi="Arial" w:cs="Arial"/>
          <w:lang w:eastAsia="en-US"/>
        </w:rPr>
      </w:pPr>
    </w:p>
    <w:p w:rsidR="001004DA" w:rsidRDefault="00933E28">
      <w:pPr>
        <w:pStyle w:val="ListParagraph"/>
        <w:widowControl w:val="0"/>
        <w:numPr>
          <w:ilvl w:val="0"/>
          <w:numId w:val="9"/>
        </w:numPr>
        <w:spacing w:before="120" w:after="120" w:line="240" w:lineRule="auto"/>
        <w:ind w:right="20"/>
        <w:jc w:val="both"/>
        <w:rPr>
          <w:rFonts w:ascii="Arial" w:eastAsia="Arial" w:hAnsi="Arial" w:cs="Arial"/>
          <w:b/>
        </w:rPr>
      </w:pPr>
      <w:r w:rsidRPr="002E2EAA">
        <w:rPr>
          <w:rFonts w:ascii="Arial" w:eastAsia="Arial" w:hAnsi="Arial" w:cs="Arial"/>
          <w:b/>
        </w:rPr>
        <w:t>PUR</w:t>
      </w:r>
      <w:r w:rsidRPr="002E2EAA">
        <w:rPr>
          <w:rFonts w:ascii="Arial" w:eastAsia="Arial" w:hAnsi="Arial" w:cs="Arial"/>
          <w:b/>
        </w:rPr>
        <w:t>POSE AND GENERAL OBLIGATIONS (Articles 1 to 4)</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Peru approved the CCPRDD and its Optional Protocol on October 30, 2007, ratifying them on December 30 of the same year. Both documents entered into force in Peru on May 3, 2008. By signing this treaty, the Sta</w:t>
      </w:r>
      <w:r w:rsidRPr="002E2EAA">
        <w:rPr>
          <w:rFonts w:ascii="Arial" w:eastAsia="Arial" w:hAnsi="Arial" w:cs="Arial"/>
        </w:rPr>
        <w:t>te undertook to adopt the provisions set forth in the CRPD and, if necessary, modify its national legal framework, in order to "</w:t>
      </w:r>
      <w:r w:rsidRPr="002E2EAA">
        <w:rPr>
          <w:rFonts w:ascii="Arial" w:eastAsia="Arial" w:hAnsi="Arial" w:cs="Arial"/>
          <w:i/>
        </w:rPr>
        <w:t>ensure and promote the full exercise of all human rights and fundamental freedoms of persons with disabilities without discrimin</w:t>
      </w:r>
      <w:r w:rsidRPr="002E2EAA">
        <w:rPr>
          <w:rFonts w:ascii="Arial" w:eastAsia="Arial" w:hAnsi="Arial" w:cs="Arial"/>
          <w:i/>
        </w:rPr>
        <w:t>ation on the basis of disability</w:t>
      </w:r>
      <w:r w:rsidRPr="002E2EAA">
        <w:rPr>
          <w:rFonts w:ascii="Arial" w:eastAsia="Arial" w:hAnsi="Arial" w:cs="Arial"/>
        </w:rPr>
        <w:t>". Along these lines, in compliance with Article 33.2 of the CRPD, the Peruvian State entrusted the Ombudsman's Office with the function of acting as MICDPD</w:t>
      </w:r>
      <w:r w:rsidRPr="002E2EAA">
        <w:rPr>
          <w:rStyle w:val="FootnoteReference"/>
          <w:rFonts w:ascii="Arial" w:eastAsia="Arial" w:hAnsi="Arial" w:cs="Arial"/>
        </w:rPr>
        <w:footnoteReference w:id="1"/>
      </w:r>
      <w:r w:rsidRPr="002E2EAA">
        <w:rPr>
          <w:rFonts w:ascii="Arial" w:eastAsia="Arial" w:hAnsi="Arial" w:cs="Arial"/>
        </w:rPr>
        <w:t xml:space="preserve"> . </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The MICDPD agrees with the National Council for the Integration of Persons with Disabilities (Conadis) that the Peruvian State has made efforts in recent years to adapt its legislation to the CRPD. However, beyond the internal regulations in force, which i</w:t>
      </w:r>
      <w:r w:rsidRPr="002E2EAA">
        <w:rPr>
          <w:rFonts w:ascii="Arial" w:eastAsia="Arial" w:hAnsi="Arial" w:cs="Arial"/>
        </w:rPr>
        <w:t>n central aspects still need to be modified or repealed, there is still a lack of adaptation to the social model of disability with a human rights approach in the implementation of services</w:t>
      </w:r>
      <w:r w:rsidR="008F5DC6" w:rsidRPr="002E2EAA">
        <w:rPr>
          <w:rFonts w:ascii="Arial" w:eastAsia="Arial" w:hAnsi="Arial" w:cs="Arial"/>
        </w:rPr>
        <w:t xml:space="preserve">, public policies </w:t>
      </w:r>
      <w:r w:rsidRPr="002E2EAA">
        <w:rPr>
          <w:rFonts w:ascii="Arial" w:eastAsia="Arial" w:hAnsi="Arial" w:cs="Arial"/>
        </w:rPr>
        <w:t xml:space="preserve">and the actions of the public administration.  </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O</w:t>
      </w:r>
      <w:r w:rsidRPr="002E2EAA">
        <w:rPr>
          <w:rFonts w:ascii="Arial" w:eastAsia="Arial" w:hAnsi="Arial" w:cs="Arial"/>
        </w:rPr>
        <w:t>n the other hand, although public policies have been designed to address disability as an issue to be dealt with, not in all cases do these policies result in significant changes in the lives of this vulnerable population, nor do they provide this populati</w:t>
      </w:r>
      <w:r w:rsidRPr="002E2EAA">
        <w:rPr>
          <w:rFonts w:ascii="Arial" w:eastAsia="Arial" w:hAnsi="Arial" w:cs="Arial"/>
        </w:rPr>
        <w:t>on with the opportunity to develop in a context of respect for their inherent dignity, individual autonomy and independence, in accordance with the general principles established by Article 3 of the CRPD. In the same sense, the indicators present weaknesse</w:t>
      </w:r>
      <w:r w:rsidRPr="002E2EAA">
        <w:rPr>
          <w:rFonts w:ascii="Arial" w:eastAsia="Arial" w:hAnsi="Arial" w:cs="Arial"/>
        </w:rPr>
        <w:t xml:space="preserve">s to measure the impact that these public policies generate.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As an example, in relation to the National Human Rights Plan 2018-2021, although it welcomed recommendations of the MICDPD in aspects such as legal capacity, education, mental health, accessibil</w:t>
      </w:r>
      <w:r w:rsidRPr="002E2EAA">
        <w:rPr>
          <w:rFonts w:ascii="Arial" w:eastAsia="Arial" w:hAnsi="Arial" w:cs="Arial"/>
        </w:rPr>
        <w:t>ity, social programs, employment, among others, it drew attention that some of its goals and indicators reflected the insufficient commitment of public entities to guarantee rights of persons with disabilities, particularly in the area of inclusive educati</w:t>
      </w:r>
      <w:r w:rsidRPr="002E2EAA">
        <w:rPr>
          <w:rFonts w:ascii="Arial" w:eastAsia="Arial" w:hAnsi="Arial" w:cs="Arial"/>
        </w:rPr>
        <w:t>on. And, according to the information provided by the MINJUSDH in the specific results of the third report</w:t>
      </w:r>
      <w:r w:rsidRPr="002E2EAA">
        <w:rPr>
          <w:rStyle w:val="FootnoteReference"/>
          <w:rFonts w:ascii="Arial" w:eastAsia="Arial" w:hAnsi="Arial" w:cs="Arial"/>
        </w:rPr>
        <w:footnoteReference w:id="2"/>
      </w:r>
      <w:r w:rsidRPr="002E2EAA">
        <w:rPr>
          <w:rFonts w:ascii="Arial" w:eastAsia="Arial" w:hAnsi="Arial" w:cs="Arial"/>
        </w:rPr>
        <w:t xml:space="preserve"> , regarding persons with disabilities, the level of compliance with the commitments made by public entities for 2020 was only 28.6%</w:t>
      </w:r>
      <w:r w:rsidRPr="002E2EAA">
        <w:rPr>
          <w:rStyle w:val="FootnoteReference"/>
          <w:rFonts w:ascii="Arial" w:eastAsia="Arial" w:hAnsi="Arial" w:cs="Arial"/>
        </w:rPr>
        <w:footnoteReference w:id="3"/>
      </w:r>
      <w:r w:rsidRPr="002E2EAA">
        <w:rPr>
          <w:rFonts w:ascii="Arial" w:eastAsia="Arial" w:hAnsi="Arial" w:cs="Arial"/>
        </w:rPr>
        <w:t xml:space="preserve"> .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In a similar</w:t>
      </w:r>
      <w:r w:rsidRPr="002E2EAA">
        <w:rPr>
          <w:rFonts w:ascii="Arial" w:eastAsia="Arial" w:hAnsi="Arial" w:cs="Arial"/>
        </w:rPr>
        <w:t xml:space="preserve"> vein, regarding the formulation of the National Plan for People with Autism Spectrum Disorder (ASD) 2019-2021, the MICDPD, in coordination with organizations of family members of people with ASD, presented several recommendations aimed at ensuring signifi</w:t>
      </w:r>
      <w:r w:rsidRPr="002E2EAA">
        <w:rPr>
          <w:rFonts w:ascii="Arial" w:eastAsia="Arial" w:hAnsi="Arial" w:cs="Arial"/>
        </w:rPr>
        <w:t>cant goals and indicators in education, health, employment, among others. The initial proposal of the Plan was revised, achieving that some of the proposed recommendations were incorporated; however, the final result is still insufficient to address the se</w:t>
      </w:r>
      <w:r w:rsidRPr="002E2EAA">
        <w:rPr>
          <w:rFonts w:ascii="Arial" w:eastAsia="Arial" w:hAnsi="Arial" w:cs="Arial"/>
        </w:rPr>
        <w:t>rious barriers that exclude the population with ASD from exercising their rights.</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Likewise, the approval of the National Multisectoral Policy on Disability for Development (PNMDD), led by the Ministry of Women and Vulnerable Populations (MIMP), through the</w:t>
      </w:r>
      <w:r w:rsidRPr="002E2EAA">
        <w:rPr>
          <w:rFonts w:ascii="Arial" w:eastAsia="Arial" w:hAnsi="Arial" w:cs="Arial"/>
        </w:rPr>
        <w:t xml:space="preserve"> National Council for the Integration of Persons with Disabilities (Conadis), was carried out without </w:t>
      </w:r>
      <w:r w:rsidR="008F5DC6" w:rsidRPr="002E2EAA">
        <w:rPr>
          <w:rFonts w:ascii="Arial" w:eastAsia="Arial" w:hAnsi="Arial" w:cs="Arial"/>
        </w:rPr>
        <w:t xml:space="preserve">fully </w:t>
      </w:r>
      <w:r w:rsidRPr="002E2EAA">
        <w:rPr>
          <w:rFonts w:ascii="Arial" w:eastAsia="Arial" w:hAnsi="Arial" w:cs="Arial"/>
        </w:rPr>
        <w:t>guaranteeing the effective exercise of the right to prior consultation of persons with disabilities, since it did not incorporate a process that con</w:t>
      </w:r>
      <w:r w:rsidRPr="002E2EAA">
        <w:rPr>
          <w:rFonts w:ascii="Arial" w:eastAsia="Arial" w:hAnsi="Arial" w:cs="Arial"/>
        </w:rPr>
        <w:t xml:space="preserve">siders close consultations and with an active collaboration of </w:t>
      </w:r>
      <w:r w:rsidR="008F5DC6" w:rsidRPr="002E2EAA">
        <w:rPr>
          <w:rFonts w:ascii="Arial" w:eastAsia="Arial" w:hAnsi="Arial" w:cs="Arial"/>
        </w:rPr>
        <w:t>the diversity of persons with disabilities in the different regions of the country</w:t>
      </w:r>
      <w:r w:rsidRPr="002E2EAA">
        <w:rPr>
          <w:rFonts w:ascii="Arial" w:eastAsia="Arial" w:hAnsi="Arial" w:cs="Arial"/>
        </w:rPr>
        <w:t>, according to Article 4.3 of the CRPD, nor with respect to the principles of accessibility, good faith, timeli</w:t>
      </w:r>
      <w:r w:rsidRPr="002E2EAA">
        <w:rPr>
          <w:rFonts w:ascii="Arial" w:eastAsia="Arial" w:hAnsi="Arial" w:cs="Arial"/>
        </w:rPr>
        <w:t>ness and transparency, linked to this right, according to Article 14 of the current Law No. 29973, LGPD.</w:t>
      </w:r>
    </w:p>
    <w:p w:rsidR="007F30C2" w:rsidRPr="002E2EAA" w:rsidRDefault="007F30C2">
      <w:pPr>
        <w:autoSpaceDE w:val="0"/>
        <w:autoSpaceDN w:val="0"/>
        <w:adjustRightInd w:val="0"/>
        <w:spacing w:before="120" w:after="120" w:line="240" w:lineRule="auto"/>
        <w:jc w:val="both"/>
        <w:rPr>
          <w:rFonts w:ascii="Arial" w:eastAsia="Arial" w:hAnsi="Arial" w:cs="Arial"/>
        </w:rPr>
      </w:pPr>
    </w:p>
    <w:p w:rsidR="001004DA" w:rsidRDefault="00933E28">
      <w:pPr>
        <w:pStyle w:val="ListParagraph"/>
        <w:widowControl w:val="0"/>
        <w:numPr>
          <w:ilvl w:val="0"/>
          <w:numId w:val="9"/>
        </w:numPr>
        <w:spacing w:before="120" w:after="120" w:line="240" w:lineRule="auto"/>
        <w:ind w:right="20"/>
        <w:jc w:val="both"/>
        <w:rPr>
          <w:rFonts w:ascii="Arial" w:eastAsia="Arial" w:hAnsi="Arial" w:cs="Arial"/>
          <w:b/>
        </w:rPr>
      </w:pPr>
      <w:bookmarkStart w:id="1" w:name="_Toc524617983"/>
      <w:bookmarkStart w:id="2" w:name="_Toc524617978"/>
      <w:r w:rsidRPr="002E2EAA">
        <w:rPr>
          <w:rFonts w:ascii="Arial" w:eastAsia="Arial" w:hAnsi="Arial" w:cs="Arial"/>
          <w:b/>
        </w:rPr>
        <w:t>SPECIFIC RIGHTS</w:t>
      </w:r>
    </w:p>
    <w:p w:rsidR="001004DA" w:rsidRDefault="00933E28">
      <w:pPr>
        <w:pStyle w:val="ListParagraph"/>
        <w:widowControl w:val="0"/>
        <w:numPr>
          <w:ilvl w:val="1"/>
          <w:numId w:val="9"/>
        </w:numPr>
        <w:spacing w:before="120" w:after="120" w:line="240" w:lineRule="auto"/>
        <w:ind w:right="20"/>
        <w:jc w:val="both"/>
        <w:rPr>
          <w:rFonts w:ascii="Arial" w:eastAsia="Arial" w:hAnsi="Arial" w:cs="Arial"/>
          <w:b/>
        </w:rPr>
      </w:pPr>
      <w:r w:rsidRPr="002E2EAA">
        <w:rPr>
          <w:rFonts w:ascii="Arial" w:eastAsia="Arial" w:hAnsi="Arial" w:cs="Arial"/>
          <w:b/>
          <w:bCs/>
        </w:rPr>
        <w:t>Women with disabilities (article 6°)</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In 2015, Law No. 30364, Law to prevent, punish and eradicate violence against women and members of the family group, was approved, which strengthens the framework of protection against situations of violence and recognizes that persons with disabilities ar</w:t>
      </w:r>
      <w:r w:rsidRPr="002E2EAA">
        <w:rPr>
          <w:rFonts w:ascii="Arial" w:eastAsia="Arial" w:hAnsi="Arial" w:cs="Arial"/>
        </w:rPr>
        <w:t xml:space="preserve">e part of the groups that require special protection in these cases. In this line, it is established that the family judge may order protection measures, such as the removal of the aggressor from the home, impediment of approach or proximity to the victim </w:t>
      </w:r>
      <w:r w:rsidRPr="002E2EAA">
        <w:rPr>
          <w:rFonts w:ascii="Arial" w:eastAsia="Arial" w:hAnsi="Arial" w:cs="Arial"/>
        </w:rPr>
        <w:t xml:space="preserve">in any form, among others. </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Among the protection measures, Article 22.6 of this law states the following: "Any other measure required for the protection of the personal integrity and life of the victims or family members"</w:t>
      </w:r>
      <w:r w:rsidRPr="002E2EAA">
        <w:rPr>
          <w:rStyle w:val="FootnoteReference"/>
          <w:rFonts w:ascii="Arial" w:eastAsia="Arial" w:hAnsi="Arial" w:cs="Arial"/>
        </w:rPr>
        <w:footnoteReference w:id="4"/>
      </w:r>
      <w:r w:rsidRPr="002E2EAA">
        <w:rPr>
          <w:rFonts w:ascii="Arial" w:eastAsia="Arial" w:hAnsi="Arial" w:cs="Arial"/>
        </w:rPr>
        <w:t xml:space="preserve"> . In the interpretation of this a</w:t>
      </w:r>
      <w:r w:rsidRPr="002E2EAA">
        <w:rPr>
          <w:rFonts w:ascii="Arial" w:eastAsia="Arial" w:hAnsi="Arial" w:cs="Arial"/>
        </w:rPr>
        <w:t>rticle, some family judges have ordered the internment in psychiatric institutions of women with psychosocial disabilities who are victims of violence; likewise, on the basis of this article, internment of women in street situations has been ordered, a mea</w:t>
      </w:r>
      <w:r w:rsidRPr="002E2EAA">
        <w:rPr>
          <w:rFonts w:ascii="Arial" w:eastAsia="Arial" w:hAnsi="Arial" w:cs="Arial"/>
        </w:rPr>
        <w:t>sure that contravenes the CRPD.</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In addition to the inadequate protection measures for the condition of disability, the MICDPD is concerned about the number of women with disabilities who are victims of gender-based violence</w:t>
      </w:r>
      <w:r w:rsidR="008C2525" w:rsidRPr="002E2EAA">
        <w:rPr>
          <w:rStyle w:val="FootnoteReference"/>
          <w:rFonts w:ascii="Arial" w:eastAsia="Arial" w:hAnsi="Arial" w:cs="Arial"/>
        </w:rPr>
        <w:footnoteReference w:id="5"/>
      </w:r>
      <w:r w:rsidRPr="002E2EAA">
        <w:rPr>
          <w:rFonts w:ascii="Arial" w:eastAsia="Arial" w:hAnsi="Arial" w:cs="Arial"/>
        </w:rPr>
        <w:t xml:space="preserve"> and the barriers that exist for</w:t>
      </w:r>
      <w:r w:rsidRPr="002E2EAA">
        <w:rPr>
          <w:rFonts w:ascii="Arial" w:eastAsia="Arial" w:hAnsi="Arial" w:cs="Arial"/>
        </w:rPr>
        <w:t xml:space="preserve"> filing complaints. Among the main ones, we find the existing stereotypes regarding disability, in addition to the lack of knowledge on the part of justice operators regarding this issue and the need for the application of the various human rights approach</w:t>
      </w:r>
      <w:r w:rsidRPr="002E2EAA">
        <w:rPr>
          <w:rFonts w:ascii="Arial" w:eastAsia="Arial" w:hAnsi="Arial" w:cs="Arial"/>
        </w:rPr>
        <w:t xml:space="preserve">es for each specific case. </w:t>
      </w:r>
    </w:p>
    <w:p w:rsidR="001004DA" w:rsidRDefault="00933E28">
      <w:pPr>
        <w:widowControl w:val="0"/>
        <w:spacing w:before="120" w:after="120" w:line="240" w:lineRule="auto"/>
        <w:ind w:right="20"/>
        <w:jc w:val="both"/>
        <w:rPr>
          <w:rFonts w:ascii="Arial" w:hAnsi="Arial" w:cs="Arial"/>
        </w:rPr>
      </w:pPr>
      <w:r w:rsidRPr="002E2EAA">
        <w:rPr>
          <w:rFonts w:ascii="Arial" w:eastAsia="Arial" w:hAnsi="Arial" w:cs="Arial"/>
        </w:rPr>
        <w:t>In this regard, the MICDPD has been able to identify that persons with intellectual or psychosocial disabilities are those who, with preponderance, experience barriers both in access and in the judicial process itself. A case of</w:t>
      </w:r>
      <w:r w:rsidRPr="002E2EAA">
        <w:rPr>
          <w:rFonts w:ascii="Arial" w:eastAsia="Arial" w:hAnsi="Arial" w:cs="Arial"/>
        </w:rPr>
        <w:t xml:space="preserve"> special importance are women </w:t>
      </w:r>
      <w:r w:rsidR="00CB4FB2" w:rsidRPr="002E2EAA">
        <w:rPr>
          <w:rFonts w:ascii="Arial" w:eastAsia="Arial" w:hAnsi="Arial" w:cs="Arial"/>
        </w:rPr>
        <w:t xml:space="preserve">of legal age who are </w:t>
      </w:r>
      <w:r w:rsidRPr="002E2EAA">
        <w:rPr>
          <w:rFonts w:ascii="Arial" w:eastAsia="Arial" w:hAnsi="Arial" w:cs="Arial"/>
        </w:rPr>
        <w:t xml:space="preserve">victims of sexual violence, for which the application of the </w:t>
      </w:r>
      <w:r w:rsidRPr="002E2EAA">
        <w:rPr>
          <w:rFonts w:ascii="Arial" w:hAnsi="Arial" w:cs="Arial"/>
        </w:rPr>
        <w:t xml:space="preserve">Directive for the proper administration and use of </w:t>
      </w:r>
      <w:r w:rsidR="008C2525" w:rsidRPr="002E2EAA">
        <w:rPr>
          <w:rFonts w:ascii="Arial" w:hAnsi="Arial" w:cs="Arial"/>
        </w:rPr>
        <w:t xml:space="preserve">Gesell </w:t>
      </w:r>
      <w:r w:rsidRPr="002E2EAA">
        <w:rPr>
          <w:rFonts w:ascii="Arial" w:hAnsi="Arial" w:cs="Arial"/>
        </w:rPr>
        <w:t xml:space="preserve">Chambers </w:t>
      </w:r>
      <w:r w:rsidR="008C2525" w:rsidRPr="002E2EAA">
        <w:rPr>
          <w:rFonts w:ascii="Arial" w:hAnsi="Arial" w:cs="Arial"/>
        </w:rPr>
        <w:t xml:space="preserve">and </w:t>
      </w:r>
      <w:r w:rsidRPr="002E2EAA">
        <w:rPr>
          <w:rFonts w:ascii="Arial" w:hAnsi="Arial" w:cs="Arial"/>
        </w:rPr>
        <w:t>Single</w:t>
      </w:r>
      <w:r w:rsidR="008C2525" w:rsidRPr="002E2EAA">
        <w:rPr>
          <w:rFonts w:ascii="Arial" w:hAnsi="Arial" w:cs="Arial"/>
        </w:rPr>
        <w:t xml:space="preserve"> Interview Rooms </w:t>
      </w:r>
      <w:r w:rsidRPr="002E2EAA">
        <w:rPr>
          <w:rFonts w:ascii="Arial" w:hAnsi="Arial" w:cs="Arial"/>
        </w:rPr>
        <w:t>in the Public Prosecutor's Office (Directive 002-2</w:t>
      </w:r>
      <w:r w:rsidRPr="002E2EAA">
        <w:rPr>
          <w:rFonts w:ascii="Arial" w:hAnsi="Arial" w:cs="Arial"/>
        </w:rPr>
        <w:t xml:space="preserve">018-MP-FN) </w:t>
      </w:r>
      <w:r w:rsidRPr="002E2EAA">
        <w:rPr>
          <w:rFonts w:ascii="Arial" w:eastAsia="Arial" w:hAnsi="Arial" w:cs="Arial"/>
        </w:rPr>
        <w:t>is provided</w:t>
      </w:r>
      <w:r w:rsidR="00CB4FB2" w:rsidRPr="002E2EAA">
        <w:rPr>
          <w:rFonts w:ascii="Arial" w:hAnsi="Arial" w:cs="Arial"/>
        </w:rPr>
        <w:t xml:space="preserve">, which lacks a disability approach. In the case of children and adolescents with disabilities </w:t>
      </w:r>
      <w:r w:rsidR="00807538" w:rsidRPr="002E2EAA">
        <w:rPr>
          <w:rFonts w:ascii="Arial" w:hAnsi="Arial" w:cs="Arial"/>
        </w:rPr>
        <w:t xml:space="preserve">are governed by </w:t>
      </w:r>
      <w:r w:rsidR="00CB4FB2" w:rsidRPr="002E2EAA">
        <w:rPr>
          <w:rFonts w:ascii="Arial" w:hAnsi="Arial" w:cs="Arial"/>
        </w:rPr>
        <w:t xml:space="preserve">the </w:t>
      </w:r>
      <w:r w:rsidRPr="002E2EAA">
        <w:rPr>
          <w:rFonts w:ascii="Arial" w:hAnsi="Arial" w:cs="Arial"/>
        </w:rPr>
        <w:t>Protocol for Single Interview for Children and Adolescents in Gesell Chamber (</w:t>
      </w:r>
      <w:r w:rsidR="00CB4FB2" w:rsidRPr="002E2EAA">
        <w:rPr>
          <w:rFonts w:ascii="Arial" w:hAnsi="Arial" w:cs="Arial"/>
        </w:rPr>
        <w:t>Administrative</w:t>
      </w:r>
      <w:r w:rsidRPr="002E2EAA">
        <w:rPr>
          <w:rFonts w:ascii="Arial" w:hAnsi="Arial" w:cs="Arial"/>
        </w:rPr>
        <w:t xml:space="preserve"> Resolution </w:t>
      </w:r>
      <w:r w:rsidR="00CB4FB2" w:rsidRPr="002E2EAA">
        <w:rPr>
          <w:rFonts w:ascii="Arial" w:hAnsi="Arial" w:cs="Arial"/>
        </w:rPr>
        <w:t xml:space="preserve">No. 277-2019-CE-PJ) which </w:t>
      </w:r>
      <w:r w:rsidR="00313F9A" w:rsidRPr="002E2EAA">
        <w:rPr>
          <w:rFonts w:ascii="Arial" w:hAnsi="Arial" w:cs="Arial"/>
        </w:rPr>
        <w:t>incorporates a disability approach that however is not applied by justice operators</w:t>
      </w:r>
      <w:r w:rsidRPr="002E2EAA">
        <w:rPr>
          <w:rFonts w:ascii="Arial" w:hAnsi="Arial" w:cs="Arial"/>
        </w:rPr>
        <w:t xml:space="preserve">. </w:t>
      </w:r>
    </w:p>
    <w:p w:rsidR="001004DA" w:rsidRDefault="00933E28">
      <w:pPr>
        <w:widowControl w:val="0"/>
        <w:spacing w:before="120" w:after="120" w:line="240" w:lineRule="auto"/>
        <w:ind w:right="20"/>
        <w:jc w:val="both"/>
        <w:rPr>
          <w:rFonts w:ascii="Arial" w:eastAsia="Arial" w:hAnsi="Arial" w:cs="Arial"/>
        </w:rPr>
      </w:pPr>
      <w:r w:rsidRPr="002E2EAA">
        <w:rPr>
          <w:rFonts w:ascii="Arial" w:hAnsi="Arial" w:cs="Arial"/>
        </w:rPr>
        <w:t xml:space="preserve">Similarly, another barrier faced by persons with disabilities is </w:t>
      </w:r>
      <w:r w:rsidRPr="002E2EAA">
        <w:rPr>
          <w:rFonts w:ascii="Arial" w:eastAsia="Arial" w:hAnsi="Arial" w:cs="Arial"/>
        </w:rPr>
        <w:t xml:space="preserve">the lack of credibility and lack of knowledge about the characteristics of how violence against them occurs, which hinders the prevention of and attention to violence. Therefore, we believe that it is important to train justice operators in disability and </w:t>
      </w:r>
      <w:r w:rsidRPr="002E2EAA">
        <w:rPr>
          <w:rFonts w:ascii="Arial" w:eastAsia="Arial" w:hAnsi="Arial" w:cs="Arial"/>
        </w:rPr>
        <w:t>human rights, as well as in the application of the intersectionality approach to establish optimal measures aimed at women who face multiple discrimination, as is the particular case of women with disabilities, according to the National Policy on Gender Eq</w:t>
      </w:r>
      <w:r w:rsidRPr="002E2EAA">
        <w:rPr>
          <w:rFonts w:ascii="Arial" w:eastAsia="Arial" w:hAnsi="Arial" w:cs="Arial"/>
        </w:rPr>
        <w:t>uality (Supreme Decree No. 008-2019-MIMP)</w:t>
      </w:r>
      <w:r w:rsidRPr="002E2EAA">
        <w:rPr>
          <w:rFonts w:ascii="Arial" w:eastAsia="Arial" w:hAnsi="Arial" w:cs="Arial"/>
          <w:vertAlign w:val="superscript"/>
        </w:rPr>
        <w:footnoteReference w:id="6"/>
      </w:r>
      <w:r w:rsidRPr="002E2EAA">
        <w:rPr>
          <w:rFonts w:ascii="Arial" w:eastAsia="Arial" w:hAnsi="Arial" w:cs="Arial"/>
        </w:rPr>
        <w:t xml:space="preserve"> .  </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According to information from the National Observatory on Violence against Women and Family Members, "in 2020, the CEMs [Women's Emergency Centers] attended a total of 1,683 cases of violence against persons w</w:t>
      </w:r>
      <w:r w:rsidRPr="002E2EAA">
        <w:rPr>
          <w:rFonts w:ascii="Arial" w:eastAsia="Arial" w:hAnsi="Arial" w:cs="Arial"/>
        </w:rPr>
        <w:t>ith disabilities, which represents 1.46% of the cases attended. Of this total, 9.5% are repeat offenders, and 35.1% of them are severe risk cases. In 61.1% of these cases, the alleged aggressor and the client have a family relationship. Two percent are cas</w:t>
      </w:r>
      <w:r w:rsidRPr="002E2EAA">
        <w:rPr>
          <w:rFonts w:ascii="Arial" w:eastAsia="Arial" w:hAnsi="Arial" w:cs="Arial"/>
        </w:rPr>
        <w:t>es of economic violence; 44.3%, psychological; 31.2%, physical; and 22.5%, sexual. In 73.7% of cases the victim is a woman"</w:t>
      </w:r>
      <w:r w:rsidRPr="002E2EAA">
        <w:rPr>
          <w:rStyle w:val="FootnoteReference"/>
          <w:rFonts w:ascii="Arial" w:eastAsia="Arial" w:hAnsi="Arial" w:cs="Arial"/>
        </w:rPr>
        <w:footnoteReference w:id="7"/>
      </w:r>
      <w:r w:rsidRPr="002E2EAA">
        <w:rPr>
          <w:rFonts w:ascii="Arial" w:eastAsia="Arial" w:hAnsi="Arial" w:cs="Arial"/>
        </w:rPr>
        <w:t xml:space="preserve"> .</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 xml:space="preserve">Likewise, between "January and July 2021, 1,538 cases of persons with disabilities were attended to in CEMs nationwide, out of a </w:t>
      </w:r>
      <w:r w:rsidRPr="002E2EAA">
        <w:rPr>
          <w:rFonts w:ascii="Arial" w:eastAsia="Arial" w:hAnsi="Arial" w:cs="Arial"/>
        </w:rPr>
        <w:t>total of 93,191 (which represents 1.66% of total cases). Of these, 8.8% are recidivism cases, and 39.8% of them are cases where the level of risk is severe"</w:t>
      </w:r>
      <w:r w:rsidRPr="002E2EAA">
        <w:rPr>
          <w:rStyle w:val="FootnoteReference"/>
          <w:rFonts w:ascii="Arial" w:eastAsia="Arial" w:hAnsi="Arial" w:cs="Arial"/>
        </w:rPr>
        <w:footnoteReference w:id="8"/>
      </w:r>
      <w:r w:rsidRPr="002E2EAA">
        <w:rPr>
          <w:rFonts w:ascii="Arial" w:eastAsia="Arial" w:hAnsi="Arial" w:cs="Arial"/>
        </w:rPr>
        <w:t xml:space="preserve"> .</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 xml:space="preserve">The MICDPD considers it necessary to recommend to the Peruvian State to strengthen the </w:t>
      </w:r>
      <w:r w:rsidR="00313F9A" w:rsidRPr="002E2EAA">
        <w:rPr>
          <w:rFonts w:ascii="Arial" w:eastAsia="Arial" w:hAnsi="Arial" w:cs="Arial"/>
        </w:rPr>
        <w:t xml:space="preserve">fight against violence against </w:t>
      </w:r>
      <w:r w:rsidRPr="002E2EAA">
        <w:rPr>
          <w:rFonts w:ascii="Arial" w:eastAsia="Arial" w:hAnsi="Arial" w:cs="Arial"/>
        </w:rPr>
        <w:t xml:space="preserve">women with disabilities, guaranteeing respect for </w:t>
      </w:r>
      <w:r w:rsidR="00313F9A" w:rsidRPr="002E2EAA">
        <w:rPr>
          <w:rFonts w:ascii="Arial" w:eastAsia="Arial" w:hAnsi="Arial" w:cs="Arial"/>
        </w:rPr>
        <w:t xml:space="preserve">their </w:t>
      </w:r>
      <w:r w:rsidRPr="002E2EAA">
        <w:rPr>
          <w:rFonts w:ascii="Arial" w:eastAsia="Arial" w:hAnsi="Arial" w:cs="Arial"/>
        </w:rPr>
        <w:t>legal capacity. In this regard, it is recommended to amend Article 22.6 of Law No. 30364, Law to prevent, punish and eradicate violence against women and members of the family gr</w:t>
      </w:r>
      <w:r w:rsidRPr="002E2EAA">
        <w:rPr>
          <w:rFonts w:ascii="Arial" w:eastAsia="Arial" w:hAnsi="Arial" w:cs="Arial"/>
        </w:rPr>
        <w:t>oup, in order to prohibit protection measures that entail the arbitrary confinement or hospitalization of the person with disabilities. Such regulatory adaptation must be made in accordance with the CRPD.</w:t>
      </w:r>
    </w:p>
    <w:p w:rsidR="001004DA" w:rsidRDefault="00933E28">
      <w:pPr>
        <w:widowControl w:val="0"/>
        <w:spacing w:before="120" w:after="120" w:line="240" w:lineRule="auto"/>
        <w:ind w:right="20"/>
        <w:jc w:val="both"/>
        <w:rPr>
          <w:rFonts w:ascii="Arial" w:eastAsia="Arial" w:hAnsi="Arial" w:cs="Arial"/>
        </w:rPr>
      </w:pPr>
      <w:r w:rsidRPr="002E2EAA">
        <w:rPr>
          <w:rFonts w:ascii="Arial" w:eastAsia="Arial" w:hAnsi="Arial" w:cs="Arial"/>
        </w:rPr>
        <w:t>In addition, it is necessary for the State to stren</w:t>
      </w:r>
      <w:r w:rsidRPr="002E2EAA">
        <w:rPr>
          <w:rFonts w:ascii="Arial" w:eastAsia="Arial" w:hAnsi="Arial" w:cs="Arial"/>
        </w:rPr>
        <w:t>gthen training on the rights of persons with disabilities in the justice system, emphasizing their rights to decide and participate in society, in accordance with the social model of disability with a human rights approach.</w:t>
      </w:r>
    </w:p>
    <w:p w:rsidR="007F30C2" w:rsidRPr="002E2EAA" w:rsidRDefault="007F30C2">
      <w:pPr>
        <w:widowControl w:val="0"/>
        <w:spacing w:before="120" w:after="120" w:line="240" w:lineRule="auto"/>
        <w:ind w:right="20"/>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Children with disabilities (art</w:t>
      </w:r>
      <w:r w:rsidRPr="002E2EAA">
        <w:rPr>
          <w:rFonts w:ascii="Arial" w:eastAsia="Arial" w:hAnsi="Arial" w:cs="Arial"/>
          <w:color w:val="auto"/>
          <w:sz w:val="22"/>
          <w:szCs w:val="22"/>
        </w:rPr>
        <w:t>icle 7°)</w:t>
      </w:r>
    </w:p>
    <w:p w:rsidR="001004DA" w:rsidRDefault="00933E28">
      <w:pPr>
        <w:spacing w:before="120" w:after="120" w:line="240" w:lineRule="auto"/>
        <w:jc w:val="both"/>
        <w:rPr>
          <w:rFonts w:ascii="Arial" w:hAnsi="Arial" w:cs="Arial"/>
        </w:rPr>
      </w:pPr>
      <w:r w:rsidRPr="002E2EAA">
        <w:rPr>
          <w:rFonts w:ascii="Arial" w:hAnsi="Arial" w:cs="Arial"/>
        </w:rPr>
        <w:t>During the MICDPD supervision visit carried out on November 4 and 10, 2021 to the Residential Shelter Center (CAR) Aldea Infantil San Juan de Yarinacocha located in the region of Ucayali, it was found that a total of 65 people reside there, of which 19 are</w:t>
      </w:r>
      <w:r w:rsidRPr="002E2EAA">
        <w:rPr>
          <w:rFonts w:ascii="Arial" w:hAnsi="Arial" w:cs="Arial"/>
        </w:rPr>
        <w:t xml:space="preserve"> between 0 to 11 years of age, 38 between 12 to 17 years of age, and eight were people over 18 years of age. All of them were distributed in seven houses. Likewise, of the total number of residents, 19 were persons with disabilities, ten men and nine women</w:t>
      </w:r>
      <w:r w:rsidRPr="002E2EAA">
        <w:rPr>
          <w:rFonts w:ascii="Arial" w:hAnsi="Arial" w:cs="Arial"/>
        </w:rPr>
        <w:t>. The maximum capacity of the CAR is 70 people.</w:t>
      </w:r>
    </w:p>
    <w:p w:rsidR="001004DA" w:rsidRDefault="00933E28">
      <w:pPr>
        <w:spacing w:before="120" w:after="120" w:line="240" w:lineRule="auto"/>
        <w:jc w:val="both"/>
        <w:rPr>
          <w:rFonts w:ascii="Arial" w:hAnsi="Arial" w:cs="Arial"/>
        </w:rPr>
      </w:pPr>
      <w:r w:rsidRPr="002E2EAA">
        <w:rPr>
          <w:rFonts w:ascii="Arial" w:hAnsi="Arial" w:cs="Arial"/>
        </w:rPr>
        <w:t>Regarding the time spent in the CAR San Juan de Yarinacocha, it was found that two young people entered before 2000 (one entered on 22/07/1997 and the other on 22/09/1999); likewise, from 2001 to 2010 nine pe</w:t>
      </w:r>
      <w:r w:rsidRPr="002E2EAA">
        <w:rPr>
          <w:rFonts w:ascii="Arial" w:hAnsi="Arial" w:cs="Arial"/>
        </w:rPr>
        <w:t xml:space="preserve">ople entered; from 2011 to 2020 43 people entered; during the year 2021 11 people entered. Regarding people with disabilities, we must specify that, of the 19 people with disabilities residing in CAR San Juan, two were admitted before the year 2000, eight </w:t>
      </w:r>
      <w:r w:rsidRPr="002E2EAA">
        <w:rPr>
          <w:rFonts w:ascii="Arial" w:hAnsi="Arial" w:cs="Arial"/>
        </w:rPr>
        <w:t>from 2001 to 2010 and nine between 2011 and 2020.</w:t>
      </w:r>
    </w:p>
    <w:p w:rsidR="001004DA" w:rsidRDefault="00933E28">
      <w:pPr>
        <w:spacing w:before="120" w:after="120" w:line="240" w:lineRule="auto"/>
        <w:jc w:val="both"/>
        <w:rPr>
          <w:rFonts w:ascii="Arial" w:hAnsi="Arial" w:cs="Arial"/>
        </w:rPr>
      </w:pPr>
      <w:r w:rsidRPr="002E2EAA">
        <w:rPr>
          <w:rFonts w:ascii="Arial" w:hAnsi="Arial" w:cs="Arial"/>
        </w:rPr>
        <w:t>According to information provided by CAR San Juan personnel, as of 2021 the facility did not have a Certificate of Accreditation from the Central Registry of Institutions, nor did it have an operating licen</w:t>
      </w:r>
      <w:r w:rsidRPr="002E2EAA">
        <w:rPr>
          <w:rFonts w:ascii="Arial" w:hAnsi="Arial" w:cs="Arial"/>
        </w:rPr>
        <w:t>se or Civil Defense Certificate. It also had a staff of 34 people, of which 20 were full-time workers, three part-time, seven belonged to the technical team and four were volunteers.</w:t>
      </w:r>
    </w:p>
    <w:p w:rsidR="001004DA" w:rsidRDefault="00933E28">
      <w:pPr>
        <w:spacing w:before="120" w:after="120" w:line="240" w:lineRule="auto"/>
        <w:jc w:val="both"/>
        <w:rPr>
          <w:rFonts w:ascii="Arial" w:hAnsi="Arial" w:cs="Arial"/>
        </w:rPr>
      </w:pPr>
      <w:r w:rsidRPr="002E2EAA">
        <w:rPr>
          <w:rFonts w:ascii="Arial" w:hAnsi="Arial" w:cs="Arial"/>
        </w:rPr>
        <w:t>During the supervision, the MICDPD found that children and adolescents were not receiving health care, making it impossible to know their real physical and mental health condition. In addition, it was observed that the residents with disabilities had a sta</w:t>
      </w:r>
      <w:r w:rsidRPr="002E2EAA">
        <w:rPr>
          <w:rFonts w:ascii="Arial" w:hAnsi="Arial" w:cs="Arial"/>
        </w:rPr>
        <w:t xml:space="preserve">rving appearance, some of them were not incorporated to the Integral Health Insurance (SIS), did not have a disability certificate and were not incorporated to an Early Intervention Program, </w:t>
      </w:r>
      <w:r w:rsidR="00313F9A" w:rsidRPr="002E2EAA">
        <w:rPr>
          <w:rFonts w:ascii="Arial" w:hAnsi="Arial" w:cs="Arial"/>
        </w:rPr>
        <w:t xml:space="preserve">to a Special </w:t>
      </w:r>
      <w:r w:rsidRPr="002E2EAA">
        <w:rPr>
          <w:rFonts w:ascii="Arial" w:hAnsi="Arial" w:cs="Arial"/>
        </w:rPr>
        <w:t>Basic Education Center or to any regular or alternat</w:t>
      </w:r>
      <w:r w:rsidRPr="002E2EAA">
        <w:rPr>
          <w:rFonts w:ascii="Arial" w:hAnsi="Arial" w:cs="Arial"/>
        </w:rPr>
        <w:t xml:space="preserve">ive basic education Institution. Three of them did not have an ID card and the adults with disabilities did not have legal sponsorship for the recognition and/or designation of support to guarantee the exercise of their legal capacity. </w:t>
      </w:r>
    </w:p>
    <w:p w:rsidR="001004DA" w:rsidRDefault="00933E28">
      <w:pPr>
        <w:spacing w:before="120" w:after="120" w:line="240" w:lineRule="auto"/>
        <w:jc w:val="both"/>
        <w:rPr>
          <w:rFonts w:ascii="Arial" w:hAnsi="Arial" w:cs="Arial"/>
        </w:rPr>
      </w:pPr>
      <w:r w:rsidRPr="002E2EAA">
        <w:rPr>
          <w:rFonts w:ascii="Arial" w:hAnsi="Arial" w:cs="Arial"/>
        </w:rPr>
        <w:t xml:space="preserve">Also, with respect </w:t>
      </w:r>
      <w:r w:rsidRPr="002E2EAA">
        <w:rPr>
          <w:rFonts w:ascii="Arial" w:hAnsi="Arial" w:cs="Arial"/>
        </w:rPr>
        <w:t>to the physical and mental health care of the residents with disabilities, the MICDPD found that the medical records of the physical and psychological care were outdated and, in some cases, nonexistent. It was also found that two children with disabilities</w:t>
      </w:r>
      <w:r w:rsidRPr="002E2EAA">
        <w:rPr>
          <w:rFonts w:ascii="Arial" w:hAnsi="Arial" w:cs="Arial"/>
        </w:rPr>
        <w:t xml:space="preserve"> were in a state of drowsiness and slowed movements, a situation that concerned the MICDPD because they could be receiving medication without the staff having the medical indications at hand. Expired food and medicines were also observed in the dining room</w:t>
      </w:r>
      <w:r w:rsidRPr="002E2EAA">
        <w:rPr>
          <w:rFonts w:ascii="Arial" w:hAnsi="Arial" w:cs="Arial"/>
        </w:rPr>
        <w:t xml:space="preserve"> and medicine warehouse. </w:t>
      </w:r>
    </w:p>
    <w:p w:rsidR="001004DA" w:rsidRDefault="00933E28">
      <w:pPr>
        <w:spacing w:before="120" w:after="120" w:line="240" w:lineRule="auto"/>
        <w:jc w:val="both"/>
        <w:rPr>
          <w:rFonts w:ascii="Arial" w:hAnsi="Arial" w:cs="Arial"/>
        </w:rPr>
      </w:pPr>
      <w:r w:rsidRPr="002E2EAA">
        <w:rPr>
          <w:rFonts w:ascii="Arial" w:hAnsi="Arial" w:cs="Arial"/>
        </w:rPr>
        <w:t>Regarding infrastructure and furnishings, the MICDPD found that the conditions for people with disabilities were inadequate. Inside the rooms there were mattresses in poor condition, old, broken and worn out; sinks and showers wit</w:t>
      </w:r>
      <w:r w:rsidRPr="002E2EAA">
        <w:rPr>
          <w:rFonts w:ascii="Arial" w:hAnsi="Arial" w:cs="Arial"/>
        </w:rPr>
        <w:t>hout accessories; bathroom doors did not have locks and were not equipped with grab bars for the use of people with motor disabilities or reduced mobility; bedroom doors did not have locks; some ceilings did not have ceilings, which allowed animals to ente</w:t>
      </w:r>
      <w:r w:rsidRPr="002E2EAA">
        <w:rPr>
          <w:rFonts w:ascii="Arial" w:hAnsi="Arial" w:cs="Arial"/>
        </w:rPr>
        <w:t xml:space="preserve">r the interior of the houses. </w:t>
      </w:r>
    </w:p>
    <w:p w:rsidR="001004DA" w:rsidRDefault="00933E28">
      <w:pPr>
        <w:spacing w:before="120" w:after="120" w:line="240" w:lineRule="auto"/>
        <w:jc w:val="both"/>
        <w:rPr>
          <w:rFonts w:ascii="Arial" w:hAnsi="Arial" w:cs="Arial"/>
        </w:rPr>
      </w:pPr>
      <w:r w:rsidRPr="002E2EAA">
        <w:rPr>
          <w:rFonts w:ascii="Arial" w:hAnsi="Arial" w:cs="Arial"/>
        </w:rPr>
        <w:t xml:space="preserve">Safety conditions were also inadequate, as uncovered electrical cords were found in rooms, creating a potential electrocution hazard for the residents; cracked floors with some perforations that also allowed animals to enter </w:t>
      </w:r>
      <w:r w:rsidRPr="002E2EAA">
        <w:rPr>
          <w:rFonts w:ascii="Arial" w:hAnsi="Arial" w:cs="Arial"/>
        </w:rPr>
        <w:t>the interior of the houses; water leaks; and sewage pipes that lead into some rooms, producing foul odors.</w:t>
      </w:r>
    </w:p>
    <w:p w:rsidR="001004DA" w:rsidRDefault="00933E28">
      <w:pPr>
        <w:spacing w:before="120" w:after="120" w:line="240" w:lineRule="auto"/>
        <w:jc w:val="both"/>
        <w:rPr>
          <w:rFonts w:ascii="Arial" w:hAnsi="Arial" w:cs="Arial"/>
        </w:rPr>
      </w:pPr>
      <w:r w:rsidRPr="002E2EAA">
        <w:rPr>
          <w:rFonts w:ascii="Arial" w:hAnsi="Arial" w:cs="Arial"/>
        </w:rPr>
        <w:t>After the supervision, the MICDPD prepared the Program Report N° 012-2021-DP/ADHPD-PDEPRODIS: "Situation of persons with disabilities residing in the</w:t>
      </w:r>
      <w:r w:rsidRPr="002E2EAA">
        <w:rPr>
          <w:rFonts w:ascii="Arial" w:hAnsi="Arial" w:cs="Arial"/>
        </w:rPr>
        <w:t xml:space="preserve"> CAR Aldea Infantil San Juan de Yarinacocha in </w:t>
      </w:r>
      <w:r w:rsidR="009F2818" w:rsidRPr="002E2EAA">
        <w:rPr>
          <w:rFonts w:ascii="Arial" w:hAnsi="Arial" w:cs="Arial"/>
        </w:rPr>
        <w:t xml:space="preserve">Ucayali", in which </w:t>
      </w:r>
      <w:r w:rsidRPr="002E2EAA">
        <w:rPr>
          <w:rFonts w:ascii="Arial" w:hAnsi="Arial" w:cs="Arial"/>
        </w:rPr>
        <w:t xml:space="preserve">recommendations </w:t>
      </w:r>
      <w:r w:rsidR="009F2818" w:rsidRPr="002E2EAA">
        <w:rPr>
          <w:rFonts w:ascii="Arial" w:hAnsi="Arial" w:cs="Arial"/>
        </w:rPr>
        <w:t xml:space="preserve">were made </w:t>
      </w:r>
      <w:r w:rsidRPr="002E2EAA">
        <w:rPr>
          <w:rFonts w:ascii="Arial" w:hAnsi="Arial" w:cs="Arial"/>
        </w:rPr>
        <w:t xml:space="preserve">to various authorities, such as Programa Integral Nacional para el Bienestar Familiar (Inabif), Ministerio Público, Gobierno Regional </w:t>
      </w:r>
      <w:r w:rsidR="009F2818" w:rsidRPr="002E2EAA">
        <w:rPr>
          <w:rFonts w:ascii="Arial" w:hAnsi="Arial" w:cs="Arial"/>
        </w:rPr>
        <w:t>de Ucayali</w:t>
      </w:r>
      <w:r w:rsidRPr="002E2EAA">
        <w:rPr>
          <w:rFonts w:ascii="Arial" w:hAnsi="Arial" w:cs="Arial"/>
        </w:rPr>
        <w:t xml:space="preserve">, SIS, UGEL Ucayali </w:t>
      </w:r>
      <w:r w:rsidRPr="002E2EAA">
        <w:rPr>
          <w:rFonts w:ascii="Arial" w:hAnsi="Arial" w:cs="Arial"/>
        </w:rPr>
        <w:t>and the Hospital Amazónico de Ucayali, in order to adopt the corresponding measures to guarantee dignified living conditions for the people residing in the mentioned CAR, especially children and adolescents with disabilities. Likewise, he held meetings wit</w:t>
      </w:r>
      <w:r w:rsidRPr="002E2EAA">
        <w:rPr>
          <w:rFonts w:ascii="Arial" w:hAnsi="Arial" w:cs="Arial"/>
        </w:rPr>
        <w:t xml:space="preserve">h representatives </w:t>
      </w:r>
      <w:r w:rsidR="009F2818" w:rsidRPr="002E2EAA">
        <w:rPr>
          <w:rFonts w:ascii="Arial" w:hAnsi="Arial" w:cs="Arial"/>
        </w:rPr>
        <w:t xml:space="preserve">of </w:t>
      </w:r>
      <w:r w:rsidRPr="002E2EAA">
        <w:rPr>
          <w:rFonts w:ascii="Arial" w:hAnsi="Arial" w:cs="Arial"/>
        </w:rPr>
        <w:t>Inabif and the Regional Government of Ucayali.</w:t>
      </w:r>
    </w:p>
    <w:p w:rsidR="001004DA" w:rsidRDefault="00933E28">
      <w:pPr>
        <w:spacing w:before="120" w:after="120" w:line="240" w:lineRule="auto"/>
        <w:jc w:val="both"/>
        <w:rPr>
          <w:rFonts w:ascii="Arial" w:hAnsi="Arial" w:cs="Arial"/>
        </w:rPr>
      </w:pPr>
      <w:r w:rsidRPr="002E2EAA">
        <w:rPr>
          <w:rFonts w:ascii="Arial" w:hAnsi="Arial" w:cs="Arial"/>
        </w:rPr>
        <w:t>As a result of the MICDPD's intervention, the Regional Government of Ucayali agreed to transfer the administration of the CAR to Inabif, which undertook to adopt urgent measures to guarant</w:t>
      </w:r>
      <w:r w:rsidRPr="002E2EAA">
        <w:rPr>
          <w:rFonts w:ascii="Arial" w:hAnsi="Arial" w:cs="Arial"/>
        </w:rPr>
        <w:t>ee an adequate standard of living for the people living there. However, upon taking over the administration of the CAR, Inabif proceeded to transfer the children with disabilities to the city of Lima, uprooting them from their families and environment.</w:t>
      </w:r>
    </w:p>
    <w:p w:rsidR="001004DA" w:rsidRDefault="00933E28">
      <w:pPr>
        <w:spacing w:before="120" w:after="120" w:line="240" w:lineRule="auto"/>
        <w:jc w:val="both"/>
        <w:rPr>
          <w:rFonts w:ascii="Arial" w:hAnsi="Arial" w:cs="Arial"/>
        </w:rPr>
      </w:pPr>
      <w:r w:rsidRPr="002E2EAA">
        <w:rPr>
          <w:rFonts w:ascii="Arial" w:hAnsi="Arial" w:cs="Arial"/>
        </w:rPr>
        <w:t xml:space="preserve">In </w:t>
      </w:r>
      <w:r w:rsidRPr="002E2EAA">
        <w:rPr>
          <w:rFonts w:ascii="Arial" w:hAnsi="Arial" w:cs="Arial"/>
        </w:rPr>
        <w:t>this context, the MICDP expresses its concern regarding the situation of children and adolescents with disabilities residing in Residential Care Centers, and expresses the need to recommend to the Peruvian State to guarantee their fundamental rights to hea</w:t>
      </w:r>
      <w:r w:rsidRPr="002E2EAA">
        <w:rPr>
          <w:rFonts w:ascii="Arial" w:hAnsi="Arial" w:cs="Arial"/>
        </w:rPr>
        <w:t>lth, education, dignified life, among others, and to avoid situations that lead to the uprooting of their families and environment.</w:t>
      </w:r>
    </w:p>
    <w:p w:rsidR="007F30C2" w:rsidRPr="002E2EAA" w:rsidRDefault="007F30C2">
      <w:pPr>
        <w:spacing w:before="120" w:after="120" w:line="240" w:lineRule="auto"/>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Accessibility</w:t>
      </w:r>
      <w:bookmarkEnd w:id="1"/>
      <w:r w:rsidRPr="002E2EAA">
        <w:rPr>
          <w:rFonts w:ascii="Arial" w:eastAsia="Arial" w:hAnsi="Arial" w:cs="Arial"/>
          <w:color w:val="auto"/>
          <w:sz w:val="22"/>
          <w:szCs w:val="22"/>
        </w:rPr>
        <w:t xml:space="preserve"> (article 9°)</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August 8, 2018, the National Accessibility Plan 2018-2023</w:t>
      </w:r>
      <w:r w:rsidRPr="002E2EAA">
        <w:rPr>
          <w:rFonts w:ascii="Arial" w:eastAsia="Arial" w:hAnsi="Arial" w:cs="Arial"/>
          <w:vertAlign w:val="superscript"/>
        </w:rPr>
        <w:footnoteReference w:id="9"/>
      </w:r>
      <w:r w:rsidRPr="002E2EAA">
        <w:rPr>
          <w:rFonts w:ascii="Arial" w:eastAsia="Arial" w:hAnsi="Arial" w:cs="Arial"/>
        </w:rPr>
        <w:t xml:space="preserve"> was approved. This plan shows a de</w:t>
      </w:r>
      <w:r w:rsidRPr="002E2EAA">
        <w:rPr>
          <w:rFonts w:ascii="Arial" w:eastAsia="Arial" w:hAnsi="Arial" w:cs="Arial"/>
        </w:rPr>
        <w:t xml:space="preserve">tailed diagnosis on the accessibility situation in the country, characterizing the barriers faced by people with disabilities in the social, labor, territorial and media spheres. In addition, it counted with the participation of organizations representing </w:t>
      </w:r>
      <w:r w:rsidRPr="002E2EAA">
        <w:rPr>
          <w:rFonts w:ascii="Arial" w:eastAsia="Arial" w:hAnsi="Arial" w:cs="Arial"/>
        </w:rPr>
        <w:t>people with disabilities in Lima.</w:t>
      </w:r>
    </w:p>
    <w:p w:rsidR="001004DA" w:rsidRDefault="00933E28">
      <w:pPr>
        <w:spacing w:before="120" w:after="120" w:line="240" w:lineRule="auto"/>
        <w:jc w:val="both"/>
        <w:rPr>
          <w:rFonts w:ascii="Arial" w:eastAsia="Arial" w:hAnsi="Arial" w:cs="Arial"/>
        </w:rPr>
      </w:pPr>
      <w:r w:rsidRPr="002E2EAA">
        <w:rPr>
          <w:rFonts w:ascii="Arial" w:eastAsia="Arial" w:hAnsi="Arial" w:cs="Arial"/>
        </w:rPr>
        <w:t>However, a review of the Plan shows that the indicators that measure progress in implementation refer mainly to the enactment of standards or capacity building of personnel and not so much to effective changes to the exist</w:t>
      </w:r>
      <w:r w:rsidRPr="002E2EAA">
        <w:rPr>
          <w:rFonts w:ascii="Arial" w:eastAsia="Arial" w:hAnsi="Arial" w:cs="Arial"/>
        </w:rPr>
        <w:t xml:space="preserve">ing situation regarding the lack of accessibility in the country. The body in charge of overseeing compliance with the Plan, the Temporary Multisectoral Commission of the National Accessibility Plan, was formed on July 18, 2019.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According to the monitorin</w:t>
      </w:r>
      <w:r w:rsidRPr="002E2EAA">
        <w:rPr>
          <w:rFonts w:ascii="Arial" w:eastAsia="Arial" w:hAnsi="Arial" w:cs="Arial"/>
        </w:rPr>
        <w:t>g reports, "among the main advances of the National Accessibility Plan 2018-2023 of the year 2021, in Axis 1 corresponding to the Institutionality for Accessibility, there is evidence of great progress in the development and approval of technical standards</w:t>
      </w:r>
      <w:r w:rsidRPr="002E2EAA">
        <w:rPr>
          <w:rFonts w:ascii="Arial" w:eastAsia="Arial" w:hAnsi="Arial" w:cs="Arial"/>
        </w:rPr>
        <w:t xml:space="preserve"> for accessibility adapted to the principles of universal design. With respect to Axis 2, corresponding to Management and Conditioning for Accessibility, there is evidence of progress on a larger scale in the implementation of educational institutions cond</w:t>
      </w:r>
      <w:r w:rsidRPr="002E2EAA">
        <w:rPr>
          <w:rFonts w:ascii="Arial" w:eastAsia="Arial" w:hAnsi="Arial" w:cs="Arial"/>
        </w:rPr>
        <w:t>itioned with accessibility criteria. And regarding Axis 3, corresponding to Knowledge Management for Accessibility, the level of progress of a previous year (2020) is maintained, due to the multiple efforts made by the sectors in the elaboration of communi</w:t>
      </w:r>
      <w:r w:rsidRPr="002E2EAA">
        <w:rPr>
          <w:rFonts w:ascii="Arial" w:eastAsia="Arial" w:hAnsi="Arial" w:cs="Arial"/>
        </w:rPr>
        <w:t>cation campaigns on the right to accessibility; as well as in the Programs for the development of capacities in accessibility"</w:t>
      </w:r>
      <w:r w:rsidRPr="002E2EAA">
        <w:rPr>
          <w:rStyle w:val="FootnoteReference"/>
          <w:rFonts w:ascii="Arial" w:eastAsia="Arial" w:hAnsi="Arial" w:cs="Arial"/>
        </w:rPr>
        <w:footnoteReference w:id="10"/>
      </w:r>
      <w:r w:rsidRPr="002E2EAA">
        <w:rPr>
          <w:rFonts w:ascii="Arial" w:eastAsia="Arial" w:hAnsi="Arial" w:cs="Arial"/>
        </w:rPr>
        <w:t xml:space="preserve"> . On the </w:t>
      </w:r>
      <w:r w:rsidR="009F772B" w:rsidRPr="002E2EAA">
        <w:rPr>
          <w:rFonts w:ascii="Arial" w:eastAsia="Arial" w:hAnsi="Arial" w:cs="Arial"/>
        </w:rPr>
        <w:t xml:space="preserve">other hand, to date, the </w:t>
      </w:r>
      <w:r w:rsidR="00575601" w:rsidRPr="002E2EAA">
        <w:rPr>
          <w:rFonts w:ascii="Arial" w:eastAsia="Arial" w:hAnsi="Arial" w:cs="Arial"/>
        </w:rPr>
        <w:t xml:space="preserve">modification of </w:t>
      </w:r>
      <w:r w:rsidRPr="002E2EAA">
        <w:rPr>
          <w:rFonts w:ascii="Arial" w:eastAsia="Arial" w:hAnsi="Arial" w:cs="Arial"/>
        </w:rPr>
        <w:t xml:space="preserve">the Technical Standard A.120, "Universal Accessibility in Buildings" </w:t>
      </w:r>
      <w:r w:rsidR="009F772B" w:rsidRPr="002E2EAA">
        <w:rPr>
          <w:rFonts w:ascii="Arial" w:eastAsia="Arial" w:hAnsi="Arial" w:cs="Arial"/>
        </w:rPr>
        <w:t xml:space="preserve">has been </w:t>
      </w:r>
      <w:r w:rsidR="00575601" w:rsidRPr="002E2EAA">
        <w:rPr>
          <w:rFonts w:ascii="Arial" w:eastAsia="Arial" w:hAnsi="Arial" w:cs="Arial"/>
        </w:rPr>
        <w:t>published</w:t>
      </w:r>
      <w:r w:rsidRPr="002E2EAA">
        <w:rPr>
          <w:rFonts w:ascii="Arial" w:eastAsia="Arial" w:hAnsi="Arial" w:cs="Arial"/>
        </w:rPr>
        <w:t xml:space="preserve">, for which </w:t>
      </w:r>
      <w:r w:rsidR="009F772B" w:rsidRPr="002E2EAA">
        <w:rPr>
          <w:rFonts w:ascii="Arial" w:eastAsia="Arial" w:hAnsi="Arial" w:cs="Arial"/>
        </w:rPr>
        <w:t xml:space="preserve">the MICDPD intervened recommending </w:t>
      </w:r>
      <w:r w:rsidRPr="002E2EAA">
        <w:rPr>
          <w:rFonts w:ascii="Arial" w:eastAsia="Arial" w:hAnsi="Arial" w:cs="Arial"/>
        </w:rPr>
        <w:t xml:space="preserve">the </w:t>
      </w:r>
      <w:r w:rsidR="009F772B" w:rsidRPr="002E2EAA">
        <w:rPr>
          <w:rFonts w:ascii="Arial" w:eastAsia="Arial" w:hAnsi="Arial" w:cs="Arial"/>
        </w:rPr>
        <w:t>implementation</w:t>
      </w:r>
      <w:r w:rsidRPr="002E2EAA">
        <w:rPr>
          <w:rFonts w:ascii="Arial" w:eastAsia="Arial" w:hAnsi="Arial" w:cs="Arial"/>
        </w:rPr>
        <w:t xml:space="preserve"> of a </w:t>
      </w:r>
      <w:r w:rsidR="009F772B" w:rsidRPr="002E2EAA">
        <w:rPr>
          <w:rFonts w:ascii="Arial" w:eastAsia="Arial" w:hAnsi="Arial" w:cs="Arial"/>
        </w:rPr>
        <w:t xml:space="preserve">national </w:t>
      </w:r>
      <w:r w:rsidRPr="002E2EAA">
        <w:rPr>
          <w:rFonts w:ascii="Arial" w:eastAsia="Arial" w:hAnsi="Arial" w:cs="Arial"/>
        </w:rPr>
        <w:t>consultation process with the organizations of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MICDPD considers that the development of immediate initiatives to address tangible aspect</w:t>
      </w:r>
      <w:r w:rsidRPr="002E2EAA">
        <w:rPr>
          <w:rFonts w:ascii="Arial" w:eastAsia="Arial" w:hAnsi="Arial" w:cs="Arial"/>
        </w:rPr>
        <w:t xml:space="preserve">s of accessibility is still pending, such as the lack of inclusive, safe, affordable and accessible transportation, with signage in Braille and in easy-to-read and understand formats; accessible facilities for all services that serve the public, including </w:t>
      </w:r>
      <w:r w:rsidRPr="002E2EAA">
        <w:rPr>
          <w:rFonts w:ascii="Arial" w:eastAsia="Arial" w:hAnsi="Arial" w:cs="Arial"/>
        </w:rPr>
        <w:t xml:space="preserve">those provided by private companies; and the implementation of sign language interpreter services, mainly in education and public administration. </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Transportation accessibility</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relation to formal urban transportation, although progress has been made wit</w:t>
      </w:r>
      <w:r w:rsidRPr="002E2EAA">
        <w:rPr>
          <w:rFonts w:ascii="Arial" w:eastAsia="Arial" w:hAnsi="Arial" w:cs="Arial"/>
        </w:rPr>
        <w:t xml:space="preserve">h the implementation of some services with a more accessible design, as is the case of Line 1 of the Lima Metro, the Metropolitano and the Complementary Corridors in the capital </w:t>
      </w:r>
      <w:r w:rsidR="003F533D" w:rsidRPr="002E2EAA">
        <w:rPr>
          <w:rFonts w:ascii="Arial" w:eastAsia="Arial" w:hAnsi="Arial" w:cs="Arial"/>
        </w:rPr>
        <w:t>of the country</w:t>
      </w:r>
      <w:r w:rsidRPr="002E2EAA">
        <w:rPr>
          <w:rFonts w:ascii="Arial" w:eastAsia="Arial" w:hAnsi="Arial" w:cs="Arial"/>
        </w:rPr>
        <w:t>, barriers have been evidenced that hinder the mobility of perso</w:t>
      </w:r>
      <w:r w:rsidRPr="002E2EAA">
        <w:rPr>
          <w:rFonts w:ascii="Arial" w:eastAsia="Arial" w:hAnsi="Arial" w:cs="Arial"/>
        </w:rPr>
        <w:t>ns with disabilities, especially with regard to the environment and the routes that allow reaching the stations of these services.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For example, with regard to the Metropolitano feeder routes, that is, the buses that allow citizens to reach the trunk route,</w:t>
      </w:r>
      <w:r w:rsidRPr="002E2EAA">
        <w:rPr>
          <w:rFonts w:ascii="Arial" w:eastAsia="Arial" w:hAnsi="Arial" w:cs="Arial"/>
        </w:rPr>
        <w:t xml:space="preserve"> accessibility has not been ensured. Thus, according to information provided by Protransporte</w:t>
      </w:r>
      <w:r w:rsidRPr="002E2EAA">
        <w:rPr>
          <w:rFonts w:ascii="Arial" w:eastAsia="Arial" w:hAnsi="Arial" w:cs="Arial"/>
          <w:vertAlign w:val="superscript"/>
        </w:rPr>
        <w:footnoteReference w:id="11"/>
      </w:r>
      <w:r w:rsidRPr="002E2EAA">
        <w:rPr>
          <w:rFonts w:ascii="Arial" w:eastAsia="Arial" w:hAnsi="Arial" w:cs="Arial"/>
        </w:rPr>
        <w:t xml:space="preserve"> to the MICDPD in 2016, there is a concession contract, Annex 13 of which states that a minimum of 10% of feeder buses will have wheelchair lifts, in order to fac</w:t>
      </w:r>
      <w:r w:rsidRPr="002E2EAA">
        <w:rPr>
          <w:rFonts w:ascii="Arial" w:eastAsia="Arial" w:hAnsi="Arial" w:cs="Arial"/>
        </w:rPr>
        <w:t>ilitate access for people with disabilities, indicating that at that time there were 23 feeder buses that had a lift. Therefore, the entity indicated that it was not possible to take measures to ensure that the total fleet of feeder buses have ramps for ac</w:t>
      </w:r>
      <w:r w:rsidRPr="002E2EAA">
        <w:rPr>
          <w:rFonts w:ascii="Arial" w:eastAsia="Arial" w:hAnsi="Arial" w:cs="Arial"/>
        </w:rPr>
        <w:t>cess by persons with disabilities, because the contracts indicated otherwise.</w:t>
      </w:r>
      <w:r w:rsidR="00FB5682" w:rsidRPr="002E2EAA">
        <w:rPr>
          <w:rFonts w:ascii="Arial" w:eastAsia="Arial" w:hAnsi="Arial" w:cs="Arial"/>
        </w:rPr>
        <w:t xml:space="preserve"> The MICDPD has received complaints from users with disabilities about the existence of public transportation buses in the corridors in Lima in which the authority installed turnstiles in the entrance passageway as a control mechanism, increasing a serious problem of inaccessibility and danger for persons with disabilities. In </w:t>
      </w:r>
      <w:r w:rsidRPr="002E2EAA">
        <w:rPr>
          <w:rFonts w:ascii="Arial" w:eastAsia="Arial" w:hAnsi="Arial" w:cs="Arial"/>
        </w:rPr>
        <w:t xml:space="preserve">this regard, </w:t>
      </w:r>
      <w:r w:rsidR="00915937" w:rsidRPr="002E2EAA">
        <w:rPr>
          <w:rFonts w:ascii="Arial" w:eastAsia="Arial" w:hAnsi="Arial" w:cs="Arial"/>
        </w:rPr>
        <w:t xml:space="preserve">the MICDPD considers it necessary to recommend to the Peruvian State to </w:t>
      </w:r>
      <w:r w:rsidRPr="002E2EAA">
        <w:rPr>
          <w:rFonts w:ascii="Arial" w:eastAsia="Arial" w:hAnsi="Arial" w:cs="Arial"/>
        </w:rPr>
        <w:t>renegotiate the contr</w:t>
      </w:r>
      <w:r w:rsidRPr="002E2EAA">
        <w:rPr>
          <w:rFonts w:ascii="Arial" w:eastAsia="Arial" w:hAnsi="Arial" w:cs="Arial"/>
        </w:rPr>
        <w:t>acts with the concessionaires, so that all buses are accessible</w:t>
      </w:r>
      <w:r w:rsidR="00915937" w:rsidRPr="002E2EAA">
        <w:rPr>
          <w:rFonts w:ascii="Arial" w:eastAsia="Arial" w:hAnsi="Arial" w:cs="Arial"/>
        </w:rPr>
        <w:t xml:space="preserve">, to refrain from placing barriers such as turnstiles inside the buses and to proceed to their elimination. Likewise, it is recommended that in the future only </w:t>
      </w:r>
      <w:r w:rsidR="003F533D" w:rsidRPr="002E2EAA">
        <w:rPr>
          <w:rFonts w:ascii="Arial" w:eastAsia="Arial" w:hAnsi="Arial" w:cs="Arial"/>
        </w:rPr>
        <w:t xml:space="preserve">buses </w:t>
      </w:r>
      <w:r w:rsidR="00915937" w:rsidRPr="002E2EAA">
        <w:rPr>
          <w:rFonts w:ascii="Arial" w:eastAsia="Arial" w:hAnsi="Arial" w:cs="Arial"/>
        </w:rPr>
        <w:t xml:space="preserve">that are </w:t>
      </w:r>
      <w:r w:rsidR="003F533D" w:rsidRPr="002E2EAA">
        <w:rPr>
          <w:rFonts w:ascii="Arial" w:eastAsia="Arial" w:hAnsi="Arial" w:cs="Arial"/>
        </w:rPr>
        <w:t xml:space="preserve">accessible to </w:t>
      </w:r>
      <w:r w:rsidR="00915937" w:rsidRPr="002E2EAA">
        <w:rPr>
          <w:rFonts w:ascii="Arial" w:eastAsia="Arial" w:hAnsi="Arial" w:cs="Arial"/>
        </w:rPr>
        <w:t xml:space="preserve">people </w:t>
      </w:r>
      <w:r w:rsidR="003F533D" w:rsidRPr="002E2EAA">
        <w:rPr>
          <w:rFonts w:ascii="Arial" w:eastAsia="Arial" w:hAnsi="Arial" w:cs="Arial"/>
        </w:rPr>
        <w:t xml:space="preserve">with disabilities be </w:t>
      </w:r>
      <w:r w:rsidR="00915937" w:rsidRPr="002E2EAA">
        <w:rPr>
          <w:rFonts w:ascii="Arial" w:eastAsia="Arial" w:hAnsi="Arial" w:cs="Arial"/>
        </w:rPr>
        <w:t xml:space="preserve">purchased </w:t>
      </w:r>
      <w:r w:rsidR="003F533D" w:rsidRPr="002E2EAA">
        <w:rPr>
          <w:rFonts w:ascii="Arial" w:eastAsia="Arial" w:hAnsi="Arial" w:cs="Arial"/>
        </w:rPr>
        <w:t>for public transportation.</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terms of public policies, the National Human Rights Plan </w:t>
      </w:r>
      <w:r w:rsidR="00FB5682" w:rsidRPr="002E2EAA">
        <w:rPr>
          <w:rFonts w:ascii="Arial" w:eastAsia="Arial" w:hAnsi="Arial" w:cs="Arial"/>
        </w:rPr>
        <w:t xml:space="preserve">2018-2021 </w:t>
      </w:r>
      <w:r w:rsidRPr="002E2EAA">
        <w:rPr>
          <w:rFonts w:ascii="Arial" w:eastAsia="Arial" w:hAnsi="Arial" w:cs="Arial"/>
        </w:rPr>
        <w:t xml:space="preserve">did not represent further progress on this issue, since the indicators established were restricted to the approval of the National Accessibility Plan and the approval of technical standards referring to the progressive introduction of accessible vehicles. </w:t>
      </w:r>
      <w:r w:rsidRPr="002E2EAA">
        <w:rPr>
          <w:rFonts w:ascii="Arial" w:eastAsia="Arial" w:hAnsi="Arial" w:cs="Arial"/>
        </w:rPr>
        <w:t xml:space="preserve">That is, it was not proposed to achieve a significant change in people's lives beyond the approval of management documents.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For its part, with regard to transportation, the indicators of the National Accessibility Plan 2018-2023 calculate the number of te</w:t>
      </w:r>
      <w:r w:rsidRPr="002E2EAA">
        <w:rPr>
          <w:rFonts w:ascii="Arial" w:eastAsia="Arial" w:hAnsi="Arial" w:cs="Arial"/>
        </w:rPr>
        <w:t>chnical standards, approved projects, among others; however, it would have been important and representative, for example, to measure the number of accessible vehicles that manage to be introduced, or an indicator that allows knowing the number of vehicles</w:t>
      </w:r>
      <w:r w:rsidRPr="002E2EAA">
        <w:rPr>
          <w:rFonts w:ascii="Arial" w:eastAsia="Arial" w:hAnsi="Arial" w:cs="Arial"/>
        </w:rPr>
        <w:t xml:space="preserve"> that are modified to be accessible.</w:t>
      </w:r>
    </w:p>
    <w:p w:rsidR="001004DA" w:rsidRDefault="00933E28">
      <w:pPr>
        <w:pStyle w:val="ListParagraph"/>
        <w:spacing w:before="120" w:after="120" w:line="240" w:lineRule="auto"/>
        <w:ind w:left="0"/>
        <w:contextualSpacing w:val="0"/>
        <w:jc w:val="both"/>
        <w:rPr>
          <w:rFonts w:ascii="Arial" w:eastAsia="Arial" w:hAnsi="Arial" w:cs="Arial"/>
        </w:rPr>
      </w:pPr>
      <w:r w:rsidRPr="002E2EAA">
        <w:rPr>
          <w:rFonts w:ascii="Arial" w:eastAsia="Arial" w:hAnsi="Arial" w:cs="Arial"/>
        </w:rPr>
        <w:t xml:space="preserve">From this, it is concluded that there is not enough commitment to move forward in changing our transportation system and, among other things, necessary actions are still pending such as: </w:t>
      </w:r>
    </w:p>
    <w:p w:rsidR="001004DA" w:rsidRDefault="00933E28">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Renegotiate contracts with concessionaires in the city of Lima, requesting accessibility throughout the transportation system.</w:t>
      </w:r>
    </w:p>
    <w:p w:rsidR="001004DA" w:rsidRDefault="00933E28">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Improve accessibility at urban and interurban transportation stops in all regions, not only those of Line 1 of the Lima Metro, th</w:t>
      </w:r>
      <w:r w:rsidRPr="002E2EAA">
        <w:rPr>
          <w:rFonts w:ascii="Arial" w:eastAsia="Arial" w:hAnsi="Arial" w:cs="Arial"/>
        </w:rPr>
        <w:t>e Metropolitano and complementary corridors in the city of Lima.</w:t>
      </w:r>
    </w:p>
    <w:p w:rsidR="001004DA" w:rsidRDefault="00933E28">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Train transportation personnel in the different regions regarding an inclusive and accessible service for people with disabilities.</w:t>
      </w:r>
    </w:p>
    <w:p w:rsidR="001004DA" w:rsidRDefault="00933E28">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Penalize those companies that do not comply with accessibil</w:t>
      </w:r>
      <w:r w:rsidRPr="002E2EAA">
        <w:rPr>
          <w:rFonts w:ascii="Arial" w:eastAsia="Arial" w:hAnsi="Arial" w:cs="Arial"/>
        </w:rPr>
        <w:t xml:space="preserve">ity requirements. </w:t>
      </w:r>
    </w:p>
    <w:p w:rsidR="001004DA" w:rsidRDefault="00933E28">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 xml:space="preserve">Keep in mind that, in addition to Line 1 of the Lima Metro, the Metropolitano and the corridors in Lima, the other transportation companies, which constitute the vast majority in our country, should also be supervised and sanctioned for </w:t>
      </w:r>
      <w:r w:rsidRPr="002E2EAA">
        <w:rPr>
          <w:rFonts w:ascii="Arial" w:eastAsia="Arial" w:hAnsi="Arial" w:cs="Arial"/>
        </w:rPr>
        <w:t>lack of accessibility.</w:t>
      </w:r>
    </w:p>
    <w:p w:rsidR="007F30C2" w:rsidRPr="002E2EAA" w:rsidRDefault="007F30C2">
      <w:pPr>
        <w:spacing w:before="120" w:after="120" w:line="240" w:lineRule="auto"/>
        <w:ind w:left="360"/>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Accessibility in educational institutions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Ministry of Education (Minedu) includes as a policy a model of inclusive education, which is defined as guaranteeing accessible spaces and environments for all students with disabilities</w:t>
      </w:r>
      <w:r w:rsidRPr="002E2EAA">
        <w:rPr>
          <w:rFonts w:ascii="Arial" w:eastAsia="Arial" w:hAnsi="Arial" w:cs="Arial"/>
        </w:rPr>
        <w:t>, which implies the entrance to the spaces of the institution, the possibility of autonomously orienting and moving through it, as well as the full use of the equipment and furniture</w:t>
      </w:r>
      <w:r w:rsidRPr="002E2EAA">
        <w:rPr>
          <w:rFonts w:ascii="Arial" w:eastAsia="Arial" w:hAnsi="Arial" w:cs="Arial"/>
          <w:vertAlign w:val="superscript"/>
        </w:rPr>
        <w:footnoteReference w:id="12"/>
      </w:r>
      <w:r w:rsidRPr="002E2EAA">
        <w:rPr>
          <w:rFonts w:ascii="Arial" w:eastAsia="Arial" w:hAnsi="Arial" w:cs="Arial"/>
        </w:rPr>
        <w:t xml:space="preserve"> . However, the level of implementation of accessibility in educational i</w:t>
      </w:r>
      <w:r w:rsidRPr="002E2EAA">
        <w:rPr>
          <w:rFonts w:ascii="Arial" w:eastAsia="Arial" w:hAnsi="Arial" w:cs="Arial"/>
        </w:rPr>
        <w:t xml:space="preserve">nstitutions nationwide is still minimal. Thus, in 2018, the Minedu reported </w:t>
      </w:r>
      <w:r w:rsidR="00883601" w:rsidRPr="002E2EAA">
        <w:rPr>
          <w:rFonts w:ascii="Arial" w:eastAsia="Arial" w:hAnsi="Arial" w:cs="Arial"/>
        </w:rPr>
        <w:t xml:space="preserve">to the MICDPD </w:t>
      </w:r>
      <w:r w:rsidRPr="002E2EAA">
        <w:rPr>
          <w:rFonts w:ascii="Arial" w:eastAsia="Arial" w:hAnsi="Arial" w:cs="Arial"/>
        </w:rPr>
        <w:t>that only 0.7% of educational institutions nationwide were fully accessible for persons with disabilities, while 3.2% were partially accessible</w:t>
      </w:r>
      <w:r w:rsidRPr="002E2EAA">
        <w:rPr>
          <w:rFonts w:ascii="Arial" w:eastAsia="Arial" w:hAnsi="Arial" w:cs="Arial"/>
          <w:vertAlign w:val="superscript"/>
        </w:rPr>
        <w:footnoteReference w:id="13"/>
      </w:r>
      <w:r w:rsidRPr="002E2EAA">
        <w:rPr>
          <w:rFonts w:ascii="Arial" w:eastAsia="Arial" w:hAnsi="Arial" w:cs="Arial"/>
        </w:rPr>
        <w:t xml:space="preserv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MICDPD consider</w:t>
      </w:r>
      <w:r w:rsidRPr="002E2EAA">
        <w:rPr>
          <w:rFonts w:ascii="Arial" w:eastAsia="Arial" w:hAnsi="Arial" w:cs="Arial"/>
        </w:rPr>
        <w:t>s that in order to guarantee the right to education it is essential that accessibility takes place in different dimensions, such as non-discrimination in access to and permanence in regular schools; physical accessibility that guarantees that the infrastru</w:t>
      </w:r>
      <w:r w:rsidRPr="002E2EAA">
        <w:rPr>
          <w:rFonts w:ascii="Arial" w:eastAsia="Arial" w:hAnsi="Arial" w:cs="Arial"/>
        </w:rPr>
        <w:t>cture and furniture of the educational institution allow free movement and use by students with disabilities; and economic accessibility and accessibility in communication and information</w:t>
      </w:r>
      <w:r w:rsidRPr="002E2EAA">
        <w:rPr>
          <w:rFonts w:ascii="Arial" w:eastAsia="Arial" w:hAnsi="Arial" w:cs="Arial"/>
          <w:vertAlign w:val="superscript"/>
        </w:rPr>
        <w:footnoteReference w:id="14"/>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The lack of some dimensions of accessibility </w:t>
      </w:r>
      <w:r w:rsidR="00883601" w:rsidRPr="002E2EAA">
        <w:rPr>
          <w:rFonts w:ascii="Arial" w:eastAsia="Arial" w:hAnsi="Arial" w:cs="Arial"/>
        </w:rPr>
        <w:t xml:space="preserve">has an </w:t>
      </w:r>
      <w:r w:rsidRPr="002E2EAA">
        <w:rPr>
          <w:rFonts w:ascii="Arial" w:eastAsia="Arial" w:hAnsi="Arial" w:cs="Arial"/>
        </w:rPr>
        <w:t>impact on th</w:t>
      </w:r>
      <w:r w:rsidRPr="002E2EAA">
        <w:rPr>
          <w:rFonts w:ascii="Arial" w:eastAsia="Arial" w:hAnsi="Arial" w:cs="Arial"/>
        </w:rPr>
        <w:t>e school dropout rate of students with disabilities, which in 2017 reached 6.1% in primary and 6.3% in secondary; while, with respect to the population without disabilities, the dropout rate was 2.2% in primary and 4.5% in secondary</w:t>
      </w:r>
      <w:r w:rsidRPr="002E2EAA">
        <w:rPr>
          <w:rFonts w:ascii="Arial" w:eastAsia="Arial" w:hAnsi="Arial" w:cs="Arial"/>
          <w:vertAlign w:val="superscript"/>
        </w:rPr>
        <w:footnoteReference w:id="15"/>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On the other hand, </w:t>
      </w:r>
      <w:r w:rsidRPr="002E2EAA">
        <w:rPr>
          <w:rFonts w:ascii="Arial" w:eastAsia="Arial" w:hAnsi="Arial" w:cs="Arial"/>
        </w:rPr>
        <w:t>in the context of the Covid-19 health emergency, the MICDPD corroborated that there are still accessibility barriers that limit the exercise of the right to education of persons with disabilities</w:t>
      </w:r>
      <w:r w:rsidRPr="002E2EAA">
        <w:rPr>
          <w:rStyle w:val="FootnoteReference"/>
          <w:rFonts w:ascii="Arial" w:eastAsia="Arial" w:hAnsi="Arial" w:cs="Arial"/>
        </w:rPr>
        <w:footnoteReference w:id="16"/>
      </w:r>
      <w:r w:rsidRPr="002E2EAA">
        <w:rPr>
          <w:rFonts w:ascii="Arial" w:eastAsia="Arial" w:hAnsi="Arial" w:cs="Arial"/>
        </w:rPr>
        <w:t xml:space="preserve"> . In 2020, regarding accessibility to non-presential educat</w:t>
      </w:r>
      <w:r w:rsidRPr="002E2EAA">
        <w:rPr>
          <w:rFonts w:ascii="Arial" w:eastAsia="Arial" w:hAnsi="Arial" w:cs="Arial"/>
        </w:rPr>
        <w:t>ion through technological devices and platforms for the teaching and learning process, it was evidenced that during the first three weeks of the implementation of the "I learn at home" strategy, the broadcasting of educational programs transmitted on telev</w:t>
      </w:r>
      <w:r w:rsidRPr="002E2EAA">
        <w:rPr>
          <w:rFonts w:ascii="Arial" w:eastAsia="Arial" w:hAnsi="Arial" w:cs="Arial"/>
        </w:rPr>
        <w:t>ision omitted sign language interpretation, affecting the right to education of deaf students. Likewise, barriers were identified for other students with sensory disabilities; for example, the lack of image description of educational materials affected stu</w:t>
      </w:r>
      <w:r w:rsidRPr="002E2EAA">
        <w:rPr>
          <w:rFonts w:ascii="Arial" w:eastAsia="Arial" w:hAnsi="Arial" w:cs="Arial"/>
        </w:rPr>
        <w:t>dents with visual disabilities, as they did not have complete information when using PDF document reading programs.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On the other hand, although </w:t>
      </w:r>
      <w:r w:rsidRPr="002E2EAA">
        <w:rPr>
          <w:rFonts w:ascii="Arial" w:eastAsia="Arial" w:hAnsi="Arial" w:cs="Arial"/>
          <w:i/>
        </w:rPr>
        <w:t xml:space="preserve">tablets </w:t>
      </w:r>
      <w:r w:rsidRPr="002E2EAA">
        <w:rPr>
          <w:rFonts w:ascii="Arial" w:eastAsia="Arial" w:hAnsi="Arial" w:cs="Arial"/>
        </w:rPr>
        <w:t xml:space="preserve">were provided </w:t>
      </w:r>
      <w:r w:rsidRPr="002E2EAA">
        <w:rPr>
          <w:rFonts w:ascii="Arial" w:eastAsia="Arial" w:hAnsi="Arial" w:cs="Arial"/>
        </w:rPr>
        <w:t>to students in areas where the greatest barriers to access to non-classroom education were identified, these devices were not delivered on time, affecting students with disabilities and other more vulnerable groups.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the year 2022, the return to face-to-</w:t>
      </w:r>
      <w:r w:rsidRPr="002E2EAA">
        <w:rPr>
          <w:rFonts w:ascii="Arial" w:eastAsia="Arial" w:hAnsi="Arial" w:cs="Arial"/>
        </w:rPr>
        <w:t>face classes was established. The Minedu adopted measures for the identification of access gaps for people with disabilities in the educational system, as recommended by the Ombudsman's Office in the Ombudsman Report No. 183</w:t>
      </w:r>
      <w:r w:rsidRPr="002E2EAA">
        <w:rPr>
          <w:rStyle w:val="FootnoteReference"/>
          <w:rFonts w:ascii="Arial" w:eastAsia="Arial" w:hAnsi="Arial" w:cs="Arial"/>
        </w:rPr>
        <w:footnoteReference w:id="17"/>
      </w:r>
      <w:r w:rsidRPr="002E2EAA">
        <w:rPr>
          <w:rFonts w:ascii="Arial" w:eastAsia="Arial" w:hAnsi="Arial" w:cs="Arial"/>
        </w:rPr>
        <w:t xml:space="preserve"> . It also provided a flexible </w:t>
      </w:r>
      <w:r w:rsidRPr="002E2EAA">
        <w:rPr>
          <w:rFonts w:ascii="Arial" w:eastAsia="Arial" w:hAnsi="Arial" w:cs="Arial"/>
        </w:rPr>
        <w:t>regulatory framework that was updated according to the evolution of the pandemic to ensure the safe return to classes of students with disabilities. The MICDPD conducted a national monitoring on the safe return to classes of students with disabilities at t</w:t>
      </w:r>
      <w:r w:rsidRPr="002E2EAA">
        <w:rPr>
          <w:rFonts w:ascii="Arial" w:eastAsia="Arial" w:hAnsi="Arial" w:cs="Arial"/>
        </w:rPr>
        <w:t>he regular basic education and university level</w:t>
      </w:r>
      <w:r w:rsidR="00883601" w:rsidRPr="002E2EAA">
        <w:rPr>
          <w:rFonts w:ascii="Arial" w:eastAsia="Arial" w:hAnsi="Arial" w:cs="Arial"/>
        </w:rPr>
        <w:t xml:space="preserve">. </w:t>
      </w:r>
    </w:p>
    <w:p w:rsidR="001004DA" w:rsidRDefault="00933E28">
      <w:pPr>
        <w:spacing w:before="120" w:after="120" w:line="240" w:lineRule="auto"/>
        <w:jc w:val="both"/>
        <w:rPr>
          <w:rFonts w:ascii="Arial" w:hAnsi="Arial" w:cs="Arial"/>
        </w:rPr>
      </w:pPr>
      <w:r w:rsidRPr="002E2EAA">
        <w:rPr>
          <w:rFonts w:ascii="Arial" w:hAnsi="Arial" w:cs="Arial"/>
        </w:rPr>
        <w:t>The MICDPD considers it necessary to recommend to the Peruvian State to design in the short term an Accessibility Plan for the infrastructure of educational institutions, prioritizing the intervention in cl</w:t>
      </w:r>
      <w:r w:rsidRPr="002E2EAA">
        <w:rPr>
          <w:rFonts w:ascii="Arial" w:hAnsi="Arial" w:cs="Arial"/>
        </w:rPr>
        <w:t xml:space="preserve">assrooms, toilets, playgrounds and outdoor spaces for common use to ensure the enjoyment of the right to accessibility of students with disabilities. </w:t>
      </w:r>
    </w:p>
    <w:p w:rsidR="0004509B" w:rsidRPr="002E2EAA" w:rsidRDefault="0004509B" w:rsidP="0004509B">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Accessibility to the Judicial Branch</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2018, the Judiciary issued the Protocol of Judicial Attention fo</w:t>
      </w:r>
      <w:r w:rsidRPr="002E2EAA">
        <w:rPr>
          <w:rFonts w:ascii="Arial" w:eastAsia="Arial" w:hAnsi="Arial" w:cs="Arial"/>
        </w:rPr>
        <w:t>r Persons with Disabilities, which establishes guidelines for action that guide the recognition of their legal capacity, as well as the necessary implementation of support that respects their autonomy, dignity, the manifestation of their will and preferenc</w:t>
      </w:r>
      <w:r w:rsidRPr="002E2EAA">
        <w:rPr>
          <w:rFonts w:ascii="Arial" w:eastAsia="Arial" w:hAnsi="Arial" w:cs="Arial"/>
        </w:rPr>
        <w:t>es</w:t>
      </w:r>
      <w:r w:rsidRPr="002E2EAA">
        <w:rPr>
          <w:rFonts w:ascii="Arial" w:eastAsia="Arial" w:hAnsi="Arial" w:cs="Arial"/>
          <w:vertAlign w:val="superscript"/>
        </w:rPr>
        <w:footnoteReference w:id="18"/>
      </w:r>
      <w:r w:rsidRPr="002E2EAA">
        <w:rPr>
          <w:rFonts w:ascii="Arial" w:eastAsia="Arial" w:hAnsi="Arial" w:cs="Arial"/>
        </w:rPr>
        <w:t xml:space="preserve"> . Also noteworthy are the measures contained in the document to ensure physical accessibility to the facilities of the judicial headquarters; the preparation of a special module without waiting time; courtrooms with special conditions and adaptation of</w:t>
      </w:r>
      <w:r w:rsidRPr="002E2EAA">
        <w:rPr>
          <w:rFonts w:ascii="Arial" w:eastAsia="Arial" w:hAnsi="Arial" w:cs="Arial"/>
        </w:rPr>
        <w:t xml:space="preserve"> the environment; an alert system in the Judicial Information System on the condition of persons with disabilities, among others.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However, although the Protocol is in force for all the Superior Courts of Justice in the country, it is necessary to reinforce its dissemination within the same institution, since its effective implementation is not yet ensured in all of them. Among the as</w:t>
      </w:r>
      <w:r w:rsidRPr="002E2EAA">
        <w:rPr>
          <w:rFonts w:ascii="Arial" w:eastAsia="Arial" w:hAnsi="Arial" w:cs="Arial"/>
        </w:rPr>
        <w:t>pects required to achieve this, the budget allocation and the provision of a system for monitoring and evaluating compliance with the provisions of the document stand out. It is also important to provide the necessary training for justice operators.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w:t>
      </w:r>
      <w:r w:rsidRPr="002E2EAA">
        <w:rPr>
          <w:rFonts w:ascii="Arial" w:eastAsia="Arial" w:hAnsi="Arial" w:cs="Arial"/>
        </w:rPr>
        <w:t xml:space="preserve"> other hand, the structural discrimination suffered by persons with disabilities limits their use and enjoyment of new information and communication technologies (ICTs), a situation that has a negative impact on the exercise of this population's fundamenta</w:t>
      </w:r>
      <w:r w:rsidRPr="002E2EAA">
        <w:rPr>
          <w:rFonts w:ascii="Arial" w:eastAsia="Arial" w:hAnsi="Arial" w:cs="Arial"/>
        </w:rPr>
        <w:t xml:space="preserve">l right of access to </w:t>
      </w:r>
      <w:r w:rsidR="00177055" w:rsidRPr="002E2EAA">
        <w:rPr>
          <w:rFonts w:ascii="Arial" w:eastAsia="Arial" w:hAnsi="Arial" w:cs="Arial"/>
        </w:rPr>
        <w:t>justice.</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use of ICTs in the administration of digital justice must take into consideration the components of the fundamental right of access to justice, such as: accessibility, availability, adaptability and quality, as well as the</w:t>
      </w:r>
      <w:r w:rsidRPr="002E2EAA">
        <w:rPr>
          <w:rFonts w:ascii="Arial" w:eastAsia="Arial" w:hAnsi="Arial" w:cs="Arial"/>
        </w:rPr>
        <w:t xml:space="preserve"> international principles and guidelines for access to justice for persons with disabilities. Its non-observance </w:t>
      </w:r>
      <w:r w:rsidR="00177055" w:rsidRPr="002E2EAA">
        <w:rPr>
          <w:rFonts w:ascii="Arial" w:eastAsia="Arial" w:hAnsi="Arial" w:cs="Arial"/>
        </w:rPr>
        <w:t xml:space="preserve">affects and relegates </w:t>
      </w:r>
      <w:r w:rsidRPr="002E2EAA">
        <w:rPr>
          <w:rFonts w:ascii="Arial" w:eastAsia="Arial" w:hAnsi="Arial" w:cs="Arial"/>
        </w:rPr>
        <w:t xml:space="preserve">persons with disabilities, generating new barriers that violate </w:t>
      </w:r>
      <w:r w:rsidR="00177055" w:rsidRPr="002E2EAA">
        <w:rPr>
          <w:rFonts w:ascii="Arial" w:eastAsia="Arial" w:hAnsi="Arial" w:cs="Arial"/>
        </w:rPr>
        <w:t xml:space="preserve">their </w:t>
      </w:r>
      <w:r w:rsidRPr="002E2EAA">
        <w:rPr>
          <w:rFonts w:ascii="Arial" w:eastAsia="Arial" w:hAnsi="Arial" w:cs="Arial"/>
        </w:rPr>
        <w:t>right of access to justice.</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Digital Government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terms of accessibility in communications, the Presidency of the Council of Ministers (PCM) approved the Plan for the Development of the Information Society in Peru, the Peruvian Digital Agenda 2.0</w:t>
      </w:r>
      <w:r w:rsidRPr="002E2EAA">
        <w:rPr>
          <w:rFonts w:ascii="Arial" w:eastAsia="Arial" w:hAnsi="Arial" w:cs="Arial"/>
          <w:vertAlign w:val="superscript"/>
        </w:rPr>
        <w:footnoteReference w:id="19"/>
      </w:r>
      <w:r w:rsidRPr="002E2EAA">
        <w:rPr>
          <w:rFonts w:ascii="Arial" w:eastAsia="Arial" w:hAnsi="Arial" w:cs="Arial"/>
        </w:rPr>
        <w:t xml:space="preserve"> , which contemplates that printed and electronic inform</w:t>
      </w:r>
      <w:r w:rsidRPr="002E2EAA">
        <w:rPr>
          <w:rFonts w:ascii="Arial" w:eastAsia="Arial" w:hAnsi="Arial" w:cs="Arial"/>
        </w:rPr>
        <w:t xml:space="preserve">ation and communications, technology and information and communications services offered to the population should be fully accessible to people with disabilities.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Along these lines, it was established that one of the transversal axes of the State's Public</w:t>
      </w:r>
      <w:r w:rsidRPr="002E2EAA">
        <w:rPr>
          <w:rFonts w:ascii="Arial" w:eastAsia="Arial" w:hAnsi="Arial" w:cs="Arial"/>
        </w:rPr>
        <w:t xml:space="preserve"> Modernization Policy would be Open Government, which seeks to promote participation and access to information for all citizens</w:t>
      </w:r>
      <w:r w:rsidRPr="002E2EAA">
        <w:rPr>
          <w:rStyle w:val="FootnoteReference"/>
          <w:rFonts w:ascii="Arial" w:eastAsia="Arial" w:hAnsi="Arial" w:cs="Arial"/>
        </w:rPr>
        <w:footnoteReference w:id="20"/>
      </w:r>
      <w:r w:rsidRPr="002E2EAA">
        <w:rPr>
          <w:rFonts w:ascii="Arial" w:eastAsia="Arial" w:hAnsi="Arial" w:cs="Arial"/>
        </w:rPr>
        <w:t xml:space="preserve"> . Therefore, the Single Digital Platform of the Peruvian State (www.gob.pe) was created. However, despite the time elapsed, the</w:t>
      </w:r>
      <w:r w:rsidRPr="002E2EAA">
        <w:rPr>
          <w:rFonts w:ascii="Arial" w:eastAsia="Arial" w:hAnsi="Arial" w:cs="Arial"/>
        </w:rPr>
        <w:t xml:space="preserve"> full implementation of this initiative has not yet been ensured, and it is not accessible to all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addition to the above, the different sectors have not modified their internal regulatory documents in order to implement the gui</w:t>
      </w:r>
      <w:r w:rsidRPr="002E2EAA">
        <w:rPr>
          <w:rFonts w:ascii="Arial" w:eastAsia="Arial" w:hAnsi="Arial" w:cs="Arial"/>
        </w:rPr>
        <w:t xml:space="preserve">delines that would allow the development of the e-government strategic plans, that is, to make the reform effective.   </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Equal recognition as a person before the law (Article 12).</w:t>
      </w:r>
    </w:p>
    <w:p w:rsidR="001004DA" w:rsidRDefault="00933E28">
      <w:pPr>
        <w:pStyle w:val="Heading1"/>
        <w:numPr>
          <w:ilvl w:val="2"/>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i/>
          <w:color w:val="auto"/>
          <w:sz w:val="22"/>
          <w:szCs w:val="22"/>
        </w:rPr>
        <w:t>Observations regarding Legislative Decree No. 1384</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September 4, 2018, aft</w:t>
      </w:r>
      <w:r w:rsidRPr="002E2EAA">
        <w:rPr>
          <w:rFonts w:ascii="Arial" w:eastAsia="Arial" w:hAnsi="Arial" w:cs="Arial"/>
        </w:rPr>
        <w:t>er years of direct work by organizations of persons with disabilities, as well as the MICDPD</w:t>
      </w:r>
      <w:r w:rsidRPr="002E2EAA">
        <w:rPr>
          <w:rStyle w:val="FootnoteReference"/>
          <w:rFonts w:ascii="Arial" w:eastAsia="Arial" w:hAnsi="Arial" w:cs="Arial"/>
        </w:rPr>
        <w:footnoteReference w:id="21"/>
      </w:r>
      <w:r w:rsidRPr="002E2EAA">
        <w:rPr>
          <w:rFonts w:ascii="Arial" w:eastAsia="Arial" w:hAnsi="Arial" w:cs="Arial"/>
        </w:rPr>
        <w:t xml:space="preserve"> , it was achieved that the Peruvian State recognizes the legal capacity of persons with psychosocial and intellectual disabilities, for whom civil interdiction an</w:t>
      </w:r>
      <w:r w:rsidRPr="002E2EAA">
        <w:rPr>
          <w:rFonts w:ascii="Arial" w:eastAsia="Arial" w:hAnsi="Arial" w:cs="Arial"/>
        </w:rPr>
        <w:t xml:space="preserve">d curatorship were eliminated. This was the result of the publication of Legislative Decree No. 1384, which amends the Civil Code, the Civil Procedure Code and the Notary Law, regarding the recognition of the legal capacity of persons with disabilities.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w:t>
      </w:r>
      <w:r w:rsidRPr="002E2EAA">
        <w:rPr>
          <w:rFonts w:ascii="Arial" w:eastAsia="Arial" w:hAnsi="Arial" w:cs="Arial"/>
        </w:rPr>
        <w:t>lthough Legislative Decree No. 1384 represents an important and necessary advance in the defense of the rights of persons with disabilities, the MICDPD sent observations to the MINJUSDH regarding the following aspects:</w:t>
      </w:r>
    </w:p>
    <w:p w:rsidR="001004DA" w:rsidRDefault="00933E28">
      <w:pPr>
        <w:numPr>
          <w:ilvl w:val="0"/>
          <w:numId w:val="2"/>
        </w:numPr>
        <w:spacing w:before="120" w:after="120" w:line="240" w:lineRule="auto"/>
        <w:jc w:val="both"/>
        <w:rPr>
          <w:rFonts w:ascii="Arial" w:eastAsia="Arial" w:hAnsi="Arial" w:cs="Arial"/>
        </w:rPr>
      </w:pPr>
      <w:r w:rsidRPr="002E2EAA">
        <w:rPr>
          <w:rFonts w:ascii="Arial" w:eastAsia="Arial" w:hAnsi="Arial" w:cs="Arial"/>
        </w:rPr>
        <w:t>The CRPD recognizes the legal capacit</w:t>
      </w:r>
      <w:r w:rsidRPr="002E2EAA">
        <w:rPr>
          <w:rFonts w:ascii="Arial" w:eastAsia="Arial" w:hAnsi="Arial" w:cs="Arial"/>
        </w:rPr>
        <w:t>y of persons with disabilities without exceptions. However, Legislative Decree No. 1384 still continues to restrict the capacity to exercise to some persons, including those referred to by the Civil Code as habitual drunkards and drug addicts</w:t>
      </w:r>
      <w:r w:rsidRPr="002E2EAA">
        <w:rPr>
          <w:rStyle w:val="FootnoteReference"/>
          <w:rFonts w:ascii="Arial" w:eastAsia="Arial" w:hAnsi="Arial" w:cs="Arial"/>
        </w:rPr>
        <w:footnoteReference w:id="22"/>
      </w:r>
      <w:r w:rsidRPr="002E2EAA">
        <w:rPr>
          <w:rFonts w:ascii="Arial" w:eastAsia="Arial" w:hAnsi="Arial" w:cs="Arial"/>
        </w:rPr>
        <w:t xml:space="preserve"> , unless the</w:t>
      </w:r>
      <w:r w:rsidRPr="002E2EAA">
        <w:rPr>
          <w:rFonts w:ascii="Arial" w:eastAsia="Arial" w:hAnsi="Arial" w:cs="Arial"/>
        </w:rPr>
        <w:t>y prove their disability status with the disability certificate</w:t>
      </w:r>
      <w:r w:rsidRPr="002E2EAA">
        <w:rPr>
          <w:rStyle w:val="FootnoteReference"/>
          <w:rFonts w:ascii="Arial" w:eastAsia="Arial" w:hAnsi="Arial" w:cs="Arial"/>
        </w:rPr>
        <w:footnoteReference w:id="23"/>
      </w:r>
      <w:r w:rsidRPr="002E2EAA">
        <w:rPr>
          <w:rFonts w:ascii="Arial" w:eastAsia="Arial" w:hAnsi="Arial" w:cs="Arial"/>
        </w:rPr>
        <w:t xml:space="preserve"> .</w:t>
      </w:r>
    </w:p>
    <w:p w:rsidR="001004DA" w:rsidRDefault="00933E28">
      <w:pPr>
        <w:spacing w:before="120" w:after="120" w:line="240" w:lineRule="auto"/>
        <w:ind w:left="720"/>
        <w:jc w:val="both"/>
        <w:rPr>
          <w:rFonts w:ascii="Arial" w:eastAsia="Arial" w:hAnsi="Arial" w:cs="Arial"/>
        </w:rPr>
      </w:pPr>
      <w:r w:rsidRPr="002E2EAA">
        <w:rPr>
          <w:rFonts w:ascii="Arial" w:eastAsia="Arial" w:hAnsi="Arial" w:cs="Arial"/>
        </w:rPr>
        <w:t xml:space="preserve">It was recalled that the Committee on the Rights of Persons with Disabilities has referred to persons with drug or alcohol dependence as "persons with a perceived disability", which is why </w:t>
      </w:r>
      <w:r w:rsidRPr="002E2EAA">
        <w:rPr>
          <w:rFonts w:ascii="Arial" w:eastAsia="Arial" w:hAnsi="Arial" w:cs="Arial"/>
        </w:rPr>
        <w:t>they are protected by the CRPD</w:t>
      </w:r>
      <w:r w:rsidRPr="002E2EAA">
        <w:rPr>
          <w:rFonts w:ascii="Arial" w:hAnsi="Arial" w:cs="Arial"/>
          <w:vertAlign w:val="superscript"/>
        </w:rPr>
        <w:footnoteReference w:id="24"/>
      </w:r>
      <w:r w:rsidRPr="002E2EAA">
        <w:rPr>
          <w:rFonts w:ascii="Arial" w:eastAsia="Arial" w:hAnsi="Arial" w:cs="Arial"/>
        </w:rPr>
        <w:t xml:space="preserve"> . In this regard, attention was drawn to the existence of two parallel figures, that of civil interdiction for certain cases and that of the support system for others.</w:t>
      </w:r>
    </w:p>
    <w:p w:rsidR="001004DA" w:rsidRDefault="00933E28">
      <w:pPr>
        <w:pStyle w:val="ListParagraph"/>
        <w:numPr>
          <w:ilvl w:val="0"/>
          <w:numId w:val="1"/>
        </w:numPr>
        <w:spacing w:before="120" w:after="120" w:line="240" w:lineRule="auto"/>
        <w:contextualSpacing w:val="0"/>
        <w:jc w:val="both"/>
        <w:rPr>
          <w:rFonts w:ascii="Arial" w:eastAsia="Arial" w:hAnsi="Arial" w:cs="Arial"/>
        </w:rPr>
      </w:pPr>
      <w:r w:rsidRPr="002E2EAA">
        <w:rPr>
          <w:rFonts w:ascii="Arial" w:eastAsia="Arial" w:hAnsi="Arial" w:cs="Arial"/>
        </w:rPr>
        <w:t>It is established that persons with disabilities may res</w:t>
      </w:r>
      <w:r w:rsidRPr="002E2EAA">
        <w:rPr>
          <w:rFonts w:ascii="Arial" w:eastAsia="Arial" w:hAnsi="Arial" w:cs="Arial"/>
        </w:rPr>
        <w:t xml:space="preserve">ort to judicial or notarial proceedings to designate supports and safeguards. In the case of persons with disabilities who cannot express their will, only the judicial process may be used. However, it was noted that Legislative Decree No. 1384 establishes </w:t>
      </w:r>
      <w:r w:rsidRPr="002E2EAA">
        <w:rPr>
          <w:rFonts w:ascii="Arial" w:eastAsia="Arial" w:hAnsi="Arial" w:cs="Arial"/>
        </w:rPr>
        <w:t>that a certificate of disability must be presented in order to access the judicial process</w:t>
      </w:r>
      <w:r w:rsidRPr="002E2EAA">
        <w:rPr>
          <w:rStyle w:val="FootnoteReference"/>
          <w:rFonts w:ascii="Arial" w:eastAsia="Arial" w:hAnsi="Arial" w:cs="Arial"/>
        </w:rPr>
        <w:footnoteReference w:id="25"/>
      </w:r>
      <w:r w:rsidRPr="002E2EAA">
        <w:rPr>
          <w:rFonts w:ascii="Arial" w:eastAsia="Arial" w:hAnsi="Arial" w:cs="Arial"/>
        </w:rPr>
        <w:t xml:space="preserve"> . </w:t>
      </w:r>
    </w:p>
    <w:p w:rsidR="001004DA" w:rsidRDefault="00933E28">
      <w:pPr>
        <w:pStyle w:val="ListParagraph"/>
        <w:spacing w:before="120" w:after="120" w:line="240" w:lineRule="auto"/>
        <w:ind w:left="735"/>
        <w:contextualSpacing w:val="0"/>
        <w:jc w:val="both"/>
        <w:rPr>
          <w:rFonts w:ascii="Arial" w:eastAsia="Arial" w:hAnsi="Arial" w:cs="Arial"/>
        </w:rPr>
      </w:pPr>
      <w:r w:rsidRPr="002E2EAA">
        <w:rPr>
          <w:rFonts w:ascii="Arial" w:eastAsia="Arial" w:hAnsi="Arial" w:cs="Arial"/>
        </w:rPr>
        <w:t xml:space="preserve">In this regard, it was recalled that according to the results of the first National Specialized Survey on Disability-Enedis 2012, only 7% of the total number of people with disabilities have such certificate. </w:t>
      </w:r>
      <w:r w:rsidR="0068117D" w:rsidRPr="002E2EAA">
        <w:rPr>
          <w:rFonts w:ascii="Arial" w:eastAsia="Arial" w:hAnsi="Arial" w:cs="Arial"/>
        </w:rPr>
        <w:t xml:space="preserve">It should be noted that according to the current technical standard, the issuance of the disability certificate includes an evaluation under the medical rehabilitation model and not only under the social and rights model. In practice, disability certificates are issued only with the evaluation under the medical rehabilitation model. </w:t>
      </w:r>
      <w:r w:rsidRPr="002E2EAA">
        <w:rPr>
          <w:rFonts w:ascii="Arial" w:eastAsia="Arial" w:hAnsi="Arial" w:cs="Arial"/>
        </w:rPr>
        <w:t xml:space="preserve">In this sense, requiring the presentation of </w:t>
      </w:r>
      <w:r w:rsidR="009152BF" w:rsidRPr="002E2EAA">
        <w:rPr>
          <w:rFonts w:ascii="Arial" w:eastAsia="Arial" w:hAnsi="Arial" w:cs="Arial"/>
        </w:rPr>
        <w:t xml:space="preserve">this document becomes </w:t>
      </w:r>
      <w:r w:rsidR="0068117D" w:rsidRPr="002E2EAA">
        <w:rPr>
          <w:rFonts w:ascii="Arial" w:eastAsia="Arial" w:hAnsi="Arial" w:cs="Arial"/>
        </w:rPr>
        <w:t xml:space="preserve">a barrier that hinders the designation of support, </w:t>
      </w:r>
      <w:r w:rsidRPr="002E2EAA">
        <w:rPr>
          <w:rFonts w:ascii="Arial" w:eastAsia="Arial" w:hAnsi="Arial" w:cs="Arial"/>
        </w:rPr>
        <w:t xml:space="preserve">safeguards </w:t>
      </w:r>
      <w:r w:rsidR="0068117D" w:rsidRPr="002E2EAA">
        <w:rPr>
          <w:rFonts w:ascii="Arial" w:eastAsia="Arial" w:hAnsi="Arial" w:cs="Arial"/>
        </w:rPr>
        <w:t>and the exercise of rights</w:t>
      </w:r>
      <w:r w:rsidRPr="002E2EAA">
        <w:rPr>
          <w:rFonts w:ascii="Arial" w:eastAsia="Arial" w:hAnsi="Arial" w:cs="Arial"/>
        </w:rPr>
        <w:t>.</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situation of persons with disabilities in the process of civil interdiction or with a final sentence was clarified by the publication of the Regulations for Transition to the Support System prepared by the Judiciary, a document that took into account t</w:t>
      </w:r>
      <w:r w:rsidRPr="002E2EAA">
        <w:rPr>
          <w:rFonts w:ascii="Arial" w:eastAsia="Arial" w:hAnsi="Arial" w:cs="Arial"/>
        </w:rPr>
        <w:t>he recommendations of the MICDPD</w:t>
      </w:r>
      <w:r w:rsidRPr="002E2EAA">
        <w:rPr>
          <w:rStyle w:val="FootnoteReference"/>
          <w:rFonts w:ascii="Arial" w:eastAsia="Arial" w:hAnsi="Arial" w:cs="Arial"/>
        </w:rPr>
        <w:footnoteReference w:id="26"/>
      </w:r>
      <w:r w:rsidRPr="002E2EAA">
        <w:rPr>
          <w:rFonts w:ascii="Arial" w:eastAsia="Arial" w:hAnsi="Arial" w:cs="Arial"/>
        </w:rPr>
        <w:t xml:space="preserve"> . It should be pointed out that, according to information provided by the National Superintendence of Public Registries (Sunarp), there are 9293 persons with registration of civil interdiction and appointment of a guardian</w:t>
      </w:r>
      <w:r w:rsidRPr="002E2EAA">
        <w:rPr>
          <w:rStyle w:val="FootnoteReference"/>
          <w:rFonts w:ascii="Arial" w:eastAsia="Arial" w:hAnsi="Arial" w:cs="Arial"/>
        </w:rPr>
        <w:footnoteReference w:id="27"/>
      </w:r>
      <w:r w:rsidRPr="002E2EAA">
        <w:rPr>
          <w:rFonts w:ascii="Arial" w:eastAsia="Arial" w:hAnsi="Arial" w:cs="Arial"/>
        </w:rPr>
        <w:t xml:space="preserv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Subsequently, on August 25, 2019, in compliance with the First Final Complementary Provision of Legislative Decree No. 1384, Supreme Decree No. 016-2019-MIMP was published, which approves the Regulation that regulates the granting of reasonable accommo</w:t>
      </w:r>
      <w:r w:rsidRPr="002E2EAA">
        <w:rPr>
          <w:rFonts w:ascii="Arial" w:eastAsia="Arial" w:hAnsi="Arial" w:cs="Arial"/>
        </w:rPr>
        <w:t>dations, designation of supports and implementation of safeguards for the exercise of legal capacity of persons with disabilities. In this regulation, the requirement to present a legalized disability certificate to request support and safeguards in the ju</w:t>
      </w:r>
      <w:r w:rsidRPr="002E2EAA">
        <w:rPr>
          <w:rFonts w:ascii="Arial" w:eastAsia="Arial" w:hAnsi="Arial" w:cs="Arial"/>
        </w:rPr>
        <w:t>dicial process prevails.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view of the above, </w:t>
      </w:r>
      <w:r w:rsidR="009152BF" w:rsidRPr="002E2EAA">
        <w:rPr>
          <w:rFonts w:ascii="Arial" w:eastAsia="Arial" w:hAnsi="Arial" w:cs="Arial"/>
        </w:rPr>
        <w:t xml:space="preserve">the </w:t>
      </w:r>
      <w:r w:rsidRPr="002E2EAA">
        <w:rPr>
          <w:rFonts w:ascii="Arial" w:eastAsia="Arial" w:hAnsi="Arial" w:cs="Arial"/>
        </w:rPr>
        <w:t>MICDPD requests the Committee on the Rights of Persons with Disabilities to urge the Peruvian State to modify the internal regulations in force that contravene the CRPD as soon as possible, including those</w:t>
      </w:r>
      <w:r w:rsidRPr="002E2EAA">
        <w:rPr>
          <w:rFonts w:ascii="Arial" w:eastAsia="Arial" w:hAnsi="Arial" w:cs="Arial"/>
        </w:rPr>
        <w:t xml:space="preserve"> articles of Legislative Decree No. 1384 that violate the rights of persons with perceived disabilities. It also requests that the Peruvian State be urged to continue advancing in the recognition of the rights of persons with disabilities. Likewise, the ne</w:t>
      </w:r>
      <w:r w:rsidRPr="002E2EAA">
        <w:rPr>
          <w:rFonts w:ascii="Arial" w:eastAsia="Arial" w:hAnsi="Arial" w:cs="Arial"/>
        </w:rPr>
        <w:t>cessary measures should be adopted to guarantee the restitution of the legal capacity of persons with disabilities who have a civil interdiction sentence and the appointment of a guardian registered in the records of the Sunarp.</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Observations on Legislativ</w:t>
      </w:r>
      <w:r w:rsidRPr="002E2EAA">
        <w:rPr>
          <w:rFonts w:ascii="Arial" w:eastAsia="Arial" w:hAnsi="Arial" w:cs="Arial"/>
          <w:b/>
          <w:i/>
        </w:rPr>
        <w:t>e Decree No. 1310</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Another regulation that merited the presentation of observations by the MICDPD was Article 4 of Legislative Decree No. 1310, in force since December 31, 2016, which incorporated numeral 11) to Article 1 of Law No. 26662, Law on Notarial C</w:t>
      </w:r>
      <w:r w:rsidRPr="002E2EAA">
        <w:rPr>
          <w:rFonts w:ascii="Arial" w:eastAsia="Arial" w:hAnsi="Arial" w:cs="Arial"/>
        </w:rPr>
        <w:t>ompetence in Non-contentious Matters, which empowers the interdiction of senior citizens for pension purposes and refund of money from the National Housing Fund (Fonavi).</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this regard, the aforementioned decree created the legal figure of a special guard</w:t>
      </w:r>
      <w:r w:rsidRPr="002E2EAA">
        <w:rPr>
          <w:rFonts w:ascii="Arial" w:eastAsia="Arial" w:hAnsi="Arial" w:cs="Arial"/>
        </w:rPr>
        <w:t>ian for elderly persons with pensions receivable. It was recommended that this figure be eliminated because it contravened Article 12 of the CRPD and did not guarantee support in decision-making</w:t>
      </w:r>
      <w:r w:rsidRPr="002E2EAA">
        <w:rPr>
          <w:rStyle w:val="FootnoteReference"/>
          <w:rFonts w:ascii="Arial" w:eastAsia="Arial" w:hAnsi="Arial" w:cs="Arial"/>
        </w:rPr>
        <w:footnoteReference w:id="28"/>
      </w:r>
      <w:r w:rsidRPr="002E2EAA">
        <w:rPr>
          <w:rFonts w:ascii="Arial" w:eastAsia="Arial" w:hAnsi="Arial" w:cs="Arial"/>
        </w:rPr>
        <w:t xml:space="preserve"> . Instead, it was recommended that the elderly be allowed to</w:t>
      </w:r>
      <w:r w:rsidRPr="002E2EAA">
        <w:rPr>
          <w:rFonts w:ascii="Arial" w:eastAsia="Arial" w:hAnsi="Arial" w:cs="Arial"/>
        </w:rPr>
        <w:t xml:space="preserve"> collect money through the designation of trusted supporters, before a notary public or the Judiciary.</w:t>
      </w:r>
    </w:p>
    <w:p w:rsidR="001004DA" w:rsidRDefault="00933E28">
      <w:pPr>
        <w:spacing w:before="120" w:after="120" w:line="240" w:lineRule="auto"/>
        <w:jc w:val="both"/>
        <w:rPr>
          <w:rFonts w:ascii="Arial" w:eastAsia="Arial" w:hAnsi="Arial" w:cs="Arial"/>
        </w:rPr>
      </w:pPr>
      <w:r w:rsidRPr="002E2EAA">
        <w:rPr>
          <w:rFonts w:ascii="Arial" w:eastAsia="Arial" w:hAnsi="Arial" w:cs="Arial"/>
        </w:rPr>
        <w:t>Despite the negative responses to the implementation of the MICDPD recommendations</w:t>
      </w:r>
      <w:r w:rsidRPr="002E2EAA">
        <w:rPr>
          <w:rStyle w:val="FootnoteReference"/>
          <w:rFonts w:ascii="Arial" w:eastAsia="Arial" w:hAnsi="Arial" w:cs="Arial"/>
        </w:rPr>
        <w:footnoteReference w:id="29"/>
      </w:r>
      <w:r w:rsidRPr="002E2EAA">
        <w:rPr>
          <w:rFonts w:ascii="Arial" w:eastAsia="Arial" w:hAnsi="Arial" w:cs="Arial"/>
        </w:rPr>
        <w:t xml:space="preserve"> , following the publication of Legislative Decree No. 1384, Article 4</w:t>
      </w:r>
      <w:r w:rsidRPr="002E2EAA">
        <w:rPr>
          <w:rFonts w:ascii="Arial" w:eastAsia="Arial" w:hAnsi="Arial" w:cs="Arial"/>
        </w:rPr>
        <w:t xml:space="preserve"> of Legislative Decree No. 1310 was amended by Legislative Decree No. 1417, dated September 13, 2018. In this amendment, the term "special curator" was changed and in its place "supports" was placed; therefore, the following observations remain:</w:t>
      </w:r>
    </w:p>
    <w:p w:rsidR="001004DA" w:rsidRDefault="00933E28">
      <w:pPr>
        <w:pStyle w:val="ListParagraph"/>
        <w:numPr>
          <w:ilvl w:val="0"/>
          <w:numId w:val="2"/>
        </w:numPr>
        <w:spacing w:before="120" w:after="120" w:line="240" w:lineRule="auto"/>
        <w:contextualSpacing w:val="0"/>
        <w:jc w:val="both"/>
        <w:rPr>
          <w:rFonts w:ascii="Arial" w:eastAsia="Arial" w:hAnsi="Arial" w:cs="Arial"/>
        </w:rPr>
      </w:pPr>
      <w:r w:rsidRPr="002E2EAA">
        <w:rPr>
          <w:rFonts w:ascii="Arial" w:eastAsia="Arial" w:hAnsi="Arial" w:cs="Arial"/>
        </w:rPr>
        <w:t>Legislativ</w:t>
      </w:r>
      <w:r w:rsidRPr="002E2EAA">
        <w:rPr>
          <w:rFonts w:ascii="Arial" w:eastAsia="Arial" w:hAnsi="Arial" w:cs="Arial"/>
        </w:rPr>
        <w:t>e Decree No. 1417 states that in case the elderly person cannot express his or her will, the support will be designated through a notary following an order of priority of relatives and/or close persons established in the norm. This differs from Legislative</w:t>
      </w:r>
      <w:r w:rsidRPr="002E2EAA">
        <w:rPr>
          <w:rFonts w:ascii="Arial" w:eastAsia="Arial" w:hAnsi="Arial" w:cs="Arial"/>
        </w:rPr>
        <w:t xml:space="preserve"> Decree No. 1384, which states that if the person is unable to express his or her will, the support will be appointed through the courts, since it is the judge who must conduct an investigation with a multidisciplinary team to determine who will be the sup</w:t>
      </w:r>
      <w:r w:rsidRPr="002E2EAA">
        <w:rPr>
          <w:rFonts w:ascii="Arial" w:eastAsia="Arial" w:hAnsi="Arial" w:cs="Arial"/>
        </w:rPr>
        <w:t>port person.</w:t>
      </w:r>
    </w:p>
    <w:p w:rsidR="001004DA" w:rsidRDefault="00933E28">
      <w:pPr>
        <w:pStyle w:val="ListParagraph"/>
        <w:numPr>
          <w:ilvl w:val="0"/>
          <w:numId w:val="2"/>
        </w:numPr>
        <w:spacing w:before="120" w:after="120" w:line="240" w:lineRule="auto"/>
        <w:contextualSpacing w:val="0"/>
        <w:jc w:val="both"/>
        <w:rPr>
          <w:rFonts w:ascii="Arial" w:eastAsia="Arial" w:hAnsi="Arial" w:cs="Arial"/>
        </w:rPr>
      </w:pPr>
      <w:r w:rsidRPr="002E2EAA">
        <w:rPr>
          <w:rFonts w:ascii="Arial" w:eastAsia="Arial" w:hAnsi="Arial" w:cs="Arial"/>
        </w:rPr>
        <w:t>It is established that the MIMP, together with the Ministry of Inclusion and Social Development (Midis), will regulate the established safeguards, being that its regulation was issued on August 23, 2019. The MICDPD considers that there is no c</w:t>
      </w:r>
      <w:r w:rsidRPr="002E2EAA">
        <w:rPr>
          <w:rFonts w:ascii="Arial" w:eastAsia="Arial" w:hAnsi="Arial" w:cs="Arial"/>
        </w:rPr>
        <w:t>larity in the decision to provide another regulation of supports and safeguards, and not to opt for what is already established in the Regulation of Legislative Decree No. 1384.</w:t>
      </w:r>
    </w:p>
    <w:p w:rsidR="001004DA" w:rsidRDefault="00933E28">
      <w:pPr>
        <w:pStyle w:val="ListParagraph"/>
        <w:numPr>
          <w:ilvl w:val="0"/>
          <w:numId w:val="2"/>
        </w:numPr>
        <w:spacing w:before="120" w:after="120" w:line="240" w:lineRule="auto"/>
        <w:contextualSpacing w:val="0"/>
        <w:jc w:val="both"/>
        <w:rPr>
          <w:rFonts w:ascii="Arial" w:eastAsia="Arial" w:hAnsi="Arial" w:cs="Arial"/>
        </w:rPr>
      </w:pPr>
      <w:r w:rsidRPr="002E2EAA">
        <w:rPr>
          <w:rFonts w:ascii="Arial" w:eastAsia="Arial" w:hAnsi="Arial" w:cs="Arial"/>
        </w:rPr>
        <w:t>Among the requirements to request the designation of support for the elderly i</w:t>
      </w:r>
      <w:r w:rsidRPr="002E2EAA">
        <w:rPr>
          <w:rFonts w:ascii="Arial" w:eastAsia="Arial" w:hAnsi="Arial" w:cs="Arial"/>
        </w:rPr>
        <w:t xml:space="preserve">s the presentation of a medical certificate issued by a neurologist or psychiatrist that certifies the impossibility of expressing the will. At the same time, it is established that in rural areas where there are no such services, the general practitioner </w:t>
      </w:r>
      <w:r w:rsidRPr="002E2EAA">
        <w:rPr>
          <w:rFonts w:ascii="Arial" w:eastAsia="Arial" w:hAnsi="Arial" w:cs="Arial"/>
        </w:rPr>
        <w:t xml:space="preserve">may issue such certificate. The MICDPD is concerned about the medical approach for deciding support in cases of collection of pensions for the elderly.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Therefore, the MICDPD requests that the Peruvian State be urged to amend Legislative Decree No. 1417, w</w:t>
      </w:r>
      <w:r w:rsidRPr="002E2EAA">
        <w:rPr>
          <w:rFonts w:ascii="Arial" w:eastAsia="Arial" w:hAnsi="Arial" w:cs="Arial"/>
        </w:rPr>
        <w:t>hich amended Article 4 of Legislative Decree No. 1310, in order to bring it into line with the CRPD. At the same time, the participation of persons with disabilities should be included in this process.</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3" w:name="_Toc524617979"/>
      <w:r w:rsidRPr="002E2EAA">
        <w:rPr>
          <w:rFonts w:ascii="Arial" w:eastAsia="Arial" w:hAnsi="Arial" w:cs="Arial"/>
          <w:color w:val="auto"/>
          <w:sz w:val="22"/>
          <w:szCs w:val="22"/>
        </w:rPr>
        <w:t>Access to justice</w:t>
      </w:r>
      <w:bookmarkEnd w:id="3"/>
      <w:r w:rsidRPr="002E2EAA">
        <w:rPr>
          <w:rFonts w:ascii="Arial" w:eastAsia="Arial" w:hAnsi="Arial" w:cs="Arial"/>
          <w:color w:val="auto"/>
          <w:sz w:val="22"/>
          <w:szCs w:val="22"/>
        </w:rPr>
        <w:t xml:space="preserve"> (article 13º)</w:t>
      </w:r>
    </w:p>
    <w:p w:rsidR="001004DA" w:rsidRDefault="00933E28">
      <w:pPr>
        <w:spacing w:before="120" w:after="120" w:line="240" w:lineRule="auto"/>
        <w:jc w:val="both"/>
        <w:rPr>
          <w:rFonts w:ascii="Arial" w:eastAsia="Arial" w:hAnsi="Arial" w:cs="Arial"/>
        </w:rPr>
      </w:pPr>
      <w:r w:rsidRPr="002E2EAA">
        <w:rPr>
          <w:rFonts w:ascii="Arial" w:eastAsia="Arial" w:hAnsi="Arial" w:cs="Arial"/>
        </w:rPr>
        <w:t>Peruvian procedural legislation (Criminal Procedural Code, Civil Procedural Code, Labor Procedural Code, Constitutional Procedural Code, among others) recognizes the right to effective judicial protection without any distinction, but does not necessarily g</w:t>
      </w:r>
      <w:r w:rsidRPr="002E2EAA">
        <w:rPr>
          <w:rFonts w:ascii="Arial" w:eastAsia="Arial" w:hAnsi="Arial" w:cs="Arial"/>
        </w:rPr>
        <w:t>uarantee adequate access to justice for persons with disabilities, who face attitudinal barriers (prejudices and stereotypes), physical barriers (lack of accessible facilities), procedural barriers (legal norms that make their needs invisible or exclude th</w:t>
      </w:r>
      <w:r w:rsidRPr="002E2EAA">
        <w:rPr>
          <w:rFonts w:ascii="Arial" w:eastAsia="Arial" w:hAnsi="Arial" w:cs="Arial"/>
        </w:rPr>
        <w:t>em from a process due to their disability), among others.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Regarding legal barriers, although the legal capacity of persons with intellectual and psychosocial disabilities is recognized through Legislative Decree No. 1384, to date, </w:t>
      </w:r>
      <w:r w:rsidR="00DD6CF2" w:rsidRPr="002E2EAA">
        <w:rPr>
          <w:rFonts w:ascii="Arial" w:eastAsia="Arial" w:hAnsi="Arial" w:cs="Arial"/>
        </w:rPr>
        <w:t xml:space="preserve">important </w:t>
      </w:r>
      <w:r w:rsidRPr="002E2EAA">
        <w:rPr>
          <w:rFonts w:ascii="Arial" w:eastAsia="Arial" w:hAnsi="Arial" w:cs="Arial"/>
        </w:rPr>
        <w:t>norms such as t</w:t>
      </w:r>
      <w:r w:rsidRPr="002E2EAA">
        <w:rPr>
          <w:rFonts w:ascii="Arial" w:eastAsia="Arial" w:hAnsi="Arial" w:cs="Arial"/>
        </w:rPr>
        <w:t>he Code of Criminal Procedure have not yet been modified. Of particular concern are Articles 94, paragraph 1 (representation of persons considered "incapable"), 162 (capacity to give testimony), and 171 (special witnesses).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Furthermore, the MICDPD is conce</w:t>
      </w:r>
      <w:r w:rsidRPr="002E2EAA">
        <w:rPr>
          <w:rFonts w:ascii="Arial" w:eastAsia="Arial" w:hAnsi="Arial" w:cs="Arial"/>
        </w:rPr>
        <w:t>rned that Legislative Decree No. 1384 has not repealed judicial interdiction in the case of persons with restricted exercise capacity, among which are persons known as drunkards and drug addicts, who, as mentioned above, are considered persons with perceiv</w:t>
      </w:r>
      <w:r w:rsidRPr="002E2EAA">
        <w:rPr>
          <w:rFonts w:ascii="Arial" w:eastAsia="Arial" w:hAnsi="Arial" w:cs="Arial"/>
        </w:rPr>
        <w:t xml:space="preserve">ed disabilities. As mentioned above, the figure of civil interdiction deprives the person of the exercise of his or her rights, resulting in exclusion from the justice system.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 other hand, among the practices that restrict access to justice for pers</w:t>
      </w:r>
      <w:r w:rsidRPr="002E2EAA">
        <w:rPr>
          <w:rFonts w:ascii="Arial" w:eastAsia="Arial" w:hAnsi="Arial" w:cs="Arial"/>
        </w:rPr>
        <w:t>ons with disabilities, of particular concern is the situation of persons considered unimpeachable, who, as provided for in Article 457 of the Code of Criminal Procedure (exercise of powers by a guardian in proceedings relating to security measures), are ex</w:t>
      </w:r>
      <w:r w:rsidRPr="002E2EAA">
        <w:rPr>
          <w:rFonts w:ascii="Arial" w:eastAsia="Arial" w:hAnsi="Arial" w:cs="Arial"/>
        </w:rPr>
        <w:t>cluded from the process because of their disability, They are denied fundamental judicial guarantees related to the exercise of their right to defense, among which are restricted the right to be heard in trial, to present evidence in their defense, to have</w:t>
      </w:r>
      <w:r w:rsidRPr="002E2EAA">
        <w:rPr>
          <w:rFonts w:ascii="Arial" w:eastAsia="Arial" w:hAnsi="Arial" w:cs="Arial"/>
        </w:rPr>
        <w:t xml:space="preserve"> timely access to a legal defense, to appeal their sentence or security measure, to access prison benefits that would be applicable </w:t>
      </w:r>
      <w:r w:rsidR="004E7CAF" w:rsidRPr="002E2EAA">
        <w:rPr>
          <w:rFonts w:ascii="Arial" w:eastAsia="Arial" w:hAnsi="Arial" w:cs="Arial"/>
        </w:rPr>
        <w:t xml:space="preserve">if they were not </w:t>
      </w:r>
      <w:r w:rsidRPr="002E2EAA">
        <w:rPr>
          <w:rFonts w:ascii="Arial" w:eastAsia="Arial" w:hAnsi="Arial" w:cs="Arial"/>
        </w:rPr>
        <w:t>considered imputable, among others.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Likewise, it </w:t>
      </w:r>
      <w:r w:rsidR="004E7CAF" w:rsidRPr="002E2EAA">
        <w:rPr>
          <w:rFonts w:ascii="Arial" w:eastAsia="Arial" w:hAnsi="Arial" w:cs="Arial"/>
        </w:rPr>
        <w:t xml:space="preserve">continues to </w:t>
      </w:r>
      <w:r w:rsidRPr="002E2EAA">
        <w:rPr>
          <w:rFonts w:ascii="Arial" w:eastAsia="Arial" w:hAnsi="Arial" w:cs="Arial"/>
        </w:rPr>
        <w:t xml:space="preserve">be </w:t>
      </w:r>
      <w:r w:rsidR="004E7CAF" w:rsidRPr="002E2EAA">
        <w:rPr>
          <w:rFonts w:ascii="Arial" w:eastAsia="Arial" w:hAnsi="Arial" w:cs="Arial"/>
        </w:rPr>
        <w:t xml:space="preserve">noted </w:t>
      </w:r>
      <w:r w:rsidRPr="002E2EAA">
        <w:rPr>
          <w:rFonts w:ascii="Arial" w:eastAsia="Arial" w:hAnsi="Arial" w:cs="Arial"/>
        </w:rPr>
        <w:t>that the Judiciary, within these sec</w:t>
      </w:r>
      <w:r w:rsidRPr="002E2EAA">
        <w:rPr>
          <w:rFonts w:ascii="Arial" w:eastAsia="Arial" w:hAnsi="Arial" w:cs="Arial"/>
        </w:rPr>
        <w:t xml:space="preserve">urity processes, has been dictating long term internment measures in psychiatric hospitals, ranging from 5 months to lifetime internment, based on a criterion of </w:t>
      </w:r>
      <w:r w:rsidR="004E7CAF" w:rsidRPr="002E2EAA">
        <w:rPr>
          <w:rFonts w:ascii="Arial" w:eastAsia="Arial" w:hAnsi="Arial" w:cs="Arial"/>
        </w:rPr>
        <w:t>"</w:t>
      </w:r>
      <w:r w:rsidRPr="002E2EAA">
        <w:rPr>
          <w:rFonts w:ascii="Arial" w:eastAsia="Arial" w:hAnsi="Arial" w:cs="Arial"/>
        </w:rPr>
        <w:t>dangerousness of the agent</w:t>
      </w:r>
      <w:r w:rsidR="004E7CAF" w:rsidRPr="002E2EAA">
        <w:rPr>
          <w:rFonts w:ascii="Arial" w:eastAsia="Arial" w:hAnsi="Arial" w:cs="Arial"/>
        </w:rPr>
        <w:t xml:space="preserve">" </w:t>
      </w:r>
      <w:r w:rsidRPr="002E2EAA">
        <w:rPr>
          <w:rFonts w:ascii="Arial" w:eastAsia="Arial" w:hAnsi="Arial" w:cs="Arial"/>
        </w:rPr>
        <w:t>and the presumption of committing a future crime, which increases</w:t>
      </w:r>
      <w:r w:rsidRPr="002E2EAA">
        <w:rPr>
          <w:rFonts w:ascii="Arial" w:eastAsia="Arial" w:hAnsi="Arial" w:cs="Arial"/>
        </w:rPr>
        <w:t xml:space="preserve"> the waiting list and, in turn, leads to internment in penitentiary establishments that do not </w:t>
      </w:r>
      <w:r w:rsidR="004E7CAF" w:rsidRPr="002E2EAA">
        <w:rPr>
          <w:rFonts w:ascii="Arial" w:eastAsia="Arial" w:hAnsi="Arial" w:cs="Arial"/>
        </w:rPr>
        <w:t xml:space="preserve">guarantee </w:t>
      </w:r>
      <w:r w:rsidRPr="002E2EAA">
        <w:rPr>
          <w:rFonts w:ascii="Arial" w:eastAsia="Arial" w:hAnsi="Arial" w:cs="Arial"/>
        </w:rPr>
        <w:t xml:space="preserve">the mental health care of these people, focused on the parameters of rehabilitation and restoration of their health.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This problem has been addressed in Law No. 30947 - Mental Health Law, which establishes that the security measure of hospitalization ordered by the criminal judge should not exceed the duration considered by the medical board, and in cases of discharge, th</w:t>
      </w:r>
      <w:r w:rsidRPr="002E2EAA">
        <w:rPr>
          <w:rFonts w:ascii="Arial" w:eastAsia="Arial" w:hAnsi="Arial" w:cs="Arial"/>
        </w:rPr>
        <w:t>e judge should adopt outpatient security measures, however, due to this lack of adequacy of the criminal procedural law, it continues to result in a violation of the rights of access to justice of persons declared unfit for criminal prosecution.</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MICDPD</w:t>
      </w:r>
      <w:r w:rsidRPr="002E2EAA">
        <w:rPr>
          <w:rFonts w:ascii="Arial" w:eastAsia="Arial" w:hAnsi="Arial" w:cs="Arial"/>
        </w:rPr>
        <w:t xml:space="preserve"> recommends urging the Peruvian State to ensure respect for the legal capacity of persons with disabilities who participate in the different judicial processes; especially, to guarantee respect for the legal capacity of persons who are unimputable and comm</w:t>
      </w:r>
      <w:r w:rsidRPr="002E2EAA">
        <w:rPr>
          <w:rFonts w:ascii="Arial" w:eastAsia="Arial" w:hAnsi="Arial" w:cs="Arial"/>
        </w:rPr>
        <w:t>it criminal offenses, ensuring due process and effective judicial protection, avoiding their internment based on criteria of dangerousness.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Likewise, the MICDPD considers it necessary to recommend to the Peruvian State the adoption of measures that allow t</w:t>
      </w:r>
      <w:r w:rsidRPr="002E2EAA">
        <w:rPr>
          <w:rFonts w:ascii="Arial" w:eastAsia="Arial" w:hAnsi="Arial" w:cs="Arial"/>
        </w:rPr>
        <w:t>he effective enjoyment of the services of the digital justice system at the national level, especially for those people who do not have access to the tools that allow the use of ICTs or, even having the possibility of accessing them, do not have the necess</w:t>
      </w:r>
      <w:r w:rsidRPr="002E2EAA">
        <w:rPr>
          <w:rFonts w:ascii="Arial" w:eastAsia="Arial" w:hAnsi="Arial" w:cs="Arial"/>
        </w:rPr>
        <w:t>ary skills for the proper use of them.</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Judiciary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Judiciary implemented important initiatives to advance access to justice for persons with disabilities, including the development of the National Plan for Access to Justice for persons in vulnerable si</w:t>
      </w:r>
      <w:r w:rsidRPr="002E2EAA">
        <w:rPr>
          <w:rFonts w:ascii="Arial" w:eastAsia="Arial" w:hAnsi="Arial" w:cs="Arial"/>
        </w:rPr>
        <w:t>tuations and the development of the Judicial Action Protocol for persons with disabilities</w:t>
      </w:r>
      <w:r w:rsidRPr="002E2EAA">
        <w:rPr>
          <w:rFonts w:ascii="Arial" w:eastAsia="Arial" w:hAnsi="Arial" w:cs="Arial"/>
          <w:vertAlign w:val="superscript"/>
        </w:rPr>
        <w:footnoteReference w:id="30"/>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With respect to the Protocol, it recognizes legal capacity, guarantees preferential guardianship and accessibility for persons with disabilities, and provides fo</w:t>
      </w:r>
      <w:r w:rsidRPr="002E2EAA">
        <w:rPr>
          <w:rFonts w:ascii="Arial" w:eastAsia="Arial" w:hAnsi="Arial" w:cs="Arial"/>
        </w:rPr>
        <w:t xml:space="preserve">r the implementation of the necessary support and resources to ensure their safety, mobility, understanding, privacy and communication. However, it is necessary to reinforce its dissemination </w:t>
      </w:r>
      <w:r w:rsidR="00B94567" w:rsidRPr="002E2EAA">
        <w:rPr>
          <w:rFonts w:ascii="Arial" w:eastAsia="Arial" w:hAnsi="Arial" w:cs="Arial"/>
        </w:rPr>
        <w:t xml:space="preserve">and training </w:t>
      </w:r>
      <w:r w:rsidRPr="002E2EAA">
        <w:rPr>
          <w:rFonts w:ascii="Arial" w:eastAsia="Arial" w:hAnsi="Arial" w:cs="Arial"/>
        </w:rPr>
        <w:t>within the institution itself, as cases have been f</w:t>
      </w:r>
      <w:r w:rsidRPr="002E2EAA">
        <w:rPr>
          <w:rFonts w:ascii="Arial" w:eastAsia="Arial" w:hAnsi="Arial" w:cs="Arial"/>
        </w:rPr>
        <w:t>ound where justice operators are unaware of its contents. Another challenge is the monitoring and follow-up of the implementation of the Protocol, since the level of implementation is still minimal in the country's judicial districts.</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Other bodies that make up the system of administration of Justice</w:t>
      </w:r>
    </w:p>
    <w:p w:rsidR="001004DA" w:rsidRDefault="00933E28">
      <w:pPr>
        <w:spacing w:before="120" w:after="120" w:line="240" w:lineRule="auto"/>
        <w:jc w:val="both"/>
        <w:rPr>
          <w:rFonts w:ascii="Arial" w:eastAsia="Arial" w:hAnsi="Arial" w:cs="Arial"/>
        </w:rPr>
      </w:pPr>
      <w:r w:rsidRPr="002E2EAA">
        <w:rPr>
          <w:rFonts w:ascii="Arial" w:eastAsia="Arial" w:hAnsi="Arial" w:cs="Arial"/>
        </w:rPr>
        <w:t>Measures to ensure access to justice for persons with disabilities should also be carried out in all institutions involved in the administration of justice, such as the Peruvian National Pol</w:t>
      </w:r>
      <w:r w:rsidRPr="002E2EAA">
        <w:rPr>
          <w:rFonts w:ascii="Arial" w:eastAsia="Arial" w:hAnsi="Arial" w:cs="Arial"/>
        </w:rPr>
        <w:t xml:space="preserve">ice (through its police stations), the Public Prosecutor's Office (including the Institute of Legal Medicine) and the Ministry of Justice (through free legal aid services).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At the same time, alternative services that guarantee accessibility for people wit</w:t>
      </w:r>
      <w:r w:rsidRPr="002E2EAA">
        <w:rPr>
          <w:rFonts w:ascii="Arial" w:eastAsia="Arial" w:hAnsi="Arial" w:cs="Arial"/>
        </w:rPr>
        <w:t xml:space="preserve">h disabilities, such as sign language interpreters, must be carried out by properly trained personnel.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Among the main barriers identified in the institutions involved in the justice system are the following: </w:t>
      </w:r>
    </w:p>
    <w:p w:rsidR="001004DA" w:rsidRDefault="00933E28">
      <w:pPr>
        <w:pStyle w:val="ListParagraph"/>
        <w:numPr>
          <w:ilvl w:val="0"/>
          <w:numId w:val="3"/>
        </w:numPr>
        <w:pBdr>
          <w:top w:val="nil"/>
          <w:left w:val="nil"/>
          <w:bottom w:val="nil"/>
          <w:right w:val="nil"/>
          <w:between w:val="nil"/>
        </w:pBdr>
        <w:spacing w:before="120" w:after="120" w:line="240" w:lineRule="auto"/>
        <w:contextualSpacing w:val="0"/>
        <w:jc w:val="both"/>
        <w:rPr>
          <w:rFonts w:ascii="Arial" w:hAnsi="Arial" w:cs="Arial"/>
        </w:rPr>
      </w:pPr>
      <w:r w:rsidRPr="002E2EAA">
        <w:rPr>
          <w:rFonts w:ascii="Arial" w:eastAsia="Arial" w:hAnsi="Arial" w:cs="Arial"/>
        </w:rPr>
        <w:t xml:space="preserve">Public Prosecutor's Office: has a monopoly on </w:t>
      </w:r>
      <w:r w:rsidRPr="002E2EAA">
        <w:rPr>
          <w:rFonts w:ascii="Arial" w:eastAsia="Arial" w:hAnsi="Arial" w:cs="Arial"/>
        </w:rPr>
        <w:t xml:space="preserve">criminal prosecution; however, it does not have protocols or guidelines for accessible care (in communication, information, procedures) for persons with disabilities. </w:t>
      </w:r>
    </w:p>
    <w:p w:rsidR="001004DA" w:rsidRDefault="00933E28">
      <w:pPr>
        <w:pStyle w:val="ListParagraph"/>
        <w:numPr>
          <w:ilvl w:val="0"/>
          <w:numId w:val="3"/>
        </w:numPr>
        <w:pBdr>
          <w:top w:val="nil"/>
          <w:left w:val="nil"/>
          <w:bottom w:val="nil"/>
          <w:right w:val="nil"/>
          <w:between w:val="nil"/>
        </w:pBdr>
        <w:shd w:val="clear" w:color="auto" w:fill="FFFFFF"/>
        <w:spacing w:before="120" w:after="120" w:line="240" w:lineRule="auto"/>
        <w:contextualSpacing w:val="0"/>
        <w:jc w:val="both"/>
        <w:rPr>
          <w:rFonts w:ascii="Arial" w:hAnsi="Arial" w:cs="Arial"/>
        </w:rPr>
      </w:pPr>
      <w:r w:rsidRPr="002E2EAA">
        <w:rPr>
          <w:rFonts w:ascii="Arial" w:eastAsia="Arial" w:hAnsi="Arial" w:cs="Arial"/>
        </w:rPr>
        <w:t xml:space="preserve">Peruvian National Police: evidence of limitations to receive children in preventive shelters when they have some type of disability.  </w:t>
      </w:r>
    </w:p>
    <w:p w:rsidR="001004DA" w:rsidRDefault="00933E28">
      <w:pPr>
        <w:pStyle w:val="ListParagraph"/>
        <w:numPr>
          <w:ilvl w:val="0"/>
          <w:numId w:val="3"/>
        </w:numPr>
        <w:pBdr>
          <w:top w:val="nil"/>
          <w:left w:val="nil"/>
          <w:bottom w:val="nil"/>
          <w:right w:val="nil"/>
          <w:between w:val="nil"/>
        </w:pBdr>
        <w:shd w:val="clear" w:color="auto" w:fill="FFFFFF"/>
        <w:spacing w:before="120" w:after="120" w:line="240" w:lineRule="auto"/>
        <w:contextualSpacing w:val="0"/>
        <w:jc w:val="both"/>
        <w:rPr>
          <w:rFonts w:ascii="Arial" w:eastAsia="Arial" w:hAnsi="Arial" w:cs="Arial"/>
        </w:rPr>
      </w:pPr>
      <w:r w:rsidRPr="002E2EAA">
        <w:rPr>
          <w:rFonts w:ascii="Arial" w:eastAsia="Arial" w:hAnsi="Arial" w:cs="Arial"/>
        </w:rPr>
        <w:t>Various administrative tribunals: to which people with disabilities have recourse, but accessibility in information and c</w:t>
      </w:r>
      <w:r w:rsidRPr="002E2EAA">
        <w:rPr>
          <w:rFonts w:ascii="Arial" w:eastAsia="Arial" w:hAnsi="Arial" w:cs="Arial"/>
        </w:rPr>
        <w:t>ommunication is not fully ensured.</w:t>
      </w:r>
    </w:p>
    <w:p w:rsidR="007F30C2" w:rsidRPr="002E2EAA" w:rsidRDefault="007F30C2">
      <w:pPr>
        <w:pBdr>
          <w:top w:val="nil"/>
          <w:left w:val="nil"/>
          <w:bottom w:val="nil"/>
          <w:right w:val="nil"/>
          <w:between w:val="nil"/>
        </w:pBdr>
        <w:shd w:val="clear" w:color="auto" w:fill="FFFFFF"/>
        <w:spacing w:before="120" w:after="120" w:line="240" w:lineRule="auto"/>
        <w:ind w:left="720"/>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4" w:name="_Toc524617980"/>
      <w:r w:rsidRPr="002E2EAA">
        <w:rPr>
          <w:rFonts w:ascii="Arial" w:eastAsia="Arial" w:hAnsi="Arial" w:cs="Arial"/>
          <w:color w:val="auto"/>
          <w:sz w:val="22"/>
          <w:szCs w:val="22"/>
        </w:rPr>
        <w:t>Freedom and security of the person</w:t>
      </w:r>
      <w:bookmarkEnd w:id="4"/>
      <w:r w:rsidRPr="002E2EAA">
        <w:rPr>
          <w:rFonts w:ascii="Arial" w:eastAsia="Arial" w:hAnsi="Arial" w:cs="Arial"/>
          <w:color w:val="auto"/>
          <w:sz w:val="22"/>
          <w:szCs w:val="22"/>
        </w:rPr>
        <w:t xml:space="preserve"> (article 14º)</w:t>
      </w: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Institutionalization in mental health facilities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Law No. 29889, Law that amends Article 11 of Law No. 26842, General Health Law, which guarantees the rights of persons wit</w:t>
      </w:r>
      <w:r w:rsidRPr="002E2EAA">
        <w:rPr>
          <w:rFonts w:ascii="Arial" w:eastAsia="Arial" w:hAnsi="Arial" w:cs="Arial"/>
        </w:rPr>
        <w:t>h mental health problems, published in 2012, and its Regulations, approved by Supreme Decree No. 033-2015- SA, implemented in Peru a model of community mental health care, aimed at providing for hospitalization on an exceptional basis, in emergency situati</w:t>
      </w:r>
      <w:r w:rsidRPr="002E2EAA">
        <w:rPr>
          <w:rFonts w:ascii="Arial" w:eastAsia="Arial" w:hAnsi="Arial" w:cs="Arial"/>
        </w:rPr>
        <w:t xml:space="preserve">ons.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Under the protection of Law No. 29889 and its Regulations, and in response to the insistent recommendations raised by the MICDPD since 2005</w:t>
      </w:r>
      <w:r w:rsidRPr="002E2EAA">
        <w:rPr>
          <w:rStyle w:val="FootnoteReference"/>
          <w:rFonts w:ascii="Arial" w:eastAsia="Arial" w:hAnsi="Arial" w:cs="Arial"/>
        </w:rPr>
        <w:footnoteReference w:id="31"/>
      </w:r>
      <w:r w:rsidRPr="002E2EAA">
        <w:rPr>
          <w:rFonts w:ascii="Arial" w:eastAsia="Arial" w:hAnsi="Arial" w:cs="Arial"/>
        </w:rPr>
        <w:t xml:space="preserve"> , between the months of January and March 2016 the persons interned in the Rehabilitation Center for the Ment</w:t>
      </w:r>
      <w:r w:rsidRPr="002E2EAA">
        <w:rPr>
          <w:rFonts w:ascii="Arial" w:eastAsia="Arial" w:hAnsi="Arial" w:cs="Arial"/>
        </w:rPr>
        <w:t>ally Ill of Iquitos (Cremi) were reintegrated in their homes with their families or transferred to one of the five sheltered homes located in the city of Iquitos</w:t>
      </w:r>
      <w:r w:rsidRPr="002E2EAA">
        <w:rPr>
          <w:rStyle w:val="FootnoteReference"/>
          <w:rFonts w:ascii="Arial" w:eastAsia="Arial" w:hAnsi="Arial" w:cs="Arial"/>
        </w:rPr>
        <w:footnoteReference w:id="32"/>
      </w:r>
      <w:r w:rsidRPr="002E2EAA">
        <w:rPr>
          <w:rFonts w:ascii="Arial" w:eastAsia="Arial" w:hAnsi="Arial" w:cs="Arial"/>
        </w:rPr>
        <w:t xml:space="preserve"> . Cremi was a long-stay residential facility for people with mental health problems, whose se</w:t>
      </w:r>
      <w:r w:rsidRPr="002E2EAA">
        <w:rPr>
          <w:rFonts w:ascii="Arial" w:eastAsia="Arial" w:hAnsi="Arial" w:cs="Arial"/>
        </w:rPr>
        <w:t xml:space="preserve">rvices and conditions of confinement violated fundamental rights. In March 2016 it was definitively closed.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2018, the MICDPD conducted a new national supervision in order to evaluate the progress and limitations in the implementation of the public poli</w:t>
      </w:r>
      <w:r w:rsidRPr="002E2EAA">
        <w:rPr>
          <w:rFonts w:ascii="Arial" w:eastAsia="Arial" w:hAnsi="Arial" w:cs="Arial"/>
        </w:rPr>
        <w:t>cy of community mental health. Among the main findings of the supervision, collected in the Ombudsman Report No. 180</w:t>
      </w:r>
      <w:r w:rsidRPr="002E2EAA">
        <w:rPr>
          <w:rStyle w:val="FootnoteReference"/>
          <w:rFonts w:ascii="Arial" w:eastAsia="Arial" w:hAnsi="Arial" w:cs="Arial"/>
        </w:rPr>
        <w:footnoteReference w:id="33"/>
      </w:r>
      <w:r w:rsidRPr="002E2EAA">
        <w:rPr>
          <w:rFonts w:ascii="Arial" w:eastAsia="Arial" w:hAnsi="Arial" w:cs="Arial"/>
        </w:rPr>
        <w:t xml:space="preserve"> , is that in Peru there is a mixed model of mental health care, which maintains characteristics of the asylum model, the pharmacological t</w:t>
      </w:r>
      <w:r w:rsidRPr="002E2EAA">
        <w:rPr>
          <w:rFonts w:ascii="Arial" w:eastAsia="Arial" w:hAnsi="Arial" w:cs="Arial"/>
        </w:rPr>
        <w:t xml:space="preserve">herapeutic model and the community model. This is due to the fact that there are no clearly defined procedures, deadlines or the transfer of skills to staff to make the transition to the community model.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this regard, it was found that the </w:t>
      </w:r>
      <w:r w:rsidR="00094962" w:rsidRPr="002E2EAA">
        <w:rPr>
          <w:rFonts w:ascii="Arial" w:eastAsia="Arial" w:hAnsi="Arial" w:cs="Arial"/>
        </w:rPr>
        <w:t xml:space="preserve">intramural </w:t>
      </w:r>
      <w:r w:rsidRPr="002E2EAA">
        <w:rPr>
          <w:rFonts w:ascii="Arial" w:eastAsia="Arial" w:hAnsi="Arial" w:cs="Arial"/>
        </w:rPr>
        <w:t>asylum model is maintained in some services of the Ministry of Health, regional governments, EsSalud, the Public Charity and private establishments. Prolonged hospitalization, the failure to install Deinstitutionalization Committees in psychiatric faciliti</w:t>
      </w:r>
      <w:r w:rsidRPr="002E2EAA">
        <w:rPr>
          <w:rFonts w:ascii="Arial" w:eastAsia="Arial" w:hAnsi="Arial" w:cs="Arial"/>
        </w:rPr>
        <w:t xml:space="preserve">es, the absence of appropriate protocols for obtaining the informed consent of the user, the common use of clothing, among others, contradict the community model.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addition, more than 600 people were found to be institutionalized in services of Minsa, E</w:t>
      </w:r>
      <w:r w:rsidRPr="002E2EAA">
        <w:rPr>
          <w:rFonts w:ascii="Arial" w:eastAsia="Arial" w:hAnsi="Arial" w:cs="Arial"/>
        </w:rPr>
        <w:t xml:space="preserve">sSalud, Beneficencia Pública and private establishments, with stays of up to 73 years. In the psychiatric hospitals of Lima (Victor Larco Herrera Hospital, Hermilio Valdizán Hospital, Honorio Delgado-Hideyo Noguchi National Institute of Mental Health) 214 </w:t>
      </w:r>
      <w:r w:rsidRPr="002E2EAA">
        <w:rPr>
          <w:rFonts w:ascii="Arial" w:eastAsia="Arial" w:hAnsi="Arial" w:cs="Arial"/>
        </w:rPr>
        <w:t>institutionalized persons were observed, while in EsSalud there were 189 and in the mental health establishments of the Public Charity, 151.</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After the presentation of Ombudsman Report No. 180, on May 23, 2019, Law No. 30947, Mental Health Law, was publishe</w:t>
      </w:r>
      <w:r w:rsidRPr="002E2EAA">
        <w:rPr>
          <w:rFonts w:ascii="Arial" w:eastAsia="Arial" w:hAnsi="Arial" w:cs="Arial"/>
        </w:rPr>
        <w:t xml:space="preserve">d, which </w:t>
      </w:r>
      <w:r w:rsidR="00094962" w:rsidRPr="002E2EAA">
        <w:rPr>
          <w:rFonts w:ascii="Arial" w:eastAsia="Arial" w:hAnsi="Arial" w:cs="Arial"/>
        </w:rPr>
        <w:t xml:space="preserve">incorporates recommendations of the MICDPD, </w:t>
      </w:r>
      <w:r w:rsidRPr="002E2EAA">
        <w:rPr>
          <w:rFonts w:ascii="Arial" w:eastAsia="Arial" w:hAnsi="Arial" w:cs="Arial"/>
        </w:rPr>
        <w:t>reaffirms the adoption of the community model of mental health care and deinstitutionalized care, collecting and expanding many of the provisions of its predecessor, Law No. 29889, and therefore establis</w:t>
      </w:r>
      <w:r w:rsidRPr="002E2EAA">
        <w:rPr>
          <w:rFonts w:ascii="Arial" w:eastAsia="Arial" w:hAnsi="Arial" w:cs="Arial"/>
        </w:rPr>
        <w:t xml:space="preserve">hed its repeal. Its regulations were approved on March 5, 2020 by Supreme Decree No. 007-2020-SA.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2020, in the context of the Covid-19 coronavirus pandemic, </w:t>
      </w:r>
      <w:r w:rsidR="00094962" w:rsidRPr="002E2EAA">
        <w:rPr>
          <w:rFonts w:ascii="Arial" w:eastAsia="Arial" w:hAnsi="Arial" w:cs="Arial"/>
        </w:rPr>
        <w:t xml:space="preserve">the MICDPD </w:t>
      </w:r>
      <w:r w:rsidRPr="002E2EAA">
        <w:rPr>
          <w:rFonts w:ascii="Arial" w:eastAsia="Arial" w:hAnsi="Arial" w:cs="Arial"/>
        </w:rPr>
        <w:t xml:space="preserve">alerted the health sector authorities regarding the significant increase in the number of infected patients at the Victor Larco Herrera Hospital, which as of June 10, 2020 was 135, adding to this a total of 88 infected workers. In relation to this, it was </w:t>
      </w:r>
      <w:r w:rsidRPr="002E2EAA">
        <w:rPr>
          <w:rFonts w:ascii="Arial" w:eastAsia="Arial" w:hAnsi="Arial" w:cs="Arial"/>
        </w:rPr>
        <w:t>warned that institutionalization placed the users in a situation more prone to the violation of rights, such as the lack of accessibility to clear and simple information, the lack of recognition of their right to informed consent, the absence of mechanisms</w:t>
      </w:r>
      <w:r w:rsidRPr="002E2EAA">
        <w:rPr>
          <w:rFonts w:ascii="Arial" w:eastAsia="Arial" w:hAnsi="Arial" w:cs="Arial"/>
        </w:rPr>
        <w:t xml:space="preserve"> for the presentation of complaints or claims, the lack of knowledge of their legal capacity, or even practices such as the common use of clothing. In response to this, it was recommended to coordinate immediate and effective actions for the prevention and</w:t>
      </w:r>
      <w:r w:rsidRPr="002E2EAA">
        <w:rPr>
          <w:rFonts w:ascii="Arial" w:eastAsia="Arial" w:hAnsi="Arial" w:cs="Arial"/>
        </w:rPr>
        <w:t xml:space="preserve"> care of cases of contagion, as well as to ensure the exercise of the rights of persons with disabilities within the framework of the obligations under the CRPD.</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response to the above situation, the MICDPD conducted a monitoring in order to verify the i</w:t>
      </w:r>
      <w:r w:rsidRPr="002E2EAA">
        <w:rPr>
          <w:rFonts w:ascii="Arial" w:eastAsia="Arial" w:hAnsi="Arial" w:cs="Arial"/>
        </w:rPr>
        <w:t>mpact on the deinstitutionalization process in the context of the Covid-19 coronavirus pandemic and the results were published in September 2022, in Special Report No. 004-2022-DP</w:t>
      </w:r>
      <w:r w:rsidRPr="002E2EAA">
        <w:rPr>
          <w:rStyle w:val="FootnoteReference"/>
          <w:rFonts w:ascii="Arial" w:eastAsia="Arial" w:hAnsi="Arial" w:cs="Arial"/>
        </w:rPr>
        <w:footnoteReference w:id="34"/>
      </w:r>
      <w:r w:rsidRPr="002E2EAA">
        <w:rPr>
          <w:rFonts w:ascii="Arial" w:eastAsia="Arial" w:hAnsi="Arial" w:cs="Arial"/>
        </w:rPr>
        <w:t xml:space="preserve"> .  The report concluded that the number of long-stay hospitalized clients b</w:t>
      </w:r>
      <w:r w:rsidRPr="002E2EAA">
        <w:rPr>
          <w:rFonts w:ascii="Arial" w:eastAsia="Arial" w:hAnsi="Arial" w:cs="Arial"/>
        </w:rPr>
        <w:t xml:space="preserve">etween 2018 and 2022 was minimally reduced, or maintained a similar number; and community-oriented services that could encourage deinstitutionalization, such as sheltered homes, failed to be implemented to the planned full extent.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this regard, in relat</w:t>
      </w:r>
      <w:r w:rsidRPr="002E2EAA">
        <w:rPr>
          <w:rFonts w:ascii="Arial" w:eastAsia="Arial" w:hAnsi="Arial" w:cs="Arial"/>
        </w:rPr>
        <w:t xml:space="preserve">ion to hospitalization, the current Mental Health Law No. 30947 and its regulations state that, in the event that the patient is hospitalized for more than 45 days and is medically discharged, he/she must continue his/her treatment on an outpatient basis. </w:t>
      </w:r>
      <w:r w:rsidRPr="002E2EAA">
        <w:rPr>
          <w:rFonts w:ascii="Arial" w:eastAsia="Arial" w:hAnsi="Arial" w:cs="Arial"/>
        </w:rPr>
        <w:t>For this purpose, every health facility with hospitalization and that attends to people with mental health problems must constitute a Permanent Committee in charge of Evaluating the Deinstitutionalization of People with Psychosocial Disabilities. It should</w:t>
      </w:r>
      <w:r w:rsidRPr="002E2EAA">
        <w:rPr>
          <w:rFonts w:ascii="Arial" w:eastAsia="Arial" w:hAnsi="Arial" w:cs="Arial"/>
        </w:rPr>
        <w:t xml:space="preserve"> be noted that in the supervision carried out by the MICDPD, it became evident that nine out of ten facilities did not comply with the designation of a Deinstitutionalization Committee and, </w:t>
      </w:r>
      <w:r w:rsidR="00DA0E11" w:rsidRPr="002E2EAA">
        <w:rPr>
          <w:rFonts w:ascii="Arial" w:eastAsia="Arial" w:hAnsi="Arial" w:cs="Arial"/>
        </w:rPr>
        <w:t xml:space="preserve">when </w:t>
      </w:r>
      <w:r w:rsidRPr="002E2EAA">
        <w:rPr>
          <w:rFonts w:ascii="Arial" w:eastAsia="Arial" w:hAnsi="Arial" w:cs="Arial"/>
        </w:rPr>
        <w:t>they did designate one, they did not report on the actions im</w:t>
      </w:r>
      <w:r w:rsidRPr="002E2EAA">
        <w:rPr>
          <w:rFonts w:ascii="Arial" w:eastAsia="Arial" w:hAnsi="Arial" w:cs="Arial"/>
        </w:rPr>
        <w:t>plemented.</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 other hand, the development of the deinstitutionalization process requires that the services of the community model are operational. With this in mind, in 2018 the Minsa designed a National Plan for Strengthening Community Mental Health S</w:t>
      </w:r>
      <w:r w:rsidRPr="002E2EAA">
        <w:rPr>
          <w:rFonts w:ascii="Arial" w:eastAsia="Arial" w:hAnsi="Arial" w:cs="Arial"/>
        </w:rPr>
        <w:t xml:space="preserve">ervices 2018-2021, establishing goals for operational services that would allow the model to be strengthened. Regarding sheltered homes, the Plan indicated that by the end of 2021 there would be a total of 164 nationwide. However, </w:t>
      </w:r>
      <w:r w:rsidRPr="002E2EAA">
        <w:rPr>
          <w:rFonts w:ascii="Arial" w:eastAsia="Times New Roman" w:hAnsi="Arial" w:cs="Arial"/>
        </w:rPr>
        <w:t>as of February 2022 there</w:t>
      </w:r>
      <w:r w:rsidRPr="002E2EAA">
        <w:rPr>
          <w:rFonts w:ascii="Arial" w:eastAsia="Times New Roman" w:hAnsi="Arial" w:cs="Arial"/>
        </w:rPr>
        <w:t xml:space="preserve"> were only 57 sheltered homes in the country)</w:t>
      </w:r>
      <w:r w:rsidRPr="002E2EAA">
        <w:rPr>
          <w:rFonts w:ascii="Arial" w:eastAsia="Times New Roman" w:hAnsi="Arial" w:cs="Arial"/>
          <w:vertAlign w:val="superscript"/>
        </w:rPr>
        <w:footnoteReference w:id="35"/>
      </w:r>
      <w:r w:rsidRPr="002E2EAA">
        <w:rPr>
          <w:rFonts w:ascii="Arial" w:eastAsia="Arial" w:hAnsi="Arial" w:cs="Arial"/>
        </w:rPr>
        <w:t xml:space="preserve"> , which leaves a 70% gap in implementation and prevents the deinstitutionalization of people in psychiatric hospitals from being achieved.</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It should be noted that Law No. 30947 still maintains specialized psyc</w:t>
      </w:r>
      <w:r w:rsidRPr="002E2EAA">
        <w:rPr>
          <w:rFonts w:ascii="Arial" w:eastAsia="Arial" w:hAnsi="Arial" w:cs="Arial"/>
        </w:rPr>
        <w:t>hiatric facilities within the supply of inpatient and inpatient services. To date, Peru has 10 specialized public facilities with inpatient and inpatient psychiatric care nationwide, 4 managed by the Ministry of Health, 2 by the Social Health Insurance (Es</w:t>
      </w:r>
      <w:r w:rsidRPr="002E2EAA">
        <w:rPr>
          <w:rFonts w:ascii="Arial" w:eastAsia="Arial" w:hAnsi="Arial" w:cs="Arial"/>
        </w:rPr>
        <w:t>Salud) and 4 by the Public Charity. In this regard, although the current regulatory and public policy framework regarding mental health services promotes the consolidation of a community care approach, there are still policies of institutionalization of me</w:t>
      </w:r>
      <w:r w:rsidRPr="002E2EAA">
        <w:rPr>
          <w:rFonts w:ascii="Arial" w:eastAsia="Arial" w:hAnsi="Arial" w:cs="Arial"/>
        </w:rPr>
        <w:t>ntal health service users, which have yet to implement deinstitutionalization committees and actions to ensure deinstitutionalization, social reintegration and community living standards for hospitalized users.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this regard, the high number of institutio</w:t>
      </w:r>
      <w:r w:rsidRPr="002E2EAA">
        <w:rPr>
          <w:rFonts w:ascii="Arial" w:eastAsia="Arial" w:hAnsi="Arial" w:cs="Arial"/>
        </w:rPr>
        <w:t>nalized persons who remain in psychiatric hospitals, as well as the recommendations made by the Committee on the Rights of Persons with Disabilities in the first report to the Peruvian State</w:t>
      </w:r>
      <w:r w:rsidRPr="002E2EAA">
        <w:rPr>
          <w:rStyle w:val="FootnoteReference"/>
          <w:rFonts w:ascii="Arial" w:eastAsia="Arial" w:hAnsi="Arial" w:cs="Arial"/>
        </w:rPr>
        <w:footnoteReference w:id="36"/>
      </w:r>
      <w:r w:rsidRPr="002E2EAA">
        <w:rPr>
          <w:rFonts w:ascii="Arial" w:eastAsia="Arial" w:hAnsi="Arial" w:cs="Arial"/>
        </w:rPr>
        <w:t xml:space="preserve"> , entail, in the opinion of the MICDPD, a call to implement serv</w:t>
      </w:r>
      <w:r w:rsidRPr="002E2EAA">
        <w:rPr>
          <w:rFonts w:ascii="Arial" w:eastAsia="Arial" w:hAnsi="Arial" w:cs="Arial"/>
        </w:rPr>
        <w:t xml:space="preserve">ices to ensure deinstitutionalization in a short period of time.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turn, it should be noted that the Peruvian State did not comply with the provisions of Law No. 30947, with respect to conducting investigations into allegations of cruel, inhuman or degr</w:t>
      </w:r>
      <w:r w:rsidRPr="002E2EAA">
        <w:rPr>
          <w:rFonts w:ascii="Arial" w:eastAsia="Arial" w:hAnsi="Arial" w:cs="Arial"/>
        </w:rPr>
        <w:t>ading treatment in psychiatric institutions, nor did it thoroughly examine the legality of the internment of persons in such institutions.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Finally, the MICDPD welcomes the fact that Law No. 30947 repealed Article 11(g) of Law No. 26842 (as amended by Law N</w:t>
      </w:r>
      <w:r w:rsidRPr="002E2EAA">
        <w:rPr>
          <w:rFonts w:ascii="Arial" w:eastAsia="Arial" w:hAnsi="Arial" w:cs="Arial"/>
        </w:rPr>
        <w:t xml:space="preserve">o. 29889), which allowed the internment of persons with addictions without their consent. However, it is considered necessary to recommend to the Peruvian State to amend Article 44 </w:t>
      </w:r>
      <w:r w:rsidR="00DA0E11" w:rsidRPr="002E2EAA">
        <w:rPr>
          <w:rFonts w:ascii="Arial" w:eastAsia="Arial" w:hAnsi="Arial" w:cs="Arial"/>
        </w:rPr>
        <w:t xml:space="preserve">of the Civil Code, </w:t>
      </w:r>
      <w:r w:rsidRPr="002E2EAA">
        <w:rPr>
          <w:rFonts w:ascii="Arial" w:eastAsia="Arial" w:hAnsi="Arial" w:cs="Arial"/>
        </w:rPr>
        <w:t>as amended by Legislative Decree No. 1384, in order to g</w:t>
      </w:r>
      <w:r w:rsidRPr="002E2EAA">
        <w:rPr>
          <w:rFonts w:ascii="Arial" w:eastAsia="Arial" w:hAnsi="Arial" w:cs="Arial"/>
        </w:rPr>
        <w:t>uarantee the right to legal capacity of persons with perceived disabilities, including persons with addictions.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Among the recommendations made in Special Report No. 004-2022-DP are the following:</w:t>
      </w:r>
    </w:p>
    <w:p w:rsidR="001004DA" w:rsidRDefault="00933E28">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Guarantee the right to health of users of mental health serv</w:t>
      </w:r>
      <w:r w:rsidRPr="002E2EAA">
        <w:rPr>
          <w:rFonts w:ascii="Arial" w:eastAsia="Arial" w:hAnsi="Arial" w:cs="Arial"/>
        </w:rPr>
        <w:t>ices during the state of emergency caused by Covid-19. In this sense, ensure the continuity of the vaccination process (the recommended booster doses), ensure that there is sufficient personal protective equipment for users and health personnel, and that a</w:t>
      </w:r>
      <w:r w:rsidRPr="002E2EAA">
        <w:rPr>
          <w:rFonts w:ascii="Arial" w:eastAsia="Arial" w:hAnsi="Arial" w:cs="Arial"/>
        </w:rPr>
        <w:t>ll the care measures indicated by the State are implemented.</w:t>
      </w:r>
    </w:p>
    <w:p w:rsidR="001004DA" w:rsidRDefault="00933E28">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Design and implement a deinstitutionalization plan with clear processes, protocols and goals, with short and medium-term objectives, for specialized psychiatric facilities.</w:t>
      </w:r>
    </w:p>
    <w:p w:rsidR="001004DA" w:rsidRDefault="00933E28">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To increase the supply</w:t>
      </w:r>
      <w:r w:rsidRPr="002E2EAA">
        <w:rPr>
          <w:rFonts w:ascii="Arial" w:eastAsia="Arial" w:hAnsi="Arial" w:cs="Arial"/>
        </w:rPr>
        <w:t xml:space="preserve"> and optimize the operation of sheltered homes nationwide in order to meet the demand of users with mental, intellectual or psychosocial disabilities, who do not have the skills to live independently, require minimal care and do not have the support of the</w:t>
      </w:r>
      <w:r w:rsidRPr="002E2EAA">
        <w:rPr>
          <w:rFonts w:ascii="Arial" w:eastAsia="Arial" w:hAnsi="Arial" w:cs="Arial"/>
        </w:rPr>
        <w:t>ir families.</w:t>
      </w:r>
    </w:p>
    <w:p w:rsidR="001004DA" w:rsidRDefault="00933E28">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Ensure the right to autonomy and legal capacity of the users of mental health services, especially in sheltered homes. At this point, it is considered necessary to elaborate a directive that specifies the scope of the functions of the personne</w:t>
      </w:r>
      <w:r w:rsidRPr="002E2EAA">
        <w:rPr>
          <w:rFonts w:ascii="Arial" w:eastAsia="Arial" w:hAnsi="Arial" w:cs="Arial"/>
        </w:rPr>
        <w:t>l of the homes in relation to the administration of economic resources of the users, with respect to the exercise of their legal capacity.</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The situation of persons declared unfit for criminal prosecution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One of the central problems in the area of mental </w:t>
      </w:r>
      <w:r w:rsidRPr="002E2EAA">
        <w:rPr>
          <w:rFonts w:ascii="Arial" w:eastAsia="Arial" w:hAnsi="Arial" w:cs="Arial"/>
        </w:rPr>
        <w:t>health is the situation of persons declared unimputable with a security measure of internment, i.e., those persons who, due to a mental disorder, commit a crime</w:t>
      </w:r>
      <w:r w:rsidRPr="002E2EAA">
        <w:rPr>
          <w:rStyle w:val="FootnoteReference"/>
          <w:rFonts w:ascii="Arial" w:eastAsia="Arial" w:hAnsi="Arial" w:cs="Arial"/>
        </w:rPr>
        <w:footnoteReference w:id="37"/>
      </w:r>
      <w:r w:rsidRPr="002E2EAA">
        <w:rPr>
          <w:rFonts w:ascii="Arial" w:eastAsia="Arial" w:hAnsi="Arial" w:cs="Arial"/>
        </w:rPr>
        <w:t xml:space="preserve"> . </w:t>
      </w:r>
      <w:r w:rsidRPr="002E2EAA">
        <w:rPr>
          <w:rFonts w:ascii="Arial" w:eastAsia="Arial" w:hAnsi="Arial" w:cs="Arial"/>
        </w:rPr>
        <w:t xml:space="preserve">In this regard, the MICDPD has highlighted the lack of coordination between the Judiciary, the National Penitentiary Institute (INPE), the Ministry of Justice and Human Rights (MINJUS) </w:t>
      </w:r>
      <w:r w:rsidR="00A912CE" w:rsidRPr="002E2EAA">
        <w:rPr>
          <w:rFonts w:ascii="Arial" w:eastAsia="Arial" w:hAnsi="Arial" w:cs="Arial"/>
        </w:rPr>
        <w:t>and the Ministry of Health (MINSA</w:t>
      </w:r>
      <w:r w:rsidRPr="002E2EAA">
        <w:rPr>
          <w:rFonts w:ascii="Arial" w:eastAsia="Arial" w:hAnsi="Arial" w:cs="Arial"/>
        </w:rPr>
        <w:t xml:space="preserve">) to solve this problem.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2010, the</w:t>
      </w:r>
      <w:r w:rsidRPr="002E2EAA">
        <w:rPr>
          <w:rFonts w:ascii="Arial" w:eastAsia="Arial" w:hAnsi="Arial" w:cs="Arial"/>
        </w:rPr>
        <w:t xml:space="preserve"> Constitutional Court declared the state of unconstitutionality</w:t>
      </w:r>
      <w:r w:rsidRPr="002E2EAA">
        <w:rPr>
          <w:rStyle w:val="FootnoteReference"/>
          <w:rFonts w:ascii="Arial" w:eastAsia="Arial" w:hAnsi="Arial" w:cs="Arial"/>
        </w:rPr>
        <w:footnoteReference w:id="38"/>
      </w:r>
      <w:r w:rsidRPr="002E2EAA">
        <w:rPr>
          <w:rFonts w:ascii="Arial" w:eastAsia="Arial" w:hAnsi="Arial" w:cs="Arial"/>
        </w:rPr>
        <w:t xml:space="preserve"> , which has not changed with respect to persons declared unimputable. Thus, in the Judiciary, security measures of internment in psychiatric hospitals continue to be issued, which increases t</w:t>
      </w:r>
      <w:r w:rsidRPr="002E2EAA">
        <w:rPr>
          <w:rFonts w:ascii="Arial" w:eastAsia="Arial" w:hAnsi="Arial" w:cs="Arial"/>
        </w:rPr>
        <w:t>he waiting list and this, in turn, results in internment in penitentiary establishments that do not guarantee the mental health care of these persons.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relation to the declaration of unimputability, the Peruvian criminal system assumes the two-track mode</w:t>
      </w:r>
      <w:r w:rsidRPr="002E2EAA">
        <w:rPr>
          <w:rFonts w:ascii="Arial" w:eastAsia="Arial" w:hAnsi="Arial" w:cs="Arial"/>
        </w:rPr>
        <w:t>l for the commission of criminal offenses. On the one hand, it provides for the imposition of penalties for persons who are imputable, including those who are relatively imputable: deprivation of liberty, restriction of liberty, restriction of rights and f</w:t>
      </w:r>
      <w:r w:rsidRPr="002E2EAA">
        <w:rPr>
          <w:rFonts w:ascii="Arial" w:eastAsia="Arial" w:hAnsi="Arial" w:cs="Arial"/>
        </w:rPr>
        <w:t>ines</w:t>
      </w:r>
      <w:r w:rsidRPr="002E2EAA">
        <w:rPr>
          <w:rFonts w:ascii="Arial" w:eastAsia="Arial" w:hAnsi="Arial" w:cs="Arial"/>
          <w:vertAlign w:val="superscript"/>
        </w:rPr>
        <w:footnoteReference w:id="39"/>
      </w:r>
      <w:r w:rsidRPr="002E2EAA">
        <w:rPr>
          <w:rFonts w:ascii="Arial" w:eastAsia="Arial" w:hAnsi="Arial" w:cs="Arial"/>
        </w:rPr>
        <w:t xml:space="preserve"> ; and on the other hand, it provides for security measures for persons considered imputable: internment and outpatient treatment</w:t>
      </w:r>
      <w:r w:rsidRPr="002E2EAA">
        <w:rPr>
          <w:rFonts w:ascii="Arial" w:eastAsia="Arial" w:hAnsi="Arial" w:cs="Arial"/>
          <w:vertAlign w:val="superscript"/>
        </w:rPr>
        <w:footnoteReference w:id="40"/>
      </w:r>
      <w:r w:rsidRPr="002E2EAA">
        <w:rPr>
          <w:rFonts w:ascii="Arial" w:eastAsia="Arial" w:hAnsi="Arial" w:cs="Arial"/>
        </w:rPr>
        <w:t xml:space="preserv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Both in the case of the imposition of internment and outpatient treatment, these are pre-criminal security measures, i</w:t>
      </w:r>
      <w:r w:rsidRPr="002E2EAA">
        <w:rPr>
          <w:rFonts w:ascii="Arial" w:eastAsia="Arial" w:hAnsi="Arial" w:cs="Arial"/>
        </w:rPr>
        <w:t xml:space="preserve">n which the crime committed is not sanctioned, although it is offered on the occasion of the crime, but because of the dangerousness of the agent that foreshadows the commission of a crime in the future.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Judges prioritize the psychiatric evaluation to det</w:t>
      </w:r>
      <w:r w:rsidRPr="002E2EAA">
        <w:rPr>
          <w:rFonts w:ascii="Arial" w:eastAsia="Arial" w:hAnsi="Arial" w:cs="Arial"/>
        </w:rPr>
        <w:t xml:space="preserve">ermine whether a person should be declared unfit for criminal responsibility, a document that is not always reliable. According to the Minsa, approximately 30% of people declared unfit to stand trial are "false positives", that is, people who should never </w:t>
      </w:r>
      <w:r w:rsidRPr="002E2EAA">
        <w:rPr>
          <w:rFonts w:ascii="Arial" w:eastAsia="Arial" w:hAnsi="Arial" w:cs="Arial"/>
        </w:rPr>
        <w:t>have been declared unfit to stand trial. In judicial practice, the imposition of the security measure of internment is based on the indications of the forensic doctor's report and without examining the possibility of outpatient treatment. In relation to th</w:t>
      </w:r>
      <w:r w:rsidRPr="002E2EAA">
        <w:rPr>
          <w:rFonts w:ascii="Arial" w:eastAsia="Arial" w:hAnsi="Arial" w:cs="Arial"/>
        </w:rPr>
        <w:t>is problem, the New Criminal Procedural Code has regulated the prior preventive internment in health establishments, which has also been included in Law No. 30947</w:t>
      </w:r>
      <w:r w:rsidRPr="002E2EAA">
        <w:rPr>
          <w:rStyle w:val="FootnoteReference"/>
          <w:rFonts w:ascii="Arial" w:eastAsia="Arial" w:hAnsi="Arial" w:cs="Arial"/>
        </w:rPr>
        <w:footnoteReference w:id="41"/>
      </w:r>
      <w:r w:rsidRPr="002E2EAA">
        <w:rPr>
          <w:rFonts w:ascii="Arial" w:eastAsia="Arial" w:hAnsi="Arial" w:cs="Arial"/>
        </w:rPr>
        <w:t xml:space="preserve"> , and which aims to achieve a more reliable diagnosis to determine whether a person should b</w:t>
      </w:r>
      <w:r w:rsidRPr="002E2EAA">
        <w:rPr>
          <w:rFonts w:ascii="Arial" w:eastAsia="Arial" w:hAnsi="Arial" w:cs="Arial"/>
        </w:rPr>
        <w:t>e declared unimputable or not.</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At the procedural level, although the declaration of unimputability implies the corroboration of the criminal offense and its authorship by the person to be declared unimputable, however, this implies that his right to defense is restricted, since upon suc</w:t>
      </w:r>
      <w:r w:rsidRPr="002E2EAA">
        <w:rPr>
          <w:rFonts w:ascii="Arial" w:eastAsia="Arial" w:hAnsi="Arial" w:cs="Arial"/>
        </w:rPr>
        <w:t>h declaration he is excluded from the proceedings, and therefore his right to be heard in court, to present evidence in his defense, to timely access to a legal defense, to file appeals and even in the stage of execution of the security measure imposed, to</w:t>
      </w:r>
      <w:r w:rsidRPr="002E2EAA">
        <w:rPr>
          <w:rFonts w:ascii="Arial" w:eastAsia="Arial" w:hAnsi="Arial" w:cs="Arial"/>
        </w:rPr>
        <w:t xml:space="preserve"> access prison benefits that are available to the accused.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number of persons with security measures of internment in mental health facilities has not varied much in recent years. In the supervision carried out by the MICDPD on the occasion of the prep</w:t>
      </w:r>
      <w:r w:rsidRPr="002E2EAA">
        <w:rPr>
          <w:rFonts w:ascii="Arial" w:eastAsia="Arial" w:hAnsi="Arial" w:cs="Arial"/>
        </w:rPr>
        <w:t>aration of Ombudsman's Report No. 180, it was verified that of the 89 users declared unimputable who were in mental health facilities, 66.3% were located in psychiatric hospitals in Lima (59 persons), while the rest were distributed in general hospitals of</w:t>
      </w:r>
      <w:r w:rsidRPr="002E2EAA">
        <w:rPr>
          <w:rFonts w:ascii="Arial" w:eastAsia="Arial" w:hAnsi="Arial" w:cs="Arial"/>
        </w:rPr>
        <w:t xml:space="preserve"> the Minsa and regional governments, and in establishments of the Public Charity at the regional level.</w:t>
      </w:r>
    </w:p>
    <w:p w:rsidR="001004DA" w:rsidRDefault="00933E28">
      <w:pPr>
        <w:spacing w:before="120" w:after="120" w:line="240" w:lineRule="auto"/>
        <w:jc w:val="both"/>
        <w:rPr>
          <w:rFonts w:ascii="Arial" w:eastAsia="Arial" w:hAnsi="Arial" w:cs="Arial"/>
        </w:rPr>
      </w:pPr>
      <w:r w:rsidRPr="002E2EAA">
        <w:rPr>
          <w:rFonts w:ascii="Arial" w:eastAsia="Arial" w:hAnsi="Arial" w:cs="Arial"/>
        </w:rPr>
        <w:t>Likewise, the MICDPD identified that internment for security measures is ordered for periods ranging from five months to life. On the other hand, 47% of</w:t>
      </w:r>
      <w:r w:rsidRPr="002E2EAA">
        <w:rPr>
          <w:rFonts w:ascii="Arial" w:eastAsia="Arial" w:hAnsi="Arial" w:cs="Arial"/>
        </w:rPr>
        <w:t xml:space="preserve"> the persons declared unfit to be held in psychiatric hospitals in Lima are in a situation of medical discharge. This problem is also addressed in Law No. 30947, which states that the security measure of hospitalization ordered by the criminal judge should</w:t>
      </w:r>
      <w:r w:rsidRPr="002E2EAA">
        <w:rPr>
          <w:rFonts w:ascii="Arial" w:eastAsia="Arial" w:hAnsi="Arial" w:cs="Arial"/>
        </w:rPr>
        <w:t xml:space="preserve"> not exceed the duration considered by the medical board; and in cases of discharge, the judge should evaluate the adoption of outpatient security measures.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 other hand, the sentences that declare the unimputability of a person and impose the securit</w:t>
      </w:r>
      <w:r w:rsidRPr="002E2EAA">
        <w:rPr>
          <w:rFonts w:ascii="Arial" w:eastAsia="Arial" w:hAnsi="Arial" w:cs="Arial"/>
        </w:rPr>
        <w:t xml:space="preserve">y measure are </w:t>
      </w:r>
      <w:r w:rsidR="002578D0" w:rsidRPr="002E2EAA">
        <w:rPr>
          <w:rFonts w:ascii="Arial" w:eastAsia="Arial" w:hAnsi="Arial" w:cs="Arial"/>
        </w:rPr>
        <w:t xml:space="preserve">based </w:t>
      </w:r>
      <w:r w:rsidRPr="002E2EAA">
        <w:rPr>
          <w:rFonts w:ascii="Arial" w:eastAsia="Arial" w:hAnsi="Arial" w:cs="Arial"/>
        </w:rPr>
        <w:t>on criteria of dangerousness of the agent and his presumption of committing a future crime, a situation that obviates criteria of rehabilitation and restoration of mental health. Likewise, these specialized mental health services are sa</w:t>
      </w:r>
      <w:r w:rsidRPr="002E2EAA">
        <w:rPr>
          <w:rFonts w:ascii="Arial" w:eastAsia="Arial" w:hAnsi="Arial" w:cs="Arial"/>
        </w:rPr>
        <w:t>turated due to the internment measures, whose waiting list results in internment in penitentiary establishments which do not guarantee mental health care, since there is a lack of diagnosis and treatment of mental health, due to the lack of specialized and</w:t>
      </w:r>
      <w:r w:rsidRPr="002E2EAA">
        <w:rPr>
          <w:rFonts w:ascii="Arial" w:eastAsia="Arial" w:hAnsi="Arial" w:cs="Arial"/>
        </w:rPr>
        <w:t xml:space="preserve"> sufficient medical personnel, as well as the proper separation of spaces with the other prison population, a situation that despite the fact that the Constitutional Court has declared it as an unconstitutional state of affairs, no attention is given to th</w:t>
      </w:r>
      <w:r w:rsidRPr="002E2EAA">
        <w:rPr>
          <w:rFonts w:ascii="Arial" w:eastAsia="Arial" w:hAnsi="Arial" w:cs="Arial"/>
        </w:rPr>
        <w:t>is problem that afflicts the national penitentiary system.</w:t>
      </w:r>
    </w:p>
    <w:p w:rsidR="001004DA" w:rsidRDefault="00933E28">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The MICDP found that the Judiciary continues to declare persons unimputable and impose security measures based on the criterion of dangerousness and without taking into consideration Law No. 30947,</w:t>
      </w:r>
      <w:r w:rsidRPr="002E2EAA">
        <w:rPr>
          <w:rFonts w:ascii="Arial" w:eastAsia="Times New Roman" w:hAnsi="Arial" w:cs="Arial"/>
          <w:lang w:val="es-MX" w:eastAsia="en-US"/>
        </w:rPr>
        <w:t xml:space="preserve"> Mental Health Law, a situation that contradicts the model of community mental health care. As a result, the list of persons declared unfit to be held in a specialized mental health facility has increased. Likewise, it was found that the Judiciary is not c</w:t>
      </w:r>
      <w:r w:rsidRPr="002E2EAA">
        <w:rPr>
          <w:rFonts w:ascii="Arial" w:eastAsia="Times New Roman" w:hAnsi="Arial" w:cs="Arial"/>
          <w:lang w:val="es-MX" w:eastAsia="en-US"/>
        </w:rPr>
        <w:t xml:space="preserve">hanging the security measures from internment to outpatient treatment despite the existence of reports from the medical boards of the mental health establishments recommending the medical discharge of the person declared unfit.  </w:t>
      </w:r>
    </w:p>
    <w:p w:rsidR="001004DA" w:rsidRDefault="00933E28">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By means of Official Commu</w:t>
      </w:r>
      <w:r w:rsidRPr="002E2EAA">
        <w:rPr>
          <w:rFonts w:ascii="Arial" w:eastAsia="Times New Roman" w:hAnsi="Arial" w:cs="Arial"/>
          <w:lang w:val="es-MX" w:eastAsia="en-US"/>
        </w:rPr>
        <w:t>nication No. 182-2022-DG-229-OAJ-HVLH/MINSA dated June 28, 2022, the General Directorate of the Victor Larco Herrera Hospital -HVLH, informed the MICDPD that, to date, there were 28 persons declared unimputable hospitalized at the HVLH, and 133 persons wit</w:t>
      </w:r>
      <w:r w:rsidRPr="002E2EAA">
        <w:rPr>
          <w:rFonts w:ascii="Arial" w:eastAsia="Times New Roman" w:hAnsi="Arial" w:cs="Arial"/>
          <w:lang w:val="es-MX" w:eastAsia="en-US"/>
        </w:rPr>
        <w:t>h a security measure who are on a waiting list with an order for hospitalization at said specialized mental health facility.</w:t>
      </w:r>
    </w:p>
    <w:p w:rsidR="001004DA" w:rsidRDefault="00933E28">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Likewise, on November 28, 2022, through Official Communication No. 1346-DG-HHV-2022, the Hermilio Valdizán Hospital informed the Ju</w:t>
      </w:r>
      <w:r w:rsidRPr="002E2EAA">
        <w:rPr>
          <w:rFonts w:ascii="Arial" w:eastAsia="Times New Roman" w:hAnsi="Arial" w:cs="Arial"/>
          <w:lang w:val="es-MX" w:eastAsia="en-US"/>
        </w:rPr>
        <w:t>dge of the Transitory JIP of Santa Anita, Superior Court of East Lima, "that there are no beds available for the hospitalization of patients with court orders, currently there is an excess of three patients in that legal condition, affecting the quality of</w:t>
      </w:r>
      <w:r w:rsidRPr="002E2EAA">
        <w:rPr>
          <w:rFonts w:ascii="Arial" w:eastAsia="Times New Roman" w:hAnsi="Arial" w:cs="Arial"/>
          <w:lang w:val="es-MX" w:eastAsia="en-US"/>
        </w:rPr>
        <w:t xml:space="preserve"> care, according to the current regulations of the Minsa. In the last update of a Waiting List for the hospitalization of patients with court orders at the HHV, there were one hundred and sixteen (116) patients requested" (sic).</w:t>
      </w:r>
    </w:p>
    <w:p w:rsidR="001004DA" w:rsidRDefault="00933E28">
      <w:pPr>
        <w:spacing w:before="120" w:after="120" w:line="240" w:lineRule="auto"/>
        <w:jc w:val="both"/>
        <w:rPr>
          <w:rFonts w:ascii="Arial" w:eastAsia="Arial" w:hAnsi="Arial" w:cs="Arial"/>
        </w:rPr>
      </w:pPr>
      <w:r w:rsidRPr="002E2EAA">
        <w:rPr>
          <w:rFonts w:ascii="Arial" w:eastAsia="Arial" w:hAnsi="Arial" w:cs="Arial"/>
        </w:rPr>
        <w:t>Finally, the MICDPD alerted</w:t>
      </w:r>
      <w:r w:rsidRPr="002E2EAA">
        <w:rPr>
          <w:rFonts w:ascii="Arial" w:eastAsia="Arial" w:hAnsi="Arial" w:cs="Arial"/>
        </w:rPr>
        <w:t xml:space="preserve"> the MINJUSDH regarding Legislative Decree No. 1348 approving the Code of Criminal Responsibility of Adolescents, which introduces the figure of exoneration from criminal responsibility for cases of adolescents with mental abnormalities, allowing for inter</w:t>
      </w:r>
      <w:r w:rsidRPr="002E2EAA">
        <w:rPr>
          <w:rFonts w:ascii="Arial" w:eastAsia="Arial" w:hAnsi="Arial" w:cs="Arial"/>
        </w:rPr>
        <w:t>nment in a mental health center</w:t>
      </w:r>
      <w:r w:rsidRPr="002E2EAA">
        <w:rPr>
          <w:rStyle w:val="FootnoteReference"/>
          <w:rFonts w:ascii="Arial" w:eastAsia="Arial" w:hAnsi="Arial" w:cs="Arial"/>
        </w:rPr>
        <w:footnoteReference w:id="42"/>
      </w:r>
      <w:r w:rsidRPr="002E2EAA">
        <w:rPr>
          <w:rFonts w:ascii="Arial" w:eastAsia="Arial" w:hAnsi="Arial" w:cs="Arial"/>
        </w:rPr>
        <w:t xml:space="preserve"> . In this regard, it was pointed out, among other things, that the "exoneration of responsibility" entailed that the criminal process would not be followed with the same guarantees and conditions that are followed for peopl</w:t>
      </w:r>
      <w:r w:rsidRPr="002E2EAA">
        <w:rPr>
          <w:rFonts w:ascii="Arial" w:eastAsia="Arial" w:hAnsi="Arial" w:cs="Arial"/>
        </w:rPr>
        <w:t>e who do not have the condition of mental or psychosocial disability. To date, despite the recommendations of the MICDPD, no action has been taken to repeal this rule.</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view of the above, the MICDPD considers it necessary to recommend to the Peruvian Sta</w:t>
      </w:r>
      <w:r w:rsidRPr="002E2EAA">
        <w:rPr>
          <w:rFonts w:ascii="Arial" w:eastAsia="Arial" w:hAnsi="Arial" w:cs="Arial"/>
        </w:rPr>
        <w:t xml:space="preserve">te that the regulation of security measures and the declaration of unimputability in the Peruvian penal system should be reevaluated in light of the </w:t>
      </w:r>
      <w:r w:rsidR="002578D0" w:rsidRPr="002E2EAA">
        <w:rPr>
          <w:rFonts w:ascii="Arial" w:eastAsia="Arial" w:hAnsi="Arial" w:cs="Arial"/>
        </w:rPr>
        <w:t xml:space="preserve">provisions of </w:t>
      </w:r>
      <w:r w:rsidRPr="002E2EAA">
        <w:rPr>
          <w:rFonts w:ascii="Arial" w:eastAsia="Arial" w:hAnsi="Arial" w:cs="Arial"/>
        </w:rPr>
        <w:t>the CRPD. Additionally, it is considered necessary to recommend to the Peruvian State to modi</w:t>
      </w:r>
      <w:r w:rsidRPr="002E2EAA">
        <w:rPr>
          <w:rFonts w:ascii="Arial" w:eastAsia="Arial" w:hAnsi="Arial" w:cs="Arial"/>
        </w:rPr>
        <w:t xml:space="preserve">fy article 23 of Legislative Decree No. 1348, Code of Criminal Responsibility of Adolescents, which allows for the involuntary internment of adolescents in conflict with criminal law. </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Exploitation, violence and abuse (article 16º)</w:t>
      </w: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The right of women with disabilities, victims of violence, to judicial protection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Law to Prevent, Punish and Eradicate Violence against Women and Family Members</w:t>
      </w:r>
      <w:r w:rsidRPr="002E2EAA">
        <w:rPr>
          <w:rFonts w:ascii="Arial" w:eastAsia="Arial" w:hAnsi="Arial" w:cs="Arial"/>
          <w:vertAlign w:val="superscript"/>
        </w:rPr>
        <w:footnoteReference w:id="43"/>
      </w:r>
      <w:r w:rsidRPr="002E2EAA">
        <w:rPr>
          <w:rFonts w:ascii="Arial" w:eastAsia="Arial" w:hAnsi="Arial" w:cs="Arial"/>
        </w:rPr>
        <w:t xml:space="preserve"> and its regulations include disability as a condition of vulnerability. On the other hand</w:t>
      </w:r>
      <w:r w:rsidRPr="002E2EAA">
        <w:rPr>
          <w:rFonts w:ascii="Arial" w:eastAsia="Arial" w:hAnsi="Arial" w:cs="Arial"/>
        </w:rPr>
        <w:t>, the law regulates the use of an instrument called "Risk Assessment Form", which has the purpose of detecting and measuring the risks to which a victim is exposed. However, in this instrument, the notation of the condition of disability is only intended f</w:t>
      </w:r>
      <w:r w:rsidRPr="002E2EAA">
        <w:rPr>
          <w:rFonts w:ascii="Arial" w:eastAsia="Arial" w:hAnsi="Arial" w:cs="Arial"/>
        </w:rPr>
        <w:t xml:space="preserve">or the authorities to identify the situation of the person, but not to measure a greater risk in view of the barriers that a person with such condition must face.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 other hand, the norms maintain the perception of the person with disabilities as some</w:t>
      </w:r>
      <w:r w:rsidRPr="002E2EAA">
        <w:rPr>
          <w:rFonts w:ascii="Arial" w:eastAsia="Arial" w:hAnsi="Arial" w:cs="Arial"/>
        </w:rPr>
        <w:t>one to be helped and protected, neglecting the guarantee of accessibility of services for women with disabilities, in terms of communication and information, for example, in the services provided by the National Program against Family and Sexual Violence o</w:t>
      </w:r>
      <w:r w:rsidRPr="002E2EAA">
        <w:rPr>
          <w:rFonts w:ascii="Arial" w:eastAsia="Arial" w:hAnsi="Arial" w:cs="Arial"/>
        </w:rPr>
        <w:t>f the Ministry of Women.</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5" w:name="_Toc524617982"/>
      <w:bookmarkEnd w:id="2"/>
      <w:r w:rsidRPr="002E2EAA">
        <w:rPr>
          <w:rFonts w:ascii="Arial" w:eastAsia="Arial" w:hAnsi="Arial" w:cs="Arial"/>
          <w:color w:val="auto"/>
          <w:sz w:val="22"/>
          <w:szCs w:val="22"/>
        </w:rPr>
        <w:t>Independent living and inclusion in the community</w:t>
      </w:r>
      <w:bookmarkEnd w:id="5"/>
      <w:r w:rsidRPr="002E2EAA">
        <w:rPr>
          <w:rFonts w:ascii="Arial" w:eastAsia="Arial" w:hAnsi="Arial" w:cs="Arial"/>
          <w:color w:val="auto"/>
          <w:sz w:val="22"/>
          <w:szCs w:val="22"/>
        </w:rPr>
        <w:t xml:space="preserve"> (article 19º)</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Article 12 of the CRPD establishes that States must recognize the legal capacity of persons with disabilities, but in turn must adopt measures for the implementation </w:t>
      </w:r>
      <w:r w:rsidRPr="002E2EAA">
        <w:rPr>
          <w:rFonts w:ascii="Arial" w:eastAsia="Arial" w:hAnsi="Arial" w:cs="Arial"/>
        </w:rPr>
        <w:t xml:space="preserve">of necessary supports and safeguards. All this in order to contribute to enable persons with disabilities to live independently.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Although the Peruvian State has recognized the legal capacity of persons with disabilities by creating the figures of support </w:t>
      </w:r>
      <w:r w:rsidRPr="002E2EAA">
        <w:rPr>
          <w:rFonts w:ascii="Arial" w:eastAsia="Arial" w:hAnsi="Arial" w:cs="Arial"/>
        </w:rPr>
        <w:t>and safeguards for decision making through Legislative Decree No. 1384, the search for their inclusion is not exhausted in that aspect. It is recalled that persons with disabilities face barriers in different areas of life, such as health, financial, studi</w:t>
      </w:r>
      <w:r w:rsidRPr="002E2EAA">
        <w:rPr>
          <w:rFonts w:ascii="Arial" w:eastAsia="Arial" w:hAnsi="Arial" w:cs="Arial"/>
        </w:rPr>
        <w:t xml:space="preserve">es, employment, among others; therefore, it is necessary for the State to promote policies and/or programs to strengthen their capacities and provide them with the option of support and/or personal assistance if required.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this regard, the Peruvian Stat</w:t>
      </w:r>
      <w:r w:rsidRPr="002E2EAA">
        <w:rPr>
          <w:rFonts w:ascii="Arial" w:eastAsia="Arial" w:hAnsi="Arial" w:cs="Arial"/>
        </w:rPr>
        <w:t>e has developed some initiatives to promote their inclusion; however, these have problems such as not being prolonged in time, or not being worked in an articulated manner by the sectors. Such is the case of the Pilot plan "Work with you, employment with s</w:t>
      </w:r>
      <w:r w:rsidRPr="002E2EAA">
        <w:rPr>
          <w:rFonts w:ascii="Arial" w:eastAsia="Arial" w:hAnsi="Arial" w:cs="Arial"/>
        </w:rPr>
        <w:t xml:space="preserve">upport" (2013) of the Ministry of Labor, which sought to offer 100 jobs aimed at people with Down syndrome and Asperger's syndrome. Although this plan was established as an interesting initiative to promote the inclusion of people with disabilities in the </w:t>
      </w:r>
      <w:r w:rsidRPr="002E2EAA">
        <w:rPr>
          <w:rFonts w:ascii="Arial" w:eastAsia="Arial" w:hAnsi="Arial" w:cs="Arial"/>
        </w:rPr>
        <w:t>workplace, there was no continuity in its implementation.</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view of the above, the MICDPD considers it necessary to urge the Peruvian State to pass a law regulating personal assistance for persons with disabilities, as well as to implement policies and/or</w:t>
      </w:r>
      <w:r w:rsidRPr="002E2EAA">
        <w:rPr>
          <w:rFonts w:ascii="Arial" w:eastAsia="Arial" w:hAnsi="Arial" w:cs="Arial"/>
        </w:rPr>
        <w:t xml:space="preserve"> programs for the promotion of capabilities, support and personal assistance. These should be continuous and articulated among all sectors, allocating budget. Finally, it is suggested that training on respect for legal capacity, implementation of the suppo</w:t>
      </w:r>
      <w:r w:rsidRPr="002E2EAA">
        <w:rPr>
          <w:rFonts w:ascii="Arial" w:eastAsia="Arial" w:hAnsi="Arial" w:cs="Arial"/>
        </w:rPr>
        <w:t>rt system and safeguards for the exercise of legal capacity should be emphasized.</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6" w:name="_Toc524617984"/>
      <w:r w:rsidRPr="002E2EAA">
        <w:rPr>
          <w:rFonts w:ascii="Arial" w:eastAsia="Arial" w:hAnsi="Arial" w:cs="Arial"/>
          <w:color w:val="auto"/>
          <w:sz w:val="22"/>
          <w:szCs w:val="22"/>
        </w:rPr>
        <w:t>Respect for the home and family</w:t>
      </w:r>
      <w:bookmarkEnd w:id="6"/>
      <w:r w:rsidRPr="002E2EAA">
        <w:rPr>
          <w:rFonts w:ascii="Arial" w:eastAsia="Arial" w:hAnsi="Arial" w:cs="Arial"/>
          <w:color w:val="auto"/>
          <w:sz w:val="22"/>
          <w:szCs w:val="22"/>
        </w:rPr>
        <w:t xml:space="preserve"> (article 23º)</w:t>
      </w:r>
    </w:p>
    <w:p w:rsidR="001004DA" w:rsidRDefault="00933E28">
      <w:pPr>
        <w:pBdr>
          <w:top w:val="nil"/>
          <w:left w:val="nil"/>
          <w:bottom w:val="nil"/>
          <w:right w:val="nil"/>
          <w:between w:val="nil"/>
        </w:pBdr>
        <w:spacing w:before="120" w:after="120" w:line="240" w:lineRule="auto"/>
        <w:jc w:val="both"/>
        <w:rPr>
          <w:rFonts w:ascii="Arial" w:eastAsia="Arial" w:hAnsi="Arial" w:cs="Arial"/>
        </w:rPr>
      </w:pPr>
      <w:r w:rsidRPr="002E2EAA">
        <w:rPr>
          <w:rFonts w:ascii="Arial" w:eastAsia="Arial" w:hAnsi="Arial" w:cs="Arial"/>
        </w:rPr>
        <w:t>Law No. 29973, General Law on Persons with Disabilities, recognizes the right of all persons with disabilities to marry and to freely decide on the exercise of their sexuality and fertility</w:t>
      </w:r>
      <w:r w:rsidRPr="002E2EAA">
        <w:rPr>
          <w:rFonts w:ascii="Arial" w:eastAsia="Arial" w:hAnsi="Arial" w:cs="Arial"/>
          <w:vertAlign w:val="superscript"/>
        </w:rPr>
        <w:footnoteReference w:id="44"/>
      </w:r>
      <w:r w:rsidRPr="002E2EAA">
        <w:rPr>
          <w:rFonts w:ascii="Arial" w:eastAsia="Arial" w:hAnsi="Arial" w:cs="Arial"/>
        </w:rPr>
        <w:t xml:space="preserve"> . This is consistent with the provisions of the Technical Health </w:t>
      </w:r>
      <w:r w:rsidRPr="002E2EAA">
        <w:rPr>
          <w:rFonts w:ascii="Arial" w:eastAsia="Arial" w:hAnsi="Arial" w:cs="Arial"/>
        </w:rPr>
        <w:t>Standard on Family Planning, which recognizes the right of all persons with disabilities to sexual and reproductive health care services without any type of discrimination</w:t>
      </w:r>
      <w:r w:rsidRPr="002E2EAA">
        <w:rPr>
          <w:rFonts w:ascii="Arial" w:eastAsia="Arial" w:hAnsi="Arial" w:cs="Arial"/>
          <w:vertAlign w:val="superscript"/>
        </w:rPr>
        <w:footnoteReference w:id="45"/>
      </w:r>
      <w:r w:rsidRPr="002E2EAA">
        <w:rPr>
          <w:rFonts w:ascii="Arial" w:eastAsia="Arial" w:hAnsi="Arial" w:cs="Arial"/>
        </w:rPr>
        <w:t xml:space="preserve"> , thus granting them differentiated guidance and counseling</w:t>
      </w:r>
      <w:r w:rsidRPr="002E2EAA">
        <w:rPr>
          <w:rFonts w:ascii="Arial" w:eastAsia="Arial" w:hAnsi="Arial" w:cs="Arial"/>
          <w:vertAlign w:val="superscript"/>
        </w:rPr>
        <w:footnoteReference w:id="46"/>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However, Article 17</w:t>
      </w:r>
      <w:r w:rsidRPr="002E2EAA">
        <w:rPr>
          <w:rFonts w:ascii="Arial" w:eastAsia="Arial" w:hAnsi="Arial" w:cs="Arial"/>
        </w:rPr>
        <w:t>2 of the recently amended Penal Code</w:t>
      </w:r>
      <w:r w:rsidRPr="002E2EAA">
        <w:rPr>
          <w:rFonts w:ascii="Arial" w:eastAsia="Arial" w:hAnsi="Arial" w:cs="Arial"/>
          <w:vertAlign w:val="superscript"/>
        </w:rPr>
        <w:footnoteReference w:id="47"/>
      </w:r>
      <w:r w:rsidRPr="002E2EAA">
        <w:rPr>
          <w:rFonts w:ascii="Arial" w:eastAsia="Arial" w:hAnsi="Arial" w:cs="Arial"/>
        </w:rPr>
        <w:t xml:space="preserve"> seems to indicate that persons with intellectual and/or psychosocial disabilities cannot give their sexual consent. This article has been analyzed in a cassation sentence of the Transitory Criminal Court of Huaura, whi</w:t>
      </w:r>
      <w:r w:rsidRPr="002E2EAA">
        <w:rPr>
          <w:rFonts w:ascii="Arial" w:eastAsia="Arial" w:hAnsi="Arial" w:cs="Arial"/>
        </w:rPr>
        <w:t>ch has pointed out that it should be interpreted in accordance with the CRPD, valuing the possibility of free sexual consent by the person with a disability</w:t>
      </w:r>
      <w:r w:rsidRPr="002E2EAA">
        <w:rPr>
          <w:rStyle w:val="FootnoteReference"/>
          <w:rFonts w:ascii="Arial" w:eastAsia="Arial" w:hAnsi="Arial" w:cs="Arial"/>
        </w:rPr>
        <w:footnoteReference w:id="48"/>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Along these lines, the MICDPD considers it necessary to recommend to the Peruvian State that, t</w:t>
      </w:r>
      <w:r w:rsidRPr="002E2EAA">
        <w:rPr>
          <w:rFonts w:ascii="Arial" w:eastAsia="Arial" w:hAnsi="Arial" w:cs="Arial"/>
        </w:rPr>
        <w:t>hrough the Public Prosecutor's Office and the Judiciary, guidelines be developed and mechanisms identified to guarantee respect for the sexual consent of persons with disabilities in proceedings against sexual freedom, without stigmatizing their legal capa</w:t>
      </w:r>
      <w:r w:rsidRPr="002E2EAA">
        <w:rPr>
          <w:rFonts w:ascii="Arial" w:eastAsia="Arial" w:hAnsi="Arial" w:cs="Arial"/>
        </w:rPr>
        <w:t xml:space="preserve">city to give their consent; as well as to ensure that their vulnerable condition is not a reason for abuse or justification for not listening to their opinion. </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8" w:name="_Toc524617985"/>
      <w:r w:rsidRPr="002E2EAA">
        <w:rPr>
          <w:rFonts w:ascii="Arial" w:eastAsia="Arial" w:hAnsi="Arial" w:cs="Arial"/>
          <w:color w:val="auto"/>
          <w:sz w:val="22"/>
          <w:szCs w:val="22"/>
        </w:rPr>
        <w:t>Education</w:t>
      </w:r>
      <w:bookmarkEnd w:id="8"/>
      <w:r w:rsidRPr="002E2EAA">
        <w:rPr>
          <w:rFonts w:ascii="Arial" w:eastAsia="Arial" w:hAnsi="Arial" w:cs="Arial"/>
          <w:color w:val="auto"/>
          <w:sz w:val="22"/>
          <w:szCs w:val="22"/>
        </w:rPr>
        <w:t xml:space="preserve"> (article 24º)</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There are regulations in the Peruvian State that recognize the right t</w:t>
      </w:r>
      <w:r w:rsidRPr="002E2EAA">
        <w:rPr>
          <w:rFonts w:ascii="Arial" w:eastAsia="Arial" w:hAnsi="Arial" w:cs="Arial"/>
        </w:rPr>
        <w:t>o inclusive education for persons with disabilities. Accordingly, the government has provided for: (i) the reservation of at least 2 vacancies per classroom for students with mild and moderate disabilities in regular educational institutions and in the alt</w:t>
      </w:r>
      <w:r w:rsidRPr="002E2EAA">
        <w:rPr>
          <w:rFonts w:ascii="Arial" w:eastAsia="Arial" w:hAnsi="Arial" w:cs="Arial"/>
        </w:rPr>
        <w:t>ernative basic education modality; (ii) the obligation to make methodological and curricular adaptations and reasonable accommodations; (iii) the implementation of specialized support equipment in public education; (iv) the obligation to train teachers; (v</w:t>
      </w:r>
      <w:r w:rsidRPr="002E2EAA">
        <w:rPr>
          <w:rFonts w:ascii="Arial" w:eastAsia="Arial" w:hAnsi="Arial" w:cs="Arial"/>
        </w:rPr>
        <w:t>) the availability of budget to improve the infrastructure of the educational institution; among others.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However, the normative progress is not enough, since persons with disabilities still continue to constitute one of the groups of the population whose rights in the educational sphere are violated. For such reason, in 2019, the MICDPD conducted a national m</w:t>
      </w:r>
      <w:r w:rsidRPr="002E2EAA">
        <w:rPr>
          <w:rFonts w:ascii="Arial" w:eastAsia="Arial" w:hAnsi="Arial" w:cs="Arial"/>
        </w:rPr>
        <w:t>onitoring on the right to inclusive education in Peru, which culminated in the publication of Ombudsman Report No. 183: "The right to inclusive education. Barriers in the implementation of public and private educational services for students with disabilit</w:t>
      </w:r>
      <w:r w:rsidRPr="002E2EAA">
        <w:rPr>
          <w:rFonts w:ascii="Arial" w:eastAsia="Arial" w:hAnsi="Arial" w:cs="Arial"/>
        </w:rPr>
        <w:t>ies and other educational needs"</w:t>
      </w:r>
      <w:r w:rsidRPr="002E2EAA">
        <w:rPr>
          <w:rStyle w:val="FootnoteReference"/>
          <w:rFonts w:ascii="Arial" w:eastAsia="Arial" w:hAnsi="Arial" w:cs="Arial"/>
        </w:rPr>
        <w:footnoteReference w:id="49"/>
      </w:r>
      <w:r w:rsidRPr="002E2EAA">
        <w:rPr>
          <w:rFonts w:ascii="Arial" w:eastAsia="Arial" w:hAnsi="Arial" w:cs="Arial"/>
        </w:rPr>
        <w:t xml:space="preserve"> . Among its main findings are:</w:t>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The educational model that segregates people with severe disabilities and people with multiple disabilities, who have access to the educational system through Special Basic Education Centers,</w:t>
      </w:r>
      <w:r w:rsidRPr="002E2EAA">
        <w:rPr>
          <w:rFonts w:ascii="Arial" w:eastAsia="Arial" w:hAnsi="Arial" w:cs="Arial"/>
        </w:rPr>
        <w:t xml:space="preserve"> unlike people with mild or moderate disabilities, who have the possibility of accessing regular schools, is maintained. Maintaining a model that segregates people based on their condition contravenes Article 24 of the CRPD.</w:t>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There is a lack of understandin</w:t>
      </w:r>
      <w:r w:rsidRPr="002E2EAA">
        <w:rPr>
          <w:rFonts w:ascii="Arial" w:eastAsia="Arial" w:hAnsi="Arial" w:cs="Arial"/>
        </w:rPr>
        <w:t>g of the problem on the part of Regional Directors of Education and Local Educational Management Units, as well as the absence of management instruments that would allow knowing the progress and limitations in the implementation of actions aimed at serving</w:t>
      </w:r>
      <w:r w:rsidRPr="002E2EAA">
        <w:rPr>
          <w:rFonts w:ascii="Arial" w:eastAsia="Arial" w:hAnsi="Arial" w:cs="Arial"/>
        </w:rPr>
        <w:t xml:space="preserve"> students with special needs, including people with disabilities.</w:t>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The 2019 School Census records 21,157 educational institutions of Regular Basic Education that have at least one student enrolled with Special Educational Needs (SEN), a figure that represen</w:t>
      </w:r>
      <w:r w:rsidRPr="002E2EAA">
        <w:rPr>
          <w:rFonts w:ascii="Arial" w:eastAsia="Arial" w:hAnsi="Arial" w:cs="Arial"/>
        </w:rPr>
        <w:t>ts 19.74% of the total number of Regular Basic Education institutions. 80.26% of Regular Basic Education educational institutions do not have students enrolled with Special Educational Needs (SEN). This is worrisome, considering that in the supervision, se</w:t>
      </w:r>
      <w:r w:rsidRPr="002E2EAA">
        <w:rPr>
          <w:rFonts w:ascii="Arial" w:eastAsia="Arial" w:hAnsi="Arial" w:cs="Arial"/>
        </w:rPr>
        <w:t>veral cases of discrimination were observed, from the persistence in denying enrollment to these students, conditioning their permanence to the presentation of medical reports or the accompaniment of a "shadow teacher" especially in private educational ins</w:t>
      </w:r>
      <w:r w:rsidRPr="002E2EAA">
        <w:rPr>
          <w:rFonts w:ascii="Arial" w:eastAsia="Arial" w:hAnsi="Arial" w:cs="Arial"/>
        </w:rPr>
        <w:t>titutions, the additional payment for supposed support services for their educational needs, among others.</w:t>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 xml:space="preserve">Physical and architectural barriers that violate the right to accessibility of students with disabilities persist. According to information provided </w:t>
      </w:r>
      <w:r w:rsidRPr="002E2EAA">
        <w:rPr>
          <w:rFonts w:ascii="Arial" w:eastAsia="Arial" w:hAnsi="Arial" w:cs="Arial"/>
        </w:rPr>
        <w:t>by Minedu, only 0.7% of educational institutions nationwide were fully accessible to persons with disabilities, while 3.2% were partially accessible.</w:t>
      </w:r>
      <w:r w:rsidRPr="002E2EAA">
        <w:rPr>
          <w:rFonts w:ascii="Arial" w:hAnsi="Arial" w:cs="Arial"/>
          <w:vertAlign w:val="superscript"/>
        </w:rPr>
        <w:footnoteReference w:id="50"/>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Regarding school infrastructure, most of the budget continues to be focused on special basic education pr</w:t>
      </w:r>
      <w:r w:rsidRPr="002E2EAA">
        <w:rPr>
          <w:rFonts w:ascii="Arial" w:eastAsia="Arial" w:hAnsi="Arial" w:cs="Arial"/>
        </w:rPr>
        <w:t>ojects, with 68.5%, despite the lack of accessibility conditions in inclusive educational institutions.</w:t>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The budget allocated to inclusive education is concentrated in Budgetary Program 106: "Inclusion of children and youth with disabilities in basic and pr</w:t>
      </w:r>
      <w:r w:rsidRPr="002E2EAA">
        <w:rPr>
          <w:rFonts w:ascii="Arial" w:eastAsia="Arial" w:hAnsi="Arial" w:cs="Arial"/>
        </w:rPr>
        <w:t>oductive technical education" (PP 106). The MICDPD is concerned that this program is mainly implemented in the Special Basic Education system (Cebe, Prite), in Alternative Basic Education (EBA) and in the Technical Productive Education Centers (Cetpro). Th</w:t>
      </w:r>
      <w:r w:rsidRPr="002E2EAA">
        <w:rPr>
          <w:rFonts w:ascii="Arial" w:eastAsia="Arial" w:hAnsi="Arial" w:cs="Arial"/>
        </w:rPr>
        <w:t xml:space="preserve">is is evidence of the Peruvian State's lack of understanding of the right to inclusive education. </w:t>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Problems related to the coverage of the Support and Counseling Service for the Attention of Special Educational Needs (Saanee) were evidenced, such as work o</w:t>
      </w:r>
      <w:r w:rsidRPr="002E2EAA">
        <w:rPr>
          <w:rFonts w:ascii="Arial" w:eastAsia="Arial" w:hAnsi="Arial" w:cs="Arial"/>
        </w:rPr>
        <w:t>verload, lack of time availability on the part of educational institutions, insufficient budget allocation, untimely delivery of Individual Orientation Plans, the lack of commitment of teachers to carry out curricular adaptations, the requirement to have m</w:t>
      </w:r>
      <w:r w:rsidRPr="002E2EAA">
        <w:rPr>
          <w:rFonts w:ascii="Arial" w:eastAsia="Arial" w:hAnsi="Arial" w:cs="Arial"/>
        </w:rPr>
        <w:t>edical diagnoses or disability certificates, which in some cases has conditioned the provision of the service, as well as the lack of monitoring tools and a clearer regulatory framework regarding their responsibilities.</w:t>
      </w:r>
    </w:p>
    <w:p w:rsidR="001004DA" w:rsidRDefault="00933E28">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Regarding deaf students, in Peru the</w:t>
      </w:r>
      <w:r w:rsidRPr="002E2EAA">
        <w:rPr>
          <w:rFonts w:ascii="Arial" w:eastAsia="Arial" w:hAnsi="Arial" w:cs="Arial"/>
        </w:rPr>
        <w:t>re is a regulatory framework that recognizes the Peruvian Sign Language; however, there is no information regarding the number of sign language interpreters nationwide. During the supervision carried out in 2018, it was found that 22% of public educational</w:t>
      </w:r>
      <w:r w:rsidRPr="002E2EAA">
        <w:rPr>
          <w:rFonts w:ascii="Arial" w:eastAsia="Arial" w:hAnsi="Arial" w:cs="Arial"/>
        </w:rPr>
        <w:t xml:space="preserve"> institutions and 15% of private ones are not able to provide educational attention to deaf students; and 28% of supervised educational institutions stated that it is possible to deny enrollment to deaf students because the institution does not have a sign</w:t>
      </w:r>
      <w:r w:rsidRPr="002E2EAA">
        <w:rPr>
          <w:rFonts w:ascii="Arial" w:eastAsia="Arial" w:hAnsi="Arial" w:cs="Arial"/>
        </w:rPr>
        <w:t xml:space="preserve"> language interpreter.</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During the context of the Covid-19 health emergency, the barriers faced by persons with disabilities deepened. In 2020, the MICDPD carried out the monitoring of the implementation of non-presential inclusive education, the findings o</w:t>
      </w:r>
      <w:r w:rsidRPr="002E2EAA">
        <w:rPr>
          <w:rFonts w:ascii="Arial" w:eastAsia="Times New Roman" w:hAnsi="Arial" w:cs="Arial"/>
        </w:rPr>
        <w:t xml:space="preserve">f which are set out in Special Report N°36-2020-DP. Although the strategy "Aprendo en Casa" (I Learn at Home) allowed for the continuity of the school year, problems were evidenced related to the articulation and insufficient monitoring between the Minedu </w:t>
      </w:r>
      <w:r w:rsidRPr="002E2EAA">
        <w:rPr>
          <w:rFonts w:ascii="Arial" w:eastAsia="Times New Roman" w:hAnsi="Arial" w:cs="Arial"/>
        </w:rPr>
        <w:t>and the Decentralized Educational Management instances; insufficient trained personnel for the attention of people with educational needs associated or not to disability; insufficient pedagogical guidelines; limited amount of accessible and adapted educati</w:t>
      </w:r>
      <w:r w:rsidRPr="002E2EAA">
        <w:rPr>
          <w:rFonts w:ascii="Arial" w:eastAsia="Times New Roman" w:hAnsi="Arial" w:cs="Arial"/>
        </w:rPr>
        <w:t>onal material; among others.</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In 2021, the Minedu carried out three important actions to improve the implementation of an inclusive education policy that is more coherent and consistent with the CRPD and other normative instruments. First, it amended the Re</w:t>
      </w:r>
      <w:r w:rsidRPr="002E2EAA">
        <w:rPr>
          <w:rFonts w:ascii="Arial" w:eastAsia="Times New Roman" w:hAnsi="Arial" w:cs="Arial"/>
        </w:rPr>
        <w:t>gulation of the General Education Law</w:t>
      </w:r>
      <w:r w:rsidRPr="002E2EAA">
        <w:rPr>
          <w:rFonts w:ascii="Arial" w:eastAsia="Times New Roman" w:hAnsi="Arial" w:cs="Arial"/>
          <w:vertAlign w:val="superscript"/>
        </w:rPr>
        <w:footnoteReference w:id="51"/>
      </w:r>
      <w:r w:rsidRPr="002E2EAA">
        <w:rPr>
          <w:rFonts w:ascii="Arial" w:eastAsia="Times New Roman" w:hAnsi="Arial" w:cs="Arial"/>
        </w:rPr>
        <w:t xml:space="preserve"> , in order to develop the scope of the inclusive education policy. This reform incorporates the recommendation of the MICDPD aimed at moving towards an effectively inclusive, not segregated, educational service model.</w:t>
      </w:r>
      <w:r w:rsidRPr="002E2EAA">
        <w:rPr>
          <w:rFonts w:ascii="Arial" w:eastAsia="Times New Roman" w:hAnsi="Arial" w:cs="Arial"/>
        </w:rPr>
        <w:t xml:space="preserve"> </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Secondly, the "National Emergency Plan for the Peruvian Educational System"</w:t>
      </w:r>
      <w:r w:rsidRPr="002E2EAA">
        <w:rPr>
          <w:rFonts w:ascii="Arial" w:eastAsia="Times New Roman" w:hAnsi="Arial" w:cs="Arial"/>
          <w:vertAlign w:val="superscript"/>
        </w:rPr>
        <w:footnoteReference w:id="52"/>
      </w:r>
      <w:r w:rsidRPr="002E2EAA">
        <w:rPr>
          <w:rFonts w:ascii="Arial" w:eastAsia="Times New Roman" w:hAnsi="Arial" w:cs="Arial"/>
        </w:rPr>
        <w:t xml:space="preserve"> was approved, </w:t>
      </w:r>
      <w:r w:rsidRPr="002E2EAA">
        <w:rPr>
          <w:rFonts w:ascii="Arial" w:eastAsia="Times New Roman" w:hAnsi="Arial" w:cs="Arial"/>
        </w:rPr>
        <w:t>which incorporates axis 5: Integral attention to rural, indigenous, Afro-Peruvian populations and people with disabilities. This document is a management tool that provides the opportunity to specify the application of the disability approach in the educat</w:t>
      </w:r>
      <w:r w:rsidRPr="002E2EAA">
        <w:rPr>
          <w:rFonts w:ascii="Arial" w:eastAsia="Times New Roman" w:hAnsi="Arial" w:cs="Arial"/>
        </w:rPr>
        <w:t>ional policy, oriented to the effective exercise of the rights of students with disabilities.</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Finally, on December 10, 2021, the Minedu made available the draft of the "Framework Plan that guides the implementation of inclusive education". This proposal in</w:t>
      </w:r>
      <w:r w:rsidRPr="002E2EAA">
        <w:rPr>
          <w:rFonts w:ascii="Arial" w:eastAsia="Times New Roman" w:hAnsi="Arial" w:cs="Arial"/>
        </w:rPr>
        <w:t>corporates the definition of the disability approach, in response to the recommendation of the MICDPD, and at the same time proposes guidelines for the approach to inclusive education, understood as guaranteeing attention to the diversity of students, emph</w:t>
      </w:r>
      <w:r w:rsidRPr="002E2EAA">
        <w:rPr>
          <w:rFonts w:ascii="Arial" w:eastAsia="Times New Roman" w:hAnsi="Arial" w:cs="Arial"/>
        </w:rPr>
        <w:t xml:space="preserve">asizing the identification of barriers that impede the exercise of this right. However, the formulation of the aforementioned Framework Plan lacked a consultation process for people with disabilities, due to the lack of foreseen deadlines that would allow </w:t>
      </w:r>
      <w:r w:rsidRPr="002E2EAA">
        <w:rPr>
          <w:rFonts w:ascii="Arial" w:eastAsia="Times New Roman" w:hAnsi="Arial" w:cs="Arial"/>
        </w:rPr>
        <w:t>a greater scope in the consultation process and the lack of mechanisms to ensure an informed consultation, according to what was pointed out by people from the deaf community who participated in this process.</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Although the updating of the normative provisio</w:t>
      </w:r>
      <w:r w:rsidRPr="002E2EAA">
        <w:rPr>
          <w:rFonts w:ascii="Arial" w:eastAsia="Times New Roman" w:hAnsi="Arial" w:cs="Arial"/>
        </w:rPr>
        <w:t>ns is a step forward, two weaknesses persist in the institutional management of the Ministry of Education: the inclusive education policy falls mostly on the Directorate of Special Basic Education, which is not consistent with an adequate approach to diver</w:t>
      </w:r>
      <w:r w:rsidRPr="002E2EAA">
        <w:rPr>
          <w:rFonts w:ascii="Arial" w:eastAsia="Times New Roman" w:hAnsi="Arial" w:cs="Arial"/>
        </w:rPr>
        <w:t>sity. In this regard, the MICDPD reiterates the importance of strengthening the leadership of the General Directorate of Regular Basic Education to lead this policy. The second weakness is related to the lack of visibility of the population with disabiliti</w:t>
      </w:r>
      <w:r w:rsidRPr="002E2EAA">
        <w:rPr>
          <w:rFonts w:ascii="Arial" w:eastAsia="Times New Roman" w:hAnsi="Arial" w:cs="Arial"/>
        </w:rPr>
        <w:t>es, who to date have not effectively participated in the consultation processes convened by the Ministry of Education.</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 xml:space="preserve">The fragility of Minedu's management capacity can also be seen in the lack of effectiveness of the strategies implemented by this entity </w:t>
      </w:r>
      <w:r w:rsidRPr="002E2EAA">
        <w:rPr>
          <w:rFonts w:ascii="Arial" w:eastAsia="Times New Roman" w:hAnsi="Arial" w:cs="Arial"/>
        </w:rPr>
        <w:t>to close the gap in the access and permanence of people with disabilities in the Peruvian Educational System: according to the information provided by Minedu, 90,773 students with disabilities were enrolled in 2021 and in 2022 this figure dropped to 81,848</w:t>
      </w:r>
      <w:r w:rsidRPr="002E2EAA">
        <w:rPr>
          <w:rFonts w:ascii="Arial" w:eastAsia="Times New Roman" w:hAnsi="Arial" w:cs="Arial"/>
        </w:rPr>
        <w:t>.</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On the other hand, Minedu has indicated that, as of July 2021, a total of 69,147 persons with disabilities were not accessing education; of this total, 5.4% managed to enroll by the end of the year 2021. In other words, more than 94 % of the persons with</w:t>
      </w:r>
      <w:r w:rsidRPr="002E2EAA">
        <w:rPr>
          <w:rFonts w:ascii="Arial" w:eastAsia="Times New Roman" w:hAnsi="Arial" w:cs="Arial"/>
        </w:rPr>
        <w:t xml:space="preserve"> disabilities identified by Minedu outside the educational system remained in a situation of exclusion.</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In view of the above, the MICDPD requests that the Peruvian State be urged to adopt the necessary measures to implement a consistent inclusive education</w:t>
      </w:r>
      <w:r w:rsidRPr="002E2EAA">
        <w:rPr>
          <w:rFonts w:ascii="Arial" w:eastAsia="Times New Roman" w:hAnsi="Arial" w:cs="Arial"/>
        </w:rPr>
        <w:t xml:space="preserve"> policy, under the leadership of the General Directorate of Regular Basic Education, as well as the evaluation of the Framework Plan for the orientation of the implementation of inclusive education with the participation of persons with disabilities, their</w:t>
      </w:r>
      <w:r w:rsidRPr="002E2EAA">
        <w:rPr>
          <w:rFonts w:ascii="Arial" w:eastAsia="Times New Roman" w:hAnsi="Arial" w:cs="Arial"/>
        </w:rPr>
        <w:t xml:space="preserve"> families, organizations and public and private entities involved in the subject.</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Regarding university higher education, the Peruvian State has an autonomous agency for the supervision and oversight of this service. Thus, the National Superintendence of Un</w:t>
      </w:r>
      <w:r w:rsidRPr="002E2EAA">
        <w:rPr>
          <w:rFonts w:ascii="Arial" w:eastAsia="Times New Roman" w:hAnsi="Arial" w:cs="Arial"/>
        </w:rPr>
        <w:t>iversity Higher Education (Sunedu) is in charge of designing and defining the Basic Quality Conditions (CBC), as well as ensuring their compliance, in accordance with Law No. 30220, University Law. Although there is a regulatory instrument that defines the</w:t>
      </w:r>
      <w:r w:rsidRPr="002E2EAA">
        <w:rPr>
          <w:rFonts w:ascii="Arial" w:eastAsia="Times New Roman" w:hAnsi="Arial" w:cs="Arial"/>
        </w:rPr>
        <w:t xml:space="preserve"> basic quality conditions, approved by the Board of Directors of Sunedu, it has not included a disability approach, much less has its design and implementation been consulted with the population with disabilities. </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Despite the latest update of the CBC in 2</w:t>
      </w:r>
      <w:r w:rsidRPr="002E2EAA">
        <w:rPr>
          <w:rFonts w:ascii="Arial" w:eastAsia="Times New Roman" w:hAnsi="Arial" w:cs="Arial"/>
        </w:rPr>
        <w:t xml:space="preserve">021, which includes some aspects related to ensuring accessibility for persons with disabilities, the instrument that defines them was once again approved without a consultation process, in contravention of Article 4.3 of the CRPD, related to the adoption </w:t>
      </w:r>
      <w:r w:rsidRPr="002E2EAA">
        <w:rPr>
          <w:rFonts w:ascii="Arial" w:eastAsia="Times New Roman" w:hAnsi="Arial" w:cs="Arial"/>
        </w:rPr>
        <w:t>of decisions by the State involving persons with disabilities.</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On the other hand, the supervisory function of Sunedu in relation to the universities' compliance with Law No. 30220, University Law, has left aside the supervision of the specific obligation c</w:t>
      </w:r>
      <w:r w:rsidRPr="002E2EAA">
        <w:rPr>
          <w:rFonts w:ascii="Arial" w:eastAsia="Times New Roman" w:hAnsi="Arial" w:cs="Arial"/>
        </w:rPr>
        <w:t xml:space="preserve">oncerning the adaptation of all university services, for the purpose of fully including persons with disabilities in the university communities, provided for in its Article 129º. The latter is evidenced through the prioritized and defined topics from 2017 </w:t>
      </w:r>
      <w:r w:rsidRPr="002E2EAA">
        <w:rPr>
          <w:rFonts w:ascii="Arial" w:eastAsia="Times New Roman" w:hAnsi="Arial" w:cs="Arial"/>
        </w:rPr>
        <w:t>to 2020, established in the institutional supervision plans</w:t>
      </w:r>
      <w:r w:rsidRPr="002E2EAA">
        <w:rPr>
          <w:rFonts w:ascii="Arial" w:eastAsia="Times New Roman" w:hAnsi="Arial" w:cs="Arial"/>
          <w:vertAlign w:val="superscript"/>
        </w:rPr>
        <w:footnoteReference w:id="53"/>
      </w:r>
      <w:r w:rsidRPr="002E2EAA">
        <w:rPr>
          <w:rFonts w:ascii="Arial" w:eastAsia="Times New Roman" w:hAnsi="Arial" w:cs="Arial"/>
        </w:rPr>
        <w:t xml:space="preserve"> of programmed type of the Sunedu, which identify the supervisable matters derived from the University Law and related regulations. </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It should also be noted that Sunedu, by mandate of Law No. 3020</w:t>
      </w:r>
      <w:r w:rsidRPr="002E2EAA">
        <w:rPr>
          <w:rFonts w:ascii="Arial" w:eastAsia="Times New Roman" w:hAnsi="Arial" w:cs="Arial"/>
        </w:rPr>
        <w:t>2, University Law (art. 15.5), has the obligation to publish a report on the reality of universities every two years. The last publications of the aforementioned biennial reports (years 2020 and 2022) do not have any data on the population with disabilitie</w:t>
      </w:r>
      <w:r w:rsidRPr="002E2EAA">
        <w:rPr>
          <w:rFonts w:ascii="Arial" w:eastAsia="Times New Roman" w:hAnsi="Arial" w:cs="Arial"/>
        </w:rPr>
        <w:t>s in the university system, despite the fact that the Ministry of Education reported that at the end of August 2020, 6377 students with disabilities were registered as enrolled, and in the year 2021, approximately 6972.</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In the same line, there is no public</w:t>
      </w:r>
      <w:r w:rsidRPr="002E2EAA">
        <w:rPr>
          <w:rFonts w:ascii="Arial" w:eastAsia="Times New Roman" w:hAnsi="Arial" w:cs="Arial"/>
        </w:rPr>
        <w:t>, coherent, timely and accessible monitoring platform in relation to recordable progressions or regressions regarding access, permanence and graduation of people with disabilities from higher education. This, despite the fact that the current public policy</w:t>
      </w:r>
      <w:r w:rsidRPr="002E2EAA">
        <w:rPr>
          <w:rFonts w:ascii="Arial" w:eastAsia="Times New Roman" w:hAnsi="Arial" w:cs="Arial"/>
        </w:rPr>
        <w:t xml:space="preserve"> called "National Policy on Higher and Technical-Productive Education-PNESTP</w:t>
      </w:r>
      <w:r w:rsidRPr="002E2EAA">
        <w:rPr>
          <w:rFonts w:ascii="Arial" w:eastAsia="Times New Roman" w:hAnsi="Arial" w:cs="Arial"/>
          <w:vertAlign w:val="superscript"/>
        </w:rPr>
        <w:footnoteReference w:id="54"/>
      </w:r>
      <w:r w:rsidRPr="002E2EAA">
        <w:rPr>
          <w:rFonts w:ascii="Arial" w:eastAsia="Times New Roman" w:hAnsi="Arial" w:cs="Arial"/>
        </w:rPr>
        <w:t xml:space="preserve"> ", in charge of the Ministry of Education, establishes, like the preceding public policy</w:t>
      </w:r>
      <w:r w:rsidRPr="002E2EAA">
        <w:rPr>
          <w:rFonts w:ascii="Arial" w:eastAsia="Times New Roman" w:hAnsi="Arial" w:cs="Arial"/>
          <w:vertAlign w:val="superscript"/>
        </w:rPr>
        <w:footnoteReference w:id="55"/>
      </w:r>
      <w:r w:rsidRPr="002E2EAA">
        <w:rPr>
          <w:rFonts w:ascii="Arial" w:eastAsia="Times New Roman" w:hAnsi="Arial" w:cs="Arial"/>
        </w:rPr>
        <w:t xml:space="preserve"> , the importance of consolidating an integrated information system with a view to accoun</w:t>
      </w:r>
      <w:r w:rsidRPr="002E2EAA">
        <w:rPr>
          <w:rFonts w:ascii="Arial" w:eastAsia="Times New Roman" w:hAnsi="Arial" w:cs="Arial"/>
        </w:rPr>
        <w:t>tability and facilitating the governance of higher education educational entities. This ultimately prevents control by persons with disabilities or their associations in the process of building and strengthening the quality of the educational service, as w</w:t>
      </w:r>
      <w:r w:rsidRPr="002E2EAA">
        <w:rPr>
          <w:rFonts w:ascii="Arial" w:eastAsia="Times New Roman" w:hAnsi="Arial" w:cs="Arial"/>
        </w:rPr>
        <w:t>ell as the relevance in the design and implementation of subsequent plans, programs, strategies or policies that include persons with disabilities as beneficiaries of the higher education service.</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The above is directly related to the omission on the part o</w:t>
      </w:r>
      <w:r w:rsidRPr="002E2EAA">
        <w:rPr>
          <w:rFonts w:ascii="Arial" w:eastAsia="Times New Roman" w:hAnsi="Arial" w:cs="Arial"/>
        </w:rPr>
        <w:t>f the Ministry of Education regarding the implementation of a specific consultation process in favor of the population with disabilities with respect to the design and approval of the aforementioned PNESTP during the year 2020.</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In relation to the absence o</w:t>
      </w:r>
      <w:r w:rsidRPr="002E2EAA">
        <w:rPr>
          <w:rFonts w:ascii="Arial" w:eastAsia="Times New Roman" w:hAnsi="Arial" w:cs="Arial"/>
        </w:rPr>
        <w:t>f supervision of the university educational service in favor of guaranteeing equal conditions for people with disabilities, and the need to make the student population with disabilities visible in universities, the MICDPD published the Ombudsman Report Ser</w:t>
      </w:r>
      <w:r w:rsidRPr="002E2EAA">
        <w:rPr>
          <w:rFonts w:ascii="Arial" w:eastAsia="Times New Roman" w:hAnsi="Arial" w:cs="Arial"/>
        </w:rPr>
        <w:t xml:space="preserve">ies No. 005-2021-DP: "The right to inclusive education in the context of the health emergency due to Covid-19. Scope and limitations in the non-attendance educational service for students with disabilities and other special educational needs in University </w:t>
      </w:r>
      <w:r w:rsidRPr="002E2EAA">
        <w:rPr>
          <w:rFonts w:ascii="Arial" w:eastAsia="Times New Roman" w:hAnsi="Arial" w:cs="Arial"/>
        </w:rPr>
        <w:t>Higher Education</w:t>
      </w:r>
      <w:r w:rsidRPr="002E2EAA">
        <w:rPr>
          <w:rFonts w:ascii="Arial" w:eastAsia="Times New Roman" w:hAnsi="Arial" w:cs="Arial"/>
          <w:vertAlign w:val="superscript"/>
        </w:rPr>
        <w:footnoteReference w:id="56"/>
      </w:r>
      <w:r w:rsidRPr="002E2EAA">
        <w:rPr>
          <w:rFonts w:ascii="Arial" w:eastAsia="Times New Roman" w:hAnsi="Arial" w:cs="Arial"/>
        </w:rPr>
        <w:t xml:space="preserve"> " (Ombudsman Report Series No. 005-2021-DP).</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In relation to the universities, it should be noted that, by virtue of the MICDPD's oversight actions, information was obtained during 2020 related to the plans communicated by 120 universities</w:t>
      </w:r>
      <w:r w:rsidRPr="002E2EAA">
        <w:rPr>
          <w:rFonts w:ascii="Arial" w:eastAsia="Times New Roman" w:hAnsi="Arial" w:cs="Arial"/>
        </w:rPr>
        <w:t xml:space="preserve"> to the public administration, related to the process of adapting the educational service to a virtual modality due to the context of the Covid-19 pandemic. </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Thus, of the total number of universities that opted for virtualization of the service, it was concluded that:</w:t>
      </w:r>
    </w:p>
    <w:p w:rsidR="001004DA" w:rsidRDefault="00933E28">
      <w:pPr>
        <w:numPr>
          <w:ilvl w:val="0"/>
          <w:numId w:val="8"/>
        </w:numPr>
        <w:spacing w:before="120" w:after="120" w:line="240" w:lineRule="auto"/>
        <w:jc w:val="both"/>
        <w:rPr>
          <w:rFonts w:ascii="Arial" w:eastAsia="Times New Roman" w:hAnsi="Arial" w:cs="Arial"/>
        </w:rPr>
      </w:pPr>
      <w:r w:rsidRPr="002E2EAA">
        <w:rPr>
          <w:rFonts w:ascii="Arial" w:eastAsia="Times New Roman" w:hAnsi="Arial" w:cs="Arial"/>
        </w:rPr>
        <w:t xml:space="preserve">98% do not have strategies that prioritize students with disabilities in the area of mitigating the digital divide and access to Information and </w:t>
      </w:r>
      <w:r w:rsidRPr="002E2EAA">
        <w:rPr>
          <w:rFonts w:ascii="Arial" w:eastAsia="Times New Roman" w:hAnsi="Arial" w:cs="Arial"/>
        </w:rPr>
        <w:t>Communication Technology (ICT).</w:t>
      </w:r>
    </w:p>
    <w:p w:rsidR="001004DA" w:rsidRDefault="00933E28">
      <w:pPr>
        <w:numPr>
          <w:ilvl w:val="0"/>
          <w:numId w:val="8"/>
        </w:numPr>
        <w:spacing w:before="120" w:after="120" w:line="240" w:lineRule="auto"/>
        <w:jc w:val="both"/>
        <w:rPr>
          <w:rFonts w:ascii="Arial" w:eastAsia="Times New Roman" w:hAnsi="Arial" w:cs="Arial"/>
        </w:rPr>
      </w:pPr>
      <w:r w:rsidRPr="002E2EAA">
        <w:rPr>
          <w:rFonts w:ascii="Arial" w:eastAsia="Times New Roman" w:hAnsi="Arial" w:cs="Arial"/>
        </w:rPr>
        <w:t>97% of universities do not incorporate a disability approach to guide the process of adaptation to the virtual modality of the educational service.</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On the other hand, by virtue of the information described above from the 120</w:t>
      </w:r>
      <w:r w:rsidRPr="002E2EAA">
        <w:rPr>
          <w:rFonts w:ascii="Arial" w:eastAsia="Times New Roman" w:hAnsi="Arial" w:cs="Arial"/>
        </w:rPr>
        <w:t xml:space="preserve"> universities, it was possible to conclude that the university service during the pandemic context has focused its attention on the virtual adaptation of the knowledge transmission process, leaving aside complementary services such as psychological care, s</w:t>
      </w:r>
      <w:r w:rsidRPr="002E2EAA">
        <w:rPr>
          <w:rFonts w:ascii="Arial" w:eastAsia="Times New Roman" w:hAnsi="Arial" w:cs="Arial"/>
        </w:rPr>
        <w:t>tudent welfare, support for academic performance, mental health, etc., issues that are part of the basic conditions of quality of the university higher education service.</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Through the aforementioned Ombudsman Report Series No. 005-2021-DP, the MICDPD recomm</w:t>
      </w:r>
      <w:r w:rsidRPr="002E2EAA">
        <w:rPr>
          <w:rFonts w:ascii="Arial" w:eastAsia="Times New Roman" w:hAnsi="Arial" w:cs="Arial"/>
        </w:rPr>
        <w:t>ended universities to virtually implement the aforementioned complementary services, in an accessible manner, in favor of the disabled student population, especially those with sensory disabilities (visual and hearing).</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Likewise, the MICDPD, in order to av</w:t>
      </w:r>
      <w:r w:rsidRPr="002E2EAA">
        <w:rPr>
          <w:rFonts w:ascii="Arial" w:eastAsia="Times New Roman" w:hAnsi="Arial" w:cs="Arial"/>
        </w:rPr>
        <w:t>oid the interruption of university studies by persons with disabilities in the context of the pandemic, recommended the implementation of university social responsibility activities by public and private universities. It was specifically recommended to pri</w:t>
      </w:r>
      <w:r w:rsidRPr="002E2EAA">
        <w:rPr>
          <w:rFonts w:ascii="Arial" w:eastAsia="Times New Roman" w:hAnsi="Arial" w:cs="Arial"/>
        </w:rPr>
        <w:t xml:space="preserve">vate universities to carry out actions of reinvestment of surpluses or profits, as appropriate, linked to ensure the permanence of students from groups at risk of exclusion and/or social vulnerability. </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On the other hand, the Peruvian State, through Sunedu</w:t>
      </w:r>
      <w:r w:rsidRPr="002E2EAA">
        <w:rPr>
          <w:rFonts w:ascii="Arial" w:eastAsia="Times New Roman" w:hAnsi="Arial" w:cs="Arial"/>
        </w:rPr>
        <w:t>, has yet to verify compliance or not with the free public university education, under a disability approach, depending on the latter aspect to know whether or not the costs for ensuring accessibility and implementation of reasonable accommodations are tra</w:t>
      </w:r>
      <w:r w:rsidRPr="002E2EAA">
        <w:rPr>
          <w:rFonts w:ascii="Arial" w:eastAsia="Times New Roman" w:hAnsi="Arial" w:cs="Arial"/>
        </w:rPr>
        <w:t>nsferred to students with disabilities.</w:t>
      </w:r>
    </w:p>
    <w:p w:rsidR="001004DA" w:rsidRDefault="00933E28">
      <w:pPr>
        <w:spacing w:before="120" w:after="120" w:line="240" w:lineRule="auto"/>
        <w:jc w:val="both"/>
        <w:rPr>
          <w:rFonts w:ascii="Arial" w:eastAsia="Times New Roman" w:hAnsi="Arial" w:cs="Arial"/>
        </w:rPr>
      </w:pPr>
      <w:r w:rsidRPr="002E2EAA">
        <w:rPr>
          <w:rFonts w:ascii="Arial" w:eastAsia="Times New Roman" w:hAnsi="Arial" w:cs="Arial"/>
        </w:rPr>
        <w:t xml:space="preserve">The Ombudsman's Office is also concerned that the teaching of the model of inclusive education and the model of mental health care with a community approach are not taken into consideration as binding aspects in the </w:t>
      </w:r>
      <w:r w:rsidRPr="002E2EAA">
        <w:rPr>
          <w:rFonts w:ascii="Arial" w:eastAsia="Times New Roman" w:hAnsi="Arial" w:cs="Arial"/>
        </w:rPr>
        <w:t>design of the basic conditions of quality, for the purpose of licensing the professional careers of pedagogy and human medicine, respectively.</w:t>
      </w:r>
    </w:p>
    <w:p w:rsidR="007F30C2" w:rsidRPr="002E2EAA" w:rsidRDefault="007F30C2">
      <w:pPr>
        <w:spacing w:before="120" w:after="120" w:line="240" w:lineRule="auto"/>
        <w:jc w:val="both"/>
        <w:rPr>
          <w:rFonts w:ascii="Arial" w:eastAsia="Times New Roman"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9" w:name="_Toc524617986"/>
      <w:r w:rsidRPr="002E2EAA">
        <w:rPr>
          <w:rFonts w:ascii="Arial" w:eastAsia="Arial" w:hAnsi="Arial" w:cs="Arial"/>
          <w:color w:val="auto"/>
          <w:sz w:val="22"/>
          <w:szCs w:val="22"/>
        </w:rPr>
        <w:t>Health</w:t>
      </w:r>
      <w:bookmarkEnd w:id="9"/>
      <w:r w:rsidRPr="002E2EAA">
        <w:rPr>
          <w:rFonts w:ascii="Arial" w:eastAsia="Arial" w:hAnsi="Arial" w:cs="Arial"/>
          <w:color w:val="auto"/>
          <w:sz w:val="22"/>
          <w:szCs w:val="22"/>
        </w:rPr>
        <w:t xml:space="preserve"> (article 25º)</w:t>
      </w:r>
    </w:p>
    <w:p w:rsidR="001004DA" w:rsidRDefault="00933E28">
      <w:pPr>
        <w:spacing w:before="120" w:after="120" w:line="240" w:lineRule="auto"/>
        <w:jc w:val="both"/>
        <w:rPr>
          <w:rFonts w:ascii="Arial" w:eastAsia="Arial" w:hAnsi="Arial" w:cs="Arial"/>
        </w:rPr>
      </w:pPr>
      <w:r w:rsidRPr="002E2EAA">
        <w:rPr>
          <w:rFonts w:ascii="Arial" w:eastAsia="Arial" w:hAnsi="Arial" w:cs="Arial"/>
        </w:rPr>
        <w:t>Regarding the measures adopted by the Peruvian State to guarantee persons with disabilities, especially women with disabilities, access to accessible health programs, it should be noted that they do not have a disability approach, that is, they do not incl</w:t>
      </w:r>
      <w:r w:rsidRPr="002E2EAA">
        <w:rPr>
          <w:rFonts w:ascii="Arial" w:eastAsia="Arial" w:hAnsi="Arial" w:cs="Arial"/>
        </w:rPr>
        <w:t>ude assumptions to promote the access of persons with disabilities to health services.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An example of this is that, in 2017, although the Ministry of Health published the technical document "Health Promotion Policy Guidelines in Peru"</w:t>
      </w:r>
      <w:r w:rsidRPr="002E2EAA">
        <w:rPr>
          <w:rFonts w:ascii="Arial" w:eastAsia="Arial" w:hAnsi="Arial" w:cs="Arial"/>
          <w:vertAlign w:val="superscript"/>
        </w:rPr>
        <w:footnoteReference w:id="57"/>
      </w:r>
      <w:r w:rsidRPr="002E2EAA">
        <w:rPr>
          <w:rFonts w:ascii="Arial" w:eastAsia="Arial" w:hAnsi="Arial" w:cs="Arial"/>
        </w:rPr>
        <w:t xml:space="preserve"> ; and the Family Plan</w:t>
      </w:r>
      <w:r w:rsidRPr="002E2EAA">
        <w:rPr>
          <w:rFonts w:ascii="Arial" w:eastAsia="Arial" w:hAnsi="Arial" w:cs="Arial"/>
        </w:rPr>
        <w:t>ning Health technical standard</w:t>
      </w:r>
      <w:r w:rsidRPr="002E2EAA">
        <w:rPr>
          <w:rFonts w:ascii="Arial" w:eastAsia="Arial" w:hAnsi="Arial" w:cs="Arial"/>
          <w:vertAlign w:val="superscript"/>
        </w:rPr>
        <w:footnoteReference w:id="58"/>
      </w:r>
      <w:r w:rsidRPr="002E2EAA">
        <w:rPr>
          <w:rFonts w:ascii="Arial" w:eastAsia="Arial" w:hAnsi="Arial" w:cs="Arial"/>
        </w:rPr>
        <w:t xml:space="preserve"> , throughout both texts there is no reference to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Therefore, the Peruvian State is requested to generate public policies and provide services applying a disability approach, especially in the case o</w:t>
      </w:r>
      <w:r w:rsidRPr="002E2EAA">
        <w:rPr>
          <w:rFonts w:ascii="Arial" w:eastAsia="Arial" w:hAnsi="Arial" w:cs="Arial"/>
        </w:rPr>
        <w:t>f women with disabilities, who are in a particularly vulnerable situation. In this regard, it is necessary to develop policies aimed at them so that they can be informed about and have access to services.</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Mental health</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In 2018, the MICDPD published Ombuds</w:t>
      </w:r>
      <w:r w:rsidRPr="002E2EAA">
        <w:rPr>
          <w:rFonts w:ascii="Arial" w:eastAsia="Arial" w:hAnsi="Arial" w:cs="Arial"/>
        </w:rPr>
        <w:t>man Report No. 180: "The right to mental health. Monitoring the implementation of the public policy of community care and the path to deinstitutionalization". Among the most relevant findings, it was found that mental health is not addressed in the main pl</w:t>
      </w:r>
      <w:r w:rsidRPr="002E2EAA">
        <w:rPr>
          <w:rFonts w:ascii="Arial" w:eastAsia="Arial" w:hAnsi="Arial" w:cs="Arial"/>
        </w:rPr>
        <w:t>anning documents at the national level (National Agreement and the Strategic Plan for National Development), which implies that the issue is not prioritized in the national agenda. Although to date there is a National Plan for the Strengthening of Communit</w:t>
      </w:r>
      <w:r w:rsidRPr="002E2EAA">
        <w:rPr>
          <w:rFonts w:ascii="Arial" w:eastAsia="Arial" w:hAnsi="Arial" w:cs="Arial"/>
        </w:rPr>
        <w:t xml:space="preserve">y Mental Health Services 2018-2021, it only involves Minsa, but not the Social Health Insurance (EsSalud) or other ministries.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Similarly, in 2020, it was warned that the National Multisectoral Health Policy 2030 "Peru, a healthy country", approved in the </w:t>
      </w:r>
      <w:r w:rsidRPr="002E2EAA">
        <w:rPr>
          <w:rFonts w:ascii="Arial" w:eastAsia="Arial" w:hAnsi="Arial" w:cs="Arial"/>
        </w:rPr>
        <w:t>first half of that year, neglects mental health. Despite the fact that the document recognizes "mental and behavioral disorders" as the main cause of years of healthy life lost (Avisa), none of its 3 priority objectives ("Improve habits, behaviors and heal</w:t>
      </w:r>
      <w:r w:rsidRPr="002E2EAA">
        <w:rPr>
          <w:rFonts w:ascii="Arial" w:eastAsia="Arial" w:hAnsi="Arial" w:cs="Arial"/>
        </w:rPr>
        <w:t>thy lifestyles of the population", "Ensure access to quality and timely comprehensive health services to the population" and "Improve the living conditions of the population that generate vulnerability and health risks") develop specific guidelines that ad</w:t>
      </w:r>
      <w:r w:rsidRPr="002E2EAA">
        <w:rPr>
          <w:rFonts w:ascii="Arial" w:eastAsia="Arial" w:hAnsi="Arial" w:cs="Arial"/>
        </w:rPr>
        <w:t>dress the problem of mental health in Peru.</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It should be specified that the budget allocated to Budget Program 131: Control and prevention in mental health, has been increasing steadily since 2018. It currently surrounds 0.2% of the national budget and 1.6% of the budget allocated to the health func</w:t>
      </w:r>
      <w:r w:rsidRPr="002E2EAA">
        <w:rPr>
          <w:rFonts w:ascii="Arial" w:eastAsia="Arial" w:hAnsi="Arial" w:cs="Arial"/>
        </w:rPr>
        <w:t>tion. Despite this, it is insufficient, considering that mental health problems represent a large percentage of health problems in general in the population.</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On the other hand, Ombudsman's Report No. 180 pointed out that, according to information provided </w:t>
      </w:r>
      <w:r w:rsidRPr="002E2EAA">
        <w:rPr>
          <w:rFonts w:ascii="Arial" w:eastAsia="Arial" w:hAnsi="Arial" w:cs="Arial"/>
        </w:rPr>
        <w:t>by the Minsa itself, the mental health care gap affects 80% of the population, especially people living in poverty and extreme poverty. Although a plan for the implementation of community-oriented mental health services was designed, it had difficulties to</w:t>
      </w:r>
      <w:r w:rsidRPr="002E2EAA">
        <w:rPr>
          <w:rFonts w:ascii="Arial" w:eastAsia="Arial" w:hAnsi="Arial" w:cs="Arial"/>
        </w:rPr>
        <w:t xml:space="preserve"> be fully implemented. Thus, in 2019, as of the date of monitoring, only 50 community mental health centers (CSMCs) had been inaugurated in 17 regions. 74.5% of general hospitals of level II and above, of Minsa and regional governments, had not implemented</w:t>
      </w:r>
      <w:r w:rsidRPr="002E2EAA">
        <w:rPr>
          <w:rFonts w:ascii="Arial" w:eastAsia="Arial" w:hAnsi="Arial" w:cs="Arial"/>
        </w:rPr>
        <w:t xml:space="preserve"> mental health and addiction hospitalization units (Uhsma); and in EsSalud, only eight health care centers had Uhsma. In relation to sheltered homes, according to the National Plan, 40 homes should have been created by 2018; however, at the date of supervi</w:t>
      </w:r>
      <w:r w:rsidRPr="002E2EAA">
        <w:rPr>
          <w:rFonts w:ascii="Arial" w:eastAsia="Arial" w:hAnsi="Arial" w:cs="Arial"/>
        </w:rPr>
        <w:t xml:space="preserve">sion there were only six, of which four were in Iquitos.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It should be specified that, by the end of 2021, the last year of the "National Plan for Strengthening Community Mental Health Services 2018-2021", 203 of the 250 Community Mental Health Centers wer</w:t>
      </w:r>
      <w:r w:rsidRPr="002E2EAA">
        <w:rPr>
          <w:rFonts w:ascii="Arial" w:eastAsia="Arial" w:hAnsi="Arial" w:cs="Arial"/>
        </w:rPr>
        <w:t>e implemented (81% of the proposed goal) and, by February 2022, 57 of the 164 programmed Protected Homes were implemented (35% of the proposed goal).</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Among the main recommendations of the Ombudsman's Report No. 180 are:</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Elaborate a National Multisectoral P</w:t>
      </w:r>
      <w:r w:rsidRPr="002E2EAA">
        <w:rPr>
          <w:rFonts w:ascii="Arial" w:eastAsia="Arial" w:hAnsi="Arial" w:cs="Arial"/>
        </w:rPr>
        <w:t>lan for Community Mental Health, with the participation of the various sectors and levels of government, organizations of persons with disabilities and other civil society organizations.</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Grant funding to fully implement community mental health services, in</w:t>
      </w:r>
      <w:r w:rsidRPr="002E2EAA">
        <w:rPr>
          <w:rFonts w:ascii="Arial" w:eastAsia="Arial" w:hAnsi="Arial" w:cs="Arial"/>
        </w:rPr>
        <w:t xml:space="preserve"> accordance with the schedule established in the National Plan for Strengthening Community Mental Health Services 2018-2021 of the Minsa.</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Continuous training in community mental health for all health facility personnel at all levels and in all regions.</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Des</w:t>
      </w:r>
      <w:r w:rsidRPr="002E2EAA">
        <w:rPr>
          <w:rFonts w:ascii="Arial" w:eastAsia="Arial" w:hAnsi="Arial" w:cs="Arial"/>
        </w:rPr>
        <w:t>ign and implement a deinstitutionalization plan for psychiatric hospitals and general hospitals, with processes, protocols, clear goals, and short and medium-term objectives.</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Modify the Technical Health Standard for the Management of Minsa's Medical Record</w:t>
      </w:r>
      <w:r w:rsidRPr="002E2EAA">
        <w:rPr>
          <w:rFonts w:ascii="Arial" w:eastAsia="Arial" w:hAnsi="Arial" w:cs="Arial"/>
        </w:rPr>
        <w:t>s, taking into account international standards that recognize that all persons, including persons with disabilities, have the right to give their free and informed consent.</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 xml:space="preserve">Design guidelines and a national protocol for the application of electroconvulsive </w:t>
      </w:r>
      <w:r w:rsidRPr="002E2EAA">
        <w:rPr>
          <w:rFonts w:ascii="Arial" w:eastAsia="Arial" w:hAnsi="Arial" w:cs="Arial"/>
        </w:rPr>
        <w:t>therapy (ECT) under international standards, involving informed consent, use of anesthesia, muscle relaxants and equipment with up-to-date maintenance. Likewise, supervise the application of the procedure.</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Update the List of the Single National Formulary o</w:t>
      </w:r>
      <w:r w:rsidRPr="002E2EAA">
        <w:rPr>
          <w:rFonts w:ascii="Arial" w:eastAsia="Arial" w:hAnsi="Arial" w:cs="Arial"/>
        </w:rPr>
        <w:t>f Essential Medicines, in order to expand the supply of medicines for the treatment of bipolar disorder, obsessive-compulsive disorders and panic attacks, dependency and hyperactivity programs.</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To form and ensure the functioning of the Multisectoral Commis</w:t>
      </w:r>
      <w:r w:rsidRPr="002E2EAA">
        <w:rPr>
          <w:rFonts w:ascii="Arial" w:eastAsia="Arial" w:hAnsi="Arial" w:cs="Arial"/>
        </w:rPr>
        <w:t>sion of a temporary nature to propose a policy for the mental health treatment of persons declared unfit for criminal prosecution.</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Subsequent to the MICDPD Report, on May 23, 2019, Law No. 30947 was published, whose positive aspects include:</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Regulates acce</w:t>
      </w:r>
      <w:r w:rsidRPr="002E2EAA">
        <w:rPr>
          <w:rFonts w:ascii="Arial" w:eastAsia="Arial" w:hAnsi="Arial" w:cs="Arial"/>
        </w:rPr>
        <w:t>ss to mental health promotion, prevention, treatment and rehabilitation services, consolidating the community approach.</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It recognizes fundamental rights of persons with mental health problems and addictions, especially the right to legal capacity and liber</w:t>
      </w:r>
      <w:r w:rsidRPr="002E2EAA">
        <w:rPr>
          <w:rFonts w:ascii="Arial" w:eastAsia="Arial" w:hAnsi="Arial" w:cs="Arial"/>
        </w:rPr>
        <w:t>ty and security of the person. Thus, it eliminates all references to civil incapacitation and guardianship and prohibits involuntary institutionalization, including that of persons with addictions.</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It establishes that public and private insurance must cover mental health care, including outpatient and inpatient treatment, as well as access to medication.</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Establishes the availability of psychotropic drugs for mental health care at all levels of care.</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 xml:space="preserve">Establishes the elaboration and implementation of an intersectoral mental health policy and a Five-Year Plan for the progressive implementation and strengthening of mental health services by Minsa, EsSalud, the Armed Forces Health Service and the Peruvian </w:t>
      </w:r>
      <w:r w:rsidRPr="002E2EAA">
        <w:rPr>
          <w:rFonts w:ascii="Arial" w:eastAsia="Arial" w:hAnsi="Arial" w:cs="Arial"/>
        </w:rPr>
        <w:t xml:space="preserve">National Police; and the National Mental Health Council. </w:t>
      </w:r>
    </w:p>
    <w:p w:rsidR="001004DA" w:rsidRDefault="00933E28">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It orders the creation of the National Mental Health Council as a national multisectoral body, which contributes to the implementation of the guidelines for action in mental health in the country.</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w:t>
      </w:r>
      <w:r w:rsidRPr="002E2EAA">
        <w:rPr>
          <w:rFonts w:ascii="Arial" w:eastAsia="Arial" w:hAnsi="Arial" w:cs="Arial"/>
        </w:rPr>
        <w:t>n addition, it should be noted that the Mental Health Law Regulation contemplates aspects such as the important participation of psychologists and physicians, ensuring mechanisms for citizen participation, and establishing deadlines for intersectoral plann</w:t>
      </w:r>
      <w:r w:rsidRPr="002E2EAA">
        <w:rPr>
          <w:rFonts w:ascii="Arial" w:eastAsia="Arial" w:hAnsi="Arial" w:cs="Arial"/>
        </w:rPr>
        <w:t>ing and implementation of prevention activities, among others.</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Finally, although Special Report No. 004-2022-DP published in 2022 focused on the deinstitutionalization process, some general recommendations on mental health services were also presented, con</w:t>
      </w:r>
      <w:r w:rsidRPr="002E2EAA">
        <w:rPr>
          <w:rFonts w:ascii="Arial" w:eastAsia="Arial" w:hAnsi="Arial" w:cs="Arial"/>
        </w:rPr>
        <w:t>sidering that Law No. 30947 was already in force, among them:</w:t>
      </w:r>
    </w:p>
    <w:p w:rsidR="001004DA" w:rsidRDefault="00933E28">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Approve the "Public Mental Health Policy", the "Intersectoral Mental Health Plan" and the "Five-Year Plan" in order to continue implementing the community approach to mental health care.</w:t>
      </w:r>
    </w:p>
    <w:p w:rsidR="001004DA" w:rsidRDefault="00933E28">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Evaluat</w:t>
      </w:r>
      <w:r w:rsidRPr="002E2EAA">
        <w:rPr>
          <w:rFonts w:ascii="Arial" w:eastAsia="Arial" w:hAnsi="Arial" w:cs="Arial"/>
        </w:rPr>
        <w:t>e the results of the "National Plan for Strengthening Community Mental Health Services 2018-2021" and continue with the implementation of the Community Mental Health Centers, Protected Homes and Mental Health and Addictions Hospitalization Units, incorpora</w:t>
      </w:r>
      <w:r w:rsidRPr="002E2EAA">
        <w:rPr>
          <w:rFonts w:ascii="Arial" w:eastAsia="Arial" w:hAnsi="Arial" w:cs="Arial"/>
        </w:rPr>
        <w:t>ting the creation of other services established in Law No. 30947, such as Protected Residences and Day Hospitals.</w:t>
      </w:r>
    </w:p>
    <w:p w:rsidR="001004DA" w:rsidRDefault="00933E28">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Allocate sufficient financial resources in a sustainable manner for the implementation of the mental health care services set forth in the Men</w:t>
      </w:r>
      <w:r w:rsidRPr="002E2EAA">
        <w:rPr>
          <w:rFonts w:ascii="Arial" w:eastAsia="Arial" w:hAnsi="Arial" w:cs="Arial"/>
        </w:rPr>
        <w:t>tal Health Policy.</w:t>
      </w:r>
    </w:p>
    <w:p w:rsidR="001004DA" w:rsidRDefault="00933E28">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Continuous training of health facility staff at all levels and in all regions in the community approach to mental health care, as well as in the recognition of the legal capacity of users and their ability to designate support and establ</w:t>
      </w:r>
      <w:r w:rsidRPr="002E2EAA">
        <w:rPr>
          <w:rFonts w:ascii="Arial" w:eastAsia="Arial" w:hAnsi="Arial" w:cs="Arial"/>
        </w:rPr>
        <w:t>ish safeguards.</w:t>
      </w:r>
    </w:p>
    <w:p w:rsidR="007F30C2" w:rsidRPr="002E2EAA" w:rsidRDefault="007F30C2">
      <w:pPr>
        <w:autoSpaceDE w:val="0"/>
        <w:autoSpaceDN w:val="0"/>
        <w:adjustRightInd w:val="0"/>
        <w:spacing w:before="120" w:after="120" w:line="240" w:lineRule="auto"/>
        <w:jc w:val="both"/>
        <w:rPr>
          <w:rFonts w:ascii="Arial" w:eastAsia="Arial" w:hAnsi="Arial" w:cs="Arial"/>
        </w:rPr>
      </w:pPr>
    </w:p>
    <w:p w:rsidR="001004DA" w:rsidRDefault="00933E28">
      <w:pPr>
        <w:pStyle w:val="ListParagraph"/>
        <w:numPr>
          <w:ilvl w:val="2"/>
          <w:numId w:val="9"/>
        </w:numPr>
        <w:autoSpaceDE w:val="0"/>
        <w:autoSpaceDN w:val="0"/>
        <w:adjustRightInd w:val="0"/>
        <w:spacing w:before="120" w:after="120" w:line="240" w:lineRule="auto"/>
        <w:jc w:val="both"/>
        <w:rPr>
          <w:rFonts w:ascii="Arial" w:eastAsia="Arial" w:hAnsi="Arial" w:cs="Arial"/>
          <w:b/>
          <w:i/>
        </w:rPr>
      </w:pPr>
      <w:r w:rsidRPr="002E2EAA">
        <w:rPr>
          <w:rFonts w:ascii="Arial" w:eastAsia="Arial" w:hAnsi="Arial" w:cs="Arial"/>
          <w:b/>
          <w:i/>
        </w:rPr>
        <w:t>Health insurance and mental health care</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Article 10.1 of the Mental Health Law states that "Public and private health insurances must cover mental health care within their plans, including outpatient treatment or inpatient or hospitalizatio</w:t>
      </w:r>
      <w:r w:rsidRPr="002E2EAA">
        <w:rPr>
          <w:rFonts w:ascii="Arial" w:eastAsia="Arial" w:hAnsi="Arial" w:cs="Arial"/>
        </w:rPr>
        <w:t>n, as well as access to adequate and quality medicines and health products, with the exception of insurances with a specific nature policy".</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This obligation does not arise with the Mental Health Law. In relation to persons with disabilities, the CRPD, in i</w:t>
      </w:r>
      <w:r w:rsidRPr="002E2EAA">
        <w:rPr>
          <w:rFonts w:ascii="Arial" w:eastAsia="Arial" w:hAnsi="Arial" w:cs="Arial"/>
        </w:rPr>
        <w:t xml:space="preserve">ts Article 25, already established the prohibition of discrimination against the provision of health insurance, i.e., it is prohibited to provide differential treatment based on the condition of disability, which may be related to a mental health problem. </w:t>
      </w:r>
      <w:r w:rsidRPr="002E2EAA">
        <w:rPr>
          <w:rFonts w:ascii="Arial" w:eastAsia="Arial" w:hAnsi="Arial" w:cs="Arial"/>
        </w:rPr>
        <w:t>Along these lines, the LGPD, in 2012, stated that "Insurers are prohibited from refusing to provide health and life insurance coverage on the grounds of disability".</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In spite of this, since 1997, when the Regulation of the Law for the Modernization of Soci</w:t>
      </w:r>
      <w:r w:rsidRPr="002E2EAA">
        <w:rPr>
          <w:rFonts w:ascii="Arial" w:eastAsia="Arial" w:hAnsi="Arial" w:cs="Arial"/>
        </w:rPr>
        <w:t>al Security in Health, Supreme Decree N° 009-97-SA, was approved, EsSalud excluded from its coverage "any damage derived from self-harm or self-inflicted injuries", which resulted in insured persons who caused such damage due to mental health problems, inc</w:t>
      </w:r>
      <w:r w:rsidRPr="002E2EAA">
        <w:rPr>
          <w:rFonts w:ascii="Arial" w:eastAsia="Arial" w:hAnsi="Arial" w:cs="Arial"/>
        </w:rPr>
        <w:t>luding persons with psychosocial disabilities, not receiving care. In this regard, the MICDPD sent communications urging EsSalud to comply with Law No. 30947, recalling the obligation of all public and private insurance companies to cover mental health car</w:t>
      </w:r>
      <w:r w:rsidRPr="002E2EAA">
        <w:rPr>
          <w:rFonts w:ascii="Arial" w:eastAsia="Arial" w:hAnsi="Arial" w:cs="Arial"/>
        </w:rPr>
        <w:t>e within their plans.</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As a result, on March 6, 2020, General Management Resolution No. 350-GC-ES-ESSALUD-2020 was published, providing for surgical and psychiatric medical care for Social Health Insurance policyholders and beneficiaries for damages derived</w:t>
      </w:r>
      <w:r w:rsidRPr="002E2EAA">
        <w:rPr>
          <w:rFonts w:ascii="Arial" w:eastAsia="Arial" w:hAnsi="Arial" w:cs="Arial"/>
        </w:rPr>
        <w:t xml:space="preserve"> from attempted self-harm (suicide attempt) or self-inflicted injuries, originated by a mental health diagnosis. In this sense, the interventions are currently considered to be included within the coverage of the insurance plans administered by said entity</w:t>
      </w:r>
      <w:r w:rsidRPr="002E2EAA">
        <w:rPr>
          <w:rFonts w:ascii="Arial" w:eastAsia="Arial" w:hAnsi="Arial" w:cs="Arial"/>
        </w:rPr>
        <w:t>.</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In relation to this issue, the MICDPD requests that the Peruvian State be urged to supervise and sanction public and private entities that do not comply with current regulations.</w:t>
      </w: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10" w:name="_Toc524617987"/>
      <w:r w:rsidRPr="002E2EAA">
        <w:rPr>
          <w:rFonts w:ascii="Arial" w:eastAsia="Arial" w:hAnsi="Arial" w:cs="Arial"/>
          <w:color w:val="auto"/>
          <w:sz w:val="22"/>
          <w:szCs w:val="22"/>
        </w:rPr>
        <w:t>Work</w:t>
      </w:r>
      <w:bookmarkEnd w:id="10"/>
      <w:r w:rsidRPr="002E2EAA">
        <w:rPr>
          <w:rFonts w:ascii="Arial" w:eastAsia="Arial" w:hAnsi="Arial" w:cs="Arial"/>
          <w:color w:val="auto"/>
          <w:sz w:val="22"/>
          <w:szCs w:val="22"/>
        </w:rPr>
        <w:t xml:space="preserve"> and employment (article 27º)</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Regarding persons with disabilities at work, the results of the 2017 Population and Housing Census reveal that 2'751,688 persons with disabilities censused are part of the working age population (PET) (in total population, the 2017 Census estimates that th</w:t>
      </w:r>
      <w:r w:rsidRPr="002E2EAA">
        <w:rPr>
          <w:rFonts w:ascii="Arial" w:eastAsia="Arial" w:hAnsi="Arial" w:cs="Arial"/>
        </w:rPr>
        <w:t>ere would be 2'892,010 PET with disabilities). Of this total, 58% are women and 42% men (in the case of total population: 57.7% are women and 42.3% men).</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Likewise, the 2017 Census revealed that 64.3% of persons with disabilities of working age do not have </w:t>
      </w:r>
      <w:r w:rsidRPr="002E2EAA">
        <w:rPr>
          <w:rFonts w:ascii="Arial" w:eastAsia="Arial" w:hAnsi="Arial" w:cs="Arial"/>
        </w:rPr>
        <w:t>a job</w:t>
      </w:r>
      <w:r w:rsidRPr="002E2EAA">
        <w:rPr>
          <w:rFonts w:ascii="Arial" w:eastAsia="Arial" w:hAnsi="Arial" w:cs="Arial"/>
          <w:vertAlign w:val="superscript"/>
        </w:rPr>
        <w:footnoteReference w:id="59"/>
      </w:r>
      <w:r w:rsidRPr="002E2EAA">
        <w:rPr>
          <w:rFonts w:ascii="Arial" w:eastAsia="Arial" w:hAnsi="Arial" w:cs="Arial"/>
        </w:rPr>
        <w:t xml:space="preserve"> , and that of those who are working, 49% have been working as independent or self-employed workers, 27% as employees, 15% as laborers, 5% as employers or employers, 3% as a worker in a family business and 1% as a domestic worker, a situation that in</w:t>
      </w:r>
      <w:r w:rsidRPr="002E2EAA">
        <w:rPr>
          <w:rFonts w:ascii="Arial" w:eastAsia="Arial" w:hAnsi="Arial" w:cs="Arial"/>
        </w:rPr>
        <w:t xml:space="preserve">dicates difficulties in the active search for employment and its effective attainment, as well as precariousness in the labor activity without labor benefits.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These figures denote the difficulties of this population in actively seeking employment and its </w:t>
      </w:r>
      <w:r w:rsidRPr="002E2EAA">
        <w:rPr>
          <w:rFonts w:ascii="Arial" w:eastAsia="Arial" w:hAnsi="Arial" w:cs="Arial"/>
        </w:rPr>
        <w:t>effective attainment, despite the fact that the LGPD, as well as its regulations, establish various provisions that seek to favor access to employment for people with disabilities, such as the 15% bonus in public merit-based competitions, adjustments in th</w:t>
      </w:r>
      <w:r w:rsidRPr="002E2EAA">
        <w:rPr>
          <w:rFonts w:ascii="Arial" w:eastAsia="Arial" w:hAnsi="Arial" w:cs="Arial"/>
        </w:rPr>
        <w:t>e procedures of public competitions, reasonable adjustments in the workplace, as well as employment quotas of 5% and 3% in the public and private sectors, respectively.</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Along these lines, measures are urgently needed to enable the insertion and permanence </w:t>
      </w:r>
      <w:r w:rsidRPr="002E2EAA">
        <w:rPr>
          <w:rFonts w:ascii="Arial" w:eastAsia="Arial" w:hAnsi="Arial" w:cs="Arial"/>
        </w:rPr>
        <w:t>of people with disabilities in the workplace, taking into account the different types of disability and the opportunities or gaps that exist depending on the region of the country in which this population is located, as well as the sector in which they wou</w:t>
      </w:r>
      <w:r w:rsidRPr="002E2EAA">
        <w:rPr>
          <w:rFonts w:ascii="Arial" w:eastAsia="Arial" w:hAnsi="Arial" w:cs="Arial"/>
        </w:rPr>
        <w:t xml:space="preserve">ld perform their functions (public or private).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In order to favor the inclusion of persons with disabilities in the labor market, the Ministry of Labor and Employment Promotion prepared a proposal for a National Policy for the Promotion of Employment Oppo</w:t>
      </w:r>
      <w:r w:rsidRPr="002E2EAA">
        <w:rPr>
          <w:rFonts w:ascii="Arial" w:eastAsia="Arial" w:hAnsi="Arial" w:cs="Arial"/>
        </w:rPr>
        <w:t xml:space="preserve">rtunities for Persons with Disabilities, aligned with the content and commitments of Law 29973, LGPD, and its regulations. However, this instrument was rejected for publication by the Executive Branch, and to date there are two national policies linked to </w:t>
      </w:r>
      <w:r w:rsidRPr="002E2EAA">
        <w:rPr>
          <w:rFonts w:ascii="Arial" w:eastAsia="Arial" w:hAnsi="Arial" w:cs="Arial"/>
        </w:rPr>
        <w:t>goals to guarantee the employment of persons with disabilities: the National Policy for Decent Employment (2021) and the National Multisectoral Policy on Disability for Development to 2030 (2021).</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Despite the above, the public policies for the promotion of</w:t>
      </w:r>
      <w:r w:rsidRPr="002E2EAA">
        <w:rPr>
          <w:rFonts w:ascii="Arial" w:eastAsia="Arial" w:hAnsi="Arial" w:cs="Arial"/>
        </w:rPr>
        <w:t xml:space="preserve"> and access to employment that the State has been establishing for persons with disabilities are insufficient for a large part of this population. Before the pandemic, it was identified that of the 35.7% of persons with disabilities who work, 49% work as i</w:t>
      </w:r>
      <w:r w:rsidRPr="002E2EAA">
        <w:rPr>
          <w:rFonts w:ascii="Arial" w:eastAsia="Arial" w:hAnsi="Arial" w:cs="Arial"/>
        </w:rPr>
        <w:t xml:space="preserve">ndependent or self-employed workers, 5% as employers and 3% as workers in a family business.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Likewise, the 2021 Compliance Report of the National Multisectoral Policy on Disability for Development, validated on June 15, 2022, which had as Priority Objecti</w:t>
      </w:r>
      <w:r w:rsidRPr="002E2EAA">
        <w:rPr>
          <w:rFonts w:ascii="Arial" w:eastAsia="Arial" w:hAnsi="Arial" w:cs="Arial"/>
        </w:rPr>
        <w:t>ve 2 Guarantee the participation of persons with disabilities, of working age, in dependent or independent economic activities and established a goal of 43.1% of persons with disabilities of working age who were employed by 2021, based on the 2019 National</w:t>
      </w:r>
      <w:r w:rsidRPr="002E2EAA">
        <w:rPr>
          <w:rFonts w:ascii="Arial" w:eastAsia="Arial" w:hAnsi="Arial" w:cs="Arial"/>
        </w:rPr>
        <w:t xml:space="preserve"> Household Survey, referred that only a total of 41.8% of the population with participation was reached, which represents an advance of 97.0% and would even imply a decrease with respect to the baseline value.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It should be noted that the data presented on</w:t>
      </w:r>
      <w:r w:rsidRPr="002E2EAA">
        <w:rPr>
          <w:rFonts w:ascii="Arial" w:eastAsia="Arial" w:hAnsi="Arial" w:cs="Arial"/>
        </w:rPr>
        <w:t xml:space="preserve"> the economically active population with disabilities has not been updated to the context of the pandemic or post-pandemic, since the State does not have updated statistical information on the current situation of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this regard,</w:t>
      </w:r>
      <w:r w:rsidRPr="002E2EAA">
        <w:rPr>
          <w:rFonts w:ascii="Arial" w:eastAsia="Arial" w:hAnsi="Arial" w:cs="Arial"/>
        </w:rPr>
        <w:t xml:space="preserve"> as MICDPD, we believe that the impact of the pandemic has caused the gap in access to and permanence in employment with respect to the population with disabilities, as well as the possibilities of accessing measures to promote and encourage employment, ha</w:t>
      </w:r>
      <w:r w:rsidRPr="002E2EAA">
        <w:rPr>
          <w:rFonts w:ascii="Arial" w:eastAsia="Arial" w:hAnsi="Arial" w:cs="Arial"/>
        </w:rPr>
        <w:t>s increased. This is because persons with disabilities and some of their organizations brought to our attention some cases of non-renewal of administrative service contracts in different government agencies, at the national level, as well as difficulties i</w:t>
      </w:r>
      <w:r w:rsidRPr="002E2EAA">
        <w:rPr>
          <w:rFonts w:ascii="Arial" w:eastAsia="Arial" w:hAnsi="Arial" w:cs="Arial"/>
        </w:rPr>
        <w:t xml:space="preserve">n accessing reasonable accommodation to ensure their continuity in the workplace.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view of the above, the MICDPD requests that the Peruvian State be urged to adopt the necessary measures to guarantee the effective inclusion of persons with disabilitie</w:t>
      </w:r>
      <w:r w:rsidRPr="002E2EAA">
        <w:rPr>
          <w:rFonts w:ascii="Arial" w:eastAsia="Arial" w:hAnsi="Arial" w:cs="Arial"/>
        </w:rPr>
        <w:t xml:space="preserve">s in the labor market, including the issuance of a technical standard for the application and monitoring of the employment quota for persons with disabilities in the public sector.  </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Access to employment quota for people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the public se</w:t>
      </w:r>
      <w:r w:rsidRPr="002E2EAA">
        <w:rPr>
          <w:rFonts w:ascii="Arial" w:eastAsia="Arial" w:hAnsi="Arial" w:cs="Arial"/>
        </w:rPr>
        <w:t xml:space="preserve">ctor, in order to favor the access of persons with disabilities, a 15% bonus has been established in public merit competitions, adjustments in the procedures of public competitions, reasonable adjustments at work, 5% employment quota in the public sector, </w:t>
      </w:r>
      <w:r w:rsidRPr="002E2EAA">
        <w:rPr>
          <w:rFonts w:ascii="Arial" w:eastAsia="Arial" w:hAnsi="Arial" w:cs="Arial"/>
        </w:rPr>
        <w:t>in accordance with the procedure established in Articles 54 and 55 of the regulations of Law No. 29973, LGPD. Despite this, to date the non-compliance with the employment quota for persons with disabilities in public entities is in the majority and there i</w:t>
      </w:r>
      <w:r w:rsidRPr="002E2EAA">
        <w:rPr>
          <w:rFonts w:ascii="Arial" w:eastAsia="Arial" w:hAnsi="Arial" w:cs="Arial"/>
        </w:rPr>
        <w:t>s no evidence of an adequate sanction mechanism for such non-compliance, nor are there any policies of the National Civil Service Authority (Servir) aimed at formulating policies on human resources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the private sector, Article 49.1 of </w:t>
      </w:r>
      <w:r w:rsidRPr="002E2EAA">
        <w:rPr>
          <w:rFonts w:ascii="Arial" w:eastAsia="Arial" w:hAnsi="Arial" w:cs="Arial"/>
        </w:rPr>
        <w:t xml:space="preserve">the LGPD and Article 56 of its regulations stipulate that private employers with more than 50 workers must have workers with disabilities in a proportion of no less than 3%.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Along these lines, the MICDPD recommended to the MINJUSDH and the MTPE, in follow</w:t>
      </w:r>
      <w:r w:rsidRPr="002E2EAA">
        <w:rPr>
          <w:rFonts w:ascii="Arial" w:eastAsia="Arial" w:hAnsi="Arial" w:cs="Arial"/>
        </w:rPr>
        <w:t>-up sessions on compliance with the goals of the National Human Rights Plan 2018-2021, that with respect to indicator LE03.MTPSM.OE01.AE04.04 [which has as its baseline a compliance of 0.1% of the percentage of companies obliged to comply with the employme</w:t>
      </w:r>
      <w:r w:rsidRPr="002E2EAA">
        <w:rPr>
          <w:rFonts w:ascii="Arial" w:eastAsia="Arial" w:hAnsi="Arial" w:cs="Arial"/>
        </w:rPr>
        <w:t>nt quota for persons with disabilities, as of 2015 (47 companies) and progressive annual goals ascending to 0.5% by 2017, 0.7% by 2018, 0.8% by 2019, 0.9% by 2020 and 1.0% by 2020 (60 companies)] to consider modifying the goal of compliance with this oblig</w:t>
      </w:r>
      <w:r w:rsidRPr="002E2EAA">
        <w:rPr>
          <w:rFonts w:ascii="Arial" w:eastAsia="Arial" w:hAnsi="Arial" w:cs="Arial"/>
        </w:rPr>
        <w:t>ation, given that a compliance requirement of less than 1% for the exercise of the right to work of the population with disabilities would be considered a violation of their right to equal opportunities.</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During the </w:t>
      </w:r>
      <w:r w:rsidR="00813EE1" w:rsidRPr="002E2EAA">
        <w:rPr>
          <w:rFonts w:ascii="Arial" w:eastAsia="Arial" w:hAnsi="Arial" w:cs="Arial"/>
        </w:rPr>
        <w:t xml:space="preserve">year 2020, </w:t>
      </w:r>
      <w:r w:rsidRPr="002E2EAA">
        <w:rPr>
          <w:rFonts w:ascii="Arial" w:eastAsia="Arial" w:hAnsi="Arial" w:cs="Arial"/>
        </w:rPr>
        <w:t>working people with disabiliti</w:t>
      </w:r>
      <w:r w:rsidRPr="002E2EAA">
        <w:rPr>
          <w:rFonts w:ascii="Arial" w:eastAsia="Arial" w:hAnsi="Arial" w:cs="Arial"/>
        </w:rPr>
        <w:t>es stated that, despite being part of the population that guaranteed compliance with the labor quota in the state agency where they worked, in the face of personnel reduction measures, they were affected by not considering this right, nor the special emplo</w:t>
      </w:r>
      <w:r w:rsidRPr="002E2EAA">
        <w:rPr>
          <w:rFonts w:ascii="Arial" w:eastAsia="Arial" w:hAnsi="Arial" w:cs="Arial"/>
        </w:rPr>
        <w:t>yment protection that especially protects people with disabilities, according to Article 23 of the Political Constitution of Peru. In this sense, the most affected population with disabilities were those who worked in the State through Administrative Servi</w:t>
      </w:r>
      <w:r w:rsidRPr="002E2EAA">
        <w:rPr>
          <w:rFonts w:ascii="Arial" w:eastAsia="Arial" w:hAnsi="Arial" w:cs="Arial"/>
        </w:rPr>
        <w:t xml:space="preserve">ce Contracts (CAS), as well as those who had temporary employment contracts in the private sector.   </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The MICDPD highlights that there is evidence of a majority of non-compliance with this obligation, both at the level of public entities and private compan</w:t>
      </w:r>
      <w:r w:rsidRPr="002E2EAA">
        <w:rPr>
          <w:rFonts w:ascii="Arial" w:eastAsia="Arial" w:hAnsi="Arial" w:cs="Arial"/>
        </w:rPr>
        <w:t>ies, a situation that reflects the urgency of establishing public policies, goals and monitoring mechanisms to ensure a greater presence of persons with disabilities in the workplace.</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Likewise, the MICDPD is concerned that within the employment promotion m</w:t>
      </w:r>
      <w:r w:rsidRPr="002E2EAA">
        <w:rPr>
          <w:rFonts w:ascii="Arial" w:eastAsia="Arial" w:hAnsi="Arial" w:cs="Arial"/>
        </w:rPr>
        <w:t>easures adopted by the Peruvian State to guarantee access to employment for persons with disabilities under equal conditions as others, no State actions are considered that unify all calls related to guaranteeing equal opportunities for this population, wi</w:t>
      </w:r>
      <w:r w:rsidRPr="002E2EAA">
        <w:rPr>
          <w:rFonts w:ascii="Arial" w:eastAsia="Arial" w:hAnsi="Arial" w:cs="Arial"/>
        </w:rPr>
        <w:t>th the objective of reducing the gaps and barriers that exist in the work environment.</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In this last aspect, the MICDPD requests the Committee to recommend the State to generate homogeneous personnel selection processes with a disability approach, including</w:t>
      </w:r>
      <w:r w:rsidRPr="002E2EAA">
        <w:rPr>
          <w:rFonts w:ascii="Arial" w:eastAsia="Arial" w:hAnsi="Arial" w:cs="Arial"/>
        </w:rPr>
        <w:t xml:space="preserve"> processes for appointment by assignment, in order to ensure the implementation of the 15% disability bonus, This also applies to promotion processes, which have refused to recognize measures that provide employment promotion services that make it possible</w:t>
      </w:r>
      <w:r w:rsidRPr="002E2EAA">
        <w:rPr>
          <w:rFonts w:ascii="Arial" w:eastAsia="Arial" w:hAnsi="Arial" w:cs="Arial"/>
        </w:rPr>
        <w:t xml:space="preserve"> to recognize the abilities, merits and skills of persons with disabilities and their contributions in relation to the workplace and the labor market.</w:t>
      </w:r>
    </w:p>
    <w:p w:rsidR="007F30C2" w:rsidRPr="002E2EAA" w:rsidRDefault="007F30C2">
      <w:pPr>
        <w:autoSpaceDE w:val="0"/>
        <w:autoSpaceDN w:val="0"/>
        <w:adjustRightInd w:val="0"/>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Reasonable accommodation in employment for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General Law on Persons with Dis</w:t>
      </w:r>
      <w:r w:rsidRPr="002E2EAA">
        <w:rPr>
          <w:rFonts w:ascii="Arial" w:eastAsia="Arial" w:hAnsi="Arial" w:cs="Arial"/>
        </w:rPr>
        <w:t>abilities and its regulations provide that, in order to ensure access to employment for persons with disabilities, it is necessary to establish adjustments in the procedures of public competitions, as well as to implement, maintain -and when necessary rene</w:t>
      </w:r>
      <w:r w:rsidRPr="002E2EAA">
        <w:rPr>
          <w:rFonts w:ascii="Arial" w:eastAsia="Arial" w:hAnsi="Arial" w:cs="Arial"/>
        </w:rPr>
        <w:t xml:space="preserve">w- reasonable accommodations in the work performed by this population in the public and private sector. In this sense, between 2019 and January 2020, guidelines for the granting of reasonable accommodations have been published, in whose </w:t>
      </w:r>
      <w:r w:rsidR="00813EE1" w:rsidRPr="002E2EAA">
        <w:rPr>
          <w:rFonts w:ascii="Arial" w:eastAsia="Arial" w:hAnsi="Arial" w:cs="Arial"/>
        </w:rPr>
        <w:t>elaboration</w:t>
      </w:r>
      <w:r w:rsidRPr="002E2EAA">
        <w:rPr>
          <w:rFonts w:ascii="Arial" w:eastAsia="Arial" w:hAnsi="Arial" w:cs="Arial"/>
        </w:rPr>
        <w:t xml:space="preserve"> process</w:t>
      </w:r>
      <w:r w:rsidRPr="002E2EAA">
        <w:rPr>
          <w:rFonts w:ascii="Arial" w:eastAsia="Arial" w:hAnsi="Arial" w:cs="Arial"/>
        </w:rPr>
        <w:t xml:space="preserve"> </w:t>
      </w:r>
      <w:r w:rsidR="00813EE1" w:rsidRPr="002E2EAA">
        <w:rPr>
          <w:rFonts w:ascii="Arial" w:eastAsia="Arial" w:hAnsi="Arial" w:cs="Arial"/>
        </w:rPr>
        <w:t xml:space="preserve">the MICDPD </w:t>
      </w:r>
      <w:r w:rsidRPr="002E2EAA">
        <w:rPr>
          <w:rFonts w:ascii="Arial" w:eastAsia="Arial" w:hAnsi="Arial" w:cs="Arial"/>
        </w:rPr>
        <w:t xml:space="preserve">actively participated: </w:t>
      </w:r>
    </w:p>
    <w:p w:rsidR="001004DA" w:rsidRDefault="00933E28">
      <w:pPr>
        <w:pStyle w:val="ListParagraph"/>
        <w:numPr>
          <w:ilvl w:val="0"/>
          <w:numId w:val="7"/>
        </w:numPr>
        <w:spacing w:before="120" w:after="120" w:line="240" w:lineRule="auto"/>
        <w:contextualSpacing w:val="0"/>
        <w:jc w:val="both"/>
        <w:rPr>
          <w:rFonts w:ascii="Arial" w:eastAsia="Arial" w:hAnsi="Arial" w:cs="Arial"/>
        </w:rPr>
      </w:pPr>
      <w:r w:rsidRPr="002E2EAA">
        <w:rPr>
          <w:rFonts w:ascii="Arial" w:eastAsia="Arial" w:hAnsi="Arial" w:cs="Arial"/>
          <w:i/>
        </w:rPr>
        <w:t>Guidelines for granting reasonable accommodation to persons with disabilities in the selection process and in the workplace, and criteria for determining disproportionate or undue burden, applicable in the private sector.</w:t>
      </w:r>
      <w:r w:rsidRPr="002E2EAA">
        <w:rPr>
          <w:rStyle w:val="FootnoteReference"/>
          <w:rFonts w:ascii="Arial" w:eastAsia="Arial" w:hAnsi="Arial" w:cs="Arial"/>
        </w:rPr>
        <w:footnoteReference w:id="60"/>
      </w:r>
    </w:p>
    <w:p w:rsidR="001004DA" w:rsidRDefault="00933E28">
      <w:pPr>
        <w:pStyle w:val="ListParagraph"/>
        <w:spacing w:before="120" w:after="120" w:line="240" w:lineRule="auto"/>
        <w:contextualSpacing w:val="0"/>
        <w:jc w:val="both"/>
        <w:rPr>
          <w:rFonts w:ascii="Arial" w:eastAsia="Arial" w:hAnsi="Arial" w:cs="Arial"/>
        </w:rPr>
      </w:pPr>
      <w:r w:rsidRPr="002E2EAA">
        <w:rPr>
          <w:rFonts w:ascii="Arial" w:eastAsia="Arial" w:hAnsi="Arial" w:cs="Arial"/>
        </w:rPr>
        <w:t xml:space="preserve">Among the measures instituted, the most important are those that require that the selection processes include the dissemination of job vacancies, in a timely manner, in formats accessible to applicants with disabilities (easy reading, audio, among others) </w:t>
      </w:r>
      <w:r w:rsidRPr="002E2EAA">
        <w:rPr>
          <w:rFonts w:ascii="Arial" w:eastAsia="Arial" w:hAnsi="Arial" w:cs="Arial"/>
        </w:rPr>
        <w:t xml:space="preserve">and on equal terms with other applicants. For the case of workers with disabilities, it presents a design of reasonable accommodation with a procedure for its implementation in the workplace, which has a maximum term of thirty (30) working days in a space </w:t>
      </w:r>
      <w:r w:rsidRPr="002E2EAA">
        <w:rPr>
          <w:rFonts w:ascii="Arial" w:eastAsia="Arial" w:hAnsi="Arial" w:cs="Arial"/>
        </w:rPr>
        <w:t>of between one (1) and three (3) deliberative sessions; as well as establishes measures against an unjustified denial of reasonable accommodation for constituting an act of discrimination, which may be subject to complaint before the competent Labor Inspec</w:t>
      </w:r>
      <w:r w:rsidRPr="002E2EAA">
        <w:rPr>
          <w:rFonts w:ascii="Arial" w:eastAsia="Arial" w:hAnsi="Arial" w:cs="Arial"/>
        </w:rPr>
        <w:t xml:space="preserve">tion Authority and/or through judicial process. </w:t>
      </w:r>
    </w:p>
    <w:p w:rsidR="001004DA" w:rsidRDefault="00933E28">
      <w:pPr>
        <w:pStyle w:val="ListParagraph"/>
        <w:numPr>
          <w:ilvl w:val="0"/>
          <w:numId w:val="7"/>
        </w:numPr>
        <w:spacing w:before="120" w:after="120" w:line="240" w:lineRule="auto"/>
        <w:contextualSpacing w:val="0"/>
        <w:jc w:val="both"/>
        <w:rPr>
          <w:rFonts w:ascii="Arial" w:eastAsia="Arial" w:hAnsi="Arial" w:cs="Arial"/>
        </w:rPr>
      </w:pPr>
      <w:r w:rsidRPr="002E2EAA">
        <w:rPr>
          <w:rFonts w:ascii="Arial" w:eastAsia="Arial" w:hAnsi="Arial" w:cs="Arial"/>
          <w:i/>
        </w:rPr>
        <w:t>Guidelines for granting reasonable accommodation to persons with disabilities in the selection process carried out by public sector entities.</w:t>
      </w:r>
      <w:r w:rsidRPr="002E2EAA">
        <w:rPr>
          <w:rStyle w:val="FootnoteReference"/>
          <w:rFonts w:ascii="Arial" w:eastAsia="Arial" w:hAnsi="Arial" w:cs="Arial"/>
        </w:rPr>
        <w:footnoteReference w:id="61"/>
      </w:r>
    </w:p>
    <w:p w:rsidR="001004DA" w:rsidRDefault="00933E28">
      <w:pPr>
        <w:pStyle w:val="ListParagraph"/>
        <w:spacing w:before="120" w:after="120" w:line="240" w:lineRule="auto"/>
        <w:contextualSpacing w:val="0"/>
        <w:jc w:val="both"/>
        <w:rPr>
          <w:rFonts w:ascii="Arial" w:eastAsia="Arial" w:hAnsi="Arial" w:cs="Arial"/>
        </w:rPr>
      </w:pPr>
      <w:r w:rsidRPr="002E2EAA">
        <w:rPr>
          <w:rFonts w:ascii="Arial" w:eastAsia="Arial" w:hAnsi="Arial" w:cs="Arial"/>
        </w:rPr>
        <w:t>Servir is obliged to coordinate with Conadis, the Regional Offic</w:t>
      </w:r>
      <w:r w:rsidRPr="002E2EAA">
        <w:rPr>
          <w:rFonts w:ascii="Arial" w:eastAsia="Arial" w:hAnsi="Arial" w:cs="Arial"/>
        </w:rPr>
        <w:t>es for the Attention of Persons with Disabilities (Oredis) and the Municipal Offices for the Attention of Persons with Disabilities (Omaped), in order to develop actions to disseminate the selection processes among persons with disabilities and their organ</w:t>
      </w:r>
      <w:r w:rsidRPr="002E2EAA">
        <w:rPr>
          <w:rFonts w:ascii="Arial" w:eastAsia="Arial" w:hAnsi="Arial" w:cs="Arial"/>
        </w:rPr>
        <w:t>izations. It also recognizes that depending on the type of disability (physical, sensory, intellectual and mental), different reasonable accommodations will be required in the selection processes, which must be implemented upon request, with only an affida</w:t>
      </w:r>
      <w:r w:rsidRPr="002E2EAA">
        <w:rPr>
          <w:rFonts w:ascii="Arial" w:eastAsia="Arial" w:hAnsi="Arial" w:cs="Arial"/>
        </w:rPr>
        <w:t>vit being sufficient for the accreditation of the disability during the process.</w:t>
      </w:r>
    </w:p>
    <w:p w:rsidR="001004DA" w:rsidRDefault="00933E28">
      <w:pPr>
        <w:pStyle w:val="ListParagraph"/>
        <w:numPr>
          <w:ilvl w:val="0"/>
          <w:numId w:val="7"/>
        </w:numPr>
        <w:spacing w:before="120" w:after="120" w:line="240" w:lineRule="auto"/>
        <w:contextualSpacing w:val="0"/>
        <w:jc w:val="both"/>
        <w:rPr>
          <w:rFonts w:ascii="Arial" w:eastAsia="Arial" w:hAnsi="Arial" w:cs="Arial"/>
          <w:i/>
        </w:rPr>
      </w:pPr>
      <w:r w:rsidRPr="002E2EAA">
        <w:rPr>
          <w:rFonts w:ascii="Arial" w:eastAsia="Arial" w:hAnsi="Arial" w:cs="Arial"/>
          <w:i/>
        </w:rPr>
        <w:t>Guidelines for the provision of reasonable accommodation to persons with disabilities in the workplace and criteria for determining disproportionate or undue burden, applicabl</w:t>
      </w:r>
      <w:r w:rsidRPr="002E2EAA">
        <w:rPr>
          <w:rFonts w:ascii="Arial" w:eastAsia="Arial" w:hAnsi="Arial" w:cs="Arial"/>
          <w:i/>
        </w:rPr>
        <w:t>e in the public sector</w:t>
      </w:r>
      <w:r w:rsidRPr="002E2EAA">
        <w:rPr>
          <w:rStyle w:val="FootnoteReference"/>
          <w:rFonts w:ascii="Arial" w:eastAsia="Arial" w:hAnsi="Arial" w:cs="Arial"/>
        </w:rPr>
        <w:footnoteReference w:id="62"/>
      </w:r>
    </w:p>
    <w:p w:rsidR="001004DA" w:rsidRDefault="00933E28">
      <w:pPr>
        <w:pStyle w:val="ListParagraph"/>
        <w:spacing w:before="120" w:after="120" w:line="240" w:lineRule="auto"/>
        <w:contextualSpacing w:val="0"/>
        <w:jc w:val="both"/>
        <w:rPr>
          <w:rFonts w:ascii="Arial" w:eastAsia="Arial" w:hAnsi="Arial" w:cs="Arial"/>
        </w:rPr>
      </w:pPr>
      <w:r w:rsidRPr="002E2EAA">
        <w:rPr>
          <w:rFonts w:ascii="Arial" w:eastAsia="Arial" w:hAnsi="Arial" w:cs="Arial"/>
        </w:rPr>
        <w:t xml:space="preserve">It is a duty to identify public servants and civil servants with disabilities, who have an employment relationship and do not have reasonable accommodations, so that the Human Resources offices may initiate a procedure for granting </w:t>
      </w:r>
      <w:r w:rsidRPr="002E2EAA">
        <w:rPr>
          <w:rFonts w:ascii="Arial" w:eastAsia="Arial" w:hAnsi="Arial" w:cs="Arial"/>
        </w:rPr>
        <w:t>them, which includes the implementation, maintenance and renewal of reasonable accommodations. It also establishes an analysis of the barriers of the position in the workplace according to the specific situation of the civil servant with a disability; reas</w:t>
      </w:r>
      <w:r w:rsidRPr="002E2EAA">
        <w:rPr>
          <w:rFonts w:ascii="Arial" w:eastAsia="Arial" w:hAnsi="Arial" w:cs="Arial"/>
        </w:rPr>
        <w:t>onable accommodations that can be implemented in favor of the civil servant with a disability, which indicate the reasonable period of time in which they will be in operation and/or implemented. Finally, it determines that cases of unjustified denial of re</w:t>
      </w:r>
      <w:r w:rsidRPr="002E2EAA">
        <w:rPr>
          <w:rFonts w:ascii="Arial" w:eastAsia="Arial" w:hAnsi="Arial" w:cs="Arial"/>
        </w:rPr>
        <w:t>asonable accommodation constitute acts of discrimination under Law No. 29973, General Law for Persons with Disabilities, as amended.</w:t>
      </w:r>
    </w:p>
    <w:p w:rsidR="001004DA" w:rsidRDefault="00933E28">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Within the framework of the guidelines for reasonable accommodation published and in force, it is important to ensure a rol</w:t>
      </w:r>
      <w:r w:rsidRPr="002E2EAA">
        <w:rPr>
          <w:rFonts w:ascii="Arial" w:eastAsia="Arial" w:hAnsi="Arial" w:cs="Arial"/>
        </w:rPr>
        <w:t xml:space="preserve">e of monitoring, surveillance, reporting and sanctioning of those acts that constitute non-compliance with the regulations in force. </w:t>
      </w:r>
    </w:p>
    <w:p w:rsidR="00813EE1" w:rsidRPr="002E2EAA" w:rsidRDefault="00813EE1">
      <w:pPr>
        <w:autoSpaceDE w:val="0"/>
        <w:autoSpaceDN w:val="0"/>
        <w:adjustRightInd w:val="0"/>
        <w:spacing w:before="120" w:after="120" w:line="240" w:lineRule="auto"/>
        <w:jc w:val="both"/>
        <w:rPr>
          <w:rFonts w:ascii="Arial" w:eastAsia="Arial" w:hAnsi="Arial" w:cs="Arial"/>
        </w:rPr>
      </w:pPr>
    </w:p>
    <w:p w:rsidR="001004DA" w:rsidRDefault="00933E28">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Reasonable accommodation for family members of persons with disabilities</w:t>
      </w:r>
    </w:p>
    <w:p w:rsidR="001004DA" w:rsidRDefault="00933E28">
      <w:pPr>
        <w:spacing w:before="120" w:after="120" w:line="240" w:lineRule="auto"/>
        <w:jc w:val="both"/>
        <w:rPr>
          <w:rFonts w:ascii="Arial" w:hAnsi="Arial" w:cs="Arial"/>
        </w:rPr>
      </w:pPr>
      <w:r w:rsidRPr="002E2EAA">
        <w:rPr>
          <w:rFonts w:ascii="Arial" w:hAnsi="Arial" w:cs="Arial"/>
        </w:rPr>
        <w:t>The General Law of Persons with Disabilities rec</w:t>
      </w:r>
      <w:r w:rsidRPr="002E2EAA">
        <w:rPr>
          <w:rFonts w:ascii="Arial" w:hAnsi="Arial" w:cs="Arial"/>
        </w:rPr>
        <w:t>ognizes the right to reasonable accommodations at work for persons with disabilities, for example, flexibility in their schedules, reduction of working hours, implementation of physical adaptations in their workplace, etc. However, the Peruvian State has n</w:t>
      </w:r>
      <w:r w:rsidRPr="002E2EAA">
        <w:rPr>
          <w:rFonts w:ascii="Arial" w:hAnsi="Arial" w:cs="Arial"/>
        </w:rPr>
        <w:t>ot yet developed the concept of reasonable accommodation in the workplace for those who are in charge of persons with disabilities.</w:t>
      </w:r>
    </w:p>
    <w:p w:rsidR="001004DA" w:rsidRDefault="00933E28">
      <w:pPr>
        <w:spacing w:before="120" w:after="120" w:line="240" w:lineRule="auto"/>
        <w:jc w:val="both"/>
        <w:rPr>
          <w:rFonts w:ascii="Arial" w:hAnsi="Arial" w:cs="Arial"/>
        </w:rPr>
      </w:pPr>
      <w:r w:rsidRPr="002E2EAA">
        <w:rPr>
          <w:rFonts w:ascii="Arial" w:hAnsi="Arial" w:cs="Arial"/>
        </w:rPr>
        <w:t>In this regard, although Law No. 30119, Law that grants the right to leave to public and private workers for medical assista</w:t>
      </w:r>
      <w:r w:rsidRPr="002E2EAA">
        <w:rPr>
          <w:rFonts w:ascii="Arial" w:hAnsi="Arial" w:cs="Arial"/>
        </w:rPr>
        <w:t>nce and rehabilitation therapy for people with disabilities, provides for a maximum of 56 hours of leave per year; however, it does not solve the problem of the need for flexible schedules and other adjustments for people who are in charge of highly depend</w:t>
      </w:r>
      <w:r w:rsidRPr="002E2EAA">
        <w:rPr>
          <w:rFonts w:ascii="Arial" w:hAnsi="Arial" w:cs="Arial"/>
        </w:rPr>
        <w:t xml:space="preserve">ent people with disabilities. </w:t>
      </w:r>
    </w:p>
    <w:p w:rsidR="001004DA" w:rsidRDefault="00933E28">
      <w:pPr>
        <w:spacing w:before="120" w:after="120" w:line="240" w:lineRule="auto"/>
        <w:jc w:val="both"/>
        <w:rPr>
          <w:rFonts w:ascii="Arial" w:hAnsi="Arial" w:cs="Arial"/>
        </w:rPr>
      </w:pPr>
      <w:r w:rsidRPr="002E2EAA">
        <w:rPr>
          <w:rFonts w:ascii="Arial" w:hAnsi="Arial" w:cs="Arial"/>
        </w:rPr>
        <w:t>For this reason, the MICDPD recommended the inclusion of reasonable accommodation for family members of persons with disabilities in the Technical Standards for Reasonable Accommodation in Employment pre-published by the Mini</w:t>
      </w:r>
      <w:r w:rsidRPr="002E2EAA">
        <w:rPr>
          <w:rFonts w:ascii="Arial" w:hAnsi="Arial" w:cs="Arial"/>
        </w:rPr>
        <w:t>stry of Labor and Servir</w:t>
      </w:r>
      <w:r w:rsidRPr="002E2EAA">
        <w:rPr>
          <w:rStyle w:val="FootnoteReference"/>
          <w:rFonts w:ascii="Arial" w:hAnsi="Arial" w:cs="Arial"/>
        </w:rPr>
        <w:footnoteReference w:id="63"/>
      </w:r>
      <w:r w:rsidRPr="002E2EAA">
        <w:rPr>
          <w:rFonts w:ascii="Arial" w:hAnsi="Arial" w:cs="Arial"/>
        </w:rPr>
        <w:t xml:space="preserve"> , without obtaining a decision on the matter.</w:t>
      </w:r>
    </w:p>
    <w:p w:rsidR="001004DA" w:rsidRDefault="00933E28">
      <w:pPr>
        <w:spacing w:before="120" w:after="120" w:line="240" w:lineRule="auto"/>
        <w:jc w:val="both"/>
        <w:rPr>
          <w:rFonts w:ascii="Arial" w:hAnsi="Arial" w:cs="Arial"/>
        </w:rPr>
      </w:pPr>
      <w:r w:rsidRPr="002E2EAA">
        <w:rPr>
          <w:rFonts w:ascii="Arial" w:hAnsi="Arial" w:cs="Arial"/>
        </w:rPr>
        <w:t>Likewise, it issued a favorable opinion regarding bills that recognize the right to reasonable accommodation for family members of persons with disabilities, such as Bill No. 3993/2018</w:t>
      </w:r>
      <w:r w:rsidRPr="002E2EAA">
        <w:rPr>
          <w:rFonts w:ascii="Arial" w:hAnsi="Arial" w:cs="Arial"/>
        </w:rPr>
        <w:t xml:space="preserve">-CR. Likewise, it recommended the inclusion of family members with disabilities as beneficiaries of the right to reasonable accommodation </w:t>
      </w:r>
      <w:r w:rsidR="00813EE1" w:rsidRPr="002E2EAA">
        <w:rPr>
          <w:rFonts w:ascii="Arial" w:hAnsi="Arial" w:cs="Arial"/>
        </w:rPr>
        <w:t xml:space="preserve">in </w:t>
      </w:r>
      <w:r w:rsidRPr="002E2EAA">
        <w:rPr>
          <w:rFonts w:ascii="Arial" w:hAnsi="Arial" w:cs="Arial"/>
        </w:rPr>
        <w:t>Bill No. 3590/2018-CR. Said bills were not approved.</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 other hand, given that the MICDPD has received cases of</w:t>
      </w:r>
      <w:r w:rsidRPr="002E2EAA">
        <w:rPr>
          <w:rFonts w:ascii="Arial" w:eastAsia="Arial" w:hAnsi="Arial" w:cs="Arial"/>
        </w:rPr>
        <w:t xml:space="preserve"> parents who work as teachers and need facilities to care for their children with disabilities, it reiterated to the </w:t>
      </w:r>
      <w:r w:rsidR="00813EE1" w:rsidRPr="002E2EAA">
        <w:rPr>
          <w:rFonts w:ascii="Arial" w:eastAsia="Arial" w:hAnsi="Arial" w:cs="Arial"/>
        </w:rPr>
        <w:t xml:space="preserve">Ministry of Education </w:t>
      </w:r>
      <w:r w:rsidRPr="002E2EAA">
        <w:rPr>
          <w:rFonts w:ascii="Arial" w:eastAsia="Arial" w:hAnsi="Arial" w:cs="Arial"/>
        </w:rPr>
        <w:t>the obligation to make reasonable accommodation in employment for teachers and other workers with disabilities and th</w:t>
      </w:r>
      <w:r w:rsidRPr="002E2EAA">
        <w:rPr>
          <w:rFonts w:ascii="Arial" w:eastAsia="Arial" w:hAnsi="Arial" w:cs="Arial"/>
        </w:rPr>
        <w:t>eir families, in compliance with the provisions of the CRPD</w:t>
      </w:r>
      <w:r w:rsidRPr="002E2EAA">
        <w:rPr>
          <w:rFonts w:ascii="Arial" w:eastAsia="Arial" w:hAnsi="Arial" w:cs="Arial"/>
          <w:vertAlign w:val="superscript"/>
        </w:rPr>
        <w:footnoteReference w:id="64"/>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response, the Minedu pointed out that, in the case of this sector, reasonable adjustments in employment cannot refer to the change of job position, and that the change of function from teaching to administrative work would constitute the creation of a n</w:t>
      </w:r>
      <w:r w:rsidRPr="002E2EAA">
        <w:rPr>
          <w:rFonts w:ascii="Arial" w:eastAsia="Arial" w:hAnsi="Arial" w:cs="Arial"/>
        </w:rPr>
        <w:t xml:space="preserve">ew position with administrative functions that would be outside the areas of job performance; however, it recognized the need for the competent authority to issue a technical standard to guide the implementation of reasonable adjustments for teachers with </w:t>
      </w:r>
      <w:r w:rsidRPr="002E2EAA">
        <w:rPr>
          <w:rFonts w:ascii="Arial" w:eastAsia="Arial" w:hAnsi="Arial" w:cs="Arial"/>
        </w:rPr>
        <w:t>disabilities or those who are in charge of family members with proven disabilities</w:t>
      </w:r>
      <w:r w:rsidRPr="002E2EAA">
        <w:rPr>
          <w:rFonts w:ascii="Arial" w:eastAsia="Arial" w:hAnsi="Arial" w:cs="Arial"/>
          <w:vertAlign w:val="superscript"/>
        </w:rPr>
        <w:footnoteReference w:id="65"/>
      </w:r>
      <w:r w:rsidRPr="002E2EAA">
        <w:rPr>
          <w:rFonts w:ascii="Arial" w:eastAsia="Arial" w:hAnsi="Arial" w:cs="Arial"/>
        </w:rPr>
        <w:t xml:space="preserv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view of the above, the MICDPD requests that the Peruvian State be urged to adopt the necessary measures to implement reasonable accommodation for persons with disabili</w:t>
      </w:r>
      <w:r w:rsidRPr="002E2EAA">
        <w:rPr>
          <w:rFonts w:ascii="Arial" w:eastAsia="Arial" w:hAnsi="Arial" w:cs="Arial"/>
        </w:rPr>
        <w:t xml:space="preserve">ties and their </w:t>
      </w:r>
      <w:r w:rsidR="00813EE1" w:rsidRPr="002E2EAA">
        <w:rPr>
          <w:rFonts w:ascii="Arial" w:eastAsia="Arial" w:hAnsi="Arial" w:cs="Arial"/>
        </w:rPr>
        <w:t xml:space="preserve">immediate </w:t>
      </w:r>
      <w:r w:rsidRPr="002E2EAA">
        <w:rPr>
          <w:rFonts w:ascii="Arial" w:eastAsia="Arial" w:hAnsi="Arial" w:cs="Arial"/>
        </w:rPr>
        <w:t>family members in the public and private sector, similar to what was done in 2015 with the European Union</w:t>
      </w:r>
      <w:r w:rsidRPr="002E2EAA">
        <w:rPr>
          <w:rStyle w:val="FootnoteReference"/>
          <w:rFonts w:ascii="Arial" w:eastAsia="Arial" w:hAnsi="Arial" w:cs="Arial"/>
        </w:rPr>
        <w:footnoteReference w:id="66"/>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this sense, it is necessary for the Peruvian State to guarantee the publication of guidelines similar to those publish</w:t>
      </w:r>
      <w:r w:rsidRPr="002E2EAA">
        <w:rPr>
          <w:rFonts w:ascii="Arial" w:eastAsia="Arial" w:hAnsi="Arial" w:cs="Arial"/>
        </w:rPr>
        <w:t>ed for people with disabilities working in the public and private sector, in order to channel those cases of family members who provide assistance to people with disabilities and who require some specific adjustment, an effective adaptation of their situat</w:t>
      </w:r>
      <w:r w:rsidRPr="002E2EAA">
        <w:rPr>
          <w:rFonts w:ascii="Arial" w:eastAsia="Arial" w:hAnsi="Arial" w:cs="Arial"/>
        </w:rPr>
        <w:t xml:space="preserve">ion for the exercise of the rights of the population they assist.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Through Legislative Decree No. 1468, the State accepted recommendations made by the MICDPD in the first half of 2020, aimed at guaranteeing reasonable accommodations for this population in </w:t>
      </w:r>
      <w:r w:rsidRPr="002E2EAA">
        <w:rPr>
          <w:rFonts w:ascii="Arial" w:eastAsia="Arial" w:hAnsi="Arial" w:cs="Arial"/>
        </w:rPr>
        <w:t xml:space="preserve">the context of the Covid-19 health emergency. However, these actions were provided as a provisional and emergency measure, not as a permanent guarantee for this population, and legislation and guidelines that provide them with greater guarantees are still </w:t>
      </w:r>
      <w:r w:rsidRPr="002E2EAA">
        <w:rPr>
          <w:rFonts w:ascii="Arial" w:eastAsia="Arial" w:hAnsi="Arial" w:cs="Arial"/>
        </w:rPr>
        <w:t>pending.</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11" w:name="_Toc524617988"/>
      <w:r w:rsidRPr="002E2EAA">
        <w:rPr>
          <w:rFonts w:ascii="Arial" w:eastAsia="Arial" w:hAnsi="Arial" w:cs="Arial"/>
          <w:color w:val="auto"/>
          <w:sz w:val="22"/>
          <w:szCs w:val="22"/>
        </w:rPr>
        <w:t>Adequate standard of living and social protection</w:t>
      </w:r>
      <w:bookmarkEnd w:id="11"/>
      <w:r w:rsidRPr="002E2EAA">
        <w:rPr>
          <w:rFonts w:ascii="Arial" w:eastAsia="Arial" w:hAnsi="Arial" w:cs="Arial"/>
          <w:color w:val="auto"/>
          <w:sz w:val="22"/>
          <w:szCs w:val="22"/>
        </w:rPr>
        <w:t xml:space="preserve"> (article 28º)</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The Peruvian State created the Severe Disability Pension Program (currently Contigo Program), which has been implemented progressively throughout the national territory. </w:t>
      </w:r>
      <w:r w:rsidRPr="002E2EAA">
        <w:rPr>
          <w:rFonts w:ascii="Arial" w:eastAsia="Arial" w:hAnsi="Arial" w:cs="Arial"/>
        </w:rPr>
        <w:t>The year of its creation, 2015, the Contigo Program began to be implemented in the regions of Ayacucho and Tumbes; currently, it is in all regions nationwide. The VI-2022 register, dated December 20, 2022, records 106,628 users</w:t>
      </w:r>
      <w:r w:rsidRPr="002E2EAA">
        <w:rPr>
          <w:rStyle w:val="FootnoteReference"/>
          <w:rFonts w:ascii="Arial" w:eastAsia="Arial" w:hAnsi="Arial" w:cs="Arial"/>
        </w:rPr>
        <w:footnoteReference w:id="67"/>
      </w:r>
      <w:r w:rsidRPr="002E2EAA">
        <w:rPr>
          <w:rFonts w:ascii="Arial" w:eastAsia="Arial" w:hAnsi="Arial" w:cs="Arial"/>
        </w:rPr>
        <w:t xml:space="preserve"> .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Contigo Program cont</w:t>
      </w:r>
      <w:r w:rsidRPr="002E2EAA">
        <w:rPr>
          <w:rFonts w:ascii="Arial" w:eastAsia="Arial" w:hAnsi="Arial" w:cs="Arial"/>
        </w:rPr>
        <w:t xml:space="preserve">emplates a bimonthly payment of three hundred soles (S/ 300 and 00/100) in an individual bank account; this amount is insufficient to improve the standard of living of </w:t>
      </w:r>
      <w:r w:rsidR="003A7519" w:rsidRPr="002E2EAA">
        <w:rPr>
          <w:rFonts w:ascii="Arial" w:eastAsia="Arial" w:hAnsi="Arial" w:cs="Arial"/>
        </w:rPr>
        <w:t>severely disabled people</w:t>
      </w:r>
      <w:r w:rsidRPr="002E2EAA">
        <w:rPr>
          <w:rFonts w:ascii="Arial" w:eastAsia="Arial" w:hAnsi="Arial" w:cs="Arial"/>
        </w:rPr>
        <w:t>, since it is not enough to cover the expenses caused by the spe</w:t>
      </w:r>
      <w:r w:rsidRPr="002E2EAA">
        <w:rPr>
          <w:rFonts w:ascii="Arial" w:eastAsia="Arial" w:hAnsi="Arial" w:cs="Arial"/>
        </w:rPr>
        <w:t>cial needs of these people, such as food, therapies, medicines, diapers, education, transportation, among others.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The total number of the target population of the Contigo Program is calculated based on the number of people with disabilities established in </w:t>
      </w:r>
      <w:r w:rsidRPr="002E2EAA">
        <w:rPr>
          <w:rFonts w:ascii="Arial" w:eastAsia="Arial" w:hAnsi="Arial" w:cs="Arial"/>
        </w:rPr>
        <w:t xml:space="preserve">the </w:t>
      </w:r>
      <w:r w:rsidR="003A7519" w:rsidRPr="002E2EAA">
        <w:rPr>
          <w:rFonts w:ascii="Arial" w:eastAsia="Arial" w:hAnsi="Arial" w:cs="Arial"/>
        </w:rPr>
        <w:t xml:space="preserve">National Survey on Disability - </w:t>
      </w:r>
      <w:r w:rsidRPr="002E2EAA">
        <w:rPr>
          <w:rFonts w:ascii="Arial" w:eastAsia="Arial" w:hAnsi="Arial" w:cs="Arial"/>
        </w:rPr>
        <w:t>Enedis 2012 (5.2 % of the total population of the country) and not based on the National Census 2017 (10.3 % of the total population of the country).</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Contigo Program uses the Minsa database for the qualification of t</w:t>
      </w:r>
      <w:r w:rsidRPr="002E2EAA">
        <w:rPr>
          <w:rFonts w:ascii="Arial" w:eastAsia="Arial" w:hAnsi="Arial" w:cs="Arial"/>
        </w:rPr>
        <w:t>he beneficiaries of the non-contributory pension for persons with severe disability; however, there are persons with certified severe disability who are not in said database. Additionally, we must point out that, according to the information provided by Mi</w:t>
      </w:r>
      <w:r w:rsidRPr="002E2EAA">
        <w:rPr>
          <w:rFonts w:ascii="Arial" w:eastAsia="Arial" w:hAnsi="Arial" w:cs="Arial"/>
        </w:rPr>
        <w:t>nsa, as of 2020, 93.45% of people with disabilities did not have a disability certificate.</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 other hand, the criteria of the Household Targeting System (Sisfoh) do not allow identifying the condition of poverty and extreme poverty of persons with disa</w:t>
      </w:r>
      <w:r w:rsidRPr="002E2EAA">
        <w:rPr>
          <w:rFonts w:ascii="Arial" w:eastAsia="Arial" w:hAnsi="Arial" w:cs="Arial"/>
        </w:rPr>
        <w:t xml:space="preserve">bilities and their families, a situation that limits their access to social programs and economic subsidies, as well as to the social protection system promoted by the State, such as the non-contributory pension for persons with disabilities.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Likewise, th</w:t>
      </w:r>
      <w:r w:rsidRPr="002E2EAA">
        <w:rPr>
          <w:rFonts w:ascii="Arial" w:eastAsia="Arial" w:hAnsi="Arial" w:cs="Arial"/>
        </w:rPr>
        <w:t>e Ombudsman's Office received complaints from people with disabilities who were withdrawn from the Contigo Program because they were not included in the Minsa list of people with severe disability certificates. In view of this situation, the MICDPD held me</w:t>
      </w:r>
      <w:r w:rsidRPr="002E2EAA">
        <w:rPr>
          <w:rFonts w:ascii="Arial" w:eastAsia="Arial" w:hAnsi="Arial" w:cs="Arial"/>
        </w:rPr>
        <w:t xml:space="preserve">etings with representatives of the Minsa and Midis to find a solution, and it was decided to initiate a process of revision of the technical norms, in order to eliminate the barriers that limit access to this benefit.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Finally, it should be pointed out tha</w:t>
      </w:r>
      <w:r w:rsidRPr="002E2EAA">
        <w:rPr>
          <w:rFonts w:ascii="Arial" w:eastAsia="Arial" w:hAnsi="Arial" w:cs="Arial"/>
        </w:rPr>
        <w:t>t the Contigo Program only provides its members with 300 soles every two months; furthermore, it does not allow the person with a disability to receive any other pension or income from the public or private sector. This restriction is made without analyzin</w:t>
      </w:r>
      <w:r w:rsidRPr="002E2EAA">
        <w:rPr>
          <w:rFonts w:ascii="Arial" w:eastAsia="Arial" w:hAnsi="Arial" w:cs="Arial"/>
        </w:rPr>
        <w:t xml:space="preserve">g whether the total income is equivalent to the minimum living wage in Peru (1025 soles). The amount granted by the Program, plus the prohibition of not receiving other income to participate in it, does not allow a person with severe disability to survive </w:t>
      </w:r>
      <w:r w:rsidRPr="002E2EAA">
        <w:rPr>
          <w:rFonts w:ascii="Arial" w:eastAsia="Arial" w:hAnsi="Arial" w:cs="Arial"/>
        </w:rPr>
        <w:t>on his or her own, nor to cover all the expenses related to health and housing.</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view of the above, the MICDPD recommends urging the Peruvian State to extend the coverage of the non-contributory pension to all persons with disabilities living in poverty </w:t>
      </w:r>
      <w:r w:rsidRPr="002E2EAA">
        <w:rPr>
          <w:rFonts w:ascii="Arial" w:eastAsia="Arial" w:hAnsi="Arial" w:cs="Arial"/>
        </w:rPr>
        <w:t>and extreme poverty, as well as to avoid irregular disenrollment of users of the Contigo Program. Additionally, the Peruvian State must adopt the necessary measures to implement support systems and reasonable adjustments to make the collection of the non-c</w:t>
      </w:r>
      <w:r w:rsidRPr="002E2EAA">
        <w:rPr>
          <w:rFonts w:ascii="Arial" w:eastAsia="Arial" w:hAnsi="Arial" w:cs="Arial"/>
        </w:rPr>
        <w:t>ontributory pension effective.</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 </w:t>
      </w: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12" w:name="_Toc524617989"/>
      <w:r w:rsidRPr="002E2EAA">
        <w:rPr>
          <w:rFonts w:ascii="Arial" w:eastAsia="Arial" w:hAnsi="Arial" w:cs="Arial"/>
          <w:color w:val="auto"/>
          <w:sz w:val="22"/>
          <w:szCs w:val="22"/>
        </w:rPr>
        <w:t>Participation in political and public life</w:t>
      </w:r>
      <w:bookmarkEnd w:id="12"/>
      <w:r w:rsidRPr="002E2EAA">
        <w:rPr>
          <w:rFonts w:ascii="Arial" w:eastAsia="Arial" w:hAnsi="Arial" w:cs="Arial"/>
          <w:color w:val="auto"/>
          <w:sz w:val="22"/>
          <w:szCs w:val="22"/>
        </w:rPr>
        <w:t xml:space="preserve"> (article 29º)</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order to participate in political and public life, it is necessary to ensure </w:t>
      </w:r>
      <w:r w:rsidRPr="002E2EAA">
        <w:rPr>
          <w:rFonts w:ascii="Arial" w:eastAsia="Arial" w:hAnsi="Arial" w:cs="Arial"/>
          <w:bCs/>
          <w:iCs/>
        </w:rPr>
        <w:t xml:space="preserve">accessibility to information for persons with disabilities, as well as to adopt </w:t>
      </w:r>
      <w:r w:rsidRPr="002E2EAA">
        <w:rPr>
          <w:rFonts w:ascii="Arial" w:eastAsia="Arial" w:hAnsi="Arial" w:cs="Arial"/>
        </w:rPr>
        <w:t>measures that favor their political participation. However, the accessibility of the web portals of public institutions is still not guaranteed, nor is the publication of government plans in accessible and easy-to-read formats, circumstances that affect pe</w:t>
      </w:r>
      <w:r w:rsidRPr="002E2EAA">
        <w:rPr>
          <w:rFonts w:ascii="Arial" w:eastAsia="Arial" w:hAnsi="Arial" w:cs="Arial"/>
        </w:rPr>
        <w:t>rsons with disabilities, causing their exclusion in political and public activities.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On the other hand, the regulation and implementation of the </w:t>
      </w:r>
      <w:r w:rsidRPr="002E2EAA">
        <w:rPr>
          <w:rFonts w:ascii="Arial" w:eastAsia="Arial" w:hAnsi="Arial" w:cs="Arial"/>
          <w:bCs/>
          <w:iCs/>
        </w:rPr>
        <w:t xml:space="preserve">right to consultation </w:t>
      </w:r>
      <w:r w:rsidRPr="002E2EAA">
        <w:rPr>
          <w:rFonts w:ascii="Arial" w:eastAsia="Arial" w:hAnsi="Arial" w:cs="Arial"/>
        </w:rPr>
        <w:t>of persons with disabilities in Peru, recognized in article 14 of the LGPD</w:t>
      </w:r>
      <w:r w:rsidRPr="002E2EAA">
        <w:rPr>
          <w:rFonts w:ascii="Arial" w:eastAsia="Arial" w:hAnsi="Arial" w:cs="Arial"/>
          <w:vertAlign w:val="superscript"/>
        </w:rPr>
        <w:footnoteReference w:id="68"/>
      </w:r>
      <w:r w:rsidRPr="002E2EAA">
        <w:rPr>
          <w:rFonts w:ascii="Arial" w:eastAsia="Arial" w:hAnsi="Arial" w:cs="Arial"/>
        </w:rPr>
        <w:t xml:space="preserve"> , as well as </w:t>
      </w:r>
      <w:r w:rsidRPr="002E2EAA">
        <w:rPr>
          <w:rFonts w:ascii="Arial" w:eastAsia="Arial" w:hAnsi="Arial" w:cs="Arial"/>
        </w:rPr>
        <w:t>in article 12 of its regulation</w:t>
      </w:r>
      <w:r w:rsidRPr="002E2EAA">
        <w:rPr>
          <w:rFonts w:ascii="Arial" w:eastAsia="Arial" w:hAnsi="Arial" w:cs="Arial"/>
          <w:vertAlign w:val="superscript"/>
        </w:rPr>
        <w:footnoteReference w:id="69"/>
      </w:r>
      <w:r w:rsidRPr="002E2EAA">
        <w:rPr>
          <w:rFonts w:ascii="Arial" w:eastAsia="Arial" w:hAnsi="Arial" w:cs="Arial"/>
        </w:rPr>
        <w:t xml:space="preserve"> , motivates some observations.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 consultation process is a mechanism through which the State enables persons with disabilities (as subjects of the consultation) to participate and influence the development and implementa</w:t>
      </w:r>
      <w:r w:rsidRPr="002E2EAA">
        <w:rPr>
          <w:rFonts w:ascii="Arial" w:eastAsia="Arial" w:hAnsi="Arial" w:cs="Arial"/>
        </w:rPr>
        <w:t xml:space="preserve">tion of the regulation, policy or program that could affect their legal situation or their living conditions in some way. Therefore, consultation involves actions that allow people with disabilities: to be informed, to form an opinion, to take a position, </w:t>
      </w:r>
      <w:r w:rsidRPr="002E2EAA">
        <w:rPr>
          <w:rFonts w:ascii="Arial" w:eastAsia="Arial" w:hAnsi="Arial" w:cs="Arial"/>
        </w:rPr>
        <w:t>to express this position, to discuss it.</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Often, public entities assume that the right to consultation is operationalized with the dissemination of the regulation or public policy via the Internet, so that citizens can express their opinion within 30 days</w:t>
      </w:r>
      <w:r w:rsidRPr="002E2EAA">
        <w:rPr>
          <w:rStyle w:val="FootnoteReference"/>
          <w:rFonts w:ascii="Arial" w:eastAsia="Arial" w:hAnsi="Arial" w:cs="Arial"/>
        </w:rPr>
        <w:footnoteReference w:id="70"/>
      </w:r>
      <w:r w:rsidRPr="002E2EAA">
        <w:rPr>
          <w:rFonts w:ascii="Arial" w:eastAsia="Arial" w:hAnsi="Arial" w:cs="Arial"/>
        </w:rPr>
        <w:t xml:space="preserve"> </w:t>
      </w:r>
      <w:r w:rsidRPr="002E2EAA">
        <w:rPr>
          <w:rFonts w:ascii="Arial" w:eastAsia="Arial" w:hAnsi="Arial" w:cs="Arial"/>
        </w:rPr>
        <w:t>. In this regard, the MICDPD has stated that the right to consultation cannot be understood only as the dissemination of normative proposals, but rather as a process that must involve the development of activities so that persons with disabilities particip</w:t>
      </w:r>
      <w:r w:rsidRPr="002E2EAA">
        <w:rPr>
          <w:rFonts w:ascii="Arial" w:eastAsia="Arial" w:hAnsi="Arial" w:cs="Arial"/>
        </w:rPr>
        <w:t>ate in the creation of the norm or public policy. This should take into account that the dialogue process should ensure that the final decision is adopted after the elimination of communication barriers to ensure the active participation of persons with di</w:t>
      </w:r>
      <w:r w:rsidRPr="002E2EAA">
        <w:rPr>
          <w:rFonts w:ascii="Arial" w:eastAsia="Arial" w:hAnsi="Arial" w:cs="Arial"/>
        </w:rPr>
        <w:t xml:space="preserve">sabilities.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There is still no clarity in the State regarding the timing of the participation of persons with disabilities in the consultation process and what </w:t>
      </w:r>
      <w:r w:rsidR="00443E97" w:rsidRPr="002E2EAA">
        <w:rPr>
          <w:rFonts w:ascii="Arial" w:eastAsia="Arial" w:hAnsi="Arial" w:cs="Arial"/>
        </w:rPr>
        <w:t xml:space="preserve">this participation </w:t>
      </w:r>
      <w:r w:rsidRPr="002E2EAA">
        <w:rPr>
          <w:rFonts w:ascii="Arial" w:eastAsia="Arial" w:hAnsi="Arial" w:cs="Arial"/>
        </w:rPr>
        <w:t xml:space="preserve">consists of. In </w:t>
      </w:r>
      <w:r w:rsidR="00443E97" w:rsidRPr="002E2EAA">
        <w:rPr>
          <w:rFonts w:ascii="Arial" w:eastAsia="Arial" w:hAnsi="Arial" w:cs="Arial"/>
        </w:rPr>
        <w:t xml:space="preserve">this </w:t>
      </w:r>
      <w:r w:rsidRPr="002E2EAA">
        <w:rPr>
          <w:rFonts w:ascii="Arial" w:eastAsia="Arial" w:hAnsi="Arial" w:cs="Arial"/>
        </w:rPr>
        <w:t>context, the MICDPD presented the proposed "Guide for th</w:t>
      </w:r>
      <w:r w:rsidRPr="002E2EAA">
        <w:rPr>
          <w:rFonts w:ascii="Arial" w:eastAsia="Arial" w:hAnsi="Arial" w:cs="Arial"/>
        </w:rPr>
        <w:t>e implementation of the right to consultation of persons with disabilities", on the basis of which the Conadis approved a Directive that establishes the guidelines for the development of the consultation process for persons with disabilities</w:t>
      </w:r>
      <w:r w:rsidRPr="002E2EAA">
        <w:rPr>
          <w:rStyle w:val="FootnoteReference"/>
          <w:rFonts w:ascii="Arial" w:eastAsia="Arial" w:hAnsi="Arial" w:cs="Arial"/>
        </w:rPr>
        <w:footnoteReference w:id="71"/>
      </w:r>
      <w:r w:rsidRPr="002E2EAA">
        <w:rPr>
          <w:rFonts w:ascii="Arial" w:eastAsia="Arial" w:hAnsi="Arial" w:cs="Arial"/>
        </w:rPr>
        <w:t xml:space="preserve">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Regarding t</w:t>
      </w:r>
      <w:r w:rsidRPr="002E2EAA">
        <w:rPr>
          <w:rFonts w:ascii="Arial" w:eastAsia="Arial" w:hAnsi="Arial" w:cs="Arial"/>
        </w:rPr>
        <w:t xml:space="preserve">he exercise of the </w:t>
      </w:r>
      <w:r w:rsidRPr="002E2EAA">
        <w:rPr>
          <w:rFonts w:ascii="Arial" w:eastAsia="Arial" w:hAnsi="Arial" w:cs="Arial"/>
          <w:bCs/>
          <w:iCs/>
        </w:rPr>
        <w:t xml:space="preserve">right to vote by persons with disabilities, </w:t>
      </w:r>
      <w:r w:rsidRPr="002E2EAA">
        <w:rPr>
          <w:rFonts w:ascii="Arial" w:eastAsia="Arial" w:hAnsi="Arial" w:cs="Arial"/>
        </w:rPr>
        <w:t>we must remember that before 2011, the National Registry of Identification and Civil Status (Reniec) excluded all persons with psychosocial and intellectual disabilities from the electoral roll</w:t>
      </w:r>
      <w:r w:rsidRPr="002E2EAA">
        <w:rPr>
          <w:rFonts w:ascii="Arial" w:eastAsia="Arial" w:hAnsi="Arial" w:cs="Arial"/>
        </w:rPr>
        <w:t>. With the Head Resolution No. 508-2011-JNAC/RENIEC</w:t>
      </w:r>
      <w:r w:rsidRPr="002E2EAA">
        <w:rPr>
          <w:rFonts w:ascii="Arial" w:eastAsia="Arial" w:hAnsi="Arial" w:cs="Arial"/>
          <w:vertAlign w:val="superscript"/>
        </w:rPr>
        <w:footnoteReference w:id="72"/>
      </w:r>
      <w:r w:rsidRPr="002E2EAA">
        <w:rPr>
          <w:rFonts w:ascii="Arial" w:eastAsia="Arial" w:hAnsi="Arial" w:cs="Arial"/>
        </w:rPr>
        <w:t xml:space="preserve"> it was established that persons with disabilities who do not have an interdiction sentence should be included in the electoral roll. For this purpose, a new National Identity Card (DNI) with voting group</w:t>
      </w:r>
      <w:r w:rsidRPr="002E2EAA">
        <w:rPr>
          <w:rFonts w:ascii="Arial" w:eastAsia="Arial" w:hAnsi="Arial" w:cs="Arial"/>
        </w:rPr>
        <w:t xml:space="preserve"> was to be issued. However, to date there has been no compliance with the delivery of the DNI's assigning voting groups to all the people who had been excluded.</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It should be noted that in 2017 a relevant judgment was issued declaring the existence of an un</w:t>
      </w:r>
      <w:r w:rsidRPr="002E2EAA">
        <w:rPr>
          <w:rFonts w:ascii="Arial" w:eastAsia="Arial" w:hAnsi="Arial" w:cs="Arial"/>
        </w:rPr>
        <w:t>constitutional state of affairs in relation to the right to vote of persons with physical, visual and psychosocial disabilities. Based on that case, the court ordered the National Office of Electoral Processes (ONPE) to design, regulate and implement an in</w:t>
      </w:r>
      <w:r w:rsidRPr="002E2EAA">
        <w:rPr>
          <w:rFonts w:ascii="Arial" w:eastAsia="Arial" w:hAnsi="Arial" w:cs="Arial"/>
        </w:rPr>
        <w:t>clusive work plan within a maximum period of three years, with a view to not violating the right to vote of persons with disabilities for the 2021 presidential electoral process</w:t>
      </w:r>
      <w:r w:rsidRPr="002E2EAA">
        <w:rPr>
          <w:rFonts w:ascii="Arial" w:eastAsia="Arial" w:hAnsi="Arial" w:cs="Arial"/>
          <w:vertAlign w:val="superscript"/>
        </w:rPr>
        <w:footnoteReference w:id="73"/>
      </w:r>
      <w:r w:rsidRPr="002E2EAA">
        <w:rPr>
          <w:rFonts w:ascii="Arial" w:eastAsia="Arial" w:hAnsi="Arial" w:cs="Arial"/>
        </w:rPr>
        <w:t xml:space="preserve"> . In spite of this, this sentence was revoked in all its extremes by the Supe</w:t>
      </w:r>
      <w:r w:rsidRPr="002E2EAA">
        <w:rPr>
          <w:rFonts w:ascii="Arial" w:eastAsia="Arial" w:hAnsi="Arial" w:cs="Arial"/>
        </w:rPr>
        <w:t>rior Court of Justice of Lima due to administrative issues</w:t>
      </w:r>
      <w:r w:rsidRPr="002E2EAA">
        <w:rPr>
          <w:rStyle w:val="FootnoteReference"/>
          <w:rFonts w:ascii="Arial" w:eastAsia="Arial" w:hAnsi="Arial" w:cs="Arial"/>
        </w:rPr>
        <w:footnoteReference w:id="74"/>
      </w:r>
      <w:r w:rsidRPr="002E2EAA">
        <w:rPr>
          <w:rFonts w:ascii="Arial" w:eastAsia="Arial" w:hAnsi="Arial" w:cs="Arial"/>
        </w:rPr>
        <w:t xml:space="preserve"> . The MICDPD considers that this could have been a good reference in terms of accessibility.</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Therefore, in relation to the right to consultation, it is requested to urge the Peruvian State to prom</w:t>
      </w:r>
      <w:r w:rsidRPr="002E2EAA">
        <w:rPr>
          <w:rFonts w:ascii="Arial" w:eastAsia="Arial" w:hAnsi="Arial" w:cs="Arial"/>
        </w:rPr>
        <w:t xml:space="preserve">ote </w:t>
      </w:r>
      <w:r w:rsidR="00443E97" w:rsidRPr="002E2EAA">
        <w:rPr>
          <w:rFonts w:ascii="Arial" w:eastAsia="Arial" w:hAnsi="Arial" w:cs="Arial"/>
        </w:rPr>
        <w:t xml:space="preserve">and ensure </w:t>
      </w:r>
      <w:r w:rsidRPr="002E2EAA">
        <w:rPr>
          <w:rFonts w:ascii="Arial" w:eastAsia="Arial" w:hAnsi="Arial" w:cs="Arial"/>
        </w:rPr>
        <w:t>the proper implementation of the process of prior consultation with persons with disabilities in all levels of national government, including the Legislative Branch, following the criteria of the CRPD. It is also recommended to emphasize tha</w:t>
      </w:r>
      <w:r w:rsidRPr="002E2EAA">
        <w:rPr>
          <w:rFonts w:ascii="Arial" w:eastAsia="Arial" w:hAnsi="Arial" w:cs="Arial"/>
        </w:rPr>
        <w:t>t the Peruvian State should be responsible for promoting the participation of persons with disabilities, through the creation of spaces for empowerment in the defense of their rights.</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13" w:name="_Toc524617990"/>
      <w:r w:rsidRPr="002E2EAA">
        <w:rPr>
          <w:rFonts w:ascii="Arial" w:eastAsia="Arial" w:hAnsi="Arial" w:cs="Arial"/>
          <w:color w:val="auto"/>
          <w:sz w:val="22"/>
          <w:szCs w:val="22"/>
        </w:rPr>
        <w:t>Data collection</w:t>
      </w:r>
      <w:bookmarkEnd w:id="13"/>
      <w:r w:rsidRPr="002E2EAA">
        <w:rPr>
          <w:rFonts w:ascii="Arial" w:eastAsia="Arial" w:hAnsi="Arial" w:cs="Arial"/>
          <w:color w:val="auto"/>
          <w:sz w:val="22"/>
          <w:szCs w:val="22"/>
        </w:rPr>
        <w:t xml:space="preserve"> and statistics (article 31°)</w:t>
      </w:r>
    </w:p>
    <w:p w:rsidR="001004DA" w:rsidRDefault="00933E28">
      <w:pPr>
        <w:spacing w:before="120" w:after="120" w:line="240" w:lineRule="auto"/>
        <w:jc w:val="both"/>
        <w:rPr>
          <w:rFonts w:ascii="Arial" w:eastAsia="Arial" w:hAnsi="Arial" w:cs="Arial"/>
        </w:rPr>
      </w:pPr>
      <w:r w:rsidRPr="002E2EAA">
        <w:rPr>
          <w:rFonts w:ascii="Arial" w:eastAsia="Arial" w:hAnsi="Arial" w:cs="Arial"/>
        </w:rPr>
        <w:t>Both statistical information and data on persons with disabilities in Peru are scarce. In recent years, the National Institute of Statistics and Informatics (INEI) has highlighted the following:</w:t>
      </w:r>
    </w:p>
    <w:p w:rsidR="001004DA" w:rsidRDefault="00933E28">
      <w:pPr>
        <w:pStyle w:val="ListParagraph"/>
        <w:numPr>
          <w:ilvl w:val="0"/>
          <w:numId w:val="4"/>
        </w:numPr>
        <w:pBdr>
          <w:top w:val="nil"/>
          <w:left w:val="nil"/>
          <w:bottom w:val="nil"/>
          <w:right w:val="nil"/>
          <w:between w:val="nil"/>
        </w:pBdr>
        <w:spacing w:before="120" w:after="120" w:line="240" w:lineRule="auto"/>
        <w:ind w:left="567" w:hanging="425"/>
        <w:contextualSpacing w:val="0"/>
        <w:jc w:val="both"/>
        <w:rPr>
          <w:rFonts w:ascii="Arial" w:hAnsi="Arial" w:cs="Arial"/>
        </w:rPr>
      </w:pPr>
      <w:r w:rsidRPr="002E2EAA">
        <w:rPr>
          <w:rFonts w:ascii="Arial" w:eastAsia="Arial" w:hAnsi="Arial" w:cs="Arial"/>
        </w:rPr>
        <w:t>First National Specialized Survey on Disability (Enedis) 2012, which refers that 5.2% of the national population are persons with disabilities. Regarding the type of disability, 59.2% had restrictions to move; 50.9% to see; 33.8% to hear; 32.1% to understa</w:t>
      </w:r>
      <w:r w:rsidRPr="002E2EAA">
        <w:rPr>
          <w:rFonts w:ascii="Arial" w:eastAsia="Arial" w:hAnsi="Arial" w:cs="Arial"/>
        </w:rPr>
        <w:t xml:space="preserve">nd or learn; 18.8% to relate to others; and 16.6% to speak or communicate. </w:t>
      </w:r>
    </w:p>
    <w:p w:rsidR="001004DA" w:rsidRDefault="00933E28">
      <w:pPr>
        <w:pStyle w:val="ListParagraph"/>
        <w:numPr>
          <w:ilvl w:val="0"/>
          <w:numId w:val="4"/>
        </w:numPr>
        <w:pBdr>
          <w:top w:val="nil"/>
          <w:left w:val="nil"/>
          <w:bottom w:val="nil"/>
          <w:right w:val="nil"/>
          <w:between w:val="nil"/>
        </w:pBdr>
        <w:spacing w:before="120" w:after="120" w:line="240" w:lineRule="auto"/>
        <w:ind w:left="567" w:hanging="425"/>
        <w:contextualSpacing w:val="0"/>
        <w:jc w:val="both"/>
        <w:rPr>
          <w:rFonts w:ascii="Arial" w:hAnsi="Arial" w:cs="Arial"/>
        </w:rPr>
      </w:pPr>
      <w:r w:rsidRPr="002E2EAA">
        <w:rPr>
          <w:rFonts w:ascii="Arial" w:eastAsia="Arial" w:hAnsi="Arial" w:cs="Arial"/>
        </w:rPr>
        <w:t>Characterization Reports on the living conditions of persons with disabilities for the years 2014, 2015, 2016 and 2019. These reports were prepared based on information from two co</w:t>
      </w:r>
      <w:r w:rsidRPr="002E2EAA">
        <w:rPr>
          <w:rFonts w:ascii="Arial" w:eastAsia="Arial" w:hAnsi="Arial" w:cs="Arial"/>
        </w:rPr>
        <w:t>ntinuous surveys, the National Household Survey (Enaho) and the National Demographic and Family Health Survey (Endes). They present some aspects of the conditions in which people with disabilities develop their lives, contrasting them with the group of peo</w:t>
      </w:r>
      <w:r w:rsidRPr="002E2EAA">
        <w:rPr>
          <w:rFonts w:ascii="Arial" w:eastAsia="Arial" w:hAnsi="Arial" w:cs="Arial"/>
        </w:rPr>
        <w:t>ple without disabilities.</w:t>
      </w:r>
    </w:p>
    <w:p w:rsidR="001004DA" w:rsidRDefault="00933E28">
      <w:pPr>
        <w:pStyle w:val="ListParagraph"/>
        <w:numPr>
          <w:ilvl w:val="0"/>
          <w:numId w:val="4"/>
        </w:numPr>
        <w:pBdr>
          <w:top w:val="nil"/>
          <w:left w:val="nil"/>
          <w:bottom w:val="nil"/>
          <w:right w:val="nil"/>
          <w:between w:val="nil"/>
        </w:pBdr>
        <w:spacing w:before="120" w:after="120" w:line="240" w:lineRule="auto"/>
        <w:ind w:left="567" w:hanging="425"/>
        <w:contextualSpacing w:val="0"/>
        <w:jc w:val="both"/>
        <w:rPr>
          <w:rFonts w:ascii="Arial" w:eastAsia="Arial" w:hAnsi="Arial" w:cs="Arial"/>
        </w:rPr>
      </w:pPr>
      <w:r w:rsidRPr="002E2EAA">
        <w:rPr>
          <w:rFonts w:ascii="Arial" w:eastAsia="Arial" w:hAnsi="Arial" w:cs="Arial"/>
        </w:rPr>
        <w:t>XII National Population Census and VII Housing Census of 2017, which incorporated a question related to people with disabilities. The results reveal that in Peru, the population with disabilities represents 10.4% of the total. Add</w:t>
      </w:r>
      <w:r w:rsidRPr="002E2EAA">
        <w:rPr>
          <w:rFonts w:ascii="Arial" w:eastAsia="Arial" w:hAnsi="Arial" w:cs="Arial"/>
        </w:rPr>
        <w:t xml:space="preserve">itionally, according to the type of disability, 48.3% present difficulty in seeing; 15.1% in moving or walking; 7.6% in hearing; 4.2% in understanding or learning; 3.2% in relating to others; and 3.1% in speaking or communicating. </w:t>
      </w:r>
    </w:p>
    <w:p w:rsidR="001004DA" w:rsidRDefault="00933E28">
      <w:pPr>
        <w:pBdr>
          <w:top w:val="nil"/>
          <w:left w:val="nil"/>
          <w:bottom w:val="nil"/>
          <w:right w:val="nil"/>
          <w:between w:val="nil"/>
        </w:pBdr>
        <w:spacing w:before="120" w:after="120" w:line="240" w:lineRule="auto"/>
        <w:jc w:val="both"/>
        <w:rPr>
          <w:rFonts w:ascii="Arial" w:eastAsia="Arial" w:hAnsi="Arial" w:cs="Arial"/>
        </w:rPr>
      </w:pPr>
      <w:r w:rsidRPr="002E2EAA">
        <w:rPr>
          <w:rFonts w:ascii="Arial" w:eastAsia="Arial" w:hAnsi="Arial" w:cs="Arial"/>
        </w:rPr>
        <w:t>The MICDPD draws the att</w:t>
      </w:r>
      <w:r w:rsidRPr="002E2EAA">
        <w:rPr>
          <w:rFonts w:ascii="Arial" w:eastAsia="Arial" w:hAnsi="Arial" w:cs="Arial"/>
        </w:rPr>
        <w:t>ention of the MICDPD to the significant differences between the results of the Enedis 2012 and the 2017 Census, both in terms of the general percentages of the population, as well as the disaggregation by type of disability. This generates an alert regardi</w:t>
      </w:r>
      <w:r w:rsidRPr="002E2EAA">
        <w:rPr>
          <w:rFonts w:ascii="Arial" w:eastAsia="Arial" w:hAnsi="Arial" w:cs="Arial"/>
        </w:rPr>
        <w:t>ng its implications in relation to the design of public policies aimed at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On the other hand, according to Article 79 of Law No. 29973, LGPD, all entities or agencies of the different sectors and levels of government must include </w:t>
      </w:r>
      <w:r w:rsidRPr="002E2EAA">
        <w:rPr>
          <w:rFonts w:ascii="Arial" w:eastAsia="Arial" w:hAnsi="Arial" w:cs="Arial"/>
        </w:rPr>
        <w:t>in their censuses, surveys and statistical records an item on the situation of persons with disabilities. This information, compiled and processed, must be sent to Conadis for its dissemination and use in the formulation, planning and execution of policies</w:t>
      </w:r>
      <w:r w:rsidRPr="002E2EAA">
        <w:rPr>
          <w:rFonts w:ascii="Arial" w:eastAsia="Arial" w:hAnsi="Arial" w:cs="Arial"/>
        </w:rPr>
        <w:t xml:space="preserve"> and programs. However, it has not been verified that this obligation is fulfilled, with the implications that such omission entails for the development of policies, programs and services.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Therefore, the MICDPD requests that the Peruvian State be urged to</w:t>
      </w:r>
      <w:r w:rsidRPr="002E2EAA">
        <w:rPr>
          <w:rFonts w:ascii="Arial" w:eastAsia="Arial" w:hAnsi="Arial" w:cs="Arial"/>
        </w:rPr>
        <w:t xml:space="preserve"> carry out a specialized census on disability, in order to have updated data on the population with disabilities that will allow the adoption of public policies, programs and services appropriate for this sector of the population. </w:t>
      </w:r>
    </w:p>
    <w:p w:rsidR="007F30C2" w:rsidRPr="002E2EAA" w:rsidRDefault="007F30C2">
      <w:pPr>
        <w:spacing w:before="120" w:after="120" w:line="240" w:lineRule="auto"/>
        <w:jc w:val="both"/>
        <w:rPr>
          <w:rFonts w:ascii="Arial" w:eastAsia="Arial" w:hAnsi="Arial" w:cs="Arial"/>
        </w:rPr>
      </w:pPr>
    </w:p>
    <w:p w:rsidR="001004DA" w:rsidRDefault="00933E28">
      <w:pPr>
        <w:pStyle w:val="Heading1"/>
        <w:numPr>
          <w:ilvl w:val="1"/>
          <w:numId w:val="9"/>
        </w:numPr>
        <w:spacing w:before="120" w:after="120" w:line="240" w:lineRule="auto"/>
        <w:jc w:val="both"/>
        <w:rPr>
          <w:rFonts w:ascii="Arial" w:eastAsia="Arial" w:hAnsi="Arial" w:cs="Arial"/>
          <w:color w:val="auto"/>
          <w:sz w:val="22"/>
          <w:szCs w:val="22"/>
        </w:rPr>
      </w:pPr>
      <w:bookmarkStart w:id="14" w:name="_Toc524617991"/>
      <w:r w:rsidRPr="002E2EAA">
        <w:rPr>
          <w:rFonts w:ascii="Arial" w:eastAsia="Arial" w:hAnsi="Arial" w:cs="Arial"/>
          <w:color w:val="auto"/>
          <w:sz w:val="22"/>
          <w:szCs w:val="22"/>
        </w:rPr>
        <w:t>National monitoring</w:t>
      </w:r>
      <w:bookmarkEnd w:id="14"/>
      <w:r w:rsidRPr="002E2EAA">
        <w:rPr>
          <w:rFonts w:ascii="Arial" w:eastAsia="Arial" w:hAnsi="Arial" w:cs="Arial"/>
          <w:color w:val="auto"/>
          <w:sz w:val="22"/>
          <w:szCs w:val="22"/>
        </w:rPr>
        <w:t xml:space="preserve"> (ar</w:t>
      </w:r>
      <w:r w:rsidRPr="002E2EAA">
        <w:rPr>
          <w:rFonts w:ascii="Arial" w:eastAsia="Arial" w:hAnsi="Arial" w:cs="Arial"/>
          <w:color w:val="auto"/>
          <w:sz w:val="22"/>
          <w:szCs w:val="22"/>
        </w:rPr>
        <w:t>ticle 33º)</w:t>
      </w:r>
    </w:p>
    <w:p w:rsidR="001004DA" w:rsidRDefault="00933E28">
      <w:pPr>
        <w:spacing w:before="120" w:after="120" w:line="240" w:lineRule="auto"/>
        <w:jc w:val="both"/>
        <w:rPr>
          <w:rFonts w:ascii="Arial" w:eastAsia="Arial" w:hAnsi="Arial" w:cs="Arial"/>
        </w:rPr>
      </w:pPr>
      <w:r w:rsidRPr="002E2EAA">
        <w:rPr>
          <w:rFonts w:ascii="Arial" w:eastAsia="Arial" w:hAnsi="Arial" w:cs="Arial"/>
        </w:rPr>
        <w:t>Since the publication of Law No. 29973, LGPD, in 2012, the Ombudsman's Office became an Independent Mechanism to promote, protect and monitor the implementation of the CRPD. Within the organizational structure of the Ombudsman's Office, this tas</w:t>
      </w:r>
      <w:r w:rsidRPr="002E2EAA">
        <w:rPr>
          <w:rFonts w:ascii="Arial" w:eastAsia="Arial" w:hAnsi="Arial" w:cs="Arial"/>
        </w:rPr>
        <w:t>k has fallen to the Program for the Defense and Promotion of the Rights of Persons with Disabilities (Pdeprodis), attached to the Office for Human Rights and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From 2012 to 2018, despite the fact that the Ombudsman's Office was des</w:t>
      </w:r>
      <w:r w:rsidRPr="002E2EAA">
        <w:rPr>
          <w:rFonts w:ascii="Arial" w:eastAsia="Arial" w:hAnsi="Arial" w:cs="Arial"/>
        </w:rPr>
        <w:t>ignated as MICDPD, the necessary budget allocation was not met. In this regard, an attempt has been made to reconcile the constitutional functions of the Ombudsman's Office with those that correspond to it as MICDPD.</w:t>
      </w:r>
    </w:p>
    <w:p w:rsidR="001004DA" w:rsidRDefault="00933E28">
      <w:pPr>
        <w:spacing w:before="120" w:after="120" w:line="240" w:lineRule="auto"/>
        <w:jc w:val="both"/>
        <w:rPr>
          <w:rFonts w:ascii="Arial" w:eastAsia="Arial" w:hAnsi="Arial" w:cs="Arial"/>
        </w:rPr>
      </w:pPr>
      <w:r w:rsidRPr="002E2EAA">
        <w:rPr>
          <w:rFonts w:ascii="Arial" w:eastAsia="Arial" w:hAnsi="Arial" w:cs="Arial"/>
        </w:rPr>
        <w:t>In 2019, the MICDPD received a budget a</w:t>
      </w:r>
      <w:r w:rsidRPr="002E2EAA">
        <w:rPr>
          <w:rFonts w:ascii="Arial" w:eastAsia="Arial" w:hAnsi="Arial" w:cs="Arial"/>
        </w:rPr>
        <w:t>llocation through which the work of promoting and defending the rights of persons with disabilities was strengthened. Thus, for example, it was possible to hire staff in order to work on the issue of disability in 10 regions of the country: Lima, Arequipa,</w:t>
      </w:r>
      <w:r w:rsidRPr="002E2EAA">
        <w:rPr>
          <w:rFonts w:ascii="Arial" w:eastAsia="Arial" w:hAnsi="Arial" w:cs="Arial"/>
        </w:rPr>
        <w:t xml:space="preserve"> Puno, Cusco, Chimbote, Moquegua, San Martin, Tumbes, Tacna and Tingo Maria. In addition, this allowed the preparation of reports on the situation of persons with disabilities in the regions, which have been published and presented in 2020, 2021 and 2022. </w:t>
      </w:r>
      <w:r w:rsidRPr="002E2EAA">
        <w:rPr>
          <w:rFonts w:ascii="Arial" w:eastAsia="Arial" w:hAnsi="Arial" w:cs="Arial"/>
        </w:rPr>
        <w:t xml:space="preserve">For the preparation of these reports, as well as to know the demands of the population with disabilities, meetings were held with people with disabilities and their organizations. </w:t>
      </w:r>
    </w:p>
    <w:p w:rsidR="001004DA" w:rsidRDefault="00933E28">
      <w:pPr>
        <w:spacing w:before="120" w:after="120" w:line="240" w:lineRule="auto"/>
        <w:jc w:val="both"/>
        <w:rPr>
          <w:rFonts w:ascii="Arial" w:eastAsia="Arial" w:hAnsi="Arial" w:cs="Arial"/>
        </w:rPr>
      </w:pPr>
      <w:r w:rsidRPr="002E2EAA">
        <w:rPr>
          <w:rFonts w:ascii="Arial" w:eastAsia="Arial" w:hAnsi="Arial" w:cs="Arial"/>
        </w:rPr>
        <w:t>On the other hand, it should be noted that note has been taken of the reque</w:t>
      </w:r>
      <w:r w:rsidRPr="002E2EAA">
        <w:rPr>
          <w:rFonts w:ascii="Arial" w:eastAsia="Arial" w:hAnsi="Arial" w:cs="Arial"/>
        </w:rPr>
        <w:t>st made by the Disability and Rights Board of the National Human Rights Coordinating Committee for more frequent reports to be made</w:t>
      </w:r>
      <w:r w:rsidRPr="002E2EAA">
        <w:rPr>
          <w:rStyle w:val="FootnoteReference"/>
          <w:rFonts w:ascii="Arial" w:eastAsia="Arial" w:hAnsi="Arial" w:cs="Arial"/>
        </w:rPr>
        <w:footnoteReference w:id="75"/>
      </w:r>
      <w:r w:rsidRPr="002E2EAA">
        <w:rPr>
          <w:rFonts w:ascii="Arial" w:eastAsia="Arial" w:hAnsi="Arial" w:cs="Arial"/>
        </w:rPr>
        <w:t xml:space="preserve"> . In this regard, the functions of the MICDP should be clarified:</w:t>
      </w:r>
    </w:p>
    <w:p w:rsidR="001004DA" w:rsidRDefault="00933E28">
      <w:pPr>
        <w:spacing w:before="120" w:after="120" w:line="240" w:lineRule="auto"/>
        <w:jc w:val="both"/>
        <w:rPr>
          <w:rFonts w:ascii="Arial" w:eastAsia="Arial" w:hAnsi="Arial" w:cs="Arial"/>
        </w:rPr>
      </w:pPr>
      <w:r w:rsidRPr="002E2EAA">
        <w:rPr>
          <w:rFonts w:ascii="Arial" w:eastAsia="Arial" w:hAnsi="Arial" w:cs="Arial"/>
          <w:bCs/>
          <w:i/>
        </w:rPr>
        <w:t xml:space="preserve">Supervision Function: </w:t>
      </w:r>
      <w:r w:rsidRPr="002E2EAA">
        <w:rPr>
          <w:rFonts w:ascii="Arial" w:eastAsia="Arial" w:hAnsi="Arial" w:cs="Arial"/>
        </w:rPr>
        <w:t xml:space="preserve">Periodic unannounced supervision visits are </w:t>
      </w:r>
      <w:r w:rsidR="00443E97" w:rsidRPr="002E2EAA">
        <w:rPr>
          <w:rFonts w:ascii="Arial" w:eastAsia="Arial" w:hAnsi="Arial" w:cs="Arial"/>
        </w:rPr>
        <w:t xml:space="preserve">made in the </w:t>
      </w:r>
      <w:r w:rsidRPr="002E2EAA">
        <w:rPr>
          <w:rFonts w:ascii="Arial" w:eastAsia="Arial" w:hAnsi="Arial" w:cs="Arial"/>
        </w:rPr>
        <w:t>different areas of its intervention, verifying compliance with the CRPD. These supervisions conclude in reports with recommendations to the State entities. Subsequently, compliance with the recommenda</w:t>
      </w:r>
      <w:r w:rsidRPr="002E2EAA">
        <w:rPr>
          <w:rFonts w:ascii="Arial" w:eastAsia="Arial" w:hAnsi="Arial" w:cs="Arial"/>
        </w:rPr>
        <w:t>tions is monitored.</w:t>
      </w:r>
    </w:p>
    <w:p w:rsidR="001004DA" w:rsidRDefault="00933E28">
      <w:pPr>
        <w:spacing w:before="120" w:after="120" w:line="240" w:lineRule="auto"/>
        <w:jc w:val="both"/>
        <w:rPr>
          <w:rFonts w:ascii="Arial" w:eastAsia="Arial" w:hAnsi="Arial" w:cs="Arial"/>
        </w:rPr>
      </w:pPr>
      <w:r w:rsidRPr="002E2EAA">
        <w:rPr>
          <w:rFonts w:ascii="Arial" w:eastAsia="Arial" w:hAnsi="Arial" w:cs="Arial"/>
          <w:bCs/>
          <w:i/>
        </w:rPr>
        <w:t xml:space="preserve">Promotion Function: </w:t>
      </w:r>
      <w:r w:rsidRPr="002E2EAA">
        <w:rPr>
          <w:rFonts w:ascii="Arial" w:eastAsia="Arial" w:hAnsi="Arial" w:cs="Arial"/>
        </w:rPr>
        <w:t>Promotes the adaptation of internal regulations to the framework of the CRPD and public policies, and subsequently monitors compliance with them. Likewise, training on disability issues is provided to public entities</w:t>
      </w:r>
      <w:r w:rsidRPr="002E2EAA">
        <w:rPr>
          <w:rFonts w:ascii="Arial" w:eastAsia="Arial" w:hAnsi="Arial" w:cs="Arial"/>
        </w:rPr>
        <w:t xml:space="preserve"> and audiovisual material on the rights of persons with disabilities is produced and disseminated to the general public.</w:t>
      </w:r>
    </w:p>
    <w:p w:rsidR="001004DA" w:rsidRDefault="00933E28">
      <w:pPr>
        <w:spacing w:before="120" w:after="120" w:line="240" w:lineRule="auto"/>
        <w:jc w:val="both"/>
        <w:rPr>
          <w:rFonts w:ascii="Arial" w:eastAsia="Arial" w:hAnsi="Arial" w:cs="Arial"/>
        </w:rPr>
      </w:pPr>
      <w:r w:rsidRPr="002E2EAA">
        <w:rPr>
          <w:rFonts w:ascii="Arial" w:eastAsia="Arial" w:hAnsi="Arial" w:cs="Arial"/>
          <w:bCs/>
          <w:i/>
        </w:rPr>
        <w:t xml:space="preserve">Protection Function: </w:t>
      </w:r>
      <w:r w:rsidRPr="002E2EAA">
        <w:rPr>
          <w:rFonts w:ascii="Arial" w:eastAsia="Arial" w:hAnsi="Arial" w:cs="Arial"/>
        </w:rPr>
        <w:t xml:space="preserve">Strategic litigation in cases that violate the rights of persons with disabilities. Likewise, </w:t>
      </w:r>
      <w:r w:rsidRPr="002E2EAA">
        <w:rPr>
          <w:rFonts w:ascii="Arial" w:eastAsia="Arial" w:hAnsi="Arial" w:cs="Arial"/>
          <w:i/>
          <w:iCs/>
        </w:rPr>
        <w:t xml:space="preserve">amicus curiae </w:t>
      </w:r>
      <w:r w:rsidRPr="002E2EAA">
        <w:rPr>
          <w:rFonts w:ascii="Arial" w:eastAsia="Arial" w:hAnsi="Arial" w:cs="Arial"/>
        </w:rPr>
        <w:t>briefs</w:t>
      </w:r>
      <w:r w:rsidRPr="002E2EAA">
        <w:rPr>
          <w:rFonts w:ascii="Arial" w:eastAsia="Arial" w:hAnsi="Arial" w:cs="Arial"/>
        </w:rPr>
        <w:t xml:space="preserve"> are filed in court cases related to the fundamental rights of persons with disabilities.</w:t>
      </w:r>
    </w:p>
    <w:p w:rsidR="001004DA" w:rsidRDefault="00933E28">
      <w:pPr>
        <w:spacing w:before="120" w:after="120" w:line="240" w:lineRule="auto"/>
        <w:jc w:val="both"/>
        <w:rPr>
          <w:rFonts w:ascii="Arial" w:eastAsia="Arial" w:hAnsi="Arial" w:cs="Arial"/>
        </w:rPr>
      </w:pPr>
      <w:r w:rsidRPr="002E2EAA">
        <w:rPr>
          <w:rFonts w:ascii="Arial" w:eastAsia="Arial" w:hAnsi="Arial" w:cs="Arial"/>
        </w:rPr>
        <w:t xml:space="preserve">In order to guarantee the fulfillment of its functions, the MICDPD needs to </w:t>
      </w:r>
      <w:r w:rsidR="002E2EAA">
        <w:rPr>
          <w:rFonts w:ascii="Arial" w:eastAsia="Arial" w:hAnsi="Arial" w:cs="Arial"/>
        </w:rPr>
        <w:t xml:space="preserve">have an </w:t>
      </w:r>
      <w:r w:rsidRPr="002E2EAA">
        <w:rPr>
          <w:rFonts w:ascii="Arial" w:eastAsia="Arial" w:hAnsi="Arial" w:cs="Arial"/>
        </w:rPr>
        <w:t>adequate budget. It is also necessary to continue strengthening the dialogue with persons with disabilities and their organizations, as well as to improve coordination between the MICDPD and the Committee on the Rights of Persons with Disabilities.</w:t>
      </w:r>
    </w:p>
    <w:p w:rsidR="007F30C2" w:rsidRPr="002E2EAA" w:rsidRDefault="007F30C2">
      <w:pPr>
        <w:spacing w:before="120" w:after="120" w:line="240" w:lineRule="auto"/>
        <w:jc w:val="both"/>
        <w:rPr>
          <w:rFonts w:ascii="Arial" w:eastAsia="Arial" w:hAnsi="Arial" w:cs="Arial"/>
        </w:rPr>
      </w:pPr>
    </w:p>
    <w:p w:rsidR="001004DA" w:rsidRDefault="00933E28">
      <w:pPr>
        <w:pStyle w:val="ListParagraph"/>
        <w:numPr>
          <w:ilvl w:val="0"/>
          <w:numId w:val="9"/>
        </w:numPr>
        <w:spacing w:before="120" w:after="120" w:line="240" w:lineRule="auto"/>
        <w:contextualSpacing w:val="0"/>
        <w:jc w:val="both"/>
        <w:rPr>
          <w:rFonts w:ascii="Arial" w:hAnsi="Arial" w:cs="Arial"/>
          <w:b/>
        </w:rPr>
      </w:pPr>
      <w:r>
        <w:rPr>
          <w:rFonts w:ascii="Arial" w:hAnsi="Arial" w:cs="Arial"/>
          <w:b/>
        </w:rPr>
        <w:t>PROPOS</w:t>
      </w:r>
      <w:r>
        <w:rPr>
          <w:rFonts w:ascii="Arial" w:hAnsi="Arial" w:cs="Arial"/>
          <w:b/>
        </w:rPr>
        <w:t>ALS TO BE CONSIDERED IN THE EVALUATION OF THE PERUVIAN GOVERNMENT</w:t>
      </w:r>
      <w:r w:rsidR="0096665D" w:rsidRPr="002E2EAA">
        <w:rPr>
          <w:rFonts w:ascii="Arial" w:hAnsi="Arial" w:cs="Arial"/>
          <w:b/>
        </w:rPr>
        <w:t>:</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The MICDPD appreciates the approval by the Peruvian State</w:t>
      </w:r>
      <w:r w:rsidRPr="002E2EAA">
        <w:rPr>
          <w:rFonts w:ascii="Arial" w:hAnsi="Arial" w:cs="Arial"/>
        </w:rPr>
        <w:t>:</w:t>
      </w:r>
    </w:p>
    <w:p w:rsidR="001004DA" w:rsidRDefault="00933E28">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Legislative Decree 1384, Legislative Decree that recognizes and regulates the legal capacity of persons with disabilities under eq</w:t>
      </w:r>
      <w:r w:rsidRPr="002E2EAA">
        <w:rPr>
          <w:rFonts w:ascii="Arial" w:hAnsi="Arial" w:cs="Arial"/>
        </w:rPr>
        <w:t>ual conditions.</w:t>
      </w:r>
    </w:p>
    <w:p w:rsidR="001004DA" w:rsidRDefault="00933E28">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From Law No. 30947, Mental Health Law.</w:t>
      </w:r>
    </w:p>
    <w:p w:rsidR="001004DA" w:rsidRDefault="00933E28">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From the National Human Rights Plan 2018-2021.</w:t>
      </w:r>
    </w:p>
    <w:p w:rsidR="001004DA" w:rsidRDefault="00933E28">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From the National Multisectoral Policy on Disability for Development to 2030.</w:t>
      </w:r>
    </w:p>
    <w:p w:rsidR="001004DA" w:rsidRDefault="00933E28">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 xml:space="preserve">Supreme Decree No. 007-2021-MINEDU, Supreme Decree amending the regulations </w:t>
      </w:r>
      <w:r w:rsidRPr="002E2EAA">
        <w:rPr>
          <w:rFonts w:ascii="Arial" w:hAnsi="Arial" w:cs="Arial"/>
        </w:rPr>
        <w:t>of Law No. 2804, General Education Law, approved by Supreme Decree No. 011-2012-ED.</w:t>
      </w:r>
    </w:p>
    <w:p w:rsidR="001004DA" w:rsidRDefault="00933E28">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From Directive Nº D000002-2021-CONADIS-PRE, "Directive that establishes the guidelines for the development of consultation processes for persons with disabilities".</w:t>
      </w:r>
    </w:p>
    <w:p w:rsidR="001004DA" w:rsidRDefault="00933E28">
      <w:pPr>
        <w:pStyle w:val="ListParagraph"/>
        <w:numPr>
          <w:ilvl w:val="1"/>
          <w:numId w:val="9"/>
        </w:numPr>
        <w:spacing w:before="120" w:after="120" w:line="240" w:lineRule="auto"/>
        <w:contextualSpacing w:val="0"/>
        <w:jc w:val="both"/>
        <w:rPr>
          <w:rFonts w:ascii="Arial" w:hAnsi="Arial" w:cs="Arial"/>
        </w:rPr>
      </w:pPr>
      <w:r w:rsidRPr="002E2EAA">
        <w:rPr>
          <w:rFonts w:ascii="Arial" w:hAnsi="Arial" w:cs="Arial"/>
          <w:b/>
        </w:rPr>
        <w:t>Institu</w:t>
      </w:r>
      <w:r w:rsidRPr="002E2EAA">
        <w:rPr>
          <w:rFonts w:ascii="Arial" w:hAnsi="Arial" w:cs="Arial"/>
          <w:b/>
        </w:rPr>
        <w:t xml:space="preserve">tionalization measures that promote the institutionalization of persons with disabilities: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that the legislation and jurisprudence concerning the imposition of security measures for the internment of persons declared unfit to commit</w:t>
      </w:r>
      <w:r w:rsidRPr="002E2EAA">
        <w:rPr>
          <w:rFonts w:ascii="Arial" w:hAnsi="Arial" w:cs="Arial"/>
        </w:rPr>
        <w:t xml:space="preserve"> crimes, as well as the imposition of socio-educational measures for adolescent offenders of criminal law and protection measures for women victims of violence and women in street situations that lead to long-term internment in psychiatric institutions, ha</w:t>
      </w:r>
      <w:r w:rsidRPr="002E2EAA">
        <w:rPr>
          <w:rFonts w:ascii="Arial" w:hAnsi="Arial" w:cs="Arial"/>
        </w:rPr>
        <w:t xml:space="preserve">ve not been harmonized with the Convention. This situation generates institutionalization and is contrary to the mental health care policy adopted by the Peruvian State.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The MICDPD requests the Committee to recommend that the State amend current legislati</w:t>
      </w:r>
      <w:r w:rsidRPr="002E2EAA">
        <w:rPr>
          <w:rFonts w:ascii="Arial" w:hAnsi="Arial" w:cs="Arial"/>
          <w:b/>
        </w:rPr>
        <w:t xml:space="preserve">on that restricts the full recognition of the legal capacity of persons with disabilities, respecting the right to informed consent in mental health care, the right to community life, the right to liberty and personal safety, including </w:t>
      </w:r>
      <w:r w:rsidR="00B91B79" w:rsidRPr="002E2EAA">
        <w:rPr>
          <w:rFonts w:ascii="Arial" w:hAnsi="Arial" w:cs="Arial"/>
          <w:b/>
        </w:rPr>
        <w:t xml:space="preserve">the amendment </w:t>
      </w:r>
      <w:r w:rsidRPr="002E2EAA">
        <w:rPr>
          <w:rFonts w:ascii="Arial" w:hAnsi="Arial" w:cs="Arial"/>
          <w:b/>
        </w:rPr>
        <w:t>of the</w:t>
      </w:r>
      <w:r w:rsidRPr="002E2EAA">
        <w:rPr>
          <w:rFonts w:ascii="Arial" w:hAnsi="Arial" w:cs="Arial"/>
          <w:b/>
        </w:rPr>
        <w:t xml:space="preserve"> Criminal Code;  </w:t>
      </w:r>
      <w:r w:rsidR="00B91B79" w:rsidRPr="002E2EAA">
        <w:rPr>
          <w:rFonts w:ascii="Arial" w:hAnsi="Arial" w:cs="Arial"/>
          <w:b/>
        </w:rPr>
        <w:t xml:space="preserve">the Code of </w:t>
      </w:r>
      <w:r w:rsidRPr="002E2EAA">
        <w:rPr>
          <w:rFonts w:ascii="Arial" w:hAnsi="Arial" w:cs="Arial"/>
          <w:b/>
        </w:rPr>
        <w:t xml:space="preserve">Criminal </w:t>
      </w:r>
      <w:r w:rsidR="00B91B79" w:rsidRPr="002E2EAA">
        <w:rPr>
          <w:rFonts w:ascii="Arial" w:hAnsi="Arial" w:cs="Arial"/>
          <w:b/>
        </w:rPr>
        <w:t xml:space="preserve">Responsibility </w:t>
      </w:r>
      <w:r w:rsidRPr="002E2EAA">
        <w:rPr>
          <w:rFonts w:ascii="Arial" w:hAnsi="Arial" w:cs="Arial"/>
          <w:b/>
        </w:rPr>
        <w:t>of Adolescents; Law 30947, Mental Health Law; and, Law 30364, Law to prevent, punish and eradicate violence against women and members of the family group.</w:t>
      </w:r>
    </w:p>
    <w:p w:rsidR="00B91B79" w:rsidRPr="002E2EAA" w:rsidRDefault="00B91B79">
      <w:pPr>
        <w:pStyle w:val="ListParagraph"/>
        <w:spacing w:before="120" w:after="120" w:line="240" w:lineRule="auto"/>
        <w:ind w:left="792"/>
        <w:contextualSpacing w:val="0"/>
        <w:jc w:val="both"/>
        <w:rPr>
          <w:rFonts w:ascii="Arial" w:hAnsi="Arial" w:cs="Arial"/>
          <w:b/>
        </w:rPr>
      </w:pP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Implementation of services for the deinstitutio</w:t>
      </w:r>
      <w:r w:rsidRPr="002E2EAA">
        <w:rPr>
          <w:rFonts w:ascii="Arial" w:hAnsi="Arial" w:cs="Arial"/>
          <w:b/>
        </w:rPr>
        <w:t>nalization of persons with psychosocial or intellectual disabilities:</w:t>
      </w:r>
    </w:p>
    <w:p w:rsidR="001004DA" w:rsidRDefault="00933E28">
      <w:pPr>
        <w:pStyle w:val="ListParagraph"/>
        <w:spacing w:before="120" w:after="120" w:line="240" w:lineRule="auto"/>
        <w:ind w:left="794"/>
        <w:contextualSpacing w:val="0"/>
        <w:jc w:val="both"/>
        <w:rPr>
          <w:rFonts w:ascii="Arial" w:hAnsi="Arial" w:cs="Arial"/>
        </w:rPr>
      </w:pPr>
      <w:r w:rsidRPr="002E2EAA">
        <w:rPr>
          <w:rFonts w:ascii="Arial" w:hAnsi="Arial" w:cs="Arial"/>
        </w:rPr>
        <w:t>The MICDPD is concerned that, despite the validity of Law No. 30947 and the culmination in the implementation of the National Plan for Strengthening community mental health services 2018 - 2021, the creation of sheltered homes has not been met in the total</w:t>
      </w:r>
      <w:r w:rsidRPr="002E2EAA">
        <w:rPr>
          <w:rFonts w:ascii="Arial" w:hAnsi="Arial" w:cs="Arial"/>
        </w:rPr>
        <w:t>ity of the goal proposed in the plan, since by the end of 2021 only 57 of the 164 homes projected were in operation. This situation is detrimental to the deinstitutionalization process of persons with psychosocial or intellectual disabilities, interned for</w:t>
      </w:r>
      <w:r w:rsidRPr="002E2EAA">
        <w:rPr>
          <w:rFonts w:ascii="Arial" w:hAnsi="Arial" w:cs="Arial"/>
        </w:rPr>
        <w:t xml:space="preserve"> a long stay in psychiatric hospitals, under an intramural model, which according to the ombudsman supervision, amounted to more than 600.</w:t>
      </w:r>
    </w:p>
    <w:p w:rsidR="001004DA" w:rsidRDefault="00933E28">
      <w:pPr>
        <w:pStyle w:val="ListParagraph"/>
        <w:spacing w:before="120" w:after="120" w:line="240" w:lineRule="auto"/>
        <w:ind w:left="794"/>
        <w:contextualSpacing w:val="0"/>
        <w:jc w:val="both"/>
        <w:rPr>
          <w:rFonts w:ascii="Arial" w:hAnsi="Arial" w:cs="Arial"/>
          <w:b/>
        </w:rPr>
      </w:pPr>
      <w:r w:rsidRPr="002E2EAA">
        <w:rPr>
          <w:rFonts w:ascii="Arial" w:hAnsi="Arial" w:cs="Arial"/>
          <w:b/>
        </w:rPr>
        <w:t xml:space="preserve">The MICDPD requests the Committee to recommend to the State that it increase, in </w:t>
      </w:r>
      <w:r w:rsidR="00043DAC" w:rsidRPr="002E2EAA">
        <w:rPr>
          <w:rFonts w:ascii="Arial" w:hAnsi="Arial" w:cs="Arial"/>
          <w:b/>
        </w:rPr>
        <w:t xml:space="preserve">a sustained manner, </w:t>
      </w:r>
      <w:r w:rsidRPr="002E2EAA">
        <w:rPr>
          <w:rFonts w:ascii="Arial" w:hAnsi="Arial" w:cs="Arial"/>
          <w:b/>
        </w:rPr>
        <w:t>the budget allocation for the creation of community mental health services, in particular, sheltered homes and residences, in order to promote the deinstitutionalization of persons who are hospitalized for a long stay, under an intramural model, in psychia</w:t>
      </w:r>
      <w:r w:rsidRPr="002E2EAA">
        <w:rPr>
          <w:rFonts w:ascii="Arial" w:hAnsi="Arial" w:cs="Arial"/>
          <w:b/>
        </w:rPr>
        <w:t>tric hospitals. In this sense, it is requested to recommend the preparation of a short-term plan for the deinstitutionalization of psychiatric hospitals.</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Lack of mental health care in prisons: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The MICPDP is concerned about </w:t>
      </w:r>
      <w:r w:rsidR="002275F5" w:rsidRPr="002E2EAA">
        <w:rPr>
          <w:rFonts w:ascii="Arial" w:hAnsi="Arial" w:cs="Arial"/>
        </w:rPr>
        <w:t xml:space="preserve">the situation of people with </w:t>
      </w:r>
      <w:r w:rsidRPr="002E2EAA">
        <w:rPr>
          <w:rFonts w:ascii="Arial" w:hAnsi="Arial" w:cs="Arial"/>
        </w:rPr>
        <w:t>men</w:t>
      </w:r>
      <w:r w:rsidRPr="002E2EAA">
        <w:rPr>
          <w:rFonts w:ascii="Arial" w:hAnsi="Arial" w:cs="Arial"/>
        </w:rPr>
        <w:t xml:space="preserve">tal health problems who </w:t>
      </w:r>
      <w:r w:rsidR="002275F5" w:rsidRPr="002E2EAA">
        <w:rPr>
          <w:rFonts w:ascii="Arial" w:hAnsi="Arial" w:cs="Arial"/>
        </w:rPr>
        <w:t xml:space="preserve">are </w:t>
      </w:r>
      <w:r w:rsidRPr="002E2EAA">
        <w:rPr>
          <w:rFonts w:ascii="Arial" w:hAnsi="Arial" w:cs="Arial"/>
        </w:rPr>
        <w:t>interned in the country's prisons. The lack of diagnosis, evaluation and treatment of mental health, as well as the lack of specialized and sufficient medical personnel to provide services aimed at prevention and rehabilitation,</w:t>
      </w:r>
      <w:r w:rsidRPr="002E2EAA">
        <w:rPr>
          <w:rFonts w:ascii="Arial" w:hAnsi="Arial" w:cs="Arial"/>
        </w:rPr>
        <w:t xml:space="preserve"> does not allow for adequate mental health care of the persons </w:t>
      </w:r>
      <w:r w:rsidR="002275F5" w:rsidRPr="002E2EAA">
        <w:rPr>
          <w:rFonts w:ascii="Arial" w:hAnsi="Arial" w:cs="Arial"/>
        </w:rPr>
        <w:t>interned</w:t>
      </w:r>
      <w:r w:rsidRPr="002E2EAA">
        <w:rPr>
          <w:rFonts w:ascii="Arial" w:hAnsi="Arial" w:cs="Arial"/>
        </w:rPr>
        <w:t xml:space="preserve">. In this regard, the MICDPD notes that the </w:t>
      </w:r>
      <w:r w:rsidR="005E57CB" w:rsidRPr="002E2EAA">
        <w:rPr>
          <w:rFonts w:ascii="Arial" w:hAnsi="Arial" w:cs="Arial"/>
        </w:rPr>
        <w:t xml:space="preserve">unconstitutional state of affairs </w:t>
      </w:r>
      <w:r w:rsidRPr="002E2EAA">
        <w:rPr>
          <w:rFonts w:ascii="Arial" w:hAnsi="Arial" w:cs="Arial"/>
        </w:rPr>
        <w:t xml:space="preserve">declared by the Constitutional Court </w:t>
      </w:r>
      <w:r w:rsidR="005E57CB" w:rsidRPr="002E2EAA">
        <w:rPr>
          <w:rFonts w:ascii="Arial" w:hAnsi="Arial" w:cs="Arial"/>
        </w:rPr>
        <w:t xml:space="preserve">in 2010 </w:t>
      </w:r>
      <w:r w:rsidRPr="002E2EAA">
        <w:rPr>
          <w:rFonts w:ascii="Arial" w:hAnsi="Arial" w:cs="Arial"/>
        </w:rPr>
        <w:t>with respect to the situation of this sector of the population</w:t>
      </w:r>
      <w:r w:rsidRPr="002E2EAA">
        <w:rPr>
          <w:rFonts w:ascii="Arial" w:hAnsi="Arial" w:cs="Arial"/>
        </w:rPr>
        <w:t xml:space="preserve"> persists</w:t>
      </w:r>
      <w:r w:rsidR="00850B73" w:rsidRPr="002E2EAA">
        <w:rPr>
          <w:rFonts w:ascii="Arial" w:hAnsi="Arial" w:cs="Arial"/>
        </w:rPr>
        <w:t>.</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MICDPD requests the Committee to recommend that the </w:t>
      </w:r>
      <w:r w:rsidR="002275F5" w:rsidRPr="002E2EAA">
        <w:rPr>
          <w:rFonts w:ascii="Arial" w:hAnsi="Arial" w:cs="Arial"/>
          <w:b/>
        </w:rPr>
        <w:t xml:space="preserve">State develop </w:t>
      </w:r>
      <w:r w:rsidRPr="002E2EAA">
        <w:rPr>
          <w:rFonts w:ascii="Arial" w:hAnsi="Arial" w:cs="Arial"/>
          <w:b/>
        </w:rPr>
        <w:t>a strategy to overcome the unconstitutional state of affairs, in order to ensure the implementation of adequate services to address the mental health of persons held in prison</w:t>
      </w:r>
      <w:r w:rsidRPr="002E2EAA">
        <w:rPr>
          <w:rFonts w:ascii="Arial" w:hAnsi="Arial" w:cs="Arial"/>
          <w:b/>
        </w:rPr>
        <w:t>s based on a social and human rights model in accordance with the Convention.</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Failure to implement reasonable accommodation and procedures for people with disabilities: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that the institutions that are part of the justice administrat</w:t>
      </w:r>
      <w:r w:rsidRPr="002E2EAA">
        <w:rPr>
          <w:rFonts w:ascii="Arial" w:hAnsi="Arial" w:cs="Arial"/>
        </w:rPr>
        <w:t xml:space="preserve">ion system do not implement in an efficient and timely manner reasonable and procedural accommodations, </w:t>
      </w:r>
      <w:r w:rsidR="000E3003" w:rsidRPr="002E2EAA">
        <w:rPr>
          <w:rFonts w:ascii="Arial" w:hAnsi="Arial" w:cs="Arial"/>
        </w:rPr>
        <w:t xml:space="preserve">aimed at protecting the </w:t>
      </w:r>
      <w:r w:rsidRPr="002E2EAA">
        <w:rPr>
          <w:rFonts w:ascii="Arial" w:hAnsi="Arial" w:cs="Arial"/>
        </w:rPr>
        <w:t>right of access to justice for persons with disabilities on an equal basis with others, despite the fact that there is an obliga</w:t>
      </w:r>
      <w:r w:rsidRPr="002E2EAA">
        <w:rPr>
          <w:rFonts w:ascii="Arial" w:hAnsi="Arial" w:cs="Arial"/>
        </w:rPr>
        <w:t>tion in both the Convention and domestic legislation, including inter-institutional protocols on the implementation of reasonable and procedural accommodations that guarantee the effective participation of persons with disabilities in judicial proceedings,</w:t>
      </w:r>
      <w:r w:rsidRPr="002E2EAA">
        <w:rPr>
          <w:rFonts w:ascii="Arial" w:hAnsi="Arial" w:cs="Arial"/>
        </w:rPr>
        <w:t xml:space="preserve"> including the prosecutorial investigation stage.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MICDPD requests the Committee to recommend </w:t>
      </w:r>
      <w:r w:rsidR="005E57CB" w:rsidRPr="002E2EAA">
        <w:rPr>
          <w:rFonts w:ascii="Arial" w:hAnsi="Arial" w:cs="Arial"/>
          <w:b/>
        </w:rPr>
        <w:t>that</w:t>
      </w:r>
      <w:r w:rsidRPr="002E2EAA">
        <w:rPr>
          <w:rFonts w:ascii="Arial" w:hAnsi="Arial" w:cs="Arial"/>
          <w:b/>
        </w:rPr>
        <w:t xml:space="preserve"> the State strengthen the proper training of justice system operators based on existing legislation, in relation to the proper application of a disability</w:t>
      </w:r>
      <w:r w:rsidRPr="002E2EAA">
        <w:rPr>
          <w:rFonts w:ascii="Arial" w:hAnsi="Arial" w:cs="Arial"/>
          <w:b/>
        </w:rPr>
        <w:t xml:space="preserve"> approach, so as to ensure accessibility, reasonable accommodation, equality, non-discrimination and respect for legal capacity, </w:t>
      </w:r>
      <w:r w:rsidR="005E57CB" w:rsidRPr="002E2EAA">
        <w:rPr>
          <w:rFonts w:ascii="Arial" w:hAnsi="Arial" w:cs="Arial"/>
          <w:b/>
        </w:rPr>
        <w:t xml:space="preserve">from access to </w:t>
      </w:r>
      <w:r w:rsidRPr="002E2EAA">
        <w:rPr>
          <w:rFonts w:ascii="Arial" w:hAnsi="Arial" w:cs="Arial"/>
          <w:b/>
        </w:rPr>
        <w:t xml:space="preserve">justice </w:t>
      </w:r>
      <w:r w:rsidR="000E3003" w:rsidRPr="002E2EAA">
        <w:rPr>
          <w:rFonts w:ascii="Arial" w:hAnsi="Arial" w:cs="Arial"/>
          <w:b/>
        </w:rPr>
        <w:t xml:space="preserve">services </w:t>
      </w:r>
      <w:r w:rsidRPr="002E2EAA">
        <w:rPr>
          <w:rFonts w:ascii="Arial" w:hAnsi="Arial" w:cs="Arial"/>
          <w:b/>
        </w:rPr>
        <w:t>provided to persons with disabilities, especially when dealing with children and adolescents wi</w:t>
      </w:r>
      <w:r w:rsidRPr="002E2EAA">
        <w:rPr>
          <w:rFonts w:ascii="Arial" w:hAnsi="Arial" w:cs="Arial"/>
          <w:b/>
        </w:rPr>
        <w:t>th disabilities.</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Barriers for women with disabilities who are victims of violence to file complaints: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about the existence of barriers for women with disabilities who are victims of violence to file complaints. Among the main barrie</w:t>
      </w:r>
      <w:r w:rsidRPr="002E2EAA">
        <w:rPr>
          <w:rFonts w:ascii="Arial" w:hAnsi="Arial" w:cs="Arial"/>
        </w:rPr>
        <w:t>rs are the existing stereotypes regarding disability, particularly in relation to persons with psychosocial and intellectual disabilities, as well as the lack of credibility and lack of knowledge about the characteristics of how violence against persons wi</w:t>
      </w:r>
      <w:r w:rsidRPr="002E2EAA">
        <w:rPr>
          <w:rFonts w:ascii="Arial" w:hAnsi="Arial" w:cs="Arial"/>
        </w:rPr>
        <w:t xml:space="preserve">th disabilities occurs. These barriers make it difficult to prevent and address the violence suffered by women with disabilities.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The MICDPD requests the Committee to recommend that the Peruvian State strengthen the fight against violence against women wi</w:t>
      </w:r>
      <w:r w:rsidRPr="002E2EAA">
        <w:rPr>
          <w:rFonts w:ascii="Arial" w:hAnsi="Arial" w:cs="Arial"/>
          <w:b/>
        </w:rPr>
        <w:t>th disabilities, guaranteeing respect for the legal capacity of these persons, as well as training on the rights of persons with disabilities in the justice system, emphasizing their rights to decide and participate in society, in accordance with the socia</w:t>
      </w:r>
      <w:r w:rsidRPr="002E2EAA">
        <w:rPr>
          <w:rFonts w:ascii="Arial" w:hAnsi="Arial" w:cs="Arial"/>
          <w:b/>
        </w:rPr>
        <w:t>l model of disability with a human rights approach.</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Segregation, </w:t>
      </w:r>
      <w:r w:rsidR="0096665D" w:rsidRPr="002E2EAA">
        <w:rPr>
          <w:rFonts w:ascii="Arial" w:hAnsi="Arial" w:cs="Arial"/>
          <w:b/>
        </w:rPr>
        <w:t>uprooting from family and environment of children and adolescents with disabilities:</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The MICDP is concerned about the situation of children and adolescents with disabilities residing in Residential Care Centers who are institutionalized and who are not efficiently guaranteed health care, education, community life, among others.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w:t>
      </w:r>
      <w:r w:rsidR="0096665D" w:rsidRPr="002E2EAA">
        <w:rPr>
          <w:rFonts w:ascii="Arial" w:hAnsi="Arial" w:cs="Arial"/>
          <w:b/>
        </w:rPr>
        <w:t xml:space="preserve">MICDPD </w:t>
      </w:r>
      <w:r w:rsidRPr="002E2EAA">
        <w:rPr>
          <w:rFonts w:ascii="Arial" w:hAnsi="Arial" w:cs="Arial"/>
          <w:b/>
        </w:rPr>
        <w:t xml:space="preserve">requests the Committee to recommend that </w:t>
      </w:r>
      <w:r w:rsidR="000E3003" w:rsidRPr="002E2EAA">
        <w:rPr>
          <w:rFonts w:ascii="Arial" w:hAnsi="Arial" w:cs="Arial"/>
          <w:b/>
        </w:rPr>
        <w:t xml:space="preserve">the State </w:t>
      </w:r>
      <w:r w:rsidR="0096665D" w:rsidRPr="002E2EAA">
        <w:rPr>
          <w:rFonts w:ascii="Arial" w:hAnsi="Arial" w:cs="Arial"/>
          <w:b/>
        </w:rPr>
        <w:t xml:space="preserve">guarantee the fundamental rights to health, education, life with dignity, community life, among others, and avoid situations that produce </w:t>
      </w:r>
      <w:r w:rsidRPr="002E2EAA">
        <w:rPr>
          <w:rFonts w:ascii="Arial" w:hAnsi="Arial" w:cs="Arial"/>
          <w:b/>
        </w:rPr>
        <w:t xml:space="preserve">segregation due to disability, </w:t>
      </w:r>
      <w:r w:rsidR="0096665D" w:rsidRPr="002E2EAA">
        <w:rPr>
          <w:rFonts w:ascii="Arial" w:hAnsi="Arial" w:cs="Arial"/>
          <w:b/>
        </w:rPr>
        <w:t xml:space="preserve">institutionalization of children and adolescents with disabilities, as well as actions that generate </w:t>
      </w:r>
      <w:r w:rsidRPr="002E2EAA">
        <w:rPr>
          <w:rFonts w:ascii="Arial" w:hAnsi="Arial" w:cs="Arial"/>
          <w:b/>
        </w:rPr>
        <w:t xml:space="preserve">their </w:t>
      </w:r>
      <w:r w:rsidR="0096665D" w:rsidRPr="002E2EAA">
        <w:rPr>
          <w:rFonts w:ascii="Arial" w:hAnsi="Arial" w:cs="Arial"/>
          <w:b/>
        </w:rPr>
        <w:t>uprooting from their families and environment.</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Disabled persons with civil interdiction sentence: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about the existence of persons with a civil interdiction sent</w:t>
      </w:r>
      <w:r w:rsidRPr="002E2EAA">
        <w:rPr>
          <w:rFonts w:ascii="Arial" w:hAnsi="Arial" w:cs="Arial"/>
        </w:rPr>
        <w:t>ence. Despite the fact that current legislation recognizes the legal capacity of all persons of legal age, including persons with disabilities, there are 7,888 persons with disabilities with a civil interdiction sentence registered in the public records (S</w:t>
      </w:r>
      <w:r w:rsidRPr="002E2EAA">
        <w:rPr>
          <w:rFonts w:ascii="Arial" w:hAnsi="Arial" w:cs="Arial"/>
        </w:rPr>
        <w:t xml:space="preserve">unarp), a situation that contravenes the Convention and violates the right to legal capacity.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MICDPD requests the Committee to recommend that the </w:t>
      </w:r>
      <w:r w:rsidR="000E3003" w:rsidRPr="002E2EAA">
        <w:rPr>
          <w:rFonts w:ascii="Arial" w:hAnsi="Arial" w:cs="Arial"/>
          <w:b/>
        </w:rPr>
        <w:t xml:space="preserve">State develop and implement </w:t>
      </w:r>
      <w:r w:rsidRPr="002E2EAA">
        <w:rPr>
          <w:rFonts w:ascii="Arial" w:hAnsi="Arial" w:cs="Arial"/>
          <w:b/>
        </w:rPr>
        <w:t>a plan for the restitution of the legal capacity of persons with interdiction</w:t>
      </w:r>
      <w:r w:rsidRPr="002E2EAA">
        <w:rPr>
          <w:rFonts w:ascii="Arial" w:hAnsi="Arial" w:cs="Arial"/>
          <w:b/>
        </w:rPr>
        <w:t xml:space="preserve"> sentences registered in the Sunarp, including the modification of Legislative Decree 1384, in order to facilitate the restitution of the legal capacity of persons with disabilities.</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Civil interdiction of persons with perceived disability: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MCDPD is co</w:t>
      </w:r>
      <w:r w:rsidRPr="002E2EAA">
        <w:rPr>
          <w:rFonts w:ascii="Arial" w:hAnsi="Arial" w:cs="Arial"/>
        </w:rPr>
        <w:t>ncerned that Legislative Decree 1384 violates the right to legal capacity by allowing the civil interdiction of persons with restricted capacity to exercise, including persons with perceived disabilities, referred to in the Civil Code as habitual drunkards</w:t>
      </w:r>
      <w:r w:rsidRPr="002E2EAA">
        <w:rPr>
          <w:rFonts w:ascii="Arial" w:hAnsi="Arial" w:cs="Arial"/>
        </w:rPr>
        <w:t xml:space="preserve"> and drug addicts, a situation that contravenes the Convention.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The MICDPD requests the Committee to recommend that the Peruvian State amend the domestic regulations in force that contravene the provisions of the Convention, including those articles of Le</w:t>
      </w:r>
      <w:r w:rsidRPr="002E2EAA">
        <w:rPr>
          <w:rFonts w:ascii="Arial" w:hAnsi="Arial" w:cs="Arial"/>
          <w:b/>
        </w:rPr>
        <w:t>gislative Decree 1384 that allow the civil interdiction of persons with perceived disabilities.</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Gap in access to the education system: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that the gap in access to the educational system for school-age persons with disabilities remain</w:t>
      </w:r>
      <w:r w:rsidRPr="002E2EAA">
        <w:rPr>
          <w:rFonts w:ascii="Arial" w:hAnsi="Arial" w:cs="Arial"/>
        </w:rPr>
        <w:t>s at 88%. The measures adopted by the Peruvian State to close the gap in the access of persons with disabilities to basic education have not had the expected effect, since only 5.4% of the population with disabilities that the Ministry of Education identif</w:t>
      </w:r>
      <w:r w:rsidRPr="002E2EAA">
        <w:rPr>
          <w:rFonts w:ascii="Arial" w:hAnsi="Arial" w:cs="Arial"/>
        </w:rPr>
        <w:t>ied as being outside the educational system obtained enrollment.</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MICDPD requests the Committee to recommend that </w:t>
      </w:r>
      <w:r w:rsidR="000E3003" w:rsidRPr="002E2EAA">
        <w:rPr>
          <w:rFonts w:ascii="Arial" w:hAnsi="Arial" w:cs="Arial"/>
          <w:b/>
        </w:rPr>
        <w:t xml:space="preserve">the State </w:t>
      </w:r>
      <w:r w:rsidRPr="002E2EAA">
        <w:rPr>
          <w:rFonts w:ascii="Arial" w:hAnsi="Arial" w:cs="Arial"/>
          <w:b/>
        </w:rPr>
        <w:t>evaluate and improve the strategy for closing gaps in the access of persons with disabilities to the educational system, particul</w:t>
      </w:r>
      <w:r w:rsidRPr="002E2EAA">
        <w:rPr>
          <w:rFonts w:ascii="Arial" w:hAnsi="Arial" w:cs="Arial"/>
          <w:b/>
        </w:rPr>
        <w:t>arly at the basic education level, applying in an intersectional manner the approaches that make it possible to make visible and address the various educational barriers faced by this population, without neglecting the disability approach. Likewise, the av</w:t>
      </w:r>
      <w:r w:rsidRPr="002E2EAA">
        <w:rPr>
          <w:rFonts w:ascii="Arial" w:hAnsi="Arial" w:cs="Arial"/>
          <w:b/>
        </w:rPr>
        <w:t>ailability, accessibility, acceptability and quality of educational services must be guaranteed.</w:t>
      </w:r>
    </w:p>
    <w:p w:rsidR="001004DA" w:rsidRDefault="00933E28">
      <w:pPr>
        <w:pStyle w:val="ListParagraph"/>
        <w:numPr>
          <w:ilvl w:val="1"/>
          <w:numId w:val="9"/>
        </w:numPr>
        <w:spacing w:before="120" w:after="120" w:line="240" w:lineRule="auto"/>
        <w:ind w:left="794"/>
        <w:contextualSpacing w:val="0"/>
        <w:jc w:val="both"/>
        <w:rPr>
          <w:rFonts w:ascii="Arial" w:hAnsi="Arial" w:cs="Arial"/>
          <w:b/>
        </w:rPr>
      </w:pPr>
      <w:r w:rsidRPr="002E2EAA">
        <w:rPr>
          <w:rFonts w:ascii="Arial" w:hAnsi="Arial" w:cs="Arial"/>
          <w:b/>
        </w:rPr>
        <w:t xml:space="preserve">Lack of accessibility in educational institutions: </w:t>
      </w:r>
    </w:p>
    <w:p w:rsidR="001004DA" w:rsidRDefault="00933E28">
      <w:pPr>
        <w:pStyle w:val="ListParagraph"/>
        <w:spacing w:before="120" w:after="120" w:line="240" w:lineRule="auto"/>
        <w:ind w:left="794"/>
        <w:contextualSpacing w:val="0"/>
        <w:jc w:val="both"/>
        <w:rPr>
          <w:rFonts w:ascii="Arial" w:hAnsi="Arial" w:cs="Arial"/>
        </w:rPr>
      </w:pPr>
      <w:r w:rsidRPr="002E2EAA">
        <w:rPr>
          <w:rFonts w:ascii="Arial" w:hAnsi="Arial" w:cs="Arial"/>
        </w:rPr>
        <w:t>The MICDPD is concerned that the Peruvian State does not comply with guaranteeing accessible educational institutions for children and adolescents with disabilities. According to the Ministry of Education's Education Census 2022, of the total of 92,628 pub</w:t>
      </w:r>
      <w:r w:rsidRPr="002E2EAA">
        <w:rPr>
          <w:rFonts w:ascii="Arial" w:hAnsi="Arial" w:cs="Arial"/>
        </w:rPr>
        <w:t xml:space="preserve">lic and private educational institutions, only 11,911 (12.86%) indicated that they have sufficient infrastructure to meet the special educational needs of students, including children and adolescents with disabilities.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The MICDPD requests the Committee to</w:t>
      </w:r>
      <w:r w:rsidRPr="002E2EAA">
        <w:rPr>
          <w:rFonts w:ascii="Arial" w:hAnsi="Arial" w:cs="Arial"/>
          <w:b/>
        </w:rPr>
        <w:t xml:space="preserve"> </w:t>
      </w:r>
      <w:r w:rsidR="000E3003" w:rsidRPr="002E2EAA">
        <w:rPr>
          <w:rFonts w:ascii="Arial" w:hAnsi="Arial" w:cs="Arial"/>
          <w:b/>
        </w:rPr>
        <w:t xml:space="preserve">recommend the State to </w:t>
      </w:r>
      <w:r w:rsidR="00883601" w:rsidRPr="002E2EAA">
        <w:rPr>
          <w:rFonts w:ascii="Arial" w:hAnsi="Arial" w:cs="Arial"/>
          <w:b/>
        </w:rPr>
        <w:t xml:space="preserve">design in the short term an Accessibility Plan for the </w:t>
      </w:r>
      <w:r w:rsidRPr="002E2EAA">
        <w:rPr>
          <w:rFonts w:ascii="Arial" w:hAnsi="Arial" w:cs="Arial"/>
          <w:b/>
        </w:rPr>
        <w:t>infrastructure of educational institutions, prioritizing the intervention in classrooms, toilets</w:t>
      </w:r>
      <w:r w:rsidR="000E3003" w:rsidRPr="002E2EAA">
        <w:rPr>
          <w:rFonts w:ascii="Arial" w:hAnsi="Arial" w:cs="Arial"/>
          <w:b/>
        </w:rPr>
        <w:t xml:space="preserve">, playgrounds </w:t>
      </w:r>
      <w:r w:rsidRPr="002E2EAA">
        <w:rPr>
          <w:rFonts w:ascii="Arial" w:hAnsi="Arial" w:cs="Arial"/>
          <w:b/>
        </w:rPr>
        <w:t xml:space="preserve">and outdoor spaces </w:t>
      </w:r>
      <w:r w:rsidR="00883601" w:rsidRPr="002E2EAA">
        <w:rPr>
          <w:rFonts w:ascii="Arial" w:hAnsi="Arial" w:cs="Arial"/>
          <w:b/>
        </w:rPr>
        <w:t xml:space="preserve">for common use </w:t>
      </w:r>
      <w:r w:rsidRPr="002E2EAA">
        <w:rPr>
          <w:rFonts w:ascii="Arial" w:hAnsi="Arial" w:cs="Arial"/>
          <w:b/>
        </w:rPr>
        <w:t xml:space="preserve">to ensure </w:t>
      </w:r>
      <w:r w:rsidR="00883601" w:rsidRPr="002E2EAA">
        <w:rPr>
          <w:rFonts w:ascii="Arial" w:hAnsi="Arial" w:cs="Arial"/>
          <w:b/>
        </w:rPr>
        <w:t xml:space="preserve">the enjoyment of the right to </w:t>
      </w:r>
      <w:r w:rsidRPr="002E2EAA">
        <w:rPr>
          <w:rFonts w:ascii="Arial" w:hAnsi="Arial" w:cs="Arial"/>
          <w:b/>
        </w:rPr>
        <w:t xml:space="preserve">accessibility of students with disabilities. </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Lack of disability focus in </w:t>
      </w:r>
      <w:r w:rsidR="000E3003" w:rsidRPr="002E2EAA">
        <w:rPr>
          <w:rFonts w:ascii="Arial" w:hAnsi="Arial" w:cs="Arial"/>
          <w:b/>
        </w:rPr>
        <w:t xml:space="preserve">the </w:t>
      </w:r>
      <w:r w:rsidRPr="002E2EAA">
        <w:rPr>
          <w:rFonts w:ascii="Arial" w:hAnsi="Arial" w:cs="Arial"/>
          <w:b/>
        </w:rPr>
        <w:t xml:space="preserve">design and implementation of health programs: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that the measures adopted by the Peruvian State to guarantee access to health programs for persons w</w:t>
      </w:r>
      <w:r w:rsidRPr="002E2EAA">
        <w:rPr>
          <w:rFonts w:ascii="Arial" w:hAnsi="Arial" w:cs="Arial"/>
        </w:rPr>
        <w:t xml:space="preserve">ith disabilities, especially women with disabilities, do not include a disability approach; that is, they do not consider the assumptions to promote access to quality health services for persons with disabilities.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MICDPD requests the Committee to </w:t>
      </w:r>
      <w:r w:rsidR="000E3003" w:rsidRPr="002E2EAA">
        <w:rPr>
          <w:rFonts w:ascii="Arial" w:hAnsi="Arial" w:cs="Arial"/>
          <w:b/>
        </w:rPr>
        <w:t xml:space="preserve">recommend to the State to </w:t>
      </w:r>
      <w:r w:rsidRPr="002E2EAA">
        <w:rPr>
          <w:rFonts w:ascii="Arial" w:hAnsi="Arial" w:cs="Arial"/>
          <w:b/>
        </w:rPr>
        <w:t xml:space="preserve">generate public health policies, including the implementation of services </w:t>
      </w:r>
      <w:r w:rsidR="00953810" w:rsidRPr="002E2EAA">
        <w:rPr>
          <w:rFonts w:ascii="Arial" w:hAnsi="Arial" w:cs="Arial"/>
          <w:b/>
        </w:rPr>
        <w:t xml:space="preserve">in all regions of the country </w:t>
      </w:r>
      <w:r w:rsidRPr="002E2EAA">
        <w:rPr>
          <w:rFonts w:ascii="Arial" w:hAnsi="Arial" w:cs="Arial"/>
          <w:b/>
        </w:rPr>
        <w:t>with a disability approach, especially for women with disabilities, who are in a particularly vulnerable situation, so that they can be adequately informed about the services, which must comply with their availability, accessibility, acceptability and qual</w:t>
      </w:r>
      <w:r w:rsidRPr="002E2EAA">
        <w:rPr>
          <w:rFonts w:ascii="Arial" w:hAnsi="Arial" w:cs="Arial"/>
          <w:b/>
        </w:rPr>
        <w:t xml:space="preserve">ity. </w:t>
      </w:r>
    </w:p>
    <w:p w:rsidR="001004DA" w:rsidRDefault="00933E28">
      <w:pPr>
        <w:pStyle w:val="ListParagraph"/>
        <w:numPr>
          <w:ilvl w:val="1"/>
          <w:numId w:val="9"/>
        </w:numPr>
        <w:spacing w:before="120" w:after="120" w:line="240" w:lineRule="auto"/>
        <w:ind w:left="794"/>
        <w:contextualSpacing w:val="0"/>
        <w:jc w:val="both"/>
        <w:rPr>
          <w:rFonts w:ascii="Arial" w:hAnsi="Arial" w:cs="Arial"/>
          <w:b/>
        </w:rPr>
      </w:pPr>
      <w:r w:rsidRPr="002E2EAA">
        <w:rPr>
          <w:rFonts w:ascii="Arial" w:hAnsi="Arial" w:cs="Arial"/>
          <w:b/>
        </w:rPr>
        <w:t xml:space="preserve">Barriers to employment access: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that, in Peru, 64.3% of people with disabilities of working age are unemployed, due to the existence of barriers that limit access and exercise of the right to work, a situation that is exacerba</w:t>
      </w:r>
      <w:r w:rsidRPr="002E2EAA">
        <w:rPr>
          <w:rFonts w:ascii="Arial" w:hAnsi="Arial" w:cs="Arial"/>
        </w:rPr>
        <w:t xml:space="preserve">ted by the failure of public and private institutions to comply with the labor quota for people with disabilities.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MICDPD requests the Committee to recommend that the State adopt a plan to promote the hiring of persons with disabilities and guarantee </w:t>
      </w:r>
      <w:r w:rsidRPr="002E2EAA">
        <w:rPr>
          <w:rFonts w:ascii="Arial" w:hAnsi="Arial" w:cs="Arial"/>
          <w:b/>
        </w:rPr>
        <w:t xml:space="preserve">their permanence in the workplace, </w:t>
      </w:r>
      <w:r w:rsidR="00953810" w:rsidRPr="002E2EAA">
        <w:rPr>
          <w:rFonts w:ascii="Arial" w:hAnsi="Arial" w:cs="Arial"/>
          <w:b/>
        </w:rPr>
        <w:t xml:space="preserve">ensuring </w:t>
      </w:r>
      <w:r w:rsidRPr="002E2EAA">
        <w:rPr>
          <w:rFonts w:ascii="Arial" w:hAnsi="Arial" w:cs="Arial"/>
          <w:b/>
        </w:rPr>
        <w:t>the implementation of reasonable accommodations that allow them to adequately perform their jobs. This plan should include measures to comply with the labor quota for persons with disabilities in the public and p</w:t>
      </w:r>
      <w:r w:rsidRPr="002E2EAA">
        <w:rPr>
          <w:rFonts w:ascii="Arial" w:hAnsi="Arial" w:cs="Arial"/>
          <w:b/>
        </w:rPr>
        <w:t xml:space="preserve">rivate sector. </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Failure to implement reasonable accommodation in the workplace for family members of people with disabilities:</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that the Peruvian State does not grant reasonable accommodation in the workplace to dependents of persons</w:t>
      </w:r>
      <w:r w:rsidRPr="002E2EAA">
        <w:rPr>
          <w:rFonts w:ascii="Arial" w:hAnsi="Arial" w:cs="Arial"/>
        </w:rPr>
        <w:t xml:space="preserve"> with disabilities. Thus, they are forced to leave their jobs and stay at home without income, which contributes to deepen the condition of poverty and vulnerability of these people.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The MICDPD requests the Committee to recommend that the State grant the </w:t>
      </w:r>
      <w:r w:rsidRPr="002E2EAA">
        <w:rPr>
          <w:rFonts w:ascii="Arial" w:hAnsi="Arial" w:cs="Arial"/>
          <w:b/>
        </w:rPr>
        <w:t xml:space="preserve">benefit of reasonable accommodation in the workplace, both in the public and private sectors, to family members or supports who are in charge of a person with a disability, so that they can keep their jobs and continue to support their family members with </w:t>
      </w:r>
      <w:r w:rsidRPr="002E2EAA">
        <w:rPr>
          <w:rFonts w:ascii="Arial" w:hAnsi="Arial" w:cs="Arial"/>
          <w:b/>
        </w:rPr>
        <w:t xml:space="preserve">disabilities by guaranteeing personal care and assistance to take them to therapies, medical consultations, administrative procedures and others.  </w:t>
      </w:r>
    </w:p>
    <w:p w:rsidR="001004DA" w:rsidRDefault="00933E28">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Barriers to incorporation into social programs:</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about the situation of poverty and e</w:t>
      </w:r>
      <w:r w:rsidRPr="002E2EAA">
        <w:rPr>
          <w:rFonts w:ascii="Arial" w:hAnsi="Arial" w:cs="Arial"/>
        </w:rPr>
        <w:t>xtreme poverty of persons with disabilities who experience barriers to be included in social programs and in the economic subsidy lists, as well as in the social protection system promoted by the State, such as the non-contributory pension for persons with</w:t>
      </w:r>
      <w:r w:rsidRPr="002E2EAA">
        <w:rPr>
          <w:rFonts w:ascii="Arial" w:hAnsi="Arial" w:cs="Arial"/>
        </w:rPr>
        <w:t xml:space="preserve"> disabilities - Contigo Program. These barriers range from obtaining the disability certificate, as well as the existence of targeting criteria of the Household Targeting System (Sisfoh) that do not allow identifying the condition of poverty or extreme pov</w:t>
      </w:r>
      <w:r w:rsidRPr="002E2EAA">
        <w:rPr>
          <w:rFonts w:ascii="Arial" w:hAnsi="Arial" w:cs="Arial"/>
        </w:rPr>
        <w:t xml:space="preserve">erty of persons with disabilities and their families; and the lack of sufficient budget for the Contigo program to include a greater number of users and guarantee </w:t>
      </w:r>
      <w:r w:rsidR="00345A78" w:rsidRPr="002E2EAA">
        <w:rPr>
          <w:rFonts w:ascii="Arial" w:hAnsi="Arial" w:cs="Arial"/>
        </w:rPr>
        <w:t xml:space="preserve">better living conditions.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The MICDPD requests the Committee to recommend that the Peruvian S</w:t>
      </w:r>
      <w:r w:rsidRPr="002E2EAA">
        <w:rPr>
          <w:rFonts w:ascii="Arial" w:hAnsi="Arial" w:cs="Arial"/>
          <w:b/>
        </w:rPr>
        <w:t xml:space="preserve">tate develop </w:t>
      </w:r>
      <w:r w:rsidR="00345A78" w:rsidRPr="002E2EAA">
        <w:rPr>
          <w:rFonts w:ascii="Arial" w:hAnsi="Arial" w:cs="Arial"/>
          <w:b/>
        </w:rPr>
        <w:t xml:space="preserve">and implement </w:t>
      </w:r>
      <w:r w:rsidRPr="002E2EAA">
        <w:rPr>
          <w:rFonts w:ascii="Arial" w:hAnsi="Arial" w:cs="Arial"/>
          <w:b/>
        </w:rPr>
        <w:t xml:space="preserve">a strategy for the eradication of poverty among persons with disabilities, including changing the criteria for targeting Sisfoh households; expanding the certification of disability with criteria that obey the social </w:t>
      </w:r>
      <w:r w:rsidR="00345A78" w:rsidRPr="002E2EAA">
        <w:rPr>
          <w:rFonts w:ascii="Arial" w:hAnsi="Arial" w:cs="Arial"/>
          <w:b/>
        </w:rPr>
        <w:t xml:space="preserve">and human rights </w:t>
      </w:r>
      <w:r w:rsidRPr="002E2EAA">
        <w:rPr>
          <w:rFonts w:ascii="Arial" w:hAnsi="Arial" w:cs="Arial"/>
          <w:b/>
        </w:rPr>
        <w:t xml:space="preserve">model; and increasing the budget to expand the coverage of the non-contributory pension - Contigo Program to all persons with disabilities who are in poverty or extreme poverty. </w:t>
      </w:r>
    </w:p>
    <w:p w:rsidR="001004DA" w:rsidRDefault="00933E28">
      <w:pPr>
        <w:pStyle w:val="ListParagraph"/>
        <w:numPr>
          <w:ilvl w:val="1"/>
          <w:numId w:val="9"/>
        </w:numPr>
        <w:spacing w:before="120" w:after="120" w:line="240" w:lineRule="auto"/>
        <w:contextualSpacing w:val="0"/>
        <w:jc w:val="both"/>
        <w:rPr>
          <w:rFonts w:ascii="Arial" w:hAnsi="Arial" w:cs="Arial"/>
        </w:rPr>
      </w:pPr>
      <w:r w:rsidRPr="002E2EAA">
        <w:rPr>
          <w:rFonts w:ascii="Arial" w:hAnsi="Arial" w:cs="Arial"/>
          <w:b/>
        </w:rPr>
        <w:t>Lack of disability focus in the design and implementation of public poli</w:t>
      </w:r>
      <w:r w:rsidRPr="002E2EAA">
        <w:rPr>
          <w:rFonts w:ascii="Arial" w:hAnsi="Arial" w:cs="Arial"/>
          <w:b/>
        </w:rPr>
        <w:t xml:space="preserve">cies: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that the Peruvian State does not implement, in a cross-cutting and articulated manner, the disability approach in its public policies. This affects the exercise of the rights of persons with disabilities, such as education, h</w:t>
      </w:r>
      <w:r w:rsidRPr="002E2EAA">
        <w:rPr>
          <w:rFonts w:ascii="Arial" w:hAnsi="Arial" w:cs="Arial"/>
        </w:rPr>
        <w:t xml:space="preserve">ealth, work, among others. The Peruvian State, at all levels and sectors, must take into account the needs of persons with disabilities in the design and implementation of programs and services.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The MICDPD requests the Committee to recommend that the Stat</w:t>
      </w:r>
      <w:r w:rsidRPr="002E2EAA">
        <w:rPr>
          <w:rFonts w:ascii="Arial" w:hAnsi="Arial" w:cs="Arial"/>
          <w:b/>
        </w:rPr>
        <w:t>e, in the design and implementation of national public policies, guarantee a disability focus and conduct an adequate analysis that allows for alignment between the different national public policies that will allow for the identification of adequate servi</w:t>
      </w:r>
      <w:r w:rsidRPr="002E2EAA">
        <w:rPr>
          <w:rFonts w:ascii="Arial" w:hAnsi="Arial" w:cs="Arial"/>
          <w:b/>
        </w:rPr>
        <w:t xml:space="preserve">ces, with clear goals and an allocated budget, to guarantee efficient and effective attention to the needs of persons with disabilities. </w:t>
      </w:r>
    </w:p>
    <w:p w:rsidR="001004DA" w:rsidRDefault="00933E28">
      <w:pPr>
        <w:pStyle w:val="ListParagraph"/>
        <w:numPr>
          <w:ilvl w:val="1"/>
          <w:numId w:val="9"/>
        </w:numPr>
        <w:spacing w:before="120" w:after="120" w:line="240" w:lineRule="auto"/>
        <w:ind w:left="851" w:hanging="491"/>
        <w:contextualSpacing w:val="0"/>
        <w:jc w:val="both"/>
        <w:rPr>
          <w:rFonts w:ascii="Arial" w:hAnsi="Arial" w:cs="Arial"/>
          <w:b/>
        </w:rPr>
      </w:pPr>
      <w:r w:rsidRPr="002E2EAA">
        <w:rPr>
          <w:rFonts w:ascii="Arial" w:hAnsi="Arial" w:cs="Arial"/>
          <w:b/>
        </w:rPr>
        <w:t xml:space="preserve"> Need for reliable statistical data on disability: </w:t>
      </w:r>
    </w:p>
    <w:p w:rsidR="001004DA" w:rsidRDefault="00933E28">
      <w:pPr>
        <w:pStyle w:val="ListParagraph"/>
        <w:spacing w:before="120" w:after="120" w:line="240" w:lineRule="auto"/>
        <w:ind w:left="792"/>
        <w:contextualSpacing w:val="0"/>
        <w:jc w:val="both"/>
        <w:rPr>
          <w:rFonts w:ascii="Arial" w:hAnsi="Arial" w:cs="Arial"/>
        </w:rPr>
      </w:pPr>
      <w:r w:rsidRPr="002E2EAA">
        <w:rPr>
          <w:rFonts w:ascii="Arial" w:hAnsi="Arial" w:cs="Arial"/>
        </w:rPr>
        <w:t>The MICDPD is concerned about the significant differences between the statistical data of the First Specialized Survey on Disability - Enedis 2012 (5.2 %) and the Population and Housing Censuses of 2017 (10.3 %), both in terms of the overall percentages of</w:t>
      </w:r>
      <w:r w:rsidRPr="002E2EAA">
        <w:rPr>
          <w:rFonts w:ascii="Arial" w:hAnsi="Arial" w:cs="Arial"/>
        </w:rPr>
        <w:t xml:space="preserve"> the population with disabilities, as well as disaggregated by type of disability. This generates an alert regarding its implications in relation to the design of public policies aimed at people with disabilities. </w:t>
      </w:r>
    </w:p>
    <w:p w:rsidR="001004DA" w:rsidRDefault="00933E28">
      <w:pPr>
        <w:pStyle w:val="ListParagraph"/>
        <w:spacing w:before="120" w:after="120" w:line="240" w:lineRule="auto"/>
        <w:ind w:left="792"/>
        <w:contextualSpacing w:val="0"/>
        <w:jc w:val="both"/>
        <w:rPr>
          <w:rFonts w:ascii="Arial" w:hAnsi="Arial" w:cs="Arial"/>
          <w:b/>
        </w:rPr>
      </w:pPr>
      <w:r w:rsidRPr="002E2EAA">
        <w:rPr>
          <w:rFonts w:ascii="Arial" w:hAnsi="Arial" w:cs="Arial"/>
          <w:b/>
        </w:rPr>
        <w:t>The MICDPD requests the Committee to reco</w:t>
      </w:r>
      <w:r w:rsidRPr="002E2EAA">
        <w:rPr>
          <w:rFonts w:ascii="Arial" w:hAnsi="Arial" w:cs="Arial"/>
          <w:b/>
        </w:rPr>
        <w:t>mmend that the State carry out a specialized census on disability in order to have updated data on the population with disabilities that will allow for the adoption of public policies, programs and services appropriate for this sector of the population.</w:t>
      </w:r>
    </w:p>
    <w:sectPr w:rsidR="001004DA">
      <w:footerReference w:type="default" r:id="rId11"/>
      <w:pgSz w:w="12240" w:h="15840"/>
      <w:pgMar w:top="1418" w:right="1418" w:bottom="1134" w:left="1701" w:header="709" w:footer="709"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A67A" w16cex:dateUtc="2022-09-27T21:42:00Z"/>
  <w16cex:commentExtensible w16cex:durableId="26DDA66F" w16cex:dateUtc="2022-09-27T21:42:00Z"/>
  <w16cex:commentExtensible w16cex:durableId="26DDA7CD" w16cex:dateUtc="2022-09-27T21:48:00Z"/>
  <w16cex:commentExtensible w16cex:durableId="26DDA688" w16cex:dateUtc="2022-09-27T21:42:00Z"/>
  <w16cex:commentExtensible w16cex:durableId="26DDA690" w16cex:dateUtc="2022-09-27T21:42:00Z"/>
  <w16cex:commentExtensible w16cex:durableId="26DDA744" w16cex:dateUtc="2022-09-27T21:45:00Z"/>
  <w16cex:commentExtensible w16cex:durableId="26DDA754" w16cex:dateUtc="2022-09-27T21:46:00Z"/>
  <w16cex:commentExtensible w16cex:durableId="26DDA7A6" w16cex:dateUtc="2022-09-27T2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D6844F" w16cid:durableId="26DDA243"/>
  <w16cid:commentId w16cid:paraId="751B1D24" w16cid:durableId="26DDA67A"/>
  <w16cid:commentId w16cid:paraId="2D9E9CE6" w16cid:durableId="26DDA244"/>
  <w16cid:commentId w16cid:paraId="424EAF17" w16cid:durableId="26DDA66F"/>
  <w16cid:commentId w16cid:paraId="4BC56E61" w16cid:durableId="26DDA245"/>
  <w16cid:commentId w16cid:paraId="13A98174" w16cid:durableId="26DDA7CD"/>
  <w16cid:commentId w16cid:paraId="70284D9C" w16cid:durableId="26DDA246"/>
  <w16cid:commentId w16cid:paraId="55B45BAC" w16cid:durableId="26DDA688"/>
  <w16cid:commentId w16cid:paraId="64315332" w16cid:durableId="26DDA247"/>
  <w16cid:commentId w16cid:paraId="37830378" w16cid:durableId="26DDA690"/>
  <w16cid:commentId w16cid:paraId="7D2DE53B" w16cid:durableId="26DDA248"/>
  <w16cid:commentId w16cid:paraId="676DA270" w16cid:durableId="26DDA744"/>
  <w16cid:commentId w16cid:paraId="013467E8" w16cid:durableId="26DDA24A"/>
  <w16cid:commentId w16cid:paraId="1EEDAFEF" w16cid:durableId="26DDA754"/>
  <w16cid:commentId w16cid:paraId="5C768C67" w16cid:durableId="26DDA24B"/>
  <w16cid:commentId w16cid:paraId="45FE687B" w16cid:durableId="26DDA7A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519" w:rsidRDefault="003A7519">
      <w:pPr>
        <w:spacing w:after="0" w:line="240" w:lineRule="auto"/>
      </w:pPr>
      <w:r>
        <w:separator/>
      </w:r>
    </w:p>
  </w:endnote>
  <w:endnote w:type="continuationSeparator" w:id="0">
    <w:p w:rsidR="003A7519" w:rsidRDefault="003A7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523203"/>
      <w:docPartObj>
        <w:docPartGallery w:val="Page Numbers (Bottom of Page)"/>
        <w:docPartUnique/>
      </w:docPartObj>
    </w:sdtPr>
    <w:sdtEndPr>
      <w:rPr>
        <w:noProof/>
      </w:rPr>
    </w:sdtEndPr>
    <w:sdtContent>
      <w:p w:rsidR="001004DA" w:rsidRDefault="00933E2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3A7519" w:rsidRDefault="003A7519">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519" w:rsidRDefault="003A7519">
      <w:pPr>
        <w:spacing w:after="0" w:line="240" w:lineRule="auto"/>
      </w:pPr>
      <w:r>
        <w:separator/>
      </w:r>
    </w:p>
  </w:footnote>
  <w:footnote w:type="continuationSeparator" w:id="0">
    <w:p w:rsidR="003A7519" w:rsidRDefault="003A7519">
      <w:pPr>
        <w:spacing w:after="0" w:line="240" w:lineRule="auto"/>
      </w:pPr>
      <w:r>
        <w:continuationSeparator/>
      </w:r>
    </w:p>
  </w:footnote>
  <w:footnote w:id="1">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Article 86 of Law No. 29973, General Law for Persons with Disabilities.</w:t>
      </w:r>
    </w:p>
  </w:footnote>
  <w:footnote w:id="2">
    <w:p w:rsidR="001004DA" w:rsidRDefault="00933E28">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MINJUSDH. Third Report on the Progress of Implementation of the National Human Rights Plan 2018-2021. p. 33. Available at: </w:t>
      </w:r>
      <w:hyperlink r:id="rId1" w:history="1">
        <w:r>
          <w:rPr>
            <w:rStyle w:val="Hyperlink"/>
            <w:rFonts w:ascii="Arial" w:hAnsi="Arial" w:cs="Arial"/>
            <w:sz w:val="18"/>
            <w:szCs w:val="18"/>
          </w:rPr>
          <w:t>https:</w:t>
        </w:r>
      </w:hyperlink>
      <w:r>
        <w:rPr>
          <w:rFonts w:ascii="Arial" w:hAnsi="Arial" w:cs="Arial"/>
          <w:sz w:val="18"/>
          <w:szCs w:val="18"/>
        </w:rPr>
        <w:t xml:space="preserve">//cdn.www.gob.pe/uploads/document/file/2918467/Tercer%20informe%20sobre%20los%20avances%20del%20PNDH%202018-2021.pdf. </w:t>
      </w:r>
    </w:p>
  </w:footnote>
  <w:footnote w:id="3">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According to the results presented by MINJUSDH, only the Ministry of Development and Social Inclusion met or exceeded the </w:t>
      </w:r>
      <w:r>
        <w:rPr>
          <w:rFonts w:ascii="Arial" w:hAnsi="Arial" w:cs="Arial"/>
          <w:sz w:val="18"/>
          <w:szCs w:val="18"/>
        </w:rPr>
        <w:t>goal by 100%; likewise, it is of concern that Conadis recorded 0% progress in meeting its goals.</w:t>
      </w:r>
    </w:p>
  </w:footnote>
  <w:footnote w:id="4">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Law No. 30364, Law to prevent, punish and eradicate violence against women and family members. November 23, 2015. Art. 22.6. </w:t>
      </w:r>
    </w:p>
  </w:footnote>
  <w:footnote w:id="5">
    <w:p w:rsidR="001004DA" w:rsidRDefault="00933E28">
      <w:pPr>
        <w:pStyle w:val="FootnoteText"/>
        <w:jc w:val="both"/>
        <w:rPr>
          <w:rFonts w:ascii="Arial" w:hAnsi="Arial" w:cs="Arial"/>
          <w:sz w:val="18"/>
          <w:szCs w:val="18"/>
        </w:rPr>
      </w:pPr>
      <w:r w:rsidRPr="008C2525">
        <w:rPr>
          <w:rStyle w:val="FootnoteReference"/>
        </w:rPr>
        <w:footnoteRef/>
      </w:r>
      <w:r w:rsidRPr="008C2525">
        <w:rPr>
          <w:rFonts w:ascii="Arial" w:hAnsi="Arial" w:cs="Arial"/>
          <w:sz w:val="18"/>
          <w:szCs w:val="18"/>
        </w:rPr>
        <w:t xml:space="preserve"> According to INEl, 41.7% of w</w:t>
      </w:r>
      <w:r w:rsidRPr="008C2525">
        <w:rPr>
          <w:rFonts w:ascii="Arial" w:hAnsi="Arial" w:cs="Arial"/>
          <w:sz w:val="18"/>
          <w:szCs w:val="18"/>
        </w:rPr>
        <w:t>omen with disabilities were victims of intimate partner violence; 73.1% in rural areas, 36.0 percentage points more than those in urban areas (37.1%). See:</w:t>
      </w:r>
    </w:p>
    <w:p w:rsidR="001004DA" w:rsidRDefault="00933E28">
      <w:pPr>
        <w:pStyle w:val="FootnoteText"/>
        <w:jc w:val="both"/>
        <w:rPr>
          <w:rFonts w:ascii="Arial" w:hAnsi="Arial" w:cs="Arial"/>
          <w:sz w:val="18"/>
          <w:szCs w:val="18"/>
        </w:rPr>
      </w:pPr>
      <w:r w:rsidRPr="008C2525">
        <w:rPr>
          <w:rFonts w:ascii="Arial" w:hAnsi="Arial" w:cs="Arial"/>
          <w:sz w:val="18"/>
          <w:szCs w:val="18"/>
        </w:rPr>
        <w:t>https://peru.unfpa.org/es/news/por-una-agenda-inclusiva-que-empodere-las-mujeres-con-discapacidad</w:t>
      </w:r>
    </w:p>
  </w:footnote>
  <w:footnote w:id="6">
    <w:p w:rsidR="001004DA" w:rsidRDefault="00933E28">
      <w:pPr>
        <w:pStyle w:val="FootnoteText"/>
        <w:jc w:val="both"/>
        <w:rPr>
          <w:rFonts w:ascii="Arial" w:hAnsi="Arial" w:cs="Arial"/>
          <w:sz w:val="18"/>
          <w:szCs w:val="18"/>
          <w:lang w:val="es-PE"/>
        </w:rPr>
      </w:pPr>
      <w:r>
        <w:rPr>
          <w:rStyle w:val="FootnoteReference"/>
          <w:rFonts w:ascii="Arial" w:hAnsi="Arial" w:cs="Arial"/>
          <w:sz w:val="18"/>
          <w:szCs w:val="18"/>
        </w:rPr>
        <w:footnoteRef/>
      </w:r>
      <w:r>
        <w:rPr>
          <w:rFonts w:ascii="Arial" w:hAnsi="Arial" w:cs="Arial"/>
          <w:sz w:val="18"/>
          <w:szCs w:val="18"/>
          <w:lang w:val="es-PE"/>
        </w:rPr>
        <w:t xml:space="preserve"> </w:t>
      </w:r>
      <w:r>
        <w:rPr>
          <w:rFonts w:ascii="Arial" w:hAnsi="Arial" w:cs="Arial"/>
          <w:sz w:val="18"/>
          <w:szCs w:val="18"/>
          <w:lang w:val="es-PE"/>
        </w:rPr>
        <w:t>Supreme Decree No. 008-2019-MIMP, National Policy on Gender Equality. April 4, 2019. p.12</w:t>
      </w:r>
      <w:hyperlink r:id="rId2" w:history="1">
        <w:r w:rsidRPr="00C6132C">
          <w:rPr>
            <w:rStyle w:val="Hyperlink"/>
            <w:rFonts w:ascii="Arial" w:hAnsi="Arial" w:cs="Arial"/>
            <w:sz w:val="18"/>
            <w:szCs w:val="18"/>
            <w:lang w:val="es-PE"/>
          </w:rPr>
          <w:t>.</w:t>
        </w:r>
      </w:hyperlink>
      <w:r>
        <w:rPr>
          <w:rFonts w:ascii="Arial" w:hAnsi="Arial" w:cs="Arial"/>
          <w:sz w:val="18"/>
          <w:szCs w:val="18"/>
          <w:lang w:val="es-PE"/>
        </w:rPr>
        <w:t xml:space="preserve"> https://static.legis.pe/wp-content/uploads/2019/04/Pol%C3%ADtica-nacional-de-igualdad-de-g%C3%A9nero-DS-008-2019-MIMP-Legis.pe_.pdf?fbclid=IwAR0lNeju_UgOBi08T8TQ9pKzXROsKyrRWtMcXwS5VVK84HLt8xrFDzdbSVk. </w:t>
      </w:r>
    </w:p>
  </w:footnote>
  <w:footnote w:id="7">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MIMP. "El adecuado procesamiento de casos de violencia de género en población con discapacidad en el marco del Sistema Nacional Especializado de Justicia para la Protección y Sanción de la Violencia contra las Mujeres e Integrantes del Grupo Familiar." p.</w:t>
      </w:r>
      <w:r>
        <w:rPr>
          <w:rFonts w:ascii="Arial" w:hAnsi="Arial" w:cs="Arial"/>
          <w:sz w:val="18"/>
          <w:szCs w:val="18"/>
        </w:rPr>
        <w:t xml:space="preserve"> 11. Available at: </w:t>
      </w:r>
      <w:hyperlink r:id="rId3" w:history="1">
        <w:r>
          <w:rPr>
            <w:rStyle w:val="Hyperlink"/>
            <w:rFonts w:ascii="Arial" w:hAnsi="Arial" w:cs="Arial"/>
            <w:sz w:val="18"/>
            <w:szCs w:val="18"/>
          </w:rPr>
          <w:t>https:</w:t>
        </w:r>
      </w:hyperlink>
      <w:r>
        <w:rPr>
          <w:rFonts w:ascii="Arial" w:hAnsi="Arial" w:cs="Arial"/>
          <w:sz w:val="18"/>
          <w:szCs w:val="18"/>
        </w:rPr>
        <w:t xml:space="preserve">//observatorioviolencia.pe/wp-content/uploads/2021/10/MANUAL-DISCAPACIDAD-con-deposito-legal.pdf </w:t>
      </w:r>
    </w:p>
  </w:footnote>
  <w:footnote w:id="8">
    <w:p w:rsidR="001004DA" w:rsidRDefault="00933E28">
      <w:pPr>
        <w:pStyle w:val="FootnoteText"/>
        <w:jc w:val="both"/>
        <w:rPr>
          <w:sz w:val="18"/>
          <w:szCs w:val="18"/>
        </w:rPr>
      </w:pPr>
      <w:r>
        <w:rPr>
          <w:rStyle w:val="FootnoteReference"/>
          <w:rFonts w:ascii="Arial" w:hAnsi="Arial" w:cs="Arial"/>
          <w:sz w:val="18"/>
          <w:szCs w:val="18"/>
        </w:rPr>
        <w:footnoteRef/>
      </w:r>
      <w:r>
        <w:rPr>
          <w:rFonts w:ascii="Arial" w:hAnsi="Arial" w:cs="Arial"/>
          <w:sz w:val="18"/>
          <w:szCs w:val="18"/>
        </w:rPr>
        <w:t xml:space="preserve"> Idem.</w:t>
      </w:r>
    </w:p>
  </w:footnote>
  <w:footnote w:id="9">
    <w:p w:rsidR="001004DA" w:rsidRDefault="00933E28">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hAnsi="Arial" w:cs="Arial"/>
          <w:color w:val="000000"/>
          <w:sz w:val="18"/>
          <w:szCs w:val="18"/>
        </w:rPr>
        <w:t xml:space="preserve"> Approved by Supreme Decree No. 012-2018-VIVIENDA, published in the official gazette </w:t>
      </w:r>
      <w:r>
        <w:rPr>
          <w:rFonts w:ascii="Arial" w:hAnsi="Arial" w:cs="Arial"/>
          <w:i/>
          <w:color w:val="000000"/>
          <w:sz w:val="18"/>
          <w:szCs w:val="18"/>
        </w:rPr>
        <w:t xml:space="preserve">El Peruano </w:t>
      </w:r>
      <w:r>
        <w:rPr>
          <w:rFonts w:ascii="Arial" w:hAnsi="Arial" w:cs="Arial"/>
          <w:color w:val="000000"/>
          <w:sz w:val="18"/>
          <w:szCs w:val="18"/>
        </w:rPr>
        <w:t>on August 8, 2018.</w:t>
      </w:r>
    </w:p>
  </w:footnote>
  <w:footnote w:id="10">
    <w:p w:rsidR="001004DA" w:rsidRDefault="00933E28">
      <w:pPr>
        <w:pStyle w:val="FootnoteText"/>
      </w:pPr>
      <w:r>
        <w:rPr>
          <w:rStyle w:val="FootnoteReference"/>
        </w:rPr>
        <w:footnoteRef/>
      </w:r>
      <w:r>
        <w:t xml:space="preserve"> Follow-up report available at https://cdn.www.gob.pe/uploads/document/file/3264579/Reporte%20de%20Seguimiento%20PNA%20-%202021.pdf </w:t>
      </w:r>
    </w:p>
  </w:footnote>
  <w:footnote w:id="11">
    <w:p w:rsidR="001004DA" w:rsidRDefault="00933E28">
      <w:pPr>
        <w:pStyle w:val="FootnoteText"/>
        <w:jc w:val="both"/>
        <w:rPr>
          <w:rFonts w:ascii="Arial" w:hAnsi="Arial" w:cs="Arial"/>
          <w:sz w:val="18"/>
          <w:szCs w:val="18"/>
          <w:lang w:val="es-MX"/>
        </w:rPr>
      </w:pPr>
      <w:r>
        <w:rPr>
          <w:rStyle w:val="FootnoteReference"/>
          <w:rFonts w:ascii="Arial" w:hAnsi="Arial" w:cs="Arial"/>
          <w:sz w:val="18"/>
          <w:szCs w:val="18"/>
        </w:rPr>
        <w:footnoteRef/>
      </w:r>
      <w:r>
        <w:rPr>
          <w:rFonts w:ascii="Arial" w:hAnsi="Arial" w:cs="Arial"/>
          <w:sz w:val="18"/>
          <w:szCs w:val="18"/>
          <w:lang w:val="es-MX"/>
        </w:rPr>
        <w:t>Report</w:t>
      </w:r>
      <w:r>
        <w:rPr>
          <w:rFonts w:ascii="Arial" w:hAnsi="Arial" w:cs="Arial"/>
          <w:sz w:val="18"/>
          <w:szCs w:val="18"/>
          <w:lang w:val="es-MX"/>
        </w:rPr>
        <w:t xml:space="preserve"> No. 72-2016-MML/IMPL/GOP, dated August 24, 2016.</w:t>
      </w:r>
    </w:p>
  </w:footnote>
  <w:footnote w:id="12">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Portal del Minedu. Available at: http://www.minedu.gob.pe/educacioninclusiva/</w:t>
      </w:r>
    </w:p>
  </w:footnote>
  <w:footnote w:id="13">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Oficio N° 0942-2018-MINEDU/SPE-OSEE-UE, sent by the Statistics Unit of the Ministry of Education on July 4, 2018. Table: Infr</w:t>
      </w:r>
      <w:r>
        <w:rPr>
          <w:rFonts w:ascii="Arial" w:eastAsia="Century Gothic" w:hAnsi="Arial" w:cs="Arial"/>
          <w:color w:val="000000"/>
          <w:sz w:val="18"/>
          <w:szCs w:val="18"/>
        </w:rPr>
        <w:t>astructure.</w:t>
      </w:r>
    </w:p>
  </w:footnote>
  <w:footnote w:id="14">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Ombudsman's Office. Ombudsman's Report N°155: "Children with disabilities: Scope and limitations in the implementation of the inclusive education policy in educational institutions at the primary level". p. 30.</w:t>
      </w:r>
    </w:p>
  </w:footnote>
  <w:footnote w:id="15">
    <w:p w:rsidR="001004DA" w:rsidRDefault="00933E28">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Oficio N° 0942-2018-MINEDU/SPE-OSEE-UE sent by the Statistics Unit of the Ministry of Education on July 4, 2018. Table: Education gap.</w:t>
      </w:r>
    </w:p>
  </w:footnote>
  <w:footnote w:id="16">
    <w:p w:rsidR="001004DA" w:rsidRDefault="00933E28">
      <w:pPr>
        <w:spacing w:after="0" w:line="240" w:lineRule="auto"/>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On April 14, 2020, by means of Official No. 074-2020/DP and No. 077-2020/DP, the MICDPD addressed the Presidency of th</w:t>
      </w:r>
      <w:r>
        <w:rPr>
          <w:rFonts w:ascii="Arial" w:hAnsi="Arial" w:cs="Arial"/>
          <w:sz w:val="18"/>
          <w:szCs w:val="18"/>
        </w:rPr>
        <w:t xml:space="preserve">e Council of Ministers and the Minedu, expressing the need to analyze the impact of the measures adopted in the context of the pandemic on students with disabilities and other special educational needs. </w:t>
      </w:r>
    </w:p>
  </w:footnote>
  <w:footnote w:id="17">
    <w:p w:rsidR="001004DA" w:rsidRDefault="00933E28">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Available at https://www.defensoria.gob.pe/wp-cont</w:t>
      </w:r>
      <w:r>
        <w:rPr>
          <w:rFonts w:ascii="Arial" w:hAnsi="Arial" w:cs="Arial"/>
          <w:sz w:val="18"/>
          <w:szCs w:val="18"/>
        </w:rPr>
        <w:t>ent/uploads/2019/12/Informe-Defensorial-183-El-Derecho-a-la-Educaci%C3%B3n-Inclusiva.pdf</w:t>
      </w:r>
    </w:p>
  </w:footnote>
  <w:footnote w:id="18">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Approved by the </w:t>
      </w:r>
      <w:r>
        <w:rPr>
          <w:rFonts w:ascii="Arial" w:eastAsia="Century Gothic" w:hAnsi="Arial" w:cs="Arial"/>
          <w:color w:val="1E1E1E"/>
          <w:sz w:val="18"/>
          <w:szCs w:val="18"/>
          <w:highlight w:val="white"/>
        </w:rPr>
        <w:t xml:space="preserve">Executive Council of the Judiciary by </w:t>
      </w:r>
      <w:r>
        <w:rPr>
          <w:rFonts w:ascii="Arial" w:eastAsia="Century Gothic" w:hAnsi="Arial" w:cs="Arial"/>
          <w:bCs/>
          <w:color w:val="1E1E1E"/>
          <w:sz w:val="18"/>
          <w:szCs w:val="18"/>
          <w:highlight w:val="white"/>
        </w:rPr>
        <w:t xml:space="preserve">Administrative Resolution No. 10-2018-CE-PJ, </w:t>
      </w:r>
      <w:r>
        <w:rPr>
          <w:rFonts w:ascii="Arial" w:eastAsia="Century Gothic" w:hAnsi="Arial" w:cs="Arial"/>
          <w:color w:val="1E1E1E"/>
          <w:sz w:val="18"/>
          <w:szCs w:val="18"/>
          <w:highlight w:val="white"/>
        </w:rPr>
        <w:t>dated January 10, 2018</w:t>
      </w:r>
      <w:r>
        <w:rPr>
          <w:rFonts w:ascii="Arial" w:eastAsia="Century Gothic" w:hAnsi="Arial" w:cs="Arial"/>
          <w:color w:val="1E1E1E"/>
          <w:sz w:val="18"/>
          <w:szCs w:val="18"/>
        </w:rPr>
        <w:t>.</w:t>
      </w:r>
    </w:p>
  </w:footnote>
  <w:footnote w:id="19">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highlight w:val="white"/>
        </w:rPr>
        <w:t xml:space="preserve"> Supreme Decree N° 066-2011-PCM, publishe</w:t>
      </w:r>
      <w:r>
        <w:rPr>
          <w:rFonts w:ascii="Arial" w:eastAsia="Century Gothic" w:hAnsi="Arial" w:cs="Arial"/>
          <w:color w:val="000000"/>
          <w:sz w:val="18"/>
          <w:szCs w:val="18"/>
          <w:highlight w:val="white"/>
        </w:rPr>
        <w:t>d on July 27, 2011</w:t>
      </w:r>
      <w:r>
        <w:rPr>
          <w:rFonts w:ascii="Arial" w:eastAsia="Century Gothic" w:hAnsi="Arial" w:cs="Arial"/>
          <w:color w:val="000000"/>
          <w:sz w:val="18"/>
          <w:szCs w:val="18"/>
        </w:rPr>
        <w:t>.</w:t>
      </w:r>
    </w:p>
  </w:footnote>
  <w:footnote w:id="20">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Supreme Decree N° 004-2013-PCM, published on Wednesday, January 9, 2013.</w:t>
      </w:r>
    </w:p>
  </w:footnote>
  <w:footnote w:id="21">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The Ombudsman's Office participated in the Commission for the Revision of the Civil Code in matters of legal capacity (Cedis); in working groups with magistrates, authorities and representatives of organizations in all regions of the country; various repo</w:t>
      </w:r>
      <w:r>
        <w:rPr>
          <w:rFonts w:ascii="Arial" w:eastAsia="Arial" w:hAnsi="Arial" w:cs="Arial"/>
          <w:sz w:val="18"/>
          <w:szCs w:val="18"/>
        </w:rPr>
        <w:t>rts were presented in judicial proceedings in favor of persons with disabilities; opinions were drafted on bills for the modification of the Civil Code; the Ombudsman's Office participated in Jurisdictional Plenary Sessions; the incorporation of the recogn</w:t>
      </w:r>
      <w:r>
        <w:rPr>
          <w:rFonts w:ascii="Arial" w:eastAsia="Arial" w:hAnsi="Arial" w:cs="Arial"/>
          <w:sz w:val="18"/>
          <w:szCs w:val="18"/>
        </w:rPr>
        <w:t>ition of this right in the formulation of various public policies, such as the National Human Rights Plan; participated in Jurisdictional Plenary Meetings; promoted the incorporation of the recognition of this right in the formulation of different public p</w:t>
      </w:r>
      <w:r>
        <w:rPr>
          <w:rFonts w:ascii="Arial" w:eastAsia="Arial" w:hAnsi="Arial" w:cs="Arial"/>
          <w:sz w:val="18"/>
          <w:szCs w:val="18"/>
        </w:rPr>
        <w:t>olicies, such as the National Human Rights Plan, committing various sectors to modify their internal norms; as well as presented pronouncements on the status of unconstitutional aspects that generated the lack of modification of the Civil Code.</w:t>
      </w:r>
    </w:p>
  </w:footnote>
  <w:footnote w:id="22">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Legislative Decree No. 1384. Sole Derogatory Complementary Provision, literal a). </w:t>
      </w:r>
    </w:p>
  </w:footnote>
  <w:footnote w:id="23">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Legislative Decree No. 1384. Third Final Complementary Provision.</w:t>
      </w:r>
    </w:p>
  </w:footnote>
  <w:footnote w:id="24">
    <w:p w:rsidR="001004DA" w:rsidRDefault="00933E28">
      <w:pPr>
        <w:spacing w:after="0" w:line="240" w:lineRule="auto"/>
        <w:jc w:val="both"/>
        <w:rPr>
          <w:rFonts w:ascii="Arial" w:hAnsi="Arial" w:cs="Arial"/>
          <w:sz w:val="18"/>
          <w:szCs w:val="18"/>
        </w:rPr>
      </w:pPr>
      <w:r>
        <w:rPr>
          <w:rFonts w:ascii="Arial" w:hAnsi="Arial" w:cs="Arial"/>
          <w:sz w:val="18"/>
          <w:szCs w:val="18"/>
          <w:vertAlign w:val="superscript"/>
        </w:rPr>
        <w:footnoteRef/>
      </w:r>
      <w:r>
        <w:rPr>
          <w:rFonts w:ascii="Arial" w:eastAsia="Arial" w:hAnsi="Arial" w:cs="Arial"/>
          <w:sz w:val="18"/>
          <w:szCs w:val="18"/>
        </w:rPr>
        <w:t xml:space="preserve"> UN. Committee on the Rights of Persons with Disabilities. </w:t>
      </w:r>
      <w:r>
        <w:rPr>
          <w:rFonts w:ascii="Arial" w:eastAsia="Arial" w:hAnsi="Arial" w:cs="Arial"/>
          <w:i/>
          <w:sz w:val="18"/>
          <w:szCs w:val="18"/>
        </w:rPr>
        <w:t>Consideration of reports submitted by States</w:t>
      </w:r>
      <w:r>
        <w:rPr>
          <w:rFonts w:ascii="Arial" w:eastAsia="Arial" w:hAnsi="Arial" w:cs="Arial"/>
          <w:i/>
          <w:sz w:val="18"/>
          <w:szCs w:val="18"/>
        </w:rPr>
        <w:t xml:space="preserve"> parties under article 35 of the Convention</w:t>
      </w:r>
      <w:r>
        <w:rPr>
          <w:rFonts w:ascii="Arial" w:eastAsia="Arial" w:hAnsi="Arial" w:cs="Arial"/>
          <w:sz w:val="18"/>
          <w:szCs w:val="18"/>
        </w:rPr>
        <w:t>. Peru. CRPD/C/PER/CO/1. 16 May 2012. paragraph 28.</w:t>
      </w:r>
    </w:p>
  </w:footnote>
  <w:footnote w:id="25">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Legislative Decree No. 1384. Article 844º, paragraph b).</w:t>
      </w:r>
    </w:p>
  </w:footnote>
  <w:footnote w:id="26">
    <w:p w:rsidR="001004DA" w:rsidRDefault="00933E28">
      <w:pPr>
        <w:spacing w:after="0" w:line="240" w:lineRule="auto"/>
        <w:jc w:val="both"/>
        <w:rPr>
          <w:rFonts w:ascii="Arial" w:eastAsia="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After the publication of Legislative Decree No. 1384, the Ombudsman's Office participated in the Wor</w:t>
      </w:r>
      <w:r>
        <w:rPr>
          <w:rFonts w:ascii="Arial" w:eastAsia="Arial" w:hAnsi="Arial" w:cs="Arial"/>
          <w:sz w:val="18"/>
          <w:szCs w:val="18"/>
        </w:rPr>
        <w:t>king Group for the elaboration of the Regulations for the Transition to the Support System in Observance of the Social Model of Disability, convened by the Commission for Access to Justice for Persons in Condition of Vulnerability and Justice in Your Commu</w:t>
      </w:r>
      <w:r>
        <w:rPr>
          <w:rFonts w:ascii="Arial" w:eastAsia="Arial" w:hAnsi="Arial" w:cs="Arial"/>
          <w:sz w:val="18"/>
          <w:szCs w:val="18"/>
        </w:rPr>
        <w:t>nity of the Judiciary. In this area, it was recommended that the transition should ensure respect for the legal capacity of persons with disabilities who have a civil interdiction sentence; that the legal representation of guardians should not be prolonged</w:t>
      </w:r>
      <w:r>
        <w:rPr>
          <w:rFonts w:ascii="Arial" w:eastAsia="Arial" w:hAnsi="Arial" w:cs="Arial"/>
          <w:sz w:val="18"/>
          <w:szCs w:val="18"/>
        </w:rPr>
        <w:t>; and that all facilities should be provided to persons with disabilities for the designation of supports. Said document was approved by the Executive Council of the Judiciary by Administrative Resolution No. 046-2019-CE-PJ, dated January 23, 2019, welcomi</w:t>
      </w:r>
      <w:r>
        <w:rPr>
          <w:rFonts w:ascii="Arial" w:eastAsia="Arial" w:hAnsi="Arial" w:cs="Arial"/>
          <w:sz w:val="18"/>
          <w:szCs w:val="18"/>
        </w:rPr>
        <w:t>ng our recommendations.</w:t>
      </w:r>
    </w:p>
  </w:footnote>
  <w:footnote w:id="27">
    <w:p w:rsidR="001004DA" w:rsidRDefault="00933E28">
      <w:pPr>
        <w:pStyle w:val="FootnoteText"/>
      </w:pPr>
      <w:r>
        <w:rPr>
          <w:rStyle w:val="FootnoteReference"/>
        </w:rPr>
        <w:footnoteRef/>
      </w:r>
      <w:r>
        <w:t xml:space="preserve"> Official Communication No. 382-2021-SUNARP/SOR-DTR dated September 20, 2021.</w:t>
      </w:r>
    </w:p>
  </w:footnote>
  <w:footnote w:id="28">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Oficio N°007-2017-DP/ADHPD-PDEPRODIS dated January 27, 2017, addressed to the Secretariat of Public Management of the Presidency of the Council of Mini</w:t>
      </w:r>
      <w:r>
        <w:rPr>
          <w:rFonts w:ascii="Arial" w:hAnsi="Arial" w:cs="Arial"/>
          <w:sz w:val="18"/>
          <w:szCs w:val="18"/>
        </w:rPr>
        <w:t>sters.</w:t>
      </w:r>
    </w:p>
  </w:footnote>
  <w:footnote w:id="29">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Oficio N°0085-2017-PCM/SGP dated February 13, 2017, issued by the Secretariat of Public Management of the Presidency of the Council of Ministers.</w:t>
      </w:r>
    </w:p>
  </w:footnote>
  <w:footnote w:id="30">
    <w:p w:rsidR="001004DA" w:rsidRDefault="00933E28">
      <w:pPr>
        <w:pBdr>
          <w:top w:val="nil"/>
          <w:left w:val="nil"/>
          <w:bottom w:val="nil"/>
          <w:right w:val="nil"/>
          <w:between w:val="nil"/>
        </w:pBdr>
        <w:spacing w:before="120" w:after="12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Approved by Administrative Resolution N°010-2018-CE-PJ, published on October 20, 2018.</w:t>
      </w:r>
    </w:p>
  </w:footnote>
  <w:footnote w:id="31">
    <w:p w:rsidR="001004DA" w:rsidRDefault="00933E28">
      <w:pPr>
        <w:pStyle w:val="FootnoteText"/>
        <w:jc w:val="both"/>
        <w:rPr>
          <w:lang w:val="es-PE"/>
        </w:rPr>
      </w:pPr>
      <w:r>
        <w:rPr>
          <w:rStyle w:val="FootnoteReference"/>
        </w:rPr>
        <w:footnoteRef/>
      </w:r>
      <w:r>
        <w:rPr>
          <w:rFonts w:ascii="Arial" w:eastAsia="Arial Narrow" w:hAnsi="Arial" w:cs="Arial"/>
          <w:color w:val="000000"/>
          <w:sz w:val="18"/>
          <w:szCs w:val="18"/>
        </w:rPr>
        <w:t xml:space="preserve"> The proble</w:t>
      </w:r>
      <w:r>
        <w:rPr>
          <w:rFonts w:ascii="Arial" w:eastAsia="Arial Narrow" w:hAnsi="Arial" w:cs="Arial"/>
          <w:color w:val="000000"/>
          <w:sz w:val="18"/>
          <w:szCs w:val="18"/>
        </w:rPr>
        <w:t>m was first exposed in 2005, in Ombudsman's Report No. 102, Mental Health and Human Rights: The situation of the rights of persons interned in mental health facilities. It was subsequently collected in 2009, in Ombudsman Report No. 140, Mental Health and H</w:t>
      </w:r>
      <w:r>
        <w:rPr>
          <w:rFonts w:ascii="Arial" w:eastAsia="Arial Narrow" w:hAnsi="Arial" w:cs="Arial"/>
          <w:color w:val="000000"/>
          <w:sz w:val="18"/>
          <w:szCs w:val="18"/>
        </w:rPr>
        <w:t>uman Rights. Monitoring of public policy, quality of services and care for vulnerable populations.</w:t>
      </w:r>
    </w:p>
  </w:footnote>
  <w:footnote w:id="32">
    <w:p w:rsidR="001004DA" w:rsidRDefault="00933E28">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These homes are community residences for people with mental disabilities who do not have the skills to live independently and do not have the support of their families. In this sense, the sheltered homes seek to reproduce a family environment in some way,</w:t>
      </w:r>
      <w:r>
        <w:rPr>
          <w:rFonts w:ascii="Arial" w:eastAsia="Arial Narrow" w:hAnsi="Arial" w:cs="Arial"/>
          <w:color w:val="000000"/>
          <w:sz w:val="18"/>
          <w:szCs w:val="18"/>
        </w:rPr>
        <w:t xml:space="preserve"> which is why between six and eight people live in each one and their treatment is guaranteed on an outpatient basis.</w:t>
      </w:r>
    </w:p>
  </w:footnote>
  <w:footnote w:id="33">
    <w:p w:rsidR="001004DA" w:rsidRDefault="00933E28">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Ombudsman's Office. Ombudsman Report N°180: "The right to mental health. Oversight of the implementation of the public policy of communi</w:t>
      </w:r>
      <w:r>
        <w:rPr>
          <w:rFonts w:ascii="Arial" w:eastAsia="Arial Narrow" w:hAnsi="Arial" w:cs="Arial"/>
          <w:color w:val="000000"/>
          <w:sz w:val="18"/>
          <w:szCs w:val="18"/>
        </w:rPr>
        <w:t>ty care and the road to deinstitutionalization". Available at: https://www.defensoria.gob.pe/wp-content/uploads/2018/12/Informe-Defensorial-N%C2%BA-180-Derecho-a-la-Salud-Mental-con-RD.pdf</w:t>
      </w:r>
    </w:p>
  </w:footnote>
  <w:footnote w:id="34">
    <w:p w:rsidR="001004DA" w:rsidRDefault="00933E28">
      <w:pPr>
        <w:pStyle w:val="FootnoteText"/>
        <w:jc w:val="both"/>
        <w:rPr>
          <w:rFonts w:ascii="Arial" w:eastAsia="Arial Narrow" w:hAnsi="Arial" w:cs="Arial"/>
          <w:color w:val="000000"/>
          <w:sz w:val="18"/>
          <w:szCs w:val="18"/>
        </w:rPr>
      </w:pPr>
      <w:r>
        <w:rPr>
          <w:rStyle w:val="FootnoteReference"/>
        </w:rPr>
        <w:footnoteRef/>
      </w:r>
      <w:r>
        <w:rPr>
          <w:rFonts w:ascii="Arial" w:eastAsia="Arial Narrow" w:hAnsi="Arial" w:cs="Arial"/>
          <w:color w:val="000000"/>
          <w:sz w:val="18"/>
          <w:szCs w:val="18"/>
        </w:rPr>
        <w:t xml:space="preserve"> Ombudsman's Office. Special Report Nº 004-2022-DP: "Advances and </w:t>
      </w:r>
      <w:r>
        <w:rPr>
          <w:rFonts w:ascii="Arial" w:eastAsia="Arial Narrow" w:hAnsi="Arial" w:cs="Arial"/>
          <w:color w:val="000000"/>
          <w:sz w:val="18"/>
          <w:szCs w:val="18"/>
        </w:rPr>
        <w:t>limitations in the process of deinstitutionalization in mental health services at the national level, in the context of the coronavirus health emergency. Supervision of psychiatric facilities and sheltered homes". Available at: https://www.defensoria.gob.p</w:t>
      </w:r>
      <w:r>
        <w:rPr>
          <w:rFonts w:ascii="Arial" w:eastAsia="Arial Narrow" w:hAnsi="Arial" w:cs="Arial"/>
          <w:color w:val="000000"/>
          <w:sz w:val="18"/>
          <w:szCs w:val="18"/>
        </w:rPr>
        <w:t>e/wp-content/uploads/2022/09/Informe-salud-mental-final.pdf</w:t>
      </w:r>
    </w:p>
  </w:footnote>
  <w:footnote w:id="35">
    <w:p w:rsidR="001004DA" w:rsidRDefault="00933E28">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As of February 2022, according to the supervision carried out by the Ombudsman's Office.</w:t>
      </w:r>
    </w:p>
  </w:footnote>
  <w:footnote w:id="36">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UN. Committee on the Rights of Persons with Disabilities. </w:t>
      </w:r>
      <w:r>
        <w:rPr>
          <w:rFonts w:ascii="Arial" w:eastAsia="Arial" w:hAnsi="Arial" w:cs="Arial"/>
          <w:i/>
          <w:sz w:val="18"/>
          <w:szCs w:val="18"/>
        </w:rPr>
        <w:t xml:space="preserve">Consideration of reports submitted by States </w:t>
      </w:r>
      <w:r>
        <w:rPr>
          <w:rFonts w:ascii="Arial" w:eastAsia="Arial" w:hAnsi="Arial" w:cs="Arial"/>
          <w:i/>
          <w:sz w:val="18"/>
          <w:szCs w:val="18"/>
        </w:rPr>
        <w:t>parties under article 35 of the Convention</w:t>
      </w:r>
      <w:r>
        <w:rPr>
          <w:rFonts w:ascii="Arial" w:eastAsia="Arial" w:hAnsi="Arial" w:cs="Arial"/>
          <w:sz w:val="18"/>
          <w:szCs w:val="18"/>
        </w:rPr>
        <w:t>. Peru. CRPD/C/PER/CO/1. 16 May 2012. paragraph 31.</w:t>
      </w:r>
    </w:p>
  </w:footnote>
  <w:footnote w:id="37">
    <w:p w:rsidR="001004DA" w:rsidRDefault="00933E28">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Article 20 of the Peruvian Criminal Code. "1. Anyone who, due to psychic anomaly, serious alteration of consciousness or due to alterations in perception that s</w:t>
      </w:r>
      <w:r>
        <w:rPr>
          <w:rFonts w:ascii="Arial" w:eastAsia="Arial Narrow" w:hAnsi="Arial" w:cs="Arial"/>
          <w:color w:val="000000"/>
          <w:sz w:val="18"/>
          <w:szCs w:val="18"/>
        </w:rPr>
        <w:t>eriously affect his concept of reality, does not possess the faculty to understand the criminal nature of his act or to determine himself according to this understanding (...)".</w:t>
      </w:r>
    </w:p>
  </w:footnote>
  <w:footnote w:id="38">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Constitutional Court. Judgment in Case No. 03426-2008-PHC/TC of August 26, 2</w:t>
      </w:r>
      <w:r>
        <w:rPr>
          <w:rFonts w:ascii="Arial" w:hAnsi="Arial" w:cs="Arial"/>
          <w:sz w:val="18"/>
          <w:szCs w:val="18"/>
        </w:rPr>
        <w:t>010.</w:t>
      </w:r>
    </w:p>
  </w:footnote>
  <w:footnote w:id="39">
    <w:p w:rsidR="001004DA" w:rsidRDefault="00933E28">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Article 28 of the Peruvian Criminal Code.</w:t>
      </w:r>
    </w:p>
  </w:footnote>
  <w:footnote w:id="40">
    <w:p w:rsidR="001004DA" w:rsidRDefault="00933E28">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Article 71 of the Peruvian Criminal Code.</w:t>
      </w:r>
    </w:p>
  </w:footnote>
  <w:footnote w:id="41">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Art. 29.1 of Law No. 30947 states: "The competent criminal judge may order preventive internment in health establishments for stabilization, evaluation and diagnosis purposes, in accordance with the relevant legislation".</w:t>
      </w:r>
    </w:p>
  </w:footnote>
  <w:footnote w:id="42">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By Oficio N° 008-2017-DP/ADHPD-</w:t>
      </w:r>
      <w:r>
        <w:rPr>
          <w:rFonts w:ascii="Arial" w:hAnsi="Arial" w:cs="Arial"/>
          <w:sz w:val="18"/>
          <w:szCs w:val="18"/>
        </w:rPr>
        <w:t>PDEPRODIS dated January 27, 2017.</w:t>
      </w:r>
    </w:p>
  </w:footnote>
  <w:footnote w:id="43">
    <w:p w:rsidR="001004DA" w:rsidRDefault="00933E28">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Law No. 30364, published on November 23, 2015. </w:t>
      </w:r>
    </w:p>
  </w:footnote>
  <w:footnote w:id="44">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Article 9.2 of Law No. 29973.</w:t>
      </w:r>
    </w:p>
  </w:footnote>
  <w:footnote w:id="45">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Family Planning Technical Health Standard, NTS N° 124-2016-MINSA-V.01 approved by Ministerial Resolution N° 652-2016/MINSA.  </w:t>
      </w:r>
    </w:p>
  </w:footnote>
  <w:footnote w:id="46">
    <w:p w:rsidR="001004DA" w:rsidRDefault="00933E28">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hAnsi="Arial" w:cs="Arial"/>
          <w:color w:val="000000"/>
          <w:sz w:val="18"/>
          <w:szCs w:val="18"/>
        </w:rPr>
        <w:t xml:space="preserve"> Numeral 6.3 of </w:t>
      </w:r>
      <w:r>
        <w:rPr>
          <w:rFonts w:ascii="Arial" w:eastAsia="Century Gothic" w:hAnsi="Arial" w:cs="Arial"/>
          <w:color w:val="000000"/>
          <w:sz w:val="18"/>
          <w:szCs w:val="18"/>
        </w:rPr>
        <w:t>NTS N° 124-2016-MINSA -V.01.</w:t>
      </w:r>
    </w:p>
  </w:footnote>
  <w:footnote w:id="47">
    <w:p w:rsidR="001004DA" w:rsidRDefault="00933E28">
      <w:pP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Article 172º of the Criminal Code, amended by Law No. 30838, published on August 4, 2018:</w:t>
      </w:r>
    </w:p>
    <w:p w:rsidR="001004DA" w:rsidRDefault="00933E28">
      <w:pPr>
        <w:pStyle w:val="NormalWeb"/>
        <w:spacing w:before="0" w:beforeAutospacing="0" w:after="0" w:afterAutospacing="0"/>
        <w:jc w:val="both"/>
        <w:rPr>
          <w:rFonts w:ascii="Arial" w:eastAsia="Century Gothic" w:hAnsi="Arial" w:cs="Arial"/>
          <w:color w:val="000000"/>
          <w:sz w:val="18"/>
          <w:szCs w:val="18"/>
          <w:lang w:eastAsia="es-MX"/>
        </w:rPr>
      </w:pPr>
      <w:bookmarkStart w:id="7" w:name="JD_personaenincapacida"/>
      <w:bookmarkEnd w:id="7"/>
      <w:r>
        <w:rPr>
          <w:rFonts w:ascii="Arial" w:eastAsia="Century Gothic" w:hAnsi="Arial" w:cs="Arial"/>
          <w:color w:val="000000"/>
          <w:sz w:val="18"/>
          <w:szCs w:val="18"/>
          <w:lang w:eastAsia="es-MX"/>
        </w:rPr>
        <w:t xml:space="preserve"> "Rape of a person incapable of giving free consent.</w:t>
      </w:r>
    </w:p>
    <w:p w:rsidR="001004DA" w:rsidRDefault="00933E28">
      <w:pPr>
        <w:pStyle w:val="NormalWeb"/>
        <w:spacing w:before="0" w:beforeAutospacing="0" w:after="0" w:afterAutospacing="0"/>
        <w:jc w:val="both"/>
        <w:rPr>
          <w:rFonts w:ascii="Arial" w:eastAsia="Century Gothic" w:hAnsi="Arial" w:cs="Arial"/>
          <w:color w:val="000000"/>
          <w:sz w:val="18"/>
          <w:szCs w:val="18"/>
        </w:rPr>
      </w:pPr>
      <w:r>
        <w:rPr>
          <w:rFonts w:ascii="Arial" w:eastAsia="Century Gothic" w:hAnsi="Arial" w:cs="Arial"/>
          <w:color w:val="000000"/>
          <w:sz w:val="18"/>
          <w:szCs w:val="18"/>
          <w:lang w:eastAsia="es-MX"/>
        </w:rPr>
        <w:t>Whoever has carnal access with a person by vaginal, anal or oral w</w:t>
      </w:r>
      <w:r>
        <w:rPr>
          <w:rFonts w:ascii="Arial" w:eastAsia="Century Gothic" w:hAnsi="Arial" w:cs="Arial"/>
          <w:color w:val="000000"/>
          <w:sz w:val="18"/>
          <w:szCs w:val="18"/>
          <w:lang w:eastAsia="es-MX"/>
        </w:rPr>
        <w:t>ay or performs any other analogous act with the introduction of an object or part of the body by any of the first two ways, knowing that he is unable to give his free consent because he suffers from psychic anomaly, serious alteration of consciousness, men</w:t>
      </w:r>
      <w:r>
        <w:rPr>
          <w:rFonts w:ascii="Arial" w:eastAsia="Century Gothic" w:hAnsi="Arial" w:cs="Arial"/>
          <w:color w:val="000000"/>
          <w:sz w:val="18"/>
          <w:szCs w:val="18"/>
          <w:lang w:eastAsia="es-MX"/>
        </w:rPr>
        <w:t>tal retardation or that he is unable to resist, shall be punished with imprisonment of not less than twenty nor more than twenty-six years".</w:t>
      </w:r>
    </w:p>
  </w:footnote>
  <w:footnote w:id="48">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Judicial Power. Transitory Criminal Court of Huaura. Cassation No. 591-2016 of May 9, 2019.</w:t>
      </w:r>
    </w:p>
  </w:footnote>
  <w:footnote w:id="49">
    <w:p w:rsidR="001004DA" w:rsidRDefault="00933E28">
      <w:pPr>
        <w:pStyle w:val="FootnoteText"/>
      </w:pPr>
      <w:r>
        <w:rPr>
          <w:rStyle w:val="FootnoteReference"/>
        </w:rPr>
        <w:footnoteRef/>
      </w:r>
      <w:r>
        <w:t xml:space="preserve"> Available at: https</w:t>
      </w:r>
      <w:r>
        <w:t>://www.defensoria.gob.pe/wp-content/uploads/2019/12/Informe-Defensorial-183-El-Derecho-a-la-Educaci%C3%B3n-Inclusiva.pdf</w:t>
      </w:r>
    </w:p>
  </w:footnote>
  <w:footnote w:id="50">
    <w:p w:rsidR="001004DA" w:rsidRDefault="00933E28">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Oficio N° 0942-2018-MINEDU/SPE-OSEE-UE, sent by the Statistics Unit of the Ministry of Education dated July 4, 2018. Table: Infrastru</w:t>
      </w:r>
      <w:r>
        <w:rPr>
          <w:rFonts w:ascii="Arial" w:eastAsia="Century Gothic" w:hAnsi="Arial" w:cs="Arial"/>
          <w:color w:val="000000"/>
          <w:sz w:val="18"/>
          <w:szCs w:val="18"/>
        </w:rPr>
        <w:t>cture.</w:t>
      </w:r>
    </w:p>
  </w:footnote>
  <w:footnote w:id="51">
    <w:p w:rsidR="001004DA" w:rsidRDefault="00933E28">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shd w:val="clear" w:color="auto" w:fill="FDFDFD"/>
        </w:rPr>
        <w:t xml:space="preserve"> Supreme Decree N°007-2021-MINEDU, published in the newspaper </w:t>
      </w:r>
      <w:r>
        <w:rPr>
          <w:rFonts w:ascii="Arial" w:hAnsi="Arial" w:cs="Arial"/>
          <w:i/>
          <w:sz w:val="18"/>
          <w:szCs w:val="18"/>
          <w:shd w:val="clear" w:color="auto" w:fill="FDFDFD"/>
        </w:rPr>
        <w:t xml:space="preserve">El Peruano </w:t>
      </w:r>
      <w:r>
        <w:rPr>
          <w:rFonts w:ascii="Arial" w:hAnsi="Arial" w:cs="Arial"/>
          <w:sz w:val="18"/>
          <w:szCs w:val="18"/>
          <w:shd w:val="clear" w:color="auto" w:fill="FDFDFD"/>
        </w:rPr>
        <w:t>on May 11, 2021.</w:t>
      </w:r>
    </w:p>
  </w:footnote>
  <w:footnote w:id="52">
    <w:p w:rsidR="001004DA" w:rsidRDefault="00933E28">
      <w:pPr>
        <w:pStyle w:val="FootnoteText"/>
        <w:jc w:val="both"/>
      </w:pPr>
      <w:r>
        <w:rPr>
          <w:rFonts w:ascii="Arial" w:hAnsi="Arial" w:cs="Arial"/>
          <w:sz w:val="18"/>
          <w:szCs w:val="18"/>
          <w:vertAlign w:val="superscript"/>
        </w:rPr>
        <w:footnoteRef/>
      </w:r>
      <w:r>
        <w:rPr>
          <w:rFonts w:ascii="Arial" w:hAnsi="Arial" w:cs="Arial"/>
          <w:sz w:val="18"/>
          <w:szCs w:val="18"/>
        </w:rPr>
        <w:t xml:space="preserve"> Ministerial Resolution N° 368-2021-MINEDU, </w:t>
      </w:r>
      <w:r>
        <w:rPr>
          <w:rFonts w:ascii="Arial" w:hAnsi="Arial" w:cs="Arial"/>
          <w:sz w:val="18"/>
          <w:szCs w:val="18"/>
          <w:shd w:val="clear" w:color="auto" w:fill="FDFDFD"/>
        </w:rPr>
        <w:t xml:space="preserve">published in </w:t>
      </w:r>
      <w:r>
        <w:rPr>
          <w:rFonts w:ascii="Arial" w:hAnsi="Arial" w:cs="Arial"/>
          <w:i/>
          <w:sz w:val="18"/>
          <w:szCs w:val="18"/>
          <w:shd w:val="clear" w:color="auto" w:fill="FDFDFD"/>
        </w:rPr>
        <w:t xml:space="preserve">El Peruano </w:t>
      </w:r>
      <w:r>
        <w:rPr>
          <w:rFonts w:ascii="Arial" w:hAnsi="Arial" w:cs="Arial"/>
          <w:sz w:val="18"/>
          <w:szCs w:val="18"/>
          <w:shd w:val="clear" w:color="auto" w:fill="FDFDFD"/>
        </w:rPr>
        <w:t>on September 21, 2021.</w:t>
      </w:r>
    </w:p>
  </w:footnote>
  <w:footnote w:id="53">
    <w:p w:rsidR="001004DA" w:rsidRDefault="00933E28">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Approved, respectively, through: i) Superintendence Resolution No. 0097-2016; ii) Superintendence Resolution No. 111-2017, as amended by Superintendence Resolution No. 0171-2018-SUNEDU; iii) Board of Directors Resolution No. 172-2018-SUNEDU/CD; and iv) Bo</w:t>
      </w:r>
      <w:r>
        <w:rPr>
          <w:rFonts w:ascii="Arial" w:hAnsi="Arial" w:cs="Arial"/>
          <w:sz w:val="18"/>
          <w:szCs w:val="18"/>
        </w:rPr>
        <w:t>ard of Directors Resolution No. 022-2020-SUNEDU/CD, as amended by Board of Directors Resolution No. 046-2020-SUNEDU/CD.</w:t>
      </w:r>
    </w:p>
  </w:footnote>
  <w:footnote w:id="54">
    <w:p w:rsidR="001004DA" w:rsidRDefault="00933E28">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Approved by </w:t>
      </w:r>
      <w:r>
        <w:rPr>
          <w:rFonts w:ascii="Arial" w:hAnsi="Arial" w:cs="Arial"/>
          <w:color w:val="333333"/>
          <w:sz w:val="18"/>
          <w:szCs w:val="18"/>
          <w:highlight w:val="white"/>
        </w:rPr>
        <w:t xml:space="preserve">Supreme Decree N° 012- 2020-MINEDU </w:t>
      </w:r>
      <w:r>
        <w:rPr>
          <w:rFonts w:ascii="Arial" w:hAnsi="Arial" w:cs="Arial"/>
          <w:color w:val="333333"/>
          <w:sz w:val="18"/>
          <w:szCs w:val="18"/>
        </w:rPr>
        <w:t>(in force).</w:t>
      </w:r>
    </w:p>
  </w:footnote>
  <w:footnote w:id="55">
    <w:p w:rsidR="001004DA" w:rsidRDefault="00933E28">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Approved by Supreme Decree N° 016- 2015-MINEDU (not in force).</w:t>
      </w:r>
    </w:p>
  </w:footnote>
  <w:footnote w:id="56">
    <w:p w:rsidR="001004DA" w:rsidRDefault="00933E28">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Availabl</w:t>
      </w:r>
      <w:r>
        <w:rPr>
          <w:rFonts w:ascii="Arial" w:hAnsi="Arial" w:cs="Arial"/>
          <w:sz w:val="18"/>
          <w:szCs w:val="18"/>
        </w:rPr>
        <w:t xml:space="preserve">e through the following link: </w:t>
      </w:r>
      <w:hyperlink r:id="rId4" w:history="1">
        <w:r>
          <w:rPr>
            <w:rStyle w:val="Hyperlink"/>
            <w:rFonts w:ascii="Arial" w:hAnsi="Arial" w:cs="Arial"/>
            <w:sz w:val="18"/>
            <w:szCs w:val="18"/>
          </w:rPr>
          <w:t>https://www.defensoria.gob.pe/wp-content/uploads/2021/05/Informe-Especial-005-21-sobre-educacio</w:t>
        </w:r>
        <w:r>
          <w:rPr>
            <w:rStyle w:val="Hyperlink"/>
            <w:rFonts w:ascii="Arial" w:hAnsi="Arial" w:cs="Arial"/>
            <w:sz w:val="18"/>
            <w:szCs w:val="18"/>
          </w:rPr>
          <w:t>n-universitaria.pdf</w:t>
        </w:r>
      </w:hyperlink>
    </w:p>
  </w:footnote>
  <w:footnote w:id="57">
    <w:p w:rsidR="001004DA" w:rsidRDefault="00933E28">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Minsa. </w:t>
      </w:r>
      <w:r>
        <w:rPr>
          <w:rFonts w:ascii="Arial" w:eastAsia="Arial" w:hAnsi="Arial" w:cs="Arial"/>
          <w:color w:val="333333"/>
          <w:sz w:val="18"/>
          <w:szCs w:val="18"/>
          <w:highlight w:val="white"/>
        </w:rPr>
        <w:t xml:space="preserve">Guidelines for Health Promotion Policy in Peru. Ministerial Resolution No. 366-2017/MINSA, published on May 20, 2017. At: </w:t>
      </w:r>
      <w:hyperlink r:id="rId5" w:history="1">
        <w:r>
          <w:rPr>
            <w:rStyle w:val="Hyperlink"/>
            <w:rFonts w:ascii="Arial" w:eastAsia="Arial" w:hAnsi="Arial" w:cs="Arial"/>
            <w:sz w:val="18"/>
            <w:szCs w:val="18"/>
          </w:rPr>
          <w:t>ftp://ftp2.minsa.gob.pe/descargas/02cns/web/memorias/2015/DT%20LINEAMIENTO%20POLITICA%20PROMOCION%20SALUD.pdf</w:t>
        </w:r>
      </w:hyperlink>
    </w:p>
  </w:footnote>
  <w:footnote w:id="58">
    <w:p w:rsidR="001004DA" w:rsidRDefault="00933E28">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Minsa. Norma Técnica</w:t>
      </w:r>
      <w:r>
        <w:rPr>
          <w:rFonts w:ascii="Arial" w:eastAsia="Arial" w:hAnsi="Arial" w:cs="Arial"/>
          <w:color w:val="000000"/>
          <w:sz w:val="18"/>
          <w:szCs w:val="18"/>
        </w:rPr>
        <w:t xml:space="preserve"> de Salud de Planificación Familiar. Date: July 2017. At: </w:t>
      </w:r>
      <w:hyperlink r:id="rId6" w:history="1">
        <w:r>
          <w:rPr>
            <w:rStyle w:val="Hyperlink"/>
            <w:rFonts w:ascii="Arial" w:eastAsia="Arial" w:hAnsi="Arial" w:cs="Arial"/>
            <w:sz w:val="18"/>
            <w:szCs w:val="18"/>
          </w:rPr>
          <w:t>http://bvs.minsa.gob.pe/local/MINSA/4191.pdf</w:t>
        </w:r>
      </w:hyperlink>
    </w:p>
  </w:footnote>
  <w:footnote w:id="59">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According to the 2017 Census findings, 3.62% of working-age persons with disabilities who </w:t>
      </w:r>
      <w:r>
        <w:rPr>
          <w:rFonts w:ascii="Arial" w:hAnsi="Arial" w:cs="Arial"/>
          <w:sz w:val="18"/>
          <w:szCs w:val="18"/>
        </w:rPr>
        <w:t>were not employed were seeking employment and 60.68% were not actively seeking employment.</w:t>
      </w:r>
    </w:p>
  </w:footnote>
  <w:footnote w:id="60">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Approved, through Ministerial Resolution No. 171-2019-TR of July 1, 2019 by the Ministry of Labor and Employment Promotion.</w:t>
      </w:r>
    </w:p>
  </w:footnote>
  <w:footnote w:id="61">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Approved by </w:t>
      </w:r>
      <w:r>
        <w:rPr>
          <w:rFonts w:ascii="Arial" w:eastAsia="Arial" w:hAnsi="Arial" w:cs="Arial"/>
          <w:sz w:val="18"/>
          <w:szCs w:val="18"/>
        </w:rPr>
        <w:t>Resolution of the Executi</w:t>
      </w:r>
      <w:r>
        <w:rPr>
          <w:rFonts w:ascii="Arial" w:eastAsia="Arial" w:hAnsi="Arial" w:cs="Arial"/>
          <w:sz w:val="18"/>
          <w:szCs w:val="18"/>
        </w:rPr>
        <w:t>ve Presidency No. 140-2019-SERVIR-PE, published on October 20, 2019.</w:t>
      </w:r>
    </w:p>
  </w:footnote>
  <w:footnote w:id="62">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Approved by Supreme Decree No. 001-2020-TR, published on January 4, 2020.</w:t>
      </w:r>
    </w:p>
  </w:footnote>
  <w:footnote w:id="63">
    <w:p w:rsidR="001004DA" w:rsidRDefault="00933E28">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Through Oficio No. 008-2019-DP/ADHPD-PDEPRODIS and Oficio No. 011-2019-DP/ADHPD-PDEPRODIS, dated March 5, 201</w:t>
      </w:r>
      <w:r>
        <w:rPr>
          <w:rFonts w:ascii="Arial" w:eastAsia="Arial Narrow" w:hAnsi="Arial" w:cs="Arial"/>
          <w:color w:val="000000"/>
          <w:sz w:val="18"/>
          <w:szCs w:val="18"/>
        </w:rPr>
        <w:t>9 and March 7, 2019, respectively.</w:t>
      </w:r>
    </w:p>
  </w:footnote>
  <w:footnote w:id="64">
    <w:p w:rsidR="001004DA" w:rsidRDefault="00933E28">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By Oficio N° 003-2016- DP-ADHPD/PDEPRODIS dated January 15, 2016.</w:t>
      </w:r>
    </w:p>
  </w:footnote>
  <w:footnote w:id="65">
    <w:p w:rsidR="001004DA" w:rsidRDefault="00933E28">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By Oficio N° 164-2016-MINEDU/VMGP-DIGEDD-DITEN dated January 15, 2016.</w:t>
      </w:r>
    </w:p>
  </w:footnote>
  <w:footnote w:id="66">
    <w:p w:rsidR="001004DA" w:rsidRDefault="00933E28">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UN. Committee on the Rights of Persons with Disabilities. Concluding observations on the initial report of the European Union. 2 October 2015. CRPD/C/EU/CO/1. Paragraphs 78 and 79.</w:t>
      </w:r>
    </w:p>
  </w:footnote>
  <w:footnote w:id="67">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Executive Management Resolution No. 11-2022-MIDIS/PNPDS-DE. December 20,</w:t>
      </w:r>
      <w:r>
        <w:rPr>
          <w:rFonts w:ascii="Arial" w:hAnsi="Arial" w:cs="Arial"/>
          <w:sz w:val="18"/>
          <w:szCs w:val="18"/>
        </w:rPr>
        <w:t xml:space="preserve"> 2022. En: </w:t>
      </w:r>
      <w:r>
        <w:t>https://cdn.www.gob.pe/uploads/document/file/3962272/RDE-119-2022.pdf.pdf?v=1671669214</w:t>
      </w:r>
    </w:p>
  </w:footnote>
  <w:footnote w:id="68">
    <w:p w:rsidR="001004DA" w:rsidRDefault="00933E28">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Law No. 29973, General Law for Persons with Disabilities. Article 14. </w:t>
      </w:r>
    </w:p>
  </w:footnote>
  <w:footnote w:id="69">
    <w:p w:rsidR="001004DA" w:rsidRDefault="00933E28">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Supreme Decree No. 002-2014-MIMP, Regulation of Law No. 29973. Article 12°. </w:t>
      </w:r>
    </w:p>
  </w:footnote>
  <w:footnote w:id="70">
    <w:p w:rsidR="001004DA" w:rsidRDefault="00933E28">
      <w:pPr>
        <w:pStyle w:val="FootnoteText"/>
        <w:jc w:val="both"/>
        <w:rPr>
          <w:rFonts w:ascii="Arial" w:eastAsia="Arial" w:hAnsi="Arial" w:cs="Arial"/>
          <w:color w:val="000000"/>
          <w:sz w:val="18"/>
          <w:szCs w:val="18"/>
        </w:rPr>
      </w:pPr>
      <w:r>
        <w:rPr>
          <w:rStyle w:val="FootnoteReference"/>
          <w:rFonts w:ascii="Arial" w:hAnsi="Arial" w:cs="Arial"/>
          <w:sz w:val="18"/>
          <w:szCs w:val="18"/>
        </w:rPr>
        <w:footnoteRef/>
      </w:r>
      <w:r>
        <w:rPr>
          <w:rFonts w:ascii="Arial" w:eastAsia="Arial" w:hAnsi="Arial" w:cs="Arial"/>
          <w:color w:val="000000"/>
          <w:sz w:val="18"/>
          <w:szCs w:val="18"/>
        </w:rPr>
        <w:t xml:space="preserve"> In a</w:t>
      </w:r>
      <w:r>
        <w:rPr>
          <w:rFonts w:ascii="Arial" w:eastAsia="Arial" w:hAnsi="Arial" w:cs="Arial"/>
          <w:color w:val="000000"/>
          <w:sz w:val="18"/>
          <w:szCs w:val="18"/>
        </w:rPr>
        <w:t>ccordance with the provisions of Supreme Decree 001-2009-JUS, amended by Supreme Decree 014-2012-JUS, published on August 29, 2012.</w:t>
      </w:r>
    </w:p>
  </w:footnote>
  <w:footnote w:id="71">
    <w:p w:rsidR="001004DA" w:rsidRDefault="00933E28">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Approved by Presidential Resolution No. D000040-2021-CONADIS-PRE, dated December 29, 2021. Available at: </w:t>
      </w:r>
      <w:hyperlink r:id="rId7" w:history="1">
        <w:r>
          <w:rPr>
            <w:rStyle w:val="Hyperlink"/>
            <w:rFonts w:ascii="Arial" w:hAnsi="Arial" w:cs="Arial"/>
            <w:sz w:val="18"/>
            <w:szCs w:val="18"/>
          </w:rPr>
          <w:t>https:</w:t>
        </w:r>
      </w:hyperlink>
      <w:r>
        <w:rPr>
          <w:rFonts w:ascii="Arial" w:hAnsi="Arial" w:cs="Arial"/>
          <w:sz w:val="18"/>
          <w:szCs w:val="18"/>
        </w:rPr>
        <w:t xml:space="preserve">//www.gob.pe/institucion/conadis/normas-legales/2601796-d000040-2021-conadis-pre </w:t>
      </w:r>
    </w:p>
  </w:footnote>
  <w:footnote w:id="72">
    <w:p w:rsidR="001004DA" w:rsidRDefault="00933E28">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Chief Resolution N° 508-2011-JNAC/RENIEC.</w:t>
      </w:r>
    </w:p>
  </w:footnote>
  <w:footnote w:id="73">
    <w:p w:rsidR="001004DA" w:rsidRDefault="00933E28">
      <w:pPr>
        <w:spacing w:after="0" w:line="240" w:lineRule="auto"/>
        <w:jc w:val="both"/>
        <w:rPr>
          <w:rFonts w:ascii="Arial" w:eastAsia="Arial" w:hAnsi="Arial" w:cs="Arial"/>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Judicial Power. Superior Court of Justice of Lima. Sixth Permanent Contentious Administrative Court. Case No. 14940-2016-0-1801-JR-CA-06. Resolution No. 9. December 13, 2017. p. 15.</w:t>
      </w:r>
    </w:p>
  </w:footnote>
  <w:footnote w:id="74">
    <w:p w:rsidR="001004DA" w:rsidRDefault="00933E28">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color w:val="000000"/>
          <w:sz w:val="18"/>
          <w:szCs w:val="18"/>
        </w:rPr>
        <w:t xml:space="preserve"> Judicial Power. Superior Court of Justice of Lima. Fourth Chamber Speci</w:t>
      </w:r>
      <w:r>
        <w:rPr>
          <w:rFonts w:ascii="Arial" w:eastAsia="Arial" w:hAnsi="Arial" w:cs="Arial"/>
          <w:color w:val="000000"/>
          <w:sz w:val="18"/>
          <w:szCs w:val="18"/>
        </w:rPr>
        <w:t>alized in Permanent Administrative Litigation. Case No. 14940-2016-0-1801-JR-CA-06. Resolution No. 8 of October 15, 2019. Ground 3.7.</w:t>
      </w:r>
    </w:p>
  </w:footnote>
  <w:footnote w:id="75">
    <w:p w:rsidR="001004DA" w:rsidRDefault="00933E28">
      <w:pPr>
        <w:pStyle w:val="FootnoteText"/>
        <w:jc w:val="both"/>
      </w:pPr>
      <w:r>
        <w:rPr>
          <w:rStyle w:val="FootnoteReference"/>
          <w:rFonts w:ascii="Arial" w:hAnsi="Arial" w:cs="Arial"/>
          <w:sz w:val="18"/>
          <w:szCs w:val="18"/>
        </w:rPr>
        <w:footnoteRef/>
      </w:r>
      <w:r>
        <w:rPr>
          <w:rFonts w:ascii="Arial" w:hAnsi="Arial" w:cs="Arial"/>
          <w:sz w:val="18"/>
          <w:szCs w:val="18"/>
        </w:rPr>
        <w:t xml:space="preserve"> Alternative Report to the Committee for the Rights of Persons with Disabilities 2019. p. 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77BE"/>
    <w:multiLevelType w:val="hybridMultilevel"/>
    <w:tmpl w:val="F98AB3F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02B7475C"/>
    <w:multiLevelType w:val="hybridMultilevel"/>
    <w:tmpl w:val="A4D87D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 w15:restartNumberingAfterBreak="0">
    <w:nsid w:val="101E03B1"/>
    <w:multiLevelType w:val="hybridMultilevel"/>
    <w:tmpl w:val="AF38AB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0F54094"/>
    <w:multiLevelType w:val="hybridMultilevel"/>
    <w:tmpl w:val="61069E48"/>
    <w:lvl w:ilvl="0" w:tplc="A2868E0A">
      <w:numFmt w:val="bullet"/>
      <w:lvlText w:val=""/>
      <w:lvlJc w:val="left"/>
      <w:pPr>
        <w:ind w:left="720" w:hanging="360"/>
      </w:pPr>
      <w:rPr>
        <w:rFonts w:ascii="Symbol" w:eastAsia="Calibri" w:hAnsi="Symbol"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1302AE2"/>
    <w:multiLevelType w:val="hybridMultilevel"/>
    <w:tmpl w:val="AEE035B8"/>
    <w:lvl w:ilvl="0" w:tplc="080A0001">
      <w:start w:val="1"/>
      <w:numFmt w:val="bullet"/>
      <w:lvlText w:val=""/>
      <w:lvlJc w:val="left"/>
      <w:pPr>
        <w:ind w:left="735" w:hanging="375"/>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8941A0"/>
    <w:multiLevelType w:val="hybridMultilevel"/>
    <w:tmpl w:val="906E5BB2"/>
    <w:lvl w:ilvl="0" w:tplc="A2868E0A">
      <w:numFmt w:val="bullet"/>
      <w:lvlText w:val=""/>
      <w:lvlJc w:val="left"/>
      <w:pPr>
        <w:ind w:left="720" w:hanging="360"/>
      </w:pPr>
      <w:rPr>
        <w:rFonts w:ascii="Symbol" w:eastAsia="Calibri" w:hAnsi="Symbol"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0FD3417"/>
    <w:multiLevelType w:val="multilevel"/>
    <w:tmpl w:val="F7E6F502"/>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213D00"/>
    <w:multiLevelType w:val="hybridMultilevel"/>
    <w:tmpl w:val="C9F8B5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7172772B"/>
    <w:multiLevelType w:val="hybridMultilevel"/>
    <w:tmpl w:val="4E36C276"/>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762957B7"/>
    <w:multiLevelType w:val="hybridMultilevel"/>
    <w:tmpl w:val="4DCC1618"/>
    <w:lvl w:ilvl="0" w:tplc="38081DFA">
      <w:start w:val="3"/>
      <w:numFmt w:val="bullet"/>
      <w:lvlText w:val="-"/>
      <w:lvlJc w:val="left"/>
      <w:pPr>
        <w:ind w:left="1152" w:hanging="360"/>
      </w:pPr>
      <w:rPr>
        <w:rFonts w:ascii="Arial" w:eastAsia="Calibri" w:hAnsi="Arial" w:cs="Arial" w:hint="default"/>
      </w:rPr>
    </w:lvl>
    <w:lvl w:ilvl="1" w:tplc="280A0003" w:tentative="1">
      <w:start w:val="1"/>
      <w:numFmt w:val="bullet"/>
      <w:lvlText w:val="o"/>
      <w:lvlJc w:val="left"/>
      <w:pPr>
        <w:ind w:left="1872" w:hanging="360"/>
      </w:pPr>
      <w:rPr>
        <w:rFonts w:ascii="Courier New" w:hAnsi="Courier New" w:cs="Courier New" w:hint="default"/>
      </w:rPr>
    </w:lvl>
    <w:lvl w:ilvl="2" w:tplc="280A0005" w:tentative="1">
      <w:start w:val="1"/>
      <w:numFmt w:val="bullet"/>
      <w:lvlText w:val=""/>
      <w:lvlJc w:val="left"/>
      <w:pPr>
        <w:ind w:left="2592" w:hanging="360"/>
      </w:pPr>
      <w:rPr>
        <w:rFonts w:ascii="Wingdings" w:hAnsi="Wingdings" w:hint="default"/>
      </w:rPr>
    </w:lvl>
    <w:lvl w:ilvl="3" w:tplc="280A0001" w:tentative="1">
      <w:start w:val="1"/>
      <w:numFmt w:val="bullet"/>
      <w:lvlText w:val=""/>
      <w:lvlJc w:val="left"/>
      <w:pPr>
        <w:ind w:left="3312" w:hanging="360"/>
      </w:pPr>
      <w:rPr>
        <w:rFonts w:ascii="Symbol" w:hAnsi="Symbol" w:hint="default"/>
      </w:rPr>
    </w:lvl>
    <w:lvl w:ilvl="4" w:tplc="280A0003" w:tentative="1">
      <w:start w:val="1"/>
      <w:numFmt w:val="bullet"/>
      <w:lvlText w:val="o"/>
      <w:lvlJc w:val="left"/>
      <w:pPr>
        <w:ind w:left="4032" w:hanging="360"/>
      </w:pPr>
      <w:rPr>
        <w:rFonts w:ascii="Courier New" w:hAnsi="Courier New" w:cs="Courier New" w:hint="default"/>
      </w:rPr>
    </w:lvl>
    <w:lvl w:ilvl="5" w:tplc="280A0005" w:tentative="1">
      <w:start w:val="1"/>
      <w:numFmt w:val="bullet"/>
      <w:lvlText w:val=""/>
      <w:lvlJc w:val="left"/>
      <w:pPr>
        <w:ind w:left="4752" w:hanging="360"/>
      </w:pPr>
      <w:rPr>
        <w:rFonts w:ascii="Wingdings" w:hAnsi="Wingdings" w:hint="default"/>
      </w:rPr>
    </w:lvl>
    <w:lvl w:ilvl="6" w:tplc="280A0001" w:tentative="1">
      <w:start w:val="1"/>
      <w:numFmt w:val="bullet"/>
      <w:lvlText w:val=""/>
      <w:lvlJc w:val="left"/>
      <w:pPr>
        <w:ind w:left="5472" w:hanging="360"/>
      </w:pPr>
      <w:rPr>
        <w:rFonts w:ascii="Symbol" w:hAnsi="Symbol" w:hint="default"/>
      </w:rPr>
    </w:lvl>
    <w:lvl w:ilvl="7" w:tplc="280A0003" w:tentative="1">
      <w:start w:val="1"/>
      <w:numFmt w:val="bullet"/>
      <w:lvlText w:val="o"/>
      <w:lvlJc w:val="left"/>
      <w:pPr>
        <w:ind w:left="6192" w:hanging="360"/>
      </w:pPr>
      <w:rPr>
        <w:rFonts w:ascii="Courier New" w:hAnsi="Courier New" w:cs="Courier New" w:hint="default"/>
      </w:rPr>
    </w:lvl>
    <w:lvl w:ilvl="8" w:tplc="280A0005" w:tentative="1">
      <w:start w:val="1"/>
      <w:numFmt w:val="bullet"/>
      <w:lvlText w:val=""/>
      <w:lvlJc w:val="left"/>
      <w:pPr>
        <w:ind w:left="6912"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5"/>
  </w:num>
  <w:num w:numId="7">
    <w:abstractNumId w:val="8"/>
  </w:num>
  <w:num w:numId="8">
    <w:abstractNumId w:val="7"/>
  </w:num>
  <w:num w:numId="9">
    <w:abstractNumId w:val="6"/>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I2NjGzMDUzMDAyMTdS0lEKTi0uzszPAykwrAUAIZiiAiwAAAA="/>
  </w:docVars>
  <w:rsids>
    <w:rsidRoot w:val="007F30C2"/>
    <w:rsid w:val="00043DAC"/>
    <w:rsid w:val="0004509B"/>
    <w:rsid w:val="00094962"/>
    <w:rsid w:val="000E3003"/>
    <w:rsid w:val="001004DA"/>
    <w:rsid w:val="00177055"/>
    <w:rsid w:val="002275F5"/>
    <w:rsid w:val="002578D0"/>
    <w:rsid w:val="002E2EAA"/>
    <w:rsid w:val="00313F9A"/>
    <w:rsid w:val="00345A78"/>
    <w:rsid w:val="003A7519"/>
    <w:rsid w:val="003D3F1B"/>
    <w:rsid w:val="003F533D"/>
    <w:rsid w:val="00443E97"/>
    <w:rsid w:val="0049570C"/>
    <w:rsid w:val="004E7CAF"/>
    <w:rsid w:val="00575601"/>
    <w:rsid w:val="00576394"/>
    <w:rsid w:val="005E416D"/>
    <w:rsid w:val="005E57CB"/>
    <w:rsid w:val="006528B8"/>
    <w:rsid w:val="0068117D"/>
    <w:rsid w:val="007234F4"/>
    <w:rsid w:val="007521A7"/>
    <w:rsid w:val="007F30C2"/>
    <w:rsid w:val="00807538"/>
    <w:rsid w:val="00813EE1"/>
    <w:rsid w:val="00850B73"/>
    <w:rsid w:val="00883601"/>
    <w:rsid w:val="008C2525"/>
    <w:rsid w:val="008F5DC6"/>
    <w:rsid w:val="009152BF"/>
    <w:rsid w:val="00915937"/>
    <w:rsid w:val="00933E28"/>
    <w:rsid w:val="00953810"/>
    <w:rsid w:val="0096665D"/>
    <w:rsid w:val="009F2818"/>
    <w:rsid w:val="009F772B"/>
    <w:rsid w:val="00A912CE"/>
    <w:rsid w:val="00B04D4C"/>
    <w:rsid w:val="00B74081"/>
    <w:rsid w:val="00B91B79"/>
    <w:rsid w:val="00B94567"/>
    <w:rsid w:val="00C1187A"/>
    <w:rsid w:val="00CB4FB2"/>
    <w:rsid w:val="00CC09D0"/>
    <w:rsid w:val="00DA0E11"/>
    <w:rsid w:val="00DD6CF2"/>
    <w:rsid w:val="00ED1932"/>
    <w:rsid w:val="00FB5682"/>
  </w:rsids>
  <m:mathPr>
    <m:mathFont m:val="Cambria Math"/>
    <m:brkBin m:val="before"/>
    <m:brkBinSub m:val="--"/>
    <m:smallFrac/>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5FB56BF-BE57-4A13-B639-E35EFF7D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s-MX"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s-ES_tradnl"/>
    </w:rPr>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000FF" w:themeColor="hyperlink"/>
      <w:u w:val="single"/>
    </w:rPr>
  </w:style>
  <w:style w:type="paragraph" w:styleId="ListParagraph">
    <w:name w:val="List Paragraph"/>
    <w:aliases w:val="Fundamentacion,List Paragraph1,Superíndice,Iz - Párrafo de lista,Sivsa Parrafo,Titulo de Fígura,Lista 123,Bulleted List,Lista vistosa - Énfasis 11,Cita Pie de Página,titulo,Number List 1,Cuadro 2-1,Párrafo de lista2,Viñeta normal"/>
    <w:basedOn w:val="Normal"/>
    <w:link w:val="ListParagraphChar"/>
    <w:uiPriority w:val="34"/>
    <w:qFormat/>
    <w:pPr>
      <w:ind w:left="720"/>
      <w:contextualSpacing/>
    </w:pPr>
  </w:style>
  <w:style w:type="paragraph" w:styleId="FootnoteText">
    <w:name w:val="footnote text"/>
    <w:aliases w:val="NOTA AL PIE TESIS PUCP,Texto nota pie Car Car Car Car Car Car,Texto nota pie Car Car Car Car Car,Texto nota pie Car Car Car Car,Texto nota pie Car Car Car Car Car Car Car Car,Texto nota pie Car Car Car Car Car Ca,FA Fu,Footnote reference"/>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NOTA AL PIE TESIS PUCP Char,Texto nota pie Car Car Car Car Car Car Char,Texto nota pie Car Car Car Car Car Char,Texto nota pie Car Car Car Car Char,Texto nota pie Car Car Car Car Car Car Car Car Char,FA Fu Char,Footnote reference Char"/>
    <w:basedOn w:val="DefaultParagraphFont"/>
    <w:link w:val="FootnoteText"/>
    <w:uiPriority w:val="99"/>
    <w:rPr>
      <w:sz w:val="20"/>
      <w:szCs w:val="20"/>
    </w:rPr>
  </w:style>
  <w:style w:type="character" w:styleId="FootnoteReference">
    <w:name w:val="footnote reference"/>
    <w:aliases w:val="4_G,Ref,de nota al pie,Footnotes refss,Texto de nota al pie,Appel note de bas de page,Footnote number,referencia nota al pie,BVI fnr,f,16 Point,Superscript 6 Point,Texto nota al pie,Footnote Reference Char3"/>
    <w:basedOn w:val="DefaultParagraphFont"/>
    <w:uiPriority w:val="99"/>
    <w:unhideWhenUsed/>
    <w:qFormat/>
    <w:rPr>
      <w:vertAlign w:val="superscript"/>
    </w:rPr>
  </w:style>
  <w:style w:type="paragraph" w:styleId="Header">
    <w:name w:val="header"/>
    <w:basedOn w:val="Normal"/>
    <w:link w:val="HeaderChar"/>
    <w:uiPriority w:val="99"/>
    <w:unhideWhenUsed/>
    <w:pPr>
      <w:tabs>
        <w:tab w:val="center" w:pos="4252"/>
        <w:tab w:val="right" w:pos="8504"/>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252"/>
        <w:tab w:val="right" w:pos="8504"/>
      </w:tabs>
      <w:spacing w:after="0" w:line="240" w:lineRule="auto"/>
    </w:pPr>
  </w:style>
  <w:style w:type="character" w:customStyle="1" w:styleId="FooterChar">
    <w:name w:val="Footer Char"/>
    <w:basedOn w:val="DefaultParagraphFont"/>
    <w:link w:val="Footer"/>
    <w:uiPriority w:val="99"/>
  </w:style>
  <w:style w:type="character" w:customStyle="1" w:styleId="Mencinsinresolver1">
    <w:name w:val="Mención sin resolver1"/>
    <w:basedOn w:val="DefaultParagraphFont"/>
    <w:uiPriority w:val="99"/>
    <w:semiHidden/>
    <w:unhideWhenUsed/>
    <w:rPr>
      <w:color w:val="808080"/>
      <w:shd w:val="clear" w:color="auto" w:fill="E6E6E6"/>
    </w:rPr>
  </w:style>
  <w:style w:type="character" w:customStyle="1" w:styleId="ListParagraphChar">
    <w:name w:val="List Paragraph Char"/>
    <w:aliases w:val="Fundamentacion Char,List Paragraph1 Char,Superíndice Char,Iz - Párrafo de lista Char,Sivsa Parrafo Char,Titulo de Fígura Char,Lista 123 Char,Bulleted List Char,Lista vistosa - Énfasis 11 Char,Cita Pie de Página Char,titulo Char"/>
    <w:link w:val="ListParagraph"/>
    <w:uiPriority w:val="34"/>
  </w:style>
  <w:style w:type="character" w:customStyle="1" w:styleId="no-style-override">
    <w:name w:val="no-style-override"/>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Emphasis">
    <w:name w:val="Emphasis"/>
    <w:basedOn w:val="DefaultParagraphFont"/>
    <w:uiPriority w:val="20"/>
    <w:qFormat/>
    <w:rPr>
      <w:i/>
      <w:iCs/>
    </w:rPr>
  </w:style>
  <w:style w:type="character" w:customStyle="1" w:styleId="Mencinsinresolver2">
    <w:name w:val="Mención sin resolver2"/>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customStyle="1" w:styleId="Default">
    <w:name w:val="Default"/>
    <w:pPr>
      <w:autoSpaceDE w:val="0"/>
      <w:autoSpaceDN w:val="0"/>
      <w:adjustRightInd w:val="0"/>
      <w:spacing w:after="0" w:line="240" w:lineRule="auto"/>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1089">
      <w:bodyDiv w:val="1"/>
      <w:marLeft w:val="0"/>
      <w:marRight w:val="0"/>
      <w:marTop w:val="0"/>
      <w:marBottom w:val="0"/>
      <w:divBdr>
        <w:top w:val="none" w:sz="0" w:space="0" w:color="auto"/>
        <w:left w:val="none" w:sz="0" w:space="0" w:color="auto"/>
        <w:bottom w:val="none" w:sz="0" w:space="0" w:color="auto"/>
        <w:right w:val="none" w:sz="0" w:space="0" w:color="auto"/>
      </w:divBdr>
    </w:div>
    <w:div w:id="426775318">
      <w:bodyDiv w:val="1"/>
      <w:marLeft w:val="0"/>
      <w:marRight w:val="0"/>
      <w:marTop w:val="0"/>
      <w:marBottom w:val="0"/>
      <w:divBdr>
        <w:top w:val="none" w:sz="0" w:space="0" w:color="auto"/>
        <w:left w:val="none" w:sz="0" w:space="0" w:color="auto"/>
        <w:bottom w:val="none" w:sz="0" w:space="0" w:color="auto"/>
        <w:right w:val="none" w:sz="0" w:space="0" w:color="auto"/>
      </w:divBdr>
      <w:divsChild>
        <w:div w:id="1710451951">
          <w:marLeft w:val="0"/>
          <w:marRight w:val="0"/>
          <w:marTop w:val="0"/>
          <w:marBottom w:val="0"/>
          <w:divBdr>
            <w:top w:val="none" w:sz="0" w:space="0" w:color="auto"/>
            <w:left w:val="none" w:sz="0" w:space="0" w:color="auto"/>
            <w:bottom w:val="none" w:sz="0" w:space="0" w:color="auto"/>
            <w:right w:val="none" w:sz="0" w:space="0" w:color="auto"/>
          </w:divBdr>
        </w:div>
        <w:div w:id="1522552094">
          <w:marLeft w:val="0"/>
          <w:marRight w:val="0"/>
          <w:marTop w:val="0"/>
          <w:marBottom w:val="0"/>
          <w:divBdr>
            <w:top w:val="none" w:sz="0" w:space="0" w:color="auto"/>
            <w:left w:val="none" w:sz="0" w:space="0" w:color="auto"/>
            <w:bottom w:val="none" w:sz="0" w:space="0" w:color="auto"/>
            <w:right w:val="none" w:sz="0" w:space="0" w:color="auto"/>
          </w:divBdr>
          <w:divsChild>
            <w:div w:id="915820572">
              <w:marLeft w:val="0"/>
              <w:marRight w:val="0"/>
              <w:marTop w:val="0"/>
              <w:marBottom w:val="0"/>
              <w:divBdr>
                <w:top w:val="none" w:sz="0" w:space="0" w:color="auto"/>
                <w:left w:val="none" w:sz="0" w:space="0" w:color="auto"/>
                <w:bottom w:val="none" w:sz="0" w:space="0" w:color="auto"/>
                <w:right w:val="none" w:sz="0" w:space="0" w:color="auto"/>
              </w:divBdr>
              <w:divsChild>
                <w:div w:id="113109738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223054479">
      <w:bodyDiv w:val="1"/>
      <w:marLeft w:val="0"/>
      <w:marRight w:val="0"/>
      <w:marTop w:val="0"/>
      <w:marBottom w:val="0"/>
      <w:divBdr>
        <w:top w:val="none" w:sz="0" w:space="0" w:color="auto"/>
        <w:left w:val="none" w:sz="0" w:space="0" w:color="auto"/>
        <w:bottom w:val="none" w:sz="0" w:space="0" w:color="auto"/>
        <w:right w:val="none" w:sz="0" w:space="0" w:color="auto"/>
      </w:divBdr>
    </w:div>
    <w:div w:id="1635016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defensoria.gob.pe"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bservatorioviolencia.pe/wp-content/uploads/2021/10/MANUAL-DISCAPACIDAD-con-deposito-legal.pdf" TargetMode="External"/><Relationship Id="rId7" Type="http://schemas.openxmlformats.org/officeDocument/2006/relationships/hyperlink" Target="https://www.gob.pe/institucion/conadis/normas-legales/2601796-d000040-2021-conadis-pre" TargetMode="External"/><Relationship Id="rId2" Type="http://schemas.openxmlformats.org/officeDocument/2006/relationships/hyperlink" Target="https://static.legis.pe/wp-content/uploads/2019/04/Pol%C3%ADtica-nacional-de-igualdad-de-g%C3%A9nero-DS-008-2019-MIMP-Legis.pe_.pdf?fbclid=IwAR0lNeju_UgOBi08T8TQ9pKzXROsKyrRWtMcXwS5VVK84HLt8xrFDzdbSVk" TargetMode="External"/><Relationship Id="rId1" Type="http://schemas.openxmlformats.org/officeDocument/2006/relationships/hyperlink" Target="https://cdn.www.gob.pe/uploads/document/file/2918467/Tercer%20informe%20sobre%20los%20avances%20del%20PNDH%202018-2021.pdf" TargetMode="External"/><Relationship Id="rId6" Type="http://schemas.openxmlformats.org/officeDocument/2006/relationships/hyperlink" Target="http://bvs.minsa.gob.pe/local/MINSA/4191.pdf" TargetMode="External"/><Relationship Id="rId5" Type="http://schemas.openxmlformats.org/officeDocument/2006/relationships/hyperlink" Target="ftp://ftp2.minsa.gob.pe/descargas/02cns/web/memorias/2015/DT%20LINEAMIENTO%20POLITICA%20PROMOCION%20SALUD.pdf" TargetMode="External"/><Relationship Id="rId4" Type="http://schemas.openxmlformats.org/officeDocument/2006/relationships/hyperlink" Target="https://www.defensoria.gob.pe/wp-content/uploads/2021/05/Informe-Especial-005-21-sobre-educacion-universitar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755A1-4588-49D5-AC12-9528E5787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20877</Words>
  <Characters>118999</Characters>
  <Application>Microsoft Office Word</Application>
  <DocSecurity>0</DocSecurity>
  <Lines>991</Lines>
  <Paragraphs>279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Toshiba</Company>
  <LinksUpToDate>false</LinksUpToDate>
  <CharactersWithSpaces>139597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DDHH</dc:creator>
  <cp:keywords>, docId:7EA4590FE8D88BFA6EF3BF4F67AA9B43</cp:keywords>
  <cp:lastModifiedBy>EVIA ALSINA Laia</cp:lastModifiedBy>
  <cp:revision>2</cp:revision>
  <cp:lastPrinted>2023-03-06T13:29:00Z</cp:lastPrinted>
  <dcterms:created xsi:type="dcterms:W3CDTF">2023-03-06T15:17:00Z</dcterms:created>
  <dcterms:modified xsi:type="dcterms:W3CDTF">2023-03-06T15:17:00Z</dcterms:modified>
</cp:coreProperties>
</file>