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05339" w14:textId="77777777" w:rsidR="000160A0" w:rsidRDefault="000160A0">
      <w:pPr>
        <w:pStyle w:val="Heading1"/>
        <w:keepNext w:val="0"/>
        <w:keepLines w:val="0"/>
        <w:spacing w:before="0" w:line="240" w:lineRule="auto"/>
        <w:rPr>
          <w:rFonts w:ascii="Times New Roman" w:eastAsia="Times New Roman" w:hAnsi="Times New Roman" w:cs="Times New Roman"/>
          <w:b/>
          <w:bCs/>
          <w:color w:val="000000"/>
          <w:sz w:val="24"/>
          <w:szCs w:val="24"/>
        </w:rPr>
      </w:pPr>
      <w:bookmarkStart w:id="0" w:name="_uyrhors1afn4" w:colFirst="0" w:colLast="0"/>
      <w:bookmarkEnd w:id="0"/>
    </w:p>
    <w:p w14:paraId="3EC5602A" w14:textId="77777777" w:rsidR="000160A0" w:rsidRDefault="000160A0">
      <w:pPr>
        <w:pStyle w:val="Heading1"/>
        <w:keepNext w:val="0"/>
        <w:keepLines w:val="0"/>
        <w:spacing w:before="0" w:line="240" w:lineRule="auto"/>
        <w:jc w:val="center"/>
        <w:rPr>
          <w:rFonts w:ascii="Times New Roman" w:eastAsia="Times New Roman" w:hAnsi="Times New Roman" w:cs="Times New Roman"/>
          <w:b/>
          <w:bCs/>
          <w:color w:val="000000"/>
          <w:sz w:val="24"/>
          <w:szCs w:val="24"/>
        </w:rPr>
      </w:pPr>
      <w:bookmarkStart w:id="1" w:name="_3ax54jrgl86o" w:colFirst="0" w:colLast="0"/>
      <w:bookmarkEnd w:id="1"/>
    </w:p>
    <w:p w14:paraId="3506F66A" w14:textId="77777777" w:rsidR="000160A0" w:rsidRDefault="00EA6FC7">
      <w:pPr>
        <w:pStyle w:val="Heading1"/>
        <w:keepNext w:val="0"/>
        <w:keepLines w:val="0"/>
        <w:spacing w:before="0" w:line="240" w:lineRule="auto"/>
        <w:jc w:val="center"/>
        <w:rPr>
          <w:rFonts w:ascii="Times New Roman" w:eastAsia="Times New Roman" w:hAnsi="Times New Roman" w:cs="Times New Roman"/>
          <w:b/>
          <w:bCs/>
          <w:color w:val="000000"/>
          <w:sz w:val="24"/>
          <w:szCs w:val="24"/>
        </w:rPr>
      </w:pPr>
      <w:bookmarkStart w:id="2" w:name="_p7b3r5vno1vv" w:colFirst="0" w:colLast="0"/>
      <w:bookmarkEnd w:id="2"/>
      <w:r>
        <w:rPr>
          <w:rFonts w:ascii="Times New Roman" w:eastAsia="Times New Roman" w:hAnsi="Times New Roman" w:cs="Times New Roman"/>
          <w:b/>
          <w:bCs/>
          <w:color w:val="000000"/>
          <w:sz w:val="24"/>
          <w:szCs w:val="24"/>
        </w:rPr>
        <w:t>Adecuación del tipo penal de desaparición forzada en Cuba a la Convención.</w:t>
      </w:r>
    </w:p>
    <w:p w14:paraId="6728097C" w14:textId="77777777" w:rsidR="000160A0" w:rsidRDefault="00EA6FC7">
      <w:pPr>
        <w:pStyle w:val="Heading1"/>
        <w:keepNext w:val="0"/>
        <w:keepLines w:val="0"/>
        <w:spacing w:before="0" w:line="240" w:lineRule="auto"/>
        <w:jc w:val="center"/>
        <w:rPr>
          <w:rFonts w:ascii="Times New Roman" w:eastAsia="Times New Roman" w:hAnsi="Times New Roman" w:cs="Times New Roman"/>
          <w:b/>
          <w:bCs/>
          <w:color w:val="666666"/>
          <w:sz w:val="24"/>
          <w:szCs w:val="24"/>
        </w:rPr>
      </w:pPr>
      <w:bookmarkStart w:id="3" w:name="_etnyt5uc0tsm" w:colFirst="0" w:colLast="0"/>
      <w:bookmarkEnd w:id="3"/>
      <w:r>
        <w:rPr>
          <w:rFonts w:ascii="Times New Roman" w:eastAsia="Times New Roman" w:hAnsi="Times New Roman" w:cs="Times New Roman"/>
          <w:b/>
          <w:bCs/>
          <w:color w:val="666666"/>
          <w:sz w:val="24"/>
          <w:szCs w:val="24"/>
        </w:rPr>
        <w:t>Definición, autonomía, crimen de lesa humanidad, responsabilidad penal, sanción y prescripción.</w:t>
      </w:r>
    </w:p>
    <w:p w14:paraId="0600D71B" w14:textId="77777777" w:rsidR="000160A0" w:rsidRDefault="000160A0">
      <w:pPr>
        <w:pStyle w:val="Heading1"/>
        <w:keepNext w:val="0"/>
        <w:keepLines w:val="0"/>
        <w:spacing w:before="0" w:line="240" w:lineRule="auto"/>
        <w:jc w:val="center"/>
        <w:rPr>
          <w:rFonts w:ascii="Times New Roman" w:eastAsia="Times New Roman" w:hAnsi="Times New Roman" w:cs="Times New Roman"/>
          <w:b/>
          <w:bCs/>
          <w:color w:val="666666"/>
          <w:sz w:val="24"/>
          <w:szCs w:val="24"/>
        </w:rPr>
      </w:pPr>
      <w:bookmarkStart w:id="4" w:name="_5zhdod2unwi5" w:colFirst="0" w:colLast="0"/>
      <w:bookmarkEnd w:id="4"/>
    </w:p>
    <w:p w14:paraId="6948E05A" w14:textId="77777777" w:rsidR="000160A0" w:rsidRDefault="00EA6FC7">
      <w:pPr>
        <w:pStyle w:val="Heading1"/>
        <w:keepNext w:val="0"/>
        <w:keepLines w:val="0"/>
        <w:spacing w:before="0" w:line="240" w:lineRule="auto"/>
        <w:jc w:val="center"/>
        <w:rPr>
          <w:rFonts w:ascii="Times New Roman" w:eastAsia="Times New Roman" w:hAnsi="Times New Roman" w:cs="Times New Roman"/>
          <w:b/>
          <w:bCs/>
          <w:color w:val="000000"/>
          <w:sz w:val="24"/>
          <w:szCs w:val="24"/>
        </w:rPr>
      </w:pPr>
      <w:bookmarkStart w:id="5" w:name="_70knx69g8y7v" w:colFirst="0" w:colLast="0"/>
      <w:bookmarkEnd w:id="5"/>
      <w:r>
        <w:rPr>
          <w:rFonts w:ascii="Times New Roman" w:eastAsia="Times New Roman" w:hAnsi="Times New Roman" w:cs="Times New Roman"/>
          <w:b/>
          <w:bCs/>
          <w:color w:val="000000"/>
          <w:sz w:val="24"/>
          <w:szCs w:val="24"/>
        </w:rPr>
        <w:t>Lista de Temas Prioritarios sobre Cuba</w:t>
      </w:r>
      <w:r>
        <w:rPr>
          <w:rFonts w:ascii="Times New Roman" w:eastAsia="Times New Roman" w:hAnsi="Times New Roman" w:cs="Times New Roman"/>
          <w:b/>
          <w:bCs/>
          <w:color w:val="000000"/>
          <w:sz w:val="24"/>
          <w:szCs w:val="24"/>
        </w:rPr>
        <w:br/>
        <w:t>31.º período de sesiones del Comité contra la Desaparición Forzada</w:t>
      </w:r>
    </w:p>
    <w:p w14:paraId="2BD3C9B8" w14:textId="77777777" w:rsidR="000160A0" w:rsidRDefault="00EA6FC7">
      <w:pPr>
        <w:spacing w:before="240" w:after="240"/>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Presentada en relación con la información complementaria de Cuba bajo el artículo 29(4) de la Convención Internacional para la Protección de Todas las Personas contra las Desapariciones Forzadas</w:t>
      </w:r>
    </w:p>
    <w:p w14:paraId="76EE5655" w14:textId="77777777" w:rsidR="000160A0" w:rsidRDefault="00EA6FC7">
      <w:pPr>
        <w:spacing w:before="240" w:after="24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Junio de 2026</w:t>
      </w:r>
      <w:r>
        <w:br w:type="page"/>
      </w:r>
    </w:p>
    <w:p w14:paraId="3072E774" w14:textId="77777777" w:rsidR="000160A0" w:rsidRDefault="000160A0">
      <w:pPr>
        <w:spacing w:before="240" w:after="240"/>
        <w:jc w:val="center"/>
        <w:rPr>
          <w:rFonts w:ascii="Times New Roman" w:eastAsia="Times New Roman" w:hAnsi="Times New Roman" w:cs="Times New Roman"/>
          <w:b/>
          <w:bCs/>
          <w:sz w:val="24"/>
          <w:szCs w:val="24"/>
        </w:rPr>
      </w:pPr>
    </w:p>
    <w:p w14:paraId="43260842" w14:textId="77777777" w:rsidR="000160A0" w:rsidRDefault="00EA6FC7">
      <w:pPr>
        <w:pStyle w:val="Heading2"/>
        <w:keepNext w:val="0"/>
        <w:keepLines w:val="0"/>
        <w:spacing w:before="360" w:after="80"/>
        <w:jc w:val="both"/>
        <w:rPr>
          <w:rFonts w:ascii="Times New Roman" w:eastAsia="Times New Roman" w:hAnsi="Times New Roman" w:cs="Times New Roman"/>
          <w:b/>
          <w:bCs/>
          <w:color w:val="000000"/>
          <w:sz w:val="24"/>
          <w:szCs w:val="24"/>
        </w:rPr>
      </w:pPr>
      <w:bookmarkStart w:id="6" w:name="_2e3egbrfr7q4" w:colFirst="0" w:colLast="0"/>
      <w:bookmarkEnd w:id="6"/>
      <w:r>
        <w:rPr>
          <w:rFonts w:ascii="Times New Roman" w:eastAsia="Times New Roman" w:hAnsi="Times New Roman" w:cs="Times New Roman"/>
          <w:b/>
          <w:bCs/>
          <w:color w:val="000000"/>
          <w:sz w:val="24"/>
          <w:szCs w:val="24"/>
        </w:rPr>
        <w:t>I. Presentación de las organizaciones firmantes</w:t>
      </w:r>
    </w:p>
    <w:p w14:paraId="2517B1E2" w14:textId="77777777" w:rsidR="000160A0" w:rsidRDefault="00EA6FC7">
      <w:pPr>
        <w:spacing w:before="180" w:after="1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Cubalex es una organización apartidista de derechos humanos fundada en La Habana en 2010 como centro independiente de asesoría jurídica. Tras el allanamiento de su sede en 2016, la confiscación de equipos y expedientes, y el exilio forzado de su equipo en 2017, continuó su labor desde el exterior como entidad sin fines de lucro registrada en Estados Unidos. Con más de quince años de experiencia, brinda ases n</w:t>
      </w:r>
    </w:p>
    <w:p w14:paraId="190FDFC7" w14:textId="77777777" w:rsidR="000160A0" w:rsidRDefault="00EA6FC7">
      <w:pPr>
        <w:spacing w:before="180" w:after="1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Ih www oría legal gratuita, documenta violaciones de derechos humanos y representa casos ante mecanismos internacionales y regionales, incluyendo la CIDH, órganos de tratados y procedimientos especiales de la ONU. Su trabajo se desarrolla especialmente en contextos de represión política, cierre del espacio cívico y discriminación estructural en Cuba, y ha participado en procesos ante CEDAW, CAT, CRC, CERD y en los EPU de Cuba de 2013, 2018, 2023 y 2024.</w:t>
      </w:r>
    </w:p>
    <w:p w14:paraId="1108A35F" w14:textId="77777777" w:rsidR="000160A0" w:rsidRDefault="00EA6FC7">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Mesa de Diálogo de la Juventud Cubana (MDJC) es una plataforma de articulación juvenil que promueve la participación cívica, el debate plural y la construcción de propuestas para una sociedad más inclusiva. Impulsa espacios de diálogo intergeneracional y acciones de incidencia sobre derechos civiles, políticos y sociales que incluye a jóvenes líderes, activistas y artistas urbanos. La MDJC fue creada en el 2014 y ha sido registrada en el </w:t>
      </w:r>
      <w:proofErr w:type="gramStart"/>
      <w:r>
        <w:rPr>
          <w:rFonts w:ascii="Times New Roman" w:eastAsia="Times New Roman" w:hAnsi="Times New Roman" w:cs="Times New Roman"/>
          <w:sz w:val="24"/>
          <w:szCs w:val="24"/>
        </w:rPr>
        <w:t>2023  WWcomo</w:t>
      </w:r>
      <w:proofErr w:type="gramEnd"/>
      <w:r>
        <w:rPr>
          <w:rFonts w:ascii="Times New Roman" w:eastAsia="Times New Roman" w:hAnsi="Times New Roman" w:cs="Times New Roman"/>
          <w:sz w:val="24"/>
          <w:szCs w:val="24"/>
        </w:rPr>
        <w:t xml:space="preserve"> asociación ante la imposibilidad de hacerlo dentro de la isla. Sus informes sobre la juventud han ayudado a medir la situación y el sentir de las juventudes cubanas. Ha participado en procesos ante la CIDH, el EPU, CEDAW, CERD, entre los años 2016 y 2026.</w:t>
      </w:r>
    </w:p>
    <w:p w14:paraId="13703155" w14:textId="77777777" w:rsidR="000160A0" w:rsidRDefault="00EA6FC7">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Museo Virtual de la Memoria contra la Violencia Basada en Género (Museo V) es una iniciativa de la sociedad civil cubana que visibiliza las distintas formas de violencia basada en género que afectan a las mujeres en toda su diversidad. Creada en 2022 para dar espacio a artistas que, por su discurso político, quedaron excluidos del discurso oficial. Es una asociación registrada en España y se ha combinado desde su creación la denuncia, la creación artística y la reivindicación de voces negras y de persona</w:t>
      </w:r>
      <w:r>
        <w:rPr>
          <w:rFonts w:ascii="Times New Roman" w:eastAsia="Times New Roman" w:hAnsi="Times New Roman" w:cs="Times New Roman"/>
          <w:sz w:val="24"/>
          <w:szCs w:val="24"/>
        </w:rPr>
        <w:t xml:space="preserve">s sexodisidentes. Como Museo V ha participado en procesos ante el EPU, la CIDH, la </w:t>
      </w:r>
      <w:proofErr w:type="gramStart"/>
      <w:r>
        <w:rPr>
          <w:rFonts w:ascii="Times New Roman" w:eastAsia="Times New Roman" w:hAnsi="Times New Roman" w:cs="Times New Roman"/>
          <w:sz w:val="24"/>
          <w:szCs w:val="24"/>
        </w:rPr>
        <w:t>CEDAW  y</w:t>
      </w:r>
      <w:proofErr w:type="gramEnd"/>
      <w:r>
        <w:rPr>
          <w:rFonts w:ascii="Times New Roman" w:eastAsia="Times New Roman" w:hAnsi="Times New Roman" w:cs="Times New Roman"/>
          <w:sz w:val="24"/>
          <w:szCs w:val="24"/>
        </w:rPr>
        <w:t xml:space="preserve"> el CERD, entre el 2023 y el 2026.</w:t>
      </w:r>
    </w:p>
    <w:p w14:paraId="522137BC" w14:textId="77777777" w:rsidR="000160A0" w:rsidRDefault="00EA6FC7">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Museo de la Disidencia en Cuba es un proyecto de investigación y memoria que documenta las diversas expresiones históricas y contemporáneas de disidencia en el país. Fundada en 2016 por el artista Luis Manuel Otero Alcántara y la curadora Yanelys Nuñez Leyva, se ha mantenido en la observancia y denuncia constante de la situación de los artistas y activistas políticos dentro de Cuba. </w:t>
      </w:r>
    </w:p>
    <w:p w14:paraId="5F64076E" w14:textId="77777777" w:rsidR="000160A0" w:rsidRDefault="00EA6FC7">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organizaciones firmantes autorizan al Comité contra la Desaparición Forzada a publicar este informe en su página web y a utilizarlo como insumo en el proceso de elaboración de la Lista de Temas Prioritarios relativa a Cuba.</w:t>
      </w:r>
    </w:p>
    <w:p w14:paraId="1B7DE287" w14:textId="77777777" w:rsidR="000160A0" w:rsidRDefault="00EA6FC7">
      <w:pPr>
        <w:spacing w:line="276"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 xml:space="preserve">II. Introducción </w:t>
      </w:r>
    </w:p>
    <w:p w14:paraId="4768072B"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presente contribución se presenta al Comité contra la Desaparición Forzada en el marco del proceso de elaboración de la Lista de Temas Prioritarios relativa a Cuba, conforme al artículo 29, párrafo 4, de la Convención Internacional para la Protección de Todas las Personas contra las Desapariciones Forzadas. Su objetivo es aportar información jurídica específica y verificable para que el Comité identifique cuestiones que deberían ser abordadas de manera prioritaria en el próximo diálogo constructivo con e</w:t>
      </w:r>
      <w:r>
        <w:rPr>
          <w:rFonts w:ascii="Times New Roman" w:eastAsia="Times New Roman" w:hAnsi="Times New Roman" w:cs="Times New Roman"/>
          <w:sz w:val="24"/>
          <w:szCs w:val="24"/>
        </w:rPr>
        <w:t>l Estado cubano.</w:t>
      </w:r>
    </w:p>
    <w:p w14:paraId="7CE7EA50"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 contribución se centra en la adecuación del tipo penal de desaparición forzada previsto en el artículo 367 del Código Penal cubano a las obligaciones derivadas de los artículos 2, 4, 5, 6, 7 y 8 de la Convención. La cuestión es prioritaria porque la tipificación penal solo cumple una función efectiva de prevención, investigación, sanción y reparación cuando define el delito con precisión, preserva su autonomía, cubre todas las formas de responsabilidad penal, excluye defensas incompatibles con la Conve</w:t>
      </w:r>
      <w:r>
        <w:rPr>
          <w:rFonts w:ascii="Times New Roman" w:eastAsia="Times New Roman" w:hAnsi="Times New Roman" w:cs="Times New Roman"/>
          <w:sz w:val="24"/>
          <w:szCs w:val="24"/>
        </w:rPr>
        <w:t>nción, establece sanciones proporcionales y reconoce el carácter continuo de la desaparición forzada.</w:t>
      </w:r>
    </w:p>
    <w:p w14:paraId="6814FC44"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Estado cubano afirma que la Ley No. 151/2022, Código Penal, incorporó la desaparición forzada como delito autónomo en el artículo 367 y que esa regulación se corresponde con los estándares internacionales. También sostiene que desde 1959 no se reportan hechos de desaparición forzada en Cuba, que no existen sentencias condenatorias por este delito ni por hechos relacionados, y que la legislación penal complementa el tipo autónomo con la privación ilegal de libertad y el </w:t>
      </w:r>
      <w:r>
        <w:rPr>
          <w:rFonts w:ascii="Times New Roman" w:eastAsia="Times New Roman" w:hAnsi="Times New Roman" w:cs="Times New Roman"/>
          <w:i/>
          <w:iCs/>
          <w:sz w:val="24"/>
          <w:szCs w:val="24"/>
        </w:rPr>
        <w:t>hábeas corpus</w:t>
      </w:r>
      <w:r>
        <w:rPr>
          <w:rFonts w:ascii="Times New Roman" w:eastAsia="Times New Roman" w:hAnsi="Times New Roman" w:cs="Times New Roman"/>
          <w:sz w:val="24"/>
          <w:szCs w:val="24"/>
        </w:rPr>
        <w:t xml:space="preserve">. En su información complementaria, Cuba informó además que, desde la entrada en vigor del nuevo Código Penal y hasta julio de 2024, la </w:t>
      </w:r>
      <w:proofErr w:type="gramStart"/>
      <w:r>
        <w:rPr>
          <w:rFonts w:ascii="Times New Roman" w:eastAsia="Times New Roman" w:hAnsi="Times New Roman" w:cs="Times New Roman"/>
          <w:sz w:val="24"/>
          <w:szCs w:val="24"/>
        </w:rPr>
        <w:t>Fiscalía General</w:t>
      </w:r>
      <w:proofErr w:type="gramEnd"/>
      <w:r>
        <w:rPr>
          <w:rFonts w:ascii="Times New Roman" w:eastAsia="Times New Roman" w:hAnsi="Times New Roman" w:cs="Times New Roman"/>
          <w:sz w:val="24"/>
          <w:szCs w:val="24"/>
        </w:rPr>
        <w:t xml:space="preserve"> de la República recibió 37.177 quejas, incluidas cuatro en las que los promoventes manifestaron desconocer el lugar de detención o ubicación de personas privadas de libertad tras su traslado a otro establecimiento penitenciario.</w:t>
      </w:r>
    </w:p>
    <w:p w14:paraId="081EAAA0"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 reconoce como avance formal que el Código Penal cubano haya incorporado una figura autónoma de desaparición forzada. Sin embargo, la existencia del artículo 367 no demuestra, por sí sola, el cumplimiento sustantivo de las obligaciones convencionales. La respuesta estatal no acredita que el tipo penal cubra plenamente la definición del artículo 2 de la Convención, preserve la autonomía del delito frente a otras figuras penales, permita sancionar la desaparición forzada generalizada o sistemática como crim</w:t>
      </w:r>
      <w:r>
        <w:rPr>
          <w:rFonts w:ascii="Times New Roman" w:eastAsia="Times New Roman" w:hAnsi="Times New Roman" w:cs="Times New Roman"/>
          <w:sz w:val="24"/>
          <w:szCs w:val="24"/>
        </w:rPr>
        <w:t>en de lesa humanidad, abarque todas las formas de responsabilidad exigidas por el artículo 6, excluya expresamente la obediencia debida, establezca penas acordes con la extrema gravedad del delito ni regule el cómputo de la prescripción desde el cese de la desaparición.</w:t>
      </w:r>
    </w:p>
    <w:p w14:paraId="1B848183"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Los principales vacíos surgen del propio texto del artículo 367. La norma limita el sujeto activo a funcionarios públicos, autoridades o sus agentes; exige abuso de atribuciones o quebrantamiento de formalidades legales; incorpora una intención específica de dejar a la persona fuera del amparo de la ley; y subordina la aplicación de sus sanciones a que los hechos no constituyan un delito de mayor entidad. Estas fórmulas requieren aclaración porque pueden restringir el alcance del tipo penal, elevar indebida</w:t>
      </w:r>
      <w:r>
        <w:rPr>
          <w:rFonts w:ascii="Times New Roman" w:eastAsia="Times New Roman" w:hAnsi="Times New Roman" w:cs="Times New Roman"/>
          <w:sz w:val="24"/>
          <w:szCs w:val="24"/>
        </w:rPr>
        <w:t>mente la carga probatoria y permitir que hechos compatibles con desaparición forzada sean investigados o sancionados bajo figuras comunes, sin recibir el tratamiento jurídico específico exigido por la Convención.</w:t>
      </w:r>
    </w:p>
    <w:p w14:paraId="456939B5"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También requiere atención prioritaria la negativa estatal a reconocer expresamente la desaparición forzada como crimen de lesa humanidad. Cuba reconoce que el artículo 5 de la Convención califica como tal la práctica generalizada o sistemática de la desaparición forzada, pero sostiene que no es necesario incorporarla porque, según el Estado, ese fenómeno no ocurre en el país. Esa posición invierte la lógica preventiva de la Convención. La obligación de tipificar adecuadamente no depende de que el Estado rec</w:t>
      </w:r>
      <w:r>
        <w:rPr>
          <w:rFonts w:ascii="Times New Roman" w:eastAsia="Times New Roman" w:hAnsi="Times New Roman" w:cs="Times New Roman"/>
          <w:sz w:val="24"/>
          <w:szCs w:val="24"/>
        </w:rPr>
        <w:t>onozca la existencia actual de desapariciones forzadas. Además, la invocación de los delitos de genocidio y apartheid no sustituye la tipificación específica de la desaparición forzada como crimen de lesa humanidad, porque esas figuras responden a elementos típicos distintos.</w:t>
      </w:r>
    </w:p>
    <w:p w14:paraId="70D7BAA7"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propia información estatal sobre cuatro quejas vinculadas al desconocimiento del lugar de detención o ubicación de personas privadas de libertad confirma la necesidad de preguntas específicas. Aunque el Estado afirma que esas reclamaciones fueron investigadas y que no se comprobaron violaciones de la legalidad, no informa cuánto tiempo permanecieron las familias sin información, si hubo incomunicación, qué autoridad ordenó los traslados, qué diligencias se practicaron, si las personas detenidas tuvieron </w:t>
      </w:r>
      <w:r>
        <w:rPr>
          <w:rFonts w:ascii="Times New Roman" w:eastAsia="Times New Roman" w:hAnsi="Times New Roman" w:cs="Times New Roman"/>
          <w:sz w:val="24"/>
          <w:szCs w:val="24"/>
        </w:rPr>
        <w:t>acceso a familiares y defensa, si los promoventes recibieron copia de las conclusiones ni qué autoridad independiente revisó la actuación fiscal o penitenciaria. Sin esos datos, no es posible verificar si tales hechos fueron descartados correctamente como desaparición forzada, desaparición forzada de corta duración, riesgo de desaparición forzada o simple irregularidad administrativa.</w:t>
      </w:r>
    </w:p>
    <w:p w14:paraId="1F209A12"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 estas razones, se solicita respetuosamente al Comité que incluya en la Lista de Temas Prioritarios preguntas dirigidas a obtener información normativa, estadística y práctica sobre la aplicación del artículo 367 del Código Penal. En particular, se recomienda solicitar al Estado que precise el alcance del sujeto activo, la autonomía del delito, la tipificación como crimen de lesa humanidad, las formas de responsabilidad penal, la exclusión de la obediencia debida, la proporcionalidad de las sanciones y e</w:t>
      </w:r>
      <w:r>
        <w:rPr>
          <w:rFonts w:ascii="Times New Roman" w:eastAsia="Times New Roman" w:hAnsi="Times New Roman" w:cs="Times New Roman"/>
          <w:sz w:val="24"/>
          <w:szCs w:val="24"/>
        </w:rPr>
        <w:t>l régimen de prescripción aplicable al carácter continuo de la desaparición forzada.</w:t>
      </w:r>
    </w:p>
    <w:p w14:paraId="40C372B1" w14:textId="77777777" w:rsidR="000160A0" w:rsidRDefault="00EA6FC7">
      <w:pPr>
        <w:pStyle w:val="Heading2"/>
        <w:keepNext w:val="0"/>
        <w:keepLines w:val="0"/>
        <w:spacing w:before="360" w:after="80"/>
        <w:jc w:val="both"/>
        <w:rPr>
          <w:rFonts w:ascii="Times New Roman" w:eastAsia="Times New Roman" w:hAnsi="Times New Roman" w:cs="Times New Roman"/>
          <w:b/>
          <w:bCs/>
          <w:color w:val="000000"/>
          <w:sz w:val="24"/>
          <w:szCs w:val="24"/>
        </w:rPr>
      </w:pPr>
      <w:bookmarkStart w:id="7" w:name="_epbfe7r7al3f" w:colFirst="0" w:colLast="0"/>
      <w:bookmarkEnd w:id="7"/>
      <w:r>
        <w:rPr>
          <w:rFonts w:ascii="Times New Roman" w:eastAsia="Times New Roman" w:hAnsi="Times New Roman" w:cs="Times New Roman"/>
          <w:b/>
          <w:bCs/>
          <w:color w:val="000000"/>
          <w:sz w:val="24"/>
          <w:szCs w:val="24"/>
        </w:rPr>
        <w:lastRenderedPageBreak/>
        <w:t>III. Temas prioritarios sugeridos</w:t>
      </w:r>
    </w:p>
    <w:p w14:paraId="2513B516"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 recomienda que el Comité incluya cuatro temas prioritarios en la Lista de Temas relativa a Cuba:</w:t>
      </w:r>
    </w:p>
    <w:p w14:paraId="0016DD18" w14:textId="77777777" w:rsidR="000160A0" w:rsidRDefault="00EA6FC7">
      <w:pPr>
        <w:pStyle w:val="Heading3"/>
        <w:keepNext w:val="0"/>
        <w:keepLines w:val="0"/>
        <w:jc w:val="both"/>
        <w:rPr>
          <w:rFonts w:ascii="Times New Roman" w:eastAsia="Times New Roman" w:hAnsi="Times New Roman" w:cs="Times New Roman"/>
          <w:sz w:val="24"/>
          <w:szCs w:val="24"/>
        </w:rPr>
      </w:pPr>
      <w:bookmarkStart w:id="8" w:name="_t2995hi9wom" w:colFirst="0" w:colLast="0"/>
      <w:bookmarkEnd w:id="8"/>
      <w:r>
        <w:rPr>
          <w:rFonts w:ascii="Times New Roman" w:eastAsia="Times New Roman" w:hAnsi="Times New Roman" w:cs="Times New Roman"/>
          <w:sz w:val="24"/>
          <w:szCs w:val="24"/>
        </w:rPr>
        <w:t>1. Alcance restrictivo del artículo 367 del Código Penal frente a la definición del artículo 2 de la Convención</w:t>
      </w:r>
    </w:p>
    <w:p w14:paraId="082C9BDE"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Comité recomendó a Cuba incorporar la desaparición forzada como delito autónomo conforme al artículo 2 de la Convención y sancionarla con penas apropiadas que reflejen su extrema gravedad. En respuesta, el Estado sostuvo que el artículo 367 del Código Penal tipifica la desaparición forzada como delito autónomo y afirmó que dicha regulación se corresponde con los estándares internacionales.</w:t>
      </w:r>
    </w:p>
    <w:p w14:paraId="32644554"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 reconoce que la incorporación del artículo 367 constituye un avance formal. Sin embargo, su formulación no permite concluir que la definición penal cubana reproduzca plenamente el alcance del artículo 2 de la Convención. Mientras la Convención comprende toda forma de privación de libertad cometida por agentes del Estado o por personas o grupos que actúen con autorización, apoyo o aquiescencia estatal, seguida de la negativa a reconocer dicha privación o del ocultamiento de la suerte o paradero de la pers</w:t>
      </w:r>
      <w:r>
        <w:rPr>
          <w:rFonts w:ascii="Times New Roman" w:eastAsia="Times New Roman" w:hAnsi="Times New Roman" w:cs="Times New Roman"/>
          <w:sz w:val="24"/>
          <w:szCs w:val="24"/>
        </w:rPr>
        <w:t>ona, el artículo 367 formula el sujeto activo en términos más estrechos: “funcionario público, autoridad o sus agentes”. Además, exige abuso de atribuciones o quebrantamiento de formalidades legales, así como una intención específica de dejar a la persona fuera del amparo de la ley.</w:t>
      </w:r>
    </w:p>
    <w:p w14:paraId="4BC4790E"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Estos requisitos adicionales pueden elevar indebidamente la carga probatoria y restringir el alcance del tipo penal. En particular, podrían excluir supuestos en los que la detención comenzó de manera formal o registrada, pero posteriormente derivó en ocultamiento del paradero, incomunicación, traslado no informado o negativa de información a familiares y representantes. Por ello, el Comité debería solicitar al Estado que precise si el artículo 367 cubre esas situaciones y bajo qué criterios fiscales o judic</w:t>
      </w:r>
      <w:r>
        <w:rPr>
          <w:rFonts w:ascii="Times New Roman" w:eastAsia="Times New Roman" w:hAnsi="Times New Roman" w:cs="Times New Roman"/>
          <w:sz w:val="24"/>
          <w:szCs w:val="24"/>
        </w:rPr>
        <w:t>iales se aplica.</w:t>
      </w:r>
    </w:p>
    <w:p w14:paraId="4B64F809"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propio Estado informó que, desde la entrada en vigor del nuevo Código Penal y hasta julio de 2024, la </w:t>
      </w:r>
      <w:proofErr w:type="gramStart"/>
      <w:r>
        <w:rPr>
          <w:rFonts w:ascii="Times New Roman" w:eastAsia="Times New Roman" w:hAnsi="Times New Roman" w:cs="Times New Roman"/>
          <w:sz w:val="24"/>
          <w:szCs w:val="24"/>
        </w:rPr>
        <w:t>Fiscalía General</w:t>
      </w:r>
      <w:proofErr w:type="gramEnd"/>
      <w:r>
        <w:rPr>
          <w:rFonts w:ascii="Times New Roman" w:eastAsia="Times New Roman" w:hAnsi="Times New Roman" w:cs="Times New Roman"/>
          <w:sz w:val="24"/>
          <w:szCs w:val="24"/>
        </w:rPr>
        <w:t xml:space="preserve"> de la República recibió cuatro quejas en las que los promoventes manifestaron desconocer el lugar de detención o ubicación de personas privadas de libertad tras su traslado a otro establecimiento penitenciario. Sin embargo, no explicó cuánto tiempo duró la falta de información, si hubo incomunicación, si los traslados fueron notificados oportunamente, qué diligencias se practicaron, si las personas detenidas tuvieron acceso a familiares y defensa, ni qué </w:t>
      </w:r>
      <w:r>
        <w:rPr>
          <w:rFonts w:ascii="Times New Roman" w:eastAsia="Times New Roman" w:hAnsi="Times New Roman" w:cs="Times New Roman"/>
          <w:sz w:val="24"/>
          <w:szCs w:val="24"/>
        </w:rPr>
        <w:lastRenderedPageBreak/>
        <w:t>criterios se utilizaron para descart</w:t>
      </w:r>
      <w:r>
        <w:rPr>
          <w:rFonts w:ascii="Times New Roman" w:eastAsia="Times New Roman" w:hAnsi="Times New Roman" w:cs="Times New Roman"/>
          <w:sz w:val="24"/>
          <w:szCs w:val="24"/>
        </w:rPr>
        <w:t>ar una posible desaparición forzada, desaparición forzada de corta duración o riesgo de desaparición forzada.</w:t>
      </w:r>
      <w:r>
        <w:rPr>
          <w:rFonts w:ascii="Times New Roman" w:eastAsia="Times New Roman" w:hAnsi="Times New Roman" w:cs="Times New Roman"/>
          <w:sz w:val="24"/>
          <w:szCs w:val="24"/>
          <w:vertAlign w:val="superscript"/>
        </w:rPr>
        <w:footnoteReference w:id="1"/>
      </w:r>
    </w:p>
    <w:p w14:paraId="7B8C44F6"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 tanto, este punto debe integrarse en la Lista de Temas Prioritarios. El diálogo con Cuba debe permitir verificar si el artículo 367 cubre no solo detenciones manifiestamente ilegales desde su inicio, sino también privaciones de libertad inicialmente formalizadas que posteriormente derivan en ocultamiento, negativa de información o ausencia de control legal efectivo.</w:t>
      </w:r>
    </w:p>
    <w:p w14:paraId="4F3E8D73" w14:textId="77777777" w:rsidR="000160A0" w:rsidRDefault="00EA6FC7">
      <w:pPr>
        <w:pStyle w:val="Heading3"/>
        <w:keepNext w:val="0"/>
        <w:keepLines w:val="0"/>
        <w:jc w:val="both"/>
        <w:rPr>
          <w:rFonts w:ascii="Times New Roman" w:eastAsia="Times New Roman" w:hAnsi="Times New Roman" w:cs="Times New Roman"/>
          <w:sz w:val="26"/>
          <w:szCs w:val="26"/>
        </w:rPr>
      </w:pPr>
      <w:bookmarkStart w:id="9" w:name="_o7vwc7estpnb" w:colFirst="0" w:colLast="0"/>
      <w:bookmarkEnd w:id="9"/>
      <w:r>
        <w:rPr>
          <w:rFonts w:ascii="Times New Roman" w:eastAsia="Times New Roman" w:hAnsi="Times New Roman" w:cs="Times New Roman"/>
          <w:sz w:val="26"/>
          <w:szCs w:val="26"/>
        </w:rPr>
        <w:t>2. Autonomía del delito y riesgo de desplazamiento hacia figuras comunes o de “mayor entidad”</w:t>
      </w:r>
    </w:p>
    <w:p w14:paraId="2DC546D3"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Estado sostiene que la desaparición forzada fue incorporada como delito autónomo en el artículo 367 del Código Penal y que la legislación penal la complementa con el delito de privación ilegal de libertad y el </w:t>
      </w:r>
      <w:r>
        <w:rPr>
          <w:rFonts w:ascii="Times New Roman" w:eastAsia="Times New Roman" w:hAnsi="Times New Roman" w:cs="Times New Roman"/>
          <w:i/>
          <w:iCs/>
          <w:sz w:val="24"/>
          <w:szCs w:val="24"/>
        </w:rPr>
        <w:t>hábeas corpus</w:t>
      </w:r>
      <w:r>
        <w:rPr>
          <w:rFonts w:ascii="Times New Roman" w:eastAsia="Times New Roman" w:hAnsi="Times New Roman" w:cs="Times New Roman"/>
          <w:sz w:val="24"/>
          <w:szCs w:val="24"/>
        </w:rPr>
        <w:t>. También afirma que las sanciones previstas para la desaparición forzada se imponen siempre que los hechos no constituyan un delito de mayor entidad.</w:t>
      </w:r>
      <w:r>
        <w:rPr>
          <w:rFonts w:ascii="Times New Roman" w:eastAsia="Times New Roman" w:hAnsi="Times New Roman" w:cs="Times New Roman"/>
          <w:sz w:val="24"/>
          <w:szCs w:val="24"/>
          <w:vertAlign w:val="superscript"/>
        </w:rPr>
        <w:footnoteReference w:id="2"/>
      </w:r>
    </w:p>
    <w:p w14:paraId="043AE286"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existencia de un tipo penal autónomo constituye un avance formal. Sin embargo, la autonomía del artículo 367 queda debilitada por la amplitud y ambigüedad de su cláusula final, según la cual las sanciones por desaparición forzada solo se aplican cuando los hechos no constituyan un “delito de mayor entidad”. El Código Penal no define esa expresión ni establece que, cuando concurran delitos con marcos sancionadores más altos —como asesinato—, la desaparición forzada deba conservarse como calificación autón</w:t>
      </w:r>
      <w:r>
        <w:rPr>
          <w:rFonts w:ascii="Times New Roman" w:eastAsia="Times New Roman" w:hAnsi="Times New Roman" w:cs="Times New Roman"/>
          <w:sz w:val="24"/>
          <w:szCs w:val="24"/>
        </w:rPr>
        <w:t>oma o concurrente. Esta ambigüedad puede desplazar el análisis penal hacia el resultado más visible —por ejemplo, la muerte— y dejar sin investigación elementos específicos de la desaparición forzada, como el ocultamiento estatal, la negativa de información, el carácter continuado del delito y la responsabilidad de superiores jerárquicos.</w:t>
      </w:r>
    </w:p>
    <w:p w14:paraId="6210E84C"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este sentido, requiere aclaración la afirmación estatal de que la privación ilegal de libertad complementa la desaparición forzada. Aunque puede concurrir con algunos hechos de privación de libertad, esta figura protege principalmente la libertad ambulatoria y no incorpora todos los elementos específicos de la desaparición forzada: negativa de reconocimiento de la detención, ocultamiento de la suerte o paradero, sustracción a la protección de la ley y continuidad del delito </w:t>
      </w:r>
      <w:r>
        <w:rPr>
          <w:rFonts w:ascii="Times New Roman" w:eastAsia="Times New Roman" w:hAnsi="Times New Roman" w:cs="Times New Roman"/>
          <w:sz w:val="24"/>
          <w:szCs w:val="24"/>
        </w:rPr>
        <w:lastRenderedPageBreak/>
        <w:t>mientras persista la falta de información. Por tanto, si hechos compatibles con desaparición forzada son registrados o investigados únicamente como privación ilegal de libertad, se pierde la naturaleza específica de la violación y se reduce su gravedad internacional.</w:t>
      </w:r>
    </w:p>
    <w:p w14:paraId="3DAC9F99"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También requiere aclaración la afirmación estatal de que la privación ilegal de libertad “garantiza” la desaparición forzada mediante el </w:t>
      </w:r>
      <w:r>
        <w:rPr>
          <w:rFonts w:ascii="Times New Roman" w:eastAsia="Times New Roman" w:hAnsi="Times New Roman" w:cs="Times New Roman"/>
          <w:i/>
          <w:iCs/>
          <w:sz w:val="24"/>
          <w:szCs w:val="24"/>
        </w:rPr>
        <w:t>hábeas corpu</w:t>
      </w:r>
      <w:r>
        <w:rPr>
          <w:rFonts w:ascii="Times New Roman" w:eastAsia="Times New Roman" w:hAnsi="Times New Roman" w:cs="Times New Roman"/>
          <w:sz w:val="24"/>
          <w:szCs w:val="24"/>
        </w:rPr>
        <w:t>s. En Cuba, el</w:t>
      </w:r>
      <w:r>
        <w:rPr>
          <w:rFonts w:ascii="Times New Roman" w:eastAsia="Times New Roman" w:hAnsi="Times New Roman" w:cs="Times New Roman"/>
          <w:i/>
          <w:iCs/>
          <w:sz w:val="24"/>
          <w:szCs w:val="24"/>
        </w:rPr>
        <w:t xml:space="preserve"> habeas corpus</w:t>
      </w:r>
      <w:r>
        <w:rPr>
          <w:rFonts w:ascii="Times New Roman" w:eastAsia="Times New Roman" w:hAnsi="Times New Roman" w:cs="Times New Roman"/>
          <w:sz w:val="24"/>
          <w:szCs w:val="24"/>
        </w:rPr>
        <w:t xml:space="preserve"> está diseñado para controlar la legalidad de una privación de libertad, no como un mecanismo específico de búsqueda, prevención e investigación de desapariciones forzadas. La ley no incorpora obligaciones expresas de verificación inmediata de registros, inspección de centros de detención, investigación de la negativa de información, protección de denunciantes o preservación de pruebas sobre ocultamiento estatal.</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Por ello, su existencia formal no demuestra que sea un recurso efectivo frente a desapariciones forzadas, especialmente si los tribunales rechazan solicitudes por falta de datos que las propias autoridades ocultan, resuelven sin presentar físicamente a la persona detenida o se basan solo en informes de la autoridad denunciada.</w:t>
      </w:r>
      <w:r>
        <w:rPr>
          <w:rFonts w:ascii="Times New Roman" w:eastAsia="Times New Roman" w:hAnsi="Times New Roman" w:cs="Times New Roman"/>
          <w:sz w:val="24"/>
          <w:szCs w:val="24"/>
          <w:vertAlign w:val="superscript"/>
        </w:rPr>
        <w:footnoteReference w:id="4"/>
      </w:r>
    </w:p>
    <w:p w14:paraId="22739151"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Este punto debe incluirse en la Lista de Temas Prioritarios porque la autonomía del artículo 367 no se verifica solo por su existencia formal. El diálogo con Cuba debe permitir determinar qué garantías normativas, fiscales y judiciales existen para impedir que hechos compatibles con desaparición forzada sean absorbidos por delitos comunes sin conservar la calificación autónoma exigida por la Convención.</w:t>
      </w:r>
    </w:p>
    <w:p w14:paraId="469A9702" w14:textId="77777777" w:rsidR="000160A0" w:rsidRDefault="00EA6FC7">
      <w:pPr>
        <w:pStyle w:val="Heading3"/>
        <w:keepNext w:val="0"/>
        <w:keepLines w:val="0"/>
        <w:jc w:val="both"/>
        <w:rPr>
          <w:rFonts w:ascii="Times New Roman" w:eastAsia="Times New Roman" w:hAnsi="Times New Roman" w:cs="Times New Roman"/>
          <w:sz w:val="24"/>
          <w:szCs w:val="24"/>
        </w:rPr>
      </w:pPr>
      <w:bookmarkStart w:id="10" w:name="_yilsb42w2d8q" w:colFirst="0" w:colLast="0"/>
      <w:bookmarkEnd w:id="10"/>
      <w:r>
        <w:rPr>
          <w:rFonts w:ascii="Times New Roman" w:eastAsia="Times New Roman" w:hAnsi="Times New Roman" w:cs="Times New Roman"/>
          <w:sz w:val="24"/>
          <w:szCs w:val="24"/>
        </w:rPr>
        <w:lastRenderedPageBreak/>
        <w:t>3. Falta de reconocimiento expreso de la desaparición forzada como crimen de lesa humanidad</w:t>
      </w:r>
    </w:p>
    <w:p w14:paraId="33A0059D"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Comité recomendó a Cuba tipificar la desaparición forzada como crimen de lesa humanidad cuando se practique de manera generalizada o sistemática, conforme al artículo 5 de la Convención. En su información complementaria, el Estado reconoce que dicho artículo califica la desaparición forzada generalizada o sistemática como crimen de lesa humanidad. Sin embargo, sostiene que el Código Penal cubano no la menciona como tal porque, según afirma, la desaparición forzada “no es un fenómeno que ocurra en Cuba, n</w:t>
      </w:r>
      <w:r>
        <w:rPr>
          <w:rFonts w:ascii="Times New Roman" w:eastAsia="Times New Roman" w:hAnsi="Times New Roman" w:cs="Times New Roman"/>
          <w:sz w:val="24"/>
          <w:szCs w:val="24"/>
        </w:rPr>
        <w:t>i siquiera de manera aislada”, por lo que no sería necesario reconocerla expresamente.</w:t>
      </w:r>
      <w:r>
        <w:rPr>
          <w:rFonts w:ascii="Times New Roman" w:eastAsia="Times New Roman" w:hAnsi="Times New Roman" w:cs="Times New Roman"/>
          <w:sz w:val="24"/>
          <w:szCs w:val="24"/>
          <w:vertAlign w:val="superscript"/>
        </w:rPr>
        <w:footnoteReference w:id="5"/>
      </w:r>
    </w:p>
    <w:p w14:paraId="1D04225E"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respuesta estatal contiene una contradicción jurídica relevante. Cuba reconoce el estándar convencional, pero condiciona su incorporación legislativa a una afirmación fáctica sobre la inexistencia actual de desapariciones forzadas. Esa lógica es incompatible con la función preventiva de la Convención. La obligación de tipificar adecuadamente la desaparición forzada como crimen de lesa humanidad no depende de que el Estado reconozca su comisión en el presente, sino de asegurar que, si se produce de forma </w:t>
      </w:r>
      <w:r>
        <w:rPr>
          <w:rFonts w:ascii="Times New Roman" w:eastAsia="Times New Roman" w:hAnsi="Times New Roman" w:cs="Times New Roman"/>
          <w:sz w:val="24"/>
          <w:szCs w:val="24"/>
        </w:rPr>
        <w:t>generalizada o sistemática, pueda ser investigada y sancionada conforme a su gravedad internacional.</w:t>
      </w:r>
    </w:p>
    <w:p w14:paraId="42A72AD1"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Tampoco resulta suficiente la invocación estatal de los delitos de genocidio y apartheid como figuras que podrían cubrir ciertos actos de desaparición forzada contra grupos de personas. Esas figuras responden a elementos típicos distintos.</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El genocidio exige la intención de destruir total o parcialmente a un grupo nacional, étnico, religioso o definido por color de piel; el apartheid exige un régimen institucionalizado de dominación racial. Ninguna de esas figuras cubre necesariamente desapariciones forzadas generalizadas o sistemáticas cometidas contra población civil por motivos políticos, protesta social, defensa de derechos humanos, periodismo independiente, activismo cívico u otras formas de disidencia.</w:t>
      </w:r>
      <w:r>
        <w:rPr>
          <w:rFonts w:ascii="Times New Roman" w:eastAsia="Times New Roman" w:hAnsi="Times New Roman" w:cs="Times New Roman"/>
          <w:sz w:val="24"/>
          <w:szCs w:val="24"/>
          <w:vertAlign w:val="superscript"/>
        </w:rPr>
        <w:footnoteReference w:id="7"/>
      </w:r>
    </w:p>
    <w:p w14:paraId="22227662"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Este tema debe incluirse en la Lista de Temas Prioritarios porque la ausencia de una tipificación expresa impide verificar qué consecuencias jurídicas atribuye el derecho interno cubano a una </w:t>
      </w:r>
      <w:r>
        <w:rPr>
          <w:rFonts w:ascii="Times New Roman" w:eastAsia="Times New Roman" w:hAnsi="Times New Roman" w:cs="Times New Roman"/>
          <w:sz w:val="24"/>
          <w:szCs w:val="24"/>
        </w:rPr>
        <w:lastRenderedPageBreak/>
        <w:t xml:space="preserve">desaparición forzada generalizada o sistemática. El diálogo con Cuba debe aclarar si esa conducta puede ser investigada como crimen de lesa humanidad, qué marco sancionador se aplicaría, si </w:t>
      </w:r>
      <w:proofErr w:type="gramStart"/>
      <w:r>
        <w:rPr>
          <w:rFonts w:ascii="Times New Roman" w:eastAsia="Times New Roman" w:hAnsi="Times New Roman" w:cs="Times New Roman"/>
          <w:sz w:val="24"/>
          <w:szCs w:val="24"/>
        </w:rPr>
        <w:t>sería</w:t>
      </w:r>
      <w:proofErr w:type="gramEnd"/>
      <w:r>
        <w:rPr>
          <w:rFonts w:ascii="Times New Roman" w:eastAsia="Times New Roman" w:hAnsi="Times New Roman" w:cs="Times New Roman"/>
          <w:sz w:val="24"/>
          <w:szCs w:val="24"/>
        </w:rPr>
        <w:t xml:space="preserve"> imprescriptible, cómo se determinaría la responsabilidad de superiores jerárquicos y qué medidas legislativas prevé el Estado para cumplir la recomendación del Comité.</w:t>
      </w:r>
    </w:p>
    <w:p w14:paraId="1F245B01" w14:textId="77777777" w:rsidR="000160A0" w:rsidRDefault="00EA6FC7">
      <w:pPr>
        <w:pStyle w:val="Heading3"/>
        <w:keepNext w:val="0"/>
        <w:keepLines w:val="0"/>
        <w:jc w:val="both"/>
        <w:rPr>
          <w:rFonts w:ascii="Times New Roman" w:eastAsia="Times New Roman" w:hAnsi="Times New Roman" w:cs="Times New Roman"/>
          <w:sz w:val="26"/>
          <w:szCs w:val="26"/>
        </w:rPr>
      </w:pPr>
      <w:bookmarkStart w:id="11" w:name="_o10qy8yto04h" w:colFirst="0" w:colLast="0"/>
      <w:bookmarkEnd w:id="11"/>
      <w:r>
        <w:rPr>
          <w:rFonts w:ascii="Times New Roman" w:eastAsia="Times New Roman" w:hAnsi="Times New Roman" w:cs="Times New Roman"/>
          <w:sz w:val="24"/>
          <w:szCs w:val="24"/>
        </w:rPr>
        <w:t>4. Ambigüedad en las formas de responsabilidad penal, proporcionalidad de las sanciones y prescripción</w:t>
      </w:r>
    </w:p>
    <w:p w14:paraId="50C40131" w14:textId="77777777" w:rsidR="000160A0" w:rsidRDefault="00EA6FC7">
      <w:pPr>
        <w:pStyle w:val="Heading3"/>
        <w:keepNext w:val="0"/>
        <w:keepLines w:val="0"/>
        <w:jc w:val="both"/>
        <w:rPr>
          <w:rFonts w:ascii="Times New Roman" w:eastAsia="Times New Roman" w:hAnsi="Times New Roman" w:cs="Times New Roman"/>
          <w:sz w:val="24"/>
          <w:szCs w:val="24"/>
        </w:rPr>
      </w:pPr>
      <w:bookmarkStart w:id="12" w:name="_xh58g2wbj19l" w:colFirst="0" w:colLast="0"/>
      <w:bookmarkEnd w:id="12"/>
      <w:r>
        <w:rPr>
          <w:rFonts w:ascii="Times New Roman" w:eastAsia="Times New Roman" w:hAnsi="Times New Roman" w:cs="Times New Roman"/>
          <w:sz w:val="24"/>
          <w:szCs w:val="24"/>
        </w:rPr>
        <w:t>4.1. Ambigüedad en las formas de responsabilidad penal</w:t>
      </w:r>
    </w:p>
    <w:p w14:paraId="0A6E87C0"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Estado sostiene que el Código Penal establece un régimen general de responsabilidad penal aplicable a todos los delitos, incluida la desaparición forzada. Afirma que la responsabilidad es exigible a autores, partícipes y cómplices, cualquiera que sea la categoría de autoridad o nivel jerárquico; </w:t>
      </w:r>
      <w:proofErr w:type="gramStart"/>
      <w:r>
        <w:rPr>
          <w:rFonts w:ascii="Times New Roman" w:eastAsia="Times New Roman" w:hAnsi="Times New Roman" w:cs="Times New Roman"/>
          <w:sz w:val="24"/>
          <w:szCs w:val="24"/>
        </w:rPr>
        <w:t>que</w:t>
      </w:r>
      <w:proofErr w:type="gramEnd"/>
      <w:r>
        <w:rPr>
          <w:rFonts w:ascii="Times New Roman" w:eastAsia="Times New Roman" w:hAnsi="Times New Roman" w:cs="Times New Roman"/>
          <w:sz w:val="24"/>
          <w:szCs w:val="24"/>
        </w:rPr>
        <w:t xml:space="preserve"> en los delitos contra la humanidad, la dignidad humana, la salud colectiva o previstos en tratados vigentes que así lo establezcan todos los responsables penalmente son autores; y que los artículos 13 y 14 regulan la consumación, la tentativa y los actos preparatorios cuando así lo establezca la Parte Especial.</w:t>
      </w:r>
      <w:r>
        <w:rPr>
          <w:rFonts w:ascii="Times New Roman" w:eastAsia="Times New Roman" w:hAnsi="Times New Roman" w:cs="Times New Roman"/>
          <w:sz w:val="24"/>
          <w:szCs w:val="24"/>
          <w:vertAlign w:val="superscript"/>
        </w:rPr>
        <w:footnoteReference w:id="8"/>
      </w:r>
    </w:p>
    <w:p w14:paraId="4D5A8726"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Esa respuesta no demuestra el cumplimiento del artículo 6 de la Convención. Dicho artículo exige sancionar no solo a quien ejecuta directamente una desaparición forzada, sino también a quien la ordena, solicita, induce, intenta cometer, participa o actúa como cómplice. El Estado invoca reglas generales del Código Penal cubano, pero no explica cómo esas disposiciones se aplican específicamente al delito de desaparición forzada previsto en el artículo 367. En particular, no precisa si el artículo 21 del Códig</w:t>
      </w:r>
      <w:r>
        <w:rPr>
          <w:rFonts w:ascii="Times New Roman" w:eastAsia="Times New Roman" w:hAnsi="Times New Roman" w:cs="Times New Roman"/>
          <w:sz w:val="24"/>
          <w:szCs w:val="24"/>
        </w:rPr>
        <w:t>o Penal —que equipara como autores a todos los responsables en determinados delitos internacionales o previstos en tratados— se aplica directamente al artículo 367, ni cómo los artículos que cita cubren, de forma clara y completa, la orden, la solicitud, la inducción, la complicidad, la participación y la tentativa en este delito.</w:t>
      </w:r>
    </w:p>
    <w:p w14:paraId="24FF91B3"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omisión más relevante se refiere a los actos preparatorios. El Código Penal cubano solo sanciona esos actos cuando la Parte Especial lo establece expresamente; sin embargo, el artículo 367 no contiene una previsión específica sobre actos preparatorios de desaparición forzada. Esta ausencia puede dejar sin respuesta penal conductas previas esenciales para su comisión, como la planificación del operativo, la coordinación entre agentes, la preparación de traslados no registrados, el ocultamiento o alteració</w:t>
      </w:r>
      <w:r>
        <w:rPr>
          <w:rFonts w:ascii="Times New Roman" w:eastAsia="Times New Roman" w:hAnsi="Times New Roman" w:cs="Times New Roman"/>
          <w:sz w:val="24"/>
          <w:szCs w:val="24"/>
        </w:rPr>
        <w:t xml:space="preserve">n de registros de detención, o los acuerdos previos para </w:t>
      </w:r>
      <w:r>
        <w:rPr>
          <w:rFonts w:ascii="Times New Roman" w:eastAsia="Times New Roman" w:hAnsi="Times New Roman" w:cs="Times New Roman"/>
          <w:sz w:val="24"/>
          <w:szCs w:val="24"/>
        </w:rPr>
        <w:lastRenderedPageBreak/>
        <w:t>negar información sobre el paradero de la persona, cuando esas conductas aún no alcanzan el umbral de tentativa.</w:t>
      </w:r>
      <w:r>
        <w:rPr>
          <w:rFonts w:ascii="Times New Roman" w:eastAsia="Times New Roman" w:hAnsi="Times New Roman" w:cs="Times New Roman"/>
          <w:sz w:val="24"/>
          <w:szCs w:val="24"/>
          <w:vertAlign w:val="superscript"/>
        </w:rPr>
        <w:footnoteReference w:id="9"/>
      </w:r>
    </w:p>
    <w:p w14:paraId="7B855225"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respuesta estatal también deja un vacío relevante sobre la obediencia debida. Cuba reconoce que “no existe legislación que trate lo concerniente a la invocación de cumplimiento de orden superior en cuanto a las desapariciones forzadas”, aunque afirma que la práctica judicial no acepta esa justificación.</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Esta respuesta es insuficiente. El artículo 6.2 de la Convención exige una regla expresa: ninguna orden o instrucción de una </w:t>
      </w:r>
      <w:proofErr w:type="gramStart"/>
      <w:r>
        <w:rPr>
          <w:rFonts w:ascii="Times New Roman" w:eastAsia="Times New Roman" w:hAnsi="Times New Roman" w:cs="Times New Roman"/>
          <w:sz w:val="24"/>
          <w:szCs w:val="24"/>
        </w:rPr>
        <w:t>autoridad pública</w:t>
      </w:r>
      <w:proofErr w:type="gramEnd"/>
      <w:r>
        <w:rPr>
          <w:rFonts w:ascii="Times New Roman" w:eastAsia="Times New Roman" w:hAnsi="Times New Roman" w:cs="Times New Roman"/>
          <w:sz w:val="24"/>
          <w:szCs w:val="24"/>
        </w:rPr>
        <w:t>, civil, militar o de cualquier otra naturaleza puede invocarse para justificar una desaparición forzada. En un delito que puede ejecutarse mediante estructuras jerárquicas —policiales, militares, penitenciarias o de seguridad del Estado—, la ausencia de una prohibición legal específica deja margen a interpretaciones discrecionales y debilita la obligación de prevenc</w:t>
      </w:r>
      <w:r>
        <w:rPr>
          <w:rFonts w:ascii="Times New Roman" w:eastAsia="Times New Roman" w:hAnsi="Times New Roman" w:cs="Times New Roman"/>
          <w:sz w:val="24"/>
          <w:szCs w:val="24"/>
        </w:rPr>
        <w:t>ión, porque no ofrece una regla clara para superiores, subordinados, fiscales y tribunales.</w:t>
      </w:r>
    </w:p>
    <w:p w14:paraId="44AD58A4" w14:textId="77777777" w:rsidR="000160A0" w:rsidRDefault="00EA6FC7">
      <w:pPr>
        <w:pStyle w:val="Heading3"/>
        <w:keepNext w:val="0"/>
        <w:keepLines w:val="0"/>
        <w:jc w:val="both"/>
        <w:rPr>
          <w:rFonts w:ascii="Times New Roman" w:eastAsia="Times New Roman" w:hAnsi="Times New Roman" w:cs="Times New Roman"/>
          <w:sz w:val="24"/>
          <w:szCs w:val="24"/>
        </w:rPr>
      </w:pPr>
      <w:bookmarkStart w:id="13" w:name="_4ux3v5w5vqgv" w:colFirst="0" w:colLast="0"/>
      <w:bookmarkEnd w:id="13"/>
      <w:r>
        <w:rPr>
          <w:rFonts w:ascii="Times New Roman" w:eastAsia="Times New Roman" w:hAnsi="Times New Roman" w:cs="Times New Roman"/>
          <w:sz w:val="24"/>
          <w:szCs w:val="24"/>
        </w:rPr>
        <w:t>4.2. Proporcionalidad de las sanciones</w:t>
      </w:r>
    </w:p>
    <w:p w14:paraId="492E6784"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materia de sanción, el Estado califica como “severas” las penas previstas en el artículo 367. Sin embargo, la pena base para la desaparición forzada es de cuatro a diez años de privación de libertad; la modalidad agravada es de cinco a doce años; y, si la víctima muere como consecuencia del acto, la pena máxima es de quince años. Este marco sancionador requiere justificación específica. Por un lado, resulta cercano al previsto para figuras comunes contra la libertad, como la privación ilegal de libertad </w:t>
      </w:r>
      <w:r>
        <w:rPr>
          <w:rFonts w:ascii="Times New Roman" w:eastAsia="Times New Roman" w:hAnsi="Times New Roman" w:cs="Times New Roman"/>
          <w:sz w:val="24"/>
          <w:szCs w:val="24"/>
        </w:rPr>
        <w:t>y el secuestro, aunque la desaparición forzada es un delito estatal, internacional, pluriofensivo y continuado. Por otro lado, el marco sancionador del artículo 367 contrasta con figuras penales de seguridad del Estado o de alta gravedad punitiva que Cubalex ha documentado en contextos de criminalización de la protesta social, la disidencia política, el periodismo independiente y otros ejercicios de derechos fundamentales. Por ejemplo, la sedición puede sancionarse con penas de diez a treinta años de privac</w:t>
      </w:r>
      <w:r>
        <w:rPr>
          <w:rFonts w:ascii="Times New Roman" w:eastAsia="Times New Roman" w:hAnsi="Times New Roman" w:cs="Times New Roman"/>
          <w:sz w:val="24"/>
          <w:szCs w:val="24"/>
        </w:rPr>
        <w:t xml:space="preserve">ión de libertad, privación perpetua o muerte en sus modalidades más graves; el espionaje puede alcanzar igualmente penas de diez a treinta años, privación perpetua o muerte; y varias modalidades de terrorismo prevén sanciones de diez a treinta años, privación perpetua o muerte. Esta diferencia exige que el Estado explique cómo </w:t>
      </w:r>
      <w:r>
        <w:rPr>
          <w:rFonts w:ascii="Times New Roman" w:eastAsia="Times New Roman" w:hAnsi="Times New Roman" w:cs="Times New Roman"/>
          <w:sz w:val="24"/>
          <w:szCs w:val="24"/>
        </w:rPr>
        <w:lastRenderedPageBreak/>
        <w:t>una pena máxima de quince años, incluso cuando la desaparición forzada provoca la muerte de la víctima, refleja la extrema gravedad del delito.</w:t>
      </w:r>
    </w:p>
    <w:p w14:paraId="144607ED" w14:textId="77777777" w:rsidR="000160A0" w:rsidRDefault="00EA6FC7">
      <w:pPr>
        <w:pStyle w:val="Heading3"/>
        <w:keepNext w:val="0"/>
        <w:keepLines w:val="0"/>
        <w:jc w:val="both"/>
        <w:rPr>
          <w:rFonts w:ascii="Times New Roman" w:eastAsia="Times New Roman" w:hAnsi="Times New Roman" w:cs="Times New Roman"/>
          <w:sz w:val="24"/>
          <w:szCs w:val="24"/>
        </w:rPr>
      </w:pPr>
      <w:bookmarkStart w:id="14" w:name="_cy82iawv68eh" w:colFirst="0" w:colLast="0"/>
      <w:bookmarkEnd w:id="14"/>
      <w:r>
        <w:rPr>
          <w:rFonts w:ascii="Times New Roman" w:eastAsia="Times New Roman" w:hAnsi="Times New Roman" w:cs="Times New Roman"/>
          <w:sz w:val="24"/>
          <w:szCs w:val="24"/>
        </w:rPr>
        <w:t>4.3. Prescripción</w:t>
      </w:r>
    </w:p>
    <w:p w14:paraId="5DAAC1D3"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materia de prescripción, la respuesta estatal no demuestra el cumplimiento del artículo 8.1.b de la Convención. El artículo 96.1 del Código Penal cubano establece que la acción penal prescribe a partir de la comisión del hecho punible. Esa regla general es insuficiente para la desaparición forzada si no va acompañada de una norma que reconozca expresamente su carácter continuo. Conforme a la Convención, cuando exista un plazo de prescripción, este debe comenzar a contarse desde el cese de la desaparición</w:t>
      </w:r>
      <w:r>
        <w:rPr>
          <w:rFonts w:ascii="Times New Roman" w:eastAsia="Times New Roman" w:hAnsi="Times New Roman" w:cs="Times New Roman"/>
          <w:sz w:val="24"/>
          <w:szCs w:val="24"/>
        </w:rPr>
        <w:t>. La respuesta estatal no identifica una disposición interna que establezca que la “comisión” del delito de desaparición forzada se mantiene mientras persistan el ocultamiento, la negativa de información o la falta de esclarecimiento del paradero.</w:t>
      </w:r>
    </w:p>
    <w:p w14:paraId="7ADA945D"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referencia a los artículos 96.5 y 97.5 del Código Penal tampoco resuelve el vacío. Esas normas excluyen la prescripción de la acción penal y de la sanción para los delitos de lesa humanidad, los delitos sancionados con muerte o privación perpetua de libertad, y los casos en que así lo prevean tratados internacionales vigentes para Cuba. Sin embargo, el Estado no explica cómo opera esa regla respecto del artículo 367. La desaparición forzada tipificada en ese artículo no prevé pena de muerte ni privación </w:t>
      </w:r>
      <w:r>
        <w:rPr>
          <w:rFonts w:ascii="Times New Roman" w:eastAsia="Times New Roman" w:hAnsi="Times New Roman" w:cs="Times New Roman"/>
          <w:sz w:val="24"/>
          <w:szCs w:val="24"/>
        </w:rPr>
        <w:t>perpetua de libertad, por lo que no entra en la imprescriptibilidad por la vía del marco sancionador. Tampoco queda resuelto el supuesto de lesa humanidad, porque —como se señaló antes— Cuba no reconoce expresamente la desaparición forzada como crimen de lesa humanidad.</w:t>
      </w:r>
    </w:p>
    <w:p w14:paraId="2E7AB663"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 el Estado sostiene que la desaparición forzada del artículo 367 es imprescriptible por aplicación de los tratados internacionales, debe explicar cómo opera esa regla en el derecho interno cubano. El artículo 8 de la Constitución integra los tratados al ordenamiento nacional, pero establece que la Constitución prima sobre ellos. A su vez, el artículo 51 constitucional solo prohíbe la desaparición forzada; no reconoce su imprescriptibilidad ni su carácter continuo. Por tanto, el Comité debería pedir a Cuba</w:t>
      </w:r>
      <w:r>
        <w:rPr>
          <w:rFonts w:ascii="Times New Roman" w:eastAsia="Times New Roman" w:hAnsi="Times New Roman" w:cs="Times New Roman"/>
          <w:sz w:val="24"/>
          <w:szCs w:val="24"/>
        </w:rPr>
        <w:t xml:space="preserve"> que precise si toda desaparición forzada del artículo 367 es imprescriptible y, si admite algún supuesto prescriptible, qué norma ordena contar el plazo desde el cese de la desaparición y no desde la privación inicial de libertad.</w:t>
      </w:r>
    </w:p>
    <w:p w14:paraId="34B3BE85" w14:textId="77777777" w:rsidR="000160A0" w:rsidRDefault="00EA6FC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Este tema debe incluirse en la Lista de Temas Prioritarios porque la respuesta estatal no permite verificar tres condiciones esenciales para la eficacia del tipo penal de desaparición forzada: que todas las formas de responsabilidad previstas en la Convención sean sancionables en el derecho interno; que las penas del artículo 367 reflejen la extrema gravedad del delito; y que la prescripción no opere mientras persistan el ocultamiento, la negativa de información o la falta de </w:t>
      </w:r>
      <w:r>
        <w:rPr>
          <w:rFonts w:ascii="Times New Roman" w:eastAsia="Times New Roman" w:hAnsi="Times New Roman" w:cs="Times New Roman"/>
          <w:sz w:val="24"/>
          <w:szCs w:val="24"/>
        </w:rPr>
        <w:lastRenderedPageBreak/>
        <w:t>esclarecimiento del paradero de la víctima. Sin estas precisiones, la existencia formal del delito no garantiza investigación, sanción ni prevención efectivas.</w:t>
      </w:r>
    </w:p>
    <w:p w14:paraId="6EA0C3E3" w14:textId="77777777" w:rsidR="000160A0" w:rsidRDefault="00EA6FC7">
      <w:pPr>
        <w:pStyle w:val="Heading1"/>
        <w:numPr>
          <w:ilvl w:val="0"/>
          <w:numId w:val="3"/>
        </w:numPr>
        <w:spacing w:before="36" w:after="36" w:line="240" w:lineRule="auto"/>
        <w:jc w:val="both"/>
        <w:rPr>
          <w:rFonts w:ascii="Times New Roman" w:eastAsia="Times New Roman" w:hAnsi="Times New Roman" w:cs="Times New Roman"/>
          <w:b/>
          <w:bCs/>
          <w:color w:val="000000"/>
          <w:sz w:val="24"/>
          <w:szCs w:val="24"/>
        </w:rPr>
      </w:pPr>
      <w:bookmarkStart w:id="15" w:name="_dr3ze8p7aqz3" w:colFirst="0" w:colLast="0"/>
      <w:bookmarkEnd w:id="15"/>
      <w:r>
        <w:rPr>
          <w:rFonts w:ascii="Times New Roman" w:eastAsia="Times New Roman" w:hAnsi="Times New Roman" w:cs="Times New Roman"/>
          <w:b/>
          <w:bCs/>
          <w:color w:val="000000"/>
          <w:sz w:val="24"/>
          <w:szCs w:val="24"/>
        </w:rPr>
        <w:t>Preguntas sugeridas al Estado parte</w:t>
      </w:r>
    </w:p>
    <w:p w14:paraId="2887D7EC" w14:textId="77777777" w:rsidR="000160A0" w:rsidRDefault="00EA6FC7">
      <w:pPr>
        <w:pStyle w:val="Heading3"/>
        <w:keepNext w:val="0"/>
        <w:keepLines w:val="0"/>
        <w:jc w:val="both"/>
        <w:rPr>
          <w:rFonts w:ascii="Times New Roman" w:eastAsia="Times New Roman" w:hAnsi="Times New Roman" w:cs="Times New Roman"/>
          <w:sz w:val="24"/>
          <w:szCs w:val="24"/>
        </w:rPr>
      </w:pPr>
      <w:bookmarkStart w:id="16" w:name="_azinum27pyx0" w:colFirst="0" w:colLast="0"/>
      <w:bookmarkEnd w:id="16"/>
      <w:r>
        <w:rPr>
          <w:rFonts w:ascii="Times New Roman" w:eastAsia="Times New Roman" w:hAnsi="Times New Roman" w:cs="Times New Roman"/>
          <w:sz w:val="24"/>
          <w:szCs w:val="24"/>
        </w:rPr>
        <w:t>1. Sobre la definición del artículo 367 del Código Penal y su compatibilidad con el artículo 2 de la Convención</w:t>
      </w:r>
    </w:p>
    <w:p w14:paraId="7E734755" w14:textId="77777777" w:rsidR="000160A0" w:rsidRDefault="00EA6FC7">
      <w:pPr>
        <w:numPr>
          <w:ilvl w:val="0"/>
          <w:numId w:val="1"/>
        </w:numPr>
        <w:spacing w:before="240"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Sírvase precisar si, para dar por probado el delito de desaparición forzada conforme al artículo 367 del Código Penal, la Fiscalía debe acreditar, además de la privación de libertad y la negativa a reconocer la detención o a informar sobre el paradero: a) abuso de atribuciones o quebrantamiento de formalidades legales; y b) intención específica de dejar a la persona fuera del amparo de la ley. En caso afirmativo, sírvase explicar cómo esos requisitos adicionales se compatibilizan con el artículo 2 de la Con</w:t>
      </w:r>
      <w:r>
        <w:rPr>
          <w:rFonts w:ascii="Times New Roman" w:eastAsia="Times New Roman" w:hAnsi="Times New Roman" w:cs="Times New Roman"/>
          <w:sz w:val="24"/>
          <w:szCs w:val="24"/>
        </w:rPr>
        <w:t>vención y si su falta de prueba impide calificar como desaparición forzada una privación de libertad ejecutada por agentes estatales o personas vinculadas al Estado, seguida de negativa de información, ocultamiento del paradero, incomunicación o ausencia de registro verificable del lugar de custodia.</w:t>
      </w:r>
    </w:p>
    <w:p w14:paraId="2784767A" w14:textId="77777777" w:rsidR="000160A0" w:rsidRDefault="00EA6FC7">
      <w:pPr>
        <w:numPr>
          <w:ilvl w:val="0"/>
          <w:numId w:val="1"/>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Sírvase informar, desglosado por año entre 2017 y 2026 y por jurisdicción ordinaria y militar, cuántas denuncias, quejas, solicitudes de hábeas corpus, investigaciones fiscales o procesos penales se han presentado en casos en los que una privación de libertad inicialmente formal, registrada o reconocida derivó posteriormente en: a) negativa de información sobre el paradero; b) incomunicación con familiares o defensa; c) traslado penitenciario o policial no informado; d) ausencia de registro verificable del </w:t>
      </w:r>
      <w:r>
        <w:rPr>
          <w:rFonts w:ascii="Times New Roman" w:eastAsia="Times New Roman" w:hAnsi="Times New Roman" w:cs="Times New Roman"/>
          <w:sz w:val="24"/>
          <w:szCs w:val="24"/>
        </w:rPr>
        <w:t>lugar exacto de custodia; o e) imposibilidad temporal de ubicar a la persona privada de libertad. Respecto de esos casos, sírvase precisar: i) cuántos fueron examinados bajo el artículo 367 del Código Penal; ii) cuántos fueron calificados como privación ilegal de libertad, abuso de autoridad u otra figura distinta; iii) cuántos correspondieron a solicitudes de hábeas corpus, cuántas fueron admitidas, cuántas declaradas con lugar, cuántas rechazadas o declaradas sin lugar, y en cuántas se ordenó la presentac</w:t>
      </w:r>
      <w:r>
        <w:rPr>
          <w:rFonts w:ascii="Times New Roman" w:eastAsia="Times New Roman" w:hAnsi="Times New Roman" w:cs="Times New Roman"/>
          <w:sz w:val="24"/>
          <w:szCs w:val="24"/>
        </w:rPr>
        <w:t>ión física de la persona detenida; iv) qué respuesta dieron los tribunales cuando se alegó desaparición forzada, incomunicación, traslado no informado o desconocimiento del paradero; v) cuántos casos motivaron sanciones penales, disciplinarias o administrativas; y vi) qué criterios jurídicos utiliza la Fiscalía y los tribunales para distinguir una irregularidad en la comunicación o registro de custodia de una desaparición forzada, incluida la de corta duración, conforme al artículo 2 de la Convención.</w:t>
      </w:r>
    </w:p>
    <w:p w14:paraId="1FC1DDB2" w14:textId="77777777" w:rsidR="000160A0" w:rsidRDefault="00EA6FC7">
      <w:pPr>
        <w:numPr>
          <w:ilvl w:val="0"/>
          <w:numId w:val="1"/>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Sírvase explicar cómo interpretan la Fiscalía, los tribunales y los órganos de instrucción penal la expresión “sus agentes” contenida en el artículo 367 del Código Penal. Asimismo, </w:t>
      </w:r>
      <w:r>
        <w:rPr>
          <w:rFonts w:ascii="Times New Roman" w:eastAsia="Times New Roman" w:hAnsi="Times New Roman" w:cs="Times New Roman"/>
          <w:sz w:val="24"/>
          <w:szCs w:val="24"/>
        </w:rPr>
        <w:lastRenderedPageBreak/>
        <w:t xml:space="preserve">indique cuántas denuncias, investigaciones o procesos penales desde la entrada en vigor del Código Penal de 2022 han evaluado la posible responsabilidad de personas no formalmente investidas de </w:t>
      </w:r>
      <w:proofErr w:type="gramStart"/>
      <w:r>
        <w:rPr>
          <w:rFonts w:ascii="Times New Roman" w:eastAsia="Times New Roman" w:hAnsi="Times New Roman" w:cs="Times New Roman"/>
          <w:sz w:val="24"/>
          <w:szCs w:val="24"/>
        </w:rPr>
        <w:t>autoridad pública</w:t>
      </w:r>
      <w:proofErr w:type="gramEnd"/>
      <w:r>
        <w:rPr>
          <w:rFonts w:ascii="Times New Roman" w:eastAsia="Times New Roman" w:hAnsi="Times New Roman" w:cs="Times New Roman"/>
          <w:sz w:val="24"/>
          <w:szCs w:val="24"/>
        </w:rPr>
        <w:t xml:space="preserve"> por hechos compatibles con desaparición forzada, y qué calificación jurídica recibieron.</w:t>
      </w:r>
    </w:p>
    <w:p w14:paraId="6B62B20E" w14:textId="77777777" w:rsidR="000160A0" w:rsidRDefault="00EA6FC7">
      <w:pPr>
        <w:numPr>
          <w:ilvl w:val="0"/>
          <w:numId w:val="1"/>
        </w:num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Sírvase indicar si existen protocolos, instrucciones fiscales, directrices judiciales, manuales de actuación, formularios de registro o programas de capacitación obligatoria dirigidos a fiscales, jueces, instructores penales, policías, militares y funcionarios penitenciarios para identificar hechos compatibles con desaparición forzada conforme al artículo 2 de la Convención y al artículo 367 del Código Penal. En caso afirmativo, sírvase remitir o describir dichos instrumentos, identificar la autoridad que l</w:t>
      </w:r>
      <w:r>
        <w:rPr>
          <w:rFonts w:ascii="Times New Roman" w:eastAsia="Times New Roman" w:hAnsi="Times New Roman" w:cs="Times New Roman"/>
          <w:sz w:val="24"/>
          <w:szCs w:val="24"/>
        </w:rPr>
        <w:t xml:space="preserve">os aprobó y precisar los criterios utilizados para descartar la calificación de desaparición forzada. Asimismo, respecto de las cuatro quejas mencionadas por el Estado en las que los promoventes manifestaron desconocer el lugar de detención o ubicación de personas privadas de libertad tras su traslado, sírvase indicar qué protocolo, directriz o criterio fue aplicado para descartar la desaparición forzada, qué autoridad realizó la investigación, qué diligencias se practicaron y si los promoventes recibieron </w:t>
      </w:r>
      <w:r>
        <w:rPr>
          <w:rFonts w:ascii="Times New Roman" w:eastAsia="Times New Roman" w:hAnsi="Times New Roman" w:cs="Times New Roman"/>
          <w:sz w:val="24"/>
          <w:szCs w:val="24"/>
        </w:rPr>
        <w:t xml:space="preserve">una respuesta escrita con los fundamentos de la </w:t>
      </w:r>
      <w:proofErr w:type="gramStart"/>
      <w:r>
        <w:rPr>
          <w:rFonts w:ascii="Times New Roman" w:eastAsia="Times New Roman" w:hAnsi="Times New Roman" w:cs="Times New Roman"/>
          <w:sz w:val="24"/>
          <w:szCs w:val="24"/>
        </w:rPr>
        <w:t>decisión..</w:t>
      </w:r>
      <w:proofErr w:type="gramEnd"/>
    </w:p>
    <w:p w14:paraId="4455AC5C" w14:textId="77777777" w:rsidR="000160A0" w:rsidRDefault="00EA6FC7">
      <w:pPr>
        <w:pStyle w:val="Heading3"/>
        <w:keepNext w:val="0"/>
        <w:keepLines w:val="0"/>
        <w:jc w:val="both"/>
        <w:rPr>
          <w:rFonts w:ascii="Times New Roman" w:eastAsia="Times New Roman" w:hAnsi="Times New Roman" w:cs="Times New Roman"/>
          <w:sz w:val="24"/>
          <w:szCs w:val="24"/>
        </w:rPr>
      </w:pPr>
      <w:bookmarkStart w:id="17" w:name="_rnir4mn366so" w:colFirst="0" w:colLast="0"/>
      <w:bookmarkEnd w:id="17"/>
      <w:r>
        <w:rPr>
          <w:rFonts w:ascii="Times New Roman" w:eastAsia="Times New Roman" w:hAnsi="Times New Roman" w:cs="Times New Roman"/>
          <w:sz w:val="24"/>
          <w:szCs w:val="24"/>
        </w:rPr>
        <w:t>2. Sobre autonomía del delito, cláusula de subsidiariedad y desaparición forzada como crimen de lesa humanidad</w:t>
      </w:r>
    </w:p>
    <w:p w14:paraId="25C22735" w14:textId="77777777" w:rsidR="000160A0" w:rsidRDefault="00EA6FC7">
      <w:pPr>
        <w:numPr>
          <w:ilvl w:val="0"/>
          <w:numId w:val="2"/>
        </w:numPr>
        <w:spacing w:before="240"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Sírvase explicar qué debe entenderse por “delito de mayor entidad” en el artículo 367 del Código Penal e identificar la norma que regula y unifica el criterio para la interpretación y aplicación de esa cláusula. Además, indique si la desaparición forzada puede concurrir con otros delitos, cuando los mismos hechos también configuren asesinato, tortura, abuso de autoridad, privación ilegal de libertad u otras figuras penales. Asimismo, sírvase informar, desde la entrada en vigor del Código Penal de 2022, cuán</w:t>
      </w:r>
      <w:r>
        <w:rPr>
          <w:rFonts w:ascii="Times New Roman" w:eastAsia="Times New Roman" w:hAnsi="Times New Roman" w:cs="Times New Roman"/>
          <w:sz w:val="24"/>
          <w:szCs w:val="24"/>
        </w:rPr>
        <w:t xml:space="preserve">tas denuncias, investigaciones preliminares y expedientes fiscales por hechos compatibles con desaparición forzada fueron recalificados en aplicación de la cláusula de “delito de mayor entidad”, qué delito fue finalmente utilizado y cuáles fueron los criterios jurídicos aplicados para excluir la calificación del artículo 367. </w:t>
      </w:r>
    </w:p>
    <w:p w14:paraId="2466D14E" w14:textId="77777777" w:rsidR="000160A0" w:rsidRDefault="00EA6FC7">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Sírvase indicar cuántos hechos inicialmente denunciados o examinados como posible desaparición forzada fueron finalmente archivados, sobreseídos o calificados bajo otras figuras penales.</w:t>
      </w:r>
    </w:p>
    <w:p w14:paraId="177867E4" w14:textId="77777777" w:rsidR="000160A0" w:rsidRDefault="00EA6FC7">
      <w:pPr>
        <w:numPr>
          <w:ilvl w:val="0"/>
          <w:numId w:val="2"/>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Sírvase explicar qué metodología utiliza el Estado para identificar conductas compatibles con desaparición forzada, y en </w:t>
      </w:r>
      <w:proofErr w:type="gramStart"/>
      <w:r>
        <w:rPr>
          <w:rFonts w:ascii="Times New Roman" w:eastAsia="Times New Roman" w:hAnsi="Times New Roman" w:cs="Times New Roman"/>
          <w:sz w:val="24"/>
          <w:szCs w:val="24"/>
        </w:rPr>
        <w:t>especial,  las</w:t>
      </w:r>
      <w:proofErr w:type="gramEnd"/>
      <w:r>
        <w:rPr>
          <w:rFonts w:ascii="Times New Roman" w:eastAsia="Times New Roman" w:hAnsi="Times New Roman" w:cs="Times New Roman"/>
          <w:sz w:val="24"/>
          <w:szCs w:val="24"/>
        </w:rPr>
        <w:t xml:space="preserve"> desapariciones forzadas de corta duración. </w:t>
      </w:r>
    </w:p>
    <w:p w14:paraId="01366568" w14:textId="77777777" w:rsidR="000160A0" w:rsidRDefault="00EA6FC7">
      <w:pPr>
        <w:numPr>
          <w:ilvl w:val="0"/>
          <w:numId w:val="2"/>
        </w:num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Sírvase indicar qué norma penal interna permite investigar, acusar y sancionar como crimen de lesa humanidad una práctica generalizada o sistemática de desaparición forzada, conforme al artículo 5 de la Convención, cuando los hechos no reúnen los elementos típicos </w:t>
      </w:r>
      <w:r>
        <w:rPr>
          <w:rFonts w:ascii="Times New Roman" w:eastAsia="Times New Roman" w:hAnsi="Times New Roman" w:cs="Times New Roman"/>
          <w:sz w:val="24"/>
          <w:szCs w:val="24"/>
        </w:rPr>
        <w:lastRenderedPageBreak/>
        <w:t xml:space="preserve">de genocidio o apartheid. Asimismo, sírvase explicar cómo cumple el Estado su obligación de prevención frente a la práctica generalizada o sistemática de desaparición forzada, conforme al artículo 5 de la Convención, si la decisión de no reconocerla expresamente como crimen de lesa humanidad en el Código Penal se fundamenta en la afirmación de que no ocurre en Cuba ni siquiera de manera aislada. </w:t>
      </w:r>
    </w:p>
    <w:p w14:paraId="1EDCF683" w14:textId="77777777" w:rsidR="000160A0" w:rsidRDefault="00EA6FC7">
      <w:pPr>
        <w:pStyle w:val="Heading3"/>
        <w:keepNext w:val="0"/>
        <w:keepLines w:val="0"/>
        <w:jc w:val="both"/>
        <w:rPr>
          <w:rFonts w:ascii="Times New Roman" w:eastAsia="Times New Roman" w:hAnsi="Times New Roman" w:cs="Times New Roman"/>
          <w:sz w:val="24"/>
          <w:szCs w:val="24"/>
        </w:rPr>
      </w:pPr>
      <w:bookmarkStart w:id="18" w:name="_2g3i1wtc2xu2" w:colFirst="0" w:colLast="0"/>
      <w:bookmarkEnd w:id="18"/>
      <w:r>
        <w:rPr>
          <w:rFonts w:ascii="Times New Roman" w:eastAsia="Times New Roman" w:hAnsi="Times New Roman" w:cs="Times New Roman"/>
          <w:sz w:val="24"/>
          <w:szCs w:val="24"/>
        </w:rPr>
        <w:t>3. Sobre responsabilidad penal, órdenes superiores y obediencia debida</w:t>
      </w:r>
    </w:p>
    <w:p w14:paraId="1DE9CE1E" w14:textId="77777777" w:rsidR="000160A0" w:rsidRDefault="00EA6FC7">
      <w:pPr>
        <w:numPr>
          <w:ilvl w:val="0"/>
          <w:numId w:val="5"/>
        </w:numPr>
        <w:spacing w:before="240"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Estado ha invocado las reglas generales del Código Penal sobre autoría y participación, incluido el artículo 21, según el cual, en determinados delitos especialmente graves o previstos en tratados vigentes, todos los responsables penalmente son considerados autores, cualquiera que sea su forma de intervención. Sírvase precisar si, en una investigación por desaparición forzada prevista en el artículo 367, serían acusadas como autoras de desaparición forzada las personas que: a) ordenen la privación de lib</w:t>
      </w:r>
      <w:r>
        <w:rPr>
          <w:rFonts w:ascii="Times New Roman" w:eastAsia="Times New Roman" w:hAnsi="Times New Roman" w:cs="Times New Roman"/>
          <w:sz w:val="24"/>
          <w:szCs w:val="24"/>
        </w:rPr>
        <w:t>ertad; b) coordinen o faciliten el ocultamiento del paradero; c) nieguen información a familiares, abogados o autoridades competentes; o d) participen en la ejecución de la desaparición sin realizar directamente la detención. En caso de que alguna de esas conductas no sea acusada como autoría de desaparición forzada, sírvase indicar bajo qué figura penal sería investigada y qué pena correspondería.</w:t>
      </w:r>
    </w:p>
    <w:p w14:paraId="2D9521AA" w14:textId="77777777" w:rsidR="000160A0" w:rsidRDefault="00EA6FC7">
      <w:pPr>
        <w:numPr>
          <w:ilvl w:val="0"/>
          <w:numId w:val="5"/>
        </w:num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Código Penal cubano prevé expresamente la punibilidad de actos preparatorios respecto de un grupo limitado de delitos, incluidos delitos contra la seguridad del Estado, terrorismo, desórdenes en establecimientos penitenciarios o centros de detención, delitos relativos a drogas ilícitas, falsificación de moneda y documentos, y robo con fuerza en las cosas. Sin embargo, el artículo 367, relativo a la desaparición forzada, no contiene una previsión equivalente. Sírvase explicar qué criterios de política cri</w:t>
      </w:r>
      <w:r>
        <w:rPr>
          <w:rFonts w:ascii="Times New Roman" w:eastAsia="Times New Roman" w:hAnsi="Times New Roman" w:cs="Times New Roman"/>
          <w:sz w:val="24"/>
          <w:szCs w:val="24"/>
        </w:rPr>
        <w:t>minal justifican que el Código Penal anticipe la punibilidad a la fase preparatoria en esos delitos, pero no respecto de la desaparición forzada, pese a su carácter de delito internacional y su extrema gravedad. Asimismo, indique si conductas previas dirigidas a facilitar una desaparición forzada —como la planificación, coordinación entre agentes, preparación de traslados no registrados, alteración u ocultamiento de registros de custodia, acuerdos previos para negar información sobre el paradero o preparaci</w:t>
      </w:r>
      <w:r>
        <w:rPr>
          <w:rFonts w:ascii="Times New Roman" w:eastAsia="Times New Roman" w:hAnsi="Times New Roman" w:cs="Times New Roman"/>
          <w:sz w:val="24"/>
          <w:szCs w:val="24"/>
        </w:rPr>
        <w:t xml:space="preserve">ón de lugares de detención no registrados— pueden ser sancionadas antes del inicio de la privación de libertad o de la negativa de información y cuál sería el fundamento legal. </w:t>
      </w:r>
    </w:p>
    <w:p w14:paraId="4D3940E6" w14:textId="77777777" w:rsidR="000160A0" w:rsidRDefault="00EA6FC7">
      <w:pPr>
        <w:pStyle w:val="Heading3"/>
        <w:keepNext w:val="0"/>
        <w:keepLines w:val="0"/>
        <w:jc w:val="both"/>
        <w:rPr>
          <w:rFonts w:ascii="Times New Roman" w:eastAsia="Times New Roman" w:hAnsi="Times New Roman" w:cs="Times New Roman"/>
          <w:sz w:val="24"/>
          <w:szCs w:val="24"/>
        </w:rPr>
      </w:pPr>
      <w:bookmarkStart w:id="19" w:name="_o6ah6ou7p3br" w:colFirst="0" w:colLast="0"/>
      <w:bookmarkEnd w:id="19"/>
      <w:r>
        <w:rPr>
          <w:rFonts w:ascii="Times New Roman" w:eastAsia="Times New Roman" w:hAnsi="Times New Roman" w:cs="Times New Roman"/>
          <w:sz w:val="24"/>
          <w:szCs w:val="24"/>
        </w:rPr>
        <w:t>4. Sobre proporcionalidad de las penas, aplicación práctica y prescripción</w:t>
      </w:r>
    </w:p>
    <w:p w14:paraId="287B9A59" w14:textId="77777777" w:rsidR="000160A0" w:rsidRDefault="00EA6FC7">
      <w:pPr>
        <w:numPr>
          <w:ilvl w:val="0"/>
          <w:numId w:val="4"/>
        </w:numPr>
        <w:spacing w:before="240"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Sírvase explicar qué criterios legislativos, estudios técnicos, debates parlamentarios o documentos preparatorios justifican que el artículo 367 del Código Penal sancione la </w:t>
      </w:r>
      <w:r>
        <w:rPr>
          <w:rFonts w:ascii="Times New Roman" w:eastAsia="Times New Roman" w:hAnsi="Times New Roman" w:cs="Times New Roman"/>
          <w:sz w:val="24"/>
          <w:szCs w:val="24"/>
        </w:rPr>
        <w:lastRenderedPageBreak/>
        <w:t>desaparición forzada con una pena base de cuatro a diez años de privación de libertad, una modalidad agravada de cinco a doce años y una pena máxima de quince años cuando como consecuencia del hecho muere la víctima. En particular, sírvase explicar cómo esas penas reflejan la extrema gravedad de la desaparición forzada conforme al artículo 7 de la Convención, teniendo en cuenta su carácter pluriofensivo y continuado que afecta simultáneamente la libertad, integridad, personalidad jurídica, vida familiar, ac</w:t>
      </w:r>
      <w:r>
        <w:rPr>
          <w:rFonts w:ascii="Times New Roman" w:eastAsia="Times New Roman" w:hAnsi="Times New Roman" w:cs="Times New Roman"/>
          <w:sz w:val="24"/>
          <w:szCs w:val="24"/>
        </w:rPr>
        <w:t>ceso a la justicia y derecho a la verdad.</w:t>
      </w:r>
    </w:p>
    <w:p w14:paraId="28DD21F3" w14:textId="77777777" w:rsidR="000160A0" w:rsidRDefault="00EA6FC7">
      <w:pPr>
        <w:numPr>
          <w:ilvl w:val="0"/>
          <w:numId w:val="4"/>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Sírvase indicar si el delito de desaparición forzada previsto en el artículo 367 del Código Penal es imprescriptible en todos los casos o si está sujeto a plazo de prescripción. En caso de sostener que es imprescriptible, sírvase precisar cuál es el fundamento jurídico concreto de esa imprescriptibilidad: a) su calificación como crimen de lesa humanidad; b) la pena prevista para el delito; o c) la referencia de los artículos 96.5 y 97.5 del Código Penal a “otros delitos previstos en tratados internacionales</w:t>
      </w:r>
      <w:r>
        <w:rPr>
          <w:rFonts w:ascii="Times New Roman" w:eastAsia="Times New Roman" w:hAnsi="Times New Roman" w:cs="Times New Roman"/>
          <w:sz w:val="24"/>
          <w:szCs w:val="24"/>
        </w:rPr>
        <w:t xml:space="preserve"> vigentes”. En caso de que el artículo 367 esté sujeto a plazo de prescripción en algún supuesto, sírvase explicar cómo se compatibiliza la regla general del artículo 96.1 del Código Penal —según la cual la acción penal prescribe a partir de la comisión del hecho punible— con el artículo 8.1.b de la Convención, que exige que el plazo comience a contarse desde el cese de la desaparición. En particular, identifique la disposición interna que reconoce expresamente el carácter continuo de la desaparición forzad</w:t>
      </w:r>
      <w:r>
        <w:rPr>
          <w:rFonts w:ascii="Times New Roman" w:eastAsia="Times New Roman" w:hAnsi="Times New Roman" w:cs="Times New Roman"/>
          <w:sz w:val="24"/>
          <w:szCs w:val="24"/>
        </w:rPr>
        <w:t>a y establece que la “comisión” del delito se mantiene mientras persistan el ocultamiento, la negativa de información o la falta de esclarecimiento del paradero de la víctima.</w:t>
      </w:r>
    </w:p>
    <w:p w14:paraId="466C240B" w14:textId="77777777" w:rsidR="000160A0" w:rsidRDefault="00EA6FC7">
      <w:pPr>
        <w:numPr>
          <w:ilvl w:val="0"/>
          <w:numId w:val="4"/>
        </w:num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Estado reconoció que “no existe legislación que trate lo concerniente a la invocación de cumplimiento de orden superior en cuanto a las desapariciones forzadas”, aunque afirmó que la práctica judicial no acepta esa justificación. Sírvase indicar en qué casos concretos, desde 2017 a la fecha, tribunales cubanos han examinado alegaciones de cumplimiento de órdenes superiores, obediencia debida, instrucciones de mando o subordinación jerárquica en investigaciones o procesos vinculados con desaparición forza</w:t>
      </w:r>
      <w:r>
        <w:rPr>
          <w:rFonts w:ascii="Times New Roman" w:eastAsia="Times New Roman" w:hAnsi="Times New Roman" w:cs="Times New Roman"/>
          <w:sz w:val="24"/>
          <w:szCs w:val="24"/>
        </w:rPr>
        <w:t>da, privación ilegal de libertad, incomunicación, traslados no informados, abuso de autoridad, tortura u otros hechos cometidos por agentes policiales, militares, penitenciarios o de la seguridad del Estado. Respecto de esos casos, sírvase precisar: a) cuántos fueron identificados; b) qué delito se investigó o juzgó; c) qué alegó la persona acusada o investigada para invocar la orden superior; d) qué respuesta dio la Fiscalía y el tribunal; e) si la justificación fue rechazada expresamente; y f) qué fundame</w:t>
      </w:r>
      <w:r>
        <w:rPr>
          <w:rFonts w:ascii="Times New Roman" w:eastAsia="Times New Roman" w:hAnsi="Times New Roman" w:cs="Times New Roman"/>
          <w:sz w:val="24"/>
          <w:szCs w:val="24"/>
        </w:rPr>
        <w:t>ntos jurídicos se utilizaron para excluirla. En caso de no existir casos concretos, sírvase explicar en qué se basa la afirmación estatal de que la práctica judicial no acepta esa justificación y qué medidas legislativas prevé adoptar el Estado para establecer una prohibición expresa conforme al artículo 6.2 de la Convención.</w:t>
      </w:r>
    </w:p>
    <w:p w14:paraId="3DAF9FC0" w14:textId="77777777" w:rsidR="000160A0" w:rsidRDefault="000160A0">
      <w:pPr>
        <w:spacing w:before="240" w:after="240"/>
        <w:jc w:val="both"/>
        <w:rPr>
          <w:rFonts w:ascii="Times New Roman" w:eastAsia="Times New Roman" w:hAnsi="Times New Roman" w:cs="Times New Roman"/>
          <w:sz w:val="24"/>
          <w:szCs w:val="24"/>
        </w:rPr>
      </w:pPr>
    </w:p>
    <w:p w14:paraId="159055DB" w14:textId="77777777" w:rsidR="000160A0" w:rsidRDefault="000160A0">
      <w:pPr>
        <w:spacing w:before="240" w:after="240"/>
        <w:jc w:val="both"/>
        <w:rPr>
          <w:rFonts w:ascii="Times New Roman" w:eastAsia="Times New Roman" w:hAnsi="Times New Roman" w:cs="Times New Roman"/>
          <w:sz w:val="24"/>
          <w:szCs w:val="24"/>
        </w:rPr>
      </w:pPr>
    </w:p>
    <w:p w14:paraId="5D3A6283" w14:textId="77777777" w:rsidR="000160A0" w:rsidRDefault="000160A0">
      <w:pPr>
        <w:spacing w:before="240" w:after="240"/>
        <w:jc w:val="both"/>
        <w:rPr>
          <w:rFonts w:ascii="Times New Roman" w:eastAsia="Times New Roman" w:hAnsi="Times New Roman" w:cs="Times New Roman"/>
          <w:sz w:val="24"/>
          <w:szCs w:val="24"/>
        </w:rPr>
      </w:pPr>
    </w:p>
    <w:sectPr w:rsidR="000160A0">
      <w:headerReference w:type="default"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3384D" w14:textId="77777777" w:rsidR="00EA6FC7" w:rsidRDefault="00EA6FC7">
      <w:pPr>
        <w:spacing w:after="0" w:line="240" w:lineRule="auto"/>
      </w:pPr>
      <w:r>
        <w:separator/>
      </w:r>
    </w:p>
  </w:endnote>
  <w:endnote w:type="continuationSeparator" w:id="0">
    <w:p w14:paraId="076700E0" w14:textId="77777777" w:rsidR="00EA6FC7" w:rsidRDefault="00EA6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FF32372-5841-4B43-B040-F2C0799EF0A7}"/>
    <w:embedBold r:id="rId2" w:fontKey="{DF9C452A-CA95-46C5-800D-F55D9C795A55}"/>
  </w:font>
  <w:font w:name="Georgia">
    <w:panose1 w:val="02040502050405020303"/>
    <w:charset w:val="00"/>
    <w:family w:val="auto"/>
    <w:pitch w:val="default"/>
    <w:embedItalic r:id="rId3" w:fontKey="{4986971A-CBAE-4A7B-827F-5D5D55EE131C}"/>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4" w:fontKey="{F4A9ED1B-48FF-47A3-AB2F-383378DD3F7C}"/>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348BF" w14:textId="77777777" w:rsidR="000160A0" w:rsidRDefault="00EA6FC7">
    <w:pPr>
      <w:jc w:val="right"/>
    </w:pPr>
    <w:r>
      <w:fldChar w:fldCharType="begin"/>
    </w:r>
    <w:r>
      <w:instrText>PAGE</w:instrText>
    </w:r>
    <w:r>
      <w:fldChar w:fldCharType="separate"/>
    </w:r>
    <w:r w:rsidR="00F1302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80F56" w14:textId="77777777" w:rsidR="00EA6FC7" w:rsidRDefault="00EA6FC7">
      <w:pPr>
        <w:spacing w:after="0" w:line="240" w:lineRule="auto"/>
      </w:pPr>
      <w:r>
        <w:separator/>
      </w:r>
    </w:p>
  </w:footnote>
  <w:footnote w:type="continuationSeparator" w:id="0">
    <w:p w14:paraId="298A4222" w14:textId="77777777" w:rsidR="00EA6FC7" w:rsidRDefault="00EA6FC7">
      <w:pPr>
        <w:spacing w:after="0" w:line="240" w:lineRule="auto"/>
      </w:pPr>
      <w:r>
        <w:continuationSeparator/>
      </w:r>
    </w:p>
  </w:footnote>
  <w:footnote w:id="1">
    <w:p w14:paraId="59AD4F3F" w14:textId="77777777" w:rsidR="000160A0" w:rsidRDefault="00EA6FC7">
      <w:pPr>
        <w:spacing w:after="0" w:line="240" w:lineRule="auto"/>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Cfr. Comité contra la Desaparición Forzada, </w:t>
      </w:r>
      <w:r>
        <w:rPr>
          <w:rFonts w:ascii="Times New Roman" w:eastAsia="Times New Roman" w:hAnsi="Times New Roman" w:cs="Times New Roman"/>
          <w:i/>
          <w:iCs/>
          <w:sz w:val="16"/>
          <w:szCs w:val="16"/>
        </w:rPr>
        <w:t>Información complementaria presentada por Cuba con arreglo al artículo 29, párrafo 4, de la Convención</w:t>
      </w:r>
      <w:r>
        <w:rPr>
          <w:rFonts w:ascii="Times New Roman" w:eastAsia="Times New Roman" w:hAnsi="Times New Roman" w:cs="Times New Roman"/>
          <w:sz w:val="16"/>
          <w:szCs w:val="16"/>
        </w:rPr>
        <w:t xml:space="preserve"> (CED/C/CUB/AI/1), párr. 6. El Estado informa que la Fiscalía General recibió 37.177 quejas entre 2022 y julio de 2024, incluidas cuatro relativas al desconocimiento del lugar de detención o ubicación de personas privadas de libertad tras traslados penitenciarios, pero no aporta datos sobre duración de la falta de información, incomunicación, notificación del traslado, diligencias practicadas o criterios us</w:t>
      </w:r>
      <w:r>
        <w:rPr>
          <w:rFonts w:ascii="Times New Roman" w:eastAsia="Times New Roman" w:hAnsi="Times New Roman" w:cs="Times New Roman"/>
          <w:sz w:val="16"/>
          <w:szCs w:val="16"/>
        </w:rPr>
        <w:t>ados para descartar desaparición forzada.</w:t>
      </w:r>
    </w:p>
  </w:footnote>
  <w:footnote w:id="2">
    <w:p w14:paraId="68C61134" w14:textId="77777777" w:rsidR="000160A0" w:rsidRDefault="00EA6FC7">
      <w:pPr>
        <w:spacing w:after="0" w:line="240" w:lineRule="auto"/>
        <w:jc w:val="both"/>
        <w:rPr>
          <w:rFonts w:ascii="Times New Roman" w:eastAsia="Times New Roman" w:hAnsi="Times New Roman" w:cs="Times New Roman"/>
          <w:sz w:val="16"/>
          <w:szCs w:val="16"/>
        </w:rPr>
      </w:pPr>
      <w:r>
        <w:rPr>
          <w:vertAlign w:val="superscript"/>
        </w:rPr>
        <w:footnoteRef/>
      </w:r>
      <w:r>
        <w:rPr>
          <w:sz w:val="20"/>
          <w:szCs w:val="20"/>
        </w:rPr>
        <w:t xml:space="preserve"> </w:t>
      </w:r>
      <w:r>
        <w:rPr>
          <w:rFonts w:ascii="Times New Roman" w:eastAsia="Times New Roman" w:hAnsi="Times New Roman" w:cs="Times New Roman"/>
          <w:sz w:val="16"/>
          <w:szCs w:val="16"/>
        </w:rPr>
        <w:t xml:space="preserve">Cfr. Comité contra la Desaparición Forzada, </w:t>
      </w:r>
      <w:r>
        <w:rPr>
          <w:rFonts w:ascii="Times New Roman" w:eastAsia="Times New Roman" w:hAnsi="Times New Roman" w:cs="Times New Roman"/>
          <w:i/>
          <w:iCs/>
          <w:sz w:val="16"/>
          <w:szCs w:val="16"/>
        </w:rPr>
        <w:t>Información complementaria presentada por Cuba con arreglo al artículo 29, párrafo 4, de la Convención</w:t>
      </w:r>
      <w:r>
        <w:rPr>
          <w:rFonts w:ascii="Times New Roman" w:eastAsia="Times New Roman" w:hAnsi="Times New Roman" w:cs="Times New Roman"/>
          <w:sz w:val="16"/>
          <w:szCs w:val="16"/>
        </w:rPr>
        <w:t xml:space="preserve"> (CED/C/CUB/AI/1), párrs. 17, 21–22. El Estado afirma que la desaparición forzada fue incorporada como delito autónomo en el artículo 367 del Código Penal; que las sanciones previstas se imponen siempre que los hechos no constituyan un delito de mayor entidad; y que la legislación penal complementa dicho delito con la privación ilegal de libertad y el hábeas corp</w:t>
      </w:r>
      <w:r>
        <w:rPr>
          <w:rFonts w:ascii="Times New Roman" w:eastAsia="Times New Roman" w:hAnsi="Times New Roman" w:cs="Times New Roman"/>
          <w:sz w:val="16"/>
          <w:szCs w:val="16"/>
        </w:rPr>
        <w:t xml:space="preserve">us. Asamblea Nacional del Poder Popular. (2022). </w:t>
      </w:r>
      <w:hyperlink r:id="rId1">
        <w:r>
          <w:rPr>
            <w:rFonts w:ascii="Times New Roman" w:eastAsia="Times New Roman" w:hAnsi="Times New Roman" w:cs="Times New Roman"/>
            <w:color w:val="1155CC"/>
            <w:sz w:val="16"/>
            <w:szCs w:val="16"/>
            <w:u w:val="single"/>
          </w:rPr>
          <w:t>Ley 151/2022 "Código Penal"</w:t>
        </w:r>
      </w:hyperlink>
      <w:r>
        <w:rPr>
          <w:rFonts w:ascii="Times New Roman" w:eastAsia="Times New Roman" w:hAnsi="Times New Roman" w:cs="Times New Roman"/>
          <w:sz w:val="16"/>
          <w:szCs w:val="16"/>
        </w:rPr>
        <w:t xml:space="preserve"> (GOC-2022-861-O93). Gaceta Oficial de la República de Cuba, No. 93 Ordinaria, 1 de septiembre de 2022.</w:t>
      </w:r>
    </w:p>
  </w:footnote>
  <w:footnote w:id="3">
    <w:p w14:paraId="118EF89F" w14:textId="77777777" w:rsidR="000160A0" w:rsidRDefault="00EA6FC7">
      <w:pPr>
        <w:spacing w:after="0" w:line="240" w:lineRule="auto"/>
        <w:jc w:val="both"/>
        <w:rPr>
          <w:rFonts w:ascii="Times New Roman" w:eastAsia="Times New Roman" w:hAnsi="Times New Roman" w:cs="Times New Roman"/>
          <w:sz w:val="16"/>
          <w:szCs w:val="16"/>
          <w:shd w:val="clear" w:color="auto" w:fill="FFF2CC"/>
        </w:rPr>
      </w:pPr>
      <w:r>
        <w:rPr>
          <w:vertAlign w:val="superscript"/>
        </w:rPr>
        <w:footnoteRef/>
      </w:r>
      <w:r>
        <w:rPr>
          <w:sz w:val="20"/>
          <w:szCs w:val="20"/>
        </w:rPr>
        <w:t xml:space="preserve"> </w:t>
      </w:r>
      <w:r>
        <w:rPr>
          <w:rFonts w:ascii="Times New Roman" w:eastAsia="Times New Roman" w:hAnsi="Times New Roman" w:cs="Times New Roman"/>
          <w:sz w:val="16"/>
          <w:szCs w:val="16"/>
        </w:rPr>
        <w:t xml:space="preserve">Cubalex ha documentado este patrón a partir de la asesoría y acompañamiento legal que brinda a víctimas, familiares y personas allegadas, lo que le ha permitido acceder a solicitudes de hábeas corpus, autos judiciales, recursos de apelación y otros documentos procesales. La </w:t>
      </w:r>
      <w:hyperlink r:id="rId2">
        <w:r>
          <w:rPr>
            <w:rFonts w:ascii="Times New Roman" w:eastAsia="Times New Roman" w:hAnsi="Times New Roman" w:cs="Times New Roman"/>
            <w:color w:val="1155CC"/>
            <w:sz w:val="16"/>
            <w:szCs w:val="16"/>
            <w:u w:val="single"/>
          </w:rPr>
          <w:t xml:space="preserve">Ley del Proceso Penal </w:t>
        </w:r>
      </w:hyperlink>
      <w:r>
        <w:rPr>
          <w:rFonts w:ascii="Times New Roman" w:eastAsia="Times New Roman" w:hAnsi="Times New Roman" w:cs="Times New Roman"/>
          <w:sz w:val="16"/>
          <w:szCs w:val="16"/>
        </w:rPr>
        <w:t xml:space="preserve">regula el hábeas corpus en los artículos 787 a 797 y establece que el tribunal debe resolver la solicitud en un plazo de 72 horas (art. 789); sin embargo, también dispone que no se dará curso al recurso cuando la privación de libertad derive de una medida cautelar de prisión provisional ratificada por la Fiscalía o de una resolución judicial (art. 790). En los casos analizados por Cubalex, esta regulación y su aplicación práctica tienden a reducir el hábeas corpus a una verificación formal de si existe una </w:t>
      </w:r>
      <w:r>
        <w:rPr>
          <w:rFonts w:ascii="Times New Roman" w:eastAsia="Times New Roman" w:hAnsi="Times New Roman" w:cs="Times New Roman"/>
          <w:sz w:val="16"/>
          <w:szCs w:val="16"/>
        </w:rPr>
        <w:t>autoridad, expediente, medida cautelar, sanción o informe fiscal que aparente justificar la privación de libertad, sin examinar de manera efectiva la legalidad real de la detención inicial ni alegaciones conexas de desaparición forzada, incomunicación, ocultamiento del paradero, falta de información a familiares, ausencia de acta de detención, violencia, tortura, malos tratos o condiciones de custodia. Cubalex ha observado que los tribunales pueden resolver estos recursos con base en informes fiscales o doc</w:t>
      </w:r>
      <w:r>
        <w:rPr>
          <w:rFonts w:ascii="Times New Roman" w:eastAsia="Times New Roman" w:hAnsi="Times New Roman" w:cs="Times New Roman"/>
          <w:sz w:val="16"/>
          <w:szCs w:val="16"/>
        </w:rPr>
        <w:t xml:space="preserve">umentación de la propia autoridad responsable, sin ordenar la presentación física de la persona detenida, sin vista oral efectiva y sin pronunciarse sobre el ocultamiento de información. Esta práctica debilita la función del hábeas corpus como garantía judicial inmediata, especialmente en casos de desaparición forzada de corta duración, porque el recurso puede quedar bloqueado o resolverse tardíamente durante las primeras horas o días de detención, precisamente el período de mayor riesgo de incomunicación, </w:t>
      </w:r>
      <w:r>
        <w:rPr>
          <w:rFonts w:ascii="Times New Roman" w:eastAsia="Times New Roman" w:hAnsi="Times New Roman" w:cs="Times New Roman"/>
          <w:sz w:val="16"/>
          <w:szCs w:val="16"/>
        </w:rPr>
        <w:t>coacción, malos tratos u ocultamiento estatal.</w:t>
      </w:r>
    </w:p>
  </w:footnote>
  <w:footnote w:id="4">
    <w:p w14:paraId="34E4A17C" w14:textId="77777777" w:rsidR="000160A0" w:rsidRDefault="00EA6FC7">
      <w:pPr>
        <w:spacing w:after="0" w:line="240" w:lineRule="auto"/>
        <w:jc w:val="both"/>
        <w:rPr>
          <w:rFonts w:ascii="Times New Roman" w:eastAsia="Times New Roman" w:hAnsi="Times New Roman" w:cs="Times New Roman"/>
          <w:sz w:val="16"/>
          <w:szCs w:val="16"/>
        </w:rPr>
      </w:pPr>
      <w:r>
        <w:rPr>
          <w:vertAlign w:val="superscript"/>
        </w:rPr>
        <w:footnoteRef/>
      </w:r>
      <w:r>
        <w:rPr>
          <w:sz w:val="20"/>
          <w:szCs w:val="20"/>
        </w:rPr>
        <w:t xml:space="preserve"> </w:t>
      </w:r>
      <w:r>
        <w:rPr>
          <w:rFonts w:ascii="Times New Roman" w:eastAsia="Times New Roman" w:hAnsi="Times New Roman" w:cs="Times New Roman"/>
          <w:sz w:val="16"/>
          <w:szCs w:val="16"/>
        </w:rPr>
        <w:t xml:space="preserve">Cubalex ha documentado casos en los que la falta de información oficial neutralizó la eficacia del hábeas corpus. En el caso de Ankeilys Guerra Fis, tras su detención y traslado a Villa Marista, la familia intentó presentar un hábeas corpus, pero el Tribunal Provincial de La Habana se negó a recibirlo por falta de datos que las propias autoridades ocultaban. Cubalex. (2026, 28 de enero). </w:t>
      </w:r>
      <w:hyperlink r:id="rId3">
        <w:r>
          <w:rPr>
            <w:rFonts w:ascii="Times New Roman" w:eastAsia="Times New Roman" w:hAnsi="Times New Roman" w:cs="Times New Roman"/>
            <w:i/>
            <w:iCs/>
            <w:color w:val="1155CC"/>
            <w:sz w:val="16"/>
            <w:szCs w:val="16"/>
            <w:u w:val="single"/>
          </w:rPr>
          <w:t>Ankeilys Guerra permanece incomunicado tras detención arbitraria en Cuba</w:t>
        </w:r>
      </w:hyperlink>
      <w:r>
        <w:rPr>
          <w:rFonts w:ascii="Times New Roman" w:eastAsia="Times New Roman" w:hAnsi="Times New Roman" w:cs="Times New Roman"/>
          <w:sz w:val="16"/>
          <w:szCs w:val="16"/>
        </w:rPr>
        <w:t>. El hábeas corpus cubano está constitucionalmente previsto para quien se encuentre “privado de libertad ilegalmente” y la Ley del Proceso Penal lo desarrolla como un procedimiento sumarísimo dirigido a verificar si la privación de libertad ocurrió fuera de los casos legales o sin las formalidades y garantías exigidas. Aunque el tribunal puede ordenar la presentación de la persona detenida y requerir informe a la autoridad responsable, la regulación se centra en controlar la legalidad de la detención y no c</w:t>
      </w:r>
      <w:r>
        <w:rPr>
          <w:rFonts w:ascii="Times New Roman" w:eastAsia="Times New Roman" w:hAnsi="Times New Roman" w:cs="Times New Roman"/>
          <w:sz w:val="16"/>
          <w:szCs w:val="16"/>
        </w:rPr>
        <w:t xml:space="preserve">ontiene obligaciones específicas de búsqueda e investigación propias de la desaparición forzada, como verificación inmediata de registros, inspección de centros de custodia, investigación de la negativa de información, preservación de pruebas de ocultamiento o protección de familiares denunciantes. Véase Asamblea Nacional del Poder Popular. (2019). </w:t>
      </w:r>
      <w:r>
        <w:rPr>
          <w:rFonts w:ascii="Times New Roman" w:eastAsia="Times New Roman" w:hAnsi="Times New Roman" w:cs="Times New Roman"/>
          <w:i/>
          <w:iCs/>
          <w:sz w:val="16"/>
          <w:szCs w:val="16"/>
        </w:rPr>
        <w:t>Constitución de la República de Cuba</w:t>
      </w:r>
      <w:r>
        <w:rPr>
          <w:rFonts w:ascii="Times New Roman" w:eastAsia="Times New Roman" w:hAnsi="Times New Roman" w:cs="Times New Roman"/>
          <w:sz w:val="16"/>
          <w:szCs w:val="16"/>
        </w:rPr>
        <w:t xml:space="preserve">, art. 96; Asamblea Nacional del Poder Popular. (2021). </w:t>
      </w:r>
      <w:r>
        <w:rPr>
          <w:rFonts w:ascii="Times New Roman" w:eastAsia="Times New Roman" w:hAnsi="Times New Roman" w:cs="Times New Roman"/>
          <w:i/>
          <w:iCs/>
          <w:sz w:val="16"/>
          <w:szCs w:val="16"/>
        </w:rPr>
        <w:t>Ley No. 143/2021, Ley del Proceso Penal</w:t>
      </w:r>
      <w:r>
        <w:rPr>
          <w:rFonts w:ascii="Times New Roman" w:eastAsia="Times New Roman" w:hAnsi="Times New Roman" w:cs="Times New Roman"/>
          <w:sz w:val="16"/>
          <w:szCs w:val="16"/>
        </w:rPr>
        <w:t>, arts. 787-797.</w:t>
      </w:r>
    </w:p>
  </w:footnote>
  <w:footnote w:id="5">
    <w:p w14:paraId="4213F4F4" w14:textId="77777777" w:rsidR="000160A0" w:rsidRDefault="00EA6FC7">
      <w:pPr>
        <w:spacing w:after="0" w:line="240" w:lineRule="auto"/>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Cfr. Comité contra la Desaparición Forzada, </w:t>
      </w:r>
      <w:r>
        <w:rPr>
          <w:rFonts w:ascii="Times New Roman" w:eastAsia="Times New Roman" w:hAnsi="Times New Roman" w:cs="Times New Roman"/>
          <w:i/>
          <w:iCs/>
          <w:sz w:val="16"/>
          <w:szCs w:val="16"/>
        </w:rPr>
        <w:t>Información complementaria presentada por Cuba con arreglo al artículo 29, párrafo 4, de la Convención</w:t>
      </w:r>
      <w:r>
        <w:rPr>
          <w:rFonts w:ascii="Times New Roman" w:eastAsia="Times New Roman" w:hAnsi="Times New Roman" w:cs="Times New Roman"/>
          <w:sz w:val="16"/>
          <w:szCs w:val="16"/>
        </w:rPr>
        <w:t xml:space="preserve"> (CED/C/CUB/AI/1), párrs. 26–27. El Estado reconoce que el artículo 5 de la Convención califica la desaparición forzada generalizada o sistemática como crimen de lesa humanidad, pero sostiene que no resulta necesario mencionarla como tal en el Código Penal cubano porque, según afirma, la desaparición forzada no ocurre en Cuba “ni siquiera de manera aislada”.</w:t>
      </w:r>
    </w:p>
  </w:footnote>
  <w:footnote w:id="6">
    <w:p w14:paraId="12A9057E" w14:textId="77777777" w:rsidR="000160A0" w:rsidRDefault="00EA6FC7">
      <w:pPr>
        <w:spacing w:after="0" w:line="240" w:lineRule="auto"/>
        <w:jc w:val="both"/>
        <w:rPr>
          <w:rFonts w:ascii="Times New Roman" w:eastAsia="Times New Roman" w:hAnsi="Times New Roman" w:cs="Times New Roman"/>
          <w:sz w:val="16"/>
          <w:szCs w:val="16"/>
        </w:rPr>
      </w:pPr>
      <w:r>
        <w:rPr>
          <w:vertAlign w:val="superscript"/>
        </w:rPr>
        <w:footnoteRef/>
      </w:r>
      <w:r>
        <w:rPr>
          <w:sz w:val="20"/>
          <w:szCs w:val="20"/>
        </w:rPr>
        <w:t xml:space="preserve"> </w:t>
      </w:r>
      <w:r>
        <w:rPr>
          <w:rFonts w:ascii="Times New Roman" w:eastAsia="Times New Roman" w:hAnsi="Times New Roman" w:cs="Times New Roman"/>
          <w:sz w:val="16"/>
          <w:szCs w:val="16"/>
        </w:rPr>
        <w:t xml:space="preserve">Cfr. Comité contra la Desaparición Forzada, </w:t>
      </w:r>
      <w:r>
        <w:rPr>
          <w:rFonts w:ascii="Times New Roman" w:eastAsia="Times New Roman" w:hAnsi="Times New Roman" w:cs="Times New Roman"/>
          <w:i/>
          <w:iCs/>
          <w:sz w:val="16"/>
          <w:szCs w:val="16"/>
        </w:rPr>
        <w:t>Información complementaria presentada por Cuba con arreglo al artículo 29, párrafo 4, de la Convención</w:t>
      </w:r>
      <w:r>
        <w:rPr>
          <w:rFonts w:ascii="Times New Roman" w:eastAsia="Times New Roman" w:hAnsi="Times New Roman" w:cs="Times New Roman"/>
          <w:sz w:val="16"/>
          <w:szCs w:val="16"/>
        </w:rPr>
        <w:t xml:space="preserve"> (CED/C/CUB/AI/1), párrs. 28–31. El Estado invoca los delitos de genocidio y crimen de apartheid como figuras que podrían dar respuesta a posibles actos de desaparición forzada contra grupos de personas, pese a no reconocer taxativamente la desaparición forzada como crimen de lesa humanidad.</w:t>
      </w:r>
    </w:p>
  </w:footnote>
  <w:footnote w:id="7">
    <w:p w14:paraId="794465DF" w14:textId="77777777" w:rsidR="000160A0" w:rsidRDefault="00EA6FC7">
      <w:pPr>
        <w:spacing w:after="0" w:line="240" w:lineRule="auto"/>
        <w:jc w:val="both"/>
        <w:rPr>
          <w:rFonts w:ascii="Times New Roman" w:eastAsia="Times New Roman" w:hAnsi="Times New Roman" w:cs="Times New Roman"/>
          <w:sz w:val="16"/>
          <w:szCs w:val="16"/>
        </w:rPr>
      </w:pPr>
      <w:r>
        <w:rPr>
          <w:vertAlign w:val="superscript"/>
        </w:rPr>
        <w:footnoteRef/>
      </w:r>
      <w:r>
        <w:rPr>
          <w:sz w:val="20"/>
          <w:szCs w:val="20"/>
        </w:rPr>
        <w:t xml:space="preserve"> </w:t>
      </w:r>
      <w:r>
        <w:rPr>
          <w:rFonts w:ascii="Times New Roman" w:eastAsia="Times New Roman" w:hAnsi="Times New Roman" w:cs="Times New Roman"/>
          <w:sz w:val="16"/>
          <w:szCs w:val="16"/>
        </w:rPr>
        <w:t xml:space="preserve">Consúltese: Cubalex &amp; Justicia 11J. (2024, 23 de febrero). </w:t>
      </w:r>
      <w:hyperlink r:id="rId4">
        <w:r>
          <w:rPr>
            <w:rFonts w:ascii="Times New Roman" w:eastAsia="Times New Roman" w:hAnsi="Times New Roman" w:cs="Times New Roman"/>
            <w:i/>
            <w:iCs/>
            <w:color w:val="1155CC"/>
            <w:sz w:val="16"/>
            <w:szCs w:val="16"/>
            <w:u w:val="single"/>
          </w:rPr>
          <w:t>Violencia electoral y desapariciones forzadas en Cuba: desafíos y recomendaciones</w:t>
        </w:r>
      </w:hyperlink>
      <w:r>
        <w:rPr>
          <w:rFonts w:ascii="Times New Roman" w:eastAsia="Times New Roman" w:hAnsi="Times New Roman" w:cs="Times New Roman"/>
          <w:sz w:val="16"/>
          <w:szCs w:val="16"/>
        </w:rPr>
        <w:t xml:space="preserve">. Cubalex. (2026, 18 de junio). </w:t>
      </w:r>
      <w:hyperlink r:id="rId5">
        <w:r>
          <w:rPr>
            <w:rFonts w:ascii="Times New Roman" w:eastAsia="Times New Roman" w:hAnsi="Times New Roman" w:cs="Times New Roman"/>
            <w:i/>
            <w:iCs/>
            <w:color w:val="1155CC"/>
            <w:sz w:val="16"/>
            <w:szCs w:val="16"/>
            <w:u w:val="single"/>
          </w:rPr>
          <w:t>Informe mensual sobre la situación de los derechos humanos en Cuba | Mayo 2026</w:t>
        </w:r>
      </w:hyperlink>
      <w:r>
        <w:rPr>
          <w:rFonts w:ascii="Times New Roman" w:eastAsia="Times New Roman" w:hAnsi="Times New Roman" w:cs="Times New Roman"/>
          <w:sz w:val="16"/>
          <w:szCs w:val="16"/>
        </w:rPr>
        <w:t>.</w:t>
      </w:r>
      <w:hyperlink r:id="rId6">
        <w:r>
          <w:rPr>
            <w:rFonts w:ascii="Times New Roman" w:eastAsia="Times New Roman" w:hAnsi="Times New Roman" w:cs="Times New Roman"/>
            <w:color w:val="1155CC"/>
            <w:sz w:val="16"/>
            <w:szCs w:val="16"/>
            <w:u w:val="single"/>
          </w:rPr>
          <w:t>/</w:t>
        </w:r>
      </w:hyperlink>
      <w:r>
        <w:rPr>
          <w:rFonts w:ascii="Times New Roman" w:eastAsia="Times New Roman" w:hAnsi="Times New Roman" w:cs="Times New Roman"/>
          <w:sz w:val="16"/>
          <w:szCs w:val="16"/>
        </w:rPr>
        <w:t xml:space="preserve">. Cubalex. (2026, 9 de marzo). </w:t>
      </w:r>
      <w:hyperlink r:id="rId7">
        <w:r>
          <w:rPr>
            <w:rFonts w:ascii="Times New Roman" w:eastAsia="Times New Roman" w:hAnsi="Times New Roman" w:cs="Times New Roman"/>
            <w:i/>
            <w:iCs/>
            <w:color w:val="1155CC"/>
            <w:sz w:val="16"/>
            <w:szCs w:val="16"/>
            <w:u w:val="single"/>
          </w:rPr>
          <w:t>Tendencias y patrones de represión en Cuba | Segundo semestre 2025</w:t>
        </w:r>
      </w:hyperlink>
      <w:r>
        <w:rPr>
          <w:rFonts w:ascii="Times New Roman" w:eastAsia="Times New Roman" w:hAnsi="Times New Roman" w:cs="Times New Roman"/>
          <w:sz w:val="16"/>
          <w:szCs w:val="16"/>
        </w:rPr>
        <w:t>.</w:t>
      </w:r>
      <w:hyperlink r:id="rId8">
        <w:r>
          <w:rPr>
            <w:rFonts w:ascii="Times New Roman" w:eastAsia="Times New Roman" w:hAnsi="Times New Roman" w:cs="Times New Roman"/>
            <w:sz w:val="16"/>
            <w:szCs w:val="16"/>
          </w:rPr>
          <w:t xml:space="preserve"> </w:t>
        </w:r>
      </w:hyperlink>
    </w:p>
  </w:footnote>
  <w:footnote w:id="8">
    <w:p w14:paraId="50051791" w14:textId="77777777" w:rsidR="000160A0" w:rsidRDefault="00EA6FC7">
      <w:pPr>
        <w:spacing w:after="0" w:line="240" w:lineRule="auto"/>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Cfr. Comité contra la Desaparición Forzada, </w:t>
      </w:r>
      <w:r>
        <w:rPr>
          <w:rFonts w:ascii="Times New Roman" w:eastAsia="Times New Roman" w:hAnsi="Times New Roman" w:cs="Times New Roman"/>
          <w:i/>
          <w:iCs/>
          <w:sz w:val="16"/>
          <w:szCs w:val="16"/>
        </w:rPr>
        <w:t>Información complementaria presentada por Cuba con arreglo al artículo 29, párrafo 4, de la Convención</w:t>
      </w:r>
      <w:r>
        <w:rPr>
          <w:rFonts w:ascii="Times New Roman" w:eastAsia="Times New Roman" w:hAnsi="Times New Roman" w:cs="Times New Roman"/>
          <w:sz w:val="16"/>
          <w:szCs w:val="16"/>
        </w:rPr>
        <w:t xml:space="preserve"> (CED/C/CUB/AI/1), párrs. 32–36. </w:t>
      </w:r>
    </w:p>
  </w:footnote>
  <w:footnote w:id="9">
    <w:p w14:paraId="6E6603BE" w14:textId="77777777" w:rsidR="000160A0" w:rsidRDefault="00EA6FC7">
      <w:pPr>
        <w:spacing w:after="0" w:line="240" w:lineRule="auto"/>
        <w:jc w:val="both"/>
        <w:rPr>
          <w:rFonts w:ascii="Times New Roman" w:eastAsia="Times New Roman" w:hAnsi="Times New Roman" w:cs="Times New Roman"/>
          <w:sz w:val="16"/>
          <w:szCs w:val="16"/>
        </w:rPr>
      </w:pPr>
      <w:r>
        <w:rPr>
          <w:vertAlign w:val="superscript"/>
        </w:rPr>
        <w:footnoteRef/>
      </w:r>
      <w:r>
        <w:rPr>
          <w:sz w:val="20"/>
          <w:szCs w:val="20"/>
        </w:rPr>
        <w:t xml:space="preserve"> </w:t>
      </w:r>
      <w:r>
        <w:rPr>
          <w:rFonts w:ascii="Times New Roman" w:eastAsia="Times New Roman" w:hAnsi="Times New Roman" w:cs="Times New Roman"/>
          <w:sz w:val="16"/>
          <w:szCs w:val="16"/>
        </w:rPr>
        <w:t>El Código Penal cubano prevé expresamente la sanción de actos preparatorios respecto de un grupo limitado de delitos: delitos contra la seguridad del Estado (art. 145); delitos de terrorismo, por remisión a las reglas aplicables a los delitos contra la seguridad del Estado (art. 149.2); desórdenes en establecimientos penitenciarios, centros de detención o lugares de internamiento (art. 208.4); delitos relativos a drogas ilícitas o sustancias de efectos similares (art. 235.4); falsificación de moneda, efecto</w:t>
      </w:r>
      <w:r>
        <w:rPr>
          <w:rFonts w:ascii="Times New Roman" w:eastAsia="Times New Roman" w:hAnsi="Times New Roman" w:cs="Times New Roman"/>
          <w:sz w:val="16"/>
          <w:szCs w:val="16"/>
        </w:rPr>
        <w:t xml:space="preserve">s timbrados, documentos públicos, documentos bancarios o de comercio y documentos de identificación (arts. 330 a 334, en relación con el art. 342.2); y robo con fuerza en las cosas (art. 416.4). En cambio, el artículo 367, relativo a la desaparición forzada, no contiene una previsión equivalente, al igual que ocurre con otros delitos de especial gravedad internacional, como la tortura (art. 368). Consultar: Asamblea Nacional del Poder Popular. (2022). </w:t>
      </w:r>
      <w:hyperlink r:id="rId9">
        <w:r>
          <w:rPr>
            <w:rFonts w:ascii="Times New Roman" w:eastAsia="Times New Roman" w:hAnsi="Times New Roman" w:cs="Times New Roman"/>
            <w:color w:val="1155CC"/>
            <w:sz w:val="16"/>
            <w:szCs w:val="16"/>
            <w:u w:val="single"/>
          </w:rPr>
          <w:t>Ley 151/2022 "Código Penal"</w:t>
        </w:r>
      </w:hyperlink>
      <w:r>
        <w:rPr>
          <w:rFonts w:ascii="Times New Roman" w:eastAsia="Times New Roman" w:hAnsi="Times New Roman" w:cs="Times New Roman"/>
          <w:sz w:val="16"/>
          <w:szCs w:val="16"/>
        </w:rPr>
        <w:t xml:space="preserve"> (GOC-2022-861-O93). Gaceta Oficial de la República de Cuba, No. 93 Ordinaria, 1 de septiembre de 2022.</w:t>
      </w:r>
    </w:p>
  </w:footnote>
  <w:footnote w:id="10">
    <w:p w14:paraId="5AAA89B5" w14:textId="77777777" w:rsidR="000160A0" w:rsidRDefault="00EA6FC7">
      <w:pPr>
        <w:spacing w:after="0" w:line="240" w:lineRule="auto"/>
        <w:jc w:val="both"/>
        <w:rPr>
          <w:rFonts w:ascii="Times New Roman" w:eastAsia="Times New Roman" w:hAnsi="Times New Roman" w:cs="Times New Roman"/>
          <w:sz w:val="16"/>
          <w:szCs w:val="16"/>
        </w:rPr>
      </w:pPr>
      <w:r>
        <w:rPr>
          <w:vertAlign w:val="superscript"/>
        </w:rPr>
        <w:footnoteRef/>
      </w:r>
      <w:r>
        <w:rPr>
          <w:sz w:val="20"/>
          <w:szCs w:val="20"/>
        </w:rPr>
        <w:t xml:space="preserve"> </w:t>
      </w:r>
      <w:r>
        <w:rPr>
          <w:rFonts w:ascii="Times New Roman" w:eastAsia="Times New Roman" w:hAnsi="Times New Roman" w:cs="Times New Roman"/>
          <w:sz w:val="16"/>
          <w:szCs w:val="16"/>
        </w:rPr>
        <w:t xml:space="preserve">Cfr. Comité contra la Desaparición Forzada, </w:t>
      </w:r>
      <w:r>
        <w:rPr>
          <w:rFonts w:ascii="Times New Roman" w:eastAsia="Times New Roman" w:hAnsi="Times New Roman" w:cs="Times New Roman"/>
          <w:i/>
          <w:iCs/>
          <w:sz w:val="16"/>
          <w:szCs w:val="16"/>
        </w:rPr>
        <w:t>Información complementaria presentada por Cuba con arreglo al artículo 29, párrafo 4, de la Convención</w:t>
      </w:r>
      <w:r>
        <w:rPr>
          <w:rFonts w:ascii="Times New Roman" w:eastAsia="Times New Roman" w:hAnsi="Times New Roman" w:cs="Times New Roman"/>
          <w:sz w:val="16"/>
          <w:szCs w:val="16"/>
        </w:rPr>
        <w:t xml:space="preserve"> (CED/C/CUB/AI/1), párr. 41.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C5850" w14:textId="77777777" w:rsidR="000160A0" w:rsidRDefault="00EA6FC7">
    <w:pPr>
      <w:jc w:val="center"/>
    </w:pPr>
    <w:r>
      <w:rPr>
        <w:noProof/>
      </w:rPr>
      <w:drawing>
        <wp:inline distT="114300" distB="114300" distL="114300" distR="114300" wp14:anchorId="44ABC593" wp14:editId="0CC76D00">
          <wp:extent cx="3595688" cy="133094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595688" cy="1330941"/>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71FED"/>
    <w:multiLevelType w:val="multilevel"/>
    <w:tmpl w:val="024A5224"/>
    <w:lvl w:ilvl="0">
      <w:start w:val="4"/>
      <w:numFmt w:val="upperRoman"/>
      <w:lvlText w:val="%1."/>
      <w:lvlJc w:val="left"/>
      <w:pPr>
        <w:ind w:left="720" w:hanging="360"/>
      </w:pPr>
      <w:rPr>
        <w:u w:val="none"/>
      </w:rPr>
    </w:lvl>
    <w:lvl w:ilvl="1">
      <w:start w:val="4"/>
      <w:numFmt w:val="upperRoman"/>
      <w:lvlText w:val="%2."/>
      <w:lvlJc w:val="left"/>
      <w:pPr>
        <w:ind w:left="1440" w:hanging="360"/>
      </w:pPr>
      <w:rPr>
        <w:u w:val="none"/>
      </w:rPr>
    </w:lvl>
    <w:lvl w:ilvl="2">
      <w:start w:val="4"/>
      <w:numFmt w:val="upperRoman"/>
      <w:lvlText w:val="%3."/>
      <w:lvlJc w:val="left"/>
      <w:pPr>
        <w:ind w:left="2160" w:hanging="360"/>
      </w:pPr>
      <w:rPr>
        <w:u w:val="none"/>
      </w:rPr>
    </w:lvl>
    <w:lvl w:ilvl="3">
      <w:start w:val="4"/>
      <w:numFmt w:val="upperRoman"/>
      <w:lvlText w:val="%4."/>
      <w:lvlJc w:val="left"/>
      <w:pPr>
        <w:ind w:left="2880" w:hanging="360"/>
      </w:pPr>
      <w:rPr>
        <w:u w:val="none"/>
      </w:rPr>
    </w:lvl>
    <w:lvl w:ilvl="4">
      <w:start w:val="4"/>
      <w:numFmt w:val="upperRoman"/>
      <w:lvlText w:val="%5."/>
      <w:lvlJc w:val="left"/>
      <w:pPr>
        <w:ind w:left="3600" w:hanging="360"/>
      </w:pPr>
      <w:rPr>
        <w:u w:val="none"/>
      </w:rPr>
    </w:lvl>
    <w:lvl w:ilvl="5">
      <w:start w:val="4"/>
      <w:numFmt w:val="upperRoman"/>
      <w:lvlText w:val="%6."/>
      <w:lvlJc w:val="left"/>
      <w:pPr>
        <w:ind w:left="4320" w:hanging="360"/>
      </w:pPr>
      <w:rPr>
        <w:u w:val="none"/>
      </w:rPr>
    </w:lvl>
    <w:lvl w:ilvl="6">
      <w:start w:val="4"/>
      <w:numFmt w:val="upperRoman"/>
      <w:lvlText w:val="%7."/>
      <w:lvlJc w:val="left"/>
      <w:pPr>
        <w:ind w:left="5040" w:hanging="360"/>
      </w:pPr>
      <w:rPr>
        <w:u w:val="none"/>
      </w:rPr>
    </w:lvl>
    <w:lvl w:ilvl="7">
      <w:start w:val="4"/>
      <w:numFmt w:val="upperRoman"/>
      <w:lvlText w:val="%8."/>
      <w:lvlJc w:val="left"/>
      <w:pPr>
        <w:ind w:left="5760" w:hanging="360"/>
      </w:pPr>
      <w:rPr>
        <w:u w:val="none"/>
      </w:rPr>
    </w:lvl>
    <w:lvl w:ilvl="8">
      <w:start w:val="4"/>
      <w:numFmt w:val="upperRoman"/>
      <w:lvlText w:val="%9."/>
      <w:lvlJc w:val="left"/>
      <w:pPr>
        <w:ind w:left="6480" w:hanging="360"/>
      </w:pPr>
      <w:rPr>
        <w:u w:val="none"/>
      </w:rPr>
    </w:lvl>
  </w:abstractNum>
  <w:abstractNum w:abstractNumId="1" w15:restartNumberingAfterBreak="0">
    <w:nsid w:val="2B95293F"/>
    <w:multiLevelType w:val="multilevel"/>
    <w:tmpl w:val="1848DC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385B43A4"/>
    <w:multiLevelType w:val="multilevel"/>
    <w:tmpl w:val="670828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0897E71"/>
    <w:multiLevelType w:val="multilevel"/>
    <w:tmpl w:val="2D78A1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4901138"/>
    <w:multiLevelType w:val="multilevel"/>
    <w:tmpl w:val="8D00A7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621254197">
    <w:abstractNumId w:val="1"/>
  </w:num>
  <w:num w:numId="2" w16cid:durableId="2140685119">
    <w:abstractNumId w:val="2"/>
  </w:num>
  <w:num w:numId="3" w16cid:durableId="1114864686">
    <w:abstractNumId w:val="0"/>
  </w:num>
  <w:num w:numId="4" w16cid:durableId="1578324169">
    <w:abstractNumId w:val="4"/>
  </w:num>
  <w:num w:numId="5" w16cid:durableId="8239362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0A0"/>
    <w:rsid w:val="000160A0"/>
    <w:rsid w:val="00D35373"/>
    <w:rsid w:val="00EA6FC7"/>
    <w:rsid w:val="00F1302E"/>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E1B17"/>
  <w15:docId w15:val="{1C2E3D08-5087-4C7F-BE66-1DB71306A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419"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keepNext/>
      <w:keepLines/>
      <w:spacing w:before="40" w:after="0"/>
      <w:outlineLvl w:val="1"/>
    </w:pPr>
    <w:rPr>
      <w:color w:val="2F5496"/>
      <w:sz w:val="26"/>
      <w:szCs w:val="26"/>
    </w:rPr>
  </w:style>
  <w:style w:type="paragraph" w:styleId="Heading3">
    <w:name w:val="heading 3"/>
    <w:basedOn w:val="Normal"/>
    <w:next w:val="Normal"/>
    <w:uiPriority w:val="9"/>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cubalex.org/report/tendencias-y-patrones-de-represion-en-cuba-segundo-semestre-2025/?utm_source=chatgpt.com" TargetMode="External"/><Relationship Id="rId3" Type="http://schemas.openxmlformats.org/officeDocument/2006/relationships/hyperlink" Target="https://cubalex.org/2026/01/28/ankeilys-guerra-permanece-incomunicado-tras-detencion-arbitraria-en-cuba/" TargetMode="External"/><Relationship Id="rId7" Type="http://schemas.openxmlformats.org/officeDocument/2006/relationships/hyperlink" Target="https://cubalex.org/report/tendencias-y-patrones-de-represion-en-cuba-segundo-semestre-2025/?utm_source=chatgpt.com" TargetMode="External"/><Relationship Id="rId2" Type="http://schemas.openxmlformats.org/officeDocument/2006/relationships/hyperlink" Target="https://www.parlamentocubano.gob.cu/sites/default/files/documento/2022-01/del%20proceso%20penal.pdf" TargetMode="External"/><Relationship Id="rId1" Type="http://schemas.openxmlformats.org/officeDocument/2006/relationships/hyperlink" Target="https://www.parlamentocubano.gob.cu/sites/default/files/documento/2022-09/goc-2022-o93_0.pdf" TargetMode="External"/><Relationship Id="rId6" Type="http://schemas.openxmlformats.org/officeDocument/2006/relationships/hyperlink" Target="https://cubalex.org/report/informe-mensual-sobre-la-situacion-de-los-derechos-humanos-en-cuba-mayo-2026/" TargetMode="External"/><Relationship Id="rId5" Type="http://schemas.openxmlformats.org/officeDocument/2006/relationships/hyperlink" Target="https://cubalex.org/report/informe-mensual-sobre-la-situacion-de-los-derechos-humanos-en-cuba-mayo-2026/" TargetMode="External"/><Relationship Id="rId4" Type="http://schemas.openxmlformats.org/officeDocument/2006/relationships/hyperlink" Target="https://cubalex.org/report/violencia-electoral-y-desapariciones-forzadas-en-cuba-herramientas-del-regimen-para-controlar-y-reprimir/" TargetMode="External"/><Relationship Id="rId9" Type="http://schemas.openxmlformats.org/officeDocument/2006/relationships/hyperlink" Target="https://www.parlamentocubano.gob.cu/sites/default/files/documento/2022-09/goc-2022-o93_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16</Pages>
  <Words>5604</Words>
  <Characters>31944</Characters>
  <Application>Microsoft Office Word</Application>
  <DocSecurity>0</DocSecurity>
  <Lines>266</Lines>
  <Paragraphs>74</Paragraphs>
  <ScaleCrop>false</ScaleCrop>
  <Company/>
  <LinksUpToDate>false</LinksUpToDate>
  <CharactersWithSpaces>37474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Perrine Deja</dc:creator>
  <cp:lastModifiedBy>Perrine Deja</cp:lastModifiedBy>
  <cp:revision>2</cp:revision>
  <dcterms:created xsi:type="dcterms:W3CDTF">2026-07-01T09:45:00Z</dcterms:created>
  <dcterms:modified xsi:type="dcterms:W3CDTF">2026-07-01T09:45:00Z</dcterms:modified>
</cp:coreProperties>
</file>