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56B503" w14:textId="77777777" w:rsidR="006B03B5" w:rsidRPr="0048749F" w:rsidRDefault="006B03B5" w:rsidP="006B03B5">
      <w:pPr>
        <w:spacing w:line="240" w:lineRule="auto"/>
        <w:jc w:val="center"/>
        <w:rPr>
          <w:lang w:val="en-US"/>
        </w:rPr>
      </w:pPr>
      <w:bookmarkStart w:id="0" w:name="_gjdgxs" w:colFirst="0" w:colLast="0"/>
      <w:bookmarkStart w:id="1" w:name="_GoBack"/>
      <w:bookmarkEnd w:id="0"/>
      <w:bookmarkEnd w:id="1"/>
    </w:p>
    <w:p w14:paraId="5B6AFABF" w14:textId="77777777" w:rsidR="006B03B5" w:rsidRPr="0048749F" w:rsidRDefault="006B03B5" w:rsidP="006B03B5">
      <w:pPr>
        <w:spacing w:line="240" w:lineRule="auto"/>
        <w:jc w:val="center"/>
        <w:rPr>
          <w:lang w:val="en-US"/>
        </w:rPr>
      </w:pPr>
      <w:r w:rsidRPr="0048749F">
        <w:rPr>
          <w:rFonts w:eastAsia="Calibri"/>
          <w:noProof/>
          <w:lang w:val="en-US"/>
        </w:rPr>
        <w:drawing>
          <wp:inline distT="0" distB="0" distL="0" distR="0" wp14:anchorId="3979D56F" wp14:editId="11FDD094">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3222563E" w14:textId="77777777" w:rsidR="006B03B5" w:rsidRPr="0048749F" w:rsidRDefault="006B03B5" w:rsidP="006B03B5">
      <w:pPr>
        <w:spacing w:line="240" w:lineRule="auto"/>
        <w:jc w:val="center"/>
        <w:rPr>
          <w:lang w:val="en-US"/>
        </w:rPr>
      </w:pPr>
    </w:p>
    <w:p w14:paraId="6A534EBB" w14:textId="77777777" w:rsidR="006B03B5" w:rsidRPr="0048749F" w:rsidRDefault="006B03B5" w:rsidP="006B03B5">
      <w:pPr>
        <w:spacing w:line="240" w:lineRule="auto"/>
        <w:jc w:val="center"/>
        <w:rPr>
          <w:lang w:val="en-US"/>
        </w:rPr>
      </w:pPr>
    </w:p>
    <w:p w14:paraId="19003D58" w14:textId="7E7ABCE3" w:rsidR="006B03B5" w:rsidRDefault="006B03B5" w:rsidP="006B03B5">
      <w:pPr>
        <w:spacing w:line="240" w:lineRule="auto"/>
        <w:jc w:val="center"/>
        <w:rPr>
          <w:rFonts w:cstheme="minorHAnsi"/>
          <w:lang w:val="en-US"/>
        </w:rPr>
      </w:pPr>
      <w:r w:rsidRPr="0048749F">
        <w:rPr>
          <w:rFonts w:cstheme="minorHAnsi"/>
          <w:lang w:val="en-US"/>
        </w:rPr>
        <w:t>Americans for Democracy and Human Rights in Bahrain</w:t>
      </w:r>
    </w:p>
    <w:p w14:paraId="45AD474D" w14:textId="2395321C" w:rsidR="00E217FA" w:rsidRDefault="00E217FA" w:rsidP="006B03B5">
      <w:pPr>
        <w:spacing w:line="240" w:lineRule="auto"/>
        <w:jc w:val="center"/>
        <w:rPr>
          <w:rFonts w:cstheme="minorHAnsi"/>
          <w:lang w:val="en-US"/>
        </w:rPr>
      </w:pPr>
    </w:p>
    <w:p w14:paraId="2DB02D8C" w14:textId="17EE5B67" w:rsidR="00E217FA" w:rsidRDefault="00E217FA" w:rsidP="006B03B5">
      <w:pPr>
        <w:spacing w:line="240" w:lineRule="auto"/>
        <w:jc w:val="center"/>
        <w:rPr>
          <w:rFonts w:cstheme="minorHAnsi"/>
          <w:lang w:val="en-US"/>
        </w:rPr>
      </w:pPr>
      <w:r w:rsidRPr="00E217FA">
        <w:rPr>
          <w:rFonts w:cstheme="minorHAnsi"/>
          <w:noProof/>
          <w:lang w:val="en-US"/>
        </w:rPr>
        <w:drawing>
          <wp:inline distT="0" distB="0" distL="0" distR="0" wp14:anchorId="189A3AC0" wp14:editId="1DA6804F">
            <wp:extent cx="1885950" cy="1885950"/>
            <wp:effectExtent l="0" t="0" r="0" b="0"/>
            <wp:docPr id="2" name="Picture 2" descr="C:\Users\Mohajer12\Downloads\ECDH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jer12\Downloads\ECDHR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p>
    <w:p w14:paraId="2E354BBF" w14:textId="56B76BF5" w:rsidR="00E217FA" w:rsidRDefault="00E217FA" w:rsidP="006B03B5">
      <w:pPr>
        <w:spacing w:line="240" w:lineRule="auto"/>
        <w:jc w:val="center"/>
        <w:rPr>
          <w:rFonts w:cstheme="minorHAnsi"/>
          <w:lang w:val="en-US"/>
        </w:rPr>
      </w:pPr>
    </w:p>
    <w:p w14:paraId="55B57CBB" w14:textId="74C0A145" w:rsidR="00E217FA" w:rsidRPr="0048749F" w:rsidRDefault="00E217FA" w:rsidP="006B03B5">
      <w:pPr>
        <w:spacing w:line="240" w:lineRule="auto"/>
        <w:jc w:val="center"/>
        <w:rPr>
          <w:rFonts w:cstheme="minorHAnsi"/>
          <w:lang w:val="en-US"/>
        </w:rPr>
      </w:pPr>
      <w:r>
        <w:rPr>
          <w:rFonts w:cstheme="minorHAnsi"/>
          <w:lang w:val="en-US"/>
        </w:rPr>
        <w:t xml:space="preserve">European Center for Democracy and Human Rights </w:t>
      </w:r>
    </w:p>
    <w:p w14:paraId="393E118A" w14:textId="77777777" w:rsidR="006B03B5" w:rsidRPr="0048749F" w:rsidRDefault="006B03B5" w:rsidP="006B03B5">
      <w:pPr>
        <w:spacing w:line="240" w:lineRule="auto"/>
        <w:jc w:val="center"/>
        <w:rPr>
          <w:rFonts w:cstheme="minorHAnsi"/>
          <w:lang w:val="en-US"/>
        </w:rPr>
      </w:pPr>
    </w:p>
    <w:p w14:paraId="1D33BA4B" w14:textId="77777777" w:rsidR="006B03B5" w:rsidRPr="0048749F" w:rsidRDefault="006B03B5" w:rsidP="006B03B5">
      <w:pPr>
        <w:spacing w:line="240" w:lineRule="auto"/>
        <w:jc w:val="center"/>
        <w:rPr>
          <w:rFonts w:cstheme="minorHAnsi"/>
          <w:lang w:val="en-US"/>
        </w:rPr>
      </w:pPr>
    </w:p>
    <w:p w14:paraId="647E9CF2" w14:textId="77777777" w:rsidR="006B03B5" w:rsidRPr="0048749F" w:rsidRDefault="006B03B5" w:rsidP="006B03B5">
      <w:pPr>
        <w:spacing w:line="240" w:lineRule="auto"/>
        <w:jc w:val="center"/>
        <w:rPr>
          <w:rFonts w:cstheme="minorHAnsi"/>
          <w:lang w:val="en-US"/>
        </w:rPr>
      </w:pPr>
    </w:p>
    <w:p w14:paraId="6857D79D" w14:textId="7F0D3EC3" w:rsidR="006B03B5" w:rsidRPr="0048749F" w:rsidRDefault="006B03B5" w:rsidP="006B03B5">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76</w:t>
      </w:r>
      <w:r w:rsidRPr="0048749F">
        <w:rPr>
          <w:rFonts w:cstheme="minorHAnsi"/>
          <w:vertAlign w:val="superscript"/>
          <w:lang w:val="en-US"/>
        </w:rPr>
        <w:t>th</w:t>
      </w:r>
      <w:r w:rsidRPr="0048749F">
        <w:rPr>
          <w:rFonts w:cstheme="minorHAnsi"/>
          <w:lang w:val="en-US"/>
        </w:rPr>
        <w:t xml:space="preserve"> session of the </w:t>
      </w:r>
      <w:r>
        <w:rPr>
          <w:rFonts w:cstheme="minorHAnsi"/>
          <w:lang w:val="en-US"/>
        </w:rPr>
        <w:t>Convention of the Elimination of All Forms of Discrimination Against Women-CEDAW</w:t>
      </w:r>
    </w:p>
    <w:p w14:paraId="0CF78ADD" w14:textId="77777777" w:rsidR="006B03B5" w:rsidRPr="0048749F" w:rsidRDefault="006B03B5" w:rsidP="006B03B5">
      <w:pPr>
        <w:spacing w:line="240" w:lineRule="auto"/>
        <w:jc w:val="center"/>
        <w:rPr>
          <w:rFonts w:cstheme="minorHAnsi"/>
          <w:lang w:val="en-US"/>
        </w:rPr>
      </w:pPr>
    </w:p>
    <w:p w14:paraId="0F96F82F" w14:textId="77777777" w:rsidR="006B03B5" w:rsidRPr="0048749F" w:rsidRDefault="006B03B5" w:rsidP="006B03B5">
      <w:pPr>
        <w:spacing w:line="240" w:lineRule="auto"/>
        <w:rPr>
          <w:rFonts w:cstheme="minorHAnsi"/>
          <w:lang w:val="en-US"/>
        </w:rPr>
      </w:pPr>
    </w:p>
    <w:p w14:paraId="2DBBE9E2" w14:textId="77777777" w:rsidR="006B03B5" w:rsidRPr="0048749F" w:rsidRDefault="006B03B5" w:rsidP="006B03B5">
      <w:pPr>
        <w:spacing w:line="240" w:lineRule="auto"/>
        <w:rPr>
          <w:rFonts w:cstheme="minorHAnsi"/>
          <w:lang w:val="en-US"/>
        </w:rPr>
      </w:pPr>
    </w:p>
    <w:p w14:paraId="1D084F88" w14:textId="77777777" w:rsidR="006B03B5" w:rsidRPr="0048749F" w:rsidRDefault="006B03B5" w:rsidP="006B03B5">
      <w:pPr>
        <w:spacing w:line="240" w:lineRule="auto"/>
        <w:rPr>
          <w:rFonts w:cstheme="minorHAnsi"/>
          <w:lang w:val="en-US"/>
        </w:rPr>
      </w:pPr>
    </w:p>
    <w:p w14:paraId="3F9668AB" w14:textId="5ABCB792" w:rsidR="006B03B5" w:rsidRPr="0048749F" w:rsidRDefault="006B03B5" w:rsidP="006B03B5">
      <w:pPr>
        <w:spacing w:line="240" w:lineRule="auto"/>
        <w:jc w:val="center"/>
        <w:rPr>
          <w:rFonts w:cstheme="minorHAnsi"/>
          <w:b/>
          <w:bCs/>
          <w:shd w:val="clear" w:color="auto" w:fill="FFFFFF"/>
          <w:lang w:val="en-US"/>
        </w:rPr>
      </w:pPr>
      <w:r w:rsidRPr="0048749F">
        <w:rPr>
          <w:rFonts w:cstheme="minorHAnsi"/>
          <w:b/>
          <w:bCs/>
          <w:shd w:val="clear" w:color="auto" w:fill="FFFFFF"/>
          <w:lang w:val="en-US"/>
        </w:rPr>
        <w:t xml:space="preserve">Concerning Systematic </w:t>
      </w:r>
      <w:r>
        <w:rPr>
          <w:rFonts w:cstheme="minorHAnsi"/>
          <w:b/>
          <w:bCs/>
          <w:shd w:val="clear" w:color="auto" w:fill="FFFFFF"/>
          <w:lang w:val="en-US"/>
        </w:rPr>
        <w:t>Women Rights Violations in Bahrain</w:t>
      </w:r>
    </w:p>
    <w:p w14:paraId="083A4004" w14:textId="77777777" w:rsidR="006B03B5" w:rsidRPr="0048749F" w:rsidRDefault="006B03B5" w:rsidP="006B03B5">
      <w:pPr>
        <w:spacing w:line="240" w:lineRule="auto"/>
        <w:rPr>
          <w:rFonts w:cstheme="minorHAnsi"/>
          <w:shd w:val="clear" w:color="auto" w:fill="FFFFFF"/>
          <w:lang w:val="en-US"/>
        </w:rPr>
      </w:pPr>
    </w:p>
    <w:p w14:paraId="3DB68F67" w14:textId="77777777" w:rsidR="006B03B5" w:rsidRPr="0048749F" w:rsidRDefault="006B03B5" w:rsidP="006B03B5">
      <w:pPr>
        <w:spacing w:line="240" w:lineRule="auto"/>
        <w:rPr>
          <w:rFonts w:cstheme="minorHAnsi"/>
          <w:lang w:val="en-US"/>
        </w:rPr>
      </w:pPr>
    </w:p>
    <w:p w14:paraId="1FA833DE" w14:textId="77777777" w:rsidR="006B03B5" w:rsidRPr="0048749F" w:rsidRDefault="006B03B5" w:rsidP="006B03B5">
      <w:pPr>
        <w:spacing w:line="240" w:lineRule="auto"/>
        <w:rPr>
          <w:rFonts w:cstheme="minorHAnsi"/>
          <w:lang w:val="en-US"/>
        </w:rPr>
      </w:pPr>
    </w:p>
    <w:p w14:paraId="12DA9023" w14:textId="77777777" w:rsidR="006B03B5" w:rsidRPr="0048749F" w:rsidRDefault="006B03B5" w:rsidP="006B03B5">
      <w:pPr>
        <w:spacing w:line="240" w:lineRule="auto"/>
        <w:rPr>
          <w:rFonts w:cstheme="minorHAnsi"/>
          <w:lang w:val="en-US"/>
        </w:rPr>
      </w:pPr>
    </w:p>
    <w:p w14:paraId="65D842F0" w14:textId="4C3DD6C4" w:rsidR="006B03B5" w:rsidRPr="0048749F" w:rsidRDefault="006B03B5" w:rsidP="006B03B5">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348CE22E" w14:textId="4A8BEDB6" w:rsidR="006B03B5" w:rsidRPr="0048749F" w:rsidRDefault="006B03B5" w:rsidP="006B03B5">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9" w:history="1">
        <w:r w:rsidRPr="0048749F">
          <w:rPr>
            <w:rFonts w:eastAsia="Calibri" w:cstheme="minorHAnsi"/>
            <w:color w:val="0000FF"/>
            <w:u w:val="single"/>
            <w:shd w:val="clear" w:color="auto" w:fill="FFFFFF"/>
            <w:lang w:val="en-US"/>
          </w:rPr>
          <w:t>habdulla@adhrb.org</w:t>
        </w:r>
      </w:hyperlink>
    </w:p>
    <w:p w14:paraId="1BCDD541" w14:textId="77777777" w:rsidR="006B03B5" w:rsidRPr="0048749F" w:rsidRDefault="006B03B5" w:rsidP="006B03B5">
      <w:pPr>
        <w:spacing w:line="240" w:lineRule="auto"/>
        <w:ind w:left="2268"/>
        <w:jc w:val="both"/>
        <w:rPr>
          <w:rFonts w:eastAsia="Calibri" w:cstheme="minorHAnsi"/>
          <w:shd w:val="clear" w:color="auto" w:fill="FFFFFF"/>
          <w:lang w:val="en-US"/>
        </w:rPr>
      </w:pPr>
    </w:p>
    <w:p w14:paraId="427AF096" w14:textId="020F4900" w:rsidR="006B03B5" w:rsidRPr="0048749F" w:rsidRDefault="006B03B5" w:rsidP="006B03B5">
      <w:pPr>
        <w:spacing w:line="240" w:lineRule="auto"/>
        <w:ind w:left="1418" w:firstLine="709"/>
        <w:jc w:val="both"/>
        <w:rPr>
          <w:rFonts w:eastAsia="Calibri" w:cstheme="minorHAnsi"/>
          <w:shd w:val="clear" w:color="auto" w:fill="FFFFFF"/>
          <w:lang w:val="en-US"/>
        </w:rPr>
      </w:pPr>
    </w:p>
    <w:p w14:paraId="0007831F" w14:textId="58411A2C" w:rsidR="006E2F2D" w:rsidRDefault="006B03B5" w:rsidP="006B03B5">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0" w:history="1">
        <w:r w:rsidRPr="0048749F">
          <w:rPr>
            <w:rFonts w:eastAsia="Calibri" w:cstheme="minorHAnsi"/>
            <w:color w:val="0000FF"/>
            <w:u w:val="single"/>
            <w:shd w:val="clear" w:color="auto" w:fill="FFFFFF"/>
            <w:lang w:val="en-US"/>
          </w:rPr>
          <w:t>www.adhrb.org</w:t>
        </w:r>
      </w:hyperlink>
    </w:p>
    <w:p w14:paraId="5495DFA0" w14:textId="77777777" w:rsidR="006E2F2D" w:rsidRDefault="006E2F2D" w:rsidP="006B03B5">
      <w:pPr>
        <w:spacing w:line="240" w:lineRule="auto"/>
        <w:ind w:left="1418" w:firstLine="709"/>
        <w:jc w:val="both"/>
        <w:rPr>
          <w:rFonts w:eastAsia="Calibri" w:cstheme="minorHAnsi"/>
          <w:color w:val="0000FF"/>
          <w:u w:val="single"/>
          <w:shd w:val="clear" w:color="auto" w:fill="FFFFFF"/>
          <w:lang w:val="en-US"/>
        </w:rPr>
      </w:pPr>
    </w:p>
    <w:p w14:paraId="20EDD22A" w14:textId="77EA1F2A" w:rsidR="006E2F2D" w:rsidRDefault="006E2F2D" w:rsidP="0065574D">
      <w:pPr>
        <w:spacing w:line="240" w:lineRule="auto"/>
        <w:ind w:left="1418" w:firstLine="709"/>
        <w:jc w:val="both"/>
        <w:rPr>
          <w:rFonts w:ascii="Calibri" w:eastAsia="Calibri" w:hAnsi="Calibri" w:cs="Calibri"/>
          <w:b/>
          <w:color w:val="1D1D1D"/>
          <w:sz w:val="26"/>
          <w:szCs w:val="26"/>
          <w:u w:val="single"/>
        </w:rPr>
      </w:pPr>
      <w:r>
        <w:rPr>
          <w:rFonts w:eastAsia="Calibri" w:cstheme="minorHAnsi"/>
          <w:color w:val="0000FF"/>
          <w:u w:val="single"/>
          <w:shd w:val="clear" w:color="auto" w:fill="FFFFFF"/>
          <w:lang w:val="en-US"/>
        </w:rPr>
        <w:t xml:space="preserve"> </w:t>
      </w:r>
      <w:hyperlink r:id="rId11" w:history="1">
        <w:r>
          <w:rPr>
            <w:rStyle w:val="Hyperlink"/>
          </w:rPr>
          <w:t>https://www.ecdhr.org/</w:t>
        </w:r>
      </w:hyperlink>
    </w:p>
    <w:p w14:paraId="00000001" w14:textId="74E5AC99" w:rsidR="00866DEB" w:rsidRDefault="00E77CB8">
      <w:pPr>
        <w:spacing w:before="200" w:after="200" w:line="480" w:lineRule="auto"/>
        <w:jc w:val="center"/>
        <w:rPr>
          <w:rFonts w:ascii="Calibri" w:eastAsia="Calibri" w:hAnsi="Calibri" w:cs="Calibri"/>
          <w:b/>
          <w:color w:val="1D1D1D"/>
          <w:sz w:val="26"/>
          <w:szCs w:val="26"/>
          <w:u w:val="single"/>
        </w:rPr>
      </w:pPr>
      <w:r>
        <w:rPr>
          <w:rFonts w:ascii="Calibri" w:eastAsia="Calibri" w:hAnsi="Calibri" w:cs="Calibri"/>
          <w:b/>
          <w:color w:val="1D1D1D"/>
          <w:sz w:val="26"/>
          <w:szCs w:val="26"/>
          <w:u w:val="single"/>
        </w:rPr>
        <w:lastRenderedPageBreak/>
        <w:t>CEDAW REPORT ON BAHRAIN</w:t>
      </w:r>
    </w:p>
    <w:p w14:paraId="00000002" w14:textId="5B0F826F" w:rsidR="00866DEB" w:rsidRDefault="00540213">
      <w:pPr>
        <w:spacing w:after="200" w:line="360" w:lineRule="auto"/>
        <w:rPr>
          <w:rFonts w:ascii="Calibri" w:eastAsia="Calibri" w:hAnsi="Calibri" w:cs="Calibri"/>
          <w:b/>
          <w:color w:val="1D1D1D"/>
        </w:rPr>
      </w:pPr>
      <w:r>
        <w:rPr>
          <w:rFonts w:ascii="Calibri" w:eastAsia="Calibri" w:hAnsi="Calibri" w:cs="Calibri"/>
          <w:b/>
          <w:color w:val="1D1D1D"/>
        </w:rPr>
        <w:t>I. Submitting Organization</w:t>
      </w:r>
      <w:r w:rsidR="008C55B4">
        <w:rPr>
          <w:rFonts w:ascii="Calibri" w:eastAsia="Calibri" w:hAnsi="Calibri" w:cs="Calibri"/>
          <w:b/>
          <w:color w:val="1D1D1D"/>
        </w:rPr>
        <w:t>s</w:t>
      </w:r>
      <w:r>
        <w:rPr>
          <w:rFonts w:ascii="Calibri" w:eastAsia="Calibri" w:hAnsi="Calibri" w:cs="Calibri"/>
          <w:b/>
          <w:color w:val="1D1D1D"/>
        </w:rPr>
        <w:t xml:space="preserve"> </w:t>
      </w:r>
    </w:p>
    <w:p w14:paraId="00000003" w14:textId="2982869D" w:rsidR="00866DEB" w:rsidRDefault="00540213">
      <w:pPr>
        <w:spacing w:line="360" w:lineRule="auto"/>
        <w:jc w:val="both"/>
        <w:rPr>
          <w:rFonts w:ascii="Calibri" w:eastAsia="Calibri" w:hAnsi="Calibri" w:cs="Calibri"/>
          <w:color w:val="1D1D1D"/>
        </w:rPr>
      </w:pPr>
      <w:r>
        <w:rPr>
          <w:rFonts w:ascii="Calibri" w:eastAsia="Calibri" w:hAnsi="Calibri" w:cs="Calibri"/>
          <w:color w:val="1D1D1D"/>
        </w:rPr>
        <w:t>Americans for Democracy &amp; Human Rights in Bahrain (ADHRB) is a non-profit organization fostering awareness of and support for democracy and human rights in Bahrain and the Middle East. ADHRB holds ECOSOC consultative status with the United Nations (UN).</w:t>
      </w:r>
      <w:r w:rsidR="008C55B4">
        <w:rPr>
          <w:rFonts w:ascii="Calibri" w:eastAsia="Calibri" w:hAnsi="Calibri" w:cs="Calibri"/>
          <w:color w:val="1D1D1D"/>
        </w:rPr>
        <w:t xml:space="preserve"> The European Center for Democracy and Human Rights (ECDHR) is a Brussels based NGO seeking to promote human rights and democracy in the Gulf Cooperation Council Countries.  </w:t>
      </w:r>
    </w:p>
    <w:p w14:paraId="00000004" w14:textId="77777777" w:rsidR="00866DEB" w:rsidRDefault="00866DEB">
      <w:pPr>
        <w:spacing w:line="360" w:lineRule="auto"/>
        <w:jc w:val="both"/>
        <w:rPr>
          <w:rFonts w:ascii="Calibri" w:eastAsia="Calibri" w:hAnsi="Calibri" w:cs="Calibri"/>
          <w:color w:val="1D1D1D"/>
        </w:rPr>
      </w:pPr>
    </w:p>
    <w:p w14:paraId="00000005" w14:textId="77777777" w:rsidR="00866DEB" w:rsidRDefault="00540213">
      <w:pPr>
        <w:spacing w:after="200" w:line="360" w:lineRule="auto"/>
        <w:rPr>
          <w:rFonts w:ascii="Calibri" w:eastAsia="Calibri" w:hAnsi="Calibri" w:cs="Calibri"/>
          <w:b/>
          <w:color w:val="1D1D1D"/>
        </w:rPr>
      </w:pPr>
      <w:r>
        <w:rPr>
          <w:rFonts w:ascii="Calibri" w:eastAsia="Calibri" w:hAnsi="Calibri" w:cs="Calibri"/>
          <w:b/>
          <w:color w:val="1D1D1D"/>
        </w:rPr>
        <w:t xml:space="preserve">II. Introduction </w:t>
      </w:r>
    </w:p>
    <w:p w14:paraId="00000006" w14:textId="77777777" w:rsidR="00866DEB" w:rsidRDefault="00540213">
      <w:pPr>
        <w:spacing w:line="360" w:lineRule="auto"/>
        <w:jc w:val="both"/>
        <w:rPr>
          <w:rFonts w:ascii="Calibri" w:eastAsia="Calibri" w:hAnsi="Calibri" w:cs="Calibri"/>
        </w:rPr>
      </w:pPr>
      <w:r>
        <w:rPr>
          <w:rFonts w:ascii="Calibri" w:eastAsia="Calibri" w:hAnsi="Calibri" w:cs="Calibri"/>
        </w:rPr>
        <w:t xml:space="preserve">In 2002, Bahrain ratified the Convention on the Elimination of All Forms of Discrimination against Women (CEDAW). By ratifying the treaty, Bahrain undertook a duty to fulfil its international obligation to gender equality and to take the necessary measures to ensure respect for women's rights. Despite this, the government introduced reservations to five articles of the Convention which blocked its commitment and excluded or modified the legal effect of its provisions. </w:t>
      </w:r>
    </w:p>
    <w:p w14:paraId="00000007" w14:textId="77777777" w:rsidR="00866DEB" w:rsidRDefault="00866DEB">
      <w:pPr>
        <w:spacing w:line="360" w:lineRule="auto"/>
        <w:jc w:val="both"/>
        <w:rPr>
          <w:rFonts w:ascii="Calibri" w:eastAsia="Calibri" w:hAnsi="Calibri" w:cs="Calibri"/>
        </w:rPr>
      </w:pPr>
    </w:p>
    <w:p w14:paraId="00000008" w14:textId="77777777" w:rsidR="00866DEB" w:rsidRDefault="00540213">
      <w:pPr>
        <w:spacing w:line="360" w:lineRule="auto"/>
        <w:jc w:val="both"/>
        <w:rPr>
          <w:rFonts w:ascii="Calibri" w:eastAsia="Calibri" w:hAnsi="Calibri" w:cs="Calibri"/>
        </w:rPr>
      </w:pPr>
      <w:r>
        <w:rPr>
          <w:rFonts w:ascii="Calibri" w:eastAsia="Calibri" w:hAnsi="Calibri" w:cs="Calibri"/>
        </w:rPr>
        <w:t xml:space="preserve">Furthermore, the government continues to impede the recommendations of the Special Procedures mandates as well as the suggestions of the Working Group on discrimination against women. Bahrain is still a long way from fulfilling its obligations under the convention, as women's rights have been consistently violated and undermined since the 2011 demonstrations. The situation is declining and the government has abstained from taking the required steps to combat widespread discrimination against women. </w:t>
      </w:r>
    </w:p>
    <w:p w14:paraId="00000009" w14:textId="77777777" w:rsidR="00866DEB" w:rsidRDefault="00866DEB">
      <w:pPr>
        <w:spacing w:line="360" w:lineRule="auto"/>
        <w:jc w:val="both"/>
        <w:rPr>
          <w:rFonts w:ascii="Calibri" w:eastAsia="Calibri" w:hAnsi="Calibri" w:cs="Calibri"/>
        </w:rPr>
      </w:pPr>
    </w:p>
    <w:p w14:paraId="0000000A" w14:textId="77777777" w:rsidR="00866DEB" w:rsidRDefault="00540213">
      <w:pPr>
        <w:spacing w:line="360" w:lineRule="auto"/>
        <w:jc w:val="both"/>
        <w:rPr>
          <w:rFonts w:ascii="Calibri" w:eastAsia="Calibri" w:hAnsi="Calibri" w:cs="Calibri"/>
        </w:rPr>
      </w:pPr>
      <w:r>
        <w:rPr>
          <w:rFonts w:ascii="Calibri" w:eastAsia="Calibri" w:hAnsi="Calibri" w:cs="Calibri"/>
        </w:rPr>
        <w:t>Due to a lack of legislation directly addressing gender-based equality and the slow pace of reform implementation, the CEDAW Committee has expressed its concern about the ongoing dismissal of women’s rights in Bahrain. However, the Bahraini government continues to discriminate against women in all aspects of their lives, particularly in spheres of activism, marriage, and legal justice.</w:t>
      </w:r>
    </w:p>
    <w:p w14:paraId="0000000B" w14:textId="77777777" w:rsidR="00866DEB" w:rsidRDefault="00866DEB">
      <w:pPr>
        <w:spacing w:line="360" w:lineRule="auto"/>
        <w:jc w:val="both"/>
        <w:rPr>
          <w:rFonts w:ascii="Calibri" w:eastAsia="Calibri" w:hAnsi="Calibri" w:cs="Calibri"/>
        </w:rPr>
      </w:pPr>
    </w:p>
    <w:p w14:paraId="0000000C" w14:textId="77777777" w:rsidR="00866DEB" w:rsidRDefault="00540213">
      <w:pPr>
        <w:spacing w:line="360" w:lineRule="auto"/>
        <w:jc w:val="both"/>
        <w:rPr>
          <w:rFonts w:ascii="Calibri" w:eastAsia="Calibri" w:hAnsi="Calibri" w:cs="Calibri"/>
        </w:rPr>
      </w:pPr>
      <w:r>
        <w:rPr>
          <w:rFonts w:ascii="Calibri" w:eastAsia="Calibri" w:hAnsi="Calibri" w:cs="Calibri"/>
        </w:rPr>
        <w:t xml:space="preserve">Americans for Democracy &amp; Human Rights in Bahrain (ADHRB) is deeply concerned about the government's authoritarian stance and acceptance of gender discrimination. Women throughout Bahrain </w:t>
      </w:r>
      <w:r>
        <w:rPr>
          <w:rFonts w:ascii="Calibri" w:eastAsia="Calibri" w:hAnsi="Calibri" w:cs="Calibri"/>
        </w:rPr>
        <w:lastRenderedPageBreak/>
        <w:t xml:space="preserve">are suffering without government support and with little means to break their silence. This </w:t>
      </w:r>
      <w:r>
        <w:rPr>
          <w:rFonts w:ascii="Calibri" w:eastAsia="Calibri" w:hAnsi="Calibri" w:cs="Calibri"/>
          <w:highlight w:val="white"/>
        </w:rPr>
        <w:t>report seeks to demonstrate the systematic violation of women’s rights in Bahrain and bring light to their experiences.</w:t>
      </w:r>
    </w:p>
    <w:p w14:paraId="0000000D" w14:textId="77777777" w:rsidR="00866DEB" w:rsidRDefault="00866DEB">
      <w:pPr>
        <w:spacing w:line="360" w:lineRule="auto"/>
        <w:jc w:val="both"/>
        <w:rPr>
          <w:rFonts w:ascii="Calibri" w:eastAsia="Calibri" w:hAnsi="Calibri" w:cs="Calibri"/>
        </w:rPr>
      </w:pPr>
    </w:p>
    <w:p w14:paraId="0000000E" w14:textId="19653390" w:rsidR="00866DEB" w:rsidRDefault="00783363">
      <w:pPr>
        <w:spacing w:after="200" w:line="360" w:lineRule="auto"/>
        <w:rPr>
          <w:rFonts w:ascii="Calibri" w:eastAsia="Calibri" w:hAnsi="Calibri" w:cs="Calibri"/>
          <w:b/>
        </w:rPr>
      </w:pPr>
      <w:r>
        <w:rPr>
          <w:rFonts w:ascii="Calibri" w:eastAsia="Calibri" w:hAnsi="Calibri" w:cs="Calibri"/>
          <w:b/>
          <w:color w:val="1D1D1D"/>
        </w:rPr>
        <w:t xml:space="preserve">III. Issues </w:t>
      </w:r>
    </w:p>
    <w:p w14:paraId="0000000F" w14:textId="77777777" w:rsidR="00866DEB" w:rsidRDefault="00540213">
      <w:pPr>
        <w:shd w:val="clear" w:color="auto" w:fill="FFFFFF"/>
        <w:spacing w:after="200"/>
        <w:rPr>
          <w:rFonts w:ascii="Calibri" w:eastAsia="Calibri" w:hAnsi="Calibri" w:cs="Calibri"/>
          <w:b/>
        </w:rPr>
      </w:pPr>
      <w:r>
        <w:rPr>
          <w:rFonts w:ascii="Calibri" w:eastAsia="Calibri" w:hAnsi="Calibri" w:cs="Calibri"/>
          <w:b/>
        </w:rPr>
        <w:t>A. Institutions</w:t>
      </w:r>
    </w:p>
    <w:p w14:paraId="00000010" w14:textId="77777777" w:rsidR="00866DEB" w:rsidRDefault="00540213">
      <w:pPr>
        <w:shd w:val="clear" w:color="auto" w:fill="FFFFFF"/>
        <w:spacing w:after="200"/>
        <w:rPr>
          <w:rFonts w:ascii="Calibri" w:eastAsia="Calibri" w:hAnsi="Calibri" w:cs="Calibri"/>
          <w:b/>
        </w:rPr>
      </w:pPr>
      <w:r>
        <w:rPr>
          <w:rFonts w:ascii="Calibri" w:eastAsia="Calibri" w:hAnsi="Calibri" w:cs="Calibri"/>
          <w:b/>
          <w:color w:val="222222"/>
        </w:rPr>
        <w:t xml:space="preserve">1. </w:t>
      </w:r>
      <w:r>
        <w:rPr>
          <w:rFonts w:ascii="Calibri" w:eastAsia="Calibri" w:hAnsi="Calibri" w:cs="Calibri"/>
          <w:b/>
        </w:rPr>
        <w:t>The Role of the Supreme Council for Women</w:t>
      </w:r>
    </w:p>
    <w:p w14:paraId="00000011" w14:textId="152C0492"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The Supreme Council for Women is the Bahraini government’s advisory body on women’s issues. It communicates with civil society </w:t>
      </w:r>
      <w:r w:rsidR="00783363">
        <w:rPr>
          <w:rFonts w:ascii="Calibri" w:eastAsia="Calibri" w:hAnsi="Calibri" w:cs="Calibri"/>
        </w:rPr>
        <w:t>organizations</w:t>
      </w:r>
      <w:r>
        <w:rPr>
          <w:rFonts w:ascii="Calibri" w:eastAsia="Calibri" w:hAnsi="Calibri" w:cs="Calibri"/>
        </w:rPr>
        <w:t xml:space="preserve">, supports governmental </w:t>
      </w:r>
      <w:r w:rsidR="00783363">
        <w:rPr>
          <w:rFonts w:ascii="Calibri" w:eastAsia="Calibri" w:hAnsi="Calibri" w:cs="Calibri"/>
        </w:rPr>
        <w:t>programs</w:t>
      </w:r>
      <w:r>
        <w:rPr>
          <w:rFonts w:ascii="Calibri" w:eastAsia="Calibri" w:hAnsi="Calibri" w:cs="Calibri"/>
        </w:rPr>
        <w:t>, and is allegedly committed to the implementation of international treaties, standards, and conventions, such as CEDAW. However, the Council has consistently failed to provide protection for women in Bahraini society and has instead contributed to discriminatory practices.</w:t>
      </w:r>
    </w:p>
    <w:p w14:paraId="00000012" w14:textId="77777777" w:rsidR="00866DEB" w:rsidRDefault="00866DEB">
      <w:pPr>
        <w:shd w:val="clear" w:color="auto" w:fill="FFFFFF"/>
        <w:spacing w:line="360" w:lineRule="auto"/>
        <w:jc w:val="both"/>
        <w:rPr>
          <w:rFonts w:ascii="Calibri" w:eastAsia="Calibri" w:hAnsi="Calibri" w:cs="Calibri"/>
        </w:rPr>
      </w:pPr>
    </w:p>
    <w:p w14:paraId="00000013"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t>a. Lack of Independence</w:t>
      </w:r>
    </w:p>
    <w:p w14:paraId="00000014" w14:textId="7B7DE51A" w:rsidR="00866DEB" w:rsidRDefault="00540213" w:rsidP="00F21764">
      <w:pPr>
        <w:shd w:val="clear" w:color="auto" w:fill="FFFFFF"/>
        <w:spacing w:line="360" w:lineRule="auto"/>
        <w:jc w:val="both"/>
        <w:rPr>
          <w:rFonts w:ascii="Calibri" w:eastAsia="Calibri" w:hAnsi="Calibri" w:cs="Calibri"/>
        </w:rPr>
      </w:pPr>
      <w:r>
        <w:rPr>
          <w:rFonts w:ascii="Calibri" w:eastAsia="Calibri" w:hAnsi="Calibri" w:cs="Calibri"/>
        </w:rPr>
        <w:t xml:space="preserve">The Council is affiliated with the ruling family and is therefore not an independent body; it is chaired by Her Royal Highness Princess Sabeeka Bint Ibrahim Al Khalifa, the King of Bahrain’s wife, and its membership is appointed by the King. Consequently, a majority of women working for the Council were appointed due to their affiliation with Bahraini authorities and ruling parties. The Council’s partisanship was exposed in 2006 </w:t>
      </w:r>
      <w:r w:rsidR="00783363">
        <w:rPr>
          <w:rFonts w:ascii="Calibri" w:eastAsia="Calibri" w:hAnsi="Calibri" w:cs="Calibri"/>
        </w:rPr>
        <w:t xml:space="preserve">and in 2018 </w:t>
      </w:r>
      <w:r>
        <w:rPr>
          <w:rFonts w:ascii="Calibri" w:eastAsia="Calibri" w:hAnsi="Calibri" w:cs="Calibri"/>
        </w:rPr>
        <w:t>by Bahraini women’s rights activist</w:t>
      </w:r>
      <w:r w:rsidR="00F21764">
        <w:rPr>
          <w:rFonts w:ascii="Calibri" w:eastAsia="Calibri" w:hAnsi="Calibri" w:cs="Calibri"/>
          <w:b/>
          <w:bCs/>
        </w:rPr>
        <w:t xml:space="preserve"> Female Victim</w:t>
      </w:r>
      <w:r>
        <w:rPr>
          <w:rFonts w:ascii="Calibri" w:eastAsia="Calibri" w:hAnsi="Calibri" w:cs="Calibri"/>
        </w:rPr>
        <w:t>, who denounced the institution as a "government cliché" and called for its dissolution.</w:t>
      </w:r>
      <w:r>
        <w:rPr>
          <w:rFonts w:ascii="Calibri" w:eastAsia="Calibri" w:hAnsi="Calibri" w:cs="Calibri"/>
          <w:vertAlign w:val="superscript"/>
        </w:rPr>
        <w:footnoteReference w:id="1"/>
      </w:r>
      <w:r>
        <w:rPr>
          <w:rFonts w:ascii="Calibri" w:eastAsia="Calibri" w:hAnsi="Calibri" w:cs="Calibri"/>
        </w:rPr>
        <w:t xml:space="preserve"> Since its formation, no steps have been taken to promote laws in </w:t>
      </w:r>
      <w:r w:rsidR="009169AD">
        <w:rPr>
          <w:rFonts w:ascii="Calibri" w:eastAsia="Calibri" w:hAnsi="Calibri" w:cs="Calibri"/>
        </w:rPr>
        <w:t>favor</w:t>
      </w:r>
      <w:r>
        <w:rPr>
          <w:rFonts w:ascii="Calibri" w:eastAsia="Calibri" w:hAnsi="Calibri" w:cs="Calibri"/>
        </w:rPr>
        <w:t xml:space="preserve"> of women. In the 2006 elections, the Council withheld their support of a prominent female activist, Munira Fakhro, to </w:t>
      </w:r>
      <w:r w:rsidR="009169AD">
        <w:rPr>
          <w:rFonts w:ascii="Calibri" w:eastAsia="Calibri" w:hAnsi="Calibri" w:cs="Calibri"/>
        </w:rPr>
        <w:t>favor</w:t>
      </w:r>
      <w:r>
        <w:rPr>
          <w:rFonts w:ascii="Calibri" w:eastAsia="Calibri" w:hAnsi="Calibri" w:cs="Calibri"/>
        </w:rPr>
        <w:t xml:space="preserve"> Ali Salah of the Salafist Islamist Al Asalah party, who is strongly opposed to women's participation in Bahraini political society</w:t>
      </w:r>
      <w:r w:rsidR="009169AD">
        <w:rPr>
          <w:rFonts w:ascii="Calibri" w:eastAsia="Calibri" w:hAnsi="Calibri" w:cs="Calibri"/>
        </w:rPr>
        <w:t xml:space="preserve"> and closely allied with the Bahraini government and especially with the Royal Court</w:t>
      </w:r>
      <w:r>
        <w:rPr>
          <w:rFonts w:ascii="Calibri" w:eastAsia="Calibri" w:hAnsi="Calibri" w:cs="Calibri"/>
        </w:rPr>
        <w:t>. The institution has consistently failed to support Bahraini women, hence losing its legitimacy as well as its effectiveness.</w:t>
      </w:r>
    </w:p>
    <w:p w14:paraId="379009B4" w14:textId="2BD100DB" w:rsidR="002C0D2B" w:rsidRDefault="002C0D2B">
      <w:pPr>
        <w:shd w:val="clear" w:color="auto" w:fill="FFFFFF"/>
        <w:spacing w:line="360" w:lineRule="auto"/>
        <w:jc w:val="both"/>
        <w:rPr>
          <w:rFonts w:ascii="Calibri" w:eastAsia="Calibri" w:hAnsi="Calibri" w:cs="Calibri"/>
        </w:rPr>
      </w:pPr>
    </w:p>
    <w:p w14:paraId="0C1A8975" w14:textId="77777777" w:rsidR="002C0D2B" w:rsidRDefault="002C0D2B">
      <w:pPr>
        <w:shd w:val="clear" w:color="auto" w:fill="FFFFFF"/>
        <w:spacing w:line="360" w:lineRule="auto"/>
        <w:jc w:val="both"/>
        <w:rPr>
          <w:rFonts w:ascii="Calibri" w:eastAsia="Calibri" w:hAnsi="Calibri" w:cs="Calibri"/>
        </w:rPr>
      </w:pPr>
    </w:p>
    <w:p w14:paraId="00000015" w14:textId="77777777" w:rsidR="00866DEB" w:rsidRDefault="00866DEB">
      <w:pPr>
        <w:shd w:val="clear" w:color="auto" w:fill="FFFFFF"/>
        <w:spacing w:line="360" w:lineRule="auto"/>
        <w:jc w:val="both"/>
        <w:rPr>
          <w:rFonts w:ascii="Times New Roman" w:eastAsia="Times New Roman" w:hAnsi="Times New Roman" w:cs="Times New Roman"/>
        </w:rPr>
      </w:pPr>
    </w:p>
    <w:p w14:paraId="00000016"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lastRenderedPageBreak/>
        <w:t xml:space="preserve">b. Free Legal Assistance in Maintenance, Divorce, Custody, and other Family Related Matters </w:t>
      </w:r>
    </w:p>
    <w:p w14:paraId="00000017" w14:textId="6232306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Despite the fourth State Party’s report that was submitted to the CEDAW Committee stating that the Council guarantees free legal assistance for cases involving maintenance, divorce, custody, and other family related matters, Bahraini women do not possess legal protection or assistance and continue to be subjected to severe forms of discrimination. If the Council fulfilled its role by protecting women's rights, Bahraini women would have support against the governmen</w:t>
      </w:r>
      <w:r w:rsidR="008936BF">
        <w:rPr>
          <w:rFonts w:ascii="Calibri" w:eastAsia="Calibri" w:hAnsi="Calibri" w:cs="Calibri"/>
        </w:rPr>
        <w:t>t’s implementation of the unfair legal</w:t>
      </w:r>
      <w:r>
        <w:rPr>
          <w:rFonts w:ascii="Calibri" w:eastAsia="Calibri" w:hAnsi="Calibri" w:cs="Calibri"/>
        </w:rPr>
        <w:t xml:space="preserve"> system, which maintains discriminatory provisions. </w:t>
      </w:r>
    </w:p>
    <w:p w14:paraId="00000018" w14:textId="77777777" w:rsidR="00866DEB" w:rsidRDefault="00866DEB">
      <w:pPr>
        <w:shd w:val="clear" w:color="auto" w:fill="FFFFFF"/>
        <w:spacing w:line="360" w:lineRule="auto"/>
        <w:jc w:val="both"/>
        <w:rPr>
          <w:rFonts w:ascii="Calibri" w:eastAsia="Calibri" w:hAnsi="Calibri" w:cs="Calibri"/>
        </w:rPr>
      </w:pPr>
    </w:p>
    <w:p w14:paraId="00000019"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t>c. Training Programmes</w:t>
      </w:r>
    </w:p>
    <w:p w14:paraId="0000001A" w14:textId="6FD77E4A"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The training </w:t>
      </w:r>
      <w:r w:rsidR="008936BF">
        <w:rPr>
          <w:rFonts w:ascii="Calibri" w:eastAsia="Calibri" w:hAnsi="Calibri" w:cs="Calibri"/>
        </w:rPr>
        <w:t>programs</w:t>
      </w:r>
      <w:r>
        <w:rPr>
          <w:rFonts w:ascii="Calibri" w:eastAsia="Calibri" w:hAnsi="Calibri" w:cs="Calibri"/>
        </w:rPr>
        <w:t xml:space="preserve"> provided by the Council are decorative tools used to legitimize the institution rather than to aid women suffering from abuse. According to ADHRB documentation, none of the training </w:t>
      </w:r>
      <w:r w:rsidR="008936BF">
        <w:rPr>
          <w:rFonts w:ascii="Calibri" w:eastAsia="Calibri" w:hAnsi="Calibri" w:cs="Calibri"/>
        </w:rPr>
        <w:t>programs carried on</w:t>
      </w:r>
      <w:r>
        <w:rPr>
          <w:rFonts w:ascii="Calibri" w:eastAsia="Calibri" w:hAnsi="Calibri" w:cs="Calibri"/>
        </w:rPr>
        <w:t xml:space="preserve"> by the Council have been implemented successfully.</w:t>
      </w:r>
      <w:r>
        <w:rPr>
          <w:rFonts w:ascii="Calibri" w:eastAsia="Calibri" w:hAnsi="Calibri" w:cs="Calibri"/>
          <w:vertAlign w:val="superscript"/>
        </w:rPr>
        <w:footnoteReference w:id="2"/>
      </w:r>
    </w:p>
    <w:p w14:paraId="0000001B" w14:textId="77777777" w:rsidR="00866DEB" w:rsidRDefault="00866DEB">
      <w:pPr>
        <w:shd w:val="clear" w:color="auto" w:fill="FFFFFF"/>
        <w:spacing w:line="360" w:lineRule="auto"/>
        <w:jc w:val="both"/>
        <w:rPr>
          <w:rFonts w:ascii="Calibri" w:eastAsia="Calibri" w:hAnsi="Calibri" w:cs="Calibri"/>
        </w:rPr>
      </w:pPr>
    </w:p>
    <w:p w14:paraId="0000001C"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t>d. Reported Cases of Violence Against Women</w:t>
      </w:r>
    </w:p>
    <w:p w14:paraId="0000001D"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The Council has not provided any data on cases of violence against women. According to ADHRB's documented information received from victims, the Council continuously rejects women who ask for assistance or file complaints. Over 1000 cases of violence against women have been reported to the Council and subsequently not accepted, not investigated, or not offered assistance.</w:t>
      </w:r>
      <w:r>
        <w:rPr>
          <w:rFonts w:ascii="Calibri" w:eastAsia="Calibri" w:hAnsi="Calibri" w:cs="Calibri"/>
          <w:vertAlign w:val="superscript"/>
        </w:rPr>
        <w:footnoteReference w:id="3"/>
      </w:r>
      <w:r>
        <w:rPr>
          <w:rFonts w:ascii="Calibri" w:eastAsia="Calibri" w:hAnsi="Calibri" w:cs="Calibri"/>
        </w:rPr>
        <w:t xml:space="preserve"> ADHRB has stressed the cases of numerous women who approached the Council, but were left either without help or in an increasingly aggravated situation.</w:t>
      </w:r>
      <w:r>
        <w:rPr>
          <w:rFonts w:ascii="Calibri" w:eastAsia="Calibri" w:hAnsi="Calibri" w:cs="Calibri"/>
          <w:vertAlign w:val="superscript"/>
        </w:rPr>
        <w:footnoteReference w:id="4"/>
      </w:r>
    </w:p>
    <w:p w14:paraId="0000001E" w14:textId="77777777" w:rsidR="00866DEB" w:rsidRDefault="00866DEB">
      <w:pPr>
        <w:shd w:val="clear" w:color="auto" w:fill="FFFFFF"/>
        <w:spacing w:line="360" w:lineRule="auto"/>
        <w:jc w:val="both"/>
        <w:rPr>
          <w:rFonts w:ascii="Calibri" w:eastAsia="Calibri" w:hAnsi="Calibri" w:cs="Calibri"/>
        </w:rPr>
      </w:pPr>
    </w:p>
    <w:p w14:paraId="0000001F" w14:textId="21FE811B" w:rsidR="00866DEB" w:rsidRDefault="00CB1E91" w:rsidP="00A368CD">
      <w:pPr>
        <w:shd w:val="clear" w:color="auto" w:fill="FFFFFF"/>
        <w:spacing w:line="360" w:lineRule="auto"/>
        <w:jc w:val="both"/>
        <w:rPr>
          <w:rFonts w:ascii="Calibri" w:eastAsia="Calibri" w:hAnsi="Calibri" w:cs="Calibri"/>
        </w:rPr>
      </w:pPr>
      <w:r w:rsidRPr="00CB1E91">
        <w:rPr>
          <w:rFonts w:ascii="Calibri" w:eastAsia="Calibri" w:hAnsi="Calibri" w:cs="Calibri"/>
          <w:b/>
          <w:bCs/>
        </w:rPr>
        <w:t>Female Victim</w:t>
      </w:r>
      <w:r w:rsidR="00540213">
        <w:rPr>
          <w:rFonts w:ascii="Calibri" w:eastAsia="Calibri" w:hAnsi="Calibri" w:cs="Calibri"/>
        </w:rPr>
        <w:t xml:space="preserve"> was physically abused by her husband and called for the assistance of the Council, but the institution ruled in </w:t>
      </w:r>
      <w:r w:rsidR="00C10A8F">
        <w:rPr>
          <w:rFonts w:ascii="Calibri" w:eastAsia="Calibri" w:hAnsi="Calibri" w:cs="Calibri"/>
        </w:rPr>
        <w:t>favor</w:t>
      </w:r>
      <w:r w:rsidR="00540213">
        <w:rPr>
          <w:rFonts w:ascii="Calibri" w:eastAsia="Calibri" w:hAnsi="Calibri" w:cs="Calibri"/>
        </w:rPr>
        <w:t xml:space="preserve"> of her husband and encouraged her to return to him, after which she suffered further abuses until the loss of her mobility. After enduring many years of domestic abuse, </w:t>
      </w:r>
      <w:r>
        <w:rPr>
          <w:rFonts w:ascii="Calibri" w:eastAsia="Calibri" w:hAnsi="Calibri" w:cs="Calibri"/>
          <w:b/>
          <w:bCs/>
        </w:rPr>
        <w:t xml:space="preserve">Female Victim </w:t>
      </w:r>
      <w:r w:rsidR="00540213">
        <w:rPr>
          <w:rFonts w:ascii="Calibri" w:eastAsia="Calibri" w:hAnsi="Calibri" w:cs="Calibri"/>
        </w:rPr>
        <w:t>decided to call upon the Council for legal assistance. However, her lawyer warned her that she would lose custody of her children if she had persisted in pursuing the case.</w:t>
      </w:r>
      <w:r>
        <w:rPr>
          <w:rFonts w:ascii="Calibri" w:eastAsia="Calibri" w:hAnsi="Calibri" w:cs="Calibri"/>
        </w:rPr>
        <w:t xml:space="preserve"> </w:t>
      </w:r>
      <w:r>
        <w:rPr>
          <w:rFonts w:ascii="Calibri" w:eastAsia="Calibri" w:hAnsi="Calibri" w:cs="Calibri"/>
          <w:b/>
          <w:bCs/>
        </w:rPr>
        <w:t>Female Victim</w:t>
      </w:r>
      <w:r w:rsidR="00540213">
        <w:rPr>
          <w:rFonts w:ascii="Calibri" w:eastAsia="Calibri" w:hAnsi="Calibri" w:cs="Calibri"/>
        </w:rPr>
        <w:t xml:space="preserve">, after having </w:t>
      </w:r>
      <w:r w:rsidR="00C10A8F">
        <w:rPr>
          <w:rFonts w:ascii="Calibri" w:eastAsia="Calibri" w:hAnsi="Calibri" w:cs="Calibri"/>
        </w:rPr>
        <w:t>filed multiple</w:t>
      </w:r>
      <w:r w:rsidR="00540213">
        <w:rPr>
          <w:rFonts w:ascii="Calibri" w:eastAsia="Calibri" w:hAnsi="Calibri" w:cs="Calibri"/>
        </w:rPr>
        <w:t xml:space="preserve"> </w:t>
      </w:r>
      <w:r w:rsidR="00540213">
        <w:rPr>
          <w:rFonts w:ascii="Calibri" w:eastAsia="Calibri" w:hAnsi="Calibri" w:cs="Calibri"/>
        </w:rPr>
        <w:lastRenderedPageBreak/>
        <w:t xml:space="preserve">requests to receive refuge, was offered no protection. Because of the Supreme Council for Women and the police’s negligence, </w:t>
      </w:r>
      <w:r w:rsidR="00B5754B">
        <w:rPr>
          <w:rFonts w:ascii="Calibri" w:eastAsia="Calibri" w:hAnsi="Calibri" w:cs="Calibri"/>
          <w:b/>
          <w:bCs/>
        </w:rPr>
        <w:t>Female Victim</w:t>
      </w:r>
      <w:r w:rsidR="00540213">
        <w:rPr>
          <w:rFonts w:ascii="Calibri" w:eastAsia="Calibri" w:hAnsi="Calibri" w:cs="Calibri"/>
        </w:rPr>
        <w:t xml:space="preserve"> fell into poverty and lost her children and sadly became blind</w:t>
      </w:r>
      <w:r w:rsidR="00D8529F">
        <w:rPr>
          <w:rFonts w:ascii="Calibri" w:eastAsia="Calibri" w:hAnsi="Calibri" w:cs="Calibri"/>
        </w:rPr>
        <w:t xml:space="preserve"> because of the physical abuse she endured</w:t>
      </w:r>
      <w:r w:rsidR="00540213">
        <w:rPr>
          <w:rFonts w:ascii="Calibri" w:eastAsia="Calibri" w:hAnsi="Calibri" w:cs="Calibri"/>
        </w:rPr>
        <w:t xml:space="preserve">. </w:t>
      </w:r>
      <w:r w:rsidR="00A368CD">
        <w:rPr>
          <w:rFonts w:ascii="Calibri" w:eastAsia="Calibri" w:hAnsi="Calibri" w:cs="Calibri"/>
          <w:b/>
          <w:bCs/>
        </w:rPr>
        <w:t>Female Victim</w:t>
      </w:r>
      <w:r w:rsidR="00540213">
        <w:rPr>
          <w:rFonts w:ascii="Calibri" w:eastAsia="Calibri" w:hAnsi="Calibri" w:cs="Calibri"/>
        </w:rPr>
        <w:t xml:space="preserve"> was imprisoned in 2017 for posts on Facebook that </w:t>
      </w:r>
      <w:r w:rsidR="001E4334">
        <w:rPr>
          <w:rFonts w:ascii="Calibri" w:eastAsia="Calibri" w:hAnsi="Calibri" w:cs="Calibri"/>
        </w:rPr>
        <w:t>criticized</w:t>
      </w:r>
      <w:r w:rsidR="00540213">
        <w:rPr>
          <w:rFonts w:ascii="Calibri" w:eastAsia="Calibri" w:hAnsi="Calibri" w:cs="Calibri"/>
        </w:rPr>
        <w:t xml:space="preserve"> Bahrain's Formula One Grand Prix; she subsequently suffered torture and sexual assault in Isa Town Prison due to indifference from the Council and the lack of oversight from national monitoring institutions. </w:t>
      </w:r>
      <w:r w:rsidR="00A368CD">
        <w:rPr>
          <w:rFonts w:ascii="Calibri" w:eastAsia="Calibri" w:hAnsi="Calibri" w:cs="Calibri"/>
          <w:b/>
          <w:bCs/>
        </w:rPr>
        <w:t xml:space="preserve">Female Victim </w:t>
      </w:r>
      <w:r w:rsidR="00540213">
        <w:rPr>
          <w:rFonts w:ascii="Calibri" w:eastAsia="Calibri" w:hAnsi="Calibri" w:cs="Calibri"/>
        </w:rPr>
        <w:t xml:space="preserve">was repeatedly targeted for her human rights activities and consequently was arrested, tortured, sexually assaulted, and arbitrarily detained for her activities. </w:t>
      </w:r>
      <w:r w:rsidR="00A368CD">
        <w:rPr>
          <w:rFonts w:ascii="Calibri" w:eastAsia="Calibri" w:hAnsi="Calibri" w:cs="Calibri"/>
          <w:b/>
          <w:bCs/>
        </w:rPr>
        <w:t xml:space="preserve">Female Victim </w:t>
      </w:r>
      <w:r w:rsidR="00540213">
        <w:rPr>
          <w:rFonts w:ascii="Calibri" w:eastAsia="Calibri" w:hAnsi="Calibri" w:cs="Calibri"/>
        </w:rPr>
        <w:t xml:space="preserve">was likewise arrested due to her son-in-law’s political and human rights activities. She was sentenced to three years in prison alongside her son and nephew in October 2017, following an unfair trial under Bahrain’s broad counter-terrorism law. </w:t>
      </w:r>
    </w:p>
    <w:p w14:paraId="00000020" w14:textId="77777777" w:rsidR="00866DEB" w:rsidRDefault="00866DEB">
      <w:pPr>
        <w:shd w:val="clear" w:color="auto" w:fill="FFFFFF"/>
        <w:spacing w:line="360" w:lineRule="auto"/>
        <w:jc w:val="both"/>
        <w:rPr>
          <w:rFonts w:ascii="Calibri" w:eastAsia="Calibri" w:hAnsi="Calibri" w:cs="Calibri"/>
        </w:rPr>
      </w:pPr>
    </w:p>
    <w:p w14:paraId="00000021"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Despite extensive reporting of abuses, the Council still does not provide the adequate legal protection for women. It also does not support legislation to combat domestic violence or criminalize violence against women. Neither the Council nor Bahrain’s oversight bodies take any functional measures to aid women trapped in violent circumstances, even after a woman has filed official complaints and hired legal counsels. The system is dysfunctional and inherently works against women to the extent that legal justice is not only delayed, but it is not even attempted. The establishment of independent and transparent oversight bodies in Bahrain is therefore fundamental in order to guarantee freedom and protection for women, and eliminate the use of institutions as smoke screen for the betterment of Bahrain’s international profile.</w:t>
      </w:r>
    </w:p>
    <w:p w14:paraId="00000022" w14:textId="77777777" w:rsidR="00866DEB" w:rsidRDefault="00866DEB">
      <w:pPr>
        <w:shd w:val="clear" w:color="auto" w:fill="FFFFFF"/>
        <w:spacing w:line="360" w:lineRule="auto"/>
        <w:jc w:val="both"/>
        <w:rPr>
          <w:rFonts w:ascii="Calibri" w:eastAsia="Calibri" w:hAnsi="Calibri" w:cs="Calibri"/>
        </w:rPr>
      </w:pPr>
    </w:p>
    <w:p w14:paraId="00000023" w14:textId="77777777" w:rsidR="00866DEB" w:rsidRDefault="00540213">
      <w:pPr>
        <w:shd w:val="clear" w:color="auto" w:fill="FFFFFF"/>
        <w:spacing w:after="200"/>
        <w:rPr>
          <w:rFonts w:ascii="Calibri" w:eastAsia="Calibri" w:hAnsi="Calibri" w:cs="Calibri"/>
          <w:b/>
        </w:rPr>
      </w:pPr>
      <w:r>
        <w:rPr>
          <w:rFonts w:ascii="Calibri" w:eastAsia="Calibri" w:hAnsi="Calibri" w:cs="Calibri"/>
          <w:b/>
        </w:rPr>
        <w:t>2. The Role of the National Institution for Human Rights</w:t>
      </w:r>
    </w:p>
    <w:p w14:paraId="00000024"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Several oversight institutions mandated to address human rights abuses and combat impunity are present in Bahrain</w:t>
      </w:r>
      <w:r>
        <w:rPr>
          <w:rFonts w:ascii="Calibri" w:eastAsia="Calibri" w:hAnsi="Calibri" w:cs="Calibri"/>
          <w:vertAlign w:val="superscript"/>
        </w:rPr>
        <w:footnoteReference w:id="5"/>
      </w:r>
      <w:r>
        <w:rPr>
          <w:rFonts w:ascii="Calibri" w:eastAsia="Calibri" w:hAnsi="Calibri" w:cs="Calibri"/>
        </w:rPr>
        <w:t>, such as the Ministry of Interior (MOI) Ombudsman and the National Institution for Human Rights (NIHR). However, they have demonstrated a lack of independence and a pro-governmental approach,</w:t>
      </w:r>
      <w:r>
        <w:rPr>
          <w:rFonts w:ascii="Calibri" w:eastAsia="Calibri" w:hAnsi="Calibri" w:cs="Calibri"/>
          <w:vertAlign w:val="superscript"/>
        </w:rPr>
        <w:footnoteReference w:id="6"/>
      </w:r>
      <w:r>
        <w:rPr>
          <w:rFonts w:ascii="Calibri" w:eastAsia="Calibri" w:hAnsi="Calibri" w:cs="Calibri"/>
        </w:rPr>
        <w:t xml:space="preserve"> in direct contradiction with the mandate they are intended to pursue. This concern has been repeatedly raised by international bodies, such as the UN Committee against Torture’s statement that the institutions “are not independent, that their mandates are unclear and overlap, and that they are not </w:t>
      </w:r>
      <w:r>
        <w:rPr>
          <w:rFonts w:ascii="Calibri" w:eastAsia="Calibri" w:hAnsi="Calibri" w:cs="Calibri"/>
        </w:rPr>
        <w:lastRenderedPageBreak/>
        <w:t>effective given that complaints ultimately pass through the Ministry of the Interior”</w:t>
      </w:r>
      <w:r>
        <w:rPr>
          <w:rFonts w:ascii="Calibri" w:eastAsia="Calibri" w:hAnsi="Calibri" w:cs="Calibri"/>
          <w:vertAlign w:val="superscript"/>
        </w:rPr>
        <w:footnoteReference w:id="7"/>
      </w:r>
      <w:r>
        <w:rPr>
          <w:rFonts w:ascii="Calibri" w:eastAsia="Calibri" w:hAnsi="Calibri" w:cs="Calibri"/>
        </w:rPr>
        <w:t>, as well as the UN Human Rights Committee’s concern that the NIHR “lacks the independence to perform its functions.”</w:t>
      </w:r>
      <w:r>
        <w:rPr>
          <w:rFonts w:ascii="Calibri" w:eastAsia="Calibri" w:hAnsi="Calibri" w:cs="Calibri"/>
          <w:vertAlign w:val="superscript"/>
        </w:rPr>
        <w:footnoteReference w:id="8"/>
      </w:r>
    </w:p>
    <w:p w14:paraId="00000025" w14:textId="77777777" w:rsidR="00866DEB" w:rsidRDefault="00866DEB">
      <w:pPr>
        <w:shd w:val="clear" w:color="auto" w:fill="FFFFFF"/>
        <w:spacing w:line="360" w:lineRule="auto"/>
        <w:jc w:val="both"/>
        <w:rPr>
          <w:rFonts w:ascii="Calibri" w:eastAsia="Calibri" w:hAnsi="Calibri" w:cs="Calibri"/>
          <w:u w:val="single"/>
        </w:rPr>
      </w:pPr>
    </w:p>
    <w:p w14:paraId="00000026"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t>a. Lack of Independence</w:t>
      </w:r>
    </w:p>
    <w:p w14:paraId="00000027" w14:textId="341CCCC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As asserted in 2006 by the former president of the NIHR, Salman al-Sayyid 'Ali Kamal al-Din</w:t>
      </w:r>
      <w:r>
        <w:rPr>
          <w:rFonts w:ascii="Calibri" w:eastAsia="Calibri" w:hAnsi="Calibri" w:cs="Calibri"/>
          <w:vertAlign w:val="superscript"/>
        </w:rPr>
        <w:footnoteReference w:id="9"/>
      </w:r>
      <w:r>
        <w:rPr>
          <w:rFonts w:ascii="Calibri" w:eastAsia="Calibri" w:hAnsi="Calibri" w:cs="Calibri"/>
        </w:rPr>
        <w:t xml:space="preserve">, the institution is closely connected to the government; all 22 nominees are directly involved in governmental processes or linked to pro-government parties. In 2010, Al-Din resigned as an act of protest against the institution's failure to </w:t>
      </w:r>
      <w:r w:rsidR="001E4334">
        <w:rPr>
          <w:rFonts w:ascii="Calibri" w:eastAsia="Calibri" w:hAnsi="Calibri" w:cs="Calibri"/>
        </w:rPr>
        <w:t>criticize</w:t>
      </w:r>
      <w:r>
        <w:rPr>
          <w:rFonts w:ascii="Calibri" w:eastAsia="Calibri" w:hAnsi="Calibri" w:cs="Calibri"/>
        </w:rPr>
        <w:t xml:space="preserve"> the arrests of pro-democracy activists. Furthermore, ADHRB reported that the MOI Ombudsman shared confidential information with the Bahraini Embassy in the UK, despite the institution promising that “full confidentiality is guaranteed during the investigations.”</w:t>
      </w:r>
      <w:r>
        <w:rPr>
          <w:rFonts w:ascii="Calibri" w:eastAsia="Calibri" w:hAnsi="Calibri" w:cs="Calibri"/>
          <w:vertAlign w:val="superscript"/>
        </w:rPr>
        <w:footnoteReference w:id="10"/>
      </w:r>
      <w:r>
        <w:rPr>
          <w:rFonts w:ascii="Calibri" w:eastAsia="Calibri" w:hAnsi="Calibri" w:cs="Calibri"/>
        </w:rPr>
        <w:t xml:space="preserve"> These institutions therefore have a track record of only serving to enhance the image of the government on an international level, rather than to safeguard human rights</w:t>
      </w:r>
      <w:r w:rsidR="007D228B">
        <w:rPr>
          <w:rFonts w:ascii="Calibri" w:eastAsia="Calibri" w:hAnsi="Calibri" w:cs="Calibri"/>
        </w:rPr>
        <w:t>; so basically working as a whitewash for the Bahraini government</w:t>
      </w:r>
      <w:r>
        <w:rPr>
          <w:rFonts w:ascii="Calibri" w:eastAsia="Calibri" w:hAnsi="Calibri" w:cs="Calibri"/>
        </w:rPr>
        <w:t>.</w:t>
      </w:r>
    </w:p>
    <w:p w14:paraId="00000028" w14:textId="77777777" w:rsidR="00866DEB" w:rsidRDefault="00866DEB">
      <w:pPr>
        <w:shd w:val="clear" w:color="auto" w:fill="FFFFFF"/>
        <w:spacing w:line="360" w:lineRule="auto"/>
        <w:jc w:val="both"/>
        <w:rPr>
          <w:rFonts w:ascii="Calibri" w:eastAsia="Calibri" w:hAnsi="Calibri" w:cs="Calibri"/>
        </w:rPr>
      </w:pPr>
    </w:p>
    <w:p w14:paraId="00000029" w14:textId="77777777" w:rsidR="00866DEB" w:rsidRDefault="00540213">
      <w:pPr>
        <w:shd w:val="clear" w:color="auto" w:fill="FFFFFF"/>
        <w:spacing w:after="200"/>
        <w:rPr>
          <w:rFonts w:ascii="Calibri" w:eastAsia="Calibri" w:hAnsi="Calibri" w:cs="Calibri"/>
          <w:u w:val="single"/>
        </w:rPr>
      </w:pPr>
      <w:r>
        <w:rPr>
          <w:rFonts w:ascii="Calibri" w:eastAsia="Calibri" w:hAnsi="Calibri" w:cs="Calibri"/>
          <w:u w:val="single"/>
        </w:rPr>
        <w:t>b. Complaint Process</w:t>
      </w:r>
    </w:p>
    <w:p w14:paraId="0000002A" w14:textId="4F783D84" w:rsidR="00866DEB" w:rsidRDefault="00540213" w:rsidP="00A368CD">
      <w:pPr>
        <w:shd w:val="clear" w:color="auto" w:fill="FFFFFF"/>
        <w:spacing w:line="360" w:lineRule="auto"/>
        <w:jc w:val="both"/>
        <w:rPr>
          <w:rFonts w:ascii="Calibri" w:eastAsia="Calibri" w:hAnsi="Calibri" w:cs="Calibri"/>
        </w:rPr>
      </w:pPr>
      <w:r>
        <w:rPr>
          <w:rFonts w:ascii="Calibri" w:eastAsia="Calibri" w:hAnsi="Calibri" w:cs="Calibri"/>
        </w:rPr>
        <w:t>The main task of oversight institutions, as declared by the State party, is to receive human rights complaints, transfer complaints to the relevant authorities for follow-up procedures and assist in settlements. In reality, none of these services are implemented by the institutions; the MOI Ombudsman, NSA Ombudsman, NIHR, and SIU systematically ignore the complaints filed to them and leave Bahraini women without protection. According to ADHRB reports</w:t>
      </w:r>
      <w:r>
        <w:rPr>
          <w:rFonts w:ascii="Calibri" w:eastAsia="Calibri" w:hAnsi="Calibri" w:cs="Calibri"/>
          <w:vertAlign w:val="superscript"/>
        </w:rPr>
        <w:footnoteReference w:id="11"/>
      </w:r>
      <w:r>
        <w:rPr>
          <w:rFonts w:ascii="Calibri" w:eastAsia="Calibri" w:hAnsi="Calibri" w:cs="Calibri"/>
        </w:rPr>
        <w:t>, complaints have been repeatedly  submitted to oversight bodies in Bahrain regarding the arrest and interrogation of six women</w:t>
      </w:r>
      <w:r>
        <w:rPr>
          <w:color w:val="222222"/>
          <w:highlight w:val="white"/>
        </w:rPr>
        <w:t>:</w:t>
      </w:r>
      <w:r w:rsidR="00A368CD">
        <w:rPr>
          <w:color w:val="222222"/>
        </w:rPr>
        <w:t xml:space="preserve"> </w:t>
      </w:r>
      <w:r w:rsidR="00A368CD">
        <w:rPr>
          <w:rFonts w:ascii="Calibri" w:eastAsia="Calibri" w:hAnsi="Calibri" w:cs="Calibri"/>
          <w:b/>
          <w:bCs/>
        </w:rPr>
        <w:t>Female Victim</w:t>
      </w:r>
      <w:r w:rsidR="00A368CD">
        <w:rPr>
          <w:rFonts w:ascii="Calibri" w:eastAsia="Calibri" w:hAnsi="Calibri" w:cs="Calibri"/>
        </w:rPr>
        <w:t xml:space="preserve">, </w:t>
      </w:r>
      <w:r w:rsidR="00A368CD">
        <w:rPr>
          <w:rFonts w:ascii="Calibri" w:eastAsia="Calibri" w:hAnsi="Calibri" w:cs="Calibri"/>
          <w:b/>
          <w:bCs/>
        </w:rPr>
        <w:t>Female Victim</w:t>
      </w:r>
      <w:r w:rsidR="00A368CD">
        <w:rPr>
          <w:rFonts w:ascii="Calibri" w:eastAsia="Calibri" w:hAnsi="Calibri" w:cs="Calibri"/>
        </w:rPr>
        <w:t xml:space="preserve">, </w:t>
      </w:r>
      <w:r w:rsidR="00A368CD">
        <w:rPr>
          <w:rFonts w:ascii="Calibri" w:eastAsia="Calibri" w:hAnsi="Calibri" w:cs="Calibri"/>
          <w:b/>
          <w:bCs/>
        </w:rPr>
        <w:t>Female Victim</w:t>
      </w:r>
      <w:r w:rsidR="00A368CD">
        <w:rPr>
          <w:rFonts w:ascii="Calibri" w:eastAsia="Calibri" w:hAnsi="Calibri" w:cs="Calibri"/>
        </w:rPr>
        <w:t xml:space="preserve">, </w:t>
      </w:r>
      <w:r w:rsidR="00A368CD">
        <w:rPr>
          <w:rFonts w:ascii="Calibri" w:eastAsia="Calibri" w:hAnsi="Calibri" w:cs="Calibri"/>
          <w:b/>
          <w:bCs/>
        </w:rPr>
        <w:t>Female Victim</w:t>
      </w:r>
      <w:r w:rsidR="002A1341">
        <w:rPr>
          <w:rFonts w:ascii="Calibri" w:eastAsia="Calibri" w:hAnsi="Calibri" w:cs="Calibri"/>
        </w:rPr>
        <w:t xml:space="preserve">, </w:t>
      </w:r>
      <w:r w:rsidR="002A1341">
        <w:rPr>
          <w:rFonts w:ascii="Calibri" w:eastAsia="Calibri" w:hAnsi="Calibri" w:cs="Calibri"/>
          <w:b/>
          <w:bCs/>
        </w:rPr>
        <w:t>Female Victim</w:t>
      </w:r>
      <w:r w:rsidR="00D13BA1">
        <w:rPr>
          <w:rFonts w:ascii="Calibri" w:eastAsia="Calibri" w:hAnsi="Calibri" w:cs="Calibri"/>
        </w:rPr>
        <w:t xml:space="preserve">, and </w:t>
      </w:r>
      <w:r w:rsidR="00D13BA1">
        <w:rPr>
          <w:rFonts w:ascii="Calibri" w:eastAsia="Calibri" w:hAnsi="Calibri" w:cs="Calibri"/>
          <w:b/>
          <w:bCs/>
        </w:rPr>
        <w:t>Female Victim</w:t>
      </w:r>
      <w:r>
        <w:rPr>
          <w:rFonts w:ascii="Calibri" w:eastAsia="Calibri" w:hAnsi="Calibri" w:cs="Calibri"/>
        </w:rPr>
        <w:t xml:space="preserve">. Formal complaints have been submitted to the MOI Ombudsman’s Office or the NIHR, often from the families of the women or by human rights </w:t>
      </w:r>
      <w:r w:rsidR="000E7C96">
        <w:rPr>
          <w:rFonts w:ascii="Calibri" w:eastAsia="Calibri" w:hAnsi="Calibri" w:cs="Calibri"/>
        </w:rPr>
        <w:t>organizations</w:t>
      </w:r>
      <w:r>
        <w:rPr>
          <w:rFonts w:ascii="Calibri" w:eastAsia="Calibri" w:hAnsi="Calibri" w:cs="Calibri"/>
        </w:rPr>
        <w:t xml:space="preserve">, including BIRD and ADHRB. </w:t>
      </w:r>
    </w:p>
    <w:p w14:paraId="0000002B" w14:textId="77777777" w:rsidR="00866DEB" w:rsidRDefault="00866DEB">
      <w:pPr>
        <w:shd w:val="clear" w:color="auto" w:fill="FFFFFF"/>
        <w:spacing w:line="360" w:lineRule="auto"/>
        <w:jc w:val="both"/>
        <w:rPr>
          <w:rFonts w:ascii="Calibri" w:eastAsia="Calibri" w:hAnsi="Calibri" w:cs="Calibri"/>
        </w:rPr>
      </w:pPr>
    </w:p>
    <w:p w14:paraId="0000002C" w14:textId="0E1C1A92"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Oversight institutions have failed to fulfil their mandates in each instance, with the majority of responses dismissing the issue at hand and finding little or no fault in the actions of state officials. The institutions ignore or flat-out reject women’s complaints, significantly contributing to a culture of impunity and whitewashing reports of human rights violations. The complaints include; prison conditions, restrictive measures, health and medical care, denial of religious participation, and violation of confidentiality. For example, a health and medical care complaint was submitted by BIRD in </w:t>
      </w:r>
      <w:r w:rsidR="000E7C96">
        <w:rPr>
          <w:rFonts w:ascii="Calibri" w:eastAsia="Calibri" w:hAnsi="Calibri" w:cs="Calibri"/>
        </w:rPr>
        <w:t>favor</w:t>
      </w:r>
      <w:r w:rsidR="003703A7">
        <w:rPr>
          <w:rFonts w:ascii="Calibri" w:eastAsia="Calibri" w:hAnsi="Calibri" w:cs="Calibri"/>
        </w:rPr>
        <w:t xml:space="preserve"> of </w:t>
      </w:r>
      <w:r w:rsidR="003703A7">
        <w:rPr>
          <w:rFonts w:ascii="Calibri" w:eastAsia="Calibri" w:hAnsi="Calibri" w:cs="Calibri"/>
          <w:b/>
          <w:bCs/>
        </w:rPr>
        <w:t>Female Victim</w:t>
      </w:r>
      <w:r>
        <w:rPr>
          <w:rFonts w:ascii="Calibri" w:eastAsia="Calibri" w:hAnsi="Calibri" w:cs="Calibri"/>
        </w:rPr>
        <w:t xml:space="preserve"> during her detention in Isa Town Prison, following approximately 15 complaints to the MOI Ombudsman and NIHR which were regularly denied.</w:t>
      </w:r>
      <w:r>
        <w:rPr>
          <w:rFonts w:ascii="Calibri" w:eastAsia="Calibri" w:hAnsi="Calibri" w:cs="Calibri"/>
          <w:vertAlign w:val="superscript"/>
        </w:rPr>
        <w:footnoteReference w:id="12"/>
      </w:r>
      <w:r w:rsidR="003703A7">
        <w:rPr>
          <w:rFonts w:ascii="Calibri" w:eastAsia="Calibri" w:hAnsi="Calibri" w:cs="Calibri"/>
        </w:rPr>
        <w:t xml:space="preserve"> </w:t>
      </w:r>
      <w:r w:rsidR="003703A7">
        <w:rPr>
          <w:rFonts w:ascii="Calibri" w:eastAsia="Calibri" w:hAnsi="Calibri" w:cs="Calibri"/>
          <w:b/>
          <w:bCs/>
        </w:rPr>
        <w:t>Female Victim</w:t>
      </w:r>
      <w:r>
        <w:rPr>
          <w:rFonts w:ascii="Calibri" w:eastAsia="Calibri" w:hAnsi="Calibri" w:cs="Calibri"/>
        </w:rPr>
        <w:t xml:space="preserve"> previously complained about a lump in her breast, back pains, a blood clot in her leg, thyroid problems, and kidney stones. </w:t>
      </w:r>
    </w:p>
    <w:p w14:paraId="0000002D" w14:textId="77777777" w:rsidR="00866DEB" w:rsidRDefault="00866DEB">
      <w:pPr>
        <w:shd w:val="clear" w:color="auto" w:fill="FFFFFF"/>
        <w:spacing w:line="360" w:lineRule="auto"/>
        <w:jc w:val="both"/>
        <w:rPr>
          <w:rFonts w:ascii="Calibri" w:eastAsia="Calibri" w:hAnsi="Calibri" w:cs="Calibri"/>
        </w:rPr>
      </w:pPr>
    </w:p>
    <w:p w14:paraId="0000002E" w14:textId="77777777" w:rsidR="00866DEB" w:rsidRDefault="00540213">
      <w:pPr>
        <w:shd w:val="clear" w:color="auto" w:fill="FFFFFF"/>
        <w:spacing w:after="200"/>
        <w:rPr>
          <w:b/>
        </w:rPr>
      </w:pPr>
      <w:r>
        <w:rPr>
          <w:rFonts w:ascii="Calibri" w:eastAsia="Calibri" w:hAnsi="Calibri" w:cs="Calibri"/>
          <w:b/>
        </w:rPr>
        <w:t>B. Women Activists and Members of Civil Society Organizations</w:t>
      </w:r>
    </w:p>
    <w:p w14:paraId="0000002F"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Despite the measures taken to integrate Bahraini women into society, women remain victims of government policies that lead to incalculable cases of abuse. Women involved and employed in Bahraini civil society</w:t>
      </w:r>
      <w:r>
        <w:rPr>
          <w:color w:val="222222"/>
          <w:highlight w:val="white"/>
        </w:rPr>
        <w:t>—</w:t>
      </w:r>
      <w:r>
        <w:rPr>
          <w:rFonts w:ascii="Calibri" w:eastAsia="Calibri" w:hAnsi="Calibri" w:cs="Calibri"/>
        </w:rPr>
        <w:t>whether in the field of the press, human rights, or political organization</w:t>
      </w:r>
      <w:r>
        <w:rPr>
          <w:color w:val="222222"/>
          <w:highlight w:val="white"/>
        </w:rPr>
        <w:t>—</w:t>
      </w:r>
      <w:r>
        <w:rPr>
          <w:rFonts w:ascii="Calibri" w:eastAsia="Calibri" w:hAnsi="Calibri" w:cs="Calibri"/>
        </w:rPr>
        <w:t>are frequent victims of discriminatory abuse. When the 2011 protests were ignited in Bahrain in support of essential human rights, women who participated in any way had their freedoms curtailed and were arrested without legal justification.</w:t>
      </w:r>
      <w:r>
        <w:rPr>
          <w:rFonts w:ascii="Calibri" w:eastAsia="Calibri" w:hAnsi="Calibri" w:cs="Calibri"/>
          <w:vertAlign w:val="superscript"/>
        </w:rPr>
        <w:footnoteReference w:id="13"/>
      </w:r>
      <w:r>
        <w:rPr>
          <w:rFonts w:ascii="Calibri" w:eastAsia="Calibri" w:hAnsi="Calibri" w:cs="Calibri"/>
        </w:rPr>
        <w:t xml:space="preserve"> </w:t>
      </w:r>
    </w:p>
    <w:p w14:paraId="00000030" w14:textId="77777777" w:rsidR="00866DEB" w:rsidRDefault="00866DEB">
      <w:pPr>
        <w:shd w:val="clear" w:color="auto" w:fill="FFFFFF"/>
        <w:spacing w:line="360" w:lineRule="auto"/>
        <w:jc w:val="both"/>
        <w:rPr>
          <w:rFonts w:ascii="Calibri" w:eastAsia="Calibri" w:hAnsi="Calibri" w:cs="Calibri"/>
        </w:rPr>
      </w:pPr>
    </w:p>
    <w:p w14:paraId="00000031"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Women subsequently became involved in activist politics in Bahrain, as well as more active members of civil society. However, the involvement of women in pro-democracy movements considerably increased the number of arbitrary arrests by Bahraini authorities. Women activists have been threatened with rape, sexual harassment, violent interrogation, and detention. According to a BCHR report, more than 300 women have been victims of one or more of these abuses.</w:t>
      </w:r>
      <w:r>
        <w:rPr>
          <w:rFonts w:ascii="Calibri" w:eastAsia="Calibri" w:hAnsi="Calibri" w:cs="Calibri"/>
          <w:vertAlign w:val="superscript"/>
        </w:rPr>
        <w:footnoteReference w:id="14"/>
      </w:r>
      <w:r>
        <w:rPr>
          <w:rFonts w:ascii="Calibri" w:eastAsia="Calibri" w:hAnsi="Calibri" w:cs="Calibri"/>
        </w:rPr>
        <w:t xml:space="preserve"> The report counted that “in 2016 there were 34 women arbitrarily detained in Bahrain, in the first two months of 2017 alone there have been 9 women arrested. In 2020, [there have so far been] two women imprisoned for politically related charges.”</w:t>
      </w:r>
      <w:r>
        <w:rPr>
          <w:rFonts w:ascii="Calibri" w:eastAsia="Calibri" w:hAnsi="Calibri" w:cs="Calibri"/>
          <w:vertAlign w:val="superscript"/>
        </w:rPr>
        <w:footnoteReference w:id="15"/>
      </w:r>
    </w:p>
    <w:p w14:paraId="00000032" w14:textId="77777777" w:rsidR="00866DEB" w:rsidRDefault="00866DEB">
      <w:pPr>
        <w:shd w:val="clear" w:color="auto" w:fill="FFFFFF"/>
        <w:spacing w:line="360" w:lineRule="auto"/>
        <w:jc w:val="both"/>
        <w:rPr>
          <w:rFonts w:ascii="Calibri" w:eastAsia="Calibri" w:hAnsi="Calibri" w:cs="Calibri"/>
        </w:rPr>
      </w:pPr>
    </w:p>
    <w:p w14:paraId="00000033" w14:textId="595F0865" w:rsidR="00866DEB" w:rsidRDefault="00540213" w:rsidP="00FD688B">
      <w:pPr>
        <w:shd w:val="clear" w:color="auto" w:fill="FFFFFF"/>
        <w:spacing w:line="360" w:lineRule="auto"/>
        <w:jc w:val="both"/>
        <w:rPr>
          <w:rFonts w:ascii="Calibri" w:eastAsia="Calibri" w:hAnsi="Calibri" w:cs="Calibri"/>
        </w:rPr>
      </w:pPr>
      <w:r>
        <w:rPr>
          <w:rFonts w:ascii="Calibri" w:eastAsia="Calibri" w:hAnsi="Calibri" w:cs="Calibri"/>
        </w:rPr>
        <w:t>On 17 January 2019, six offices of the United Nations Special Procedures sent a letter of allegations to the government of Bahrain concerning three Bahraini women who were victi</w:t>
      </w:r>
      <w:r w:rsidR="00FD688B">
        <w:rPr>
          <w:rFonts w:ascii="Calibri" w:eastAsia="Calibri" w:hAnsi="Calibri" w:cs="Calibri"/>
        </w:rPr>
        <w:t xml:space="preserve">ms of reprisals: </w:t>
      </w:r>
      <w:r w:rsidR="00FD688B">
        <w:rPr>
          <w:rFonts w:ascii="Calibri" w:eastAsia="Calibri" w:hAnsi="Calibri" w:cs="Calibri"/>
          <w:b/>
          <w:bCs/>
        </w:rPr>
        <w:t>Female Victim</w:t>
      </w:r>
      <w:r>
        <w:rPr>
          <w:rFonts w:ascii="Calibri" w:eastAsia="Calibri" w:hAnsi="Calibri" w:cs="Calibri"/>
        </w:rPr>
        <w:t xml:space="preserve">, </w:t>
      </w:r>
      <w:r w:rsidR="00FD688B">
        <w:rPr>
          <w:rFonts w:ascii="Calibri" w:eastAsia="Calibri" w:hAnsi="Calibri" w:cs="Calibri"/>
          <w:b/>
          <w:bCs/>
        </w:rPr>
        <w:t>Female Victim</w:t>
      </w:r>
      <w:r>
        <w:rPr>
          <w:rFonts w:ascii="Calibri" w:eastAsia="Calibri" w:hAnsi="Calibri" w:cs="Calibri"/>
        </w:rPr>
        <w:t xml:space="preserve">, and </w:t>
      </w:r>
      <w:r w:rsidR="00FD688B">
        <w:rPr>
          <w:rFonts w:ascii="Calibri" w:eastAsia="Calibri" w:hAnsi="Calibri" w:cs="Calibri"/>
          <w:b/>
          <w:bCs/>
        </w:rPr>
        <w:t>Female Victim</w:t>
      </w:r>
      <w:r>
        <w:rPr>
          <w:rFonts w:ascii="Calibri" w:eastAsia="Calibri" w:hAnsi="Calibri" w:cs="Calibri"/>
        </w:rPr>
        <w:t>. The letter refers to serious allegations of rape threats, death threats, travel restrictions, physical abuse, and other acts of reprisal.</w:t>
      </w:r>
      <w:r>
        <w:rPr>
          <w:rFonts w:ascii="Calibri" w:eastAsia="Calibri" w:hAnsi="Calibri" w:cs="Calibri"/>
          <w:vertAlign w:val="superscript"/>
        </w:rPr>
        <w:footnoteReference w:id="16"/>
      </w:r>
    </w:p>
    <w:p w14:paraId="00000034" w14:textId="77777777" w:rsidR="00866DEB" w:rsidRDefault="00866DEB">
      <w:pPr>
        <w:shd w:val="clear" w:color="auto" w:fill="FFFFFF"/>
        <w:spacing w:line="360" w:lineRule="auto"/>
        <w:jc w:val="both"/>
        <w:rPr>
          <w:rFonts w:ascii="Calibri" w:eastAsia="Calibri" w:hAnsi="Calibri" w:cs="Calibri"/>
        </w:rPr>
      </w:pPr>
    </w:p>
    <w:p w14:paraId="00000035" w14:textId="56AE5416" w:rsidR="00866DEB" w:rsidRDefault="00875639" w:rsidP="00D6459D">
      <w:pPr>
        <w:shd w:val="clear" w:color="auto" w:fill="FFFFFF"/>
        <w:spacing w:line="360" w:lineRule="auto"/>
        <w:jc w:val="both"/>
        <w:rPr>
          <w:rFonts w:ascii="Calibri" w:eastAsia="Calibri" w:hAnsi="Calibri" w:cs="Calibri"/>
        </w:rPr>
      </w:pPr>
      <w:r>
        <w:rPr>
          <w:rFonts w:ascii="Calibri" w:eastAsia="Calibri" w:hAnsi="Calibri" w:cs="Calibri"/>
          <w:b/>
          <w:bCs/>
        </w:rPr>
        <w:t>Female Victim</w:t>
      </w:r>
      <w:r>
        <w:rPr>
          <w:rFonts w:ascii="Calibri" w:eastAsia="Calibri" w:hAnsi="Calibri" w:cs="Calibri"/>
        </w:rPr>
        <w:t xml:space="preserve"> </w:t>
      </w:r>
      <w:r w:rsidR="00540213">
        <w:rPr>
          <w:rFonts w:ascii="Calibri" w:eastAsia="Calibri" w:hAnsi="Calibri" w:cs="Calibri"/>
        </w:rPr>
        <w:t xml:space="preserve">was detained by the Bahraini authorities for four months in 2017 for her human rights work and participation in the 34th session of the UN Human Rights Council. Since her release, travel restrictions and charges against her remain in place, hindering her participation in Human Rights Council sessions and putting her at risk of future detention. In June and July 2018, </w:t>
      </w:r>
      <w:r w:rsidR="00D6459D">
        <w:rPr>
          <w:rFonts w:ascii="Calibri" w:eastAsia="Calibri" w:hAnsi="Calibri" w:cs="Calibri"/>
          <w:b/>
          <w:bCs/>
        </w:rPr>
        <w:t>Female Victim</w:t>
      </w:r>
      <w:r w:rsidR="00540213">
        <w:rPr>
          <w:rFonts w:ascii="Calibri" w:eastAsia="Calibri" w:hAnsi="Calibri" w:cs="Calibri"/>
        </w:rPr>
        <w:t xml:space="preserve"> was prevented from engaging directly with the Human Rights Council due to the travel bans imposed upon her. However, she participated by following the Council's discussions and drawing attention to Bahrain's human rights concerns on social media platforms, such as Twitter. As a result, she received threats of public defamation and rape on social media from a Bahraini security official.</w:t>
      </w:r>
      <w:r w:rsidR="00540213">
        <w:rPr>
          <w:rFonts w:ascii="Calibri" w:eastAsia="Calibri" w:hAnsi="Calibri" w:cs="Calibri"/>
          <w:vertAlign w:val="superscript"/>
        </w:rPr>
        <w:footnoteReference w:id="17"/>
      </w:r>
    </w:p>
    <w:p w14:paraId="00000036" w14:textId="77777777" w:rsidR="00866DEB" w:rsidRDefault="00866DEB">
      <w:pPr>
        <w:shd w:val="clear" w:color="auto" w:fill="FFFFFF"/>
        <w:spacing w:line="360" w:lineRule="auto"/>
        <w:jc w:val="both"/>
        <w:rPr>
          <w:rFonts w:ascii="Calibri" w:eastAsia="Calibri" w:hAnsi="Calibri" w:cs="Calibri"/>
        </w:rPr>
      </w:pPr>
    </w:p>
    <w:p w14:paraId="00000037" w14:textId="236C05ED" w:rsidR="00866DEB" w:rsidRDefault="00540213" w:rsidP="00805404">
      <w:pPr>
        <w:shd w:val="clear" w:color="auto" w:fill="FFFFFF"/>
        <w:spacing w:line="360" w:lineRule="auto"/>
        <w:jc w:val="both"/>
        <w:rPr>
          <w:rFonts w:ascii="Calibri" w:eastAsia="Calibri" w:hAnsi="Calibri" w:cs="Calibri"/>
        </w:rPr>
      </w:pPr>
      <w:r>
        <w:rPr>
          <w:rFonts w:ascii="Calibri" w:eastAsia="Calibri" w:hAnsi="Calibri" w:cs="Calibri"/>
        </w:rPr>
        <w:t xml:space="preserve">Human rights defender </w:t>
      </w:r>
      <w:r w:rsidR="00894AF9">
        <w:rPr>
          <w:rFonts w:ascii="Calibri" w:eastAsia="Calibri" w:hAnsi="Calibri" w:cs="Calibri"/>
          <w:b/>
          <w:bCs/>
        </w:rPr>
        <w:t>Female Victim</w:t>
      </w:r>
      <w:r w:rsidR="00894AF9">
        <w:rPr>
          <w:rFonts w:ascii="Calibri" w:eastAsia="Calibri" w:hAnsi="Calibri" w:cs="Calibri"/>
        </w:rPr>
        <w:t xml:space="preserve"> </w:t>
      </w:r>
      <w:r>
        <w:rPr>
          <w:rFonts w:ascii="Calibri" w:eastAsia="Calibri" w:hAnsi="Calibri" w:cs="Calibri"/>
        </w:rPr>
        <w:t xml:space="preserve">has been subjected to multiple cases of arbitrary detention and travel bans since 2015 due to her participation in a peaceful sit-in to protest the targeting of her family and restrictions on freedom of expression in Bahrain. Following her protest, </w:t>
      </w:r>
      <w:r w:rsidR="00894AF9">
        <w:rPr>
          <w:rFonts w:ascii="Calibri" w:eastAsia="Calibri" w:hAnsi="Calibri" w:cs="Calibri"/>
          <w:b/>
          <w:bCs/>
        </w:rPr>
        <w:t>Female Victim</w:t>
      </w:r>
      <w:r>
        <w:rPr>
          <w:rFonts w:ascii="Calibri" w:eastAsia="Calibri" w:hAnsi="Calibri" w:cs="Calibri"/>
        </w:rPr>
        <w:t xml:space="preserve"> was interrogated on several different occasions by Bahraini officers due to her </w:t>
      </w:r>
      <w:r w:rsidR="00894AF9">
        <w:rPr>
          <w:rFonts w:ascii="Calibri" w:eastAsia="Calibri" w:hAnsi="Calibri" w:cs="Calibri"/>
        </w:rPr>
        <w:t>defense</w:t>
      </w:r>
      <w:r>
        <w:rPr>
          <w:rFonts w:ascii="Calibri" w:eastAsia="Calibri" w:hAnsi="Calibri" w:cs="Calibri"/>
        </w:rPr>
        <w:t xml:space="preserve"> of human rights. After being interrogated while she was travelling to Qatar to visit her family, a travel ban was imposed on her based on false accusations.</w:t>
      </w:r>
      <w:r>
        <w:rPr>
          <w:rFonts w:ascii="Calibri" w:eastAsia="Calibri" w:hAnsi="Calibri" w:cs="Calibri"/>
          <w:vertAlign w:val="superscript"/>
        </w:rPr>
        <w:footnoteReference w:id="18"/>
      </w:r>
      <w:r>
        <w:rPr>
          <w:rFonts w:ascii="Calibri" w:eastAsia="Calibri" w:hAnsi="Calibri" w:cs="Calibri"/>
        </w:rPr>
        <w:t xml:space="preserve"> Like </w:t>
      </w:r>
      <w:r w:rsidR="00805404">
        <w:rPr>
          <w:rFonts w:ascii="Calibri" w:eastAsia="Calibri" w:hAnsi="Calibri" w:cs="Calibri"/>
          <w:b/>
          <w:bCs/>
        </w:rPr>
        <w:t>Female Victim</w:t>
      </w:r>
      <w:r w:rsidR="00805404">
        <w:rPr>
          <w:rFonts w:ascii="Calibri" w:eastAsia="Calibri" w:hAnsi="Calibri" w:cs="Calibri"/>
        </w:rPr>
        <w:t xml:space="preserve"> </w:t>
      </w:r>
      <w:r>
        <w:rPr>
          <w:rFonts w:ascii="Calibri" w:eastAsia="Calibri" w:hAnsi="Calibri" w:cs="Calibri"/>
        </w:rPr>
        <w:t>also received death threats on social media in June 2018 from an anonymous user asking her to delete her Instagram account and record a video apology for the King of Bahrain.</w:t>
      </w:r>
    </w:p>
    <w:p w14:paraId="00000038" w14:textId="77777777" w:rsidR="00866DEB" w:rsidRDefault="00866DEB">
      <w:pPr>
        <w:shd w:val="clear" w:color="auto" w:fill="FFFFFF"/>
        <w:spacing w:line="360" w:lineRule="auto"/>
        <w:jc w:val="both"/>
        <w:rPr>
          <w:rFonts w:ascii="Calibri" w:eastAsia="Calibri" w:hAnsi="Calibri" w:cs="Calibri"/>
        </w:rPr>
      </w:pPr>
    </w:p>
    <w:p w14:paraId="00000039" w14:textId="4CF4E6E3" w:rsidR="00866DEB" w:rsidRDefault="00FC4DD0">
      <w:pPr>
        <w:shd w:val="clear" w:color="auto" w:fill="FFFFFF"/>
        <w:spacing w:line="360" w:lineRule="auto"/>
        <w:jc w:val="both"/>
        <w:rPr>
          <w:rFonts w:ascii="Calibri" w:eastAsia="Calibri" w:hAnsi="Calibri" w:cs="Calibri"/>
        </w:rPr>
      </w:pPr>
      <w:r>
        <w:rPr>
          <w:rFonts w:ascii="Calibri" w:eastAsia="Calibri" w:hAnsi="Calibri" w:cs="Calibri"/>
          <w:b/>
          <w:bCs/>
        </w:rPr>
        <w:t>Female Victim</w:t>
      </w:r>
      <w:r>
        <w:rPr>
          <w:rFonts w:ascii="Calibri" w:eastAsia="Calibri" w:hAnsi="Calibri" w:cs="Calibri"/>
        </w:rPr>
        <w:t xml:space="preserve"> </w:t>
      </w:r>
      <w:r w:rsidR="00540213">
        <w:rPr>
          <w:rFonts w:ascii="Calibri" w:eastAsia="Calibri" w:hAnsi="Calibri" w:cs="Calibri"/>
        </w:rPr>
        <w:t xml:space="preserve">was convicted in 2017 for allegedly planting a fake bomb and was subsequently incarcerated and denied necessary medical treatment. Her conviction was based on a confession obtained under duress and was upheld by the Court of Cassation on 25 February 2019, although the Working Group </w:t>
      </w:r>
      <w:r w:rsidR="00540213">
        <w:rPr>
          <w:rFonts w:ascii="Calibri" w:eastAsia="Calibri" w:hAnsi="Calibri" w:cs="Calibri"/>
        </w:rPr>
        <w:lastRenderedPageBreak/>
        <w:t>on Arbitrary Detention stated that she was detained in retaliation for her son-in-law's activism and subjected to an unfair trial.</w:t>
      </w:r>
      <w:r w:rsidR="00540213">
        <w:rPr>
          <w:rFonts w:ascii="Calibri" w:eastAsia="Calibri" w:hAnsi="Calibri" w:cs="Calibri"/>
          <w:vertAlign w:val="superscript"/>
        </w:rPr>
        <w:footnoteReference w:id="19"/>
      </w:r>
      <w:r w:rsidR="00540213">
        <w:rPr>
          <w:rFonts w:ascii="Calibri" w:eastAsia="Calibri" w:hAnsi="Calibri" w:cs="Calibri"/>
        </w:rPr>
        <w:t xml:space="preserve"> While in detention, the authorities denied her the right to participate in Ashoura's commemorative rites. She was also assaulted by Bahraini officials in September 2018 after her case was discussed at the 39th session of the Human Rights Council.</w:t>
      </w:r>
      <w:r w:rsidR="00540213">
        <w:rPr>
          <w:rFonts w:ascii="Calibri" w:eastAsia="Calibri" w:hAnsi="Calibri" w:cs="Calibri"/>
          <w:vertAlign w:val="superscript"/>
        </w:rPr>
        <w:footnoteReference w:id="20"/>
      </w:r>
      <w:r w:rsidR="00540213">
        <w:rPr>
          <w:rFonts w:ascii="Calibri" w:eastAsia="Calibri" w:hAnsi="Calibri" w:cs="Calibri"/>
          <w:vertAlign w:val="superscript"/>
        </w:rPr>
        <w:t xml:space="preserve"> </w:t>
      </w:r>
      <w:r w:rsidR="00540213">
        <w:rPr>
          <w:rFonts w:ascii="Calibri" w:eastAsia="Calibri" w:hAnsi="Calibri" w:cs="Calibri"/>
        </w:rPr>
        <w:t>She was eventually released from prison on the 5th of March 2020.</w:t>
      </w:r>
      <w:r w:rsidR="00540213">
        <w:rPr>
          <w:rFonts w:ascii="Calibri" w:eastAsia="Calibri" w:hAnsi="Calibri" w:cs="Calibri"/>
          <w:vertAlign w:val="superscript"/>
        </w:rPr>
        <w:footnoteReference w:id="21"/>
      </w:r>
    </w:p>
    <w:p w14:paraId="0000003A" w14:textId="77777777" w:rsidR="00866DEB" w:rsidRDefault="00866DEB">
      <w:pPr>
        <w:shd w:val="clear" w:color="auto" w:fill="FFFFFF"/>
        <w:spacing w:line="360" w:lineRule="auto"/>
        <w:jc w:val="both"/>
        <w:rPr>
          <w:rFonts w:ascii="Calibri" w:eastAsia="Calibri" w:hAnsi="Calibri" w:cs="Calibri"/>
        </w:rPr>
      </w:pPr>
    </w:p>
    <w:p w14:paraId="0000003B"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Bahrain has a history of ill-treatment of political prisoners and human rights defenders. Their refutation of all allegations must be examined critically, as their human rights institutions, including the National Institution for Human Rights (NIHR) and the Ministry of Interior (MOI) Ombudsman, are neither independent nor impartial. Both the NIHR and the Ombudsman have been the subject of deep criticism from multiple UN treaty body mechanisms and committees.</w:t>
      </w:r>
      <w:r>
        <w:rPr>
          <w:rFonts w:ascii="Calibri" w:eastAsia="Calibri" w:hAnsi="Calibri" w:cs="Calibri"/>
          <w:vertAlign w:val="superscript"/>
        </w:rPr>
        <w:footnoteReference w:id="22"/>
      </w:r>
      <w:r>
        <w:rPr>
          <w:rFonts w:ascii="Calibri" w:eastAsia="Calibri" w:hAnsi="Calibri" w:cs="Calibri"/>
        </w:rPr>
        <w:t xml:space="preserve"> The first review of Bahrain under the International Covenant on Civil and Political Rights (ICCPR) by the UN Human Rights Committee in 2018 highlighted concerns about the independence of Bahrain's monitoring bodies, particularly the NIHR.</w:t>
      </w:r>
      <w:r>
        <w:rPr>
          <w:rFonts w:ascii="Calibri" w:eastAsia="Calibri" w:hAnsi="Calibri" w:cs="Calibri"/>
          <w:vertAlign w:val="superscript"/>
        </w:rPr>
        <w:footnoteReference w:id="23"/>
      </w:r>
      <w:r>
        <w:rPr>
          <w:rFonts w:ascii="Calibri" w:eastAsia="Calibri" w:hAnsi="Calibri" w:cs="Calibri"/>
        </w:rPr>
        <w:t xml:space="preserve"> </w:t>
      </w:r>
    </w:p>
    <w:p w14:paraId="0000003C" w14:textId="77777777" w:rsidR="00866DEB" w:rsidRDefault="00866DEB">
      <w:pPr>
        <w:shd w:val="clear" w:color="auto" w:fill="FFFFFF"/>
        <w:spacing w:line="360" w:lineRule="auto"/>
        <w:jc w:val="both"/>
        <w:rPr>
          <w:rFonts w:ascii="Calibri" w:eastAsia="Calibri" w:hAnsi="Calibri" w:cs="Calibri"/>
        </w:rPr>
      </w:pPr>
    </w:p>
    <w:p w14:paraId="0000003D"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Similar criticisms of the NIHR have been levelled at the Bahraini government by the UN Committee against Torture. In its report on the second and third periodic reports on Bahrain, the Committee expressed concern that the NIHR, as well as the Ombudsman, were “not independent” bodies from the Ministry of Interior, were ineffective, and had multiple shortcomings and “loopholes in the existing complaints mechanisms.”</w:t>
      </w:r>
      <w:r>
        <w:rPr>
          <w:rFonts w:ascii="Calibri" w:eastAsia="Calibri" w:hAnsi="Calibri" w:cs="Calibri"/>
          <w:vertAlign w:val="superscript"/>
        </w:rPr>
        <w:footnoteReference w:id="24"/>
      </w:r>
      <w:r>
        <w:rPr>
          <w:rFonts w:ascii="Calibri" w:eastAsia="Calibri" w:hAnsi="Calibri" w:cs="Calibri"/>
        </w:rPr>
        <w:t xml:space="preserve"> As recorded in Bahrain’s Third Cycle UPR,  “the Public Prosecution’s SIU, the MOI’s Office of the Ombudsman, the PDRC, and the NIHR have all failed to hold the vast majority of government </w:t>
      </w:r>
      <w:r>
        <w:rPr>
          <w:rFonts w:ascii="Calibri" w:eastAsia="Calibri" w:hAnsi="Calibri" w:cs="Calibri"/>
        </w:rPr>
        <w:lastRenderedPageBreak/>
        <w:t>officials accountable for abuses or to properly monitor ongoing rights violations. At worst, the institutions have obscured government abuses or allowed it to feign progress.”</w:t>
      </w:r>
      <w:r>
        <w:rPr>
          <w:rFonts w:ascii="Calibri" w:eastAsia="Calibri" w:hAnsi="Calibri" w:cs="Calibri"/>
          <w:vertAlign w:val="superscript"/>
        </w:rPr>
        <w:footnoteReference w:id="25"/>
      </w:r>
      <w:r>
        <w:rPr>
          <w:rFonts w:ascii="Calibri" w:eastAsia="Calibri" w:hAnsi="Calibri" w:cs="Calibri"/>
        </w:rPr>
        <w:t xml:space="preserve"> </w:t>
      </w:r>
    </w:p>
    <w:p w14:paraId="0000003E" w14:textId="77777777" w:rsidR="00866DEB" w:rsidRDefault="00866DEB">
      <w:pPr>
        <w:shd w:val="clear" w:color="auto" w:fill="FFFFFF"/>
        <w:spacing w:line="360" w:lineRule="auto"/>
        <w:jc w:val="both"/>
        <w:rPr>
          <w:rFonts w:ascii="Calibri" w:eastAsia="Calibri" w:hAnsi="Calibri" w:cs="Calibri"/>
        </w:rPr>
      </w:pPr>
    </w:p>
    <w:p w14:paraId="0000003F" w14:textId="06554D21"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In June 2018, the European Parliament issued a resolution </w:t>
      </w:r>
      <w:r w:rsidR="000E7C96">
        <w:rPr>
          <w:rFonts w:ascii="Calibri" w:eastAsia="Calibri" w:hAnsi="Calibri" w:cs="Calibri"/>
        </w:rPr>
        <w:t>criticizing</w:t>
      </w:r>
      <w:r>
        <w:rPr>
          <w:rFonts w:ascii="Calibri" w:eastAsia="Calibri" w:hAnsi="Calibri" w:cs="Calibri"/>
        </w:rPr>
        <w:t xml:space="preserve"> Bahrain's accountability mechanisms for failing to combat impunity and, in ADHRB's reports on the Ombudsman's Office, their responses have often reflected a lack of concern or total indifference.</w:t>
      </w:r>
      <w:r>
        <w:rPr>
          <w:rFonts w:ascii="Calibri" w:eastAsia="Calibri" w:hAnsi="Calibri" w:cs="Calibri"/>
          <w:vertAlign w:val="superscript"/>
        </w:rPr>
        <w:footnoteReference w:id="26"/>
      </w:r>
      <w:r>
        <w:rPr>
          <w:rFonts w:ascii="Calibri" w:eastAsia="Calibri" w:hAnsi="Calibri" w:cs="Calibri"/>
        </w:rPr>
        <w:t xml:space="preserve"> In the European Parliament’s resolution on the human rights situation in Bahrain, it is noted that “a number of internal bodies have been set up, since the 2011 protests and following the conclusions of the BICI report, to monitor governmental abuses, but are not effective and independent enough; whereas the lack of independence of these bodies reportedly causes a lack of accountability within the Bahraini government and security forces; whereas this has fostered a culture of impunity that undermines democratic reform attempts and serves to further </w:t>
      </w:r>
      <w:r w:rsidR="00320F24">
        <w:rPr>
          <w:rFonts w:ascii="Calibri" w:eastAsia="Calibri" w:hAnsi="Calibri" w:cs="Calibri"/>
        </w:rPr>
        <w:t>destabilize</w:t>
      </w:r>
      <w:r>
        <w:rPr>
          <w:rFonts w:ascii="Calibri" w:eastAsia="Calibri" w:hAnsi="Calibri" w:cs="Calibri"/>
        </w:rPr>
        <w:t xml:space="preserve"> the country.”</w:t>
      </w:r>
      <w:r>
        <w:rPr>
          <w:rFonts w:ascii="Calibri" w:eastAsia="Calibri" w:hAnsi="Calibri" w:cs="Calibri"/>
          <w:vertAlign w:val="superscript"/>
        </w:rPr>
        <w:footnoteReference w:id="27"/>
      </w:r>
      <w:r>
        <w:rPr>
          <w:rFonts w:ascii="Calibri" w:eastAsia="Calibri" w:hAnsi="Calibri" w:cs="Calibri"/>
        </w:rPr>
        <w:t xml:space="preserve"> The whitewashing of human rights violations and the failure to hold perpetrators accountable, which form the basis of these Bahraini institutions, endanger the wellbeing of countless women's rights defenders. </w:t>
      </w:r>
    </w:p>
    <w:p w14:paraId="00000040" w14:textId="77777777" w:rsidR="00866DEB" w:rsidRDefault="00866DEB">
      <w:pPr>
        <w:widowControl w:val="0"/>
        <w:shd w:val="clear" w:color="auto" w:fill="FFFFFF"/>
        <w:spacing w:line="240" w:lineRule="auto"/>
        <w:jc w:val="both"/>
        <w:rPr>
          <w:rFonts w:ascii="Calibri" w:eastAsia="Calibri" w:hAnsi="Calibri" w:cs="Calibri"/>
        </w:rPr>
      </w:pPr>
    </w:p>
    <w:p w14:paraId="00000041" w14:textId="77777777" w:rsidR="00866DEB" w:rsidRDefault="00540213">
      <w:pPr>
        <w:widowControl w:val="0"/>
        <w:shd w:val="clear" w:color="auto" w:fill="FFFFFF"/>
        <w:spacing w:after="200" w:line="480" w:lineRule="auto"/>
        <w:rPr>
          <w:rFonts w:ascii="Calibri" w:eastAsia="Calibri" w:hAnsi="Calibri" w:cs="Calibri"/>
          <w:b/>
        </w:rPr>
      </w:pPr>
      <w:r>
        <w:rPr>
          <w:rFonts w:ascii="Calibri" w:eastAsia="Calibri" w:hAnsi="Calibri" w:cs="Calibri"/>
          <w:b/>
        </w:rPr>
        <w:t>C. Stereotypes and Harmful Practices</w:t>
      </w:r>
      <w:r>
        <w:rPr>
          <w:rFonts w:ascii="Calibri" w:eastAsia="Calibri" w:hAnsi="Calibri" w:cs="Calibri"/>
          <w:b/>
        </w:rPr>
        <w:br/>
        <w:t>1. Approach to Women’s Rights</w:t>
      </w:r>
    </w:p>
    <w:p w14:paraId="00000042"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Even though few measures have been taken to achieve gender equality within the family, the government of Bahrain refuses to expand women’s rights by holding reservations to Articles 2 and 16 of the CEDAW treaty.</w:t>
      </w:r>
      <w:r>
        <w:rPr>
          <w:rFonts w:ascii="Calibri" w:eastAsia="Calibri" w:hAnsi="Calibri" w:cs="Calibri"/>
          <w:vertAlign w:val="superscript"/>
        </w:rPr>
        <w:footnoteReference w:id="28"/>
      </w:r>
      <w:r>
        <w:rPr>
          <w:rFonts w:ascii="Calibri" w:eastAsia="Calibri" w:hAnsi="Calibri" w:cs="Calibri"/>
        </w:rPr>
        <w:t xml:space="preserve"> According to Bahraini authorities, this is due to the fact that the responsibilities within a marriage</w:t>
      </w:r>
      <w:r>
        <w:rPr>
          <w:rFonts w:ascii="Calibri" w:eastAsia="Calibri" w:hAnsi="Calibri" w:cs="Calibri"/>
          <w:color w:val="222222"/>
          <w:highlight w:val="white"/>
        </w:rPr>
        <w:t xml:space="preserve">—which are </w:t>
      </w:r>
      <w:r>
        <w:rPr>
          <w:rFonts w:ascii="Calibri" w:eastAsia="Calibri" w:hAnsi="Calibri" w:cs="Calibri"/>
        </w:rPr>
        <w:t>derived from Islamic Sharia</w:t>
      </w:r>
      <w:r>
        <w:rPr>
          <w:rFonts w:ascii="Calibri" w:eastAsia="Calibri" w:hAnsi="Calibri" w:cs="Calibri"/>
          <w:color w:val="222222"/>
          <w:highlight w:val="white"/>
        </w:rPr>
        <w:t>—</w:t>
      </w:r>
      <w:r>
        <w:rPr>
          <w:rFonts w:ascii="Calibri" w:eastAsia="Calibri" w:hAnsi="Calibri" w:cs="Calibri"/>
        </w:rPr>
        <w:t>are incompatible with the scope of the convention. The government of Bahrain is thereby shielding itself behind Sharia pretexts in order to abstain from enacting its international commitments.</w:t>
      </w:r>
    </w:p>
    <w:p w14:paraId="00000043" w14:textId="77777777" w:rsidR="00866DEB" w:rsidRDefault="00866DEB">
      <w:pPr>
        <w:shd w:val="clear" w:color="auto" w:fill="FFFFFF"/>
        <w:spacing w:line="360" w:lineRule="auto"/>
        <w:jc w:val="both"/>
        <w:rPr>
          <w:rFonts w:ascii="Calibri" w:eastAsia="Calibri" w:hAnsi="Calibri" w:cs="Calibri"/>
        </w:rPr>
      </w:pPr>
    </w:p>
    <w:p w14:paraId="00000044"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lastRenderedPageBreak/>
        <w:t>Bahrain has made no progress in the elimination of prejudice based on women’s stereotypically inferior roles in society, which opposes Article 5 and Article 10 of the CEDAW treaty. While Article 18 of Bahrain’s constitution theoretically prohibits discrimination on the basis of gender, the legal system does not guarantee this protection in practice. Articles 30 and 31 of the Bahraini Labor Code</w:t>
      </w:r>
      <w:r>
        <w:rPr>
          <w:rFonts w:ascii="Calibri" w:eastAsia="Calibri" w:hAnsi="Calibri" w:cs="Calibri"/>
          <w:vertAlign w:val="superscript"/>
        </w:rPr>
        <w:footnoteReference w:id="29"/>
      </w:r>
      <w:r>
        <w:rPr>
          <w:rFonts w:ascii="Calibri" w:eastAsia="Calibri" w:hAnsi="Calibri" w:cs="Calibri"/>
        </w:rPr>
        <w:t xml:space="preserve"> exclude women from certain roles in employment with the issuance of a resolution by the Ministry of Labor. The Minister has the authority to determine the occupations which are liable for women and forbids those that are considered suitable only for men.</w:t>
      </w:r>
      <w:r>
        <w:rPr>
          <w:rFonts w:ascii="Calibri" w:eastAsia="Calibri" w:hAnsi="Calibri" w:cs="Calibri"/>
          <w:vertAlign w:val="superscript"/>
        </w:rPr>
        <w:footnoteReference w:id="30"/>
      </w:r>
      <w:r>
        <w:rPr>
          <w:rFonts w:ascii="Calibri" w:eastAsia="Calibri" w:hAnsi="Calibri" w:cs="Calibri"/>
        </w:rPr>
        <w:t xml:space="preserve"> Moreover, the government’s National Plan for the Advancement of Women</w:t>
      </w:r>
      <w:r>
        <w:rPr>
          <w:rFonts w:ascii="Calibri" w:eastAsia="Calibri" w:hAnsi="Calibri" w:cs="Calibri"/>
          <w:vertAlign w:val="superscript"/>
        </w:rPr>
        <w:footnoteReference w:id="31"/>
      </w:r>
      <w:r>
        <w:rPr>
          <w:rFonts w:ascii="Calibri" w:eastAsia="Calibri" w:hAnsi="Calibri" w:cs="Calibri"/>
        </w:rPr>
        <w:t xml:space="preserve"> has made limited progress toward enhancing gender equality. As a result, Bahraini women continue to face underrepresentation in political life and marginalization in the economy.</w:t>
      </w:r>
    </w:p>
    <w:p w14:paraId="00000045" w14:textId="77777777" w:rsidR="00866DEB" w:rsidRDefault="00866DEB">
      <w:pPr>
        <w:shd w:val="clear" w:color="auto" w:fill="FFFFFF"/>
        <w:spacing w:line="360" w:lineRule="auto"/>
        <w:jc w:val="both"/>
        <w:rPr>
          <w:rFonts w:ascii="Calibri" w:eastAsia="Calibri" w:hAnsi="Calibri" w:cs="Calibri"/>
        </w:rPr>
      </w:pPr>
    </w:p>
    <w:p w14:paraId="00000046"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2. Harmful Practices in Family Law</w:t>
      </w:r>
    </w:p>
    <w:p w14:paraId="0000004A" w14:textId="1D0F937D" w:rsidR="00866DEB" w:rsidRDefault="00540213" w:rsidP="004376AA">
      <w:pPr>
        <w:shd w:val="clear" w:color="auto" w:fill="FFFFFF"/>
        <w:spacing w:line="360" w:lineRule="auto"/>
        <w:jc w:val="both"/>
        <w:rPr>
          <w:rFonts w:ascii="Calibri" w:eastAsia="Calibri" w:hAnsi="Calibri" w:cs="Calibri"/>
        </w:rPr>
      </w:pPr>
      <w:r>
        <w:rPr>
          <w:rFonts w:ascii="Calibri" w:eastAsia="Calibri" w:hAnsi="Calibri" w:cs="Calibri"/>
        </w:rPr>
        <w:t>Bahraini Family Law permits a girl at the age of 16 to become a spouse, thereby legalizing child marriage by the definition of adulthood according to Article 1 of the UN Convention on the Rights of the Child, which Bahrain ratified in 1992.</w:t>
      </w:r>
      <w:r>
        <w:rPr>
          <w:rFonts w:ascii="Calibri" w:eastAsia="Calibri" w:hAnsi="Calibri" w:cs="Calibri"/>
          <w:vertAlign w:val="superscript"/>
        </w:rPr>
        <w:footnoteReference w:id="32"/>
      </w:r>
      <w:r>
        <w:rPr>
          <w:rFonts w:ascii="Calibri" w:eastAsia="Calibri" w:hAnsi="Calibri" w:cs="Calibri"/>
        </w:rPr>
        <w:t xml:space="preserve"> Currently, the minimum age of marriage is 18 for men, indicating that Bahrain has failed to not only bring the minimum age for women in line with the international standard, but also to lessen the inequality between men and women. Despite the claims of the government that this practice is uncommon, the Global Gender Gap Report found that from 2015 to 2019, there was a 1.5% increase of married women between the ages of 15 and 19.</w:t>
      </w:r>
      <w:r>
        <w:rPr>
          <w:rFonts w:ascii="Calibri" w:eastAsia="Calibri" w:hAnsi="Calibri" w:cs="Calibri"/>
          <w:vertAlign w:val="superscript"/>
        </w:rPr>
        <w:footnoteReference w:id="33"/>
      </w:r>
      <w:r>
        <w:rPr>
          <w:rFonts w:ascii="Calibri" w:eastAsia="Calibri" w:hAnsi="Calibri" w:cs="Calibri"/>
        </w:rPr>
        <w:t xml:space="preserve"> As a result, the underage marriage of women accounted for approximately 5.5% of the population in 2019, or roughly 92,913 individuals.</w:t>
      </w:r>
      <w:r>
        <w:rPr>
          <w:rFonts w:ascii="Calibri" w:eastAsia="Calibri" w:hAnsi="Calibri" w:cs="Calibri"/>
          <w:vertAlign w:val="superscript"/>
        </w:rPr>
        <w:footnoteReference w:id="34"/>
      </w:r>
      <w:r w:rsidR="00320F24">
        <w:rPr>
          <w:rFonts w:ascii="Calibri" w:eastAsia="Calibri" w:hAnsi="Calibri" w:cs="Calibri"/>
        </w:rPr>
        <w:t xml:space="preserve"> The Bahraini government promised several reforms under the family law but reports from the ground indicate that there are clear guidance from the governments on how reforms could be implemented or forced to be enacted by officials and judges. It seems from information obtained from women who fell victims of abuse that such claim of reforms </w:t>
      </w:r>
      <w:r w:rsidR="001C5356">
        <w:rPr>
          <w:rFonts w:ascii="Calibri" w:eastAsia="Calibri" w:hAnsi="Calibri" w:cs="Calibri"/>
        </w:rPr>
        <w:t>is</w:t>
      </w:r>
      <w:r w:rsidR="00320F24">
        <w:rPr>
          <w:rFonts w:ascii="Calibri" w:eastAsia="Calibri" w:hAnsi="Calibri" w:cs="Calibri"/>
        </w:rPr>
        <w:t xml:space="preserve"> touted for the international community and committees like this one, CEDAW. </w:t>
      </w:r>
      <w:r w:rsidR="001C5356">
        <w:rPr>
          <w:rFonts w:ascii="Calibri" w:eastAsia="Calibri" w:hAnsi="Calibri" w:cs="Calibri"/>
        </w:rPr>
        <w:t xml:space="preserve">Harmful practices and discriminatory practices not only taking place against women but in reality they never </w:t>
      </w:r>
      <w:r w:rsidR="000A4F90">
        <w:rPr>
          <w:rFonts w:ascii="Calibri" w:eastAsia="Calibri" w:hAnsi="Calibri" w:cs="Calibri"/>
        </w:rPr>
        <w:t>stopped in the first place. According to leading Bahraini women activists the harm on women inflicted is grave</w:t>
      </w:r>
      <w:r w:rsidR="00542F6C">
        <w:rPr>
          <w:rFonts w:ascii="Calibri" w:eastAsia="Calibri" w:hAnsi="Calibri" w:cs="Calibri"/>
        </w:rPr>
        <w:t xml:space="preserve"> and cycle of abuse never ends, and there is no legal process to protect women from being </w:t>
      </w:r>
      <w:r w:rsidR="00542F6C">
        <w:rPr>
          <w:rFonts w:ascii="Calibri" w:eastAsia="Calibri" w:hAnsi="Calibri" w:cs="Calibri"/>
        </w:rPr>
        <w:lastRenderedPageBreak/>
        <w:t xml:space="preserve">abuse by a system that is not only male dominated but designed to protect the rights of a man over a woman. </w:t>
      </w:r>
    </w:p>
    <w:p w14:paraId="7999E70B" w14:textId="77777777" w:rsidR="004376AA" w:rsidRDefault="004376AA" w:rsidP="004376AA">
      <w:pPr>
        <w:shd w:val="clear" w:color="auto" w:fill="FFFFFF"/>
        <w:spacing w:line="360" w:lineRule="auto"/>
        <w:jc w:val="both"/>
        <w:rPr>
          <w:rFonts w:ascii="Calibri" w:eastAsia="Calibri" w:hAnsi="Calibri" w:cs="Calibri"/>
        </w:rPr>
      </w:pPr>
    </w:p>
    <w:p w14:paraId="0000004B" w14:textId="77777777" w:rsidR="00866DEB" w:rsidRDefault="00540213">
      <w:pPr>
        <w:shd w:val="clear" w:color="auto" w:fill="FFFFFF"/>
        <w:spacing w:after="200" w:line="480" w:lineRule="auto"/>
        <w:rPr>
          <w:rFonts w:ascii="Calibri" w:eastAsia="Calibri" w:hAnsi="Calibri" w:cs="Calibri"/>
          <w:b/>
        </w:rPr>
      </w:pPr>
      <w:r>
        <w:rPr>
          <w:rFonts w:ascii="Calibri" w:eastAsia="Calibri" w:hAnsi="Calibri" w:cs="Calibri"/>
          <w:b/>
        </w:rPr>
        <w:t>D. Gender-based Violence</w:t>
      </w:r>
      <w:r>
        <w:rPr>
          <w:rFonts w:ascii="Calibri" w:eastAsia="Calibri" w:hAnsi="Calibri" w:cs="Calibri"/>
          <w:b/>
          <w:color w:val="FF0000"/>
        </w:rPr>
        <w:br/>
      </w:r>
      <w:r>
        <w:rPr>
          <w:rFonts w:ascii="Calibri" w:eastAsia="Calibri" w:hAnsi="Calibri" w:cs="Calibri"/>
          <w:b/>
        </w:rPr>
        <w:t xml:space="preserve">1. Actions Taken to Counter Domestic Violence </w:t>
      </w:r>
    </w:p>
    <w:p w14:paraId="0000004C" w14:textId="306E1FA4"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In August 2015, the Bahraini government promulgated Law No.17/2015, granting the Office of Public Prosecution (OPP) and the courts greater authority to address domestic violence.</w:t>
      </w:r>
      <w:r>
        <w:rPr>
          <w:rFonts w:ascii="Calibri" w:eastAsia="Calibri" w:hAnsi="Calibri" w:cs="Calibri"/>
          <w:vertAlign w:val="superscript"/>
        </w:rPr>
        <w:footnoteReference w:id="35"/>
      </w:r>
      <w:r>
        <w:rPr>
          <w:rFonts w:ascii="Calibri" w:eastAsia="Calibri" w:hAnsi="Calibri" w:cs="Calibri"/>
        </w:rPr>
        <w:t xml:space="preserve"> This promulgation allegedly established legal protection for women and girls against domestic violence. However, this change in legislation has not proven successful, as Bahraini authorities routinely fail to implement it. Rather than prosecuting perpetrators, the state still facilitates a culture of impunity. Due to the fact that the government does not sufficiently devote resources to the institutions which would be responsible for the implementation of the promulgated law, Bahraini authorities also blatantly promote the </w:t>
      </w:r>
      <w:r w:rsidR="004F58E7">
        <w:rPr>
          <w:rFonts w:ascii="Calibri" w:eastAsia="Calibri" w:hAnsi="Calibri" w:cs="Calibri"/>
        </w:rPr>
        <w:t>wife’s acceptance</w:t>
      </w:r>
      <w:r>
        <w:rPr>
          <w:rFonts w:ascii="Calibri" w:eastAsia="Calibri" w:hAnsi="Calibri" w:cs="Calibri"/>
        </w:rPr>
        <w:t xml:space="preserve"> of the husband’s abuse. This impunity manifests when women attempt to report a case of domestic violence and are subsequently strongly discouraged from filing a police complaint, often accompanied by suggestions from officers that their own misconduct is responsible for their abuse. Because of such responses and the consistent disregard of the state toward domestic violence, abuse against women remains a serious issue in Bahraini households.</w:t>
      </w:r>
    </w:p>
    <w:p w14:paraId="0000004D" w14:textId="77777777" w:rsidR="00866DEB" w:rsidRDefault="00866DEB">
      <w:pPr>
        <w:shd w:val="clear" w:color="auto" w:fill="FFFFFF"/>
        <w:spacing w:line="360" w:lineRule="auto"/>
        <w:jc w:val="both"/>
        <w:rPr>
          <w:rFonts w:ascii="Calibri" w:eastAsia="Calibri" w:hAnsi="Calibri" w:cs="Calibri"/>
        </w:rPr>
      </w:pPr>
    </w:p>
    <w:p w14:paraId="0000004E"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 xml:space="preserve">2. Data on the Cases of Domestic Violence, the Number of Complaints Filed, Investigations and Sentences Imposed  </w:t>
      </w:r>
    </w:p>
    <w:p w14:paraId="0000004F" w14:textId="7629597C"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Data on domestic violence in Bahrain is highly under </w:t>
      </w:r>
      <w:r w:rsidR="004F58E7">
        <w:rPr>
          <w:rFonts w:ascii="Calibri" w:eastAsia="Calibri" w:hAnsi="Calibri" w:cs="Calibri"/>
        </w:rPr>
        <w:t>represented</w:t>
      </w:r>
      <w:r>
        <w:rPr>
          <w:rFonts w:ascii="Calibri" w:eastAsia="Calibri" w:hAnsi="Calibri" w:cs="Calibri"/>
        </w:rPr>
        <w:t>. The US Department of State (DOS) Report on Bahrain in 2018 found that 3500 cases of sexual or physical abuse were reported.</w:t>
      </w:r>
      <w:r>
        <w:rPr>
          <w:rFonts w:ascii="Calibri" w:eastAsia="Calibri" w:hAnsi="Calibri" w:cs="Calibri"/>
          <w:vertAlign w:val="superscript"/>
        </w:rPr>
        <w:footnoteReference w:id="36"/>
      </w:r>
      <w:r>
        <w:rPr>
          <w:rFonts w:ascii="Calibri" w:eastAsia="Calibri" w:hAnsi="Calibri" w:cs="Calibri"/>
        </w:rPr>
        <w:t xml:space="preserve">  Considering the total population of 1,681,537 people</w:t>
      </w:r>
      <w:r>
        <w:rPr>
          <w:rFonts w:ascii="Calibri" w:eastAsia="Calibri" w:hAnsi="Calibri" w:cs="Calibri"/>
          <w:vertAlign w:val="superscript"/>
        </w:rPr>
        <w:footnoteReference w:id="37"/>
      </w:r>
      <w:r>
        <w:rPr>
          <w:rFonts w:ascii="Calibri" w:eastAsia="Calibri" w:hAnsi="Calibri" w:cs="Calibri"/>
        </w:rPr>
        <w:t xml:space="preserve"> and the fact that no less than 30% of women have experienced domestic abuse in Bahrain</w:t>
      </w:r>
      <w:r>
        <w:rPr>
          <w:rFonts w:ascii="Calibri" w:eastAsia="Calibri" w:hAnsi="Calibri" w:cs="Calibri"/>
          <w:vertAlign w:val="superscript"/>
        </w:rPr>
        <w:footnoteReference w:id="38"/>
      </w:r>
      <w:r>
        <w:rPr>
          <w:rFonts w:ascii="Calibri" w:eastAsia="Calibri" w:hAnsi="Calibri" w:cs="Calibri"/>
        </w:rPr>
        <w:t xml:space="preserve"> , these numbers do not represent the population accurately. Moreover, out </w:t>
      </w:r>
      <w:r>
        <w:rPr>
          <w:rFonts w:ascii="Calibri" w:eastAsia="Calibri" w:hAnsi="Calibri" w:cs="Calibri"/>
        </w:rPr>
        <w:lastRenderedPageBreak/>
        <w:t>of the 3500 reported cases of sexual or physical abuse, only 706 resulted in a conviction.</w:t>
      </w:r>
      <w:r>
        <w:rPr>
          <w:rFonts w:ascii="Calibri" w:eastAsia="Calibri" w:hAnsi="Calibri" w:cs="Calibri"/>
          <w:vertAlign w:val="superscript"/>
        </w:rPr>
        <w:footnoteReference w:id="39"/>
      </w:r>
      <w:r>
        <w:rPr>
          <w:rFonts w:ascii="Calibri" w:eastAsia="Calibri" w:hAnsi="Calibri" w:cs="Calibri"/>
        </w:rPr>
        <w:t xml:space="preserve"> Notwithstanding, the number of men who were convicted is insignificant, as official data does not reflect reality due to the state's negligence when it comes to punishing those using aggression against their female family members.</w:t>
      </w:r>
    </w:p>
    <w:p w14:paraId="00000050" w14:textId="77777777" w:rsidR="00866DEB" w:rsidRDefault="00866DEB">
      <w:pPr>
        <w:shd w:val="clear" w:color="auto" w:fill="FFFFFF"/>
        <w:spacing w:line="360" w:lineRule="auto"/>
        <w:jc w:val="both"/>
        <w:rPr>
          <w:rFonts w:ascii="Calibri" w:eastAsia="Calibri" w:hAnsi="Calibri" w:cs="Calibri"/>
        </w:rPr>
      </w:pPr>
    </w:p>
    <w:p w14:paraId="00000051" w14:textId="6A8FC7EF" w:rsidR="00866DEB" w:rsidRDefault="00540213">
      <w:pPr>
        <w:shd w:val="clear" w:color="auto" w:fill="FFFFFF"/>
        <w:spacing w:line="360" w:lineRule="auto"/>
        <w:jc w:val="both"/>
        <w:rPr>
          <w:rFonts w:ascii="Calibri" w:eastAsia="Calibri" w:hAnsi="Calibri" w:cs="Calibri"/>
          <w:color w:val="FF0000"/>
        </w:rPr>
      </w:pPr>
      <w:r>
        <w:rPr>
          <w:rFonts w:ascii="Calibri" w:eastAsia="Calibri" w:hAnsi="Calibri" w:cs="Calibri"/>
        </w:rPr>
        <w:t xml:space="preserve">ADHRB and local organizations recorded 6000 cases of domestic violence in 2018 within Bahrain. In 2019, this number increased to 7900 cases. There are two main reasons why there is a large gap between our data and the numbers reported by official institutions. The first is that the cases reported to local organizations and ADHRB were not reported to and consequently filed by the government. Women reported their cases in confidentiality as they feared that Bahrain’s official institutions would not be able or willing to assist them. Even if they were provided with aid and temporary safety in a shelter, once their husband apologized before an official institution, the shelter would send the woman back to his home where she would again be exposed to her husband's violence. </w:t>
      </w:r>
    </w:p>
    <w:p w14:paraId="00000052" w14:textId="77777777" w:rsidR="00866DEB" w:rsidRDefault="00866DEB">
      <w:pPr>
        <w:shd w:val="clear" w:color="auto" w:fill="FFFFFF"/>
        <w:spacing w:line="360" w:lineRule="auto"/>
        <w:jc w:val="both"/>
        <w:rPr>
          <w:rFonts w:ascii="Calibri" w:eastAsia="Calibri" w:hAnsi="Calibri" w:cs="Calibri"/>
        </w:rPr>
      </w:pPr>
    </w:p>
    <w:p w14:paraId="00000053" w14:textId="2BA74D1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In the case of a criminal complaint, a man can similarly explain himself and apologize to avoid a sentence. In comparison, a woman possesses no means with which to legally defend herself. Once the woman is forced to return to her abusive </w:t>
      </w:r>
      <w:r w:rsidR="00726CBA">
        <w:rPr>
          <w:rFonts w:ascii="Calibri" w:eastAsia="Calibri" w:hAnsi="Calibri" w:cs="Calibri"/>
        </w:rPr>
        <w:t>husband, the</w:t>
      </w:r>
      <w:r>
        <w:rPr>
          <w:rFonts w:ascii="Calibri" w:eastAsia="Calibri" w:hAnsi="Calibri" w:cs="Calibri"/>
        </w:rPr>
        <w:t xml:space="preserve"> government lacks a follow up system whereby a counselor could find out whether the husband's </w:t>
      </w:r>
      <w:r w:rsidR="00726CBA">
        <w:rPr>
          <w:rFonts w:ascii="Calibri" w:eastAsia="Calibri" w:hAnsi="Calibri" w:cs="Calibri"/>
        </w:rPr>
        <w:t>behavior</w:t>
      </w:r>
      <w:r>
        <w:rPr>
          <w:rFonts w:ascii="Calibri" w:eastAsia="Calibri" w:hAnsi="Calibri" w:cs="Calibri"/>
        </w:rPr>
        <w:t xml:space="preserve"> had changed. The second reason for the gap in data is that the government has absolutely no motivation to issue their statistics on domestic violence, as they would be detrimental to their international profile. </w:t>
      </w:r>
    </w:p>
    <w:p w14:paraId="00000054" w14:textId="77777777" w:rsidR="00866DEB" w:rsidRDefault="00866DEB">
      <w:pPr>
        <w:shd w:val="clear" w:color="auto" w:fill="FFFFFF"/>
        <w:spacing w:line="360" w:lineRule="auto"/>
        <w:jc w:val="both"/>
        <w:rPr>
          <w:rFonts w:ascii="Calibri" w:eastAsia="Calibri" w:hAnsi="Calibri" w:cs="Calibri"/>
        </w:rPr>
      </w:pPr>
    </w:p>
    <w:p w14:paraId="00000055"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3. Timeline for the Repeal of Legislation</w:t>
      </w:r>
    </w:p>
    <w:p w14:paraId="00000058" w14:textId="2CCA8E10" w:rsidR="00866DEB" w:rsidRPr="007602AD" w:rsidRDefault="00540213" w:rsidP="007602AD">
      <w:pPr>
        <w:shd w:val="clear" w:color="auto" w:fill="FFFFFF"/>
        <w:spacing w:line="360" w:lineRule="auto"/>
        <w:jc w:val="both"/>
        <w:rPr>
          <w:rFonts w:ascii="Calibri" w:eastAsia="Calibri" w:hAnsi="Calibri" w:cs="Calibri"/>
          <w:highlight w:val="white"/>
        </w:rPr>
      </w:pPr>
      <w:r>
        <w:rPr>
          <w:rFonts w:ascii="Calibri" w:eastAsia="Calibri" w:hAnsi="Calibri" w:cs="Calibri"/>
        </w:rPr>
        <w:t>Following the recommendations of the CEDAW Committee, Bahraini authorities claimed to have referred Article 353 of the Criminal Code to the legislature for repeal. This is significant as Article 353 allows for a perpetrator of rape to marry their victim and escape punishment, after which they may unilaterally divorce her.</w:t>
      </w:r>
      <w:r>
        <w:rPr>
          <w:rFonts w:ascii="Calibri" w:eastAsia="Calibri" w:hAnsi="Calibri" w:cs="Calibri"/>
          <w:vertAlign w:val="superscript"/>
        </w:rPr>
        <w:footnoteReference w:id="40"/>
      </w:r>
      <w:r>
        <w:rPr>
          <w:rFonts w:ascii="Calibri" w:eastAsia="Calibri" w:hAnsi="Calibri" w:cs="Calibri"/>
        </w:rPr>
        <w:t xml:space="preserve"> However, it is unclear when and if the amendment will be introduced.</w:t>
      </w:r>
      <w:r>
        <w:rPr>
          <w:rFonts w:ascii="Calibri" w:eastAsia="Calibri" w:hAnsi="Calibri" w:cs="Calibri"/>
          <w:vertAlign w:val="superscript"/>
        </w:rPr>
        <w:footnoteReference w:id="41"/>
      </w:r>
      <w:r>
        <w:rPr>
          <w:rFonts w:ascii="Calibri" w:eastAsia="Calibri" w:hAnsi="Calibri" w:cs="Calibri"/>
        </w:rPr>
        <w:t xml:space="preserve"> </w:t>
      </w:r>
      <w:r>
        <w:rPr>
          <w:rFonts w:ascii="Calibri" w:eastAsia="Calibri" w:hAnsi="Calibri" w:cs="Calibri"/>
          <w:highlight w:val="white"/>
        </w:rPr>
        <w:t xml:space="preserve">Furthermore, Bahrain states in their fourth periodic report that they have been working on an amendment to Article </w:t>
      </w:r>
      <w:r>
        <w:rPr>
          <w:rFonts w:ascii="Calibri" w:eastAsia="Calibri" w:hAnsi="Calibri" w:cs="Calibri"/>
          <w:highlight w:val="white"/>
        </w:rPr>
        <w:lastRenderedPageBreak/>
        <w:t>334 of the Criminal Code. So far, Article 334 provides "reduced penalties for perpetrators [both male and female] of crimes committed in the name of so-called honor."</w:t>
      </w:r>
      <w:r>
        <w:rPr>
          <w:rFonts w:ascii="Calibri" w:eastAsia="Calibri" w:hAnsi="Calibri" w:cs="Calibri"/>
          <w:highlight w:val="white"/>
          <w:vertAlign w:val="superscript"/>
        </w:rPr>
        <w:footnoteReference w:id="42"/>
      </w:r>
      <w:r>
        <w:rPr>
          <w:rFonts w:ascii="Calibri" w:eastAsia="Calibri" w:hAnsi="Calibri" w:cs="Calibri"/>
          <w:highlight w:val="white"/>
        </w:rPr>
        <w:t xml:space="preserve">  However, similar to the alleged work on Article 353, there is no evidence of any actual change to this law. Additionally, Bahraini authorities claim that "</w:t>
      </w:r>
      <w:r>
        <w:rPr>
          <w:rFonts w:ascii="Calibri" w:eastAsia="Calibri" w:hAnsi="Calibri" w:cs="Calibri"/>
        </w:rPr>
        <w:t>honor crimes do not exist in Bahrain.</w:t>
      </w:r>
      <w:r>
        <w:rPr>
          <w:rFonts w:ascii="Calibri" w:eastAsia="Calibri" w:hAnsi="Calibri" w:cs="Calibri"/>
          <w:highlight w:val="white"/>
        </w:rPr>
        <w:t>"</w:t>
      </w:r>
      <w:r>
        <w:rPr>
          <w:rFonts w:ascii="Calibri" w:eastAsia="Calibri" w:hAnsi="Calibri" w:cs="Calibri"/>
          <w:highlight w:val="white"/>
          <w:vertAlign w:val="superscript"/>
        </w:rPr>
        <w:footnoteReference w:id="43"/>
      </w:r>
      <w:r>
        <w:rPr>
          <w:rFonts w:ascii="Calibri" w:eastAsia="Calibri" w:hAnsi="Calibri" w:cs="Calibri"/>
          <w:highlight w:val="white"/>
        </w:rPr>
        <w:t xml:space="preserve"> This is in clear contradiction to the fact that there is a law for reduced sentences.  </w:t>
      </w:r>
    </w:p>
    <w:p w14:paraId="00000059" w14:textId="77777777" w:rsidR="00866DEB" w:rsidRDefault="00866DEB">
      <w:pPr>
        <w:shd w:val="clear" w:color="auto" w:fill="FFFFFF"/>
        <w:spacing w:line="360" w:lineRule="auto"/>
        <w:jc w:val="both"/>
        <w:rPr>
          <w:rFonts w:ascii="Calibri" w:eastAsia="Calibri" w:hAnsi="Calibri" w:cs="Calibri"/>
        </w:rPr>
      </w:pPr>
    </w:p>
    <w:p w14:paraId="0000005A"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4. National Plan for the Advancement of Bahraini Women</w:t>
      </w:r>
    </w:p>
    <w:p w14:paraId="0000005B"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Bahrain has adopted a National Plan for the Advancement of Bahraini Women (2013-2022), as well as a corresponding implementation strategy. Included in the plan are objectives such as the protection of women against all types of domestic violence.</w:t>
      </w:r>
      <w:r>
        <w:rPr>
          <w:rFonts w:ascii="Calibri" w:eastAsia="Calibri" w:hAnsi="Calibri" w:cs="Calibri"/>
          <w:vertAlign w:val="superscript"/>
        </w:rPr>
        <w:footnoteReference w:id="44"/>
      </w:r>
      <w:r>
        <w:rPr>
          <w:rFonts w:ascii="Calibri" w:eastAsia="Calibri" w:hAnsi="Calibri" w:cs="Calibri"/>
          <w:highlight w:val="white"/>
        </w:rPr>
        <w:t xml:space="preserve"> However, these declared objectives have not been implemented in practice.</w:t>
      </w:r>
      <w:r>
        <w:rPr>
          <w:rFonts w:ascii="Calibri" w:eastAsia="Calibri" w:hAnsi="Calibri" w:cs="Calibri"/>
        </w:rPr>
        <w:t xml:space="preserve"> For instance, since the adoption of the Protection Against Domestic Violence Law in 2015, there is neither “evidence on the implementation of the law”, nor is there a “specific budget allocated to the services and guidelines outlined in the law.”</w:t>
      </w:r>
      <w:r>
        <w:rPr>
          <w:rFonts w:ascii="Calibri" w:eastAsia="Calibri" w:hAnsi="Calibri" w:cs="Calibri"/>
          <w:vertAlign w:val="superscript"/>
        </w:rPr>
        <w:footnoteReference w:id="45"/>
      </w:r>
    </w:p>
    <w:p w14:paraId="0000005C" w14:textId="77777777" w:rsidR="00866DEB" w:rsidRDefault="00866DEB">
      <w:pPr>
        <w:shd w:val="clear" w:color="auto" w:fill="FFFFFF"/>
        <w:spacing w:line="360" w:lineRule="auto"/>
        <w:jc w:val="both"/>
        <w:rPr>
          <w:rFonts w:ascii="Calibri" w:eastAsia="Calibri" w:hAnsi="Calibri" w:cs="Calibri"/>
        </w:rPr>
      </w:pPr>
    </w:p>
    <w:p w14:paraId="0000005D"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5. Shelters and Services for Victims of Domestic Violence</w:t>
      </w:r>
    </w:p>
    <w:p w14:paraId="0000005E" w14:textId="37E6D569"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On the one hand, the Bahraini government has established “pro-forma” </w:t>
      </w:r>
      <w:r w:rsidR="00177825">
        <w:rPr>
          <w:rFonts w:ascii="Calibri" w:eastAsia="Calibri" w:hAnsi="Calibri" w:cs="Calibri"/>
        </w:rPr>
        <w:t>centers</w:t>
      </w:r>
      <w:r>
        <w:rPr>
          <w:rFonts w:ascii="Calibri" w:eastAsia="Calibri" w:hAnsi="Calibri" w:cs="Calibri"/>
        </w:rPr>
        <w:t xml:space="preserve"> for victims of domestic violence, as well as a 24-hours-hotline, the former with the objective to protect women and the latter to offer legal advice.</w:t>
      </w:r>
      <w:r>
        <w:rPr>
          <w:rFonts w:ascii="Calibri" w:eastAsia="Calibri" w:hAnsi="Calibri" w:cs="Calibri"/>
          <w:vertAlign w:val="superscript"/>
        </w:rPr>
        <w:footnoteReference w:id="46"/>
      </w:r>
      <w:r>
        <w:rPr>
          <w:rFonts w:ascii="Calibri" w:eastAsia="Calibri" w:hAnsi="Calibri" w:cs="Calibri"/>
        </w:rPr>
        <w:t xml:space="preserve"> That being said, the </w:t>
      </w:r>
      <w:r w:rsidR="00177825">
        <w:rPr>
          <w:rFonts w:ascii="Calibri" w:eastAsia="Calibri" w:hAnsi="Calibri" w:cs="Calibri"/>
        </w:rPr>
        <w:t>center</w:t>
      </w:r>
      <w:r>
        <w:rPr>
          <w:rFonts w:ascii="Calibri" w:eastAsia="Calibri" w:hAnsi="Calibri" w:cs="Calibri"/>
        </w:rPr>
        <w:t xml:space="preserve"> and the hotline have not proven effective. Furthermore, in June 2016, the Bahraini government cut funding to thirteen women’s rights NGOs, including a charity that provided counseling and other forms of support to victims of domestic abuse.</w:t>
      </w:r>
      <w:r>
        <w:rPr>
          <w:rFonts w:ascii="Calibri" w:eastAsia="Calibri" w:hAnsi="Calibri" w:cs="Calibri"/>
          <w:vertAlign w:val="superscript"/>
        </w:rPr>
        <w:footnoteReference w:id="47"/>
      </w:r>
    </w:p>
    <w:p w14:paraId="0000005F" w14:textId="77777777" w:rsidR="00866DEB" w:rsidRDefault="00866DEB">
      <w:pPr>
        <w:shd w:val="clear" w:color="auto" w:fill="FFFFFF"/>
        <w:spacing w:line="360" w:lineRule="auto"/>
        <w:jc w:val="both"/>
        <w:rPr>
          <w:rFonts w:ascii="Calibri" w:eastAsia="Calibri" w:hAnsi="Calibri" w:cs="Calibri"/>
        </w:rPr>
      </w:pPr>
    </w:p>
    <w:p w14:paraId="00000060" w14:textId="68F52E4C"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Considering the fact that the government is unwilling to investigate domestic violence cases, has established ineffective institutions which cannot protect and support victims as intended, refuses to criminalize spousal rape, and allows a rapist to avoid persecution by marrying his victim, it is clear that </w:t>
      </w:r>
      <w:r>
        <w:rPr>
          <w:rFonts w:ascii="Calibri" w:eastAsia="Calibri" w:hAnsi="Calibri" w:cs="Calibri"/>
        </w:rPr>
        <w:lastRenderedPageBreak/>
        <w:t>Bahrain continues to unabashedly violate the CEDAW treaty.</w:t>
      </w:r>
      <w:r w:rsidR="00177825">
        <w:rPr>
          <w:rFonts w:ascii="Calibri" w:eastAsia="Calibri" w:hAnsi="Calibri" w:cs="Calibri"/>
        </w:rPr>
        <w:t xml:space="preserve"> Another concerning facts that since 2016 the government </w:t>
      </w:r>
      <w:r w:rsidR="00BD0C33">
        <w:rPr>
          <w:rFonts w:ascii="Calibri" w:eastAsia="Calibri" w:hAnsi="Calibri" w:cs="Calibri"/>
        </w:rPr>
        <w:t>crackdown</w:t>
      </w:r>
      <w:r w:rsidR="00177825">
        <w:rPr>
          <w:rFonts w:ascii="Calibri" w:eastAsia="Calibri" w:hAnsi="Calibri" w:cs="Calibri"/>
        </w:rPr>
        <w:t xml:space="preserve"> on women charity preventing them from providing their services and training programs to needy women. Such crackdown </w:t>
      </w:r>
      <w:r w:rsidR="006A6C10">
        <w:rPr>
          <w:rFonts w:ascii="Calibri" w:eastAsia="Calibri" w:hAnsi="Calibri" w:cs="Calibri"/>
        </w:rPr>
        <w:t xml:space="preserve">left many vulnerable and needy women to be without support and much needed program of rehabilitation and job training which are not provided by the Bahraini in a robust efficient means.  </w:t>
      </w:r>
      <w:r>
        <w:rPr>
          <w:rFonts w:ascii="Calibri" w:eastAsia="Calibri" w:hAnsi="Calibri" w:cs="Calibri"/>
        </w:rPr>
        <w:t xml:space="preserve"> </w:t>
      </w:r>
    </w:p>
    <w:p w14:paraId="6D64B0E3" w14:textId="77777777" w:rsidR="00177825" w:rsidRDefault="00177825">
      <w:pPr>
        <w:shd w:val="clear" w:color="auto" w:fill="FFFFFF"/>
        <w:spacing w:line="360" w:lineRule="auto"/>
        <w:jc w:val="both"/>
        <w:rPr>
          <w:rFonts w:ascii="Calibri" w:eastAsia="Calibri" w:hAnsi="Calibri" w:cs="Calibri"/>
        </w:rPr>
      </w:pPr>
    </w:p>
    <w:p w14:paraId="00000061" w14:textId="77777777" w:rsidR="00866DEB" w:rsidRDefault="00866DEB">
      <w:pPr>
        <w:shd w:val="clear" w:color="auto" w:fill="FFFFFF"/>
        <w:spacing w:line="360" w:lineRule="auto"/>
        <w:rPr>
          <w:rFonts w:ascii="Calibri" w:eastAsia="Calibri" w:hAnsi="Calibri" w:cs="Calibri"/>
        </w:rPr>
      </w:pPr>
    </w:p>
    <w:p w14:paraId="00000062" w14:textId="77777777" w:rsidR="00866DEB" w:rsidRDefault="00540213">
      <w:pPr>
        <w:shd w:val="clear" w:color="auto" w:fill="FFFFFF"/>
        <w:spacing w:after="200" w:line="360" w:lineRule="auto"/>
        <w:rPr>
          <w:rFonts w:ascii="Calibri" w:eastAsia="Calibri" w:hAnsi="Calibri" w:cs="Calibri"/>
          <w:b/>
        </w:rPr>
      </w:pPr>
      <w:r>
        <w:rPr>
          <w:rFonts w:ascii="Calibri" w:eastAsia="Calibri" w:hAnsi="Calibri" w:cs="Calibri"/>
          <w:b/>
        </w:rPr>
        <w:t>IV. Conclusion</w:t>
      </w:r>
    </w:p>
    <w:p w14:paraId="00000063" w14:textId="77777777"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By acceding to CEDAW, the government of Bahrain undertook an international commitment to protect women’s rights and take all necessary measures to prevent gender-based discrimination and harassment. However, Bahrain continues to allow the extensive and systematic abuse of women in all spheres of their existence. To date, the mandated oversight bodies</w:t>
      </w:r>
      <w:r>
        <w:rPr>
          <w:color w:val="4D5156"/>
          <w:highlight w:val="white"/>
        </w:rPr>
        <w:t>—</w:t>
      </w:r>
      <w:r>
        <w:rPr>
          <w:rFonts w:ascii="Calibri" w:eastAsia="Calibri" w:hAnsi="Calibri" w:cs="Calibri"/>
        </w:rPr>
        <w:t>the Supreme Council of Women and the National Institution for Human Rights</w:t>
      </w:r>
      <w:r>
        <w:rPr>
          <w:color w:val="4D5156"/>
          <w:highlight w:val="white"/>
        </w:rPr>
        <w:t>—</w:t>
      </w:r>
      <w:r>
        <w:rPr>
          <w:rFonts w:ascii="Calibri" w:eastAsia="Calibri" w:hAnsi="Calibri" w:cs="Calibri"/>
        </w:rPr>
        <w:t>have been unsuccessful in both the identification of victims of violence and the legal assistance of those who come to them with complaints. Moreover, both bodies lack independence from the government and fail to hold authorities accountable for the abuses they commit against women.</w:t>
      </w:r>
    </w:p>
    <w:p w14:paraId="00000064" w14:textId="77777777" w:rsidR="00866DEB" w:rsidRDefault="00866DEB">
      <w:pPr>
        <w:shd w:val="clear" w:color="auto" w:fill="FFFFFF"/>
        <w:spacing w:line="360" w:lineRule="auto"/>
        <w:jc w:val="both"/>
        <w:rPr>
          <w:rFonts w:ascii="Calibri" w:eastAsia="Calibri" w:hAnsi="Calibri" w:cs="Calibri"/>
        </w:rPr>
      </w:pPr>
    </w:p>
    <w:p w14:paraId="00000065" w14:textId="459920D1" w:rsidR="00866DEB" w:rsidRDefault="00540213" w:rsidP="00F03A01">
      <w:pPr>
        <w:shd w:val="clear" w:color="auto" w:fill="FFFFFF"/>
        <w:spacing w:line="360" w:lineRule="auto"/>
        <w:jc w:val="both"/>
        <w:rPr>
          <w:rFonts w:ascii="Calibri" w:eastAsia="Calibri" w:hAnsi="Calibri" w:cs="Calibri"/>
        </w:rPr>
      </w:pPr>
      <w:r>
        <w:rPr>
          <w:rFonts w:ascii="Calibri" w:eastAsia="Calibri" w:hAnsi="Calibri" w:cs="Calibri"/>
        </w:rPr>
        <w:t xml:space="preserve">The partisanship of oversight bodies remains a substantial obstacle to the government’s alleged attempts to protect women’s rights, as repeatedly evidenced by the harassment of female activists in Bahrain. As women became more active advocates for equal rights after the 2011 protests, they were confronted with arbitrary arrest, violent interrogation, and the impunity of authorities. Many remain incarcerated for their activism. Speaking on her experience, </w:t>
      </w:r>
      <w:r w:rsidR="00F03A01">
        <w:rPr>
          <w:rFonts w:ascii="Calibri" w:eastAsia="Calibri" w:hAnsi="Calibri" w:cs="Calibri"/>
          <w:b/>
          <w:bCs/>
        </w:rPr>
        <w:t>Female Victim</w:t>
      </w:r>
      <w:r w:rsidR="00F03A01">
        <w:rPr>
          <w:rFonts w:ascii="Calibri" w:eastAsia="Calibri" w:hAnsi="Calibri" w:cs="Calibri"/>
        </w:rPr>
        <w:t xml:space="preserve"> </w:t>
      </w:r>
      <w:r>
        <w:rPr>
          <w:rFonts w:ascii="Calibri" w:eastAsia="Calibri" w:hAnsi="Calibri" w:cs="Calibri"/>
        </w:rPr>
        <w:t>stated, “personally I still haven’t received justice for the crimes committed against me</w:t>
      </w:r>
      <w:r>
        <w:rPr>
          <w:color w:val="4D5156"/>
          <w:highlight w:val="white"/>
        </w:rPr>
        <w:t>—</w:t>
      </w:r>
      <w:r>
        <w:rPr>
          <w:rFonts w:ascii="Calibri" w:eastAsia="Calibri" w:hAnsi="Calibri" w:cs="Calibri"/>
        </w:rPr>
        <w:t>the perpetrators remain free. I cannot accept that this happens without any accountability. I was assaulted physically and sexually</w:t>
      </w:r>
      <w:r>
        <w:rPr>
          <w:color w:val="4D5156"/>
          <w:highlight w:val="white"/>
        </w:rPr>
        <w:t>—</w:t>
      </w:r>
      <w:r>
        <w:rPr>
          <w:rFonts w:ascii="Calibri" w:eastAsia="Calibri" w:hAnsi="Calibri" w:cs="Calibri"/>
        </w:rPr>
        <w:t>there were cameras in that police station, if they want to get the perpetrators, they can do it, but it’s not happening.”</w:t>
      </w:r>
      <w:r>
        <w:rPr>
          <w:rFonts w:ascii="Calibri" w:eastAsia="Calibri" w:hAnsi="Calibri" w:cs="Calibri"/>
          <w:vertAlign w:val="superscript"/>
        </w:rPr>
        <w:footnoteReference w:id="48"/>
      </w:r>
      <w:r>
        <w:rPr>
          <w:rFonts w:ascii="Calibri" w:eastAsia="Calibri" w:hAnsi="Calibri" w:cs="Calibri"/>
        </w:rPr>
        <w:t xml:space="preserve"> </w:t>
      </w:r>
    </w:p>
    <w:p w14:paraId="00000066" w14:textId="77777777" w:rsidR="00866DEB" w:rsidRDefault="00866DEB">
      <w:pPr>
        <w:shd w:val="clear" w:color="auto" w:fill="FFFFFF"/>
        <w:spacing w:line="360" w:lineRule="auto"/>
        <w:jc w:val="both"/>
        <w:rPr>
          <w:rFonts w:ascii="Calibri" w:eastAsia="Calibri" w:hAnsi="Calibri" w:cs="Calibri"/>
        </w:rPr>
      </w:pPr>
    </w:p>
    <w:p w14:paraId="00000067" w14:textId="3340CA8E" w:rsidR="00866DEB" w:rsidRDefault="00540213">
      <w:pPr>
        <w:shd w:val="clear" w:color="auto" w:fill="FFFFFF"/>
        <w:spacing w:line="360" w:lineRule="auto"/>
        <w:jc w:val="both"/>
        <w:rPr>
          <w:rFonts w:ascii="Calibri" w:eastAsia="Calibri" w:hAnsi="Calibri" w:cs="Calibri"/>
        </w:rPr>
      </w:pPr>
      <w:r>
        <w:rPr>
          <w:rFonts w:ascii="Calibri" w:eastAsia="Calibri" w:hAnsi="Calibri" w:cs="Calibri"/>
        </w:rPr>
        <w:t xml:space="preserve">Such testimonies of abuse point to the root of the issue, which is the government’s failure to </w:t>
      </w:r>
      <w:r w:rsidR="007A583F">
        <w:rPr>
          <w:rFonts w:ascii="Calibri" w:eastAsia="Calibri" w:hAnsi="Calibri" w:cs="Calibri"/>
        </w:rPr>
        <w:t>recognize</w:t>
      </w:r>
      <w:r>
        <w:rPr>
          <w:rFonts w:ascii="Calibri" w:eastAsia="Calibri" w:hAnsi="Calibri" w:cs="Calibri"/>
        </w:rPr>
        <w:t xml:space="preserve"> gender equality in law and practice, and their subsequent acceptance of widespread discrimination against women throughout Bahraini society. Despite acceding to the CEDAW treaty, the government has refused to amend articles of its legislation that could improve the position of women in Bahrain, including </w:t>
      </w:r>
      <w:r>
        <w:rPr>
          <w:rFonts w:ascii="Calibri" w:eastAsia="Calibri" w:hAnsi="Calibri" w:cs="Calibri"/>
        </w:rPr>
        <w:lastRenderedPageBreak/>
        <w:t>in Labor Law and Family Law, and there continues to be insufficient legislation to protect women against gender-based violence and domestic abuse. Furthermore, the government has cut its funding to women’s rights NGOs, unequivocally confirming the neglect of their commitments to women in Bahrain.</w:t>
      </w:r>
    </w:p>
    <w:p w14:paraId="00000068" w14:textId="77777777" w:rsidR="00866DEB" w:rsidRDefault="00866DEB">
      <w:pPr>
        <w:shd w:val="clear" w:color="auto" w:fill="FFFFFF"/>
        <w:spacing w:line="360" w:lineRule="auto"/>
        <w:jc w:val="both"/>
        <w:rPr>
          <w:rFonts w:ascii="Calibri" w:eastAsia="Calibri" w:hAnsi="Calibri" w:cs="Calibri"/>
        </w:rPr>
      </w:pPr>
    </w:p>
    <w:p w14:paraId="00000069" w14:textId="77777777" w:rsidR="00866DEB" w:rsidRDefault="00540213">
      <w:pPr>
        <w:shd w:val="clear" w:color="auto" w:fill="FFFFFF"/>
        <w:spacing w:line="360" w:lineRule="auto"/>
        <w:jc w:val="both"/>
        <w:rPr>
          <w:rFonts w:ascii="Calibri" w:eastAsia="Calibri" w:hAnsi="Calibri" w:cs="Calibri"/>
          <w:b/>
        </w:rPr>
      </w:pPr>
      <w:r>
        <w:rPr>
          <w:rFonts w:ascii="Calibri" w:eastAsia="Calibri" w:hAnsi="Calibri" w:cs="Calibri"/>
        </w:rPr>
        <w:t>The government of Bahrain must be prepared to take firm and evident steps in order to comply with the CEDAW treaty and commit to supporting women’s rights. Greater independence must be seen within oversight bodies, and legislation must be amended in order to eliminate systematic prejudice and harassment against women. The arbitrary arrest of women’s rights activists must come to end with the punishment of those responsible and the release of those wrongly incarcerated for breaking their silence.</w:t>
      </w:r>
    </w:p>
    <w:p w14:paraId="0000006A" w14:textId="77777777" w:rsidR="00866DEB" w:rsidRDefault="00866DEB">
      <w:pPr>
        <w:shd w:val="clear" w:color="auto" w:fill="FFFFFF"/>
        <w:spacing w:line="360" w:lineRule="auto"/>
        <w:jc w:val="both"/>
        <w:rPr>
          <w:rFonts w:ascii="Calibri" w:eastAsia="Calibri" w:hAnsi="Calibri" w:cs="Calibri"/>
        </w:rPr>
      </w:pPr>
    </w:p>
    <w:p w14:paraId="0000006B" w14:textId="77777777" w:rsidR="00866DEB" w:rsidRDefault="00540213">
      <w:pPr>
        <w:spacing w:after="200" w:line="360" w:lineRule="auto"/>
        <w:rPr>
          <w:rFonts w:ascii="Calibri" w:eastAsia="Calibri" w:hAnsi="Calibri" w:cs="Calibri"/>
          <w:b/>
          <w:color w:val="1D1D1D"/>
        </w:rPr>
      </w:pPr>
      <w:r>
        <w:rPr>
          <w:rFonts w:ascii="Calibri" w:eastAsia="Calibri" w:hAnsi="Calibri" w:cs="Calibri"/>
          <w:b/>
          <w:color w:val="1D1D1D"/>
        </w:rPr>
        <w:t>V. Recommendations</w:t>
      </w:r>
    </w:p>
    <w:p w14:paraId="0000006C" w14:textId="77777777" w:rsidR="00866DEB" w:rsidRDefault="00540213">
      <w:pPr>
        <w:spacing w:after="200"/>
        <w:rPr>
          <w:rFonts w:ascii="Calibri" w:eastAsia="Calibri" w:hAnsi="Calibri" w:cs="Calibri"/>
          <w:b/>
        </w:rPr>
      </w:pPr>
      <w:r>
        <w:rPr>
          <w:rFonts w:ascii="Calibri" w:eastAsia="Calibri" w:hAnsi="Calibri" w:cs="Calibri"/>
          <w:b/>
        </w:rPr>
        <w:t>Institutions</w:t>
      </w:r>
    </w:p>
    <w:p w14:paraId="0000006D" w14:textId="77777777" w:rsidR="00866DEB" w:rsidRDefault="00540213">
      <w:pPr>
        <w:numPr>
          <w:ilvl w:val="0"/>
          <w:numId w:val="1"/>
        </w:numPr>
        <w:spacing w:line="360" w:lineRule="auto"/>
        <w:jc w:val="both"/>
        <w:rPr>
          <w:rFonts w:ascii="Calibri" w:eastAsia="Calibri" w:hAnsi="Calibri" w:cs="Calibri"/>
        </w:rPr>
      </w:pPr>
      <w:r>
        <w:rPr>
          <w:rFonts w:ascii="Calibri" w:eastAsia="Calibri" w:hAnsi="Calibri" w:cs="Calibri"/>
        </w:rPr>
        <w:t>Establish an independent commission to oversee the reform of oversight and accountability institutions to guarantee genuine impartiality and independence from the government of Bahrain;</w:t>
      </w:r>
    </w:p>
    <w:p w14:paraId="0000006F" w14:textId="75877904" w:rsidR="00866DEB" w:rsidRPr="007A583F" w:rsidRDefault="007A583F" w:rsidP="007A583F">
      <w:pPr>
        <w:numPr>
          <w:ilvl w:val="0"/>
          <w:numId w:val="1"/>
        </w:numPr>
        <w:spacing w:line="360" w:lineRule="auto"/>
        <w:jc w:val="both"/>
        <w:rPr>
          <w:rFonts w:ascii="Calibri" w:eastAsia="Calibri" w:hAnsi="Calibri" w:cs="Calibri"/>
        </w:rPr>
      </w:pPr>
      <w:r>
        <w:rPr>
          <w:rFonts w:ascii="Calibri" w:eastAsia="Calibri" w:hAnsi="Calibri" w:cs="Calibri"/>
        </w:rPr>
        <w:t xml:space="preserve">Create accountability mechanism by independent local and international NGO to asses </w:t>
      </w:r>
      <w:r w:rsidR="00540213">
        <w:rPr>
          <w:rFonts w:ascii="Calibri" w:eastAsia="Calibri" w:hAnsi="Calibri" w:cs="Calibri"/>
        </w:rPr>
        <w:t>role of the Supreme Council for Women in order to provide free legal assistance for cases involving maintenance, divorce and custody or other family related matters;</w:t>
      </w:r>
    </w:p>
    <w:p w14:paraId="00000070" w14:textId="19044F37" w:rsidR="00866DEB" w:rsidRDefault="007A583F" w:rsidP="007A583F">
      <w:pPr>
        <w:numPr>
          <w:ilvl w:val="0"/>
          <w:numId w:val="1"/>
        </w:numPr>
        <w:spacing w:line="360" w:lineRule="auto"/>
        <w:jc w:val="both"/>
        <w:rPr>
          <w:rFonts w:ascii="Calibri" w:eastAsia="Calibri" w:hAnsi="Calibri" w:cs="Calibri"/>
        </w:rPr>
      </w:pPr>
      <w:r>
        <w:rPr>
          <w:rFonts w:ascii="Calibri" w:eastAsia="Calibri" w:hAnsi="Calibri" w:cs="Calibri"/>
        </w:rPr>
        <w:t>Create international standard training program to all the government funded institutions on how to deal with women grievances and to document and then seek assistance to prosecute any violations or discrimination against women;</w:t>
      </w:r>
    </w:p>
    <w:p w14:paraId="00000071" w14:textId="508EAB73" w:rsidR="00866DEB" w:rsidRDefault="00540213" w:rsidP="0092020F">
      <w:pPr>
        <w:numPr>
          <w:ilvl w:val="0"/>
          <w:numId w:val="1"/>
        </w:numPr>
        <w:spacing w:line="360" w:lineRule="auto"/>
        <w:jc w:val="both"/>
        <w:rPr>
          <w:rFonts w:ascii="Calibri" w:eastAsia="Calibri" w:hAnsi="Calibri" w:cs="Calibri"/>
        </w:rPr>
      </w:pPr>
      <w:r>
        <w:rPr>
          <w:rFonts w:ascii="Calibri" w:eastAsia="Calibri" w:hAnsi="Calibri" w:cs="Calibri"/>
          <w:highlight w:val="white"/>
        </w:rPr>
        <w:t xml:space="preserve">Provide a timely, transparent, and thorough investigation into the </w:t>
      </w:r>
      <w:r>
        <w:rPr>
          <w:rFonts w:ascii="Calibri" w:eastAsia="Calibri" w:hAnsi="Calibri" w:cs="Calibri"/>
        </w:rPr>
        <w:t xml:space="preserve">cases of: </w:t>
      </w:r>
      <w:r w:rsidR="0092020F">
        <w:rPr>
          <w:rFonts w:ascii="Calibri" w:eastAsia="Calibri" w:hAnsi="Calibri" w:cs="Calibri"/>
          <w:b/>
          <w:bCs/>
        </w:rPr>
        <w:t>Female Victim</w:t>
      </w:r>
      <w:r>
        <w:rPr>
          <w:rFonts w:ascii="Calibri" w:eastAsia="Calibri" w:hAnsi="Calibri" w:cs="Calibri"/>
          <w:highlight w:val="white"/>
        </w:rPr>
        <w:t xml:space="preserve">; </w:t>
      </w:r>
      <w:r w:rsidR="0092020F">
        <w:rPr>
          <w:rFonts w:ascii="Calibri" w:eastAsia="Calibri" w:hAnsi="Calibri" w:cs="Calibri"/>
          <w:b/>
          <w:bCs/>
        </w:rPr>
        <w:t>Female Victim</w:t>
      </w:r>
      <w:r>
        <w:rPr>
          <w:rFonts w:ascii="Calibri" w:eastAsia="Calibri" w:hAnsi="Calibri" w:cs="Calibri"/>
          <w:highlight w:val="white"/>
        </w:rPr>
        <w:t xml:space="preserve">; </w:t>
      </w:r>
      <w:r w:rsidR="0092020F">
        <w:rPr>
          <w:rFonts w:ascii="Calibri" w:eastAsia="Calibri" w:hAnsi="Calibri" w:cs="Calibri"/>
          <w:b/>
          <w:bCs/>
        </w:rPr>
        <w:t>Female Victim</w:t>
      </w:r>
      <w:r>
        <w:rPr>
          <w:rFonts w:ascii="Calibri" w:eastAsia="Calibri" w:hAnsi="Calibri" w:cs="Calibri"/>
          <w:highlight w:val="white"/>
        </w:rPr>
        <w:t xml:space="preserve">; </w:t>
      </w:r>
      <w:r w:rsidR="0092020F">
        <w:rPr>
          <w:rFonts w:ascii="Calibri" w:eastAsia="Calibri" w:hAnsi="Calibri" w:cs="Calibri"/>
          <w:b/>
          <w:bCs/>
        </w:rPr>
        <w:t>Female Victim</w:t>
      </w:r>
      <w:r>
        <w:rPr>
          <w:rFonts w:ascii="Calibri" w:eastAsia="Calibri" w:hAnsi="Calibri" w:cs="Calibri"/>
          <w:highlight w:val="white"/>
        </w:rPr>
        <w:t xml:space="preserve">; </w:t>
      </w:r>
      <w:r w:rsidR="0092020F">
        <w:rPr>
          <w:rFonts w:ascii="Calibri" w:eastAsia="Calibri" w:hAnsi="Calibri" w:cs="Calibri"/>
          <w:b/>
          <w:bCs/>
        </w:rPr>
        <w:t>Female Victim</w:t>
      </w:r>
      <w:r w:rsidR="0092020F">
        <w:rPr>
          <w:rFonts w:ascii="Calibri" w:eastAsia="Calibri" w:hAnsi="Calibri" w:cs="Calibri"/>
          <w:highlight w:val="white"/>
        </w:rPr>
        <w:t xml:space="preserve"> </w:t>
      </w:r>
      <w:r w:rsidR="007A583F">
        <w:rPr>
          <w:rFonts w:ascii="Calibri" w:eastAsia="Calibri" w:hAnsi="Calibri" w:cs="Calibri"/>
          <w:highlight w:val="white"/>
        </w:rPr>
        <w:t xml:space="preserve">and </w:t>
      </w:r>
      <w:r w:rsidR="0092020F">
        <w:rPr>
          <w:rFonts w:ascii="Calibri" w:eastAsia="Calibri" w:hAnsi="Calibri" w:cs="Calibri"/>
          <w:b/>
          <w:bCs/>
        </w:rPr>
        <w:t>Female Victim</w:t>
      </w:r>
      <w:r w:rsidR="0092020F">
        <w:rPr>
          <w:rFonts w:ascii="Calibri" w:eastAsia="Calibri" w:hAnsi="Calibri" w:cs="Calibri"/>
        </w:rPr>
        <w:t xml:space="preserve"> </w:t>
      </w:r>
      <w:r w:rsidR="007A583F">
        <w:rPr>
          <w:rFonts w:ascii="Calibri" w:eastAsia="Calibri" w:hAnsi="Calibri" w:cs="Calibri"/>
        </w:rPr>
        <w:t xml:space="preserve">and hold officials accountable for such violations; </w:t>
      </w:r>
    </w:p>
    <w:p w14:paraId="00000072" w14:textId="4700589A" w:rsidR="00866DEB" w:rsidRDefault="007A583F">
      <w:pPr>
        <w:numPr>
          <w:ilvl w:val="0"/>
          <w:numId w:val="1"/>
        </w:numPr>
        <w:spacing w:line="360" w:lineRule="auto"/>
        <w:jc w:val="both"/>
        <w:rPr>
          <w:rFonts w:ascii="Calibri" w:eastAsia="Calibri" w:hAnsi="Calibri" w:cs="Calibri"/>
        </w:rPr>
      </w:pPr>
      <w:r>
        <w:rPr>
          <w:rFonts w:ascii="Calibri" w:eastAsia="Calibri" w:hAnsi="Calibri" w:cs="Calibri"/>
        </w:rPr>
        <w:t xml:space="preserve">Investigate government officials responsible for the various human rights violations committed against Bahraini women to end the deep rooted ongoing culture of impunity;  </w:t>
      </w:r>
    </w:p>
    <w:p w14:paraId="00000073" w14:textId="77777777" w:rsidR="00866DEB" w:rsidRDefault="00540213">
      <w:pPr>
        <w:numPr>
          <w:ilvl w:val="0"/>
          <w:numId w:val="1"/>
        </w:numPr>
        <w:spacing w:line="360" w:lineRule="auto"/>
        <w:jc w:val="both"/>
        <w:rPr>
          <w:rFonts w:ascii="Calibri" w:eastAsia="Calibri" w:hAnsi="Calibri" w:cs="Calibri"/>
        </w:rPr>
      </w:pPr>
      <w:r>
        <w:rPr>
          <w:rFonts w:ascii="Calibri" w:eastAsia="Calibri" w:hAnsi="Calibri" w:cs="Calibri"/>
        </w:rPr>
        <w:t>Ensure the independence of the Bahraini government toward oversight institutions mandated to address human rights abuses and combat impunity are present in the Kingdom, such as the Ministry of Interior (MOI) Ombudsman and the National Institution for Human Rights (NIHR).</w:t>
      </w:r>
    </w:p>
    <w:p w14:paraId="00000074" w14:textId="77777777" w:rsidR="00866DEB" w:rsidRDefault="00866DEB">
      <w:pPr>
        <w:spacing w:line="360" w:lineRule="auto"/>
        <w:ind w:left="360"/>
        <w:jc w:val="both"/>
        <w:rPr>
          <w:rFonts w:ascii="Calibri" w:eastAsia="Calibri" w:hAnsi="Calibri" w:cs="Calibri"/>
        </w:rPr>
      </w:pPr>
    </w:p>
    <w:p w14:paraId="7A41FC0C" w14:textId="77777777" w:rsidR="00AA7236" w:rsidRDefault="00AA7236">
      <w:pPr>
        <w:shd w:val="clear" w:color="auto" w:fill="FFFFFF"/>
        <w:spacing w:after="200"/>
        <w:rPr>
          <w:rFonts w:ascii="Calibri" w:eastAsia="Calibri" w:hAnsi="Calibri" w:cs="Calibri"/>
          <w:b/>
        </w:rPr>
      </w:pPr>
    </w:p>
    <w:p w14:paraId="00000075" w14:textId="4133C60F" w:rsidR="00866DEB" w:rsidRDefault="00540213">
      <w:pPr>
        <w:shd w:val="clear" w:color="auto" w:fill="FFFFFF"/>
        <w:spacing w:after="200"/>
        <w:rPr>
          <w:rFonts w:ascii="Calibri" w:eastAsia="Calibri" w:hAnsi="Calibri" w:cs="Calibri"/>
          <w:b/>
        </w:rPr>
      </w:pPr>
      <w:r>
        <w:rPr>
          <w:rFonts w:ascii="Calibri" w:eastAsia="Calibri" w:hAnsi="Calibri" w:cs="Calibri"/>
          <w:b/>
        </w:rPr>
        <w:lastRenderedPageBreak/>
        <w:t>Women’s Activists and Members of Civil Society Organizations</w:t>
      </w:r>
    </w:p>
    <w:p w14:paraId="00000076" w14:textId="77777777" w:rsidR="00866DEB" w:rsidRDefault="00540213">
      <w:pPr>
        <w:numPr>
          <w:ilvl w:val="0"/>
          <w:numId w:val="1"/>
        </w:numPr>
        <w:shd w:val="clear" w:color="auto" w:fill="FFFFFF"/>
        <w:spacing w:line="360" w:lineRule="auto"/>
        <w:jc w:val="both"/>
        <w:rPr>
          <w:rFonts w:ascii="Calibri" w:eastAsia="Calibri" w:hAnsi="Calibri" w:cs="Calibri"/>
        </w:rPr>
      </w:pPr>
      <w:r>
        <w:rPr>
          <w:rFonts w:ascii="Calibri" w:eastAsia="Calibri" w:hAnsi="Calibri" w:cs="Calibri"/>
        </w:rPr>
        <w:t>Repeal restrictions on civil society organizations and non-governmental organizations, including women’s rights groups, and cease all reprisal against such organizations for their work; and</w:t>
      </w:r>
    </w:p>
    <w:p w14:paraId="00000077" w14:textId="62090507" w:rsidR="00866DEB" w:rsidRDefault="00540213">
      <w:pPr>
        <w:numPr>
          <w:ilvl w:val="0"/>
          <w:numId w:val="1"/>
        </w:numPr>
        <w:shd w:val="clear" w:color="auto" w:fill="FFFFFF"/>
        <w:spacing w:line="360" w:lineRule="auto"/>
        <w:jc w:val="both"/>
        <w:rPr>
          <w:rFonts w:ascii="Calibri" w:eastAsia="Calibri" w:hAnsi="Calibri" w:cs="Calibri"/>
        </w:rPr>
      </w:pPr>
      <w:r>
        <w:rPr>
          <w:rFonts w:ascii="Calibri" w:eastAsia="Calibri" w:hAnsi="Calibri" w:cs="Calibri"/>
        </w:rPr>
        <w:t>Immediately release and end all acts of reprisals against women human rights defenders and other activists fo</w:t>
      </w:r>
      <w:r w:rsidR="00EA3D9E">
        <w:rPr>
          <w:rFonts w:ascii="Calibri" w:eastAsia="Calibri" w:hAnsi="Calibri" w:cs="Calibri"/>
        </w:rPr>
        <w:t>r exercising basic human rights;</w:t>
      </w:r>
    </w:p>
    <w:p w14:paraId="0F12C9F8" w14:textId="10746B47" w:rsidR="00EA3D9E" w:rsidRDefault="00EA3D9E">
      <w:pPr>
        <w:numPr>
          <w:ilvl w:val="0"/>
          <w:numId w:val="1"/>
        </w:numPr>
        <w:shd w:val="clear" w:color="auto" w:fill="FFFFFF"/>
        <w:spacing w:line="360" w:lineRule="auto"/>
        <w:jc w:val="both"/>
        <w:rPr>
          <w:rFonts w:ascii="Calibri" w:eastAsia="Calibri" w:hAnsi="Calibri" w:cs="Calibri"/>
        </w:rPr>
      </w:pPr>
      <w:r>
        <w:rPr>
          <w:rFonts w:ascii="Calibri" w:eastAsia="Calibri" w:hAnsi="Calibri" w:cs="Calibri"/>
        </w:rPr>
        <w:t xml:space="preserve">Immediately remove restrictions imposed on women base charity and allow them to work freely. </w:t>
      </w:r>
    </w:p>
    <w:p w14:paraId="00000078" w14:textId="77777777" w:rsidR="00866DEB" w:rsidRDefault="00866DEB">
      <w:pPr>
        <w:shd w:val="clear" w:color="auto" w:fill="FFFFFF"/>
        <w:spacing w:line="360" w:lineRule="auto"/>
        <w:ind w:left="360"/>
        <w:jc w:val="both"/>
        <w:rPr>
          <w:rFonts w:ascii="Calibri" w:eastAsia="Calibri" w:hAnsi="Calibri" w:cs="Calibri"/>
        </w:rPr>
      </w:pPr>
    </w:p>
    <w:p w14:paraId="00000079" w14:textId="77777777" w:rsidR="00866DEB" w:rsidRDefault="00540213">
      <w:pPr>
        <w:spacing w:after="200" w:line="360" w:lineRule="auto"/>
        <w:rPr>
          <w:rFonts w:ascii="Calibri" w:eastAsia="Calibri" w:hAnsi="Calibri" w:cs="Calibri"/>
          <w:b/>
          <w:highlight w:val="white"/>
        </w:rPr>
      </w:pPr>
      <w:r>
        <w:rPr>
          <w:rFonts w:ascii="Calibri" w:eastAsia="Calibri" w:hAnsi="Calibri" w:cs="Calibri"/>
          <w:b/>
          <w:highlight w:val="white"/>
        </w:rPr>
        <w:t>Stereotypes and Harmful Practices</w:t>
      </w:r>
    </w:p>
    <w:p w14:paraId="0000007A" w14:textId="1DEE1AB7"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Eliminate prejudice against women by providing the same conditions for career and employment opportunities </w:t>
      </w:r>
      <w:r w:rsidR="00EA3D9E">
        <w:rPr>
          <w:rFonts w:ascii="Calibri" w:eastAsia="Calibri" w:hAnsi="Calibri" w:cs="Calibri"/>
          <w:highlight w:val="white"/>
        </w:rPr>
        <w:t>and by</w:t>
      </w:r>
      <w:r>
        <w:rPr>
          <w:rFonts w:ascii="Calibri" w:eastAsia="Calibri" w:hAnsi="Calibri" w:cs="Calibri"/>
          <w:highlight w:val="white"/>
        </w:rPr>
        <w:t xml:space="preserve"> amending the articles 30 and 31 of the Labor Law for Private Sector;</w:t>
      </w:r>
    </w:p>
    <w:p w14:paraId="0000007C" w14:textId="224D65C8" w:rsidR="00866DEB" w:rsidRPr="000D1DA3" w:rsidRDefault="00540213" w:rsidP="000D1DA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Institute a uniform minimum marriage age </w:t>
      </w:r>
      <w:r w:rsidR="000D1DA3">
        <w:rPr>
          <w:rFonts w:ascii="Calibri" w:eastAsia="Calibri" w:hAnsi="Calibri" w:cs="Calibri"/>
          <w:highlight w:val="white"/>
        </w:rPr>
        <w:t xml:space="preserve">of 18, regardless of gender. </w:t>
      </w:r>
    </w:p>
    <w:p w14:paraId="0000007D" w14:textId="77777777" w:rsidR="00866DEB" w:rsidRDefault="00866DEB">
      <w:pPr>
        <w:spacing w:line="360" w:lineRule="auto"/>
        <w:jc w:val="both"/>
        <w:rPr>
          <w:rFonts w:ascii="Calibri" w:eastAsia="Calibri" w:hAnsi="Calibri" w:cs="Calibri"/>
          <w:highlight w:val="white"/>
        </w:rPr>
      </w:pPr>
    </w:p>
    <w:p w14:paraId="0000007E" w14:textId="77777777" w:rsidR="00866DEB" w:rsidRDefault="00540213">
      <w:pPr>
        <w:spacing w:after="200" w:line="360" w:lineRule="auto"/>
        <w:rPr>
          <w:rFonts w:ascii="Calibri" w:eastAsia="Calibri" w:hAnsi="Calibri" w:cs="Calibri"/>
          <w:b/>
          <w:highlight w:val="white"/>
        </w:rPr>
      </w:pPr>
      <w:r>
        <w:rPr>
          <w:rFonts w:ascii="Calibri" w:eastAsia="Calibri" w:hAnsi="Calibri" w:cs="Calibri"/>
          <w:b/>
          <w:highlight w:val="white"/>
        </w:rPr>
        <w:t xml:space="preserve">Gender-based Violence </w:t>
      </w:r>
    </w:p>
    <w:p w14:paraId="0000007F" w14:textId="77777777"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Ensure an efficient implementation of the promulgated Law No.17/2015 on domestic violence;</w:t>
      </w:r>
    </w:p>
    <w:p w14:paraId="00000080" w14:textId="176FDDEA"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Allocate sufficient resources to relevant bodies responsible for the implementation of the law </w:t>
      </w:r>
      <w:r w:rsidR="0097073E">
        <w:rPr>
          <w:rFonts w:ascii="Calibri" w:eastAsia="Calibri" w:hAnsi="Calibri" w:cs="Calibri"/>
          <w:highlight w:val="white"/>
        </w:rPr>
        <w:t>on domestic</w:t>
      </w:r>
      <w:r>
        <w:rPr>
          <w:rFonts w:ascii="Calibri" w:eastAsia="Calibri" w:hAnsi="Calibri" w:cs="Calibri"/>
          <w:highlight w:val="white"/>
        </w:rPr>
        <w:t xml:space="preserve"> violence;</w:t>
      </w:r>
    </w:p>
    <w:p w14:paraId="00000081" w14:textId="77777777"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Establish efficient follow-up institutions, which provide counseling services to abused women who returned back to their home;</w:t>
      </w:r>
    </w:p>
    <w:p w14:paraId="00000083" w14:textId="6534DA80" w:rsidR="00866DEB" w:rsidRPr="0097073E" w:rsidRDefault="00540213" w:rsidP="0097073E">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Repeal without delay Article 353 of the Criminal Code so that a rapist will no longer be able </w:t>
      </w:r>
      <w:r w:rsidR="0097073E">
        <w:rPr>
          <w:rFonts w:ascii="Calibri" w:eastAsia="Calibri" w:hAnsi="Calibri" w:cs="Calibri"/>
          <w:highlight w:val="white"/>
        </w:rPr>
        <w:t>anymore to</w:t>
      </w:r>
      <w:r>
        <w:rPr>
          <w:rFonts w:ascii="Calibri" w:eastAsia="Calibri" w:hAnsi="Calibri" w:cs="Calibri"/>
          <w:highlight w:val="white"/>
        </w:rPr>
        <w:t xml:space="preserve"> marry his victim to escape punishment after raping her;</w:t>
      </w:r>
    </w:p>
    <w:p w14:paraId="00000085" w14:textId="644978D9" w:rsidR="00866DEB" w:rsidRPr="0097073E" w:rsidRDefault="00540213" w:rsidP="0097073E">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Take immediate measures that the actions outlined within the National Plan to Protect Women from Domestic Violence are actually implemented;</w:t>
      </w:r>
    </w:p>
    <w:p w14:paraId="00000086" w14:textId="77777777"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Reverse the cut of the government funding to the 13 women’s rights NGOs; and</w:t>
      </w:r>
    </w:p>
    <w:p w14:paraId="00000087" w14:textId="5FD179FB" w:rsidR="00866DEB" w:rsidRDefault="00540213">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Financially support local </w:t>
      </w:r>
      <w:r w:rsidR="0097073E">
        <w:rPr>
          <w:rFonts w:ascii="Calibri" w:eastAsia="Calibri" w:hAnsi="Calibri" w:cs="Calibri"/>
          <w:highlight w:val="white"/>
        </w:rPr>
        <w:t>organizations</w:t>
      </w:r>
      <w:r>
        <w:rPr>
          <w:rFonts w:ascii="Calibri" w:eastAsia="Calibri" w:hAnsi="Calibri" w:cs="Calibri"/>
          <w:highlight w:val="white"/>
        </w:rPr>
        <w:t xml:space="preserve"> working </w:t>
      </w:r>
      <w:r w:rsidR="0097073E">
        <w:rPr>
          <w:rFonts w:ascii="Calibri" w:eastAsia="Calibri" w:hAnsi="Calibri" w:cs="Calibri"/>
          <w:highlight w:val="white"/>
        </w:rPr>
        <w:t>in the field of women’s rights;</w:t>
      </w:r>
    </w:p>
    <w:p w14:paraId="02416CC7" w14:textId="3896A822" w:rsidR="0097073E" w:rsidRDefault="0097073E">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Change the entire leadership structure of the Supreme Council for Women and make it into an independent body because the current leadership is very closely aligned with the government like the wife of the King who has proven to ineffective on Bahraini women issues.  </w:t>
      </w:r>
    </w:p>
    <w:p w14:paraId="00000088" w14:textId="77777777" w:rsidR="00866DEB" w:rsidRDefault="00866DEB">
      <w:pPr>
        <w:jc w:val="both"/>
        <w:rPr>
          <w:rFonts w:ascii="Calibri" w:eastAsia="Calibri" w:hAnsi="Calibri" w:cs="Calibri"/>
        </w:rPr>
      </w:pPr>
    </w:p>
    <w:p w14:paraId="00000089" w14:textId="77777777" w:rsidR="00866DEB" w:rsidRDefault="00866DEB">
      <w:pPr>
        <w:shd w:val="clear" w:color="auto" w:fill="FFFFFF"/>
        <w:spacing w:after="240"/>
        <w:jc w:val="both"/>
        <w:rPr>
          <w:rFonts w:ascii="Calibri" w:eastAsia="Calibri" w:hAnsi="Calibri" w:cs="Calibri"/>
        </w:rPr>
      </w:pPr>
    </w:p>
    <w:sectPr w:rsidR="00866DEB">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37EA3" w14:textId="77777777" w:rsidR="00595AED" w:rsidRDefault="00595AED">
      <w:pPr>
        <w:spacing w:line="240" w:lineRule="auto"/>
      </w:pPr>
      <w:r>
        <w:separator/>
      </w:r>
    </w:p>
  </w:endnote>
  <w:endnote w:type="continuationSeparator" w:id="0">
    <w:p w14:paraId="70B43300" w14:textId="77777777" w:rsidR="00595AED" w:rsidRDefault="00595A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C" w14:textId="77777777" w:rsidR="00866DEB" w:rsidRDefault="00866DEB">
    <w:pPr>
      <w:jc w:val="right"/>
      <w:rPr>
        <w:rFonts w:ascii="Calibri" w:eastAsia="Calibri" w:hAnsi="Calibri" w:cs="Calibr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E" w14:textId="77777777" w:rsidR="00866DEB" w:rsidRDefault="00866DE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F334B" w14:textId="77777777" w:rsidR="00595AED" w:rsidRDefault="00595AED">
      <w:pPr>
        <w:spacing w:line="240" w:lineRule="auto"/>
      </w:pPr>
      <w:r>
        <w:separator/>
      </w:r>
    </w:p>
  </w:footnote>
  <w:footnote w:type="continuationSeparator" w:id="0">
    <w:p w14:paraId="2299D778" w14:textId="77777777" w:rsidR="00595AED" w:rsidRDefault="00595AED">
      <w:pPr>
        <w:spacing w:line="240" w:lineRule="auto"/>
      </w:pPr>
      <w:r>
        <w:continuationSeparator/>
      </w:r>
    </w:p>
  </w:footnote>
  <w:footnote w:id="1">
    <w:p w14:paraId="0000008A" w14:textId="77777777" w:rsidR="00866DEB" w:rsidRDefault="00540213">
      <w:pPr>
        <w:shd w:val="clear" w:color="auto" w:fill="FFFFFF"/>
        <w:spacing w:before="240" w:after="240" w:line="240" w:lineRule="auto"/>
        <w:rPr>
          <w:sz w:val="20"/>
          <w:szCs w:val="20"/>
          <w:highlight w:val="white"/>
        </w:rPr>
      </w:pPr>
      <w:r>
        <w:rPr>
          <w:vertAlign w:val="superscript"/>
        </w:rPr>
        <w:footnoteRef/>
      </w:r>
      <w:r>
        <w:rPr>
          <w:rFonts w:ascii="Calibri" w:eastAsia="Calibri" w:hAnsi="Calibri" w:cs="Calibri"/>
        </w:rPr>
        <w:t xml:space="preserve"> “</w:t>
      </w:r>
      <w:r>
        <w:rPr>
          <w:rFonts w:ascii="Calibri" w:eastAsia="Calibri" w:hAnsi="Calibri" w:cs="Calibri"/>
          <w:sz w:val="20"/>
          <w:szCs w:val="20"/>
        </w:rPr>
        <w:t xml:space="preserve">Case History: Ghada Jamsheer”, Front Line Defenders, 11 December 2016, </w:t>
      </w:r>
      <w:hyperlink r:id="rId1">
        <w:r>
          <w:rPr>
            <w:rFonts w:ascii="Calibri" w:eastAsia="Calibri" w:hAnsi="Calibri" w:cs="Calibri"/>
            <w:color w:val="1155CC"/>
            <w:sz w:val="20"/>
            <w:szCs w:val="20"/>
            <w:u w:val="single"/>
          </w:rPr>
          <w:t>https://www.frontlinedefenders.org/en/case/case-history-ghada-jamsheer</w:t>
        </w:r>
      </w:hyperlink>
    </w:p>
    <w:p w14:paraId="0000008B" w14:textId="77777777" w:rsidR="00866DEB" w:rsidRDefault="00866DEB">
      <w:pPr>
        <w:spacing w:line="240" w:lineRule="auto"/>
        <w:rPr>
          <w:sz w:val="20"/>
          <w:szCs w:val="20"/>
        </w:rPr>
      </w:pPr>
    </w:p>
  </w:footnote>
  <w:footnote w:id="2">
    <w:p w14:paraId="0000008C" w14:textId="77777777" w:rsidR="00866DEB" w:rsidRDefault="00540213">
      <w:pPr>
        <w:spacing w:line="240" w:lineRule="auto"/>
        <w:rPr>
          <w:rFonts w:ascii="Calibri" w:eastAsia="Calibri" w:hAnsi="Calibri" w:cs="Calibri"/>
          <w:sz w:val="20"/>
          <w:szCs w:val="20"/>
          <w:highlight w:val="white"/>
        </w:rPr>
      </w:pPr>
      <w:r>
        <w:rPr>
          <w:vertAlign w:val="superscript"/>
        </w:rPr>
        <w:footnoteRef/>
      </w:r>
      <w:r>
        <w:rPr>
          <w:rFonts w:ascii="Calibri" w:eastAsia="Calibri" w:hAnsi="Calibri" w:cs="Calibri"/>
          <w:highlight w:val="white"/>
        </w:rPr>
        <w:t xml:space="preserve"> “</w:t>
      </w:r>
      <w:r>
        <w:rPr>
          <w:rFonts w:ascii="Calibri" w:eastAsia="Calibri" w:hAnsi="Calibri" w:cs="Calibri"/>
          <w:sz w:val="20"/>
          <w:szCs w:val="20"/>
          <w:highlight w:val="white"/>
        </w:rPr>
        <w:t xml:space="preserve">Supreme Council for Women”, Kingdom of Bahrain, 2014, </w:t>
      </w:r>
      <w:hyperlink r:id="rId2">
        <w:r>
          <w:rPr>
            <w:rFonts w:ascii="Calibri" w:eastAsia="Calibri" w:hAnsi="Calibri" w:cs="Calibri"/>
            <w:color w:val="1155CC"/>
            <w:sz w:val="20"/>
            <w:szCs w:val="20"/>
            <w:highlight w:val="white"/>
            <w:u w:val="single"/>
          </w:rPr>
          <w:t>https://www.scw.bh/en/MediaCenter/Publications/SupremeCouncilforWomen/SupremeCouncilforWomenPublication/National%20Report%20for%20Bejing-small.pdf</w:t>
        </w:r>
      </w:hyperlink>
      <w:r>
        <w:rPr>
          <w:rFonts w:ascii="Calibri" w:eastAsia="Calibri" w:hAnsi="Calibri" w:cs="Calibri"/>
          <w:sz w:val="20"/>
          <w:szCs w:val="20"/>
          <w:highlight w:val="white"/>
        </w:rPr>
        <w:t xml:space="preserve"> </w:t>
      </w:r>
    </w:p>
  </w:footnote>
  <w:footnote w:id="3">
    <w:p w14:paraId="0000008D" w14:textId="77777777" w:rsidR="00866DEB" w:rsidRDefault="00540213">
      <w:pPr>
        <w:shd w:val="clear" w:color="auto" w:fill="FFFFFF"/>
        <w:spacing w:line="240" w:lineRule="auto"/>
        <w:rPr>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rPr>
        <w:t xml:space="preserve">“Congressional Event On Women Political Prisoners In Bahrain”, ADHRB, October 29, 2019, </w:t>
      </w:r>
      <w:hyperlink r:id="rId3">
        <w:r>
          <w:rPr>
            <w:rFonts w:ascii="Calibri" w:eastAsia="Calibri" w:hAnsi="Calibri" w:cs="Calibri"/>
            <w:color w:val="1155CC"/>
            <w:sz w:val="20"/>
            <w:szCs w:val="20"/>
            <w:u w:val="single"/>
          </w:rPr>
          <w:t>https://www.adhrb.org/2019/10/adhrb-congressional-event-on-women-political-prisoners-in-bahrain/</w:t>
        </w:r>
      </w:hyperlink>
      <w:r>
        <w:rPr>
          <w:rFonts w:ascii="Calibri" w:eastAsia="Calibri" w:hAnsi="Calibri" w:cs="Calibri"/>
          <w:sz w:val="20"/>
          <w:szCs w:val="20"/>
        </w:rPr>
        <w:t xml:space="preserve"> </w:t>
      </w:r>
      <w:r>
        <w:rPr>
          <w:rFonts w:ascii="Calibri" w:eastAsia="Calibri" w:hAnsi="Calibri" w:cs="Calibri"/>
        </w:rPr>
        <w:t xml:space="preserve"> </w:t>
      </w:r>
    </w:p>
  </w:footnote>
  <w:footnote w:id="4">
    <w:p w14:paraId="0000008E" w14:textId="77777777" w:rsidR="00866DEB" w:rsidRDefault="00540213">
      <w:pPr>
        <w:spacing w:line="240" w:lineRule="auto"/>
        <w:rPr>
          <w:sz w:val="20"/>
          <w:szCs w:val="20"/>
        </w:rPr>
      </w:pPr>
      <w:r>
        <w:rPr>
          <w:vertAlign w:val="superscript"/>
        </w:rPr>
        <w:footnoteRef/>
      </w:r>
      <w:r>
        <w:rPr>
          <w:rFonts w:ascii="Calibri" w:eastAsia="Calibri" w:hAnsi="Calibri" w:cs="Calibri"/>
          <w:i/>
          <w:color w:val="1D1D1D"/>
          <w:highlight w:val="white"/>
        </w:rPr>
        <w:t xml:space="preserve"> “</w:t>
      </w:r>
      <w:r>
        <w:rPr>
          <w:rFonts w:ascii="Calibri" w:eastAsia="Calibri" w:hAnsi="Calibri" w:cs="Calibri"/>
          <w:color w:val="1D1D1D"/>
          <w:sz w:val="20"/>
          <w:szCs w:val="20"/>
          <w:highlight w:val="white"/>
        </w:rPr>
        <w:t xml:space="preserve">Breaking the Silence: Bahraini Women Political Prisoners Expose Systemic Abuses”, ADHRB, 11 September 2019, </w:t>
      </w:r>
      <w:hyperlink r:id="rId4">
        <w:r>
          <w:rPr>
            <w:rFonts w:ascii="Calibri" w:eastAsia="Calibri" w:hAnsi="Calibri" w:cs="Calibri"/>
            <w:color w:val="1155CC"/>
            <w:sz w:val="20"/>
            <w:szCs w:val="20"/>
            <w:highlight w:val="white"/>
            <w:u w:val="single"/>
          </w:rPr>
          <w:t>https://www.adhrb.org/2019/09/breaking-the-silence-bahraini-women-political-prisoners-expose-systemic-abuses</w:t>
        </w:r>
      </w:hyperlink>
    </w:p>
  </w:footnote>
  <w:footnote w:id="5">
    <w:p w14:paraId="0000008F"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"National Institution for Human Rights", </w:t>
      </w:r>
      <w:r>
        <w:rPr>
          <w:rFonts w:ascii="Calibri" w:eastAsia="Calibri" w:hAnsi="Calibri" w:cs="Calibri"/>
          <w:i/>
          <w:sz w:val="20"/>
          <w:szCs w:val="20"/>
          <w:highlight w:val="white"/>
        </w:rPr>
        <w:t>Lmra.bh</w:t>
      </w:r>
      <w:r>
        <w:rPr>
          <w:rFonts w:ascii="Calibri" w:eastAsia="Calibri" w:hAnsi="Calibri" w:cs="Calibri"/>
          <w:sz w:val="20"/>
          <w:szCs w:val="20"/>
          <w:highlight w:val="white"/>
        </w:rPr>
        <w:t xml:space="preserve">, 2018, </w:t>
      </w:r>
      <w:hyperlink r:id="rId5">
        <w:r>
          <w:rPr>
            <w:rFonts w:ascii="Calibri" w:eastAsia="Calibri" w:hAnsi="Calibri" w:cs="Calibri"/>
            <w:color w:val="1155CC"/>
            <w:sz w:val="20"/>
            <w:szCs w:val="20"/>
            <w:highlight w:val="white"/>
            <w:u w:val="single"/>
          </w:rPr>
          <w:t>http://lmra.bh/portal/en/page/show/326</w:t>
        </w:r>
      </w:hyperlink>
      <w:r>
        <w:rPr>
          <w:rFonts w:ascii="Calibri" w:eastAsia="Calibri" w:hAnsi="Calibri" w:cs="Calibri"/>
          <w:sz w:val="20"/>
          <w:szCs w:val="20"/>
          <w:highlight w:val="white"/>
        </w:rPr>
        <w:t xml:space="preserve"> .</w:t>
      </w:r>
    </w:p>
  </w:footnote>
  <w:footnote w:id="6">
    <w:p w14:paraId="00000090" w14:textId="77777777" w:rsidR="00866DEB" w:rsidRDefault="00540213">
      <w:pPr>
        <w:spacing w:line="240" w:lineRule="auto"/>
        <w:rPr>
          <w:rFonts w:ascii="Calibri" w:eastAsia="Calibri" w:hAnsi="Calibri" w:cs="Calibri"/>
          <w:b/>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highlight w:val="white"/>
        </w:rPr>
        <w:t xml:space="preserve">"Analysis of the Fifth Annual Report of the Bahraini National Institution for Human Rights - Americans for Democracy &amp; Human Rights in Bahrain", ADHRB, 2017, </w:t>
      </w:r>
      <w:hyperlink r:id="rId6">
        <w:r>
          <w:rPr>
            <w:rFonts w:ascii="Calibri" w:eastAsia="Calibri" w:hAnsi="Calibri" w:cs="Calibri"/>
            <w:color w:val="1155CC"/>
            <w:sz w:val="20"/>
            <w:szCs w:val="20"/>
            <w:highlight w:val="white"/>
            <w:u w:val="single"/>
          </w:rPr>
          <w:t>https://www.adhrb.org/2018/04/bahrains-nihr-ignores-government-violations-endorses-abuses-in-2017-report/</w:t>
        </w:r>
      </w:hyperlink>
      <w:r>
        <w:rPr>
          <w:rFonts w:ascii="Calibri" w:eastAsia="Calibri" w:hAnsi="Calibri" w:cs="Calibri"/>
          <w:sz w:val="20"/>
          <w:szCs w:val="20"/>
          <w:highlight w:val="white"/>
        </w:rPr>
        <w:t xml:space="preserve">. </w:t>
      </w:r>
    </w:p>
  </w:footnote>
  <w:footnote w:id="7">
    <w:p w14:paraId="00000091"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 xml:space="preserve">Concluding Observations on the Second and Third Periodic Reports of Bahrain - United Nations Committee against Torture”, 2017 </w:t>
      </w:r>
      <w:hyperlink r:id="rId7">
        <w:r>
          <w:rPr>
            <w:rFonts w:ascii="Calibri" w:eastAsia="Calibri" w:hAnsi="Calibri" w:cs="Calibri"/>
            <w:color w:val="1155CC"/>
            <w:sz w:val="20"/>
            <w:szCs w:val="20"/>
            <w:highlight w:val="white"/>
            <w:u w:val="single"/>
          </w:rPr>
          <w:t>https://tbinternet.ohchr.org/_layouts/15/treatybodyexternal/Download.aspx?symbolno=CAT%2fC%2fBHR%2fCO%2f2-3&amp;Lang=en</w:t>
        </w:r>
      </w:hyperlink>
      <w:r>
        <w:rPr>
          <w:rFonts w:ascii="Calibri" w:eastAsia="Calibri" w:hAnsi="Calibri" w:cs="Calibri"/>
          <w:sz w:val="20"/>
          <w:szCs w:val="20"/>
          <w:highlight w:val="white"/>
        </w:rPr>
        <w:t xml:space="preserve">. </w:t>
      </w:r>
    </w:p>
  </w:footnote>
  <w:footnote w:id="8">
    <w:p w14:paraId="00000092" w14:textId="77777777" w:rsidR="00866DEB" w:rsidRDefault="00540213">
      <w:pPr>
        <w:spacing w:line="240" w:lineRule="auto"/>
        <w:rPr>
          <w:sz w:val="20"/>
          <w:szCs w:val="20"/>
        </w:rPr>
      </w:pPr>
      <w:r>
        <w:rPr>
          <w:vertAlign w:val="superscript"/>
        </w:rPr>
        <w:footnoteRef/>
      </w:r>
      <w:r>
        <w:rPr>
          <w:rFonts w:ascii="Calibri" w:eastAsia="Calibri" w:hAnsi="Calibri" w:cs="Calibri"/>
          <w:sz w:val="20"/>
          <w:szCs w:val="20"/>
        </w:rPr>
        <w:t xml:space="preserve">“Concluding observations on the initial report of Bahrain - United Nations Human Rights Committee”, 2018, </w:t>
      </w:r>
      <w:hyperlink r:id="rId8">
        <w:r>
          <w:rPr>
            <w:color w:val="1155CC"/>
            <w:sz w:val="20"/>
            <w:szCs w:val="20"/>
            <w:highlight w:val="white"/>
            <w:u w:val="single"/>
          </w:rPr>
          <w:t>https://tbinternet.ohchr.org/Treaties/CCPR/Shared%20Documents/BHR/C</w:t>
        </w:r>
      </w:hyperlink>
      <w:r>
        <w:rPr>
          <w:sz w:val="20"/>
          <w:szCs w:val="20"/>
          <w:highlight w:val="white"/>
        </w:rPr>
        <w:t xml:space="preserve"> </w:t>
      </w:r>
    </w:p>
  </w:footnote>
  <w:footnote w:id="9">
    <w:p w14:paraId="00000093" w14:textId="77777777" w:rsidR="00866DEB" w:rsidRDefault="00540213">
      <w:pPr>
        <w:shd w:val="clear" w:color="auto" w:fill="FFFFFF"/>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highlight w:val="white"/>
        </w:rPr>
        <w:t xml:space="preserve"> "World Report 2011: Rights Trends in World Report 2011: Bahrain", Human Rights Watch, 2011, </w:t>
      </w:r>
      <w:hyperlink r:id="rId9">
        <w:r>
          <w:rPr>
            <w:rFonts w:ascii="Calibri" w:eastAsia="Calibri" w:hAnsi="Calibri" w:cs="Calibri"/>
            <w:color w:val="1155CC"/>
            <w:sz w:val="20"/>
            <w:szCs w:val="20"/>
            <w:highlight w:val="white"/>
            <w:u w:val="single"/>
          </w:rPr>
          <w:t>https://www.hrw.org/world-report/2011/country-chapters/bahrain</w:t>
        </w:r>
      </w:hyperlink>
      <w:r>
        <w:rPr>
          <w:rFonts w:ascii="Calibri" w:eastAsia="Calibri" w:hAnsi="Calibri" w:cs="Calibri"/>
          <w:sz w:val="20"/>
          <w:szCs w:val="20"/>
          <w:highlight w:val="white"/>
        </w:rPr>
        <w:t xml:space="preserve">. </w:t>
      </w:r>
    </w:p>
  </w:footnote>
  <w:footnote w:id="10">
    <w:p w14:paraId="00000094"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Kingdom of Bahrain </w:t>
      </w:r>
      <w:hyperlink r:id="rId10">
        <w:r>
          <w:rPr>
            <w:rFonts w:ascii="Calibri" w:eastAsia="Calibri" w:hAnsi="Calibri" w:cs="Calibri"/>
            <w:color w:val="1155CC"/>
            <w:sz w:val="20"/>
            <w:szCs w:val="20"/>
            <w:u w:val="single"/>
          </w:rPr>
          <w:t>https://www.ombudsman.bh/en/about/</w:t>
        </w:r>
      </w:hyperlink>
      <w:r>
        <w:rPr>
          <w:rFonts w:ascii="Calibri" w:eastAsia="Calibri" w:hAnsi="Calibri" w:cs="Calibri"/>
          <w:sz w:val="20"/>
          <w:szCs w:val="20"/>
        </w:rPr>
        <w:t xml:space="preserve"> </w:t>
      </w:r>
    </w:p>
  </w:footnote>
  <w:footnote w:id="11">
    <w:p w14:paraId="00000095" w14:textId="77777777" w:rsidR="00866DEB" w:rsidRDefault="00540213">
      <w:pPr>
        <w:spacing w:line="240" w:lineRule="auto"/>
        <w:rPr>
          <w:rFonts w:ascii="Calibri" w:eastAsia="Calibri" w:hAnsi="Calibri" w:cs="Calibri"/>
        </w:rPr>
      </w:pPr>
      <w:r>
        <w:rPr>
          <w:vertAlign w:val="superscript"/>
        </w:rPr>
        <w:footnoteRef/>
      </w:r>
      <w:r>
        <w:rPr>
          <w:rFonts w:ascii="Calibri" w:eastAsia="Calibri" w:hAnsi="Calibri" w:cs="Calibri"/>
          <w:i/>
          <w:color w:val="1D1D1D"/>
          <w:highlight w:val="white"/>
        </w:rPr>
        <w:t xml:space="preserve"> </w:t>
      </w:r>
      <w:r>
        <w:rPr>
          <w:rFonts w:ascii="Calibri" w:eastAsia="Calibri" w:hAnsi="Calibri" w:cs="Calibri"/>
          <w:i/>
          <w:color w:val="1D1D1D"/>
          <w:sz w:val="20"/>
          <w:szCs w:val="20"/>
          <w:highlight w:val="white"/>
        </w:rPr>
        <w:t>“</w:t>
      </w:r>
      <w:r>
        <w:rPr>
          <w:rFonts w:ascii="Calibri" w:eastAsia="Calibri" w:hAnsi="Calibri" w:cs="Calibri"/>
          <w:color w:val="1D1D1D"/>
          <w:sz w:val="20"/>
          <w:szCs w:val="20"/>
          <w:highlight w:val="white"/>
        </w:rPr>
        <w:t xml:space="preserve">Breaking the Silence: Bahraini Women Political Prisoners Expose Systemic Abuses”, ADHRB, 11 September 2019, </w:t>
      </w:r>
      <w:hyperlink r:id="rId11">
        <w:r>
          <w:rPr>
            <w:rFonts w:ascii="Calibri" w:eastAsia="Calibri" w:hAnsi="Calibri" w:cs="Calibri"/>
            <w:color w:val="1155CC"/>
            <w:sz w:val="20"/>
            <w:szCs w:val="20"/>
            <w:highlight w:val="white"/>
            <w:u w:val="single"/>
          </w:rPr>
          <w:t>https://www.adhrb.org/2019/09/breaking-the-silence-bahraini-women-political-prisoners-expose-systemic-abuses</w:t>
        </w:r>
      </w:hyperlink>
    </w:p>
  </w:footnote>
  <w:footnote w:id="12">
    <w:p w14:paraId="00000096" w14:textId="77777777" w:rsidR="00866DEB" w:rsidRDefault="00540213">
      <w:pPr>
        <w:spacing w:line="240" w:lineRule="auto"/>
        <w:rPr>
          <w:rFonts w:ascii="Calibri" w:eastAsia="Calibri" w:hAnsi="Calibri" w:cs="Calibri"/>
          <w:highlight w:val="white"/>
        </w:rPr>
      </w:pPr>
      <w:r>
        <w:rPr>
          <w:vertAlign w:val="superscript"/>
        </w:rPr>
        <w:footnoteRef/>
      </w:r>
      <w:r>
        <w:rPr>
          <w:rFonts w:ascii="Calibri" w:eastAsia="Calibri" w:hAnsi="Calibri" w:cs="Calibri"/>
        </w:rPr>
        <w:t xml:space="preserve"> </w:t>
      </w:r>
      <w:r>
        <w:rPr>
          <w:rFonts w:ascii="Calibri" w:eastAsia="Calibri" w:hAnsi="Calibri" w:cs="Calibri"/>
          <w:sz w:val="20"/>
          <w:szCs w:val="20"/>
          <w:highlight w:val="white"/>
        </w:rPr>
        <w:t xml:space="preserve">“BAHRAIN: PRISONER DENIED MEDICAL TREATMENT: HAJER MANSOOR HASSAN.” Amnesty International, 6 March 2019, </w:t>
      </w:r>
      <w:hyperlink r:id="rId12">
        <w:r>
          <w:rPr>
            <w:rFonts w:ascii="Calibri" w:eastAsia="Calibri" w:hAnsi="Calibri" w:cs="Calibri"/>
            <w:color w:val="1155CC"/>
            <w:sz w:val="20"/>
            <w:szCs w:val="20"/>
            <w:highlight w:val="white"/>
            <w:u w:val="single"/>
          </w:rPr>
          <w:t>https://www.amnesty.org/en/documents/mde11/9969/2019/en/</w:t>
        </w:r>
      </w:hyperlink>
      <w:r>
        <w:rPr>
          <w:rFonts w:ascii="Calibri" w:eastAsia="Calibri" w:hAnsi="Calibri" w:cs="Calibri"/>
          <w:sz w:val="20"/>
          <w:szCs w:val="20"/>
          <w:highlight w:val="white"/>
        </w:rPr>
        <w:t xml:space="preserve"> </w:t>
      </w:r>
    </w:p>
  </w:footnote>
  <w:footnote w:id="13">
    <w:p w14:paraId="00000097"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“Bahrain's Human Rights Crisis”, Human Rights Watch, 5 July 2011, </w:t>
      </w:r>
      <w:hyperlink r:id="rId13">
        <w:r>
          <w:rPr>
            <w:rFonts w:ascii="Calibri" w:eastAsia="Calibri" w:hAnsi="Calibri" w:cs="Calibri"/>
            <w:color w:val="1155CC"/>
            <w:sz w:val="20"/>
            <w:szCs w:val="20"/>
            <w:u w:val="single"/>
          </w:rPr>
          <w:t>https://www.hrw.org/news/2011/07/05/bahrains-human-rights-crisis</w:t>
        </w:r>
      </w:hyperlink>
      <w:r>
        <w:rPr>
          <w:rFonts w:ascii="Calibri" w:eastAsia="Calibri" w:hAnsi="Calibri" w:cs="Calibri"/>
          <w:sz w:val="20"/>
          <w:szCs w:val="20"/>
        </w:rPr>
        <w:t xml:space="preserve"> </w:t>
      </w:r>
    </w:p>
  </w:footnote>
  <w:footnote w:id="14">
    <w:p w14:paraId="00000098" w14:textId="77777777" w:rsidR="00866DEB" w:rsidRDefault="00540213">
      <w:pPr>
        <w:spacing w:line="240" w:lineRule="auto"/>
        <w:rPr>
          <w:rFonts w:ascii="Calibri" w:eastAsia="Calibri" w:hAnsi="Calibri" w:cs="Calibri"/>
          <w:sz w:val="20"/>
          <w:szCs w:val="20"/>
        </w:rPr>
      </w:pPr>
      <w:r>
        <w:rPr>
          <w:vertAlign w:val="superscript"/>
        </w:rPr>
        <w:footnoteRef/>
      </w:r>
      <w:r>
        <w:t xml:space="preserve"> </w:t>
      </w:r>
      <w:r>
        <w:rPr>
          <w:rFonts w:ascii="Calibri" w:eastAsia="Calibri" w:hAnsi="Calibri" w:cs="Calibri"/>
          <w:sz w:val="20"/>
          <w:szCs w:val="20"/>
        </w:rPr>
        <w:t xml:space="preserve">“Bahrain, women the powerful actors in building peace”, BCHR, 2020, </w:t>
      </w:r>
      <w:hyperlink r:id="rId14">
        <w:r>
          <w:rPr>
            <w:rFonts w:ascii="Calibri" w:eastAsia="Calibri" w:hAnsi="Calibri" w:cs="Calibri"/>
            <w:color w:val="1155CC"/>
            <w:sz w:val="20"/>
            <w:szCs w:val="20"/>
            <w:u w:val="single"/>
          </w:rPr>
          <w:t>https://documentcloud.adobe.com/link/track?uri=urn%3Aaaid%3Ascds%3AUS%3A978c951f-f294-4c5b-a567-36d2b4589787</w:t>
        </w:r>
      </w:hyperlink>
      <w:r>
        <w:rPr>
          <w:rFonts w:ascii="Calibri" w:eastAsia="Calibri" w:hAnsi="Calibri" w:cs="Calibri"/>
          <w:sz w:val="20"/>
          <w:szCs w:val="20"/>
        </w:rPr>
        <w:t xml:space="preserve"> </w:t>
      </w:r>
    </w:p>
  </w:footnote>
  <w:footnote w:id="15">
    <w:p w14:paraId="00000099"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rPr>
        <w:t>Ibid.</w:t>
      </w:r>
    </w:p>
  </w:footnote>
  <w:footnote w:id="16">
    <w:p w14:paraId="0000009A"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“Six UN Experts Sent Letter to Bahrain on Violence Against Women Human Rights Defenders”, ADHRB, 2019 </w:t>
      </w:r>
      <w:hyperlink r:id="rId15">
        <w:r>
          <w:rPr>
            <w:rFonts w:ascii="Calibri" w:eastAsia="Calibri" w:hAnsi="Calibri" w:cs="Calibri"/>
            <w:color w:val="1155CC"/>
            <w:sz w:val="20"/>
            <w:szCs w:val="20"/>
            <w:u w:val="single"/>
          </w:rPr>
          <w:t>https://www.adhrb.org/2019/03/six-un-experts-sent-letter-to-bahrain-on-violence-against-women-human-rights-defenders/</w:t>
        </w:r>
      </w:hyperlink>
      <w:r>
        <w:rPr>
          <w:rFonts w:ascii="Calibri" w:eastAsia="Calibri" w:hAnsi="Calibri" w:cs="Calibri"/>
          <w:sz w:val="20"/>
          <w:szCs w:val="20"/>
        </w:rPr>
        <w:t xml:space="preserve"> </w:t>
      </w:r>
    </w:p>
  </w:footnote>
  <w:footnote w:id="17">
    <w:p w14:paraId="0000009B"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“Ebtisam Al-Saegh”, Front Line Defenders, </w:t>
      </w:r>
      <w:hyperlink r:id="rId16">
        <w:r>
          <w:rPr>
            <w:rFonts w:ascii="Calibri" w:eastAsia="Calibri" w:hAnsi="Calibri" w:cs="Calibri"/>
            <w:color w:val="1155CC"/>
            <w:sz w:val="20"/>
            <w:szCs w:val="20"/>
            <w:u w:val="single"/>
          </w:rPr>
          <w:t>https://www.frontlinedefenders.org/en/profile/ebtisam-al-saegh</w:t>
        </w:r>
      </w:hyperlink>
      <w:r>
        <w:rPr>
          <w:rFonts w:ascii="Calibri" w:eastAsia="Calibri" w:hAnsi="Calibri" w:cs="Calibri"/>
          <w:sz w:val="20"/>
          <w:szCs w:val="20"/>
        </w:rPr>
        <w:t xml:space="preserve"> </w:t>
      </w:r>
    </w:p>
  </w:footnote>
  <w:footnote w:id="18">
    <w:p w14:paraId="0000009C"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“Bahrain Launches Renewed Reprisal Campaign Ahead of HRC36”, ADHRB, 2017, </w:t>
      </w:r>
      <w:hyperlink r:id="rId17">
        <w:r>
          <w:rPr>
            <w:rFonts w:ascii="Calibri" w:eastAsia="Calibri" w:hAnsi="Calibri" w:cs="Calibri"/>
            <w:color w:val="1155CC"/>
            <w:sz w:val="20"/>
            <w:szCs w:val="20"/>
            <w:u w:val="single"/>
          </w:rPr>
          <w:t>https://www.adhrb.org/2017/09/bahrain-launches-renewed-reprisal-campaign-ahead-of-hrc36/</w:t>
        </w:r>
      </w:hyperlink>
      <w:r>
        <w:rPr>
          <w:rFonts w:ascii="Calibri" w:eastAsia="Calibri" w:hAnsi="Calibri" w:cs="Calibri"/>
          <w:sz w:val="20"/>
          <w:szCs w:val="20"/>
        </w:rPr>
        <w:t xml:space="preserve"> </w:t>
      </w:r>
    </w:p>
  </w:footnote>
  <w:footnote w:id="19">
    <w:p w14:paraId="0000009D"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“Six UN Experts Sent Letter to Bahrain on Violence Against Women Human Rights Defenders”, ADHRB, 2019, </w:t>
      </w:r>
      <w:hyperlink r:id="rId18">
        <w:r>
          <w:rPr>
            <w:rFonts w:ascii="Calibri" w:eastAsia="Calibri" w:hAnsi="Calibri" w:cs="Calibri"/>
            <w:color w:val="1155CC"/>
            <w:sz w:val="20"/>
            <w:szCs w:val="20"/>
            <w:u w:val="single"/>
          </w:rPr>
          <w:t>https://www.adhrb.org/2019/03/six-un-experts-sent-letter-to-bahrain-on-violence-against-women-human-rights-defenders/</w:t>
        </w:r>
      </w:hyperlink>
      <w:r>
        <w:rPr>
          <w:rFonts w:ascii="Calibri" w:eastAsia="Calibri" w:hAnsi="Calibri" w:cs="Calibri"/>
          <w:sz w:val="20"/>
          <w:szCs w:val="20"/>
        </w:rPr>
        <w:t xml:space="preserve"> </w:t>
      </w:r>
    </w:p>
  </w:footnote>
  <w:footnote w:id="20">
    <w:p w14:paraId="0000009E"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“HRC40 Written Statement – Reprisals in Bahrain”, ADHRB, 2019, </w:t>
      </w:r>
      <w:hyperlink r:id="rId19">
        <w:r>
          <w:rPr>
            <w:rFonts w:ascii="Calibri" w:eastAsia="Calibri" w:hAnsi="Calibri" w:cs="Calibri"/>
            <w:color w:val="1155CC"/>
            <w:sz w:val="20"/>
            <w:szCs w:val="20"/>
            <w:u w:val="single"/>
          </w:rPr>
          <w:t>https://www.adhrb.org/2019/02/hrc40-written-statement-reprisals-in-bahrain/</w:t>
        </w:r>
      </w:hyperlink>
      <w:r>
        <w:rPr>
          <w:rFonts w:ascii="Calibri" w:eastAsia="Calibri" w:hAnsi="Calibri" w:cs="Calibri"/>
          <w:sz w:val="20"/>
          <w:szCs w:val="20"/>
        </w:rPr>
        <w:t xml:space="preserve"> </w:t>
      </w:r>
    </w:p>
  </w:footnote>
  <w:footnote w:id="21">
    <w:p w14:paraId="000000BD" w14:textId="77777777" w:rsidR="00866DEB" w:rsidRDefault="00540213">
      <w:pPr>
        <w:spacing w:line="240" w:lineRule="auto"/>
        <w:rPr>
          <w:sz w:val="20"/>
          <w:szCs w:val="20"/>
        </w:rPr>
      </w:pPr>
      <w:r>
        <w:rPr>
          <w:vertAlign w:val="superscript"/>
        </w:rPr>
        <w:footnoteRef/>
      </w:r>
      <w:r>
        <w:rPr>
          <w:sz w:val="20"/>
          <w:szCs w:val="20"/>
        </w:rPr>
        <w:t xml:space="preserve"> “Bahrain: Release of Hajer Mansoor ‘long overdue’, others must now follow” https://www.amnesty.org/en/latest/news/2020/03/bahrain-release-of-hajer-mansoor-long-overdue-others-must-now-follow/</w:t>
      </w:r>
    </w:p>
  </w:footnote>
  <w:footnote w:id="22">
    <w:p w14:paraId="0000009F"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Concluding observations on the second and third periodic reports of Bahrain”, UN Committee against Torture, 2017, </w:t>
      </w:r>
      <w:hyperlink r:id="rId20">
        <w:r>
          <w:rPr>
            <w:rFonts w:ascii="Calibri" w:eastAsia="Calibri" w:hAnsi="Calibri" w:cs="Calibri"/>
            <w:color w:val="1155CC"/>
            <w:sz w:val="20"/>
            <w:szCs w:val="20"/>
            <w:u w:val="single"/>
          </w:rPr>
          <w:t>https://tbinternet.ohchr.org/Treaties/CAT/Shared%20Documents/BHR/INT_CAT_COC_BHR_27465_E.pdf</w:t>
        </w:r>
      </w:hyperlink>
      <w:r>
        <w:rPr>
          <w:rFonts w:ascii="Calibri" w:eastAsia="Calibri" w:hAnsi="Calibri" w:cs="Calibri"/>
          <w:sz w:val="20"/>
          <w:szCs w:val="20"/>
        </w:rPr>
        <w:t xml:space="preserve"> </w:t>
      </w:r>
    </w:p>
  </w:footnote>
  <w:footnote w:id="23">
    <w:p w14:paraId="000000A0"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“United Nations Human Rights Committee Releases Concluding Observations for Bahrain’s First ICCPR Review”, ADHRB, 2018, </w:t>
      </w:r>
      <w:hyperlink r:id="rId21">
        <w:r>
          <w:rPr>
            <w:rFonts w:ascii="Calibri" w:eastAsia="Calibri" w:hAnsi="Calibri" w:cs="Calibri"/>
            <w:color w:val="1155CC"/>
            <w:sz w:val="20"/>
            <w:szCs w:val="20"/>
            <w:u w:val="single"/>
          </w:rPr>
          <w:t>https://www.adhrb.org/2018/07/united-nations-human-rights-committee-releases-concluding-observations-for-bahrains-first-iccpr-review/</w:t>
        </w:r>
      </w:hyperlink>
      <w:r>
        <w:rPr>
          <w:rFonts w:ascii="Calibri" w:eastAsia="Calibri" w:hAnsi="Calibri" w:cs="Calibri"/>
          <w:sz w:val="20"/>
          <w:szCs w:val="20"/>
        </w:rPr>
        <w:t xml:space="preserve"> </w:t>
      </w:r>
    </w:p>
  </w:footnote>
  <w:footnote w:id="24">
    <w:p w14:paraId="000000A1"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5">
    <w:p w14:paraId="000000A2"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“Bahrain’s Third Cycle UPR : A Record of Repression”, ADHRB - BCHR - BIRD, January 2017 </w:t>
      </w:r>
      <w:hyperlink r:id="rId22">
        <w:r>
          <w:rPr>
            <w:rFonts w:ascii="Calibri" w:eastAsia="Calibri" w:hAnsi="Calibri" w:cs="Calibri"/>
            <w:color w:val="1155CC"/>
            <w:sz w:val="20"/>
            <w:szCs w:val="20"/>
            <w:u w:val="single"/>
          </w:rPr>
          <w:t>https://www.adhrb.org/wp-content/uploads/2017/03/2017.2.28_Web-Version_ADHRB_BCHR_BIRD_Bahrain-3rd-Cycle-UPR-Assessment.pdf</w:t>
        </w:r>
      </w:hyperlink>
      <w:r>
        <w:rPr>
          <w:rFonts w:ascii="Calibri" w:eastAsia="Calibri" w:hAnsi="Calibri" w:cs="Calibri"/>
          <w:sz w:val="20"/>
          <w:szCs w:val="20"/>
        </w:rPr>
        <w:t xml:space="preserve"> </w:t>
      </w:r>
    </w:p>
  </w:footnote>
  <w:footnote w:id="26">
    <w:p w14:paraId="000000A3"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“Sixth Annual Report of Bahrain’s MOI Ombudsman Shows a Continued Failure to Address Impunity within Security”, ADHRB, October 2019, Forces</w:t>
      </w:r>
      <w:hyperlink r:id="rId23">
        <w:r>
          <w:rPr>
            <w:rFonts w:ascii="Calibri" w:eastAsia="Calibri" w:hAnsi="Calibri" w:cs="Calibri"/>
            <w:color w:val="1155CC"/>
            <w:sz w:val="20"/>
            <w:szCs w:val="20"/>
            <w:u w:val="single"/>
          </w:rPr>
          <w:t>https://www.adhrb.org/2019/10/sixth-annual-report-of-bahrains-moi-ombudsman-shows-a-continued-failure-to-address-impunity-within-security-forces/</w:t>
        </w:r>
      </w:hyperlink>
      <w:r>
        <w:rPr>
          <w:rFonts w:ascii="Calibri" w:eastAsia="Calibri" w:hAnsi="Calibri" w:cs="Calibri"/>
          <w:sz w:val="20"/>
          <w:szCs w:val="20"/>
        </w:rPr>
        <w:t xml:space="preserve"> </w:t>
      </w:r>
    </w:p>
  </w:footnote>
  <w:footnote w:id="27">
    <w:p w14:paraId="000000A4"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“Joint Motion for a Resolution on the Human Rights situation in Bahrain”, June 2018 </w:t>
      </w:r>
      <w:hyperlink r:id="rId24">
        <w:r>
          <w:rPr>
            <w:rFonts w:ascii="Calibri" w:eastAsia="Calibri" w:hAnsi="Calibri" w:cs="Calibri"/>
            <w:color w:val="1155CC"/>
            <w:sz w:val="20"/>
            <w:szCs w:val="20"/>
            <w:u w:val="single"/>
          </w:rPr>
          <w:t>https://www.europarl.europa.eu/doceo/document/RC-8-2018-0281_EN.html</w:t>
        </w:r>
      </w:hyperlink>
      <w:r>
        <w:rPr>
          <w:rFonts w:ascii="Calibri" w:eastAsia="Calibri" w:hAnsi="Calibri" w:cs="Calibri"/>
          <w:sz w:val="20"/>
          <w:szCs w:val="20"/>
        </w:rPr>
        <w:t xml:space="preserve"> </w:t>
      </w:r>
    </w:p>
  </w:footnote>
  <w:footnote w:id="28">
    <w:p w14:paraId="000000A5"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highlight w:val="white"/>
        </w:rPr>
        <w:t>Constitution of the Kingdom of Bahrain (Rev. 2012)”, Kingdom of Bahrain, 14 February 2002</w:t>
      </w:r>
    </w:p>
  </w:footnote>
  <w:footnote w:id="29">
    <w:p w14:paraId="000000A6"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Legislative Decree No.36/2012, with respect to promulgating the Labour Law for the Private Sector </w:t>
      </w:r>
    </w:p>
  </w:footnote>
  <w:footnote w:id="30">
    <w:p w14:paraId="000000A7"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Ibid.</w:t>
      </w:r>
    </w:p>
  </w:footnote>
  <w:footnote w:id="31">
    <w:p w14:paraId="000000A8"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National Plan for the Advancement of Bahraini Women”, Supreme Council for Women, 2013, </w:t>
      </w:r>
      <w:hyperlink r:id="rId25">
        <w:r>
          <w:rPr>
            <w:rFonts w:ascii="Calibri" w:eastAsia="Calibri" w:hAnsi="Calibri" w:cs="Calibri"/>
            <w:color w:val="1155CC"/>
            <w:sz w:val="20"/>
            <w:szCs w:val="20"/>
            <w:highlight w:val="white"/>
            <w:u w:val="single"/>
          </w:rPr>
          <w:t>https://www.buheji.com/National_Plan_for_the_Advancement_of_Bahraini_Women.pdf</w:t>
        </w:r>
      </w:hyperlink>
      <w:r>
        <w:rPr>
          <w:rFonts w:ascii="Calibri" w:eastAsia="Calibri" w:hAnsi="Calibri" w:cs="Calibri"/>
          <w:sz w:val="20"/>
          <w:szCs w:val="20"/>
          <w:highlight w:val="white"/>
        </w:rPr>
        <w:t xml:space="preserve">  </w:t>
      </w:r>
    </w:p>
  </w:footnote>
  <w:footnote w:id="32">
    <w:p w14:paraId="000000A9"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highlight w:val="white"/>
        </w:rPr>
        <w:t xml:space="preserve">UN Treaty Body Database", UN Human Rights, 2020, </w:t>
      </w:r>
      <w:hyperlink r:id="rId26">
        <w:r>
          <w:rPr>
            <w:rFonts w:ascii="Calibri" w:eastAsia="Calibri" w:hAnsi="Calibri" w:cs="Calibri"/>
            <w:color w:val="1155CC"/>
            <w:sz w:val="20"/>
            <w:szCs w:val="20"/>
            <w:u w:val="single"/>
          </w:rPr>
          <w:t>https://tbinternet.ohchr.org</w:t>
        </w:r>
      </w:hyperlink>
    </w:p>
  </w:footnote>
  <w:footnote w:id="33">
    <w:p w14:paraId="000000AA"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“Global Gender Gap Report 2015”, World Economic Forum, 2015 </w:t>
      </w:r>
      <w:hyperlink r:id="rId27">
        <w:r>
          <w:rPr>
            <w:rFonts w:ascii="Calibri" w:eastAsia="Calibri" w:hAnsi="Calibri" w:cs="Calibri"/>
            <w:color w:val="1155CC"/>
            <w:sz w:val="20"/>
            <w:szCs w:val="20"/>
            <w:u w:val="single"/>
          </w:rPr>
          <w:t>http://reports.weforum.org/</w:t>
        </w:r>
      </w:hyperlink>
      <w:r>
        <w:rPr>
          <w:rFonts w:ascii="Calibri" w:eastAsia="Calibri" w:hAnsi="Calibri" w:cs="Calibri"/>
          <w:sz w:val="20"/>
          <w:szCs w:val="20"/>
        </w:rPr>
        <w:t xml:space="preserve"> </w:t>
      </w:r>
    </w:p>
  </w:footnote>
  <w:footnote w:id="34">
    <w:p w14:paraId="000000AB"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“Global Gender Gap Report 2020”, World Economic Forum, 2019 </w:t>
      </w:r>
      <w:hyperlink r:id="rId28">
        <w:r>
          <w:rPr>
            <w:rFonts w:ascii="Calibri" w:eastAsia="Calibri" w:hAnsi="Calibri" w:cs="Calibri"/>
            <w:color w:val="1155CC"/>
            <w:sz w:val="20"/>
            <w:szCs w:val="20"/>
            <w:u w:val="single"/>
          </w:rPr>
          <w:t>http://reports.weforum.org/</w:t>
        </w:r>
      </w:hyperlink>
    </w:p>
  </w:footnote>
  <w:footnote w:id="35">
    <w:p w14:paraId="000000AE"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rPr>
        <w:t xml:space="preserve">“The State of the World's Human Rights”, Amnesty International, </w:t>
      </w:r>
      <w:r>
        <w:rPr>
          <w:rFonts w:ascii="Calibri" w:eastAsia="Calibri" w:hAnsi="Calibri" w:cs="Calibri"/>
          <w:sz w:val="20"/>
          <w:szCs w:val="20"/>
          <w:highlight w:val="white"/>
        </w:rPr>
        <w:t xml:space="preserve">2016, </w:t>
      </w:r>
      <w:hyperlink r:id="rId29">
        <w:r>
          <w:rPr>
            <w:rFonts w:ascii="Calibri" w:eastAsia="Calibri" w:hAnsi="Calibri" w:cs="Calibri"/>
            <w:color w:val="1155CC"/>
            <w:sz w:val="20"/>
            <w:szCs w:val="20"/>
            <w:highlight w:val="white"/>
            <w:u w:val="single"/>
          </w:rPr>
          <w:t>https://www.amnesty.org/download/Documents/POL1025522016ENGLISH.PDF</w:t>
        </w:r>
      </w:hyperlink>
    </w:p>
  </w:footnote>
  <w:footnote w:id="36">
    <w:p w14:paraId="000000AF" w14:textId="77777777" w:rsidR="00866DEB" w:rsidRDefault="00540213">
      <w:pPr>
        <w:pBdr>
          <w:top w:val="nil"/>
          <w:left w:val="nil"/>
          <w:bottom w:val="nil"/>
          <w:right w:val="nil"/>
          <w:between w:val="nil"/>
        </w:pBdr>
        <w:spacing w:line="240" w:lineRule="auto"/>
        <w:rPr>
          <w:rFonts w:ascii="Calibri" w:eastAsia="Calibri" w:hAnsi="Calibri" w:cs="Calibri"/>
          <w:color w:val="000000"/>
          <w:sz w:val="20"/>
          <w:szCs w:val="20"/>
        </w:rPr>
      </w:pPr>
      <w:bookmarkStart w:id="2" w:name="_30j0zll" w:colFirst="0" w:colLast="0"/>
      <w:bookmarkEnd w:id="2"/>
      <w:r>
        <w:rPr>
          <w:vertAlign w:val="superscript"/>
        </w:rPr>
        <w:footnoteRef/>
      </w:r>
      <w:r>
        <w:rPr>
          <w:rFonts w:ascii="Calibri" w:eastAsia="Calibri" w:hAnsi="Calibri" w:cs="Calibri"/>
          <w:color w:val="000000"/>
          <w:sz w:val="20"/>
          <w:szCs w:val="20"/>
        </w:rPr>
        <w:t xml:space="preserve"> “</w:t>
      </w:r>
      <w:r>
        <w:rPr>
          <w:rFonts w:ascii="Calibri" w:eastAsia="Calibri" w:hAnsi="Calibri" w:cs="Calibri"/>
          <w:color w:val="000000"/>
          <w:sz w:val="20"/>
          <w:szCs w:val="20"/>
          <w:highlight w:val="white"/>
        </w:rPr>
        <w:t xml:space="preserve">Trafficking in Persons Report”, Department of State, United States of America, 2019, </w:t>
      </w:r>
      <w:hyperlink r:id="rId30">
        <w:r>
          <w:rPr>
            <w:rFonts w:ascii="Calibri" w:eastAsia="Calibri" w:hAnsi="Calibri" w:cs="Calibri"/>
            <w:color w:val="1155CC"/>
            <w:sz w:val="20"/>
            <w:szCs w:val="20"/>
            <w:highlight w:val="white"/>
            <w:u w:val="single"/>
          </w:rPr>
          <w:t>https://www.state.gov/wp-content/uploads/2019/06/2019-Trafficking-in-Persons-Report.pdf</w:t>
        </w:r>
      </w:hyperlink>
    </w:p>
  </w:footnote>
  <w:footnote w:id="37">
    <w:p w14:paraId="000000B0" w14:textId="77777777" w:rsidR="00866DEB" w:rsidRDefault="00540213">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w:t>
      </w:r>
      <w:r>
        <w:rPr>
          <w:rFonts w:ascii="Calibri" w:eastAsia="Calibri" w:hAnsi="Calibri" w:cs="Calibri"/>
          <w:color w:val="000000"/>
          <w:sz w:val="20"/>
          <w:szCs w:val="20"/>
          <w:highlight w:val="white"/>
        </w:rPr>
        <w:t xml:space="preserve">Current World Population Bahrain”, Worldometer, 2020, </w:t>
      </w:r>
      <w:hyperlink r:id="rId31">
        <w:r>
          <w:rPr>
            <w:rFonts w:ascii="Calibri" w:eastAsia="Calibri" w:hAnsi="Calibri" w:cs="Calibri"/>
            <w:color w:val="1155CC"/>
            <w:sz w:val="20"/>
            <w:szCs w:val="20"/>
            <w:highlight w:val="white"/>
            <w:u w:val="single"/>
          </w:rPr>
          <w:t>https://www.worldometers.info/world-population/bahrain-population/</w:t>
        </w:r>
      </w:hyperlink>
    </w:p>
  </w:footnote>
  <w:footnote w:id="38">
    <w:p w14:paraId="000000B1" w14:textId="77777777" w:rsidR="00866DEB" w:rsidRDefault="00540213">
      <w:pPr>
        <w:pBdr>
          <w:top w:val="nil"/>
          <w:left w:val="nil"/>
          <w:bottom w:val="nil"/>
          <w:right w:val="nil"/>
          <w:between w:val="nil"/>
        </w:pBdr>
        <w:spacing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“Submission to the committee on the elimination of all forms of discrimination against women”, BCHR, 2013, </w:t>
      </w:r>
      <w:hyperlink r:id="rId32">
        <w:r>
          <w:rPr>
            <w:rFonts w:ascii="Calibri" w:eastAsia="Calibri" w:hAnsi="Calibri" w:cs="Calibri"/>
            <w:color w:val="1155CC"/>
            <w:sz w:val="20"/>
            <w:szCs w:val="20"/>
            <w:u w:val="single"/>
          </w:rPr>
          <w:t>https://tbinternet.ohchr.org/Treaties/CEDAW/Shared%20Documents/BHR/INT_CEDAW_NGO_BHR_14750_E.pdf</w:t>
        </w:r>
      </w:hyperlink>
      <w:r>
        <w:rPr>
          <w:rFonts w:ascii="Calibri" w:eastAsia="Calibri" w:hAnsi="Calibri" w:cs="Calibri"/>
          <w:color w:val="000000"/>
          <w:sz w:val="20"/>
          <w:szCs w:val="20"/>
        </w:rPr>
        <w:t> </w:t>
      </w:r>
    </w:p>
  </w:footnote>
  <w:footnote w:id="39">
    <w:p w14:paraId="000000B2" w14:textId="77777777" w:rsidR="00866DEB" w:rsidRDefault="00540213">
      <w:pPr>
        <w:pBdr>
          <w:top w:val="nil"/>
          <w:left w:val="nil"/>
          <w:bottom w:val="nil"/>
          <w:right w:val="nil"/>
          <w:between w:val="nil"/>
        </w:pBdr>
        <w:spacing w:line="240" w:lineRule="auto"/>
        <w:rPr>
          <w:color w:val="000000"/>
          <w:sz w:val="24"/>
          <w:szCs w:val="24"/>
        </w:rPr>
      </w:pPr>
      <w:r>
        <w:rPr>
          <w:vertAlign w:val="superscript"/>
        </w:rPr>
        <w:footnoteRef/>
      </w:r>
      <w:r>
        <w:rPr>
          <w:rFonts w:ascii="Calibri" w:eastAsia="Calibri" w:hAnsi="Calibri" w:cs="Calibri"/>
          <w:color w:val="000000"/>
          <w:sz w:val="20"/>
          <w:szCs w:val="20"/>
        </w:rPr>
        <w:t xml:space="preserve"> Ibid.</w:t>
      </w:r>
    </w:p>
  </w:footnote>
  <w:footnote w:id="40">
    <w:p w14:paraId="000000B3" w14:textId="77777777" w:rsidR="00866DEB" w:rsidRDefault="00540213">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“Women's Rights in the Middle East and North Africa: Progress amid Resistance”, Breslin, Julia, and Sanja Kelly, Rowman &amp; Littlefield, 2010</w:t>
      </w:r>
    </w:p>
  </w:footnote>
  <w:footnote w:id="41">
    <w:p w14:paraId="000000B4" w14:textId="77777777" w:rsidR="00866DEB" w:rsidRDefault="00540213">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International Covenant on Civil and Political Rights”, OHCHR, 15 November 2018, </w:t>
      </w:r>
      <w:hyperlink r:id="rId33">
        <w:r>
          <w:rPr>
            <w:rFonts w:ascii="Calibri" w:eastAsia="Calibri" w:hAnsi="Calibri" w:cs="Calibri"/>
            <w:color w:val="1155CC"/>
            <w:sz w:val="20"/>
            <w:szCs w:val="20"/>
            <w:u w:val="single"/>
          </w:rPr>
          <w:t>https://tbinternet.ohchr.org/_layouts/15/treatybodyexternal/Download.aspx?symbolno=CCPR%2fC%2fBHR%2fCO%2f1&amp;Lang=en</w:t>
        </w:r>
      </w:hyperlink>
    </w:p>
  </w:footnote>
  <w:footnote w:id="42">
    <w:p w14:paraId="000000B5"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43">
    <w:p w14:paraId="000000B6"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44">
    <w:p w14:paraId="000000B7"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National Plan for the Advancement of Bahraini Women”, Supreme Council for Women, 2013, </w:t>
      </w:r>
      <w:hyperlink r:id="rId34">
        <w:r>
          <w:rPr>
            <w:rFonts w:ascii="Calibri" w:eastAsia="Calibri" w:hAnsi="Calibri" w:cs="Calibri"/>
            <w:color w:val="1155CC"/>
            <w:sz w:val="20"/>
            <w:szCs w:val="20"/>
            <w:highlight w:val="white"/>
            <w:u w:val="single"/>
          </w:rPr>
          <w:t>https://www.buheji.com/National_Plan_for_the_Advancement_of_Bahraini_Women.pdf</w:t>
        </w:r>
      </w:hyperlink>
      <w:r>
        <w:rPr>
          <w:rFonts w:ascii="Calibri" w:eastAsia="Calibri" w:hAnsi="Calibri" w:cs="Calibri"/>
          <w:sz w:val="20"/>
          <w:szCs w:val="20"/>
          <w:highlight w:val="white"/>
        </w:rPr>
        <w:t xml:space="preserve">  </w:t>
      </w:r>
    </w:p>
  </w:footnote>
  <w:footnote w:id="45">
    <w:p w14:paraId="000000B8"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Gender Index”, OECD, 2019, </w:t>
      </w:r>
      <w:hyperlink r:id="rId35">
        <w:r>
          <w:rPr>
            <w:rFonts w:ascii="Calibri" w:eastAsia="Calibri" w:hAnsi="Calibri" w:cs="Calibri"/>
            <w:color w:val="1155CC"/>
            <w:sz w:val="20"/>
            <w:szCs w:val="20"/>
            <w:highlight w:val="white"/>
            <w:u w:val="single"/>
          </w:rPr>
          <w:t>https://www.genderindex.org/wp-content/uploads/files/datasheets/2019/BH.pdf</w:t>
        </w:r>
      </w:hyperlink>
      <w:r>
        <w:rPr>
          <w:rFonts w:ascii="Calibri" w:eastAsia="Calibri" w:hAnsi="Calibri" w:cs="Calibri"/>
          <w:sz w:val="20"/>
          <w:szCs w:val="20"/>
          <w:highlight w:val="white"/>
        </w:rPr>
        <w:t xml:space="preserve"> </w:t>
      </w:r>
    </w:p>
  </w:footnote>
  <w:footnote w:id="46">
    <w:p w14:paraId="000000B9" w14:textId="77777777" w:rsidR="00866DEB" w:rsidRDefault="00540213">
      <w:pPr>
        <w:spacing w:line="240" w:lineRule="auto"/>
        <w:rPr>
          <w:rFonts w:ascii="Calibri" w:eastAsia="Calibri" w:hAnsi="Calibri" w:cs="Calibri"/>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rPr>
        <w:t>“</w:t>
      </w:r>
      <w:r>
        <w:rPr>
          <w:rFonts w:ascii="Calibri" w:eastAsia="Calibri" w:hAnsi="Calibri" w:cs="Calibri"/>
          <w:sz w:val="20"/>
          <w:szCs w:val="20"/>
          <w:highlight w:val="white"/>
        </w:rPr>
        <w:t xml:space="preserve">MENA Gender Equality Profile”, UNICEF, 2011, </w:t>
      </w:r>
      <w:hyperlink r:id="rId36">
        <w:r>
          <w:rPr>
            <w:rFonts w:ascii="Calibri" w:eastAsia="Calibri" w:hAnsi="Calibri" w:cs="Calibri"/>
            <w:color w:val="1155CC"/>
            <w:sz w:val="20"/>
            <w:szCs w:val="20"/>
            <w:highlight w:val="white"/>
            <w:u w:val="single"/>
          </w:rPr>
          <w:t>https://www.unicef.org/gender/files/Bahrain-Gender-Eqaulity-Profile-2011.pdf</w:t>
        </w:r>
      </w:hyperlink>
      <w:r>
        <w:rPr>
          <w:rFonts w:ascii="Calibri" w:eastAsia="Calibri" w:hAnsi="Calibri" w:cs="Calibri"/>
          <w:sz w:val="20"/>
          <w:szCs w:val="20"/>
          <w:highlight w:val="white"/>
        </w:rPr>
        <w:t xml:space="preserve"> </w:t>
      </w:r>
    </w:p>
  </w:footnote>
  <w:footnote w:id="47">
    <w:p w14:paraId="000000BA"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highlight w:val="white"/>
        </w:rPr>
        <w:t xml:space="preserve">Women's Groups Accuse Bahrain Of Cutting Funds On Political Grounds”, Middle East Eye, 24 June 2016, </w:t>
      </w:r>
      <w:hyperlink r:id="rId37">
        <w:r>
          <w:rPr>
            <w:rFonts w:ascii="Calibri" w:eastAsia="Calibri" w:hAnsi="Calibri" w:cs="Calibri"/>
            <w:color w:val="1155CC"/>
            <w:sz w:val="20"/>
            <w:szCs w:val="20"/>
            <w:highlight w:val="white"/>
            <w:u w:val="single"/>
          </w:rPr>
          <w:t>https://www.middleeasteye.net/news/womens-groups-accuse-bahrain-cutting-funds-political-grounds</w:t>
        </w:r>
      </w:hyperlink>
    </w:p>
  </w:footnote>
  <w:footnote w:id="48">
    <w:p w14:paraId="000000BB" w14:textId="77777777" w:rsidR="00866DEB" w:rsidRDefault="0054021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Ebtisam AlSaegh, Interview with BIRD, 15 July 2019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F" w14:textId="77777777" w:rsidR="00866DEB" w:rsidRDefault="00866DE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620AB"/>
    <w:multiLevelType w:val="multilevel"/>
    <w:tmpl w:val="13B20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DEB"/>
    <w:rsid w:val="00093D00"/>
    <w:rsid w:val="000A4F90"/>
    <w:rsid w:val="000D1DA3"/>
    <w:rsid w:val="000E409B"/>
    <w:rsid w:val="000E7C96"/>
    <w:rsid w:val="00177825"/>
    <w:rsid w:val="001C5356"/>
    <w:rsid w:val="001E4334"/>
    <w:rsid w:val="002645C1"/>
    <w:rsid w:val="002A1341"/>
    <w:rsid w:val="002C0D2B"/>
    <w:rsid w:val="00320F24"/>
    <w:rsid w:val="003703A7"/>
    <w:rsid w:val="003F7342"/>
    <w:rsid w:val="004376AA"/>
    <w:rsid w:val="00482A15"/>
    <w:rsid w:val="004F58E7"/>
    <w:rsid w:val="00540213"/>
    <w:rsid w:val="00542F6C"/>
    <w:rsid w:val="00595AED"/>
    <w:rsid w:val="0065574D"/>
    <w:rsid w:val="006A6C10"/>
    <w:rsid w:val="006B03B5"/>
    <w:rsid w:val="006E2F2D"/>
    <w:rsid w:val="00726CBA"/>
    <w:rsid w:val="007602AD"/>
    <w:rsid w:val="00783363"/>
    <w:rsid w:val="007A583F"/>
    <w:rsid w:val="007D228B"/>
    <w:rsid w:val="00805404"/>
    <w:rsid w:val="00866DEB"/>
    <w:rsid w:val="00875639"/>
    <w:rsid w:val="008936BF"/>
    <w:rsid w:val="00894AF9"/>
    <w:rsid w:val="008C55B4"/>
    <w:rsid w:val="009169AD"/>
    <w:rsid w:val="0092020F"/>
    <w:rsid w:val="00950C1C"/>
    <w:rsid w:val="0097073E"/>
    <w:rsid w:val="00A368CD"/>
    <w:rsid w:val="00A76483"/>
    <w:rsid w:val="00AA7236"/>
    <w:rsid w:val="00AC291B"/>
    <w:rsid w:val="00B5754B"/>
    <w:rsid w:val="00BD0C33"/>
    <w:rsid w:val="00C10A8F"/>
    <w:rsid w:val="00CB1E91"/>
    <w:rsid w:val="00D13BA1"/>
    <w:rsid w:val="00D6459D"/>
    <w:rsid w:val="00D75715"/>
    <w:rsid w:val="00D8529F"/>
    <w:rsid w:val="00E010AE"/>
    <w:rsid w:val="00E217FA"/>
    <w:rsid w:val="00E77CB8"/>
    <w:rsid w:val="00EA3D9E"/>
    <w:rsid w:val="00F03A01"/>
    <w:rsid w:val="00F21764"/>
    <w:rsid w:val="00FC4DD0"/>
    <w:rsid w:val="00FD68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1B6AE"/>
  <w15:docId w15:val="{AD54262E-10A3-47FE-8080-FD7962C7F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hd w:val="clear" w:color="auto" w:fill="FFFFFF"/>
      <w:spacing w:before="240" w:after="240" w:line="240" w:lineRule="auto"/>
      <w:ind w:left="720" w:hanging="360"/>
      <w:jc w:val="both"/>
    </w:pPr>
    <w:rPr>
      <w:b/>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6E2F2D"/>
    <w:rPr>
      <w:color w:val="0000FF"/>
      <w:u w:val="single"/>
    </w:rPr>
  </w:style>
  <w:style w:type="paragraph" w:styleId="BalloonText">
    <w:name w:val="Balloon Text"/>
    <w:basedOn w:val="Normal"/>
    <w:link w:val="BalloonTextChar"/>
    <w:uiPriority w:val="99"/>
    <w:semiHidden/>
    <w:unhideWhenUsed/>
    <w:rsid w:val="00950C1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C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242BC4-63CA-4F68-BE15-C2C8FD0E1945}"/>
</file>

<file path=customXml/itemProps2.xml><?xml version="1.0" encoding="utf-8"?>
<ds:datastoreItem xmlns:ds="http://schemas.openxmlformats.org/officeDocument/2006/customXml" ds:itemID="{F66E30C3-E2C6-4241-95A5-8D059ACA1DAD}"/>
</file>

<file path=customXml/itemProps3.xml><?xml version="1.0" encoding="utf-8"?>
<ds:datastoreItem xmlns:ds="http://schemas.openxmlformats.org/officeDocument/2006/customXml" ds:itemID="{E08EE166-ED1F-4DDB-B197-E171928D0E3F}"/>
</file>

<file path=docProps/app.xml><?xml version="1.0" encoding="utf-8"?>
<Properties xmlns="http://schemas.openxmlformats.org/officeDocument/2006/extended-properties" xmlns:vt="http://schemas.openxmlformats.org/officeDocument/2006/docPropsVTypes">
  <Template>Normal</Template>
  <TotalTime>1</TotalTime>
  <Pages>17</Pages>
  <Words>5052</Words>
  <Characters>28803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2</cp:revision>
  <cp:lastPrinted>2020-05-17T19:42:00Z</cp:lastPrinted>
  <dcterms:created xsi:type="dcterms:W3CDTF">2021-10-10T19:17:00Z</dcterms:created>
  <dcterms:modified xsi:type="dcterms:W3CDTF">2021-10-10T19:17:00Z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