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570FE3" w:rsidRDefault="00B46D3D">
      <w:pP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extent cx="2682111" cy="894037"/>
            <wp:effectExtent l="0" t="0" r="0" b="0"/>
            <wp:docPr id="2"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7"/>
                    <a:srcRect/>
                    <a:stretch>
                      <a:fillRect/>
                    </a:stretch>
                  </pic:blipFill>
                  <pic:spPr>
                    <a:xfrm>
                      <a:off x="0" y="0"/>
                      <a:ext cx="2682111" cy="894037"/>
                    </a:xfrm>
                    <a:prstGeom prst="rect">
                      <a:avLst/>
                    </a:prstGeom>
                    <a:ln/>
                  </pic:spPr>
                </pic:pic>
              </a:graphicData>
            </a:graphic>
          </wp:inline>
        </w:drawing>
      </w:r>
    </w:p>
    <w:p w:rsidR="008218FF" w:rsidRDefault="008218FF">
      <w:pPr>
        <w:rPr>
          <w:rFonts w:ascii="Times New Roman" w:eastAsia="Times New Roman" w:hAnsi="Times New Roman" w:cs="Times New Roman"/>
          <w:b/>
          <w:sz w:val="24"/>
          <w:szCs w:val="24"/>
        </w:rPr>
      </w:pPr>
    </w:p>
    <w:p w:rsidR="00570FE3" w:rsidRDefault="00B46D3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Committee on the Elimination of Discrimination against Women </w:t>
      </w:r>
    </w:p>
    <w:p w:rsidR="00570FE3" w:rsidRDefault="00B46D3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Human Rights Treaties Division (HRTD)</w:t>
      </w:r>
    </w:p>
    <w:p w:rsidR="00570FE3" w:rsidRDefault="00B46D3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Office of the United Nations High Commissioner for Human Rights (OHCHR)</w:t>
      </w:r>
    </w:p>
    <w:p w:rsidR="00570FE3" w:rsidRDefault="00B46D3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Palais Wilson - 52, rue des </w:t>
      </w:r>
      <w:proofErr w:type="spellStart"/>
      <w:r>
        <w:rPr>
          <w:rFonts w:ascii="Times New Roman" w:eastAsia="Times New Roman" w:hAnsi="Times New Roman" w:cs="Times New Roman"/>
          <w:b/>
          <w:sz w:val="24"/>
          <w:szCs w:val="24"/>
        </w:rPr>
        <w:t>Pâquis</w:t>
      </w:r>
      <w:proofErr w:type="spellEnd"/>
    </w:p>
    <w:p w:rsidR="00570FE3" w:rsidRDefault="00B46D3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CH-1201 Geneva </w:t>
      </w:r>
    </w:p>
    <w:p w:rsidR="00570FE3" w:rsidRDefault="00B46D3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Switzerland</w:t>
      </w:r>
    </w:p>
    <w:p w:rsidR="00570FE3" w:rsidRDefault="00570FE3">
      <w:pPr>
        <w:rPr>
          <w:rFonts w:ascii="Times New Roman" w:eastAsia="Times New Roman" w:hAnsi="Times New Roman" w:cs="Times New Roman"/>
          <w:b/>
          <w:sz w:val="24"/>
          <w:szCs w:val="24"/>
        </w:rPr>
      </w:pPr>
    </w:p>
    <w:p w:rsidR="00570FE3" w:rsidRDefault="00B46D3D">
      <w:pPr>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23 May 2025</w:t>
      </w:r>
    </w:p>
    <w:p w:rsidR="00570FE3" w:rsidRDefault="00570FE3">
      <w:pPr>
        <w:rPr>
          <w:rFonts w:ascii="Times New Roman" w:eastAsia="Times New Roman" w:hAnsi="Times New Roman" w:cs="Times New Roman"/>
          <w:b/>
          <w:sz w:val="24"/>
          <w:szCs w:val="24"/>
        </w:rPr>
      </w:pPr>
    </w:p>
    <w:p w:rsidR="00570FE3" w:rsidRDefault="00B46D3D">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Information on Kazakhstan for consideration by the Committee on the Elimination of Discrimination against Women at its Pre-Sessional Working Group (07 Jul 2025 - 11 Jul 2025)</w:t>
      </w:r>
    </w:p>
    <w:p w:rsidR="00570FE3" w:rsidRDefault="00570FE3">
      <w:pPr>
        <w:jc w:val="both"/>
        <w:rPr>
          <w:rFonts w:ascii="Times New Roman" w:eastAsia="Times New Roman" w:hAnsi="Times New Roman" w:cs="Times New Roman"/>
          <w:b/>
          <w:sz w:val="24"/>
          <w:szCs w:val="24"/>
        </w:rPr>
      </w:pPr>
    </w:p>
    <w:sdt>
      <w:sdtPr>
        <w:id w:val="-1038810196"/>
        <w:docPartObj>
          <w:docPartGallery w:val="Table of Contents"/>
          <w:docPartUnique/>
        </w:docPartObj>
      </w:sdtPr>
      <w:sdtEndPr/>
      <w:sdtContent>
        <w:p w:rsidR="00570FE3" w:rsidRDefault="00B46D3D">
          <w:pPr>
            <w:widowControl w:val="0"/>
            <w:tabs>
              <w:tab w:val="right" w:pos="12000"/>
            </w:tabs>
            <w:spacing w:before="60" w:line="240" w:lineRule="auto"/>
            <w:rPr>
              <w:b/>
              <w:color w:val="000000"/>
            </w:rPr>
          </w:pPr>
          <w:r>
            <w:fldChar w:fldCharType="begin"/>
          </w:r>
          <w:r>
            <w:instrText xml:space="preserve"> TOC \h \u \z \t "Heading 1,1,Heading 2,2,Heading 3,3,Heading 4,4,Heading 5,5,He</w:instrText>
          </w:r>
          <w:r>
            <w:instrText>ading 6,6,"</w:instrText>
          </w:r>
          <w:r>
            <w:fldChar w:fldCharType="separate"/>
          </w:r>
          <w:hyperlink w:anchor="_eof8939hza42">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1</w:t>
            </w:r>
          </w:hyperlink>
        </w:p>
        <w:p w:rsidR="00570FE3" w:rsidRDefault="00B46D3D">
          <w:pPr>
            <w:widowControl w:val="0"/>
            <w:tabs>
              <w:tab w:val="right" w:pos="12000"/>
            </w:tabs>
            <w:spacing w:before="60" w:line="240" w:lineRule="auto"/>
            <w:rPr>
              <w:b/>
              <w:color w:val="000000"/>
            </w:rPr>
          </w:pPr>
          <w:hyperlink w:anchor="_96u95r8fcf1h">
            <w:r>
              <w:rPr>
                <w:rFonts w:ascii="Times New Roman" w:eastAsia="Times New Roman" w:hAnsi="Times New Roman" w:cs="Times New Roman"/>
                <w:color w:val="000000"/>
                <w:sz w:val="24"/>
                <w:szCs w:val="24"/>
              </w:rPr>
              <w:t xml:space="preserve">Information About The Authors Of </w:t>
            </w:r>
          </w:hyperlink>
          <w:r w:rsidR="008218FF">
            <w:t>T</w:t>
          </w:r>
          <w:hyperlink w:anchor="_96u95r8fcf1h">
            <w:r>
              <w:rPr>
                <w:rFonts w:ascii="Times New Roman" w:eastAsia="Times New Roman" w:hAnsi="Times New Roman" w:cs="Times New Roman"/>
                <w:color w:val="000000"/>
                <w:sz w:val="24"/>
                <w:szCs w:val="24"/>
              </w:rPr>
              <w:t>he Submission</w:t>
            </w:r>
            <w:r>
              <w:rPr>
                <w:rFonts w:ascii="Times New Roman" w:eastAsia="Times New Roman" w:hAnsi="Times New Roman" w:cs="Times New Roman"/>
                <w:color w:val="000000"/>
                <w:sz w:val="24"/>
                <w:szCs w:val="24"/>
              </w:rPr>
              <w:tab/>
              <w:t>2</w:t>
            </w:r>
          </w:hyperlink>
        </w:p>
        <w:p w:rsidR="00570FE3" w:rsidRDefault="00B46D3D">
          <w:pPr>
            <w:widowControl w:val="0"/>
            <w:tabs>
              <w:tab w:val="right" w:pos="12000"/>
            </w:tabs>
            <w:spacing w:before="60" w:line="240" w:lineRule="auto"/>
            <w:rPr>
              <w:b/>
              <w:color w:val="000000"/>
            </w:rPr>
          </w:pPr>
          <w:hyperlink w:anchor="_6mkhlqolup0s">
            <w:r>
              <w:rPr>
                <w:rFonts w:ascii="Times New Roman" w:eastAsia="Times New Roman" w:hAnsi="Times New Roman" w:cs="Times New Roman"/>
                <w:color w:val="000000"/>
                <w:sz w:val="24"/>
                <w:szCs w:val="24"/>
              </w:rPr>
              <w:t xml:space="preserve">The Committee’s Previous Recommendations </w:t>
            </w:r>
            <w:r w:rsidR="008218FF">
              <w:rPr>
                <w:rFonts w:ascii="Times New Roman" w:eastAsia="Times New Roman" w:hAnsi="Times New Roman" w:cs="Times New Roman"/>
                <w:color w:val="000000"/>
                <w:sz w:val="24"/>
                <w:szCs w:val="24"/>
              </w:rPr>
              <w:t>I</w:t>
            </w:r>
            <w:r>
              <w:rPr>
                <w:rFonts w:ascii="Times New Roman" w:eastAsia="Times New Roman" w:hAnsi="Times New Roman" w:cs="Times New Roman"/>
                <w:color w:val="000000"/>
                <w:sz w:val="24"/>
                <w:szCs w:val="24"/>
              </w:rPr>
              <w:t xml:space="preserve">n </w:t>
            </w:r>
          </w:hyperlink>
          <w:hyperlink w:anchor="_6mkhlqolup0s">
            <w:r w:rsidR="008218FF">
              <w:rPr>
                <w:rFonts w:ascii="Times New Roman" w:eastAsia="Times New Roman" w:hAnsi="Times New Roman" w:cs="Times New Roman"/>
                <w:sz w:val="24"/>
                <w:szCs w:val="24"/>
              </w:rPr>
              <w:t>R</w:t>
            </w:r>
          </w:hyperlink>
          <w:hyperlink w:anchor="_6mkhlqolup0s">
            <w:r>
              <w:rPr>
                <w:rFonts w:ascii="Times New Roman" w:eastAsia="Times New Roman" w:hAnsi="Times New Roman" w:cs="Times New Roman"/>
                <w:color w:val="000000"/>
                <w:sz w:val="24"/>
                <w:szCs w:val="24"/>
              </w:rPr>
              <w:t>elation to Kazakhstan</w:t>
            </w:r>
            <w:r>
              <w:rPr>
                <w:rFonts w:ascii="Times New Roman" w:eastAsia="Times New Roman" w:hAnsi="Times New Roman" w:cs="Times New Roman"/>
                <w:color w:val="000000"/>
                <w:sz w:val="24"/>
                <w:szCs w:val="24"/>
              </w:rPr>
              <w:tab/>
              <w:t>3</w:t>
            </w:r>
          </w:hyperlink>
        </w:p>
        <w:p w:rsidR="00570FE3" w:rsidRDefault="00B46D3D">
          <w:pPr>
            <w:widowControl w:val="0"/>
            <w:tabs>
              <w:tab w:val="right" w:pos="12000"/>
            </w:tabs>
            <w:spacing w:before="60" w:line="240" w:lineRule="auto"/>
            <w:rPr>
              <w:b/>
              <w:color w:val="000000"/>
            </w:rPr>
          </w:pPr>
          <w:hyperlink w:anchor="_grnu8crqhy3d">
            <w:r>
              <w:rPr>
                <w:rFonts w:ascii="Times New Roman" w:eastAsia="Times New Roman" w:hAnsi="Times New Roman" w:cs="Times New Roman"/>
                <w:color w:val="000000"/>
                <w:sz w:val="24"/>
                <w:szCs w:val="24"/>
              </w:rPr>
              <w:t>Need To Improve Laws For Accountability On Sexual Violence Against Women</w:t>
            </w:r>
            <w:r>
              <w:rPr>
                <w:rFonts w:ascii="Times New Roman" w:eastAsia="Times New Roman" w:hAnsi="Times New Roman" w:cs="Times New Roman"/>
                <w:color w:val="000000"/>
                <w:sz w:val="24"/>
                <w:szCs w:val="24"/>
              </w:rPr>
              <w:tab/>
              <w:t>4</w:t>
            </w:r>
          </w:hyperlink>
        </w:p>
        <w:p w:rsidR="00570FE3" w:rsidRDefault="00B46D3D">
          <w:pPr>
            <w:widowControl w:val="0"/>
            <w:tabs>
              <w:tab w:val="right" w:pos="12000"/>
            </w:tabs>
            <w:spacing w:before="60" w:line="240" w:lineRule="auto"/>
            <w:rPr>
              <w:b/>
              <w:color w:val="000000"/>
            </w:rPr>
          </w:pPr>
          <w:hyperlink w:anchor="_fl6rqpnq4ypu">
            <w:r>
              <w:rPr>
                <w:rFonts w:ascii="Times New Roman" w:eastAsia="Times New Roman" w:hAnsi="Times New Roman" w:cs="Times New Roman"/>
                <w:color w:val="000000"/>
                <w:sz w:val="24"/>
                <w:szCs w:val="24"/>
              </w:rPr>
              <w:t>Need To Improve Laws For Accountability On Sexual Violence Against Girls</w:t>
            </w:r>
            <w:r>
              <w:rPr>
                <w:rFonts w:ascii="Times New Roman" w:eastAsia="Times New Roman" w:hAnsi="Times New Roman" w:cs="Times New Roman"/>
                <w:color w:val="000000"/>
                <w:sz w:val="24"/>
                <w:szCs w:val="24"/>
              </w:rPr>
              <w:tab/>
              <w:t>5</w:t>
            </w:r>
          </w:hyperlink>
        </w:p>
        <w:p w:rsidR="00570FE3" w:rsidRDefault="00B46D3D">
          <w:pPr>
            <w:widowControl w:val="0"/>
            <w:tabs>
              <w:tab w:val="right" w:pos="12000"/>
            </w:tabs>
            <w:spacing w:before="60" w:line="240" w:lineRule="auto"/>
            <w:rPr>
              <w:b/>
              <w:color w:val="000000"/>
            </w:rPr>
          </w:pPr>
          <w:hyperlink w:anchor="_wygu2jranap4">
            <w:r>
              <w:rPr>
                <w:rFonts w:ascii="Times New Roman" w:eastAsia="Times New Roman" w:hAnsi="Times New Roman" w:cs="Times New Roman"/>
                <w:color w:val="000000"/>
                <w:sz w:val="24"/>
                <w:szCs w:val="24"/>
              </w:rPr>
              <w:t>Procedures Denying Justice for Sexual Violence</w:t>
            </w:r>
            <w:r>
              <w:rPr>
                <w:rFonts w:ascii="Times New Roman" w:eastAsia="Times New Roman" w:hAnsi="Times New Roman" w:cs="Times New Roman"/>
                <w:color w:val="000000"/>
                <w:sz w:val="24"/>
                <w:szCs w:val="24"/>
              </w:rPr>
              <w:tab/>
              <w:t>6</w:t>
            </w:r>
          </w:hyperlink>
        </w:p>
        <w:p w:rsidR="00570FE3" w:rsidRDefault="00B46D3D">
          <w:pPr>
            <w:widowControl w:val="0"/>
            <w:tabs>
              <w:tab w:val="right" w:pos="12000"/>
            </w:tabs>
            <w:spacing w:before="60" w:line="240" w:lineRule="auto"/>
            <w:rPr>
              <w:b/>
              <w:color w:val="000000"/>
            </w:rPr>
          </w:pPr>
          <w:hyperlink w:anchor="_qc1vqi8o1y3">
            <w:r>
              <w:rPr>
                <w:rFonts w:ascii="Times New Roman" w:eastAsia="Times New Roman" w:hAnsi="Times New Roman" w:cs="Times New Roman"/>
                <w:color w:val="000000"/>
                <w:sz w:val="24"/>
                <w:szCs w:val="24"/>
              </w:rPr>
              <w:t>Specific Barriers for Women</w:t>
            </w:r>
            <w:r>
              <w:rPr>
                <w:rFonts w:ascii="Times New Roman" w:eastAsia="Times New Roman" w:hAnsi="Times New Roman" w:cs="Times New Roman"/>
                <w:color w:val="000000"/>
                <w:sz w:val="24"/>
                <w:szCs w:val="24"/>
              </w:rPr>
              <w:t xml:space="preserve"> and Girls with Disabilities</w:t>
            </w:r>
            <w:r>
              <w:rPr>
                <w:rFonts w:ascii="Times New Roman" w:eastAsia="Times New Roman" w:hAnsi="Times New Roman" w:cs="Times New Roman"/>
                <w:color w:val="000000"/>
                <w:sz w:val="24"/>
                <w:szCs w:val="24"/>
              </w:rPr>
              <w:tab/>
              <w:t>8</w:t>
            </w:r>
          </w:hyperlink>
        </w:p>
        <w:p w:rsidR="00570FE3" w:rsidRDefault="00B46D3D">
          <w:pPr>
            <w:widowControl w:val="0"/>
            <w:tabs>
              <w:tab w:val="right" w:pos="12000"/>
            </w:tabs>
            <w:spacing w:before="60" w:line="240" w:lineRule="auto"/>
            <w:rPr>
              <w:b/>
              <w:color w:val="000000"/>
            </w:rPr>
          </w:pPr>
          <w:hyperlink w:anchor="_ypwe5kc1mtc8">
            <w:r>
              <w:rPr>
                <w:rFonts w:ascii="Times New Roman" w:eastAsia="Times New Roman" w:hAnsi="Times New Roman" w:cs="Times New Roman"/>
                <w:color w:val="000000"/>
                <w:sz w:val="24"/>
                <w:szCs w:val="24"/>
              </w:rPr>
              <w:t>Child and Forced Marriage</w:t>
            </w:r>
            <w:r>
              <w:rPr>
                <w:rFonts w:ascii="Times New Roman" w:eastAsia="Times New Roman" w:hAnsi="Times New Roman" w:cs="Times New Roman"/>
                <w:color w:val="000000"/>
                <w:sz w:val="24"/>
                <w:szCs w:val="24"/>
              </w:rPr>
              <w:tab/>
              <w:t>9</w:t>
            </w:r>
          </w:hyperlink>
        </w:p>
        <w:p w:rsidR="00570FE3" w:rsidRDefault="00B46D3D">
          <w:pPr>
            <w:widowControl w:val="0"/>
            <w:tabs>
              <w:tab w:val="right" w:pos="12000"/>
            </w:tabs>
            <w:spacing w:before="60" w:line="240" w:lineRule="auto"/>
            <w:rPr>
              <w:b/>
              <w:color w:val="000000"/>
            </w:rPr>
          </w:pPr>
          <w:hyperlink w:anchor="_kmdnzvihzuqm">
            <w:r>
              <w:rPr>
                <w:rFonts w:ascii="Times New Roman" w:eastAsia="Times New Roman" w:hAnsi="Times New Roman" w:cs="Times New Roman"/>
                <w:color w:val="000000"/>
                <w:sz w:val="24"/>
                <w:szCs w:val="24"/>
              </w:rPr>
              <w:t>Lack Of Support Services For Survivors Of Violence</w:t>
            </w:r>
            <w:r>
              <w:rPr>
                <w:rFonts w:ascii="Times New Roman" w:eastAsia="Times New Roman" w:hAnsi="Times New Roman" w:cs="Times New Roman"/>
                <w:color w:val="000000"/>
                <w:sz w:val="24"/>
                <w:szCs w:val="24"/>
              </w:rPr>
              <w:tab/>
              <w:t>11</w:t>
            </w:r>
          </w:hyperlink>
        </w:p>
        <w:p w:rsidR="00570FE3" w:rsidRDefault="00B46D3D">
          <w:pPr>
            <w:widowControl w:val="0"/>
            <w:tabs>
              <w:tab w:val="right" w:pos="12000"/>
            </w:tabs>
            <w:spacing w:before="60" w:line="240" w:lineRule="auto"/>
            <w:rPr>
              <w:b/>
              <w:color w:val="000000"/>
            </w:rPr>
          </w:pPr>
          <w:hyperlink w:anchor="_i5h61dtdt6dm">
            <w:r>
              <w:rPr>
                <w:rFonts w:ascii="Times New Roman" w:eastAsia="Times New Roman" w:hAnsi="Times New Roman" w:cs="Times New Roman"/>
                <w:color w:val="000000"/>
                <w:sz w:val="24"/>
                <w:szCs w:val="24"/>
              </w:rPr>
              <w:t>List of Issues for the Sixth Period</w:t>
            </w:r>
            <w:r>
              <w:rPr>
                <w:rFonts w:ascii="Times New Roman" w:eastAsia="Times New Roman" w:hAnsi="Times New Roman" w:cs="Times New Roman"/>
                <w:color w:val="000000"/>
                <w:sz w:val="24"/>
                <w:szCs w:val="24"/>
              </w:rPr>
              <w:t>ic Report of Kazakhstan</w:t>
            </w:r>
            <w:r>
              <w:rPr>
                <w:rFonts w:ascii="Times New Roman" w:eastAsia="Times New Roman" w:hAnsi="Times New Roman" w:cs="Times New Roman"/>
                <w:color w:val="000000"/>
                <w:sz w:val="24"/>
                <w:szCs w:val="24"/>
              </w:rPr>
              <w:tab/>
              <w:t>12</w:t>
            </w:r>
          </w:hyperlink>
          <w:r>
            <w:fldChar w:fldCharType="end"/>
          </w:r>
        </w:p>
      </w:sdtContent>
    </w:sdt>
    <w:p w:rsidR="00570FE3" w:rsidRDefault="00B46D3D">
      <w:pPr>
        <w:pStyle w:val="Heading1"/>
      </w:pPr>
      <w:bookmarkStart w:id="0" w:name="_eof8939hza42" w:colFirst="0" w:colLast="0"/>
      <w:bookmarkEnd w:id="0"/>
      <w:r>
        <w:lastRenderedPageBreak/>
        <w:t>Introduction</w:t>
      </w:r>
    </w:p>
    <w:p w:rsidR="00570FE3" w:rsidRDefault="00B46D3D">
      <w:pPr>
        <w:numPr>
          <w:ilvl w:val="0"/>
          <w:numId w:val="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respectfully submit this report as a supplement to Kazakhstan’s sixth periodic report. In our submission, Equality Now, the Public Foundation “SVET”, the Regional CSO Network to End GBV and Harmful Practices </w:t>
      </w:r>
      <w:r>
        <w:rPr>
          <w:rFonts w:ascii="Times New Roman" w:eastAsia="Times New Roman" w:hAnsi="Times New Roman" w:cs="Times New Roman"/>
          <w:sz w:val="24"/>
          <w:szCs w:val="24"/>
        </w:rPr>
        <w:t xml:space="preserve">“Ray of Light”, and the </w:t>
      </w:r>
      <w:proofErr w:type="spellStart"/>
      <w:r>
        <w:rPr>
          <w:rFonts w:ascii="Times New Roman" w:eastAsia="Times New Roman" w:hAnsi="Times New Roman" w:cs="Times New Roman"/>
          <w:sz w:val="24"/>
          <w:szCs w:val="24"/>
        </w:rPr>
        <w:t>Shyrak</w:t>
      </w:r>
      <w:proofErr w:type="spellEnd"/>
      <w:r>
        <w:rPr>
          <w:rFonts w:ascii="Times New Roman" w:eastAsia="Times New Roman" w:hAnsi="Times New Roman" w:cs="Times New Roman"/>
          <w:sz w:val="24"/>
          <w:szCs w:val="24"/>
        </w:rPr>
        <w:t xml:space="preserve"> Association of Women with Disabilities detail concerns regarding laws related to sexual violence and child and forced marriage, as well as procedures and practices that effectively deny access to justice for women and girls w</w:t>
      </w:r>
      <w:r>
        <w:rPr>
          <w:rFonts w:ascii="Times New Roman" w:eastAsia="Times New Roman" w:hAnsi="Times New Roman" w:cs="Times New Roman"/>
          <w:sz w:val="24"/>
          <w:szCs w:val="24"/>
        </w:rPr>
        <w:t xml:space="preserve">ho are survivors of sexual violence and child and forced marriage. These issues constitute violations of the Convention on the Elimination of All Forms of Discrimination against Women, particularly Articles 2 and 5, and General Recommendations No. 19, 33, </w:t>
      </w:r>
      <w:r>
        <w:rPr>
          <w:rFonts w:ascii="Times New Roman" w:eastAsia="Times New Roman" w:hAnsi="Times New Roman" w:cs="Times New Roman"/>
          <w:sz w:val="24"/>
          <w:szCs w:val="24"/>
        </w:rPr>
        <w:t>and 35 of the Committee.</w:t>
      </w:r>
    </w:p>
    <w:p w:rsidR="00570FE3" w:rsidRDefault="00B46D3D">
      <w:pPr>
        <w:pStyle w:val="Heading1"/>
      </w:pPr>
      <w:bookmarkStart w:id="1" w:name="_96u95r8fcf1h" w:colFirst="0" w:colLast="0"/>
      <w:bookmarkEnd w:id="1"/>
      <w:r>
        <w:t xml:space="preserve">Information About </w:t>
      </w:r>
      <w:proofErr w:type="gramStart"/>
      <w:r>
        <w:t>The</w:t>
      </w:r>
      <w:proofErr w:type="gramEnd"/>
      <w:r>
        <w:t xml:space="preserve"> Authors Of The Submission</w:t>
      </w:r>
    </w:p>
    <w:p w:rsidR="00570FE3" w:rsidRDefault="00B46D3D">
      <w:pPr>
        <w:numPr>
          <w:ilvl w:val="0"/>
          <w:numId w:val="3"/>
        </w:num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Equality Now</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is an international human rights organisation with ECOSOC status working to protect and promote the rights of women and girls worldwide since 1992, including through our network of individuals and organisations in every region. Ending sexual violence, end</w:t>
      </w:r>
      <w:r>
        <w:rPr>
          <w:rFonts w:ascii="Times New Roman" w:eastAsia="Times New Roman" w:hAnsi="Times New Roman" w:cs="Times New Roman"/>
          <w:sz w:val="24"/>
          <w:szCs w:val="24"/>
        </w:rPr>
        <w:t xml:space="preserve">ing sexual exploitation, ending harmful practices, and achieving legal equality are the main areas of Equality Now’s work. In January 2019, Equality Now released a report “Roadblocks </w:t>
      </w:r>
      <w:proofErr w:type="gramStart"/>
      <w:r>
        <w:rPr>
          <w:rFonts w:ascii="Times New Roman" w:eastAsia="Times New Roman" w:hAnsi="Times New Roman" w:cs="Times New Roman"/>
          <w:sz w:val="24"/>
          <w:szCs w:val="24"/>
        </w:rPr>
        <w:t>To</w:t>
      </w:r>
      <w:proofErr w:type="gramEnd"/>
      <w:r>
        <w:rPr>
          <w:rFonts w:ascii="Times New Roman" w:eastAsia="Times New Roman" w:hAnsi="Times New Roman" w:cs="Times New Roman"/>
          <w:sz w:val="24"/>
          <w:szCs w:val="24"/>
        </w:rPr>
        <w:t xml:space="preserve"> Justice: How The Law Is Failing Survivors Of Sexual Violence In Eurasi</w:t>
      </w:r>
      <w:r>
        <w:rPr>
          <w:rFonts w:ascii="Times New Roman" w:eastAsia="Times New Roman" w:hAnsi="Times New Roman" w:cs="Times New Roman"/>
          <w:sz w:val="24"/>
          <w:szCs w:val="24"/>
        </w:rPr>
        <w:t>a”</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which contains an overview of the laws on sexual violence in the 15 countries of Eurasia, including Kazakhstan, and an analysis of gaps in the law and examples of practice allowing for impunity for perpetrators of sexual violence crimes. Since then, Eq</w:t>
      </w:r>
      <w:r>
        <w:rPr>
          <w:rFonts w:ascii="Times New Roman" w:eastAsia="Times New Roman" w:hAnsi="Times New Roman" w:cs="Times New Roman"/>
          <w:sz w:val="24"/>
          <w:szCs w:val="24"/>
        </w:rPr>
        <w:t xml:space="preserve">uality Now has been persistently </w:t>
      </w:r>
      <w:proofErr w:type="spellStart"/>
      <w:r>
        <w:rPr>
          <w:rFonts w:ascii="Times New Roman" w:eastAsia="Times New Roman" w:hAnsi="Times New Roman" w:cs="Times New Roman"/>
          <w:sz w:val="24"/>
          <w:szCs w:val="24"/>
        </w:rPr>
        <w:t>analyzing</w:t>
      </w:r>
      <w:proofErr w:type="spellEnd"/>
      <w:r>
        <w:rPr>
          <w:rFonts w:ascii="Times New Roman" w:eastAsia="Times New Roman" w:hAnsi="Times New Roman" w:cs="Times New Roman"/>
          <w:sz w:val="24"/>
          <w:szCs w:val="24"/>
        </w:rPr>
        <w:t xml:space="preserve"> laws, policies, and procedures on sexual violence against women in Kazakhstan.</w:t>
      </w:r>
      <w:r>
        <w:rPr>
          <w:rFonts w:ascii="Times New Roman" w:eastAsia="Times New Roman" w:hAnsi="Times New Roman" w:cs="Times New Roman"/>
          <w:sz w:val="24"/>
          <w:szCs w:val="24"/>
          <w:vertAlign w:val="superscript"/>
        </w:rPr>
        <w:footnoteReference w:id="3"/>
      </w:r>
    </w:p>
    <w:p w:rsidR="00570FE3" w:rsidRDefault="00570FE3">
      <w:pPr>
        <w:jc w:val="both"/>
        <w:rPr>
          <w:rFonts w:ascii="Times New Roman" w:eastAsia="Times New Roman" w:hAnsi="Times New Roman" w:cs="Times New Roman"/>
          <w:sz w:val="24"/>
          <w:szCs w:val="24"/>
        </w:rPr>
      </w:pPr>
    </w:p>
    <w:p w:rsidR="00570FE3" w:rsidRDefault="00B46D3D">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The Public Foundation “SVET”</w:t>
      </w:r>
      <w:r>
        <w:rPr>
          <w:rFonts w:ascii="Times New Roman" w:eastAsia="Times New Roman" w:hAnsi="Times New Roman" w:cs="Times New Roman"/>
          <w:b/>
          <w:sz w:val="24"/>
          <w:szCs w:val="24"/>
          <w:vertAlign w:val="superscript"/>
        </w:rPr>
        <w:footnoteReference w:id="4"/>
      </w:r>
      <w:r>
        <w:rPr>
          <w:rFonts w:ascii="Times New Roman" w:eastAsia="Times New Roman" w:hAnsi="Times New Roman" w:cs="Times New Roman"/>
          <w:sz w:val="24"/>
          <w:szCs w:val="24"/>
        </w:rPr>
        <w:t xml:space="preserve"> (Stop Violence End Tyranny) is a non-governmental organization founded in Almaty (Kazakhstan) in 2018 by Kirill </w:t>
      </w:r>
      <w:proofErr w:type="spellStart"/>
      <w:r>
        <w:rPr>
          <w:rFonts w:ascii="Times New Roman" w:eastAsia="Times New Roman" w:hAnsi="Times New Roman" w:cs="Times New Roman"/>
          <w:sz w:val="24"/>
          <w:szCs w:val="24"/>
        </w:rPr>
        <w:t>Vshivkov</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Moldir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Zhumabayeva</w:t>
      </w:r>
      <w:proofErr w:type="spellEnd"/>
      <w:r>
        <w:rPr>
          <w:rFonts w:ascii="Times New Roman" w:eastAsia="Times New Roman" w:hAnsi="Times New Roman" w:cs="Times New Roman"/>
          <w:sz w:val="24"/>
          <w:szCs w:val="24"/>
        </w:rPr>
        <w:t>. The foundation focuses on supporting and protecting survivors of domestic and sexual violence. It works direct</w:t>
      </w:r>
      <w:r>
        <w:rPr>
          <w:rFonts w:ascii="Times New Roman" w:eastAsia="Times New Roman" w:hAnsi="Times New Roman" w:cs="Times New Roman"/>
          <w:sz w:val="24"/>
          <w:szCs w:val="24"/>
        </w:rPr>
        <w:t>ly with individuals who have experienced harassment and abuse, while also implementing a wide range of prevention programs in the areas of education, organizational audits, advisory services for government agencies and NGOs, and representation at internati</w:t>
      </w:r>
      <w:r>
        <w:rPr>
          <w:rFonts w:ascii="Times New Roman" w:eastAsia="Times New Roman" w:hAnsi="Times New Roman" w:cs="Times New Roman"/>
          <w:sz w:val="24"/>
          <w:szCs w:val="24"/>
        </w:rPr>
        <w:t>onal platforms. The foundation also serves as a large community of individuals committed to the values of gender equality and the prevention of harassment and violence.</w:t>
      </w:r>
    </w:p>
    <w:p w:rsidR="00570FE3" w:rsidRDefault="00570FE3">
      <w:pPr>
        <w:jc w:val="both"/>
        <w:rPr>
          <w:rFonts w:ascii="Times New Roman" w:eastAsia="Times New Roman" w:hAnsi="Times New Roman" w:cs="Times New Roman"/>
          <w:sz w:val="24"/>
          <w:szCs w:val="24"/>
        </w:rPr>
      </w:pPr>
    </w:p>
    <w:p w:rsidR="00570FE3" w:rsidRDefault="00B46D3D">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The </w:t>
      </w:r>
      <w:proofErr w:type="spellStart"/>
      <w:r>
        <w:rPr>
          <w:rFonts w:ascii="Times New Roman" w:eastAsia="Times New Roman" w:hAnsi="Times New Roman" w:cs="Times New Roman"/>
          <w:b/>
          <w:sz w:val="24"/>
          <w:szCs w:val="24"/>
        </w:rPr>
        <w:t>Shyrak</w:t>
      </w:r>
      <w:proofErr w:type="spellEnd"/>
      <w:r>
        <w:rPr>
          <w:rFonts w:ascii="Times New Roman" w:eastAsia="Times New Roman" w:hAnsi="Times New Roman" w:cs="Times New Roman"/>
          <w:b/>
          <w:sz w:val="24"/>
          <w:szCs w:val="24"/>
        </w:rPr>
        <w:t xml:space="preserve"> Association of Women with Disabilities</w:t>
      </w:r>
      <w:r>
        <w:rPr>
          <w:rFonts w:ascii="Times New Roman" w:eastAsia="Times New Roman" w:hAnsi="Times New Roman" w:cs="Times New Roman"/>
          <w:b/>
          <w:sz w:val="24"/>
          <w:szCs w:val="24"/>
          <w:vertAlign w:val="superscript"/>
        </w:rPr>
        <w:footnoteReference w:id="5"/>
      </w:r>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is an NGO in Kazakhstan with over t</w:t>
      </w:r>
      <w:r>
        <w:rPr>
          <w:rFonts w:ascii="Times New Roman" w:eastAsia="Times New Roman" w:hAnsi="Times New Roman" w:cs="Times New Roman"/>
          <w:sz w:val="24"/>
          <w:szCs w:val="24"/>
        </w:rPr>
        <w:t xml:space="preserve">wenty years of experience in promoting disability rights and gender equality. Founded by a group of women with disabilities in 2001, </w:t>
      </w:r>
      <w:proofErr w:type="spellStart"/>
      <w:r>
        <w:rPr>
          <w:rFonts w:ascii="Times New Roman" w:eastAsia="Times New Roman" w:hAnsi="Times New Roman" w:cs="Times New Roman"/>
          <w:sz w:val="24"/>
          <w:szCs w:val="24"/>
        </w:rPr>
        <w:t>Shyrak</w:t>
      </w:r>
      <w:proofErr w:type="spellEnd"/>
      <w:r>
        <w:rPr>
          <w:rFonts w:ascii="Times New Roman" w:eastAsia="Times New Roman" w:hAnsi="Times New Roman" w:cs="Times New Roman"/>
          <w:sz w:val="24"/>
          <w:szCs w:val="24"/>
        </w:rPr>
        <w:t xml:space="preserve"> has several branches in Kazakhstan and coordinates the international expert network of leaders and organizations of </w:t>
      </w:r>
      <w:r>
        <w:rPr>
          <w:rFonts w:ascii="Times New Roman" w:eastAsia="Times New Roman" w:hAnsi="Times New Roman" w:cs="Times New Roman"/>
          <w:sz w:val="24"/>
          <w:szCs w:val="24"/>
        </w:rPr>
        <w:t xml:space="preserve">women with disabilities in Central Asia. </w:t>
      </w:r>
      <w:proofErr w:type="spellStart"/>
      <w:r>
        <w:rPr>
          <w:rFonts w:ascii="Times New Roman" w:eastAsia="Times New Roman" w:hAnsi="Times New Roman" w:cs="Times New Roman"/>
          <w:sz w:val="24"/>
          <w:szCs w:val="24"/>
        </w:rPr>
        <w:t>Shyrak</w:t>
      </w:r>
      <w:proofErr w:type="spellEnd"/>
      <w:r>
        <w:rPr>
          <w:rFonts w:ascii="Times New Roman" w:eastAsia="Times New Roman" w:hAnsi="Times New Roman" w:cs="Times New Roman"/>
          <w:sz w:val="24"/>
          <w:szCs w:val="24"/>
        </w:rPr>
        <w:t xml:space="preserve"> has long been involved in advocating for the rights of women and girls with disabilities and in NGO networking, especially in terms of promotion of CRPD, CEDAW provisions, reproductive health, leadership and </w:t>
      </w:r>
      <w:r>
        <w:rPr>
          <w:rFonts w:ascii="Times New Roman" w:eastAsia="Times New Roman" w:hAnsi="Times New Roman" w:cs="Times New Roman"/>
          <w:sz w:val="24"/>
          <w:szCs w:val="24"/>
        </w:rPr>
        <w:t xml:space="preserve">employment of persons with disabilities. Since 2006, </w:t>
      </w:r>
      <w:proofErr w:type="spellStart"/>
      <w:r>
        <w:rPr>
          <w:rFonts w:ascii="Times New Roman" w:eastAsia="Times New Roman" w:hAnsi="Times New Roman" w:cs="Times New Roman"/>
          <w:sz w:val="24"/>
          <w:szCs w:val="24"/>
        </w:rPr>
        <w:t>Shyrak</w:t>
      </w:r>
      <w:proofErr w:type="spellEnd"/>
      <w:r>
        <w:rPr>
          <w:rFonts w:ascii="Times New Roman" w:eastAsia="Times New Roman" w:hAnsi="Times New Roman" w:cs="Times New Roman"/>
          <w:sz w:val="24"/>
          <w:szCs w:val="24"/>
        </w:rPr>
        <w:t xml:space="preserve"> has promoted a human rights-based approach to disability and gender equality issues in Kazakhstan and other countries of Central Asia.</w:t>
      </w:r>
    </w:p>
    <w:p w:rsidR="00570FE3" w:rsidRDefault="00570FE3">
      <w:pPr>
        <w:jc w:val="both"/>
        <w:rPr>
          <w:rFonts w:ascii="Times New Roman" w:eastAsia="Times New Roman" w:hAnsi="Times New Roman" w:cs="Times New Roman"/>
          <w:sz w:val="24"/>
          <w:szCs w:val="24"/>
        </w:rPr>
      </w:pPr>
    </w:p>
    <w:p w:rsidR="00570FE3" w:rsidRDefault="00B46D3D">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The Regional CSO Network to End GBV and Harmful Practices “R</w:t>
      </w:r>
      <w:r>
        <w:rPr>
          <w:rFonts w:ascii="Times New Roman" w:eastAsia="Times New Roman" w:hAnsi="Times New Roman" w:cs="Times New Roman"/>
          <w:b/>
          <w:sz w:val="24"/>
          <w:szCs w:val="24"/>
        </w:rPr>
        <w:t>ay of Light".</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In December 2022, the Regional CSO Network to End GBV and Harmful Practices “Ray of Light” was established. The Central Asian network brings together more than 600 CSOs and activists from Central Asia and aims to create a coordinated and str</w:t>
      </w:r>
      <w:r>
        <w:rPr>
          <w:rFonts w:ascii="Times New Roman" w:eastAsia="Times New Roman" w:hAnsi="Times New Roman" w:cs="Times New Roman"/>
          <w:sz w:val="24"/>
          <w:szCs w:val="24"/>
        </w:rPr>
        <w:t>ong women's movement to achieve long-term and transformational change in ending violence against women and girls. The Regional CSOs Network is part of the Central Asian Alliance to End GBV, an open regional platform based on the interaction of Central Asia</w:t>
      </w:r>
      <w:r>
        <w:rPr>
          <w:rFonts w:ascii="Times New Roman" w:eastAsia="Times New Roman" w:hAnsi="Times New Roman" w:cs="Times New Roman"/>
          <w:sz w:val="24"/>
          <w:szCs w:val="24"/>
        </w:rPr>
        <w:t>n countries, providing a space for cooperation between governments, civil society, and other stakeholders in the prevention and eradication of GBV in the region.</w:t>
      </w:r>
    </w:p>
    <w:p w:rsidR="00570FE3" w:rsidRDefault="00B46D3D">
      <w:pPr>
        <w:pStyle w:val="Heading1"/>
      </w:pPr>
      <w:bookmarkStart w:id="2" w:name="_6mkhlqolup0s" w:colFirst="0" w:colLast="0"/>
      <w:bookmarkEnd w:id="2"/>
      <w:r>
        <w:t>The Committee’s Previous Recommendations in Relation to Kazakhstan</w:t>
      </w:r>
    </w:p>
    <w:p w:rsidR="00570FE3" w:rsidRDefault="00B46D3D">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its Concluding observati</w:t>
      </w:r>
      <w:r>
        <w:rPr>
          <w:rFonts w:ascii="Times New Roman" w:eastAsia="Times New Roman" w:hAnsi="Times New Roman" w:cs="Times New Roman"/>
          <w:sz w:val="24"/>
          <w:szCs w:val="24"/>
        </w:rPr>
        <w:t>ons of November 2019 on the fifth periodic report of Kazakhstan, the Committee noted with concern “the lack of revision of the definition of rape (art. 120 of the Criminal Code), which continues to be based on penetrative vaginal intercourse and requires t</w:t>
      </w:r>
      <w:r>
        <w:rPr>
          <w:rFonts w:ascii="Times New Roman" w:eastAsia="Times New Roman" w:hAnsi="Times New Roman" w:cs="Times New Roman"/>
          <w:sz w:val="24"/>
          <w:szCs w:val="24"/>
        </w:rPr>
        <w:t>he element of violence or threat of violence rather than the lack of consent”</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and the lack of a victim-centred response to all forms of gender-based violence.</w:t>
      </w:r>
      <w:r>
        <w:rPr>
          <w:rFonts w:ascii="Times New Roman" w:eastAsia="Times New Roman" w:hAnsi="Times New Roman" w:cs="Times New Roman"/>
          <w:sz w:val="24"/>
          <w:szCs w:val="24"/>
          <w:vertAlign w:val="superscript"/>
        </w:rPr>
        <w:footnoteReference w:id="8"/>
      </w:r>
    </w:p>
    <w:p w:rsidR="00570FE3" w:rsidRDefault="00570FE3">
      <w:pPr>
        <w:ind w:left="720"/>
        <w:jc w:val="both"/>
        <w:rPr>
          <w:rFonts w:ascii="Times New Roman" w:eastAsia="Times New Roman" w:hAnsi="Times New Roman" w:cs="Times New Roman"/>
          <w:sz w:val="24"/>
          <w:szCs w:val="24"/>
          <w:vertAlign w:val="superscript"/>
        </w:rPr>
      </w:pPr>
    </w:p>
    <w:p w:rsidR="00570FE3" w:rsidRDefault="00B46D3D">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Committee provided a detailed list of recommendations, including: revising the Criminal Co</w:t>
      </w:r>
      <w:r>
        <w:rPr>
          <w:rFonts w:ascii="Times New Roman" w:eastAsia="Times New Roman" w:hAnsi="Times New Roman" w:cs="Times New Roman"/>
          <w:sz w:val="24"/>
          <w:szCs w:val="24"/>
        </w:rPr>
        <w:t>de to base the definition of rape on the absence of consent and to align it with the Convention and the Committee’s jurisprudence under the Optional Protocol; ensuring that all cases of gender-based violence against women are effectively investigated, that</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perpetrators are prosecuted ex officio, and that appropriate sanctions are imposed; and accelerating the ratification of the Council of Europe Convention on Preventing and Combating Violence against Women and Domestic Violence, among other measures.</w:t>
      </w:r>
      <w:r>
        <w:rPr>
          <w:rFonts w:ascii="Times New Roman" w:eastAsia="Times New Roman" w:hAnsi="Times New Roman" w:cs="Times New Roman"/>
          <w:sz w:val="24"/>
          <w:szCs w:val="24"/>
          <w:vertAlign w:val="superscript"/>
        </w:rPr>
        <w:footnoteReference w:id="9"/>
      </w:r>
    </w:p>
    <w:p w:rsidR="00570FE3" w:rsidRDefault="00570FE3">
      <w:pPr>
        <w:jc w:val="both"/>
        <w:rPr>
          <w:rFonts w:ascii="Times New Roman" w:eastAsia="Times New Roman" w:hAnsi="Times New Roman" w:cs="Times New Roman"/>
          <w:sz w:val="24"/>
          <w:szCs w:val="24"/>
          <w:vertAlign w:val="superscript"/>
        </w:rPr>
      </w:pPr>
    </w:p>
    <w:p w:rsidR="00570FE3" w:rsidRDefault="00B46D3D">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w:t>
      </w:r>
      <w:r>
        <w:rPr>
          <w:rFonts w:ascii="Times New Roman" w:eastAsia="Times New Roman" w:hAnsi="Times New Roman" w:cs="Times New Roman"/>
          <w:sz w:val="24"/>
          <w:szCs w:val="24"/>
        </w:rPr>
        <w:t>le the State has taken certain measures to address violence against women and included some information on its response to domestic violence in its sixth periodic report,</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its response to sexual violence against women and girls remains very limited—both in</w:t>
      </w:r>
      <w:r>
        <w:rPr>
          <w:rFonts w:ascii="Times New Roman" w:eastAsia="Times New Roman" w:hAnsi="Times New Roman" w:cs="Times New Roman"/>
          <w:sz w:val="24"/>
          <w:szCs w:val="24"/>
        </w:rPr>
        <w:t xml:space="preserve"> light of the scale of the problem and the Committee’s previous recommendations, which remain largely unimplemented. Kazakhstan must take further steps to </w:t>
      </w:r>
      <w:proofErr w:type="spellStart"/>
      <w:r>
        <w:rPr>
          <w:rFonts w:ascii="Times New Roman" w:eastAsia="Times New Roman" w:hAnsi="Times New Roman" w:cs="Times New Roman"/>
          <w:sz w:val="24"/>
          <w:szCs w:val="24"/>
        </w:rPr>
        <w:t>fulfill</w:t>
      </w:r>
      <w:proofErr w:type="spellEnd"/>
      <w:r>
        <w:rPr>
          <w:rFonts w:ascii="Times New Roman" w:eastAsia="Times New Roman" w:hAnsi="Times New Roman" w:cs="Times New Roman"/>
          <w:sz w:val="24"/>
          <w:szCs w:val="24"/>
        </w:rPr>
        <w:t xml:space="preserve"> its obligations under the Convention.</w:t>
      </w:r>
    </w:p>
    <w:p w:rsidR="00570FE3" w:rsidRDefault="00B46D3D">
      <w:pPr>
        <w:pStyle w:val="Heading1"/>
        <w:jc w:val="both"/>
      </w:pPr>
      <w:bookmarkStart w:id="3" w:name="_grnu8crqhy3d" w:colFirst="0" w:colLast="0"/>
      <w:bookmarkEnd w:id="3"/>
      <w:r>
        <w:t xml:space="preserve">Need </w:t>
      </w:r>
      <w:proofErr w:type="gramStart"/>
      <w:r>
        <w:t>To</w:t>
      </w:r>
      <w:proofErr w:type="gramEnd"/>
      <w:r>
        <w:t xml:space="preserve"> Improve Laws For Accountability On Sexual Viole</w:t>
      </w:r>
      <w:r>
        <w:t>nce Against Women</w:t>
      </w:r>
    </w:p>
    <w:tbl>
      <w:tblPr>
        <w:tblStyle w:val="a"/>
        <w:tblW w:w="93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9330"/>
      </w:tblGrid>
      <w:tr w:rsidR="00570FE3">
        <w:trPr>
          <w:trHeight w:val="1980"/>
        </w:trPr>
        <w:tc>
          <w:tcPr>
            <w:tcW w:w="9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70FE3" w:rsidRDefault="00B46D3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Summary of the section: </w:t>
            </w:r>
          </w:p>
          <w:p w:rsidR="00570FE3" w:rsidRDefault="00B46D3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570FE3" w:rsidRDefault="00B46D3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legislation in Kazakhstan lacks a consent-based definition of rape contrary to CEDAW standards. Marital rape is neither explicitly criminalized nor treated as an aggravating factor, leading to a lack of repo</w:t>
            </w:r>
            <w:r>
              <w:rPr>
                <w:rFonts w:ascii="Times New Roman" w:eastAsia="Times New Roman" w:hAnsi="Times New Roman" w:cs="Times New Roman"/>
                <w:sz w:val="24"/>
                <w:szCs w:val="24"/>
              </w:rPr>
              <w:t>rting and accountability. Moreover, the law does not treat all forms of rape as rape, reinforcing the myth that rape necessarily involves physical force.</w:t>
            </w:r>
          </w:p>
        </w:tc>
      </w:tr>
    </w:tbl>
    <w:p w:rsidR="00570FE3" w:rsidRDefault="00570FE3"/>
    <w:p w:rsidR="00570FE3" w:rsidRDefault="00B46D3D">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Kazakhstan, significant gaps remain in aligning national laws and procedures on sexual violence with international human rights standards. Although cases of sexual violence are recorded, the crime remains severely underreported, and official statistics </w:t>
      </w:r>
      <w:r>
        <w:rPr>
          <w:rFonts w:ascii="Times New Roman" w:eastAsia="Times New Roman" w:hAnsi="Times New Roman" w:cs="Times New Roman"/>
          <w:sz w:val="24"/>
          <w:szCs w:val="24"/>
        </w:rPr>
        <w:t>fail to reflect its true prevalence. Survivors encounter a number of barriers to reporting, including legislative obstacles, limited access to fair justice, as well as fear of disbelief, humiliation from law enforcement officials, and blame from their rela</w:t>
      </w:r>
      <w:r>
        <w:rPr>
          <w:rFonts w:ascii="Times New Roman" w:eastAsia="Times New Roman" w:hAnsi="Times New Roman" w:cs="Times New Roman"/>
          <w:sz w:val="24"/>
          <w:szCs w:val="24"/>
        </w:rPr>
        <w:t>tives.</w:t>
      </w:r>
    </w:p>
    <w:p w:rsidR="00570FE3" w:rsidRDefault="00570FE3">
      <w:pPr>
        <w:jc w:val="both"/>
        <w:rPr>
          <w:rFonts w:ascii="Times New Roman" w:eastAsia="Times New Roman" w:hAnsi="Times New Roman" w:cs="Times New Roman"/>
          <w:sz w:val="24"/>
          <w:szCs w:val="24"/>
        </w:rPr>
      </w:pPr>
    </w:p>
    <w:p w:rsidR="00570FE3" w:rsidRDefault="00B46D3D">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January 2023, Equality Now published a report examining legal provisions relating to sexual violence in Kazakhstan.</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xml:space="preserve"> The report identified shortfalls in the definition and enforcement of sexual violence crimes, exposing systemic challenges withi</w:t>
      </w:r>
      <w:r>
        <w:rPr>
          <w:rFonts w:ascii="Times New Roman" w:eastAsia="Times New Roman" w:hAnsi="Times New Roman" w:cs="Times New Roman"/>
          <w:sz w:val="24"/>
          <w:szCs w:val="24"/>
        </w:rPr>
        <w:t>n the criminal justice systems that Kazakhstan has yet to address. Key findings can be summarised as follows:</w:t>
      </w:r>
    </w:p>
    <w:p w:rsidR="00570FE3" w:rsidRDefault="00570FE3">
      <w:pPr>
        <w:jc w:val="both"/>
        <w:rPr>
          <w:rFonts w:ascii="Times New Roman" w:eastAsia="Times New Roman" w:hAnsi="Times New Roman" w:cs="Times New Roman"/>
          <w:sz w:val="24"/>
          <w:szCs w:val="24"/>
        </w:rPr>
      </w:pPr>
    </w:p>
    <w:p w:rsidR="00570FE3" w:rsidRDefault="00B46D3D">
      <w:pPr>
        <w:numPr>
          <w:ilvl w:val="1"/>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definition of rape, as provided in the Criminal Code of Kazakhstan (Article 120), is not based on voluntary, genuine, and willing consent and</w:t>
      </w:r>
      <w:r>
        <w:rPr>
          <w:rFonts w:ascii="Times New Roman" w:eastAsia="Times New Roman" w:hAnsi="Times New Roman" w:cs="Times New Roman"/>
          <w:sz w:val="24"/>
          <w:szCs w:val="24"/>
        </w:rPr>
        <w:t xml:space="preserve"> does not recognize a broad range of coercive circumstances. Instead, the definitions of rape in the Criminal Codes Kazakhstan focus on violence, threat of violence, or abusing the helpless condition of the victim.</w:t>
      </w:r>
    </w:p>
    <w:p w:rsidR="00570FE3" w:rsidRDefault="00570FE3">
      <w:pPr>
        <w:jc w:val="both"/>
        <w:rPr>
          <w:rFonts w:ascii="Times New Roman" w:eastAsia="Times New Roman" w:hAnsi="Times New Roman" w:cs="Times New Roman"/>
          <w:sz w:val="24"/>
          <w:szCs w:val="24"/>
        </w:rPr>
      </w:pPr>
    </w:p>
    <w:p w:rsidR="00570FE3" w:rsidRDefault="00B46D3D">
      <w:pPr>
        <w:numPr>
          <w:ilvl w:val="1"/>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Coercion to sexual intercourse (Article </w:t>
      </w:r>
      <w:r>
        <w:rPr>
          <w:rFonts w:ascii="Times New Roman" w:eastAsia="Times New Roman" w:hAnsi="Times New Roman" w:cs="Times New Roman"/>
          <w:sz w:val="24"/>
          <w:szCs w:val="24"/>
        </w:rPr>
        <w:t>123 of the Criminal Code</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xml:space="preserve">), which is equivalent in nature to rape and is classified as such under international standards, is categorized as a less serious crime (not amounting to rape) in Kazakhstan. This results in disproportionately lighter penalties – </w:t>
      </w:r>
      <w:r>
        <w:rPr>
          <w:rFonts w:ascii="Times New Roman" w:eastAsia="Times New Roman" w:hAnsi="Times New Roman" w:cs="Times New Roman"/>
          <w:sz w:val="24"/>
          <w:szCs w:val="24"/>
        </w:rPr>
        <w:t>while non-aggravated rape (Article 120(1)) is punishable by 5 to 8 years of imprisonment, non-aggravated coercion (Article 123(1)) may only result in a fine, restriction of liberty for up to three years, or imprisonment for the same term.</w:t>
      </w:r>
    </w:p>
    <w:p w:rsidR="00570FE3" w:rsidRDefault="00B46D3D">
      <w:pPr>
        <w:numPr>
          <w:ilvl w:val="0"/>
          <w:numId w:val="1"/>
        </w:numPr>
        <w:spacing w:before="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Marital and intim</w:t>
      </w:r>
      <w:r>
        <w:rPr>
          <w:rFonts w:ascii="Times New Roman" w:eastAsia="Times New Roman" w:hAnsi="Times New Roman" w:cs="Times New Roman"/>
          <w:sz w:val="24"/>
          <w:szCs w:val="24"/>
        </w:rPr>
        <w:t>ate partner rape, which should be aggravated forms of rape, is neither specifically criminalised (though the law punishes rape irrespective of the identity of the perpetrator and victim), nor treated as an aggravating factor.</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Due to pervasive harmful gend</w:t>
      </w:r>
      <w:r>
        <w:rPr>
          <w:rFonts w:ascii="Times New Roman" w:eastAsia="Times New Roman" w:hAnsi="Times New Roman" w:cs="Times New Roman"/>
          <w:sz w:val="24"/>
          <w:szCs w:val="24"/>
        </w:rPr>
        <w:t xml:space="preserve">er stereotypes, society and law enforcement often fail to take marital rape seriously, resulting in many acts of sexual violence within intimate partners remaining unpunished. </w:t>
      </w:r>
    </w:p>
    <w:p w:rsidR="00570FE3" w:rsidRDefault="00B46D3D">
      <w:pPr>
        <w:pStyle w:val="Heading1"/>
        <w:jc w:val="both"/>
      </w:pPr>
      <w:bookmarkStart w:id="4" w:name="_fl6rqpnq4ypu" w:colFirst="0" w:colLast="0"/>
      <w:bookmarkEnd w:id="4"/>
      <w:r>
        <w:t xml:space="preserve">Need </w:t>
      </w:r>
      <w:proofErr w:type="gramStart"/>
      <w:r>
        <w:t>To</w:t>
      </w:r>
      <w:proofErr w:type="gramEnd"/>
      <w:r>
        <w:t xml:space="preserve"> Improve Laws For Accountability On Sexual Violence Against Girls</w:t>
      </w:r>
    </w:p>
    <w:tbl>
      <w:tblPr>
        <w:tblStyle w:val="a0"/>
        <w:tblW w:w="93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9330"/>
      </w:tblGrid>
      <w:tr w:rsidR="00570FE3">
        <w:trPr>
          <w:trHeight w:val="1440"/>
        </w:trPr>
        <w:tc>
          <w:tcPr>
            <w:tcW w:w="9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70FE3" w:rsidRDefault="00B46D3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Summary of the section: </w:t>
            </w:r>
          </w:p>
          <w:p w:rsidR="00570FE3" w:rsidRDefault="00B46D3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570FE3" w:rsidRDefault="00B46D3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Recognising the impact on girls and the additional barriers they face compared to adult women, significant gaps persist in relation to laws concerning sexual violence against children. This is particularly true in relation to how</w:t>
            </w:r>
            <w:r>
              <w:rPr>
                <w:rFonts w:ascii="Times New Roman" w:eastAsia="Times New Roman" w:hAnsi="Times New Roman" w:cs="Times New Roman"/>
                <w:sz w:val="24"/>
                <w:szCs w:val="24"/>
              </w:rPr>
              <w:t xml:space="preserve"> provisions on statutory rape are defined and enforced.</w:t>
            </w:r>
          </w:p>
        </w:tc>
      </w:tr>
    </w:tbl>
    <w:p w:rsidR="00570FE3" w:rsidRDefault="00570FE3"/>
    <w:p w:rsidR="00570FE3" w:rsidRDefault="00B46D3D">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The definition and enforcement of crimes of sexual violence against girls remain problematic. The </w:t>
      </w:r>
      <w:proofErr w:type="spellStart"/>
      <w:r>
        <w:rPr>
          <w:rFonts w:ascii="Times New Roman" w:eastAsia="Times New Roman" w:hAnsi="Times New Roman" w:cs="Times New Roman"/>
          <w:sz w:val="24"/>
          <w:szCs w:val="24"/>
          <w:highlight w:val="white"/>
        </w:rPr>
        <w:t>Сriminal</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Сode</w:t>
      </w:r>
      <w:proofErr w:type="spellEnd"/>
      <w:r>
        <w:rPr>
          <w:rFonts w:ascii="Times New Roman" w:eastAsia="Times New Roman" w:hAnsi="Times New Roman" w:cs="Times New Roman"/>
          <w:sz w:val="24"/>
          <w:szCs w:val="24"/>
          <w:highlight w:val="white"/>
        </w:rPr>
        <w:t xml:space="preserve"> of Kazakhstan differentiates between sexual intercourse with a person under 16 years (statutory rape, Article 122) and rape of/assault of a sexu</w:t>
      </w:r>
      <w:r>
        <w:rPr>
          <w:rFonts w:ascii="Times New Roman" w:eastAsia="Times New Roman" w:hAnsi="Times New Roman" w:cs="Times New Roman"/>
          <w:sz w:val="24"/>
          <w:szCs w:val="24"/>
          <w:highlight w:val="white"/>
        </w:rPr>
        <w:t xml:space="preserve">al nature against a person under 18 years (committed by violence, the threat of violence or </w:t>
      </w:r>
      <w:r>
        <w:rPr>
          <w:rFonts w:ascii="Times New Roman" w:eastAsia="Times New Roman" w:hAnsi="Times New Roman" w:cs="Times New Roman"/>
          <w:sz w:val="24"/>
          <w:szCs w:val="24"/>
          <w:highlight w:val="white"/>
        </w:rPr>
        <w:lastRenderedPageBreak/>
        <w:t>abusing the victim’s helplessness, Articles 120 and 121, where the age of a victim is an aggravating factor).</w:t>
      </w:r>
    </w:p>
    <w:p w:rsidR="00570FE3" w:rsidRDefault="00570FE3">
      <w:pPr>
        <w:jc w:val="both"/>
        <w:rPr>
          <w:rFonts w:ascii="Times New Roman" w:eastAsia="Times New Roman" w:hAnsi="Times New Roman" w:cs="Times New Roman"/>
          <w:sz w:val="24"/>
          <w:szCs w:val="24"/>
          <w:highlight w:val="white"/>
        </w:rPr>
      </w:pPr>
    </w:p>
    <w:p w:rsidR="00570FE3" w:rsidRDefault="00B46D3D">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A</w:t>
      </w:r>
      <w:r>
        <w:rPr>
          <w:rFonts w:ascii="Times New Roman" w:eastAsia="Times New Roman" w:hAnsi="Times New Roman" w:cs="Times New Roman"/>
          <w:sz w:val="24"/>
          <w:szCs w:val="24"/>
        </w:rPr>
        <w:t>rticle 122 of the Criminal Code addresses sexual act</w:t>
      </w:r>
      <w:r>
        <w:rPr>
          <w:rFonts w:ascii="Times New Roman" w:eastAsia="Times New Roman" w:hAnsi="Times New Roman" w:cs="Times New Roman"/>
          <w:sz w:val="24"/>
          <w:szCs w:val="24"/>
        </w:rPr>
        <w:t>s with a person under sixteen years of age committed by an adult. The way the article is interpreted and enacted implies that the minor somehow consented to or initiated the sexual intercourse, which disregards the power dynamics and vulnerabilities inhere</w:t>
      </w:r>
      <w:r>
        <w:rPr>
          <w:rFonts w:ascii="Times New Roman" w:eastAsia="Times New Roman" w:hAnsi="Times New Roman" w:cs="Times New Roman"/>
          <w:sz w:val="24"/>
          <w:szCs w:val="24"/>
        </w:rPr>
        <w:t>nt in such situations. Furthermore, instances where rape or assault of a sexual nature occur without evidence of additional serious physical harm are of</w:t>
      </w:r>
      <w:r w:rsidR="008218FF">
        <w:rPr>
          <w:rFonts w:ascii="Times New Roman" w:eastAsia="Times New Roman" w:hAnsi="Times New Roman" w:cs="Times New Roman"/>
          <w:sz w:val="24"/>
          <w:szCs w:val="24"/>
        </w:rPr>
        <w:t>t</w:t>
      </w:r>
      <w:r>
        <w:rPr>
          <w:rFonts w:ascii="Times New Roman" w:eastAsia="Times New Roman" w:hAnsi="Times New Roman" w:cs="Times New Roman"/>
          <w:sz w:val="24"/>
          <w:szCs w:val="24"/>
        </w:rPr>
        <w:t>en inappropriately charged under Article 122, which carries significantly lesser penalty compared to cr</w:t>
      </w:r>
      <w:r>
        <w:rPr>
          <w:rFonts w:ascii="Times New Roman" w:eastAsia="Times New Roman" w:hAnsi="Times New Roman" w:cs="Times New Roman"/>
          <w:sz w:val="24"/>
          <w:szCs w:val="24"/>
        </w:rPr>
        <w:t xml:space="preserve">imes that are classified under the article of rape against a minor. </w:t>
      </w:r>
    </w:p>
    <w:p w:rsidR="00570FE3" w:rsidRDefault="00570FE3">
      <w:pPr>
        <w:jc w:val="both"/>
        <w:rPr>
          <w:rFonts w:ascii="Times New Roman" w:eastAsia="Times New Roman" w:hAnsi="Times New Roman" w:cs="Times New Roman"/>
          <w:sz w:val="24"/>
          <w:szCs w:val="24"/>
        </w:rPr>
      </w:pPr>
    </w:p>
    <w:p w:rsidR="00570FE3" w:rsidRDefault="00B46D3D">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Additionally, undue emphasis is placed on what the perpetrator claims he believed was the victim’s age without further comprehensive inquiry. Article 122 of the Criminal Code is formulat</w:t>
      </w:r>
      <w:r>
        <w:rPr>
          <w:rFonts w:ascii="Times New Roman" w:eastAsia="Times New Roman" w:hAnsi="Times New Roman" w:cs="Times New Roman"/>
          <w:sz w:val="24"/>
          <w:szCs w:val="24"/>
        </w:rPr>
        <w:t xml:space="preserve">ed as: “Sexual intercourse, sodomy, lesbianism, or other acts of a sexual nature with a person who </w:t>
      </w:r>
      <w:r>
        <w:rPr>
          <w:rFonts w:ascii="Times New Roman" w:eastAsia="Times New Roman" w:hAnsi="Times New Roman" w:cs="Times New Roman"/>
          <w:sz w:val="24"/>
          <w:szCs w:val="24"/>
          <w:u w:val="single"/>
        </w:rPr>
        <w:t>is knowingly under the age of sixteen</w:t>
      </w:r>
      <w:r>
        <w:rPr>
          <w:rFonts w:ascii="Times New Roman" w:eastAsia="Times New Roman" w:hAnsi="Times New Roman" w:cs="Times New Roman"/>
          <w:sz w:val="24"/>
          <w:szCs w:val="24"/>
        </w:rPr>
        <w:t>” (emphasis added).</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In practice, claims by the perpetrator that the girl looked older than 16 are frequently backed up </w:t>
      </w:r>
      <w:r>
        <w:rPr>
          <w:rFonts w:ascii="Times New Roman" w:eastAsia="Times New Roman" w:hAnsi="Times New Roman" w:cs="Times New Roman"/>
          <w:sz w:val="24"/>
          <w:szCs w:val="24"/>
        </w:rPr>
        <w:t>by the authorities. This creates a pathway to impunity, allowing perpetrators to argue ignorance of the victim’s age and enabling law enforcement to apply more lenient legal classifications—or even close such cases altogether.</w:t>
      </w:r>
    </w:p>
    <w:p w:rsidR="00570FE3" w:rsidRDefault="00B46D3D">
      <w:pPr>
        <w:pStyle w:val="Heading1"/>
      </w:pPr>
      <w:bookmarkStart w:id="5" w:name="_wygu2jranap4" w:colFirst="0" w:colLast="0"/>
      <w:bookmarkEnd w:id="5"/>
      <w:r>
        <w:t>Procedures Denying Justice fo</w:t>
      </w:r>
      <w:r>
        <w:t>r Sexual Violence</w:t>
      </w:r>
    </w:p>
    <w:tbl>
      <w:tblPr>
        <w:tblStyle w:val="a1"/>
        <w:tblW w:w="93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9330"/>
      </w:tblGrid>
      <w:tr w:rsidR="00570FE3">
        <w:trPr>
          <w:trHeight w:val="2025"/>
        </w:trPr>
        <w:tc>
          <w:tcPr>
            <w:tcW w:w="9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70FE3" w:rsidRDefault="00B46D3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Summary of the section: </w:t>
            </w:r>
          </w:p>
          <w:p w:rsidR="00570FE3" w:rsidRDefault="00B46D3D">
            <w:pPr>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Kazakhstan lacks a gender-sensitive and survivor-centred approach to investigating sexual violence, with significant barriers embedded in both law and practice. The justice system imposes burdensome evidentiary re</w:t>
            </w:r>
            <w:r>
              <w:rPr>
                <w:rFonts w:ascii="Times New Roman" w:eastAsia="Times New Roman" w:hAnsi="Times New Roman" w:cs="Times New Roman"/>
                <w:sz w:val="24"/>
                <w:szCs w:val="24"/>
              </w:rPr>
              <w:t>quirements, relying heavily on physical injuries and biological evidence, which are often absent in rape cases. Forensic examination bureaus are frequently not easy to reach, examinations are often conducted by male experts, and risk re-traumatising victim</w:t>
            </w:r>
            <w:r>
              <w:rPr>
                <w:rFonts w:ascii="Times New Roman" w:eastAsia="Times New Roman" w:hAnsi="Times New Roman" w:cs="Times New Roman"/>
                <w:sz w:val="24"/>
                <w:szCs w:val="24"/>
              </w:rPr>
              <w:t>s. Discriminatory procedures such as requiring victims to re</w:t>
            </w:r>
            <w:r w:rsidR="008218FF">
              <w:rPr>
                <w:rFonts w:ascii="Times New Roman" w:eastAsia="Times New Roman" w:hAnsi="Times New Roman" w:cs="Times New Roman"/>
                <w:sz w:val="24"/>
                <w:szCs w:val="24"/>
              </w:rPr>
              <w:t>-</w:t>
            </w:r>
            <w:r>
              <w:rPr>
                <w:rFonts w:ascii="Times New Roman" w:eastAsia="Times New Roman" w:hAnsi="Times New Roman" w:cs="Times New Roman"/>
                <w:sz w:val="24"/>
                <w:szCs w:val="24"/>
              </w:rPr>
              <w:t>enact the assault or confront the perpetrator, as well as invasive and often irrelevant practices such as hymen examinations, further undermine survivors’ dignity and access to justice. In additio</w:t>
            </w:r>
            <w:r>
              <w:rPr>
                <w:rFonts w:ascii="Times New Roman" w:eastAsia="Times New Roman" w:hAnsi="Times New Roman" w:cs="Times New Roman"/>
                <w:sz w:val="24"/>
                <w:szCs w:val="24"/>
              </w:rPr>
              <w:t>n, certain forms of sexual violence—such as non-aggravated rape and sexual assault—are not subject to ex officio investigation or prosecution and can be terminated upon reconciliation with the perpetrator. These systemic shortcomings, combined with entrenc</w:t>
            </w:r>
            <w:r>
              <w:rPr>
                <w:rFonts w:ascii="Times New Roman" w:eastAsia="Times New Roman" w:hAnsi="Times New Roman" w:cs="Times New Roman"/>
                <w:sz w:val="24"/>
                <w:szCs w:val="24"/>
              </w:rPr>
              <w:t xml:space="preserve">hed gender stereotypes and a </w:t>
            </w:r>
            <w:r>
              <w:rPr>
                <w:rFonts w:ascii="Times New Roman" w:eastAsia="Times New Roman" w:hAnsi="Times New Roman" w:cs="Times New Roman"/>
                <w:sz w:val="24"/>
                <w:szCs w:val="24"/>
              </w:rPr>
              <w:lastRenderedPageBreak/>
              <w:t>lack of training among officials, contribute to widespread re-victimisation and impunity for perpetrators.</w:t>
            </w:r>
          </w:p>
        </w:tc>
      </w:tr>
    </w:tbl>
    <w:p w:rsidR="00570FE3" w:rsidRDefault="00570FE3"/>
    <w:p w:rsidR="00570FE3" w:rsidRDefault="00B46D3D">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Kazakhstan’s justice system maintains burdensome evidentiary standards for sexual violence crimes.</w:t>
      </w:r>
      <w:r>
        <w:rPr>
          <w:rFonts w:ascii="Times New Roman" w:eastAsia="Times New Roman" w:hAnsi="Times New Roman" w:cs="Times New Roman"/>
          <w:sz w:val="24"/>
          <w:szCs w:val="24"/>
        </w:rPr>
        <w:t xml:space="preserve"> Law enforcement often relies on physical injuries and biological evidence to bring charges, which cannot be found in an overwhelming majority of rape cases and can disadvantage victims without visible signs of abuse, such as those who did not resist due t</w:t>
      </w:r>
      <w:r>
        <w:rPr>
          <w:rFonts w:ascii="Times New Roman" w:eastAsia="Times New Roman" w:hAnsi="Times New Roman" w:cs="Times New Roman"/>
          <w:sz w:val="24"/>
          <w:szCs w:val="24"/>
        </w:rPr>
        <w:t xml:space="preserve">o fear. </w:t>
      </w:r>
    </w:p>
    <w:p w:rsidR="00570FE3" w:rsidRDefault="00570FE3">
      <w:pPr>
        <w:jc w:val="both"/>
        <w:rPr>
          <w:rFonts w:ascii="Times New Roman" w:eastAsia="Times New Roman" w:hAnsi="Times New Roman" w:cs="Times New Roman"/>
          <w:sz w:val="24"/>
          <w:szCs w:val="24"/>
        </w:rPr>
      </w:pPr>
    </w:p>
    <w:p w:rsidR="00570FE3" w:rsidRDefault="00B46D3D">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Forensic experts are predominantly male, exacerbating the discomfort and potential re-traumatisation experienced by female victims (who form the vast majority of victims) during forensic examinations.</w:t>
      </w:r>
      <w:r>
        <w:rPr>
          <w:rFonts w:ascii="Times New Roman" w:eastAsia="Times New Roman" w:hAnsi="Times New Roman" w:cs="Times New Roman"/>
          <w:sz w:val="24"/>
          <w:szCs w:val="24"/>
        </w:rPr>
        <w:t xml:space="preserve"> The lack of gender-sensitive protocols furthe</w:t>
      </w:r>
      <w:r>
        <w:rPr>
          <w:rFonts w:ascii="Times New Roman" w:eastAsia="Times New Roman" w:hAnsi="Times New Roman" w:cs="Times New Roman"/>
          <w:sz w:val="24"/>
          <w:szCs w:val="24"/>
        </w:rPr>
        <w:t>r undermines the process, with few safeguards in place to ensure respectful and trauma-informed treatment. Moreover, the forensic examination bureaus are often located far from where victims live or receive support, making them difficult to access. Often i</w:t>
      </w:r>
      <w:r>
        <w:rPr>
          <w:rFonts w:ascii="Times New Roman" w:eastAsia="Times New Roman" w:hAnsi="Times New Roman" w:cs="Times New Roman"/>
          <w:sz w:val="24"/>
          <w:szCs w:val="24"/>
        </w:rPr>
        <w:t xml:space="preserve">f a victim receives a referral for forensic examination, it is challenging for her to access these establishments, leading to potential loss of crucial evidence and hindering the path to justice. </w:t>
      </w:r>
    </w:p>
    <w:p w:rsidR="00570FE3" w:rsidRDefault="00570FE3">
      <w:pPr>
        <w:jc w:val="both"/>
        <w:rPr>
          <w:rFonts w:ascii="Times New Roman" w:eastAsia="Times New Roman" w:hAnsi="Times New Roman" w:cs="Times New Roman"/>
          <w:sz w:val="24"/>
          <w:szCs w:val="24"/>
        </w:rPr>
      </w:pPr>
    </w:p>
    <w:p w:rsidR="00570FE3" w:rsidRDefault="00B46D3D">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Additionally, despite explicit recommendations from the CE</w:t>
      </w:r>
      <w:r>
        <w:rPr>
          <w:rFonts w:ascii="Times New Roman" w:eastAsia="Times New Roman" w:hAnsi="Times New Roman" w:cs="Times New Roman"/>
          <w:sz w:val="24"/>
          <w:szCs w:val="24"/>
        </w:rPr>
        <w:t>DAW Committee (which requires automatic (ex officio) investigation and prosecution of all cases of violence against women, meaning that the responsibility to investigate and prosecute lies with the authorities even in the absence of a complaint of the vict</w:t>
      </w:r>
      <w:r>
        <w:rPr>
          <w:rFonts w:ascii="Times New Roman" w:eastAsia="Times New Roman" w:hAnsi="Times New Roman" w:cs="Times New Roman"/>
          <w:sz w:val="24"/>
          <w:szCs w:val="24"/>
        </w:rPr>
        <w:t>im, and that criminal proceedings should be prioritized over reconciliation</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u w:val="single"/>
        </w:rPr>
        <w:t>the Criminal Procedure Code of Kazakhstan (Article 32) continues to place the burden of initiating and pursuing criminal proceedings on the victim for several crimes. These crime</w:t>
      </w:r>
      <w:r>
        <w:rPr>
          <w:rFonts w:ascii="Times New Roman" w:eastAsia="Times New Roman" w:hAnsi="Times New Roman" w:cs="Times New Roman"/>
          <w:sz w:val="24"/>
          <w:szCs w:val="24"/>
          <w:u w:val="single"/>
        </w:rPr>
        <w:t>s are also subject to termination upon reconciliation with the suspect,</w:t>
      </w:r>
      <w:r>
        <w:rPr>
          <w:rFonts w:ascii="Times New Roman" w:eastAsia="Times New Roman" w:hAnsi="Times New Roman" w:cs="Times New Roman"/>
          <w:sz w:val="24"/>
          <w:szCs w:val="24"/>
        </w:rPr>
        <w:t xml:space="preserve"> including non-aggravated coercion to sexual intercourse (Article 123(1) of the Criminal Code), non-aggravated rape (Article 120(1)), and non-aggravated sexual assault (Article 121(1)).</w:t>
      </w:r>
      <w:r>
        <w:rPr>
          <w:rFonts w:ascii="Times New Roman" w:eastAsia="Times New Roman" w:hAnsi="Times New Roman" w:cs="Times New Roman"/>
          <w:sz w:val="24"/>
          <w:szCs w:val="24"/>
        </w:rPr>
        <w:t xml:space="preserve"> This framework creates space for local law enforcement to discourage women from filing claims and to postpone the initiation of the investigation, operating under the assumption that the victim is likely to withdraw her claim. Local groups further report </w:t>
      </w:r>
      <w:r>
        <w:rPr>
          <w:rFonts w:ascii="Times New Roman" w:eastAsia="Times New Roman" w:hAnsi="Times New Roman" w:cs="Times New Roman"/>
          <w:sz w:val="24"/>
          <w:szCs w:val="24"/>
        </w:rPr>
        <w:t>that authorities often fail to protect victims from pressure by relatives or family members to withdraw their complaints.</w:t>
      </w:r>
    </w:p>
    <w:p w:rsidR="00570FE3" w:rsidRDefault="00570FE3">
      <w:pPr>
        <w:jc w:val="both"/>
        <w:rPr>
          <w:rFonts w:ascii="Times New Roman" w:eastAsia="Times New Roman" w:hAnsi="Times New Roman" w:cs="Times New Roman"/>
          <w:sz w:val="24"/>
          <w:szCs w:val="24"/>
        </w:rPr>
      </w:pPr>
    </w:p>
    <w:p w:rsidR="00570FE3" w:rsidRDefault="00B46D3D">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lastRenderedPageBreak/>
        <w:t xml:space="preserve">Furthermore, gender stereotyping and discriminatory investigation procedures applied in practice constitute a significant barrier to </w:t>
      </w:r>
      <w:r>
        <w:rPr>
          <w:rFonts w:ascii="Times New Roman" w:eastAsia="Times New Roman" w:hAnsi="Times New Roman" w:cs="Times New Roman"/>
          <w:sz w:val="24"/>
          <w:szCs w:val="24"/>
          <w:u w:val="single"/>
        </w:rPr>
        <w:t>justice for survivors of sexual violence.</w:t>
      </w:r>
      <w:r>
        <w:rPr>
          <w:rFonts w:ascii="Times New Roman" w:eastAsia="Times New Roman" w:hAnsi="Times New Roman" w:cs="Times New Roman"/>
          <w:sz w:val="24"/>
          <w:szCs w:val="24"/>
        </w:rPr>
        <w:t xml:space="preserve"> These practices include the routine usage of the “investigative experiment” (Article 258 of the Criminal Procedure Code), which requires the victim to “re-enact” the crime (which might also involve going to the cri</w:t>
      </w:r>
      <w:r>
        <w:rPr>
          <w:rFonts w:ascii="Times New Roman" w:eastAsia="Times New Roman" w:hAnsi="Times New Roman" w:cs="Times New Roman"/>
          <w:sz w:val="24"/>
          <w:szCs w:val="24"/>
        </w:rPr>
        <w:t>me scene); face-to-face confrontation (Article 218 of the Criminal Procedure Code) between alleged perpetrator and the victim during the investigation, for the investigator to “determine the truth” by using this procedure; victims often being interviewed i</w:t>
      </w:r>
      <w:r>
        <w:rPr>
          <w:rFonts w:ascii="Times New Roman" w:eastAsia="Times New Roman" w:hAnsi="Times New Roman" w:cs="Times New Roman"/>
          <w:sz w:val="24"/>
          <w:szCs w:val="24"/>
        </w:rPr>
        <w:t>n shared spaces without privacy considerations; without respect for confidentiality carried out by employees who are not specifically trained to conduct this type of investigation and do not have a sensitive approach to victims; victim-blaming by law enfor</w:t>
      </w:r>
      <w:r>
        <w:rPr>
          <w:rFonts w:ascii="Times New Roman" w:eastAsia="Times New Roman" w:hAnsi="Times New Roman" w:cs="Times New Roman"/>
          <w:sz w:val="24"/>
          <w:szCs w:val="24"/>
        </w:rPr>
        <w:t xml:space="preserve">cement; a hymen examination which is rarely probative and diverts attention from establishing injuries and evidence of rape (even in cases where the victim did not report vaginal penetration). </w:t>
      </w:r>
    </w:p>
    <w:p w:rsidR="00570FE3" w:rsidRDefault="00B46D3D">
      <w:pPr>
        <w:pStyle w:val="Heading1"/>
        <w:jc w:val="both"/>
      </w:pPr>
      <w:bookmarkStart w:id="6" w:name="_qc1vqi8o1y3" w:colFirst="0" w:colLast="0"/>
      <w:bookmarkEnd w:id="6"/>
      <w:r>
        <w:t>Specific Barriers for Women and Girls with Disabilities</w:t>
      </w:r>
    </w:p>
    <w:tbl>
      <w:tblPr>
        <w:tblStyle w:val="a2"/>
        <w:tblW w:w="93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9330"/>
      </w:tblGrid>
      <w:tr w:rsidR="00570FE3">
        <w:trPr>
          <w:trHeight w:val="1605"/>
        </w:trPr>
        <w:tc>
          <w:tcPr>
            <w:tcW w:w="9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70FE3" w:rsidRDefault="00B46D3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Summar</w:t>
            </w:r>
            <w:r>
              <w:rPr>
                <w:rFonts w:ascii="Times New Roman" w:eastAsia="Times New Roman" w:hAnsi="Times New Roman" w:cs="Times New Roman"/>
                <w:sz w:val="24"/>
                <w:szCs w:val="24"/>
              </w:rPr>
              <w:t xml:space="preserve">y of the section: </w:t>
            </w:r>
          </w:p>
          <w:p w:rsidR="00570FE3" w:rsidRDefault="00570FE3">
            <w:pPr>
              <w:jc w:val="both"/>
              <w:rPr>
                <w:rFonts w:ascii="Times New Roman" w:eastAsia="Times New Roman" w:hAnsi="Times New Roman" w:cs="Times New Roman"/>
                <w:sz w:val="24"/>
                <w:szCs w:val="24"/>
              </w:rPr>
            </w:pPr>
          </w:p>
          <w:p w:rsidR="00570FE3" w:rsidRDefault="00B46D3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Women and girls with disabilities in Kazakhstan face heightened risks of sexual violence, and their access to justice is severely undermined by discriminatory legal provisions, including competency assessments that can automatically dis</w:t>
            </w:r>
            <w:r>
              <w:rPr>
                <w:rFonts w:ascii="Times New Roman" w:eastAsia="Times New Roman" w:hAnsi="Times New Roman" w:cs="Times New Roman"/>
                <w:sz w:val="24"/>
                <w:szCs w:val="24"/>
              </w:rPr>
              <w:t>qualify their testimony, in violation of international human rights standards. Stigma and ableist stereotypes—such as assumptions about their unreliability—further contribute to systemic impunity. Inaccessible reporting mechanisms, lack of procedural accom</w:t>
            </w:r>
            <w:r>
              <w:rPr>
                <w:rFonts w:ascii="Times New Roman" w:eastAsia="Times New Roman" w:hAnsi="Times New Roman" w:cs="Times New Roman"/>
                <w:sz w:val="24"/>
                <w:szCs w:val="24"/>
              </w:rPr>
              <w:t>modations, absence of trained professionals, and underfunded support services compound the challenges. Many women with disabilities remain unaware of their rights due to inaccessible information, while dependence on caregivers, who may also be abusers, cre</w:t>
            </w:r>
            <w:r>
              <w:rPr>
                <w:rFonts w:ascii="Times New Roman" w:eastAsia="Times New Roman" w:hAnsi="Times New Roman" w:cs="Times New Roman"/>
                <w:sz w:val="24"/>
                <w:szCs w:val="24"/>
              </w:rPr>
              <w:t>ates further barriers to disclosure and support.</w:t>
            </w:r>
          </w:p>
        </w:tc>
      </w:tr>
    </w:tbl>
    <w:p w:rsidR="00570FE3" w:rsidRDefault="00570FE3">
      <w:pPr>
        <w:jc w:val="both"/>
        <w:rPr>
          <w:rFonts w:ascii="Times New Roman" w:eastAsia="Times New Roman" w:hAnsi="Times New Roman" w:cs="Times New Roman"/>
          <w:sz w:val="24"/>
          <w:szCs w:val="24"/>
        </w:rPr>
      </w:pPr>
    </w:p>
    <w:p w:rsidR="00570FE3" w:rsidRDefault="00B46D3D">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Kazakhstan maintains burdensome and discriminatory evidentiary standards in cases of sexual violence, and this is further exacerbated when the victim has a disability. The Code of Criminal Procedure provides (Article 271(1)(5)) that the forensic examinatio</w:t>
      </w:r>
      <w:r>
        <w:rPr>
          <w:rFonts w:ascii="Times New Roman" w:eastAsia="Times New Roman" w:hAnsi="Times New Roman" w:cs="Times New Roman"/>
          <w:sz w:val="24"/>
          <w:szCs w:val="24"/>
        </w:rPr>
        <w:t>n must be carried out if it is necessary to determine the “mental or physical condition of the victim or witness in cases where there are doubts about their ability to correctly perceive the circumstances relevant to the case and testify about them.”</w:t>
      </w:r>
    </w:p>
    <w:p w:rsidR="00570FE3" w:rsidRDefault="00570FE3">
      <w:pPr>
        <w:jc w:val="both"/>
        <w:rPr>
          <w:rFonts w:ascii="Times New Roman" w:eastAsia="Times New Roman" w:hAnsi="Times New Roman" w:cs="Times New Roman"/>
          <w:sz w:val="24"/>
          <w:szCs w:val="24"/>
        </w:rPr>
      </w:pPr>
    </w:p>
    <w:p w:rsidR="00570FE3" w:rsidRDefault="00B46D3D">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p</w:t>
      </w:r>
      <w:r>
        <w:rPr>
          <w:rFonts w:ascii="Times New Roman" w:eastAsia="Times New Roman" w:hAnsi="Times New Roman" w:cs="Times New Roman"/>
          <w:sz w:val="24"/>
          <w:szCs w:val="24"/>
        </w:rPr>
        <w:t xml:space="preserve">ractice, in line with the above problematic article, during the investigation of alleged sexual violence, survivors with disabilities are subjected to psychological or psychiatric evaluations to assess their supposed competency. These evaluations are used </w:t>
      </w:r>
      <w:r>
        <w:rPr>
          <w:rFonts w:ascii="Times New Roman" w:eastAsia="Times New Roman" w:hAnsi="Times New Roman" w:cs="Times New Roman"/>
          <w:sz w:val="24"/>
          <w:szCs w:val="24"/>
        </w:rPr>
        <w:t xml:space="preserve">to determine whether their testimony can be considered reliable. If a survivor is deemed “unreliable,” </w:t>
      </w:r>
      <w:r>
        <w:rPr>
          <w:rFonts w:ascii="Times New Roman" w:eastAsia="Times New Roman" w:hAnsi="Times New Roman" w:cs="Times New Roman"/>
          <w:sz w:val="24"/>
          <w:szCs w:val="24"/>
        </w:rPr>
        <w:lastRenderedPageBreak/>
        <w:t>their testimony is dismissed: “</w:t>
      </w:r>
      <w:r>
        <w:rPr>
          <w:rFonts w:ascii="Times New Roman" w:eastAsia="Times New Roman" w:hAnsi="Times New Roman" w:cs="Times New Roman"/>
          <w:i/>
          <w:sz w:val="24"/>
          <w:szCs w:val="24"/>
        </w:rPr>
        <w:t xml:space="preserve">The testimony of a person who, in accordance with the procedure established by this Code, has been found incapable at the </w:t>
      </w:r>
      <w:r>
        <w:rPr>
          <w:rFonts w:ascii="Times New Roman" w:eastAsia="Times New Roman" w:hAnsi="Times New Roman" w:cs="Times New Roman"/>
          <w:i/>
          <w:sz w:val="24"/>
          <w:szCs w:val="24"/>
        </w:rPr>
        <w:t>time of questioning of correctly perceiving or recounting circumstances relevant to the criminal case shall not be considered evidence</w:t>
      </w:r>
      <w:r>
        <w:rPr>
          <w:rFonts w:ascii="Times New Roman" w:eastAsia="Times New Roman" w:hAnsi="Times New Roman" w:cs="Times New Roman"/>
          <w:sz w:val="24"/>
          <w:szCs w:val="24"/>
        </w:rPr>
        <w:t xml:space="preserve">” (Article 115(7)). </w:t>
      </w:r>
      <w:r>
        <w:rPr>
          <w:rFonts w:ascii="Times New Roman" w:eastAsia="Times New Roman" w:hAnsi="Times New Roman" w:cs="Times New Roman"/>
          <w:color w:val="222222"/>
          <w:sz w:val="24"/>
          <w:szCs w:val="24"/>
          <w:highlight w:val="white"/>
        </w:rPr>
        <w:t xml:space="preserve">As a result, individuals with disabilities, particularly those with mental and psychosocial disabilities, are prevented from giving testimony if their disability is perceived to impact their ability to perceive, remember, or recall information. This leads </w:t>
      </w:r>
      <w:r>
        <w:rPr>
          <w:rFonts w:ascii="Times New Roman" w:eastAsia="Times New Roman" w:hAnsi="Times New Roman" w:cs="Times New Roman"/>
          <w:color w:val="222222"/>
          <w:sz w:val="24"/>
          <w:szCs w:val="24"/>
          <w:highlight w:val="white"/>
        </w:rPr>
        <w:t xml:space="preserve">to blanketly excluding their voices from the justice process and dismissing cases. </w:t>
      </w:r>
    </w:p>
    <w:p w:rsidR="00570FE3" w:rsidRDefault="00570FE3">
      <w:pPr>
        <w:jc w:val="both"/>
        <w:rPr>
          <w:rFonts w:ascii="Times New Roman" w:eastAsia="Times New Roman" w:hAnsi="Times New Roman" w:cs="Times New Roman"/>
          <w:color w:val="222222"/>
          <w:sz w:val="24"/>
          <w:szCs w:val="24"/>
          <w:highlight w:val="white"/>
        </w:rPr>
      </w:pPr>
    </w:p>
    <w:p w:rsidR="00570FE3" w:rsidRDefault="00B46D3D">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To comply with </w:t>
      </w:r>
      <w:r>
        <w:rPr>
          <w:rFonts w:ascii="Times New Roman" w:eastAsia="Times New Roman" w:hAnsi="Times New Roman" w:cs="Times New Roman"/>
          <w:sz w:val="24"/>
          <w:szCs w:val="24"/>
        </w:rPr>
        <w:t>Article 12 of the Convention on the Rights of Persons with Disabilities (CRPD), which guarantees equal recognition before the law, victim and witness testi</w:t>
      </w:r>
      <w:r>
        <w:rPr>
          <w:rFonts w:ascii="Times New Roman" w:eastAsia="Times New Roman" w:hAnsi="Times New Roman" w:cs="Times New Roman"/>
          <w:sz w:val="24"/>
          <w:szCs w:val="24"/>
        </w:rPr>
        <w:t>mony should be assessed</w:t>
      </w:r>
      <w:r>
        <w:rPr>
          <w:rFonts w:ascii="Times New Roman" w:eastAsia="Times New Roman" w:hAnsi="Times New Roman" w:cs="Times New Roman"/>
          <w:color w:val="222222"/>
          <w:sz w:val="24"/>
          <w:szCs w:val="24"/>
          <w:highlight w:val="white"/>
        </w:rPr>
        <w:t xml:space="preserve"> on a case-by-case basis rather than through blanket or discriminatory exclusions.  </w:t>
      </w:r>
      <w:r>
        <w:rPr>
          <w:rFonts w:ascii="Times New Roman" w:eastAsia="Times New Roman" w:hAnsi="Times New Roman" w:cs="Times New Roman"/>
          <w:sz w:val="24"/>
          <w:szCs w:val="24"/>
        </w:rPr>
        <w:t xml:space="preserve">The CRPD Committee has issued similar concerns regarding comparable legislation in other countries, such as Georgia, and recommended repealing these </w:t>
      </w:r>
      <w:r>
        <w:rPr>
          <w:rFonts w:ascii="Times New Roman" w:eastAsia="Times New Roman" w:hAnsi="Times New Roman" w:cs="Times New Roman"/>
          <w:sz w:val="24"/>
          <w:szCs w:val="24"/>
        </w:rPr>
        <w:t>articles.</w:t>
      </w:r>
      <w:r>
        <w:rPr>
          <w:rFonts w:ascii="Times New Roman" w:eastAsia="Times New Roman" w:hAnsi="Times New Roman" w:cs="Times New Roman"/>
          <w:sz w:val="24"/>
          <w:szCs w:val="24"/>
          <w:vertAlign w:val="superscript"/>
        </w:rPr>
        <w:footnoteReference w:id="16"/>
      </w:r>
    </w:p>
    <w:p w:rsidR="00570FE3" w:rsidRDefault="00570FE3">
      <w:pPr>
        <w:jc w:val="both"/>
        <w:rPr>
          <w:rFonts w:ascii="Times New Roman" w:eastAsia="Times New Roman" w:hAnsi="Times New Roman" w:cs="Times New Roman"/>
          <w:sz w:val="24"/>
          <w:szCs w:val="24"/>
        </w:rPr>
      </w:pPr>
    </w:p>
    <w:p w:rsidR="00570FE3" w:rsidRDefault="00B46D3D">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Moreover, as a result of existing stigma and ableism associated with different forms of disabilities and laws failing to provide procedural accommodation, disability often leads to the denial of justice for sexual violence, even where the disab</w:t>
      </w:r>
      <w:r>
        <w:rPr>
          <w:rFonts w:ascii="Times New Roman" w:eastAsia="Times New Roman" w:hAnsi="Times New Roman" w:cs="Times New Roman"/>
          <w:sz w:val="24"/>
          <w:szCs w:val="24"/>
        </w:rPr>
        <w:t>ility does not affect the person’s ability to comprehend the events that happened to them.</w:t>
      </w:r>
    </w:p>
    <w:p w:rsidR="00570FE3" w:rsidRDefault="00570FE3">
      <w:pPr>
        <w:ind w:left="720"/>
        <w:rPr>
          <w:rFonts w:ascii="Times New Roman" w:eastAsia="Times New Roman" w:hAnsi="Times New Roman" w:cs="Times New Roman"/>
          <w:sz w:val="24"/>
          <w:szCs w:val="24"/>
        </w:rPr>
      </w:pPr>
    </w:p>
    <w:p w:rsidR="00570FE3" w:rsidRDefault="00B46D3D">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Kazakhstan also lacks an effective social support system to help identify, monitor, and support women and girls with disabilities at risk of or experiencing gender-</w:t>
      </w:r>
      <w:r>
        <w:rPr>
          <w:rFonts w:ascii="Times New Roman" w:eastAsia="Times New Roman" w:hAnsi="Times New Roman" w:cs="Times New Roman"/>
          <w:sz w:val="24"/>
          <w:szCs w:val="24"/>
        </w:rPr>
        <w:t>based violence, particularly sexual violence.</w:t>
      </w:r>
    </w:p>
    <w:p w:rsidR="00570FE3" w:rsidRDefault="00570FE3">
      <w:pPr>
        <w:ind w:left="720"/>
        <w:rPr>
          <w:rFonts w:ascii="Times New Roman" w:eastAsia="Times New Roman" w:hAnsi="Times New Roman" w:cs="Times New Roman"/>
          <w:sz w:val="24"/>
          <w:szCs w:val="24"/>
        </w:rPr>
      </w:pPr>
    </w:p>
    <w:p w:rsidR="00570FE3" w:rsidRDefault="00B46D3D">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Other barriers include the absence of tailored guidelines for interviewing vulnerable victims and insufficient training for law enforcement on how to gather statements from women with disabilities. </w:t>
      </w:r>
    </w:p>
    <w:p w:rsidR="00570FE3" w:rsidRDefault="00570FE3">
      <w:pPr>
        <w:jc w:val="both"/>
        <w:rPr>
          <w:rFonts w:ascii="Times New Roman" w:eastAsia="Times New Roman" w:hAnsi="Times New Roman" w:cs="Times New Roman"/>
          <w:sz w:val="24"/>
          <w:szCs w:val="24"/>
        </w:rPr>
      </w:pPr>
    </w:p>
    <w:p w:rsidR="00570FE3" w:rsidRDefault="00B46D3D">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Harmful s</w:t>
      </w:r>
      <w:r>
        <w:rPr>
          <w:rFonts w:ascii="Times New Roman" w:eastAsia="Times New Roman" w:hAnsi="Times New Roman" w:cs="Times New Roman"/>
          <w:sz w:val="24"/>
          <w:szCs w:val="24"/>
        </w:rPr>
        <w:t>tereotypes—such as the belief that women with disabilities are more likely to lie—further perpetuate a culture of impunity for perpetrators. Widespread societal stereotypes about persons with disabilities – especially women and girls – portray them as “a b</w:t>
      </w:r>
      <w:r>
        <w:rPr>
          <w:rFonts w:ascii="Times New Roman" w:eastAsia="Times New Roman" w:hAnsi="Times New Roman" w:cs="Times New Roman"/>
          <w:sz w:val="24"/>
          <w:szCs w:val="24"/>
        </w:rPr>
        <w:t>urden” to their families and caregivers. These harmful views often serve to justify violence against them.</w:t>
      </w:r>
    </w:p>
    <w:p w:rsidR="00570FE3" w:rsidRDefault="00B46D3D">
      <w:pPr>
        <w:numPr>
          <w:ilvl w:val="0"/>
          <w:numId w:val="1"/>
        </w:num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Low awareness among women with disabilities of laws and their rights, particularly due to the lack of accessible information formats, combined with f</w:t>
      </w:r>
      <w:r>
        <w:rPr>
          <w:rFonts w:ascii="Times New Roman" w:eastAsia="Times New Roman" w:hAnsi="Times New Roman" w:cs="Times New Roman"/>
          <w:sz w:val="24"/>
          <w:szCs w:val="24"/>
        </w:rPr>
        <w:t xml:space="preserve">ear of shame, prevents them from seeking help. In addition, women’s economic and physical dependence (because of </w:t>
      </w:r>
      <w:r>
        <w:rPr>
          <w:rFonts w:ascii="Times New Roman" w:eastAsia="Times New Roman" w:hAnsi="Times New Roman" w:cs="Times New Roman"/>
          <w:sz w:val="24"/>
          <w:szCs w:val="24"/>
        </w:rPr>
        <w:lastRenderedPageBreak/>
        <w:t xml:space="preserve">their disability) on caregivers, who may be their abusers, poses a significant deterrent to reporting sexual violence, combined with a lack of </w:t>
      </w:r>
      <w:r>
        <w:rPr>
          <w:rFonts w:ascii="Times New Roman" w:eastAsia="Times New Roman" w:hAnsi="Times New Roman" w:cs="Times New Roman"/>
          <w:sz w:val="24"/>
          <w:szCs w:val="24"/>
        </w:rPr>
        <w:t>accessible reporting mechanisms.</w:t>
      </w:r>
    </w:p>
    <w:p w:rsidR="00570FE3" w:rsidRDefault="00B46D3D">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is a lack of accessible crisis </w:t>
      </w:r>
      <w:proofErr w:type="spellStart"/>
      <w:r>
        <w:rPr>
          <w:rFonts w:ascii="Times New Roman" w:eastAsia="Times New Roman" w:hAnsi="Times New Roman" w:cs="Times New Roman"/>
          <w:sz w:val="24"/>
          <w:szCs w:val="24"/>
        </w:rPr>
        <w:t>centers</w:t>
      </w:r>
      <w:proofErr w:type="spellEnd"/>
      <w:r>
        <w:rPr>
          <w:rFonts w:ascii="Times New Roman" w:eastAsia="Times New Roman" w:hAnsi="Times New Roman" w:cs="Times New Roman"/>
          <w:sz w:val="24"/>
          <w:szCs w:val="24"/>
        </w:rPr>
        <w:t xml:space="preserve"> and standardized standard operating procedures (SOPs) for handling GBV cases involving women and girls with disabilities in both state and non-state institutions. Furthermore, or</w:t>
      </w:r>
      <w:r>
        <w:rPr>
          <w:rFonts w:ascii="Times New Roman" w:eastAsia="Times New Roman" w:hAnsi="Times New Roman" w:cs="Times New Roman"/>
          <w:sz w:val="24"/>
          <w:szCs w:val="24"/>
        </w:rPr>
        <w:t xml:space="preserve">ganizations that support women with disabilities often face chronic underfunding. </w:t>
      </w:r>
    </w:p>
    <w:p w:rsidR="00570FE3" w:rsidRDefault="00B46D3D">
      <w:pPr>
        <w:pStyle w:val="Heading1"/>
        <w:jc w:val="both"/>
      </w:pPr>
      <w:bookmarkStart w:id="7" w:name="_ypwe5kc1mtc8" w:colFirst="0" w:colLast="0"/>
      <w:bookmarkEnd w:id="7"/>
      <w:r>
        <w:t>Child and Forced Marriage</w:t>
      </w:r>
    </w:p>
    <w:tbl>
      <w:tblPr>
        <w:tblStyle w:val="a3"/>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570FE3">
        <w:tc>
          <w:tcPr>
            <w:tcW w:w="9360" w:type="dxa"/>
            <w:shd w:val="clear" w:color="auto" w:fill="auto"/>
            <w:tcMar>
              <w:top w:w="100" w:type="dxa"/>
              <w:left w:w="100" w:type="dxa"/>
              <w:bottom w:w="100" w:type="dxa"/>
              <w:right w:w="100" w:type="dxa"/>
            </w:tcMar>
          </w:tcPr>
          <w:p w:rsidR="00570FE3" w:rsidRDefault="00B46D3D">
            <w:pPr>
              <w:widowControl w:val="0"/>
              <w:pBdr>
                <w:top w:val="nil"/>
                <w:left w:val="nil"/>
                <w:bottom w:val="nil"/>
                <w:right w:val="nil"/>
                <w:between w:val="nil"/>
              </w:pBd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Summary of the section:</w:t>
            </w:r>
          </w:p>
          <w:p w:rsidR="00570FE3" w:rsidRDefault="00570FE3">
            <w:pPr>
              <w:widowControl w:val="0"/>
              <w:pBdr>
                <w:top w:val="nil"/>
                <w:left w:val="nil"/>
                <w:bottom w:val="nil"/>
                <w:right w:val="nil"/>
                <w:between w:val="nil"/>
              </w:pBdr>
              <w:jc w:val="both"/>
              <w:rPr>
                <w:rFonts w:ascii="Times New Roman" w:eastAsia="Times New Roman" w:hAnsi="Times New Roman" w:cs="Times New Roman"/>
                <w:sz w:val="24"/>
                <w:szCs w:val="24"/>
              </w:rPr>
            </w:pPr>
          </w:p>
          <w:p w:rsidR="00570FE3" w:rsidRDefault="00B46D3D">
            <w:pPr>
              <w:widowControl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Kazakhstan formally sets the minimum legal age of marriage at 18 for both girls and boys, exceptions in the law allow marriage from age 16 in cases of pregnancy or childbirth, effectively legalising child marriage under certain circumstances. This re</w:t>
            </w:r>
            <w:r>
              <w:rPr>
                <w:rFonts w:ascii="Times New Roman" w:eastAsia="Times New Roman" w:hAnsi="Times New Roman" w:cs="Times New Roman"/>
                <w:sz w:val="24"/>
                <w:szCs w:val="24"/>
              </w:rPr>
              <w:t>inforces harmful gender norms and may legitimize coercive relationships. Additionally, forced marriage and abductions for forced marriage (“bride kidnapping’’) are not specifically criminalised. Existing legislation does not fully capture these practices a</w:t>
            </w:r>
            <w:r>
              <w:rPr>
                <w:rFonts w:ascii="Times New Roman" w:eastAsia="Times New Roman" w:hAnsi="Times New Roman" w:cs="Times New Roman"/>
                <w:sz w:val="24"/>
                <w:szCs w:val="24"/>
              </w:rPr>
              <w:t>nd includes loopholes that enable impunity. Deep-rooted social stigma further pressures girls into marriage, even in the absence of acts that could be classified as coercion.</w:t>
            </w:r>
          </w:p>
        </w:tc>
      </w:tr>
    </w:tbl>
    <w:p w:rsidR="00570FE3" w:rsidRDefault="00570FE3"/>
    <w:p w:rsidR="00570FE3" w:rsidRDefault="00B46D3D">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the long-standing position of this Committee that the minimum legal age</w:t>
      </w:r>
      <w:r>
        <w:rPr>
          <w:rFonts w:ascii="Times New Roman" w:eastAsia="Times New Roman" w:hAnsi="Times New Roman" w:cs="Times New Roman"/>
          <w:sz w:val="24"/>
          <w:szCs w:val="24"/>
        </w:rPr>
        <w:t xml:space="preserve"> of marriage for both girls and boys should be set at 18 years without exceptions, regardless of parental consent.</w:t>
      </w:r>
      <w:r>
        <w:rPr>
          <w:rFonts w:ascii="Times New Roman" w:eastAsia="Times New Roman" w:hAnsi="Times New Roman" w:cs="Times New Roman"/>
          <w:sz w:val="24"/>
          <w:szCs w:val="24"/>
          <w:vertAlign w:val="superscript"/>
        </w:rPr>
        <w:footnoteReference w:id="17"/>
      </w:r>
    </w:p>
    <w:p w:rsidR="00570FE3" w:rsidRDefault="00570FE3">
      <w:pPr>
        <w:jc w:val="both"/>
        <w:rPr>
          <w:rFonts w:ascii="Times New Roman" w:eastAsia="Times New Roman" w:hAnsi="Times New Roman" w:cs="Times New Roman"/>
          <w:sz w:val="24"/>
          <w:szCs w:val="24"/>
        </w:rPr>
      </w:pPr>
    </w:p>
    <w:p w:rsidR="00570FE3" w:rsidRDefault="00B46D3D">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Kazakhstan, the minimum age of marriage is set at eighteen years for both men and women.</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xml:space="preserve"> However, the civil registry offices at the pla</w:t>
      </w:r>
      <w:r>
        <w:rPr>
          <w:rFonts w:ascii="Times New Roman" w:eastAsia="Times New Roman" w:hAnsi="Times New Roman" w:cs="Times New Roman"/>
          <w:sz w:val="24"/>
          <w:szCs w:val="24"/>
        </w:rPr>
        <w:t>ce of state registration of marriage may lower the minimum age of marriage by no more than two years in the presence of the following valid reasons: pregnancy or the birth of a common child; with the written consent of the parents/guardians.</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xml:space="preserve"> </w:t>
      </w:r>
    </w:p>
    <w:p w:rsidR="00570FE3" w:rsidRDefault="00570FE3">
      <w:pPr>
        <w:jc w:val="both"/>
        <w:rPr>
          <w:rFonts w:ascii="Times New Roman" w:eastAsia="Times New Roman" w:hAnsi="Times New Roman" w:cs="Times New Roman"/>
          <w:sz w:val="24"/>
          <w:szCs w:val="24"/>
        </w:rPr>
      </w:pPr>
    </w:p>
    <w:p w:rsidR="00570FE3" w:rsidRDefault="00B46D3D">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is problematic as it effectively legalizes child marriage under certain circumstances. Allowing marriage at the age of sixteen on the grounds of pregnancy or childbirth reinforces harmful gender norms and may serve to legitimize relationships that beg</w:t>
      </w:r>
      <w:r>
        <w:rPr>
          <w:rFonts w:ascii="Times New Roman" w:eastAsia="Times New Roman" w:hAnsi="Times New Roman" w:cs="Times New Roman"/>
          <w:sz w:val="24"/>
          <w:szCs w:val="24"/>
        </w:rPr>
        <w:t xml:space="preserve">an when one of the parties was a minor, potentially in a context of coercion or abuse. It also places </w:t>
      </w:r>
      <w:r>
        <w:rPr>
          <w:rFonts w:ascii="Times New Roman" w:eastAsia="Times New Roman" w:hAnsi="Times New Roman" w:cs="Times New Roman"/>
          <w:sz w:val="24"/>
          <w:szCs w:val="24"/>
        </w:rPr>
        <w:lastRenderedPageBreak/>
        <w:t>the burden of adult responsibilities on girls who may not be physically or emotionally prepared for marriage and motherhood, thereby undermining their rig</w:t>
      </w:r>
      <w:r>
        <w:rPr>
          <w:rFonts w:ascii="Times New Roman" w:eastAsia="Times New Roman" w:hAnsi="Times New Roman" w:cs="Times New Roman"/>
          <w:sz w:val="24"/>
          <w:szCs w:val="24"/>
        </w:rPr>
        <w:t>hts to education, health, and personal development. Given that Kazakhstan continues to have a child marriage prevalence rate of 7%,</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xml:space="preserve"> amending this law to remove exceptions that allow marriage is a critical measure towards the prevention of child marriages.</w:t>
      </w:r>
      <w:r>
        <w:rPr>
          <w:rFonts w:ascii="Times New Roman" w:eastAsia="Times New Roman" w:hAnsi="Times New Roman" w:cs="Times New Roman"/>
          <w:sz w:val="24"/>
          <w:szCs w:val="24"/>
        </w:rPr>
        <w:t xml:space="preserve"> </w:t>
      </w:r>
    </w:p>
    <w:p w:rsidR="00570FE3" w:rsidRDefault="00B46D3D">
      <w:pPr>
        <w:numPr>
          <w:ilvl w:val="0"/>
          <w:numId w:val="1"/>
        </w:num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its previous concluding observations, the CEDAW Committee expressed concern about the prevalence of child and forced marriage in Kazakhstan and recommended that cases of child and/or forced marriage be effectively investigated, with perpetrators prose</w:t>
      </w:r>
      <w:r>
        <w:rPr>
          <w:rFonts w:ascii="Times New Roman" w:eastAsia="Times New Roman" w:hAnsi="Times New Roman" w:cs="Times New Roman"/>
          <w:sz w:val="24"/>
          <w:szCs w:val="24"/>
        </w:rPr>
        <w:t>cuted and adequately punished.</w:t>
      </w:r>
      <w:r>
        <w:rPr>
          <w:rFonts w:ascii="Times New Roman" w:eastAsia="Times New Roman" w:hAnsi="Times New Roman" w:cs="Times New Roman"/>
          <w:sz w:val="24"/>
          <w:szCs w:val="24"/>
          <w:vertAlign w:val="superscript"/>
        </w:rPr>
        <w:footnoteReference w:id="21"/>
      </w:r>
      <w:r>
        <w:rPr>
          <w:rFonts w:ascii="Times New Roman" w:eastAsia="Times New Roman" w:hAnsi="Times New Roman" w:cs="Times New Roman"/>
          <w:sz w:val="24"/>
          <w:szCs w:val="24"/>
        </w:rPr>
        <w:t xml:space="preserve"> However, forced marriage and so-called bride kidnapping are not specifically criminalised in Kazakhstan. While Article 125 of the Criminal Code addresses abduction and coercion are also specifically criminalized, these artic</w:t>
      </w:r>
      <w:r>
        <w:rPr>
          <w:rFonts w:ascii="Times New Roman" w:eastAsia="Times New Roman" w:hAnsi="Times New Roman" w:cs="Times New Roman"/>
          <w:sz w:val="24"/>
          <w:szCs w:val="24"/>
        </w:rPr>
        <w:t>les do not adequately encompass all forms of forced marriage and include an exemption from criminal liability if the perpetrator voluntarily releases the victim.</w:t>
      </w:r>
      <w:r>
        <w:rPr>
          <w:rFonts w:ascii="Times New Roman" w:eastAsia="Times New Roman" w:hAnsi="Times New Roman" w:cs="Times New Roman"/>
          <w:sz w:val="24"/>
          <w:szCs w:val="24"/>
          <w:vertAlign w:val="superscript"/>
        </w:rPr>
        <w:footnoteReference w:id="22"/>
      </w:r>
      <w:r>
        <w:rPr>
          <w:rFonts w:ascii="Times New Roman" w:eastAsia="Times New Roman" w:hAnsi="Times New Roman" w:cs="Times New Roman"/>
          <w:sz w:val="24"/>
          <w:szCs w:val="24"/>
        </w:rPr>
        <w:t xml:space="preserve"> This legal gap fails to account for the coercive social and cultural pressures that often acc</w:t>
      </w:r>
      <w:r>
        <w:rPr>
          <w:rFonts w:ascii="Times New Roman" w:eastAsia="Times New Roman" w:hAnsi="Times New Roman" w:cs="Times New Roman"/>
          <w:sz w:val="24"/>
          <w:szCs w:val="24"/>
        </w:rPr>
        <w:t xml:space="preserve">ompany such practices. In practice, even if there is no other element of a crime, refusing marriage after spending time, especially the night, in the house of an unknown man, amounts to a social stigma that is difficult to erase, a shame that the girl and </w:t>
      </w:r>
      <w:r>
        <w:rPr>
          <w:rFonts w:ascii="Times New Roman" w:eastAsia="Times New Roman" w:hAnsi="Times New Roman" w:cs="Times New Roman"/>
          <w:sz w:val="24"/>
          <w:szCs w:val="24"/>
        </w:rPr>
        <w:t>her whole family live with forever.</w:t>
      </w:r>
    </w:p>
    <w:p w:rsidR="00570FE3" w:rsidRDefault="00B46D3D">
      <w:pPr>
        <w:pStyle w:val="Heading1"/>
        <w:jc w:val="both"/>
      </w:pPr>
      <w:bookmarkStart w:id="9" w:name="_kmdnzvihzuqm" w:colFirst="0" w:colLast="0"/>
      <w:bookmarkEnd w:id="9"/>
      <w:r>
        <w:t xml:space="preserve">Lack </w:t>
      </w:r>
      <w:proofErr w:type="gramStart"/>
      <w:r>
        <w:t>Of</w:t>
      </w:r>
      <w:proofErr w:type="gramEnd"/>
      <w:r>
        <w:t xml:space="preserve"> Support Services For Survivors Of Violence</w:t>
      </w:r>
    </w:p>
    <w:tbl>
      <w:tblPr>
        <w:tblStyle w:val="a4"/>
        <w:tblW w:w="93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9330"/>
      </w:tblGrid>
      <w:tr w:rsidR="00570FE3">
        <w:trPr>
          <w:trHeight w:val="1605"/>
        </w:trPr>
        <w:tc>
          <w:tcPr>
            <w:tcW w:w="9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70FE3" w:rsidRDefault="00B46D3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Summary of the section: </w:t>
            </w:r>
          </w:p>
          <w:p w:rsidR="00570FE3" w:rsidRDefault="00570FE3">
            <w:pPr>
              <w:jc w:val="both"/>
              <w:rPr>
                <w:rFonts w:ascii="Times New Roman" w:eastAsia="Times New Roman" w:hAnsi="Times New Roman" w:cs="Times New Roman"/>
                <w:sz w:val="24"/>
                <w:szCs w:val="24"/>
              </w:rPr>
            </w:pPr>
          </w:p>
          <w:p w:rsidR="00570FE3" w:rsidRDefault="00B46D3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Kazakhstan lacks adequate support services for women and girls who survive sexual violence. There is an urgent need for comprehensive, accessib</w:t>
            </w:r>
            <w:r>
              <w:rPr>
                <w:rFonts w:ascii="Times New Roman" w:eastAsia="Times New Roman" w:hAnsi="Times New Roman" w:cs="Times New Roman"/>
                <w:sz w:val="24"/>
                <w:szCs w:val="24"/>
              </w:rPr>
              <w:t xml:space="preserve">le services across the country, including 24/7 hotlines, shelters, free legal aid, medical care, psychosocial counselling, and economic support. Existing crisis centres cover only 15% of the level recommended by international standards. Although survivors </w:t>
            </w:r>
            <w:r>
              <w:rPr>
                <w:rFonts w:ascii="Times New Roman" w:eastAsia="Times New Roman" w:hAnsi="Times New Roman" w:cs="Times New Roman"/>
                <w:sz w:val="24"/>
                <w:szCs w:val="24"/>
              </w:rPr>
              <w:t>are legally entitled to state-guaranteed free legal aid, its quality is widely considered poor, with many victims relying on privately funded lawyers. The State Legal Aid System faces serious structural issues, including chronic underfunding, low pay for l</w:t>
            </w:r>
            <w:r>
              <w:rPr>
                <w:rFonts w:ascii="Times New Roman" w:eastAsia="Times New Roman" w:hAnsi="Times New Roman" w:cs="Times New Roman"/>
                <w:sz w:val="24"/>
                <w:szCs w:val="24"/>
              </w:rPr>
              <w:t>awyers, and threats to attorney independence, prompting calls from the legal community for urgent reform.</w:t>
            </w:r>
          </w:p>
        </w:tc>
      </w:tr>
    </w:tbl>
    <w:p w:rsidR="00570FE3" w:rsidRDefault="00570FE3">
      <w:pPr>
        <w:jc w:val="both"/>
      </w:pPr>
    </w:p>
    <w:p w:rsidR="00570FE3" w:rsidRDefault="00B46D3D">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 Kazakhstan, there is a serious lack of support services and protection for women and girls, survivors of sexual violence. This includes the need </w:t>
      </w:r>
      <w:r>
        <w:rPr>
          <w:rFonts w:ascii="Times New Roman" w:eastAsia="Times New Roman" w:hAnsi="Times New Roman" w:cs="Times New Roman"/>
          <w:sz w:val="24"/>
          <w:szCs w:val="24"/>
        </w:rPr>
        <w:t>to put in place 24/7 hotlines, free legal aid, adequate shelters, medical treatment, psychosocial counselling, and economic support across the country. The funds allocated by the State to support rehabilitation and adaptation centres for victims of violenc</w:t>
      </w:r>
      <w:r>
        <w:rPr>
          <w:rFonts w:ascii="Times New Roman" w:eastAsia="Times New Roman" w:hAnsi="Times New Roman" w:cs="Times New Roman"/>
          <w:sz w:val="24"/>
          <w:szCs w:val="24"/>
        </w:rPr>
        <w:t>e are insufficient.</w:t>
      </w:r>
    </w:p>
    <w:p w:rsidR="00570FE3" w:rsidRDefault="00570FE3">
      <w:pPr>
        <w:jc w:val="both"/>
        <w:rPr>
          <w:rFonts w:ascii="Times New Roman" w:eastAsia="Times New Roman" w:hAnsi="Times New Roman" w:cs="Times New Roman"/>
          <w:sz w:val="24"/>
          <w:szCs w:val="24"/>
        </w:rPr>
      </w:pPr>
    </w:p>
    <w:p w:rsidR="00570FE3" w:rsidRDefault="00B46D3D">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Kazakhstan, there are currently 49 crisis centres that provide support for victims of violence. This number includes both state and non-state facilities, although many are operated by non-governmental organizations. However, given t</w:t>
      </w:r>
      <w:r>
        <w:rPr>
          <w:rFonts w:ascii="Times New Roman" w:eastAsia="Times New Roman" w:hAnsi="Times New Roman" w:cs="Times New Roman"/>
          <w:sz w:val="24"/>
          <w:szCs w:val="24"/>
        </w:rPr>
        <w:t>hat Kazakhstan's population exceeds 20 million, the total number of shelter spaces for victims of domestic violence falls significantly short of international standards, which recommend at least one space per 10,000 people and one integrated service per 50</w:t>
      </w:r>
      <w:r>
        <w:rPr>
          <w:rFonts w:ascii="Times New Roman" w:eastAsia="Times New Roman" w:hAnsi="Times New Roman" w:cs="Times New Roman"/>
          <w:sz w:val="24"/>
          <w:szCs w:val="24"/>
        </w:rPr>
        <w:t>,000 women.</w:t>
      </w:r>
      <w:r>
        <w:rPr>
          <w:rFonts w:ascii="Times New Roman" w:eastAsia="Times New Roman" w:hAnsi="Times New Roman" w:cs="Times New Roman"/>
          <w:sz w:val="24"/>
          <w:szCs w:val="24"/>
          <w:vertAlign w:val="superscript"/>
        </w:rPr>
        <w:footnoteReference w:id="23"/>
      </w:r>
      <w:r>
        <w:rPr>
          <w:rFonts w:ascii="Times New Roman" w:eastAsia="Times New Roman" w:hAnsi="Times New Roman" w:cs="Times New Roman"/>
          <w:sz w:val="24"/>
          <w:szCs w:val="24"/>
        </w:rPr>
        <w:t xml:space="preserve"> Overall, the availability of crisis centres in Kazakhstan stands at only 15% of the recommended level.</w:t>
      </w:r>
    </w:p>
    <w:p w:rsidR="00570FE3" w:rsidRDefault="00570FE3">
      <w:pPr>
        <w:jc w:val="both"/>
        <w:rPr>
          <w:rFonts w:ascii="Times New Roman" w:eastAsia="Times New Roman" w:hAnsi="Times New Roman" w:cs="Times New Roman"/>
          <w:sz w:val="24"/>
          <w:szCs w:val="24"/>
        </w:rPr>
      </w:pPr>
    </w:p>
    <w:p w:rsidR="00570FE3" w:rsidRDefault="00B46D3D">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national legislation,</w:t>
      </w:r>
      <w:r>
        <w:rPr>
          <w:rFonts w:ascii="Times New Roman" w:eastAsia="Times New Roman" w:hAnsi="Times New Roman" w:cs="Times New Roman"/>
          <w:sz w:val="24"/>
          <w:szCs w:val="24"/>
          <w:vertAlign w:val="superscript"/>
        </w:rPr>
        <w:footnoteReference w:id="24"/>
      </w:r>
      <w:r>
        <w:rPr>
          <w:rFonts w:ascii="Times New Roman" w:eastAsia="Times New Roman" w:hAnsi="Times New Roman" w:cs="Times New Roman"/>
          <w:sz w:val="24"/>
          <w:szCs w:val="24"/>
        </w:rPr>
        <w:t xml:space="preserve"> victims of sexual violence are entitled to state-guaranteed free legal aid (FLA). </w:t>
      </w:r>
      <w:proofErr w:type="spellStart"/>
      <w:r>
        <w:rPr>
          <w:rFonts w:ascii="Times New Roman" w:eastAsia="Times New Roman" w:hAnsi="Times New Roman" w:cs="Times New Roman"/>
          <w:sz w:val="24"/>
          <w:szCs w:val="24"/>
        </w:rPr>
        <w:t>Сurrently</w:t>
      </w:r>
      <w:proofErr w:type="spellEnd"/>
      <w:r>
        <w:rPr>
          <w:rFonts w:ascii="Times New Roman" w:eastAsia="Times New Roman" w:hAnsi="Times New Roman" w:cs="Times New Roman"/>
          <w:sz w:val="24"/>
          <w:szCs w:val="24"/>
        </w:rPr>
        <w:t>, the only m</w:t>
      </w:r>
      <w:r>
        <w:rPr>
          <w:rFonts w:ascii="Times New Roman" w:eastAsia="Times New Roman" w:hAnsi="Times New Roman" w:cs="Times New Roman"/>
          <w:sz w:val="24"/>
          <w:szCs w:val="24"/>
        </w:rPr>
        <w:t>echanism for assessing the quality of FLA is through submitting a formal complaint</w:t>
      </w:r>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rPr>
        <w:t xml:space="preserve"> – an option that is not always accessible or appropriate for survivors of sexual violence. According to activists, the quality of state-guaranteed free legal aid remains low, and in many cases, the most effective way to protect victims’ rights is to hire </w:t>
      </w:r>
      <w:r>
        <w:rPr>
          <w:rFonts w:ascii="Times New Roman" w:eastAsia="Times New Roman" w:hAnsi="Times New Roman" w:cs="Times New Roman"/>
          <w:sz w:val="24"/>
          <w:szCs w:val="24"/>
        </w:rPr>
        <w:t>a private lawyer. Organizations supporting survivors of sexual violence frequently have to fundraise to cover the cost of experienced legal representation.</w:t>
      </w:r>
    </w:p>
    <w:p w:rsidR="00570FE3" w:rsidRDefault="00570FE3">
      <w:pPr>
        <w:jc w:val="both"/>
        <w:rPr>
          <w:rFonts w:ascii="Times New Roman" w:eastAsia="Times New Roman" w:hAnsi="Times New Roman" w:cs="Times New Roman"/>
          <w:sz w:val="24"/>
          <w:szCs w:val="24"/>
        </w:rPr>
      </w:pPr>
    </w:p>
    <w:p w:rsidR="00570FE3" w:rsidRDefault="00B46D3D">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Presidium of the Republican Collegium of Advocates issued an appeal</w:t>
      </w:r>
      <w:r>
        <w:rPr>
          <w:rFonts w:ascii="Times New Roman" w:eastAsia="Times New Roman" w:hAnsi="Times New Roman" w:cs="Times New Roman"/>
          <w:sz w:val="24"/>
          <w:szCs w:val="24"/>
          <w:vertAlign w:val="superscript"/>
        </w:rPr>
        <w:footnoteReference w:id="26"/>
      </w:r>
      <w:r>
        <w:rPr>
          <w:rFonts w:ascii="Times New Roman" w:eastAsia="Times New Roman" w:hAnsi="Times New Roman" w:cs="Times New Roman"/>
          <w:sz w:val="24"/>
          <w:szCs w:val="24"/>
        </w:rPr>
        <w:t xml:space="preserve"> to the Parliament and Gove</w:t>
      </w:r>
      <w:r>
        <w:rPr>
          <w:rFonts w:ascii="Times New Roman" w:eastAsia="Times New Roman" w:hAnsi="Times New Roman" w:cs="Times New Roman"/>
          <w:sz w:val="24"/>
          <w:szCs w:val="24"/>
        </w:rPr>
        <w:t xml:space="preserve">rnment of Kazakhstan concerning the </w:t>
      </w:r>
      <w:proofErr w:type="spellStart"/>
      <w:r>
        <w:rPr>
          <w:rFonts w:ascii="Times New Roman" w:eastAsia="Times New Roman" w:hAnsi="Times New Roman" w:cs="Times New Roman"/>
          <w:sz w:val="24"/>
          <w:szCs w:val="24"/>
        </w:rPr>
        <w:t>сritical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сondition</w:t>
      </w:r>
      <w:proofErr w:type="spellEnd"/>
      <w:r>
        <w:rPr>
          <w:rFonts w:ascii="Times New Roman" w:eastAsia="Times New Roman" w:hAnsi="Times New Roman" w:cs="Times New Roman"/>
          <w:sz w:val="24"/>
          <w:szCs w:val="24"/>
        </w:rPr>
        <w:t xml:space="preserve"> of the State-Guaranteed Legal Aid System. According to the appeal, the system is in crisis due to chronic delays and insufficient funding, low remuneration rates for lawyers, the shifting of organizati</w:t>
      </w:r>
      <w:r>
        <w:rPr>
          <w:rFonts w:ascii="Times New Roman" w:eastAsia="Times New Roman" w:hAnsi="Times New Roman" w:cs="Times New Roman"/>
          <w:sz w:val="24"/>
          <w:szCs w:val="24"/>
        </w:rPr>
        <w:t>onal costs onto the legal community, and violations of the principle of attorney independence. These issues threaten citizens' access to qualified legal assistance and undermine lawyers’ motivation to participate in the state program. The Republican Colleg</w:t>
      </w:r>
      <w:r>
        <w:rPr>
          <w:rFonts w:ascii="Times New Roman" w:eastAsia="Times New Roman" w:hAnsi="Times New Roman" w:cs="Times New Roman"/>
          <w:sz w:val="24"/>
          <w:szCs w:val="24"/>
        </w:rPr>
        <w:t xml:space="preserve">ium of Advocates has called on Parliament and the Government to urgently </w:t>
      </w:r>
      <w:proofErr w:type="gramStart"/>
      <w:r>
        <w:rPr>
          <w:rFonts w:ascii="Times New Roman" w:eastAsia="Times New Roman" w:hAnsi="Times New Roman" w:cs="Times New Roman"/>
          <w:sz w:val="24"/>
          <w:szCs w:val="24"/>
        </w:rPr>
        <w:t>take action</w:t>
      </w:r>
      <w:proofErr w:type="gramEnd"/>
      <w:r>
        <w:rPr>
          <w:rFonts w:ascii="Times New Roman" w:eastAsia="Times New Roman" w:hAnsi="Times New Roman" w:cs="Times New Roman"/>
          <w:sz w:val="24"/>
          <w:szCs w:val="24"/>
        </w:rPr>
        <w:t xml:space="preserve"> to address the situation.</w:t>
      </w:r>
    </w:p>
    <w:p w:rsidR="00570FE3" w:rsidRDefault="00B46D3D">
      <w:pPr>
        <w:pStyle w:val="Heading1"/>
        <w:jc w:val="both"/>
      </w:pPr>
      <w:bookmarkStart w:id="10" w:name="_i5h61dtdt6dm" w:colFirst="0" w:colLast="0"/>
      <w:bookmarkEnd w:id="10"/>
      <w:r>
        <w:lastRenderedPageBreak/>
        <w:t xml:space="preserve">List of Issues for the Sixth Periodic Report of Kazakhstan </w:t>
      </w:r>
    </w:p>
    <w:p w:rsidR="00570FE3" w:rsidRDefault="00B46D3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view of the upcoming review of Kazakhstan’s sixth periodic report, and considering the persistent legislative and practical barriers to the realization of women’s and girls’ rights — particularly with regard to access to justice in cases of sexual viole</w:t>
      </w:r>
      <w:r>
        <w:rPr>
          <w:rFonts w:ascii="Times New Roman" w:eastAsia="Times New Roman" w:hAnsi="Times New Roman" w:cs="Times New Roman"/>
          <w:sz w:val="24"/>
          <w:szCs w:val="24"/>
        </w:rPr>
        <w:t>nce and child and forced marriage — we respectfully request the Committee to include the following questions in its List of Issues to the State party:</w:t>
      </w:r>
    </w:p>
    <w:p w:rsidR="00570FE3" w:rsidRDefault="00570FE3">
      <w:pPr>
        <w:jc w:val="both"/>
        <w:rPr>
          <w:rFonts w:ascii="Times New Roman" w:eastAsia="Times New Roman" w:hAnsi="Times New Roman" w:cs="Times New Roman"/>
          <w:sz w:val="24"/>
          <w:szCs w:val="24"/>
        </w:rPr>
      </w:pPr>
    </w:p>
    <w:p w:rsidR="00570FE3" w:rsidRDefault="00B46D3D">
      <w:pPr>
        <w:numPr>
          <w:ilvl w:val="0"/>
          <w:numId w:val="2"/>
        </w:num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Legislative framework on sexual violence:</w:t>
      </w:r>
    </w:p>
    <w:p w:rsidR="00570FE3" w:rsidRDefault="00B46D3D">
      <w:pPr>
        <w:numPr>
          <w:ilvl w:val="1"/>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measures have the authorities taken to align the definiti</w:t>
      </w:r>
      <w:r>
        <w:rPr>
          <w:rFonts w:ascii="Times New Roman" w:eastAsia="Times New Roman" w:hAnsi="Times New Roman" w:cs="Times New Roman"/>
          <w:sz w:val="24"/>
          <w:szCs w:val="24"/>
        </w:rPr>
        <w:t xml:space="preserve">on of rape with international human rights standards by introducing a consent-based definition of rape? </w:t>
      </w:r>
    </w:p>
    <w:p w:rsidR="00570FE3" w:rsidRDefault="00570FE3">
      <w:pPr>
        <w:ind w:left="1440"/>
        <w:jc w:val="both"/>
        <w:rPr>
          <w:rFonts w:ascii="Times New Roman" w:eastAsia="Times New Roman" w:hAnsi="Times New Roman" w:cs="Times New Roman"/>
          <w:sz w:val="24"/>
          <w:szCs w:val="24"/>
        </w:rPr>
      </w:pPr>
    </w:p>
    <w:p w:rsidR="00570FE3" w:rsidRDefault="00B46D3D">
      <w:pPr>
        <w:numPr>
          <w:ilvl w:val="0"/>
          <w:numId w:val="2"/>
        </w:num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Access to justice and removing discriminatory barriers:</w:t>
      </w:r>
    </w:p>
    <w:p w:rsidR="00570FE3" w:rsidRDefault="00B46D3D">
      <w:pPr>
        <w:numPr>
          <w:ilvl w:val="1"/>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steps has the State party taken to remove burdensome evidentiary and corroboration requir</w:t>
      </w:r>
      <w:r>
        <w:rPr>
          <w:rFonts w:ascii="Times New Roman" w:eastAsia="Times New Roman" w:hAnsi="Times New Roman" w:cs="Times New Roman"/>
          <w:sz w:val="24"/>
          <w:szCs w:val="24"/>
        </w:rPr>
        <w:t>ements in sexual violence cases, particularly those that disadvantage survivors who lack physical injuries or biological evidence?</w:t>
      </w:r>
    </w:p>
    <w:p w:rsidR="00570FE3" w:rsidRDefault="00B46D3D">
      <w:pPr>
        <w:numPr>
          <w:ilvl w:val="1"/>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Please provide information on the total number of women and girls survivors of sexual violence and how many of them received </w:t>
      </w:r>
      <w:r>
        <w:rPr>
          <w:rFonts w:ascii="Times New Roman" w:eastAsia="Times New Roman" w:hAnsi="Times New Roman" w:cs="Times New Roman"/>
          <w:sz w:val="24"/>
          <w:szCs w:val="24"/>
        </w:rPr>
        <w:t>state-guaranteed free legal aid. What measures are in place to ensure the quality of such legal aid services? How does the state assess and improve both the quality and accessibility of legal aid for survivors of sexual violence?</w:t>
      </w:r>
    </w:p>
    <w:p w:rsidR="00570FE3" w:rsidRDefault="00B46D3D">
      <w:pPr>
        <w:numPr>
          <w:ilvl w:val="1"/>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steps have been taken</w:t>
      </w:r>
      <w:r>
        <w:rPr>
          <w:rFonts w:ascii="Times New Roman" w:eastAsia="Times New Roman" w:hAnsi="Times New Roman" w:cs="Times New Roman"/>
          <w:sz w:val="24"/>
          <w:szCs w:val="24"/>
        </w:rPr>
        <w:t xml:space="preserve"> to ensure a victim-centred response and to eliminate harmful and discriminatory practices in the investigation of sexual violence, including forced “re-enactments,” victim-blaming, hymen examinations, and inadequate privacy protections during interviews, </w:t>
      </w:r>
      <w:r>
        <w:rPr>
          <w:rFonts w:ascii="Times New Roman" w:eastAsia="Times New Roman" w:hAnsi="Times New Roman" w:cs="Times New Roman"/>
          <w:sz w:val="24"/>
          <w:szCs w:val="24"/>
        </w:rPr>
        <w:t>etc.? What measures are in place to ensure gender-sensitive forensic examinations and the availability of female experts?</w:t>
      </w:r>
    </w:p>
    <w:p w:rsidR="00570FE3" w:rsidRDefault="00570FE3">
      <w:pPr>
        <w:jc w:val="both"/>
        <w:rPr>
          <w:rFonts w:ascii="Times New Roman" w:eastAsia="Times New Roman" w:hAnsi="Times New Roman" w:cs="Times New Roman"/>
          <w:sz w:val="24"/>
          <w:szCs w:val="24"/>
        </w:rPr>
      </w:pPr>
    </w:p>
    <w:p w:rsidR="00570FE3" w:rsidRDefault="00B46D3D">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Access to justice for women and girls with disabilities:</w:t>
      </w:r>
    </w:p>
    <w:p w:rsidR="00570FE3" w:rsidRDefault="00B46D3D">
      <w:pPr>
        <w:numPr>
          <w:ilvl w:val="1"/>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Please provide information on how the Government ensures access to justice f</w:t>
      </w:r>
      <w:r>
        <w:rPr>
          <w:rFonts w:ascii="Times New Roman" w:eastAsia="Times New Roman" w:hAnsi="Times New Roman" w:cs="Times New Roman"/>
          <w:sz w:val="24"/>
          <w:szCs w:val="24"/>
        </w:rPr>
        <w:t>or survivors of sexual violence who face intersecting forms of discrimination, including women and girls with disabilities. What procedural accommodations and protections are available to them, and are the authorities planning to repeal provisions that den</w:t>
      </w:r>
      <w:r>
        <w:rPr>
          <w:rFonts w:ascii="Times New Roman" w:eastAsia="Times New Roman" w:hAnsi="Times New Roman" w:cs="Times New Roman"/>
          <w:sz w:val="24"/>
          <w:szCs w:val="24"/>
        </w:rPr>
        <w:t>y access to justice for persons with disabilities to conform with CEDAW standards and those of the CPRD.</w:t>
      </w:r>
    </w:p>
    <w:p w:rsidR="00570FE3" w:rsidRDefault="00570FE3">
      <w:pPr>
        <w:jc w:val="both"/>
        <w:rPr>
          <w:rFonts w:ascii="Times New Roman" w:eastAsia="Times New Roman" w:hAnsi="Times New Roman" w:cs="Times New Roman"/>
          <w:sz w:val="24"/>
          <w:szCs w:val="24"/>
        </w:rPr>
      </w:pPr>
    </w:p>
    <w:p w:rsidR="00570FE3" w:rsidRDefault="00B46D3D">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Child and forced marriage:</w:t>
      </w:r>
    </w:p>
    <w:p w:rsidR="00570FE3" w:rsidRDefault="00B46D3D">
      <w:pPr>
        <w:numPr>
          <w:ilvl w:val="1"/>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What measures has the State party taken to eliminate legal exceptions that allow marriage under the age of 18 and to crimin</w:t>
      </w:r>
      <w:r>
        <w:rPr>
          <w:rFonts w:ascii="Times New Roman" w:eastAsia="Times New Roman" w:hAnsi="Times New Roman" w:cs="Times New Roman"/>
          <w:sz w:val="24"/>
          <w:szCs w:val="24"/>
        </w:rPr>
        <w:t>alize all forms of forced marriage? How does the State party ensure that all marriages are entered into with the full, free, and informed consent of both parties?</w:t>
      </w:r>
    </w:p>
    <w:p w:rsidR="00570FE3" w:rsidRDefault="00570FE3">
      <w:pPr>
        <w:jc w:val="both"/>
        <w:rPr>
          <w:rFonts w:ascii="Times New Roman" w:eastAsia="Times New Roman" w:hAnsi="Times New Roman" w:cs="Times New Roman"/>
          <w:sz w:val="24"/>
          <w:szCs w:val="24"/>
        </w:rPr>
      </w:pPr>
    </w:p>
    <w:p w:rsidR="00570FE3" w:rsidRDefault="00B46D3D">
      <w:pPr>
        <w:numPr>
          <w:ilvl w:val="0"/>
          <w:numId w:val="2"/>
        </w:num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Training and capacity-building for justice and medical professionals:</w:t>
      </w:r>
    </w:p>
    <w:p w:rsidR="00570FE3" w:rsidRDefault="00B46D3D">
      <w:pPr>
        <w:numPr>
          <w:ilvl w:val="1"/>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Please provide details</w:t>
      </w:r>
      <w:r>
        <w:rPr>
          <w:rFonts w:ascii="Times New Roman" w:eastAsia="Times New Roman" w:hAnsi="Times New Roman" w:cs="Times New Roman"/>
          <w:sz w:val="24"/>
          <w:szCs w:val="24"/>
        </w:rPr>
        <w:t xml:space="preserve"> on any existing or planned training programmes for judges, prosecutors, police, forensic experts, social workers, and medical professionals on survivor-centred, trauma-informed, and rights-based approaches to handling sexual violence cases, and any plans </w:t>
      </w:r>
      <w:r>
        <w:rPr>
          <w:rFonts w:ascii="Times New Roman" w:eastAsia="Times New Roman" w:hAnsi="Times New Roman" w:cs="Times New Roman"/>
          <w:sz w:val="24"/>
          <w:szCs w:val="24"/>
        </w:rPr>
        <w:t>for developing manuals for these professionals based on the international human rights framework.</w:t>
      </w:r>
    </w:p>
    <w:p w:rsidR="00570FE3" w:rsidRDefault="00570FE3"/>
    <w:sectPr w:rsidR="00570FE3">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6D3D" w:rsidRDefault="00B46D3D">
      <w:pPr>
        <w:spacing w:line="240" w:lineRule="auto"/>
      </w:pPr>
      <w:r>
        <w:separator/>
      </w:r>
    </w:p>
  </w:endnote>
  <w:endnote w:type="continuationSeparator" w:id="0">
    <w:p w:rsidR="00B46D3D" w:rsidRDefault="00B46D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0FE3" w:rsidRDefault="00B46D3D">
    <w:pPr>
      <w:jc w:val="right"/>
    </w:pPr>
    <w:r>
      <w:fldChar w:fldCharType="begin"/>
    </w:r>
    <w:r>
      <w:instrText>PAGE</w:instrText>
    </w:r>
    <w:r w:rsidR="008218FF">
      <w:fldChar w:fldCharType="separate"/>
    </w:r>
    <w:r w:rsidR="008218FF">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0FE3" w:rsidRDefault="00B46D3D">
    <w:pPr>
      <w:jc w:val="right"/>
    </w:pPr>
    <w:r>
      <w:fldChar w:fldCharType="begin"/>
    </w:r>
    <w:r>
      <w:instrText>PAGE</w:instrText>
    </w:r>
    <w:r w:rsidR="008218FF">
      <w:fldChar w:fldCharType="separate"/>
    </w:r>
    <w:r w:rsidR="008218F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6D3D" w:rsidRDefault="00B46D3D">
      <w:pPr>
        <w:spacing w:line="240" w:lineRule="auto"/>
      </w:pPr>
      <w:r>
        <w:separator/>
      </w:r>
    </w:p>
  </w:footnote>
  <w:footnote w:type="continuationSeparator" w:id="0">
    <w:p w:rsidR="00B46D3D" w:rsidRDefault="00B46D3D">
      <w:pPr>
        <w:spacing w:line="240" w:lineRule="auto"/>
      </w:pPr>
      <w:r>
        <w:continuationSeparator/>
      </w:r>
    </w:p>
  </w:footnote>
  <w:footnote w:id="1">
    <w:p w:rsidR="00570FE3" w:rsidRDefault="00B46D3D">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1">
        <w:r>
          <w:rPr>
            <w:rFonts w:ascii="Times New Roman" w:eastAsia="Times New Roman" w:hAnsi="Times New Roman" w:cs="Times New Roman"/>
            <w:color w:val="1155CC"/>
            <w:sz w:val="20"/>
            <w:szCs w:val="20"/>
            <w:u w:val="single"/>
          </w:rPr>
          <w:t>https://equalitynow.org/</w:t>
        </w:r>
      </w:hyperlink>
      <w:r>
        <w:rPr>
          <w:rFonts w:ascii="Times New Roman" w:eastAsia="Times New Roman" w:hAnsi="Times New Roman" w:cs="Times New Roman"/>
          <w:sz w:val="20"/>
          <w:szCs w:val="20"/>
        </w:rPr>
        <w:t xml:space="preserve"> </w:t>
      </w:r>
    </w:p>
  </w:footnote>
  <w:footnote w:id="2">
    <w:p w:rsidR="00570FE3" w:rsidRDefault="00B46D3D">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2">
        <w:r>
          <w:rPr>
            <w:rFonts w:ascii="Times New Roman" w:eastAsia="Times New Roman" w:hAnsi="Times New Roman" w:cs="Times New Roman"/>
            <w:color w:val="1155CC"/>
            <w:sz w:val="20"/>
            <w:szCs w:val="20"/>
            <w:u w:val="single"/>
          </w:rPr>
          <w:t>https://equalitynow.org/resource/roadblocks_to_justice/</w:t>
        </w:r>
      </w:hyperlink>
    </w:p>
  </w:footnote>
  <w:footnote w:id="3">
    <w:p w:rsidR="00570FE3" w:rsidRDefault="00B46D3D">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For a full list, see here: </w:t>
      </w:r>
      <w:hyperlink r:id="rId3">
        <w:r>
          <w:rPr>
            <w:rFonts w:ascii="Times New Roman" w:eastAsia="Times New Roman" w:hAnsi="Times New Roman" w:cs="Times New Roman"/>
            <w:color w:val="1155CC"/>
            <w:sz w:val="20"/>
            <w:szCs w:val="20"/>
            <w:u w:val="single"/>
          </w:rPr>
          <w:t>https://equalitynow.org/resource-center/?ReType=56&amp;CountryType=185</w:t>
        </w:r>
      </w:hyperlink>
      <w:r>
        <w:rPr>
          <w:rFonts w:ascii="Times New Roman" w:eastAsia="Times New Roman" w:hAnsi="Times New Roman" w:cs="Times New Roman"/>
          <w:sz w:val="20"/>
          <w:szCs w:val="20"/>
        </w:rPr>
        <w:t xml:space="preserve"> </w:t>
      </w:r>
    </w:p>
  </w:footnote>
  <w:footnote w:id="4">
    <w:p w:rsidR="00570FE3" w:rsidRDefault="00B46D3D">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4">
        <w:r>
          <w:rPr>
            <w:rFonts w:ascii="Times New Roman" w:eastAsia="Times New Roman" w:hAnsi="Times New Roman" w:cs="Times New Roman"/>
            <w:color w:val="1155CC"/>
            <w:sz w:val="20"/>
            <w:szCs w:val="20"/>
            <w:u w:val="single"/>
          </w:rPr>
          <w:t>https://svetpf.org/</w:t>
        </w:r>
      </w:hyperlink>
      <w:r>
        <w:rPr>
          <w:rFonts w:ascii="Times New Roman" w:eastAsia="Times New Roman" w:hAnsi="Times New Roman" w:cs="Times New Roman"/>
          <w:sz w:val="20"/>
          <w:szCs w:val="20"/>
        </w:rPr>
        <w:t xml:space="preserve"> </w:t>
      </w:r>
    </w:p>
  </w:footnote>
  <w:footnote w:id="5">
    <w:p w:rsidR="00570FE3" w:rsidRDefault="00B46D3D">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5">
        <w:r>
          <w:rPr>
            <w:rFonts w:ascii="Times New Roman" w:eastAsia="Times New Roman" w:hAnsi="Times New Roman" w:cs="Times New Roman"/>
            <w:color w:val="1155CC"/>
            <w:sz w:val="20"/>
            <w:szCs w:val="20"/>
            <w:u w:val="single"/>
          </w:rPr>
          <w:t>https://www.facebook.com/Shyrak.ngo/</w:t>
        </w:r>
      </w:hyperlink>
      <w:r>
        <w:rPr>
          <w:rFonts w:ascii="Times New Roman" w:eastAsia="Times New Roman" w:hAnsi="Times New Roman" w:cs="Times New Roman"/>
          <w:sz w:val="20"/>
          <w:szCs w:val="20"/>
        </w:rPr>
        <w:t xml:space="preserve"> </w:t>
      </w:r>
    </w:p>
  </w:footnote>
  <w:footnote w:id="6">
    <w:p w:rsidR="00570FE3" w:rsidRDefault="00B46D3D">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6">
        <w:r>
          <w:rPr>
            <w:rFonts w:ascii="Times New Roman" w:eastAsia="Times New Roman" w:hAnsi="Times New Roman" w:cs="Times New Roman"/>
            <w:color w:val="1155CC"/>
            <w:sz w:val="20"/>
            <w:szCs w:val="20"/>
            <w:u w:val="single"/>
          </w:rPr>
          <w:t>https://www.facebook.com/networkvawinca/</w:t>
        </w:r>
      </w:hyperlink>
      <w:r>
        <w:rPr>
          <w:rFonts w:ascii="Times New Roman" w:eastAsia="Times New Roman" w:hAnsi="Times New Roman" w:cs="Times New Roman"/>
          <w:sz w:val="20"/>
          <w:szCs w:val="20"/>
        </w:rPr>
        <w:t xml:space="preserve"> </w:t>
      </w:r>
    </w:p>
  </w:footnote>
  <w:footnote w:id="7">
    <w:p w:rsidR="00570FE3" w:rsidRDefault="00B46D3D">
      <w:pPr>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CEDAW/C/KAZ/CO/5, para. 25(b)</w:t>
      </w:r>
    </w:p>
  </w:footnote>
  <w:footnote w:id="8">
    <w:p w:rsidR="00570FE3" w:rsidRDefault="00B46D3D">
      <w:pPr>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CEDAW/C/KAZ/CO/5, para. 25(g)</w:t>
      </w:r>
    </w:p>
  </w:footnote>
  <w:footnote w:id="9">
    <w:p w:rsidR="00570FE3" w:rsidRDefault="00B46D3D">
      <w:pPr>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CEDAW/C/KAZ/CO/5, para. 26</w:t>
      </w:r>
    </w:p>
  </w:footnote>
  <w:footnote w:id="10">
    <w:p w:rsidR="00570FE3" w:rsidRDefault="00B46D3D">
      <w:pPr>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CEDAW/C/KAZ/6</w:t>
      </w:r>
    </w:p>
  </w:footnote>
  <w:footnote w:id="11">
    <w:p w:rsidR="00570FE3" w:rsidRDefault="00B46D3D">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7">
        <w:r>
          <w:rPr>
            <w:rFonts w:ascii="Times New Roman" w:eastAsia="Times New Roman" w:hAnsi="Times New Roman" w:cs="Times New Roman"/>
            <w:color w:val="1155CC"/>
            <w:sz w:val="20"/>
            <w:szCs w:val="20"/>
            <w:u w:val="single"/>
          </w:rPr>
          <w:t>https://www.equalitynow.org/resource/sexual-violence-laws-in-eurasia-towards-a-consent-based-definition/</w:t>
        </w:r>
      </w:hyperlink>
      <w:r>
        <w:rPr>
          <w:rFonts w:ascii="Times New Roman" w:eastAsia="Times New Roman" w:hAnsi="Times New Roman" w:cs="Times New Roman"/>
          <w:sz w:val="20"/>
          <w:szCs w:val="20"/>
        </w:rPr>
        <w:t xml:space="preserve"> </w:t>
      </w:r>
    </w:p>
  </w:footnote>
  <w:footnote w:id="12">
    <w:p w:rsidR="00570FE3" w:rsidRDefault="00B46D3D">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“Article 123. Coercion to Sexual Intercourse, Sodomy, Lesbianism or Other Acts of a</w:t>
      </w:r>
      <w:r>
        <w:rPr>
          <w:rFonts w:ascii="Times New Roman" w:eastAsia="Times New Roman" w:hAnsi="Times New Roman" w:cs="Times New Roman"/>
          <w:sz w:val="20"/>
          <w:szCs w:val="20"/>
        </w:rPr>
        <w:t xml:space="preserve"> Sexual Nature </w:t>
      </w:r>
    </w:p>
    <w:p w:rsidR="00570FE3" w:rsidRDefault="00B46D3D">
      <w:pPr>
        <w:spacing w:line="240" w:lineRule="auto"/>
        <w:rPr>
          <w:rFonts w:ascii="Times New Roman" w:eastAsia="Times New Roman" w:hAnsi="Times New Roman" w:cs="Times New Roman"/>
          <w:sz w:val="20"/>
          <w:szCs w:val="20"/>
        </w:rPr>
      </w:pPr>
      <w:r>
        <w:rPr>
          <w:sz w:val="20"/>
          <w:szCs w:val="20"/>
        </w:rPr>
        <w:t xml:space="preserve">1. </w:t>
      </w:r>
      <w:r>
        <w:rPr>
          <w:rFonts w:ascii="Times New Roman" w:eastAsia="Times New Roman" w:hAnsi="Times New Roman" w:cs="Times New Roman"/>
          <w:sz w:val="20"/>
          <w:szCs w:val="20"/>
        </w:rPr>
        <w:t>Coercion of a person into sexual intercourse, sodomy, lesbianism, or other acts of a sexual nature through blackmail, threats of destruction, damage or seizure of property, or by exploiting the victim’s material or other dependency”</w:t>
      </w:r>
    </w:p>
  </w:footnote>
  <w:footnote w:id="13">
    <w:p w:rsidR="00570FE3" w:rsidRDefault="00B46D3D">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Council of Europ</w:t>
      </w:r>
      <w:r>
        <w:rPr>
          <w:rFonts w:ascii="Times New Roman" w:eastAsia="Times New Roman" w:hAnsi="Times New Roman" w:cs="Times New Roman"/>
          <w:sz w:val="20"/>
          <w:szCs w:val="20"/>
        </w:rPr>
        <w:t>e Convention on preventing and combating violence against women and domestic violence (CETS No. 210) (Istanbul Convention), Article 46(a)</w:t>
      </w:r>
    </w:p>
  </w:footnote>
  <w:footnote w:id="14">
    <w:p w:rsidR="00570FE3" w:rsidRDefault="00B46D3D">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This formulation uses outdated and discriminatory terminology—specifically the references to “sodomy” and “lesbianis</w:t>
      </w:r>
      <w:r>
        <w:rPr>
          <w:rFonts w:ascii="Times New Roman" w:eastAsia="Times New Roman" w:hAnsi="Times New Roman" w:cs="Times New Roman"/>
          <w:sz w:val="20"/>
          <w:szCs w:val="20"/>
        </w:rPr>
        <w:t>m”—which stigmatize same-sex sexual conduct and are not in line with international human rights standards. E.g., CEDAW/C/KAZ/CO/5, para. 48(b)(iv)</w:t>
      </w:r>
    </w:p>
  </w:footnote>
  <w:footnote w:id="15">
    <w:p w:rsidR="00570FE3" w:rsidRDefault="00B46D3D">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CEDAW/C/KAZ/CO/5, para. 26(f)</w:t>
      </w:r>
    </w:p>
  </w:footnote>
  <w:footnote w:id="16">
    <w:p w:rsidR="00570FE3" w:rsidRDefault="00B46D3D">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CR</w:t>
      </w:r>
      <w:r>
        <w:rPr>
          <w:rFonts w:ascii="Times New Roman" w:eastAsia="Times New Roman" w:hAnsi="Times New Roman" w:cs="Times New Roman"/>
          <w:sz w:val="20"/>
          <w:szCs w:val="20"/>
        </w:rPr>
        <w:t>PD/C/GEO/CO/1, paras. 27-28</w:t>
      </w:r>
    </w:p>
  </w:footnote>
  <w:footnote w:id="17">
    <w:p w:rsidR="00570FE3" w:rsidRDefault="00B46D3D">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CEDAW/C/GC/31/Rev.1–CRC/C/GC/18/Rev.1, para. 55(f)</w:t>
      </w:r>
    </w:p>
  </w:footnote>
  <w:footnote w:id="18">
    <w:p w:rsidR="00570FE3" w:rsidRDefault="00B46D3D">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Code of the Republic of Kazakhstan dated 26 December 2011 No. 518-IV “On Marriage and Family”, Article 10(1)</w:t>
      </w:r>
    </w:p>
  </w:footnote>
  <w:footnote w:id="19">
    <w:p w:rsidR="00570FE3" w:rsidRDefault="00B46D3D">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Code of the Republic of Kazakhstan dated 26 December 2011 No. 518-IV “On Marriage and Family”, Article 10(2)</w:t>
      </w:r>
    </w:p>
  </w:footnote>
  <w:footnote w:id="20">
    <w:p w:rsidR="00570FE3" w:rsidRDefault="00B46D3D">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8">
        <w:r>
          <w:rPr>
            <w:rFonts w:ascii="Times New Roman" w:eastAsia="Times New Roman" w:hAnsi="Times New Roman" w:cs="Times New Roman"/>
            <w:color w:val="1155CC"/>
            <w:sz w:val="20"/>
            <w:szCs w:val="20"/>
            <w:u w:val="single"/>
          </w:rPr>
          <w:t>https://childmarriagedata.org/country-profiles/kazakhstan/</w:t>
        </w:r>
      </w:hyperlink>
      <w:r>
        <w:rPr>
          <w:rFonts w:ascii="Times New Roman" w:eastAsia="Times New Roman" w:hAnsi="Times New Roman" w:cs="Times New Roman"/>
          <w:sz w:val="20"/>
          <w:szCs w:val="20"/>
        </w:rPr>
        <w:t xml:space="preserve"> </w:t>
      </w:r>
    </w:p>
  </w:footnote>
  <w:footnote w:id="21">
    <w:p w:rsidR="00570FE3" w:rsidRDefault="00B46D3D">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CEDAW/C/KAZ/CO/5, paras. 23-24</w:t>
      </w:r>
    </w:p>
  </w:footnote>
  <w:footnote w:id="22">
    <w:p w:rsidR="00570FE3" w:rsidRDefault="00B46D3D">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For example, media sources cite the following statement by </w:t>
      </w:r>
      <w:proofErr w:type="spellStart"/>
      <w:r>
        <w:rPr>
          <w:rFonts w:ascii="Times New Roman" w:eastAsia="Times New Roman" w:hAnsi="Times New Roman" w:cs="Times New Roman"/>
          <w:sz w:val="20"/>
          <w:szCs w:val="20"/>
        </w:rPr>
        <w:t>Mazhilis</w:t>
      </w:r>
      <w:proofErr w:type="spellEnd"/>
      <w:r>
        <w:rPr>
          <w:rFonts w:ascii="Times New Roman" w:eastAsia="Times New Roman" w:hAnsi="Times New Roman" w:cs="Times New Roman"/>
          <w:sz w:val="20"/>
          <w:szCs w:val="20"/>
        </w:rPr>
        <w:t xml:space="preserve"> deputy Murat </w:t>
      </w:r>
      <w:proofErr w:type="spellStart"/>
      <w:r>
        <w:rPr>
          <w:rFonts w:ascii="Times New Roman" w:eastAsia="Times New Roman" w:hAnsi="Times New Roman" w:cs="Times New Roman"/>
          <w:sz w:val="20"/>
          <w:szCs w:val="20"/>
        </w:rPr>
        <w:t>Aben</w:t>
      </w:r>
      <w:r>
        <w:rPr>
          <w:rFonts w:ascii="Times New Roman" w:eastAsia="Times New Roman" w:hAnsi="Times New Roman" w:cs="Times New Roman"/>
          <w:sz w:val="20"/>
          <w:szCs w:val="20"/>
        </w:rPr>
        <w:t>ov</w:t>
      </w:r>
      <w:proofErr w:type="spellEnd"/>
      <w:r>
        <w:rPr>
          <w:rFonts w:ascii="Times New Roman" w:eastAsia="Times New Roman" w:hAnsi="Times New Roman" w:cs="Times New Roman"/>
          <w:sz w:val="20"/>
          <w:szCs w:val="20"/>
        </w:rPr>
        <w:t>: “In the span of three years, there were 214 police complaints related to forced marriage through bride kidnapping. Only 10 of these cases made it to court.</w:t>
      </w:r>
      <w:bookmarkStart w:id="8" w:name="_GoBack"/>
      <w:bookmarkEnd w:id="8"/>
      <w:r>
        <w:rPr>
          <w:rFonts w:ascii="Times New Roman" w:eastAsia="Times New Roman" w:hAnsi="Times New Roman" w:cs="Times New Roman"/>
          <w:sz w:val="20"/>
          <w:szCs w:val="20"/>
        </w:rPr>
        <w:t xml:space="preserve"> In half of those, the perpetrators were released and no action was taken. In the remaining 204 c</w:t>
      </w:r>
      <w:r>
        <w:rPr>
          <w:rFonts w:ascii="Times New Roman" w:eastAsia="Times New Roman" w:hAnsi="Times New Roman" w:cs="Times New Roman"/>
          <w:sz w:val="20"/>
          <w:szCs w:val="20"/>
        </w:rPr>
        <w:t xml:space="preserve">ases, the complaints were not even </w:t>
      </w:r>
      <w:proofErr w:type="spellStart"/>
      <w:r>
        <w:rPr>
          <w:rFonts w:ascii="Times New Roman" w:eastAsia="Times New Roman" w:hAnsi="Times New Roman" w:cs="Times New Roman"/>
          <w:sz w:val="20"/>
          <w:szCs w:val="20"/>
        </w:rPr>
        <w:t>consideredl</w:t>
      </w:r>
      <w:proofErr w:type="spellEnd"/>
      <w:r>
        <w:rPr>
          <w:rFonts w:ascii="Times New Roman" w:eastAsia="Times New Roman" w:hAnsi="Times New Roman" w:cs="Times New Roman"/>
          <w:sz w:val="20"/>
          <w:szCs w:val="20"/>
        </w:rPr>
        <w:t xml:space="preserve">.”, available at: </w:t>
      </w:r>
      <w:hyperlink r:id="rId9">
        <w:r>
          <w:rPr>
            <w:rFonts w:ascii="Times New Roman" w:eastAsia="Times New Roman" w:hAnsi="Times New Roman" w:cs="Times New Roman"/>
            <w:color w:val="1155CC"/>
            <w:sz w:val="20"/>
            <w:szCs w:val="20"/>
            <w:u w:val="single"/>
          </w:rPr>
          <w:t>https://rtvi.com/news/do-semi-let-kolonii-v-kazahstane-vvoditsy</w:t>
        </w:r>
        <w:r>
          <w:rPr>
            <w:rFonts w:ascii="Times New Roman" w:eastAsia="Times New Roman" w:hAnsi="Times New Roman" w:cs="Times New Roman"/>
            <w:color w:val="1155CC"/>
            <w:sz w:val="20"/>
            <w:szCs w:val="20"/>
            <w:u w:val="single"/>
          </w:rPr>
          <w:t>a-ugolovnaya-otvetstvennost-za-krazhu-nevesty/</w:t>
        </w:r>
      </w:hyperlink>
      <w:r>
        <w:rPr>
          <w:rFonts w:ascii="Times New Roman" w:eastAsia="Times New Roman" w:hAnsi="Times New Roman" w:cs="Times New Roman"/>
          <w:sz w:val="20"/>
          <w:szCs w:val="20"/>
        </w:rPr>
        <w:t xml:space="preserve"> </w:t>
      </w:r>
    </w:p>
  </w:footnote>
  <w:footnote w:id="23">
    <w:p w:rsidR="00570FE3" w:rsidRDefault="00B46D3D">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Combating violence against women: minimum standards for support services, p.28-29, Council of Europe, Strasbourg, September 2008 </w:t>
      </w:r>
      <w:hyperlink r:id="rId10">
        <w:r>
          <w:rPr>
            <w:rFonts w:ascii="Times New Roman" w:eastAsia="Times New Roman" w:hAnsi="Times New Roman" w:cs="Times New Roman"/>
            <w:color w:val="1155CC"/>
            <w:sz w:val="20"/>
            <w:szCs w:val="20"/>
            <w:u w:val="single"/>
          </w:rPr>
          <w:t>https://www.coe.int/t/dg2/equality/domesticviolencecampaign/Source/EG-VAW-CONF(2007)Study%20rev.en.pdf</w:t>
        </w:r>
      </w:hyperlink>
      <w:r>
        <w:rPr>
          <w:rFonts w:ascii="Times New Roman" w:eastAsia="Times New Roman" w:hAnsi="Times New Roman" w:cs="Times New Roman"/>
          <w:sz w:val="20"/>
          <w:szCs w:val="20"/>
        </w:rPr>
        <w:t xml:space="preserve"> </w:t>
      </w:r>
    </w:p>
  </w:footnote>
  <w:footnote w:id="24">
    <w:p w:rsidR="00570FE3" w:rsidRDefault="00B46D3D">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Law of the Republic of Kazakhstan dated July 5, 2018 'On Advocacy and Legal Assistance'", Article</w:t>
      </w:r>
      <w:r>
        <w:rPr>
          <w:rFonts w:ascii="Times New Roman" w:eastAsia="Times New Roman" w:hAnsi="Times New Roman" w:cs="Times New Roman"/>
          <w:sz w:val="20"/>
          <w:szCs w:val="20"/>
        </w:rPr>
        <w:t xml:space="preserve"> 26</w:t>
      </w:r>
    </w:p>
  </w:footnote>
  <w:footnote w:id="25">
    <w:p w:rsidR="00570FE3" w:rsidRDefault="00B46D3D">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Criteria of quality for provision of state guaranteed legal aid. Available at:</w:t>
      </w:r>
      <w:hyperlink r:id="rId11">
        <w:r>
          <w:rPr>
            <w:rFonts w:ascii="Times New Roman" w:eastAsia="Times New Roman" w:hAnsi="Times New Roman" w:cs="Times New Roman"/>
            <w:sz w:val="20"/>
            <w:szCs w:val="20"/>
          </w:rPr>
          <w:t xml:space="preserve"> </w:t>
        </w:r>
      </w:hyperlink>
      <w:hyperlink r:id="rId12">
        <w:r>
          <w:rPr>
            <w:rFonts w:ascii="Times New Roman" w:eastAsia="Times New Roman" w:hAnsi="Times New Roman" w:cs="Times New Roman"/>
            <w:color w:val="1155CC"/>
            <w:sz w:val="20"/>
            <w:szCs w:val="20"/>
            <w:u w:val="single"/>
          </w:rPr>
          <w:t>https://adilet.zan.kz/rus/docs/V1800017510</w:t>
        </w:r>
      </w:hyperlink>
      <w:r>
        <w:rPr>
          <w:rFonts w:ascii="Times New Roman" w:eastAsia="Times New Roman" w:hAnsi="Times New Roman" w:cs="Times New Roman"/>
          <w:sz w:val="20"/>
          <w:szCs w:val="20"/>
        </w:rPr>
        <w:t xml:space="preserve"> (last assessed 15 May 2025). </w:t>
      </w:r>
    </w:p>
  </w:footnote>
  <w:footnote w:id="26">
    <w:p w:rsidR="00570FE3" w:rsidRDefault="00B46D3D">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13">
        <w:r>
          <w:rPr>
            <w:rFonts w:ascii="Times New Roman" w:eastAsia="Times New Roman" w:hAnsi="Times New Roman" w:cs="Times New Roman"/>
            <w:color w:val="1155CC"/>
            <w:sz w:val="20"/>
            <w:szCs w:val="20"/>
            <w:u w:val="single"/>
          </w:rPr>
          <w:t>https://advokatura.kz/ru/news/obrasenie-prezidiuma-respublikanskoj-kollegii-advokat</w:t>
        </w:r>
        <w:r>
          <w:rPr>
            <w:rFonts w:ascii="Times New Roman" w:eastAsia="Times New Roman" w:hAnsi="Times New Roman" w:cs="Times New Roman"/>
            <w:color w:val="1155CC"/>
            <w:sz w:val="20"/>
            <w:szCs w:val="20"/>
            <w:u w:val="single"/>
          </w:rPr>
          <w:t>ov-v-adres-parlamenta-i-pravitel-stva-respubliki-kazahstan-o-kriticeskom-sostoanii-sistemy-garantirovannoj-gosudarstvom-uridiceskoj-pomosi?fbclid=IwY2xjawKXqrBleHRuA2FlbQIxMABicmlkETFUcjZhT3N0dWJxanhhN1YzAR7owh9EQRYQoWJ5NcZIFz2lnjfAzsyELdxd0ZSZ0oOWnJTqam3r</w:t>
        </w:r>
        <w:r>
          <w:rPr>
            <w:rFonts w:ascii="Times New Roman" w:eastAsia="Times New Roman" w:hAnsi="Times New Roman" w:cs="Times New Roman"/>
            <w:color w:val="1155CC"/>
            <w:sz w:val="20"/>
            <w:szCs w:val="20"/>
            <w:u w:val="single"/>
          </w:rPr>
          <w:t>6ck0VxV3hg_aem_gFqWGMAz02BOa8osU4EVXA</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0FE3" w:rsidRDefault="00570FE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0FE3" w:rsidRDefault="00B46D3D">
    <w:r>
      <w:rPr>
        <w:noProof/>
      </w:rPr>
      <w:drawing>
        <wp:inline distT="114300" distB="114300" distL="114300" distR="114300">
          <wp:extent cx="1800000" cy="18000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800000" cy="1800000"/>
                  </a:xfrm>
                  <a:prstGeom prst="rect">
                    <a:avLst/>
                  </a:prstGeom>
                  <a:ln/>
                </pic:spPr>
              </pic:pic>
            </a:graphicData>
          </a:graphic>
        </wp:inline>
      </w:drawing>
    </w:r>
    <w:r>
      <w:rPr>
        <w:noProof/>
      </w:rPr>
      <w:drawing>
        <wp:inline distT="114300" distB="114300" distL="114300" distR="114300">
          <wp:extent cx="1902748" cy="1800000"/>
          <wp:effectExtent l="0" t="0" r="0" b="0"/>
          <wp:docPr id="3"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2"/>
                  <a:srcRect/>
                  <a:stretch>
                    <a:fillRect/>
                  </a:stretch>
                </pic:blipFill>
                <pic:spPr>
                  <a:xfrm>
                    <a:off x="0" y="0"/>
                    <a:ext cx="1902748" cy="1800000"/>
                  </a:xfrm>
                  <a:prstGeom prst="rect">
                    <a:avLst/>
                  </a:prstGeom>
                  <a:ln/>
                </pic:spPr>
              </pic:pic>
            </a:graphicData>
          </a:graphic>
        </wp:inline>
      </w:drawing>
    </w:r>
    <w:r>
      <w:rPr>
        <w:noProof/>
      </w:rPr>
      <w:drawing>
        <wp:inline distT="114300" distB="114300" distL="114300" distR="114300">
          <wp:extent cx="1465798" cy="18000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
                  <a:srcRect/>
                  <a:stretch>
                    <a:fillRect/>
                  </a:stretch>
                </pic:blipFill>
                <pic:spPr>
                  <a:xfrm>
                    <a:off x="0" y="0"/>
                    <a:ext cx="1465798" cy="18000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08677C"/>
    <w:multiLevelType w:val="multilevel"/>
    <w:tmpl w:val="96EEC5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28161F63"/>
    <w:multiLevelType w:val="multilevel"/>
    <w:tmpl w:val="9E7A2E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17D53EF"/>
    <w:multiLevelType w:val="multilevel"/>
    <w:tmpl w:val="9828D90C"/>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0FE3"/>
    <w:rsid w:val="00570FE3"/>
    <w:rsid w:val="008218FF"/>
    <w:rsid w:val="00B46D3D"/>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449FD4"/>
  <w15:docId w15:val="{33B312AF-AA62-4452-958C-B2766949D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MY"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childmarriagedata.org/country-profiles/kazakhstan/" TargetMode="External"/><Relationship Id="rId13" Type="http://schemas.openxmlformats.org/officeDocument/2006/relationships/hyperlink" Target="https://advokatura.kz/ru/news/obrasenie-prezidiuma-respublikanskoj-kollegii-advokatov-v-adres-parlamenta-i-pravitel-stva-respubliki-kazahstan-o-kriticeskom-sostoanii-sistemy-garantirovannoj-gosudarstvom-uridiceskoj-pomosi?fbclid=IwY2xjawKXqrBleHRuA2FlbQIxMABicmlkETFUcjZhT3N0dWJxanhhN1YzAR7owh9EQRYQoWJ5NcZIFz2lnjfAzsyELdxd0ZSZ0oOWnJTqam3r6ck0VxV3hg_aem_gFqWGMAz02BOa8osU4EVXA" TargetMode="External"/><Relationship Id="rId3" Type="http://schemas.openxmlformats.org/officeDocument/2006/relationships/hyperlink" Target="https://equalitynow.org/resource-center/?ReType=56&amp;CountryType=185" TargetMode="External"/><Relationship Id="rId7" Type="http://schemas.openxmlformats.org/officeDocument/2006/relationships/hyperlink" Target="https://www.equalitynow.org/resource/sexual-violence-laws-in-eurasia-towards-a-consent-based-definition/" TargetMode="External"/><Relationship Id="rId12" Type="http://schemas.openxmlformats.org/officeDocument/2006/relationships/hyperlink" Target="https://adilet.zan.kz/rus/docs/V1800017510" TargetMode="External"/><Relationship Id="rId2" Type="http://schemas.openxmlformats.org/officeDocument/2006/relationships/hyperlink" Target="https://equalitynow.org/resource/roadblocks_to_justice/" TargetMode="External"/><Relationship Id="rId1" Type="http://schemas.openxmlformats.org/officeDocument/2006/relationships/hyperlink" Target="https://equalitynow.org/" TargetMode="External"/><Relationship Id="rId6" Type="http://schemas.openxmlformats.org/officeDocument/2006/relationships/hyperlink" Target="https://www.facebook.com/networkvawinca/" TargetMode="External"/><Relationship Id="rId11" Type="http://schemas.openxmlformats.org/officeDocument/2006/relationships/hyperlink" Target="https://adilet.zan.kz/rus/docs/V1800017510" TargetMode="External"/><Relationship Id="rId5" Type="http://schemas.openxmlformats.org/officeDocument/2006/relationships/hyperlink" Target="https://www.facebook.com/Shyrak.ngo/" TargetMode="External"/><Relationship Id="rId10" Type="http://schemas.openxmlformats.org/officeDocument/2006/relationships/hyperlink" Target="https://www.coe.int/t/dg2/equality/domesticviolencecampaign/Source/EG-VAW-CONF(2007)Study%20rev.en.pdf" TargetMode="External"/><Relationship Id="rId4" Type="http://schemas.openxmlformats.org/officeDocument/2006/relationships/hyperlink" Target="https://svetpf.org/" TargetMode="External"/><Relationship Id="rId9" Type="http://schemas.openxmlformats.org/officeDocument/2006/relationships/hyperlink" Target="https://rtvi.com/news/do-semi-let-kolonii-v-kazahstane-vvoditsya-ugolovnaya-otvetstvennost-za-krazhu-nevesty/"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14</Pages>
  <Words>4506</Words>
  <Characters>26000</Characters>
  <Application>Microsoft Office Word</Application>
  <DocSecurity>0</DocSecurity>
  <Lines>440</Lines>
  <Paragraphs>107</Paragraphs>
  <ScaleCrop>false</ScaleCrop>
  <Company>Equality Now</Company>
  <LinksUpToDate>false</LinksUpToDate>
  <CharactersWithSpaces>30399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Lenovo</cp:lastModifiedBy>
  <cp:revision>2</cp:revision>
  <dcterms:created xsi:type="dcterms:W3CDTF">2025-05-23T14:32:00Z</dcterms:created>
  <dcterms:modified xsi:type="dcterms:W3CDTF">2025-05-23T14:34:00Z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13d21221-5f65-446e-b927-36765c71680e</vt:lpwstr>
  </property>
</Properties>
</file>