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A5EFC1" w14:textId="77777777" w:rsidR="007F7E9F" w:rsidRPr="003425EC" w:rsidRDefault="007F7E9F" w:rsidP="007F7E9F">
      <w:pPr>
        <w:pStyle w:val="Heading1"/>
        <w:rPr>
          <w:b/>
          <w:bCs/>
          <w:color w:val="77206D" w:themeColor="accent5" w:themeShade="BF"/>
        </w:rPr>
      </w:pPr>
      <w:r w:rsidRPr="003425EC">
        <w:rPr>
          <w:b/>
          <w:bCs/>
          <w:color w:val="77206D" w:themeColor="accent5" w:themeShade="BF"/>
        </w:rPr>
        <w:t>United Nations International Covenant on Economic</w:t>
      </w:r>
      <w:r>
        <w:rPr>
          <w:b/>
          <w:bCs/>
          <w:color w:val="77206D" w:themeColor="accent5" w:themeShade="BF"/>
        </w:rPr>
        <w:t>,</w:t>
      </w:r>
      <w:r w:rsidRPr="003425EC">
        <w:rPr>
          <w:b/>
          <w:bCs/>
          <w:color w:val="77206D" w:themeColor="accent5" w:themeShade="BF"/>
        </w:rPr>
        <w:t xml:space="preserve"> Social and Cultural Rights </w:t>
      </w:r>
      <w:r>
        <w:rPr>
          <w:b/>
          <w:bCs/>
          <w:color w:val="77206D" w:themeColor="accent5" w:themeShade="BF"/>
        </w:rPr>
        <w:t>(ICESCR)</w:t>
      </w:r>
    </w:p>
    <w:p w14:paraId="48EB8579" w14:textId="77777777" w:rsidR="007F7E9F" w:rsidRDefault="007F7E9F" w:rsidP="007F7E9F">
      <w:pPr>
        <w:jc w:val="both"/>
        <w:rPr>
          <w:sz w:val="28"/>
          <w:szCs w:val="28"/>
        </w:rPr>
      </w:pPr>
      <w:r w:rsidRPr="5635E278">
        <w:rPr>
          <w:sz w:val="28"/>
          <w:szCs w:val="28"/>
        </w:rPr>
        <w:t xml:space="preserve">Seventh periodic report of the government of the United </w:t>
      </w:r>
      <w:r w:rsidRPr="0055C701">
        <w:rPr>
          <w:sz w:val="28"/>
          <w:szCs w:val="28"/>
        </w:rPr>
        <w:t>Kingdom</w:t>
      </w:r>
      <w:r w:rsidRPr="5635E278">
        <w:rPr>
          <w:sz w:val="28"/>
          <w:szCs w:val="28"/>
        </w:rPr>
        <w:t xml:space="preserve"> on measures taken to give effect to ICESCR </w:t>
      </w:r>
    </w:p>
    <w:p w14:paraId="0E6C3BF1" w14:textId="77777777" w:rsidR="007F7E9F" w:rsidRPr="004475FD" w:rsidRDefault="007F7E9F" w:rsidP="007F7E9F">
      <w:pPr>
        <w:jc w:val="both"/>
        <w:rPr>
          <w:sz w:val="22"/>
          <w:szCs w:val="22"/>
        </w:rPr>
      </w:pPr>
    </w:p>
    <w:p w14:paraId="69443CE1" w14:textId="77777777" w:rsidR="007F7E9F" w:rsidRPr="00646D99" w:rsidRDefault="007F7E9F" w:rsidP="007F7E9F">
      <w:pPr>
        <w:pStyle w:val="Heading3"/>
        <w:rPr>
          <w:b/>
          <w:bCs/>
        </w:rPr>
      </w:pPr>
      <w:r>
        <w:rPr>
          <w:b/>
          <w:bCs/>
          <w:color w:val="0070C0"/>
        </w:rPr>
        <w:t>LGBTIA+ Coalition</w:t>
      </w:r>
      <w:r w:rsidRPr="00DB0EEF">
        <w:rPr>
          <w:b/>
          <w:bCs/>
          <w:color w:val="0070C0"/>
        </w:rPr>
        <w:t xml:space="preserve"> Shadow Report January 2025</w:t>
      </w:r>
    </w:p>
    <w:p w14:paraId="79E063A5" w14:textId="77777777" w:rsidR="007F7E9F" w:rsidRDefault="007F7E9F" w:rsidP="007F7E9F">
      <w:pPr>
        <w:jc w:val="both"/>
      </w:pPr>
      <w:r>
        <w:t xml:space="preserve">This shadow report has been produced by the following civil society organisations in Scotland working on LGBTIA+ equality and human rights: </w:t>
      </w:r>
    </w:p>
    <w:tbl>
      <w:tblPr>
        <w:tblStyle w:val="TableGrid"/>
        <w:tblpPr w:leftFromText="180" w:rightFromText="180" w:vertAnchor="text" w:horzAnchor="margin" w:tblpY="-18"/>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47"/>
        <w:gridCol w:w="6469"/>
      </w:tblGrid>
      <w:tr w:rsidR="007F7E9F" w14:paraId="64DA0F94" w14:textId="77777777" w:rsidTr="00B34374">
        <w:tc>
          <w:tcPr>
            <w:tcW w:w="2547" w:type="dxa"/>
          </w:tcPr>
          <w:p w14:paraId="305B9DF7" w14:textId="77777777" w:rsidR="007F7E9F" w:rsidRDefault="007F7E9F" w:rsidP="00B34374">
            <w:pPr>
              <w:pStyle w:val="Heading3"/>
              <w:rPr>
                <w:b/>
                <w:bCs/>
                <w:color w:val="0070C0"/>
              </w:rPr>
            </w:pPr>
            <w:r>
              <w:rPr>
                <w:noProof/>
              </w:rPr>
              <w:drawing>
                <wp:anchor distT="0" distB="0" distL="114300" distR="114300" simplePos="0" relativeHeight="251659264" behindDoc="1" locked="0" layoutInCell="1" allowOverlap="1" wp14:anchorId="03642C3E" wp14:editId="3501FAD3">
                  <wp:simplePos x="0" y="0"/>
                  <wp:positionH relativeFrom="column">
                    <wp:posOffset>-49530</wp:posOffset>
                  </wp:positionH>
                  <wp:positionV relativeFrom="paragraph">
                    <wp:posOffset>133350</wp:posOffset>
                  </wp:positionV>
                  <wp:extent cx="1178560" cy="413385"/>
                  <wp:effectExtent l="0" t="0" r="2540" b="5715"/>
                  <wp:wrapTight wrapText="bothSides">
                    <wp:wrapPolygon edited="0">
                      <wp:start x="1397" y="0"/>
                      <wp:lineTo x="0" y="3982"/>
                      <wp:lineTo x="0" y="16922"/>
                      <wp:lineTo x="1397" y="20903"/>
                      <wp:lineTo x="5935" y="20903"/>
                      <wp:lineTo x="21297" y="19908"/>
                      <wp:lineTo x="21297" y="2986"/>
                      <wp:lineTo x="5935" y="0"/>
                      <wp:lineTo x="1397" y="0"/>
                    </wp:wrapPolygon>
                  </wp:wrapTight>
                  <wp:docPr id="950319742" name="Picture 1" descr="A green and purple text on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0319742" name="Picture 1" descr="A green and purple text on a black background&#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1178560" cy="413385"/>
                          </a:xfrm>
                          <a:prstGeom prst="rect">
                            <a:avLst/>
                          </a:prstGeom>
                        </pic:spPr>
                      </pic:pic>
                    </a:graphicData>
                  </a:graphic>
                  <wp14:sizeRelH relativeFrom="margin">
                    <wp14:pctWidth>0</wp14:pctWidth>
                  </wp14:sizeRelH>
                  <wp14:sizeRelV relativeFrom="margin">
                    <wp14:pctHeight>0</wp14:pctHeight>
                  </wp14:sizeRelV>
                </wp:anchor>
              </w:drawing>
            </w:r>
          </w:p>
          <w:p w14:paraId="45C7CB4C" w14:textId="77777777" w:rsidR="007F7E9F" w:rsidRDefault="007F7E9F" w:rsidP="00B34374"/>
          <w:p w14:paraId="1CCEEFCA" w14:textId="77777777" w:rsidR="007F7E9F" w:rsidRPr="00C37E65" w:rsidRDefault="007F7E9F" w:rsidP="00B34374"/>
        </w:tc>
        <w:tc>
          <w:tcPr>
            <w:tcW w:w="6469" w:type="dxa"/>
          </w:tcPr>
          <w:p w14:paraId="49D1CF4E" w14:textId="77777777" w:rsidR="007F7E9F" w:rsidRDefault="007F7E9F" w:rsidP="00B34374">
            <w:pPr>
              <w:pStyle w:val="Heading3"/>
              <w:rPr>
                <w:b/>
                <w:bCs/>
                <w:color w:val="0070C0"/>
                <w:sz w:val="24"/>
                <w:szCs w:val="24"/>
              </w:rPr>
            </w:pPr>
            <w:r>
              <w:rPr>
                <w:b/>
                <w:bCs/>
                <w:color w:val="0070C0"/>
                <w:sz w:val="24"/>
                <w:szCs w:val="24"/>
              </w:rPr>
              <w:t>Equality Network</w:t>
            </w:r>
          </w:p>
          <w:p w14:paraId="110AC2A6" w14:textId="77777777" w:rsidR="007F7E9F" w:rsidRPr="001E77DF" w:rsidRDefault="007F7E9F" w:rsidP="00B34374">
            <w:r>
              <w:t xml:space="preserve">A national LGBTI equality and human rights charity in Scotland </w:t>
            </w:r>
          </w:p>
        </w:tc>
      </w:tr>
      <w:tr w:rsidR="007F7E9F" w14:paraId="5F8C3CF7" w14:textId="77777777" w:rsidTr="00B34374">
        <w:tc>
          <w:tcPr>
            <w:tcW w:w="2547" w:type="dxa"/>
          </w:tcPr>
          <w:p w14:paraId="1C94803A" w14:textId="77777777" w:rsidR="007F7E9F" w:rsidRPr="00C37E65" w:rsidRDefault="007F7E9F" w:rsidP="00B34374">
            <w:r>
              <w:rPr>
                <w:noProof/>
              </w:rPr>
              <w:drawing>
                <wp:anchor distT="0" distB="0" distL="114300" distR="114300" simplePos="0" relativeHeight="251661312" behindDoc="1" locked="0" layoutInCell="1" allowOverlap="1" wp14:anchorId="28004240" wp14:editId="2CFA63AC">
                  <wp:simplePos x="0" y="0"/>
                  <wp:positionH relativeFrom="column">
                    <wp:posOffset>-65162</wp:posOffset>
                  </wp:positionH>
                  <wp:positionV relativeFrom="paragraph">
                    <wp:posOffset>129729</wp:posOffset>
                  </wp:positionV>
                  <wp:extent cx="1210310" cy="438150"/>
                  <wp:effectExtent l="0" t="0" r="8890" b="0"/>
                  <wp:wrapTight wrapText="bothSides">
                    <wp:wrapPolygon edited="0">
                      <wp:start x="2720" y="0"/>
                      <wp:lineTo x="0" y="939"/>
                      <wp:lineTo x="0" y="17843"/>
                      <wp:lineTo x="1700" y="20661"/>
                      <wp:lineTo x="6120" y="20661"/>
                      <wp:lineTo x="13599" y="20661"/>
                      <wp:lineTo x="18359" y="18783"/>
                      <wp:lineTo x="18019" y="15026"/>
                      <wp:lineTo x="21419" y="10330"/>
                      <wp:lineTo x="21419" y="1878"/>
                      <wp:lineTo x="5780" y="0"/>
                      <wp:lineTo x="2720" y="0"/>
                    </wp:wrapPolygon>
                  </wp:wrapTight>
                  <wp:docPr id="922720391" name="Picture 4" descr="A logo with purple lett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A logo with purple letters&#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210310" cy="4381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807F449" w14:textId="77777777" w:rsidR="007F7E9F" w:rsidRDefault="007F7E9F" w:rsidP="00B34374"/>
          <w:p w14:paraId="34334560" w14:textId="77777777" w:rsidR="007F7E9F" w:rsidRDefault="007F7E9F" w:rsidP="00B34374"/>
          <w:p w14:paraId="2DF937D6" w14:textId="77777777" w:rsidR="007F7E9F" w:rsidRPr="00C37E65" w:rsidRDefault="007F7E9F" w:rsidP="00B34374"/>
        </w:tc>
        <w:tc>
          <w:tcPr>
            <w:tcW w:w="6469" w:type="dxa"/>
          </w:tcPr>
          <w:p w14:paraId="4CDFDCEA" w14:textId="77777777" w:rsidR="007F7E9F" w:rsidRPr="00E2671A" w:rsidRDefault="007F7E9F" w:rsidP="00B34374">
            <w:pPr>
              <w:pStyle w:val="Heading3"/>
              <w:rPr>
                <w:b/>
                <w:bCs/>
                <w:color w:val="0070C0"/>
                <w:sz w:val="24"/>
                <w:szCs w:val="24"/>
              </w:rPr>
            </w:pPr>
            <w:r w:rsidRPr="00E2671A">
              <w:rPr>
                <w:b/>
                <w:bCs/>
                <w:color w:val="0070C0"/>
                <w:sz w:val="24"/>
                <w:szCs w:val="24"/>
              </w:rPr>
              <w:t>Scottish Trans</w:t>
            </w:r>
          </w:p>
          <w:p w14:paraId="432AE47C" w14:textId="77777777" w:rsidR="007F7E9F" w:rsidRPr="0036438C" w:rsidRDefault="007F7E9F" w:rsidP="00B34374">
            <w:r>
              <w:t xml:space="preserve">A project of the Equality Network improving trans equality, rights and inclusion in Scotland  </w:t>
            </w:r>
          </w:p>
        </w:tc>
      </w:tr>
      <w:tr w:rsidR="007F7E9F" w14:paraId="1F65B437" w14:textId="77777777" w:rsidTr="00B34374">
        <w:tc>
          <w:tcPr>
            <w:tcW w:w="2547" w:type="dxa"/>
          </w:tcPr>
          <w:p w14:paraId="220BBA5B" w14:textId="77777777" w:rsidR="007F7E9F" w:rsidRDefault="007F7E9F" w:rsidP="00B34374">
            <w:pPr>
              <w:pStyle w:val="Heading3"/>
              <w:rPr>
                <w:b/>
                <w:bCs/>
                <w:color w:val="0070C0"/>
              </w:rPr>
            </w:pPr>
            <w:r>
              <w:rPr>
                <w:noProof/>
              </w:rPr>
              <w:drawing>
                <wp:anchor distT="0" distB="0" distL="114300" distR="114300" simplePos="0" relativeHeight="251663360" behindDoc="1" locked="0" layoutInCell="1" allowOverlap="1" wp14:anchorId="1CCE8FD5" wp14:editId="3B70A9C2">
                  <wp:simplePos x="0" y="0"/>
                  <wp:positionH relativeFrom="column">
                    <wp:posOffset>112395</wp:posOffset>
                  </wp:positionH>
                  <wp:positionV relativeFrom="paragraph">
                    <wp:posOffset>14605</wp:posOffset>
                  </wp:positionV>
                  <wp:extent cx="984250" cy="695325"/>
                  <wp:effectExtent l="0" t="0" r="0" b="9525"/>
                  <wp:wrapTight wrapText="bothSides">
                    <wp:wrapPolygon edited="0">
                      <wp:start x="8361" y="0"/>
                      <wp:lineTo x="5435" y="592"/>
                      <wp:lineTo x="1254" y="5918"/>
                      <wp:lineTo x="1254" y="11836"/>
                      <wp:lineTo x="2926" y="18937"/>
                      <wp:lineTo x="6689" y="21304"/>
                      <wp:lineTo x="7107" y="21304"/>
                      <wp:lineTo x="8779" y="21304"/>
                      <wp:lineTo x="14214" y="20121"/>
                      <wp:lineTo x="13796" y="18937"/>
                      <wp:lineTo x="20067" y="15978"/>
                      <wp:lineTo x="20485" y="13019"/>
                      <wp:lineTo x="17141" y="9468"/>
                      <wp:lineTo x="17559" y="6510"/>
                      <wp:lineTo x="12960" y="592"/>
                      <wp:lineTo x="10034" y="0"/>
                      <wp:lineTo x="8361" y="0"/>
                    </wp:wrapPolygon>
                  </wp:wrapTight>
                  <wp:docPr id="272215059" name="Picture 6" descr="A colorful circle with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A colorful circle with a black background&#10;&#10;Description automatically generate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984250" cy="69532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6F8FABE" w14:textId="77777777" w:rsidR="007F7E9F" w:rsidRDefault="007F7E9F" w:rsidP="00B34374"/>
          <w:p w14:paraId="08B82205" w14:textId="77777777" w:rsidR="007F7E9F" w:rsidRPr="00C37E65" w:rsidRDefault="007F7E9F" w:rsidP="00B34374"/>
        </w:tc>
        <w:tc>
          <w:tcPr>
            <w:tcW w:w="6469" w:type="dxa"/>
          </w:tcPr>
          <w:p w14:paraId="1AFDC8E0" w14:textId="77777777" w:rsidR="007F7E9F" w:rsidRPr="00E2671A" w:rsidRDefault="007F7E9F" w:rsidP="00B34374">
            <w:pPr>
              <w:pStyle w:val="Heading3"/>
              <w:rPr>
                <w:b/>
                <w:bCs/>
                <w:color w:val="0070C0"/>
                <w:sz w:val="24"/>
                <w:szCs w:val="24"/>
              </w:rPr>
            </w:pPr>
            <w:r w:rsidRPr="00E2671A">
              <w:rPr>
                <w:b/>
                <w:bCs/>
                <w:color w:val="0070C0"/>
                <w:sz w:val="24"/>
                <w:szCs w:val="24"/>
              </w:rPr>
              <w:t>LGBT Health and Wellbeing</w:t>
            </w:r>
          </w:p>
          <w:p w14:paraId="150FEF8D" w14:textId="77777777" w:rsidR="007F7E9F" w:rsidRPr="00AA3756" w:rsidRDefault="007F7E9F" w:rsidP="00B34374">
            <w:r>
              <w:t>Scotland’s national health and wellbeing charity for LGBT+ adults (16+) in Scotland</w:t>
            </w:r>
          </w:p>
        </w:tc>
      </w:tr>
      <w:tr w:rsidR="007F7E9F" w14:paraId="47C0FA3F" w14:textId="77777777" w:rsidTr="00B34374">
        <w:tc>
          <w:tcPr>
            <w:tcW w:w="2547" w:type="dxa"/>
          </w:tcPr>
          <w:p w14:paraId="1BBF5A1B" w14:textId="77777777" w:rsidR="007F7E9F" w:rsidRPr="00C37E65" w:rsidRDefault="007F7E9F" w:rsidP="00B34374">
            <w:r>
              <w:rPr>
                <w:noProof/>
              </w:rPr>
              <w:drawing>
                <wp:anchor distT="0" distB="0" distL="114300" distR="114300" simplePos="0" relativeHeight="251662336" behindDoc="1" locked="0" layoutInCell="1" allowOverlap="1" wp14:anchorId="6C2D46F9" wp14:editId="2008B3F2">
                  <wp:simplePos x="0" y="0"/>
                  <wp:positionH relativeFrom="column">
                    <wp:posOffset>136774</wp:posOffset>
                  </wp:positionH>
                  <wp:positionV relativeFrom="paragraph">
                    <wp:posOffset>123190</wp:posOffset>
                  </wp:positionV>
                  <wp:extent cx="824865" cy="583565"/>
                  <wp:effectExtent l="0" t="0" r="0" b="6985"/>
                  <wp:wrapTight wrapText="bothSides">
                    <wp:wrapPolygon edited="0">
                      <wp:start x="10476" y="0"/>
                      <wp:lineTo x="0" y="4231"/>
                      <wp:lineTo x="0" y="21153"/>
                      <wp:lineTo x="7483" y="21153"/>
                      <wp:lineTo x="20952" y="19743"/>
                      <wp:lineTo x="20952" y="0"/>
                      <wp:lineTo x="13968" y="0"/>
                      <wp:lineTo x="10476" y="0"/>
                    </wp:wrapPolygon>
                  </wp:wrapTight>
                  <wp:docPr id="1080700692" name="Picture 5" descr="A blue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A blue and white logo&#10;&#10;Description automatically generate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824865" cy="58356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6F07329" w14:textId="77777777" w:rsidR="007F7E9F" w:rsidRDefault="007F7E9F" w:rsidP="00B34374"/>
          <w:p w14:paraId="217EABF6" w14:textId="77777777" w:rsidR="007F7E9F" w:rsidRDefault="007F7E9F" w:rsidP="00B34374"/>
          <w:p w14:paraId="1397BB76" w14:textId="77777777" w:rsidR="007F7E9F" w:rsidRPr="00C37E65" w:rsidRDefault="007F7E9F" w:rsidP="00B34374"/>
        </w:tc>
        <w:tc>
          <w:tcPr>
            <w:tcW w:w="6469" w:type="dxa"/>
          </w:tcPr>
          <w:p w14:paraId="3EFF4F18" w14:textId="77777777" w:rsidR="007F7E9F" w:rsidRPr="00E2671A" w:rsidRDefault="007F7E9F" w:rsidP="00B34374">
            <w:pPr>
              <w:pStyle w:val="Heading3"/>
              <w:rPr>
                <w:b/>
                <w:bCs/>
                <w:color w:val="0070C0"/>
                <w:sz w:val="24"/>
                <w:szCs w:val="24"/>
              </w:rPr>
            </w:pPr>
            <w:r w:rsidRPr="00E2671A">
              <w:rPr>
                <w:b/>
                <w:bCs/>
                <w:color w:val="0070C0"/>
                <w:sz w:val="24"/>
                <w:szCs w:val="24"/>
              </w:rPr>
              <w:t>LEAP Sports</w:t>
            </w:r>
            <w:r>
              <w:rPr>
                <w:b/>
                <w:bCs/>
                <w:color w:val="0070C0"/>
                <w:sz w:val="24"/>
                <w:szCs w:val="24"/>
              </w:rPr>
              <w:t xml:space="preserve"> Scotland</w:t>
            </w:r>
          </w:p>
          <w:p w14:paraId="638A3285" w14:textId="0DEDA620" w:rsidR="007F7E9F" w:rsidRPr="00716EC4" w:rsidRDefault="007F7E9F" w:rsidP="00B34374">
            <w:r>
              <w:rPr>
                <w:highlight w:val="white"/>
              </w:rPr>
              <w:t>Scotland’s sports charity working for greater inclusion of LGBTI</w:t>
            </w:r>
            <w:r w:rsidR="004A774D">
              <w:rPr>
                <w:highlight w:val="white"/>
              </w:rPr>
              <w:t>Q+</w:t>
            </w:r>
            <w:r>
              <w:rPr>
                <w:highlight w:val="white"/>
              </w:rPr>
              <w:t xml:space="preserve"> people in sport</w:t>
            </w:r>
          </w:p>
        </w:tc>
      </w:tr>
      <w:tr w:rsidR="007F7E9F" w14:paraId="0DF43ED6" w14:textId="77777777" w:rsidTr="00B34374">
        <w:tc>
          <w:tcPr>
            <w:tcW w:w="2547" w:type="dxa"/>
          </w:tcPr>
          <w:p w14:paraId="514D2C3C" w14:textId="77777777" w:rsidR="007F7E9F" w:rsidRDefault="007F7E9F" w:rsidP="00B34374">
            <w:pPr>
              <w:pStyle w:val="Heading3"/>
              <w:rPr>
                <w:b/>
                <w:bCs/>
                <w:color w:val="0070C0"/>
              </w:rPr>
            </w:pPr>
            <w:r w:rsidRPr="00141E59">
              <w:rPr>
                <w:b/>
                <w:bCs/>
                <w:noProof/>
                <w:color w:val="0070C0"/>
              </w:rPr>
              <w:drawing>
                <wp:anchor distT="0" distB="0" distL="114300" distR="114300" simplePos="0" relativeHeight="251664384" behindDoc="1" locked="0" layoutInCell="1" allowOverlap="1" wp14:anchorId="08EC1D90" wp14:editId="645D109A">
                  <wp:simplePos x="0" y="0"/>
                  <wp:positionH relativeFrom="column">
                    <wp:posOffset>83820</wp:posOffset>
                  </wp:positionH>
                  <wp:positionV relativeFrom="paragraph">
                    <wp:posOffset>49530</wp:posOffset>
                  </wp:positionV>
                  <wp:extent cx="1045210" cy="676275"/>
                  <wp:effectExtent l="0" t="0" r="2540" b="9525"/>
                  <wp:wrapTight wrapText="bothSides">
                    <wp:wrapPolygon edited="0">
                      <wp:start x="0" y="0"/>
                      <wp:lineTo x="0" y="21296"/>
                      <wp:lineTo x="21259" y="21296"/>
                      <wp:lineTo x="21259" y="0"/>
                      <wp:lineTo x="0" y="0"/>
                    </wp:wrapPolygon>
                  </wp:wrapTight>
                  <wp:docPr id="1965462362" name="Picture 1" descr="A logo with a rainbow colored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5462362" name="Picture 1" descr="A logo with a rainbow colored text&#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045210" cy="676275"/>
                          </a:xfrm>
                          <a:prstGeom prst="rect">
                            <a:avLst/>
                          </a:prstGeom>
                        </pic:spPr>
                      </pic:pic>
                    </a:graphicData>
                  </a:graphic>
                  <wp14:sizeRelH relativeFrom="margin">
                    <wp14:pctWidth>0</wp14:pctWidth>
                  </wp14:sizeRelH>
                  <wp14:sizeRelV relativeFrom="margin">
                    <wp14:pctHeight>0</wp14:pctHeight>
                  </wp14:sizeRelV>
                </wp:anchor>
              </w:drawing>
            </w:r>
          </w:p>
          <w:p w14:paraId="18A6E279" w14:textId="77777777" w:rsidR="007F7E9F" w:rsidRDefault="007F7E9F" w:rsidP="00B34374"/>
          <w:p w14:paraId="554B0C47" w14:textId="77777777" w:rsidR="007F7E9F" w:rsidRPr="00C37E65" w:rsidRDefault="007F7E9F" w:rsidP="00B34374"/>
        </w:tc>
        <w:tc>
          <w:tcPr>
            <w:tcW w:w="6469" w:type="dxa"/>
          </w:tcPr>
          <w:p w14:paraId="3B22F535" w14:textId="77777777" w:rsidR="007F7E9F" w:rsidRPr="00E2671A" w:rsidRDefault="007F7E9F" w:rsidP="00B34374">
            <w:pPr>
              <w:pStyle w:val="Heading3"/>
              <w:rPr>
                <w:b/>
                <w:bCs/>
                <w:color w:val="0070C0"/>
                <w:sz w:val="24"/>
                <w:szCs w:val="24"/>
              </w:rPr>
            </w:pPr>
            <w:r w:rsidRPr="00E2671A">
              <w:rPr>
                <w:b/>
                <w:bCs/>
                <w:color w:val="0070C0"/>
                <w:sz w:val="24"/>
                <w:szCs w:val="24"/>
              </w:rPr>
              <w:t xml:space="preserve">Time for Inclusive Education </w:t>
            </w:r>
          </w:p>
          <w:p w14:paraId="4725BDEE" w14:textId="77777777" w:rsidR="007F7E9F" w:rsidRPr="00BB2D7E" w:rsidRDefault="007F7E9F" w:rsidP="00B34374">
            <w:r>
              <w:t>A charity working to address homophobic, biphobic and transphobic prejudice and bullying through education in Scotland</w:t>
            </w:r>
          </w:p>
        </w:tc>
      </w:tr>
      <w:tr w:rsidR="007F7E9F" w14:paraId="56BEF91C" w14:textId="77777777" w:rsidTr="00B34374">
        <w:tc>
          <w:tcPr>
            <w:tcW w:w="2547" w:type="dxa"/>
          </w:tcPr>
          <w:p w14:paraId="6E1B5661" w14:textId="77777777" w:rsidR="007F7E9F" w:rsidRDefault="007F7E9F" w:rsidP="00B34374">
            <w:pPr>
              <w:pStyle w:val="Heading3"/>
              <w:rPr>
                <w:b/>
                <w:bCs/>
                <w:color w:val="0070C0"/>
              </w:rPr>
            </w:pPr>
            <w:r>
              <w:rPr>
                <w:noProof/>
              </w:rPr>
              <w:drawing>
                <wp:anchor distT="0" distB="0" distL="114300" distR="114300" simplePos="0" relativeHeight="251660288" behindDoc="1" locked="0" layoutInCell="1" allowOverlap="1" wp14:anchorId="04F72FE9" wp14:editId="19F5A7E8">
                  <wp:simplePos x="0" y="0"/>
                  <wp:positionH relativeFrom="column">
                    <wp:posOffset>89862</wp:posOffset>
                  </wp:positionH>
                  <wp:positionV relativeFrom="paragraph">
                    <wp:posOffset>4713</wp:posOffset>
                  </wp:positionV>
                  <wp:extent cx="1023620" cy="602615"/>
                  <wp:effectExtent l="0" t="0" r="5080" b="6985"/>
                  <wp:wrapTight wrapText="bothSides">
                    <wp:wrapPolygon edited="0">
                      <wp:start x="16883" y="0"/>
                      <wp:lineTo x="7638" y="1366"/>
                      <wp:lineTo x="0" y="6145"/>
                      <wp:lineTo x="0" y="13656"/>
                      <wp:lineTo x="4020" y="20485"/>
                      <wp:lineTo x="5226" y="21168"/>
                      <wp:lineTo x="8040" y="21168"/>
                      <wp:lineTo x="13667" y="20485"/>
                      <wp:lineTo x="20099" y="15705"/>
                      <wp:lineTo x="19697" y="11608"/>
                      <wp:lineTo x="21305" y="8877"/>
                      <wp:lineTo x="21305" y="2731"/>
                      <wp:lineTo x="20501" y="0"/>
                      <wp:lineTo x="16883" y="0"/>
                    </wp:wrapPolygon>
                  </wp:wrapTight>
                  <wp:docPr id="129009751" name="Picture 3" descr="A colorful text on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A colorful text on a black background&#10;&#10;Description automatically generated"/>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023620" cy="60261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9CDC1BF" w14:textId="77777777" w:rsidR="007F7E9F" w:rsidRPr="00C37E65" w:rsidRDefault="007F7E9F" w:rsidP="00B34374"/>
          <w:p w14:paraId="558E95A0" w14:textId="77777777" w:rsidR="007F7E9F" w:rsidRPr="00C37E65" w:rsidRDefault="007F7E9F" w:rsidP="00B34374"/>
        </w:tc>
        <w:tc>
          <w:tcPr>
            <w:tcW w:w="6469" w:type="dxa"/>
          </w:tcPr>
          <w:p w14:paraId="5A0F01C7" w14:textId="77777777" w:rsidR="007F7E9F" w:rsidRPr="00E2671A" w:rsidRDefault="007F7E9F" w:rsidP="00B34374">
            <w:pPr>
              <w:pStyle w:val="Heading3"/>
              <w:rPr>
                <w:b/>
                <w:bCs/>
                <w:color w:val="0070C0"/>
                <w:sz w:val="24"/>
                <w:szCs w:val="24"/>
              </w:rPr>
            </w:pPr>
            <w:r w:rsidRPr="00E2671A">
              <w:rPr>
                <w:b/>
                <w:bCs/>
                <w:color w:val="0070C0"/>
                <w:sz w:val="24"/>
                <w:szCs w:val="24"/>
              </w:rPr>
              <w:t>LGBT Youth Scotland</w:t>
            </w:r>
          </w:p>
          <w:p w14:paraId="0CC4034B" w14:textId="77777777" w:rsidR="007F7E9F" w:rsidRPr="00721752" w:rsidRDefault="007F7E9F" w:rsidP="00B34374">
            <w:r>
              <w:t>Scotland’s national charity for LGBTQ+ young people (aged 13-25)</w:t>
            </w:r>
          </w:p>
        </w:tc>
      </w:tr>
    </w:tbl>
    <w:p w14:paraId="77678F18" w14:textId="77777777" w:rsidR="007F7E9F" w:rsidRPr="007F7E9F" w:rsidRDefault="007F7E9F" w:rsidP="007F7E9F">
      <w:pPr>
        <w:pStyle w:val="Heading3"/>
        <w:rPr>
          <w:b/>
          <w:bCs/>
          <w:color w:val="77206D" w:themeColor="accent5" w:themeShade="BF"/>
          <w:sz w:val="22"/>
          <w:szCs w:val="22"/>
        </w:rPr>
      </w:pPr>
      <w:r w:rsidRPr="009E2C6D">
        <w:rPr>
          <w:noProof/>
          <w:color w:val="0070C0"/>
        </w:rPr>
        <mc:AlternateContent>
          <mc:Choice Requires="wps">
            <w:drawing>
              <wp:anchor distT="0" distB="0" distL="114300" distR="114300" simplePos="0" relativeHeight="251665408" behindDoc="0" locked="0" layoutInCell="1" allowOverlap="1" wp14:anchorId="003733D8" wp14:editId="60CCA0A9">
                <wp:simplePos x="0" y="0"/>
                <wp:positionH relativeFrom="margin">
                  <wp:posOffset>-33655</wp:posOffset>
                </wp:positionH>
                <wp:positionV relativeFrom="paragraph">
                  <wp:posOffset>4752360</wp:posOffset>
                </wp:positionV>
                <wp:extent cx="5934974" cy="11242"/>
                <wp:effectExtent l="0" t="0" r="27940" b="27305"/>
                <wp:wrapNone/>
                <wp:docPr id="1295573573" name="Straight Connector 7"/>
                <wp:cNvGraphicFramePr/>
                <a:graphic xmlns:a="http://schemas.openxmlformats.org/drawingml/2006/main">
                  <a:graphicData uri="http://schemas.microsoft.com/office/word/2010/wordprocessingShape">
                    <wps:wsp>
                      <wps:cNvCnPr/>
                      <wps:spPr>
                        <a:xfrm>
                          <a:off x="0" y="0"/>
                          <a:ext cx="5934974" cy="11242"/>
                        </a:xfrm>
                        <a:prstGeom prst="line">
                          <a:avLst/>
                        </a:prstGeom>
                        <a:ln w="12700">
                          <a:solidFill>
                            <a:srgbClr val="0070C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12C5286" id="Straight Connector 7" o:spid="_x0000_s1026" style="position:absolute;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2.65pt,374.2pt" to="464.65pt,37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" strokecolor="#0070c0" strokeweight="1pt">
                <v:stroke joinstyle="miter"/>
                <w10:wrap anchorx="margin"/>
              </v:line>
            </w:pict>
          </mc:Fallback>
        </mc:AlternateContent>
      </w:r>
      <w:r>
        <w:rPr>
          <w:b/>
          <w:bCs/>
          <w:color w:val="0070C0"/>
          <w:sz w:val="24"/>
          <w:szCs w:val="24"/>
        </w:rPr>
        <w:br/>
      </w:r>
      <w:r w:rsidRPr="007F7E9F">
        <w:rPr>
          <w:b/>
          <w:bCs/>
          <w:color w:val="0070C0"/>
          <w:sz w:val="22"/>
          <w:szCs w:val="22"/>
        </w:rPr>
        <w:t xml:space="preserve">Contact details: </w:t>
      </w:r>
    </w:p>
    <w:p w14:paraId="5AE98972" w14:textId="77777777" w:rsidR="007F7E9F" w:rsidRPr="007F7E9F" w:rsidRDefault="007F7E9F" w:rsidP="007F7E9F">
      <w:pPr>
        <w:rPr>
          <w:sz w:val="22"/>
          <w:szCs w:val="22"/>
        </w:rPr>
      </w:pPr>
      <w:r w:rsidRPr="007F7E9F">
        <w:rPr>
          <w:sz w:val="22"/>
          <w:szCs w:val="22"/>
        </w:rPr>
        <w:t>Christopher Clannachan (he/him)</w:t>
      </w:r>
    </w:p>
    <w:p w14:paraId="4C4AD2D3" w14:textId="77777777" w:rsidR="007F7E9F" w:rsidRPr="007F7E9F" w:rsidRDefault="007F7E9F" w:rsidP="007F7E9F">
      <w:pPr>
        <w:rPr>
          <w:sz w:val="22"/>
          <w:szCs w:val="22"/>
        </w:rPr>
      </w:pPr>
      <w:r w:rsidRPr="007F7E9F">
        <w:rPr>
          <w:sz w:val="22"/>
          <w:szCs w:val="22"/>
        </w:rPr>
        <w:t>Policy and Campaigns Officer, Equality Network</w:t>
      </w:r>
    </w:p>
    <w:p w14:paraId="6D86BE85" w14:textId="5F553330" w:rsidR="007F7E9F" w:rsidRPr="007F7E9F" w:rsidRDefault="007F7E9F" w:rsidP="007F7E9F">
      <w:pPr>
        <w:rPr>
          <w:sz w:val="22"/>
          <w:szCs w:val="22"/>
        </w:rPr>
      </w:pPr>
      <w:hyperlink r:id="rId13" w:history="1">
        <w:r w:rsidRPr="007F7E9F">
          <w:rPr>
            <w:rStyle w:val="Hyperlink"/>
            <w:sz w:val="22"/>
            <w:szCs w:val="22"/>
          </w:rPr>
          <w:t>christopher@equality-network.org</w:t>
        </w:r>
      </w:hyperlink>
      <w:r w:rsidRPr="007F7E9F">
        <w:rPr>
          <w:sz w:val="22"/>
          <w:szCs w:val="22"/>
        </w:rPr>
        <w:t xml:space="preserve"> </w:t>
      </w:r>
    </w:p>
    <w:p w14:paraId="6547D44C" w14:textId="77777777" w:rsidR="007F7E9F" w:rsidRPr="007F7E9F" w:rsidRDefault="007F7E9F" w:rsidP="007F7E9F">
      <w:pPr>
        <w:pStyle w:val="Heading2"/>
        <w:spacing w:line="276" w:lineRule="auto"/>
        <w:rPr>
          <w:b/>
          <w:bCs/>
          <w:color w:val="77206D" w:themeColor="accent5" w:themeShade="BF"/>
          <w:sz w:val="28"/>
          <w:szCs w:val="28"/>
        </w:rPr>
      </w:pPr>
      <w:r w:rsidRPr="007F7E9F">
        <w:rPr>
          <w:b/>
          <w:bCs/>
          <w:color w:val="77206D" w:themeColor="accent5" w:themeShade="BF"/>
          <w:sz w:val="28"/>
          <w:szCs w:val="28"/>
        </w:rPr>
        <w:lastRenderedPageBreak/>
        <w:t xml:space="preserve">Introduction </w:t>
      </w:r>
    </w:p>
    <w:p w14:paraId="0FA85BAD" w14:textId="41B9579A" w:rsidR="007F7E9F" w:rsidRPr="007F7E9F" w:rsidRDefault="007F7E9F" w:rsidP="007F7E9F">
      <w:pPr>
        <w:spacing w:line="276" w:lineRule="auto"/>
        <w:jc w:val="both"/>
        <w:rPr>
          <w:sz w:val="22"/>
          <w:szCs w:val="22"/>
        </w:rPr>
      </w:pPr>
      <w:r w:rsidRPr="007F7E9F">
        <w:rPr>
          <w:b/>
          <w:bCs/>
          <w:sz w:val="22"/>
          <w:szCs w:val="22"/>
        </w:rPr>
        <w:t>[1]</w:t>
      </w:r>
      <w:r w:rsidRPr="007F7E9F">
        <w:rPr>
          <w:sz w:val="22"/>
          <w:szCs w:val="22"/>
        </w:rPr>
        <w:t xml:space="preserve"> </w:t>
      </w:r>
      <w:r w:rsidR="00BB775D">
        <w:rPr>
          <w:sz w:val="22"/>
          <w:szCs w:val="22"/>
        </w:rPr>
        <w:tab/>
      </w:r>
      <w:r w:rsidRPr="007F7E9F">
        <w:rPr>
          <w:sz w:val="22"/>
          <w:szCs w:val="22"/>
        </w:rPr>
        <w:t>In the absence of an international covenant that focuses specifically on LGBTIA+ rights, ICESCR is of particular importance for LGBTIA+ people in Scotland. The rights within the Covenant relate to everyday issues in the lives of LGBTIA+ people such as housing, health and education, but also concern the identity of LGBTIA+ people including non-discrimination and conversion practices. In his recent research</w:t>
      </w:r>
      <w:r>
        <w:rPr>
          <w:sz w:val="22"/>
          <w:szCs w:val="22"/>
        </w:rPr>
        <w:t>,</w:t>
      </w:r>
      <w:r w:rsidRPr="007F7E9F">
        <w:rPr>
          <w:sz w:val="22"/>
          <w:szCs w:val="22"/>
        </w:rPr>
        <w:t xml:space="preserve"> Dr Paul Behrens from the University of Edinburgh highlighted that for LGBTIA+ people, ICESCR is </w:t>
      </w:r>
      <w:r>
        <w:rPr>
          <w:sz w:val="22"/>
          <w:szCs w:val="22"/>
        </w:rPr>
        <w:t>‘</w:t>
      </w:r>
      <w:r w:rsidRPr="007F7E9F">
        <w:rPr>
          <w:sz w:val="22"/>
          <w:szCs w:val="22"/>
        </w:rPr>
        <w:t>underutilised</w:t>
      </w:r>
      <w:r>
        <w:rPr>
          <w:sz w:val="22"/>
          <w:szCs w:val="22"/>
        </w:rPr>
        <w:t>’</w:t>
      </w:r>
      <w:r w:rsidRPr="007F7E9F">
        <w:rPr>
          <w:sz w:val="22"/>
          <w:szCs w:val="22"/>
        </w:rPr>
        <w:t xml:space="preserve"> but </w:t>
      </w:r>
      <w:r>
        <w:rPr>
          <w:sz w:val="22"/>
          <w:szCs w:val="22"/>
        </w:rPr>
        <w:t>‘</w:t>
      </w:r>
      <w:r w:rsidRPr="007F7E9F">
        <w:rPr>
          <w:sz w:val="22"/>
          <w:szCs w:val="22"/>
        </w:rPr>
        <w:t>one of the most significant international instruments for the protection of LGBTI+ rights around the world</w:t>
      </w:r>
      <w:r>
        <w:rPr>
          <w:sz w:val="22"/>
          <w:szCs w:val="22"/>
        </w:rPr>
        <w:t>’</w:t>
      </w:r>
      <w:r w:rsidRPr="007F7E9F">
        <w:rPr>
          <w:sz w:val="22"/>
          <w:szCs w:val="22"/>
        </w:rPr>
        <w:t>.</w:t>
      </w:r>
      <w:r w:rsidRPr="007F7E9F">
        <w:rPr>
          <w:rStyle w:val="FootnoteReference"/>
          <w:sz w:val="22"/>
          <w:szCs w:val="22"/>
        </w:rPr>
        <w:footnoteReference w:id="1"/>
      </w:r>
      <w:r w:rsidRPr="007F7E9F">
        <w:rPr>
          <w:sz w:val="22"/>
          <w:szCs w:val="22"/>
        </w:rPr>
        <w:t xml:space="preserve"> </w:t>
      </w:r>
    </w:p>
    <w:p w14:paraId="48D1BD2F" w14:textId="58C95EA9" w:rsidR="007F7E9F" w:rsidRPr="007F7E9F" w:rsidRDefault="007F7E9F" w:rsidP="007F7E9F">
      <w:pPr>
        <w:spacing w:line="276" w:lineRule="auto"/>
        <w:jc w:val="both"/>
        <w:rPr>
          <w:sz w:val="22"/>
          <w:szCs w:val="22"/>
        </w:rPr>
      </w:pPr>
      <w:r w:rsidRPr="007F7E9F">
        <w:rPr>
          <w:b/>
          <w:bCs/>
          <w:sz w:val="22"/>
          <w:szCs w:val="22"/>
        </w:rPr>
        <w:t>[2]</w:t>
      </w:r>
      <w:r w:rsidRPr="007F7E9F">
        <w:rPr>
          <w:sz w:val="22"/>
          <w:szCs w:val="22"/>
        </w:rPr>
        <w:t xml:space="preserve"> </w:t>
      </w:r>
      <w:r w:rsidR="00BB775D">
        <w:rPr>
          <w:sz w:val="22"/>
          <w:szCs w:val="22"/>
        </w:rPr>
        <w:tab/>
      </w:r>
      <w:r w:rsidRPr="007F7E9F">
        <w:rPr>
          <w:sz w:val="22"/>
          <w:szCs w:val="22"/>
        </w:rPr>
        <w:t xml:space="preserve">As LGBTIA+ civil society organisations based in Scotland, our evidence and research </w:t>
      </w:r>
      <w:r w:rsidR="00770CDD" w:rsidRPr="007F7E9F">
        <w:rPr>
          <w:sz w:val="22"/>
          <w:szCs w:val="22"/>
        </w:rPr>
        <w:t>show</w:t>
      </w:r>
      <w:r w:rsidR="003F69F3">
        <w:rPr>
          <w:sz w:val="22"/>
          <w:szCs w:val="22"/>
        </w:rPr>
        <w:t xml:space="preserve">s </w:t>
      </w:r>
      <w:r w:rsidRPr="007F7E9F">
        <w:rPr>
          <w:sz w:val="22"/>
          <w:szCs w:val="22"/>
        </w:rPr>
        <w:t xml:space="preserve">that the experiences of LGBTIA+ people, as will be highlighted in this report, frequently fall below the standard of the protection that the Covenant affords. Economic, social and cultural rights are not a luxury but are essential for LGBTIA+ people in Scotland to live a life of dignity. Since the last reporting period, we have witnessed and experienced a rising toxic anti-LGBTIA+ climate in the UK, particularly in relation to trans and non-binary </w:t>
      </w:r>
      <w:r w:rsidR="00306800">
        <w:rPr>
          <w:sz w:val="22"/>
          <w:szCs w:val="22"/>
        </w:rPr>
        <w:t>people</w:t>
      </w:r>
      <w:r w:rsidRPr="007F7E9F">
        <w:rPr>
          <w:sz w:val="22"/>
          <w:szCs w:val="22"/>
        </w:rPr>
        <w:t xml:space="preserve">. This has been propelled by the media, harnessed by politicians, and perpetuated in local communities. This leaves LGBTIA+ people exposed to discrimination, rising hate crime and other human rights violations. This, coupled with the Covid-19 pandemic and </w:t>
      </w:r>
      <w:r>
        <w:rPr>
          <w:sz w:val="22"/>
          <w:szCs w:val="22"/>
        </w:rPr>
        <w:t>‘</w:t>
      </w:r>
      <w:r w:rsidRPr="007F7E9F">
        <w:rPr>
          <w:sz w:val="22"/>
          <w:szCs w:val="22"/>
        </w:rPr>
        <w:t>Cost of Living</w:t>
      </w:r>
      <w:r>
        <w:rPr>
          <w:sz w:val="22"/>
          <w:szCs w:val="22"/>
        </w:rPr>
        <w:t>’</w:t>
      </w:r>
      <w:r w:rsidRPr="007F7E9F">
        <w:rPr>
          <w:sz w:val="22"/>
          <w:szCs w:val="22"/>
        </w:rPr>
        <w:t xml:space="preserve"> crisis, has meant that our rights are at</w:t>
      </w:r>
      <w:r>
        <w:rPr>
          <w:sz w:val="22"/>
          <w:szCs w:val="22"/>
        </w:rPr>
        <w:t xml:space="preserve"> </w:t>
      </w:r>
      <w:r w:rsidRPr="007F7E9F">
        <w:rPr>
          <w:sz w:val="22"/>
          <w:szCs w:val="22"/>
        </w:rPr>
        <w:t xml:space="preserve">risk of regression. </w:t>
      </w:r>
    </w:p>
    <w:p w14:paraId="31539CE6" w14:textId="0BF90B6E" w:rsidR="007F7E9F" w:rsidRPr="007F7E9F" w:rsidRDefault="007F7E9F" w:rsidP="007F7E9F">
      <w:pPr>
        <w:spacing w:line="276" w:lineRule="auto"/>
        <w:jc w:val="both"/>
        <w:rPr>
          <w:sz w:val="22"/>
          <w:szCs w:val="22"/>
        </w:rPr>
      </w:pPr>
      <w:r w:rsidRPr="007F7E9F">
        <w:rPr>
          <w:b/>
          <w:bCs/>
          <w:sz w:val="22"/>
          <w:szCs w:val="22"/>
        </w:rPr>
        <w:t>[3]</w:t>
      </w:r>
      <w:r w:rsidRPr="007F7E9F">
        <w:rPr>
          <w:sz w:val="22"/>
          <w:szCs w:val="22"/>
        </w:rPr>
        <w:t xml:space="preserve"> </w:t>
      </w:r>
      <w:r w:rsidR="00BB775D">
        <w:rPr>
          <w:sz w:val="22"/>
          <w:szCs w:val="22"/>
        </w:rPr>
        <w:tab/>
      </w:r>
      <w:r w:rsidRPr="007F7E9F">
        <w:rPr>
          <w:sz w:val="22"/>
          <w:szCs w:val="22"/>
        </w:rPr>
        <w:t>We call upon this Committee to be bold in its Concluding Observations, with concrete recommendations to improve the lives of LGBTIA+ people in Scotland and the UK.</w:t>
      </w:r>
    </w:p>
    <w:p w14:paraId="6FB701D0" w14:textId="77777777" w:rsidR="007F7E9F" w:rsidRPr="007F7E9F" w:rsidRDefault="007F7E9F" w:rsidP="007F7E9F">
      <w:pPr>
        <w:spacing w:line="276" w:lineRule="auto"/>
        <w:rPr>
          <w:sz w:val="22"/>
          <w:szCs w:val="22"/>
        </w:rPr>
      </w:pPr>
    </w:p>
    <w:p w14:paraId="5ACD75BB" w14:textId="77777777" w:rsidR="007F7E9F" w:rsidRPr="007F7E9F" w:rsidRDefault="007F7E9F" w:rsidP="007F7E9F">
      <w:pPr>
        <w:pStyle w:val="Heading3"/>
        <w:spacing w:line="276" w:lineRule="auto"/>
        <w:rPr>
          <w:b/>
          <w:bCs/>
          <w:color w:val="0070C0"/>
          <w:sz w:val="24"/>
          <w:szCs w:val="24"/>
        </w:rPr>
      </w:pPr>
      <w:r w:rsidRPr="007F7E9F">
        <w:rPr>
          <w:b/>
          <w:bCs/>
          <w:color w:val="0070C0"/>
          <w:sz w:val="24"/>
          <w:szCs w:val="24"/>
        </w:rPr>
        <w:t xml:space="preserve">Devolution in Scotland </w:t>
      </w:r>
    </w:p>
    <w:p w14:paraId="172A79CD" w14:textId="1F969BD1" w:rsidR="007F7E9F" w:rsidRDefault="007F7E9F" w:rsidP="007F7E9F">
      <w:pPr>
        <w:spacing w:line="276" w:lineRule="auto"/>
        <w:jc w:val="both"/>
        <w:rPr>
          <w:sz w:val="22"/>
          <w:szCs w:val="22"/>
        </w:rPr>
      </w:pPr>
      <w:r w:rsidRPr="007F7E9F">
        <w:rPr>
          <w:b/>
          <w:bCs/>
          <w:sz w:val="22"/>
          <w:szCs w:val="22"/>
        </w:rPr>
        <w:t>[4]</w:t>
      </w:r>
      <w:r w:rsidRPr="007F7E9F">
        <w:rPr>
          <w:sz w:val="22"/>
          <w:szCs w:val="22"/>
        </w:rPr>
        <w:t xml:space="preserve"> </w:t>
      </w:r>
      <w:r w:rsidR="009155D2">
        <w:rPr>
          <w:sz w:val="22"/>
          <w:szCs w:val="22"/>
        </w:rPr>
        <w:tab/>
      </w:r>
      <w:r w:rsidRPr="007F7E9F">
        <w:rPr>
          <w:sz w:val="22"/>
          <w:szCs w:val="22"/>
        </w:rPr>
        <w:t>We note the Committee’s interest in assessing the extent to which the Covenant rights are realised in devolved administrations</w:t>
      </w:r>
      <w:r w:rsidRPr="007F7E9F">
        <w:rPr>
          <w:rStyle w:val="FootnoteReference"/>
          <w:sz w:val="22"/>
          <w:szCs w:val="22"/>
        </w:rPr>
        <w:footnoteReference w:id="2"/>
      </w:r>
      <w:r>
        <w:rPr>
          <w:sz w:val="22"/>
          <w:szCs w:val="22"/>
        </w:rPr>
        <w:t>.</w:t>
      </w:r>
      <w:r w:rsidRPr="007F7E9F">
        <w:rPr>
          <w:sz w:val="22"/>
          <w:szCs w:val="22"/>
        </w:rPr>
        <w:t xml:space="preserve"> We would like to draw the Committee’s attention to the devolution settlement that exists in Scotland via the Scotland Act 1998 and subsequent legislation. Many of the areas that are devolved to the Scottish Parliament touch upon ICESCR rights, for example health, housing and education. The responsibility for fulfilling obligations under devolved policy areas falls to the Scottish Government. We recognise that the Committee is reviewing the UK as a state party to the Covenant and so we will indicate where appropriate which government has primary responsibility for fulfilling the obligations correlating to ICESCR rights and will make recommendations to that government accordingly. </w:t>
      </w:r>
    </w:p>
    <w:p w14:paraId="538F7268" w14:textId="77777777" w:rsidR="007F7E9F" w:rsidRPr="007F7E9F" w:rsidRDefault="007F7E9F" w:rsidP="007F7E9F">
      <w:pPr>
        <w:spacing w:line="276" w:lineRule="auto"/>
        <w:jc w:val="both"/>
        <w:rPr>
          <w:sz w:val="22"/>
          <w:szCs w:val="22"/>
        </w:rPr>
      </w:pPr>
    </w:p>
    <w:p w14:paraId="4124DDD1" w14:textId="77777777" w:rsidR="007F7E9F" w:rsidRPr="007F7E9F" w:rsidRDefault="007F7E9F" w:rsidP="007F7E9F">
      <w:pPr>
        <w:pStyle w:val="Heading2"/>
        <w:numPr>
          <w:ilvl w:val="0"/>
          <w:numId w:val="8"/>
        </w:numPr>
        <w:spacing w:line="276" w:lineRule="auto"/>
        <w:rPr>
          <w:b/>
          <w:bCs/>
          <w:color w:val="77206D" w:themeColor="accent5" w:themeShade="BF"/>
          <w:sz w:val="28"/>
          <w:szCs w:val="28"/>
        </w:rPr>
      </w:pPr>
      <w:r w:rsidRPr="007F7E9F">
        <w:rPr>
          <w:b/>
          <w:bCs/>
          <w:color w:val="77206D" w:themeColor="accent5" w:themeShade="BF"/>
          <w:sz w:val="28"/>
          <w:szCs w:val="28"/>
        </w:rPr>
        <w:t xml:space="preserve">General considerations </w:t>
      </w:r>
    </w:p>
    <w:p w14:paraId="3E5E7331" w14:textId="77777777" w:rsidR="007F7E9F" w:rsidRPr="007F7E9F" w:rsidRDefault="007F7E9F" w:rsidP="007F7E9F">
      <w:pPr>
        <w:pStyle w:val="Heading3"/>
        <w:spacing w:line="276" w:lineRule="auto"/>
        <w:rPr>
          <w:b/>
          <w:bCs/>
          <w:color w:val="0070C0"/>
          <w:sz w:val="24"/>
          <w:szCs w:val="24"/>
        </w:rPr>
      </w:pPr>
      <w:r w:rsidRPr="007F7E9F">
        <w:rPr>
          <w:b/>
          <w:bCs/>
          <w:color w:val="0070C0"/>
          <w:sz w:val="24"/>
          <w:szCs w:val="24"/>
        </w:rPr>
        <w:t xml:space="preserve">Domestic incorporation and effective remedies  </w:t>
      </w:r>
    </w:p>
    <w:p w14:paraId="4875F797" w14:textId="118E6A74" w:rsidR="007F7E9F" w:rsidRPr="007F7E9F" w:rsidRDefault="007F7E9F" w:rsidP="007F7E9F">
      <w:pPr>
        <w:spacing w:line="276" w:lineRule="auto"/>
        <w:jc w:val="both"/>
        <w:rPr>
          <w:sz w:val="22"/>
          <w:szCs w:val="22"/>
        </w:rPr>
      </w:pPr>
      <w:r w:rsidRPr="007F7E9F">
        <w:rPr>
          <w:b/>
          <w:bCs/>
          <w:sz w:val="22"/>
          <w:szCs w:val="22"/>
        </w:rPr>
        <w:t>[5]</w:t>
      </w:r>
      <w:r w:rsidRPr="007F7E9F">
        <w:rPr>
          <w:sz w:val="22"/>
          <w:szCs w:val="22"/>
        </w:rPr>
        <w:t xml:space="preserve"> </w:t>
      </w:r>
      <w:r w:rsidR="009155D2">
        <w:rPr>
          <w:sz w:val="22"/>
          <w:szCs w:val="22"/>
        </w:rPr>
        <w:tab/>
      </w:r>
      <w:r w:rsidRPr="007F7E9F">
        <w:rPr>
          <w:sz w:val="22"/>
          <w:szCs w:val="22"/>
        </w:rPr>
        <w:t>We note the Committee’s interest in measures implemented to ensure the full justiciability of rights</w:t>
      </w:r>
      <w:r w:rsidRPr="007F7E9F">
        <w:rPr>
          <w:rStyle w:val="FootnoteReference"/>
          <w:sz w:val="22"/>
          <w:szCs w:val="22"/>
        </w:rPr>
        <w:footnoteReference w:id="3"/>
      </w:r>
      <w:r>
        <w:rPr>
          <w:sz w:val="22"/>
          <w:szCs w:val="22"/>
        </w:rPr>
        <w:t>.</w:t>
      </w:r>
      <w:r w:rsidRPr="007F7E9F">
        <w:rPr>
          <w:sz w:val="22"/>
          <w:szCs w:val="22"/>
        </w:rPr>
        <w:t xml:space="preserve"> The Scottish Government announced in 2021 that it would incorporate four </w:t>
      </w:r>
      <w:r w:rsidRPr="007F7E9F">
        <w:rPr>
          <w:sz w:val="22"/>
          <w:szCs w:val="22"/>
        </w:rPr>
        <w:lastRenderedPageBreak/>
        <w:t>international human rights treaties into Scots Law – within devolved competence – via the Human Rights (Scotland) Bill. This included ICESCR, CERD, CEDAW and CRPD. The Scottish National Taskforce for Human Rights Leadership highlighted the importance of ensuring ‘full and equal enjoyment of rights for LGBTI people’</w:t>
      </w:r>
      <w:r w:rsidRPr="007F7E9F">
        <w:rPr>
          <w:rStyle w:val="FootnoteReference"/>
          <w:sz w:val="22"/>
          <w:szCs w:val="22"/>
        </w:rPr>
        <w:footnoteReference w:id="4"/>
      </w:r>
      <w:r w:rsidRPr="007F7E9F">
        <w:rPr>
          <w:sz w:val="22"/>
          <w:szCs w:val="22"/>
        </w:rPr>
        <w:t xml:space="preserve">. During consultation, LGBTIA+ organisations called to be named in the Bill explicitly </w:t>
      </w:r>
      <w:r>
        <w:rPr>
          <w:sz w:val="22"/>
          <w:szCs w:val="22"/>
        </w:rPr>
        <w:t xml:space="preserve">as rights-holders </w:t>
      </w:r>
      <w:r w:rsidRPr="007F7E9F">
        <w:rPr>
          <w:sz w:val="22"/>
          <w:szCs w:val="22"/>
        </w:rPr>
        <w:t>and provided evidence to this effect but this was not taken forward by the Scottish Government.</w:t>
      </w:r>
    </w:p>
    <w:p w14:paraId="70A83F0F" w14:textId="77D06A64" w:rsidR="007F7E9F" w:rsidRPr="007F7E9F" w:rsidRDefault="007F7E9F" w:rsidP="007F7E9F">
      <w:pPr>
        <w:spacing w:line="276" w:lineRule="auto"/>
        <w:jc w:val="both"/>
        <w:rPr>
          <w:sz w:val="22"/>
          <w:szCs w:val="22"/>
        </w:rPr>
      </w:pPr>
      <w:r w:rsidRPr="007F7E9F">
        <w:rPr>
          <w:b/>
          <w:bCs/>
          <w:sz w:val="22"/>
          <w:szCs w:val="22"/>
        </w:rPr>
        <w:t>[6]</w:t>
      </w:r>
      <w:r w:rsidRPr="007F7E9F">
        <w:rPr>
          <w:sz w:val="22"/>
          <w:szCs w:val="22"/>
        </w:rPr>
        <w:t xml:space="preserve"> </w:t>
      </w:r>
      <w:r w:rsidR="009155D2">
        <w:rPr>
          <w:sz w:val="22"/>
          <w:szCs w:val="22"/>
        </w:rPr>
        <w:tab/>
      </w:r>
      <w:r w:rsidRPr="007F7E9F">
        <w:rPr>
          <w:sz w:val="22"/>
          <w:szCs w:val="22"/>
        </w:rPr>
        <w:t xml:space="preserve">In the Scottish Government’s Programme for Government in 2024, it was announced that they would not introduce the Bill within this parliamentary session and instead would </w:t>
      </w:r>
      <w:r>
        <w:rPr>
          <w:sz w:val="22"/>
          <w:szCs w:val="22"/>
        </w:rPr>
        <w:t>‘</w:t>
      </w:r>
      <w:r w:rsidRPr="007F7E9F">
        <w:rPr>
          <w:sz w:val="22"/>
          <w:szCs w:val="22"/>
        </w:rPr>
        <w:t>continue to develop proposals for human rights</w:t>
      </w:r>
      <w:r>
        <w:rPr>
          <w:sz w:val="22"/>
          <w:szCs w:val="22"/>
        </w:rPr>
        <w:t>’</w:t>
      </w:r>
      <w:r w:rsidRPr="007F7E9F">
        <w:rPr>
          <w:rStyle w:val="FootnoteReference"/>
          <w:sz w:val="22"/>
          <w:szCs w:val="22"/>
        </w:rPr>
        <w:footnoteReference w:id="5"/>
      </w:r>
      <w:r>
        <w:rPr>
          <w:sz w:val="22"/>
          <w:szCs w:val="22"/>
        </w:rPr>
        <w:t>.</w:t>
      </w:r>
      <w:r w:rsidRPr="007F7E9F">
        <w:rPr>
          <w:sz w:val="22"/>
          <w:szCs w:val="22"/>
        </w:rPr>
        <w:t xml:space="preserve"> This was met with significant disappointment from some within the human rights sector in Scotland. Whilst we believe further consideration of how LGBTIA+ people would be named in the Bill as rights-holders is needed, we are concerned that this delay negatively impacts LGBTIA+ people’s ability to enforce Covenant rights due to a lack of justiciability in Scots Law. </w:t>
      </w:r>
    </w:p>
    <w:p w14:paraId="01880F2D" w14:textId="5AB54978" w:rsidR="007F7E9F" w:rsidRPr="007F7E9F" w:rsidRDefault="007F7E9F" w:rsidP="007F7E9F">
      <w:pPr>
        <w:spacing w:line="276" w:lineRule="auto"/>
        <w:jc w:val="both"/>
        <w:rPr>
          <w:sz w:val="22"/>
          <w:szCs w:val="22"/>
        </w:rPr>
      </w:pPr>
      <w:r w:rsidRPr="007F7E9F">
        <w:rPr>
          <w:b/>
          <w:bCs/>
          <w:sz w:val="22"/>
          <w:szCs w:val="22"/>
        </w:rPr>
        <w:t>[7]</w:t>
      </w:r>
      <w:r w:rsidRPr="007F7E9F">
        <w:rPr>
          <w:sz w:val="22"/>
          <w:szCs w:val="22"/>
        </w:rPr>
        <w:t xml:space="preserve"> </w:t>
      </w:r>
      <w:r w:rsidR="009155D2">
        <w:rPr>
          <w:sz w:val="22"/>
          <w:szCs w:val="22"/>
        </w:rPr>
        <w:tab/>
      </w:r>
      <w:r w:rsidRPr="007F7E9F">
        <w:rPr>
          <w:sz w:val="22"/>
          <w:szCs w:val="22"/>
        </w:rPr>
        <w:t xml:space="preserve">We are also concerned about justiciability of ICESCR rights relating to reserved matters. The UK Government has not committed to incorporation of ICESCR into UK law, nor has it signed or ratified the Optional Protocol allowing this Committee to receive individual communications, which could </w:t>
      </w:r>
      <w:r>
        <w:rPr>
          <w:sz w:val="22"/>
          <w:szCs w:val="22"/>
        </w:rPr>
        <w:t>‘</w:t>
      </w:r>
      <w:r w:rsidRPr="007F7E9F">
        <w:rPr>
          <w:sz w:val="22"/>
          <w:szCs w:val="22"/>
        </w:rPr>
        <w:t>strengthen</w:t>
      </w:r>
      <w:r>
        <w:rPr>
          <w:sz w:val="22"/>
          <w:szCs w:val="22"/>
        </w:rPr>
        <w:t>’</w:t>
      </w:r>
      <w:r w:rsidRPr="007F7E9F">
        <w:rPr>
          <w:sz w:val="22"/>
          <w:szCs w:val="22"/>
        </w:rPr>
        <w:t xml:space="preserve"> the realisation of LGBTIA+ rights</w:t>
      </w:r>
      <w:r w:rsidRPr="007F7E9F">
        <w:rPr>
          <w:rStyle w:val="FootnoteReference"/>
          <w:sz w:val="22"/>
          <w:szCs w:val="22"/>
        </w:rPr>
        <w:footnoteReference w:id="6"/>
      </w:r>
      <w:r>
        <w:rPr>
          <w:sz w:val="22"/>
          <w:szCs w:val="22"/>
        </w:rPr>
        <w:t>.</w:t>
      </w:r>
      <w:r w:rsidRPr="007F7E9F">
        <w:rPr>
          <w:sz w:val="22"/>
          <w:szCs w:val="22"/>
        </w:rPr>
        <w:t xml:space="preserve"> In the UK Government’s recent</w:t>
      </w:r>
      <w:r>
        <w:rPr>
          <w:sz w:val="22"/>
          <w:szCs w:val="22"/>
        </w:rPr>
        <w:t xml:space="preserve"> periodic</w:t>
      </w:r>
      <w:r w:rsidRPr="007F7E9F">
        <w:rPr>
          <w:sz w:val="22"/>
          <w:szCs w:val="22"/>
        </w:rPr>
        <w:t xml:space="preserve"> report to this Committee, it stated that it believes </w:t>
      </w:r>
      <w:r>
        <w:rPr>
          <w:sz w:val="22"/>
          <w:szCs w:val="22"/>
        </w:rPr>
        <w:t>‘</w:t>
      </w:r>
      <w:r w:rsidRPr="007F7E9F">
        <w:rPr>
          <w:sz w:val="22"/>
          <w:szCs w:val="22"/>
        </w:rPr>
        <w:t>effective domestic laws already exist where individuals can seek enforceable remedies if their rights have been breached</w:t>
      </w:r>
      <w:r>
        <w:rPr>
          <w:sz w:val="22"/>
          <w:szCs w:val="22"/>
        </w:rPr>
        <w:t>’</w:t>
      </w:r>
      <w:r w:rsidRPr="007F7E9F">
        <w:rPr>
          <w:rStyle w:val="FootnoteReference"/>
          <w:sz w:val="22"/>
          <w:szCs w:val="22"/>
        </w:rPr>
        <w:footnoteReference w:id="7"/>
      </w:r>
      <w:r>
        <w:rPr>
          <w:sz w:val="22"/>
          <w:szCs w:val="22"/>
        </w:rPr>
        <w:t>.</w:t>
      </w:r>
      <w:r w:rsidRPr="007F7E9F">
        <w:rPr>
          <w:sz w:val="22"/>
          <w:szCs w:val="22"/>
        </w:rPr>
        <w:t xml:space="preserve">  </w:t>
      </w:r>
      <w:r>
        <w:rPr>
          <w:sz w:val="22"/>
          <w:szCs w:val="22"/>
        </w:rPr>
        <w:t>However, t</w:t>
      </w:r>
      <w:r w:rsidRPr="007F7E9F">
        <w:rPr>
          <w:sz w:val="22"/>
          <w:szCs w:val="22"/>
        </w:rPr>
        <w:t>his leaves a gap for LGBTIA+ people who cannot enforce their ICESCR rights domestically, nor can they complain internationally.</w:t>
      </w:r>
    </w:p>
    <w:p w14:paraId="1D32DA94" w14:textId="29FFEC47" w:rsidR="007F7E9F" w:rsidRPr="00226008" w:rsidRDefault="007F7E9F" w:rsidP="00226008">
      <w:pPr>
        <w:spacing w:line="276" w:lineRule="auto"/>
        <w:jc w:val="both"/>
        <w:rPr>
          <w:sz w:val="22"/>
          <w:szCs w:val="22"/>
        </w:rPr>
      </w:pPr>
      <w:r w:rsidRPr="007F7E9F">
        <w:rPr>
          <w:b/>
          <w:bCs/>
          <w:sz w:val="22"/>
          <w:szCs w:val="22"/>
        </w:rPr>
        <w:t>[8]</w:t>
      </w:r>
      <w:r w:rsidRPr="007F7E9F">
        <w:rPr>
          <w:sz w:val="22"/>
          <w:szCs w:val="22"/>
        </w:rPr>
        <w:t xml:space="preserve"> </w:t>
      </w:r>
      <w:r w:rsidR="00C22F02">
        <w:rPr>
          <w:sz w:val="22"/>
          <w:szCs w:val="22"/>
        </w:rPr>
        <w:tab/>
      </w:r>
      <w:r w:rsidRPr="007F7E9F">
        <w:rPr>
          <w:b/>
          <w:bCs/>
          <w:sz w:val="22"/>
          <w:szCs w:val="22"/>
        </w:rPr>
        <w:t>Recommendations</w:t>
      </w:r>
      <w:r w:rsidRPr="007F7E9F">
        <w:rPr>
          <w:sz w:val="22"/>
          <w:szCs w:val="22"/>
        </w:rPr>
        <w:t xml:space="preserve">: </w:t>
      </w:r>
    </w:p>
    <w:tbl>
      <w:tblPr>
        <w:tblStyle w:val="TableGrid"/>
        <w:tblW w:w="0" w:type="auto"/>
        <w:tblLook w:val="04A0" w:firstRow="1" w:lastRow="0" w:firstColumn="1" w:lastColumn="0" w:noHBand="0" w:noVBand="1"/>
      </w:tblPr>
      <w:tblGrid>
        <w:gridCol w:w="988"/>
        <w:gridCol w:w="8028"/>
      </w:tblGrid>
      <w:tr w:rsidR="000122E7" w14:paraId="08B5FF01" w14:textId="77777777" w:rsidTr="0010473E">
        <w:tc>
          <w:tcPr>
            <w:tcW w:w="988" w:type="dxa"/>
          </w:tcPr>
          <w:p w14:paraId="18E6E604" w14:textId="05745689" w:rsidR="000122E7" w:rsidRPr="00226008" w:rsidRDefault="000122E7" w:rsidP="00467C77">
            <w:pPr>
              <w:spacing w:line="276" w:lineRule="auto"/>
              <w:jc w:val="both"/>
              <w:rPr>
                <w:b/>
                <w:bCs/>
                <w:sz w:val="22"/>
                <w:szCs w:val="22"/>
              </w:rPr>
            </w:pPr>
            <w:r w:rsidRPr="00226008">
              <w:rPr>
                <w:b/>
                <w:bCs/>
                <w:sz w:val="22"/>
                <w:szCs w:val="22"/>
              </w:rPr>
              <w:t>Rec 1</w:t>
            </w:r>
          </w:p>
        </w:tc>
        <w:tc>
          <w:tcPr>
            <w:tcW w:w="8028" w:type="dxa"/>
          </w:tcPr>
          <w:p w14:paraId="6D12E3B1" w14:textId="7A806B43" w:rsidR="000122E7" w:rsidRDefault="000122E7" w:rsidP="00467C77">
            <w:pPr>
              <w:spacing w:line="276" w:lineRule="auto"/>
              <w:jc w:val="both"/>
              <w:rPr>
                <w:sz w:val="22"/>
                <w:szCs w:val="22"/>
              </w:rPr>
            </w:pPr>
            <w:r w:rsidRPr="007F7E9F">
              <w:rPr>
                <w:sz w:val="22"/>
                <w:szCs w:val="22"/>
              </w:rPr>
              <w:t>The Scottish Government should introduce the Human Rights (Scotland) Bill to the Scottish Parliament as soon as practically possible</w:t>
            </w:r>
            <w:r>
              <w:rPr>
                <w:sz w:val="22"/>
                <w:szCs w:val="22"/>
              </w:rPr>
              <w:t>.</w:t>
            </w:r>
          </w:p>
        </w:tc>
      </w:tr>
      <w:tr w:rsidR="000122E7" w14:paraId="5D57A510" w14:textId="77777777" w:rsidTr="0010473E">
        <w:tc>
          <w:tcPr>
            <w:tcW w:w="988" w:type="dxa"/>
          </w:tcPr>
          <w:p w14:paraId="49048D06" w14:textId="51269C64" w:rsidR="000122E7" w:rsidRPr="00226008" w:rsidRDefault="000122E7" w:rsidP="00467C77">
            <w:pPr>
              <w:spacing w:line="276" w:lineRule="auto"/>
              <w:jc w:val="both"/>
              <w:rPr>
                <w:b/>
                <w:bCs/>
                <w:sz w:val="22"/>
                <w:szCs w:val="22"/>
              </w:rPr>
            </w:pPr>
            <w:r w:rsidRPr="00226008">
              <w:rPr>
                <w:b/>
                <w:bCs/>
                <w:sz w:val="22"/>
                <w:szCs w:val="22"/>
              </w:rPr>
              <w:t>Rec 2</w:t>
            </w:r>
          </w:p>
        </w:tc>
        <w:tc>
          <w:tcPr>
            <w:tcW w:w="8028" w:type="dxa"/>
          </w:tcPr>
          <w:p w14:paraId="4EA2F9D8" w14:textId="5A3F60A4" w:rsidR="000122E7" w:rsidRPr="000122E7" w:rsidRDefault="000122E7" w:rsidP="000122E7">
            <w:pPr>
              <w:spacing w:line="276" w:lineRule="auto"/>
              <w:jc w:val="both"/>
              <w:rPr>
                <w:sz w:val="22"/>
                <w:szCs w:val="22"/>
              </w:rPr>
            </w:pPr>
            <w:r w:rsidRPr="000122E7">
              <w:rPr>
                <w:sz w:val="22"/>
                <w:szCs w:val="22"/>
              </w:rPr>
              <w:t>The Scottish Government should ensure the Human Rights (Scotland) Bill specifically names LGBTIA+ people on the face of it as rights-holders.</w:t>
            </w:r>
          </w:p>
        </w:tc>
      </w:tr>
      <w:tr w:rsidR="000122E7" w14:paraId="499BDFD7" w14:textId="77777777" w:rsidTr="0010473E">
        <w:tc>
          <w:tcPr>
            <w:tcW w:w="988" w:type="dxa"/>
          </w:tcPr>
          <w:p w14:paraId="06644F9A" w14:textId="0B202698" w:rsidR="000122E7" w:rsidRPr="00226008" w:rsidRDefault="000122E7" w:rsidP="00467C77">
            <w:pPr>
              <w:spacing w:line="276" w:lineRule="auto"/>
              <w:jc w:val="both"/>
              <w:rPr>
                <w:b/>
                <w:bCs/>
                <w:sz w:val="22"/>
                <w:szCs w:val="22"/>
              </w:rPr>
            </w:pPr>
            <w:r w:rsidRPr="00226008">
              <w:rPr>
                <w:b/>
                <w:bCs/>
                <w:sz w:val="22"/>
                <w:szCs w:val="22"/>
              </w:rPr>
              <w:t>Rec 3</w:t>
            </w:r>
          </w:p>
        </w:tc>
        <w:tc>
          <w:tcPr>
            <w:tcW w:w="8028" w:type="dxa"/>
          </w:tcPr>
          <w:p w14:paraId="514E72ED" w14:textId="5D77CF8F" w:rsidR="000122E7" w:rsidRDefault="000122E7" w:rsidP="00467C77">
            <w:pPr>
              <w:spacing w:line="276" w:lineRule="auto"/>
              <w:jc w:val="both"/>
              <w:rPr>
                <w:sz w:val="22"/>
                <w:szCs w:val="22"/>
              </w:rPr>
            </w:pPr>
            <w:r w:rsidRPr="007F7E9F">
              <w:rPr>
                <w:sz w:val="22"/>
                <w:szCs w:val="22"/>
              </w:rPr>
              <w:t>The UK Government should commit to incorporating ICESCR into UK law</w:t>
            </w:r>
            <w:r>
              <w:rPr>
                <w:sz w:val="22"/>
                <w:szCs w:val="22"/>
              </w:rPr>
              <w:t>.</w:t>
            </w:r>
          </w:p>
        </w:tc>
      </w:tr>
      <w:tr w:rsidR="000122E7" w14:paraId="215393F9" w14:textId="77777777" w:rsidTr="0010473E">
        <w:tc>
          <w:tcPr>
            <w:tcW w:w="988" w:type="dxa"/>
          </w:tcPr>
          <w:p w14:paraId="7BE70A9A" w14:textId="1ED6D181" w:rsidR="000122E7" w:rsidRPr="00226008" w:rsidRDefault="000122E7" w:rsidP="00467C77">
            <w:pPr>
              <w:spacing w:line="276" w:lineRule="auto"/>
              <w:jc w:val="both"/>
              <w:rPr>
                <w:b/>
                <w:bCs/>
                <w:sz w:val="22"/>
                <w:szCs w:val="22"/>
              </w:rPr>
            </w:pPr>
            <w:r w:rsidRPr="00226008">
              <w:rPr>
                <w:b/>
                <w:bCs/>
                <w:sz w:val="22"/>
                <w:szCs w:val="22"/>
              </w:rPr>
              <w:t>Rec 4</w:t>
            </w:r>
          </w:p>
        </w:tc>
        <w:tc>
          <w:tcPr>
            <w:tcW w:w="8028" w:type="dxa"/>
          </w:tcPr>
          <w:p w14:paraId="698EAB6E" w14:textId="2705E88C" w:rsidR="000122E7" w:rsidRDefault="000122E7" w:rsidP="00467C77">
            <w:pPr>
              <w:spacing w:line="276" w:lineRule="auto"/>
              <w:jc w:val="both"/>
              <w:rPr>
                <w:sz w:val="22"/>
                <w:szCs w:val="22"/>
              </w:rPr>
            </w:pPr>
            <w:r w:rsidRPr="007F7E9F">
              <w:rPr>
                <w:sz w:val="22"/>
                <w:szCs w:val="22"/>
              </w:rPr>
              <w:t>The UK Government should sign and ratify the ICESCR Optional Protocol</w:t>
            </w:r>
            <w:r>
              <w:rPr>
                <w:sz w:val="22"/>
                <w:szCs w:val="22"/>
              </w:rPr>
              <w:t>.</w:t>
            </w:r>
          </w:p>
        </w:tc>
      </w:tr>
    </w:tbl>
    <w:p w14:paraId="42F82453" w14:textId="77777777" w:rsidR="007F7E9F" w:rsidRPr="00673F7F" w:rsidRDefault="007F7E9F" w:rsidP="00673F7F">
      <w:pPr>
        <w:spacing w:line="276" w:lineRule="auto"/>
        <w:jc w:val="both"/>
        <w:rPr>
          <w:sz w:val="22"/>
          <w:szCs w:val="22"/>
        </w:rPr>
      </w:pPr>
    </w:p>
    <w:p w14:paraId="449665B6" w14:textId="77777777" w:rsidR="007F7E9F" w:rsidRPr="007F7E9F" w:rsidRDefault="007F7E9F" w:rsidP="007F7E9F">
      <w:pPr>
        <w:pStyle w:val="Heading2"/>
        <w:numPr>
          <w:ilvl w:val="0"/>
          <w:numId w:val="8"/>
        </w:numPr>
        <w:spacing w:line="276" w:lineRule="auto"/>
        <w:rPr>
          <w:b/>
          <w:bCs/>
          <w:color w:val="77206D" w:themeColor="accent5" w:themeShade="BF"/>
          <w:sz w:val="28"/>
          <w:szCs w:val="28"/>
        </w:rPr>
      </w:pPr>
      <w:r w:rsidRPr="007F7E9F">
        <w:rPr>
          <w:b/>
          <w:bCs/>
          <w:color w:val="77206D" w:themeColor="accent5" w:themeShade="BF"/>
          <w:sz w:val="28"/>
          <w:szCs w:val="28"/>
        </w:rPr>
        <w:t xml:space="preserve">Article 2: non-discrimination </w:t>
      </w:r>
    </w:p>
    <w:p w14:paraId="58C8BDA0" w14:textId="03239650" w:rsidR="007F7E9F" w:rsidRPr="007F7E9F" w:rsidRDefault="00AB463B" w:rsidP="007F7E9F">
      <w:pPr>
        <w:pStyle w:val="Heading3"/>
        <w:spacing w:line="276" w:lineRule="auto"/>
        <w:rPr>
          <w:b/>
          <w:bCs/>
          <w:color w:val="0070C0"/>
          <w:sz w:val="24"/>
          <w:szCs w:val="24"/>
        </w:rPr>
      </w:pPr>
      <w:r>
        <w:rPr>
          <w:b/>
          <w:bCs/>
          <w:color w:val="0070C0"/>
          <w:sz w:val="24"/>
          <w:szCs w:val="24"/>
        </w:rPr>
        <w:t>People seeking asylum</w:t>
      </w:r>
      <w:r w:rsidR="007F7E9F" w:rsidRPr="007F7E9F">
        <w:rPr>
          <w:b/>
          <w:bCs/>
          <w:color w:val="0070C0"/>
          <w:sz w:val="24"/>
          <w:szCs w:val="24"/>
        </w:rPr>
        <w:t xml:space="preserve"> and refugees </w:t>
      </w:r>
    </w:p>
    <w:p w14:paraId="281F7A0B" w14:textId="5BBDB321" w:rsidR="007F7E9F" w:rsidRPr="007F7E9F" w:rsidRDefault="007F7E9F" w:rsidP="007F7E9F">
      <w:pPr>
        <w:spacing w:line="276" w:lineRule="auto"/>
        <w:jc w:val="both"/>
        <w:rPr>
          <w:sz w:val="22"/>
          <w:szCs w:val="22"/>
        </w:rPr>
      </w:pPr>
      <w:r w:rsidRPr="007F7E9F">
        <w:rPr>
          <w:b/>
          <w:bCs/>
          <w:sz w:val="22"/>
          <w:szCs w:val="22"/>
        </w:rPr>
        <w:t>[9]</w:t>
      </w:r>
      <w:r w:rsidRPr="007F7E9F">
        <w:rPr>
          <w:sz w:val="22"/>
          <w:szCs w:val="22"/>
        </w:rPr>
        <w:t xml:space="preserve"> </w:t>
      </w:r>
      <w:r w:rsidR="00A74A40">
        <w:rPr>
          <w:sz w:val="22"/>
          <w:szCs w:val="22"/>
        </w:rPr>
        <w:tab/>
      </w:r>
      <w:r w:rsidRPr="007F7E9F">
        <w:rPr>
          <w:sz w:val="22"/>
          <w:szCs w:val="22"/>
        </w:rPr>
        <w:t xml:space="preserve">We note the Committee’s interest in steps taken to ensure that </w:t>
      </w:r>
      <w:r w:rsidR="00B01A22">
        <w:rPr>
          <w:sz w:val="22"/>
          <w:szCs w:val="22"/>
        </w:rPr>
        <w:t xml:space="preserve">people seeking </w:t>
      </w:r>
      <w:r w:rsidRPr="007F7E9F">
        <w:rPr>
          <w:sz w:val="22"/>
          <w:szCs w:val="22"/>
        </w:rPr>
        <w:t>asylum</w:t>
      </w:r>
      <w:r>
        <w:rPr>
          <w:sz w:val="22"/>
          <w:szCs w:val="22"/>
        </w:rPr>
        <w:t xml:space="preserve"> </w:t>
      </w:r>
      <w:r w:rsidR="00A73C05">
        <w:rPr>
          <w:sz w:val="22"/>
          <w:szCs w:val="22"/>
        </w:rPr>
        <w:t xml:space="preserve">and refugees </w:t>
      </w:r>
      <w:r w:rsidRPr="007F7E9F">
        <w:rPr>
          <w:sz w:val="22"/>
          <w:szCs w:val="22"/>
        </w:rPr>
        <w:t>are not discriminated against in their enjoyment of Covenant rights</w:t>
      </w:r>
      <w:r w:rsidRPr="007F7E9F">
        <w:rPr>
          <w:rStyle w:val="FootnoteReference"/>
          <w:sz w:val="22"/>
          <w:szCs w:val="22"/>
        </w:rPr>
        <w:footnoteReference w:id="8"/>
      </w:r>
      <w:r w:rsidRPr="007F7E9F">
        <w:rPr>
          <w:sz w:val="22"/>
          <w:szCs w:val="22"/>
        </w:rPr>
        <w:t xml:space="preserve">. We highlight that immigration and asylum is a reserved matter. Currently LGBTQIA+ people seeking asylum do </w:t>
      </w:r>
      <w:r w:rsidRPr="007F7E9F">
        <w:rPr>
          <w:sz w:val="22"/>
          <w:szCs w:val="22"/>
        </w:rPr>
        <w:lastRenderedPageBreak/>
        <w:t>not have access to fair and efficient procedures. Research</w:t>
      </w:r>
      <w:r w:rsidRPr="007F7E9F">
        <w:rPr>
          <w:rStyle w:val="FootnoteReference"/>
          <w:sz w:val="22"/>
          <w:szCs w:val="22"/>
        </w:rPr>
        <w:footnoteReference w:id="9"/>
      </w:r>
      <w:r w:rsidRPr="007F7E9F">
        <w:rPr>
          <w:sz w:val="22"/>
          <w:szCs w:val="22"/>
        </w:rPr>
        <w:t xml:space="preserve"> has found significant barriers to LGBTQIA+ people’s ability to navigate the asylum process and ability to realise other Covenant rights, particularly Article 11 and Article 12. Furthermore, LGBTQIA+ </w:t>
      </w:r>
      <w:r w:rsidR="008D6566">
        <w:rPr>
          <w:sz w:val="22"/>
          <w:szCs w:val="22"/>
        </w:rPr>
        <w:t xml:space="preserve">people seeking </w:t>
      </w:r>
      <w:r w:rsidRPr="007F7E9F">
        <w:rPr>
          <w:sz w:val="22"/>
          <w:szCs w:val="22"/>
        </w:rPr>
        <w:t xml:space="preserve">asylum are often: </w:t>
      </w:r>
    </w:p>
    <w:p w14:paraId="5A99C672" w14:textId="496B42AD" w:rsidR="007F7E9F" w:rsidRPr="007F7E9F" w:rsidRDefault="007F7E9F" w:rsidP="007F7E9F">
      <w:pPr>
        <w:pStyle w:val="ListParagraph"/>
        <w:numPr>
          <w:ilvl w:val="0"/>
          <w:numId w:val="28"/>
        </w:numPr>
        <w:spacing w:line="276" w:lineRule="auto"/>
        <w:jc w:val="both"/>
        <w:rPr>
          <w:sz w:val="22"/>
          <w:szCs w:val="22"/>
        </w:rPr>
      </w:pPr>
      <w:r w:rsidRPr="007F7E9F">
        <w:rPr>
          <w:sz w:val="22"/>
          <w:szCs w:val="22"/>
        </w:rPr>
        <w:t xml:space="preserve">unable to meet the new higher standard of proof required by the Borders and Nationality Act (2022) due to the necessity of hiding their identities for fear of reprisal. This burden of proof is unreasonable, traumatic and perpetuates harmful stereotypes; </w:t>
      </w:r>
    </w:p>
    <w:p w14:paraId="585EE412" w14:textId="77777777" w:rsidR="007F7E9F" w:rsidRPr="007F7E9F" w:rsidRDefault="007F7E9F" w:rsidP="007F7E9F">
      <w:pPr>
        <w:pStyle w:val="ListParagraph"/>
        <w:numPr>
          <w:ilvl w:val="0"/>
          <w:numId w:val="28"/>
        </w:numPr>
        <w:spacing w:line="276" w:lineRule="auto"/>
        <w:jc w:val="both"/>
        <w:rPr>
          <w:sz w:val="22"/>
          <w:szCs w:val="22"/>
        </w:rPr>
      </w:pPr>
      <w:r w:rsidRPr="007F7E9F">
        <w:rPr>
          <w:sz w:val="22"/>
          <w:szCs w:val="22"/>
        </w:rPr>
        <w:t>faced with pressure to stay in abusive or otherwise unhealthy relationships in order to ‘prove’ their status to the Home Office; and</w:t>
      </w:r>
    </w:p>
    <w:p w14:paraId="4B606C84" w14:textId="288093EB" w:rsidR="007F7E9F" w:rsidRPr="007F7E9F" w:rsidRDefault="007F7E9F" w:rsidP="007F7E9F">
      <w:pPr>
        <w:pStyle w:val="ListParagraph"/>
        <w:numPr>
          <w:ilvl w:val="0"/>
          <w:numId w:val="28"/>
        </w:numPr>
        <w:spacing w:line="276" w:lineRule="auto"/>
        <w:jc w:val="both"/>
        <w:rPr>
          <w:sz w:val="22"/>
          <w:szCs w:val="22"/>
        </w:rPr>
      </w:pPr>
      <w:r w:rsidRPr="007F7E9F">
        <w:rPr>
          <w:sz w:val="22"/>
          <w:szCs w:val="22"/>
        </w:rPr>
        <w:t>subject to a high level of abuse in immigration detention, in asylum accommodation (especially hotels and HMOs) both at the hands of staff and fellow (cisgender/heterosexual) asylum seek</w:t>
      </w:r>
      <w:r w:rsidR="008D6566">
        <w:rPr>
          <w:sz w:val="22"/>
          <w:szCs w:val="22"/>
        </w:rPr>
        <w:t>ing people</w:t>
      </w:r>
      <w:r w:rsidRPr="007F7E9F">
        <w:rPr>
          <w:sz w:val="22"/>
          <w:szCs w:val="22"/>
        </w:rPr>
        <w:t>.</w:t>
      </w:r>
    </w:p>
    <w:p w14:paraId="4D2FE5F5" w14:textId="666EC0B2" w:rsidR="007F7E9F" w:rsidRDefault="007F7E9F" w:rsidP="007F7E9F">
      <w:pPr>
        <w:spacing w:line="276" w:lineRule="auto"/>
        <w:jc w:val="both"/>
        <w:rPr>
          <w:b/>
          <w:bCs/>
          <w:sz w:val="22"/>
          <w:szCs w:val="22"/>
        </w:rPr>
      </w:pPr>
      <w:r w:rsidRPr="007F7E9F">
        <w:rPr>
          <w:b/>
          <w:bCs/>
          <w:sz w:val="22"/>
          <w:szCs w:val="22"/>
        </w:rPr>
        <w:t xml:space="preserve">[10] </w:t>
      </w:r>
      <w:r w:rsidR="00C22F02">
        <w:rPr>
          <w:b/>
          <w:bCs/>
          <w:sz w:val="22"/>
          <w:szCs w:val="22"/>
        </w:rPr>
        <w:tab/>
      </w:r>
      <w:r w:rsidRPr="007F7E9F">
        <w:rPr>
          <w:b/>
          <w:bCs/>
          <w:sz w:val="22"/>
          <w:szCs w:val="22"/>
        </w:rPr>
        <w:t>Recommendations:</w:t>
      </w:r>
    </w:p>
    <w:tbl>
      <w:tblPr>
        <w:tblStyle w:val="TableGrid"/>
        <w:tblW w:w="0" w:type="auto"/>
        <w:tblLook w:val="04A0" w:firstRow="1" w:lastRow="0" w:firstColumn="1" w:lastColumn="0" w:noHBand="0" w:noVBand="1"/>
      </w:tblPr>
      <w:tblGrid>
        <w:gridCol w:w="988"/>
        <w:gridCol w:w="8028"/>
      </w:tblGrid>
      <w:tr w:rsidR="00673F7F" w14:paraId="60C90302" w14:textId="77777777" w:rsidTr="0010473E">
        <w:tc>
          <w:tcPr>
            <w:tcW w:w="988" w:type="dxa"/>
          </w:tcPr>
          <w:p w14:paraId="0E3AFF9F" w14:textId="48069B7D" w:rsidR="00673F7F" w:rsidRPr="00226008" w:rsidRDefault="00673F7F" w:rsidP="00B7053D">
            <w:pPr>
              <w:spacing w:line="276" w:lineRule="auto"/>
              <w:jc w:val="both"/>
              <w:rPr>
                <w:b/>
                <w:bCs/>
                <w:sz w:val="22"/>
                <w:szCs w:val="22"/>
              </w:rPr>
            </w:pPr>
            <w:r w:rsidRPr="00226008">
              <w:rPr>
                <w:b/>
                <w:bCs/>
                <w:sz w:val="22"/>
                <w:szCs w:val="22"/>
              </w:rPr>
              <w:t xml:space="preserve">Rec </w:t>
            </w:r>
            <w:r>
              <w:rPr>
                <w:b/>
                <w:bCs/>
                <w:sz w:val="22"/>
                <w:szCs w:val="22"/>
              </w:rPr>
              <w:t>5</w:t>
            </w:r>
          </w:p>
        </w:tc>
        <w:tc>
          <w:tcPr>
            <w:tcW w:w="8028" w:type="dxa"/>
          </w:tcPr>
          <w:p w14:paraId="086D364E" w14:textId="05C6EECA" w:rsidR="00673F7F" w:rsidRDefault="00673F7F" w:rsidP="00B7053D">
            <w:pPr>
              <w:spacing w:line="276" w:lineRule="auto"/>
              <w:jc w:val="both"/>
              <w:rPr>
                <w:sz w:val="22"/>
                <w:szCs w:val="22"/>
              </w:rPr>
            </w:pPr>
            <w:r w:rsidRPr="007F7E9F">
              <w:rPr>
                <w:sz w:val="22"/>
                <w:szCs w:val="22"/>
              </w:rPr>
              <w:t xml:space="preserve">The UK Government should comply with its obligations under Article 2(2) and Article 2(3) of the Covenant and end discrimination for LGBTIA+ </w:t>
            </w:r>
            <w:r w:rsidR="00EB4B09">
              <w:rPr>
                <w:sz w:val="22"/>
                <w:szCs w:val="22"/>
              </w:rPr>
              <w:t xml:space="preserve">people seeking </w:t>
            </w:r>
            <w:r w:rsidRPr="007F7E9F">
              <w:rPr>
                <w:sz w:val="22"/>
                <w:szCs w:val="22"/>
              </w:rPr>
              <w:t>asylum</w:t>
            </w:r>
            <w:r w:rsidR="001C41C7">
              <w:rPr>
                <w:sz w:val="22"/>
                <w:szCs w:val="22"/>
              </w:rPr>
              <w:t xml:space="preserve"> and refugees</w:t>
            </w:r>
          </w:p>
        </w:tc>
      </w:tr>
      <w:tr w:rsidR="00673F7F" w14:paraId="36B9C7E8" w14:textId="77777777" w:rsidTr="0010473E">
        <w:tc>
          <w:tcPr>
            <w:tcW w:w="988" w:type="dxa"/>
          </w:tcPr>
          <w:p w14:paraId="1A85582B" w14:textId="3A0CA8BF" w:rsidR="00673F7F" w:rsidRPr="00226008" w:rsidRDefault="00673F7F" w:rsidP="00B7053D">
            <w:pPr>
              <w:spacing w:line="276" w:lineRule="auto"/>
              <w:jc w:val="both"/>
              <w:rPr>
                <w:b/>
                <w:bCs/>
                <w:sz w:val="22"/>
                <w:szCs w:val="22"/>
              </w:rPr>
            </w:pPr>
            <w:r w:rsidRPr="00226008">
              <w:rPr>
                <w:b/>
                <w:bCs/>
                <w:sz w:val="22"/>
                <w:szCs w:val="22"/>
              </w:rPr>
              <w:t xml:space="preserve">Rec </w:t>
            </w:r>
            <w:r>
              <w:rPr>
                <w:b/>
                <w:bCs/>
                <w:sz w:val="22"/>
                <w:szCs w:val="22"/>
              </w:rPr>
              <w:t>6</w:t>
            </w:r>
          </w:p>
        </w:tc>
        <w:tc>
          <w:tcPr>
            <w:tcW w:w="8028" w:type="dxa"/>
          </w:tcPr>
          <w:p w14:paraId="08942771" w14:textId="409CC175" w:rsidR="00673F7F" w:rsidRPr="000122E7" w:rsidRDefault="00787F9C" w:rsidP="00B7053D">
            <w:pPr>
              <w:spacing w:line="276" w:lineRule="auto"/>
              <w:jc w:val="both"/>
              <w:rPr>
                <w:sz w:val="22"/>
                <w:szCs w:val="22"/>
              </w:rPr>
            </w:pPr>
            <w:r w:rsidRPr="007F7E9F">
              <w:rPr>
                <w:sz w:val="22"/>
                <w:szCs w:val="22"/>
              </w:rPr>
              <w:t>The UK Government should ensure applicants have an opportunity, through sensitive enquiry by the Home Office, to disclose their LGBTIA+ identities and be supported to engage with local support structures</w:t>
            </w:r>
            <w:r>
              <w:rPr>
                <w:sz w:val="22"/>
                <w:szCs w:val="22"/>
              </w:rPr>
              <w:t>.</w:t>
            </w:r>
          </w:p>
        </w:tc>
      </w:tr>
    </w:tbl>
    <w:p w14:paraId="77324EAA" w14:textId="77777777" w:rsidR="007F7E9F" w:rsidRPr="00787F9C" w:rsidRDefault="007F7E9F" w:rsidP="00787F9C">
      <w:pPr>
        <w:spacing w:line="276" w:lineRule="auto"/>
        <w:jc w:val="both"/>
        <w:rPr>
          <w:sz w:val="22"/>
          <w:szCs w:val="22"/>
        </w:rPr>
      </w:pPr>
    </w:p>
    <w:p w14:paraId="6000C1A6" w14:textId="77777777" w:rsidR="007F7E9F" w:rsidRPr="007F7E9F" w:rsidRDefault="007F7E9F" w:rsidP="007F7E9F">
      <w:pPr>
        <w:pStyle w:val="Heading2"/>
        <w:numPr>
          <w:ilvl w:val="0"/>
          <w:numId w:val="8"/>
        </w:numPr>
        <w:spacing w:line="276" w:lineRule="auto"/>
        <w:rPr>
          <w:b/>
          <w:bCs/>
          <w:color w:val="77206D" w:themeColor="accent5" w:themeShade="BF"/>
          <w:sz w:val="28"/>
          <w:szCs w:val="28"/>
        </w:rPr>
      </w:pPr>
      <w:r w:rsidRPr="007F7E9F">
        <w:rPr>
          <w:b/>
          <w:bCs/>
          <w:color w:val="77206D" w:themeColor="accent5" w:themeShade="BF"/>
          <w:sz w:val="28"/>
          <w:szCs w:val="28"/>
        </w:rPr>
        <w:t>Article 6: right to work</w:t>
      </w:r>
    </w:p>
    <w:p w14:paraId="1811DABE" w14:textId="11C1F01D" w:rsidR="007F7E9F" w:rsidRPr="007F7E9F" w:rsidRDefault="00EB4B09" w:rsidP="007F7E9F">
      <w:pPr>
        <w:pStyle w:val="Heading3"/>
        <w:spacing w:line="276" w:lineRule="auto"/>
        <w:rPr>
          <w:b/>
          <w:bCs/>
          <w:color w:val="0070C0"/>
          <w:sz w:val="24"/>
          <w:szCs w:val="24"/>
        </w:rPr>
      </w:pPr>
      <w:r>
        <w:rPr>
          <w:b/>
          <w:bCs/>
          <w:color w:val="0070C0"/>
          <w:sz w:val="24"/>
          <w:szCs w:val="24"/>
        </w:rPr>
        <w:t>People seeking asylum</w:t>
      </w:r>
      <w:r w:rsidR="007F7E9F" w:rsidRPr="007F7E9F">
        <w:rPr>
          <w:b/>
          <w:bCs/>
          <w:color w:val="0070C0"/>
          <w:sz w:val="24"/>
          <w:szCs w:val="24"/>
        </w:rPr>
        <w:t xml:space="preserve"> and refugees </w:t>
      </w:r>
    </w:p>
    <w:p w14:paraId="000171E9" w14:textId="18831E12" w:rsidR="007F7E9F" w:rsidRPr="007F7E9F" w:rsidRDefault="007F7E9F" w:rsidP="007F7E9F">
      <w:pPr>
        <w:spacing w:line="276" w:lineRule="auto"/>
        <w:jc w:val="both"/>
        <w:rPr>
          <w:sz w:val="22"/>
          <w:szCs w:val="22"/>
        </w:rPr>
      </w:pPr>
      <w:r w:rsidRPr="007F7E9F">
        <w:rPr>
          <w:b/>
          <w:bCs/>
          <w:sz w:val="22"/>
          <w:szCs w:val="22"/>
        </w:rPr>
        <w:t>[11]</w:t>
      </w:r>
      <w:r w:rsidRPr="007F7E9F">
        <w:rPr>
          <w:sz w:val="22"/>
          <w:szCs w:val="22"/>
        </w:rPr>
        <w:t xml:space="preserve"> </w:t>
      </w:r>
      <w:r w:rsidR="005A7560">
        <w:rPr>
          <w:sz w:val="22"/>
          <w:szCs w:val="22"/>
        </w:rPr>
        <w:tab/>
      </w:r>
      <w:r w:rsidRPr="007F7E9F">
        <w:rPr>
          <w:sz w:val="22"/>
          <w:szCs w:val="22"/>
        </w:rPr>
        <w:t xml:space="preserve">We note the Committee’s interest in measures taken to address barriers preventing refugees and </w:t>
      </w:r>
      <w:r w:rsidR="00EB4B09">
        <w:rPr>
          <w:sz w:val="22"/>
          <w:szCs w:val="22"/>
        </w:rPr>
        <w:t>people seeking asylum</w:t>
      </w:r>
      <w:r w:rsidRPr="007F7E9F">
        <w:rPr>
          <w:sz w:val="22"/>
          <w:szCs w:val="22"/>
        </w:rPr>
        <w:t xml:space="preserve"> from accessing employment</w:t>
      </w:r>
      <w:r w:rsidRPr="007F7E9F">
        <w:rPr>
          <w:rStyle w:val="FootnoteReference"/>
          <w:sz w:val="22"/>
          <w:szCs w:val="22"/>
        </w:rPr>
        <w:footnoteReference w:id="10"/>
      </w:r>
      <w:r w:rsidRPr="007F7E9F">
        <w:rPr>
          <w:sz w:val="22"/>
          <w:szCs w:val="22"/>
        </w:rPr>
        <w:t>. At present, there is no right to work in the UK for someone awaiting the decision of their asylum claim, which for some has been over ten years. No recourse to public funds</w:t>
      </w:r>
      <w:r w:rsidRPr="007F7E9F">
        <w:rPr>
          <w:rStyle w:val="FootnoteReference"/>
          <w:sz w:val="22"/>
          <w:szCs w:val="22"/>
        </w:rPr>
        <w:footnoteReference w:id="11"/>
      </w:r>
      <w:r w:rsidRPr="007F7E9F">
        <w:rPr>
          <w:sz w:val="22"/>
          <w:szCs w:val="22"/>
        </w:rPr>
        <w:t xml:space="preserve"> and inability to work significantly contribute to </w:t>
      </w:r>
      <w:r>
        <w:rPr>
          <w:sz w:val="22"/>
          <w:szCs w:val="22"/>
        </w:rPr>
        <w:t xml:space="preserve">the </w:t>
      </w:r>
      <w:r w:rsidRPr="007F7E9F">
        <w:rPr>
          <w:sz w:val="22"/>
          <w:szCs w:val="22"/>
        </w:rPr>
        <w:t>isolation and loneliness</w:t>
      </w:r>
      <w:r>
        <w:rPr>
          <w:sz w:val="22"/>
          <w:szCs w:val="22"/>
        </w:rPr>
        <w:t xml:space="preserve"> felt by LGB</w:t>
      </w:r>
      <w:r w:rsidR="0078087B">
        <w:rPr>
          <w:sz w:val="22"/>
          <w:szCs w:val="22"/>
        </w:rPr>
        <w:t>T</w:t>
      </w:r>
      <w:r>
        <w:rPr>
          <w:sz w:val="22"/>
          <w:szCs w:val="22"/>
        </w:rPr>
        <w:t xml:space="preserve">IA+ </w:t>
      </w:r>
      <w:r w:rsidR="000E4AF2">
        <w:rPr>
          <w:sz w:val="22"/>
          <w:szCs w:val="22"/>
        </w:rPr>
        <w:t>people seeking asylum</w:t>
      </w:r>
      <w:r w:rsidRPr="007F7E9F">
        <w:rPr>
          <w:sz w:val="22"/>
          <w:szCs w:val="22"/>
        </w:rPr>
        <w:t xml:space="preserve">. This </w:t>
      </w:r>
      <w:r w:rsidR="00627D12">
        <w:rPr>
          <w:sz w:val="22"/>
          <w:szCs w:val="22"/>
        </w:rPr>
        <w:t>is compounded by breaches of other</w:t>
      </w:r>
      <w:r w:rsidRPr="007F7E9F">
        <w:rPr>
          <w:sz w:val="22"/>
          <w:szCs w:val="22"/>
        </w:rPr>
        <w:t xml:space="preserve"> ICESCR rights: the experience of being LGBTIA+ in the asylum system</w:t>
      </w:r>
      <w:r>
        <w:rPr>
          <w:sz w:val="22"/>
          <w:szCs w:val="22"/>
        </w:rPr>
        <w:t xml:space="preserve"> and being discriminated against based on sexual orientation and/or gender identity</w:t>
      </w:r>
      <w:r w:rsidRPr="007F7E9F">
        <w:rPr>
          <w:sz w:val="22"/>
          <w:szCs w:val="22"/>
        </w:rPr>
        <w:t xml:space="preserve"> (Article 2)</w:t>
      </w:r>
      <w:r>
        <w:rPr>
          <w:sz w:val="22"/>
          <w:szCs w:val="22"/>
        </w:rPr>
        <w:t>;</w:t>
      </w:r>
      <w:r w:rsidRPr="007F7E9F">
        <w:rPr>
          <w:sz w:val="22"/>
          <w:szCs w:val="22"/>
        </w:rPr>
        <w:t xml:space="preserve"> being unsafe in UK Home Office accommodation (Article 11)</w:t>
      </w:r>
      <w:r>
        <w:rPr>
          <w:sz w:val="22"/>
          <w:szCs w:val="22"/>
        </w:rPr>
        <w:t>;</w:t>
      </w:r>
      <w:r w:rsidRPr="007F7E9F">
        <w:rPr>
          <w:sz w:val="22"/>
          <w:szCs w:val="22"/>
        </w:rPr>
        <w:t xml:space="preserve"> and not being able to travel to LGBTIA+ friendly services to engage in cultural life (Article 15). </w:t>
      </w:r>
      <w:r w:rsidRPr="007F7E9F">
        <w:rPr>
          <w:sz w:val="22"/>
          <w:szCs w:val="22"/>
          <w:lang w:val="en-US"/>
        </w:rPr>
        <w:t>LGBT+ New Scots</w:t>
      </w:r>
      <w:r w:rsidRPr="007F7E9F">
        <w:rPr>
          <w:rStyle w:val="FootnoteReference"/>
          <w:sz w:val="22"/>
          <w:szCs w:val="22"/>
          <w:lang w:val="en-US"/>
        </w:rPr>
        <w:footnoteReference w:id="12"/>
      </w:r>
      <w:r w:rsidRPr="007F7E9F">
        <w:rPr>
          <w:sz w:val="22"/>
          <w:szCs w:val="22"/>
          <w:lang w:val="en-US"/>
        </w:rPr>
        <w:t xml:space="preserve"> stressed many LGBTIA+ </w:t>
      </w:r>
      <w:r w:rsidR="00155610">
        <w:rPr>
          <w:sz w:val="22"/>
          <w:szCs w:val="22"/>
          <w:lang w:val="en-US"/>
        </w:rPr>
        <w:t>people seeking asylum</w:t>
      </w:r>
      <w:r w:rsidRPr="007F7E9F">
        <w:rPr>
          <w:sz w:val="22"/>
          <w:szCs w:val="22"/>
          <w:lang w:val="en-US"/>
        </w:rPr>
        <w:t xml:space="preserve"> arrive in Scotland with qualifications and experience that the asylum system deteriorates by not allowing individuals to work or study whilst their claim is being processed. We</w:t>
      </w:r>
      <w:r>
        <w:rPr>
          <w:sz w:val="22"/>
          <w:szCs w:val="22"/>
          <w:lang w:val="en-US"/>
        </w:rPr>
        <w:t xml:space="preserve"> would like to</w:t>
      </w:r>
      <w:r w:rsidRPr="007F7E9F">
        <w:rPr>
          <w:sz w:val="22"/>
          <w:szCs w:val="22"/>
          <w:lang w:val="en-US"/>
        </w:rPr>
        <w:t xml:space="preserve"> highlight the importance of access to English for Speakers of Other Languages </w:t>
      </w:r>
      <w:r w:rsidRPr="007F7E9F">
        <w:rPr>
          <w:sz w:val="22"/>
          <w:szCs w:val="22"/>
          <w:lang w:val="en-US"/>
        </w:rPr>
        <w:lastRenderedPageBreak/>
        <w:t xml:space="preserve">(ESOL) courses to help </w:t>
      </w:r>
      <w:r w:rsidR="00B41A4B">
        <w:rPr>
          <w:sz w:val="22"/>
          <w:szCs w:val="22"/>
          <w:lang w:val="en-US"/>
        </w:rPr>
        <w:t>LG</w:t>
      </w:r>
      <w:r w:rsidR="0078087B">
        <w:rPr>
          <w:sz w:val="22"/>
          <w:szCs w:val="22"/>
          <w:lang w:val="en-US"/>
        </w:rPr>
        <w:t>BT</w:t>
      </w:r>
      <w:r w:rsidR="00B41A4B">
        <w:rPr>
          <w:sz w:val="22"/>
          <w:szCs w:val="22"/>
          <w:lang w:val="en-US"/>
        </w:rPr>
        <w:t>IA+ people seeking asylum and refugees</w:t>
      </w:r>
      <w:r w:rsidRPr="007F7E9F">
        <w:rPr>
          <w:sz w:val="22"/>
          <w:szCs w:val="22"/>
          <w:lang w:val="en-US"/>
        </w:rPr>
        <w:t xml:space="preserve"> navigate life in Scotland, engage with services, and integrate into communities. </w:t>
      </w:r>
    </w:p>
    <w:p w14:paraId="527BA4AD" w14:textId="159DEBE1" w:rsidR="007F7E9F" w:rsidRDefault="007F7E9F" w:rsidP="007F7E9F">
      <w:pPr>
        <w:spacing w:line="276" w:lineRule="auto"/>
        <w:jc w:val="both"/>
        <w:rPr>
          <w:b/>
          <w:bCs/>
          <w:sz w:val="22"/>
          <w:szCs w:val="22"/>
          <w:lang w:val="en-US"/>
        </w:rPr>
      </w:pPr>
      <w:r w:rsidRPr="007F7E9F">
        <w:rPr>
          <w:b/>
          <w:bCs/>
          <w:sz w:val="22"/>
          <w:szCs w:val="22"/>
          <w:lang w:val="en-US"/>
        </w:rPr>
        <w:t xml:space="preserve">[12] </w:t>
      </w:r>
      <w:r w:rsidR="00C22F02">
        <w:rPr>
          <w:b/>
          <w:bCs/>
          <w:sz w:val="22"/>
          <w:szCs w:val="22"/>
          <w:lang w:val="en-US"/>
        </w:rPr>
        <w:tab/>
      </w:r>
      <w:r w:rsidRPr="007F7E9F">
        <w:rPr>
          <w:b/>
          <w:bCs/>
          <w:sz w:val="22"/>
          <w:szCs w:val="22"/>
          <w:lang w:val="en-US"/>
        </w:rPr>
        <w:t>Recommendations:</w:t>
      </w:r>
    </w:p>
    <w:tbl>
      <w:tblPr>
        <w:tblStyle w:val="TableGrid"/>
        <w:tblW w:w="0" w:type="auto"/>
        <w:tblLook w:val="04A0" w:firstRow="1" w:lastRow="0" w:firstColumn="1" w:lastColumn="0" w:noHBand="0" w:noVBand="1"/>
      </w:tblPr>
      <w:tblGrid>
        <w:gridCol w:w="988"/>
        <w:gridCol w:w="8028"/>
      </w:tblGrid>
      <w:tr w:rsidR="00473FA7" w14:paraId="0C99A37A" w14:textId="77777777" w:rsidTr="0010473E">
        <w:tc>
          <w:tcPr>
            <w:tcW w:w="988" w:type="dxa"/>
          </w:tcPr>
          <w:p w14:paraId="38BC7F91" w14:textId="23BD452B" w:rsidR="00473FA7" w:rsidRPr="00226008" w:rsidRDefault="00473FA7" w:rsidP="00B7053D">
            <w:pPr>
              <w:spacing w:line="276" w:lineRule="auto"/>
              <w:jc w:val="both"/>
              <w:rPr>
                <w:b/>
                <w:bCs/>
                <w:sz w:val="22"/>
                <w:szCs w:val="22"/>
              </w:rPr>
            </w:pPr>
            <w:r w:rsidRPr="00226008">
              <w:rPr>
                <w:b/>
                <w:bCs/>
                <w:sz w:val="22"/>
                <w:szCs w:val="22"/>
              </w:rPr>
              <w:t xml:space="preserve">Rec </w:t>
            </w:r>
            <w:r>
              <w:rPr>
                <w:b/>
                <w:bCs/>
                <w:sz w:val="22"/>
                <w:szCs w:val="22"/>
              </w:rPr>
              <w:t>7</w:t>
            </w:r>
          </w:p>
        </w:tc>
        <w:tc>
          <w:tcPr>
            <w:tcW w:w="8028" w:type="dxa"/>
          </w:tcPr>
          <w:p w14:paraId="3276A4B6" w14:textId="0B340152" w:rsidR="00473FA7" w:rsidRDefault="00473FA7" w:rsidP="00B7053D">
            <w:pPr>
              <w:spacing w:line="276" w:lineRule="auto"/>
              <w:jc w:val="both"/>
              <w:rPr>
                <w:sz w:val="22"/>
                <w:szCs w:val="22"/>
              </w:rPr>
            </w:pPr>
            <w:r w:rsidRPr="007F7E9F">
              <w:rPr>
                <w:sz w:val="22"/>
                <w:szCs w:val="22"/>
              </w:rPr>
              <w:t xml:space="preserve">The UK Government should </w:t>
            </w:r>
            <w:r w:rsidR="00187D81">
              <w:rPr>
                <w:sz w:val="22"/>
                <w:szCs w:val="22"/>
              </w:rPr>
              <w:t>allow people seeking asylum</w:t>
            </w:r>
            <w:r w:rsidRPr="007F7E9F">
              <w:rPr>
                <w:sz w:val="22"/>
                <w:szCs w:val="22"/>
              </w:rPr>
              <w:t xml:space="preserve"> the right to work and/or gain work placements whilst awaiting the decision of their asylum claim</w:t>
            </w:r>
            <w:r>
              <w:rPr>
                <w:sz w:val="22"/>
                <w:szCs w:val="22"/>
              </w:rPr>
              <w:t>.</w:t>
            </w:r>
          </w:p>
        </w:tc>
      </w:tr>
      <w:tr w:rsidR="00EC6A1C" w14:paraId="0C7F0402" w14:textId="77777777" w:rsidTr="0010473E">
        <w:tc>
          <w:tcPr>
            <w:tcW w:w="988" w:type="dxa"/>
          </w:tcPr>
          <w:p w14:paraId="613EC170" w14:textId="67EEB3DA" w:rsidR="00EC6A1C" w:rsidRPr="00226008" w:rsidRDefault="00C873B1" w:rsidP="00B7053D">
            <w:pPr>
              <w:spacing w:line="276" w:lineRule="auto"/>
              <w:jc w:val="both"/>
              <w:rPr>
                <w:b/>
                <w:bCs/>
                <w:sz w:val="22"/>
                <w:szCs w:val="22"/>
              </w:rPr>
            </w:pPr>
            <w:r>
              <w:rPr>
                <w:b/>
                <w:bCs/>
                <w:sz w:val="22"/>
                <w:szCs w:val="22"/>
              </w:rPr>
              <w:t xml:space="preserve">Rec </w:t>
            </w:r>
            <w:r w:rsidR="008B7549">
              <w:rPr>
                <w:b/>
                <w:bCs/>
                <w:sz w:val="22"/>
                <w:szCs w:val="22"/>
              </w:rPr>
              <w:t>8</w:t>
            </w:r>
          </w:p>
        </w:tc>
        <w:tc>
          <w:tcPr>
            <w:tcW w:w="8028" w:type="dxa"/>
          </w:tcPr>
          <w:p w14:paraId="3F8FD8DA" w14:textId="2CAE4F5B" w:rsidR="00EC6A1C" w:rsidRPr="007F7E9F" w:rsidRDefault="009F6803" w:rsidP="00B7053D">
            <w:pPr>
              <w:spacing w:line="276" w:lineRule="auto"/>
              <w:jc w:val="both"/>
              <w:rPr>
                <w:sz w:val="22"/>
                <w:szCs w:val="22"/>
              </w:rPr>
            </w:pPr>
            <w:r>
              <w:rPr>
                <w:sz w:val="22"/>
                <w:szCs w:val="22"/>
              </w:rPr>
              <w:t xml:space="preserve">Both the UK </w:t>
            </w:r>
            <w:r w:rsidR="00D769B3">
              <w:rPr>
                <w:sz w:val="22"/>
                <w:szCs w:val="22"/>
              </w:rPr>
              <w:t xml:space="preserve">Government </w:t>
            </w:r>
            <w:r>
              <w:rPr>
                <w:sz w:val="22"/>
                <w:szCs w:val="22"/>
              </w:rPr>
              <w:t xml:space="preserve">and Scottish Government should consult </w:t>
            </w:r>
            <w:r w:rsidR="00BD188E">
              <w:rPr>
                <w:sz w:val="22"/>
                <w:szCs w:val="22"/>
              </w:rPr>
              <w:t>LGBTIA</w:t>
            </w:r>
            <w:r>
              <w:rPr>
                <w:sz w:val="22"/>
                <w:szCs w:val="22"/>
              </w:rPr>
              <w:t xml:space="preserve">+ refugees </w:t>
            </w:r>
            <w:r w:rsidR="000F0C71">
              <w:rPr>
                <w:sz w:val="22"/>
                <w:szCs w:val="22"/>
              </w:rPr>
              <w:t xml:space="preserve">and take action to address the </w:t>
            </w:r>
            <w:r w:rsidR="00E207D6">
              <w:rPr>
                <w:sz w:val="22"/>
                <w:szCs w:val="22"/>
              </w:rPr>
              <w:t>specific</w:t>
            </w:r>
            <w:r w:rsidR="00A05D6C">
              <w:rPr>
                <w:sz w:val="22"/>
                <w:szCs w:val="22"/>
              </w:rPr>
              <w:t>, intersectional</w:t>
            </w:r>
            <w:r w:rsidR="00E207D6">
              <w:rPr>
                <w:sz w:val="22"/>
                <w:szCs w:val="22"/>
              </w:rPr>
              <w:t xml:space="preserve"> barriers to employment </w:t>
            </w:r>
            <w:r w:rsidR="00625727">
              <w:rPr>
                <w:sz w:val="22"/>
                <w:szCs w:val="22"/>
              </w:rPr>
              <w:t>faced by</w:t>
            </w:r>
            <w:r w:rsidR="00E207D6">
              <w:rPr>
                <w:sz w:val="22"/>
                <w:szCs w:val="22"/>
              </w:rPr>
              <w:t xml:space="preserve"> </w:t>
            </w:r>
            <w:r w:rsidR="00E12626">
              <w:rPr>
                <w:sz w:val="22"/>
                <w:szCs w:val="22"/>
              </w:rPr>
              <w:t xml:space="preserve">people </w:t>
            </w:r>
            <w:r w:rsidR="00C873B1">
              <w:rPr>
                <w:sz w:val="22"/>
                <w:szCs w:val="22"/>
              </w:rPr>
              <w:t>who are both</w:t>
            </w:r>
            <w:r w:rsidR="00E207D6">
              <w:rPr>
                <w:sz w:val="22"/>
                <w:szCs w:val="22"/>
              </w:rPr>
              <w:t xml:space="preserve"> LGBTIA+</w:t>
            </w:r>
            <w:r w:rsidR="00625727">
              <w:rPr>
                <w:sz w:val="22"/>
                <w:szCs w:val="22"/>
              </w:rPr>
              <w:t xml:space="preserve"> and a refugee</w:t>
            </w:r>
            <w:r w:rsidR="00982F6A">
              <w:rPr>
                <w:sz w:val="22"/>
                <w:szCs w:val="22"/>
              </w:rPr>
              <w:t>.</w:t>
            </w:r>
          </w:p>
        </w:tc>
      </w:tr>
      <w:tr w:rsidR="00473FA7" w14:paraId="231F3ADB" w14:textId="77777777" w:rsidTr="0010473E">
        <w:tc>
          <w:tcPr>
            <w:tcW w:w="988" w:type="dxa"/>
          </w:tcPr>
          <w:p w14:paraId="7D212C20" w14:textId="777438A0" w:rsidR="00473FA7" w:rsidRPr="00226008" w:rsidRDefault="00473FA7" w:rsidP="00B7053D">
            <w:pPr>
              <w:spacing w:line="276" w:lineRule="auto"/>
              <w:jc w:val="both"/>
              <w:rPr>
                <w:b/>
                <w:bCs/>
                <w:sz w:val="22"/>
                <w:szCs w:val="22"/>
              </w:rPr>
            </w:pPr>
            <w:r w:rsidRPr="00226008">
              <w:rPr>
                <w:b/>
                <w:bCs/>
                <w:sz w:val="22"/>
                <w:szCs w:val="22"/>
              </w:rPr>
              <w:t xml:space="preserve">Rec </w:t>
            </w:r>
            <w:r w:rsidR="008B7549">
              <w:rPr>
                <w:b/>
                <w:bCs/>
                <w:sz w:val="22"/>
                <w:szCs w:val="22"/>
              </w:rPr>
              <w:t>9</w:t>
            </w:r>
          </w:p>
        </w:tc>
        <w:tc>
          <w:tcPr>
            <w:tcW w:w="8028" w:type="dxa"/>
          </w:tcPr>
          <w:p w14:paraId="7CA6B94A" w14:textId="4B5700A0" w:rsidR="00473FA7" w:rsidRPr="00473FA7" w:rsidRDefault="00473FA7" w:rsidP="00473FA7">
            <w:pPr>
              <w:spacing w:line="276" w:lineRule="auto"/>
              <w:jc w:val="both"/>
              <w:rPr>
                <w:sz w:val="22"/>
                <w:szCs w:val="22"/>
              </w:rPr>
            </w:pPr>
            <w:r w:rsidRPr="00473FA7">
              <w:rPr>
                <w:sz w:val="22"/>
                <w:szCs w:val="22"/>
              </w:rPr>
              <w:t>The Scottish Government should provide and adequately resource ESOL courses for refugees and</w:t>
            </w:r>
            <w:r w:rsidR="00187D81">
              <w:rPr>
                <w:sz w:val="22"/>
                <w:szCs w:val="22"/>
              </w:rPr>
              <w:t xml:space="preserve"> people seeking</w:t>
            </w:r>
            <w:r w:rsidRPr="00473FA7">
              <w:rPr>
                <w:sz w:val="22"/>
                <w:szCs w:val="22"/>
              </w:rPr>
              <w:t xml:space="preserve"> asylum in Scotland.</w:t>
            </w:r>
          </w:p>
        </w:tc>
      </w:tr>
    </w:tbl>
    <w:p w14:paraId="7545A1D7" w14:textId="77777777" w:rsidR="007F7E9F" w:rsidRPr="00473FA7" w:rsidRDefault="007F7E9F" w:rsidP="00473FA7">
      <w:pPr>
        <w:spacing w:line="276" w:lineRule="auto"/>
        <w:jc w:val="both"/>
        <w:rPr>
          <w:b/>
          <w:bCs/>
          <w:sz w:val="22"/>
          <w:szCs w:val="22"/>
        </w:rPr>
      </w:pPr>
    </w:p>
    <w:p w14:paraId="0B5EA80D" w14:textId="77777777" w:rsidR="007F7E9F" w:rsidRPr="007F7E9F" w:rsidRDefault="007F7E9F" w:rsidP="007F7E9F">
      <w:pPr>
        <w:pStyle w:val="Heading3"/>
        <w:spacing w:line="276" w:lineRule="auto"/>
        <w:rPr>
          <w:b/>
          <w:bCs/>
          <w:color w:val="0070C0"/>
          <w:sz w:val="24"/>
          <w:szCs w:val="24"/>
        </w:rPr>
      </w:pPr>
      <w:r w:rsidRPr="007F7E9F">
        <w:rPr>
          <w:b/>
          <w:bCs/>
          <w:color w:val="0070C0"/>
          <w:sz w:val="24"/>
          <w:szCs w:val="24"/>
        </w:rPr>
        <w:t>Trans and non-binary people</w:t>
      </w:r>
    </w:p>
    <w:p w14:paraId="4961A069" w14:textId="5EA2B8BE" w:rsidR="007F7E9F" w:rsidRPr="007F7E9F" w:rsidRDefault="007F7E9F" w:rsidP="007F7E9F">
      <w:pPr>
        <w:spacing w:line="276" w:lineRule="auto"/>
        <w:jc w:val="both"/>
        <w:rPr>
          <w:sz w:val="22"/>
          <w:szCs w:val="22"/>
        </w:rPr>
      </w:pPr>
      <w:r w:rsidRPr="007F7E9F">
        <w:rPr>
          <w:b/>
          <w:bCs/>
          <w:sz w:val="22"/>
          <w:szCs w:val="22"/>
        </w:rPr>
        <w:t>[13]</w:t>
      </w:r>
      <w:r w:rsidRPr="007F7E9F">
        <w:rPr>
          <w:sz w:val="22"/>
          <w:szCs w:val="22"/>
        </w:rPr>
        <w:t xml:space="preserve"> </w:t>
      </w:r>
      <w:r w:rsidR="004379A1">
        <w:rPr>
          <w:sz w:val="22"/>
          <w:szCs w:val="22"/>
        </w:rPr>
        <w:tab/>
      </w:r>
      <w:r w:rsidRPr="007F7E9F">
        <w:rPr>
          <w:sz w:val="22"/>
          <w:szCs w:val="22"/>
        </w:rPr>
        <w:t>Our research</w:t>
      </w:r>
      <w:r w:rsidRPr="007F7E9F">
        <w:rPr>
          <w:rStyle w:val="FootnoteReference"/>
          <w:sz w:val="22"/>
          <w:szCs w:val="22"/>
        </w:rPr>
        <w:footnoteReference w:id="13"/>
      </w:r>
      <w:r w:rsidRPr="007F7E9F">
        <w:rPr>
          <w:sz w:val="22"/>
          <w:szCs w:val="22"/>
        </w:rPr>
        <w:t xml:space="preserve"> has highlighted significant barriers for trans and non-binary people to fully realise their Article 6 rights. Unemployment for trans and non-binary people is disproportionately high: 38% were unemployed with 26% having not been employed in the past five years</w:t>
      </w:r>
      <w:r w:rsidRPr="007F7E9F">
        <w:rPr>
          <w:rStyle w:val="FootnoteReference"/>
          <w:sz w:val="22"/>
          <w:szCs w:val="22"/>
        </w:rPr>
        <w:footnoteReference w:id="14"/>
      </w:r>
      <w:r w:rsidRPr="007F7E9F">
        <w:rPr>
          <w:sz w:val="22"/>
          <w:szCs w:val="22"/>
        </w:rPr>
        <w:t xml:space="preserve"> compared to an estimated unemployment rate of 3.3% in Scotland for the general population</w:t>
      </w:r>
      <w:r w:rsidRPr="007F7E9F">
        <w:rPr>
          <w:rStyle w:val="FootnoteReference"/>
          <w:sz w:val="22"/>
          <w:szCs w:val="22"/>
        </w:rPr>
        <w:footnoteReference w:id="15"/>
      </w:r>
      <w:r>
        <w:rPr>
          <w:sz w:val="22"/>
          <w:szCs w:val="22"/>
        </w:rPr>
        <w:t>.</w:t>
      </w:r>
      <w:r w:rsidRPr="007F7E9F">
        <w:rPr>
          <w:sz w:val="22"/>
          <w:szCs w:val="22"/>
        </w:rPr>
        <w:t xml:space="preserve"> Another report from LGBT Health and Wellbeing in 2021</w:t>
      </w:r>
      <w:r w:rsidRPr="007F7E9F">
        <w:rPr>
          <w:rStyle w:val="FootnoteReference"/>
          <w:sz w:val="22"/>
          <w:szCs w:val="22"/>
        </w:rPr>
        <w:footnoteReference w:id="16"/>
      </w:r>
      <w:r w:rsidRPr="007F7E9F">
        <w:rPr>
          <w:sz w:val="22"/>
          <w:szCs w:val="22"/>
        </w:rPr>
        <w:t xml:space="preserve"> detailed that the barriers for trans and non-binary people to access employment included: feeling unable to apply at all because of fears of prejudice; application forms which exclude non-binary identities; difficulty obtaining references and proof of qualifications to match gender and new name; lack of awareness, and sometimes transphobia, from interview panels; and feeling unable to be </w:t>
      </w:r>
      <w:r>
        <w:rPr>
          <w:sz w:val="22"/>
          <w:szCs w:val="22"/>
        </w:rPr>
        <w:t>‘out’</w:t>
      </w:r>
      <w:r w:rsidRPr="007F7E9F">
        <w:rPr>
          <w:sz w:val="22"/>
          <w:szCs w:val="22"/>
        </w:rPr>
        <w:t xml:space="preserve"> about their trans identity when applying for jobs. </w:t>
      </w:r>
    </w:p>
    <w:p w14:paraId="4153C3FF" w14:textId="555E16CF" w:rsidR="007F7E9F" w:rsidRDefault="007F7E9F" w:rsidP="007F7E9F">
      <w:pPr>
        <w:spacing w:line="276" w:lineRule="auto"/>
        <w:jc w:val="both"/>
        <w:rPr>
          <w:b/>
          <w:bCs/>
          <w:sz w:val="22"/>
          <w:szCs w:val="22"/>
        </w:rPr>
      </w:pPr>
      <w:r w:rsidRPr="007F7E9F">
        <w:rPr>
          <w:b/>
          <w:bCs/>
          <w:sz w:val="22"/>
          <w:szCs w:val="22"/>
        </w:rPr>
        <w:t xml:space="preserve">[14] </w:t>
      </w:r>
      <w:r w:rsidR="00C22F02">
        <w:rPr>
          <w:b/>
          <w:bCs/>
          <w:sz w:val="22"/>
          <w:szCs w:val="22"/>
        </w:rPr>
        <w:tab/>
      </w:r>
      <w:r w:rsidRPr="007F7E9F">
        <w:rPr>
          <w:b/>
          <w:bCs/>
          <w:sz w:val="22"/>
          <w:szCs w:val="22"/>
        </w:rPr>
        <w:t xml:space="preserve">Recommendations: </w:t>
      </w:r>
    </w:p>
    <w:tbl>
      <w:tblPr>
        <w:tblStyle w:val="TableGrid"/>
        <w:tblW w:w="0" w:type="auto"/>
        <w:tblLook w:val="04A0" w:firstRow="1" w:lastRow="0" w:firstColumn="1" w:lastColumn="0" w:noHBand="0" w:noVBand="1"/>
      </w:tblPr>
      <w:tblGrid>
        <w:gridCol w:w="988"/>
        <w:gridCol w:w="8028"/>
      </w:tblGrid>
      <w:tr w:rsidR="005D6FBB" w14:paraId="064B4377" w14:textId="77777777" w:rsidTr="0010473E">
        <w:tc>
          <w:tcPr>
            <w:tcW w:w="988" w:type="dxa"/>
          </w:tcPr>
          <w:p w14:paraId="6FD4D551" w14:textId="5139D4EC" w:rsidR="005D6FBB" w:rsidRPr="00226008" w:rsidRDefault="005D6FBB" w:rsidP="00B7053D">
            <w:pPr>
              <w:spacing w:line="276" w:lineRule="auto"/>
              <w:jc w:val="both"/>
              <w:rPr>
                <w:b/>
                <w:bCs/>
                <w:sz w:val="22"/>
                <w:szCs w:val="22"/>
              </w:rPr>
            </w:pPr>
            <w:r w:rsidRPr="00226008">
              <w:rPr>
                <w:b/>
                <w:bCs/>
                <w:sz w:val="22"/>
                <w:szCs w:val="22"/>
              </w:rPr>
              <w:t xml:space="preserve">Rec </w:t>
            </w:r>
            <w:r w:rsidR="00141F99">
              <w:rPr>
                <w:b/>
                <w:bCs/>
                <w:sz w:val="22"/>
                <w:szCs w:val="22"/>
              </w:rPr>
              <w:t>1</w:t>
            </w:r>
            <w:r w:rsidR="008B7549">
              <w:rPr>
                <w:b/>
                <w:bCs/>
                <w:sz w:val="22"/>
                <w:szCs w:val="22"/>
              </w:rPr>
              <w:t>0</w:t>
            </w:r>
          </w:p>
        </w:tc>
        <w:tc>
          <w:tcPr>
            <w:tcW w:w="8028" w:type="dxa"/>
          </w:tcPr>
          <w:p w14:paraId="530873B2" w14:textId="71D86424" w:rsidR="005D6FBB" w:rsidRDefault="00C74FFE" w:rsidP="00B7053D">
            <w:pPr>
              <w:spacing w:line="276" w:lineRule="auto"/>
              <w:jc w:val="both"/>
              <w:rPr>
                <w:sz w:val="22"/>
                <w:szCs w:val="22"/>
              </w:rPr>
            </w:pPr>
            <w:r w:rsidRPr="007F7E9F">
              <w:rPr>
                <w:sz w:val="22"/>
                <w:szCs w:val="22"/>
              </w:rPr>
              <w:t>The Scottish Government should address labour market barriers experienced by trans</w:t>
            </w:r>
            <w:r>
              <w:rPr>
                <w:sz w:val="22"/>
                <w:szCs w:val="22"/>
              </w:rPr>
              <w:t xml:space="preserve"> </w:t>
            </w:r>
            <w:r w:rsidRPr="007F7E9F">
              <w:rPr>
                <w:sz w:val="22"/>
                <w:szCs w:val="22"/>
              </w:rPr>
              <w:t>people through employability programmes and local partnerships</w:t>
            </w:r>
            <w:r>
              <w:rPr>
                <w:sz w:val="22"/>
                <w:szCs w:val="22"/>
              </w:rPr>
              <w:t>.</w:t>
            </w:r>
          </w:p>
        </w:tc>
      </w:tr>
      <w:tr w:rsidR="005D6FBB" w14:paraId="7D938BF2" w14:textId="77777777" w:rsidTr="0010473E">
        <w:tc>
          <w:tcPr>
            <w:tcW w:w="988" w:type="dxa"/>
          </w:tcPr>
          <w:p w14:paraId="1067F0DE" w14:textId="477FEACA" w:rsidR="005D6FBB" w:rsidRPr="00226008" w:rsidRDefault="005D6FBB" w:rsidP="00B7053D">
            <w:pPr>
              <w:spacing w:line="276" w:lineRule="auto"/>
              <w:jc w:val="both"/>
              <w:rPr>
                <w:b/>
                <w:bCs/>
                <w:sz w:val="22"/>
                <w:szCs w:val="22"/>
              </w:rPr>
            </w:pPr>
            <w:r w:rsidRPr="00226008">
              <w:rPr>
                <w:b/>
                <w:bCs/>
                <w:sz w:val="22"/>
                <w:szCs w:val="22"/>
              </w:rPr>
              <w:t xml:space="preserve">Rec </w:t>
            </w:r>
            <w:r w:rsidR="0010473E">
              <w:rPr>
                <w:b/>
                <w:bCs/>
                <w:sz w:val="22"/>
                <w:szCs w:val="22"/>
              </w:rPr>
              <w:t>1</w:t>
            </w:r>
            <w:r w:rsidR="008B7549">
              <w:rPr>
                <w:b/>
                <w:bCs/>
                <w:sz w:val="22"/>
                <w:szCs w:val="22"/>
              </w:rPr>
              <w:t>1</w:t>
            </w:r>
          </w:p>
        </w:tc>
        <w:tc>
          <w:tcPr>
            <w:tcW w:w="8028" w:type="dxa"/>
          </w:tcPr>
          <w:p w14:paraId="7E9036CE" w14:textId="32ADCE98" w:rsidR="005D6FBB" w:rsidRPr="00473FA7" w:rsidRDefault="00C74FFE" w:rsidP="00B7053D">
            <w:pPr>
              <w:spacing w:line="276" w:lineRule="auto"/>
              <w:jc w:val="both"/>
              <w:rPr>
                <w:sz w:val="22"/>
                <w:szCs w:val="22"/>
              </w:rPr>
            </w:pPr>
            <w:r w:rsidRPr="007F7E9F">
              <w:rPr>
                <w:sz w:val="22"/>
                <w:szCs w:val="22"/>
              </w:rPr>
              <w:t>The UK Government should provide greater protection and recognition of non-binary people using both policy and the law to reduce barriers to employment</w:t>
            </w:r>
            <w:r>
              <w:rPr>
                <w:sz w:val="22"/>
                <w:szCs w:val="22"/>
              </w:rPr>
              <w:t>.</w:t>
            </w:r>
          </w:p>
        </w:tc>
      </w:tr>
    </w:tbl>
    <w:p w14:paraId="3A6F3F71" w14:textId="77777777" w:rsidR="007F7E9F" w:rsidRPr="00C74FFE" w:rsidRDefault="007F7E9F" w:rsidP="00C74FFE">
      <w:pPr>
        <w:spacing w:line="276" w:lineRule="auto"/>
        <w:jc w:val="both"/>
        <w:rPr>
          <w:sz w:val="22"/>
          <w:szCs w:val="22"/>
        </w:rPr>
      </w:pPr>
    </w:p>
    <w:p w14:paraId="58E1976F" w14:textId="77777777" w:rsidR="007F7E9F" w:rsidRPr="007F7E9F" w:rsidRDefault="007F7E9F" w:rsidP="007F7E9F">
      <w:pPr>
        <w:pStyle w:val="Heading2"/>
        <w:numPr>
          <w:ilvl w:val="0"/>
          <w:numId w:val="8"/>
        </w:numPr>
        <w:spacing w:line="276" w:lineRule="auto"/>
        <w:rPr>
          <w:b/>
          <w:bCs/>
          <w:color w:val="7030A0"/>
          <w:sz w:val="28"/>
          <w:szCs w:val="28"/>
        </w:rPr>
      </w:pPr>
      <w:r w:rsidRPr="007F7E9F">
        <w:rPr>
          <w:b/>
          <w:bCs/>
          <w:color w:val="7030A0"/>
          <w:sz w:val="28"/>
          <w:szCs w:val="28"/>
        </w:rPr>
        <w:t>Article 7: just and favourable conditions of work</w:t>
      </w:r>
    </w:p>
    <w:p w14:paraId="617B5ECE" w14:textId="77777777" w:rsidR="007F7E9F" w:rsidRPr="007F7E9F" w:rsidRDefault="007F7E9F" w:rsidP="007F7E9F">
      <w:pPr>
        <w:pStyle w:val="Heading3"/>
        <w:spacing w:line="276" w:lineRule="auto"/>
        <w:rPr>
          <w:b/>
          <w:bCs/>
          <w:color w:val="0070C0"/>
          <w:sz w:val="24"/>
          <w:szCs w:val="24"/>
        </w:rPr>
      </w:pPr>
      <w:r w:rsidRPr="007F7E9F">
        <w:rPr>
          <w:b/>
          <w:bCs/>
          <w:color w:val="0070C0"/>
          <w:sz w:val="24"/>
          <w:szCs w:val="24"/>
        </w:rPr>
        <w:t>Temporary and precarious employment, and zero-hour contracts</w:t>
      </w:r>
    </w:p>
    <w:p w14:paraId="54F0EABD" w14:textId="0A719A64" w:rsidR="007F7E9F" w:rsidRPr="007F7E9F" w:rsidRDefault="007F7E9F" w:rsidP="007F7E9F">
      <w:pPr>
        <w:spacing w:line="276" w:lineRule="auto"/>
        <w:jc w:val="both"/>
        <w:rPr>
          <w:sz w:val="22"/>
          <w:szCs w:val="22"/>
        </w:rPr>
      </w:pPr>
      <w:r w:rsidRPr="007F7E9F">
        <w:rPr>
          <w:b/>
          <w:bCs/>
          <w:sz w:val="22"/>
          <w:szCs w:val="22"/>
        </w:rPr>
        <w:t>[15]</w:t>
      </w:r>
      <w:r w:rsidRPr="007F7E9F">
        <w:rPr>
          <w:sz w:val="22"/>
          <w:szCs w:val="22"/>
        </w:rPr>
        <w:t xml:space="preserve"> </w:t>
      </w:r>
      <w:r w:rsidR="00C41454">
        <w:rPr>
          <w:sz w:val="22"/>
          <w:szCs w:val="22"/>
        </w:rPr>
        <w:tab/>
      </w:r>
      <w:r w:rsidRPr="007F7E9F">
        <w:rPr>
          <w:sz w:val="22"/>
          <w:szCs w:val="22"/>
        </w:rPr>
        <w:t>We note the Committee’s interest in measures taken to reduce the use of temporary employment, precarious employment and zero-hour contracts</w:t>
      </w:r>
      <w:r w:rsidRPr="007F7E9F">
        <w:rPr>
          <w:rStyle w:val="FootnoteReference"/>
          <w:sz w:val="22"/>
          <w:szCs w:val="22"/>
        </w:rPr>
        <w:footnoteReference w:id="17"/>
      </w:r>
      <w:r w:rsidRPr="007F7E9F">
        <w:rPr>
          <w:sz w:val="22"/>
          <w:szCs w:val="22"/>
        </w:rPr>
        <w:t xml:space="preserve">. We highlight that employment law is reserved to the UK Parliament. Trans and non-binary people are disproportionately affected </w:t>
      </w:r>
      <w:r w:rsidRPr="007F7E9F">
        <w:rPr>
          <w:sz w:val="22"/>
          <w:szCs w:val="22"/>
        </w:rPr>
        <w:lastRenderedPageBreak/>
        <w:t>by temporary employment, precarious employment and zero</w:t>
      </w:r>
      <w:r>
        <w:rPr>
          <w:sz w:val="22"/>
          <w:szCs w:val="22"/>
        </w:rPr>
        <w:t xml:space="preserve"> </w:t>
      </w:r>
      <w:r w:rsidRPr="007F7E9F">
        <w:rPr>
          <w:sz w:val="22"/>
          <w:szCs w:val="22"/>
        </w:rPr>
        <w:t>hour contracts which impacts their Article 7 rights. Research from Scottish Trans</w:t>
      </w:r>
      <w:r w:rsidRPr="007F7E9F">
        <w:rPr>
          <w:rStyle w:val="FootnoteReference"/>
          <w:sz w:val="22"/>
          <w:szCs w:val="22"/>
        </w:rPr>
        <w:footnoteReference w:id="18"/>
      </w:r>
      <w:r w:rsidRPr="007F7E9F">
        <w:rPr>
          <w:sz w:val="22"/>
          <w:szCs w:val="22"/>
        </w:rPr>
        <w:t xml:space="preserve"> highlighted that of the trans and non-binary people surveyed, of the 62% of those employed, 29% of those were in precarious work compared to 17% of workers in Scotland.</w:t>
      </w:r>
      <w:r w:rsidRPr="007F7E9F">
        <w:rPr>
          <w:rStyle w:val="FootnoteReference"/>
          <w:sz w:val="22"/>
          <w:szCs w:val="22"/>
        </w:rPr>
        <w:footnoteReference w:id="19"/>
      </w:r>
      <w:r w:rsidRPr="007F7E9F">
        <w:rPr>
          <w:sz w:val="22"/>
          <w:szCs w:val="22"/>
        </w:rPr>
        <w:t xml:space="preserve"> Of these 29%, 11% were working on fixed contracts, 4% were working casually, 3% were on zero-hour contracts, 1% worked for an agency, and 1% worked seasonally. Even for those in full-time and part-time employment, many did this across multiple jobs (11% for full-time, 26% for part-time). </w:t>
      </w:r>
    </w:p>
    <w:p w14:paraId="396A2FB3" w14:textId="433C9A63" w:rsidR="007F7E9F" w:rsidRDefault="007F7E9F" w:rsidP="007F7E9F">
      <w:pPr>
        <w:spacing w:line="276" w:lineRule="auto"/>
        <w:jc w:val="both"/>
        <w:rPr>
          <w:b/>
          <w:bCs/>
          <w:sz w:val="22"/>
          <w:szCs w:val="22"/>
        </w:rPr>
      </w:pPr>
      <w:r w:rsidRPr="007F7E9F">
        <w:rPr>
          <w:b/>
          <w:bCs/>
          <w:sz w:val="22"/>
          <w:szCs w:val="22"/>
        </w:rPr>
        <w:t xml:space="preserve">[16] </w:t>
      </w:r>
      <w:r w:rsidR="00C41454">
        <w:rPr>
          <w:b/>
          <w:bCs/>
          <w:sz w:val="22"/>
          <w:szCs w:val="22"/>
        </w:rPr>
        <w:tab/>
      </w:r>
      <w:r w:rsidRPr="007F7E9F">
        <w:rPr>
          <w:b/>
          <w:bCs/>
          <w:sz w:val="22"/>
          <w:szCs w:val="22"/>
        </w:rPr>
        <w:t xml:space="preserve">Recommendations: </w:t>
      </w:r>
    </w:p>
    <w:tbl>
      <w:tblPr>
        <w:tblStyle w:val="TableGrid"/>
        <w:tblW w:w="0" w:type="auto"/>
        <w:tblLook w:val="04A0" w:firstRow="1" w:lastRow="0" w:firstColumn="1" w:lastColumn="0" w:noHBand="0" w:noVBand="1"/>
      </w:tblPr>
      <w:tblGrid>
        <w:gridCol w:w="988"/>
        <w:gridCol w:w="8028"/>
      </w:tblGrid>
      <w:tr w:rsidR="0095194E" w14:paraId="1DFAAEC3" w14:textId="77777777" w:rsidTr="00B7053D">
        <w:tc>
          <w:tcPr>
            <w:tcW w:w="988" w:type="dxa"/>
          </w:tcPr>
          <w:p w14:paraId="6AC2E962" w14:textId="0AF1A937" w:rsidR="0095194E" w:rsidRPr="00226008" w:rsidRDefault="0095194E" w:rsidP="00B7053D">
            <w:pPr>
              <w:spacing w:line="276" w:lineRule="auto"/>
              <w:jc w:val="both"/>
              <w:rPr>
                <w:b/>
                <w:bCs/>
                <w:sz w:val="22"/>
                <w:szCs w:val="22"/>
              </w:rPr>
            </w:pPr>
            <w:r w:rsidRPr="00226008">
              <w:rPr>
                <w:b/>
                <w:bCs/>
                <w:sz w:val="22"/>
                <w:szCs w:val="22"/>
              </w:rPr>
              <w:t xml:space="preserve">Rec </w:t>
            </w:r>
            <w:r>
              <w:rPr>
                <w:b/>
                <w:bCs/>
                <w:sz w:val="22"/>
                <w:szCs w:val="22"/>
              </w:rPr>
              <w:t>1</w:t>
            </w:r>
            <w:r w:rsidR="008B7549">
              <w:rPr>
                <w:b/>
                <w:bCs/>
                <w:sz w:val="22"/>
                <w:szCs w:val="22"/>
              </w:rPr>
              <w:t>2</w:t>
            </w:r>
          </w:p>
        </w:tc>
        <w:tc>
          <w:tcPr>
            <w:tcW w:w="8028" w:type="dxa"/>
          </w:tcPr>
          <w:p w14:paraId="52804598" w14:textId="41E1DA29" w:rsidR="0095194E" w:rsidRDefault="0095194E" w:rsidP="00B7053D">
            <w:pPr>
              <w:spacing w:line="276" w:lineRule="auto"/>
              <w:jc w:val="both"/>
              <w:rPr>
                <w:sz w:val="22"/>
                <w:szCs w:val="22"/>
              </w:rPr>
            </w:pPr>
            <w:r w:rsidRPr="007F7E9F">
              <w:rPr>
                <w:sz w:val="22"/>
                <w:szCs w:val="22"/>
              </w:rPr>
              <w:t>Th</w:t>
            </w:r>
            <w:r>
              <w:rPr>
                <w:sz w:val="22"/>
                <w:szCs w:val="22"/>
              </w:rPr>
              <w:t xml:space="preserve">e </w:t>
            </w:r>
            <w:r w:rsidRPr="007F7E9F">
              <w:rPr>
                <w:sz w:val="22"/>
                <w:szCs w:val="22"/>
              </w:rPr>
              <w:t>UK Government should strengthen legal rights and protections for those on temporary and precarious employment</w:t>
            </w:r>
            <w:r>
              <w:rPr>
                <w:sz w:val="22"/>
                <w:szCs w:val="22"/>
              </w:rPr>
              <w:t>.</w:t>
            </w:r>
          </w:p>
        </w:tc>
      </w:tr>
      <w:tr w:rsidR="0095194E" w14:paraId="2C6DA4F9" w14:textId="77777777" w:rsidTr="00B7053D">
        <w:tc>
          <w:tcPr>
            <w:tcW w:w="988" w:type="dxa"/>
          </w:tcPr>
          <w:p w14:paraId="350F40D0" w14:textId="293B9310" w:rsidR="0095194E" w:rsidRPr="00226008" w:rsidRDefault="0095194E" w:rsidP="00B7053D">
            <w:pPr>
              <w:spacing w:line="276" w:lineRule="auto"/>
              <w:jc w:val="both"/>
              <w:rPr>
                <w:b/>
                <w:bCs/>
                <w:sz w:val="22"/>
                <w:szCs w:val="22"/>
              </w:rPr>
            </w:pPr>
            <w:r w:rsidRPr="00226008">
              <w:rPr>
                <w:b/>
                <w:bCs/>
                <w:sz w:val="22"/>
                <w:szCs w:val="22"/>
              </w:rPr>
              <w:t xml:space="preserve">Rec </w:t>
            </w:r>
            <w:r>
              <w:rPr>
                <w:b/>
                <w:bCs/>
                <w:sz w:val="22"/>
                <w:szCs w:val="22"/>
              </w:rPr>
              <w:t>1</w:t>
            </w:r>
            <w:r w:rsidR="008B7549">
              <w:rPr>
                <w:b/>
                <w:bCs/>
                <w:sz w:val="22"/>
                <w:szCs w:val="22"/>
              </w:rPr>
              <w:t>3</w:t>
            </w:r>
          </w:p>
        </w:tc>
        <w:tc>
          <w:tcPr>
            <w:tcW w:w="8028" w:type="dxa"/>
          </w:tcPr>
          <w:p w14:paraId="25363A77" w14:textId="461B9487" w:rsidR="0095194E" w:rsidRPr="0095194E" w:rsidRDefault="0095194E" w:rsidP="0095194E">
            <w:pPr>
              <w:spacing w:line="276" w:lineRule="auto"/>
              <w:jc w:val="both"/>
              <w:rPr>
                <w:b/>
                <w:bCs/>
                <w:sz w:val="22"/>
                <w:szCs w:val="22"/>
              </w:rPr>
            </w:pPr>
            <w:r w:rsidRPr="0095194E">
              <w:rPr>
                <w:sz w:val="22"/>
                <w:szCs w:val="22"/>
              </w:rPr>
              <w:t>The UK Government should ban the use of zero-hour contracts.</w:t>
            </w:r>
          </w:p>
        </w:tc>
      </w:tr>
      <w:tr w:rsidR="0095194E" w14:paraId="58642FEA" w14:textId="77777777" w:rsidTr="00B7053D">
        <w:tc>
          <w:tcPr>
            <w:tcW w:w="988" w:type="dxa"/>
          </w:tcPr>
          <w:p w14:paraId="1725C290" w14:textId="36831DF3" w:rsidR="0095194E" w:rsidRPr="00226008" w:rsidRDefault="0095194E" w:rsidP="00B7053D">
            <w:pPr>
              <w:spacing w:line="276" w:lineRule="auto"/>
              <w:jc w:val="both"/>
              <w:rPr>
                <w:b/>
                <w:bCs/>
                <w:sz w:val="22"/>
                <w:szCs w:val="22"/>
              </w:rPr>
            </w:pPr>
            <w:r>
              <w:rPr>
                <w:b/>
                <w:bCs/>
                <w:sz w:val="22"/>
                <w:szCs w:val="22"/>
              </w:rPr>
              <w:t>Rec 1</w:t>
            </w:r>
            <w:r w:rsidR="008B7549">
              <w:rPr>
                <w:b/>
                <w:bCs/>
                <w:sz w:val="22"/>
                <w:szCs w:val="22"/>
              </w:rPr>
              <w:t>4</w:t>
            </w:r>
          </w:p>
        </w:tc>
        <w:tc>
          <w:tcPr>
            <w:tcW w:w="8028" w:type="dxa"/>
          </w:tcPr>
          <w:p w14:paraId="1EA5C430" w14:textId="6BAEDEC9" w:rsidR="0095194E" w:rsidRPr="007F7E9F" w:rsidRDefault="0095194E" w:rsidP="00B7053D">
            <w:pPr>
              <w:spacing w:line="276" w:lineRule="auto"/>
              <w:jc w:val="both"/>
              <w:rPr>
                <w:sz w:val="22"/>
                <w:szCs w:val="22"/>
              </w:rPr>
            </w:pPr>
            <w:r w:rsidRPr="007F7E9F">
              <w:rPr>
                <w:sz w:val="22"/>
                <w:szCs w:val="22"/>
              </w:rPr>
              <w:t>The UK Government should consult and include LGBTIA+ people when forming labour policy</w:t>
            </w:r>
            <w:r>
              <w:rPr>
                <w:sz w:val="22"/>
                <w:szCs w:val="22"/>
              </w:rPr>
              <w:t>.</w:t>
            </w:r>
          </w:p>
        </w:tc>
      </w:tr>
      <w:tr w:rsidR="0095194E" w14:paraId="3B33435B" w14:textId="77777777" w:rsidTr="00B7053D">
        <w:tc>
          <w:tcPr>
            <w:tcW w:w="988" w:type="dxa"/>
          </w:tcPr>
          <w:p w14:paraId="21EDA509" w14:textId="09723DAD" w:rsidR="0095194E" w:rsidRDefault="0095194E" w:rsidP="00B7053D">
            <w:pPr>
              <w:spacing w:line="276" w:lineRule="auto"/>
              <w:jc w:val="both"/>
              <w:rPr>
                <w:b/>
                <w:bCs/>
                <w:sz w:val="22"/>
                <w:szCs w:val="22"/>
              </w:rPr>
            </w:pPr>
            <w:r>
              <w:rPr>
                <w:b/>
                <w:bCs/>
                <w:sz w:val="22"/>
                <w:szCs w:val="22"/>
              </w:rPr>
              <w:t>Rec 1</w:t>
            </w:r>
            <w:r w:rsidR="008B7549">
              <w:rPr>
                <w:b/>
                <w:bCs/>
                <w:sz w:val="22"/>
                <w:szCs w:val="22"/>
              </w:rPr>
              <w:t>5</w:t>
            </w:r>
          </w:p>
        </w:tc>
        <w:tc>
          <w:tcPr>
            <w:tcW w:w="8028" w:type="dxa"/>
          </w:tcPr>
          <w:p w14:paraId="34E11D71" w14:textId="3A4ECA3B" w:rsidR="0095194E" w:rsidRPr="007F7E9F" w:rsidRDefault="0095194E" w:rsidP="00B7053D">
            <w:pPr>
              <w:spacing w:line="276" w:lineRule="auto"/>
              <w:jc w:val="both"/>
              <w:rPr>
                <w:sz w:val="22"/>
                <w:szCs w:val="22"/>
              </w:rPr>
            </w:pPr>
            <w:r w:rsidRPr="007F7E9F">
              <w:rPr>
                <w:sz w:val="22"/>
                <w:szCs w:val="22"/>
              </w:rPr>
              <w:t>The Scottish Government should provide accessible guidance on the rights of those in temporary employment, precarious employment and on zero-hour contracts, and guidance on obligations for employers in Scotland</w:t>
            </w:r>
            <w:r>
              <w:rPr>
                <w:sz w:val="22"/>
                <w:szCs w:val="22"/>
              </w:rPr>
              <w:t>.</w:t>
            </w:r>
          </w:p>
        </w:tc>
      </w:tr>
    </w:tbl>
    <w:p w14:paraId="20333016" w14:textId="77777777" w:rsidR="007F7E9F" w:rsidRPr="007F7E9F" w:rsidRDefault="007F7E9F" w:rsidP="007F7E9F">
      <w:pPr>
        <w:spacing w:line="276" w:lineRule="auto"/>
        <w:rPr>
          <w:sz w:val="22"/>
          <w:szCs w:val="22"/>
        </w:rPr>
      </w:pPr>
    </w:p>
    <w:p w14:paraId="66C87516" w14:textId="77777777" w:rsidR="007F7E9F" w:rsidRPr="007F7E9F" w:rsidRDefault="007F7E9F" w:rsidP="007F7E9F">
      <w:pPr>
        <w:pStyle w:val="Heading3"/>
        <w:spacing w:line="276" w:lineRule="auto"/>
        <w:rPr>
          <w:b/>
          <w:bCs/>
          <w:color w:val="0070C0"/>
          <w:sz w:val="24"/>
          <w:szCs w:val="24"/>
        </w:rPr>
      </w:pPr>
      <w:r w:rsidRPr="007F7E9F">
        <w:rPr>
          <w:b/>
          <w:bCs/>
          <w:color w:val="0070C0"/>
          <w:sz w:val="24"/>
          <w:szCs w:val="24"/>
        </w:rPr>
        <w:t xml:space="preserve">Discrimination and harassment in the workplace </w:t>
      </w:r>
    </w:p>
    <w:p w14:paraId="3340B691" w14:textId="4671C1DE" w:rsidR="007F7E9F" w:rsidRPr="007F7E9F" w:rsidRDefault="007F7E9F" w:rsidP="007F7E9F">
      <w:pPr>
        <w:spacing w:line="276" w:lineRule="auto"/>
        <w:jc w:val="both"/>
        <w:rPr>
          <w:sz w:val="22"/>
          <w:szCs w:val="22"/>
        </w:rPr>
      </w:pPr>
      <w:r w:rsidRPr="007F7E9F">
        <w:rPr>
          <w:b/>
          <w:bCs/>
          <w:sz w:val="22"/>
          <w:szCs w:val="22"/>
        </w:rPr>
        <w:t>[17]</w:t>
      </w:r>
      <w:r w:rsidRPr="007F7E9F">
        <w:rPr>
          <w:sz w:val="22"/>
          <w:szCs w:val="22"/>
        </w:rPr>
        <w:t xml:space="preserve"> </w:t>
      </w:r>
      <w:r w:rsidR="00C41454">
        <w:rPr>
          <w:sz w:val="22"/>
          <w:szCs w:val="22"/>
        </w:rPr>
        <w:tab/>
      </w:r>
      <w:r w:rsidRPr="007F7E9F">
        <w:rPr>
          <w:sz w:val="22"/>
          <w:szCs w:val="22"/>
        </w:rPr>
        <w:t>We note the Committee’s interest in measures taken to ensure all workers are free from physical and mental harassment</w:t>
      </w:r>
      <w:r w:rsidRPr="007F7E9F">
        <w:rPr>
          <w:rStyle w:val="FootnoteReference"/>
          <w:sz w:val="22"/>
          <w:szCs w:val="22"/>
        </w:rPr>
        <w:footnoteReference w:id="20"/>
      </w:r>
      <w:r w:rsidRPr="007F7E9F">
        <w:rPr>
          <w:sz w:val="22"/>
          <w:szCs w:val="22"/>
        </w:rPr>
        <w:t>. Research from Stonewall in 2018</w:t>
      </w:r>
      <w:r w:rsidRPr="007F7E9F">
        <w:rPr>
          <w:rStyle w:val="FootnoteReference"/>
          <w:sz w:val="22"/>
          <w:szCs w:val="22"/>
        </w:rPr>
        <w:footnoteReference w:id="21"/>
      </w:r>
      <w:r w:rsidRPr="007F7E9F">
        <w:rPr>
          <w:sz w:val="22"/>
          <w:szCs w:val="22"/>
        </w:rPr>
        <w:t xml:space="preserve"> highlights that discrimination in the workplace is common for LGBTIA+ people. It found: 35% have hidden that they are LGBT at work for fear of discrimination; 18% have been the target of negative comments or conduct from work colleagues in the last year because they are LGBT; and 18% said they were discriminated against because of their sexual orientation and/or gender identity while looking for a job in the last year.</w:t>
      </w:r>
    </w:p>
    <w:p w14:paraId="54A8AFE4" w14:textId="160E4AC9" w:rsidR="007F7E9F" w:rsidRDefault="007F7E9F" w:rsidP="007F7E9F">
      <w:pPr>
        <w:spacing w:line="276" w:lineRule="auto"/>
        <w:jc w:val="both"/>
        <w:rPr>
          <w:sz w:val="22"/>
          <w:szCs w:val="22"/>
        </w:rPr>
      </w:pPr>
      <w:r w:rsidRPr="007F7E9F">
        <w:rPr>
          <w:b/>
          <w:bCs/>
          <w:sz w:val="22"/>
          <w:szCs w:val="22"/>
        </w:rPr>
        <w:t xml:space="preserve">[18] </w:t>
      </w:r>
      <w:r w:rsidR="00C41454">
        <w:rPr>
          <w:b/>
          <w:bCs/>
          <w:sz w:val="22"/>
          <w:szCs w:val="22"/>
        </w:rPr>
        <w:tab/>
      </w:r>
      <w:r w:rsidRPr="007F7E9F">
        <w:rPr>
          <w:sz w:val="22"/>
          <w:szCs w:val="22"/>
        </w:rPr>
        <w:t>Trans and non-binary people are disproportionately affected by discrimination in the workplace. Research from Scottish Trans</w:t>
      </w:r>
      <w:r w:rsidRPr="007F7E9F">
        <w:rPr>
          <w:rStyle w:val="FootnoteReference"/>
          <w:sz w:val="22"/>
          <w:szCs w:val="22"/>
        </w:rPr>
        <w:footnoteReference w:id="22"/>
      </w:r>
      <w:r w:rsidRPr="007F7E9F">
        <w:rPr>
          <w:sz w:val="22"/>
          <w:szCs w:val="22"/>
        </w:rPr>
        <w:t xml:space="preserve"> highlighted that 42% of trans and non-binary people surveyed had at least one negative experience in the workplace, including someone disclosing their trans status, verbal harassment, and threats of and experiences of physical and sexual violence. </w:t>
      </w:r>
      <w:r w:rsidR="00F112CA">
        <w:rPr>
          <w:sz w:val="22"/>
          <w:szCs w:val="22"/>
        </w:rPr>
        <w:t>Some</w:t>
      </w:r>
      <w:r w:rsidRPr="007F7E9F">
        <w:rPr>
          <w:sz w:val="22"/>
          <w:szCs w:val="22"/>
        </w:rPr>
        <w:t xml:space="preserve"> had been excluded from events or opportunities because they were trans, and had to change their position, job, and even career due to discrimination and harassment. Misgendering and transphobia are common experiences for those working with the public, but many also reported discrimination, harassment and bullying from their co-workers, as well as gossiping and rumours about their identity. </w:t>
      </w:r>
    </w:p>
    <w:p w14:paraId="7CA4CD56" w14:textId="77777777" w:rsidR="00665C0D" w:rsidRPr="007F7E9F" w:rsidRDefault="00665C0D" w:rsidP="007F7E9F">
      <w:pPr>
        <w:spacing w:line="276" w:lineRule="auto"/>
        <w:jc w:val="both"/>
        <w:rPr>
          <w:sz w:val="22"/>
          <w:szCs w:val="22"/>
        </w:rPr>
      </w:pPr>
    </w:p>
    <w:p w14:paraId="6670A826" w14:textId="1DD15432" w:rsidR="007F7E9F" w:rsidRDefault="007F7E9F" w:rsidP="007F7E9F">
      <w:pPr>
        <w:spacing w:line="276" w:lineRule="auto"/>
        <w:rPr>
          <w:b/>
          <w:bCs/>
          <w:sz w:val="22"/>
          <w:szCs w:val="22"/>
        </w:rPr>
      </w:pPr>
      <w:r w:rsidRPr="007F7E9F">
        <w:rPr>
          <w:b/>
          <w:bCs/>
          <w:sz w:val="22"/>
          <w:szCs w:val="22"/>
        </w:rPr>
        <w:lastRenderedPageBreak/>
        <w:t xml:space="preserve">[19] </w:t>
      </w:r>
      <w:r w:rsidR="00C41454">
        <w:rPr>
          <w:b/>
          <w:bCs/>
          <w:sz w:val="22"/>
          <w:szCs w:val="22"/>
        </w:rPr>
        <w:tab/>
      </w:r>
      <w:r w:rsidRPr="007F7E9F">
        <w:rPr>
          <w:b/>
          <w:bCs/>
          <w:sz w:val="22"/>
          <w:szCs w:val="22"/>
        </w:rPr>
        <w:t xml:space="preserve">Recommendations: </w:t>
      </w:r>
    </w:p>
    <w:tbl>
      <w:tblPr>
        <w:tblStyle w:val="TableGrid"/>
        <w:tblW w:w="0" w:type="auto"/>
        <w:tblLook w:val="04A0" w:firstRow="1" w:lastRow="0" w:firstColumn="1" w:lastColumn="0" w:noHBand="0" w:noVBand="1"/>
      </w:tblPr>
      <w:tblGrid>
        <w:gridCol w:w="988"/>
        <w:gridCol w:w="8028"/>
      </w:tblGrid>
      <w:tr w:rsidR="00753CFE" w14:paraId="1B72CBBA" w14:textId="77777777" w:rsidTr="00B7053D">
        <w:tc>
          <w:tcPr>
            <w:tcW w:w="988" w:type="dxa"/>
          </w:tcPr>
          <w:p w14:paraId="40527731" w14:textId="79377FD6" w:rsidR="00753CFE" w:rsidRPr="00226008" w:rsidRDefault="00753CFE" w:rsidP="00B7053D">
            <w:pPr>
              <w:spacing w:line="276" w:lineRule="auto"/>
              <w:jc w:val="both"/>
              <w:rPr>
                <w:b/>
                <w:bCs/>
                <w:sz w:val="22"/>
                <w:szCs w:val="22"/>
              </w:rPr>
            </w:pPr>
            <w:r w:rsidRPr="00226008">
              <w:rPr>
                <w:b/>
                <w:bCs/>
                <w:sz w:val="22"/>
                <w:szCs w:val="22"/>
              </w:rPr>
              <w:t xml:space="preserve">Rec </w:t>
            </w:r>
            <w:r>
              <w:rPr>
                <w:b/>
                <w:bCs/>
                <w:sz w:val="22"/>
                <w:szCs w:val="22"/>
              </w:rPr>
              <w:t>1</w:t>
            </w:r>
            <w:r w:rsidR="008B7549">
              <w:rPr>
                <w:b/>
                <w:bCs/>
                <w:sz w:val="22"/>
                <w:szCs w:val="22"/>
              </w:rPr>
              <w:t>6</w:t>
            </w:r>
          </w:p>
        </w:tc>
        <w:tc>
          <w:tcPr>
            <w:tcW w:w="8028" w:type="dxa"/>
          </w:tcPr>
          <w:p w14:paraId="36B36692" w14:textId="7325FD18" w:rsidR="00753CFE" w:rsidRDefault="007E229A" w:rsidP="00B7053D">
            <w:pPr>
              <w:spacing w:line="276" w:lineRule="auto"/>
              <w:jc w:val="both"/>
              <w:rPr>
                <w:sz w:val="22"/>
                <w:szCs w:val="22"/>
              </w:rPr>
            </w:pPr>
            <w:r w:rsidRPr="007F7E9F">
              <w:rPr>
                <w:sz w:val="22"/>
                <w:szCs w:val="22"/>
              </w:rPr>
              <w:t>Both the UK Government and Scottish Government should support employers to: address discrimination and harassment in the workplace for trans and non-binary people, including sufficient complaints procedures; create inclusive environments;</w:t>
            </w:r>
            <w:r>
              <w:rPr>
                <w:sz w:val="22"/>
                <w:szCs w:val="22"/>
              </w:rPr>
              <w:t xml:space="preserve"> and</w:t>
            </w:r>
            <w:r w:rsidRPr="007F7E9F">
              <w:rPr>
                <w:sz w:val="22"/>
                <w:szCs w:val="22"/>
              </w:rPr>
              <w:t xml:space="preserve"> have robust trans and non-binary inclusion policies/procedures</w:t>
            </w:r>
            <w:r>
              <w:rPr>
                <w:sz w:val="22"/>
                <w:szCs w:val="22"/>
              </w:rPr>
              <w:t>.</w:t>
            </w:r>
          </w:p>
        </w:tc>
      </w:tr>
    </w:tbl>
    <w:p w14:paraId="1726A346" w14:textId="77777777" w:rsidR="00753CFE" w:rsidRPr="007F7E9F" w:rsidRDefault="00753CFE" w:rsidP="007F7E9F">
      <w:pPr>
        <w:spacing w:line="276" w:lineRule="auto"/>
        <w:rPr>
          <w:b/>
          <w:bCs/>
          <w:sz w:val="22"/>
          <w:szCs w:val="22"/>
        </w:rPr>
      </w:pPr>
    </w:p>
    <w:p w14:paraId="284CE115" w14:textId="77777777" w:rsidR="007F7E9F" w:rsidRPr="007F7E9F" w:rsidRDefault="007F7E9F" w:rsidP="007F7E9F">
      <w:pPr>
        <w:pStyle w:val="Heading2"/>
        <w:numPr>
          <w:ilvl w:val="0"/>
          <w:numId w:val="8"/>
        </w:numPr>
        <w:spacing w:line="276" w:lineRule="auto"/>
        <w:rPr>
          <w:b/>
          <w:bCs/>
          <w:color w:val="7030A0"/>
          <w:sz w:val="28"/>
          <w:szCs w:val="28"/>
        </w:rPr>
      </w:pPr>
      <w:r w:rsidRPr="007F7E9F">
        <w:rPr>
          <w:b/>
          <w:bCs/>
          <w:color w:val="7030A0"/>
          <w:sz w:val="28"/>
          <w:szCs w:val="28"/>
        </w:rPr>
        <w:t xml:space="preserve">Article 9: right to social security </w:t>
      </w:r>
    </w:p>
    <w:p w14:paraId="2863B68D" w14:textId="77777777" w:rsidR="007F7E9F" w:rsidRPr="007F7E9F" w:rsidRDefault="007F7E9F" w:rsidP="007F7E9F">
      <w:pPr>
        <w:pStyle w:val="Heading3"/>
        <w:spacing w:line="276" w:lineRule="auto"/>
        <w:rPr>
          <w:b/>
          <w:bCs/>
          <w:color w:val="0070C0"/>
          <w:sz w:val="24"/>
          <w:szCs w:val="24"/>
        </w:rPr>
      </w:pPr>
      <w:r w:rsidRPr="007F7E9F">
        <w:rPr>
          <w:b/>
          <w:bCs/>
          <w:color w:val="0070C0"/>
          <w:sz w:val="24"/>
          <w:szCs w:val="24"/>
        </w:rPr>
        <w:t xml:space="preserve">Barriers and discrimination </w:t>
      </w:r>
    </w:p>
    <w:p w14:paraId="145F037C" w14:textId="36F5F10D" w:rsidR="007F7E9F" w:rsidRPr="007F7E9F" w:rsidRDefault="007F7E9F" w:rsidP="007F7E9F">
      <w:pPr>
        <w:spacing w:line="276" w:lineRule="auto"/>
        <w:jc w:val="both"/>
        <w:rPr>
          <w:sz w:val="22"/>
          <w:szCs w:val="22"/>
        </w:rPr>
      </w:pPr>
      <w:r w:rsidRPr="007F7E9F">
        <w:rPr>
          <w:b/>
          <w:bCs/>
          <w:sz w:val="22"/>
          <w:szCs w:val="22"/>
        </w:rPr>
        <w:t>[20]</w:t>
      </w:r>
      <w:r w:rsidRPr="007F7E9F">
        <w:rPr>
          <w:sz w:val="22"/>
          <w:szCs w:val="22"/>
        </w:rPr>
        <w:t xml:space="preserve"> </w:t>
      </w:r>
      <w:r w:rsidR="00C41454">
        <w:rPr>
          <w:sz w:val="22"/>
          <w:szCs w:val="22"/>
        </w:rPr>
        <w:tab/>
      </w:r>
      <w:r w:rsidRPr="007F7E9F">
        <w:rPr>
          <w:sz w:val="22"/>
          <w:szCs w:val="22"/>
        </w:rPr>
        <w:t>We note the Committee’s interest in social security</w:t>
      </w:r>
      <w:r w:rsidRPr="007F7E9F">
        <w:rPr>
          <w:rStyle w:val="FootnoteReference"/>
          <w:sz w:val="22"/>
          <w:szCs w:val="22"/>
        </w:rPr>
        <w:footnoteReference w:id="23"/>
      </w:r>
      <w:r w:rsidRPr="007F7E9F">
        <w:rPr>
          <w:sz w:val="22"/>
          <w:szCs w:val="22"/>
        </w:rPr>
        <w:t>. Social security touches upon both devolved and reserved matters. Recent research by Matthews et al</w:t>
      </w:r>
      <w:r w:rsidRPr="007F7E9F">
        <w:rPr>
          <w:rStyle w:val="FootnoteReference"/>
          <w:sz w:val="22"/>
          <w:szCs w:val="22"/>
        </w:rPr>
        <w:footnoteReference w:id="24"/>
      </w:r>
      <w:r w:rsidRPr="007F7E9F">
        <w:rPr>
          <w:sz w:val="22"/>
          <w:szCs w:val="22"/>
        </w:rPr>
        <w:t xml:space="preserve"> has shown that LGBTIA+ people have unique experiences of social security and welfare in the UK including: fear of discrimination means some delay claiming benefits; LGBTIA+ parents believe they are not eligible for social security support; relationship status is imbued with heteronormative assumptions leading to discriminatory administration; and the stigma of claiming benefits is compounded by LGBTIA+ internalised stigma. The same research found that the devolution of disability benefits to the Scottish Government was viewed positively and seen as more inclusive by LGBTIA+ people.</w:t>
      </w:r>
    </w:p>
    <w:p w14:paraId="1C1571BC" w14:textId="7C6872A9" w:rsidR="007F7E9F" w:rsidRPr="007F7E9F" w:rsidRDefault="007F7E9F" w:rsidP="007F7E9F">
      <w:pPr>
        <w:spacing w:line="276" w:lineRule="auto"/>
        <w:jc w:val="both"/>
        <w:rPr>
          <w:sz w:val="22"/>
          <w:szCs w:val="22"/>
        </w:rPr>
      </w:pPr>
      <w:r w:rsidRPr="007F7E9F">
        <w:rPr>
          <w:b/>
          <w:bCs/>
          <w:sz w:val="22"/>
          <w:szCs w:val="22"/>
        </w:rPr>
        <w:t>[21]</w:t>
      </w:r>
      <w:r w:rsidRPr="007F7E9F">
        <w:rPr>
          <w:sz w:val="22"/>
          <w:szCs w:val="22"/>
        </w:rPr>
        <w:t xml:space="preserve"> </w:t>
      </w:r>
      <w:r w:rsidR="00C41454">
        <w:rPr>
          <w:sz w:val="22"/>
          <w:szCs w:val="22"/>
        </w:rPr>
        <w:tab/>
      </w:r>
      <w:r w:rsidRPr="007F7E9F">
        <w:rPr>
          <w:sz w:val="22"/>
          <w:szCs w:val="22"/>
        </w:rPr>
        <w:t>Research published by Scottish Trans</w:t>
      </w:r>
      <w:r w:rsidRPr="007F7E9F">
        <w:rPr>
          <w:rStyle w:val="FootnoteReference"/>
          <w:sz w:val="22"/>
          <w:szCs w:val="22"/>
        </w:rPr>
        <w:footnoteReference w:id="25"/>
      </w:r>
      <w:r w:rsidRPr="007F7E9F">
        <w:rPr>
          <w:sz w:val="22"/>
          <w:szCs w:val="22"/>
        </w:rPr>
        <w:t xml:space="preserve"> found that trans and non-binary people described having a range of negative experiences when accessing social security, and found the process dehumanising, stressful and abusive which negatively impacted their mental health and wellbeing. Significant barriers were identified, including: inaccessibility; ableism; being treated with hostility and a lack of care by social security staff; issues with having personal records locked; barriers due to name changes; </w:t>
      </w:r>
      <w:r w:rsidR="00743BD6">
        <w:rPr>
          <w:sz w:val="22"/>
          <w:szCs w:val="22"/>
        </w:rPr>
        <w:t xml:space="preserve">and </w:t>
      </w:r>
      <w:r w:rsidRPr="007F7E9F">
        <w:rPr>
          <w:sz w:val="22"/>
          <w:szCs w:val="22"/>
        </w:rPr>
        <w:t>being disbelieved/not having gender affirming care considered as part of claims. Research by Matthews et al</w:t>
      </w:r>
      <w:r w:rsidRPr="007F7E9F">
        <w:rPr>
          <w:rStyle w:val="FootnoteReference"/>
          <w:sz w:val="22"/>
          <w:szCs w:val="22"/>
        </w:rPr>
        <w:footnoteReference w:id="26"/>
      </w:r>
      <w:r w:rsidRPr="007F7E9F">
        <w:rPr>
          <w:sz w:val="22"/>
          <w:szCs w:val="22"/>
        </w:rPr>
        <w:t xml:space="preserve"> has also shown that: the administration of social security claims often systematically excludes trans people; the administration of transitions, such as name changes, within the system is made exceptionally difficult; and trans children are not recognised within social security systems leading to direct discrimination.</w:t>
      </w:r>
    </w:p>
    <w:p w14:paraId="7DB8E9EC" w14:textId="2C082D05" w:rsidR="007F7E9F" w:rsidRDefault="007F7E9F" w:rsidP="007F7E9F">
      <w:pPr>
        <w:spacing w:line="276" w:lineRule="auto"/>
        <w:jc w:val="both"/>
        <w:rPr>
          <w:b/>
          <w:bCs/>
          <w:sz w:val="22"/>
          <w:szCs w:val="22"/>
        </w:rPr>
      </w:pPr>
      <w:r w:rsidRPr="007F7E9F">
        <w:rPr>
          <w:b/>
          <w:bCs/>
          <w:sz w:val="22"/>
          <w:szCs w:val="22"/>
        </w:rPr>
        <w:t xml:space="preserve">[22] </w:t>
      </w:r>
      <w:r w:rsidR="00C41454">
        <w:rPr>
          <w:b/>
          <w:bCs/>
          <w:sz w:val="22"/>
          <w:szCs w:val="22"/>
        </w:rPr>
        <w:tab/>
      </w:r>
      <w:r w:rsidRPr="007F7E9F">
        <w:rPr>
          <w:b/>
          <w:bCs/>
          <w:sz w:val="22"/>
          <w:szCs w:val="22"/>
        </w:rPr>
        <w:t xml:space="preserve">Recommendations: </w:t>
      </w:r>
    </w:p>
    <w:tbl>
      <w:tblPr>
        <w:tblStyle w:val="TableGrid"/>
        <w:tblW w:w="0" w:type="auto"/>
        <w:tblLook w:val="04A0" w:firstRow="1" w:lastRow="0" w:firstColumn="1" w:lastColumn="0" w:noHBand="0" w:noVBand="1"/>
      </w:tblPr>
      <w:tblGrid>
        <w:gridCol w:w="988"/>
        <w:gridCol w:w="8028"/>
      </w:tblGrid>
      <w:tr w:rsidR="00E31D5D" w14:paraId="3C30757E" w14:textId="77777777" w:rsidTr="00B7053D">
        <w:tc>
          <w:tcPr>
            <w:tcW w:w="988" w:type="dxa"/>
          </w:tcPr>
          <w:p w14:paraId="4598F7CA" w14:textId="1E75259D" w:rsidR="00E31D5D" w:rsidRPr="00226008" w:rsidRDefault="00E31D5D" w:rsidP="00B7053D">
            <w:pPr>
              <w:spacing w:line="276" w:lineRule="auto"/>
              <w:jc w:val="both"/>
              <w:rPr>
                <w:b/>
                <w:bCs/>
                <w:sz w:val="22"/>
                <w:szCs w:val="22"/>
              </w:rPr>
            </w:pPr>
            <w:r w:rsidRPr="00226008">
              <w:rPr>
                <w:b/>
                <w:bCs/>
                <w:sz w:val="22"/>
                <w:szCs w:val="22"/>
              </w:rPr>
              <w:t xml:space="preserve">Rec </w:t>
            </w:r>
            <w:r>
              <w:rPr>
                <w:b/>
                <w:bCs/>
                <w:sz w:val="22"/>
                <w:szCs w:val="22"/>
              </w:rPr>
              <w:t>1</w:t>
            </w:r>
            <w:r w:rsidR="008B7549">
              <w:rPr>
                <w:b/>
                <w:bCs/>
                <w:sz w:val="22"/>
                <w:szCs w:val="22"/>
              </w:rPr>
              <w:t>7</w:t>
            </w:r>
          </w:p>
        </w:tc>
        <w:tc>
          <w:tcPr>
            <w:tcW w:w="8028" w:type="dxa"/>
          </w:tcPr>
          <w:p w14:paraId="1866D61B" w14:textId="6C752E1C" w:rsidR="00E31D5D" w:rsidRDefault="00E31D5D" w:rsidP="00B7053D">
            <w:pPr>
              <w:spacing w:line="276" w:lineRule="auto"/>
              <w:jc w:val="both"/>
              <w:rPr>
                <w:sz w:val="22"/>
                <w:szCs w:val="22"/>
              </w:rPr>
            </w:pPr>
            <w:r w:rsidRPr="007F7E9F">
              <w:rPr>
                <w:sz w:val="22"/>
                <w:szCs w:val="22"/>
              </w:rPr>
              <w:t>Both the UK Government and Scottish Government should ensure social security agencies collect and publish appropriate data on sexual orientation and gender identity as part of ongoing equalities monitoring</w:t>
            </w:r>
            <w:r>
              <w:rPr>
                <w:sz w:val="22"/>
                <w:szCs w:val="22"/>
              </w:rPr>
              <w:t>.</w:t>
            </w:r>
          </w:p>
        </w:tc>
      </w:tr>
      <w:tr w:rsidR="00E31D5D" w14:paraId="3D2B20F0" w14:textId="77777777" w:rsidTr="00B7053D">
        <w:tc>
          <w:tcPr>
            <w:tcW w:w="988" w:type="dxa"/>
          </w:tcPr>
          <w:p w14:paraId="2A1838A5" w14:textId="5E101A22" w:rsidR="00E31D5D" w:rsidRPr="00226008" w:rsidRDefault="00E31D5D" w:rsidP="00B7053D">
            <w:pPr>
              <w:spacing w:line="276" w:lineRule="auto"/>
              <w:jc w:val="both"/>
              <w:rPr>
                <w:b/>
                <w:bCs/>
                <w:sz w:val="22"/>
                <w:szCs w:val="22"/>
              </w:rPr>
            </w:pPr>
            <w:r w:rsidRPr="00226008">
              <w:rPr>
                <w:b/>
                <w:bCs/>
                <w:sz w:val="22"/>
                <w:szCs w:val="22"/>
              </w:rPr>
              <w:t xml:space="preserve">Rec </w:t>
            </w:r>
            <w:r>
              <w:rPr>
                <w:b/>
                <w:bCs/>
                <w:sz w:val="22"/>
                <w:szCs w:val="22"/>
              </w:rPr>
              <w:t>1</w:t>
            </w:r>
            <w:r w:rsidR="008B7549">
              <w:rPr>
                <w:b/>
                <w:bCs/>
                <w:sz w:val="22"/>
                <w:szCs w:val="22"/>
              </w:rPr>
              <w:t>8</w:t>
            </w:r>
          </w:p>
        </w:tc>
        <w:tc>
          <w:tcPr>
            <w:tcW w:w="8028" w:type="dxa"/>
          </w:tcPr>
          <w:p w14:paraId="7E41CB8F" w14:textId="152B7F04" w:rsidR="00E31D5D" w:rsidRPr="0095194E" w:rsidRDefault="00E31D5D" w:rsidP="00B7053D">
            <w:pPr>
              <w:spacing w:line="276" w:lineRule="auto"/>
              <w:jc w:val="both"/>
              <w:rPr>
                <w:b/>
                <w:bCs/>
                <w:sz w:val="22"/>
                <w:szCs w:val="22"/>
              </w:rPr>
            </w:pPr>
            <w:r w:rsidRPr="007F7E9F">
              <w:rPr>
                <w:sz w:val="22"/>
                <w:szCs w:val="22"/>
              </w:rPr>
              <w:t>Both the UK Government and Scottish Government should ensure all social security systems respect and include trans identities, including children, and allow people to choose a non-binary gender</w:t>
            </w:r>
            <w:r>
              <w:rPr>
                <w:sz w:val="22"/>
                <w:szCs w:val="22"/>
              </w:rPr>
              <w:t>.</w:t>
            </w:r>
          </w:p>
        </w:tc>
      </w:tr>
      <w:tr w:rsidR="00E31D5D" w14:paraId="34D98450" w14:textId="77777777" w:rsidTr="00B7053D">
        <w:tc>
          <w:tcPr>
            <w:tcW w:w="988" w:type="dxa"/>
          </w:tcPr>
          <w:p w14:paraId="3A9B77EC" w14:textId="4077E529" w:rsidR="00E31D5D" w:rsidRPr="00226008" w:rsidRDefault="00E31D5D" w:rsidP="00B7053D">
            <w:pPr>
              <w:spacing w:line="276" w:lineRule="auto"/>
              <w:jc w:val="both"/>
              <w:rPr>
                <w:b/>
                <w:bCs/>
                <w:sz w:val="22"/>
                <w:szCs w:val="22"/>
              </w:rPr>
            </w:pPr>
            <w:r>
              <w:rPr>
                <w:b/>
                <w:bCs/>
                <w:sz w:val="22"/>
                <w:szCs w:val="22"/>
              </w:rPr>
              <w:lastRenderedPageBreak/>
              <w:t>Rec 1</w:t>
            </w:r>
            <w:r w:rsidR="008B7549">
              <w:rPr>
                <w:b/>
                <w:bCs/>
                <w:sz w:val="22"/>
                <w:szCs w:val="22"/>
              </w:rPr>
              <w:t>9</w:t>
            </w:r>
          </w:p>
        </w:tc>
        <w:tc>
          <w:tcPr>
            <w:tcW w:w="8028" w:type="dxa"/>
          </w:tcPr>
          <w:p w14:paraId="79545F50" w14:textId="7873DC6E" w:rsidR="00E31D5D" w:rsidRPr="007F7E9F" w:rsidRDefault="00E31D5D" w:rsidP="00B7053D">
            <w:pPr>
              <w:spacing w:line="276" w:lineRule="auto"/>
              <w:jc w:val="both"/>
              <w:rPr>
                <w:sz w:val="22"/>
                <w:szCs w:val="22"/>
              </w:rPr>
            </w:pPr>
            <w:r w:rsidRPr="007F7E9F">
              <w:rPr>
                <w:sz w:val="22"/>
                <w:szCs w:val="22"/>
              </w:rPr>
              <w:t>Both the UK Government and Scottish Government should ensure ongoing LGBTIA+ inclusion training takes place for social security agencies and staff</w:t>
            </w:r>
            <w:r>
              <w:rPr>
                <w:sz w:val="22"/>
                <w:szCs w:val="22"/>
              </w:rPr>
              <w:t>.</w:t>
            </w:r>
          </w:p>
        </w:tc>
      </w:tr>
      <w:tr w:rsidR="00E31D5D" w14:paraId="530D31C4" w14:textId="77777777" w:rsidTr="00B7053D">
        <w:tc>
          <w:tcPr>
            <w:tcW w:w="988" w:type="dxa"/>
          </w:tcPr>
          <w:p w14:paraId="17B5BB78" w14:textId="1AEED4C8" w:rsidR="00E31D5D" w:rsidRDefault="00E31D5D" w:rsidP="00B7053D">
            <w:pPr>
              <w:spacing w:line="276" w:lineRule="auto"/>
              <w:jc w:val="both"/>
              <w:rPr>
                <w:b/>
                <w:bCs/>
                <w:sz w:val="22"/>
                <w:szCs w:val="22"/>
              </w:rPr>
            </w:pPr>
            <w:r>
              <w:rPr>
                <w:b/>
                <w:bCs/>
                <w:sz w:val="22"/>
                <w:szCs w:val="22"/>
              </w:rPr>
              <w:t xml:space="preserve">Rec </w:t>
            </w:r>
            <w:r w:rsidR="008B7549">
              <w:rPr>
                <w:b/>
                <w:bCs/>
                <w:sz w:val="22"/>
                <w:szCs w:val="22"/>
              </w:rPr>
              <w:t>20</w:t>
            </w:r>
          </w:p>
        </w:tc>
        <w:tc>
          <w:tcPr>
            <w:tcW w:w="8028" w:type="dxa"/>
          </w:tcPr>
          <w:p w14:paraId="31E5AC3B" w14:textId="0B908EB3" w:rsidR="00E31D5D" w:rsidRPr="007F7E9F" w:rsidRDefault="00E31D5D" w:rsidP="00B7053D">
            <w:pPr>
              <w:spacing w:line="276" w:lineRule="auto"/>
              <w:jc w:val="both"/>
              <w:rPr>
                <w:sz w:val="22"/>
                <w:szCs w:val="22"/>
              </w:rPr>
            </w:pPr>
            <w:r w:rsidRPr="007F7E9F">
              <w:rPr>
                <w:sz w:val="22"/>
                <w:szCs w:val="22"/>
              </w:rPr>
              <w:t>Both the UK Government and Scottish Government should review communications and presentation of social security benefits to ensure LGBTIA+ claimants feel respected and included within social security systems</w:t>
            </w:r>
            <w:r>
              <w:rPr>
                <w:sz w:val="22"/>
                <w:szCs w:val="22"/>
              </w:rPr>
              <w:t>.</w:t>
            </w:r>
          </w:p>
        </w:tc>
      </w:tr>
      <w:tr w:rsidR="00107C54" w14:paraId="65CAE059" w14:textId="77777777" w:rsidTr="00B7053D">
        <w:tc>
          <w:tcPr>
            <w:tcW w:w="988" w:type="dxa"/>
          </w:tcPr>
          <w:p w14:paraId="7A38BADB" w14:textId="753981F7" w:rsidR="00107C54" w:rsidRDefault="00107C54" w:rsidP="00B7053D">
            <w:pPr>
              <w:spacing w:line="276" w:lineRule="auto"/>
              <w:jc w:val="both"/>
              <w:rPr>
                <w:b/>
                <w:bCs/>
                <w:sz w:val="22"/>
                <w:szCs w:val="22"/>
              </w:rPr>
            </w:pPr>
            <w:r>
              <w:rPr>
                <w:b/>
                <w:bCs/>
                <w:sz w:val="22"/>
                <w:szCs w:val="22"/>
              </w:rPr>
              <w:t>Rec 2</w:t>
            </w:r>
            <w:r w:rsidR="008B7549">
              <w:rPr>
                <w:b/>
                <w:bCs/>
                <w:sz w:val="22"/>
                <w:szCs w:val="22"/>
              </w:rPr>
              <w:t>1</w:t>
            </w:r>
          </w:p>
        </w:tc>
        <w:tc>
          <w:tcPr>
            <w:tcW w:w="8028" w:type="dxa"/>
          </w:tcPr>
          <w:p w14:paraId="6D65646F" w14:textId="7A09BF22" w:rsidR="00107C54" w:rsidRPr="007F7E9F" w:rsidRDefault="002A3590" w:rsidP="00B7053D">
            <w:pPr>
              <w:spacing w:line="276" w:lineRule="auto"/>
              <w:jc w:val="both"/>
              <w:rPr>
                <w:sz w:val="22"/>
                <w:szCs w:val="22"/>
              </w:rPr>
            </w:pPr>
            <w:r>
              <w:rPr>
                <w:sz w:val="22"/>
                <w:szCs w:val="22"/>
              </w:rPr>
              <w:t>The UK Government should review and update the ‘special customer record’ system used to maintain privacy of trans and non-binary people’s social security records.</w:t>
            </w:r>
          </w:p>
        </w:tc>
      </w:tr>
      <w:tr w:rsidR="00E31D5D" w14:paraId="7159F531" w14:textId="77777777" w:rsidTr="00B7053D">
        <w:tc>
          <w:tcPr>
            <w:tcW w:w="988" w:type="dxa"/>
          </w:tcPr>
          <w:p w14:paraId="1F629A23" w14:textId="263C820E" w:rsidR="00E31D5D" w:rsidRDefault="00E31D5D" w:rsidP="00B7053D">
            <w:pPr>
              <w:spacing w:line="276" w:lineRule="auto"/>
              <w:jc w:val="both"/>
              <w:rPr>
                <w:b/>
                <w:bCs/>
                <w:sz w:val="22"/>
                <w:szCs w:val="22"/>
              </w:rPr>
            </w:pPr>
            <w:r>
              <w:rPr>
                <w:b/>
                <w:bCs/>
                <w:sz w:val="22"/>
                <w:szCs w:val="22"/>
              </w:rPr>
              <w:t>Rec 2</w:t>
            </w:r>
            <w:r w:rsidR="008B7549">
              <w:rPr>
                <w:b/>
                <w:bCs/>
                <w:sz w:val="22"/>
                <w:szCs w:val="22"/>
              </w:rPr>
              <w:t>2</w:t>
            </w:r>
          </w:p>
        </w:tc>
        <w:tc>
          <w:tcPr>
            <w:tcW w:w="8028" w:type="dxa"/>
          </w:tcPr>
          <w:p w14:paraId="24BFE8FD" w14:textId="0014E9A5" w:rsidR="00E31D5D" w:rsidRPr="007F7E9F" w:rsidRDefault="00E31D5D" w:rsidP="00B7053D">
            <w:pPr>
              <w:spacing w:line="276" w:lineRule="auto"/>
              <w:jc w:val="both"/>
              <w:rPr>
                <w:sz w:val="22"/>
                <w:szCs w:val="22"/>
              </w:rPr>
            </w:pPr>
            <w:r w:rsidRPr="007F7E9F">
              <w:rPr>
                <w:sz w:val="22"/>
                <w:szCs w:val="22"/>
              </w:rPr>
              <w:t>Both the UK Government and Scottish Government should tackle ableism and inaccessibility in social security systems and adopt person-centred approaches</w:t>
            </w:r>
            <w:r>
              <w:rPr>
                <w:sz w:val="22"/>
                <w:szCs w:val="22"/>
              </w:rPr>
              <w:t>.</w:t>
            </w:r>
          </w:p>
        </w:tc>
      </w:tr>
    </w:tbl>
    <w:p w14:paraId="390C81B6" w14:textId="77777777" w:rsidR="007F7E9F" w:rsidRPr="007F7E9F" w:rsidRDefault="007F7E9F" w:rsidP="007F7E9F">
      <w:pPr>
        <w:pStyle w:val="ListParagraph"/>
        <w:spacing w:line="276" w:lineRule="auto"/>
        <w:jc w:val="both"/>
        <w:rPr>
          <w:b/>
          <w:bCs/>
          <w:sz w:val="22"/>
          <w:szCs w:val="22"/>
        </w:rPr>
      </w:pPr>
    </w:p>
    <w:p w14:paraId="2FD90892" w14:textId="77777777" w:rsidR="007F7E9F" w:rsidRPr="007F7E9F" w:rsidRDefault="007F7E9F" w:rsidP="007F7E9F">
      <w:pPr>
        <w:pStyle w:val="Heading2"/>
        <w:numPr>
          <w:ilvl w:val="0"/>
          <w:numId w:val="8"/>
        </w:numPr>
        <w:spacing w:line="276" w:lineRule="auto"/>
        <w:rPr>
          <w:b/>
          <w:bCs/>
          <w:color w:val="7030A0"/>
          <w:sz w:val="28"/>
          <w:szCs w:val="28"/>
        </w:rPr>
      </w:pPr>
      <w:r w:rsidRPr="007F7E9F">
        <w:rPr>
          <w:b/>
          <w:bCs/>
          <w:color w:val="7030A0"/>
          <w:sz w:val="28"/>
          <w:szCs w:val="28"/>
        </w:rPr>
        <w:t>Article 11: right to adequate standard of living</w:t>
      </w:r>
    </w:p>
    <w:p w14:paraId="342AA0A2" w14:textId="77777777" w:rsidR="007F7E9F" w:rsidRPr="007F7E9F" w:rsidRDefault="007F7E9F" w:rsidP="007F7E9F">
      <w:pPr>
        <w:pStyle w:val="Heading3"/>
        <w:spacing w:line="276" w:lineRule="auto"/>
        <w:rPr>
          <w:b/>
          <w:bCs/>
          <w:color w:val="0070C0"/>
          <w:sz w:val="24"/>
          <w:szCs w:val="24"/>
        </w:rPr>
      </w:pPr>
      <w:r w:rsidRPr="007F7E9F">
        <w:rPr>
          <w:b/>
          <w:bCs/>
          <w:color w:val="0070C0"/>
          <w:sz w:val="24"/>
          <w:szCs w:val="24"/>
        </w:rPr>
        <w:t xml:space="preserve">Poverty </w:t>
      </w:r>
    </w:p>
    <w:p w14:paraId="6261274A" w14:textId="6576E4CA" w:rsidR="007F7E9F" w:rsidRPr="007F7E9F" w:rsidRDefault="007F7E9F" w:rsidP="007F7E9F">
      <w:pPr>
        <w:spacing w:line="276" w:lineRule="auto"/>
        <w:jc w:val="both"/>
        <w:rPr>
          <w:sz w:val="22"/>
          <w:szCs w:val="22"/>
        </w:rPr>
      </w:pPr>
      <w:r w:rsidRPr="007F7E9F">
        <w:rPr>
          <w:b/>
          <w:bCs/>
          <w:sz w:val="22"/>
          <w:szCs w:val="22"/>
        </w:rPr>
        <w:t>[23]</w:t>
      </w:r>
      <w:r w:rsidRPr="007F7E9F">
        <w:rPr>
          <w:sz w:val="22"/>
          <w:szCs w:val="22"/>
        </w:rPr>
        <w:t xml:space="preserve"> </w:t>
      </w:r>
      <w:r w:rsidR="00C41454">
        <w:rPr>
          <w:sz w:val="22"/>
          <w:szCs w:val="22"/>
        </w:rPr>
        <w:tab/>
      </w:r>
      <w:r w:rsidRPr="007F7E9F">
        <w:rPr>
          <w:sz w:val="22"/>
          <w:szCs w:val="22"/>
        </w:rPr>
        <w:t>We note the Committee’s interest in poverty rates</w:t>
      </w:r>
      <w:r w:rsidRPr="007F7E9F">
        <w:rPr>
          <w:rStyle w:val="FootnoteReference"/>
          <w:sz w:val="22"/>
          <w:szCs w:val="22"/>
        </w:rPr>
        <w:footnoteReference w:id="27"/>
      </w:r>
      <w:r>
        <w:rPr>
          <w:sz w:val="22"/>
          <w:szCs w:val="22"/>
        </w:rPr>
        <w:t>.</w:t>
      </w:r>
      <w:r w:rsidRPr="007F7E9F">
        <w:rPr>
          <w:sz w:val="22"/>
          <w:szCs w:val="22"/>
        </w:rPr>
        <w:t xml:space="preserve"> Lesbian, gay and bisexual adults in Scotland are disproportionately affected by poverty with 27% living in poverty compared to 20% of heterosexual adults</w:t>
      </w:r>
      <w:r w:rsidRPr="007F7E9F">
        <w:rPr>
          <w:rStyle w:val="FootnoteReference"/>
          <w:sz w:val="22"/>
          <w:szCs w:val="22"/>
        </w:rPr>
        <w:footnoteReference w:id="28"/>
      </w:r>
      <w:r>
        <w:rPr>
          <w:sz w:val="22"/>
          <w:szCs w:val="22"/>
        </w:rPr>
        <w:t>.</w:t>
      </w:r>
      <w:r w:rsidRPr="007F7E9F">
        <w:rPr>
          <w:sz w:val="22"/>
          <w:szCs w:val="22"/>
        </w:rPr>
        <w:t xml:space="preserve"> Data from the LGBT Health and Wellbeing Community Survey in 2023 highlighted that of the</w:t>
      </w:r>
      <w:r w:rsidR="005921A2">
        <w:rPr>
          <w:sz w:val="22"/>
          <w:szCs w:val="22"/>
        </w:rPr>
        <w:t xml:space="preserve"> </w:t>
      </w:r>
      <w:r w:rsidRPr="007F7E9F">
        <w:rPr>
          <w:sz w:val="22"/>
          <w:szCs w:val="22"/>
        </w:rPr>
        <w:t xml:space="preserve">269 </w:t>
      </w:r>
      <w:r w:rsidR="00D43015">
        <w:rPr>
          <w:sz w:val="22"/>
          <w:szCs w:val="22"/>
        </w:rPr>
        <w:t>LGBTIA+</w:t>
      </w:r>
      <w:r w:rsidR="00D43015" w:rsidRPr="007F7E9F">
        <w:rPr>
          <w:sz w:val="22"/>
          <w:szCs w:val="22"/>
        </w:rPr>
        <w:t xml:space="preserve"> </w:t>
      </w:r>
      <w:r w:rsidRPr="007F7E9F">
        <w:rPr>
          <w:sz w:val="22"/>
          <w:szCs w:val="22"/>
        </w:rPr>
        <w:t xml:space="preserve">participants who answered questions on the ‘Cost-of-Living’ crisis, the following rarely or occasionally had enough money for: accommodation and household bills (14%); food (18%); travel (25%); childcare and caring responsibilities (17%); and leisure or social activities (44%). Furthermore, consultation with community members has shown LGBTIA+ people are more likely to be single, live in the private sector and be affected by the benefits cap. </w:t>
      </w:r>
      <w:r w:rsidR="00573954" w:rsidRPr="007F7E9F">
        <w:rPr>
          <w:sz w:val="22"/>
          <w:szCs w:val="22"/>
        </w:rPr>
        <w:t>More research is needed to better understand poverty rates for trans and non-binary people</w:t>
      </w:r>
      <w:r w:rsidR="00573954">
        <w:rPr>
          <w:sz w:val="22"/>
          <w:szCs w:val="22"/>
        </w:rPr>
        <w:t xml:space="preserve"> specifically,</w:t>
      </w:r>
      <w:r w:rsidR="00573954" w:rsidRPr="007F7E9F">
        <w:rPr>
          <w:sz w:val="22"/>
          <w:szCs w:val="22"/>
        </w:rPr>
        <w:t xml:space="preserve"> however our research</w:t>
      </w:r>
      <w:r w:rsidR="00573954" w:rsidRPr="007F7E9F">
        <w:rPr>
          <w:rStyle w:val="FootnoteReference"/>
          <w:sz w:val="22"/>
          <w:szCs w:val="22"/>
        </w:rPr>
        <w:footnoteReference w:id="29"/>
      </w:r>
      <w:r w:rsidR="00573954" w:rsidRPr="007F7E9F">
        <w:rPr>
          <w:sz w:val="22"/>
          <w:szCs w:val="22"/>
        </w:rPr>
        <w:t xml:space="preserve"> does show us that trans and non-binary people disproportionately face financial insecurity, homelessness, food insecurity and difficulties finding and obtaining employment.</w:t>
      </w:r>
    </w:p>
    <w:p w14:paraId="442D23D0" w14:textId="5D6D33C7" w:rsidR="007F7E9F" w:rsidRDefault="007F7E9F" w:rsidP="007F7E9F">
      <w:pPr>
        <w:spacing w:line="276" w:lineRule="auto"/>
        <w:jc w:val="both"/>
        <w:rPr>
          <w:b/>
          <w:bCs/>
          <w:sz w:val="22"/>
          <w:szCs w:val="22"/>
        </w:rPr>
      </w:pPr>
      <w:r w:rsidRPr="007F7E9F">
        <w:rPr>
          <w:b/>
          <w:bCs/>
          <w:sz w:val="22"/>
          <w:szCs w:val="22"/>
        </w:rPr>
        <w:t xml:space="preserve">[24] </w:t>
      </w:r>
      <w:r w:rsidR="00C41454">
        <w:rPr>
          <w:b/>
          <w:bCs/>
          <w:sz w:val="22"/>
          <w:szCs w:val="22"/>
        </w:rPr>
        <w:tab/>
      </w:r>
      <w:r w:rsidRPr="007F7E9F">
        <w:rPr>
          <w:b/>
          <w:bCs/>
          <w:sz w:val="22"/>
          <w:szCs w:val="22"/>
        </w:rPr>
        <w:t xml:space="preserve">Recommendations: </w:t>
      </w:r>
    </w:p>
    <w:tbl>
      <w:tblPr>
        <w:tblStyle w:val="TableGrid"/>
        <w:tblW w:w="0" w:type="auto"/>
        <w:tblLook w:val="04A0" w:firstRow="1" w:lastRow="0" w:firstColumn="1" w:lastColumn="0" w:noHBand="0" w:noVBand="1"/>
      </w:tblPr>
      <w:tblGrid>
        <w:gridCol w:w="988"/>
        <w:gridCol w:w="8028"/>
      </w:tblGrid>
      <w:tr w:rsidR="009C5D15" w14:paraId="24EDC6E1" w14:textId="77777777" w:rsidTr="00B7053D">
        <w:tc>
          <w:tcPr>
            <w:tcW w:w="988" w:type="dxa"/>
          </w:tcPr>
          <w:p w14:paraId="3DFF0B32" w14:textId="558802F8" w:rsidR="009C5D15" w:rsidRPr="00226008" w:rsidRDefault="009C5D15" w:rsidP="00B7053D">
            <w:pPr>
              <w:spacing w:line="276" w:lineRule="auto"/>
              <w:jc w:val="both"/>
              <w:rPr>
                <w:b/>
                <w:bCs/>
                <w:sz w:val="22"/>
                <w:szCs w:val="22"/>
              </w:rPr>
            </w:pPr>
            <w:r w:rsidRPr="00226008">
              <w:rPr>
                <w:b/>
                <w:bCs/>
                <w:sz w:val="22"/>
                <w:szCs w:val="22"/>
              </w:rPr>
              <w:t xml:space="preserve">Rec </w:t>
            </w:r>
            <w:r>
              <w:rPr>
                <w:b/>
                <w:bCs/>
                <w:sz w:val="22"/>
                <w:szCs w:val="22"/>
              </w:rPr>
              <w:t>2</w:t>
            </w:r>
            <w:r w:rsidR="008B7549">
              <w:rPr>
                <w:b/>
                <w:bCs/>
                <w:sz w:val="22"/>
                <w:szCs w:val="22"/>
              </w:rPr>
              <w:t>3</w:t>
            </w:r>
          </w:p>
        </w:tc>
        <w:tc>
          <w:tcPr>
            <w:tcW w:w="8028" w:type="dxa"/>
          </w:tcPr>
          <w:p w14:paraId="7C5D5E0B" w14:textId="1BCCAAC6" w:rsidR="009C5D15" w:rsidRDefault="009C5D15" w:rsidP="00B7053D">
            <w:pPr>
              <w:spacing w:line="276" w:lineRule="auto"/>
              <w:jc w:val="both"/>
              <w:rPr>
                <w:sz w:val="22"/>
                <w:szCs w:val="22"/>
              </w:rPr>
            </w:pPr>
            <w:r w:rsidRPr="007F7E9F">
              <w:rPr>
                <w:sz w:val="22"/>
                <w:szCs w:val="22"/>
              </w:rPr>
              <w:t>The Scottish Government should ensure that the right to an adequate standard of living is protected in Scots Law via the Human Rights (Scotland) Bill</w:t>
            </w:r>
            <w:r>
              <w:rPr>
                <w:sz w:val="22"/>
                <w:szCs w:val="22"/>
              </w:rPr>
              <w:t>.</w:t>
            </w:r>
          </w:p>
        </w:tc>
      </w:tr>
      <w:tr w:rsidR="009C5D15" w14:paraId="1E38D234" w14:textId="77777777" w:rsidTr="00B7053D">
        <w:tc>
          <w:tcPr>
            <w:tcW w:w="988" w:type="dxa"/>
          </w:tcPr>
          <w:p w14:paraId="50F37B61" w14:textId="79A97921" w:rsidR="009C5D15" w:rsidRPr="00226008" w:rsidRDefault="009C5D15" w:rsidP="00B7053D">
            <w:pPr>
              <w:spacing w:line="276" w:lineRule="auto"/>
              <w:jc w:val="both"/>
              <w:rPr>
                <w:b/>
                <w:bCs/>
                <w:sz w:val="22"/>
                <w:szCs w:val="22"/>
              </w:rPr>
            </w:pPr>
            <w:r w:rsidRPr="00226008">
              <w:rPr>
                <w:b/>
                <w:bCs/>
                <w:sz w:val="22"/>
                <w:szCs w:val="22"/>
              </w:rPr>
              <w:t xml:space="preserve">Rec </w:t>
            </w:r>
            <w:r>
              <w:rPr>
                <w:b/>
                <w:bCs/>
                <w:sz w:val="22"/>
                <w:szCs w:val="22"/>
              </w:rPr>
              <w:t>2</w:t>
            </w:r>
            <w:r w:rsidR="008B7549">
              <w:rPr>
                <w:b/>
                <w:bCs/>
                <w:sz w:val="22"/>
                <w:szCs w:val="22"/>
              </w:rPr>
              <w:t>4</w:t>
            </w:r>
          </w:p>
        </w:tc>
        <w:tc>
          <w:tcPr>
            <w:tcW w:w="8028" w:type="dxa"/>
          </w:tcPr>
          <w:p w14:paraId="27D129AE" w14:textId="2F7F478C" w:rsidR="009C5D15" w:rsidRPr="009C5D15" w:rsidRDefault="009C5D15" w:rsidP="009C5D15">
            <w:pPr>
              <w:spacing w:line="276" w:lineRule="auto"/>
              <w:jc w:val="both"/>
              <w:rPr>
                <w:sz w:val="22"/>
                <w:szCs w:val="22"/>
              </w:rPr>
            </w:pPr>
            <w:r w:rsidRPr="009C5D15">
              <w:rPr>
                <w:sz w:val="22"/>
                <w:szCs w:val="22"/>
              </w:rPr>
              <w:t>The Scottish Government should set a National Equality Outcome to address the higher rates of relative poverty experienced by lesbian, gay and bisexual adults compared to heterosexual adults, and for trans and non-binary people.</w:t>
            </w:r>
          </w:p>
        </w:tc>
      </w:tr>
    </w:tbl>
    <w:p w14:paraId="5264241D" w14:textId="77777777" w:rsidR="007F7E9F" w:rsidRPr="009C5D15" w:rsidRDefault="007F7E9F" w:rsidP="009C5D15">
      <w:pPr>
        <w:spacing w:line="276" w:lineRule="auto"/>
        <w:jc w:val="both"/>
        <w:rPr>
          <w:sz w:val="22"/>
          <w:szCs w:val="22"/>
        </w:rPr>
      </w:pPr>
    </w:p>
    <w:p w14:paraId="66CA3B95" w14:textId="77777777" w:rsidR="007F7E9F" w:rsidRPr="007F7E9F" w:rsidRDefault="007F7E9F" w:rsidP="007F7E9F">
      <w:pPr>
        <w:pStyle w:val="Heading3"/>
        <w:spacing w:line="276" w:lineRule="auto"/>
        <w:rPr>
          <w:b/>
          <w:bCs/>
          <w:color w:val="0070C0"/>
          <w:sz w:val="24"/>
          <w:szCs w:val="24"/>
        </w:rPr>
      </w:pPr>
      <w:r w:rsidRPr="007F7E9F">
        <w:rPr>
          <w:b/>
          <w:bCs/>
          <w:color w:val="0070C0"/>
          <w:sz w:val="24"/>
          <w:szCs w:val="24"/>
        </w:rPr>
        <w:t xml:space="preserve">Housing and homelessness </w:t>
      </w:r>
    </w:p>
    <w:p w14:paraId="775CB52B" w14:textId="3CBFFB99" w:rsidR="007F7E9F" w:rsidRPr="007F7E9F" w:rsidRDefault="007F7E9F" w:rsidP="007F7E9F">
      <w:pPr>
        <w:spacing w:line="276" w:lineRule="auto"/>
        <w:jc w:val="both"/>
        <w:rPr>
          <w:sz w:val="22"/>
          <w:szCs w:val="22"/>
        </w:rPr>
      </w:pPr>
      <w:r w:rsidRPr="007F7E9F">
        <w:rPr>
          <w:b/>
          <w:bCs/>
          <w:sz w:val="22"/>
          <w:szCs w:val="22"/>
        </w:rPr>
        <w:t>[25]</w:t>
      </w:r>
      <w:r w:rsidRPr="007F7E9F">
        <w:rPr>
          <w:sz w:val="22"/>
          <w:szCs w:val="22"/>
        </w:rPr>
        <w:t xml:space="preserve"> </w:t>
      </w:r>
      <w:r w:rsidR="00C41454">
        <w:rPr>
          <w:sz w:val="22"/>
          <w:szCs w:val="22"/>
        </w:rPr>
        <w:tab/>
      </w:r>
      <w:r w:rsidRPr="007F7E9F">
        <w:rPr>
          <w:sz w:val="22"/>
          <w:szCs w:val="22"/>
        </w:rPr>
        <w:t>We note the Committee’s interest in housing</w:t>
      </w:r>
      <w:r w:rsidRPr="007F7E9F">
        <w:rPr>
          <w:rStyle w:val="FootnoteReference"/>
          <w:sz w:val="22"/>
          <w:szCs w:val="22"/>
        </w:rPr>
        <w:footnoteReference w:id="30"/>
      </w:r>
      <w:r w:rsidRPr="007F7E9F">
        <w:rPr>
          <w:sz w:val="22"/>
          <w:szCs w:val="22"/>
        </w:rPr>
        <w:t>. We highlight that housing is devolved in Scotland</w:t>
      </w:r>
      <w:r w:rsidR="00B5524E">
        <w:rPr>
          <w:sz w:val="22"/>
          <w:szCs w:val="22"/>
        </w:rPr>
        <w:t xml:space="preserve">. </w:t>
      </w:r>
      <w:r w:rsidRPr="007F7E9F">
        <w:rPr>
          <w:sz w:val="22"/>
          <w:szCs w:val="22"/>
        </w:rPr>
        <w:t>Evidence gathered by the Equality Network</w:t>
      </w:r>
      <w:r w:rsidRPr="007F7E9F">
        <w:rPr>
          <w:rStyle w:val="FootnoteReference"/>
          <w:sz w:val="22"/>
          <w:szCs w:val="22"/>
        </w:rPr>
        <w:footnoteReference w:id="31"/>
      </w:r>
      <w:r w:rsidRPr="007F7E9F">
        <w:rPr>
          <w:sz w:val="22"/>
          <w:szCs w:val="22"/>
        </w:rPr>
        <w:t xml:space="preserve"> highlights that LGBTIA+ people face significant housing inequality in Scotland, including dangerous living situations (vermin, damp, </w:t>
      </w:r>
      <w:r w:rsidRPr="007F7E9F">
        <w:rPr>
          <w:sz w:val="22"/>
          <w:szCs w:val="22"/>
        </w:rPr>
        <w:lastRenderedPageBreak/>
        <w:t>mould, faulty repairs and structures), threats of eviction and health problems due to unsuitable housing. Discrimination in housing is widespread despite this Committee’s Concluding Observations that state parties have a responsibility to ensure that housing and rental agencies are not engaging in discrimination against LGBTI+ people</w:t>
      </w:r>
      <w:r w:rsidRPr="007F7E9F">
        <w:rPr>
          <w:rStyle w:val="FootnoteReference"/>
          <w:sz w:val="22"/>
          <w:szCs w:val="22"/>
        </w:rPr>
        <w:footnoteReference w:id="32"/>
      </w:r>
      <w:r>
        <w:rPr>
          <w:sz w:val="22"/>
          <w:szCs w:val="22"/>
        </w:rPr>
        <w:t>.</w:t>
      </w:r>
      <w:r w:rsidRPr="007F7E9F">
        <w:rPr>
          <w:sz w:val="22"/>
          <w:szCs w:val="22"/>
        </w:rPr>
        <w:t xml:space="preserve"> </w:t>
      </w:r>
    </w:p>
    <w:p w14:paraId="3A9F1DFE" w14:textId="31F5C685" w:rsidR="007F7E9F" w:rsidRPr="007F7E9F" w:rsidRDefault="007F7E9F" w:rsidP="007F7E9F">
      <w:pPr>
        <w:spacing w:line="276" w:lineRule="auto"/>
        <w:jc w:val="both"/>
        <w:rPr>
          <w:sz w:val="22"/>
          <w:szCs w:val="22"/>
        </w:rPr>
      </w:pPr>
      <w:r w:rsidRPr="007F7E9F">
        <w:rPr>
          <w:b/>
          <w:bCs/>
          <w:sz w:val="22"/>
          <w:szCs w:val="22"/>
        </w:rPr>
        <w:t>[26]</w:t>
      </w:r>
      <w:r w:rsidRPr="007F7E9F">
        <w:rPr>
          <w:sz w:val="22"/>
          <w:szCs w:val="22"/>
        </w:rPr>
        <w:t xml:space="preserve"> </w:t>
      </w:r>
      <w:r w:rsidR="00C41454">
        <w:rPr>
          <w:sz w:val="22"/>
          <w:szCs w:val="22"/>
        </w:rPr>
        <w:tab/>
      </w:r>
      <w:r w:rsidRPr="007F7E9F">
        <w:rPr>
          <w:sz w:val="22"/>
          <w:szCs w:val="22"/>
        </w:rPr>
        <w:t>Homelessness is stark for LGBTIA+ people in Scotland with 1 in 8 having ever been homeless</w:t>
      </w:r>
      <w:r w:rsidRPr="007F7E9F">
        <w:rPr>
          <w:rStyle w:val="FootnoteReference"/>
          <w:sz w:val="22"/>
          <w:szCs w:val="22"/>
        </w:rPr>
        <w:footnoteReference w:id="33"/>
      </w:r>
      <w:r>
        <w:rPr>
          <w:sz w:val="22"/>
          <w:szCs w:val="22"/>
        </w:rPr>
        <w:t>.</w:t>
      </w:r>
      <w:r w:rsidRPr="007F7E9F">
        <w:rPr>
          <w:sz w:val="22"/>
          <w:szCs w:val="22"/>
        </w:rPr>
        <w:t xml:space="preserve"> Preliminary findings from the LGBT Health and Wellbeing Community Survey 2024 (175 respondents) showed that 18% of community members have experienced homelessness or insecure housing in the past 12 months. Homelessness for LGBTIA+ people is also exacerbated by some becoming estranged from unsupportive family or domestic abuse. Research from Scottish Trans</w:t>
      </w:r>
      <w:r w:rsidRPr="007F7E9F">
        <w:rPr>
          <w:rStyle w:val="FootnoteReference"/>
          <w:sz w:val="22"/>
          <w:szCs w:val="22"/>
        </w:rPr>
        <w:footnoteReference w:id="34"/>
      </w:r>
      <w:r w:rsidRPr="007F7E9F">
        <w:rPr>
          <w:sz w:val="22"/>
          <w:szCs w:val="22"/>
        </w:rPr>
        <w:t xml:space="preserve"> showed that 23% of those surveyed had been homeless at some point compared to 8% of the general population, and that 35% said their trans status, history or gender identity had ever contributed to them being homeless. The Scottish Government introduced the ‘Ending Homelessness Together Monitor’</w:t>
      </w:r>
      <w:r w:rsidRPr="007F7E9F">
        <w:rPr>
          <w:rStyle w:val="FootnoteReference"/>
          <w:sz w:val="22"/>
          <w:szCs w:val="22"/>
        </w:rPr>
        <w:footnoteReference w:id="35"/>
      </w:r>
      <w:r w:rsidRPr="007F7E9F">
        <w:rPr>
          <w:sz w:val="22"/>
          <w:szCs w:val="22"/>
        </w:rPr>
        <w:t xml:space="preserve"> in 2018 which has a focused outcome on closing the gap for people disproportionately affected by homelessness, including for LGBTIA+ people. </w:t>
      </w:r>
    </w:p>
    <w:p w14:paraId="054E7E5B" w14:textId="6C89AFA3" w:rsidR="007F7E9F" w:rsidRPr="007F7E9F" w:rsidRDefault="007F7E9F" w:rsidP="007F7E9F">
      <w:pPr>
        <w:spacing w:line="276" w:lineRule="auto"/>
        <w:jc w:val="both"/>
        <w:rPr>
          <w:b/>
          <w:bCs/>
          <w:sz w:val="22"/>
          <w:szCs w:val="22"/>
        </w:rPr>
      </w:pPr>
      <w:r w:rsidRPr="007F7E9F">
        <w:rPr>
          <w:b/>
          <w:bCs/>
          <w:sz w:val="22"/>
          <w:szCs w:val="22"/>
        </w:rPr>
        <w:t xml:space="preserve">[27] </w:t>
      </w:r>
      <w:r w:rsidR="00C41454">
        <w:rPr>
          <w:b/>
          <w:bCs/>
          <w:sz w:val="22"/>
          <w:szCs w:val="22"/>
        </w:rPr>
        <w:tab/>
      </w:r>
      <w:r w:rsidR="00E66565" w:rsidRPr="007F7E9F">
        <w:rPr>
          <w:sz w:val="22"/>
          <w:szCs w:val="22"/>
        </w:rPr>
        <w:t xml:space="preserve">LGBTIA+ </w:t>
      </w:r>
      <w:r w:rsidR="00E66565">
        <w:rPr>
          <w:sz w:val="22"/>
          <w:szCs w:val="22"/>
        </w:rPr>
        <w:t>people seeking asylum</w:t>
      </w:r>
      <w:r w:rsidR="00DC2556">
        <w:rPr>
          <w:sz w:val="22"/>
          <w:szCs w:val="22"/>
        </w:rPr>
        <w:t xml:space="preserve"> and refugees</w:t>
      </w:r>
      <w:r w:rsidR="00E66565">
        <w:rPr>
          <w:sz w:val="22"/>
          <w:szCs w:val="22"/>
        </w:rPr>
        <w:t xml:space="preserve"> </w:t>
      </w:r>
      <w:r w:rsidR="00E66565" w:rsidRPr="007F7E9F">
        <w:rPr>
          <w:sz w:val="22"/>
          <w:szCs w:val="22"/>
        </w:rPr>
        <w:t xml:space="preserve">experience significant barriers to realising their right to adequate housing in Scotland. </w:t>
      </w:r>
      <w:r w:rsidR="00D97E74">
        <w:rPr>
          <w:sz w:val="22"/>
          <w:szCs w:val="22"/>
        </w:rPr>
        <w:t>H</w:t>
      </w:r>
      <w:r w:rsidR="00D97E74" w:rsidRPr="007F7E9F">
        <w:rPr>
          <w:sz w:val="22"/>
          <w:szCs w:val="22"/>
        </w:rPr>
        <w:t xml:space="preserve">ousing for </w:t>
      </w:r>
      <w:r w:rsidR="00D97E74">
        <w:rPr>
          <w:sz w:val="22"/>
          <w:szCs w:val="22"/>
        </w:rPr>
        <w:t>people seeking asylum</w:t>
      </w:r>
      <w:r w:rsidR="00D97E74" w:rsidRPr="007F7E9F">
        <w:rPr>
          <w:sz w:val="22"/>
          <w:szCs w:val="22"/>
        </w:rPr>
        <w:t xml:space="preserve"> remains reserved with housing decisions taken by the UK Government Home Office</w:t>
      </w:r>
      <w:r w:rsidR="00D97E74">
        <w:rPr>
          <w:sz w:val="22"/>
          <w:szCs w:val="22"/>
        </w:rPr>
        <w:t xml:space="preserve"> but housing for refugees granted settle</w:t>
      </w:r>
      <w:r w:rsidR="008C6709">
        <w:rPr>
          <w:sz w:val="22"/>
          <w:szCs w:val="22"/>
        </w:rPr>
        <w:t>d</w:t>
      </w:r>
      <w:r w:rsidR="00D97E74">
        <w:rPr>
          <w:sz w:val="22"/>
          <w:szCs w:val="22"/>
        </w:rPr>
        <w:t xml:space="preserve"> status or Leave to Remain</w:t>
      </w:r>
      <w:r w:rsidR="008C6709">
        <w:rPr>
          <w:sz w:val="22"/>
          <w:szCs w:val="22"/>
        </w:rPr>
        <w:t xml:space="preserve"> falls under the jurisdiction of local authorities in Scotland</w:t>
      </w:r>
      <w:r w:rsidR="00E66565">
        <w:rPr>
          <w:sz w:val="22"/>
          <w:szCs w:val="22"/>
        </w:rPr>
        <w:t xml:space="preserve"> and is thus devolved.</w:t>
      </w:r>
      <w:r w:rsidR="00D97E74" w:rsidRPr="007F7E9F">
        <w:rPr>
          <w:sz w:val="22"/>
          <w:szCs w:val="22"/>
        </w:rPr>
        <w:t xml:space="preserve"> </w:t>
      </w:r>
      <w:r w:rsidRPr="007F7E9F">
        <w:rPr>
          <w:sz w:val="22"/>
          <w:szCs w:val="22"/>
        </w:rPr>
        <w:t>Research from LGBT Health and Wellbeing</w:t>
      </w:r>
      <w:r w:rsidRPr="007F7E9F">
        <w:rPr>
          <w:rStyle w:val="FootnoteReference"/>
          <w:sz w:val="22"/>
          <w:szCs w:val="22"/>
        </w:rPr>
        <w:footnoteReference w:id="36"/>
      </w:r>
      <w:r w:rsidRPr="007F7E9F">
        <w:rPr>
          <w:sz w:val="22"/>
          <w:szCs w:val="22"/>
        </w:rPr>
        <w:t xml:space="preserve"> found that LGBTIA+ </w:t>
      </w:r>
      <w:r w:rsidR="00576154">
        <w:rPr>
          <w:sz w:val="22"/>
          <w:szCs w:val="22"/>
        </w:rPr>
        <w:t xml:space="preserve">people seeking </w:t>
      </w:r>
      <w:r w:rsidRPr="007F7E9F">
        <w:rPr>
          <w:sz w:val="22"/>
          <w:szCs w:val="22"/>
        </w:rPr>
        <w:t xml:space="preserve">asylum experienced: a lack of concern for safety; inhumane living conditions; lack of dignity and privacy; violation of rights; a lack of response to housing related issues; and impacts on mental health and wellbeing. Those who lived in hotels felt that they could not identify themselves as LGBTIA+ to other </w:t>
      </w:r>
      <w:r w:rsidR="00576154">
        <w:rPr>
          <w:sz w:val="22"/>
          <w:szCs w:val="22"/>
        </w:rPr>
        <w:t>people seeking asylum</w:t>
      </w:r>
      <w:r w:rsidRPr="007F7E9F">
        <w:rPr>
          <w:sz w:val="22"/>
          <w:szCs w:val="22"/>
        </w:rPr>
        <w:t xml:space="preserve"> without fear of discrimination or violence.</w:t>
      </w:r>
    </w:p>
    <w:p w14:paraId="2F521DCF" w14:textId="4FE6DEC9" w:rsidR="007F7E9F" w:rsidRDefault="007F7E9F" w:rsidP="007F7E9F">
      <w:pPr>
        <w:spacing w:line="276" w:lineRule="auto"/>
        <w:jc w:val="both"/>
        <w:rPr>
          <w:b/>
          <w:bCs/>
          <w:sz w:val="22"/>
          <w:szCs w:val="22"/>
        </w:rPr>
      </w:pPr>
      <w:r w:rsidRPr="007F7E9F">
        <w:rPr>
          <w:b/>
          <w:bCs/>
          <w:sz w:val="22"/>
          <w:szCs w:val="22"/>
        </w:rPr>
        <w:t xml:space="preserve">[28] </w:t>
      </w:r>
      <w:r w:rsidR="00C41454">
        <w:rPr>
          <w:b/>
          <w:bCs/>
          <w:sz w:val="22"/>
          <w:szCs w:val="22"/>
        </w:rPr>
        <w:tab/>
      </w:r>
      <w:r w:rsidRPr="007F7E9F">
        <w:rPr>
          <w:b/>
          <w:bCs/>
          <w:sz w:val="22"/>
          <w:szCs w:val="22"/>
        </w:rPr>
        <w:t>Recommendation</w:t>
      </w:r>
      <w:r w:rsidR="00EF2A10">
        <w:rPr>
          <w:b/>
          <w:bCs/>
          <w:sz w:val="22"/>
          <w:szCs w:val="22"/>
        </w:rPr>
        <w:t>s</w:t>
      </w:r>
      <w:r w:rsidRPr="007F7E9F">
        <w:rPr>
          <w:b/>
          <w:bCs/>
          <w:sz w:val="22"/>
          <w:szCs w:val="22"/>
        </w:rPr>
        <w:t xml:space="preserve">: </w:t>
      </w:r>
    </w:p>
    <w:tbl>
      <w:tblPr>
        <w:tblStyle w:val="TableGrid"/>
        <w:tblW w:w="0" w:type="auto"/>
        <w:tblLook w:val="04A0" w:firstRow="1" w:lastRow="0" w:firstColumn="1" w:lastColumn="0" w:noHBand="0" w:noVBand="1"/>
      </w:tblPr>
      <w:tblGrid>
        <w:gridCol w:w="988"/>
        <w:gridCol w:w="8028"/>
      </w:tblGrid>
      <w:tr w:rsidR="00F33A0A" w14:paraId="15619017" w14:textId="77777777" w:rsidTr="00B7053D">
        <w:tc>
          <w:tcPr>
            <w:tcW w:w="988" w:type="dxa"/>
          </w:tcPr>
          <w:p w14:paraId="7D987443" w14:textId="04632624" w:rsidR="00F33A0A" w:rsidRPr="00226008" w:rsidRDefault="00F33A0A" w:rsidP="00B7053D">
            <w:pPr>
              <w:spacing w:line="276" w:lineRule="auto"/>
              <w:jc w:val="both"/>
              <w:rPr>
                <w:b/>
                <w:bCs/>
                <w:sz w:val="22"/>
                <w:szCs w:val="22"/>
              </w:rPr>
            </w:pPr>
            <w:r w:rsidRPr="00226008">
              <w:rPr>
                <w:b/>
                <w:bCs/>
                <w:sz w:val="22"/>
                <w:szCs w:val="22"/>
              </w:rPr>
              <w:t xml:space="preserve">Rec </w:t>
            </w:r>
            <w:r>
              <w:rPr>
                <w:b/>
                <w:bCs/>
                <w:sz w:val="22"/>
                <w:szCs w:val="22"/>
              </w:rPr>
              <w:t>2</w:t>
            </w:r>
            <w:r w:rsidR="008B7549">
              <w:rPr>
                <w:b/>
                <w:bCs/>
                <w:sz w:val="22"/>
                <w:szCs w:val="22"/>
              </w:rPr>
              <w:t>5</w:t>
            </w:r>
          </w:p>
        </w:tc>
        <w:tc>
          <w:tcPr>
            <w:tcW w:w="8028" w:type="dxa"/>
          </w:tcPr>
          <w:p w14:paraId="5CB13596" w14:textId="5C1CCAD4" w:rsidR="00F33A0A" w:rsidRDefault="0091296A" w:rsidP="00B7053D">
            <w:pPr>
              <w:spacing w:line="276" w:lineRule="auto"/>
              <w:jc w:val="both"/>
              <w:rPr>
                <w:sz w:val="22"/>
                <w:szCs w:val="22"/>
              </w:rPr>
            </w:pPr>
            <w:r w:rsidRPr="007F7E9F">
              <w:rPr>
                <w:sz w:val="22"/>
                <w:szCs w:val="22"/>
              </w:rPr>
              <w:t xml:space="preserve">The Scottish Government should end discrimination in housing for LGBTIA+ people and ensure </w:t>
            </w:r>
            <w:r w:rsidR="009D6D31">
              <w:rPr>
                <w:sz w:val="22"/>
                <w:szCs w:val="22"/>
              </w:rPr>
              <w:t>housing is of an</w:t>
            </w:r>
            <w:r w:rsidRPr="007F7E9F">
              <w:rPr>
                <w:sz w:val="22"/>
                <w:szCs w:val="22"/>
              </w:rPr>
              <w:t xml:space="preserve"> adequate, safe standard</w:t>
            </w:r>
            <w:r w:rsidR="009D6D31">
              <w:rPr>
                <w:sz w:val="22"/>
                <w:szCs w:val="22"/>
              </w:rPr>
              <w:t>.</w:t>
            </w:r>
          </w:p>
        </w:tc>
      </w:tr>
      <w:tr w:rsidR="00F33A0A" w14:paraId="27F0A012" w14:textId="77777777" w:rsidTr="00B7053D">
        <w:tc>
          <w:tcPr>
            <w:tcW w:w="988" w:type="dxa"/>
          </w:tcPr>
          <w:p w14:paraId="5AE1789A" w14:textId="1DE9B5BF" w:rsidR="00F33A0A" w:rsidRPr="00226008" w:rsidRDefault="00F33A0A" w:rsidP="00B7053D">
            <w:pPr>
              <w:spacing w:line="276" w:lineRule="auto"/>
              <w:jc w:val="both"/>
              <w:rPr>
                <w:b/>
                <w:bCs/>
                <w:sz w:val="22"/>
                <w:szCs w:val="22"/>
              </w:rPr>
            </w:pPr>
            <w:r w:rsidRPr="00226008">
              <w:rPr>
                <w:b/>
                <w:bCs/>
                <w:sz w:val="22"/>
                <w:szCs w:val="22"/>
              </w:rPr>
              <w:t xml:space="preserve">Rec </w:t>
            </w:r>
            <w:r>
              <w:rPr>
                <w:b/>
                <w:bCs/>
                <w:sz w:val="22"/>
                <w:szCs w:val="22"/>
              </w:rPr>
              <w:t>2</w:t>
            </w:r>
            <w:r w:rsidR="008B7549">
              <w:rPr>
                <w:b/>
                <w:bCs/>
                <w:sz w:val="22"/>
                <w:szCs w:val="22"/>
              </w:rPr>
              <w:t>6</w:t>
            </w:r>
          </w:p>
        </w:tc>
        <w:tc>
          <w:tcPr>
            <w:tcW w:w="8028" w:type="dxa"/>
          </w:tcPr>
          <w:p w14:paraId="16DC9945" w14:textId="19CA7671" w:rsidR="00F33A0A" w:rsidRPr="009C5D15" w:rsidRDefault="00E70F2B" w:rsidP="00B7053D">
            <w:pPr>
              <w:spacing w:line="276" w:lineRule="auto"/>
              <w:jc w:val="both"/>
              <w:rPr>
                <w:sz w:val="22"/>
                <w:szCs w:val="22"/>
              </w:rPr>
            </w:pPr>
            <w:r w:rsidRPr="007F7E9F">
              <w:rPr>
                <w:sz w:val="22"/>
                <w:szCs w:val="22"/>
              </w:rPr>
              <w:t>The Scottish Government should continue to implement the Ending Homelessness Together Monitor and close the LGBTIA+ homelessness gap</w:t>
            </w:r>
            <w:r>
              <w:rPr>
                <w:sz w:val="22"/>
                <w:szCs w:val="22"/>
              </w:rPr>
              <w:t>.</w:t>
            </w:r>
          </w:p>
        </w:tc>
      </w:tr>
      <w:tr w:rsidR="00E70F2B" w14:paraId="43B4DF6C" w14:textId="77777777" w:rsidTr="00B7053D">
        <w:tc>
          <w:tcPr>
            <w:tcW w:w="988" w:type="dxa"/>
          </w:tcPr>
          <w:p w14:paraId="1CBB5D34" w14:textId="2D9995AA" w:rsidR="00E70F2B" w:rsidRPr="00226008" w:rsidRDefault="00E70F2B" w:rsidP="00B7053D">
            <w:pPr>
              <w:spacing w:line="276" w:lineRule="auto"/>
              <w:jc w:val="both"/>
              <w:rPr>
                <w:b/>
                <w:bCs/>
                <w:sz w:val="22"/>
                <w:szCs w:val="22"/>
              </w:rPr>
            </w:pPr>
            <w:r>
              <w:rPr>
                <w:b/>
                <w:bCs/>
                <w:sz w:val="22"/>
                <w:szCs w:val="22"/>
              </w:rPr>
              <w:t>Rec 2</w:t>
            </w:r>
            <w:r w:rsidR="008B7549">
              <w:rPr>
                <w:b/>
                <w:bCs/>
                <w:sz w:val="22"/>
                <w:szCs w:val="22"/>
              </w:rPr>
              <w:t>7</w:t>
            </w:r>
          </w:p>
        </w:tc>
        <w:tc>
          <w:tcPr>
            <w:tcW w:w="8028" w:type="dxa"/>
          </w:tcPr>
          <w:p w14:paraId="5AF3529B" w14:textId="579E01E7" w:rsidR="00E70F2B" w:rsidRPr="007F7E9F" w:rsidRDefault="00E70F2B" w:rsidP="00B7053D">
            <w:pPr>
              <w:spacing w:line="276" w:lineRule="auto"/>
              <w:jc w:val="both"/>
              <w:rPr>
                <w:sz w:val="22"/>
                <w:szCs w:val="22"/>
              </w:rPr>
            </w:pPr>
            <w:r>
              <w:rPr>
                <w:sz w:val="22"/>
                <w:szCs w:val="22"/>
              </w:rPr>
              <w:t>The</w:t>
            </w:r>
            <w:r w:rsidRPr="007F7E9F">
              <w:rPr>
                <w:sz w:val="22"/>
                <w:szCs w:val="22"/>
              </w:rPr>
              <w:t xml:space="preserve"> UK Government should provide suitable</w:t>
            </w:r>
            <w:r w:rsidR="008967F8">
              <w:rPr>
                <w:sz w:val="22"/>
                <w:szCs w:val="22"/>
              </w:rPr>
              <w:t xml:space="preserve"> and safe </w:t>
            </w:r>
            <w:r w:rsidRPr="007F7E9F">
              <w:rPr>
                <w:sz w:val="22"/>
                <w:szCs w:val="22"/>
              </w:rPr>
              <w:t xml:space="preserve">accommodation for LGBTIA+ </w:t>
            </w:r>
            <w:r w:rsidR="0000176B">
              <w:rPr>
                <w:sz w:val="22"/>
                <w:szCs w:val="22"/>
              </w:rPr>
              <w:t>people seeking asylum</w:t>
            </w:r>
            <w:r w:rsidR="004E7578">
              <w:rPr>
                <w:sz w:val="22"/>
                <w:szCs w:val="22"/>
              </w:rPr>
              <w:t xml:space="preserve"> whilst their asylum claim is being processed</w:t>
            </w:r>
            <w:r w:rsidR="009D6D31">
              <w:rPr>
                <w:sz w:val="22"/>
                <w:szCs w:val="22"/>
              </w:rPr>
              <w:t>.</w:t>
            </w:r>
          </w:p>
        </w:tc>
      </w:tr>
      <w:tr w:rsidR="002445A5" w14:paraId="3D29264C" w14:textId="77777777" w:rsidTr="00B7053D">
        <w:tc>
          <w:tcPr>
            <w:tcW w:w="988" w:type="dxa"/>
          </w:tcPr>
          <w:p w14:paraId="2B72BE3B" w14:textId="037A68F3" w:rsidR="002445A5" w:rsidRDefault="002445A5" w:rsidP="00B7053D">
            <w:pPr>
              <w:spacing w:line="276" w:lineRule="auto"/>
              <w:jc w:val="both"/>
              <w:rPr>
                <w:b/>
                <w:bCs/>
                <w:sz w:val="22"/>
                <w:szCs w:val="22"/>
              </w:rPr>
            </w:pPr>
            <w:r>
              <w:rPr>
                <w:b/>
                <w:bCs/>
                <w:sz w:val="22"/>
                <w:szCs w:val="22"/>
              </w:rPr>
              <w:t>Rec 2</w:t>
            </w:r>
            <w:r w:rsidR="008B7549">
              <w:rPr>
                <w:b/>
                <w:bCs/>
                <w:sz w:val="22"/>
                <w:szCs w:val="22"/>
              </w:rPr>
              <w:t>8</w:t>
            </w:r>
          </w:p>
        </w:tc>
        <w:tc>
          <w:tcPr>
            <w:tcW w:w="8028" w:type="dxa"/>
          </w:tcPr>
          <w:p w14:paraId="6BF8A6F0" w14:textId="63BBE16B" w:rsidR="002445A5" w:rsidRDefault="002445A5" w:rsidP="00B7053D">
            <w:pPr>
              <w:spacing w:line="276" w:lineRule="auto"/>
              <w:jc w:val="both"/>
              <w:rPr>
                <w:sz w:val="22"/>
                <w:szCs w:val="22"/>
              </w:rPr>
            </w:pPr>
            <w:r>
              <w:rPr>
                <w:sz w:val="22"/>
                <w:szCs w:val="22"/>
              </w:rPr>
              <w:t>The Scottish Government should continue to work collabora</w:t>
            </w:r>
            <w:r w:rsidR="00851027">
              <w:rPr>
                <w:sz w:val="22"/>
                <w:szCs w:val="22"/>
              </w:rPr>
              <w:t>tively</w:t>
            </w:r>
            <w:r>
              <w:rPr>
                <w:sz w:val="22"/>
                <w:szCs w:val="22"/>
              </w:rPr>
              <w:t xml:space="preserve"> with the UK Government </w:t>
            </w:r>
            <w:r w:rsidR="003A3C20">
              <w:rPr>
                <w:sz w:val="22"/>
                <w:szCs w:val="22"/>
              </w:rPr>
              <w:t>and local authorities</w:t>
            </w:r>
            <w:r w:rsidR="006C70E8">
              <w:rPr>
                <w:sz w:val="22"/>
                <w:szCs w:val="22"/>
              </w:rPr>
              <w:t xml:space="preserve"> in Scotland</w:t>
            </w:r>
            <w:r w:rsidR="003A3C20">
              <w:rPr>
                <w:sz w:val="22"/>
                <w:szCs w:val="22"/>
              </w:rPr>
              <w:t xml:space="preserve"> to ensure </w:t>
            </w:r>
            <w:r w:rsidR="005E5379">
              <w:rPr>
                <w:sz w:val="22"/>
                <w:szCs w:val="22"/>
              </w:rPr>
              <w:t xml:space="preserve">housing for </w:t>
            </w:r>
            <w:r w:rsidR="00C84E51">
              <w:rPr>
                <w:sz w:val="22"/>
                <w:szCs w:val="22"/>
              </w:rPr>
              <w:t>LGBTIA+</w:t>
            </w:r>
            <w:r w:rsidR="00DC1FF0">
              <w:rPr>
                <w:sz w:val="22"/>
                <w:szCs w:val="22"/>
              </w:rPr>
              <w:t xml:space="preserve"> </w:t>
            </w:r>
            <w:r w:rsidR="00DF5019">
              <w:rPr>
                <w:sz w:val="22"/>
                <w:szCs w:val="22"/>
              </w:rPr>
              <w:t>refugees</w:t>
            </w:r>
            <w:r w:rsidR="00502761">
              <w:rPr>
                <w:sz w:val="22"/>
                <w:szCs w:val="22"/>
              </w:rPr>
              <w:t xml:space="preserve"> with </w:t>
            </w:r>
            <w:r w:rsidR="000913E3">
              <w:rPr>
                <w:sz w:val="22"/>
                <w:szCs w:val="22"/>
              </w:rPr>
              <w:t xml:space="preserve">settled status or </w:t>
            </w:r>
            <w:r w:rsidR="003E4B71">
              <w:rPr>
                <w:sz w:val="22"/>
                <w:szCs w:val="22"/>
              </w:rPr>
              <w:t>L</w:t>
            </w:r>
            <w:r w:rsidR="000913E3">
              <w:rPr>
                <w:sz w:val="22"/>
                <w:szCs w:val="22"/>
              </w:rPr>
              <w:t xml:space="preserve">eave to </w:t>
            </w:r>
            <w:r w:rsidR="003E4B71">
              <w:rPr>
                <w:sz w:val="22"/>
                <w:szCs w:val="22"/>
              </w:rPr>
              <w:t>R</w:t>
            </w:r>
            <w:r w:rsidR="000913E3">
              <w:rPr>
                <w:sz w:val="22"/>
                <w:szCs w:val="22"/>
              </w:rPr>
              <w:t>emain</w:t>
            </w:r>
            <w:r w:rsidR="00BD4E4B">
              <w:rPr>
                <w:sz w:val="22"/>
                <w:szCs w:val="22"/>
              </w:rPr>
              <w:t xml:space="preserve"> </w:t>
            </w:r>
            <w:r w:rsidR="006C70E8">
              <w:rPr>
                <w:sz w:val="22"/>
                <w:szCs w:val="22"/>
              </w:rPr>
              <w:t>is of an adequate</w:t>
            </w:r>
            <w:r w:rsidR="00502761">
              <w:rPr>
                <w:sz w:val="22"/>
                <w:szCs w:val="22"/>
              </w:rPr>
              <w:t>, safe</w:t>
            </w:r>
            <w:r w:rsidR="00BD4E4B">
              <w:rPr>
                <w:sz w:val="22"/>
                <w:szCs w:val="22"/>
              </w:rPr>
              <w:t xml:space="preserve"> standard</w:t>
            </w:r>
            <w:r w:rsidR="009D6D31">
              <w:rPr>
                <w:sz w:val="22"/>
                <w:szCs w:val="22"/>
              </w:rPr>
              <w:t>.</w:t>
            </w:r>
          </w:p>
        </w:tc>
      </w:tr>
      <w:tr w:rsidR="00E70F2B" w14:paraId="518FF798" w14:textId="77777777" w:rsidTr="00B7053D">
        <w:tc>
          <w:tcPr>
            <w:tcW w:w="988" w:type="dxa"/>
          </w:tcPr>
          <w:p w14:paraId="0FA695CB" w14:textId="76950168" w:rsidR="00E70F2B" w:rsidRPr="00226008" w:rsidRDefault="00E70F2B" w:rsidP="00B7053D">
            <w:pPr>
              <w:spacing w:line="276" w:lineRule="auto"/>
              <w:jc w:val="both"/>
              <w:rPr>
                <w:b/>
                <w:bCs/>
                <w:sz w:val="22"/>
                <w:szCs w:val="22"/>
              </w:rPr>
            </w:pPr>
            <w:r>
              <w:rPr>
                <w:b/>
                <w:bCs/>
                <w:sz w:val="22"/>
                <w:szCs w:val="22"/>
              </w:rPr>
              <w:t>Rec 2</w:t>
            </w:r>
            <w:r w:rsidR="008B7549">
              <w:rPr>
                <w:b/>
                <w:bCs/>
                <w:sz w:val="22"/>
                <w:szCs w:val="22"/>
              </w:rPr>
              <w:t>9</w:t>
            </w:r>
          </w:p>
        </w:tc>
        <w:tc>
          <w:tcPr>
            <w:tcW w:w="8028" w:type="dxa"/>
          </w:tcPr>
          <w:p w14:paraId="04CD4300" w14:textId="0BDCCF9C" w:rsidR="00E70F2B" w:rsidRPr="007F7E9F" w:rsidRDefault="00E70F2B" w:rsidP="00B7053D">
            <w:pPr>
              <w:spacing w:line="276" w:lineRule="auto"/>
              <w:jc w:val="both"/>
              <w:rPr>
                <w:sz w:val="22"/>
                <w:szCs w:val="22"/>
              </w:rPr>
            </w:pPr>
            <w:r w:rsidRPr="007F7E9F">
              <w:rPr>
                <w:sz w:val="22"/>
                <w:szCs w:val="22"/>
              </w:rPr>
              <w:t xml:space="preserve">Both the UK Government and Scottish Government should consult LGBTIA+ </w:t>
            </w:r>
            <w:r w:rsidR="00C56B47">
              <w:rPr>
                <w:sz w:val="22"/>
                <w:szCs w:val="22"/>
              </w:rPr>
              <w:t>people seeking asylum</w:t>
            </w:r>
            <w:r w:rsidRPr="007F7E9F">
              <w:rPr>
                <w:sz w:val="22"/>
                <w:szCs w:val="22"/>
              </w:rPr>
              <w:t xml:space="preserve"> when forming policy and making decisions concerning housing</w:t>
            </w:r>
            <w:r>
              <w:rPr>
                <w:sz w:val="22"/>
                <w:szCs w:val="22"/>
              </w:rPr>
              <w:t>.</w:t>
            </w:r>
          </w:p>
        </w:tc>
      </w:tr>
    </w:tbl>
    <w:p w14:paraId="342D84A8" w14:textId="77777777" w:rsidR="007F7E9F" w:rsidRPr="007F7E9F" w:rsidRDefault="007F7E9F" w:rsidP="007F7E9F">
      <w:pPr>
        <w:pStyle w:val="Heading3"/>
        <w:spacing w:line="276" w:lineRule="auto"/>
        <w:rPr>
          <w:b/>
          <w:bCs/>
          <w:color w:val="0070C0"/>
          <w:sz w:val="24"/>
          <w:szCs w:val="24"/>
        </w:rPr>
      </w:pPr>
      <w:r w:rsidRPr="007F7E9F">
        <w:rPr>
          <w:b/>
          <w:bCs/>
          <w:color w:val="0070C0"/>
          <w:sz w:val="24"/>
          <w:szCs w:val="24"/>
        </w:rPr>
        <w:lastRenderedPageBreak/>
        <w:t xml:space="preserve">Access to adequate food </w:t>
      </w:r>
    </w:p>
    <w:p w14:paraId="5146F613" w14:textId="311D770D" w:rsidR="007F7E9F" w:rsidRPr="007F7E9F" w:rsidRDefault="007F7E9F" w:rsidP="007F7E9F">
      <w:pPr>
        <w:spacing w:line="276" w:lineRule="auto"/>
        <w:jc w:val="both"/>
        <w:rPr>
          <w:sz w:val="22"/>
          <w:szCs w:val="22"/>
        </w:rPr>
      </w:pPr>
      <w:r w:rsidRPr="007F7E9F">
        <w:rPr>
          <w:b/>
          <w:bCs/>
          <w:sz w:val="22"/>
          <w:szCs w:val="22"/>
        </w:rPr>
        <w:t>[29]</w:t>
      </w:r>
      <w:r w:rsidRPr="007F7E9F">
        <w:rPr>
          <w:sz w:val="22"/>
          <w:szCs w:val="22"/>
        </w:rPr>
        <w:t xml:space="preserve"> </w:t>
      </w:r>
      <w:r w:rsidR="00F35C09">
        <w:rPr>
          <w:sz w:val="22"/>
          <w:szCs w:val="22"/>
        </w:rPr>
        <w:tab/>
      </w:r>
      <w:r w:rsidRPr="007F7E9F">
        <w:rPr>
          <w:sz w:val="22"/>
          <w:szCs w:val="22"/>
        </w:rPr>
        <w:t>We note the Committee’s interest in measures taken to promote and protect the right to adequate food</w:t>
      </w:r>
      <w:r w:rsidRPr="007F7E9F">
        <w:rPr>
          <w:rStyle w:val="FootnoteReference"/>
          <w:sz w:val="22"/>
          <w:szCs w:val="22"/>
        </w:rPr>
        <w:footnoteReference w:id="37"/>
      </w:r>
      <w:r>
        <w:rPr>
          <w:sz w:val="22"/>
          <w:szCs w:val="22"/>
        </w:rPr>
        <w:t>.</w:t>
      </w:r>
      <w:r w:rsidRPr="007F7E9F">
        <w:rPr>
          <w:sz w:val="22"/>
          <w:szCs w:val="22"/>
        </w:rPr>
        <w:t xml:space="preserve"> Research shows that 20% of LGBT+ people under the age of 50 had experienced food insecurity in the last year</w:t>
      </w:r>
      <w:r w:rsidRPr="007F7E9F">
        <w:rPr>
          <w:rStyle w:val="FootnoteReference"/>
          <w:sz w:val="22"/>
          <w:szCs w:val="22"/>
        </w:rPr>
        <w:footnoteReference w:id="38"/>
      </w:r>
      <w:r w:rsidRPr="007F7E9F">
        <w:rPr>
          <w:sz w:val="22"/>
          <w:szCs w:val="22"/>
        </w:rPr>
        <w:t xml:space="preserve"> which compares to 12% of under 45s nationally in Scotland</w:t>
      </w:r>
      <w:r w:rsidRPr="007F7E9F">
        <w:rPr>
          <w:rStyle w:val="FootnoteReference"/>
          <w:sz w:val="22"/>
          <w:szCs w:val="22"/>
        </w:rPr>
        <w:footnoteReference w:id="39"/>
      </w:r>
      <w:r w:rsidRPr="007F7E9F">
        <w:rPr>
          <w:sz w:val="22"/>
          <w:szCs w:val="22"/>
        </w:rPr>
        <w:t>. Our evidence has told us that LGBTIA+ people directly tied their experiences of inadequate food to their other ICESCR rights not being realised, especially inadequate housing and inadequate income resulting in having to choose between paying rent and eating</w:t>
      </w:r>
      <w:r w:rsidRPr="007F7E9F">
        <w:rPr>
          <w:rStyle w:val="FootnoteReference"/>
          <w:sz w:val="22"/>
          <w:szCs w:val="22"/>
        </w:rPr>
        <w:footnoteReference w:id="40"/>
      </w:r>
      <w:r>
        <w:rPr>
          <w:sz w:val="22"/>
          <w:szCs w:val="22"/>
        </w:rPr>
        <w:t>.</w:t>
      </w:r>
      <w:r w:rsidRPr="007F7E9F">
        <w:rPr>
          <w:sz w:val="22"/>
          <w:szCs w:val="22"/>
        </w:rPr>
        <w:t xml:space="preserve"> LGBTQIA+ respondents </w:t>
      </w:r>
      <w:r>
        <w:rPr>
          <w:sz w:val="22"/>
          <w:szCs w:val="22"/>
        </w:rPr>
        <w:t>are</w:t>
      </w:r>
      <w:r w:rsidRPr="007F7E9F">
        <w:rPr>
          <w:sz w:val="22"/>
          <w:szCs w:val="22"/>
        </w:rPr>
        <w:t xml:space="preserve"> particularly affected due to fear of experiencing LG</w:t>
      </w:r>
      <w:r w:rsidR="0078087B">
        <w:rPr>
          <w:sz w:val="22"/>
          <w:szCs w:val="22"/>
        </w:rPr>
        <w:t>BT</w:t>
      </w:r>
      <w:r w:rsidRPr="007F7E9F">
        <w:rPr>
          <w:sz w:val="22"/>
          <w:szCs w:val="22"/>
        </w:rPr>
        <w:t>IA+-phobia at food banks and other public services. Levels of food insecurity are particularly high for trans and non-binary people. Evidence</w:t>
      </w:r>
      <w:r w:rsidRPr="007F7E9F">
        <w:rPr>
          <w:rStyle w:val="FootnoteReference"/>
          <w:sz w:val="22"/>
          <w:szCs w:val="22"/>
        </w:rPr>
        <w:footnoteReference w:id="41"/>
      </w:r>
      <w:r w:rsidRPr="007F7E9F">
        <w:rPr>
          <w:sz w:val="22"/>
          <w:szCs w:val="22"/>
        </w:rPr>
        <w:t xml:space="preserve"> has shown that 30% of trans men, 27% of non-binary people and 19% of trans women reported being worried about running out of food because of a lack of money or other resources in the previous 12 months. This is higher than the average for all LGBT respondents in the sample (18%). </w:t>
      </w:r>
    </w:p>
    <w:p w14:paraId="2A5B16F6" w14:textId="7A4B14AB" w:rsidR="007F7E9F" w:rsidRDefault="007F7E9F" w:rsidP="007F7E9F">
      <w:pPr>
        <w:spacing w:line="276" w:lineRule="auto"/>
        <w:jc w:val="both"/>
        <w:rPr>
          <w:sz w:val="22"/>
          <w:szCs w:val="22"/>
        </w:rPr>
      </w:pPr>
      <w:r w:rsidRPr="007F7E9F">
        <w:rPr>
          <w:b/>
          <w:bCs/>
          <w:sz w:val="22"/>
          <w:szCs w:val="22"/>
        </w:rPr>
        <w:t xml:space="preserve">[30] </w:t>
      </w:r>
      <w:r w:rsidR="00F35C09">
        <w:rPr>
          <w:b/>
          <w:bCs/>
          <w:sz w:val="22"/>
          <w:szCs w:val="22"/>
        </w:rPr>
        <w:tab/>
      </w:r>
      <w:r w:rsidRPr="007F7E9F">
        <w:rPr>
          <w:b/>
          <w:bCs/>
          <w:sz w:val="22"/>
          <w:szCs w:val="22"/>
        </w:rPr>
        <w:t>Recommendations:</w:t>
      </w:r>
      <w:r w:rsidRPr="007F7E9F">
        <w:rPr>
          <w:sz w:val="22"/>
          <w:szCs w:val="22"/>
        </w:rPr>
        <w:t xml:space="preserve"> </w:t>
      </w:r>
    </w:p>
    <w:tbl>
      <w:tblPr>
        <w:tblStyle w:val="TableGrid"/>
        <w:tblW w:w="0" w:type="auto"/>
        <w:tblLook w:val="04A0" w:firstRow="1" w:lastRow="0" w:firstColumn="1" w:lastColumn="0" w:noHBand="0" w:noVBand="1"/>
      </w:tblPr>
      <w:tblGrid>
        <w:gridCol w:w="988"/>
        <w:gridCol w:w="8028"/>
      </w:tblGrid>
      <w:tr w:rsidR="00771FF3" w14:paraId="4FCC0DE8" w14:textId="77777777" w:rsidTr="00B7053D">
        <w:tc>
          <w:tcPr>
            <w:tcW w:w="988" w:type="dxa"/>
          </w:tcPr>
          <w:p w14:paraId="37E9533E" w14:textId="5E112C0B" w:rsidR="00771FF3" w:rsidRPr="00226008" w:rsidRDefault="00771FF3" w:rsidP="00B7053D">
            <w:pPr>
              <w:spacing w:line="276" w:lineRule="auto"/>
              <w:jc w:val="both"/>
              <w:rPr>
                <w:b/>
                <w:bCs/>
                <w:sz w:val="22"/>
                <w:szCs w:val="22"/>
              </w:rPr>
            </w:pPr>
            <w:r w:rsidRPr="00226008">
              <w:rPr>
                <w:b/>
                <w:bCs/>
                <w:sz w:val="22"/>
                <w:szCs w:val="22"/>
              </w:rPr>
              <w:t xml:space="preserve">Rec </w:t>
            </w:r>
            <w:r w:rsidR="008B7549">
              <w:rPr>
                <w:b/>
                <w:bCs/>
                <w:sz w:val="22"/>
                <w:szCs w:val="22"/>
              </w:rPr>
              <w:t>30</w:t>
            </w:r>
          </w:p>
        </w:tc>
        <w:tc>
          <w:tcPr>
            <w:tcW w:w="8028" w:type="dxa"/>
          </w:tcPr>
          <w:p w14:paraId="0D2B4393" w14:textId="31D7F6E2" w:rsidR="00771FF3" w:rsidRDefault="00771FF3" w:rsidP="00B7053D">
            <w:pPr>
              <w:spacing w:line="276" w:lineRule="auto"/>
              <w:jc w:val="both"/>
              <w:rPr>
                <w:sz w:val="22"/>
                <w:szCs w:val="22"/>
              </w:rPr>
            </w:pPr>
            <w:r w:rsidRPr="007F7E9F">
              <w:rPr>
                <w:sz w:val="22"/>
                <w:szCs w:val="22"/>
              </w:rPr>
              <w:t>The Scottish Government should ensure that the right to adequate food is protected and given effect in Scots Law via the Human Rights (Scotland) Bill</w:t>
            </w:r>
            <w:r>
              <w:rPr>
                <w:sz w:val="22"/>
                <w:szCs w:val="22"/>
              </w:rPr>
              <w:t>.</w:t>
            </w:r>
          </w:p>
        </w:tc>
      </w:tr>
      <w:tr w:rsidR="00771FF3" w14:paraId="6CC7C23F" w14:textId="77777777" w:rsidTr="00B7053D">
        <w:tc>
          <w:tcPr>
            <w:tcW w:w="988" w:type="dxa"/>
          </w:tcPr>
          <w:p w14:paraId="623E5D43" w14:textId="743127AD" w:rsidR="00771FF3" w:rsidRPr="00226008" w:rsidRDefault="00771FF3" w:rsidP="00B7053D">
            <w:pPr>
              <w:spacing w:line="276" w:lineRule="auto"/>
              <w:jc w:val="both"/>
              <w:rPr>
                <w:b/>
                <w:bCs/>
                <w:sz w:val="22"/>
                <w:szCs w:val="22"/>
              </w:rPr>
            </w:pPr>
            <w:r w:rsidRPr="00226008">
              <w:rPr>
                <w:b/>
                <w:bCs/>
                <w:sz w:val="22"/>
                <w:szCs w:val="22"/>
              </w:rPr>
              <w:t xml:space="preserve">Rec </w:t>
            </w:r>
            <w:r w:rsidR="00502761">
              <w:rPr>
                <w:b/>
                <w:bCs/>
                <w:sz w:val="22"/>
                <w:szCs w:val="22"/>
              </w:rPr>
              <w:t>3</w:t>
            </w:r>
            <w:r w:rsidR="008B7549">
              <w:rPr>
                <w:b/>
                <w:bCs/>
                <w:sz w:val="22"/>
                <w:szCs w:val="22"/>
              </w:rPr>
              <w:t>1</w:t>
            </w:r>
          </w:p>
        </w:tc>
        <w:tc>
          <w:tcPr>
            <w:tcW w:w="8028" w:type="dxa"/>
          </w:tcPr>
          <w:p w14:paraId="0D8CC755" w14:textId="6F911AC4" w:rsidR="00771FF3" w:rsidRPr="009C5D15" w:rsidRDefault="00771FF3" w:rsidP="00B7053D">
            <w:pPr>
              <w:spacing w:line="276" w:lineRule="auto"/>
              <w:jc w:val="both"/>
              <w:rPr>
                <w:sz w:val="22"/>
                <w:szCs w:val="22"/>
              </w:rPr>
            </w:pPr>
            <w:r w:rsidRPr="007F7E9F">
              <w:rPr>
                <w:sz w:val="22"/>
                <w:szCs w:val="22"/>
              </w:rPr>
              <w:t>The Scottish Government should close the gap of food insecurity for</w:t>
            </w:r>
            <w:r>
              <w:rPr>
                <w:sz w:val="22"/>
                <w:szCs w:val="22"/>
              </w:rPr>
              <w:t xml:space="preserve"> </w:t>
            </w:r>
            <w:r w:rsidR="00F574F5">
              <w:rPr>
                <w:sz w:val="22"/>
                <w:szCs w:val="22"/>
              </w:rPr>
              <w:t xml:space="preserve">all </w:t>
            </w:r>
            <w:r>
              <w:rPr>
                <w:sz w:val="22"/>
                <w:szCs w:val="22"/>
              </w:rPr>
              <w:t>LGBTIA+ people.</w:t>
            </w:r>
          </w:p>
        </w:tc>
      </w:tr>
      <w:tr w:rsidR="00771FF3" w14:paraId="5FE68EC6" w14:textId="77777777" w:rsidTr="00B7053D">
        <w:tc>
          <w:tcPr>
            <w:tcW w:w="988" w:type="dxa"/>
          </w:tcPr>
          <w:p w14:paraId="4673D7D5" w14:textId="5D2DD79C" w:rsidR="00771FF3" w:rsidRPr="00226008" w:rsidRDefault="00771FF3" w:rsidP="00B7053D">
            <w:pPr>
              <w:spacing w:line="276" w:lineRule="auto"/>
              <w:jc w:val="both"/>
              <w:rPr>
                <w:b/>
                <w:bCs/>
                <w:sz w:val="22"/>
                <w:szCs w:val="22"/>
              </w:rPr>
            </w:pPr>
            <w:r>
              <w:rPr>
                <w:b/>
                <w:bCs/>
                <w:sz w:val="22"/>
                <w:szCs w:val="22"/>
              </w:rPr>
              <w:t xml:space="preserve">Rec </w:t>
            </w:r>
            <w:r w:rsidR="00D60B6C">
              <w:rPr>
                <w:b/>
                <w:bCs/>
                <w:sz w:val="22"/>
                <w:szCs w:val="22"/>
              </w:rPr>
              <w:t>3</w:t>
            </w:r>
            <w:r w:rsidR="008B7549">
              <w:rPr>
                <w:b/>
                <w:bCs/>
                <w:sz w:val="22"/>
                <w:szCs w:val="22"/>
              </w:rPr>
              <w:t>2</w:t>
            </w:r>
          </w:p>
        </w:tc>
        <w:tc>
          <w:tcPr>
            <w:tcW w:w="8028" w:type="dxa"/>
          </w:tcPr>
          <w:p w14:paraId="652BE469" w14:textId="21BDC869" w:rsidR="00771FF3" w:rsidRPr="00771FF3" w:rsidRDefault="00771FF3" w:rsidP="00771FF3">
            <w:pPr>
              <w:spacing w:line="276" w:lineRule="auto"/>
              <w:jc w:val="both"/>
              <w:rPr>
                <w:sz w:val="22"/>
                <w:szCs w:val="22"/>
              </w:rPr>
            </w:pPr>
            <w:r w:rsidRPr="00771FF3">
              <w:rPr>
                <w:sz w:val="22"/>
                <w:szCs w:val="22"/>
              </w:rPr>
              <w:t>The Scottish Government should ensure that LGBTIA+ people are included in the development of national food policy, practice and action plans.</w:t>
            </w:r>
          </w:p>
        </w:tc>
      </w:tr>
    </w:tbl>
    <w:p w14:paraId="4EC2579F" w14:textId="77777777" w:rsidR="007F7E9F" w:rsidRPr="00771FF3" w:rsidRDefault="007F7E9F" w:rsidP="00771FF3">
      <w:pPr>
        <w:spacing w:line="276" w:lineRule="auto"/>
        <w:jc w:val="both"/>
        <w:rPr>
          <w:sz w:val="22"/>
          <w:szCs w:val="22"/>
        </w:rPr>
      </w:pPr>
    </w:p>
    <w:p w14:paraId="10A83F9D" w14:textId="77777777" w:rsidR="007F7E9F" w:rsidRPr="007F7E9F" w:rsidRDefault="007F7E9F" w:rsidP="007F7E9F">
      <w:pPr>
        <w:pStyle w:val="Heading2"/>
        <w:numPr>
          <w:ilvl w:val="0"/>
          <w:numId w:val="8"/>
        </w:numPr>
        <w:spacing w:line="276" w:lineRule="auto"/>
        <w:rPr>
          <w:b/>
          <w:bCs/>
          <w:color w:val="7030A0"/>
          <w:sz w:val="28"/>
          <w:szCs w:val="28"/>
        </w:rPr>
      </w:pPr>
      <w:r w:rsidRPr="007F7E9F">
        <w:rPr>
          <w:b/>
          <w:bCs/>
          <w:color w:val="7030A0"/>
          <w:sz w:val="28"/>
          <w:szCs w:val="28"/>
        </w:rPr>
        <w:t xml:space="preserve">Article 12: right to health </w:t>
      </w:r>
    </w:p>
    <w:p w14:paraId="219D1D23" w14:textId="77777777" w:rsidR="007F7E9F" w:rsidRPr="007F7E9F" w:rsidRDefault="007F7E9F" w:rsidP="007F7E9F">
      <w:pPr>
        <w:pStyle w:val="Heading3"/>
        <w:spacing w:line="276" w:lineRule="auto"/>
        <w:rPr>
          <w:b/>
          <w:bCs/>
          <w:color w:val="0070C0"/>
          <w:sz w:val="24"/>
          <w:szCs w:val="24"/>
        </w:rPr>
      </w:pPr>
      <w:r w:rsidRPr="007F7E9F">
        <w:rPr>
          <w:b/>
          <w:bCs/>
          <w:color w:val="0070C0"/>
          <w:sz w:val="24"/>
          <w:szCs w:val="24"/>
        </w:rPr>
        <w:t>Impact of Covid-19</w:t>
      </w:r>
    </w:p>
    <w:p w14:paraId="23739CE9" w14:textId="77597D88" w:rsidR="007F7E9F" w:rsidRPr="007F7E9F" w:rsidRDefault="007F7E9F" w:rsidP="007F7E9F">
      <w:pPr>
        <w:spacing w:line="276" w:lineRule="auto"/>
        <w:jc w:val="both"/>
        <w:rPr>
          <w:sz w:val="22"/>
          <w:szCs w:val="22"/>
        </w:rPr>
      </w:pPr>
      <w:r w:rsidRPr="007F7E9F">
        <w:rPr>
          <w:b/>
          <w:bCs/>
          <w:sz w:val="22"/>
          <w:szCs w:val="22"/>
        </w:rPr>
        <w:t xml:space="preserve">[31] </w:t>
      </w:r>
      <w:r w:rsidR="005A0618">
        <w:rPr>
          <w:b/>
          <w:bCs/>
          <w:sz w:val="22"/>
          <w:szCs w:val="22"/>
        </w:rPr>
        <w:tab/>
      </w:r>
      <w:r w:rsidRPr="007F7E9F">
        <w:rPr>
          <w:sz w:val="22"/>
          <w:szCs w:val="22"/>
        </w:rPr>
        <w:t>We note the Committee’s interest in assessing the impact of Covid-19, including backlog of medical treatment and care</w:t>
      </w:r>
      <w:r w:rsidRPr="007F7E9F">
        <w:rPr>
          <w:rStyle w:val="FootnoteReference"/>
          <w:sz w:val="22"/>
          <w:szCs w:val="22"/>
        </w:rPr>
        <w:footnoteReference w:id="42"/>
      </w:r>
      <w:r>
        <w:rPr>
          <w:sz w:val="22"/>
          <w:szCs w:val="22"/>
        </w:rPr>
        <w:t>.</w:t>
      </w:r>
      <w:r w:rsidRPr="007F7E9F">
        <w:rPr>
          <w:sz w:val="22"/>
          <w:szCs w:val="22"/>
        </w:rPr>
        <w:t xml:space="preserve"> A report produced by the Equality Network to the Scottish Covid-19 Inquiry</w:t>
      </w:r>
      <w:r w:rsidRPr="007F7E9F">
        <w:rPr>
          <w:rStyle w:val="FootnoteReference"/>
          <w:sz w:val="22"/>
          <w:szCs w:val="22"/>
        </w:rPr>
        <w:footnoteReference w:id="43"/>
      </w:r>
      <w:r w:rsidRPr="007F7E9F">
        <w:rPr>
          <w:sz w:val="22"/>
          <w:szCs w:val="22"/>
        </w:rPr>
        <w:t xml:space="preserve"> highlighted that LGBTIA+ people faced: digital poverty during covid which impacted their access to healthcare; a lack of access to LGBTIA+ inclusive healthcare; job losses or reduced hours; lack of secure income; financial pressure; and social isolation which impacted mental health. The ‘Further Out’ Report by the Equality Network</w:t>
      </w:r>
      <w:r w:rsidRPr="007F7E9F">
        <w:rPr>
          <w:rStyle w:val="FootnoteReference"/>
          <w:sz w:val="22"/>
          <w:szCs w:val="22"/>
        </w:rPr>
        <w:footnoteReference w:id="44"/>
      </w:r>
      <w:r w:rsidRPr="007F7E9F">
        <w:rPr>
          <w:sz w:val="22"/>
          <w:szCs w:val="22"/>
        </w:rPr>
        <w:t xml:space="preserve"> highlighted similar negative effects of the pandemic for LGBTIA+ people living in rural areas. This was compounded by the closure of essential gender identity services and lack of inclusive pandemic messaging from the </w:t>
      </w:r>
      <w:r w:rsidRPr="007F7E9F">
        <w:rPr>
          <w:sz w:val="22"/>
          <w:szCs w:val="22"/>
        </w:rPr>
        <w:lastRenderedPageBreak/>
        <w:t xml:space="preserve">Scottish Government which assumed traditional family structures and networks as opposed to formed community and other kinship structures. </w:t>
      </w:r>
    </w:p>
    <w:p w14:paraId="25575E47" w14:textId="04DB133A" w:rsidR="007F7E9F" w:rsidRDefault="007F7E9F" w:rsidP="007F7E9F">
      <w:pPr>
        <w:spacing w:line="276" w:lineRule="auto"/>
        <w:jc w:val="both"/>
        <w:rPr>
          <w:b/>
          <w:bCs/>
          <w:sz w:val="22"/>
          <w:szCs w:val="22"/>
        </w:rPr>
      </w:pPr>
      <w:r w:rsidRPr="007F7E9F">
        <w:rPr>
          <w:b/>
          <w:bCs/>
          <w:sz w:val="22"/>
          <w:szCs w:val="22"/>
        </w:rPr>
        <w:t xml:space="preserve">[32] </w:t>
      </w:r>
      <w:r w:rsidR="004070D6">
        <w:rPr>
          <w:b/>
          <w:bCs/>
          <w:sz w:val="22"/>
          <w:szCs w:val="22"/>
        </w:rPr>
        <w:tab/>
      </w:r>
      <w:r w:rsidRPr="007F7E9F">
        <w:rPr>
          <w:b/>
          <w:bCs/>
          <w:sz w:val="22"/>
          <w:szCs w:val="22"/>
        </w:rPr>
        <w:t xml:space="preserve">Recommendations: </w:t>
      </w:r>
    </w:p>
    <w:tbl>
      <w:tblPr>
        <w:tblStyle w:val="TableGrid"/>
        <w:tblW w:w="0" w:type="auto"/>
        <w:tblLook w:val="04A0" w:firstRow="1" w:lastRow="0" w:firstColumn="1" w:lastColumn="0" w:noHBand="0" w:noVBand="1"/>
      </w:tblPr>
      <w:tblGrid>
        <w:gridCol w:w="988"/>
        <w:gridCol w:w="8028"/>
      </w:tblGrid>
      <w:tr w:rsidR="0061496A" w14:paraId="6D21AA68" w14:textId="77777777" w:rsidTr="00B7053D">
        <w:tc>
          <w:tcPr>
            <w:tcW w:w="988" w:type="dxa"/>
          </w:tcPr>
          <w:p w14:paraId="25892070" w14:textId="41B2735B" w:rsidR="0061496A" w:rsidRPr="00226008" w:rsidRDefault="0061496A" w:rsidP="00B7053D">
            <w:pPr>
              <w:spacing w:line="276" w:lineRule="auto"/>
              <w:jc w:val="both"/>
              <w:rPr>
                <w:b/>
                <w:bCs/>
                <w:sz w:val="22"/>
                <w:szCs w:val="22"/>
              </w:rPr>
            </w:pPr>
            <w:r w:rsidRPr="00226008">
              <w:rPr>
                <w:b/>
                <w:bCs/>
                <w:sz w:val="22"/>
                <w:szCs w:val="22"/>
              </w:rPr>
              <w:t xml:space="preserve">Rec </w:t>
            </w:r>
            <w:r w:rsidR="00DC7490">
              <w:rPr>
                <w:b/>
                <w:bCs/>
                <w:sz w:val="22"/>
                <w:szCs w:val="22"/>
              </w:rPr>
              <w:t>3</w:t>
            </w:r>
            <w:r w:rsidR="008B7549">
              <w:rPr>
                <w:b/>
                <w:bCs/>
                <w:sz w:val="22"/>
                <w:szCs w:val="22"/>
              </w:rPr>
              <w:t>3</w:t>
            </w:r>
          </w:p>
        </w:tc>
        <w:tc>
          <w:tcPr>
            <w:tcW w:w="8028" w:type="dxa"/>
          </w:tcPr>
          <w:p w14:paraId="18AE2DD9" w14:textId="0D9E6F80" w:rsidR="0061496A" w:rsidRDefault="0061496A" w:rsidP="00B7053D">
            <w:pPr>
              <w:spacing w:line="276" w:lineRule="auto"/>
              <w:jc w:val="both"/>
              <w:rPr>
                <w:sz w:val="22"/>
                <w:szCs w:val="22"/>
              </w:rPr>
            </w:pPr>
            <w:r w:rsidRPr="007F7E9F">
              <w:rPr>
                <w:sz w:val="22"/>
                <w:szCs w:val="22"/>
              </w:rPr>
              <w:t>The Scottish Government should ensure that NHS Boards and other healthcare providers in Scotland are LGBTIA+ inclusive and take into account the specific needs of LGBTIA+ people when providing care through effective and properly resourced awareness training</w:t>
            </w:r>
            <w:r>
              <w:rPr>
                <w:sz w:val="22"/>
                <w:szCs w:val="22"/>
              </w:rPr>
              <w:t>.</w:t>
            </w:r>
          </w:p>
        </w:tc>
      </w:tr>
      <w:tr w:rsidR="0061496A" w14:paraId="7A579DF0" w14:textId="77777777" w:rsidTr="00B7053D">
        <w:tc>
          <w:tcPr>
            <w:tcW w:w="988" w:type="dxa"/>
          </w:tcPr>
          <w:p w14:paraId="3F934A0C" w14:textId="04957095" w:rsidR="0061496A" w:rsidRPr="00226008" w:rsidRDefault="0061496A" w:rsidP="00B7053D">
            <w:pPr>
              <w:spacing w:line="276" w:lineRule="auto"/>
              <w:jc w:val="both"/>
              <w:rPr>
                <w:b/>
                <w:bCs/>
                <w:sz w:val="22"/>
                <w:szCs w:val="22"/>
              </w:rPr>
            </w:pPr>
            <w:r w:rsidRPr="00226008">
              <w:rPr>
                <w:b/>
                <w:bCs/>
                <w:sz w:val="22"/>
                <w:szCs w:val="22"/>
              </w:rPr>
              <w:t xml:space="preserve">Rec </w:t>
            </w:r>
            <w:r w:rsidR="00DC7490">
              <w:rPr>
                <w:b/>
                <w:bCs/>
                <w:sz w:val="22"/>
                <w:szCs w:val="22"/>
              </w:rPr>
              <w:t>3</w:t>
            </w:r>
            <w:r w:rsidR="008B7549">
              <w:rPr>
                <w:b/>
                <w:bCs/>
                <w:sz w:val="22"/>
                <w:szCs w:val="22"/>
              </w:rPr>
              <w:t>4</w:t>
            </w:r>
          </w:p>
        </w:tc>
        <w:tc>
          <w:tcPr>
            <w:tcW w:w="8028" w:type="dxa"/>
          </w:tcPr>
          <w:p w14:paraId="108C885A" w14:textId="63724CFF" w:rsidR="0061496A" w:rsidRPr="009C5D15" w:rsidRDefault="0061496A" w:rsidP="00B7053D">
            <w:pPr>
              <w:spacing w:line="276" w:lineRule="auto"/>
              <w:jc w:val="both"/>
              <w:rPr>
                <w:sz w:val="22"/>
                <w:szCs w:val="22"/>
              </w:rPr>
            </w:pPr>
            <w:r w:rsidRPr="007F7E9F">
              <w:rPr>
                <w:sz w:val="22"/>
                <w:szCs w:val="22"/>
              </w:rPr>
              <w:t>The Scottish Government should ensure explicit LGBTIA+ inclusion in policies, strategies and action plans that consider LGBTIA+ needs and seek to improve mental health and wellbeing in rural areas post-pandemic</w:t>
            </w:r>
            <w:r>
              <w:rPr>
                <w:sz w:val="22"/>
                <w:szCs w:val="22"/>
              </w:rPr>
              <w:t>.</w:t>
            </w:r>
          </w:p>
        </w:tc>
      </w:tr>
    </w:tbl>
    <w:p w14:paraId="2016B0F4" w14:textId="77777777" w:rsidR="00D0657F" w:rsidRDefault="00D0657F" w:rsidP="007F7E9F">
      <w:pPr>
        <w:pStyle w:val="Heading3"/>
        <w:spacing w:line="276" w:lineRule="auto"/>
        <w:rPr>
          <w:b/>
          <w:bCs/>
          <w:color w:val="0070C0"/>
          <w:sz w:val="24"/>
          <w:szCs w:val="24"/>
        </w:rPr>
      </w:pPr>
    </w:p>
    <w:p w14:paraId="6DCC9944" w14:textId="7473F8A4" w:rsidR="007F7E9F" w:rsidRPr="007F7E9F" w:rsidRDefault="007F7E9F" w:rsidP="007F7E9F">
      <w:pPr>
        <w:pStyle w:val="Heading3"/>
        <w:spacing w:line="276" w:lineRule="auto"/>
        <w:rPr>
          <w:b/>
          <w:bCs/>
          <w:color w:val="0070C0"/>
          <w:sz w:val="24"/>
          <w:szCs w:val="24"/>
        </w:rPr>
      </w:pPr>
      <w:r w:rsidRPr="007F7E9F">
        <w:rPr>
          <w:b/>
          <w:bCs/>
          <w:color w:val="0070C0"/>
          <w:sz w:val="24"/>
          <w:szCs w:val="24"/>
        </w:rPr>
        <w:t>Trans healthcare in Scotland</w:t>
      </w:r>
    </w:p>
    <w:p w14:paraId="5D20A589" w14:textId="4DD2C9D4" w:rsidR="007F7E9F" w:rsidRPr="007F7E9F" w:rsidRDefault="007F7E9F" w:rsidP="007F7E9F">
      <w:pPr>
        <w:spacing w:line="276" w:lineRule="auto"/>
        <w:jc w:val="both"/>
        <w:rPr>
          <w:sz w:val="22"/>
          <w:szCs w:val="22"/>
        </w:rPr>
      </w:pPr>
      <w:r w:rsidRPr="007F7E9F">
        <w:rPr>
          <w:b/>
          <w:bCs/>
          <w:sz w:val="22"/>
          <w:szCs w:val="22"/>
        </w:rPr>
        <w:t>[33]</w:t>
      </w:r>
      <w:r w:rsidRPr="007F7E9F">
        <w:rPr>
          <w:sz w:val="22"/>
          <w:szCs w:val="22"/>
        </w:rPr>
        <w:t xml:space="preserve"> </w:t>
      </w:r>
      <w:r w:rsidR="003E7C6A">
        <w:rPr>
          <w:sz w:val="22"/>
          <w:szCs w:val="22"/>
        </w:rPr>
        <w:tab/>
      </w:r>
      <w:r w:rsidRPr="007F7E9F">
        <w:rPr>
          <w:sz w:val="22"/>
          <w:szCs w:val="22"/>
        </w:rPr>
        <w:t>Trans people continue to face real barriers to the realisation of the Article 12 rights due to significant difficulties accessing gender affirming healthcare in Scotland. For adults, one of the most significant barriers is waiting times to access services – at the largest specialist service (for around half of the Scottish population) a person who is offered a first appointment today will have waited over five years, and those waits continue to grow</w:t>
      </w:r>
      <w:r w:rsidRPr="007F7E9F">
        <w:rPr>
          <w:rStyle w:val="FootnoteReference"/>
          <w:sz w:val="22"/>
          <w:szCs w:val="22"/>
        </w:rPr>
        <w:footnoteReference w:id="45"/>
      </w:r>
      <w:r>
        <w:rPr>
          <w:sz w:val="22"/>
          <w:szCs w:val="22"/>
        </w:rPr>
        <w:t>.</w:t>
      </w:r>
      <w:r w:rsidRPr="007F7E9F">
        <w:rPr>
          <w:sz w:val="22"/>
          <w:szCs w:val="22"/>
        </w:rPr>
        <w:t xml:space="preserve"> Another significant barrier to adults’ access to gender affirming care is the outdated approach to service design and delivery. Gender affirming care is delivered in a small number of specialist centres, which retain a strong emphasis on psychiatrists and psychologists delivering care. Treating almost all aspects of gender affirming care as specialised results in trans people being underserved by general health services, exceptionalises their healthcare, and exacerbates recruitment and staffing problems for services. These wider structural issues contribute to long waiting times.</w:t>
      </w:r>
    </w:p>
    <w:p w14:paraId="487B5EE6" w14:textId="2A95BBFC" w:rsidR="007F7E9F" w:rsidRPr="007F7E9F" w:rsidRDefault="007F7E9F" w:rsidP="007F7E9F">
      <w:pPr>
        <w:spacing w:line="276" w:lineRule="auto"/>
        <w:jc w:val="both"/>
        <w:rPr>
          <w:sz w:val="22"/>
          <w:szCs w:val="22"/>
        </w:rPr>
      </w:pPr>
      <w:r w:rsidRPr="007F7E9F">
        <w:rPr>
          <w:b/>
          <w:bCs/>
          <w:sz w:val="22"/>
          <w:szCs w:val="22"/>
        </w:rPr>
        <w:t>[34]</w:t>
      </w:r>
      <w:r w:rsidRPr="007F7E9F">
        <w:rPr>
          <w:sz w:val="22"/>
          <w:szCs w:val="22"/>
        </w:rPr>
        <w:t xml:space="preserve"> </w:t>
      </w:r>
      <w:r w:rsidR="003E7C6A">
        <w:rPr>
          <w:sz w:val="22"/>
          <w:szCs w:val="22"/>
        </w:rPr>
        <w:tab/>
      </w:r>
      <w:r w:rsidRPr="007F7E9F">
        <w:rPr>
          <w:sz w:val="22"/>
          <w:szCs w:val="22"/>
        </w:rPr>
        <w:t>For trans children and young people, there are even more significant difficulties in accessing gender affirming healthcare in Scotland. A child or young person who is offered a first appointment today for the single national specialist service in Scotland will have waited almost five years, and last year, the service only saw ten new patients</w:t>
      </w:r>
      <w:r w:rsidRPr="007F7E9F">
        <w:rPr>
          <w:rStyle w:val="FootnoteReference"/>
          <w:sz w:val="22"/>
          <w:szCs w:val="22"/>
        </w:rPr>
        <w:footnoteReference w:id="46"/>
      </w:r>
      <w:r>
        <w:rPr>
          <w:sz w:val="22"/>
          <w:szCs w:val="22"/>
        </w:rPr>
        <w:t>.</w:t>
      </w:r>
      <w:r w:rsidRPr="007F7E9F">
        <w:rPr>
          <w:sz w:val="22"/>
          <w:szCs w:val="22"/>
        </w:rPr>
        <w:t xml:space="preserve"> 997 children and young people are on the waiting list. NHS services have paused all new referrals for under 18s for endocrine treatments, which means children and young people will no longer be prescribed GNRH analogues </w:t>
      </w:r>
      <w:r w:rsidRPr="007F7E9F">
        <w:rPr>
          <w:rFonts w:cs="Arial"/>
          <w:color w:val="000000"/>
          <w:sz w:val="22"/>
          <w:szCs w:val="22"/>
          <w:shd w:val="clear" w:color="auto" w:fill="FFFFFF"/>
        </w:rPr>
        <w:t>(which pause pubertal changes), nor will 16- or 17-year-olds be prescribed testosterone or oestrogen (which have masculinising or feminising effects on secondary sex characteristics)</w:t>
      </w:r>
      <w:r w:rsidRPr="007F7E9F">
        <w:rPr>
          <w:rStyle w:val="FootnoteReference"/>
          <w:rFonts w:cs="Arial"/>
          <w:color w:val="000000"/>
          <w:sz w:val="22"/>
          <w:szCs w:val="22"/>
          <w:shd w:val="clear" w:color="auto" w:fill="FFFFFF"/>
        </w:rPr>
        <w:footnoteReference w:id="47"/>
      </w:r>
      <w:r>
        <w:rPr>
          <w:rFonts w:cs="Arial"/>
          <w:color w:val="000000"/>
          <w:sz w:val="22"/>
          <w:szCs w:val="22"/>
          <w:shd w:val="clear" w:color="auto" w:fill="FFFFFF"/>
        </w:rPr>
        <w:t>.</w:t>
      </w:r>
      <w:r w:rsidRPr="007F7E9F">
        <w:rPr>
          <w:sz w:val="22"/>
          <w:szCs w:val="22"/>
        </w:rPr>
        <w:t xml:space="preserve"> </w:t>
      </w:r>
    </w:p>
    <w:p w14:paraId="3FF46722" w14:textId="4D597096" w:rsidR="007F7E9F" w:rsidRPr="007F7E9F" w:rsidRDefault="007F7E9F" w:rsidP="007F7E9F">
      <w:pPr>
        <w:spacing w:line="276" w:lineRule="auto"/>
        <w:jc w:val="both"/>
        <w:rPr>
          <w:sz w:val="22"/>
          <w:szCs w:val="22"/>
        </w:rPr>
      </w:pPr>
      <w:r w:rsidRPr="007F7E9F">
        <w:rPr>
          <w:b/>
          <w:bCs/>
          <w:sz w:val="22"/>
          <w:szCs w:val="22"/>
        </w:rPr>
        <w:t>[35]</w:t>
      </w:r>
      <w:r w:rsidRPr="007F7E9F">
        <w:rPr>
          <w:sz w:val="22"/>
          <w:szCs w:val="22"/>
        </w:rPr>
        <w:t xml:space="preserve"> </w:t>
      </w:r>
      <w:r w:rsidR="003E7C6A">
        <w:rPr>
          <w:sz w:val="22"/>
          <w:szCs w:val="22"/>
        </w:rPr>
        <w:tab/>
      </w:r>
      <w:r w:rsidRPr="007F7E9F">
        <w:rPr>
          <w:sz w:val="22"/>
          <w:szCs w:val="22"/>
        </w:rPr>
        <w:t>The UK Secretary of State for Health and Social Care has criminalised the dispensing of new private prescriptions for puberty blockers for the purposes of gender incongruence and/or gender dysphoria for under 18s, and new private prescriptions for puberty blockers for any purpose for under 18s where the prescriber is not based in the UK</w:t>
      </w:r>
      <w:r w:rsidRPr="007F7E9F">
        <w:rPr>
          <w:rStyle w:val="FootnoteReference"/>
          <w:sz w:val="22"/>
          <w:szCs w:val="22"/>
        </w:rPr>
        <w:footnoteReference w:id="48"/>
      </w:r>
      <w:r>
        <w:rPr>
          <w:sz w:val="22"/>
          <w:szCs w:val="22"/>
        </w:rPr>
        <w:t>.</w:t>
      </w:r>
      <w:r w:rsidRPr="007F7E9F">
        <w:rPr>
          <w:sz w:val="22"/>
          <w:szCs w:val="22"/>
        </w:rPr>
        <w:t xml:space="preserve"> This applies in Scotland. Decisions to severely restrict access to endocrine treatments in Scotland and across the UK have </w:t>
      </w:r>
      <w:r w:rsidRPr="007F7E9F">
        <w:rPr>
          <w:sz w:val="22"/>
          <w:szCs w:val="22"/>
        </w:rPr>
        <w:lastRenderedPageBreak/>
        <w:t>been taken almost exclusively as a result of the findings and recommendations of the Cass Review</w:t>
      </w:r>
      <w:r w:rsidRPr="007F7E9F">
        <w:rPr>
          <w:rStyle w:val="FootnoteReference"/>
          <w:sz w:val="22"/>
          <w:szCs w:val="22"/>
        </w:rPr>
        <w:footnoteReference w:id="49"/>
      </w:r>
      <w:r>
        <w:rPr>
          <w:sz w:val="22"/>
          <w:szCs w:val="22"/>
        </w:rPr>
        <w:t>.</w:t>
      </w:r>
      <w:r w:rsidRPr="007F7E9F">
        <w:rPr>
          <w:sz w:val="22"/>
          <w:szCs w:val="22"/>
        </w:rPr>
        <w:t xml:space="preserve"> However, these decisions have placed Scotland and the rest of the UK out of step with other jurisdictions who have more recently reviewed either their approach to delivering gender identity services for children and young people, or the same evidence base for the safety and efficacy of endocrine treatments for children and young people, including in Queensland</w:t>
      </w:r>
      <w:r w:rsidRPr="007F7E9F">
        <w:rPr>
          <w:rStyle w:val="FootnoteReference"/>
          <w:sz w:val="22"/>
          <w:szCs w:val="22"/>
        </w:rPr>
        <w:footnoteReference w:id="50"/>
      </w:r>
      <w:r w:rsidRPr="007F7E9F">
        <w:rPr>
          <w:sz w:val="22"/>
          <w:szCs w:val="22"/>
        </w:rPr>
        <w:t>, New South Wales</w:t>
      </w:r>
      <w:r w:rsidRPr="007F7E9F">
        <w:rPr>
          <w:rStyle w:val="FootnoteReference"/>
          <w:sz w:val="22"/>
          <w:szCs w:val="22"/>
        </w:rPr>
        <w:footnoteReference w:id="51"/>
      </w:r>
      <w:r w:rsidRPr="007F7E9F">
        <w:rPr>
          <w:sz w:val="22"/>
          <w:szCs w:val="22"/>
        </w:rPr>
        <w:t>, and France</w:t>
      </w:r>
      <w:r w:rsidRPr="007F7E9F">
        <w:rPr>
          <w:rStyle w:val="FootnoteReference"/>
          <w:sz w:val="22"/>
          <w:szCs w:val="22"/>
        </w:rPr>
        <w:footnoteReference w:id="52"/>
      </w:r>
      <w:r w:rsidRPr="007F7E9F">
        <w:rPr>
          <w:sz w:val="22"/>
          <w:szCs w:val="22"/>
        </w:rPr>
        <w:t xml:space="preserve">. </w:t>
      </w:r>
    </w:p>
    <w:p w14:paraId="1E256B6E" w14:textId="1AA91FD4" w:rsidR="007F7E9F" w:rsidRPr="007F7E9F" w:rsidRDefault="007F7E9F" w:rsidP="007F7E9F">
      <w:pPr>
        <w:spacing w:line="276" w:lineRule="auto"/>
        <w:jc w:val="both"/>
        <w:rPr>
          <w:rFonts w:cs="Arial"/>
          <w:sz w:val="22"/>
          <w:szCs w:val="22"/>
        </w:rPr>
      </w:pPr>
      <w:r w:rsidRPr="007F7E9F">
        <w:rPr>
          <w:b/>
          <w:bCs/>
          <w:sz w:val="22"/>
          <w:szCs w:val="22"/>
        </w:rPr>
        <w:t>[36]</w:t>
      </w:r>
      <w:r w:rsidRPr="007F7E9F">
        <w:rPr>
          <w:sz w:val="22"/>
          <w:szCs w:val="22"/>
        </w:rPr>
        <w:t xml:space="preserve"> </w:t>
      </w:r>
      <w:r w:rsidR="003E7C6A">
        <w:rPr>
          <w:sz w:val="22"/>
          <w:szCs w:val="22"/>
        </w:rPr>
        <w:tab/>
      </w:r>
      <w:r w:rsidRPr="007F7E9F">
        <w:rPr>
          <w:sz w:val="22"/>
          <w:szCs w:val="22"/>
        </w:rPr>
        <w:t>Gender identity services for children and young people are currently being redesigned, following the Scottish Government’s acceptance of a report of the Chief Medical Officer of the implications of the Cass Review for Scotland</w:t>
      </w:r>
      <w:r w:rsidRPr="007F7E9F">
        <w:rPr>
          <w:rStyle w:val="FootnoteReference"/>
          <w:sz w:val="22"/>
          <w:szCs w:val="22"/>
        </w:rPr>
        <w:footnoteReference w:id="53"/>
      </w:r>
      <w:r>
        <w:rPr>
          <w:sz w:val="22"/>
          <w:szCs w:val="22"/>
        </w:rPr>
        <w:t>.</w:t>
      </w:r>
      <w:r w:rsidRPr="007F7E9F">
        <w:rPr>
          <w:sz w:val="22"/>
          <w:szCs w:val="22"/>
        </w:rPr>
        <w:t xml:space="preserve"> </w:t>
      </w:r>
      <w:r w:rsidR="00BC0282">
        <w:rPr>
          <w:rFonts w:cs="Arial"/>
          <w:sz w:val="22"/>
          <w:szCs w:val="22"/>
        </w:rPr>
        <w:t>Outside of specialist gender identity services</w:t>
      </w:r>
      <w:r w:rsidRPr="007F7E9F">
        <w:rPr>
          <w:rFonts w:cs="Arial"/>
          <w:sz w:val="22"/>
          <w:szCs w:val="22"/>
        </w:rPr>
        <w:t xml:space="preserve">, there are also far too few health care practitioners who feel confident supporting children and young people who are exploring or feeling distress about their gender identity with other aspects of their health. Young people who try to seek support for non-gender related distress, such as depression or anxiety, are often referred on to specialist gender identity services if they also disclose that they are feeling uncertain around their gender identity, or are trans. This results in young people being put on to an extremely long waiting list, with no mental health support in the meantime, when general children and young people’s mental health services and wider health services should provide support to all young people within their area of expertise.  </w:t>
      </w:r>
    </w:p>
    <w:p w14:paraId="1C9719E7" w14:textId="0A9A682C" w:rsidR="007F7E9F" w:rsidRDefault="007F7E9F" w:rsidP="007F7E9F">
      <w:pPr>
        <w:spacing w:after="0" w:line="276" w:lineRule="auto"/>
        <w:jc w:val="both"/>
        <w:rPr>
          <w:rFonts w:cs="Arial"/>
          <w:b/>
          <w:bCs/>
          <w:sz w:val="22"/>
          <w:szCs w:val="22"/>
        </w:rPr>
      </w:pPr>
      <w:r w:rsidRPr="007F7E9F">
        <w:rPr>
          <w:rFonts w:cs="Arial"/>
          <w:b/>
          <w:bCs/>
          <w:sz w:val="22"/>
          <w:szCs w:val="22"/>
        </w:rPr>
        <w:t xml:space="preserve">[37] </w:t>
      </w:r>
      <w:r w:rsidR="003E7C6A">
        <w:rPr>
          <w:rFonts w:cs="Arial"/>
          <w:b/>
          <w:bCs/>
          <w:sz w:val="22"/>
          <w:szCs w:val="22"/>
        </w:rPr>
        <w:tab/>
      </w:r>
      <w:r w:rsidRPr="007F7E9F">
        <w:rPr>
          <w:rFonts w:cs="Arial"/>
          <w:b/>
          <w:bCs/>
          <w:sz w:val="22"/>
          <w:szCs w:val="22"/>
        </w:rPr>
        <w:t>Recommendations:</w:t>
      </w:r>
    </w:p>
    <w:p w14:paraId="0F457060" w14:textId="77777777" w:rsidR="00DC7490" w:rsidRDefault="00DC7490" w:rsidP="007F7E9F">
      <w:pPr>
        <w:spacing w:after="0" w:line="276" w:lineRule="auto"/>
        <w:jc w:val="both"/>
        <w:rPr>
          <w:rFonts w:cs="Arial"/>
          <w:b/>
          <w:bCs/>
          <w:sz w:val="22"/>
          <w:szCs w:val="22"/>
        </w:rPr>
      </w:pPr>
    </w:p>
    <w:tbl>
      <w:tblPr>
        <w:tblStyle w:val="TableGrid"/>
        <w:tblW w:w="0" w:type="auto"/>
        <w:tblLook w:val="04A0" w:firstRow="1" w:lastRow="0" w:firstColumn="1" w:lastColumn="0" w:noHBand="0" w:noVBand="1"/>
      </w:tblPr>
      <w:tblGrid>
        <w:gridCol w:w="988"/>
        <w:gridCol w:w="8028"/>
      </w:tblGrid>
      <w:tr w:rsidR="00DC7490" w14:paraId="58C998FF" w14:textId="77777777" w:rsidTr="00B7053D">
        <w:tc>
          <w:tcPr>
            <w:tcW w:w="988" w:type="dxa"/>
          </w:tcPr>
          <w:p w14:paraId="1F1592BE" w14:textId="26E10780" w:rsidR="00DC7490" w:rsidRPr="00226008" w:rsidRDefault="00DC7490" w:rsidP="00B7053D">
            <w:pPr>
              <w:spacing w:line="276" w:lineRule="auto"/>
              <w:jc w:val="both"/>
              <w:rPr>
                <w:b/>
                <w:bCs/>
                <w:sz w:val="22"/>
                <w:szCs w:val="22"/>
              </w:rPr>
            </w:pPr>
            <w:r w:rsidRPr="00226008">
              <w:rPr>
                <w:b/>
                <w:bCs/>
                <w:sz w:val="22"/>
                <w:szCs w:val="22"/>
              </w:rPr>
              <w:t xml:space="preserve">Rec </w:t>
            </w:r>
            <w:r>
              <w:rPr>
                <w:b/>
                <w:bCs/>
                <w:sz w:val="22"/>
                <w:szCs w:val="22"/>
              </w:rPr>
              <w:t>3</w:t>
            </w:r>
            <w:r w:rsidR="008B7549">
              <w:rPr>
                <w:b/>
                <w:bCs/>
                <w:sz w:val="22"/>
                <w:szCs w:val="22"/>
              </w:rPr>
              <w:t>5</w:t>
            </w:r>
          </w:p>
        </w:tc>
        <w:tc>
          <w:tcPr>
            <w:tcW w:w="8028" w:type="dxa"/>
          </w:tcPr>
          <w:p w14:paraId="19AB3980" w14:textId="77777777" w:rsidR="00DC7490" w:rsidRDefault="00DC7490" w:rsidP="00B7053D">
            <w:pPr>
              <w:spacing w:line="276" w:lineRule="auto"/>
              <w:jc w:val="both"/>
              <w:rPr>
                <w:sz w:val="22"/>
                <w:szCs w:val="22"/>
              </w:rPr>
            </w:pPr>
            <w:r w:rsidRPr="007F7E9F">
              <w:rPr>
                <w:sz w:val="22"/>
                <w:szCs w:val="22"/>
              </w:rPr>
              <w:t>The Scottish Government should ensure that NHS Boards and other healthcare providers in Scotland are LGBTIA+ inclusive and take into account the specific needs of LGBTIA+ people when providing care through effective and properly resourced awareness training</w:t>
            </w:r>
            <w:r>
              <w:rPr>
                <w:sz w:val="22"/>
                <w:szCs w:val="22"/>
              </w:rPr>
              <w:t>.</w:t>
            </w:r>
          </w:p>
        </w:tc>
      </w:tr>
      <w:tr w:rsidR="00DC7490" w14:paraId="112AF3F6" w14:textId="77777777" w:rsidTr="00B7053D">
        <w:tc>
          <w:tcPr>
            <w:tcW w:w="988" w:type="dxa"/>
          </w:tcPr>
          <w:p w14:paraId="48FF6300" w14:textId="15736890" w:rsidR="00DC7490" w:rsidRPr="00226008" w:rsidRDefault="00DC7490" w:rsidP="00B7053D">
            <w:pPr>
              <w:spacing w:line="276" w:lineRule="auto"/>
              <w:jc w:val="both"/>
              <w:rPr>
                <w:b/>
                <w:bCs/>
                <w:sz w:val="22"/>
                <w:szCs w:val="22"/>
              </w:rPr>
            </w:pPr>
            <w:r w:rsidRPr="00226008">
              <w:rPr>
                <w:b/>
                <w:bCs/>
                <w:sz w:val="22"/>
                <w:szCs w:val="22"/>
              </w:rPr>
              <w:t xml:space="preserve">Rec </w:t>
            </w:r>
            <w:r>
              <w:rPr>
                <w:b/>
                <w:bCs/>
                <w:sz w:val="22"/>
                <w:szCs w:val="22"/>
              </w:rPr>
              <w:t>3</w:t>
            </w:r>
            <w:r w:rsidR="008B7549">
              <w:rPr>
                <w:b/>
                <w:bCs/>
                <w:sz w:val="22"/>
                <w:szCs w:val="22"/>
              </w:rPr>
              <w:t>6</w:t>
            </w:r>
          </w:p>
        </w:tc>
        <w:tc>
          <w:tcPr>
            <w:tcW w:w="8028" w:type="dxa"/>
          </w:tcPr>
          <w:p w14:paraId="0885D437" w14:textId="77777777" w:rsidR="00DC7490" w:rsidRPr="009C5D15" w:rsidRDefault="00DC7490" w:rsidP="00B7053D">
            <w:pPr>
              <w:spacing w:line="276" w:lineRule="auto"/>
              <w:jc w:val="both"/>
              <w:rPr>
                <w:sz w:val="22"/>
                <w:szCs w:val="22"/>
              </w:rPr>
            </w:pPr>
            <w:r w:rsidRPr="007F7E9F">
              <w:rPr>
                <w:sz w:val="22"/>
                <w:szCs w:val="22"/>
              </w:rPr>
              <w:t>The Scottish Government should ensure explicit LGBTIA+ inclusion in policies, strategies and action plans that consider LGBTIA+ needs and seek to improve mental health and wellbeing in rural areas post-pandemic</w:t>
            </w:r>
            <w:r>
              <w:rPr>
                <w:sz w:val="22"/>
                <w:szCs w:val="22"/>
              </w:rPr>
              <w:t>.</w:t>
            </w:r>
          </w:p>
        </w:tc>
      </w:tr>
      <w:tr w:rsidR="00DC7490" w14:paraId="643C913A" w14:textId="77777777" w:rsidTr="00B7053D">
        <w:tc>
          <w:tcPr>
            <w:tcW w:w="988" w:type="dxa"/>
          </w:tcPr>
          <w:p w14:paraId="78A54593" w14:textId="2F515848" w:rsidR="00DC7490" w:rsidRPr="00226008" w:rsidRDefault="00DC7490" w:rsidP="00B7053D">
            <w:pPr>
              <w:spacing w:line="276" w:lineRule="auto"/>
              <w:jc w:val="both"/>
              <w:rPr>
                <w:b/>
                <w:bCs/>
                <w:sz w:val="22"/>
                <w:szCs w:val="22"/>
              </w:rPr>
            </w:pPr>
            <w:r>
              <w:rPr>
                <w:b/>
                <w:bCs/>
                <w:sz w:val="22"/>
                <w:szCs w:val="22"/>
              </w:rPr>
              <w:t>Rec 3</w:t>
            </w:r>
            <w:r w:rsidR="008B7549">
              <w:rPr>
                <w:b/>
                <w:bCs/>
                <w:sz w:val="22"/>
                <w:szCs w:val="22"/>
              </w:rPr>
              <w:t>7</w:t>
            </w:r>
          </w:p>
        </w:tc>
        <w:tc>
          <w:tcPr>
            <w:tcW w:w="8028" w:type="dxa"/>
          </w:tcPr>
          <w:p w14:paraId="776B2377" w14:textId="07203633" w:rsidR="00DC7490" w:rsidRPr="007F7E9F" w:rsidRDefault="00DC7490" w:rsidP="00B7053D">
            <w:pPr>
              <w:spacing w:line="276" w:lineRule="auto"/>
              <w:jc w:val="both"/>
              <w:rPr>
                <w:sz w:val="22"/>
                <w:szCs w:val="22"/>
              </w:rPr>
            </w:pPr>
            <w:r w:rsidRPr="007F7E9F">
              <w:rPr>
                <w:rFonts w:cs="Arial"/>
                <w:sz w:val="22"/>
                <w:szCs w:val="22"/>
              </w:rPr>
              <w:t>The Scottish Government should continue to provide funding for existing gender identity services to tackle long waiting times and funding for increasing the provision of gender identity services in additional locations across Scotland, including for children and young people</w:t>
            </w:r>
            <w:r>
              <w:rPr>
                <w:rFonts w:cs="Arial"/>
                <w:sz w:val="22"/>
                <w:szCs w:val="22"/>
              </w:rPr>
              <w:t>.</w:t>
            </w:r>
          </w:p>
        </w:tc>
      </w:tr>
      <w:tr w:rsidR="00DC7490" w14:paraId="66A18571" w14:textId="77777777" w:rsidTr="00B7053D">
        <w:tc>
          <w:tcPr>
            <w:tcW w:w="988" w:type="dxa"/>
          </w:tcPr>
          <w:p w14:paraId="4DEA28A3" w14:textId="50B1E43E" w:rsidR="00DC7490" w:rsidRPr="00226008" w:rsidRDefault="00DC7490" w:rsidP="00B7053D">
            <w:pPr>
              <w:spacing w:line="276" w:lineRule="auto"/>
              <w:jc w:val="both"/>
              <w:rPr>
                <w:b/>
                <w:bCs/>
                <w:sz w:val="22"/>
                <w:szCs w:val="22"/>
              </w:rPr>
            </w:pPr>
            <w:r>
              <w:rPr>
                <w:b/>
                <w:bCs/>
                <w:sz w:val="22"/>
                <w:szCs w:val="22"/>
              </w:rPr>
              <w:t>Rec 3</w:t>
            </w:r>
            <w:r w:rsidR="008B7549">
              <w:rPr>
                <w:b/>
                <w:bCs/>
                <w:sz w:val="22"/>
                <w:szCs w:val="22"/>
              </w:rPr>
              <w:t>8</w:t>
            </w:r>
          </w:p>
        </w:tc>
        <w:tc>
          <w:tcPr>
            <w:tcW w:w="8028" w:type="dxa"/>
          </w:tcPr>
          <w:p w14:paraId="2B25DD24" w14:textId="4DDFDA87" w:rsidR="00DC7490" w:rsidRPr="007F7E9F" w:rsidRDefault="00DC7490" w:rsidP="00B7053D">
            <w:pPr>
              <w:spacing w:line="276" w:lineRule="auto"/>
              <w:jc w:val="both"/>
              <w:rPr>
                <w:sz w:val="22"/>
                <w:szCs w:val="22"/>
              </w:rPr>
            </w:pPr>
            <w:r w:rsidRPr="007F7E9F">
              <w:rPr>
                <w:rFonts w:cs="Arial"/>
                <w:sz w:val="22"/>
                <w:szCs w:val="22"/>
              </w:rPr>
              <w:t>The Scottish Government should provide both financial and policy support to NHS health boards across Scotland to modernise and improve the delivery of gender identity services</w:t>
            </w:r>
            <w:r>
              <w:rPr>
                <w:rFonts w:cs="Arial"/>
                <w:sz w:val="22"/>
                <w:szCs w:val="22"/>
              </w:rPr>
              <w:t>.</w:t>
            </w:r>
          </w:p>
        </w:tc>
      </w:tr>
      <w:tr w:rsidR="00DC7490" w14:paraId="7570AD4B" w14:textId="77777777" w:rsidTr="00B7053D">
        <w:tc>
          <w:tcPr>
            <w:tcW w:w="988" w:type="dxa"/>
          </w:tcPr>
          <w:p w14:paraId="1E7BE88B" w14:textId="06F12B4F" w:rsidR="00DC7490" w:rsidRPr="00226008" w:rsidRDefault="00DC7490" w:rsidP="00B7053D">
            <w:pPr>
              <w:spacing w:line="276" w:lineRule="auto"/>
              <w:jc w:val="both"/>
              <w:rPr>
                <w:b/>
                <w:bCs/>
                <w:sz w:val="22"/>
                <w:szCs w:val="22"/>
              </w:rPr>
            </w:pPr>
            <w:r>
              <w:rPr>
                <w:b/>
                <w:bCs/>
                <w:sz w:val="22"/>
                <w:szCs w:val="22"/>
              </w:rPr>
              <w:t>Rec 3</w:t>
            </w:r>
            <w:r w:rsidR="008B7549">
              <w:rPr>
                <w:b/>
                <w:bCs/>
                <w:sz w:val="22"/>
                <w:szCs w:val="22"/>
              </w:rPr>
              <w:t>9</w:t>
            </w:r>
          </w:p>
        </w:tc>
        <w:tc>
          <w:tcPr>
            <w:tcW w:w="8028" w:type="dxa"/>
          </w:tcPr>
          <w:p w14:paraId="1294E70E" w14:textId="5EFB3D8E" w:rsidR="00DC7490" w:rsidRPr="007F7E9F" w:rsidRDefault="00DC7490" w:rsidP="00B7053D">
            <w:pPr>
              <w:spacing w:line="276" w:lineRule="auto"/>
              <w:jc w:val="both"/>
              <w:rPr>
                <w:sz w:val="22"/>
                <w:szCs w:val="22"/>
              </w:rPr>
            </w:pPr>
            <w:r w:rsidRPr="007F7E9F">
              <w:rPr>
                <w:rFonts w:cs="Arial"/>
                <w:sz w:val="22"/>
                <w:szCs w:val="22"/>
              </w:rPr>
              <w:t>The Scottish Government should consider all relevant evidence from around the world in its redesign of children and young people’s gender identity services</w:t>
            </w:r>
            <w:r>
              <w:rPr>
                <w:rFonts w:cs="Arial"/>
                <w:sz w:val="22"/>
                <w:szCs w:val="22"/>
              </w:rPr>
              <w:t>.</w:t>
            </w:r>
          </w:p>
        </w:tc>
      </w:tr>
      <w:tr w:rsidR="00DC7490" w14:paraId="74CCBB64" w14:textId="77777777" w:rsidTr="00B7053D">
        <w:tc>
          <w:tcPr>
            <w:tcW w:w="988" w:type="dxa"/>
          </w:tcPr>
          <w:p w14:paraId="7DEBB4AE" w14:textId="5F4ADDC1" w:rsidR="00DC7490" w:rsidRDefault="00DC7490" w:rsidP="00B7053D">
            <w:pPr>
              <w:spacing w:line="276" w:lineRule="auto"/>
              <w:jc w:val="both"/>
              <w:rPr>
                <w:b/>
                <w:bCs/>
                <w:sz w:val="22"/>
                <w:szCs w:val="22"/>
              </w:rPr>
            </w:pPr>
            <w:r>
              <w:rPr>
                <w:b/>
                <w:bCs/>
                <w:sz w:val="22"/>
                <w:szCs w:val="22"/>
              </w:rPr>
              <w:lastRenderedPageBreak/>
              <w:t xml:space="preserve">Rec </w:t>
            </w:r>
            <w:r w:rsidR="008B7549">
              <w:rPr>
                <w:b/>
                <w:bCs/>
                <w:sz w:val="22"/>
                <w:szCs w:val="22"/>
              </w:rPr>
              <w:t>40</w:t>
            </w:r>
          </w:p>
        </w:tc>
        <w:tc>
          <w:tcPr>
            <w:tcW w:w="8028" w:type="dxa"/>
          </w:tcPr>
          <w:p w14:paraId="567F82E0" w14:textId="25C3DF89" w:rsidR="00DC7490" w:rsidRPr="007F7E9F" w:rsidRDefault="00DC7490" w:rsidP="00B7053D">
            <w:pPr>
              <w:spacing w:line="276" w:lineRule="auto"/>
              <w:jc w:val="both"/>
              <w:rPr>
                <w:rFonts w:cs="Arial"/>
                <w:sz w:val="22"/>
                <w:szCs w:val="22"/>
              </w:rPr>
            </w:pPr>
            <w:r w:rsidRPr="007F7E9F">
              <w:rPr>
                <w:rFonts w:cs="Arial"/>
                <w:sz w:val="22"/>
                <w:szCs w:val="22"/>
              </w:rPr>
              <w:t>The Scottish Government should ensure that children and young people are involved in decisions about the redesign of children and young people’s gender identity services</w:t>
            </w:r>
            <w:r>
              <w:rPr>
                <w:rFonts w:cs="Arial"/>
                <w:sz w:val="22"/>
                <w:szCs w:val="22"/>
              </w:rPr>
              <w:t>.</w:t>
            </w:r>
          </w:p>
        </w:tc>
      </w:tr>
      <w:tr w:rsidR="00DC7490" w14:paraId="35A69366" w14:textId="77777777" w:rsidTr="00B7053D">
        <w:tc>
          <w:tcPr>
            <w:tcW w:w="988" w:type="dxa"/>
          </w:tcPr>
          <w:p w14:paraId="0FD6E983" w14:textId="27DFA90E" w:rsidR="00DC7490" w:rsidRDefault="00DC7490" w:rsidP="00B7053D">
            <w:pPr>
              <w:spacing w:line="276" w:lineRule="auto"/>
              <w:jc w:val="both"/>
              <w:rPr>
                <w:b/>
                <w:bCs/>
                <w:sz w:val="22"/>
                <w:szCs w:val="22"/>
              </w:rPr>
            </w:pPr>
            <w:r>
              <w:rPr>
                <w:b/>
                <w:bCs/>
                <w:sz w:val="22"/>
                <w:szCs w:val="22"/>
              </w:rPr>
              <w:t xml:space="preserve">Rec </w:t>
            </w:r>
            <w:r w:rsidR="00502761">
              <w:rPr>
                <w:b/>
                <w:bCs/>
                <w:sz w:val="22"/>
                <w:szCs w:val="22"/>
              </w:rPr>
              <w:t>4</w:t>
            </w:r>
            <w:r w:rsidR="008B7549">
              <w:rPr>
                <w:b/>
                <w:bCs/>
                <w:sz w:val="22"/>
                <w:szCs w:val="22"/>
              </w:rPr>
              <w:t>1</w:t>
            </w:r>
          </w:p>
        </w:tc>
        <w:tc>
          <w:tcPr>
            <w:tcW w:w="8028" w:type="dxa"/>
          </w:tcPr>
          <w:p w14:paraId="42C90A8D" w14:textId="12BB23DF" w:rsidR="00DC7490" w:rsidRPr="007F7E9F" w:rsidRDefault="00DC7490" w:rsidP="00B7053D">
            <w:pPr>
              <w:spacing w:line="276" w:lineRule="auto"/>
              <w:jc w:val="both"/>
              <w:rPr>
                <w:rFonts w:cs="Arial"/>
                <w:sz w:val="22"/>
                <w:szCs w:val="22"/>
              </w:rPr>
            </w:pPr>
            <w:r w:rsidRPr="007F7E9F">
              <w:rPr>
                <w:rFonts w:cs="Arial"/>
                <w:sz w:val="22"/>
                <w:szCs w:val="22"/>
              </w:rPr>
              <w:t xml:space="preserve">Both the UK Government and Scottish Government should collaborate on urgently resourcing </w:t>
            </w:r>
            <w:r w:rsidRPr="007F7E9F">
              <w:rPr>
                <w:rFonts w:cs="Arial"/>
                <w:bCs/>
                <w:color w:val="000000"/>
                <w:sz w:val="22"/>
                <w:szCs w:val="22"/>
                <w:shd w:val="clear" w:color="auto" w:fill="FFFFFF"/>
              </w:rPr>
              <w:t>high quality, ethical research that means that no child or young person is denied the care they need</w:t>
            </w:r>
            <w:r>
              <w:rPr>
                <w:rFonts w:cs="Arial"/>
                <w:bCs/>
                <w:color w:val="000000"/>
                <w:sz w:val="22"/>
                <w:szCs w:val="22"/>
                <w:shd w:val="clear" w:color="auto" w:fill="FFFFFF"/>
              </w:rPr>
              <w:t>.</w:t>
            </w:r>
          </w:p>
        </w:tc>
      </w:tr>
      <w:tr w:rsidR="00DC7490" w14:paraId="394B65E3" w14:textId="77777777" w:rsidTr="00B7053D">
        <w:tc>
          <w:tcPr>
            <w:tcW w:w="988" w:type="dxa"/>
          </w:tcPr>
          <w:p w14:paraId="17DE62C2" w14:textId="28F71E4B" w:rsidR="00DC7490" w:rsidRDefault="00DC7490" w:rsidP="00B7053D">
            <w:pPr>
              <w:spacing w:line="276" w:lineRule="auto"/>
              <w:jc w:val="both"/>
              <w:rPr>
                <w:b/>
                <w:bCs/>
                <w:sz w:val="22"/>
                <w:szCs w:val="22"/>
              </w:rPr>
            </w:pPr>
            <w:r>
              <w:rPr>
                <w:b/>
                <w:bCs/>
                <w:sz w:val="22"/>
                <w:szCs w:val="22"/>
              </w:rPr>
              <w:t xml:space="preserve">Rec </w:t>
            </w:r>
            <w:r w:rsidR="00D60B6C">
              <w:rPr>
                <w:b/>
                <w:bCs/>
                <w:sz w:val="22"/>
                <w:szCs w:val="22"/>
              </w:rPr>
              <w:t>4</w:t>
            </w:r>
            <w:r w:rsidR="008B7549">
              <w:rPr>
                <w:b/>
                <w:bCs/>
                <w:sz w:val="22"/>
                <w:szCs w:val="22"/>
              </w:rPr>
              <w:t>2</w:t>
            </w:r>
          </w:p>
        </w:tc>
        <w:tc>
          <w:tcPr>
            <w:tcW w:w="8028" w:type="dxa"/>
          </w:tcPr>
          <w:p w14:paraId="497F7229" w14:textId="061AB52D" w:rsidR="00DC7490" w:rsidRPr="007F7E9F" w:rsidRDefault="00DC7490" w:rsidP="00B7053D">
            <w:pPr>
              <w:spacing w:line="276" w:lineRule="auto"/>
              <w:jc w:val="both"/>
              <w:rPr>
                <w:rFonts w:cs="Arial"/>
                <w:sz w:val="22"/>
                <w:szCs w:val="22"/>
              </w:rPr>
            </w:pPr>
            <w:r w:rsidRPr="007F7E9F">
              <w:rPr>
                <w:rFonts w:cs="Arial"/>
                <w:sz w:val="22"/>
                <w:szCs w:val="22"/>
              </w:rPr>
              <w:t xml:space="preserve">The UK Government should review its decision to </w:t>
            </w:r>
            <w:r w:rsidRPr="007F7E9F">
              <w:rPr>
                <w:sz w:val="22"/>
                <w:szCs w:val="22"/>
              </w:rPr>
              <w:t>criminalise the dispensing of new private prescriptions for puberty blockers in some circumstances, ensuring that it considers all relevant evidence from around the world</w:t>
            </w:r>
            <w:r>
              <w:rPr>
                <w:sz w:val="22"/>
                <w:szCs w:val="22"/>
              </w:rPr>
              <w:t>.</w:t>
            </w:r>
          </w:p>
        </w:tc>
      </w:tr>
      <w:tr w:rsidR="00DC7490" w14:paraId="75B5CC58" w14:textId="77777777" w:rsidTr="00B7053D">
        <w:tc>
          <w:tcPr>
            <w:tcW w:w="988" w:type="dxa"/>
          </w:tcPr>
          <w:p w14:paraId="04193F92" w14:textId="0241D3DC" w:rsidR="00DC7490" w:rsidRDefault="00DC7490" w:rsidP="00B7053D">
            <w:pPr>
              <w:spacing w:line="276" w:lineRule="auto"/>
              <w:jc w:val="both"/>
              <w:rPr>
                <w:b/>
                <w:bCs/>
                <w:sz w:val="22"/>
                <w:szCs w:val="22"/>
              </w:rPr>
            </w:pPr>
            <w:r>
              <w:rPr>
                <w:b/>
                <w:bCs/>
                <w:sz w:val="22"/>
                <w:szCs w:val="22"/>
              </w:rPr>
              <w:t>Rec 4</w:t>
            </w:r>
            <w:r w:rsidR="008B7549">
              <w:rPr>
                <w:b/>
                <w:bCs/>
                <w:sz w:val="22"/>
                <w:szCs w:val="22"/>
              </w:rPr>
              <w:t>3</w:t>
            </w:r>
          </w:p>
        </w:tc>
        <w:tc>
          <w:tcPr>
            <w:tcW w:w="8028" w:type="dxa"/>
          </w:tcPr>
          <w:p w14:paraId="57A87C4F" w14:textId="3464E287" w:rsidR="00DC7490" w:rsidRPr="007F7E9F" w:rsidRDefault="00DC7490" w:rsidP="00B7053D">
            <w:pPr>
              <w:spacing w:line="276" w:lineRule="auto"/>
              <w:jc w:val="both"/>
              <w:rPr>
                <w:rFonts w:cs="Arial"/>
                <w:sz w:val="22"/>
                <w:szCs w:val="22"/>
              </w:rPr>
            </w:pPr>
            <w:r w:rsidRPr="007F7E9F">
              <w:rPr>
                <w:rFonts w:cs="Arial"/>
                <w:sz w:val="22"/>
                <w:szCs w:val="22"/>
              </w:rPr>
              <w:t>The Scottish Government should provide funding for adequate training for Children and Adolescent Mental Health Services staff in supporting trans children and young people</w:t>
            </w:r>
            <w:r>
              <w:rPr>
                <w:rFonts w:cs="Arial"/>
                <w:sz w:val="22"/>
                <w:szCs w:val="22"/>
              </w:rPr>
              <w:t>.</w:t>
            </w:r>
          </w:p>
        </w:tc>
      </w:tr>
    </w:tbl>
    <w:p w14:paraId="127B35BF" w14:textId="437A5D70" w:rsidR="007F7E9F" w:rsidRPr="00DC7490" w:rsidRDefault="007F7E9F" w:rsidP="00DC7490">
      <w:pPr>
        <w:spacing w:after="0" w:line="276" w:lineRule="auto"/>
        <w:jc w:val="both"/>
        <w:rPr>
          <w:rFonts w:cs="Arial"/>
          <w:sz w:val="22"/>
          <w:szCs w:val="22"/>
        </w:rPr>
      </w:pPr>
    </w:p>
    <w:p w14:paraId="1BC9966A" w14:textId="77777777" w:rsidR="007F7E9F" w:rsidRPr="007F7E9F" w:rsidRDefault="007F7E9F" w:rsidP="007F7E9F">
      <w:pPr>
        <w:pStyle w:val="Heading3"/>
        <w:spacing w:line="276" w:lineRule="auto"/>
        <w:rPr>
          <w:b/>
          <w:bCs/>
          <w:color w:val="0070C0"/>
          <w:sz w:val="24"/>
          <w:szCs w:val="24"/>
        </w:rPr>
      </w:pPr>
      <w:r w:rsidRPr="007F7E9F">
        <w:rPr>
          <w:b/>
          <w:bCs/>
          <w:color w:val="0070C0"/>
          <w:sz w:val="24"/>
          <w:szCs w:val="24"/>
        </w:rPr>
        <w:t xml:space="preserve">Conversion practices </w:t>
      </w:r>
    </w:p>
    <w:p w14:paraId="1F9C1290" w14:textId="15294212" w:rsidR="007F7E9F" w:rsidRPr="007F7E9F" w:rsidRDefault="007F7E9F" w:rsidP="007F7E9F">
      <w:pPr>
        <w:spacing w:line="276" w:lineRule="auto"/>
        <w:jc w:val="both"/>
        <w:rPr>
          <w:sz w:val="22"/>
          <w:szCs w:val="22"/>
        </w:rPr>
      </w:pPr>
      <w:r w:rsidRPr="007F7E9F">
        <w:rPr>
          <w:b/>
          <w:bCs/>
          <w:sz w:val="22"/>
          <w:szCs w:val="22"/>
        </w:rPr>
        <w:t>[38]</w:t>
      </w:r>
      <w:r w:rsidRPr="007F7E9F">
        <w:rPr>
          <w:sz w:val="22"/>
          <w:szCs w:val="22"/>
        </w:rPr>
        <w:t xml:space="preserve"> </w:t>
      </w:r>
      <w:r w:rsidR="003E7C6A">
        <w:rPr>
          <w:sz w:val="22"/>
          <w:szCs w:val="22"/>
        </w:rPr>
        <w:tab/>
      </w:r>
      <w:r w:rsidRPr="007F7E9F">
        <w:rPr>
          <w:sz w:val="22"/>
          <w:szCs w:val="22"/>
        </w:rPr>
        <w:t>Conversion practices are acts which intentionally try to change and/or suppress a person’s sexual orientation or gender identity, or expression of sexual orientation or gender identity. In 2018, the UK Government’s National LGBT Survey</w:t>
      </w:r>
      <w:r w:rsidRPr="007F7E9F">
        <w:rPr>
          <w:rStyle w:val="FootnoteReference"/>
          <w:sz w:val="22"/>
          <w:szCs w:val="22"/>
        </w:rPr>
        <w:footnoteReference w:id="54"/>
      </w:r>
      <w:r w:rsidRPr="007F7E9F">
        <w:rPr>
          <w:sz w:val="22"/>
          <w:szCs w:val="22"/>
        </w:rPr>
        <w:t xml:space="preserve"> found that 7% of LGBT respondents in Scotland had either undergone or been offered conversion practices, rising to 10% for trans people. While many acts are already criminalised, such as physical and sexual violence, many are not. In 2022, the Scottish Government’s Expert Advisory Group on Conversion Practices gave recommendations to be included in legislation to effective end conversion practices in Scotland</w:t>
      </w:r>
      <w:r w:rsidRPr="007F7E9F">
        <w:rPr>
          <w:rStyle w:val="FootnoteReference"/>
          <w:sz w:val="22"/>
          <w:szCs w:val="22"/>
        </w:rPr>
        <w:footnoteReference w:id="55"/>
      </w:r>
      <w:r>
        <w:rPr>
          <w:sz w:val="22"/>
          <w:szCs w:val="22"/>
        </w:rPr>
        <w:t>.</w:t>
      </w:r>
      <w:r w:rsidRPr="007F7E9F">
        <w:rPr>
          <w:sz w:val="22"/>
          <w:szCs w:val="22"/>
        </w:rPr>
        <w:t xml:space="preserve"> This included legislation that: was trans and asexual inclusive; had no defence of consent; focused on harm reduction over criminalisation; covered a variety of settings; included civil protection orders; and a commitment to introducing non-legislative measures. In 2024, the Scottish Government consulted on a Bill to end conversion practices but has since stated in the Programme for Government 2024 that it would </w:t>
      </w:r>
      <w:r>
        <w:rPr>
          <w:sz w:val="22"/>
          <w:szCs w:val="22"/>
        </w:rPr>
        <w:t>‘</w:t>
      </w:r>
      <w:r w:rsidRPr="007F7E9F">
        <w:rPr>
          <w:sz w:val="22"/>
          <w:szCs w:val="22"/>
        </w:rPr>
        <w:t>continue to develop proposals</w:t>
      </w:r>
      <w:r>
        <w:rPr>
          <w:sz w:val="22"/>
          <w:szCs w:val="22"/>
        </w:rPr>
        <w:t>’</w:t>
      </w:r>
      <w:r w:rsidRPr="007F7E9F">
        <w:rPr>
          <w:sz w:val="22"/>
          <w:szCs w:val="22"/>
        </w:rPr>
        <w:t xml:space="preserve"> for legislation</w:t>
      </w:r>
      <w:r w:rsidRPr="007F7E9F">
        <w:rPr>
          <w:rStyle w:val="FootnoteReference"/>
          <w:sz w:val="22"/>
          <w:szCs w:val="22"/>
        </w:rPr>
        <w:footnoteReference w:id="56"/>
      </w:r>
      <w:r>
        <w:rPr>
          <w:sz w:val="22"/>
          <w:szCs w:val="22"/>
        </w:rPr>
        <w:t>,</w:t>
      </w:r>
      <w:r w:rsidRPr="007F7E9F">
        <w:rPr>
          <w:sz w:val="22"/>
          <w:szCs w:val="22"/>
        </w:rPr>
        <w:t xml:space="preserve"> despite this being at a very advanced stage. </w:t>
      </w:r>
    </w:p>
    <w:p w14:paraId="4180DEAD" w14:textId="6AD856CC" w:rsidR="007F7E9F" w:rsidRDefault="007F7E9F" w:rsidP="007F7E9F">
      <w:pPr>
        <w:spacing w:line="276" w:lineRule="auto"/>
        <w:jc w:val="both"/>
        <w:rPr>
          <w:b/>
          <w:bCs/>
          <w:sz w:val="22"/>
          <w:szCs w:val="22"/>
        </w:rPr>
      </w:pPr>
      <w:r w:rsidRPr="007F7E9F">
        <w:rPr>
          <w:b/>
          <w:bCs/>
          <w:sz w:val="22"/>
          <w:szCs w:val="22"/>
        </w:rPr>
        <w:t xml:space="preserve">[39] </w:t>
      </w:r>
      <w:r w:rsidR="003E7C6A">
        <w:rPr>
          <w:b/>
          <w:bCs/>
          <w:sz w:val="22"/>
          <w:szCs w:val="22"/>
        </w:rPr>
        <w:tab/>
      </w:r>
      <w:r w:rsidRPr="007F7E9F">
        <w:rPr>
          <w:b/>
          <w:bCs/>
          <w:sz w:val="22"/>
          <w:szCs w:val="22"/>
        </w:rPr>
        <w:t xml:space="preserve">Recommendations: </w:t>
      </w:r>
    </w:p>
    <w:tbl>
      <w:tblPr>
        <w:tblStyle w:val="TableGrid"/>
        <w:tblW w:w="0" w:type="auto"/>
        <w:tblLook w:val="04A0" w:firstRow="1" w:lastRow="0" w:firstColumn="1" w:lastColumn="0" w:noHBand="0" w:noVBand="1"/>
      </w:tblPr>
      <w:tblGrid>
        <w:gridCol w:w="988"/>
        <w:gridCol w:w="8028"/>
      </w:tblGrid>
      <w:tr w:rsidR="00DC7490" w14:paraId="46FFD4A4" w14:textId="77777777" w:rsidTr="00B7053D">
        <w:tc>
          <w:tcPr>
            <w:tcW w:w="988" w:type="dxa"/>
          </w:tcPr>
          <w:p w14:paraId="123D8385" w14:textId="0D3A685A" w:rsidR="00DC7490" w:rsidRPr="00226008" w:rsidRDefault="00DC7490" w:rsidP="00B7053D">
            <w:pPr>
              <w:spacing w:line="276" w:lineRule="auto"/>
              <w:jc w:val="both"/>
              <w:rPr>
                <w:b/>
                <w:bCs/>
                <w:sz w:val="22"/>
                <w:szCs w:val="22"/>
              </w:rPr>
            </w:pPr>
            <w:r w:rsidRPr="00226008">
              <w:rPr>
                <w:b/>
                <w:bCs/>
                <w:sz w:val="22"/>
                <w:szCs w:val="22"/>
              </w:rPr>
              <w:t xml:space="preserve">Rec </w:t>
            </w:r>
            <w:r>
              <w:rPr>
                <w:b/>
                <w:bCs/>
                <w:sz w:val="22"/>
                <w:szCs w:val="22"/>
              </w:rPr>
              <w:t>4</w:t>
            </w:r>
            <w:r w:rsidR="008B7549">
              <w:rPr>
                <w:b/>
                <w:bCs/>
                <w:sz w:val="22"/>
                <w:szCs w:val="22"/>
              </w:rPr>
              <w:t>4</w:t>
            </w:r>
          </w:p>
        </w:tc>
        <w:tc>
          <w:tcPr>
            <w:tcW w:w="8028" w:type="dxa"/>
          </w:tcPr>
          <w:p w14:paraId="5CEB393E" w14:textId="429AAA06" w:rsidR="00DC7490" w:rsidRDefault="00DC7490" w:rsidP="00B7053D">
            <w:pPr>
              <w:spacing w:line="276" w:lineRule="auto"/>
              <w:jc w:val="both"/>
              <w:rPr>
                <w:sz w:val="22"/>
                <w:szCs w:val="22"/>
              </w:rPr>
            </w:pPr>
            <w:r w:rsidRPr="007F7E9F">
              <w:rPr>
                <w:sz w:val="22"/>
                <w:szCs w:val="22"/>
              </w:rPr>
              <w:t>The Scottish Government should introduce the Ending Conversion Practices Bill to the Scottish Parliament as soon as practically possible following the recommendations of the Expert Advisory Group</w:t>
            </w:r>
            <w:r>
              <w:rPr>
                <w:sz w:val="22"/>
                <w:szCs w:val="22"/>
              </w:rPr>
              <w:t>.</w:t>
            </w:r>
          </w:p>
        </w:tc>
      </w:tr>
      <w:tr w:rsidR="00DC7490" w14:paraId="4EDC65A4" w14:textId="77777777" w:rsidTr="00B7053D">
        <w:tc>
          <w:tcPr>
            <w:tcW w:w="988" w:type="dxa"/>
          </w:tcPr>
          <w:p w14:paraId="5F8D7E9A" w14:textId="73C73A36" w:rsidR="00DC7490" w:rsidRPr="00226008" w:rsidRDefault="00DC7490" w:rsidP="00B7053D">
            <w:pPr>
              <w:spacing w:line="276" w:lineRule="auto"/>
              <w:jc w:val="both"/>
              <w:rPr>
                <w:b/>
                <w:bCs/>
                <w:sz w:val="22"/>
                <w:szCs w:val="22"/>
              </w:rPr>
            </w:pPr>
            <w:r w:rsidRPr="00226008">
              <w:rPr>
                <w:b/>
                <w:bCs/>
                <w:sz w:val="22"/>
                <w:szCs w:val="22"/>
              </w:rPr>
              <w:t xml:space="preserve">Rec </w:t>
            </w:r>
            <w:r>
              <w:rPr>
                <w:b/>
                <w:bCs/>
                <w:sz w:val="22"/>
                <w:szCs w:val="22"/>
              </w:rPr>
              <w:t>4</w:t>
            </w:r>
            <w:r w:rsidR="008B7549">
              <w:rPr>
                <w:b/>
                <w:bCs/>
                <w:sz w:val="22"/>
                <w:szCs w:val="22"/>
              </w:rPr>
              <w:t>5</w:t>
            </w:r>
          </w:p>
        </w:tc>
        <w:tc>
          <w:tcPr>
            <w:tcW w:w="8028" w:type="dxa"/>
          </w:tcPr>
          <w:p w14:paraId="523ED0C8" w14:textId="63B4D9BD" w:rsidR="00DC7490" w:rsidRPr="009C5D15" w:rsidRDefault="00DC7490" w:rsidP="00B7053D">
            <w:pPr>
              <w:spacing w:line="276" w:lineRule="auto"/>
              <w:jc w:val="both"/>
              <w:rPr>
                <w:sz w:val="22"/>
                <w:szCs w:val="22"/>
              </w:rPr>
            </w:pPr>
            <w:r w:rsidRPr="007F7E9F">
              <w:rPr>
                <w:sz w:val="22"/>
                <w:szCs w:val="22"/>
              </w:rPr>
              <w:t>The Scottish Government should adequately resource and launch a package of non-legislative measures including support for survivors and public education</w:t>
            </w:r>
            <w:r>
              <w:rPr>
                <w:sz w:val="22"/>
                <w:szCs w:val="22"/>
              </w:rPr>
              <w:t>.</w:t>
            </w:r>
          </w:p>
        </w:tc>
      </w:tr>
      <w:tr w:rsidR="00DC7490" w14:paraId="37CF89B1" w14:textId="77777777" w:rsidTr="00B7053D">
        <w:tc>
          <w:tcPr>
            <w:tcW w:w="988" w:type="dxa"/>
          </w:tcPr>
          <w:p w14:paraId="3D33081F" w14:textId="52090274" w:rsidR="00DC7490" w:rsidRPr="00226008" w:rsidRDefault="00DC7490" w:rsidP="00B7053D">
            <w:pPr>
              <w:spacing w:line="276" w:lineRule="auto"/>
              <w:jc w:val="both"/>
              <w:rPr>
                <w:b/>
                <w:bCs/>
                <w:sz w:val="22"/>
                <w:szCs w:val="22"/>
              </w:rPr>
            </w:pPr>
            <w:r>
              <w:rPr>
                <w:b/>
                <w:bCs/>
                <w:sz w:val="22"/>
                <w:szCs w:val="22"/>
              </w:rPr>
              <w:t>Rec 4</w:t>
            </w:r>
            <w:r w:rsidR="008B7549">
              <w:rPr>
                <w:b/>
                <w:bCs/>
                <w:sz w:val="22"/>
                <w:szCs w:val="22"/>
              </w:rPr>
              <w:t>6</w:t>
            </w:r>
          </w:p>
        </w:tc>
        <w:tc>
          <w:tcPr>
            <w:tcW w:w="8028" w:type="dxa"/>
          </w:tcPr>
          <w:p w14:paraId="69CB502C" w14:textId="74F3DDCA" w:rsidR="00DC7490" w:rsidRPr="007F7E9F" w:rsidRDefault="00DC7490" w:rsidP="00B7053D">
            <w:pPr>
              <w:spacing w:line="276" w:lineRule="auto"/>
              <w:jc w:val="both"/>
              <w:rPr>
                <w:sz w:val="22"/>
                <w:szCs w:val="22"/>
              </w:rPr>
            </w:pPr>
            <w:r w:rsidRPr="007F7E9F">
              <w:rPr>
                <w:sz w:val="22"/>
                <w:szCs w:val="22"/>
              </w:rPr>
              <w:t>The UK Government should introduce legislation to ban conversion practices, covering reserved matters where applicable</w:t>
            </w:r>
            <w:r>
              <w:rPr>
                <w:sz w:val="22"/>
                <w:szCs w:val="22"/>
              </w:rPr>
              <w:t>.</w:t>
            </w:r>
          </w:p>
        </w:tc>
      </w:tr>
    </w:tbl>
    <w:p w14:paraId="71388E14" w14:textId="77777777" w:rsidR="007F7E9F" w:rsidRPr="00DC7490" w:rsidRDefault="007F7E9F" w:rsidP="00DC7490">
      <w:pPr>
        <w:spacing w:line="276" w:lineRule="auto"/>
        <w:jc w:val="both"/>
        <w:rPr>
          <w:b/>
          <w:bCs/>
          <w:sz w:val="22"/>
          <w:szCs w:val="22"/>
        </w:rPr>
      </w:pPr>
    </w:p>
    <w:p w14:paraId="21AF78EC" w14:textId="77777777" w:rsidR="007F7E9F" w:rsidRPr="007F7E9F" w:rsidRDefault="007F7E9F" w:rsidP="007F7E9F">
      <w:pPr>
        <w:pStyle w:val="Heading2"/>
        <w:numPr>
          <w:ilvl w:val="0"/>
          <w:numId w:val="8"/>
        </w:numPr>
        <w:spacing w:line="276" w:lineRule="auto"/>
        <w:rPr>
          <w:b/>
          <w:bCs/>
          <w:color w:val="7030A0"/>
          <w:sz w:val="28"/>
          <w:szCs w:val="28"/>
        </w:rPr>
      </w:pPr>
      <w:r w:rsidRPr="007F7E9F">
        <w:rPr>
          <w:b/>
          <w:bCs/>
          <w:color w:val="7030A0"/>
          <w:sz w:val="28"/>
          <w:szCs w:val="28"/>
        </w:rPr>
        <w:lastRenderedPageBreak/>
        <w:t xml:space="preserve">Article 13: right to education </w:t>
      </w:r>
    </w:p>
    <w:p w14:paraId="63BEBFB0" w14:textId="77777777" w:rsidR="007F7E9F" w:rsidRPr="007F7E9F" w:rsidRDefault="007F7E9F" w:rsidP="007F7E9F">
      <w:pPr>
        <w:pStyle w:val="Heading3"/>
        <w:spacing w:line="276" w:lineRule="auto"/>
        <w:rPr>
          <w:b/>
          <w:bCs/>
          <w:color w:val="0070C0"/>
          <w:sz w:val="24"/>
          <w:szCs w:val="24"/>
        </w:rPr>
      </w:pPr>
      <w:r w:rsidRPr="007F7E9F">
        <w:rPr>
          <w:b/>
          <w:bCs/>
          <w:color w:val="0070C0"/>
          <w:sz w:val="24"/>
          <w:szCs w:val="24"/>
        </w:rPr>
        <w:t xml:space="preserve">LGBTIA+ inclusive education </w:t>
      </w:r>
    </w:p>
    <w:p w14:paraId="27CCA77E" w14:textId="4FF0A55E" w:rsidR="007F7E9F" w:rsidRPr="007F7E9F" w:rsidRDefault="007F7E9F" w:rsidP="007F7E9F">
      <w:pPr>
        <w:spacing w:line="276" w:lineRule="auto"/>
        <w:jc w:val="both"/>
        <w:rPr>
          <w:sz w:val="22"/>
          <w:szCs w:val="22"/>
        </w:rPr>
      </w:pPr>
      <w:r w:rsidRPr="007F7E9F">
        <w:rPr>
          <w:b/>
          <w:bCs/>
          <w:sz w:val="22"/>
          <w:szCs w:val="22"/>
        </w:rPr>
        <w:t>[40]</w:t>
      </w:r>
      <w:r w:rsidRPr="007F7E9F">
        <w:rPr>
          <w:sz w:val="22"/>
          <w:szCs w:val="22"/>
        </w:rPr>
        <w:t xml:space="preserve"> </w:t>
      </w:r>
      <w:r w:rsidR="00007E03">
        <w:rPr>
          <w:sz w:val="22"/>
          <w:szCs w:val="22"/>
        </w:rPr>
        <w:tab/>
      </w:r>
      <w:r w:rsidRPr="007F7E9F">
        <w:rPr>
          <w:sz w:val="22"/>
          <w:szCs w:val="22"/>
        </w:rPr>
        <w:t>In November 2018, the Scottish Government accepted 33 policy recommendations</w:t>
      </w:r>
      <w:r w:rsidRPr="007F7E9F">
        <w:rPr>
          <w:rStyle w:val="FootnoteReference"/>
          <w:sz w:val="22"/>
          <w:szCs w:val="22"/>
        </w:rPr>
        <w:footnoteReference w:id="57"/>
      </w:r>
      <w:r w:rsidRPr="007F7E9F">
        <w:rPr>
          <w:sz w:val="22"/>
          <w:szCs w:val="22"/>
        </w:rPr>
        <w:t xml:space="preserve"> made by education stakeholders and, at that point, became the first country in the world to adopt this LGBT inclusive educational approach</w:t>
      </w:r>
      <w:r w:rsidRPr="007F7E9F">
        <w:rPr>
          <w:rStyle w:val="FootnoteReference"/>
          <w:sz w:val="22"/>
          <w:szCs w:val="22"/>
        </w:rPr>
        <w:footnoteReference w:id="58"/>
      </w:r>
      <w:r w:rsidRPr="007F7E9F">
        <w:rPr>
          <w:sz w:val="22"/>
          <w:szCs w:val="22"/>
        </w:rPr>
        <w:t xml:space="preserve">. In September 2021, the Scottish Government began implementing LGBT Inclusive Education with a developed national approach for schools. All resources are provided to schools free of charge, making Scotland the only nation in the UK to provide both a national policy approach to LGBT Inclusive Education across the school curriculum and to provide free national professional learning for teachers and school staff to support its delivery. </w:t>
      </w:r>
    </w:p>
    <w:p w14:paraId="71425D78" w14:textId="5E04F1D8" w:rsidR="007F7E9F" w:rsidRPr="007F7E9F" w:rsidRDefault="007F7E9F" w:rsidP="007F7E9F">
      <w:pPr>
        <w:spacing w:line="276" w:lineRule="auto"/>
        <w:jc w:val="both"/>
        <w:rPr>
          <w:sz w:val="22"/>
          <w:szCs w:val="22"/>
        </w:rPr>
      </w:pPr>
      <w:r w:rsidRPr="007F7E9F">
        <w:rPr>
          <w:b/>
          <w:bCs/>
          <w:sz w:val="22"/>
          <w:szCs w:val="22"/>
        </w:rPr>
        <w:t>[41]</w:t>
      </w:r>
      <w:r w:rsidRPr="007F7E9F">
        <w:rPr>
          <w:sz w:val="22"/>
          <w:szCs w:val="22"/>
        </w:rPr>
        <w:t xml:space="preserve"> </w:t>
      </w:r>
      <w:r w:rsidR="00007E03">
        <w:rPr>
          <w:sz w:val="22"/>
          <w:szCs w:val="22"/>
        </w:rPr>
        <w:tab/>
      </w:r>
      <w:r w:rsidRPr="007F7E9F">
        <w:rPr>
          <w:sz w:val="22"/>
          <w:szCs w:val="22"/>
        </w:rPr>
        <w:t>The implementation of LGBTIA+ inclusive education is still ongoing in Scotland. To date, 28 out of 33 policy recommendations have been wholly or partly delivered and there is national guidance stipulating that all schools and education settings in Scotland should be incorporating LGBT themes into their curriculum. The Scottish Government has provided funding to the charity Time for Inclusive Education (TIE) to develop and deliver continuous support for schools to implement this work effectively, including teaching resources, guidance, professional learning and education workshops for school pupils. TIE and the Scottish Government published an initial revaluation report in 2023</w:t>
      </w:r>
      <w:r w:rsidRPr="007F7E9F">
        <w:rPr>
          <w:rStyle w:val="FootnoteReference"/>
          <w:sz w:val="22"/>
          <w:szCs w:val="22"/>
        </w:rPr>
        <w:footnoteReference w:id="59"/>
      </w:r>
      <w:r w:rsidRPr="007F7E9F">
        <w:rPr>
          <w:sz w:val="22"/>
          <w:szCs w:val="22"/>
        </w:rPr>
        <w:t xml:space="preserve"> which indicated positive outcomes for teachers, student teachers, and pupils. The report highlights that the national approach to LGBT Inclusive Education supports schools to effectively increase learner understanding of prejudice, has an early impact on prejudice-based behaviours and improves student and teacher efficacy in addressing LGBT-related topics in a school setting. </w:t>
      </w:r>
    </w:p>
    <w:p w14:paraId="1A08B67D" w14:textId="7EBEDE7B" w:rsidR="007F7E9F" w:rsidRDefault="007F7E9F" w:rsidP="007F7E9F">
      <w:pPr>
        <w:spacing w:line="276" w:lineRule="auto"/>
        <w:jc w:val="both"/>
        <w:rPr>
          <w:sz w:val="22"/>
          <w:szCs w:val="22"/>
        </w:rPr>
      </w:pPr>
      <w:r w:rsidRPr="007F7E9F">
        <w:rPr>
          <w:b/>
          <w:bCs/>
          <w:sz w:val="22"/>
          <w:szCs w:val="22"/>
        </w:rPr>
        <w:t>[42]</w:t>
      </w:r>
      <w:r w:rsidRPr="007F7E9F">
        <w:rPr>
          <w:sz w:val="22"/>
          <w:szCs w:val="22"/>
        </w:rPr>
        <w:t xml:space="preserve"> </w:t>
      </w:r>
      <w:r w:rsidR="00007E03">
        <w:rPr>
          <w:sz w:val="22"/>
          <w:szCs w:val="22"/>
        </w:rPr>
        <w:tab/>
      </w:r>
      <w:r w:rsidRPr="007F7E9F">
        <w:rPr>
          <w:b/>
          <w:bCs/>
          <w:sz w:val="22"/>
          <w:szCs w:val="22"/>
        </w:rPr>
        <w:t>Recommendations</w:t>
      </w:r>
      <w:r w:rsidRPr="007F7E9F">
        <w:rPr>
          <w:sz w:val="22"/>
          <w:szCs w:val="22"/>
        </w:rPr>
        <w:t xml:space="preserve">: </w:t>
      </w:r>
    </w:p>
    <w:tbl>
      <w:tblPr>
        <w:tblStyle w:val="TableGrid"/>
        <w:tblW w:w="0" w:type="auto"/>
        <w:tblLook w:val="04A0" w:firstRow="1" w:lastRow="0" w:firstColumn="1" w:lastColumn="0" w:noHBand="0" w:noVBand="1"/>
      </w:tblPr>
      <w:tblGrid>
        <w:gridCol w:w="988"/>
        <w:gridCol w:w="8028"/>
      </w:tblGrid>
      <w:tr w:rsidR="00DC7490" w14:paraId="4F2718D5" w14:textId="77777777" w:rsidTr="00B7053D">
        <w:tc>
          <w:tcPr>
            <w:tcW w:w="988" w:type="dxa"/>
          </w:tcPr>
          <w:p w14:paraId="0EA4EEB9" w14:textId="7F798FFB" w:rsidR="00DC7490" w:rsidRPr="00226008" w:rsidRDefault="00DC7490" w:rsidP="00B7053D">
            <w:pPr>
              <w:spacing w:line="276" w:lineRule="auto"/>
              <w:jc w:val="both"/>
              <w:rPr>
                <w:b/>
                <w:bCs/>
                <w:sz w:val="22"/>
                <w:szCs w:val="22"/>
              </w:rPr>
            </w:pPr>
            <w:r w:rsidRPr="00226008">
              <w:rPr>
                <w:b/>
                <w:bCs/>
                <w:sz w:val="22"/>
                <w:szCs w:val="22"/>
              </w:rPr>
              <w:t xml:space="preserve">Rec </w:t>
            </w:r>
            <w:r>
              <w:rPr>
                <w:b/>
                <w:bCs/>
                <w:sz w:val="22"/>
                <w:szCs w:val="22"/>
              </w:rPr>
              <w:t>4</w:t>
            </w:r>
            <w:r w:rsidR="008B7549">
              <w:rPr>
                <w:b/>
                <w:bCs/>
                <w:sz w:val="22"/>
                <w:szCs w:val="22"/>
              </w:rPr>
              <w:t>7</w:t>
            </w:r>
          </w:p>
        </w:tc>
        <w:tc>
          <w:tcPr>
            <w:tcW w:w="8028" w:type="dxa"/>
          </w:tcPr>
          <w:p w14:paraId="6866E9E0" w14:textId="1675E37E" w:rsidR="00DC7490" w:rsidRPr="00DC7490" w:rsidRDefault="00DC7490" w:rsidP="00DC7490">
            <w:pPr>
              <w:spacing w:line="276" w:lineRule="auto"/>
              <w:jc w:val="both"/>
              <w:rPr>
                <w:sz w:val="22"/>
                <w:szCs w:val="22"/>
              </w:rPr>
            </w:pPr>
            <w:r w:rsidRPr="00DC7490">
              <w:rPr>
                <w:sz w:val="22"/>
                <w:szCs w:val="22"/>
              </w:rPr>
              <w:t>The Scottish Government should ensure that the national approach to LGBT Inclusive Education continues to be implemented, evaluated and resourced.</w:t>
            </w:r>
          </w:p>
        </w:tc>
      </w:tr>
      <w:tr w:rsidR="00DC7490" w14:paraId="53388BFE" w14:textId="77777777" w:rsidTr="00B7053D">
        <w:tc>
          <w:tcPr>
            <w:tcW w:w="988" w:type="dxa"/>
          </w:tcPr>
          <w:p w14:paraId="29F070C8" w14:textId="065DD14E" w:rsidR="00DC7490" w:rsidRPr="00226008" w:rsidRDefault="00DC7490" w:rsidP="00B7053D">
            <w:pPr>
              <w:spacing w:line="276" w:lineRule="auto"/>
              <w:jc w:val="both"/>
              <w:rPr>
                <w:b/>
                <w:bCs/>
                <w:sz w:val="22"/>
                <w:szCs w:val="22"/>
              </w:rPr>
            </w:pPr>
            <w:r w:rsidRPr="00226008">
              <w:rPr>
                <w:b/>
                <w:bCs/>
                <w:sz w:val="22"/>
                <w:szCs w:val="22"/>
              </w:rPr>
              <w:t xml:space="preserve">Rec </w:t>
            </w:r>
            <w:r>
              <w:rPr>
                <w:b/>
                <w:bCs/>
                <w:sz w:val="22"/>
                <w:szCs w:val="22"/>
              </w:rPr>
              <w:t>4</w:t>
            </w:r>
            <w:r w:rsidR="008B7549">
              <w:rPr>
                <w:b/>
                <w:bCs/>
                <w:sz w:val="22"/>
                <w:szCs w:val="22"/>
              </w:rPr>
              <w:t>8</w:t>
            </w:r>
          </w:p>
        </w:tc>
        <w:tc>
          <w:tcPr>
            <w:tcW w:w="8028" w:type="dxa"/>
          </w:tcPr>
          <w:p w14:paraId="0823747D" w14:textId="117B7849" w:rsidR="00DC7490" w:rsidRPr="009C5D15" w:rsidRDefault="00DC7490" w:rsidP="00B7053D">
            <w:pPr>
              <w:spacing w:line="276" w:lineRule="auto"/>
              <w:jc w:val="both"/>
              <w:rPr>
                <w:sz w:val="22"/>
                <w:szCs w:val="22"/>
              </w:rPr>
            </w:pPr>
            <w:r w:rsidRPr="007F7E9F">
              <w:rPr>
                <w:sz w:val="22"/>
                <w:szCs w:val="22"/>
              </w:rPr>
              <w:t>The Scottish Government should prioritise the delivery of the outstanding recommendations from the LGBTI Inclusive Education: Report to the Scottish Ministers (2018) during the Curriculum Improvement Cycle and any reform following the review of qualifications and assessment</w:t>
            </w:r>
            <w:r>
              <w:rPr>
                <w:sz w:val="22"/>
                <w:szCs w:val="22"/>
              </w:rPr>
              <w:t>.</w:t>
            </w:r>
          </w:p>
        </w:tc>
      </w:tr>
      <w:tr w:rsidR="00DC7490" w14:paraId="2EB59F61" w14:textId="77777777" w:rsidTr="00B7053D">
        <w:tc>
          <w:tcPr>
            <w:tcW w:w="988" w:type="dxa"/>
          </w:tcPr>
          <w:p w14:paraId="3B5F6C09" w14:textId="421D9F57" w:rsidR="00DC7490" w:rsidRPr="00226008" w:rsidRDefault="00DC7490" w:rsidP="00B7053D">
            <w:pPr>
              <w:spacing w:line="276" w:lineRule="auto"/>
              <w:jc w:val="both"/>
              <w:rPr>
                <w:b/>
                <w:bCs/>
                <w:sz w:val="22"/>
                <w:szCs w:val="22"/>
              </w:rPr>
            </w:pPr>
            <w:r>
              <w:rPr>
                <w:b/>
                <w:bCs/>
                <w:sz w:val="22"/>
                <w:szCs w:val="22"/>
              </w:rPr>
              <w:t>Rec 4</w:t>
            </w:r>
            <w:r w:rsidR="008B7549">
              <w:rPr>
                <w:b/>
                <w:bCs/>
                <w:sz w:val="22"/>
                <w:szCs w:val="22"/>
              </w:rPr>
              <w:t>9</w:t>
            </w:r>
          </w:p>
        </w:tc>
        <w:tc>
          <w:tcPr>
            <w:tcW w:w="8028" w:type="dxa"/>
          </w:tcPr>
          <w:p w14:paraId="56C06A2A" w14:textId="55966439" w:rsidR="00DC7490" w:rsidRPr="007F7E9F" w:rsidRDefault="00DC7490" w:rsidP="00B7053D">
            <w:pPr>
              <w:spacing w:line="276" w:lineRule="auto"/>
              <w:jc w:val="both"/>
              <w:rPr>
                <w:sz w:val="22"/>
                <w:szCs w:val="22"/>
              </w:rPr>
            </w:pPr>
            <w:r w:rsidRPr="007F7E9F">
              <w:rPr>
                <w:sz w:val="22"/>
                <w:szCs w:val="22"/>
              </w:rPr>
              <w:t>The Scottish Government should ensure that available programmes to support the implementation of LGBT Inclusive Education remain responsive and adaptive to emergent trends relating to the manifestation of prejudice and hate, including addressing the effects of online hate on young people</w:t>
            </w:r>
            <w:r>
              <w:rPr>
                <w:sz w:val="22"/>
                <w:szCs w:val="22"/>
              </w:rPr>
              <w:t>.</w:t>
            </w:r>
          </w:p>
        </w:tc>
      </w:tr>
    </w:tbl>
    <w:p w14:paraId="162A5DC5" w14:textId="77777777" w:rsidR="007F7E9F" w:rsidRPr="007F7E9F" w:rsidRDefault="007F7E9F" w:rsidP="00DC7490">
      <w:pPr>
        <w:spacing w:line="276" w:lineRule="auto"/>
        <w:jc w:val="both"/>
        <w:rPr>
          <w:sz w:val="22"/>
          <w:szCs w:val="22"/>
        </w:rPr>
      </w:pPr>
    </w:p>
    <w:p w14:paraId="725C0ABC" w14:textId="77777777" w:rsidR="007F7E9F" w:rsidRPr="007F7E9F" w:rsidRDefault="007F7E9F" w:rsidP="007F7E9F">
      <w:pPr>
        <w:pStyle w:val="Heading2"/>
        <w:numPr>
          <w:ilvl w:val="0"/>
          <w:numId w:val="8"/>
        </w:numPr>
        <w:spacing w:line="276" w:lineRule="auto"/>
        <w:rPr>
          <w:b/>
          <w:bCs/>
          <w:color w:val="7030A0"/>
          <w:sz w:val="28"/>
          <w:szCs w:val="28"/>
        </w:rPr>
      </w:pPr>
      <w:r w:rsidRPr="007F7E9F">
        <w:rPr>
          <w:b/>
          <w:bCs/>
          <w:color w:val="7030A0"/>
          <w:sz w:val="28"/>
          <w:szCs w:val="28"/>
        </w:rPr>
        <w:lastRenderedPageBreak/>
        <w:t xml:space="preserve">Article 15: right to cultural life </w:t>
      </w:r>
    </w:p>
    <w:p w14:paraId="5014B108" w14:textId="77777777" w:rsidR="007F7E9F" w:rsidRPr="007F7E9F" w:rsidRDefault="007F7E9F" w:rsidP="007F7E9F">
      <w:pPr>
        <w:pStyle w:val="Heading3"/>
        <w:spacing w:line="276" w:lineRule="auto"/>
        <w:rPr>
          <w:b/>
          <w:bCs/>
          <w:color w:val="0070C0"/>
          <w:sz w:val="24"/>
          <w:szCs w:val="24"/>
        </w:rPr>
      </w:pPr>
      <w:r w:rsidRPr="007F7E9F">
        <w:rPr>
          <w:b/>
          <w:bCs/>
          <w:color w:val="0070C0"/>
          <w:sz w:val="24"/>
          <w:szCs w:val="24"/>
        </w:rPr>
        <w:t xml:space="preserve">LGBTIA+ inclusion in sport </w:t>
      </w:r>
    </w:p>
    <w:p w14:paraId="44D8711F" w14:textId="5794C3DD" w:rsidR="007F7E9F" w:rsidRPr="007F7E9F" w:rsidRDefault="007F7E9F" w:rsidP="007F7E9F">
      <w:pPr>
        <w:spacing w:line="276" w:lineRule="auto"/>
        <w:jc w:val="both"/>
        <w:rPr>
          <w:sz w:val="22"/>
          <w:szCs w:val="22"/>
        </w:rPr>
      </w:pPr>
      <w:r w:rsidRPr="007F7E9F">
        <w:rPr>
          <w:b/>
          <w:bCs/>
          <w:sz w:val="22"/>
          <w:szCs w:val="22"/>
        </w:rPr>
        <w:t>[43]</w:t>
      </w:r>
      <w:r w:rsidRPr="007F7E9F">
        <w:rPr>
          <w:sz w:val="22"/>
          <w:szCs w:val="22"/>
        </w:rPr>
        <w:t xml:space="preserve"> </w:t>
      </w:r>
      <w:r w:rsidR="00007E03">
        <w:rPr>
          <w:sz w:val="22"/>
          <w:szCs w:val="22"/>
        </w:rPr>
        <w:tab/>
      </w:r>
      <w:r w:rsidRPr="007F7E9F">
        <w:rPr>
          <w:sz w:val="22"/>
          <w:szCs w:val="22"/>
        </w:rPr>
        <w:t>Exclusion, marginalisation and mistreatment of LGBTIA+ people historically and currently in sport and physical activity spaces deeply affects our ability to access our cultural rights. In 2019 OutSport conducted a study into the experiences of LGBT people in Europe including a country specific report on Scotland</w:t>
      </w:r>
      <w:r w:rsidRPr="007F7E9F">
        <w:rPr>
          <w:rStyle w:val="FootnoteReference"/>
          <w:sz w:val="22"/>
          <w:szCs w:val="22"/>
        </w:rPr>
        <w:footnoteReference w:id="60"/>
      </w:r>
      <w:r w:rsidRPr="007F7E9F">
        <w:rPr>
          <w:sz w:val="22"/>
          <w:szCs w:val="22"/>
        </w:rPr>
        <w:t xml:space="preserve"> which showed that compared to 19% in the Europe-wide report, 31% of Scottish LGBT respondents felt excluded from sport and physical activity due to their sexual orientation or gender identity. </w:t>
      </w:r>
      <w:r w:rsidR="00C07BD6">
        <w:rPr>
          <w:sz w:val="22"/>
          <w:szCs w:val="22"/>
        </w:rPr>
        <w:t>They</w:t>
      </w:r>
      <w:r w:rsidRPr="007F7E9F">
        <w:rPr>
          <w:sz w:val="22"/>
          <w:szCs w:val="22"/>
        </w:rPr>
        <w:t xml:space="preserve"> reported that homophobia and transphobia are each a problem within sport, at 94% (homophobia) and 94% (transphobia) respectively. Most recently, the NHS Scotland LGBT+ Health Needs Assessment in 2022</w:t>
      </w:r>
      <w:r w:rsidRPr="007F7E9F">
        <w:rPr>
          <w:rStyle w:val="FootnoteReference"/>
          <w:sz w:val="22"/>
          <w:szCs w:val="22"/>
        </w:rPr>
        <w:footnoteReference w:id="61"/>
      </w:r>
      <w:r w:rsidRPr="007F7E9F">
        <w:rPr>
          <w:sz w:val="22"/>
          <w:szCs w:val="22"/>
        </w:rPr>
        <w:t xml:space="preserve"> reported that LGBT+ people face health inequalities including access to physical activity. Participation rates in sport and physical activity for trans people were poorer on average with 54% of trans people having stopped participating or feel excluded from particular sports</w:t>
      </w:r>
      <w:r w:rsidRPr="007F7E9F">
        <w:rPr>
          <w:rStyle w:val="FootnoteReference"/>
          <w:sz w:val="22"/>
          <w:szCs w:val="22"/>
        </w:rPr>
        <w:footnoteReference w:id="62"/>
      </w:r>
      <w:r w:rsidRPr="007F7E9F">
        <w:rPr>
          <w:sz w:val="22"/>
          <w:szCs w:val="22"/>
        </w:rPr>
        <w:t>, whilst 60% of trans people and 64% of non-binary people are not active enough to meet standards of good health.</w:t>
      </w:r>
    </w:p>
    <w:p w14:paraId="3E789DB6" w14:textId="41E2675F" w:rsidR="007F7E9F" w:rsidRPr="007F7E9F" w:rsidRDefault="007F7E9F" w:rsidP="007F7E9F">
      <w:pPr>
        <w:spacing w:line="276" w:lineRule="auto"/>
        <w:jc w:val="both"/>
        <w:rPr>
          <w:sz w:val="22"/>
          <w:szCs w:val="22"/>
        </w:rPr>
      </w:pPr>
      <w:r w:rsidRPr="007F7E9F">
        <w:rPr>
          <w:b/>
          <w:bCs/>
          <w:sz w:val="22"/>
          <w:szCs w:val="22"/>
        </w:rPr>
        <w:t>[44]</w:t>
      </w:r>
      <w:r w:rsidRPr="007F7E9F">
        <w:rPr>
          <w:sz w:val="22"/>
          <w:szCs w:val="22"/>
        </w:rPr>
        <w:t xml:space="preserve"> </w:t>
      </w:r>
      <w:r w:rsidR="00007E03">
        <w:rPr>
          <w:sz w:val="22"/>
          <w:szCs w:val="22"/>
        </w:rPr>
        <w:tab/>
      </w:r>
      <w:r w:rsidRPr="007F7E9F">
        <w:rPr>
          <w:sz w:val="22"/>
          <w:szCs w:val="22"/>
        </w:rPr>
        <w:t xml:space="preserve">The UK falls behind other European countries in its adoption of a human rights-based approach in decision making and governance frameworks. This can be seen in the UK’s decision not to join the Council of Europe’s Enlarged Partial Agreement on Sport (EPAS) despite the UK being a member of the Council of Europe. This means that LGBTIA+ people in Scotland are not represented within this human rights mechanism and are isolated from a key opportunity to access international best practice. The need to ensure dignity within sports governance is clear, yet sports bodies are operating within a self-contained sporting system that means accountability for human rights breaches are sidestepped.  </w:t>
      </w:r>
    </w:p>
    <w:p w14:paraId="344714BA" w14:textId="25A480FA" w:rsidR="007F7E9F" w:rsidRPr="007F7E9F" w:rsidRDefault="007F7E9F" w:rsidP="007F7E9F">
      <w:pPr>
        <w:spacing w:line="276" w:lineRule="auto"/>
        <w:jc w:val="both"/>
        <w:rPr>
          <w:sz w:val="22"/>
          <w:szCs w:val="22"/>
        </w:rPr>
      </w:pPr>
      <w:r w:rsidRPr="007F7E9F">
        <w:rPr>
          <w:b/>
          <w:bCs/>
          <w:sz w:val="22"/>
          <w:szCs w:val="22"/>
        </w:rPr>
        <w:t>[45]</w:t>
      </w:r>
      <w:r w:rsidRPr="007F7E9F">
        <w:rPr>
          <w:sz w:val="22"/>
          <w:szCs w:val="22"/>
        </w:rPr>
        <w:t xml:space="preserve"> </w:t>
      </w:r>
      <w:r w:rsidR="00007E03">
        <w:rPr>
          <w:sz w:val="22"/>
          <w:szCs w:val="22"/>
        </w:rPr>
        <w:tab/>
      </w:r>
      <w:r w:rsidRPr="007F7E9F">
        <w:rPr>
          <w:sz w:val="22"/>
          <w:szCs w:val="22"/>
        </w:rPr>
        <w:t>We note the committee’s interest in the inclusion of transgender persons in sports</w:t>
      </w:r>
      <w:r w:rsidRPr="007F7E9F">
        <w:rPr>
          <w:rStyle w:val="FootnoteReference"/>
          <w:sz w:val="22"/>
          <w:szCs w:val="22"/>
        </w:rPr>
        <w:footnoteReference w:id="63"/>
      </w:r>
      <w:r w:rsidRPr="007F7E9F">
        <w:rPr>
          <w:sz w:val="22"/>
          <w:szCs w:val="22"/>
        </w:rPr>
        <w:t>. In 2021, the UK Sports Councils Guidance for Transgender Inclusion in Domestic Sport was published. This guidance was poorly received by trans and non-binary people in the UK, and LEAP Sports and partners criticised</w:t>
      </w:r>
      <w:r w:rsidRPr="007F7E9F">
        <w:rPr>
          <w:rStyle w:val="FootnoteReference"/>
          <w:sz w:val="22"/>
          <w:szCs w:val="22"/>
        </w:rPr>
        <w:footnoteReference w:id="64"/>
      </w:r>
      <w:r w:rsidRPr="007F7E9F">
        <w:rPr>
          <w:sz w:val="22"/>
          <w:szCs w:val="22"/>
        </w:rPr>
        <w:t xml:space="preserve"> the guidance for lacking a human rights-based approach to issues concerning participation in sport and physical activity. </w:t>
      </w:r>
    </w:p>
    <w:p w14:paraId="25F2F398" w14:textId="32F4CC04" w:rsidR="007F7E9F" w:rsidRDefault="007F7E9F" w:rsidP="007F7E9F">
      <w:pPr>
        <w:spacing w:line="276" w:lineRule="auto"/>
        <w:jc w:val="both"/>
        <w:rPr>
          <w:sz w:val="22"/>
          <w:szCs w:val="22"/>
        </w:rPr>
      </w:pPr>
      <w:r w:rsidRPr="007F7E9F">
        <w:rPr>
          <w:b/>
          <w:bCs/>
          <w:sz w:val="22"/>
          <w:szCs w:val="22"/>
        </w:rPr>
        <w:t>[46]</w:t>
      </w:r>
      <w:r w:rsidRPr="007F7E9F">
        <w:rPr>
          <w:sz w:val="22"/>
          <w:szCs w:val="22"/>
        </w:rPr>
        <w:t xml:space="preserve"> </w:t>
      </w:r>
      <w:r w:rsidR="00007E03">
        <w:rPr>
          <w:sz w:val="22"/>
          <w:szCs w:val="22"/>
        </w:rPr>
        <w:tab/>
      </w:r>
      <w:r w:rsidRPr="007F7E9F">
        <w:rPr>
          <w:b/>
          <w:bCs/>
          <w:sz w:val="22"/>
          <w:szCs w:val="22"/>
        </w:rPr>
        <w:t>Recommendations</w:t>
      </w:r>
      <w:r w:rsidRPr="007F7E9F">
        <w:rPr>
          <w:sz w:val="22"/>
          <w:szCs w:val="22"/>
        </w:rPr>
        <w:t xml:space="preserve">: </w:t>
      </w:r>
    </w:p>
    <w:tbl>
      <w:tblPr>
        <w:tblStyle w:val="TableGrid"/>
        <w:tblW w:w="0" w:type="auto"/>
        <w:tblLook w:val="04A0" w:firstRow="1" w:lastRow="0" w:firstColumn="1" w:lastColumn="0" w:noHBand="0" w:noVBand="1"/>
      </w:tblPr>
      <w:tblGrid>
        <w:gridCol w:w="988"/>
        <w:gridCol w:w="8028"/>
      </w:tblGrid>
      <w:tr w:rsidR="00DC7490" w14:paraId="7725408E" w14:textId="77777777" w:rsidTr="00B7053D">
        <w:tc>
          <w:tcPr>
            <w:tcW w:w="988" w:type="dxa"/>
          </w:tcPr>
          <w:p w14:paraId="2664D9B8" w14:textId="59A9EEAA" w:rsidR="00DC7490" w:rsidRPr="00226008" w:rsidRDefault="00DC7490" w:rsidP="00B7053D">
            <w:pPr>
              <w:spacing w:line="276" w:lineRule="auto"/>
              <w:jc w:val="both"/>
              <w:rPr>
                <w:b/>
                <w:bCs/>
                <w:sz w:val="22"/>
                <w:szCs w:val="22"/>
              </w:rPr>
            </w:pPr>
            <w:r w:rsidRPr="00226008">
              <w:rPr>
                <w:b/>
                <w:bCs/>
                <w:sz w:val="22"/>
                <w:szCs w:val="22"/>
              </w:rPr>
              <w:t xml:space="preserve">Rec </w:t>
            </w:r>
            <w:r w:rsidR="008B7549">
              <w:rPr>
                <w:b/>
                <w:bCs/>
                <w:sz w:val="22"/>
                <w:szCs w:val="22"/>
              </w:rPr>
              <w:t>50</w:t>
            </w:r>
          </w:p>
        </w:tc>
        <w:tc>
          <w:tcPr>
            <w:tcW w:w="8028" w:type="dxa"/>
          </w:tcPr>
          <w:p w14:paraId="0601339A" w14:textId="6C419E6C" w:rsidR="00DC7490" w:rsidRPr="00DC7490" w:rsidRDefault="00DC7490" w:rsidP="00B7053D">
            <w:pPr>
              <w:spacing w:line="276" w:lineRule="auto"/>
              <w:jc w:val="both"/>
              <w:rPr>
                <w:sz w:val="22"/>
                <w:szCs w:val="22"/>
              </w:rPr>
            </w:pPr>
            <w:r w:rsidRPr="007F7E9F">
              <w:rPr>
                <w:sz w:val="22"/>
                <w:szCs w:val="22"/>
              </w:rPr>
              <w:t>The Scottish Government should be ambitious in its consideration of the right to access and participate in sport and physical activity by embedding human rights into the provision of sport</w:t>
            </w:r>
            <w:r>
              <w:rPr>
                <w:sz w:val="22"/>
                <w:szCs w:val="22"/>
              </w:rPr>
              <w:t>.</w:t>
            </w:r>
          </w:p>
        </w:tc>
      </w:tr>
      <w:tr w:rsidR="00DC7490" w14:paraId="200D0E25" w14:textId="77777777" w:rsidTr="00B7053D">
        <w:tc>
          <w:tcPr>
            <w:tcW w:w="988" w:type="dxa"/>
          </w:tcPr>
          <w:p w14:paraId="6B2A8ED4" w14:textId="17836D3D" w:rsidR="00DC7490" w:rsidRPr="00226008" w:rsidRDefault="00DC7490" w:rsidP="00B7053D">
            <w:pPr>
              <w:spacing w:line="276" w:lineRule="auto"/>
              <w:jc w:val="both"/>
              <w:rPr>
                <w:b/>
                <w:bCs/>
                <w:sz w:val="22"/>
                <w:szCs w:val="22"/>
              </w:rPr>
            </w:pPr>
            <w:r w:rsidRPr="00226008">
              <w:rPr>
                <w:b/>
                <w:bCs/>
                <w:sz w:val="22"/>
                <w:szCs w:val="22"/>
              </w:rPr>
              <w:t xml:space="preserve">Rec </w:t>
            </w:r>
            <w:r w:rsidR="00502761">
              <w:rPr>
                <w:b/>
                <w:bCs/>
                <w:sz w:val="22"/>
                <w:szCs w:val="22"/>
              </w:rPr>
              <w:t>5</w:t>
            </w:r>
            <w:r w:rsidR="008B7549">
              <w:rPr>
                <w:b/>
                <w:bCs/>
                <w:sz w:val="22"/>
                <w:szCs w:val="22"/>
              </w:rPr>
              <w:t>1</w:t>
            </w:r>
          </w:p>
        </w:tc>
        <w:tc>
          <w:tcPr>
            <w:tcW w:w="8028" w:type="dxa"/>
          </w:tcPr>
          <w:p w14:paraId="5AB655F9" w14:textId="4CE7DEB7" w:rsidR="00DC7490" w:rsidRPr="009C5D15" w:rsidRDefault="00DC7490" w:rsidP="00B7053D">
            <w:pPr>
              <w:spacing w:line="276" w:lineRule="auto"/>
              <w:jc w:val="both"/>
              <w:rPr>
                <w:sz w:val="22"/>
                <w:szCs w:val="22"/>
              </w:rPr>
            </w:pPr>
            <w:r w:rsidRPr="007F7E9F">
              <w:rPr>
                <w:sz w:val="22"/>
                <w:szCs w:val="22"/>
              </w:rPr>
              <w:t>The UK Government should join the Council of Europe’s Enlarged Partial Agreement on Sport</w:t>
            </w:r>
            <w:r>
              <w:rPr>
                <w:sz w:val="22"/>
                <w:szCs w:val="22"/>
              </w:rPr>
              <w:t>.</w:t>
            </w:r>
          </w:p>
        </w:tc>
      </w:tr>
    </w:tbl>
    <w:p w14:paraId="25FDB953" w14:textId="77777777" w:rsidR="000276E0" w:rsidRDefault="000276E0"/>
    <w:sectPr w:rsidR="000276E0">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F0673F" w14:textId="77777777" w:rsidR="007F7E9F" w:rsidRDefault="007F7E9F" w:rsidP="007F7E9F">
      <w:pPr>
        <w:spacing w:after="0" w:line="240" w:lineRule="auto"/>
      </w:pPr>
      <w:r>
        <w:separator/>
      </w:r>
    </w:p>
  </w:endnote>
  <w:endnote w:type="continuationSeparator" w:id="0">
    <w:p w14:paraId="1659DDFD" w14:textId="77777777" w:rsidR="007F7E9F" w:rsidRDefault="007F7E9F" w:rsidP="007F7E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26852388"/>
      <w:docPartObj>
        <w:docPartGallery w:val="Page Numbers (Bottom of Page)"/>
        <w:docPartUnique/>
      </w:docPartObj>
    </w:sdtPr>
    <w:sdtEndPr/>
    <w:sdtContent>
      <w:p w14:paraId="081A454B" w14:textId="30BEAA1C" w:rsidR="00AB24E2" w:rsidRDefault="00AB24E2">
        <w:pPr>
          <w:pStyle w:val="Footer"/>
          <w:jc w:val="right"/>
        </w:pPr>
        <w:r>
          <w:fldChar w:fldCharType="begin"/>
        </w:r>
        <w:r>
          <w:instrText>PAGE   \* MERGEFORMAT</w:instrText>
        </w:r>
        <w:r>
          <w:fldChar w:fldCharType="separate"/>
        </w:r>
        <w:r>
          <w:t>2</w:t>
        </w:r>
        <w:r>
          <w:fldChar w:fldCharType="end"/>
        </w:r>
      </w:p>
    </w:sdtContent>
  </w:sdt>
  <w:p w14:paraId="0B0487B1" w14:textId="77777777" w:rsidR="00AB24E2" w:rsidRDefault="00AB24E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A3CF91" w14:textId="77777777" w:rsidR="007F7E9F" w:rsidRDefault="007F7E9F" w:rsidP="007F7E9F">
      <w:pPr>
        <w:spacing w:after="0" w:line="240" w:lineRule="auto"/>
      </w:pPr>
      <w:r>
        <w:separator/>
      </w:r>
    </w:p>
  </w:footnote>
  <w:footnote w:type="continuationSeparator" w:id="0">
    <w:p w14:paraId="2334E013" w14:textId="77777777" w:rsidR="007F7E9F" w:rsidRDefault="007F7E9F" w:rsidP="007F7E9F">
      <w:pPr>
        <w:spacing w:after="0" w:line="240" w:lineRule="auto"/>
      </w:pPr>
      <w:r>
        <w:continuationSeparator/>
      </w:r>
    </w:p>
  </w:footnote>
  <w:footnote w:id="1">
    <w:p w14:paraId="2D96D3CD" w14:textId="77777777" w:rsidR="007F7E9F" w:rsidRPr="00E23290" w:rsidRDefault="007F7E9F" w:rsidP="007F7E9F">
      <w:pPr>
        <w:pStyle w:val="FootnoteText"/>
        <w:rPr>
          <w:sz w:val="16"/>
          <w:szCs w:val="16"/>
        </w:rPr>
      </w:pPr>
      <w:r w:rsidRPr="00E23290">
        <w:rPr>
          <w:rStyle w:val="FootnoteReference"/>
          <w:sz w:val="16"/>
          <w:szCs w:val="16"/>
        </w:rPr>
        <w:footnoteRef/>
      </w:r>
      <w:r w:rsidRPr="00E23290">
        <w:rPr>
          <w:sz w:val="16"/>
          <w:szCs w:val="16"/>
        </w:rPr>
        <w:t xml:space="preserve"> Incorporating International Human Rights: Selected ICESCR Rights and Their Impact on LGBT+ Matters (2023), available at: </w:t>
      </w:r>
      <w:hyperlink r:id="rId1" w:history="1">
        <w:r w:rsidRPr="00E23290">
          <w:rPr>
            <w:rStyle w:val="Hyperlink"/>
            <w:sz w:val="16"/>
            <w:szCs w:val="16"/>
          </w:rPr>
          <w:t>https://www.hrcscotland.org/file-download/43/Final-ICESCR-rights-and-LGBTI-matters-Paul-Behrens-Dec-2023.pdf</w:t>
        </w:r>
      </w:hyperlink>
      <w:r w:rsidRPr="00E23290">
        <w:rPr>
          <w:sz w:val="16"/>
          <w:szCs w:val="16"/>
        </w:rPr>
        <w:t xml:space="preserve"> </w:t>
      </w:r>
    </w:p>
  </w:footnote>
  <w:footnote w:id="2">
    <w:p w14:paraId="0E483485" w14:textId="77777777" w:rsidR="007F7E9F" w:rsidRDefault="007F7E9F" w:rsidP="007F7E9F">
      <w:pPr>
        <w:pStyle w:val="FootnoteText"/>
      </w:pPr>
      <w:r w:rsidRPr="00E23290">
        <w:rPr>
          <w:rStyle w:val="FootnoteReference"/>
          <w:sz w:val="16"/>
          <w:szCs w:val="16"/>
        </w:rPr>
        <w:footnoteRef/>
      </w:r>
      <w:r w:rsidRPr="00E23290">
        <w:rPr>
          <w:sz w:val="16"/>
          <w:szCs w:val="16"/>
        </w:rPr>
        <w:t xml:space="preserve"> List of issues in relation to the seventh periodic report of the United Kingdom of Great Britain and Northern Ireland (2023), 5</w:t>
      </w:r>
    </w:p>
  </w:footnote>
  <w:footnote w:id="3">
    <w:p w14:paraId="03138C04" w14:textId="77777777" w:rsidR="007F7E9F" w:rsidRPr="00E23290" w:rsidRDefault="007F7E9F" w:rsidP="007F7E9F">
      <w:pPr>
        <w:pStyle w:val="FootnoteText"/>
        <w:rPr>
          <w:sz w:val="16"/>
          <w:szCs w:val="16"/>
        </w:rPr>
      </w:pPr>
      <w:r w:rsidRPr="00E23290">
        <w:rPr>
          <w:rStyle w:val="FootnoteReference"/>
          <w:sz w:val="16"/>
          <w:szCs w:val="16"/>
        </w:rPr>
        <w:footnoteRef/>
      </w:r>
      <w:r w:rsidRPr="00E23290">
        <w:rPr>
          <w:sz w:val="16"/>
          <w:szCs w:val="16"/>
        </w:rPr>
        <w:t xml:space="preserve"> List of issues in relation to the seventh periodic report of the United Kingdom of Great Britain and Northern Ireland (2023), 2</w:t>
      </w:r>
    </w:p>
  </w:footnote>
  <w:footnote w:id="4">
    <w:p w14:paraId="1FEF23B0" w14:textId="1BAEF2A5" w:rsidR="007F7E9F" w:rsidRPr="00895A3F" w:rsidRDefault="007F7E9F" w:rsidP="007F7E9F">
      <w:pPr>
        <w:pStyle w:val="FootnoteText"/>
        <w:rPr>
          <w:sz w:val="16"/>
          <w:szCs w:val="16"/>
        </w:rPr>
      </w:pPr>
      <w:r w:rsidRPr="00895A3F">
        <w:rPr>
          <w:rStyle w:val="FootnoteReference"/>
          <w:sz w:val="16"/>
          <w:szCs w:val="16"/>
        </w:rPr>
        <w:footnoteRef/>
      </w:r>
      <w:r w:rsidRPr="00895A3F">
        <w:rPr>
          <w:sz w:val="16"/>
          <w:szCs w:val="16"/>
        </w:rPr>
        <w:t xml:space="preserve"> National Taskforce for Human Rights Leadership, ‘Report and Recommendations’ (2021), 30</w:t>
      </w:r>
    </w:p>
  </w:footnote>
  <w:footnote w:id="5">
    <w:p w14:paraId="3438CD30" w14:textId="77777777" w:rsidR="007F7E9F" w:rsidRPr="00895A3F" w:rsidRDefault="007F7E9F" w:rsidP="007F7E9F">
      <w:pPr>
        <w:pStyle w:val="FootnoteText"/>
        <w:rPr>
          <w:sz w:val="16"/>
          <w:szCs w:val="16"/>
        </w:rPr>
      </w:pPr>
      <w:r w:rsidRPr="00895A3F">
        <w:rPr>
          <w:rStyle w:val="FootnoteReference"/>
          <w:sz w:val="16"/>
          <w:szCs w:val="16"/>
        </w:rPr>
        <w:footnoteRef/>
      </w:r>
      <w:r w:rsidRPr="00895A3F">
        <w:rPr>
          <w:sz w:val="16"/>
          <w:szCs w:val="16"/>
        </w:rPr>
        <w:t xml:space="preserve"> Programme for Government 2024 – 2025, ‘Serving Scotland’ (2024), p43</w:t>
      </w:r>
    </w:p>
  </w:footnote>
  <w:footnote w:id="6">
    <w:p w14:paraId="02248867" w14:textId="77777777" w:rsidR="007F7E9F" w:rsidRPr="00895A3F" w:rsidRDefault="007F7E9F" w:rsidP="007F7E9F">
      <w:pPr>
        <w:pStyle w:val="FootnoteText"/>
        <w:rPr>
          <w:sz w:val="16"/>
          <w:szCs w:val="16"/>
        </w:rPr>
      </w:pPr>
      <w:r w:rsidRPr="00895A3F">
        <w:rPr>
          <w:rStyle w:val="FootnoteReference"/>
          <w:sz w:val="16"/>
          <w:szCs w:val="16"/>
        </w:rPr>
        <w:footnoteRef/>
      </w:r>
      <w:r w:rsidRPr="00895A3F">
        <w:rPr>
          <w:sz w:val="16"/>
          <w:szCs w:val="16"/>
        </w:rPr>
        <w:t xml:space="preserve"> Incorporating International Human Rights: Selected ICESCR Rights and Their Impact on LGBT+ Matters (2023), available at: </w:t>
      </w:r>
      <w:hyperlink r:id="rId2" w:history="1">
        <w:r w:rsidRPr="00895A3F">
          <w:rPr>
            <w:rStyle w:val="Hyperlink"/>
            <w:sz w:val="16"/>
            <w:szCs w:val="16"/>
          </w:rPr>
          <w:t>https://www.hrcscotland.org/file-download/43/Final-ICESCR-rights-and-LGBTI-matters-Paul-Behrens-Dec-2023.pdf</w:t>
        </w:r>
      </w:hyperlink>
    </w:p>
  </w:footnote>
  <w:footnote w:id="7">
    <w:p w14:paraId="4E91825A" w14:textId="219F71CB" w:rsidR="007F7E9F" w:rsidRPr="007F7E9F" w:rsidRDefault="007F7E9F" w:rsidP="007F7E9F">
      <w:pPr>
        <w:pStyle w:val="FootnoteText"/>
        <w:rPr>
          <w:sz w:val="16"/>
          <w:szCs w:val="16"/>
        </w:rPr>
      </w:pPr>
      <w:r w:rsidRPr="00895A3F">
        <w:rPr>
          <w:rStyle w:val="FootnoteReference"/>
          <w:sz w:val="16"/>
          <w:szCs w:val="16"/>
        </w:rPr>
        <w:footnoteRef/>
      </w:r>
      <w:r w:rsidRPr="00895A3F">
        <w:rPr>
          <w:sz w:val="16"/>
          <w:szCs w:val="16"/>
        </w:rPr>
        <w:t xml:space="preserve"> The United Kingdom’s 7</w:t>
      </w:r>
      <w:r w:rsidRPr="00895A3F">
        <w:rPr>
          <w:sz w:val="16"/>
          <w:szCs w:val="16"/>
          <w:vertAlign w:val="superscript"/>
        </w:rPr>
        <w:t>th</w:t>
      </w:r>
      <w:r w:rsidRPr="00895A3F">
        <w:rPr>
          <w:sz w:val="16"/>
          <w:szCs w:val="16"/>
        </w:rPr>
        <w:t xml:space="preserve"> periodic report under the United Nationals Convention on Economic, Social and Cultural Rights (ICESCR) dated 4 May 2022, 179</w:t>
      </w:r>
    </w:p>
  </w:footnote>
  <w:footnote w:id="8">
    <w:p w14:paraId="3F42939C" w14:textId="77777777" w:rsidR="007F7E9F" w:rsidRPr="00E23290" w:rsidRDefault="007F7E9F" w:rsidP="007F7E9F">
      <w:pPr>
        <w:pStyle w:val="FootnoteText"/>
        <w:rPr>
          <w:sz w:val="16"/>
          <w:szCs w:val="16"/>
        </w:rPr>
      </w:pPr>
      <w:r w:rsidRPr="00895A3F">
        <w:rPr>
          <w:rStyle w:val="FootnoteReference"/>
          <w:sz w:val="16"/>
          <w:szCs w:val="16"/>
        </w:rPr>
        <w:footnoteRef/>
      </w:r>
      <w:r w:rsidRPr="00895A3F">
        <w:rPr>
          <w:sz w:val="16"/>
          <w:szCs w:val="16"/>
        </w:rPr>
        <w:t xml:space="preserve"> List of issues in relation to the seventh periodic report of the United Kingdom of Great Britain and Northern Ireland (2023), 10</w:t>
      </w:r>
    </w:p>
  </w:footnote>
  <w:footnote w:id="9">
    <w:p w14:paraId="78259B24" w14:textId="5020C866" w:rsidR="007F7E9F" w:rsidRPr="007F7E9F" w:rsidRDefault="007F7E9F" w:rsidP="007F7E9F">
      <w:pPr>
        <w:pStyle w:val="FootnoteText"/>
        <w:rPr>
          <w:sz w:val="16"/>
          <w:szCs w:val="16"/>
        </w:rPr>
      </w:pPr>
      <w:r w:rsidRPr="00895A3F">
        <w:rPr>
          <w:rStyle w:val="FootnoteReference"/>
          <w:sz w:val="16"/>
          <w:szCs w:val="16"/>
        </w:rPr>
        <w:footnoteRef/>
      </w:r>
      <w:r w:rsidRPr="00895A3F">
        <w:rPr>
          <w:sz w:val="16"/>
          <w:szCs w:val="16"/>
        </w:rPr>
        <w:t xml:space="preserve"> Experiences of LGBT asylum seekers and refugees in Scotland (2023), LGBT Health and Wellbeing, available at</w:t>
      </w:r>
      <w:r w:rsidRPr="007F7E9F">
        <w:rPr>
          <w:sz w:val="16"/>
          <w:szCs w:val="16"/>
        </w:rPr>
        <w:t xml:space="preserve"> </w:t>
      </w:r>
      <w:hyperlink r:id="rId3">
        <w:r w:rsidRPr="00895A3F">
          <w:rPr>
            <w:rStyle w:val="Hyperlink"/>
            <w:sz w:val="16"/>
            <w:szCs w:val="16"/>
          </w:rPr>
          <w:t>https://www.lgbthealth.org.uk/wp-content/uploads/2023/07/Refugee-Report-Final-E-Copy.pdf</w:t>
        </w:r>
      </w:hyperlink>
      <w:r w:rsidRPr="00895A3F">
        <w:rPr>
          <w:sz w:val="16"/>
          <w:szCs w:val="16"/>
        </w:rPr>
        <w:t xml:space="preserve">; SEREDA Project, University of Birmingham, available at: </w:t>
      </w:r>
      <w:hyperlink r:id="rId4" w:history="1">
        <w:r w:rsidRPr="00895A3F">
          <w:rPr>
            <w:rStyle w:val="Hyperlink"/>
            <w:sz w:val="16"/>
            <w:szCs w:val="16"/>
          </w:rPr>
          <w:t>https://www.birmingham.ac.uk/research/superdiversity-institute/sereda</w:t>
        </w:r>
      </w:hyperlink>
    </w:p>
  </w:footnote>
  <w:footnote w:id="10">
    <w:p w14:paraId="55BD9B41" w14:textId="77777777" w:rsidR="007F7E9F" w:rsidRPr="007F7E9F" w:rsidRDefault="007F7E9F" w:rsidP="007F7E9F">
      <w:pPr>
        <w:pStyle w:val="FootnoteText"/>
        <w:rPr>
          <w:sz w:val="16"/>
          <w:szCs w:val="16"/>
        </w:rPr>
      </w:pPr>
      <w:r w:rsidRPr="00895A3F">
        <w:rPr>
          <w:rStyle w:val="FootnoteReference"/>
          <w:sz w:val="16"/>
          <w:szCs w:val="16"/>
        </w:rPr>
        <w:footnoteRef/>
      </w:r>
      <w:r w:rsidRPr="00895A3F">
        <w:rPr>
          <w:sz w:val="16"/>
          <w:szCs w:val="16"/>
        </w:rPr>
        <w:t xml:space="preserve"> List of issues in relation to the seventh periodic report of the United Kingdom of Great Britain and Northern Ireland (2023), 12</w:t>
      </w:r>
    </w:p>
  </w:footnote>
  <w:footnote w:id="11">
    <w:p w14:paraId="65F9EB19" w14:textId="77777777" w:rsidR="007F7E9F" w:rsidRPr="007F7E9F" w:rsidRDefault="007F7E9F" w:rsidP="007F7E9F">
      <w:pPr>
        <w:pStyle w:val="FootnoteText"/>
        <w:rPr>
          <w:sz w:val="16"/>
          <w:szCs w:val="16"/>
        </w:rPr>
      </w:pPr>
      <w:r w:rsidRPr="007F7E9F">
        <w:rPr>
          <w:rStyle w:val="FootnoteReference"/>
          <w:sz w:val="16"/>
          <w:szCs w:val="16"/>
        </w:rPr>
        <w:footnoteRef/>
      </w:r>
      <w:r w:rsidRPr="007F7E9F">
        <w:rPr>
          <w:sz w:val="16"/>
          <w:szCs w:val="16"/>
        </w:rPr>
        <w:t xml:space="preserve"> A condition that prevents people from claiming most state-paid benefits, tax credits, and housing assistance</w:t>
      </w:r>
      <w:r w:rsidRPr="00895A3F">
        <w:rPr>
          <w:sz w:val="16"/>
          <w:szCs w:val="16"/>
        </w:rPr>
        <w:t xml:space="preserve"> which applies </w:t>
      </w:r>
      <w:r w:rsidRPr="007F7E9F">
        <w:rPr>
          <w:sz w:val="16"/>
          <w:szCs w:val="16"/>
        </w:rPr>
        <w:t>to people who, among others, do not have leave to remain in the UK.</w:t>
      </w:r>
    </w:p>
  </w:footnote>
  <w:footnote w:id="12">
    <w:p w14:paraId="3FBCF9CB" w14:textId="77777777" w:rsidR="007F7E9F" w:rsidRPr="00E23290" w:rsidRDefault="007F7E9F" w:rsidP="007F7E9F">
      <w:pPr>
        <w:pStyle w:val="FootnoteText"/>
        <w:rPr>
          <w:sz w:val="16"/>
          <w:szCs w:val="16"/>
        </w:rPr>
      </w:pPr>
      <w:r w:rsidRPr="00895A3F">
        <w:rPr>
          <w:rStyle w:val="FootnoteReference"/>
          <w:sz w:val="16"/>
          <w:szCs w:val="16"/>
        </w:rPr>
        <w:footnoteRef/>
      </w:r>
      <w:r w:rsidRPr="00895A3F">
        <w:rPr>
          <w:sz w:val="16"/>
          <w:szCs w:val="16"/>
        </w:rPr>
        <w:t xml:space="preserve"> A programme from LGBT Health and Wellbeing that provides support for LGBTIQ+ asylum seekers and refugees in Scotland, </w:t>
      </w:r>
      <w:hyperlink r:id="rId5" w:history="1">
        <w:r w:rsidRPr="00895A3F">
          <w:rPr>
            <w:rStyle w:val="Hyperlink"/>
            <w:sz w:val="16"/>
            <w:szCs w:val="16"/>
          </w:rPr>
          <w:t>https://www.lgbthealth.org.uk/services-support/newscots/</w:t>
        </w:r>
      </w:hyperlink>
      <w:r w:rsidRPr="00E23290">
        <w:rPr>
          <w:sz w:val="16"/>
          <w:szCs w:val="16"/>
        </w:rPr>
        <w:t xml:space="preserve"> </w:t>
      </w:r>
    </w:p>
  </w:footnote>
  <w:footnote w:id="13">
    <w:p w14:paraId="4FC7C72C" w14:textId="14B4D024" w:rsidR="007F7E9F" w:rsidRPr="00051AE0" w:rsidRDefault="007F7E9F" w:rsidP="007F7E9F">
      <w:pPr>
        <w:pStyle w:val="FootnoteText"/>
        <w:rPr>
          <w:sz w:val="16"/>
          <w:szCs w:val="16"/>
        </w:rPr>
      </w:pPr>
      <w:r w:rsidRPr="00E23290">
        <w:rPr>
          <w:rStyle w:val="FootnoteReference"/>
          <w:sz w:val="16"/>
          <w:szCs w:val="16"/>
        </w:rPr>
        <w:footnoteRef/>
      </w:r>
      <w:r>
        <w:rPr>
          <w:sz w:val="16"/>
          <w:szCs w:val="16"/>
        </w:rPr>
        <w:t xml:space="preserve"> Trans People and Work: Survey Report (2021), LGBT Health and Wellbeing, available at:</w:t>
      </w:r>
      <w:r w:rsidRPr="00E23290">
        <w:rPr>
          <w:sz w:val="16"/>
          <w:szCs w:val="16"/>
        </w:rPr>
        <w:t xml:space="preserve"> </w:t>
      </w:r>
      <w:hyperlink r:id="rId6" w:history="1">
        <w:r w:rsidRPr="00E23290">
          <w:rPr>
            <w:rStyle w:val="Hyperlink"/>
            <w:sz w:val="16"/>
            <w:szCs w:val="16"/>
            <w:lang w:val="en-US"/>
          </w:rPr>
          <w:t>https://www.lgbthealth.org.uk/wp-content/uploads/2021/08/Trans-People-and-Work-Survey-Report-LGBT-Health-Aug-2021-FINAL.pdf</w:t>
        </w:r>
      </w:hyperlink>
      <w:r w:rsidRPr="00E23290">
        <w:rPr>
          <w:rStyle w:val="Hyperlink"/>
          <w:sz w:val="16"/>
          <w:szCs w:val="16"/>
          <w:lang w:val="en-US"/>
        </w:rPr>
        <w:t xml:space="preserve">; </w:t>
      </w:r>
      <w:r>
        <w:rPr>
          <w:sz w:val="16"/>
          <w:szCs w:val="16"/>
        </w:rPr>
        <w:t xml:space="preserve">Scottish Trans and Non-binary Experiences Report (2024), Scottish Trans, available at: </w:t>
      </w:r>
      <w:hyperlink r:id="rId7">
        <w:r w:rsidRPr="00E23290">
          <w:rPr>
            <w:rStyle w:val="Hyperlink"/>
            <w:sz w:val="16"/>
            <w:szCs w:val="16"/>
          </w:rPr>
          <w:t>https://www.scottishtrans.org/wp-content/uploads/2024/07/Scottish-Trans-and-Nonbinary-Experiences-Research-Report.pdf</w:t>
        </w:r>
      </w:hyperlink>
    </w:p>
  </w:footnote>
  <w:footnote w:id="14">
    <w:p w14:paraId="3E30C870" w14:textId="12AEE006" w:rsidR="007F7E9F" w:rsidRPr="00E23290" w:rsidRDefault="007F7E9F" w:rsidP="007F7E9F">
      <w:pPr>
        <w:pStyle w:val="FootnoteText"/>
        <w:rPr>
          <w:sz w:val="16"/>
          <w:szCs w:val="16"/>
        </w:rPr>
      </w:pPr>
      <w:r w:rsidRPr="00E23290">
        <w:rPr>
          <w:rStyle w:val="FootnoteReference"/>
          <w:sz w:val="16"/>
          <w:szCs w:val="16"/>
        </w:rPr>
        <w:footnoteRef/>
      </w:r>
      <w:r w:rsidRPr="00E23290">
        <w:rPr>
          <w:sz w:val="16"/>
          <w:szCs w:val="16"/>
        </w:rPr>
        <w:t xml:space="preserve"> </w:t>
      </w:r>
      <w:r>
        <w:rPr>
          <w:sz w:val="16"/>
          <w:szCs w:val="16"/>
        </w:rPr>
        <w:t xml:space="preserve">Scottish Trans and Non-binary Experiences Report (2024), Scottish Trans, available at: </w:t>
      </w:r>
      <w:hyperlink r:id="rId8">
        <w:r w:rsidRPr="00E23290">
          <w:rPr>
            <w:rStyle w:val="Hyperlink"/>
            <w:sz w:val="16"/>
            <w:szCs w:val="16"/>
          </w:rPr>
          <w:t>https://www.scottishtrans.org/wp-content/uploads/2024/07/Scottish-Trans-and-Nonbinary-Experiences-Research-Report.pdf</w:t>
        </w:r>
      </w:hyperlink>
    </w:p>
  </w:footnote>
  <w:footnote w:id="15">
    <w:p w14:paraId="70864847" w14:textId="59D50857" w:rsidR="007F7E9F" w:rsidRPr="00E23290" w:rsidRDefault="007F7E9F" w:rsidP="007F7E9F">
      <w:pPr>
        <w:pStyle w:val="FootnoteText"/>
        <w:rPr>
          <w:sz w:val="16"/>
          <w:szCs w:val="16"/>
        </w:rPr>
      </w:pPr>
      <w:r w:rsidRPr="00E23290">
        <w:rPr>
          <w:rStyle w:val="FootnoteReference"/>
          <w:sz w:val="16"/>
          <w:szCs w:val="16"/>
        </w:rPr>
        <w:footnoteRef/>
      </w:r>
      <w:r>
        <w:rPr>
          <w:sz w:val="16"/>
          <w:szCs w:val="16"/>
        </w:rPr>
        <w:t xml:space="preserve"> </w:t>
      </w:r>
      <w:hyperlink r:id="rId9" w:history="1">
        <w:r w:rsidRPr="00E23290">
          <w:rPr>
            <w:rStyle w:val="Hyperlink"/>
            <w:sz w:val="16"/>
            <w:szCs w:val="16"/>
          </w:rPr>
          <w:t>https://www.gov.scot/publications/labour-market-trends-november-2024/</w:t>
        </w:r>
      </w:hyperlink>
      <w:r w:rsidRPr="00E23290">
        <w:rPr>
          <w:sz w:val="16"/>
          <w:szCs w:val="16"/>
        </w:rPr>
        <w:t xml:space="preserve"> </w:t>
      </w:r>
    </w:p>
  </w:footnote>
  <w:footnote w:id="16">
    <w:p w14:paraId="6A8FB298" w14:textId="77777777" w:rsidR="007F7E9F" w:rsidRDefault="007F7E9F" w:rsidP="007F7E9F">
      <w:pPr>
        <w:pStyle w:val="FootnoteText"/>
      </w:pPr>
      <w:r w:rsidRPr="00E23290">
        <w:rPr>
          <w:rStyle w:val="FootnoteReference"/>
          <w:sz w:val="16"/>
          <w:szCs w:val="16"/>
        </w:rPr>
        <w:footnoteRef/>
      </w:r>
      <w:r w:rsidRPr="00E23290">
        <w:rPr>
          <w:sz w:val="16"/>
          <w:szCs w:val="16"/>
        </w:rPr>
        <w:t xml:space="preserve"> Trans People and Work: Survey Report (2021), LGBT Health and Wellbeing, available at: </w:t>
      </w:r>
      <w:hyperlink r:id="rId10" w:history="1">
        <w:r w:rsidRPr="00E23290">
          <w:rPr>
            <w:rStyle w:val="Hyperlink"/>
            <w:sz w:val="16"/>
            <w:szCs w:val="16"/>
          </w:rPr>
          <w:t>Trans-People-and-Work-Survey-Report-LGBT-Health-Aug-2021-FINAL.pdf</w:t>
        </w:r>
      </w:hyperlink>
      <w:r w:rsidRPr="00E23290">
        <w:rPr>
          <w:sz w:val="16"/>
          <w:szCs w:val="16"/>
        </w:rPr>
        <w:t xml:space="preserve"> </w:t>
      </w:r>
    </w:p>
  </w:footnote>
  <w:footnote w:id="17">
    <w:p w14:paraId="25C35327" w14:textId="77777777" w:rsidR="007F7E9F" w:rsidRPr="00E23290" w:rsidRDefault="007F7E9F" w:rsidP="007F7E9F">
      <w:pPr>
        <w:pStyle w:val="FootnoteText"/>
        <w:rPr>
          <w:sz w:val="16"/>
          <w:szCs w:val="16"/>
        </w:rPr>
      </w:pPr>
      <w:r w:rsidRPr="00E23290">
        <w:rPr>
          <w:rStyle w:val="FootnoteReference"/>
          <w:sz w:val="16"/>
          <w:szCs w:val="16"/>
        </w:rPr>
        <w:footnoteRef/>
      </w:r>
      <w:r w:rsidRPr="00E23290">
        <w:rPr>
          <w:sz w:val="16"/>
          <w:szCs w:val="16"/>
        </w:rPr>
        <w:t xml:space="preserve"> List of issues in relation to the seventh periodic report of the United Kingdom of Great Britain and Northern Ireland (2023), 16</w:t>
      </w:r>
    </w:p>
  </w:footnote>
  <w:footnote w:id="18">
    <w:p w14:paraId="5159C227" w14:textId="5CADDA5B" w:rsidR="007F7E9F" w:rsidRPr="00E23290" w:rsidRDefault="007F7E9F" w:rsidP="007F7E9F">
      <w:pPr>
        <w:pStyle w:val="FootnoteText"/>
        <w:rPr>
          <w:sz w:val="16"/>
          <w:szCs w:val="16"/>
        </w:rPr>
      </w:pPr>
      <w:r w:rsidRPr="00E23290">
        <w:rPr>
          <w:rStyle w:val="FootnoteReference"/>
          <w:sz w:val="16"/>
          <w:szCs w:val="16"/>
        </w:rPr>
        <w:footnoteRef/>
      </w:r>
      <w:r w:rsidRPr="00E23290">
        <w:rPr>
          <w:sz w:val="16"/>
          <w:szCs w:val="16"/>
        </w:rPr>
        <w:t xml:space="preserve"> </w:t>
      </w:r>
      <w:r>
        <w:rPr>
          <w:sz w:val="16"/>
          <w:szCs w:val="16"/>
        </w:rPr>
        <w:t xml:space="preserve">Scottish Trans and Non-binary Experiences Report (2024), Scottish Trans, available at: </w:t>
      </w:r>
      <w:hyperlink r:id="rId11">
        <w:r w:rsidRPr="00E23290">
          <w:rPr>
            <w:rStyle w:val="Hyperlink"/>
            <w:sz w:val="16"/>
            <w:szCs w:val="16"/>
          </w:rPr>
          <w:t>https://www.scottishtrans.org/wp-content/uploads/2024/07/Scottish-Trans-and-Nonbinary-Experiences-Research-Report.pdf</w:t>
        </w:r>
      </w:hyperlink>
    </w:p>
  </w:footnote>
  <w:footnote w:id="19">
    <w:p w14:paraId="7B7A3AD7" w14:textId="77777777" w:rsidR="007F7E9F" w:rsidRPr="00E23290" w:rsidRDefault="007F7E9F" w:rsidP="007F7E9F">
      <w:pPr>
        <w:pStyle w:val="FootnoteText"/>
        <w:rPr>
          <w:sz w:val="14"/>
          <w:szCs w:val="14"/>
        </w:rPr>
      </w:pPr>
      <w:r w:rsidRPr="00E23290">
        <w:rPr>
          <w:rStyle w:val="FootnoteReference"/>
          <w:sz w:val="16"/>
          <w:szCs w:val="16"/>
        </w:rPr>
        <w:footnoteRef/>
      </w:r>
      <w:r w:rsidRPr="00E23290">
        <w:rPr>
          <w:sz w:val="16"/>
          <w:szCs w:val="16"/>
        </w:rPr>
        <w:t xml:space="preserve"> </w:t>
      </w:r>
      <w:hyperlink r:id="rId12">
        <w:r w:rsidRPr="00E23290">
          <w:rPr>
            <w:rStyle w:val="Hyperlink"/>
            <w:sz w:val="16"/>
            <w:szCs w:val="16"/>
          </w:rPr>
          <w:t>https://livingwage.org.uk/precarious-pay-and-uncertain-hours-insecure-work-uk-labour-market</w:t>
        </w:r>
      </w:hyperlink>
    </w:p>
  </w:footnote>
  <w:footnote w:id="20">
    <w:p w14:paraId="1B3040CB" w14:textId="77777777" w:rsidR="007F7E9F" w:rsidRPr="00E23290" w:rsidRDefault="007F7E9F" w:rsidP="007F7E9F">
      <w:pPr>
        <w:pStyle w:val="FootnoteText"/>
        <w:rPr>
          <w:sz w:val="16"/>
          <w:szCs w:val="16"/>
        </w:rPr>
      </w:pPr>
      <w:r w:rsidRPr="00E23290">
        <w:rPr>
          <w:rStyle w:val="FootnoteReference"/>
          <w:sz w:val="16"/>
          <w:szCs w:val="16"/>
        </w:rPr>
        <w:footnoteRef/>
      </w:r>
      <w:r w:rsidRPr="00E23290">
        <w:rPr>
          <w:sz w:val="16"/>
          <w:szCs w:val="16"/>
        </w:rPr>
        <w:t xml:space="preserve"> List of issues in relation to the seventh periodic report of the United Kingdom of Great Britain and Northern Ireland (2023), 18</w:t>
      </w:r>
    </w:p>
  </w:footnote>
  <w:footnote w:id="21">
    <w:p w14:paraId="25327ACC" w14:textId="77777777" w:rsidR="007F7E9F" w:rsidRDefault="007F7E9F" w:rsidP="007F7E9F">
      <w:pPr>
        <w:pStyle w:val="FootnoteText"/>
      </w:pPr>
      <w:r w:rsidRPr="00E23290">
        <w:rPr>
          <w:rStyle w:val="FootnoteReference"/>
          <w:sz w:val="16"/>
          <w:szCs w:val="16"/>
        </w:rPr>
        <w:footnoteRef/>
      </w:r>
      <w:r>
        <w:rPr>
          <w:sz w:val="16"/>
          <w:szCs w:val="16"/>
        </w:rPr>
        <w:t xml:space="preserve"> LGBT In Britain – Work Report (2018), Stonewall, available at:</w:t>
      </w:r>
      <w:r w:rsidRPr="00E23290">
        <w:rPr>
          <w:sz w:val="16"/>
          <w:szCs w:val="16"/>
        </w:rPr>
        <w:t xml:space="preserve"> </w:t>
      </w:r>
      <w:hyperlink r:id="rId13" w:history="1">
        <w:r w:rsidRPr="00E23290">
          <w:rPr>
            <w:rStyle w:val="Hyperlink"/>
            <w:sz w:val="16"/>
            <w:szCs w:val="16"/>
          </w:rPr>
          <w:t>LGBT in Britain - Work Report (2018) | Stonewall</w:t>
        </w:r>
      </w:hyperlink>
    </w:p>
  </w:footnote>
  <w:footnote w:id="22">
    <w:p w14:paraId="1C9DAFCA" w14:textId="149EAC5A" w:rsidR="007F7E9F" w:rsidRPr="00E23290" w:rsidRDefault="007F7E9F" w:rsidP="007F7E9F">
      <w:pPr>
        <w:pStyle w:val="FootnoteText"/>
        <w:rPr>
          <w:sz w:val="16"/>
          <w:szCs w:val="16"/>
        </w:rPr>
      </w:pPr>
      <w:r w:rsidRPr="00E23290">
        <w:rPr>
          <w:rStyle w:val="FootnoteReference"/>
          <w:sz w:val="16"/>
          <w:szCs w:val="16"/>
        </w:rPr>
        <w:footnoteRef/>
      </w:r>
      <w:r w:rsidRPr="00E23290">
        <w:rPr>
          <w:sz w:val="16"/>
          <w:szCs w:val="16"/>
        </w:rPr>
        <w:t xml:space="preserve"> </w:t>
      </w:r>
      <w:r>
        <w:rPr>
          <w:sz w:val="16"/>
          <w:szCs w:val="16"/>
        </w:rPr>
        <w:t xml:space="preserve">Scottish Trans and Non-binary Experiences Report (2024), Scottish Trans, available at: </w:t>
      </w:r>
      <w:hyperlink r:id="rId14">
        <w:r w:rsidRPr="00E23290">
          <w:rPr>
            <w:rStyle w:val="Hyperlink"/>
            <w:sz w:val="16"/>
            <w:szCs w:val="16"/>
          </w:rPr>
          <w:t>https://www.scottishtrans.org/wp-content/uploads/2024/07/Scottish-Trans-and-Nonbinary-Experiences-Research-Report.pdf</w:t>
        </w:r>
      </w:hyperlink>
    </w:p>
  </w:footnote>
  <w:footnote w:id="23">
    <w:p w14:paraId="686D9D64" w14:textId="77777777" w:rsidR="007F7E9F" w:rsidRPr="00E23290" w:rsidRDefault="007F7E9F" w:rsidP="007F7E9F">
      <w:pPr>
        <w:pStyle w:val="FootnoteText"/>
        <w:rPr>
          <w:sz w:val="16"/>
          <w:szCs w:val="16"/>
        </w:rPr>
      </w:pPr>
      <w:r w:rsidRPr="00E23290">
        <w:rPr>
          <w:rStyle w:val="FootnoteReference"/>
          <w:sz w:val="16"/>
          <w:szCs w:val="16"/>
        </w:rPr>
        <w:footnoteRef/>
      </w:r>
      <w:r w:rsidRPr="00E23290">
        <w:rPr>
          <w:sz w:val="16"/>
          <w:szCs w:val="16"/>
        </w:rPr>
        <w:t xml:space="preserve"> List of issues in relation to the seventh periodic report of the United Kingdom of Great Britain and Northern Ireland (2023), 22-25</w:t>
      </w:r>
    </w:p>
  </w:footnote>
  <w:footnote w:id="24">
    <w:p w14:paraId="503BEA55" w14:textId="77777777" w:rsidR="007F7E9F" w:rsidRPr="004F67C8" w:rsidRDefault="007F7E9F" w:rsidP="007F7E9F">
      <w:pPr>
        <w:pStyle w:val="FootnoteText"/>
      </w:pPr>
      <w:r w:rsidRPr="00E23290">
        <w:rPr>
          <w:rStyle w:val="FootnoteReference"/>
          <w:sz w:val="16"/>
          <w:szCs w:val="16"/>
        </w:rPr>
        <w:footnoteRef/>
      </w:r>
      <w:r w:rsidRPr="00E23290">
        <w:rPr>
          <w:sz w:val="16"/>
          <w:szCs w:val="16"/>
        </w:rPr>
        <w:t xml:space="preserve"> Matthews et al, ‘LGBT+ Welfare and Assets in Great Britain’ (2024), available at: </w:t>
      </w:r>
      <w:hyperlink r:id="rId15" w:history="1">
        <w:r w:rsidRPr="00E23290">
          <w:rPr>
            <w:rStyle w:val="Hyperlink"/>
            <w:sz w:val="16"/>
            <w:szCs w:val="16"/>
          </w:rPr>
          <w:t>https://lgbtqwelfare.stir.ac.uk/wp-content/uploads/2024/12/LGBT-Welfare-and-Assets-in-Great-Britain-Main-Public-Output.pdf</w:t>
        </w:r>
      </w:hyperlink>
      <w:r w:rsidRPr="00E23290">
        <w:rPr>
          <w:sz w:val="16"/>
          <w:szCs w:val="16"/>
        </w:rPr>
        <w:t xml:space="preserve"> </w:t>
      </w:r>
    </w:p>
  </w:footnote>
  <w:footnote w:id="25">
    <w:p w14:paraId="25999306" w14:textId="03CB9D2E" w:rsidR="007F7E9F" w:rsidRPr="00E23290" w:rsidRDefault="007F7E9F" w:rsidP="007F7E9F">
      <w:pPr>
        <w:pStyle w:val="FootnoteText"/>
        <w:rPr>
          <w:sz w:val="16"/>
          <w:szCs w:val="16"/>
        </w:rPr>
      </w:pPr>
      <w:r w:rsidRPr="00E23290">
        <w:rPr>
          <w:rStyle w:val="FootnoteReference"/>
          <w:sz w:val="16"/>
          <w:szCs w:val="16"/>
        </w:rPr>
        <w:footnoteRef/>
      </w:r>
      <w:r w:rsidRPr="00E23290">
        <w:rPr>
          <w:sz w:val="16"/>
          <w:szCs w:val="16"/>
        </w:rPr>
        <w:t xml:space="preserve"> </w:t>
      </w:r>
      <w:r>
        <w:rPr>
          <w:sz w:val="16"/>
          <w:szCs w:val="16"/>
        </w:rPr>
        <w:t xml:space="preserve">Scottish Trans and Non-binary Experiences Report (2024), Scottish Trans, available at: </w:t>
      </w:r>
      <w:hyperlink r:id="rId16">
        <w:r w:rsidRPr="00E23290">
          <w:rPr>
            <w:rStyle w:val="Hyperlink"/>
            <w:sz w:val="16"/>
            <w:szCs w:val="16"/>
          </w:rPr>
          <w:t>https://www.scottishtrans.org/wp-content/uploads/2024/07/Scottish-Trans-and-Nonbinary-Experiences-Research-Report.pdf</w:t>
        </w:r>
      </w:hyperlink>
    </w:p>
  </w:footnote>
  <w:footnote w:id="26">
    <w:p w14:paraId="0FAA2659" w14:textId="77777777" w:rsidR="007F7E9F" w:rsidRPr="00E23290" w:rsidRDefault="007F7E9F" w:rsidP="007F7E9F">
      <w:pPr>
        <w:pStyle w:val="FootnoteText"/>
        <w:rPr>
          <w:sz w:val="16"/>
          <w:szCs w:val="16"/>
        </w:rPr>
      </w:pPr>
      <w:r w:rsidRPr="00E23290">
        <w:rPr>
          <w:rStyle w:val="FootnoteReference"/>
          <w:sz w:val="16"/>
          <w:szCs w:val="16"/>
        </w:rPr>
        <w:footnoteRef/>
      </w:r>
      <w:r w:rsidRPr="00E23290">
        <w:rPr>
          <w:sz w:val="16"/>
          <w:szCs w:val="16"/>
        </w:rPr>
        <w:t xml:space="preserve"> Matthews et al, ‘LGBT+ Welfare and Assets in Great Britain’ (2024), available at: </w:t>
      </w:r>
      <w:hyperlink r:id="rId17" w:history="1">
        <w:r w:rsidRPr="00E23290">
          <w:rPr>
            <w:rStyle w:val="Hyperlink"/>
            <w:sz w:val="16"/>
            <w:szCs w:val="16"/>
          </w:rPr>
          <w:t>https://lgbtqwelfare.stir.ac.uk/wp-content/uploads/2024/12/LGBT-Welfare-and-Assets-in-Great-Britain-Main-Public-Output.pdf</w:t>
        </w:r>
      </w:hyperlink>
      <w:r w:rsidRPr="00E23290">
        <w:rPr>
          <w:sz w:val="16"/>
          <w:szCs w:val="16"/>
        </w:rPr>
        <w:t xml:space="preserve"> </w:t>
      </w:r>
    </w:p>
  </w:footnote>
  <w:footnote w:id="27">
    <w:p w14:paraId="0D8DDDA8" w14:textId="77777777" w:rsidR="007F7E9F" w:rsidRDefault="007F7E9F" w:rsidP="007F7E9F">
      <w:pPr>
        <w:pStyle w:val="FootnoteText"/>
      </w:pPr>
      <w:r w:rsidRPr="00E23290">
        <w:rPr>
          <w:rStyle w:val="FootnoteReference"/>
          <w:sz w:val="16"/>
          <w:szCs w:val="16"/>
        </w:rPr>
        <w:footnoteRef/>
      </w:r>
      <w:r w:rsidRPr="00E23290">
        <w:rPr>
          <w:sz w:val="16"/>
          <w:szCs w:val="16"/>
        </w:rPr>
        <w:t xml:space="preserve"> List of issues in relation to the seventh periodic report of the United Kingdom of Great Britain and Northern Ireland (2023), 29</w:t>
      </w:r>
    </w:p>
  </w:footnote>
  <w:footnote w:id="28">
    <w:p w14:paraId="167D27C9" w14:textId="77777777" w:rsidR="007F7E9F" w:rsidRDefault="007F7E9F" w:rsidP="007F7E9F">
      <w:pPr>
        <w:pStyle w:val="FootnoteText"/>
      </w:pPr>
      <w:r w:rsidRPr="00E23290">
        <w:rPr>
          <w:rStyle w:val="FootnoteReference"/>
          <w:sz w:val="16"/>
          <w:szCs w:val="16"/>
        </w:rPr>
        <w:footnoteRef/>
      </w:r>
      <w:r w:rsidRPr="00E23290">
        <w:rPr>
          <w:sz w:val="16"/>
          <w:szCs w:val="16"/>
        </w:rPr>
        <w:t xml:space="preserve"> Equality and Human Rights Commission Scotland ‘Equality and Human Rights Monitor: Is Scotland Fairer?’ (2023), available at: </w:t>
      </w:r>
      <w:hyperlink r:id="rId18" w:history="1">
        <w:r w:rsidRPr="00E23290">
          <w:rPr>
            <w:rStyle w:val="Hyperlink"/>
            <w:sz w:val="16"/>
            <w:szCs w:val="16"/>
          </w:rPr>
          <w:t>Equality and Human Rights Monitor: Is Scotland Fairer?</w:t>
        </w:r>
      </w:hyperlink>
      <w:r w:rsidRPr="00E23290">
        <w:rPr>
          <w:sz w:val="16"/>
          <w:szCs w:val="16"/>
        </w:rPr>
        <w:t xml:space="preserve"> </w:t>
      </w:r>
    </w:p>
  </w:footnote>
  <w:footnote w:id="29">
    <w:p w14:paraId="020594FF" w14:textId="77777777" w:rsidR="00573954" w:rsidRPr="00E23290" w:rsidRDefault="00573954" w:rsidP="00573954">
      <w:pPr>
        <w:pStyle w:val="FootnoteText"/>
        <w:rPr>
          <w:sz w:val="16"/>
          <w:szCs w:val="16"/>
        </w:rPr>
      </w:pPr>
      <w:r w:rsidRPr="00E23290">
        <w:rPr>
          <w:rStyle w:val="FootnoteReference"/>
          <w:sz w:val="16"/>
          <w:szCs w:val="16"/>
        </w:rPr>
        <w:footnoteRef/>
      </w:r>
      <w:r w:rsidRPr="00E23290">
        <w:rPr>
          <w:sz w:val="16"/>
          <w:szCs w:val="16"/>
        </w:rPr>
        <w:t xml:space="preserve"> </w:t>
      </w:r>
      <w:r>
        <w:rPr>
          <w:sz w:val="16"/>
          <w:szCs w:val="16"/>
        </w:rPr>
        <w:t xml:space="preserve">Scottish Trans and Non-binary Experiences Report (2024), Scottish Trans, available at: </w:t>
      </w:r>
      <w:hyperlink r:id="rId19">
        <w:r w:rsidRPr="00E23290">
          <w:rPr>
            <w:rStyle w:val="Hyperlink"/>
            <w:sz w:val="16"/>
            <w:szCs w:val="16"/>
          </w:rPr>
          <w:t>https://www.scottishtrans.org/wp-content/uploads/2024/07/Scottish-Trans-and-Nonbinary-Experiences-Research-Report.pdf</w:t>
        </w:r>
      </w:hyperlink>
    </w:p>
  </w:footnote>
  <w:footnote w:id="30">
    <w:p w14:paraId="7F699A75" w14:textId="77777777" w:rsidR="007F7E9F" w:rsidRPr="00E23290" w:rsidRDefault="007F7E9F" w:rsidP="007F7E9F">
      <w:pPr>
        <w:pStyle w:val="FootnoteText"/>
        <w:rPr>
          <w:sz w:val="16"/>
          <w:szCs w:val="16"/>
        </w:rPr>
      </w:pPr>
      <w:r w:rsidRPr="00E23290">
        <w:rPr>
          <w:rStyle w:val="FootnoteReference"/>
          <w:sz w:val="16"/>
          <w:szCs w:val="16"/>
        </w:rPr>
        <w:footnoteRef/>
      </w:r>
      <w:r w:rsidRPr="00E23290">
        <w:rPr>
          <w:sz w:val="16"/>
          <w:szCs w:val="16"/>
        </w:rPr>
        <w:t xml:space="preserve"> List of issues in relation to the seventh periodic report of the United Kingdom of Great Britain and Northern Ireland (2023), 30</w:t>
      </w:r>
    </w:p>
  </w:footnote>
  <w:footnote w:id="31">
    <w:p w14:paraId="1157667B" w14:textId="77777777" w:rsidR="007F7E9F" w:rsidRPr="00E23290" w:rsidRDefault="007F7E9F" w:rsidP="007F7E9F">
      <w:pPr>
        <w:pStyle w:val="FootnoteText"/>
        <w:rPr>
          <w:sz w:val="16"/>
          <w:szCs w:val="16"/>
        </w:rPr>
      </w:pPr>
      <w:r w:rsidRPr="00E23290">
        <w:rPr>
          <w:rStyle w:val="FootnoteReference"/>
          <w:sz w:val="16"/>
          <w:szCs w:val="16"/>
        </w:rPr>
        <w:footnoteRef/>
      </w:r>
      <w:r w:rsidRPr="00E23290">
        <w:rPr>
          <w:sz w:val="16"/>
          <w:szCs w:val="16"/>
        </w:rPr>
        <w:t xml:space="preserve"> </w:t>
      </w:r>
      <w:hyperlink r:id="rId20" w:history="1">
        <w:r w:rsidRPr="00E23290">
          <w:rPr>
            <w:rStyle w:val="Hyperlink"/>
            <w:sz w:val="16"/>
            <w:szCs w:val="16"/>
          </w:rPr>
          <w:t>Equality-Network-Consultation-Response-A-Human-Rights-Bill-for-Scotland-4th-October-2023-.pdf</w:t>
        </w:r>
      </w:hyperlink>
    </w:p>
  </w:footnote>
  <w:footnote w:id="32">
    <w:p w14:paraId="6103266B" w14:textId="77777777" w:rsidR="007F7E9F" w:rsidRPr="00E23290" w:rsidRDefault="007F7E9F" w:rsidP="007F7E9F">
      <w:pPr>
        <w:pStyle w:val="FootnoteText"/>
        <w:rPr>
          <w:sz w:val="16"/>
          <w:szCs w:val="16"/>
        </w:rPr>
      </w:pPr>
      <w:r w:rsidRPr="00E23290">
        <w:rPr>
          <w:rStyle w:val="FootnoteReference"/>
          <w:sz w:val="16"/>
          <w:szCs w:val="16"/>
        </w:rPr>
        <w:footnoteRef/>
      </w:r>
      <w:r w:rsidRPr="00E23290">
        <w:rPr>
          <w:sz w:val="16"/>
          <w:szCs w:val="16"/>
        </w:rPr>
        <w:t xml:space="preserve"> Concluding Observations Finland (2021), E/C.12/FIN/CO/7, para 39(b)</w:t>
      </w:r>
    </w:p>
  </w:footnote>
  <w:footnote w:id="33">
    <w:p w14:paraId="50E5B761" w14:textId="77777777" w:rsidR="007F7E9F" w:rsidRDefault="007F7E9F" w:rsidP="007F7E9F">
      <w:pPr>
        <w:pStyle w:val="FootnoteText"/>
      </w:pPr>
      <w:r w:rsidRPr="00E23290">
        <w:rPr>
          <w:rStyle w:val="FootnoteReference"/>
          <w:sz w:val="16"/>
          <w:szCs w:val="16"/>
        </w:rPr>
        <w:footnoteRef/>
      </w:r>
      <w:r>
        <w:rPr>
          <w:sz w:val="16"/>
          <w:szCs w:val="16"/>
        </w:rPr>
        <w:t xml:space="preserve"> Health needs assessment of LGBT+ people: Summary infographic report (2022), LGBT Health and Wellbeing, available at:</w:t>
      </w:r>
      <w:r w:rsidRPr="00E23290">
        <w:rPr>
          <w:sz w:val="16"/>
          <w:szCs w:val="16"/>
        </w:rPr>
        <w:t xml:space="preserve"> </w:t>
      </w:r>
      <w:hyperlink r:id="rId21" w:history="1">
        <w:r w:rsidRPr="00E23290">
          <w:rPr>
            <w:rStyle w:val="Hyperlink"/>
            <w:sz w:val="16"/>
            <w:szCs w:val="16"/>
          </w:rPr>
          <w:t>https://www.lgbthealth.org.uk/wp-content/uploads/2022/10/Health-Needs-Assessment-of-LGBT-People-Scotland_Infographic-Summary-Final3-13-June-2022.pdf</w:t>
        </w:r>
      </w:hyperlink>
      <w:r w:rsidRPr="00E23290">
        <w:rPr>
          <w:sz w:val="16"/>
          <w:szCs w:val="16"/>
        </w:rPr>
        <w:t xml:space="preserve"> </w:t>
      </w:r>
    </w:p>
  </w:footnote>
  <w:footnote w:id="34">
    <w:p w14:paraId="17B8DC48" w14:textId="4CA307ED" w:rsidR="007F7E9F" w:rsidRDefault="007F7E9F" w:rsidP="007F7E9F">
      <w:pPr>
        <w:pStyle w:val="FootnoteText"/>
      </w:pPr>
      <w:r w:rsidRPr="00E23290">
        <w:rPr>
          <w:rStyle w:val="FootnoteReference"/>
          <w:sz w:val="16"/>
          <w:szCs w:val="16"/>
        </w:rPr>
        <w:footnoteRef/>
      </w:r>
      <w:r w:rsidRPr="00E23290">
        <w:rPr>
          <w:sz w:val="16"/>
          <w:szCs w:val="16"/>
        </w:rPr>
        <w:t xml:space="preserve"> </w:t>
      </w:r>
      <w:r>
        <w:rPr>
          <w:sz w:val="16"/>
          <w:szCs w:val="16"/>
        </w:rPr>
        <w:t xml:space="preserve">Scottish Trans and Non-binary Experiences Report (2024), Scottish Trans, available at: </w:t>
      </w:r>
      <w:hyperlink r:id="rId22">
        <w:r w:rsidRPr="00E23290">
          <w:rPr>
            <w:rStyle w:val="Hyperlink"/>
            <w:sz w:val="16"/>
            <w:szCs w:val="16"/>
          </w:rPr>
          <w:t>https://www.scottishtrans.org/wp-content/uploads/2024/07/Scottish-Trans-and-Nonbinary-Experiences-Research-Report.pdf</w:t>
        </w:r>
      </w:hyperlink>
    </w:p>
  </w:footnote>
  <w:footnote w:id="35">
    <w:p w14:paraId="29E77A0B" w14:textId="77777777" w:rsidR="007F7E9F" w:rsidRPr="00E23290" w:rsidRDefault="007F7E9F" w:rsidP="007F7E9F">
      <w:pPr>
        <w:pStyle w:val="FootnoteText"/>
        <w:rPr>
          <w:sz w:val="16"/>
          <w:szCs w:val="16"/>
        </w:rPr>
      </w:pPr>
      <w:r w:rsidRPr="00E23290">
        <w:rPr>
          <w:rStyle w:val="FootnoteReference"/>
          <w:sz w:val="16"/>
          <w:szCs w:val="16"/>
        </w:rPr>
        <w:footnoteRef/>
      </w:r>
      <w:r w:rsidRPr="00E23290">
        <w:rPr>
          <w:sz w:val="16"/>
          <w:szCs w:val="16"/>
        </w:rPr>
        <w:t xml:space="preserve"> </w:t>
      </w:r>
      <w:hyperlink r:id="rId23" w:history="1">
        <w:r w:rsidRPr="00E23290">
          <w:rPr>
            <w:rStyle w:val="Hyperlink"/>
            <w:sz w:val="16"/>
            <w:szCs w:val="16"/>
          </w:rPr>
          <w:t>https://www.gov.scot/publications/ending-homelessness-together-monitor-strategic-outcomes-indicators-2024/</w:t>
        </w:r>
      </w:hyperlink>
      <w:r w:rsidRPr="00E23290">
        <w:rPr>
          <w:sz w:val="16"/>
          <w:szCs w:val="16"/>
        </w:rPr>
        <w:t xml:space="preserve"> </w:t>
      </w:r>
    </w:p>
  </w:footnote>
  <w:footnote w:id="36">
    <w:p w14:paraId="3041C134" w14:textId="6A297774" w:rsidR="007F7E9F" w:rsidRPr="00E23290" w:rsidRDefault="007F7E9F" w:rsidP="007F7E9F">
      <w:pPr>
        <w:pStyle w:val="FootnoteText"/>
        <w:rPr>
          <w:sz w:val="16"/>
          <w:szCs w:val="16"/>
        </w:rPr>
      </w:pPr>
      <w:r w:rsidRPr="00E23290">
        <w:rPr>
          <w:rStyle w:val="FootnoteReference"/>
          <w:sz w:val="16"/>
          <w:szCs w:val="16"/>
        </w:rPr>
        <w:footnoteRef/>
      </w:r>
      <w:r w:rsidRPr="00E23290">
        <w:rPr>
          <w:sz w:val="16"/>
          <w:szCs w:val="16"/>
        </w:rPr>
        <w:t xml:space="preserve"> </w:t>
      </w:r>
      <w:r>
        <w:rPr>
          <w:sz w:val="16"/>
          <w:szCs w:val="16"/>
        </w:rPr>
        <w:t xml:space="preserve">Experiences of LGBT asylum seekers and refugees in Scotland </w:t>
      </w:r>
      <w:r w:rsidRPr="00E23290">
        <w:rPr>
          <w:sz w:val="16"/>
          <w:szCs w:val="16"/>
        </w:rPr>
        <w:t>(202</w:t>
      </w:r>
      <w:r>
        <w:rPr>
          <w:sz w:val="16"/>
          <w:szCs w:val="16"/>
        </w:rPr>
        <w:t>3</w:t>
      </w:r>
      <w:r w:rsidRPr="00E23290">
        <w:rPr>
          <w:sz w:val="16"/>
          <w:szCs w:val="16"/>
        </w:rPr>
        <w:t>), LGBT Health and Wellbeing, available at</w:t>
      </w:r>
      <w:r>
        <w:t xml:space="preserve"> </w:t>
      </w:r>
      <w:hyperlink r:id="rId24">
        <w:r w:rsidRPr="00E23290">
          <w:rPr>
            <w:rStyle w:val="Hyperlink"/>
            <w:sz w:val="16"/>
            <w:szCs w:val="16"/>
          </w:rPr>
          <w:t>https://www.lgbthealth.org.uk/wp-content/uploads/2023/07/Refugee-Report-Final-E-Copy.pdf</w:t>
        </w:r>
      </w:hyperlink>
    </w:p>
  </w:footnote>
  <w:footnote w:id="37">
    <w:p w14:paraId="659DAD1F" w14:textId="77777777" w:rsidR="007F7E9F" w:rsidRPr="00E23290" w:rsidRDefault="007F7E9F" w:rsidP="007F7E9F">
      <w:pPr>
        <w:pStyle w:val="FootnoteText"/>
        <w:rPr>
          <w:sz w:val="16"/>
          <w:szCs w:val="16"/>
        </w:rPr>
      </w:pPr>
      <w:r w:rsidRPr="00E23290">
        <w:rPr>
          <w:rStyle w:val="FootnoteReference"/>
          <w:sz w:val="16"/>
          <w:szCs w:val="16"/>
        </w:rPr>
        <w:footnoteRef/>
      </w:r>
      <w:r w:rsidRPr="00E23290">
        <w:rPr>
          <w:sz w:val="16"/>
          <w:szCs w:val="16"/>
        </w:rPr>
        <w:t xml:space="preserve"> List of issues in relation to the seventh periodic report of the United Kingdom of Great Britain and Northern Ireland (2023), 33</w:t>
      </w:r>
    </w:p>
  </w:footnote>
  <w:footnote w:id="38">
    <w:p w14:paraId="6D07782B" w14:textId="35084DF3" w:rsidR="007F7E9F" w:rsidRPr="00E23290" w:rsidRDefault="007F7E9F" w:rsidP="007F7E9F">
      <w:pPr>
        <w:pStyle w:val="FootnoteText"/>
        <w:rPr>
          <w:sz w:val="16"/>
          <w:szCs w:val="16"/>
        </w:rPr>
      </w:pPr>
      <w:r w:rsidRPr="00E23290">
        <w:rPr>
          <w:rStyle w:val="FootnoteReference"/>
          <w:sz w:val="16"/>
          <w:szCs w:val="16"/>
        </w:rPr>
        <w:footnoteRef/>
      </w:r>
      <w:r w:rsidRPr="00E23290">
        <w:rPr>
          <w:sz w:val="16"/>
          <w:szCs w:val="16"/>
        </w:rPr>
        <w:t xml:space="preserve"> </w:t>
      </w:r>
      <w:r>
        <w:rPr>
          <w:sz w:val="16"/>
          <w:szCs w:val="16"/>
        </w:rPr>
        <w:t>Health needs assessment of LGBT+ people: Summary infographic report (2022), LGBT Health and Wellbeing, available at:</w:t>
      </w:r>
      <w:r w:rsidRPr="00E23290">
        <w:rPr>
          <w:sz w:val="16"/>
          <w:szCs w:val="16"/>
        </w:rPr>
        <w:t xml:space="preserve"> </w:t>
      </w:r>
      <w:hyperlink r:id="rId25" w:history="1">
        <w:r w:rsidRPr="00E23290">
          <w:rPr>
            <w:rStyle w:val="Hyperlink"/>
            <w:sz w:val="16"/>
            <w:szCs w:val="16"/>
          </w:rPr>
          <w:t>https://www.lgbthealth.org.uk/wp-content/uploads/2022/10/Health-Needs-Assessment-of-LGBT-People-Scotland_Infographic-Summary-Final3-13-June-2022.pdf</w:t>
        </w:r>
      </w:hyperlink>
      <w:r w:rsidRPr="00E23290">
        <w:rPr>
          <w:sz w:val="16"/>
          <w:szCs w:val="16"/>
        </w:rPr>
        <w:t xml:space="preserve"> </w:t>
      </w:r>
    </w:p>
  </w:footnote>
  <w:footnote w:id="39">
    <w:p w14:paraId="5299F7C4" w14:textId="77777777" w:rsidR="007F7E9F" w:rsidRDefault="007F7E9F" w:rsidP="007F7E9F">
      <w:pPr>
        <w:pStyle w:val="FootnoteText"/>
      </w:pPr>
      <w:r w:rsidRPr="00E23290">
        <w:rPr>
          <w:rStyle w:val="FootnoteReference"/>
          <w:sz w:val="16"/>
          <w:szCs w:val="16"/>
        </w:rPr>
        <w:footnoteRef/>
      </w:r>
      <w:r w:rsidRPr="00E23290">
        <w:rPr>
          <w:sz w:val="16"/>
          <w:szCs w:val="16"/>
        </w:rPr>
        <w:t xml:space="preserve"> Scottish Health Survey 2020, available at: </w:t>
      </w:r>
      <w:hyperlink r:id="rId26" w:history="1">
        <w:r w:rsidRPr="00D0088D">
          <w:rPr>
            <w:rStyle w:val="Hyperlink"/>
            <w:sz w:val="16"/>
            <w:szCs w:val="16"/>
          </w:rPr>
          <w:t>https://www.gov.scot/publications/scottish-health-survey-2021-volume-1-main-report/</w:t>
        </w:r>
      </w:hyperlink>
      <w:r>
        <w:rPr>
          <w:sz w:val="16"/>
          <w:szCs w:val="16"/>
        </w:rPr>
        <w:t xml:space="preserve"> </w:t>
      </w:r>
    </w:p>
  </w:footnote>
  <w:footnote w:id="40">
    <w:p w14:paraId="77C2F4A3" w14:textId="77777777" w:rsidR="007F7E9F" w:rsidRPr="00C76293" w:rsidRDefault="007F7E9F" w:rsidP="007F7E9F">
      <w:pPr>
        <w:pStyle w:val="FootnoteText"/>
      </w:pPr>
      <w:r w:rsidRPr="00E23290">
        <w:rPr>
          <w:rStyle w:val="FootnoteReference"/>
          <w:sz w:val="16"/>
          <w:szCs w:val="16"/>
        </w:rPr>
        <w:footnoteRef/>
      </w:r>
      <w:r w:rsidRPr="00E23290">
        <w:rPr>
          <w:sz w:val="16"/>
          <w:szCs w:val="16"/>
        </w:rPr>
        <w:t xml:space="preserve"> </w:t>
      </w:r>
      <w:hyperlink r:id="rId27">
        <w:r w:rsidRPr="00E23290">
          <w:rPr>
            <w:rStyle w:val="Hyperlink"/>
            <w:sz w:val="16"/>
            <w:szCs w:val="16"/>
          </w:rPr>
          <w:t>https://www.equality-network.org/resources/equality-networks-response-to-the-human-rights-bill-for-scotland-consultation/</w:t>
        </w:r>
      </w:hyperlink>
    </w:p>
  </w:footnote>
  <w:footnote w:id="41">
    <w:p w14:paraId="0D301AA3" w14:textId="77777777" w:rsidR="007F7E9F" w:rsidRPr="00E23290" w:rsidRDefault="007F7E9F" w:rsidP="007F7E9F">
      <w:pPr>
        <w:pStyle w:val="FootnoteText"/>
        <w:rPr>
          <w:sz w:val="16"/>
          <w:szCs w:val="16"/>
        </w:rPr>
      </w:pPr>
      <w:r w:rsidRPr="00E23290">
        <w:rPr>
          <w:rStyle w:val="FootnoteReference"/>
          <w:sz w:val="16"/>
          <w:szCs w:val="16"/>
        </w:rPr>
        <w:footnoteRef/>
      </w:r>
      <w:r w:rsidRPr="00E23290">
        <w:rPr>
          <w:sz w:val="16"/>
          <w:szCs w:val="16"/>
        </w:rPr>
        <w:t xml:space="preserve"> Equality and Human Rights Commission Scotland ‘Equality and Human Rights Monitor: Is Scotland Fairer?’ (2023), available at: </w:t>
      </w:r>
      <w:hyperlink r:id="rId28" w:history="1">
        <w:r w:rsidRPr="00E23290">
          <w:rPr>
            <w:rStyle w:val="Hyperlink"/>
            <w:sz w:val="16"/>
            <w:szCs w:val="16"/>
          </w:rPr>
          <w:t>Equality and Human Rights Monitor: Is Scotland Fairer?</w:t>
        </w:r>
      </w:hyperlink>
      <w:r w:rsidRPr="00E23290">
        <w:rPr>
          <w:sz w:val="16"/>
          <w:szCs w:val="16"/>
        </w:rPr>
        <w:t xml:space="preserve"> </w:t>
      </w:r>
    </w:p>
  </w:footnote>
  <w:footnote w:id="42">
    <w:p w14:paraId="097A97CA" w14:textId="77777777" w:rsidR="007F7E9F" w:rsidRPr="00E23290" w:rsidRDefault="007F7E9F" w:rsidP="007F7E9F">
      <w:pPr>
        <w:pStyle w:val="FootnoteText"/>
        <w:rPr>
          <w:sz w:val="16"/>
          <w:szCs w:val="16"/>
        </w:rPr>
      </w:pPr>
      <w:r w:rsidRPr="00E23290">
        <w:rPr>
          <w:rStyle w:val="FootnoteReference"/>
          <w:sz w:val="16"/>
          <w:szCs w:val="16"/>
        </w:rPr>
        <w:footnoteRef/>
      </w:r>
      <w:r w:rsidRPr="00E23290">
        <w:rPr>
          <w:sz w:val="16"/>
          <w:szCs w:val="16"/>
        </w:rPr>
        <w:t xml:space="preserve"> List of issues in relation to the seventh periodic report of the United Kingdom of Great Britain and Northern Ireland (2023), 34</w:t>
      </w:r>
    </w:p>
  </w:footnote>
  <w:footnote w:id="43">
    <w:p w14:paraId="3F1DD92E" w14:textId="77777777" w:rsidR="007F7E9F" w:rsidRPr="00E23290" w:rsidRDefault="007F7E9F" w:rsidP="007F7E9F">
      <w:pPr>
        <w:pStyle w:val="FootnoteText"/>
        <w:rPr>
          <w:sz w:val="16"/>
          <w:szCs w:val="16"/>
        </w:rPr>
      </w:pPr>
      <w:r w:rsidRPr="00E23290">
        <w:rPr>
          <w:rStyle w:val="FootnoteReference"/>
          <w:sz w:val="16"/>
          <w:szCs w:val="16"/>
        </w:rPr>
        <w:footnoteRef/>
      </w:r>
      <w:r w:rsidRPr="00E23290">
        <w:rPr>
          <w:sz w:val="16"/>
          <w:szCs w:val="16"/>
        </w:rPr>
        <w:t xml:space="preserve"> Let’s Be Heard: LGBTI Experiences of the Covid-19 Pandemic (2024), Equality Network, available at: </w:t>
      </w:r>
      <w:hyperlink r:id="rId29" w:history="1">
        <w:r w:rsidRPr="00E23290">
          <w:rPr>
            <w:rStyle w:val="Hyperlink"/>
            <w:sz w:val="16"/>
            <w:szCs w:val="16"/>
          </w:rPr>
          <w:t>https://www.equality-network.org/wp-content/uploads/2024/11/LBH-Report-final-EN.pdf</w:t>
        </w:r>
      </w:hyperlink>
      <w:r w:rsidRPr="00E23290">
        <w:rPr>
          <w:sz w:val="16"/>
          <w:szCs w:val="16"/>
        </w:rPr>
        <w:t xml:space="preserve"> </w:t>
      </w:r>
    </w:p>
  </w:footnote>
  <w:footnote w:id="44">
    <w:p w14:paraId="77218769" w14:textId="77777777" w:rsidR="007F7E9F" w:rsidRDefault="007F7E9F" w:rsidP="007F7E9F">
      <w:pPr>
        <w:pStyle w:val="FootnoteText"/>
      </w:pPr>
      <w:r w:rsidRPr="00E23290">
        <w:rPr>
          <w:rStyle w:val="FootnoteReference"/>
          <w:sz w:val="16"/>
          <w:szCs w:val="16"/>
        </w:rPr>
        <w:footnoteRef/>
      </w:r>
      <w:r w:rsidRPr="00E23290">
        <w:rPr>
          <w:sz w:val="16"/>
          <w:szCs w:val="16"/>
        </w:rPr>
        <w:t xml:space="preserve"> Further Out: The Scottish LGBT Rural Equality Report (2020), Equality Network, available at: </w:t>
      </w:r>
      <w:hyperlink r:id="rId30" w:history="1">
        <w:r w:rsidRPr="00E23290">
          <w:rPr>
            <w:rStyle w:val="Hyperlink"/>
            <w:sz w:val="16"/>
            <w:szCs w:val="16"/>
          </w:rPr>
          <w:t>https://www.equality-network.org/wp-content/uploads/2020/10/LGBT-Rural-Report.pdf</w:t>
        </w:r>
      </w:hyperlink>
      <w:r w:rsidRPr="00E23290">
        <w:rPr>
          <w:sz w:val="16"/>
          <w:szCs w:val="16"/>
        </w:rPr>
        <w:t xml:space="preserve"> </w:t>
      </w:r>
    </w:p>
  </w:footnote>
  <w:footnote w:id="45">
    <w:p w14:paraId="5C54AED8" w14:textId="77777777" w:rsidR="007F7E9F" w:rsidRPr="00E23290" w:rsidRDefault="007F7E9F" w:rsidP="007F7E9F">
      <w:pPr>
        <w:pStyle w:val="FootnoteText"/>
        <w:rPr>
          <w:sz w:val="16"/>
          <w:szCs w:val="16"/>
        </w:rPr>
      </w:pPr>
      <w:r w:rsidRPr="00E23290">
        <w:rPr>
          <w:rStyle w:val="FootnoteReference"/>
          <w:sz w:val="16"/>
          <w:szCs w:val="16"/>
        </w:rPr>
        <w:footnoteRef/>
      </w:r>
      <w:r w:rsidRPr="00E23290">
        <w:rPr>
          <w:sz w:val="16"/>
          <w:szCs w:val="16"/>
        </w:rPr>
        <w:t xml:space="preserve"> </w:t>
      </w:r>
      <w:r>
        <w:rPr>
          <w:sz w:val="16"/>
          <w:szCs w:val="16"/>
        </w:rPr>
        <w:t xml:space="preserve">NHS Gender Identity Clinic Waiting Times Report (2024), Public Health Scotland, available at: </w:t>
      </w:r>
      <w:hyperlink r:id="rId31" w:history="1">
        <w:r w:rsidRPr="00040B92">
          <w:rPr>
            <w:rStyle w:val="Hyperlink"/>
            <w:sz w:val="16"/>
            <w:szCs w:val="16"/>
          </w:rPr>
          <w:t>https://www.publichealthscotland.scot/media/29798/2024-11-05-nhs-gender-identity-clinic-waiting-times_report.pdf</w:t>
        </w:r>
      </w:hyperlink>
      <w:r w:rsidRPr="00E23290">
        <w:rPr>
          <w:sz w:val="16"/>
          <w:szCs w:val="16"/>
        </w:rPr>
        <w:t xml:space="preserve"> </w:t>
      </w:r>
    </w:p>
  </w:footnote>
  <w:footnote w:id="46">
    <w:p w14:paraId="37C47D4B" w14:textId="77777777" w:rsidR="007F7E9F" w:rsidRPr="00E23290" w:rsidRDefault="007F7E9F" w:rsidP="007F7E9F">
      <w:pPr>
        <w:pStyle w:val="FootnoteText"/>
        <w:rPr>
          <w:sz w:val="16"/>
          <w:szCs w:val="16"/>
        </w:rPr>
      </w:pPr>
      <w:r w:rsidRPr="00E23290">
        <w:rPr>
          <w:rStyle w:val="FootnoteReference"/>
          <w:sz w:val="16"/>
          <w:szCs w:val="16"/>
        </w:rPr>
        <w:footnoteRef/>
      </w:r>
      <w:r w:rsidRPr="00E23290">
        <w:rPr>
          <w:sz w:val="16"/>
          <w:szCs w:val="16"/>
        </w:rPr>
        <w:t xml:space="preserve"> Ibid</w:t>
      </w:r>
    </w:p>
  </w:footnote>
  <w:footnote w:id="47">
    <w:p w14:paraId="08078482" w14:textId="77777777" w:rsidR="007F7E9F" w:rsidRPr="00E23290" w:rsidRDefault="007F7E9F" w:rsidP="007F7E9F">
      <w:pPr>
        <w:pStyle w:val="FootnoteText"/>
      </w:pPr>
      <w:r w:rsidRPr="00E23290">
        <w:rPr>
          <w:rStyle w:val="FootnoteReference"/>
          <w:sz w:val="16"/>
          <w:szCs w:val="16"/>
        </w:rPr>
        <w:footnoteRef/>
      </w:r>
      <w:r w:rsidRPr="00E23290">
        <w:rPr>
          <w:sz w:val="16"/>
          <w:szCs w:val="16"/>
        </w:rPr>
        <w:t xml:space="preserve"> </w:t>
      </w:r>
      <w:hyperlink r:id="rId32" w:history="1">
        <w:r w:rsidRPr="00E23290">
          <w:rPr>
            <w:rStyle w:val="Hyperlink"/>
            <w:sz w:val="16"/>
            <w:szCs w:val="16"/>
          </w:rPr>
          <w:t>https://www.nhsggc.scot/service-update/</w:t>
        </w:r>
      </w:hyperlink>
      <w:r w:rsidRPr="00E23290">
        <w:t xml:space="preserve"> </w:t>
      </w:r>
    </w:p>
  </w:footnote>
  <w:footnote w:id="48">
    <w:p w14:paraId="23733609" w14:textId="77777777" w:rsidR="007F7E9F" w:rsidRPr="00E23290" w:rsidRDefault="007F7E9F" w:rsidP="007F7E9F">
      <w:pPr>
        <w:pStyle w:val="FootnoteText"/>
        <w:rPr>
          <w:sz w:val="16"/>
          <w:szCs w:val="16"/>
        </w:rPr>
      </w:pPr>
      <w:r w:rsidRPr="00E23290">
        <w:rPr>
          <w:rStyle w:val="FootnoteReference"/>
          <w:sz w:val="16"/>
          <w:szCs w:val="16"/>
        </w:rPr>
        <w:footnoteRef/>
      </w:r>
      <w:r w:rsidRPr="00E23290">
        <w:rPr>
          <w:sz w:val="16"/>
          <w:szCs w:val="16"/>
        </w:rPr>
        <w:t xml:space="preserve"> </w:t>
      </w:r>
      <w:hyperlink r:id="rId33" w:history="1">
        <w:r w:rsidRPr="00E23290">
          <w:rPr>
            <w:rStyle w:val="Hyperlink"/>
            <w:sz w:val="16"/>
            <w:szCs w:val="16"/>
          </w:rPr>
          <w:t>https://www.gov.uk/government/news/extension-to-temporary-ban-on-puberty-blockers</w:t>
        </w:r>
      </w:hyperlink>
      <w:r w:rsidRPr="00E23290">
        <w:rPr>
          <w:sz w:val="16"/>
          <w:szCs w:val="16"/>
        </w:rPr>
        <w:t xml:space="preserve"> </w:t>
      </w:r>
    </w:p>
  </w:footnote>
  <w:footnote w:id="49">
    <w:p w14:paraId="15ECC3B3" w14:textId="77777777" w:rsidR="007F7E9F" w:rsidRPr="00872B8C" w:rsidRDefault="007F7E9F" w:rsidP="007F7E9F">
      <w:pPr>
        <w:pStyle w:val="FootnoteText"/>
      </w:pPr>
      <w:r w:rsidRPr="00E23290">
        <w:rPr>
          <w:rStyle w:val="FootnoteReference"/>
          <w:sz w:val="16"/>
          <w:szCs w:val="16"/>
        </w:rPr>
        <w:footnoteRef/>
      </w:r>
      <w:r>
        <w:rPr>
          <w:sz w:val="16"/>
          <w:szCs w:val="16"/>
        </w:rPr>
        <w:t xml:space="preserve"> Independent review of gender identity services for children and young people: Final Report (2024), available at:</w:t>
      </w:r>
      <w:r w:rsidRPr="00E23290">
        <w:rPr>
          <w:sz w:val="16"/>
          <w:szCs w:val="16"/>
        </w:rPr>
        <w:t xml:space="preserve"> </w:t>
      </w:r>
      <w:hyperlink r:id="rId34" w:history="1">
        <w:r w:rsidRPr="00E23290">
          <w:rPr>
            <w:rStyle w:val="Hyperlink"/>
            <w:sz w:val="16"/>
            <w:szCs w:val="16"/>
          </w:rPr>
          <w:t>https://cass.independent-review.uk/</w:t>
        </w:r>
      </w:hyperlink>
      <w:r w:rsidRPr="00E23290">
        <w:rPr>
          <w:sz w:val="16"/>
          <w:szCs w:val="16"/>
        </w:rPr>
        <w:t xml:space="preserve"> </w:t>
      </w:r>
    </w:p>
  </w:footnote>
  <w:footnote w:id="50">
    <w:p w14:paraId="371C67FE" w14:textId="77777777" w:rsidR="007F7E9F" w:rsidRPr="00E23290" w:rsidRDefault="007F7E9F" w:rsidP="007F7E9F">
      <w:pPr>
        <w:pStyle w:val="FootnoteText"/>
        <w:rPr>
          <w:sz w:val="16"/>
          <w:szCs w:val="16"/>
        </w:rPr>
      </w:pPr>
      <w:r w:rsidRPr="00E23290">
        <w:rPr>
          <w:rStyle w:val="FootnoteReference"/>
          <w:sz w:val="16"/>
          <w:szCs w:val="16"/>
        </w:rPr>
        <w:footnoteRef/>
      </w:r>
      <w:r w:rsidRPr="00E23290">
        <w:rPr>
          <w:sz w:val="16"/>
          <w:szCs w:val="16"/>
        </w:rPr>
        <w:t xml:space="preserve"> </w:t>
      </w:r>
      <w:hyperlink r:id="rId35" w:history="1">
        <w:r w:rsidRPr="00E23290">
          <w:rPr>
            <w:rStyle w:val="Hyperlink"/>
            <w:rFonts w:cs="Arial"/>
            <w:sz w:val="16"/>
            <w:szCs w:val="16"/>
          </w:rPr>
          <w:t>Queensland Children’s Gender Service (health.qld.gov.au)</w:t>
        </w:r>
      </w:hyperlink>
    </w:p>
  </w:footnote>
  <w:footnote w:id="51">
    <w:p w14:paraId="57CE5D6E" w14:textId="77777777" w:rsidR="007F7E9F" w:rsidRPr="00E23290" w:rsidRDefault="007F7E9F" w:rsidP="007F7E9F">
      <w:pPr>
        <w:pStyle w:val="FootnoteText"/>
        <w:rPr>
          <w:sz w:val="16"/>
          <w:szCs w:val="16"/>
        </w:rPr>
      </w:pPr>
      <w:r w:rsidRPr="00E23290">
        <w:rPr>
          <w:rStyle w:val="FootnoteReference"/>
          <w:sz w:val="16"/>
          <w:szCs w:val="16"/>
        </w:rPr>
        <w:footnoteRef/>
      </w:r>
      <w:r w:rsidRPr="00E23290">
        <w:rPr>
          <w:sz w:val="16"/>
          <w:szCs w:val="16"/>
        </w:rPr>
        <w:t xml:space="preserve"> </w:t>
      </w:r>
      <w:hyperlink r:id="rId36" w:history="1">
        <w:r w:rsidRPr="00E23290">
          <w:rPr>
            <w:rStyle w:val="Hyperlink"/>
            <w:rFonts w:cs="Arial"/>
            <w:sz w:val="16"/>
            <w:szCs w:val="16"/>
          </w:rPr>
          <w:t>https://www.saxinstitute.org.au/resource/evidence-for-effective-interventions-for-children-and-young-people-with-gender-dysphoria-update</w:t>
        </w:r>
      </w:hyperlink>
    </w:p>
  </w:footnote>
  <w:footnote w:id="52">
    <w:p w14:paraId="22E31CDB" w14:textId="77777777" w:rsidR="007F7E9F" w:rsidRPr="00E23290" w:rsidRDefault="007F7E9F" w:rsidP="007F7E9F">
      <w:pPr>
        <w:pStyle w:val="FootnoteText"/>
        <w:rPr>
          <w:sz w:val="16"/>
          <w:szCs w:val="16"/>
        </w:rPr>
      </w:pPr>
      <w:r w:rsidRPr="00E23290">
        <w:rPr>
          <w:rStyle w:val="FootnoteReference"/>
          <w:sz w:val="16"/>
          <w:szCs w:val="16"/>
        </w:rPr>
        <w:footnoteRef/>
      </w:r>
      <w:r w:rsidRPr="00E23290">
        <w:rPr>
          <w:sz w:val="16"/>
          <w:szCs w:val="16"/>
        </w:rPr>
        <w:t xml:space="preserve"> </w:t>
      </w:r>
      <w:hyperlink r:id="rId37" w:history="1">
        <w:r w:rsidRPr="00E23290">
          <w:rPr>
            <w:rStyle w:val="Hyperlink"/>
            <w:sz w:val="16"/>
            <w:szCs w:val="16"/>
          </w:rPr>
          <w:t>https://www.sciencedirect.com/science/article/pii/S0929693X24001763</w:t>
        </w:r>
      </w:hyperlink>
      <w:r w:rsidRPr="00E23290">
        <w:rPr>
          <w:sz w:val="16"/>
          <w:szCs w:val="16"/>
        </w:rPr>
        <w:t xml:space="preserve"> </w:t>
      </w:r>
    </w:p>
  </w:footnote>
  <w:footnote w:id="53">
    <w:p w14:paraId="7DD6B381" w14:textId="77777777" w:rsidR="007F7E9F" w:rsidRPr="00872B8C" w:rsidRDefault="007F7E9F" w:rsidP="007F7E9F">
      <w:pPr>
        <w:pStyle w:val="FootnoteText"/>
      </w:pPr>
      <w:r w:rsidRPr="00E23290">
        <w:rPr>
          <w:rStyle w:val="FootnoteReference"/>
          <w:sz w:val="16"/>
          <w:szCs w:val="16"/>
        </w:rPr>
        <w:footnoteRef/>
      </w:r>
      <w:r w:rsidRPr="00E23290">
        <w:rPr>
          <w:sz w:val="16"/>
          <w:szCs w:val="16"/>
        </w:rPr>
        <w:t xml:space="preserve"> </w:t>
      </w:r>
      <w:hyperlink r:id="rId38" w:history="1">
        <w:r w:rsidRPr="00E23290">
          <w:rPr>
            <w:rStyle w:val="Hyperlink"/>
            <w:sz w:val="16"/>
            <w:szCs w:val="16"/>
          </w:rPr>
          <w:t>https://www.gov.scot/publications/cass-review-implications-scotland/documents/</w:t>
        </w:r>
      </w:hyperlink>
      <w:r w:rsidRPr="00E23290">
        <w:rPr>
          <w:sz w:val="16"/>
          <w:szCs w:val="16"/>
        </w:rPr>
        <w:t xml:space="preserve">; </w:t>
      </w:r>
      <w:hyperlink r:id="rId39" w:history="1">
        <w:r w:rsidRPr="00E23290">
          <w:rPr>
            <w:rStyle w:val="Hyperlink"/>
            <w:sz w:val="16"/>
            <w:szCs w:val="16"/>
          </w:rPr>
          <w:t>https://www.gov.scot/news/gender-identity-healthcare-2/</w:t>
        </w:r>
      </w:hyperlink>
    </w:p>
  </w:footnote>
  <w:footnote w:id="54">
    <w:p w14:paraId="30B153AD" w14:textId="77777777" w:rsidR="007F7E9F" w:rsidRPr="00E23290" w:rsidRDefault="007F7E9F" w:rsidP="007F7E9F">
      <w:pPr>
        <w:pStyle w:val="FootnoteText"/>
        <w:rPr>
          <w:sz w:val="16"/>
          <w:szCs w:val="16"/>
        </w:rPr>
      </w:pPr>
      <w:r w:rsidRPr="00E23290">
        <w:rPr>
          <w:rStyle w:val="FootnoteReference"/>
          <w:sz w:val="16"/>
          <w:szCs w:val="16"/>
        </w:rPr>
        <w:footnoteRef/>
      </w:r>
      <w:r w:rsidRPr="00E23290">
        <w:rPr>
          <w:sz w:val="16"/>
          <w:szCs w:val="16"/>
        </w:rPr>
        <w:t xml:space="preserve"> National LGBT Survey: Research Report (2018), available at: </w:t>
      </w:r>
      <w:hyperlink r:id="rId40" w:history="1">
        <w:r w:rsidRPr="00E23290">
          <w:rPr>
            <w:rStyle w:val="Hyperlink"/>
            <w:sz w:val="16"/>
            <w:szCs w:val="16"/>
          </w:rPr>
          <w:t>National LGBT Survey: Research report - GOV.UK</w:t>
        </w:r>
      </w:hyperlink>
      <w:r w:rsidRPr="00E23290">
        <w:rPr>
          <w:sz w:val="16"/>
          <w:szCs w:val="16"/>
        </w:rPr>
        <w:t xml:space="preserve"> </w:t>
      </w:r>
    </w:p>
  </w:footnote>
  <w:footnote w:id="55">
    <w:p w14:paraId="1DE3D869" w14:textId="77777777" w:rsidR="007F7E9F" w:rsidRPr="00E23290" w:rsidRDefault="007F7E9F" w:rsidP="007F7E9F">
      <w:pPr>
        <w:pStyle w:val="FootnoteText"/>
        <w:rPr>
          <w:sz w:val="16"/>
          <w:szCs w:val="16"/>
        </w:rPr>
      </w:pPr>
      <w:r w:rsidRPr="00E23290">
        <w:rPr>
          <w:rStyle w:val="FootnoteReference"/>
          <w:sz w:val="16"/>
          <w:szCs w:val="16"/>
        </w:rPr>
        <w:footnoteRef/>
      </w:r>
      <w:r>
        <w:rPr>
          <w:sz w:val="16"/>
          <w:szCs w:val="16"/>
        </w:rPr>
        <w:t xml:space="preserve"> Expert Advisory Group on Ending Conversion Practices: report and recommendations (2022), available at:</w:t>
      </w:r>
      <w:r w:rsidRPr="00E23290">
        <w:rPr>
          <w:sz w:val="16"/>
          <w:szCs w:val="16"/>
        </w:rPr>
        <w:t xml:space="preserve"> </w:t>
      </w:r>
      <w:hyperlink r:id="rId41" w:history="1">
        <w:r w:rsidRPr="00E23290">
          <w:rPr>
            <w:rStyle w:val="Hyperlink"/>
            <w:sz w:val="16"/>
            <w:szCs w:val="16"/>
          </w:rPr>
          <w:t>https://www.gov.scot/publications/expert-advisory-group-ending-conversion-practices-report-recommendations/</w:t>
        </w:r>
      </w:hyperlink>
      <w:r w:rsidRPr="00E23290">
        <w:rPr>
          <w:sz w:val="16"/>
          <w:szCs w:val="16"/>
        </w:rPr>
        <w:t xml:space="preserve"> </w:t>
      </w:r>
    </w:p>
  </w:footnote>
  <w:footnote w:id="56">
    <w:p w14:paraId="48F1EF56" w14:textId="77777777" w:rsidR="007F7E9F" w:rsidRDefault="007F7E9F" w:rsidP="007F7E9F">
      <w:pPr>
        <w:pStyle w:val="FootnoteText"/>
      </w:pPr>
      <w:r w:rsidRPr="00E23290">
        <w:rPr>
          <w:rStyle w:val="FootnoteReference"/>
          <w:sz w:val="16"/>
          <w:szCs w:val="16"/>
        </w:rPr>
        <w:footnoteRef/>
      </w:r>
      <w:r w:rsidRPr="00E23290">
        <w:rPr>
          <w:sz w:val="16"/>
          <w:szCs w:val="16"/>
        </w:rPr>
        <w:t xml:space="preserve"> Programme for Government 2024 – 2025, ‘Serving Scotland’ (2024), p43, available at: </w:t>
      </w:r>
      <w:hyperlink r:id="rId42" w:history="1">
        <w:r w:rsidRPr="00E23290">
          <w:rPr>
            <w:rStyle w:val="Hyperlink"/>
            <w:sz w:val="16"/>
            <w:szCs w:val="16"/>
          </w:rPr>
          <w:t>https://www.gov.scot/publications/programme-government-2024-25-serving-scotland/</w:t>
        </w:r>
      </w:hyperlink>
      <w:r w:rsidRPr="00E23290">
        <w:rPr>
          <w:sz w:val="16"/>
          <w:szCs w:val="16"/>
        </w:rPr>
        <w:t xml:space="preserve"> </w:t>
      </w:r>
    </w:p>
  </w:footnote>
  <w:footnote w:id="57">
    <w:p w14:paraId="0477A31E" w14:textId="77777777" w:rsidR="007F7E9F" w:rsidRDefault="007F7E9F" w:rsidP="007F7E9F">
      <w:pPr>
        <w:pStyle w:val="FootnoteText"/>
      </w:pPr>
      <w:r w:rsidRPr="00E23290">
        <w:rPr>
          <w:rStyle w:val="FootnoteReference"/>
          <w:sz w:val="16"/>
          <w:szCs w:val="16"/>
        </w:rPr>
        <w:footnoteRef/>
      </w:r>
      <w:r w:rsidRPr="00E23290">
        <w:rPr>
          <w:sz w:val="16"/>
          <w:szCs w:val="16"/>
        </w:rPr>
        <w:t xml:space="preserve"> LGBTI Inclusive Education Working Group, Report to the Scottish Ministers (2018), available at: </w:t>
      </w:r>
      <w:hyperlink r:id="rId43" w:history="1">
        <w:r w:rsidRPr="00E23290">
          <w:rPr>
            <w:rStyle w:val="Hyperlink"/>
            <w:sz w:val="16"/>
            <w:szCs w:val="16"/>
          </w:rPr>
          <w:t>LGBTI Inclusive Education Working Group : Report to the Scottish Ministers</w:t>
        </w:r>
      </w:hyperlink>
    </w:p>
  </w:footnote>
  <w:footnote w:id="58">
    <w:p w14:paraId="7CB96673" w14:textId="77777777" w:rsidR="007F7E9F" w:rsidRPr="00E23290" w:rsidRDefault="007F7E9F" w:rsidP="007F7E9F">
      <w:pPr>
        <w:pStyle w:val="FootnoteText"/>
        <w:rPr>
          <w:sz w:val="16"/>
          <w:szCs w:val="16"/>
        </w:rPr>
      </w:pPr>
      <w:r w:rsidRPr="00E23290">
        <w:rPr>
          <w:rStyle w:val="FootnoteReference"/>
          <w:sz w:val="16"/>
          <w:szCs w:val="16"/>
        </w:rPr>
        <w:footnoteRef/>
      </w:r>
      <w:r w:rsidRPr="00E23290">
        <w:rPr>
          <w:sz w:val="16"/>
          <w:szCs w:val="16"/>
        </w:rPr>
        <w:t xml:space="preserve"> </w:t>
      </w:r>
      <w:hyperlink r:id="rId44" w:history="1">
        <w:r w:rsidRPr="00E23290">
          <w:rPr>
            <w:rStyle w:val="Hyperlink"/>
            <w:sz w:val="16"/>
            <w:szCs w:val="16"/>
          </w:rPr>
          <w:t>https://news.stv.tv/scotland/scotland-first-country-in-world-to-teach-lgbt-inclusivity-in-schools</w:t>
        </w:r>
      </w:hyperlink>
      <w:r w:rsidRPr="00E23290">
        <w:rPr>
          <w:sz w:val="16"/>
          <w:szCs w:val="16"/>
        </w:rPr>
        <w:t xml:space="preserve"> </w:t>
      </w:r>
    </w:p>
  </w:footnote>
  <w:footnote w:id="59">
    <w:p w14:paraId="6F9C3E97" w14:textId="77777777" w:rsidR="007F7E9F" w:rsidRDefault="007F7E9F" w:rsidP="007F7E9F">
      <w:pPr>
        <w:pStyle w:val="FootnoteText"/>
      </w:pPr>
      <w:r w:rsidRPr="00E23290">
        <w:rPr>
          <w:rStyle w:val="FootnoteReference"/>
          <w:sz w:val="16"/>
          <w:szCs w:val="16"/>
        </w:rPr>
        <w:footnoteRef/>
      </w:r>
      <w:r w:rsidRPr="00E23290">
        <w:rPr>
          <w:sz w:val="16"/>
          <w:szCs w:val="16"/>
        </w:rPr>
        <w:t xml:space="preserve"> LGBT Inclusive Education: Progress and Evaluation Report (2021-2022), available at: </w:t>
      </w:r>
      <w:hyperlink r:id="rId45" w:history="1">
        <w:r w:rsidRPr="00E23290">
          <w:rPr>
            <w:rStyle w:val="Hyperlink"/>
            <w:sz w:val="16"/>
            <w:szCs w:val="16"/>
          </w:rPr>
          <w:t>https://lgbteducation.scot/evaluation/</w:t>
        </w:r>
      </w:hyperlink>
      <w:r w:rsidRPr="00E23290">
        <w:rPr>
          <w:sz w:val="16"/>
          <w:szCs w:val="16"/>
        </w:rPr>
        <w:t xml:space="preserve"> </w:t>
      </w:r>
    </w:p>
  </w:footnote>
  <w:footnote w:id="60">
    <w:p w14:paraId="581A0796" w14:textId="77777777" w:rsidR="007F7E9F" w:rsidRPr="00E23290" w:rsidRDefault="007F7E9F" w:rsidP="007F7E9F">
      <w:pPr>
        <w:pStyle w:val="FootnoteText"/>
        <w:rPr>
          <w:sz w:val="16"/>
          <w:szCs w:val="16"/>
        </w:rPr>
      </w:pPr>
      <w:r w:rsidRPr="00E23290">
        <w:rPr>
          <w:rStyle w:val="FootnoteReference"/>
          <w:sz w:val="16"/>
          <w:szCs w:val="16"/>
        </w:rPr>
        <w:footnoteRef/>
      </w:r>
      <w:r>
        <w:rPr>
          <w:sz w:val="16"/>
          <w:szCs w:val="16"/>
        </w:rPr>
        <w:t xml:space="preserve"> Sexual orientation, gender identity and sport: Selected findings and recommendations for action Scotland (2019), Outsport, available at:</w:t>
      </w:r>
      <w:r w:rsidRPr="00E23290">
        <w:rPr>
          <w:sz w:val="16"/>
          <w:szCs w:val="16"/>
        </w:rPr>
        <w:t xml:space="preserve"> </w:t>
      </w:r>
      <w:hyperlink r:id="rId46" w:history="1">
        <w:r w:rsidRPr="00E23290">
          <w:rPr>
            <w:rStyle w:val="Hyperlink"/>
            <w:sz w:val="16"/>
            <w:szCs w:val="16"/>
          </w:rPr>
          <w:t>https://leapsports.org/files/1741-Outsport%20Scotland%20Report.pdf</w:t>
        </w:r>
      </w:hyperlink>
      <w:r w:rsidRPr="00E23290">
        <w:rPr>
          <w:sz w:val="16"/>
          <w:szCs w:val="16"/>
        </w:rPr>
        <w:t xml:space="preserve"> </w:t>
      </w:r>
    </w:p>
  </w:footnote>
  <w:footnote w:id="61">
    <w:p w14:paraId="79A1F282" w14:textId="77777777" w:rsidR="007F7E9F" w:rsidRPr="00E23290" w:rsidRDefault="007F7E9F" w:rsidP="007F7E9F">
      <w:pPr>
        <w:pStyle w:val="FootnoteText"/>
        <w:rPr>
          <w:sz w:val="16"/>
          <w:szCs w:val="16"/>
        </w:rPr>
      </w:pPr>
      <w:r w:rsidRPr="00E23290">
        <w:rPr>
          <w:rStyle w:val="FootnoteReference"/>
          <w:sz w:val="16"/>
          <w:szCs w:val="16"/>
        </w:rPr>
        <w:footnoteRef/>
      </w:r>
      <w:r w:rsidRPr="00E23290">
        <w:rPr>
          <w:sz w:val="16"/>
          <w:szCs w:val="16"/>
        </w:rPr>
        <w:t xml:space="preserve"> Health needs assessment of lesbian, gay, bisexual, transgender and non-binary people: Full Research Findings Report (2022), available at: </w:t>
      </w:r>
      <w:hyperlink r:id="rId47" w:history="1">
        <w:r w:rsidRPr="00E23290">
          <w:rPr>
            <w:rStyle w:val="Hyperlink"/>
            <w:sz w:val="16"/>
            <w:szCs w:val="16"/>
          </w:rPr>
          <w:t>https://www.scotphn.net/wp-content/uploads/2022/06/Final-Full-HNA-Report-June-2022.pdf</w:t>
        </w:r>
      </w:hyperlink>
      <w:r w:rsidRPr="00E23290">
        <w:rPr>
          <w:sz w:val="16"/>
          <w:szCs w:val="16"/>
        </w:rPr>
        <w:t xml:space="preserve"> </w:t>
      </w:r>
    </w:p>
  </w:footnote>
  <w:footnote w:id="62">
    <w:p w14:paraId="54E17071" w14:textId="40F57FCE" w:rsidR="007F7E9F" w:rsidRPr="00E23290" w:rsidRDefault="007F7E9F" w:rsidP="007F7E9F">
      <w:pPr>
        <w:pStyle w:val="FootnoteText"/>
        <w:rPr>
          <w:sz w:val="16"/>
          <w:szCs w:val="16"/>
        </w:rPr>
      </w:pPr>
      <w:r w:rsidRPr="00E23290">
        <w:rPr>
          <w:rStyle w:val="FootnoteReference"/>
          <w:sz w:val="16"/>
          <w:szCs w:val="16"/>
        </w:rPr>
        <w:footnoteRef/>
      </w:r>
      <w:r w:rsidRPr="00E23290">
        <w:rPr>
          <w:sz w:val="16"/>
          <w:szCs w:val="16"/>
        </w:rPr>
        <w:t xml:space="preserve"> The relevance of sexual orientation and gender identity in sport in Europe: Findings from the Outsport survey</w:t>
      </w:r>
      <w:r>
        <w:rPr>
          <w:sz w:val="16"/>
          <w:szCs w:val="16"/>
        </w:rPr>
        <w:t xml:space="preserve"> (2019),</w:t>
      </w:r>
      <w:r w:rsidRPr="00E23290">
        <w:rPr>
          <w:sz w:val="16"/>
          <w:szCs w:val="16"/>
        </w:rPr>
        <w:t xml:space="preserve"> German Sport University Cologne, Institute of Sociology and Gender Studies</w:t>
      </w:r>
      <w:r>
        <w:rPr>
          <w:sz w:val="16"/>
          <w:szCs w:val="16"/>
        </w:rPr>
        <w:t>, a</w:t>
      </w:r>
      <w:r w:rsidRPr="00E23290">
        <w:rPr>
          <w:sz w:val="16"/>
          <w:szCs w:val="16"/>
        </w:rPr>
        <w:t xml:space="preserve">vailable at: </w:t>
      </w:r>
      <w:hyperlink r:id="rId48" w:history="1">
        <w:r w:rsidRPr="00E23290">
          <w:rPr>
            <w:rStyle w:val="Hyperlink"/>
            <w:sz w:val="16"/>
            <w:szCs w:val="16"/>
          </w:rPr>
          <w:t>www.out-sport.eu/wp-content/uploads/2019/05/OUTSPORT-Report-Relevance-of-SOGI-in-Sport-inEurope-3.pdf</w:t>
        </w:r>
      </w:hyperlink>
      <w:r w:rsidRPr="00E23290">
        <w:rPr>
          <w:sz w:val="16"/>
          <w:szCs w:val="16"/>
        </w:rPr>
        <w:t xml:space="preserve"> </w:t>
      </w:r>
    </w:p>
  </w:footnote>
  <w:footnote w:id="63">
    <w:p w14:paraId="67A38BC5" w14:textId="77777777" w:rsidR="007F7E9F" w:rsidRPr="00E23290" w:rsidRDefault="007F7E9F" w:rsidP="007F7E9F">
      <w:pPr>
        <w:pStyle w:val="FootnoteText"/>
        <w:rPr>
          <w:sz w:val="16"/>
          <w:szCs w:val="16"/>
        </w:rPr>
      </w:pPr>
      <w:r w:rsidRPr="00E23290">
        <w:rPr>
          <w:rStyle w:val="FootnoteReference"/>
          <w:sz w:val="16"/>
          <w:szCs w:val="16"/>
        </w:rPr>
        <w:footnoteRef/>
      </w:r>
      <w:r w:rsidRPr="00E23290">
        <w:rPr>
          <w:sz w:val="16"/>
          <w:szCs w:val="16"/>
        </w:rPr>
        <w:t xml:space="preserve"> List of issues in relation to the seventh periodic report of the United Kingdom of Great Britain and Northern Ireland (2023), 41</w:t>
      </w:r>
    </w:p>
  </w:footnote>
  <w:footnote w:id="64">
    <w:p w14:paraId="0835F3EA" w14:textId="77777777" w:rsidR="007F7E9F" w:rsidRDefault="007F7E9F" w:rsidP="007F7E9F">
      <w:pPr>
        <w:pStyle w:val="FootnoteText"/>
      </w:pPr>
      <w:r w:rsidRPr="00E23290">
        <w:rPr>
          <w:rStyle w:val="FootnoteReference"/>
          <w:sz w:val="16"/>
          <w:szCs w:val="16"/>
        </w:rPr>
        <w:footnoteRef/>
      </w:r>
      <w:r w:rsidRPr="00E23290">
        <w:rPr>
          <w:sz w:val="16"/>
          <w:szCs w:val="16"/>
        </w:rPr>
        <w:t xml:space="preserve"> </w:t>
      </w:r>
      <w:hyperlink r:id="rId49" w:history="1">
        <w:r w:rsidRPr="00E23290">
          <w:rPr>
            <w:rStyle w:val="Hyperlink"/>
            <w:sz w:val="16"/>
            <w:szCs w:val="16"/>
          </w:rPr>
          <w:t>https://leapsports.org/files/1043-Alliance%20analysis%20of%20SCEG%20guidance.pdf</w:t>
        </w:r>
      </w:hyperlink>
      <w:r w:rsidRPr="00E23290">
        <w:rPr>
          <w:sz w:val="16"/>
          <w:szCs w:val="16"/>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71526B"/>
    <w:multiLevelType w:val="hybridMultilevel"/>
    <w:tmpl w:val="18E6B3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5E70AB"/>
    <w:multiLevelType w:val="hybridMultilevel"/>
    <w:tmpl w:val="3B58F6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66C5DA8"/>
    <w:multiLevelType w:val="hybridMultilevel"/>
    <w:tmpl w:val="F5D4770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B1649D6"/>
    <w:multiLevelType w:val="hybridMultilevel"/>
    <w:tmpl w:val="A6F6D2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ECA6A87"/>
    <w:multiLevelType w:val="hybridMultilevel"/>
    <w:tmpl w:val="27B6C2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F1D5DB9"/>
    <w:multiLevelType w:val="hybridMultilevel"/>
    <w:tmpl w:val="A4AE28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230495A"/>
    <w:multiLevelType w:val="hybridMultilevel"/>
    <w:tmpl w:val="728618F8"/>
    <w:lvl w:ilvl="0" w:tplc="B7F8532E">
      <w:start w:val="1"/>
      <w:numFmt w:val="decimal"/>
      <w:lvlText w:val="%1)"/>
      <w:lvlJc w:val="left"/>
      <w:pPr>
        <w:ind w:left="720" w:hanging="360"/>
      </w:pPr>
      <w:rPr>
        <w:rFonts w:hint="default"/>
        <w:color w:val="A02B93" w:themeColor="accent5"/>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3385C50"/>
    <w:multiLevelType w:val="hybridMultilevel"/>
    <w:tmpl w:val="5D2E07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4076177"/>
    <w:multiLevelType w:val="hybridMultilevel"/>
    <w:tmpl w:val="A352007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7CC7E7B"/>
    <w:multiLevelType w:val="hybridMultilevel"/>
    <w:tmpl w:val="0F381D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9414C02"/>
    <w:multiLevelType w:val="hybridMultilevel"/>
    <w:tmpl w:val="3E640706"/>
    <w:lvl w:ilvl="0" w:tplc="08090001">
      <w:start w:val="1"/>
      <w:numFmt w:val="bullet"/>
      <w:lvlText w:val=""/>
      <w:lvlJc w:val="left"/>
      <w:pPr>
        <w:ind w:left="785" w:hanging="360"/>
      </w:pPr>
      <w:rPr>
        <w:rFonts w:ascii="Symbol" w:hAnsi="Symbol" w:hint="default"/>
      </w:rPr>
    </w:lvl>
    <w:lvl w:ilvl="1" w:tplc="08090003" w:tentative="1">
      <w:start w:val="1"/>
      <w:numFmt w:val="bullet"/>
      <w:lvlText w:val="o"/>
      <w:lvlJc w:val="left"/>
      <w:pPr>
        <w:ind w:left="1505" w:hanging="360"/>
      </w:pPr>
      <w:rPr>
        <w:rFonts w:ascii="Courier New" w:hAnsi="Courier New" w:cs="Courier New" w:hint="default"/>
      </w:rPr>
    </w:lvl>
    <w:lvl w:ilvl="2" w:tplc="08090005" w:tentative="1">
      <w:start w:val="1"/>
      <w:numFmt w:val="bullet"/>
      <w:lvlText w:val=""/>
      <w:lvlJc w:val="left"/>
      <w:pPr>
        <w:ind w:left="2225" w:hanging="360"/>
      </w:pPr>
      <w:rPr>
        <w:rFonts w:ascii="Wingdings" w:hAnsi="Wingdings" w:hint="default"/>
      </w:rPr>
    </w:lvl>
    <w:lvl w:ilvl="3" w:tplc="08090001" w:tentative="1">
      <w:start w:val="1"/>
      <w:numFmt w:val="bullet"/>
      <w:lvlText w:val=""/>
      <w:lvlJc w:val="left"/>
      <w:pPr>
        <w:ind w:left="2945" w:hanging="360"/>
      </w:pPr>
      <w:rPr>
        <w:rFonts w:ascii="Symbol" w:hAnsi="Symbol" w:hint="default"/>
      </w:rPr>
    </w:lvl>
    <w:lvl w:ilvl="4" w:tplc="08090003" w:tentative="1">
      <w:start w:val="1"/>
      <w:numFmt w:val="bullet"/>
      <w:lvlText w:val="o"/>
      <w:lvlJc w:val="left"/>
      <w:pPr>
        <w:ind w:left="3665" w:hanging="360"/>
      </w:pPr>
      <w:rPr>
        <w:rFonts w:ascii="Courier New" w:hAnsi="Courier New" w:cs="Courier New" w:hint="default"/>
      </w:rPr>
    </w:lvl>
    <w:lvl w:ilvl="5" w:tplc="08090005" w:tentative="1">
      <w:start w:val="1"/>
      <w:numFmt w:val="bullet"/>
      <w:lvlText w:val=""/>
      <w:lvlJc w:val="left"/>
      <w:pPr>
        <w:ind w:left="4385" w:hanging="360"/>
      </w:pPr>
      <w:rPr>
        <w:rFonts w:ascii="Wingdings" w:hAnsi="Wingdings" w:hint="default"/>
      </w:rPr>
    </w:lvl>
    <w:lvl w:ilvl="6" w:tplc="08090001" w:tentative="1">
      <w:start w:val="1"/>
      <w:numFmt w:val="bullet"/>
      <w:lvlText w:val=""/>
      <w:lvlJc w:val="left"/>
      <w:pPr>
        <w:ind w:left="5105" w:hanging="360"/>
      </w:pPr>
      <w:rPr>
        <w:rFonts w:ascii="Symbol" w:hAnsi="Symbol" w:hint="default"/>
      </w:rPr>
    </w:lvl>
    <w:lvl w:ilvl="7" w:tplc="08090003" w:tentative="1">
      <w:start w:val="1"/>
      <w:numFmt w:val="bullet"/>
      <w:lvlText w:val="o"/>
      <w:lvlJc w:val="left"/>
      <w:pPr>
        <w:ind w:left="5825" w:hanging="360"/>
      </w:pPr>
      <w:rPr>
        <w:rFonts w:ascii="Courier New" w:hAnsi="Courier New" w:cs="Courier New" w:hint="default"/>
      </w:rPr>
    </w:lvl>
    <w:lvl w:ilvl="8" w:tplc="08090005" w:tentative="1">
      <w:start w:val="1"/>
      <w:numFmt w:val="bullet"/>
      <w:lvlText w:val=""/>
      <w:lvlJc w:val="left"/>
      <w:pPr>
        <w:ind w:left="6545" w:hanging="360"/>
      </w:pPr>
      <w:rPr>
        <w:rFonts w:ascii="Wingdings" w:hAnsi="Wingdings" w:hint="default"/>
      </w:rPr>
    </w:lvl>
  </w:abstractNum>
  <w:abstractNum w:abstractNumId="11" w15:restartNumberingAfterBreak="0">
    <w:nsid w:val="29AE41E4"/>
    <w:multiLevelType w:val="hybridMultilevel"/>
    <w:tmpl w:val="0B2E4A80"/>
    <w:lvl w:ilvl="0" w:tplc="EA767264">
      <w:start w:val="1"/>
      <w:numFmt w:val="decimal"/>
      <w:lvlText w:val="%1."/>
      <w:lvlJc w:val="left"/>
      <w:pPr>
        <w:ind w:left="720" w:hanging="360"/>
      </w:pPr>
      <w:rPr>
        <w:rFonts w:hint="default"/>
        <w:color w:val="A02B93" w:themeColor="accent5"/>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A565E55"/>
    <w:multiLevelType w:val="hybridMultilevel"/>
    <w:tmpl w:val="6BFAF0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E355AA5"/>
    <w:multiLevelType w:val="hybridMultilevel"/>
    <w:tmpl w:val="62527C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32128F3"/>
    <w:multiLevelType w:val="hybridMultilevel"/>
    <w:tmpl w:val="58566F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36C6309"/>
    <w:multiLevelType w:val="hybridMultilevel"/>
    <w:tmpl w:val="12A81A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A9E112E"/>
    <w:multiLevelType w:val="hybridMultilevel"/>
    <w:tmpl w:val="D49C0D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A032B5"/>
    <w:multiLevelType w:val="hybridMultilevel"/>
    <w:tmpl w:val="EF4A86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C262C84"/>
    <w:multiLevelType w:val="hybridMultilevel"/>
    <w:tmpl w:val="2F2C027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F8357D9"/>
    <w:multiLevelType w:val="hybridMultilevel"/>
    <w:tmpl w:val="C95EA98C"/>
    <w:lvl w:ilvl="0" w:tplc="08090001">
      <w:start w:val="1"/>
      <w:numFmt w:val="bullet"/>
      <w:lvlText w:val=""/>
      <w:lvlJc w:val="left"/>
      <w:pPr>
        <w:ind w:left="785" w:hanging="360"/>
      </w:pPr>
      <w:rPr>
        <w:rFonts w:ascii="Symbol" w:hAnsi="Symbol" w:hint="default"/>
      </w:rPr>
    </w:lvl>
    <w:lvl w:ilvl="1" w:tplc="08090003" w:tentative="1">
      <w:start w:val="1"/>
      <w:numFmt w:val="bullet"/>
      <w:lvlText w:val="o"/>
      <w:lvlJc w:val="left"/>
      <w:pPr>
        <w:ind w:left="1505" w:hanging="360"/>
      </w:pPr>
      <w:rPr>
        <w:rFonts w:ascii="Courier New" w:hAnsi="Courier New" w:cs="Courier New" w:hint="default"/>
      </w:rPr>
    </w:lvl>
    <w:lvl w:ilvl="2" w:tplc="08090005" w:tentative="1">
      <w:start w:val="1"/>
      <w:numFmt w:val="bullet"/>
      <w:lvlText w:val=""/>
      <w:lvlJc w:val="left"/>
      <w:pPr>
        <w:ind w:left="2225" w:hanging="360"/>
      </w:pPr>
      <w:rPr>
        <w:rFonts w:ascii="Wingdings" w:hAnsi="Wingdings" w:hint="default"/>
      </w:rPr>
    </w:lvl>
    <w:lvl w:ilvl="3" w:tplc="08090001" w:tentative="1">
      <w:start w:val="1"/>
      <w:numFmt w:val="bullet"/>
      <w:lvlText w:val=""/>
      <w:lvlJc w:val="left"/>
      <w:pPr>
        <w:ind w:left="2945" w:hanging="360"/>
      </w:pPr>
      <w:rPr>
        <w:rFonts w:ascii="Symbol" w:hAnsi="Symbol" w:hint="default"/>
      </w:rPr>
    </w:lvl>
    <w:lvl w:ilvl="4" w:tplc="08090003" w:tentative="1">
      <w:start w:val="1"/>
      <w:numFmt w:val="bullet"/>
      <w:lvlText w:val="o"/>
      <w:lvlJc w:val="left"/>
      <w:pPr>
        <w:ind w:left="3665" w:hanging="360"/>
      </w:pPr>
      <w:rPr>
        <w:rFonts w:ascii="Courier New" w:hAnsi="Courier New" w:cs="Courier New" w:hint="default"/>
      </w:rPr>
    </w:lvl>
    <w:lvl w:ilvl="5" w:tplc="08090005" w:tentative="1">
      <w:start w:val="1"/>
      <w:numFmt w:val="bullet"/>
      <w:lvlText w:val=""/>
      <w:lvlJc w:val="left"/>
      <w:pPr>
        <w:ind w:left="4385" w:hanging="360"/>
      </w:pPr>
      <w:rPr>
        <w:rFonts w:ascii="Wingdings" w:hAnsi="Wingdings" w:hint="default"/>
      </w:rPr>
    </w:lvl>
    <w:lvl w:ilvl="6" w:tplc="08090001" w:tentative="1">
      <w:start w:val="1"/>
      <w:numFmt w:val="bullet"/>
      <w:lvlText w:val=""/>
      <w:lvlJc w:val="left"/>
      <w:pPr>
        <w:ind w:left="5105" w:hanging="360"/>
      </w:pPr>
      <w:rPr>
        <w:rFonts w:ascii="Symbol" w:hAnsi="Symbol" w:hint="default"/>
      </w:rPr>
    </w:lvl>
    <w:lvl w:ilvl="7" w:tplc="08090003" w:tentative="1">
      <w:start w:val="1"/>
      <w:numFmt w:val="bullet"/>
      <w:lvlText w:val="o"/>
      <w:lvlJc w:val="left"/>
      <w:pPr>
        <w:ind w:left="5825" w:hanging="360"/>
      </w:pPr>
      <w:rPr>
        <w:rFonts w:ascii="Courier New" w:hAnsi="Courier New" w:cs="Courier New" w:hint="default"/>
      </w:rPr>
    </w:lvl>
    <w:lvl w:ilvl="8" w:tplc="08090005" w:tentative="1">
      <w:start w:val="1"/>
      <w:numFmt w:val="bullet"/>
      <w:lvlText w:val=""/>
      <w:lvlJc w:val="left"/>
      <w:pPr>
        <w:ind w:left="6545" w:hanging="360"/>
      </w:pPr>
      <w:rPr>
        <w:rFonts w:ascii="Wingdings" w:hAnsi="Wingdings" w:hint="default"/>
      </w:rPr>
    </w:lvl>
  </w:abstractNum>
  <w:abstractNum w:abstractNumId="20" w15:restartNumberingAfterBreak="0">
    <w:nsid w:val="4D462D80"/>
    <w:multiLevelType w:val="hybridMultilevel"/>
    <w:tmpl w:val="9F60AB8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6F70AFF"/>
    <w:multiLevelType w:val="hybridMultilevel"/>
    <w:tmpl w:val="9F2AAD8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7436B10"/>
    <w:multiLevelType w:val="hybridMultilevel"/>
    <w:tmpl w:val="2C32087C"/>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23" w15:restartNumberingAfterBreak="0">
    <w:nsid w:val="59D91DA0"/>
    <w:multiLevelType w:val="hybridMultilevel"/>
    <w:tmpl w:val="85D84B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07E079E"/>
    <w:multiLevelType w:val="hybridMultilevel"/>
    <w:tmpl w:val="C38689C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F640F41"/>
    <w:multiLevelType w:val="hybridMultilevel"/>
    <w:tmpl w:val="D4EC24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A9274A9"/>
    <w:multiLevelType w:val="hybridMultilevel"/>
    <w:tmpl w:val="9D3A3764"/>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27" w15:restartNumberingAfterBreak="0">
    <w:nsid w:val="7E4164A1"/>
    <w:multiLevelType w:val="hybridMultilevel"/>
    <w:tmpl w:val="886ABF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47686205">
    <w:abstractNumId w:val="6"/>
  </w:num>
  <w:num w:numId="2" w16cid:durableId="161942377">
    <w:abstractNumId w:val="11"/>
  </w:num>
  <w:num w:numId="3" w16cid:durableId="2028867747">
    <w:abstractNumId w:val="2"/>
  </w:num>
  <w:num w:numId="4" w16cid:durableId="1282297407">
    <w:abstractNumId w:val="18"/>
  </w:num>
  <w:num w:numId="5" w16cid:durableId="1565676898">
    <w:abstractNumId w:val="21"/>
  </w:num>
  <w:num w:numId="6" w16cid:durableId="2075158483">
    <w:abstractNumId w:val="8"/>
  </w:num>
  <w:num w:numId="7" w16cid:durableId="1298149177">
    <w:abstractNumId w:val="20"/>
  </w:num>
  <w:num w:numId="8" w16cid:durableId="1386755404">
    <w:abstractNumId w:val="24"/>
  </w:num>
  <w:num w:numId="9" w16cid:durableId="1038775617">
    <w:abstractNumId w:val="3"/>
  </w:num>
  <w:num w:numId="10" w16cid:durableId="3170136">
    <w:abstractNumId w:val="1"/>
  </w:num>
  <w:num w:numId="11" w16cid:durableId="562133093">
    <w:abstractNumId w:val="26"/>
  </w:num>
  <w:num w:numId="12" w16cid:durableId="1575043144">
    <w:abstractNumId w:val="22"/>
  </w:num>
  <w:num w:numId="13" w16cid:durableId="1097754174">
    <w:abstractNumId w:val="10"/>
  </w:num>
  <w:num w:numId="14" w16cid:durableId="687410841">
    <w:abstractNumId w:val="13"/>
  </w:num>
  <w:num w:numId="15" w16cid:durableId="30081902">
    <w:abstractNumId w:val="19"/>
  </w:num>
  <w:num w:numId="16" w16cid:durableId="1181548721">
    <w:abstractNumId w:val="16"/>
  </w:num>
  <w:num w:numId="17" w16cid:durableId="28527651">
    <w:abstractNumId w:val="17"/>
  </w:num>
  <w:num w:numId="18" w16cid:durableId="1145705777">
    <w:abstractNumId w:val="9"/>
  </w:num>
  <w:num w:numId="19" w16cid:durableId="831682184">
    <w:abstractNumId w:val="5"/>
  </w:num>
  <w:num w:numId="20" w16cid:durableId="1160273713">
    <w:abstractNumId w:val="4"/>
  </w:num>
  <w:num w:numId="21" w16cid:durableId="1620650180">
    <w:abstractNumId w:val="7"/>
  </w:num>
  <w:num w:numId="22" w16cid:durableId="2115321459">
    <w:abstractNumId w:val="27"/>
  </w:num>
  <w:num w:numId="23" w16cid:durableId="753090785">
    <w:abstractNumId w:val="12"/>
  </w:num>
  <w:num w:numId="24" w16cid:durableId="339547530">
    <w:abstractNumId w:val="0"/>
  </w:num>
  <w:num w:numId="25" w16cid:durableId="1655253797">
    <w:abstractNumId w:val="25"/>
  </w:num>
  <w:num w:numId="26" w16cid:durableId="868689459">
    <w:abstractNumId w:val="14"/>
  </w:num>
  <w:num w:numId="27" w16cid:durableId="1777754783">
    <w:abstractNumId w:val="15"/>
  </w:num>
  <w:num w:numId="28" w16cid:durableId="1439836651">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7E9F"/>
    <w:rsid w:val="0000176B"/>
    <w:rsid w:val="00007E03"/>
    <w:rsid w:val="000122E7"/>
    <w:rsid w:val="000155B7"/>
    <w:rsid w:val="000276E0"/>
    <w:rsid w:val="0006077A"/>
    <w:rsid w:val="000913E3"/>
    <w:rsid w:val="000D5EDB"/>
    <w:rsid w:val="000E4AF2"/>
    <w:rsid w:val="000F0C71"/>
    <w:rsid w:val="00103720"/>
    <w:rsid w:val="0010473E"/>
    <w:rsid w:val="00107C54"/>
    <w:rsid w:val="00141F99"/>
    <w:rsid w:val="00155610"/>
    <w:rsid w:val="0017081A"/>
    <w:rsid w:val="00187D81"/>
    <w:rsid w:val="001B017C"/>
    <w:rsid w:val="001C41C7"/>
    <w:rsid w:val="00226008"/>
    <w:rsid w:val="0022607C"/>
    <w:rsid w:val="002445A5"/>
    <w:rsid w:val="002A3590"/>
    <w:rsid w:val="00306800"/>
    <w:rsid w:val="003A3C20"/>
    <w:rsid w:val="003E4B71"/>
    <w:rsid w:val="003E7C6A"/>
    <w:rsid w:val="003F69F3"/>
    <w:rsid w:val="004070D6"/>
    <w:rsid w:val="004379A1"/>
    <w:rsid w:val="00467C77"/>
    <w:rsid w:val="00473FA7"/>
    <w:rsid w:val="004A774D"/>
    <w:rsid w:val="004D6CA9"/>
    <w:rsid w:val="004E7578"/>
    <w:rsid w:val="00502761"/>
    <w:rsid w:val="00536334"/>
    <w:rsid w:val="00573954"/>
    <w:rsid w:val="00576154"/>
    <w:rsid w:val="005921A2"/>
    <w:rsid w:val="005A0618"/>
    <w:rsid w:val="005A7560"/>
    <w:rsid w:val="005D6FBB"/>
    <w:rsid w:val="005E5379"/>
    <w:rsid w:val="0061496A"/>
    <w:rsid w:val="00616492"/>
    <w:rsid w:val="00625727"/>
    <w:rsid w:val="00627D12"/>
    <w:rsid w:val="00642816"/>
    <w:rsid w:val="006568E0"/>
    <w:rsid w:val="00665C0D"/>
    <w:rsid w:val="00673F7F"/>
    <w:rsid w:val="006A07CF"/>
    <w:rsid w:val="006C70E8"/>
    <w:rsid w:val="006D02DE"/>
    <w:rsid w:val="006D60D0"/>
    <w:rsid w:val="006F66CD"/>
    <w:rsid w:val="00741411"/>
    <w:rsid w:val="00743BD6"/>
    <w:rsid w:val="00753CFE"/>
    <w:rsid w:val="00770CDD"/>
    <w:rsid w:val="00771FF3"/>
    <w:rsid w:val="0078087B"/>
    <w:rsid w:val="00787F9C"/>
    <w:rsid w:val="007A60F1"/>
    <w:rsid w:val="007D368F"/>
    <w:rsid w:val="007E229A"/>
    <w:rsid w:val="007F7E9F"/>
    <w:rsid w:val="00813E69"/>
    <w:rsid w:val="00851027"/>
    <w:rsid w:val="008967F8"/>
    <w:rsid w:val="008B7549"/>
    <w:rsid w:val="008C6709"/>
    <w:rsid w:val="008D6566"/>
    <w:rsid w:val="008F3B80"/>
    <w:rsid w:val="008F5C43"/>
    <w:rsid w:val="0091296A"/>
    <w:rsid w:val="009155D2"/>
    <w:rsid w:val="009339E8"/>
    <w:rsid w:val="0095194E"/>
    <w:rsid w:val="00961F20"/>
    <w:rsid w:val="00982F6A"/>
    <w:rsid w:val="009C106F"/>
    <w:rsid w:val="009C5D15"/>
    <w:rsid w:val="009D6D31"/>
    <w:rsid w:val="009F6803"/>
    <w:rsid w:val="00A05D6C"/>
    <w:rsid w:val="00A3675D"/>
    <w:rsid w:val="00A73C05"/>
    <w:rsid w:val="00A74A40"/>
    <w:rsid w:val="00A75015"/>
    <w:rsid w:val="00A9634F"/>
    <w:rsid w:val="00A966E0"/>
    <w:rsid w:val="00AB24E2"/>
    <w:rsid w:val="00AB463B"/>
    <w:rsid w:val="00AC49BA"/>
    <w:rsid w:val="00AE3607"/>
    <w:rsid w:val="00B01A22"/>
    <w:rsid w:val="00B03DAE"/>
    <w:rsid w:val="00B41A4B"/>
    <w:rsid w:val="00B5524E"/>
    <w:rsid w:val="00B60A0A"/>
    <w:rsid w:val="00BB775D"/>
    <w:rsid w:val="00BC0282"/>
    <w:rsid w:val="00BC5E75"/>
    <w:rsid w:val="00BD188E"/>
    <w:rsid w:val="00BD4E4B"/>
    <w:rsid w:val="00C07BD6"/>
    <w:rsid w:val="00C22F02"/>
    <w:rsid w:val="00C41454"/>
    <w:rsid w:val="00C56B47"/>
    <w:rsid w:val="00C67D5F"/>
    <w:rsid w:val="00C74FFE"/>
    <w:rsid w:val="00C84E51"/>
    <w:rsid w:val="00C873B1"/>
    <w:rsid w:val="00D0514E"/>
    <w:rsid w:val="00D0657F"/>
    <w:rsid w:val="00D43015"/>
    <w:rsid w:val="00D60B6C"/>
    <w:rsid w:val="00D769B3"/>
    <w:rsid w:val="00D97E74"/>
    <w:rsid w:val="00DC1FF0"/>
    <w:rsid w:val="00DC2556"/>
    <w:rsid w:val="00DC7490"/>
    <w:rsid w:val="00DD540E"/>
    <w:rsid w:val="00DF5019"/>
    <w:rsid w:val="00E12626"/>
    <w:rsid w:val="00E207D6"/>
    <w:rsid w:val="00E31D5D"/>
    <w:rsid w:val="00E634F6"/>
    <w:rsid w:val="00E66565"/>
    <w:rsid w:val="00E70F2B"/>
    <w:rsid w:val="00E85A86"/>
    <w:rsid w:val="00E90A9A"/>
    <w:rsid w:val="00EB4B09"/>
    <w:rsid w:val="00EC6A1C"/>
    <w:rsid w:val="00EF2A10"/>
    <w:rsid w:val="00F018C2"/>
    <w:rsid w:val="00F112CA"/>
    <w:rsid w:val="00F33A0A"/>
    <w:rsid w:val="00F35C09"/>
    <w:rsid w:val="00F574F5"/>
    <w:rsid w:val="00FB5E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134981"/>
  <w15:chartTrackingRefBased/>
  <w15:docId w15:val="{AE8BD1C4-6D20-4BBD-ABF7-70627988F1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F7E9F"/>
  </w:style>
  <w:style w:type="paragraph" w:styleId="Heading1">
    <w:name w:val="heading 1"/>
    <w:basedOn w:val="Normal"/>
    <w:next w:val="Normal"/>
    <w:link w:val="Heading1Char"/>
    <w:uiPriority w:val="9"/>
    <w:qFormat/>
    <w:rsid w:val="007F7E9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7F7E9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7F7E9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F7E9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F7E9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F7E9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F7E9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F7E9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F7E9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F7E9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7F7E9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7F7E9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F7E9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F7E9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F7E9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F7E9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F7E9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F7E9F"/>
    <w:rPr>
      <w:rFonts w:eastAsiaTheme="majorEastAsia" w:cstheme="majorBidi"/>
      <w:color w:val="272727" w:themeColor="text1" w:themeTint="D8"/>
    </w:rPr>
  </w:style>
  <w:style w:type="paragraph" w:styleId="Title">
    <w:name w:val="Title"/>
    <w:basedOn w:val="Normal"/>
    <w:next w:val="Normal"/>
    <w:link w:val="TitleChar"/>
    <w:uiPriority w:val="10"/>
    <w:qFormat/>
    <w:rsid w:val="007F7E9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F7E9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F7E9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F7E9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F7E9F"/>
    <w:pPr>
      <w:spacing w:before="160"/>
      <w:jc w:val="center"/>
    </w:pPr>
    <w:rPr>
      <w:i/>
      <w:iCs/>
      <w:color w:val="404040" w:themeColor="text1" w:themeTint="BF"/>
    </w:rPr>
  </w:style>
  <w:style w:type="character" w:customStyle="1" w:styleId="QuoteChar">
    <w:name w:val="Quote Char"/>
    <w:basedOn w:val="DefaultParagraphFont"/>
    <w:link w:val="Quote"/>
    <w:uiPriority w:val="29"/>
    <w:rsid w:val="007F7E9F"/>
    <w:rPr>
      <w:i/>
      <w:iCs/>
      <w:color w:val="404040" w:themeColor="text1" w:themeTint="BF"/>
    </w:rPr>
  </w:style>
  <w:style w:type="paragraph" w:styleId="ListParagraph">
    <w:name w:val="List Paragraph"/>
    <w:basedOn w:val="Normal"/>
    <w:uiPriority w:val="34"/>
    <w:qFormat/>
    <w:rsid w:val="007F7E9F"/>
    <w:pPr>
      <w:ind w:left="720"/>
      <w:contextualSpacing/>
    </w:pPr>
  </w:style>
  <w:style w:type="character" w:styleId="IntenseEmphasis">
    <w:name w:val="Intense Emphasis"/>
    <w:basedOn w:val="DefaultParagraphFont"/>
    <w:uiPriority w:val="21"/>
    <w:qFormat/>
    <w:rsid w:val="007F7E9F"/>
    <w:rPr>
      <w:i/>
      <w:iCs/>
      <w:color w:val="0F4761" w:themeColor="accent1" w:themeShade="BF"/>
    </w:rPr>
  </w:style>
  <w:style w:type="paragraph" w:styleId="IntenseQuote">
    <w:name w:val="Intense Quote"/>
    <w:basedOn w:val="Normal"/>
    <w:next w:val="Normal"/>
    <w:link w:val="IntenseQuoteChar"/>
    <w:uiPriority w:val="30"/>
    <w:qFormat/>
    <w:rsid w:val="007F7E9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F7E9F"/>
    <w:rPr>
      <w:i/>
      <w:iCs/>
      <w:color w:val="0F4761" w:themeColor="accent1" w:themeShade="BF"/>
    </w:rPr>
  </w:style>
  <w:style w:type="character" w:styleId="IntenseReference">
    <w:name w:val="Intense Reference"/>
    <w:basedOn w:val="DefaultParagraphFont"/>
    <w:uiPriority w:val="32"/>
    <w:qFormat/>
    <w:rsid w:val="007F7E9F"/>
    <w:rPr>
      <w:b/>
      <w:bCs/>
      <w:smallCaps/>
      <w:color w:val="0F4761" w:themeColor="accent1" w:themeShade="BF"/>
      <w:spacing w:val="5"/>
    </w:rPr>
  </w:style>
  <w:style w:type="paragraph" w:styleId="Header">
    <w:name w:val="header"/>
    <w:basedOn w:val="Normal"/>
    <w:link w:val="HeaderChar"/>
    <w:uiPriority w:val="99"/>
    <w:unhideWhenUsed/>
    <w:rsid w:val="007F7E9F"/>
    <w:pPr>
      <w:tabs>
        <w:tab w:val="center" w:pos="4513"/>
        <w:tab w:val="right" w:pos="9026"/>
      </w:tabs>
      <w:spacing w:after="0" w:line="240" w:lineRule="auto"/>
    </w:pPr>
  </w:style>
  <w:style w:type="character" w:customStyle="1" w:styleId="HeaderChar">
    <w:name w:val="Header Char"/>
    <w:basedOn w:val="DefaultParagraphFont"/>
    <w:link w:val="Header"/>
    <w:uiPriority w:val="99"/>
    <w:rsid w:val="007F7E9F"/>
  </w:style>
  <w:style w:type="paragraph" w:styleId="Footer">
    <w:name w:val="footer"/>
    <w:basedOn w:val="Normal"/>
    <w:link w:val="FooterChar"/>
    <w:uiPriority w:val="99"/>
    <w:unhideWhenUsed/>
    <w:rsid w:val="007F7E9F"/>
    <w:pPr>
      <w:tabs>
        <w:tab w:val="center" w:pos="4513"/>
        <w:tab w:val="right" w:pos="9026"/>
      </w:tabs>
      <w:spacing w:after="0" w:line="240" w:lineRule="auto"/>
    </w:pPr>
  </w:style>
  <w:style w:type="character" w:customStyle="1" w:styleId="FooterChar">
    <w:name w:val="Footer Char"/>
    <w:basedOn w:val="DefaultParagraphFont"/>
    <w:link w:val="Footer"/>
    <w:uiPriority w:val="99"/>
    <w:rsid w:val="007F7E9F"/>
  </w:style>
  <w:style w:type="character" w:styleId="Hyperlink">
    <w:name w:val="Hyperlink"/>
    <w:basedOn w:val="DefaultParagraphFont"/>
    <w:uiPriority w:val="99"/>
    <w:unhideWhenUsed/>
    <w:rsid w:val="007F7E9F"/>
    <w:rPr>
      <w:color w:val="467886" w:themeColor="hyperlink"/>
      <w:u w:val="single"/>
    </w:rPr>
  </w:style>
  <w:style w:type="character" w:styleId="UnresolvedMention">
    <w:name w:val="Unresolved Mention"/>
    <w:basedOn w:val="DefaultParagraphFont"/>
    <w:uiPriority w:val="99"/>
    <w:semiHidden/>
    <w:unhideWhenUsed/>
    <w:rsid w:val="007F7E9F"/>
    <w:rPr>
      <w:color w:val="605E5C"/>
      <w:shd w:val="clear" w:color="auto" w:fill="E1DFDD"/>
    </w:rPr>
  </w:style>
  <w:style w:type="table" w:styleId="TableGrid">
    <w:name w:val="Table Grid"/>
    <w:basedOn w:val="TableNormal"/>
    <w:uiPriority w:val="39"/>
    <w:rsid w:val="007F7E9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7F7E9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F7E9F"/>
    <w:rPr>
      <w:sz w:val="20"/>
      <w:szCs w:val="20"/>
    </w:rPr>
  </w:style>
  <w:style w:type="character" w:styleId="FootnoteReference">
    <w:name w:val="footnote reference"/>
    <w:basedOn w:val="DefaultParagraphFont"/>
    <w:uiPriority w:val="99"/>
    <w:semiHidden/>
    <w:unhideWhenUsed/>
    <w:rsid w:val="007F7E9F"/>
    <w:rPr>
      <w:vertAlign w:val="superscript"/>
    </w:rPr>
  </w:style>
  <w:style w:type="character" w:styleId="FollowedHyperlink">
    <w:name w:val="FollowedHyperlink"/>
    <w:basedOn w:val="DefaultParagraphFont"/>
    <w:uiPriority w:val="99"/>
    <w:semiHidden/>
    <w:unhideWhenUsed/>
    <w:rsid w:val="007F7E9F"/>
    <w:rPr>
      <w:color w:val="96607D" w:themeColor="followedHyperlink"/>
      <w:u w:val="single"/>
    </w:rPr>
  </w:style>
  <w:style w:type="paragraph" w:styleId="CommentText">
    <w:name w:val="annotation text"/>
    <w:basedOn w:val="Normal"/>
    <w:link w:val="CommentTextChar"/>
    <w:uiPriority w:val="99"/>
    <w:unhideWhenUsed/>
    <w:rsid w:val="007F7E9F"/>
    <w:pPr>
      <w:spacing w:line="240" w:lineRule="auto"/>
    </w:pPr>
    <w:rPr>
      <w:sz w:val="20"/>
      <w:szCs w:val="20"/>
    </w:rPr>
  </w:style>
  <w:style w:type="character" w:customStyle="1" w:styleId="CommentTextChar">
    <w:name w:val="Comment Text Char"/>
    <w:basedOn w:val="DefaultParagraphFont"/>
    <w:link w:val="CommentText"/>
    <w:uiPriority w:val="99"/>
    <w:rsid w:val="007F7E9F"/>
    <w:rPr>
      <w:sz w:val="20"/>
      <w:szCs w:val="20"/>
    </w:rPr>
  </w:style>
  <w:style w:type="character" w:styleId="CommentReference">
    <w:name w:val="annotation reference"/>
    <w:basedOn w:val="DefaultParagraphFont"/>
    <w:uiPriority w:val="99"/>
    <w:semiHidden/>
    <w:unhideWhenUsed/>
    <w:rsid w:val="007F7E9F"/>
    <w:rPr>
      <w:sz w:val="16"/>
      <w:szCs w:val="16"/>
    </w:rPr>
  </w:style>
  <w:style w:type="paragraph" w:styleId="Revision">
    <w:name w:val="Revision"/>
    <w:hidden/>
    <w:uiPriority w:val="99"/>
    <w:semiHidden/>
    <w:rsid w:val="007F7E9F"/>
    <w:pPr>
      <w:spacing w:after="0" w:line="240" w:lineRule="auto"/>
    </w:pPr>
  </w:style>
  <w:style w:type="paragraph" w:styleId="CommentSubject">
    <w:name w:val="annotation subject"/>
    <w:basedOn w:val="CommentText"/>
    <w:next w:val="CommentText"/>
    <w:link w:val="CommentSubjectChar"/>
    <w:uiPriority w:val="99"/>
    <w:semiHidden/>
    <w:unhideWhenUsed/>
    <w:rsid w:val="007F7E9F"/>
    <w:rPr>
      <w:b/>
      <w:bCs/>
    </w:rPr>
  </w:style>
  <w:style w:type="character" w:customStyle="1" w:styleId="CommentSubjectChar">
    <w:name w:val="Comment Subject Char"/>
    <w:basedOn w:val="CommentTextChar"/>
    <w:link w:val="CommentSubject"/>
    <w:uiPriority w:val="99"/>
    <w:semiHidden/>
    <w:rsid w:val="007F7E9F"/>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mailto:christopher@equality-network.org"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13" Type="http://schemas.openxmlformats.org/officeDocument/2006/relationships/hyperlink" Target="https://www.stonewall.org.uk/resources/lgbt-britain-work-report-2018" TargetMode="External"/><Relationship Id="rId18" Type="http://schemas.openxmlformats.org/officeDocument/2006/relationships/hyperlink" Target="https://www.equalityhumanrights.com/sites/default/files/2023/Is%20Scotland%20Fairer-%20Equality%20and%20Human%20Rights%20Monitor-%20accessible%20PDF.pdf" TargetMode="External"/><Relationship Id="rId26" Type="http://schemas.openxmlformats.org/officeDocument/2006/relationships/hyperlink" Target="https://www.gov.scot/publications/scottish-health-survey-2021-volume-1-main-report/" TargetMode="External"/><Relationship Id="rId39" Type="http://schemas.openxmlformats.org/officeDocument/2006/relationships/hyperlink" Target="https://www.gov.scot/news/gender-identity-healthcare-2/" TargetMode="External"/><Relationship Id="rId21" Type="http://schemas.openxmlformats.org/officeDocument/2006/relationships/hyperlink" Target="https://www.lgbthealth.org.uk/wp-content/uploads/2022/10/Health-Needs-Assessment-of-LGBT-People-Scotland_Infographic-Summary-Final3-13-June-2022.pdf" TargetMode="External"/><Relationship Id="rId34" Type="http://schemas.openxmlformats.org/officeDocument/2006/relationships/hyperlink" Target="https://cass.independent-review.uk/" TargetMode="External"/><Relationship Id="rId42" Type="http://schemas.openxmlformats.org/officeDocument/2006/relationships/hyperlink" Target="https://www.gov.scot/publications/programme-government-2024-25-serving-scotland/" TargetMode="External"/><Relationship Id="rId47" Type="http://schemas.openxmlformats.org/officeDocument/2006/relationships/hyperlink" Target="https://www.scotphn.net/wp-content/uploads/2022/06/Final-Full-HNA-Report-June-2022.pdf" TargetMode="External"/><Relationship Id="rId7" Type="http://schemas.openxmlformats.org/officeDocument/2006/relationships/hyperlink" Target="https://www.scottishtrans.org/wp-content/uploads/2024/07/Scottish-Trans-and-Nonbinary-Experiences-Research-Report.pdf" TargetMode="External"/><Relationship Id="rId2" Type="http://schemas.openxmlformats.org/officeDocument/2006/relationships/hyperlink" Target="https://www.hrcscotland.org/file-download/43/Final-ICESCR-rights-and-LGBTI-matters-Paul-Behrens-Dec-2023.pdf" TargetMode="External"/><Relationship Id="rId16" Type="http://schemas.openxmlformats.org/officeDocument/2006/relationships/hyperlink" Target="https://www.scottishtrans.org/wp-content/uploads/2024/07/Scottish-Trans-and-Nonbinary-Experiences-Research-Report.pdf" TargetMode="External"/><Relationship Id="rId29" Type="http://schemas.openxmlformats.org/officeDocument/2006/relationships/hyperlink" Target="https://www.equality-network.org/wp-content/uploads/2024/11/LBH-Report-final-EN.pdf" TargetMode="External"/><Relationship Id="rId11" Type="http://schemas.openxmlformats.org/officeDocument/2006/relationships/hyperlink" Target="https://www.scottishtrans.org/wp-content/uploads/2024/07/Scottish-Trans-and-Nonbinary-Experiences-Research-Report.pdf" TargetMode="External"/><Relationship Id="rId24" Type="http://schemas.openxmlformats.org/officeDocument/2006/relationships/hyperlink" Target="https://www.lgbthealth.org.uk/wp-content/uploads/2023/07/Refugee-Report-Final-E-Copy.pdf" TargetMode="External"/><Relationship Id="rId32" Type="http://schemas.openxmlformats.org/officeDocument/2006/relationships/hyperlink" Target="https://www.nhsggc.scot/service-update/" TargetMode="External"/><Relationship Id="rId37" Type="http://schemas.openxmlformats.org/officeDocument/2006/relationships/hyperlink" Target="https://www.sciencedirect.com/science/article/pii/S0929693X24001763" TargetMode="External"/><Relationship Id="rId40" Type="http://schemas.openxmlformats.org/officeDocument/2006/relationships/hyperlink" Target="https://www.gov.uk/government/publications/national-lgbt-survey-summary-report" TargetMode="External"/><Relationship Id="rId45" Type="http://schemas.openxmlformats.org/officeDocument/2006/relationships/hyperlink" Target="https://lgbteducation.scot/evaluation/" TargetMode="External"/><Relationship Id="rId5" Type="http://schemas.openxmlformats.org/officeDocument/2006/relationships/hyperlink" Target="https://www.lgbthealth.org.uk/services-support/newscots/" TargetMode="External"/><Relationship Id="rId15" Type="http://schemas.openxmlformats.org/officeDocument/2006/relationships/hyperlink" Target="https://lgbtqwelfare.stir.ac.uk/wp-content/uploads/2024/12/LGBT-Welfare-and-Assets-in-Great-Britain-Main-Public-Output.pdf" TargetMode="External"/><Relationship Id="rId23" Type="http://schemas.openxmlformats.org/officeDocument/2006/relationships/hyperlink" Target="https://www.gov.scot/publications/ending-homelessness-together-monitor-strategic-outcomes-indicators-2024/" TargetMode="External"/><Relationship Id="rId28" Type="http://schemas.openxmlformats.org/officeDocument/2006/relationships/hyperlink" Target="https://www.equalityhumanrights.com/sites/default/files/2023/Is%20Scotland%20Fairer-%20Equality%20and%20Human%20Rights%20Monitor-%20accessible%20PDF.pdf" TargetMode="External"/><Relationship Id="rId36" Type="http://schemas.openxmlformats.org/officeDocument/2006/relationships/hyperlink" Target="https://www.saxinstitute.org.au/resource/evidence-for-effective-interventions-for-children-and-young-people-with-gender-dysphoria-update" TargetMode="External"/><Relationship Id="rId49" Type="http://schemas.openxmlformats.org/officeDocument/2006/relationships/hyperlink" Target="https://leapsports.org/files/1043-Alliance%20analysis%20of%20SCEG%20guidance.pdf" TargetMode="External"/><Relationship Id="rId10" Type="http://schemas.openxmlformats.org/officeDocument/2006/relationships/hyperlink" Target="https://www.lgbthealth.org.uk/wp-content/uploads/2021/08/Trans-People-and-Work-Survey-Report-LGBT-Health-Aug-2021-FINAL.pdf" TargetMode="External"/><Relationship Id="rId19" Type="http://schemas.openxmlformats.org/officeDocument/2006/relationships/hyperlink" Target="https://www.scottishtrans.org/wp-content/uploads/2024/07/Scottish-Trans-and-Nonbinary-Experiences-Research-Report.pdf" TargetMode="External"/><Relationship Id="rId31" Type="http://schemas.openxmlformats.org/officeDocument/2006/relationships/hyperlink" Target="https://www.publichealthscotland.scot/media/29798/2024-11-05-nhs-gender-identity-clinic-waiting-times_report.pdf" TargetMode="External"/><Relationship Id="rId44" Type="http://schemas.openxmlformats.org/officeDocument/2006/relationships/hyperlink" Target="https://news.stv.tv/scotland/scotland-first-country-in-world-to-teach-lgbt-inclusivity-in-schools" TargetMode="External"/><Relationship Id="rId4" Type="http://schemas.openxmlformats.org/officeDocument/2006/relationships/hyperlink" Target="https://www.birmingham.ac.uk/research/superdiversity-institute/sereda" TargetMode="External"/><Relationship Id="rId9" Type="http://schemas.openxmlformats.org/officeDocument/2006/relationships/hyperlink" Target="https://www.gov.scot/publications/labour-market-trends-november-2024/" TargetMode="External"/><Relationship Id="rId14" Type="http://schemas.openxmlformats.org/officeDocument/2006/relationships/hyperlink" Target="https://www.scottishtrans.org/wp-content/uploads/2024/07/Scottish-Trans-and-Nonbinary-Experiences-Research-Report.pdf" TargetMode="External"/><Relationship Id="rId22" Type="http://schemas.openxmlformats.org/officeDocument/2006/relationships/hyperlink" Target="https://www.scottishtrans.org/wp-content/uploads/2024/07/Scottish-Trans-and-Nonbinary-Experiences-Research-Report.pdf" TargetMode="External"/><Relationship Id="rId27" Type="http://schemas.openxmlformats.org/officeDocument/2006/relationships/hyperlink" Target="https://www.equality-network.org/resources/equality-networks-response-to-the-human-rights-bill-for-scotland-consultation/" TargetMode="External"/><Relationship Id="rId30" Type="http://schemas.openxmlformats.org/officeDocument/2006/relationships/hyperlink" Target="https://www.equality-network.org/wp-content/uploads/2020/10/LGBT-Rural-Report.pdf" TargetMode="External"/><Relationship Id="rId35" Type="http://schemas.openxmlformats.org/officeDocument/2006/relationships/hyperlink" Target="https://www.childrens.health.qld.gov.au/__data/assets/pdf_file/0036/289719/Queensland-Childrens-Gender-Service-External-Clinical-Services-Evaluation.pdf" TargetMode="External"/><Relationship Id="rId43" Type="http://schemas.openxmlformats.org/officeDocument/2006/relationships/hyperlink" Target="https://www.gov.scot/binaries/content/documents/govscot/publications/independent-report/2018/11/lgbti-inclusive-education-working-group-report/documents/lgbti-inclusive-education-working-group-report-scottish-ministers/lgbti-inclusive-education-working-group-report-scottish-ministers/govscot:document/00542171.pdf" TargetMode="External"/><Relationship Id="rId48" Type="http://schemas.openxmlformats.org/officeDocument/2006/relationships/hyperlink" Target="http://www.out-sport.eu/wp-content/uploads/2019/05/OUTSPORT-Report-Relevance-of-SOGI-in-Sport-inEurope-3.pdf" TargetMode="External"/><Relationship Id="rId8" Type="http://schemas.openxmlformats.org/officeDocument/2006/relationships/hyperlink" Target="https://www.scottishtrans.org/wp-content/uploads/2024/07/Scottish-Trans-and-Nonbinary-Experiences-Research-Report.pdf" TargetMode="External"/><Relationship Id="rId3" Type="http://schemas.openxmlformats.org/officeDocument/2006/relationships/hyperlink" Target="https://www.lgbthealth.org.uk/wp-content/uploads/2023/07/Refugee-Report-Final-E-Copy.pdf" TargetMode="External"/><Relationship Id="rId12" Type="http://schemas.openxmlformats.org/officeDocument/2006/relationships/hyperlink" Target="https://livingwage.org.uk/precarious-pay-and-uncertain-hours-insecure-work-uk-labour-market" TargetMode="External"/><Relationship Id="rId17" Type="http://schemas.openxmlformats.org/officeDocument/2006/relationships/hyperlink" Target="https://lgbtqwelfare.stir.ac.uk/wp-content/uploads/2024/12/LGBT-Welfare-and-Assets-in-Great-Britain-Main-Public-Output.pdf" TargetMode="External"/><Relationship Id="rId25" Type="http://schemas.openxmlformats.org/officeDocument/2006/relationships/hyperlink" Target="https://www.lgbthealth.org.uk/wp-content/uploads/2022/10/Health-Needs-Assessment-of-LGBT-People-Scotland_Infographic-Summary-Final3-13-June-2022.pdf" TargetMode="External"/><Relationship Id="rId33" Type="http://schemas.openxmlformats.org/officeDocument/2006/relationships/hyperlink" Target="https://www.gov.uk/government/news/extension-to-temporary-ban-on-puberty-blockers" TargetMode="External"/><Relationship Id="rId38" Type="http://schemas.openxmlformats.org/officeDocument/2006/relationships/hyperlink" Target="https://www.gov.scot/publications/cass-review-implications-scotland/documents/" TargetMode="External"/><Relationship Id="rId46" Type="http://schemas.openxmlformats.org/officeDocument/2006/relationships/hyperlink" Target="https://leapsports.org/files/1741-Outsport%20Scotland%20Report.pdf" TargetMode="External"/><Relationship Id="rId20" Type="http://schemas.openxmlformats.org/officeDocument/2006/relationships/hyperlink" Target="https://www.equality-network.org/wp-content/uploads/2023/10/Equality-Network-Consultation-Response-A-Human-Rights-Bill-for-Scotland-4th-October-2023-.pdf" TargetMode="External"/><Relationship Id="rId41" Type="http://schemas.openxmlformats.org/officeDocument/2006/relationships/hyperlink" Target="https://www.gov.scot/publications/expert-advisory-group-ending-conversion-practices-report-recommendations/" TargetMode="External"/><Relationship Id="rId1" Type="http://schemas.openxmlformats.org/officeDocument/2006/relationships/hyperlink" Target="https://www.hrcscotland.org/file-download/43/Final-ICESCR-rights-and-LGBTI-matters-Paul-Behrens-Dec-2023.pdf" TargetMode="External"/><Relationship Id="rId6" Type="http://schemas.openxmlformats.org/officeDocument/2006/relationships/hyperlink" Target="https://www.lgbthealth.org.uk/wp-content/uploads/2021/08/Trans-People-and-Work-Survey-Report-LGBT-Health-Aug-2021-FINAL.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205</TotalTime>
  <Pages>15</Pages>
  <Words>5630</Words>
  <Characters>31870</Characters>
  <Application>Microsoft Office Word</Application>
  <DocSecurity>0</DocSecurity>
  <Lines>585</Lines>
  <Paragraphs>197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Christopher Clannachan</dc:creator>
  <cp:keywords/>
  <dc:description/>
  <cp:lastModifiedBy>Christopher Clannachan</cp:lastModifiedBy>
  <cp:revision>137</cp:revision>
  <dcterms:created xsi:type="dcterms:W3CDTF">2025-01-07T17:22:00Z</dcterms:created>
  <dcterms:modified xsi:type="dcterms:W3CDTF">2025-01-10T14:24:00Z</dcterms:modified>
</cp:coreProperties>
</file>