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91F61"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jc w:val="center"/>
        <w:rPr>
          <w:rFonts w:ascii="Times New Roman" w:eastAsia="Helvetica Neue" w:hAnsi="Times New Roman" w:cs="Times New Roman"/>
          <w:color w:val="000000" w:themeColor="text1"/>
          <w:sz w:val="24"/>
          <w:szCs w:val="24"/>
        </w:rPr>
      </w:pPr>
    </w:p>
    <w:p w14:paraId="3BE5AC99"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jc w:val="center"/>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Joint Submission to the Committee on the Elimination of Discrimination Against Women</w:t>
      </w:r>
    </w:p>
    <w:p w14:paraId="751B33AF"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jc w:val="center"/>
        <w:rPr>
          <w:rFonts w:ascii="Times New Roman" w:eastAsia="Helvetica Neue" w:hAnsi="Times New Roman" w:cs="Times New Roman"/>
          <w:color w:val="000000" w:themeColor="text1"/>
          <w:sz w:val="24"/>
          <w:szCs w:val="24"/>
        </w:rPr>
      </w:pPr>
    </w:p>
    <w:p w14:paraId="2F9AB311"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jc w:val="center"/>
        <w:rPr>
          <w:rFonts w:ascii="Times New Roman" w:eastAsia="Helvetica Neue" w:hAnsi="Times New Roman" w:cs="Times New Roman"/>
          <w:b/>
          <w:bCs/>
          <w:color w:val="000000" w:themeColor="text1"/>
          <w:sz w:val="24"/>
          <w:szCs w:val="24"/>
        </w:rPr>
      </w:pPr>
      <w:r w:rsidRPr="003B1A78">
        <w:rPr>
          <w:rFonts w:ascii="Times New Roman" w:eastAsia="Helvetica Neue" w:hAnsi="Times New Roman" w:cs="Times New Roman"/>
          <w:b/>
          <w:bCs/>
          <w:color w:val="000000" w:themeColor="text1"/>
          <w:sz w:val="24"/>
          <w:szCs w:val="24"/>
        </w:rPr>
        <w:t>PHILIPPINES</w:t>
      </w:r>
    </w:p>
    <w:p w14:paraId="5CD45BA1"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jc w:val="center"/>
        <w:rPr>
          <w:rFonts w:ascii="Times New Roman" w:eastAsia="Helvetica Neue" w:hAnsi="Times New Roman" w:cs="Times New Roman"/>
          <w:color w:val="000000" w:themeColor="text1"/>
          <w:sz w:val="24"/>
          <w:szCs w:val="24"/>
        </w:rPr>
      </w:pPr>
    </w:p>
    <w:p w14:paraId="59CC2221"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jc w:val="center"/>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Supplementary Report</w:t>
      </w:r>
    </w:p>
    <w:p w14:paraId="07462262"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jc w:val="center"/>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for the Adoption of its Concluding Observations</w:t>
      </w:r>
    </w:p>
    <w:p w14:paraId="28A1CDA3"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jc w:val="center"/>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86th Session (October 9-27, 2023)</w:t>
      </w:r>
    </w:p>
    <w:p w14:paraId="625ABD5B"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jc w:val="center"/>
        <w:rPr>
          <w:rFonts w:ascii="Times New Roman" w:eastAsia="Helvetica Neue" w:hAnsi="Times New Roman" w:cs="Times New Roman"/>
          <w:color w:val="000000" w:themeColor="text1"/>
          <w:sz w:val="24"/>
          <w:szCs w:val="24"/>
        </w:rPr>
      </w:pPr>
    </w:p>
    <w:p w14:paraId="4E1F2F6A"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jc w:val="center"/>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14 September 2023</w:t>
      </w:r>
    </w:p>
    <w:p w14:paraId="1D6AC9CE"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jc w:val="center"/>
        <w:rPr>
          <w:rFonts w:ascii="Times New Roman" w:eastAsia="Helvetica Neue" w:hAnsi="Times New Roman" w:cs="Times New Roman"/>
          <w:color w:val="000000" w:themeColor="text1"/>
          <w:sz w:val="24"/>
          <w:szCs w:val="24"/>
        </w:rPr>
      </w:pPr>
    </w:p>
    <w:p w14:paraId="24CCA493"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jc w:val="center"/>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Submitted by</w:t>
      </w:r>
    </w:p>
    <w:p w14:paraId="59D272D8"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jc w:val="center"/>
        <w:rPr>
          <w:rFonts w:ascii="Times New Roman" w:eastAsia="Helvetica Neue" w:hAnsi="Times New Roman" w:cs="Times New Roman"/>
          <w:color w:val="000000" w:themeColor="text1"/>
          <w:sz w:val="24"/>
          <w:szCs w:val="24"/>
        </w:rPr>
      </w:pPr>
    </w:p>
    <w:p w14:paraId="798CA155"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right="1134"/>
        <w:jc w:val="center"/>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Center for Reproductive Rights</w:t>
      </w:r>
    </w:p>
    <w:p w14:paraId="2316240E" w14:textId="77777777" w:rsidR="002C41A7" w:rsidRPr="003B1A78" w:rsidRDefault="002C41A7" w:rsidP="002C41A7">
      <w:pPr>
        <w:spacing w:beforeLines="30" w:before="72" w:afterLines="30" w:after="72"/>
        <w:ind w:left="360" w:right="4"/>
        <w:contextualSpacing/>
        <w:jc w:val="center"/>
        <w:outlineLvl w:val="0"/>
        <w:rPr>
          <w:rFonts w:ascii="Times New Roman" w:hAnsi="Times New Roman" w:cs="Times New Roman"/>
          <w:color w:val="000000" w:themeColor="text1"/>
          <w:sz w:val="24"/>
          <w:szCs w:val="24"/>
          <w:lang w:eastAsia="zh-TW"/>
        </w:rPr>
      </w:pPr>
      <w:r w:rsidRPr="003B1A78">
        <w:rPr>
          <w:rFonts w:ascii="Times New Roman" w:hAnsi="Times New Roman" w:cs="Times New Roman"/>
          <w:color w:val="000000" w:themeColor="text1"/>
          <w:sz w:val="24"/>
          <w:szCs w:val="24"/>
          <w:lang w:eastAsia="zh-TW"/>
        </w:rPr>
        <w:t>Catholics for Reproductive Health</w:t>
      </w:r>
    </w:p>
    <w:p w14:paraId="2371EF66" w14:textId="77777777" w:rsidR="002C41A7" w:rsidRPr="003B1A78" w:rsidRDefault="002C41A7" w:rsidP="002C41A7">
      <w:pPr>
        <w:spacing w:beforeLines="30" w:before="72" w:afterLines="30" w:after="72"/>
        <w:ind w:left="360" w:right="4"/>
        <w:contextualSpacing/>
        <w:jc w:val="center"/>
        <w:outlineLvl w:val="0"/>
        <w:rPr>
          <w:rFonts w:ascii="Times New Roman" w:hAnsi="Times New Roman" w:cs="Times New Roman"/>
          <w:color w:val="000000" w:themeColor="text1"/>
          <w:sz w:val="24"/>
          <w:szCs w:val="24"/>
          <w:lang w:eastAsia="zh-TW"/>
        </w:rPr>
      </w:pPr>
      <w:r w:rsidRPr="003B1A78">
        <w:rPr>
          <w:rFonts w:ascii="Times New Roman" w:hAnsi="Times New Roman" w:cs="Times New Roman"/>
          <w:color w:val="000000" w:themeColor="text1"/>
          <w:sz w:val="24"/>
          <w:szCs w:val="24"/>
          <w:lang w:eastAsia="zh-TW"/>
        </w:rPr>
        <w:t>Center for Reproductive Rights</w:t>
      </w:r>
    </w:p>
    <w:p w14:paraId="64F9EC60" w14:textId="77777777" w:rsidR="002C41A7" w:rsidRPr="003B1A78" w:rsidRDefault="002C41A7" w:rsidP="002C41A7">
      <w:pPr>
        <w:spacing w:beforeLines="30" w:before="72" w:afterLines="30" w:after="72"/>
        <w:ind w:left="360" w:right="4"/>
        <w:contextualSpacing/>
        <w:jc w:val="center"/>
        <w:outlineLvl w:val="0"/>
        <w:rPr>
          <w:rFonts w:ascii="Times New Roman" w:hAnsi="Times New Roman" w:cs="Times New Roman"/>
          <w:color w:val="000000" w:themeColor="text1"/>
          <w:sz w:val="24"/>
          <w:szCs w:val="24"/>
          <w:lang w:eastAsia="zh-TW"/>
        </w:rPr>
      </w:pPr>
      <w:r w:rsidRPr="003B1A78">
        <w:rPr>
          <w:rFonts w:ascii="Times New Roman" w:hAnsi="Times New Roman" w:cs="Times New Roman"/>
          <w:color w:val="000000" w:themeColor="text1"/>
          <w:sz w:val="24"/>
          <w:szCs w:val="24"/>
          <w:lang w:eastAsia="zh-TW"/>
        </w:rPr>
        <w:t>EnGendeRights, Inc.</w:t>
      </w:r>
    </w:p>
    <w:p w14:paraId="62EE1449" w14:textId="77777777" w:rsidR="002C41A7" w:rsidRPr="003B1A78" w:rsidRDefault="002C41A7" w:rsidP="002C41A7">
      <w:pPr>
        <w:spacing w:beforeLines="30" w:before="72" w:afterLines="30" w:after="72"/>
        <w:ind w:left="360" w:right="4"/>
        <w:contextualSpacing/>
        <w:jc w:val="center"/>
        <w:outlineLvl w:val="0"/>
        <w:rPr>
          <w:rFonts w:ascii="Times New Roman" w:hAnsi="Times New Roman" w:cs="Times New Roman"/>
          <w:color w:val="000000" w:themeColor="text1"/>
          <w:sz w:val="24"/>
          <w:szCs w:val="24"/>
          <w:lang w:eastAsia="zh-TW"/>
        </w:rPr>
      </w:pPr>
      <w:r w:rsidRPr="003B1A78">
        <w:rPr>
          <w:rFonts w:ascii="Times New Roman" w:hAnsi="Times New Roman" w:cs="Times New Roman"/>
          <w:color w:val="000000" w:themeColor="text1"/>
          <w:sz w:val="24"/>
          <w:szCs w:val="24"/>
          <w:lang w:eastAsia="zh-TW"/>
        </w:rPr>
        <w:t>Family Planning Organization of the Philippines</w:t>
      </w:r>
    </w:p>
    <w:p w14:paraId="628D268F" w14:textId="77777777" w:rsidR="002C41A7" w:rsidRPr="003B1A78" w:rsidRDefault="002C41A7" w:rsidP="002C41A7">
      <w:pPr>
        <w:spacing w:beforeLines="30" w:before="72" w:afterLines="30" w:after="72"/>
        <w:ind w:left="360" w:right="4"/>
        <w:contextualSpacing/>
        <w:jc w:val="center"/>
        <w:outlineLvl w:val="0"/>
        <w:rPr>
          <w:rFonts w:ascii="Times New Roman" w:hAnsi="Times New Roman" w:cs="Times New Roman"/>
          <w:color w:val="000000" w:themeColor="text1"/>
          <w:sz w:val="24"/>
          <w:szCs w:val="24"/>
          <w:lang w:eastAsia="zh-TW"/>
        </w:rPr>
      </w:pPr>
      <w:r w:rsidRPr="003B1A78">
        <w:rPr>
          <w:rFonts w:ascii="Times New Roman" w:hAnsi="Times New Roman" w:cs="Times New Roman"/>
          <w:color w:val="000000" w:themeColor="text1"/>
          <w:sz w:val="24"/>
          <w:szCs w:val="24"/>
          <w:lang w:eastAsia="zh-TW"/>
        </w:rPr>
        <w:t>Filipino Freethinkers</w:t>
      </w:r>
    </w:p>
    <w:p w14:paraId="5C0D2752" w14:textId="77777777" w:rsidR="002C41A7" w:rsidRPr="003B1A78" w:rsidRDefault="002C41A7" w:rsidP="002C41A7">
      <w:pPr>
        <w:spacing w:beforeLines="30" w:before="72" w:afterLines="30" w:after="72"/>
        <w:ind w:left="360" w:right="4"/>
        <w:contextualSpacing/>
        <w:jc w:val="center"/>
        <w:outlineLvl w:val="0"/>
        <w:rPr>
          <w:rFonts w:ascii="Times New Roman" w:hAnsi="Times New Roman" w:cs="Times New Roman"/>
          <w:color w:val="000000" w:themeColor="text1"/>
          <w:sz w:val="24"/>
          <w:szCs w:val="24"/>
          <w:lang w:eastAsia="zh-TW"/>
        </w:rPr>
      </w:pPr>
      <w:r w:rsidRPr="003B1A78">
        <w:rPr>
          <w:rFonts w:ascii="Times New Roman" w:hAnsi="Times New Roman" w:cs="Times New Roman"/>
          <w:color w:val="000000" w:themeColor="text1"/>
          <w:sz w:val="24"/>
          <w:szCs w:val="24"/>
          <w:lang w:eastAsia="zh-TW"/>
        </w:rPr>
        <w:t>Lunas Collective</w:t>
      </w:r>
    </w:p>
    <w:p w14:paraId="7FAA59CA" w14:textId="77777777" w:rsidR="002C41A7" w:rsidRPr="003B1A78" w:rsidRDefault="002C41A7" w:rsidP="002C41A7">
      <w:pPr>
        <w:spacing w:beforeLines="30" w:before="72" w:afterLines="30" w:after="72"/>
        <w:ind w:left="360" w:right="4"/>
        <w:contextualSpacing/>
        <w:jc w:val="center"/>
        <w:outlineLvl w:val="0"/>
        <w:rPr>
          <w:rFonts w:ascii="Times New Roman" w:hAnsi="Times New Roman" w:cs="Times New Roman"/>
          <w:color w:val="000000" w:themeColor="text1"/>
          <w:sz w:val="24"/>
          <w:szCs w:val="24"/>
          <w:lang w:eastAsia="zh-TW"/>
        </w:rPr>
      </w:pPr>
      <w:r w:rsidRPr="003B1A78">
        <w:rPr>
          <w:rFonts w:ascii="Times New Roman" w:hAnsi="Times New Roman" w:cs="Times New Roman"/>
          <w:color w:val="000000" w:themeColor="text1"/>
          <w:sz w:val="24"/>
          <w:szCs w:val="24"/>
          <w:lang w:eastAsia="zh-TW"/>
        </w:rPr>
        <w:t>Philippine Safe Abortion Advocacy Network</w:t>
      </w:r>
    </w:p>
    <w:p w14:paraId="454394E4" w14:textId="77777777" w:rsidR="002C41A7" w:rsidRPr="003B1A78" w:rsidRDefault="002C41A7" w:rsidP="002C41A7">
      <w:pPr>
        <w:spacing w:beforeLines="30" w:before="72" w:afterLines="30" w:after="72"/>
        <w:ind w:left="360" w:right="4"/>
        <w:contextualSpacing/>
        <w:jc w:val="center"/>
        <w:outlineLvl w:val="0"/>
        <w:rPr>
          <w:rFonts w:ascii="Times New Roman" w:hAnsi="Times New Roman" w:cs="Times New Roman"/>
          <w:color w:val="000000" w:themeColor="text1"/>
          <w:sz w:val="24"/>
          <w:szCs w:val="24"/>
          <w:lang w:eastAsia="zh-TW"/>
        </w:rPr>
      </w:pPr>
      <w:r w:rsidRPr="003B1A78">
        <w:rPr>
          <w:rFonts w:ascii="Times New Roman" w:hAnsi="Times New Roman" w:cs="Times New Roman"/>
          <w:color w:val="000000" w:themeColor="text1"/>
          <w:sz w:val="24"/>
          <w:szCs w:val="24"/>
          <w:lang w:eastAsia="zh-TW"/>
        </w:rPr>
        <w:t>WomanHealth Philippines, Inc.</w:t>
      </w:r>
    </w:p>
    <w:p w14:paraId="4CB3C811" w14:textId="77777777" w:rsidR="002C41A7" w:rsidRPr="003B1A78" w:rsidRDefault="002C41A7" w:rsidP="002C41A7">
      <w:pPr>
        <w:pStyle w:val="MediumList2-Accent41"/>
        <w:overflowPunct/>
        <w:autoSpaceDE/>
        <w:autoSpaceDN/>
        <w:adjustRightInd/>
        <w:spacing w:beforeLines="30" w:before="72" w:afterLines="30" w:after="72"/>
        <w:ind w:left="0"/>
        <w:contextualSpacing/>
        <w:jc w:val="center"/>
        <w:textAlignment w:val="auto"/>
        <w:rPr>
          <w:sz w:val="24"/>
          <w:szCs w:val="24"/>
        </w:rPr>
      </w:pPr>
      <w:r w:rsidRPr="003B1A78">
        <w:rPr>
          <w:sz w:val="24"/>
          <w:szCs w:val="24"/>
        </w:rPr>
        <w:t>Women’s Clinic Pilipinas</w:t>
      </w:r>
    </w:p>
    <w:p w14:paraId="280F1AD4" w14:textId="77777777" w:rsidR="002C41A7" w:rsidRPr="003B1A78" w:rsidRDefault="002C41A7" w:rsidP="002C41A7">
      <w:pPr>
        <w:pStyle w:val="MediumList2-Accent41"/>
        <w:overflowPunct/>
        <w:autoSpaceDE/>
        <w:autoSpaceDN/>
        <w:adjustRightInd/>
        <w:spacing w:beforeLines="30" w:before="72" w:afterLines="30" w:after="72"/>
        <w:ind w:left="0"/>
        <w:contextualSpacing/>
        <w:jc w:val="center"/>
        <w:textAlignment w:val="auto"/>
        <w:rPr>
          <w:sz w:val="24"/>
          <w:szCs w:val="24"/>
        </w:rPr>
      </w:pPr>
      <w:r w:rsidRPr="003B1A78">
        <w:rPr>
          <w:sz w:val="24"/>
          <w:szCs w:val="24"/>
        </w:rPr>
        <w:t>Women’s Global Network for Reproductive Rights (WGNRR)</w:t>
      </w:r>
    </w:p>
    <w:p w14:paraId="66850B02"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jc w:val="center"/>
        <w:rPr>
          <w:rFonts w:ascii="Times New Roman" w:eastAsia="Helvetica Neue" w:hAnsi="Times New Roman" w:cs="Times New Roman"/>
          <w:color w:val="000000" w:themeColor="text1"/>
          <w:sz w:val="24"/>
          <w:szCs w:val="24"/>
        </w:rPr>
      </w:pPr>
    </w:p>
    <w:p w14:paraId="19043D52" w14:textId="46AE199A"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jc w:val="center"/>
        <w:rPr>
          <w:rFonts w:ascii="Times New Roman" w:eastAsia="Helvetica Neue" w:hAnsi="Times New Roman" w:cs="Times New Roman"/>
          <w:color w:val="000000" w:themeColor="text1"/>
          <w:sz w:val="24"/>
          <w:szCs w:val="24"/>
        </w:rPr>
      </w:pPr>
    </w:p>
    <w:p w14:paraId="52B1345A" w14:textId="29CEAF1E" w:rsidR="002C41A7" w:rsidRPr="003B1A78" w:rsidRDefault="00CB3AAF"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jc w:val="center"/>
        <w:rPr>
          <w:rFonts w:ascii="Times New Roman" w:eastAsia="Helvetica Neue" w:hAnsi="Times New Roman" w:cs="Times New Roman"/>
          <w:color w:val="000000" w:themeColor="text1"/>
          <w:sz w:val="24"/>
          <w:szCs w:val="24"/>
        </w:rPr>
      </w:pPr>
      <w:r w:rsidRPr="003B1A78">
        <w:rPr>
          <w:rFonts w:ascii="Times New Roman" w:hAnsi="Times New Roman" w:cs="Times New Roman"/>
          <w:noProof/>
          <w:sz w:val="24"/>
          <w:szCs w:val="24"/>
        </w:rPr>
        <w:drawing>
          <wp:anchor distT="0" distB="0" distL="114300" distR="114300" simplePos="0" relativeHeight="251658241" behindDoc="1" locked="0" layoutInCell="1" allowOverlap="1" wp14:anchorId="740258A6" wp14:editId="57B70A30">
            <wp:simplePos x="0" y="0"/>
            <wp:positionH relativeFrom="margin">
              <wp:align>center</wp:align>
            </wp:positionH>
            <wp:positionV relativeFrom="paragraph">
              <wp:posOffset>191135</wp:posOffset>
            </wp:positionV>
            <wp:extent cx="1304925" cy="476250"/>
            <wp:effectExtent l="0" t="0" r="9525" b="0"/>
            <wp:wrapTight wrapText="bothSides">
              <wp:wrapPolygon edited="0">
                <wp:start x="0" y="0"/>
                <wp:lineTo x="0" y="20736"/>
                <wp:lineTo x="21442" y="20736"/>
                <wp:lineTo x="21442" y="0"/>
                <wp:lineTo x="0" y="0"/>
              </wp:wrapPolygon>
            </wp:wrapTight>
            <wp:docPr id="4"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B1A78">
        <w:rPr>
          <w:rFonts w:ascii="Times New Roman" w:hAnsi="Times New Roman" w:cs="Times New Roman"/>
          <w:noProof/>
          <w:sz w:val="24"/>
          <w:szCs w:val="24"/>
        </w:rPr>
        <w:drawing>
          <wp:anchor distT="0" distB="0" distL="114300" distR="114300" simplePos="0" relativeHeight="251658242" behindDoc="1" locked="0" layoutInCell="1" allowOverlap="1" wp14:anchorId="4CB6A9AF" wp14:editId="0CF562C3">
            <wp:simplePos x="0" y="0"/>
            <wp:positionH relativeFrom="column">
              <wp:posOffset>4045585</wp:posOffset>
            </wp:positionH>
            <wp:positionV relativeFrom="paragraph">
              <wp:posOffset>11430</wp:posOffset>
            </wp:positionV>
            <wp:extent cx="1637665" cy="704215"/>
            <wp:effectExtent l="0" t="0" r="635" b="0"/>
            <wp:wrapTight wrapText="bothSides">
              <wp:wrapPolygon edited="0">
                <wp:start x="0" y="0"/>
                <wp:lineTo x="0" y="21035"/>
                <wp:lineTo x="21441" y="21035"/>
                <wp:lineTo x="21441" y="0"/>
                <wp:lineTo x="0" y="0"/>
              </wp:wrapPolygon>
            </wp:wrapTight>
            <wp:docPr id="11" name="Picture 1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 company nam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637665" cy="704215"/>
                    </a:xfrm>
                    <a:prstGeom prst="rect">
                      <a:avLst/>
                    </a:prstGeom>
                  </pic:spPr>
                </pic:pic>
              </a:graphicData>
            </a:graphic>
            <wp14:sizeRelH relativeFrom="page">
              <wp14:pctWidth>0</wp14:pctWidth>
            </wp14:sizeRelH>
            <wp14:sizeRelV relativeFrom="page">
              <wp14:pctHeight>0</wp14:pctHeight>
            </wp14:sizeRelV>
          </wp:anchor>
        </w:drawing>
      </w:r>
      <w:r w:rsidR="002C41A7" w:rsidRPr="003B1A78">
        <w:rPr>
          <w:rFonts w:ascii="Times New Roman" w:hAnsi="Times New Roman" w:cs="Times New Roman"/>
          <w:b/>
          <w:bCs/>
          <w:noProof/>
          <w:sz w:val="24"/>
          <w:szCs w:val="24"/>
          <w:lang w:eastAsia="en-PH"/>
        </w:rPr>
        <w:drawing>
          <wp:anchor distT="0" distB="5715" distL="114300" distR="114300" simplePos="0" relativeHeight="251658240" behindDoc="1" locked="0" layoutInCell="1" allowOverlap="1" wp14:anchorId="0E9BB44B" wp14:editId="06604BF6">
            <wp:simplePos x="0" y="0"/>
            <wp:positionH relativeFrom="column">
              <wp:posOffset>433412</wp:posOffset>
            </wp:positionH>
            <wp:positionV relativeFrom="paragraph">
              <wp:posOffset>43375</wp:posOffset>
            </wp:positionV>
            <wp:extent cx="704215" cy="685800"/>
            <wp:effectExtent l="0" t="0" r="0" b="0"/>
            <wp:wrapNone/>
            <wp:docPr id="12" name="Picture 12" descr="logo 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logo round"/>
                    <pic:cNvPicPr>
                      <a:picLocks noChangeAspect="1" noChangeArrowheads="1"/>
                    </pic:cNvPicPr>
                  </pic:nvPicPr>
                  <pic:blipFill>
                    <a:blip r:embed="rId10"/>
                    <a:stretch>
                      <a:fillRect/>
                    </a:stretch>
                  </pic:blipFill>
                  <pic:spPr bwMode="auto">
                    <a:xfrm>
                      <a:off x="0" y="0"/>
                      <a:ext cx="704215" cy="685800"/>
                    </a:xfrm>
                    <a:prstGeom prst="rect">
                      <a:avLst/>
                    </a:prstGeom>
                  </pic:spPr>
                </pic:pic>
              </a:graphicData>
            </a:graphic>
            <wp14:sizeRelH relativeFrom="margin">
              <wp14:pctWidth>0</wp14:pctWidth>
            </wp14:sizeRelH>
            <wp14:sizeRelV relativeFrom="margin">
              <wp14:pctHeight>0</wp14:pctHeight>
            </wp14:sizeRelV>
          </wp:anchor>
        </w:drawing>
      </w:r>
    </w:p>
    <w:p w14:paraId="7332380F"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jc w:val="center"/>
        <w:rPr>
          <w:rFonts w:ascii="Times New Roman" w:eastAsia="Helvetica Neue" w:hAnsi="Times New Roman" w:cs="Times New Roman"/>
          <w:color w:val="000000" w:themeColor="text1"/>
          <w:sz w:val="24"/>
          <w:szCs w:val="24"/>
        </w:rPr>
      </w:pPr>
    </w:p>
    <w:p w14:paraId="689D8FB5" w14:textId="05ED3CC4"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jc w:val="center"/>
        <w:rPr>
          <w:rFonts w:ascii="Times New Roman" w:eastAsia="Helvetica Neue" w:hAnsi="Times New Roman" w:cs="Times New Roman"/>
          <w:color w:val="000000" w:themeColor="text1"/>
          <w:sz w:val="24"/>
          <w:szCs w:val="24"/>
        </w:rPr>
      </w:pPr>
    </w:p>
    <w:p w14:paraId="7F9F011F" w14:textId="2CDB11FA" w:rsidR="002C41A7" w:rsidRPr="003B1A78" w:rsidRDefault="00825584"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jc w:val="center"/>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noProof/>
          <w:color w:val="000000" w:themeColor="text1"/>
          <w:sz w:val="24"/>
          <w:szCs w:val="24"/>
          <w14:ligatures w14:val="standardContextual"/>
        </w:rPr>
        <w:drawing>
          <wp:anchor distT="0" distB="0" distL="114300" distR="114300" simplePos="0" relativeHeight="251658249" behindDoc="1" locked="0" layoutInCell="1" allowOverlap="1" wp14:anchorId="74E278D2" wp14:editId="08D3F8C8">
            <wp:simplePos x="0" y="0"/>
            <wp:positionH relativeFrom="column">
              <wp:posOffset>4345305</wp:posOffset>
            </wp:positionH>
            <wp:positionV relativeFrom="paragraph">
              <wp:posOffset>183515</wp:posOffset>
            </wp:positionV>
            <wp:extent cx="1228090" cy="743585"/>
            <wp:effectExtent l="0" t="0" r="3810" b="5715"/>
            <wp:wrapTight wrapText="bothSides">
              <wp:wrapPolygon edited="0">
                <wp:start x="0" y="0"/>
                <wp:lineTo x="0" y="21397"/>
                <wp:lineTo x="21444" y="21397"/>
                <wp:lineTo x="21444" y="0"/>
                <wp:lineTo x="0" y="0"/>
              </wp:wrapPolygon>
            </wp:wrapTight>
            <wp:docPr id="705830990" name="Picture 705830990" descr="A logo with a group of people's fa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830990" name="Picture 2" descr="A logo with a group of people's faces&#10;&#10;Description automatically generated"/>
                    <pic:cNvPicPr/>
                  </pic:nvPicPr>
                  <pic:blipFill rotWithShape="1">
                    <a:blip r:embed="rId11" cstate="print">
                      <a:extLst>
                        <a:ext uri="{28A0092B-C50C-407E-A947-70E740481C1C}">
                          <a14:useLocalDpi xmlns:a14="http://schemas.microsoft.com/office/drawing/2010/main" val="0"/>
                        </a:ext>
                      </a:extLst>
                    </a:blip>
                    <a:srcRect l="7356"/>
                    <a:stretch/>
                  </pic:blipFill>
                  <pic:spPr bwMode="auto">
                    <a:xfrm>
                      <a:off x="0" y="0"/>
                      <a:ext cx="1228090" cy="743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FAF175" w14:textId="31255C31" w:rsidR="002C41A7" w:rsidRPr="003B1A78" w:rsidRDefault="00825584"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jc w:val="center"/>
        <w:rPr>
          <w:rFonts w:ascii="Times New Roman" w:eastAsia="Helvetica Neue" w:hAnsi="Times New Roman" w:cs="Times New Roman"/>
          <w:color w:val="000000" w:themeColor="text1"/>
          <w:sz w:val="24"/>
          <w:szCs w:val="24"/>
        </w:rPr>
      </w:pPr>
      <w:r w:rsidRPr="003B1A78">
        <w:rPr>
          <w:rFonts w:ascii="Times New Roman" w:hAnsi="Times New Roman" w:cs="Times New Roman"/>
          <w:noProof/>
          <w:sz w:val="24"/>
          <w:szCs w:val="24"/>
          <w:lang w:val="en-US"/>
        </w:rPr>
        <w:drawing>
          <wp:anchor distT="0" distB="0" distL="114300" distR="114300" simplePos="0" relativeHeight="251658245" behindDoc="0" locked="0" layoutInCell="1" allowOverlap="1" wp14:anchorId="374EBE03" wp14:editId="7914FD5E">
            <wp:simplePos x="0" y="0"/>
            <wp:positionH relativeFrom="margin">
              <wp:align>center</wp:align>
            </wp:positionH>
            <wp:positionV relativeFrom="paragraph">
              <wp:posOffset>88265</wp:posOffset>
            </wp:positionV>
            <wp:extent cx="1750060" cy="341630"/>
            <wp:effectExtent l="0" t="0" r="2540" b="1270"/>
            <wp:wrapTight wrapText="bothSides">
              <wp:wrapPolygon edited="0">
                <wp:start x="0" y="0"/>
                <wp:lineTo x="0" y="20476"/>
                <wp:lineTo x="21396" y="20476"/>
                <wp:lineTo x="21396" y="0"/>
                <wp:lineTo x="0" y="0"/>
              </wp:wrapPolygon>
            </wp:wrapTight>
            <wp:docPr id="9" name="Picture 9" descr="Screen%20Shot%202016-09-11%20at%209.31.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09-11%20at%209.31.37%20PM.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50060" cy="341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1A78">
        <w:rPr>
          <w:rFonts w:ascii="Times New Roman" w:hAnsi="Times New Roman" w:cs="Times New Roman"/>
          <w:noProof/>
          <w:color w:val="000000" w:themeColor="text1"/>
          <w:sz w:val="24"/>
          <w:szCs w:val="24"/>
          <w:lang w:eastAsia="zh-TW"/>
        </w:rPr>
        <w:drawing>
          <wp:anchor distT="0" distB="0" distL="114300" distR="114300" simplePos="0" relativeHeight="251658248" behindDoc="0" locked="0" layoutInCell="1" allowOverlap="1" wp14:anchorId="39C6B2EA" wp14:editId="554782E8">
            <wp:simplePos x="0" y="0"/>
            <wp:positionH relativeFrom="column">
              <wp:posOffset>323850</wp:posOffset>
            </wp:positionH>
            <wp:positionV relativeFrom="paragraph">
              <wp:posOffset>76835</wp:posOffset>
            </wp:positionV>
            <wp:extent cx="1056005" cy="544195"/>
            <wp:effectExtent l="0" t="0" r="0" b="8255"/>
            <wp:wrapSquare wrapText="bothSides"/>
            <wp:docPr id="13" name="Picture 1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6005" cy="544195"/>
                    </a:xfrm>
                    <a:prstGeom prst="rect">
                      <a:avLst/>
                    </a:prstGeom>
                    <a:noFill/>
                    <a:ln>
                      <a:noFill/>
                    </a:ln>
                  </pic:spPr>
                </pic:pic>
              </a:graphicData>
            </a:graphic>
          </wp:anchor>
        </w:drawing>
      </w:r>
    </w:p>
    <w:p w14:paraId="630DDE42" w14:textId="4E423B0F"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jc w:val="center"/>
        <w:rPr>
          <w:rFonts w:ascii="Times New Roman" w:eastAsia="Helvetica Neue" w:hAnsi="Times New Roman" w:cs="Times New Roman"/>
          <w:color w:val="000000" w:themeColor="text1"/>
          <w:sz w:val="24"/>
          <w:szCs w:val="24"/>
        </w:rPr>
      </w:pPr>
    </w:p>
    <w:p w14:paraId="26147221" w14:textId="35074BF0"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jc w:val="center"/>
        <w:rPr>
          <w:rFonts w:ascii="Times New Roman" w:eastAsia="Helvetica Neue" w:hAnsi="Times New Roman" w:cs="Times New Roman"/>
          <w:color w:val="000000" w:themeColor="text1"/>
          <w:sz w:val="24"/>
          <w:szCs w:val="24"/>
        </w:rPr>
      </w:pPr>
    </w:p>
    <w:p w14:paraId="796B21E5" w14:textId="3C20B022"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jc w:val="center"/>
        <w:rPr>
          <w:rFonts w:ascii="Times New Roman" w:eastAsia="Helvetica Neue" w:hAnsi="Times New Roman" w:cs="Times New Roman"/>
          <w:color w:val="000000" w:themeColor="text1"/>
          <w:sz w:val="24"/>
          <w:szCs w:val="24"/>
        </w:rPr>
      </w:pPr>
    </w:p>
    <w:p w14:paraId="1E003A17" w14:textId="4D11C9C3" w:rsidR="002C41A7" w:rsidRPr="003B1A78" w:rsidRDefault="00CB3AAF"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color w:val="000000" w:themeColor="text1"/>
          <w:sz w:val="24"/>
          <w:szCs w:val="24"/>
        </w:rPr>
      </w:pPr>
      <w:r w:rsidRPr="003B1A78">
        <w:rPr>
          <w:rFonts w:ascii="Times New Roman" w:hAnsi="Times New Roman" w:cs="Times New Roman"/>
          <w:noProof/>
          <w:color w:val="1F497D"/>
          <w:sz w:val="24"/>
          <w:szCs w:val="24"/>
          <w:lang w:val="en-US"/>
        </w:rPr>
        <w:drawing>
          <wp:anchor distT="0" distB="0" distL="114300" distR="114300" simplePos="0" relativeHeight="251658244" behindDoc="1" locked="0" layoutInCell="1" allowOverlap="1" wp14:anchorId="79B41762" wp14:editId="3E762DA2">
            <wp:simplePos x="0" y="0"/>
            <wp:positionH relativeFrom="margin">
              <wp:align>center</wp:align>
            </wp:positionH>
            <wp:positionV relativeFrom="paragraph">
              <wp:posOffset>10795</wp:posOffset>
            </wp:positionV>
            <wp:extent cx="1358900" cy="572770"/>
            <wp:effectExtent l="0" t="0" r="0" b="0"/>
            <wp:wrapTight wrapText="bothSides">
              <wp:wrapPolygon edited="0">
                <wp:start x="0" y="0"/>
                <wp:lineTo x="0" y="20834"/>
                <wp:lineTo x="21196" y="20834"/>
                <wp:lineTo x="21196" y="0"/>
                <wp:lineTo x="0" y="0"/>
              </wp:wrapPolygon>
            </wp:wrapTight>
            <wp:docPr id="17" name="Picture 17"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58900" cy="572770"/>
                    </a:xfrm>
                    <a:prstGeom prst="rect">
                      <a:avLst/>
                    </a:prstGeom>
                    <a:noFill/>
                  </pic:spPr>
                </pic:pic>
              </a:graphicData>
            </a:graphic>
            <wp14:sizeRelH relativeFrom="page">
              <wp14:pctWidth>0</wp14:pctWidth>
            </wp14:sizeRelH>
            <wp14:sizeRelV relativeFrom="page">
              <wp14:pctHeight>0</wp14:pctHeight>
            </wp14:sizeRelV>
          </wp:anchor>
        </w:drawing>
      </w:r>
      <w:r w:rsidR="00825584" w:rsidRPr="003B1A78">
        <w:rPr>
          <w:rFonts w:ascii="Times New Roman" w:hAnsi="Times New Roman" w:cs="Times New Roman"/>
          <w:noProof/>
          <w:color w:val="000000" w:themeColor="text1"/>
          <w:sz w:val="24"/>
          <w:szCs w:val="24"/>
        </w:rPr>
        <w:drawing>
          <wp:anchor distT="0" distB="0" distL="114300" distR="114300" simplePos="0" relativeHeight="251658247" behindDoc="0" locked="0" layoutInCell="1" allowOverlap="1" wp14:anchorId="49522F94" wp14:editId="5FDA1416">
            <wp:simplePos x="0" y="0"/>
            <wp:positionH relativeFrom="margin">
              <wp:posOffset>4519930</wp:posOffset>
            </wp:positionH>
            <wp:positionV relativeFrom="paragraph">
              <wp:posOffset>9525</wp:posOffset>
            </wp:positionV>
            <wp:extent cx="830580" cy="830580"/>
            <wp:effectExtent l="0" t="0" r="7620" b="7620"/>
            <wp:wrapTight wrapText="bothSides">
              <wp:wrapPolygon edited="0">
                <wp:start x="0" y="0"/>
                <wp:lineTo x="0" y="21303"/>
                <wp:lineTo x="21303" y="21303"/>
                <wp:lineTo x="21303" y="0"/>
                <wp:lineTo x="0" y="0"/>
              </wp:wrapPolygon>
            </wp:wrapTight>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logo&#10;&#10;Description automatically generated"/>
                    <pic:cNvPicPr>
                      <a:picLocks noChangeAspect="1" noChangeArrowheads="1"/>
                    </pic:cNvPicPr>
                  </pic:nvPicPr>
                  <pic:blipFill>
                    <a:blip r:embed="rId15"/>
                    <a:stretch>
                      <a:fillRect/>
                    </a:stretch>
                  </pic:blipFill>
                  <pic:spPr bwMode="auto">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r w:rsidR="00825584" w:rsidRPr="003B1A78">
        <w:rPr>
          <w:rFonts w:ascii="Times New Roman" w:hAnsi="Times New Roman" w:cs="Times New Roman"/>
          <w:noProof/>
          <w:sz w:val="24"/>
          <w:szCs w:val="24"/>
        </w:rPr>
        <w:drawing>
          <wp:anchor distT="0" distB="0" distL="114300" distR="114300" simplePos="0" relativeHeight="251658243" behindDoc="1" locked="0" layoutInCell="1" allowOverlap="1" wp14:anchorId="36D9C37E" wp14:editId="190600D5">
            <wp:simplePos x="0" y="0"/>
            <wp:positionH relativeFrom="column">
              <wp:posOffset>365760</wp:posOffset>
            </wp:positionH>
            <wp:positionV relativeFrom="paragraph">
              <wp:posOffset>15240</wp:posOffset>
            </wp:positionV>
            <wp:extent cx="1135380" cy="765175"/>
            <wp:effectExtent l="0" t="0" r="0" b="0"/>
            <wp:wrapTight wrapText="bothSides">
              <wp:wrapPolygon edited="0">
                <wp:start x="0" y="0"/>
                <wp:lineTo x="0" y="21152"/>
                <wp:lineTo x="21262" y="21152"/>
                <wp:lineTo x="21262" y="0"/>
                <wp:lineTo x="0" y="0"/>
              </wp:wrapPolygon>
            </wp:wrapTight>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NSAN logo copy.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5380" cy="765175"/>
                    </a:xfrm>
                    <a:prstGeom prst="rect">
                      <a:avLst/>
                    </a:prstGeom>
                  </pic:spPr>
                </pic:pic>
              </a:graphicData>
            </a:graphic>
            <wp14:sizeRelH relativeFrom="page">
              <wp14:pctWidth>0</wp14:pctWidth>
            </wp14:sizeRelH>
            <wp14:sizeRelV relativeFrom="page">
              <wp14:pctHeight>0</wp14:pctHeight>
            </wp14:sizeRelV>
          </wp:anchor>
        </w:drawing>
      </w:r>
    </w:p>
    <w:p w14:paraId="09C14D6A" w14:textId="1E3E99A8"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color w:val="000000" w:themeColor="text1"/>
          <w:sz w:val="24"/>
          <w:szCs w:val="24"/>
        </w:rPr>
      </w:pPr>
    </w:p>
    <w:p w14:paraId="57C392CE" w14:textId="491D5203"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color w:val="000000" w:themeColor="text1"/>
          <w:sz w:val="24"/>
          <w:szCs w:val="24"/>
        </w:rPr>
      </w:pPr>
    </w:p>
    <w:p w14:paraId="04E3C4A1" w14:textId="793C7836"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color w:val="000000" w:themeColor="text1"/>
          <w:sz w:val="24"/>
          <w:szCs w:val="24"/>
        </w:rPr>
      </w:pPr>
    </w:p>
    <w:p w14:paraId="30FAF529" w14:textId="2123B8C4" w:rsidR="002C41A7" w:rsidRPr="003B1A78" w:rsidRDefault="00CB3AAF"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color w:val="000000" w:themeColor="text1"/>
          <w:sz w:val="24"/>
          <w:szCs w:val="24"/>
        </w:rPr>
      </w:pPr>
      <w:r w:rsidRPr="003B1A78">
        <w:rPr>
          <w:rFonts w:ascii="Times New Roman" w:hAnsi="Times New Roman" w:cs="Times New Roman"/>
          <w:noProof/>
          <w:sz w:val="24"/>
          <w:szCs w:val="24"/>
          <w:lang w:val="en-US"/>
        </w:rPr>
        <w:drawing>
          <wp:anchor distT="0" distB="0" distL="114300" distR="114300" simplePos="0" relativeHeight="251658246" behindDoc="0" locked="0" layoutInCell="1" allowOverlap="1" wp14:anchorId="7AC3AC38" wp14:editId="7273F744">
            <wp:simplePos x="0" y="0"/>
            <wp:positionH relativeFrom="margin">
              <wp:align>center</wp:align>
            </wp:positionH>
            <wp:positionV relativeFrom="paragraph">
              <wp:posOffset>73660</wp:posOffset>
            </wp:positionV>
            <wp:extent cx="1598295" cy="527050"/>
            <wp:effectExtent l="0" t="0" r="0" b="0"/>
            <wp:wrapTight wrapText="bothSides">
              <wp:wrapPolygon edited="0">
                <wp:start x="4119" y="781"/>
                <wp:lineTo x="3089" y="5465"/>
                <wp:lineTo x="2317" y="14834"/>
                <wp:lineTo x="2832" y="19518"/>
                <wp:lineTo x="18021" y="19518"/>
                <wp:lineTo x="18021" y="14834"/>
                <wp:lineTo x="19566" y="14053"/>
                <wp:lineTo x="17507" y="3123"/>
                <wp:lineTo x="6179" y="781"/>
                <wp:lineTo x="4119" y="781"/>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98295" cy="527050"/>
                    </a:xfrm>
                    <a:prstGeom prst="rect">
                      <a:avLst/>
                    </a:prstGeom>
                  </pic:spPr>
                </pic:pic>
              </a:graphicData>
            </a:graphic>
            <wp14:sizeRelH relativeFrom="page">
              <wp14:pctWidth>0</wp14:pctWidth>
            </wp14:sizeRelH>
            <wp14:sizeRelV relativeFrom="page">
              <wp14:pctHeight>0</wp14:pctHeight>
            </wp14:sizeRelV>
          </wp:anchor>
        </w:drawing>
      </w:r>
    </w:p>
    <w:p w14:paraId="269BE0DD" w14:textId="1022C672"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color w:val="000000" w:themeColor="text1"/>
          <w:sz w:val="24"/>
          <w:szCs w:val="24"/>
        </w:rPr>
      </w:pPr>
    </w:p>
    <w:p w14:paraId="450E5640"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54" w:right="1134" w:hanging="54"/>
        <w:rPr>
          <w:rFonts w:ascii="Times New Roman" w:eastAsia="Helvetica Neue" w:hAnsi="Times New Roman" w:cs="Times New Roman"/>
          <w:b/>
          <w:color w:val="0070C0"/>
          <w:sz w:val="24"/>
          <w:szCs w:val="24"/>
        </w:rPr>
      </w:pPr>
      <w:r w:rsidRPr="003B1A78">
        <w:rPr>
          <w:rFonts w:ascii="Times New Roman" w:eastAsia="Helvetica Neue" w:hAnsi="Times New Roman" w:cs="Times New Roman"/>
          <w:b/>
          <w:color w:val="0070C0"/>
          <w:sz w:val="24"/>
          <w:szCs w:val="24"/>
        </w:rPr>
        <w:lastRenderedPageBreak/>
        <w:t>I. Introduction</w:t>
      </w:r>
    </w:p>
    <w:p w14:paraId="520FB887"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54" w:right="1134" w:hanging="54"/>
        <w:rPr>
          <w:rFonts w:ascii="Times New Roman" w:eastAsia="Helvetica Neue" w:hAnsi="Times New Roman" w:cs="Times New Roman"/>
          <w:b/>
          <w:color w:val="0070C0"/>
          <w:sz w:val="24"/>
          <w:szCs w:val="24"/>
        </w:rPr>
      </w:pPr>
    </w:p>
    <w:p w14:paraId="402706BC" w14:textId="77777777"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We prepared this report to provide additional information to the Committee on the Elimination of Discrimination against Women (the Committee) in its upcoming review of the Government of the Philippines’ (state party) compliance with the Convention on the Elimination of All Forms of Discrimination against Women (Convention) based on the Committee’s List of Issues issued during its 84th pre-session on July 4-8, 2022 (2022 LOIs) and its Concluding Observations (2016 COs), particularly paras. 39-40 issued during its 64th session on July 4-22, 2016.</w:t>
      </w:r>
      <w:r w:rsidRPr="003B1A78">
        <w:rPr>
          <w:rFonts w:ascii="Times New Roman" w:hAnsi="Times New Roman" w:cs="Times New Roman"/>
          <w:sz w:val="24"/>
          <w:szCs w:val="24"/>
          <w:vertAlign w:val="superscript"/>
        </w:rPr>
        <w:endnoteReference w:id="2"/>
      </w:r>
    </w:p>
    <w:p w14:paraId="343A1F28" w14:textId="77777777"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During the Committee’s 84th pre-session in 2022, we submitted a report (2022 NGO report) highlighting the issues of: (1) access to the full range of contraceptive information and services including modern and emergency contraception, (2) adolescents’ sexual and reproductive health and rights, (3) access to quality maternal health care, and (4) decriminalization of abortion, and access to quality post-abortion care</w:t>
      </w:r>
      <w:r w:rsidRPr="003B1A78">
        <w:rPr>
          <w:rStyle w:val="EndnoteReference"/>
          <w:rFonts w:ascii="Times New Roman" w:hAnsi="Times New Roman" w:cs="Times New Roman"/>
          <w:sz w:val="24"/>
          <w:szCs w:val="24"/>
        </w:rPr>
        <w:t>.</w:t>
      </w:r>
      <w:r w:rsidRPr="003B1A78">
        <w:rPr>
          <w:rFonts w:ascii="Times New Roman" w:hAnsi="Times New Roman" w:cs="Times New Roman"/>
          <w:sz w:val="24"/>
          <w:szCs w:val="24"/>
          <w:vertAlign w:val="superscript"/>
        </w:rPr>
        <w:endnoteReference w:id="3"/>
      </w:r>
      <w:r w:rsidRPr="003B1A78">
        <w:rPr>
          <w:rFonts w:ascii="Times New Roman" w:hAnsi="Times New Roman" w:cs="Times New Roman"/>
          <w:sz w:val="24"/>
          <w:szCs w:val="24"/>
        </w:rPr>
        <w:t xml:space="preserve"> </w:t>
      </w:r>
      <w:r w:rsidRPr="003B1A78">
        <w:rPr>
          <w:rFonts w:ascii="Times New Roman" w:eastAsia="Helvetica Neue" w:hAnsi="Times New Roman" w:cs="Times New Roman"/>
          <w:color w:val="000000" w:themeColor="text1"/>
          <w:sz w:val="24"/>
          <w:szCs w:val="24"/>
        </w:rPr>
        <w:t xml:space="preserve">We also provided updates on the enactment of laws related to providing universal health care, addressing sexual harassment in online and public spaces, prohibiting child marriage, and increasing the age of sexual consent. Further, we outlined the short- and long-term impact of the COVID-19 pandemic on Filipinos’ sexual and reproductive health and rights (SRHR). </w:t>
      </w:r>
    </w:p>
    <w:p w14:paraId="34CA1899" w14:textId="77777777"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hAnsi="Times New Roman" w:cs="Times New Roman"/>
          <w:sz w:val="24"/>
          <w:szCs w:val="24"/>
        </w:rPr>
      </w:pPr>
      <w:r w:rsidRPr="003B1A78">
        <w:rPr>
          <w:rFonts w:ascii="Times New Roman" w:eastAsia="Helvetica Neue" w:hAnsi="Times New Roman" w:cs="Times New Roman"/>
          <w:color w:val="000000" w:themeColor="text1"/>
          <w:sz w:val="24"/>
          <w:szCs w:val="24"/>
        </w:rPr>
        <w:t>In this report, we will focus on updates since 2022 and additional information to key paragraphs of the 2022 LOIs particularly paras. 10 (b) and 15 (a), (b), (c), and (d). We will then highlight the remaining gaps in the information provided by the state party in its Replies to the LOIs and propose recommendations for the state party to fully comply with the provisions of the Convention</w:t>
      </w:r>
      <w:r w:rsidRPr="003B1A78">
        <w:rPr>
          <w:rFonts w:ascii="Times New Roman" w:hAnsi="Times New Roman" w:cs="Times New Roman"/>
          <w:sz w:val="24"/>
          <w:szCs w:val="24"/>
        </w:rPr>
        <w:t>.</w:t>
      </w:r>
      <w:r w:rsidRPr="003B1A78">
        <w:rPr>
          <w:rFonts w:ascii="Times New Roman" w:hAnsi="Times New Roman" w:cs="Times New Roman"/>
          <w:sz w:val="24"/>
          <w:szCs w:val="24"/>
          <w:vertAlign w:val="superscript"/>
        </w:rPr>
        <w:endnoteReference w:id="4"/>
      </w:r>
    </w:p>
    <w:p w14:paraId="481E81F8"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360" w:right="1134" w:firstLine="0"/>
        <w:rPr>
          <w:rFonts w:ascii="Times New Roman" w:eastAsia="Helvetica Neue" w:hAnsi="Times New Roman" w:cs="Times New Roman"/>
          <w:color w:val="000000" w:themeColor="text1"/>
          <w:sz w:val="24"/>
          <w:szCs w:val="24"/>
        </w:rPr>
      </w:pPr>
    </w:p>
    <w:p w14:paraId="556CDF82"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b/>
          <w:color w:val="0070C0"/>
          <w:sz w:val="24"/>
          <w:szCs w:val="24"/>
        </w:rPr>
      </w:pPr>
      <w:r w:rsidRPr="003B1A78">
        <w:rPr>
          <w:rFonts w:ascii="Times New Roman" w:eastAsia="Helvetica Neue" w:hAnsi="Times New Roman" w:cs="Times New Roman"/>
          <w:b/>
          <w:color w:val="0070C0"/>
          <w:sz w:val="24"/>
          <w:szCs w:val="24"/>
        </w:rPr>
        <w:t>II. Overview of SRHR situation in the Philippines</w:t>
      </w:r>
    </w:p>
    <w:p w14:paraId="4CC764F4"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b/>
          <w:color w:val="0070C0"/>
          <w:sz w:val="24"/>
          <w:szCs w:val="24"/>
        </w:rPr>
      </w:pPr>
    </w:p>
    <w:p w14:paraId="1878BF9B" w14:textId="77777777"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In July 2022, Ferdinand Marcos Jr assumed office as President of the Philippines. While he has shown some progressive views on sexual and reproductive health and rights, his overall human rights records have been criticized for its failure to address concerns related to gender equality, women’s rights, and reproductive health.</w:t>
      </w:r>
      <w:r w:rsidRPr="003B1A78">
        <w:rPr>
          <w:rStyle w:val="FootnoteTextChar"/>
          <w:rFonts w:ascii="Times New Roman" w:hAnsi="Times New Roman" w:cs="Times New Roman"/>
          <w:sz w:val="24"/>
          <w:szCs w:val="24"/>
        </w:rPr>
        <w:endnoteReference w:id="5"/>
      </w:r>
      <w:r w:rsidRPr="003B1A78" w:rsidDel="0039501B">
        <w:rPr>
          <w:rStyle w:val="FootnoteTextChar"/>
          <w:rFonts w:ascii="Times New Roman" w:hAnsi="Times New Roman" w:cs="Times New Roman"/>
          <w:sz w:val="24"/>
          <w:szCs w:val="24"/>
        </w:rPr>
        <w:t xml:space="preserve"> </w:t>
      </w:r>
      <w:r w:rsidRPr="003B1A78">
        <w:rPr>
          <w:rFonts w:ascii="Times New Roman" w:eastAsia="Helvetica Neue" w:hAnsi="Times New Roman" w:cs="Times New Roman"/>
          <w:color w:val="000000" w:themeColor="text1"/>
          <w:sz w:val="24"/>
          <w:szCs w:val="24"/>
        </w:rPr>
        <w:t xml:space="preserve"> </w:t>
      </w:r>
      <w:r w:rsidRPr="003B1A78" w:rsidDel="0039501B">
        <w:rPr>
          <w:rFonts w:ascii="Times New Roman" w:eastAsia="Calibri" w:hAnsi="Times New Roman" w:cs="Times New Roman"/>
          <w:color w:val="000000" w:themeColor="text1"/>
          <w:sz w:val="24"/>
          <w:szCs w:val="24"/>
          <w:lang w:val="en-US" w:eastAsia="en-US"/>
        </w:rPr>
        <w:t xml:space="preserve">President Ferdinand </w:t>
      </w:r>
      <w:r w:rsidRPr="003B1A78">
        <w:rPr>
          <w:rFonts w:ascii="Times New Roman" w:eastAsia="Calibri" w:hAnsi="Times New Roman" w:cs="Times New Roman"/>
          <w:color w:val="000000" w:themeColor="text1"/>
          <w:sz w:val="24"/>
          <w:szCs w:val="24"/>
          <w:lang w:val="en-US" w:eastAsia="en-US"/>
        </w:rPr>
        <w:t xml:space="preserve">Marcos Jr.'s 2022 and 2023 State of the Nation Addresses (SONAs) lacked significant emphasis on women's and gender issues. In 2022, he mentioned on strengthening programs against violence towards women and children, while in 2023, sexual and reproductive health and rights matters were not directly addressed. </w:t>
      </w:r>
      <w:r w:rsidRPr="003B1A78">
        <w:rPr>
          <w:rFonts w:ascii="Times New Roman" w:eastAsia="Helvetica Neue" w:hAnsi="Times New Roman" w:cs="Times New Roman"/>
          <w:color w:val="000000" w:themeColor="text1"/>
          <w:sz w:val="24"/>
          <w:szCs w:val="24"/>
          <w:vertAlign w:val="superscript"/>
        </w:rPr>
        <w:endnoteReference w:id="6"/>
      </w:r>
      <w:r w:rsidRPr="003B1A78">
        <w:rPr>
          <w:rFonts w:ascii="Times New Roman" w:eastAsia="Helvetica Neue" w:hAnsi="Times New Roman" w:cs="Times New Roman"/>
          <w:color w:val="000000" w:themeColor="text1"/>
          <w:sz w:val="24"/>
          <w:szCs w:val="24"/>
        </w:rPr>
        <w:t xml:space="preserve"> </w:t>
      </w:r>
    </w:p>
    <w:p w14:paraId="6B5B646A" w14:textId="77777777"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On July 21, 2023, all COVID-19 medical protocols were lifted in the Philippines, concluding a three-year public health emergency.</w:t>
      </w:r>
      <w:r w:rsidRPr="003B1A78">
        <w:rPr>
          <w:rFonts w:ascii="Times New Roman" w:eastAsia="Helvetica Neue" w:hAnsi="Times New Roman" w:cs="Times New Roman"/>
          <w:strike/>
          <w:color w:val="000000" w:themeColor="text1"/>
          <w:sz w:val="24"/>
          <w:szCs w:val="24"/>
        </w:rPr>
        <w:t xml:space="preserve"> </w:t>
      </w:r>
      <w:r w:rsidRPr="003B1A78">
        <w:rPr>
          <w:rFonts w:ascii="Times New Roman" w:eastAsia="Helvetica Neue" w:hAnsi="Times New Roman" w:cs="Times New Roman"/>
          <w:color w:val="000000" w:themeColor="text1"/>
          <w:sz w:val="24"/>
          <w:szCs w:val="24"/>
        </w:rPr>
        <w:t>As discussed in our 2022 NGO report, the pandemic negatively impacted SRHR in the country. The long-term repercussions of the pandemic on women’s and girls’ sexual and reproductive health rights are further highlighted below.</w:t>
      </w:r>
    </w:p>
    <w:p w14:paraId="2C281ECF" w14:textId="77777777"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4F1CFE9C">
        <w:rPr>
          <w:rFonts w:ascii="Times New Roman" w:hAnsi="Times New Roman" w:cs="Times New Roman"/>
          <w:color w:val="000000" w:themeColor="text1"/>
          <w:sz w:val="24"/>
          <w:szCs w:val="24"/>
          <w:lang w:val="en-US" w:eastAsia="en-US"/>
          <w14:ligatures w14:val="standardContextual"/>
        </w:rPr>
        <w:t xml:space="preserve">Dr. Teodoro Herbosa, previously an adviser to the government’s COVID- task force, assumed the Department of Health (DOH) secretary role. His past controversies including </w:t>
      </w:r>
      <w:r w:rsidRPr="4F1CFE9C" w:rsidDel="00F15446">
        <w:rPr>
          <w:rFonts w:ascii="Times New Roman" w:hAnsi="Times New Roman" w:cs="Times New Roman"/>
          <w:color w:val="000000" w:themeColor="text1"/>
          <w:sz w:val="24"/>
          <w:szCs w:val="24"/>
          <w:lang w:val="en-US" w:eastAsia="en-US"/>
          <w14:ligatures w14:val="standardContextual"/>
        </w:rPr>
        <w:t xml:space="preserve">inappropriate </w:t>
      </w:r>
      <w:r w:rsidRPr="4F1CFE9C">
        <w:rPr>
          <w:rFonts w:ascii="Times New Roman" w:hAnsi="Times New Roman" w:cs="Times New Roman"/>
          <w:color w:val="000000" w:themeColor="text1"/>
          <w:sz w:val="24"/>
          <w:szCs w:val="24"/>
          <w:lang w:val="en-US" w:eastAsia="en-US"/>
          <w14:ligatures w14:val="standardContextual"/>
        </w:rPr>
        <w:t>comments drew public backlash.</w:t>
      </w:r>
      <w:r w:rsidRPr="003B1A78" w:rsidDel="00F15446">
        <w:rPr>
          <w:rFonts w:ascii="Times New Roman" w:hAnsi="Times New Roman" w:cs="Times New Roman"/>
          <w:sz w:val="24"/>
          <w:szCs w:val="24"/>
          <w:vertAlign w:val="superscript"/>
        </w:rPr>
        <w:t xml:space="preserve"> </w:t>
      </w:r>
      <w:r w:rsidRPr="003B1A78">
        <w:rPr>
          <w:rFonts w:ascii="Times New Roman" w:hAnsi="Times New Roman" w:cs="Times New Roman"/>
          <w:sz w:val="24"/>
          <w:szCs w:val="24"/>
          <w:vertAlign w:val="superscript"/>
        </w:rPr>
        <w:endnoteReference w:id="7"/>
      </w:r>
      <w:r w:rsidRPr="4F1CFE9C">
        <w:rPr>
          <w:rFonts w:ascii="Times New Roman" w:hAnsi="Times New Roman" w:cs="Times New Roman"/>
          <w:color w:val="000000" w:themeColor="text1"/>
          <w:sz w:val="24"/>
          <w:szCs w:val="24"/>
          <w:lang w:val="en-US" w:eastAsia="en-US"/>
          <w14:ligatures w14:val="standardContextual"/>
        </w:rPr>
        <w:t xml:space="preserve"> </w:t>
      </w:r>
      <w:r w:rsidRPr="003B1A78">
        <w:rPr>
          <w:rFonts w:ascii="Times New Roman" w:eastAsia="Helvetica Neue" w:hAnsi="Times New Roman" w:cs="Times New Roman"/>
          <w:color w:val="000000" w:themeColor="text1"/>
          <w:sz w:val="24"/>
          <w:szCs w:val="24"/>
        </w:rPr>
        <w:t xml:space="preserve"> He </w:t>
      </w:r>
      <w:r w:rsidRPr="003B1A78">
        <w:rPr>
          <w:rFonts w:ascii="Times New Roman" w:eastAsia="Helvetica Neue" w:hAnsi="Times New Roman" w:cs="Times New Roman"/>
          <w:color w:val="000000" w:themeColor="text1"/>
          <w:sz w:val="24"/>
          <w:szCs w:val="24"/>
        </w:rPr>
        <w:lastRenderedPageBreak/>
        <w:t>issued public apologies, underwent gender sensitivity training, and resigned from his post at the University of the Philippines.</w:t>
      </w:r>
      <w:r w:rsidRPr="003B1A78">
        <w:rPr>
          <w:rFonts w:ascii="Times New Roman" w:hAnsi="Times New Roman" w:cs="Times New Roman"/>
          <w:sz w:val="24"/>
          <w:szCs w:val="24"/>
          <w:vertAlign w:val="superscript"/>
        </w:rPr>
        <w:endnoteReference w:id="8"/>
      </w:r>
      <w:r w:rsidRPr="003B1A78">
        <w:rPr>
          <w:rFonts w:ascii="Times New Roman" w:eastAsia="Helvetica Neue" w:hAnsi="Times New Roman" w:cs="Times New Roman"/>
          <w:color w:val="000000" w:themeColor="text1"/>
          <w:sz w:val="24"/>
          <w:szCs w:val="24"/>
        </w:rPr>
        <w:t xml:space="preserve"> His full commitment to advancing SRHR, including the</w:t>
      </w:r>
      <w:r w:rsidRPr="4F1CFE9C">
        <w:rPr>
          <w:rFonts w:ascii="Times New Roman" w:hAnsi="Times New Roman" w:cs="Times New Roman"/>
          <w:color w:val="000000" w:themeColor="text1"/>
          <w:sz w:val="24"/>
          <w:szCs w:val="24"/>
          <w:lang w:val="en-US" w:eastAsia="en-US"/>
          <w14:ligatures w14:val="standardContextual"/>
        </w:rPr>
        <w:t xml:space="preserve"> Responsible Parenthood and Reproductive Health Act</w:t>
      </w:r>
      <w:r w:rsidRPr="003B1A78">
        <w:rPr>
          <w:rFonts w:ascii="Times New Roman" w:eastAsia="Helvetica Neue" w:hAnsi="Times New Roman" w:cs="Times New Roman"/>
          <w:color w:val="000000" w:themeColor="text1"/>
          <w:sz w:val="24"/>
          <w:szCs w:val="24"/>
        </w:rPr>
        <w:t xml:space="preserve"> (RPRHA) remains to be seen.</w:t>
      </w:r>
    </w:p>
    <w:p w14:paraId="1A32BF0C" w14:textId="1EF42FCB"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It has been a decade since the RPRHA was passed into law.</w:t>
      </w:r>
      <w:r w:rsidRPr="003B1A78">
        <w:rPr>
          <w:rFonts w:ascii="Times New Roman" w:hAnsi="Times New Roman" w:cs="Times New Roman"/>
          <w:sz w:val="24"/>
          <w:szCs w:val="24"/>
          <w:vertAlign w:val="superscript"/>
        </w:rPr>
        <w:endnoteReference w:id="9"/>
      </w:r>
      <w:r w:rsidRPr="003B1A78">
        <w:rPr>
          <w:rFonts w:ascii="Times New Roman" w:eastAsia="Helvetica Neue" w:hAnsi="Times New Roman" w:cs="Times New Roman"/>
          <w:color w:val="000000" w:themeColor="text1"/>
          <w:sz w:val="24"/>
          <w:szCs w:val="24"/>
        </w:rPr>
        <w:t xml:space="preserve"> Its implementation faced challenges, including underfunding and obstructionism from local political groups with religious agendas due to decentralized health care.</w:t>
      </w:r>
      <w:r w:rsidR="004D11C4">
        <w:rPr>
          <w:rFonts w:ascii="Times New Roman" w:eastAsia="Helvetica Neue" w:hAnsi="Times New Roman" w:cs="Times New Roman"/>
          <w:color w:val="000000" w:themeColor="text1"/>
          <w:sz w:val="24"/>
          <w:szCs w:val="24"/>
        </w:rPr>
        <w:t xml:space="preserve"> T</w:t>
      </w:r>
      <w:r w:rsidRPr="003B1A78">
        <w:rPr>
          <w:rFonts w:ascii="Times New Roman" w:eastAsia="Helvetica Neue" w:hAnsi="Times New Roman" w:cs="Times New Roman"/>
          <w:color w:val="000000" w:themeColor="text1"/>
          <w:sz w:val="24"/>
          <w:szCs w:val="24"/>
        </w:rPr>
        <w:t>he budget for the RPRHA substantially decreased by three-fold in the past decade i.e., from Php2.5 billion (approximately USD 44.5 million) in its first year of implementation in 2013 to P842 million (approximately USD 15 million) in 2022.</w:t>
      </w:r>
      <w:r w:rsidRPr="003B1A78">
        <w:rPr>
          <w:rFonts w:ascii="Times New Roman" w:hAnsi="Times New Roman" w:cs="Times New Roman"/>
          <w:sz w:val="24"/>
          <w:szCs w:val="24"/>
          <w:vertAlign w:val="superscript"/>
        </w:rPr>
        <w:endnoteReference w:id="10"/>
      </w:r>
      <w:r w:rsidRPr="003B1A78">
        <w:rPr>
          <w:rFonts w:ascii="Times New Roman" w:hAnsi="Times New Roman" w:cs="Times New Roman"/>
          <w:sz w:val="24"/>
          <w:szCs w:val="24"/>
          <w:vertAlign w:val="superscript"/>
        </w:rPr>
        <w:t xml:space="preserve"> </w:t>
      </w:r>
      <w:r w:rsidRPr="003B1A78">
        <w:rPr>
          <w:rFonts w:ascii="Times New Roman" w:eastAsia="Helvetica Neue" w:hAnsi="Times New Roman" w:cs="Times New Roman"/>
          <w:color w:val="000000" w:themeColor="text1"/>
          <w:sz w:val="24"/>
          <w:szCs w:val="24"/>
        </w:rPr>
        <w:t>In December 2019, an almost Php200 million (approximately USD 3.5 million) budget for implants allocated for 2020 has been scrapped based on false claims that they cause abortion and despite being cleared by the FDA as “non-abortifacient”.</w:t>
      </w:r>
      <w:r w:rsidRPr="003B1A78">
        <w:rPr>
          <w:rFonts w:ascii="Times New Roman" w:hAnsi="Times New Roman" w:cs="Times New Roman"/>
          <w:sz w:val="24"/>
          <w:szCs w:val="24"/>
          <w:vertAlign w:val="superscript"/>
        </w:rPr>
        <w:endnoteReference w:id="11"/>
      </w:r>
    </w:p>
    <w:p w14:paraId="27D7ECA7" w14:textId="44BB7169"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The state party still falls behind its modern contraceptive prevalence rate (mCPR) goal of 30% by 2022</w:t>
      </w:r>
      <w:r w:rsidR="00CC688B">
        <w:rPr>
          <w:rFonts w:ascii="Times New Roman" w:eastAsia="Helvetica Neue" w:hAnsi="Times New Roman" w:cs="Times New Roman"/>
          <w:color w:val="000000" w:themeColor="text1"/>
          <w:sz w:val="24"/>
          <w:szCs w:val="24"/>
        </w:rPr>
        <w:t xml:space="preserve">. The </w:t>
      </w:r>
      <w:r w:rsidRPr="003B1A78">
        <w:rPr>
          <w:rFonts w:ascii="Times New Roman" w:eastAsia="TimesNewRomanPSMT" w:hAnsi="Times New Roman" w:cs="Times New Roman"/>
          <w:sz w:val="24"/>
          <w:szCs w:val="24"/>
        </w:rPr>
        <w:t xml:space="preserve">2022 NDHS data revealed that 34% of women aged 15–49 use contraception, with </w:t>
      </w:r>
      <w:r w:rsidR="00CC688B">
        <w:rPr>
          <w:rFonts w:ascii="Times New Roman" w:eastAsia="TimesNewRomanPSMT" w:hAnsi="Times New Roman" w:cs="Times New Roman"/>
          <w:sz w:val="24"/>
          <w:szCs w:val="24"/>
        </w:rPr>
        <w:t xml:space="preserve">only </w:t>
      </w:r>
      <w:r w:rsidRPr="003B1A78">
        <w:rPr>
          <w:rFonts w:ascii="Times New Roman" w:eastAsia="TimesNewRomanPSMT" w:hAnsi="Times New Roman" w:cs="Times New Roman"/>
          <w:sz w:val="24"/>
          <w:szCs w:val="24"/>
        </w:rPr>
        <w:t xml:space="preserve">24% opting for modern methods. </w:t>
      </w:r>
      <w:r w:rsidR="00D5498F">
        <w:rPr>
          <w:rFonts w:ascii="Times New Roman" w:eastAsia="TimesNewRomanPSMT" w:hAnsi="Times New Roman" w:cs="Times New Roman"/>
          <w:sz w:val="24"/>
          <w:szCs w:val="24"/>
        </w:rPr>
        <w:t>A</w:t>
      </w:r>
      <w:r w:rsidRPr="003B1A78">
        <w:rPr>
          <w:rFonts w:ascii="Times New Roman" w:eastAsia="TimesNewRomanPSMT" w:hAnsi="Times New Roman" w:cs="Times New Roman"/>
          <w:sz w:val="24"/>
          <w:szCs w:val="24"/>
        </w:rPr>
        <w:t xml:space="preserve">mong currently married women, the use of modern contraception has increased from 25% in 1993 to 42% in 2022. </w:t>
      </w:r>
      <w:r w:rsidRPr="003B1A78">
        <w:rPr>
          <w:rFonts w:ascii="Times New Roman" w:eastAsia="Helvetica Neue" w:hAnsi="Times New Roman" w:cs="Times New Roman"/>
          <w:color w:val="000000" w:themeColor="text1"/>
          <w:sz w:val="24"/>
          <w:szCs w:val="24"/>
        </w:rPr>
        <w:t>Nearly all Filipino women are aware of at least one family planning method, with the pill being the most widely known, followed by the male condom, female sterilization, and injectables.</w:t>
      </w:r>
      <w:r w:rsidR="00D5498F" w:rsidRPr="00D5498F">
        <w:rPr>
          <w:rFonts w:ascii="Times New Roman" w:hAnsi="Times New Roman" w:cs="Times New Roman"/>
          <w:sz w:val="24"/>
          <w:szCs w:val="24"/>
          <w:vertAlign w:val="superscript"/>
        </w:rPr>
        <w:t xml:space="preserve"> </w:t>
      </w:r>
      <w:r w:rsidR="00D5498F" w:rsidRPr="003B1A78">
        <w:rPr>
          <w:rFonts w:ascii="Times New Roman" w:hAnsi="Times New Roman" w:cs="Times New Roman"/>
          <w:sz w:val="24"/>
          <w:szCs w:val="24"/>
          <w:vertAlign w:val="superscript"/>
        </w:rPr>
        <w:endnoteReference w:id="12"/>
      </w:r>
    </w:p>
    <w:p w14:paraId="219E8C79" w14:textId="5D2CB935"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vertAlign w:val="superscript"/>
        </w:rPr>
      </w:pPr>
      <w:r w:rsidRPr="003B1A78">
        <w:rPr>
          <w:rFonts w:ascii="Times New Roman" w:eastAsia="Helvetica Neue" w:hAnsi="Times New Roman" w:cs="Times New Roman"/>
          <w:color w:val="000000" w:themeColor="text1"/>
          <w:sz w:val="24"/>
          <w:szCs w:val="24"/>
        </w:rPr>
        <w:t xml:space="preserve">Maternal health remains a significant concern. </w:t>
      </w:r>
      <w:r w:rsidRPr="4F1CFE9C">
        <w:rPr>
          <w:rFonts w:ascii="Times New Roman" w:hAnsi="Times New Roman" w:cs="Times New Roman"/>
          <w:sz w:val="24"/>
          <w:szCs w:val="24"/>
          <w:lang w:val="en-US" w:eastAsia="en-US"/>
          <w14:ligatures w14:val="standardContextual"/>
        </w:rPr>
        <w:t>In 2022, the Philippine Statistics Authority reported a 10% rise in maternal mortality rates within the country. There were 468 documented maternal deaths in the first half of 2022 compared to the 425 cases reported for the same period in the prior year.</w:t>
      </w:r>
      <w:r w:rsidRPr="003B1A78">
        <w:rPr>
          <w:rStyle w:val="EndnoteReference"/>
          <w:rFonts w:ascii="Times New Roman" w:hAnsi="Times New Roman" w:cs="Times New Roman"/>
          <w:sz w:val="24"/>
          <w:szCs w:val="24"/>
        </w:rPr>
        <w:endnoteReference w:id="13"/>
      </w:r>
      <w:r w:rsidRPr="4F1CFE9C">
        <w:rPr>
          <w:rFonts w:ascii="Times New Roman" w:hAnsi="Times New Roman" w:cs="Times New Roman"/>
          <w:sz w:val="24"/>
          <w:szCs w:val="24"/>
          <w:lang w:val="en-US" w:eastAsia="en-US"/>
          <w14:ligatures w14:val="standardContextual"/>
        </w:rPr>
        <w:t xml:space="preserve"> The Commission for Population and Development (POPCOM) </w:t>
      </w:r>
      <w:r w:rsidR="00BE0ADC">
        <w:rPr>
          <w:rFonts w:ascii="Times New Roman" w:hAnsi="Times New Roman" w:cs="Times New Roman"/>
          <w:sz w:val="24"/>
          <w:szCs w:val="24"/>
          <w:lang w:val="en-US" w:eastAsia="en-US"/>
          <w14:ligatures w14:val="standardContextual"/>
        </w:rPr>
        <w:t>investigated</w:t>
      </w:r>
      <w:r w:rsidRPr="4F1CFE9C">
        <w:rPr>
          <w:rFonts w:ascii="Times New Roman" w:hAnsi="Times New Roman" w:cs="Times New Roman"/>
          <w:sz w:val="24"/>
          <w:szCs w:val="24"/>
          <w:lang w:val="en-US" w:eastAsia="en-US"/>
          <w14:ligatures w14:val="standardContextual"/>
        </w:rPr>
        <w:t xml:space="preserve"> the upsurge in maternal fatalities in the nation. It suggested that the quality of healthcare services provided to Filipino mothers might be a contributing factor.</w:t>
      </w:r>
      <w:r w:rsidRPr="4F1CFE9C">
        <w:rPr>
          <w:rStyle w:val="EndnoteReference"/>
          <w:rFonts w:ascii="Times New Roman" w:hAnsi="Times New Roman" w:cs="Times New Roman"/>
        </w:rPr>
        <w:endnoteReference w:id="14"/>
      </w:r>
    </w:p>
    <w:p w14:paraId="5A7FD493" w14:textId="1A47A81D"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vertAlign w:val="superscript"/>
        </w:rPr>
      </w:pPr>
      <w:r w:rsidRPr="4F1CFE9C">
        <w:rPr>
          <w:rFonts w:ascii="Times New Roman" w:hAnsi="Times New Roman" w:cs="Times New Roman"/>
          <w:sz w:val="24"/>
          <w:szCs w:val="24"/>
          <w:lang w:val="en-US" w:eastAsia="en-US"/>
          <w14:ligatures w14:val="standardContextual"/>
        </w:rPr>
        <w:t xml:space="preserve">The </w:t>
      </w:r>
      <w:r w:rsidR="00667B5C" w:rsidRPr="4F1CFE9C">
        <w:rPr>
          <w:rFonts w:ascii="Times New Roman" w:hAnsi="Times New Roman" w:cs="Times New Roman"/>
          <w:sz w:val="24"/>
          <w:szCs w:val="24"/>
          <w:lang w:val="en-US" w:eastAsia="en-US"/>
          <w14:ligatures w14:val="standardContextual"/>
        </w:rPr>
        <w:t>2022 N</w:t>
      </w:r>
      <w:r w:rsidR="00F60F82" w:rsidRPr="4F1CFE9C">
        <w:rPr>
          <w:rFonts w:ascii="Times New Roman" w:hAnsi="Times New Roman" w:cs="Times New Roman"/>
          <w:sz w:val="24"/>
          <w:szCs w:val="24"/>
          <w:lang w:val="en-US" w:eastAsia="en-US"/>
          <w14:ligatures w14:val="standardContextual"/>
        </w:rPr>
        <w:t>DHS</w:t>
      </w:r>
      <w:r w:rsidRPr="4F1CFE9C">
        <w:rPr>
          <w:rFonts w:ascii="Times New Roman" w:hAnsi="Times New Roman" w:cs="Times New Roman"/>
          <w:sz w:val="24"/>
          <w:szCs w:val="24"/>
          <w:lang w:val="en-US" w:eastAsia="en-US"/>
          <w14:ligatures w14:val="standardContextual"/>
        </w:rPr>
        <w:t xml:space="preserve"> report </w:t>
      </w:r>
      <w:r w:rsidR="0046578C" w:rsidRPr="4F1CFE9C">
        <w:rPr>
          <w:rFonts w:ascii="Times New Roman" w:hAnsi="Times New Roman" w:cs="Times New Roman"/>
          <w:sz w:val="24"/>
          <w:szCs w:val="24"/>
          <w:lang w:val="en-US" w:eastAsia="en-US"/>
          <w14:ligatures w14:val="standardContextual"/>
        </w:rPr>
        <w:t xml:space="preserve">also </w:t>
      </w:r>
      <w:r w:rsidRPr="4F1CFE9C">
        <w:rPr>
          <w:rFonts w:ascii="Times New Roman" w:hAnsi="Times New Roman" w:cs="Times New Roman"/>
          <w:sz w:val="24"/>
          <w:szCs w:val="24"/>
          <w:lang w:val="en-US" w:eastAsia="en-US"/>
          <w14:ligatures w14:val="standardContextual"/>
        </w:rPr>
        <w:t>highlight</w:t>
      </w:r>
      <w:r w:rsidR="0046578C" w:rsidRPr="4F1CFE9C">
        <w:rPr>
          <w:rFonts w:ascii="Times New Roman" w:hAnsi="Times New Roman" w:cs="Times New Roman"/>
          <w:sz w:val="24"/>
          <w:szCs w:val="24"/>
          <w:lang w:val="en-US" w:eastAsia="en-US"/>
          <w14:ligatures w14:val="standardContextual"/>
        </w:rPr>
        <w:t>ed</w:t>
      </w:r>
      <w:r w:rsidRPr="4F1CFE9C">
        <w:rPr>
          <w:rFonts w:ascii="Times New Roman" w:hAnsi="Times New Roman" w:cs="Times New Roman"/>
          <w:sz w:val="24"/>
          <w:szCs w:val="24"/>
          <w:lang w:val="en-US" w:eastAsia="en-US"/>
          <w14:ligatures w14:val="standardContextual"/>
        </w:rPr>
        <w:t xml:space="preserve"> that infant and child survival is influenced by maternal demographics and biology, with higher infant mortality rates observed among children born to mothers less than age 18, or born to older mothers with short birth intervals, and those born to mothers with high parity. Among women aged 15-49, the primary barrier to accessing healthcare was financial, with 42% reporting difficulty in obtaining money for treatment.</w:t>
      </w:r>
      <w:r w:rsidRPr="4F1CFE9C">
        <w:rPr>
          <w:rStyle w:val="EndnoteReference"/>
          <w:rFonts w:ascii="Times New Roman" w:hAnsi="Times New Roman" w:cs="Times New Roman"/>
        </w:rPr>
        <w:endnoteReference w:id="15"/>
      </w:r>
    </w:p>
    <w:p w14:paraId="31C6BBC1" w14:textId="2B9648B9" w:rsidR="46BFF266" w:rsidRPr="003B1A78" w:rsidRDefault="002C41A7" w:rsidP="46BFF266">
      <w:pPr>
        <w:pStyle w:val="ListParagraph"/>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pPr>
      <w:r w:rsidRPr="46BFF266">
        <w:rPr>
          <w:rFonts w:ascii="Times New Roman" w:hAnsi="Times New Roman" w:cs="Times New Roman"/>
          <w:sz w:val="24"/>
          <w:szCs w:val="24"/>
          <w:lang w:val="en-US" w:eastAsia="en-US"/>
          <w14:ligatures w14:val="standardContextual"/>
        </w:rPr>
        <w:t xml:space="preserve">The Universal Health Care (UHC) Act of 2019 </w:t>
      </w:r>
      <w:r w:rsidR="0046578C" w:rsidRPr="46BFF266">
        <w:rPr>
          <w:rFonts w:ascii="Times New Roman" w:hAnsi="Times New Roman" w:cs="Times New Roman"/>
          <w:sz w:val="24"/>
          <w:szCs w:val="24"/>
          <w:lang w:val="en-US" w:eastAsia="en-US"/>
          <w14:ligatures w14:val="standardContextual"/>
        </w:rPr>
        <w:t>wa</w:t>
      </w:r>
      <w:r w:rsidRPr="46BFF266">
        <w:rPr>
          <w:rFonts w:ascii="Times New Roman" w:hAnsi="Times New Roman" w:cs="Times New Roman"/>
          <w:sz w:val="24"/>
          <w:szCs w:val="24"/>
          <w:lang w:val="en-US" w:eastAsia="en-US"/>
          <w14:ligatures w14:val="standardContextual"/>
        </w:rPr>
        <w:t>s set to be fully implemented by the year 2022 in line with its progressive six-year framework. Some Universal Health Care provisions, like automatic membership in the national health insurance scheme and immediate eligibility for services, are already in effect.</w:t>
      </w:r>
      <w:r w:rsidRPr="003B1A78">
        <w:rPr>
          <w:rStyle w:val="EndnoteReference"/>
          <w:rFonts w:ascii="Times New Roman" w:hAnsi="Times New Roman" w:cs="Times New Roman"/>
          <w:sz w:val="24"/>
          <w:szCs w:val="24"/>
        </w:rPr>
        <w:endnoteReference w:id="16"/>
      </w:r>
      <w:r w:rsidRPr="003B1A78">
        <w:rPr>
          <w:rFonts w:ascii="Times New Roman" w:hAnsi="Times New Roman" w:cs="Times New Roman"/>
          <w:sz w:val="24"/>
          <w:szCs w:val="24"/>
          <w:vertAlign w:val="superscript"/>
        </w:rPr>
        <w:t xml:space="preserve"> </w:t>
      </w:r>
      <w:r w:rsidRPr="003B1A78">
        <w:rPr>
          <w:rFonts w:ascii="Times New Roman" w:hAnsi="Times New Roman" w:cs="Times New Roman"/>
          <w:sz w:val="24"/>
          <w:szCs w:val="24"/>
        </w:rPr>
        <w:t xml:space="preserve">One of the key components of this Act is the implementation of the Universal Health Care- Integrated systems (UHC-IS) which is an approach </w:t>
      </w:r>
      <w:r w:rsidRPr="46BFF266">
        <w:rPr>
          <w:rFonts w:ascii="Times New Roman" w:hAnsi="Times New Roman" w:cs="Times New Roman"/>
          <w:sz w:val="24"/>
          <w:szCs w:val="24"/>
          <w:lang w:val="en-US" w:eastAsia="en-US"/>
          <w14:ligatures w14:val="standardContextual"/>
        </w:rPr>
        <w:t>involving policy development, capacity building, and practical tools for local governments to promote health and healthcare access for all Filipinos.</w:t>
      </w:r>
      <w:r w:rsidRPr="003B1A78">
        <w:rPr>
          <w:rFonts w:ascii="Times New Roman" w:hAnsi="Times New Roman" w:cs="Times New Roman"/>
          <w:sz w:val="24"/>
          <w:szCs w:val="24"/>
        </w:rPr>
        <w:t xml:space="preserve"> </w:t>
      </w:r>
      <w:r w:rsidRPr="46BFF266">
        <w:rPr>
          <w:rFonts w:ascii="Times New Roman" w:hAnsi="Times New Roman" w:cs="Times New Roman"/>
          <w:sz w:val="24"/>
          <w:szCs w:val="24"/>
          <w:lang w:val="en-US" w:eastAsia="en-US"/>
          <w14:ligatures w14:val="standardContextual"/>
        </w:rPr>
        <w:t xml:space="preserve">As of July 2022, fifty-eight Universal Health Care-Integrated Systems (UHC-IS) in local government units (LGUs) from 49 different provinces that expressed their intention to become Universal Healthcare Integration Sites, have </w:t>
      </w:r>
      <w:r w:rsidR="00EB108A" w:rsidRPr="46BFF266">
        <w:rPr>
          <w:rFonts w:ascii="Times New Roman" w:hAnsi="Times New Roman" w:cs="Times New Roman"/>
          <w:sz w:val="24"/>
          <w:szCs w:val="24"/>
          <w:lang w:val="en-US" w:eastAsia="en-US"/>
          <w14:ligatures w14:val="standardContextual"/>
        </w:rPr>
        <w:t xml:space="preserve">only </w:t>
      </w:r>
      <w:r w:rsidRPr="46BFF266">
        <w:rPr>
          <w:rFonts w:ascii="Times New Roman" w:hAnsi="Times New Roman" w:cs="Times New Roman"/>
          <w:sz w:val="24"/>
          <w:szCs w:val="24"/>
          <w:lang w:val="en-US" w:eastAsia="en-US"/>
          <w14:ligatures w14:val="standardContextual"/>
        </w:rPr>
        <w:t xml:space="preserve">achieved over 70% progress in Level 1 Key Result Areas of the Local Health Systems Maturity Level, which is the preparatory level for these LGUs. The goal is to </w:t>
      </w:r>
      <w:r w:rsidRPr="46BFF266">
        <w:rPr>
          <w:rFonts w:ascii="Times New Roman" w:hAnsi="Times New Roman" w:cs="Times New Roman"/>
          <w:sz w:val="24"/>
          <w:szCs w:val="24"/>
          <w:lang w:val="en-US" w:eastAsia="en-US"/>
          <w14:ligatures w14:val="standardContextual"/>
        </w:rPr>
        <w:lastRenderedPageBreak/>
        <w:t>establish comprehensive and effective health systems at the provincial and city levels in these UHC-IS to enhance healthcare access and services for their populations.</w:t>
      </w:r>
      <w:r w:rsidRPr="46BFF266">
        <w:rPr>
          <w:rStyle w:val="EndnoteReference"/>
          <w:rFonts w:ascii="Times New Roman" w:hAnsi="Times New Roman" w:cs="Times New Roman"/>
        </w:rPr>
        <w:endnoteReference w:id="17"/>
      </w:r>
    </w:p>
    <w:p w14:paraId="5A965A04" w14:textId="77777777" w:rsidR="002C41A7" w:rsidRPr="003B1A78" w:rsidRDefault="002C41A7" w:rsidP="002C41A7">
      <w:pPr>
        <w:pStyle w:val="ListParagraph"/>
        <w:numPr>
          <w:ilvl w:val="0"/>
          <w:numId w:val="1"/>
        </w:numPr>
        <w:tabs>
          <w:tab w:val="left" w:pos="8222"/>
        </w:tabs>
        <w:autoSpaceDE w:val="0"/>
        <w:autoSpaceDN w:val="0"/>
        <w:adjustRightInd w:val="0"/>
        <w:spacing w:beforeLines="30" w:before="72" w:afterLines="30" w:after="72"/>
        <w:ind w:right="1138"/>
        <w:rPr>
          <w:rFonts w:ascii="Times New Roman" w:eastAsiaTheme="minorHAnsi" w:hAnsi="Times New Roman" w:cs="Times New Roman"/>
          <w:sz w:val="24"/>
          <w:szCs w:val="24"/>
          <w:lang w:val="en-PH" w:eastAsia="en-PH"/>
        </w:rPr>
      </w:pPr>
      <w:r w:rsidRPr="003B1A78">
        <w:rPr>
          <w:rFonts w:ascii="Times New Roman" w:eastAsia="Calibri" w:hAnsi="Times New Roman" w:cs="Times New Roman"/>
          <w:color w:val="000000" w:themeColor="text1"/>
          <w:sz w:val="24"/>
          <w:szCs w:val="24"/>
          <w:lang w:val="en-US" w:eastAsia="en-US"/>
        </w:rPr>
        <w:t>On other sexual and reproductive health issues, proposed laws have been filed before the current Congress which have recommended discriminatory provisions including those regulating assisted reproductive technologies (ARTs) particularly surrogacy. A bill was filed in May 2023 to provide a framework for the conduct and regulation of ARTs and surrogacy in the Philippines.</w:t>
      </w:r>
      <w:r w:rsidRPr="003B1A78">
        <w:rPr>
          <w:rFonts w:ascii="Times New Roman" w:eastAsia="Helvetica Neue" w:hAnsi="Times New Roman" w:cs="Times New Roman"/>
          <w:sz w:val="24"/>
          <w:szCs w:val="24"/>
          <w:vertAlign w:val="superscript"/>
        </w:rPr>
        <w:endnoteReference w:id="18"/>
      </w:r>
      <w:r w:rsidRPr="003B1A78">
        <w:rPr>
          <w:rFonts w:ascii="Times New Roman" w:eastAsia="Calibri" w:hAnsi="Times New Roman" w:cs="Times New Roman"/>
          <w:color w:val="000000" w:themeColor="text1"/>
          <w:sz w:val="24"/>
          <w:szCs w:val="24"/>
          <w:lang w:val="en-US" w:eastAsia="en-US"/>
        </w:rPr>
        <w:t xml:space="preserve"> </w:t>
      </w:r>
      <w:r w:rsidRPr="003B1A78">
        <w:rPr>
          <w:rFonts w:ascii="Times New Roman" w:hAnsi="Times New Roman" w:cs="Times New Roman"/>
          <w:sz w:val="24"/>
          <w:szCs w:val="24"/>
        </w:rPr>
        <w:t>The bill outlines various responsibilities and duties of ART clinics and surrogacy banks and also sets forth guidelines for the conduct of surrogacy procedures, stating that they should be conducted for medical reasons, not for commercial purposes, and that certain criteria must be met by intending couples and surrogates. The bill imposes penalties for offenses such as conducting compensated surrogacy, exploiting children born through ART or surrogacy, and conducting sex selection for surrogacy.</w:t>
      </w:r>
    </w:p>
    <w:p w14:paraId="5508231E" w14:textId="6B2877F9" w:rsidR="002C41A7" w:rsidRPr="003B1A78" w:rsidRDefault="002C41A7" w:rsidP="002C41A7">
      <w:pPr>
        <w:pStyle w:val="ListParagraph"/>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lang w:val="en-PH"/>
        </w:rPr>
        <w:t xml:space="preserve">On the other hand, there have also been bills filed to advance SRHR for women and girls. For example, </w:t>
      </w:r>
      <w:r w:rsidRPr="46BFF266">
        <w:rPr>
          <w:rFonts w:ascii="Times New Roman" w:hAnsi="Times New Roman" w:cs="Times New Roman"/>
          <w:color w:val="000000" w:themeColor="text1"/>
          <w:sz w:val="24"/>
          <w:szCs w:val="24"/>
          <w:lang w:val="en-US" w:eastAsia="en-US"/>
          <w14:ligatures w14:val="standardContextual"/>
        </w:rPr>
        <w:t xml:space="preserve">House Bill No. 7758 or the Menstrual Leave Act was filed to proposed up to two fully paid days of menstrual leave monthly for female employees in private and public sectors. </w:t>
      </w:r>
      <w:r w:rsidRPr="46BFF266">
        <w:rPr>
          <w:rStyle w:val="EndnoteReference"/>
          <w:rFonts w:ascii="Times New Roman" w:hAnsi="Times New Roman" w:cs="Times New Roman"/>
          <w:sz w:val="24"/>
          <w:szCs w:val="24"/>
          <w:lang w:val="en-US" w:eastAsia="en-US"/>
          <w14:ligatures w14:val="standardContextual"/>
        </w:rPr>
        <w:endnoteReference w:id="19"/>
      </w:r>
      <w:r w:rsidRPr="46BFF266">
        <w:rPr>
          <w:rFonts w:ascii="Times New Roman" w:hAnsi="Times New Roman" w:cs="Times New Roman"/>
          <w:color w:val="000000" w:themeColor="text1"/>
          <w:sz w:val="24"/>
          <w:szCs w:val="24"/>
          <w:vertAlign w:val="superscript"/>
          <w:lang w:val="en-US" w:eastAsia="en-US"/>
          <w14:ligatures w14:val="standardContextual"/>
        </w:rPr>
        <w:t xml:space="preserve"> </w:t>
      </w:r>
      <w:r w:rsidRPr="46BFF266">
        <w:rPr>
          <w:rFonts w:ascii="Times New Roman" w:hAnsi="Times New Roman" w:cs="Times New Roman"/>
          <w:color w:val="000000" w:themeColor="text1"/>
          <w:sz w:val="24"/>
          <w:szCs w:val="24"/>
          <w:lang w:val="en-US" w:eastAsia="en-US"/>
          <w14:ligatures w14:val="standardContextual"/>
        </w:rPr>
        <w:t xml:space="preserve">There have also been bills filed to address the rising number </w:t>
      </w:r>
      <w:r w:rsidRPr="003B1A78">
        <w:rPr>
          <w:rFonts w:ascii="Times New Roman" w:eastAsia="Helvetica Neue" w:hAnsi="Times New Roman" w:cs="Times New Roman"/>
          <w:color w:val="000000" w:themeColor="text1"/>
          <w:sz w:val="24"/>
          <w:szCs w:val="24"/>
        </w:rPr>
        <w:t>of adolescent pregnancies and</w:t>
      </w:r>
      <w:r w:rsidR="00C17DE1">
        <w:rPr>
          <w:rFonts w:ascii="Times New Roman" w:eastAsia="Helvetica Neue" w:hAnsi="Times New Roman" w:cs="Times New Roman"/>
          <w:color w:val="000000" w:themeColor="text1"/>
          <w:sz w:val="24"/>
          <w:szCs w:val="24"/>
        </w:rPr>
        <w:t xml:space="preserve"> they</w:t>
      </w:r>
      <w:r w:rsidRPr="003B1A78">
        <w:rPr>
          <w:rFonts w:ascii="Times New Roman" w:eastAsia="Helvetica Neue" w:hAnsi="Times New Roman" w:cs="Times New Roman"/>
          <w:color w:val="000000" w:themeColor="text1"/>
          <w:sz w:val="24"/>
          <w:szCs w:val="24"/>
        </w:rPr>
        <w:t xml:space="preserve"> are discussed further below.</w:t>
      </w:r>
    </w:p>
    <w:p w14:paraId="343823AB" w14:textId="77777777" w:rsidR="002C41A7" w:rsidRPr="003B1A78" w:rsidRDefault="002C41A7" w:rsidP="002C41A7">
      <w:pPr>
        <w:pStyle w:val="ListParagraph"/>
        <w:pBdr>
          <w:top w:val="nil"/>
          <w:left w:val="nil"/>
          <w:bottom w:val="nil"/>
          <w:right w:val="nil"/>
          <w:between w:val="nil"/>
        </w:pBdr>
        <w:tabs>
          <w:tab w:val="left" w:pos="1701"/>
          <w:tab w:val="left" w:pos="2268"/>
          <w:tab w:val="left" w:pos="2835"/>
        </w:tabs>
        <w:spacing w:beforeLines="30" w:before="72" w:afterLines="30" w:after="72"/>
        <w:ind w:left="360" w:right="1134" w:firstLine="0"/>
        <w:rPr>
          <w:rFonts w:ascii="Times New Roman" w:eastAsia="Helvetica Neue" w:hAnsi="Times New Roman" w:cs="Times New Roman"/>
          <w:color w:val="000000" w:themeColor="text1"/>
          <w:sz w:val="24"/>
          <w:szCs w:val="24"/>
        </w:rPr>
      </w:pPr>
    </w:p>
    <w:p w14:paraId="68BD34EE"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b/>
          <w:color w:val="0070C0"/>
          <w:sz w:val="24"/>
          <w:szCs w:val="24"/>
        </w:rPr>
      </w:pPr>
      <w:r w:rsidRPr="003B1A78">
        <w:rPr>
          <w:rFonts w:ascii="Times New Roman" w:eastAsia="Helvetica Neue" w:hAnsi="Times New Roman" w:cs="Times New Roman"/>
          <w:b/>
          <w:color w:val="0070C0"/>
          <w:sz w:val="24"/>
          <w:szCs w:val="24"/>
        </w:rPr>
        <w:t>III. SRHR Care in Cases of Gender-based Violence Against Women</w:t>
      </w:r>
      <w:r w:rsidRPr="003B1A78">
        <w:rPr>
          <w:rFonts w:ascii="Times New Roman" w:eastAsia="Helvetica Neue" w:hAnsi="Times New Roman" w:cs="Times New Roman"/>
          <w:bCs/>
          <w:i/>
          <w:iCs/>
          <w:color w:val="0070C0"/>
          <w:sz w:val="24"/>
          <w:szCs w:val="24"/>
        </w:rPr>
        <w:t xml:space="preserve"> (Articles 2, 12, 14, 16)</w:t>
      </w:r>
    </w:p>
    <w:p w14:paraId="3DA4782F"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b/>
          <w:color w:val="000000" w:themeColor="text1"/>
          <w:sz w:val="24"/>
          <w:szCs w:val="24"/>
        </w:rPr>
      </w:pPr>
    </w:p>
    <w:p w14:paraId="69A3883A"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2556" w:hanging="54"/>
        <w:rPr>
          <w:rFonts w:ascii="Times New Roman" w:eastAsia="Helvetica Neue" w:hAnsi="Times New Roman" w:cs="Times New Roman"/>
          <w:i/>
          <w:color w:val="000000" w:themeColor="text1"/>
          <w:sz w:val="24"/>
          <w:szCs w:val="24"/>
        </w:rPr>
      </w:pPr>
      <w:r w:rsidRPr="003B1A78">
        <w:rPr>
          <w:rFonts w:ascii="Times New Roman" w:eastAsia="Helvetica Neue" w:hAnsi="Times New Roman" w:cs="Times New Roman"/>
          <w:i/>
          <w:color w:val="000000" w:themeColor="text1"/>
          <w:sz w:val="24"/>
          <w:szCs w:val="24"/>
        </w:rPr>
        <w:t xml:space="preserve">Please provide information about…the training of medical personnel to ensure specialized attention and care for women and girls who are victims of sexual violence, including the provision of essential services for emergency contraception and safe and legal abortion; </w:t>
      </w:r>
      <w:r w:rsidRPr="003B1A78">
        <w:rPr>
          <w:rFonts w:ascii="Times New Roman" w:eastAsia="Helvetica Neue" w:hAnsi="Times New Roman" w:cs="Times New Roman"/>
          <w:i/>
          <w:color w:val="000000" w:themeColor="text1"/>
          <w:sz w:val="24"/>
          <w:szCs w:val="24"/>
          <w:vertAlign w:val="superscript"/>
        </w:rPr>
        <w:endnoteReference w:id="20"/>
      </w:r>
    </w:p>
    <w:p w14:paraId="41ADFB27"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rPr>
          <w:rFonts w:ascii="Times New Roman" w:eastAsia="Helvetica Neue" w:hAnsi="Times New Roman" w:cs="Times New Roman"/>
          <w:i/>
          <w:color w:val="000000" w:themeColor="text1"/>
          <w:sz w:val="24"/>
          <w:szCs w:val="24"/>
        </w:rPr>
      </w:pPr>
    </w:p>
    <w:p w14:paraId="4A88D817" w14:textId="5B62D1DE"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 xml:space="preserve">The state party has not provided additional information in its Replies to the LOIs in relation to </w:t>
      </w:r>
      <w:r w:rsidR="000012D5">
        <w:rPr>
          <w:rFonts w:ascii="Times New Roman" w:eastAsia="Helvetica Neue" w:hAnsi="Times New Roman" w:cs="Times New Roman"/>
          <w:color w:val="000000" w:themeColor="text1"/>
          <w:sz w:val="24"/>
          <w:szCs w:val="24"/>
        </w:rPr>
        <w:t xml:space="preserve">the provision of </w:t>
      </w:r>
      <w:r w:rsidRPr="003B1A78">
        <w:rPr>
          <w:rFonts w:ascii="Times New Roman" w:eastAsia="Helvetica Neue" w:hAnsi="Times New Roman" w:cs="Times New Roman"/>
          <w:color w:val="000000" w:themeColor="text1"/>
          <w:sz w:val="24"/>
          <w:szCs w:val="24"/>
        </w:rPr>
        <w:t>emergency contraception and safe abortion as requested by the Committee.</w:t>
      </w:r>
    </w:p>
    <w:p w14:paraId="7ED6CAC9" w14:textId="263E9A3A"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 xml:space="preserve">Our 2022 NGO report extensively discussed the status of access to emergency contraceptives in the country. We shared the high incidence of sexual violence as reported before the Philippine National Police (PNP) and the lack of awareness of the </w:t>
      </w:r>
      <w:r w:rsidR="00CB3AAF" w:rsidRPr="003B1A78">
        <w:rPr>
          <w:rFonts w:ascii="Times New Roman" w:eastAsia="Helvetica Neue" w:hAnsi="Times New Roman" w:cs="Times New Roman"/>
          <w:color w:val="000000" w:themeColor="text1"/>
          <w:sz w:val="24"/>
          <w:szCs w:val="24"/>
        </w:rPr>
        <w:t>Yuzpe</w:t>
      </w:r>
      <w:r w:rsidRPr="003B1A78">
        <w:rPr>
          <w:rFonts w:ascii="Times New Roman" w:eastAsia="Helvetica Neue" w:hAnsi="Times New Roman" w:cs="Times New Roman"/>
          <w:color w:val="000000" w:themeColor="text1"/>
          <w:sz w:val="24"/>
          <w:szCs w:val="24"/>
        </w:rPr>
        <w:t xml:space="preserve"> method among a large number of women and providers involved in family planning.</w:t>
      </w:r>
      <w:r w:rsidRPr="003B1A78">
        <w:rPr>
          <w:rFonts w:ascii="Times New Roman" w:eastAsia="Helvetica Neue" w:hAnsi="Times New Roman" w:cs="Times New Roman"/>
          <w:color w:val="000000" w:themeColor="text1"/>
          <w:sz w:val="24"/>
          <w:szCs w:val="24"/>
          <w:vertAlign w:val="superscript"/>
        </w:rPr>
        <w:endnoteReference w:id="21"/>
      </w:r>
      <w:r w:rsidRPr="003B1A78">
        <w:rPr>
          <w:rFonts w:ascii="Times New Roman" w:eastAsia="Helvetica Neue" w:hAnsi="Times New Roman" w:cs="Times New Roman"/>
          <w:color w:val="000000" w:themeColor="text1"/>
          <w:sz w:val="24"/>
          <w:szCs w:val="24"/>
        </w:rPr>
        <w:t xml:space="preserve"> We noted how,</w:t>
      </w:r>
      <w:r w:rsidRPr="46BFF266">
        <w:rPr>
          <w:rFonts w:ascii="Times New Roman" w:hAnsi="Times New Roman" w:cs="Times New Roman"/>
          <w:color w:val="000000" w:themeColor="text1"/>
          <w:sz w:val="24"/>
          <w:szCs w:val="24"/>
          <w:lang w:val="en-US" w:eastAsia="en-US"/>
          <w14:ligatures w14:val="standardContextual"/>
        </w:rPr>
        <w:t xml:space="preserve"> despite the DOH’s and the Committee’s recommendations, the </w:t>
      </w:r>
      <w:r w:rsidR="000012D5">
        <w:rPr>
          <w:rFonts w:ascii="Times New Roman" w:hAnsi="Times New Roman" w:cs="Times New Roman"/>
          <w:color w:val="000000" w:themeColor="text1"/>
          <w:sz w:val="24"/>
          <w:szCs w:val="24"/>
          <w:lang w:val="en-US" w:eastAsia="en-US"/>
          <w14:ligatures w14:val="standardContextual"/>
        </w:rPr>
        <w:t>state party</w:t>
      </w:r>
      <w:r w:rsidRPr="46BFF266">
        <w:rPr>
          <w:rFonts w:ascii="Times New Roman" w:hAnsi="Times New Roman" w:cs="Times New Roman"/>
          <w:color w:val="000000" w:themeColor="text1"/>
          <w:sz w:val="24"/>
          <w:szCs w:val="24"/>
          <w:lang w:val="en-US" w:eastAsia="en-US"/>
          <w14:ligatures w14:val="standardContextual"/>
        </w:rPr>
        <w:t xml:space="preserve"> has not ensured access to emergency contraceptives and even prohibited national hospitals from acquiring them under the RPRHA.</w:t>
      </w:r>
      <w:r w:rsidRPr="003B1A78">
        <w:rPr>
          <w:rStyle w:val="EndnoteReference"/>
          <w:rFonts w:ascii="Times New Roman" w:hAnsi="Times New Roman" w:cs="Times New Roman"/>
          <w:sz w:val="24"/>
          <w:szCs w:val="24"/>
        </w:rPr>
        <w:endnoteReference w:id="22"/>
      </w:r>
      <w:r w:rsidRPr="003B1A78">
        <w:rPr>
          <w:rFonts w:ascii="Times New Roman" w:eastAsia="Helvetica Neue" w:hAnsi="Times New Roman" w:cs="Times New Roman"/>
          <w:color w:val="000000" w:themeColor="text1"/>
          <w:sz w:val="24"/>
          <w:szCs w:val="24"/>
        </w:rPr>
        <w:t xml:space="preserve"> </w:t>
      </w:r>
      <w:r w:rsidRPr="46BFF266">
        <w:rPr>
          <w:rFonts w:ascii="Times New Roman" w:hAnsi="Times New Roman" w:cs="Times New Roman"/>
          <w:sz w:val="24"/>
          <w:szCs w:val="24"/>
          <w:lang w:val="en-US" w:eastAsia="en-US"/>
          <w14:ligatures w14:val="standardContextual"/>
        </w:rPr>
        <w:t>As recognized by this Committee, the state party should reintroduce emergency contraception to prevent early and unplanned pregnancies and in cases of sexual violence, as well as promote and raise awareness about the benefits of emergency contraceptives in such situations, particularly among adolescent girls.</w:t>
      </w:r>
      <w:r w:rsidRPr="003B1A78">
        <w:rPr>
          <w:rStyle w:val="EndnoteReference"/>
          <w:rFonts w:ascii="Times New Roman" w:hAnsi="Times New Roman" w:cs="Times New Roman"/>
          <w:sz w:val="24"/>
          <w:szCs w:val="24"/>
        </w:rPr>
        <w:endnoteReference w:id="23"/>
      </w:r>
    </w:p>
    <w:p w14:paraId="112E7875" w14:textId="77777777"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lastRenderedPageBreak/>
        <w:t xml:space="preserve">Further, we also highlighted the </w:t>
      </w:r>
      <w:r w:rsidRPr="003B1A78">
        <w:rPr>
          <w:rFonts w:ascii="Times New Roman" w:hAnsi="Times New Roman" w:cs="Times New Roman"/>
          <w:color w:val="000000" w:themeColor="text1"/>
          <w:sz w:val="24"/>
          <w:szCs w:val="24"/>
        </w:rPr>
        <w:t>lived barriers for women and girls to seek post-abortion care</w:t>
      </w:r>
      <w:r w:rsidRPr="003B1A78">
        <w:rPr>
          <w:rFonts w:ascii="Times New Roman" w:eastAsia="Helvetica Neue" w:hAnsi="Times New Roman" w:cs="Times New Roman"/>
          <w:color w:val="000000" w:themeColor="text1"/>
          <w:sz w:val="24"/>
          <w:szCs w:val="24"/>
        </w:rPr>
        <w:t xml:space="preserve"> which includes the </w:t>
      </w:r>
      <w:r w:rsidRPr="003B1A78">
        <w:rPr>
          <w:rFonts w:ascii="Times New Roman" w:hAnsi="Times New Roman" w:cs="Times New Roman"/>
          <w:color w:val="000000" w:themeColor="text1"/>
          <w:sz w:val="24"/>
          <w:szCs w:val="24"/>
        </w:rPr>
        <w:t>lack of information and awareness on when and where post-abortion can be accessed, inadequate health infrastructure for post-abortion care, fear of possible arrests for committing an illegal abortion, negative treatment from healthcare providers, and the inadequate policy environment on post-abortion care.</w:t>
      </w:r>
      <w:r w:rsidRPr="003B1A78">
        <w:rPr>
          <w:rStyle w:val="EndnoteReference"/>
          <w:rFonts w:ascii="Times New Roman" w:hAnsi="Times New Roman" w:cs="Times New Roman"/>
          <w:sz w:val="24"/>
          <w:szCs w:val="24"/>
        </w:rPr>
        <w:endnoteReference w:id="24"/>
      </w:r>
      <w:r w:rsidRPr="003B1A78">
        <w:rPr>
          <w:rFonts w:ascii="Times New Roman" w:eastAsia="Helvetica Neue" w:hAnsi="Times New Roman" w:cs="Times New Roman"/>
          <w:color w:val="000000" w:themeColor="text1"/>
          <w:sz w:val="24"/>
          <w:szCs w:val="24"/>
        </w:rPr>
        <w:t xml:space="preserve"> </w:t>
      </w:r>
    </w:p>
    <w:p w14:paraId="3ECFE8A9" w14:textId="229DD634"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left="426" w:right="1134"/>
        <w:rPr>
          <w:rFonts w:ascii="Times New Roman" w:eastAsia="Helvetica Neue" w:hAnsi="Times New Roman" w:cs="Times New Roman"/>
          <w:sz w:val="24"/>
          <w:szCs w:val="24"/>
        </w:rPr>
      </w:pPr>
      <w:r w:rsidRPr="003B1A78">
        <w:rPr>
          <w:rFonts w:ascii="Times New Roman" w:eastAsia="Helvetica Neue" w:hAnsi="Times New Roman" w:cs="Times New Roman"/>
          <w:color w:val="000000" w:themeColor="text1"/>
          <w:sz w:val="24"/>
          <w:szCs w:val="24"/>
        </w:rPr>
        <w:t xml:space="preserve">Since our 2022 NGO report, </w:t>
      </w:r>
      <w:r w:rsidRPr="003B1A78">
        <w:rPr>
          <w:rFonts w:ascii="Times New Roman" w:eastAsia="Helvetica Neue" w:hAnsi="Times New Roman" w:cs="Times New Roman"/>
          <w:sz w:val="24"/>
          <w:szCs w:val="24"/>
        </w:rPr>
        <w:t>reports have been published on the prevalence of reported sexual abuse incidents in various schools in the Philippines.</w:t>
      </w:r>
      <w:r w:rsidRPr="003B1A78">
        <w:rPr>
          <w:rFonts w:ascii="Times New Roman" w:eastAsia="Helvetica Neue" w:hAnsi="Times New Roman" w:cs="Times New Roman"/>
          <w:sz w:val="24"/>
          <w:szCs w:val="24"/>
          <w:vertAlign w:val="superscript"/>
        </w:rPr>
        <w:endnoteReference w:id="25"/>
      </w:r>
      <w:r w:rsidRPr="003B1A78">
        <w:rPr>
          <w:rFonts w:ascii="Times New Roman" w:eastAsia="Helvetica Neue" w:hAnsi="Times New Roman" w:cs="Times New Roman"/>
          <w:sz w:val="24"/>
          <w:szCs w:val="24"/>
        </w:rPr>
        <w:t xml:space="preserve"> These institutions have faced allegations of sexual harassment and abuse by teachers, sparking investigations by the Department of Education and the Commission on Human Rights. </w:t>
      </w:r>
      <w:r w:rsidRPr="003B1A78">
        <w:rPr>
          <w:rFonts w:ascii="Times New Roman" w:eastAsia="Helvetica Neue" w:hAnsi="Times New Roman" w:cs="Times New Roman"/>
          <w:sz w:val="24"/>
          <w:szCs w:val="24"/>
          <w:vertAlign w:val="superscript"/>
        </w:rPr>
        <w:endnoteReference w:id="26"/>
      </w:r>
      <w:r w:rsidRPr="003B1A78">
        <w:rPr>
          <w:rFonts w:ascii="Times New Roman" w:eastAsia="Helvetica Neue" w:hAnsi="Times New Roman" w:cs="Times New Roman"/>
          <w:sz w:val="24"/>
          <w:szCs w:val="24"/>
          <w:vertAlign w:val="superscript"/>
        </w:rPr>
        <w:t xml:space="preserve"> </w:t>
      </w:r>
      <w:r w:rsidRPr="003B1A78">
        <w:rPr>
          <w:rFonts w:ascii="Times New Roman" w:eastAsia="Helvetica Neue" w:hAnsi="Times New Roman" w:cs="Times New Roman"/>
          <w:sz w:val="24"/>
          <w:szCs w:val="24"/>
        </w:rPr>
        <w:t xml:space="preserve"> </w:t>
      </w:r>
      <w:r w:rsidRPr="003B1A78">
        <w:rPr>
          <w:rFonts w:ascii="Times New Roman" w:eastAsia="Calibri" w:hAnsi="Times New Roman" w:cs="Times New Roman"/>
          <w:sz w:val="24"/>
          <w:szCs w:val="24"/>
          <w:lang w:val="en-US" w:eastAsia="en-US"/>
        </w:rPr>
        <w:t>In August 2023, Senate Resolution 168 was introduced urging an investigation into alleged sexual harassment cases in schools.</w:t>
      </w:r>
      <w:r w:rsidRPr="003B1A78">
        <w:rPr>
          <w:rStyle w:val="EndnoteReference"/>
          <w:rFonts w:ascii="Times New Roman" w:eastAsia="Calibri" w:hAnsi="Times New Roman" w:cs="Times New Roman"/>
          <w:sz w:val="24"/>
          <w:szCs w:val="24"/>
          <w:lang w:val="en-US" w:eastAsia="en-US"/>
        </w:rPr>
        <w:endnoteReference w:id="27"/>
      </w:r>
      <w:r w:rsidRPr="003B1A78">
        <w:rPr>
          <w:rFonts w:ascii="Times New Roman" w:eastAsia="Calibri" w:hAnsi="Times New Roman" w:cs="Times New Roman"/>
          <w:sz w:val="24"/>
          <w:szCs w:val="24"/>
          <w:vertAlign w:val="superscript"/>
          <w:lang w:val="en-US" w:eastAsia="en-US"/>
        </w:rPr>
        <w:t xml:space="preserve"> </w:t>
      </w:r>
      <w:r w:rsidRPr="003B1A78">
        <w:rPr>
          <w:rFonts w:ascii="Times New Roman" w:eastAsia="Calibri" w:hAnsi="Times New Roman" w:cs="Times New Roman"/>
          <w:sz w:val="24"/>
          <w:szCs w:val="24"/>
          <w:lang w:val="en-US" w:eastAsia="en-US"/>
        </w:rPr>
        <w:t xml:space="preserve">Republic Act No. 11930 also lapsed into law on July 30, </w:t>
      </w:r>
      <w:proofErr w:type="gramStart"/>
      <w:r w:rsidRPr="003B1A78">
        <w:rPr>
          <w:rFonts w:ascii="Times New Roman" w:eastAsia="Calibri" w:hAnsi="Times New Roman" w:cs="Times New Roman"/>
          <w:sz w:val="24"/>
          <w:szCs w:val="24"/>
          <w:lang w:val="en-US" w:eastAsia="en-US"/>
        </w:rPr>
        <w:t>2023</w:t>
      </w:r>
      <w:proofErr w:type="gramEnd"/>
      <w:r w:rsidRPr="003B1A78">
        <w:rPr>
          <w:rFonts w:ascii="Times New Roman" w:eastAsia="Calibri" w:hAnsi="Times New Roman" w:cs="Times New Roman"/>
          <w:sz w:val="24"/>
          <w:szCs w:val="24"/>
          <w:lang w:val="en-US" w:eastAsia="en-US"/>
        </w:rPr>
        <w:t xml:space="preserve"> which amended the Anti-Pornography Act and strengthens protection for minors against online sexual exploitation, eliminating the requirement of consent from the child. </w:t>
      </w:r>
      <w:r w:rsidRPr="003B1A78">
        <w:rPr>
          <w:rStyle w:val="EndnoteReference"/>
          <w:rFonts w:ascii="Times New Roman" w:eastAsia="Calibri" w:hAnsi="Times New Roman" w:cs="Times New Roman"/>
          <w:sz w:val="24"/>
          <w:szCs w:val="24"/>
          <w:lang w:val="en-US" w:eastAsia="en-US"/>
        </w:rPr>
        <w:endnoteReference w:id="28"/>
      </w:r>
      <w:r w:rsidRPr="003B1A78">
        <w:rPr>
          <w:rStyle w:val="EndnoteReference"/>
          <w:rFonts w:ascii="Times New Roman" w:eastAsia="Calibri" w:hAnsi="Times New Roman" w:cs="Times New Roman"/>
          <w:sz w:val="24"/>
          <w:szCs w:val="24"/>
          <w:lang w:val="en-US" w:eastAsia="en-US"/>
        </w:rPr>
        <w:t xml:space="preserve"> </w:t>
      </w:r>
      <w:r w:rsidR="00460B85">
        <w:rPr>
          <w:rFonts w:ascii="Times New Roman" w:eastAsia="Calibri" w:hAnsi="Times New Roman" w:cs="Times New Roman"/>
          <w:sz w:val="24"/>
          <w:szCs w:val="24"/>
          <w:lang w:val="en-US" w:eastAsia="en-US"/>
        </w:rPr>
        <w:t xml:space="preserve">These reports </w:t>
      </w:r>
      <w:r w:rsidR="00385C04">
        <w:rPr>
          <w:rFonts w:ascii="Times New Roman" w:eastAsia="Calibri" w:hAnsi="Times New Roman" w:cs="Times New Roman"/>
          <w:sz w:val="24"/>
          <w:szCs w:val="24"/>
          <w:lang w:val="en-US" w:eastAsia="en-US"/>
        </w:rPr>
        <w:t xml:space="preserve">are concerning and </w:t>
      </w:r>
      <w:r w:rsidR="00460B85">
        <w:rPr>
          <w:rFonts w:ascii="Times New Roman" w:eastAsia="Calibri" w:hAnsi="Times New Roman" w:cs="Times New Roman"/>
          <w:sz w:val="24"/>
          <w:szCs w:val="24"/>
          <w:lang w:val="en-US" w:eastAsia="en-US"/>
        </w:rPr>
        <w:t>reinforces the need to ensure access to</w:t>
      </w:r>
      <w:r w:rsidR="00385C04">
        <w:rPr>
          <w:rFonts w:ascii="Times New Roman" w:eastAsia="Calibri" w:hAnsi="Times New Roman" w:cs="Times New Roman"/>
          <w:sz w:val="24"/>
          <w:szCs w:val="24"/>
          <w:lang w:val="en-US" w:eastAsia="en-US"/>
        </w:rPr>
        <w:t xml:space="preserve"> the full range of SRH care including emergency contraceptives.</w:t>
      </w:r>
    </w:p>
    <w:p w14:paraId="669755EB" w14:textId="77777777" w:rsidR="009454D8" w:rsidRPr="009454D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46BFF266">
        <w:rPr>
          <w:rFonts w:ascii="Times New Roman" w:hAnsi="Times New Roman" w:cs="Times New Roman"/>
          <w:sz w:val="24"/>
          <w:szCs w:val="24"/>
          <w:lang w:val="en-US" w:eastAsia="en-US"/>
          <w14:ligatures w14:val="standardContextual"/>
        </w:rPr>
        <w:t>Vulnerable and marginalized groups experience heightened risk and incidence of gender-based violence and barriers to accessing SRH care. The Philippine Commission on Human Rights (PCHR), in its 2016 and 2020 national inquiries on reproductive health and rights with the latter focusing on women with disabilities, revealed multiple and intersecting barriers in the exercise of SRHR including limited access to information, stigma, discrimination, violence and abuse, and exclusion from decision-making. Treaty bodies including the Committee acknowledged the need to improve access to justice, data collection on gender-based violence, and participation in decision-making particularly for women with disabilities.</w:t>
      </w:r>
      <w:r w:rsidRPr="003B1A78">
        <w:rPr>
          <w:rStyle w:val="EndnoteReference"/>
          <w:rFonts w:ascii="Times New Roman" w:hAnsi="Times New Roman" w:cs="Times New Roman"/>
          <w:sz w:val="24"/>
          <w:szCs w:val="24"/>
        </w:rPr>
        <w:endnoteReference w:id="29"/>
      </w:r>
      <w:r w:rsidRPr="46BFF266">
        <w:rPr>
          <w:rFonts w:ascii="Times New Roman" w:hAnsi="Times New Roman" w:cs="Times New Roman"/>
          <w:sz w:val="24"/>
          <w:szCs w:val="24"/>
          <w:lang w:val="en-US" w:eastAsia="en-US"/>
          <w14:ligatures w14:val="standardContextual"/>
        </w:rPr>
        <w:t xml:space="preserve"> </w:t>
      </w:r>
    </w:p>
    <w:p w14:paraId="09B175C6" w14:textId="7AB8A347" w:rsidR="002C41A7" w:rsidRPr="003B1A78" w:rsidRDefault="002C41A7"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46BFF266">
        <w:rPr>
          <w:rFonts w:ascii="Times New Roman" w:hAnsi="Times New Roman" w:cs="Times New Roman"/>
          <w:sz w:val="24"/>
          <w:szCs w:val="24"/>
          <w:lang w:val="en-US" w:eastAsia="en-US"/>
          <w14:ligatures w14:val="standardContextual"/>
        </w:rPr>
        <w:t>Meanwhile,</w:t>
      </w:r>
      <w:r w:rsidR="009454D8">
        <w:rPr>
          <w:rFonts w:ascii="Times New Roman" w:hAnsi="Times New Roman" w:cs="Times New Roman"/>
          <w:sz w:val="24"/>
          <w:szCs w:val="24"/>
          <w:lang w:val="en-US" w:eastAsia="en-US"/>
          <w14:ligatures w14:val="standardContextual"/>
        </w:rPr>
        <w:t xml:space="preserve"> </w:t>
      </w:r>
      <w:r w:rsidRPr="003B1A78">
        <w:rPr>
          <w:rFonts w:ascii="Times New Roman" w:eastAsia="Helvetica Neue" w:hAnsi="Times New Roman" w:cs="Times New Roman"/>
          <w:color w:val="000000" w:themeColor="text1"/>
          <w:sz w:val="24"/>
          <w:szCs w:val="24"/>
        </w:rPr>
        <w:t>LGBTQIA and gender diverse individuals experienced heightened levels of sexual and gender-based violence (SGBV) during the COVID-19 pandemic.</w:t>
      </w:r>
      <w:r w:rsidRPr="003B1A78">
        <w:rPr>
          <w:rFonts w:ascii="Times New Roman" w:eastAsia="Helvetica Neue" w:hAnsi="Times New Roman" w:cs="Times New Roman"/>
          <w:color w:val="000000" w:themeColor="text1"/>
          <w:sz w:val="24"/>
          <w:szCs w:val="24"/>
          <w:vertAlign w:val="superscript"/>
        </w:rPr>
        <w:endnoteReference w:id="30"/>
      </w:r>
      <w:r w:rsidRPr="003B1A78">
        <w:rPr>
          <w:rFonts w:ascii="Times New Roman" w:eastAsia="Helvetica Neue" w:hAnsi="Times New Roman" w:cs="Times New Roman"/>
          <w:color w:val="000000" w:themeColor="text1"/>
          <w:sz w:val="24"/>
          <w:szCs w:val="24"/>
        </w:rPr>
        <w:t xml:space="preserve"> </w:t>
      </w:r>
      <w:r w:rsidR="008B5F3D">
        <w:rPr>
          <w:rFonts w:ascii="Times New Roman" w:eastAsia="Helvetica Neue" w:hAnsi="Times New Roman" w:cs="Times New Roman"/>
          <w:color w:val="000000" w:themeColor="text1"/>
          <w:sz w:val="24"/>
          <w:szCs w:val="24"/>
        </w:rPr>
        <w:t xml:space="preserve">There have been reports of </w:t>
      </w:r>
      <w:r w:rsidRPr="003B1A78">
        <w:rPr>
          <w:rFonts w:ascii="Times New Roman" w:eastAsia="Helvetica Neue" w:hAnsi="Times New Roman" w:cs="Times New Roman"/>
          <w:color w:val="000000" w:themeColor="text1"/>
          <w:sz w:val="24"/>
          <w:szCs w:val="24"/>
        </w:rPr>
        <w:t>humiliation of LGBT people violating curfews</w:t>
      </w:r>
      <w:r w:rsidRPr="003B1A78">
        <w:rPr>
          <w:rFonts w:ascii="Times New Roman" w:eastAsia="Helvetica Neue" w:hAnsi="Times New Roman" w:cs="Times New Roman"/>
          <w:color w:val="000000" w:themeColor="text1"/>
          <w:sz w:val="24"/>
          <w:szCs w:val="24"/>
          <w:highlight w:val="white"/>
        </w:rPr>
        <w:t> </w:t>
      </w:r>
      <w:r w:rsidRPr="003B1A78">
        <w:rPr>
          <w:rFonts w:ascii="Times New Roman" w:eastAsia="Helvetica Neue" w:hAnsi="Times New Roman" w:cs="Times New Roman"/>
          <w:color w:val="000000" w:themeColor="text1"/>
          <w:sz w:val="24"/>
          <w:szCs w:val="24"/>
        </w:rPr>
        <w:t>and a case where LGBTQ individuals were forced into degrading acts by authorities.</w:t>
      </w:r>
      <w:r w:rsidR="00D56E6B">
        <w:rPr>
          <w:rStyle w:val="EndnoteReference"/>
          <w:rFonts w:ascii="Times New Roman" w:eastAsia="Helvetica Neue" w:hAnsi="Times New Roman" w:cs="Times New Roman"/>
          <w:color w:val="000000" w:themeColor="text1"/>
          <w:sz w:val="24"/>
          <w:szCs w:val="24"/>
        </w:rPr>
        <w:endnoteReference w:id="31"/>
      </w:r>
      <w:r w:rsidR="00D56E6B">
        <w:rPr>
          <w:rFonts w:ascii="Times New Roman" w:eastAsia="Helvetica Neue" w:hAnsi="Times New Roman" w:cs="Times New Roman"/>
          <w:color w:val="000000" w:themeColor="text1"/>
          <w:sz w:val="24"/>
          <w:szCs w:val="24"/>
        </w:rPr>
        <w:t xml:space="preserve"> </w:t>
      </w:r>
      <w:r w:rsidRPr="003B1A78">
        <w:rPr>
          <w:rFonts w:ascii="Times New Roman" w:eastAsia="Helvetica Neue" w:hAnsi="Times New Roman" w:cs="Times New Roman"/>
          <w:color w:val="000000" w:themeColor="text1"/>
          <w:sz w:val="24"/>
          <w:szCs w:val="24"/>
        </w:rPr>
        <w:t>Arrests during an LGBTQ Pride march</w:t>
      </w:r>
      <w:r w:rsidRPr="003B1A78">
        <w:rPr>
          <w:rFonts w:ascii="Times New Roman" w:eastAsia="Helvetica Neue" w:hAnsi="Times New Roman" w:cs="Times New Roman"/>
          <w:color w:val="000000" w:themeColor="text1"/>
          <w:sz w:val="24"/>
          <w:szCs w:val="24"/>
          <w:highlight w:val="white"/>
        </w:rPr>
        <w:t xml:space="preserve"> </w:t>
      </w:r>
      <w:r w:rsidRPr="003B1A78">
        <w:rPr>
          <w:rFonts w:ascii="Times New Roman" w:eastAsia="Helvetica Neue" w:hAnsi="Times New Roman" w:cs="Times New Roman"/>
          <w:color w:val="000000" w:themeColor="text1"/>
          <w:sz w:val="24"/>
          <w:szCs w:val="24"/>
        </w:rPr>
        <w:t xml:space="preserve">and murders of transgender individuals </w:t>
      </w:r>
      <w:r w:rsidR="0091061B">
        <w:rPr>
          <w:rFonts w:ascii="Times New Roman" w:eastAsia="Helvetica Neue" w:hAnsi="Times New Roman" w:cs="Times New Roman"/>
          <w:color w:val="000000" w:themeColor="text1"/>
          <w:sz w:val="24"/>
          <w:szCs w:val="24"/>
        </w:rPr>
        <w:t>have also been reported</w:t>
      </w:r>
      <w:r w:rsidRPr="003B1A78">
        <w:rPr>
          <w:rFonts w:ascii="Times New Roman" w:eastAsia="Helvetica Neue" w:hAnsi="Times New Roman" w:cs="Times New Roman"/>
          <w:color w:val="000000" w:themeColor="text1"/>
          <w:sz w:val="24"/>
          <w:szCs w:val="24"/>
        </w:rPr>
        <w:t>.</w:t>
      </w:r>
      <w:r w:rsidRPr="003B1A78">
        <w:rPr>
          <w:rFonts w:ascii="Times New Roman" w:eastAsia="Helvetica Neue" w:hAnsi="Times New Roman" w:cs="Times New Roman"/>
          <w:color w:val="000000" w:themeColor="text1"/>
          <w:sz w:val="24"/>
          <w:szCs w:val="24"/>
          <w:highlight w:val="white"/>
          <w:vertAlign w:val="superscript"/>
        </w:rPr>
        <w:endnoteReference w:id="32"/>
      </w:r>
      <w:r w:rsidRPr="003B1A78">
        <w:rPr>
          <w:rFonts w:ascii="Times New Roman" w:eastAsia="Helvetica Neue" w:hAnsi="Times New Roman" w:cs="Times New Roman"/>
          <w:color w:val="000000" w:themeColor="text1"/>
          <w:sz w:val="24"/>
          <w:szCs w:val="24"/>
        </w:rPr>
        <w:t xml:space="preserve"> </w:t>
      </w:r>
    </w:p>
    <w:p w14:paraId="77FFEF77" w14:textId="40124631" w:rsidR="002C41A7" w:rsidRPr="000562A7" w:rsidRDefault="002C41A7" w:rsidP="002C41A7">
      <w:pPr>
        <w:pStyle w:val="ListParagraph"/>
        <w:numPr>
          <w:ilvl w:val="0"/>
          <w:numId w:val="1"/>
        </w:numPr>
        <w:autoSpaceDE w:val="0"/>
        <w:autoSpaceDN w:val="0"/>
        <w:adjustRightInd w:val="0"/>
        <w:spacing w:beforeLines="30" w:before="72" w:afterLines="30" w:after="72"/>
        <w:ind w:right="1138"/>
        <w:rPr>
          <w:rFonts w:ascii="Times New Roman" w:eastAsiaTheme="minorHAnsi" w:hAnsi="Times New Roman" w:cs="Times New Roman"/>
          <w:sz w:val="24"/>
          <w:szCs w:val="24"/>
          <w:lang w:val="en-US" w:eastAsia="en-US"/>
          <w14:ligatures w14:val="standardContextual"/>
        </w:rPr>
      </w:pPr>
      <w:r w:rsidRPr="46BFF266">
        <w:rPr>
          <w:rFonts w:ascii="Times New Roman" w:hAnsi="Times New Roman" w:cs="Times New Roman"/>
          <w:sz w:val="24"/>
          <w:szCs w:val="24"/>
          <w:lang w:val="en-US" w:eastAsia="en-US"/>
          <w14:ligatures w14:val="standardContextual"/>
        </w:rPr>
        <w:t>The COVID-19 pandemic has had both short-term and long-term impacts on the sexual and reproductive rights of women and girls. In the short term, the pandemic has led to a significant increase in violence against girls and young women, both online and offline. Around 3 out of 5 girls and young women observed instances of violence against women and girls on social media or television, which includes sexual harassment. The rise in online sexual exploitation has further exacerbated this issue, creating immediate threats to their safety and well-being. In the long term, COVID-19 has amplified existing inequalities and poverty, particularly affecting marginalized girls and young women from low- and middle-income families. These girls have faced challenges such as income loss, food insecurity, disruptions to education, and heightened tensions at home, increasing the risk of domestic and gender-based violence.</w:t>
      </w:r>
      <w:r w:rsidRPr="003B1A78">
        <w:rPr>
          <w:rStyle w:val="EndnoteReference"/>
          <w:rFonts w:ascii="Times New Roman" w:hAnsi="Times New Roman" w:cs="Times New Roman"/>
          <w:sz w:val="24"/>
          <w:szCs w:val="24"/>
        </w:rPr>
        <w:endnoteReference w:id="33"/>
      </w:r>
    </w:p>
    <w:p w14:paraId="00F11528" w14:textId="2C8BE916" w:rsidR="000562A7" w:rsidRPr="000562A7" w:rsidRDefault="000562A7" w:rsidP="000562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 xml:space="preserve">On abortion access, our 2022 NGO report highlighted the additional restrictions put in place by the state party. Instead of training medical personnel in the provision of abortion, the state party increased the amount of fine for </w:t>
      </w:r>
      <w:r w:rsidRPr="003B1A78">
        <w:rPr>
          <w:rFonts w:ascii="Times New Roman" w:eastAsia="Helvetica Neue" w:hAnsi="Times New Roman" w:cs="Times New Roman"/>
          <w:color w:val="000000" w:themeColor="text1"/>
          <w:sz w:val="24"/>
          <w:szCs w:val="24"/>
        </w:rPr>
        <w:lastRenderedPageBreak/>
        <w:t xml:space="preserve">pharmacists dispensing abortifacients without prescription and proposed higher penalties on health workers who cause or assist in causing an abortion. In these cases, the state party did not make any exception for abortions in cases of pregnancy resulting from sexual violence. </w:t>
      </w:r>
    </w:p>
    <w:p w14:paraId="6C12D7EB" w14:textId="48BB3CFD" w:rsidR="003E5139" w:rsidRDefault="003E5139" w:rsidP="003E5139">
      <w:pPr>
        <w:pBdr>
          <w:bottom w:val="single" w:sz="6" w:space="1" w:color="auto"/>
        </w:pBdr>
        <w:ind w:left="360"/>
        <w:rPr>
          <w:rFonts w:ascii="Times New Roman" w:hAnsi="Times New Roman" w:cs="Times New Roman"/>
          <w:sz w:val="24"/>
          <w:szCs w:val="24"/>
        </w:rPr>
      </w:pPr>
    </w:p>
    <w:p w14:paraId="0B54A143" w14:textId="77777777" w:rsidR="003E5139" w:rsidRDefault="003E5139" w:rsidP="003E5139">
      <w:pPr>
        <w:ind w:left="360"/>
        <w:rPr>
          <w:rFonts w:ascii="Times New Roman" w:hAnsi="Times New Roman" w:cs="Times New Roman"/>
          <w:sz w:val="24"/>
          <w:szCs w:val="24"/>
        </w:rPr>
      </w:pPr>
    </w:p>
    <w:p w14:paraId="44E586CA" w14:textId="65FE6919" w:rsidR="003E5139" w:rsidRPr="006D7E21" w:rsidRDefault="003E5139" w:rsidP="003E5139">
      <w:pPr>
        <w:ind w:left="360"/>
        <w:rPr>
          <w:rFonts w:ascii="Times New Roman" w:hAnsi="Times New Roman" w:cs="Times New Roman"/>
          <w:b/>
          <w:bCs/>
          <w:sz w:val="24"/>
          <w:szCs w:val="24"/>
        </w:rPr>
      </w:pPr>
      <w:r w:rsidRPr="006D7E21">
        <w:rPr>
          <w:rFonts w:ascii="Times New Roman" w:hAnsi="Times New Roman" w:cs="Times New Roman"/>
          <w:b/>
          <w:bCs/>
          <w:sz w:val="24"/>
          <w:szCs w:val="24"/>
        </w:rPr>
        <w:t>We propose that the Committee urge the state party to:</w:t>
      </w:r>
    </w:p>
    <w:p w14:paraId="3470D70A" w14:textId="77777777" w:rsidR="003E5139" w:rsidRPr="006D7E21" w:rsidRDefault="003E5139" w:rsidP="003E5139">
      <w:pPr>
        <w:ind w:left="360"/>
        <w:rPr>
          <w:b/>
          <w:bCs/>
        </w:rPr>
      </w:pPr>
    </w:p>
    <w:p w14:paraId="67F6646F" w14:textId="77777777" w:rsidR="003E5139" w:rsidRPr="006D7E21" w:rsidRDefault="003E5139" w:rsidP="003E5139">
      <w:pPr>
        <w:pStyle w:val="Bullet1G"/>
        <w:numPr>
          <w:ilvl w:val="0"/>
          <w:numId w:val="6"/>
        </w:numPr>
        <w:ind w:right="429"/>
        <w:rPr>
          <w:b/>
          <w:bCs/>
          <w:sz w:val="24"/>
          <w:szCs w:val="24"/>
          <w:lang w:val="en-US"/>
        </w:rPr>
      </w:pPr>
      <w:r w:rsidRPr="006D7E21">
        <w:rPr>
          <w:b/>
          <w:bCs/>
          <w:sz w:val="24"/>
          <w:szCs w:val="24"/>
          <w:lang w:val="en-US"/>
        </w:rPr>
        <w:t>Provide systematic training for healthcare professionals in all public hospitals, clinics, and health centers, to ensure specialized attention and care for women and girls who are victims of sexual violence, including the provision of essential services for emergency contraception and safe and legal abortion,</w:t>
      </w:r>
    </w:p>
    <w:p w14:paraId="7277F34D" w14:textId="77777777" w:rsidR="003E5139" w:rsidRPr="006D7E21" w:rsidRDefault="003E5139" w:rsidP="003E5139">
      <w:pPr>
        <w:pStyle w:val="Bullet1G"/>
        <w:numPr>
          <w:ilvl w:val="0"/>
          <w:numId w:val="6"/>
        </w:numPr>
        <w:ind w:right="429"/>
        <w:rPr>
          <w:b/>
          <w:bCs/>
          <w:color w:val="000000" w:themeColor="text1"/>
          <w:sz w:val="24"/>
          <w:szCs w:val="24"/>
          <w:lang w:val="en-US"/>
        </w:rPr>
      </w:pPr>
      <w:r w:rsidRPr="006D7E21">
        <w:rPr>
          <w:b/>
          <w:bCs/>
          <w:sz w:val="24"/>
          <w:szCs w:val="24"/>
          <w:lang w:val="en-US"/>
        </w:rPr>
        <w:t xml:space="preserve">Adopt regulations to ensure that private healthcare professionals are trained to provide comprehensive health support including emergency contraception and safe and legal abortion to </w:t>
      </w:r>
      <w:r w:rsidRPr="006D7E21">
        <w:rPr>
          <w:b/>
          <w:bCs/>
          <w:color w:val="000000" w:themeColor="text1"/>
          <w:sz w:val="24"/>
          <w:szCs w:val="24"/>
          <w:lang w:val="en-US"/>
        </w:rPr>
        <w:t>victims of sexual violence,</w:t>
      </w:r>
    </w:p>
    <w:p w14:paraId="7EBDD046" w14:textId="77777777" w:rsidR="003E5139" w:rsidRPr="006D7E21" w:rsidRDefault="003E5139" w:rsidP="003E5139">
      <w:pPr>
        <w:pStyle w:val="Bullet1G"/>
        <w:numPr>
          <w:ilvl w:val="0"/>
          <w:numId w:val="6"/>
        </w:numPr>
        <w:ind w:right="429"/>
        <w:rPr>
          <w:b/>
          <w:bCs/>
          <w:color w:val="000000" w:themeColor="text1"/>
          <w:sz w:val="24"/>
          <w:szCs w:val="24"/>
        </w:rPr>
      </w:pPr>
      <w:r w:rsidRPr="006D7E21">
        <w:rPr>
          <w:b/>
          <w:bCs/>
          <w:color w:val="000000" w:themeColor="text1"/>
          <w:sz w:val="24"/>
          <w:szCs w:val="24"/>
          <w:lang w:val="en-US"/>
        </w:rPr>
        <w:t>Ensure that survivors of gender-based violence receive free and accessible medical, including sexual and reproductive health, care and support adapted to their specific needs, particularly for adolescents, women and girls with disabilities, trans women and women and girls, those living with HIV/AIDS.</w:t>
      </w:r>
      <w:r w:rsidRPr="006D7E21">
        <w:rPr>
          <w:b/>
          <w:bCs/>
          <w:color w:val="000000" w:themeColor="text1"/>
          <w:sz w:val="24"/>
          <w:szCs w:val="24"/>
        </w:rPr>
        <w:t xml:space="preserve"> </w:t>
      </w:r>
    </w:p>
    <w:p w14:paraId="25DDE99E" w14:textId="77777777" w:rsidR="003E5139" w:rsidRDefault="003E5139" w:rsidP="002C41A7">
      <w:pPr>
        <w:pBdr>
          <w:bottom w:val="single" w:sz="6" w:space="1" w:color="auto"/>
        </w:pBdr>
        <w:autoSpaceDE w:val="0"/>
        <w:autoSpaceDN w:val="0"/>
        <w:adjustRightInd w:val="0"/>
        <w:spacing w:beforeLines="30" w:before="72" w:afterLines="30" w:after="72"/>
        <w:ind w:left="0" w:firstLine="0"/>
        <w:jc w:val="left"/>
        <w:rPr>
          <w:rFonts w:ascii="Times New Roman" w:eastAsiaTheme="minorHAnsi" w:hAnsi="Times New Roman" w:cs="Times New Roman"/>
          <w:sz w:val="24"/>
          <w:szCs w:val="24"/>
          <w:lang w:eastAsia="en-US"/>
          <w14:ligatures w14:val="standardContextual"/>
        </w:rPr>
      </w:pPr>
    </w:p>
    <w:p w14:paraId="4A277786" w14:textId="77777777" w:rsidR="003E5139" w:rsidRDefault="003E5139" w:rsidP="002C41A7">
      <w:pPr>
        <w:autoSpaceDE w:val="0"/>
        <w:autoSpaceDN w:val="0"/>
        <w:adjustRightInd w:val="0"/>
        <w:spacing w:beforeLines="30" w:before="72" w:afterLines="30" w:after="72"/>
        <w:ind w:left="0" w:firstLine="0"/>
        <w:jc w:val="left"/>
        <w:rPr>
          <w:rFonts w:ascii="Times New Roman" w:eastAsiaTheme="minorHAnsi" w:hAnsi="Times New Roman" w:cs="Times New Roman"/>
          <w:sz w:val="24"/>
          <w:szCs w:val="24"/>
          <w:lang w:eastAsia="en-US"/>
          <w14:ligatures w14:val="standardContextual"/>
        </w:rPr>
      </w:pPr>
    </w:p>
    <w:p w14:paraId="0223B643"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54" w:right="1134" w:hanging="54"/>
        <w:rPr>
          <w:rFonts w:ascii="Times New Roman" w:eastAsia="Helvetica Neue" w:hAnsi="Times New Roman" w:cs="Times New Roman"/>
          <w:b/>
          <w:color w:val="0070C0"/>
          <w:sz w:val="24"/>
          <w:szCs w:val="24"/>
        </w:rPr>
      </w:pPr>
      <w:r w:rsidRPr="003B1A78">
        <w:rPr>
          <w:rFonts w:ascii="Times New Roman" w:eastAsia="Helvetica Neue" w:hAnsi="Times New Roman" w:cs="Times New Roman"/>
          <w:b/>
          <w:color w:val="0070C0"/>
          <w:sz w:val="24"/>
          <w:szCs w:val="24"/>
        </w:rPr>
        <w:t xml:space="preserve">VI. Access to Comprehensive Quality Abortion Care </w:t>
      </w:r>
      <w:r w:rsidRPr="003B1A78">
        <w:rPr>
          <w:rFonts w:ascii="Times New Roman" w:eastAsia="Helvetica Neue" w:hAnsi="Times New Roman" w:cs="Times New Roman"/>
          <w:bCs/>
          <w:i/>
          <w:iCs/>
          <w:color w:val="0070C0"/>
          <w:sz w:val="24"/>
          <w:szCs w:val="24"/>
        </w:rPr>
        <w:t>(Articles 2, 12, 14, 16)</w:t>
      </w:r>
    </w:p>
    <w:p w14:paraId="2F13DEAA"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2556" w:hanging="54"/>
        <w:rPr>
          <w:rFonts w:ascii="Times New Roman" w:eastAsia="Helvetica Neue" w:hAnsi="Times New Roman" w:cs="Times New Roman"/>
          <w:b/>
          <w:color w:val="000000" w:themeColor="text1"/>
          <w:sz w:val="24"/>
          <w:szCs w:val="24"/>
        </w:rPr>
      </w:pPr>
    </w:p>
    <w:p w14:paraId="2851F92F"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2556" w:hanging="54"/>
        <w:rPr>
          <w:rFonts w:ascii="Times New Roman" w:eastAsia="Helvetica Neue" w:hAnsi="Times New Roman" w:cs="Times New Roman"/>
          <w:i/>
          <w:color w:val="000000" w:themeColor="text1"/>
          <w:sz w:val="24"/>
          <w:szCs w:val="24"/>
        </w:rPr>
      </w:pPr>
      <w:r w:rsidRPr="003B1A78">
        <w:rPr>
          <w:rFonts w:ascii="Times New Roman" w:eastAsia="Helvetica Neue" w:hAnsi="Times New Roman" w:cs="Times New Roman"/>
          <w:i/>
          <w:color w:val="000000" w:themeColor="text1"/>
          <w:sz w:val="24"/>
          <w:szCs w:val="24"/>
        </w:rPr>
        <w:t>Please provide information on measures taken to…prevent the stigmatization of women seeking an abortion and ensure post-abortion care to save lives</w:t>
      </w:r>
      <w:r w:rsidRPr="003B1A78">
        <w:rPr>
          <w:rFonts w:ascii="Times New Roman" w:hAnsi="Times New Roman" w:cs="Times New Roman"/>
          <w:sz w:val="24"/>
          <w:szCs w:val="24"/>
        </w:rPr>
        <w:t xml:space="preserve">; </w:t>
      </w:r>
      <w:r w:rsidRPr="003B1A78">
        <w:rPr>
          <w:rFonts w:ascii="Times New Roman" w:hAnsi="Times New Roman" w:cs="Times New Roman"/>
          <w:sz w:val="24"/>
          <w:szCs w:val="24"/>
          <w:vertAlign w:val="superscript"/>
        </w:rPr>
        <w:endnoteReference w:id="34"/>
      </w:r>
    </w:p>
    <w:p w14:paraId="6BD14DF6"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080" w:right="1134" w:firstLine="0"/>
        <w:rPr>
          <w:rFonts w:ascii="Times New Roman" w:eastAsia="Helvetica Neue" w:hAnsi="Times New Roman" w:cs="Times New Roman"/>
          <w:iCs/>
          <w:color w:val="FF0000"/>
          <w:sz w:val="24"/>
          <w:szCs w:val="24"/>
        </w:rPr>
      </w:pPr>
    </w:p>
    <w:p w14:paraId="3C2F8F76" w14:textId="15B2047E" w:rsidR="006F54A4" w:rsidRDefault="00C310BD" w:rsidP="006F54A4">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773DCA">
        <w:rPr>
          <w:rFonts w:ascii="Times New Roman" w:hAnsi="Times New Roman" w:cs="Times New Roman"/>
          <w:color w:val="000000" w:themeColor="text1"/>
          <w:sz w:val="24"/>
          <w:szCs w:val="24"/>
        </w:rPr>
        <w:t xml:space="preserve">Abortion remains criminalized under the </w:t>
      </w:r>
      <w:r w:rsidR="000C10EC">
        <w:rPr>
          <w:rFonts w:ascii="Times New Roman" w:hAnsi="Times New Roman" w:cs="Times New Roman"/>
          <w:color w:val="000000" w:themeColor="text1"/>
          <w:sz w:val="24"/>
          <w:szCs w:val="24"/>
        </w:rPr>
        <w:t>Revised Penal Code (</w:t>
      </w:r>
      <w:r w:rsidRPr="00773DCA">
        <w:rPr>
          <w:rFonts w:ascii="Times New Roman" w:hAnsi="Times New Roman" w:cs="Times New Roman"/>
          <w:color w:val="000000" w:themeColor="text1"/>
          <w:sz w:val="24"/>
          <w:szCs w:val="24"/>
        </w:rPr>
        <w:t>RPC</w:t>
      </w:r>
      <w:r w:rsidR="000C10EC">
        <w:rPr>
          <w:rFonts w:ascii="Times New Roman" w:hAnsi="Times New Roman" w:cs="Times New Roman"/>
          <w:color w:val="000000" w:themeColor="text1"/>
          <w:sz w:val="24"/>
          <w:szCs w:val="24"/>
        </w:rPr>
        <w:t>)</w:t>
      </w:r>
      <w:r w:rsidRPr="00773DCA">
        <w:rPr>
          <w:rFonts w:ascii="Times New Roman" w:hAnsi="Times New Roman" w:cs="Times New Roman"/>
          <w:color w:val="000000" w:themeColor="text1"/>
          <w:sz w:val="24"/>
          <w:szCs w:val="24"/>
        </w:rPr>
        <w:t xml:space="preserve"> with no clear exceptions even in cases of pregnancies endangering the life or health of the women, those resulting from rape or incest, and those involving fetal impairment.</w:t>
      </w:r>
      <w:r w:rsidRPr="00773DCA">
        <w:rPr>
          <w:rStyle w:val="EndnoteReference"/>
          <w:rFonts w:ascii="Times New Roman" w:hAnsi="Times New Roman" w:cs="Times New Roman"/>
          <w:color w:val="000000" w:themeColor="text1"/>
          <w:sz w:val="24"/>
          <w:szCs w:val="24"/>
        </w:rPr>
        <w:endnoteReference w:id="35"/>
      </w:r>
      <w:r w:rsidRPr="00773DCA">
        <w:rPr>
          <w:rFonts w:ascii="Times New Roman" w:hAnsi="Times New Roman" w:cs="Times New Roman"/>
          <w:color w:val="000000" w:themeColor="text1"/>
          <w:sz w:val="24"/>
          <w:szCs w:val="24"/>
        </w:rPr>
        <w:t xml:space="preserve"> The RPC imposes prison sentences ranging from 1 month to a maximum of 20 years for an individual found guilty of performing, providing assistance, or having an abortion.</w:t>
      </w:r>
      <w:r w:rsidRPr="00773DCA">
        <w:rPr>
          <w:rStyle w:val="EndnoteReference"/>
          <w:rFonts w:ascii="Times New Roman" w:hAnsi="Times New Roman" w:cs="Times New Roman"/>
          <w:color w:val="000000" w:themeColor="text1"/>
          <w:sz w:val="24"/>
          <w:szCs w:val="24"/>
        </w:rPr>
        <w:endnoteReference w:id="36"/>
      </w:r>
      <w:r w:rsidRPr="00773DCA">
        <w:rPr>
          <w:rFonts w:ascii="Times New Roman" w:hAnsi="Times New Roman" w:cs="Times New Roman"/>
          <w:color w:val="000000" w:themeColor="text1"/>
          <w:sz w:val="24"/>
          <w:szCs w:val="24"/>
        </w:rPr>
        <w:t xml:space="preserve"> </w:t>
      </w:r>
      <w:r w:rsidR="002C41A7" w:rsidRPr="00773DCA">
        <w:rPr>
          <w:rFonts w:ascii="Times New Roman" w:eastAsia="Helvetica Neue" w:hAnsi="Times New Roman" w:cs="Times New Roman"/>
          <w:color w:val="000000" w:themeColor="text1"/>
          <w:sz w:val="24"/>
          <w:szCs w:val="24"/>
        </w:rPr>
        <w:t>In its Replies to the LOIs, the state party referred to the 2018 post-abortion policy i.e., National Policy on the Prevention of Illegal and</w:t>
      </w:r>
      <w:r w:rsidR="002C41A7" w:rsidRPr="003B1A78">
        <w:rPr>
          <w:rFonts w:ascii="Times New Roman" w:eastAsia="Helvetica Neue" w:hAnsi="Times New Roman" w:cs="Times New Roman"/>
          <w:color w:val="000000" w:themeColor="text1"/>
          <w:sz w:val="24"/>
          <w:szCs w:val="24"/>
        </w:rPr>
        <w:t xml:space="preserve"> Unsafe Abortion and Management of Abortion Complications to prevent stigma of those in need of abortion. No other details were provided on how this is being operationalized and </w:t>
      </w:r>
      <w:r w:rsidR="008C1449">
        <w:rPr>
          <w:rFonts w:ascii="Times New Roman" w:eastAsia="Helvetica Neue" w:hAnsi="Times New Roman" w:cs="Times New Roman"/>
          <w:color w:val="000000" w:themeColor="text1"/>
          <w:sz w:val="24"/>
          <w:szCs w:val="24"/>
        </w:rPr>
        <w:t>any</w:t>
      </w:r>
      <w:r w:rsidR="002C41A7" w:rsidRPr="003B1A78">
        <w:rPr>
          <w:rFonts w:ascii="Times New Roman" w:eastAsia="Helvetica Neue" w:hAnsi="Times New Roman" w:cs="Times New Roman"/>
          <w:color w:val="000000" w:themeColor="text1"/>
          <w:sz w:val="24"/>
          <w:szCs w:val="24"/>
        </w:rPr>
        <w:t xml:space="preserve"> impact it has achieved so far in preventing stigma and saving lives.</w:t>
      </w:r>
      <w:r w:rsidR="002C41A7" w:rsidRPr="003B1A78">
        <w:rPr>
          <w:rFonts w:ascii="Times New Roman" w:eastAsia="Helvetica Neue" w:hAnsi="Times New Roman" w:cs="Times New Roman"/>
          <w:color w:val="000000" w:themeColor="text1"/>
          <w:sz w:val="24"/>
          <w:szCs w:val="24"/>
          <w:vertAlign w:val="superscript"/>
        </w:rPr>
        <w:endnoteReference w:id="37"/>
      </w:r>
      <w:r w:rsidR="002C41A7" w:rsidRPr="003B1A78">
        <w:rPr>
          <w:rFonts w:ascii="Times New Roman" w:eastAsia="Helvetica Neue" w:hAnsi="Times New Roman" w:cs="Times New Roman"/>
          <w:color w:val="000000" w:themeColor="text1"/>
          <w:sz w:val="24"/>
          <w:szCs w:val="24"/>
        </w:rPr>
        <w:t xml:space="preserve"> We noted in our 2022 NGO report that this policy does not take a holistic approach to women's and girls' reproductive health and instead aims to eliminate the "preference for illegal and unsafe abortion" and focus on family planning without acknowledging that contraceptives are not capable of preventing all unwanted pregnancies.</w:t>
      </w:r>
      <w:r w:rsidR="002C41A7" w:rsidRPr="003B1A78">
        <w:rPr>
          <w:rFonts w:ascii="Times New Roman" w:eastAsia="Helvetica Neue" w:hAnsi="Times New Roman" w:cs="Times New Roman"/>
          <w:color w:val="000000" w:themeColor="text1"/>
          <w:sz w:val="24"/>
          <w:szCs w:val="24"/>
          <w:vertAlign w:val="superscript"/>
        </w:rPr>
        <w:endnoteReference w:id="38"/>
      </w:r>
      <w:r w:rsidR="002C41A7" w:rsidRPr="003B1A78">
        <w:rPr>
          <w:rFonts w:ascii="Times New Roman" w:eastAsia="Helvetica Neue" w:hAnsi="Times New Roman" w:cs="Times New Roman"/>
          <w:color w:val="000000" w:themeColor="text1"/>
          <w:sz w:val="24"/>
          <w:szCs w:val="24"/>
          <w:vertAlign w:val="superscript"/>
        </w:rPr>
        <w:t xml:space="preserve"> </w:t>
      </w:r>
      <w:r w:rsidR="002C41A7" w:rsidRPr="003B1A78">
        <w:rPr>
          <w:rFonts w:ascii="Times New Roman" w:eastAsia="Helvetica Neue" w:hAnsi="Times New Roman" w:cs="Times New Roman"/>
          <w:color w:val="000000" w:themeColor="text1"/>
          <w:sz w:val="24"/>
          <w:szCs w:val="24"/>
        </w:rPr>
        <w:t>Such language particularly on the emphasis on the “illegality” of abortions perpetuates the existing stigma surrounding abortion and deters individuals from seeking post-abortion care.</w:t>
      </w:r>
    </w:p>
    <w:p w14:paraId="758234A1" w14:textId="04BE616E" w:rsidR="0028327C" w:rsidRPr="006F54A4" w:rsidRDefault="17A22470" w:rsidP="00DF5F7C">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6F54A4">
        <w:rPr>
          <w:rFonts w:ascii="Times New Roman" w:eastAsia="Helvetica Neue" w:hAnsi="Times New Roman" w:cs="Times New Roman"/>
          <w:color w:val="000000" w:themeColor="text1"/>
          <w:sz w:val="24"/>
          <w:szCs w:val="24"/>
        </w:rPr>
        <w:lastRenderedPageBreak/>
        <w:t>As noted above, our 2022 NGO report also extensively discussed the status of abortion in the country and the additional restrictions imposed by the state party. Bills have also been filed proposing the establishment of centers that promote childbirth as an alternative to abortion. These measures go against the push from advocates and activists for the state party to ensure access to accurate information and safe abortion care for the millions of Filipinos who may seek them.</w:t>
      </w:r>
      <w:r w:rsidR="002C41A7" w:rsidRPr="003B1A78">
        <w:rPr>
          <w:rFonts w:ascii="Times New Roman" w:eastAsia="Helvetica Neue" w:hAnsi="Times New Roman" w:cs="Times New Roman"/>
          <w:color w:val="000000" w:themeColor="text1"/>
          <w:sz w:val="24"/>
          <w:szCs w:val="24"/>
          <w:vertAlign w:val="superscript"/>
        </w:rPr>
        <w:endnoteReference w:id="39"/>
      </w:r>
      <w:r w:rsidRPr="006F54A4">
        <w:rPr>
          <w:rFonts w:ascii="Times New Roman" w:eastAsia="Helvetica Neue" w:hAnsi="Times New Roman" w:cs="Times New Roman"/>
          <w:color w:val="000000" w:themeColor="text1"/>
          <w:sz w:val="24"/>
          <w:szCs w:val="24"/>
          <w:vertAlign w:val="superscript"/>
        </w:rPr>
        <w:t xml:space="preserve"> </w:t>
      </w:r>
      <w:r w:rsidRPr="006F54A4">
        <w:rPr>
          <w:rFonts w:ascii="Times New Roman" w:eastAsia="Helvetica Neue" w:hAnsi="Times New Roman" w:cs="Times New Roman"/>
          <w:color w:val="000000" w:themeColor="text1"/>
          <w:sz w:val="24"/>
          <w:szCs w:val="24"/>
        </w:rPr>
        <w:t xml:space="preserve">In 2020, advocates </w:t>
      </w:r>
      <w:r w:rsidRPr="006F54A4">
        <w:rPr>
          <w:rFonts w:ascii="Times New Roman" w:eastAsia="Helvetica Neue" w:hAnsi="Times New Roman" w:cs="Times New Roman"/>
          <w:color w:val="000000" w:themeColor="text1"/>
          <w:sz w:val="24"/>
          <w:szCs w:val="24"/>
          <w:highlight w:val="white"/>
        </w:rPr>
        <w:t>launched a proposed bill to decriminalize abortion in the country.</w:t>
      </w:r>
      <w:r w:rsidR="002C41A7" w:rsidRPr="003B1A78">
        <w:rPr>
          <w:rFonts w:ascii="Times New Roman" w:eastAsia="Helvetica Neue" w:hAnsi="Times New Roman" w:cs="Times New Roman"/>
          <w:color w:val="000000" w:themeColor="text1"/>
          <w:sz w:val="24"/>
          <w:szCs w:val="24"/>
          <w:highlight w:val="white"/>
          <w:vertAlign w:val="superscript"/>
        </w:rPr>
        <w:endnoteReference w:id="40"/>
      </w:r>
      <w:r w:rsidRPr="006F54A4">
        <w:rPr>
          <w:rFonts w:ascii="Times New Roman" w:eastAsia="Helvetica Neue" w:hAnsi="Times New Roman" w:cs="Times New Roman"/>
          <w:color w:val="000000" w:themeColor="text1"/>
          <w:sz w:val="24"/>
          <w:szCs w:val="24"/>
          <w:highlight w:val="white"/>
        </w:rPr>
        <w:t xml:space="preserve"> </w:t>
      </w:r>
      <w:r w:rsidRPr="006F54A4">
        <w:rPr>
          <w:rFonts w:ascii="Times New Roman" w:eastAsia="Helvetica Neue" w:hAnsi="Times New Roman" w:cs="Times New Roman"/>
          <w:color w:val="000000" w:themeColor="text1"/>
          <w:sz w:val="24"/>
          <w:szCs w:val="24"/>
        </w:rPr>
        <w:t>As of early August 2023, an online petition calling for the decriminalization of abortion in the Philippines has collected over 30,000 signatures.</w:t>
      </w:r>
      <w:r w:rsidR="002C41A7" w:rsidRPr="003B1A78">
        <w:rPr>
          <w:rFonts w:ascii="Times New Roman" w:eastAsia="Helvetica Neue" w:hAnsi="Times New Roman" w:cs="Times New Roman"/>
          <w:color w:val="000000" w:themeColor="text1"/>
          <w:sz w:val="24"/>
          <w:szCs w:val="24"/>
          <w:vertAlign w:val="superscript"/>
        </w:rPr>
        <w:endnoteReference w:id="41"/>
      </w:r>
      <w:r w:rsidR="4B2A4066" w:rsidRPr="006F54A4">
        <w:rPr>
          <w:rFonts w:ascii="Times New Roman" w:eastAsia="Helvetica Neue" w:hAnsi="Times New Roman" w:cs="Times New Roman"/>
          <w:color w:val="000000" w:themeColor="text1"/>
          <w:sz w:val="24"/>
          <w:szCs w:val="24"/>
          <w:vertAlign w:val="superscript"/>
        </w:rPr>
        <w:t xml:space="preserve"> </w:t>
      </w:r>
      <w:r w:rsidR="002C41A7">
        <w:br/>
      </w:r>
      <w:r w:rsidRPr="006F54A4">
        <w:rPr>
          <w:rFonts w:ascii="Times New Roman" w:eastAsia="Helvetica Neue" w:hAnsi="Times New Roman" w:cs="Times New Roman"/>
          <w:color w:val="000000" w:themeColor="text1"/>
          <w:sz w:val="24"/>
          <w:szCs w:val="24"/>
          <w:highlight w:val="white"/>
        </w:rPr>
        <w:t xml:space="preserve">We also highlighted that the state party noted to the Committee in 2018 that </w:t>
      </w:r>
      <w:r w:rsidRPr="006F54A4">
        <w:rPr>
          <w:rFonts w:ascii="Times New Roman" w:eastAsia="Helvetica Neue" w:hAnsi="Times New Roman" w:cs="Times New Roman"/>
          <w:color w:val="000000" w:themeColor="text1"/>
          <w:sz w:val="24"/>
          <w:szCs w:val="24"/>
        </w:rPr>
        <w:t>“discussions on decriminalizing abortion under certain circumstances are on-going” however there is little to no information available on their status and how the state party ensures that these discussions are inclusive and participatory, among others.</w:t>
      </w:r>
      <w:r w:rsidR="002C41A7" w:rsidRPr="003B1A78">
        <w:rPr>
          <w:rFonts w:ascii="Times New Roman" w:eastAsia="Helvetica Neue" w:hAnsi="Times New Roman" w:cs="Times New Roman"/>
          <w:color w:val="000000" w:themeColor="text1"/>
          <w:sz w:val="24"/>
          <w:szCs w:val="24"/>
          <w:vertAlign w:val="superscript"/>
        </w:rPr>
        <w:endnoteReference w:id="42"/>
      </w:r>
      <w:r w:rsidRPr="006F54A4">
        <w:rPr>
          <w:rFonts w:ascii="Times New Roman" w:eastAsia="Helvetica Neue" w:hAnsi="Times New Roman" w:cs="Times New Roman"/>
          <w:color w:val="000000" w:themeColor="text1"/>
          <w:sz w:val="24"/>
          <w:szCs w:val="24"/>
          <w:vertAlign w:val="superscript"/>
        </w:rPr>
        <w:t xml:space="preserve"> </w:t>
      </w:r>
      <w:r w:rsidRPr="006F54A4">
        <w:rPr>
          <w:rFonts w:ascii="Times New Roman" w:eastAsia="Helvetica Neue" w:hAnsi="Times New Roman" w:cs="Times New Roman"/>
          <w:color w:val="000000" w:themeColor="text1"/>
          <w:sz w:val="24"/>
          <w:szCs w:val="24"/>
        </w:rPr>
        <w:t>The state party did not provide any new information on this in its Replies to the LOIs</w:t>
      </w:r>
      <w:r w:rsidR="49AEB93A" w:rsidRPr="006F54A4">
        <w:rPr>
          <w:rFonts w:ascii="Times New Roman" w:eastAsia="Helvetica Neue" w:hAnsi="Times New Roman" w:cs="Times New Roman"/>
          <w:color w:val="000000" w:themeColor="text1"/>
          <w:sz w:val="24"/>
          <w:szCs w:val="24"/>
        </w:rPr>
        <w:t xml:space="preserve"> to the Committee</w:t>
      </w:r>
      <w:r w:rsidRPr="006F54A4">
        <w:rPr>
          <w:rFonts w:ascii="Times New Roman" w:eastAsia="Helvetica Neue" w:hAnsi="Times New Roman" w:cs="Times New Roman"/>
          <w:color w:val="000000" w:themeColor="text1"/>
          <w:sz w:val="24"/>
          <w:szCs w:val="24"/>
        </w:rPr>
        <w:t>.</w:t>
      </w:r>
      <w:r w:rsidR="0A2FACAC" w:rsidRPr="006F54A4">
        <w:rPr>
          <w:rFonts w:ascii="Times New Roman" w:eastAsia="Helvetica Neue" w:hAnsi="Times New Roman" w:cs="Times New Roman"/>
          <w:color w:val="000000" w:themeColor="text1"/>
          <w:sz w:val="24"/>
          <w:szCs w:val="24"/>
        </w:rPr>
        <w:t xml:space="preserve"> </w:t>
      </w:r>
      <w:r w:rsidR="0A2FACAC" w:rsidRPr="006F54A4">
        <w:rPr>
          <w:rFonts w:ascii="Times New Roman" w:hAnsi="Times New Roman" w:cs="Times New Roman"/>
          <w:sz w:val="24"/>
          <w:szCs w:val="24"/>
          <w:lang w:val="en-US" w:eastAsia="en-US"/>
          <w14:ligatures w14:val="standardContextual"/>
        </w:rPr>
        <w:t>However, i</w:t>
      </w:r>
      <w:r w:rsidRPr="006F54A4">
        <w:rPr>
          <w:rFonts w:ascii="Times New Roman" w:hAnsi="Times New Roman" w:cs="Times New Roman"/>
          <w:sz w:val="24"/>
          <w:szCs w:val="24"/>
          <w:lang w:val="en-US" w:eastAsia="en-US"/>
          <w14:ligatures w14:val="standardContextual"/>
        </w:rPr>
        <w:t>n its 2022 report to the Human Rights Committee, the state party noted a Supreme Court ruling permitting abortion when necessary to save the pregnant person’s life.</w:t>
      </w:r>
      <w:r w:rsidR="002C41A7" w:rsidRPr="46BFF266">
        <w:rPr>
          <w:rStyle w:val="EndnoteReference"/>
          <w:rFonts w:ascii="Times New Roman" w:hAnsi="Times New Roman" w:cs="Times New Roman"/>
          <w:sz w:val="24"/>
          <w:szCs w:val="24"/>
          <w:lang w:val="en-US" w:eastAsia="en-US"/>
          <w14:ligatures w14:val="standardContextual"/>
        </w:rPr>
        <w:endnoteReference w:id="43"/>
      </w:r>
      <w:r w:rsidRPr="006F54A4">
        <w:rPr>
          <w:rFonts w:ascii="Times New Roman" w:hAnsi="Times New Roman" w:cs="Times New Roman"/>
          <w:sz w:val="24"/>
          <w:szCs w:val="24"/>
          <w:lang w:val="en-US" w:eastAsia="en-US"/>
          <w14:ligatures w14:val="standardContextual"/>
        </w:rPr>
        <w:t xml:space="preserve"> The state party asserted no reported prosecutions for abortion yet data from the Bureau of Jail Management and Penology revealed </w:t>
      </w:r>
      <w:r w:rsidR="7DC68841" w:rsidRPr="006F54A4">
        <w:rPr>
          <w:rFonts w:ascii="Times New Roman" w:hAnsi="Times New Roman" w:cs="Times New Roman"/>
          <w:sz w:val="24"/>
          <w:szCs w:val="24"/>
          <w:lang w:val="en-US" w:eastAsia="en-US"/>
          <w14:ligatures w14:val="standardContextual"/>
        </w:rPr>
        <w:t xml:space="preserve">at least </w:t>
      </w:r>
      <w:r w:rsidRPr="006F54A4">
        <w:rPr>
          <w:rFonts w:ascii="Times New Roman" w:hAnsi="Times New Roman" w:cs="Times New Roman"/>
          <w:sz w:val="24"/>
          <w:szCs w:val="24"/>
          <w:lang w:val="en-US" w:eastAsia="en-US"/>
          <w14:ligatures w14:val="standardContextual"/>
        </w:rPr>
        <w:t>22 cases of abortion-related charges between January 2015-May 2022. In 2019, one person was detained under Article 259 for physician/midwife-assisted abortion, and from Jan-May 2022, at least one was detained under Article 258 for self/parent-assisted abortion.</w:t>
      </w:r>
      <w:r w:rsidR="002C41A7" w:rsidRPr="003B1A78">
        <w:rPr>
          <w:rStyle w:val="EndnoteReference"/>
          <w:rFonts w:ascii="Times New Roman" w:hAnsi="Times New Roman" w:cs="Times New Roman"/>
          <w:sz w:val="24"/>
          <w:szCs w:val="24"/>
        </w:rPr>
        <w:endnoteReference w:id="44"/>
      </w:r>
    </w:p>
    <w:p w14:paraId="4F754248" w14:textId="2B0E1B6A" w:rsidR="002C41A7" w:rsidRPr="00CB3AAF" w:rsidRDefault="17A22470" w:rsidP="0028327C">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28327C">
        <w:rPr>
          <w:rFonts w:ascii="Times New Roman" w:hAnsi="Times New Roman" w:cs="Times New Roman"/>
          <w:sz w:val="24"/>
          <w:szCs w:val="24"/>
          <w:lang w:val="en-US" w:eastAsia="en-US"/>
          <w14:ligatures w14:val="standardContextual"/>
        </w:rPr>
        <w:t>The World Health Organization (WHO) recommends not only decriminalizing abortion but also allowing individuals to self-manage abortion using medication abortion, particularly within the first 12 weeks of pregnancy, recognizing its safety and effectiveness in promoting reproductive freedom</w:t>
      </w:r>
      <w:r w:rsidR="00CB3AAF">
        <w:rPr>
          <w:rFonts w:ascii="Times New Roman" w:hAnsi="Times New Roman" w:cs="Times New Roman"/>
          <w:sz w:val="24"/>
          <w:szCs w:val="24"/>
          <w:lang w:val="en-US" w:eastAsia="en-US"/>
          <w14:ligatures w14:val="standardContextual"/>
        </w:rPr>
        <w:t>.</w:t>
      </w:r>
      <w:r w:rsidR="00E80A33">
        <w:rPr>
          <w:rStyle w:val="EndnoteReference"/>
          <w:rFonts w:ascii="Times New Roman" w:hAnsi="Times New Roman" w:cs="Times New Roman"/>
          <w:sz w:val="24"/>
          <w:szCs w:val="24"/>
          <w:lang w:val="en-US" w:eastAsia="en-US"/>
          <w14:ligatures w14:val="standardContextual"/>
        </w:rPr>
        <w:endnoteReference w:id="45"/>
      </w:r>
      <w:r w:rsidRPr="0028327C">
        <w:rPr>
          <w:rFonts w:ascii="Times New Roman" w:hAnsi="Times New Roman" w:cs="Times New Roman"/>
          <w:sz w:val="24"/>
          <w:szCs w:val="24"/>
          <w:lang w:val="en-US" w:eastAsia="en-US"/>
          <w14:ligatures w14:val="standardContextual"/>
        </w:rPr>
        <w:t xml:space="preserve"> Further, it says that third-party authorization is among the various factors that impede access to safe and respectful abortion services, contributing to the disproportionately high rates of unsafe abortions in countries with highly restrictive abortion laws.</w:t>
      </w:r>
      <w:r w:rsidRPr="0028327C">
        <w:rPr>
          <w:rFonts w:ascii="Times New Roman" w:hAnsi="Times New Roman" w:cs="Times New Roman"/>
          <w:sz w:val="26"/>
          <w:szCs w:val="26"/>
          <w:lang w:val="en-US" w:eastAsia="en-US"/>
          <w14:ligatures w14:val="standardContextual"/>
        </w:rPr>
        <w:t xml:space="preserve"> </w:t>
      </w:r>
      <w:r w:rsidR="002C41A7" w:rsidRPr="003B1A78">
        <w:rPr>
          <w:rStyle w:val="EndnoteReference"/>
          <w:rFonts w:ascii="Times New Roman" w:hAnsi="Times New Roman" w:cs="Times New Roman"/>
          <w:sz w:val="24"/>
          <w:szCs w:val="24"/>
        </w:rPr>
        <w:endnoteReference w:id="46"/>
      </w:r>
      <w:r w:rsidRPr="0028327C">
        <w:rPr>
          <w:rFonts w:ascii="Times New Roman" w:hAnsi="Times New Roman" w:cs="Times New Roman"/>
          <w:sz w:val="24"/>
          <w:szCs w:val="24"/>
          <w:lang w:val="en-US" w:eastAsia="en-US"/>
          <w14:ligatures w14:val="standardContextual"/>
        </w:rPr>
        <w:t xml:space="preserve"> </w:t>
      </w:r>
      <w:r w:rsidR="69B13766" w:rsidRPr="00CB3AAF">
        <w:rPr>
          <w:rFonts w:ascii="Times New Roman" w:eastAsia="Times New Roman" w:hAnsi="Times New Roman" w:cs="Times New Roman"/>
          <w:color w:val="000000" w:themeColor="text1"/>
          <w:sz w:val="24"/>
          <w:szCs w:val="24"/>
          <w:lang w:val="en-US"/>
        </w:rPr>
        <w:t>Similarly, h</w:t>
      </w:r>
      <w:r w:rsidR="69B13766" w:rsidRPr="00CB3AAF">
        <w:rPr>
          <w:rFonts w:ascii="Times New Roman" w:eastAsia="Times New Roman" w:hAnsi="Times New Roman" w:cs="Times New Roman"/>
          <w:sz w:val="24"/>
          <w:szCs w:val="24"/>
          <w:lang w:val="en-US"/>
        </w:rPr>
        <w:t xml:space="preserve">uman rights bodies in recent years have been articulating </w:t>
      </w:r>
      <w:r w:rsidR="00773DCA" w:rsidRPr="00CB3AAF">
        <w:rPr>
          <w:rFonts w:ascii="Times New Roman" w:eastAsia="Times New Roman" w:hAnsi="Times New Roman" w:cs="Times New Roman"/>
          <w:sz w:val="24"/>
          <w:szCs w:val="24"/>
          <w:lang w:val="en-US"/>
        </w:rPr>
        <w:t>s</w:t>
      </w:r>
      <w:r w:rsidR="69B13766" w:rsidRPr="00CB3AAF">
        <w:rPr>
          <w:rFonts w:ascii="Times New Roman" w:eastAsia="Times New Roman" w:hAnsi="Times New Roman" w:cs="Times New Roman"/>
          <w:sz w:val="24"/>
          <w:szCs w:val="24"/>
          <w:lang w:val="en-US"/>
        </w:rPr>
        <w:t xml:space="preserve">tate obligations to ensure access to abortion without references to the minimum requirements of grounds-based laws or by noting how regulations of abortion should not force persons to undergo unsafe abortions, consistent with WHO’s </w:t>
      </w:r>
      <w:r w:rsidR="2A454B39" w:rsidRPr="00CB3AAF">
        <w:rPr>
          <w:rFonts w:ascii="Times New Roman" w:eastAsia="Times New Roman" w:hAnsi="Times New Roman" w:cs="Times New Roman"/>
          <w:sz w:val="24"/>
          <w:szCs w:val="24"/>
          <w:lang w:val="en-US"/>
        </w:rPr>
        <w:t>recommendations and public evid</w:t>
      </w:r>
      <w:r w:rsidR="0028327C" w:rsidRPr="00CB3AAF">
        <w:rPr>
          <w:rFonts w:ascii="Times New Roman" w:eastAsia="Times New Roman" w:hAnsi="Times New Roman" w:cs="Times New Roman"/>
          <w:sz w:val="24"/>
          <w:szCs w:val="24"/>
          <w:lang w:val="en-US"/>
        </w:rPr>
        <w:t>e</w:t>
      </w:r>
      <w:r w:rsidR="2A454B39" w:rsidRPr="00CB3AAF">
        <w:rPr>
          <w:rFonts w:ascii="Times New Roman" w:eastAsia="Times New Roman" w:hAnsi="Times New Roman" w:cs="Times New Roman"/>
          <w:sz w:val="24"/>
          <w:szCs w:val="24"/>
          <w:lang w:val="en-US"/>
        </w:rPr>
        <w:t>nce</w:t>
      </w:r>
      <w:r w:rsidR="0028327C" w:rsidRPr="00CB3AAF">
        <w:rPr>
          <w:rFonts w:ascii="Times New Roman" w:eastAsia="Times New Roman" w:hAnsi="Times New Roman" w:cs="Times New Roman"/>
          <w:sz w:val="24"/>
          <w:szCs w:val="24"/>
          <w:lang w:val="en-US"/>
        </w:rPr>
        <w:t xml:space="preserve">. </w:t>
      </w:r>
      <w:r w:rsidR="69B13766" w:rsidRPr="00CB3AAF">
        <w:rPr>
          <w:rFonts w:ascii="Times New Roman" w:eastAsia="Times New Roman" w:hAnsi="Times New Roman" w:cs="Times New Roman"/>
          <w:sz w:val="24"/>
          <w:szCs w:val="24"/>
          <w:lang w:val="en-US"/>
        </w:rPr>
        <w:t>In particular, in its General Comment No. 36 on the right to life, the Human Rights Committee, while articulating the minimum exceptions-based framework that States have an obligation to meet, also articulated the obligation that</w:t>
      </w:r>
      <w:r w:rsidR="0028327C" w:rsidRPr="00CB3AAF">
        <w:rPr>
          <w:rFonts w:ascii="Times New Roman" w:eastAsia="Times New Roman" w:hAnsi="Times New Roman" w:cs="Times New Roman"/>
          <w:sz w:val="24"/>
          <w:szCs w:val="24"/>
          <w:lang w:val="en-US"/>
        </w:rPr>
        <w:t>,</w:t>
      </w:r>
      <w:r w:rsidR="69B13766" w:rsidRPr="00CB3AAF">
        <w:rPr>
          <w:rFonts w:ascii="Times New Roman" w:eastAsia="Times New Roman" w:hAnsi="Times New Roman" w:cs="Times New Roman"/>
          <w:sz w:val="24"/>
          <w:szCs w:val="24"/>
          <w:lang w:val="en-US"/>
        </w:rPr>
        <w:t xml:space="preserve"> “</w:t>
      </w:r>
      <w:r w:rsidR="0028327C" w:rsidRPr="00CB3AAF">
        <w:rPr>
          <w:rFonts w:ascii="Times New Roman" w:eastAsia="Times New Roman" w:hAnsi="Times New Roman" w:cs="Times New Roman"/>
          <w:sz w:val="24"/>
          <w:szCs w:val="24"/>
          <w:lang w:val="en-US"/>
        </w:rPr>
        <w:t>s</w:t>
      </w:r>
      <w:r w:rsidR="69B13766" w:rsidRPr="00CB3AAF">
        <w:rPr>
          <w:rFonts w:ascii="Times New Roman" w:eastAsia="Times New Roman" w:hAnsi="Times New Roman" w:cs="Times New Roman"/>
          <w:sz w:val="24"/>
          <w:szCs w:val="24"/>
          <w:lang w:val="en-US"/>
        </w:rPr>
        <w:t>tates parties may not regulate pregnancy or abortion in all other cases in a manner that runs contrary to their duty to ensure that women and girls do not have to undertake unsafe abortions.”</w:t>
      </w:r>
      <w:r w:rsidR="002C41A7" w:rsidRPr="00CB3AAF">
        <w:rPr>
          <w:rStyle w:val="EndnoteReference"/>
          <w:rFonts w:ascii="Times New Roman" w:eastAsia="Times New Roman" w:hAnsi="Times New Roman" w:cs="Times New Roman"/>
          <w:sz w:val="24"/>
          <w:szCs w:val="24"/>
          <w:lang w:val="en-US"/>
        </w:rPr>
        <w:endnoteReference w:id="47"/>
      </w:r>
      <w:hyperlink r:id="rId18" w:anchor="_edn2" w:history="1"/>
    </w:p>
    <w:p w14:paraId="1C81931C" w14:textId="117FD353" w:rsidR="002C41A7" w:rsidRPr="003B1A78" w:rsidRDefault="17A22470"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46BFF266">
        <w:rPr>
          <w:rFonts w:ascii="Times New Roman" w:hAnsi="Times New Roman" w:cs="Times New Roman"/>
          <w:sz w:val="24"/>
          <w:szCs w:val="24"/>
          <w:lang w:val="en-US" w:eastAsia="en-US"/>
          <w14:ligatures w14:val="standardContextual"/>
        </w:rPr>
        <w:t>In the Philippines, abortion restrictions persist without explicit exceptions for high-risk pregnancies, or those resulting from rape or incest. Despite these restrictions, the Philippines faces a severe abortion crisis, with an estimated 1.1 million induced abortions occurring annually, a number that surged by 14.6% in 2020. This crisis leads to the deaths of 1,000 Filipino women each year due to post-abortion complications.</w:t>
      </w:r>
      <w:r w:rsidR="002C41A7" w:rsidRPr="003B1A78">
        <w:rPr>
          <w:rStyle w:val="EndnoteReference"/>
          <w:rFonts w:ascii="Times New Roman" w:hAnsi="Times New Roman" w:cs="Times New Roman"/>
          <w:sz w:val="24"/>
          <w:szCs w:val="24"/>
        </w:rPr>
        <w:endnoteReference w:id="48"/>
      </w:r>
      <w:r w:rsidRPr="003B1A78">
        <w:rPr>
          <w:rFonts w:ascii="Times New Roman" w:eastAsia="Helvetica Neue" w:hAnsi="Times New Roman" w:cs="Times New Roman"/>
          <w:color w:val="000000" w:themeColor="text1"/>
          <w:sz w:val="24"/>
          <w:szCs w:val="24"/>
        </w:rPr>
        <w:t xml:space="preserve"> The 2022 NDHS fails to include any significant statistic on abortion and only referred to how 1% of pregnancies ending in the 3 years preceding the survey resulted in induced abortions.</w:t>
      </w:r>
      <w:r w:rsidR="002C41A7" w:rsidRPr="003B1A78">
        <w:rPr>
          <w:rFonts w:ascii="Times New Roman" w:eastAsia="Helvetica Neue" w:hAnsi="Times New Roman" w:cs="Times New Roman"/>
          <w:color w:val="000000" w:themeColor="text1"/>
          <w:sz w:val="24"/>
          <w:szCs w:val="24"/>
          <w:vertAlign w:val="superscript"/>
        </w:rPr>
        <w:endnoteReference w:id="49"/>
      </w:r>
    </w:p>
    <w:p w14:paraId="31F54E4C" w14:textId="77777777" w:rsidR="002C41A7" w:rsidRPr="003B1A78" w:rsidRDefault="17A22470"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lastRenderedPageBreak/>
        <w:t>During his election campaign, President Marcos Jr. expressed support for allowing abortion in "very severe cases."</w:t>
      </w:r>
      <w:r w:rsidR="002C41A7" w:rsidRPr="003B1A78">
        <w:rPr>
          <w:rFonts w:ascii="Times New Roman" w:eastAsia="Helvetica Neue" w:hAnsi="Times New Roman" w:cs="Times New Roman"/>
          <w:color w:val="000000" w:themeColor="text1"/>
          <w:sz w:val="24"/>
          <w:szCs w:val="24"/>
          <w:vertAlign w:val="superscript"/>
        </w:rPr>
        <w:endnoteReference w:id="50"/>
      </w:r>
      <w:r w:rsidRPr="003B1A78">
        <w:rPr>
          <w:rFonts w:ascii="Times New Roman" w:eastAsia="Helvetica Neue" w:hAnsi="Times New Roman" w:cs="Times New Roman"/>
          <w:color w:val="000000" w:themeColor="text1"/>
          <w:sz w:val="24"/>
          <w:szCs w:val="24"/>
        </w:rPr>
        <w:t xml:space="preserve"> Since assuming office, he has not taken any step to ensure abortion access on any grounds. Meanwhile, the Philippine Commission on Human Rights (PCHR), for the first time, expressly supported the decriminalization of abortion in the Philippines, marking a historic moment for abortion advocacy in the country. The PCHR made the recommendation in November 2022 as part of its Priority Human Rights Legislative Agenda for the 19th Congress of the Philippines.</w:t>
      </w:r>
      <w:r w:rsidR="002C41A7" w:rsidRPr="003B1A78">
        <w:rPr>
          <w:rFonts w:ascii="Times New Roman" w:eastAsia="Helvetica Neue" w:hAnsi="Times New Roman" w:cs="Times New Roman"/>
          <w:color w:val="000000" w:themeColor="text1"/>
          <w:sz w:val="24"/>
          <w:szCs w:val="24"/>
          <w:vertAlign w:val="superscript"/>
        </w:rPr>
        <w:endnoteReference w:id="51"/>
      </w:r>
      <w:r w:rsidRPr="003B1A78">
        <w:rPr>
          <w:rFonts w:ascii="Times New Roman" w:eastAsia="Helvetica Neue" w:hAnsi="Times New Roman" w:cs="Times New Roman"/>
          <w:color w:val="000000" w:themeColor="text1"/>
          <w:sz w:val="24"/>
          <w:szCs w:val="24"/>
          <w:vertAlign w:val="superscript"/>
        </w:rPr>
        <w:t xml:space="preserve"> </w:t>
      </w:r>
    </w:p>
    <w:p w14:paraId="2AC98B22" w14:textId="5C238C9F" w:rsidR="002C41A7" w:rsidRPr="003B1A78" w:rsidRDefault="17A22470" w:rsidP="5823F2D0">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 xml:space="preserve">As recognized by different treaty bodies including the Committee in its previous recommendations, the state </w:t>
      </w:r>
      <w:r w:rsidRPr="46BFF266">
        <w:rPr>
          <w:rFonts w:ascii="Times New Roman" w:hAnsi="Times New Roman" w:cs="Times New Roman"/>
          <w:sz w:val="24"/>
          <w:szCs w:val="24"/>
          <w:lang w:val="en-US" w:eastAsia="en-US"/>
          <w14:ligatures w14:val="standardContextual"/>
        </w:rPr>
        <w:t>party must amend its legislation to ensure safe and legal access to abortion in cases of pregnancies endangering the woman's life or health and subject them to substantial pain or suffering such as pregnancies resulting from rape, incest, or non-viable pregnancies.</w:t>
      </w:r>
      <w:r w:rsidR="00CB3AAF" w:rsidRPr="003B1A78">
        <w:rPr>
          <w:rFonts w:ascii="Times New Roman" w:eastAsia="Helvetica Neue" w:hAnsi="Times New Roman" w:cs="Times New Roman"/>
          <w:color w:val="000000" w:themeColor="text1"/>
          <w:sz w:val="24"/>
          <w:szCs w:val="24"/>
          <w:vertAlign w:val="superscript"/>
        </w:rPr>
        <w:endnoteReference w:id="52"/>
      </w:r>
      <w:r w:rsidRPr="46BFF266">
        <w:rPr>
          <w:rFonts w:ascii="Times New Roman" w:hAnsi="Times New Roman" w:cs="Times New Roman"/>
          <w:sz w:val="24"/>
          <w:szCs w:val="24"/>
          <w:lang w:val="en-US" w:eastAsia="en-US"/>
          <w14:ligatures w14:val="standardContextual"/>
        </w:rPr>
        <w:t xml:space="preserve"> Additionally, the state party should remove criminal penalties for abortion, ensure access to post-abortion care and provide quality and evidence-based sexual and reproductive health information and education.</w:t>
      </w:r>
      <w:r w:rsidRPr="003B1A78">
        <w:rPr>
          <w:rStyle w:val="Heading1Char"/>
          <w:rFonts w:ascii="Times New Roman" w:hAnsi="Times New Roman" w:cs="Times New Roman"/>
          <w:sz w:val="24"/>
          <w:szCs w:val="24"/>
        </w:rPr>
        <w:t xml:space="preserve"> </w:t>
      </w:r>
      <w:r w:rsidR="002C41A7" w:rsidRPr="003B1A78">
        <w:rPr>
          <w:rStyle w:val="EndnoteReference"/>
          <w:rFonts w:ascii="Times New Roman" w:hAnsi="Times New Roman" w:cs="Times New Roman"/>
          <w:sz w:val="24"/>
          <w:szCs w:val="24"/>
        </w:rPr>
        <w:endnoteReference w:id="53"/>
      </w:r>
      <w:r w:rsidRPr="46BFF266">
        <w:rPr>
          <w:rFonts w:ascii="Times New Roman" w:hAnsi="Times New Roman" w:cs="Times New Roman"/>
          <w:sz w:val="24"/>
          <w:szCs w:val="24"/>
          <w:lang w:val="en-US" w:eastAsia="en-US"/>
          <w14:ligatures w14:val="standardContextual"/>
        </w:rPr>
        <w:t xml:space="preserve"> The Committee on the Rights of the Child </w:t>
      </w:r>
      <w:r w:rsidR="62B3F601">
        <w:rPr>
          <w:rFonts w:ascii="Times New Roman" w:hAnsi="Times New Roman" w:cs="Times New Roman"/>
          <w:sz w:val="24"/>
          <w:szCs w:val="24"/>
          <w:lang w:val="en-US" w:eastAsia="en-US"/>
          <w14:ligatures w14:val="standardContextual"/>
        </w:rPr>
        <w:t xml:space="preserve">(CRC Committee) </w:t>
      </w:r>
      <w:r w:rsidRPr="46BFF266">
        <w:rPr>
          <w:rFonts w:ascii="Times New Roman" w:hAnsi="Times New Roman" w:cs="Times New Roman"/>
          <w:sz w:val="24"/>
          <w:szCs w:val="24"/>
          <w:lang w:val="en-US" w:eastAsia="en-US"/>
          <w14:ligatures w14:val="standardContextual"/>
        </w:rPr>
        <w:t>has recently recommended to the state party to legalize abortion and ensure access to safe abortion and post-abortion care services for adolescent girls, making sure that their views are always heard and given due consideration as a part of the decision-making process, and develop and implement a policy to protect the rights of pregnant teenagers.</w:t>
      </w:r>
      <w:r w:rsidRPr="003B1A78">
        <w:rPr>
          <w:rStyle w:val="EndnoteReference"/>
          <w:rFonts w:ascii="Times New Roman" w:hAnsi="Times New Roman" w:cs="Times New Roman"/>
          <w:sz w:val="24"/>
          <w:szCs w:val="24"/>
        </w:rPr>
        <w:t xml:space="preserve"> </w:t>
      </w:r>
      <w:r w:rsidR="002C41A7" w:rsidRPr="003B1A78">
        <w:rPr>
          <w:rStyle w:val="EndnoteReference"/>
          <w:rFonts w:ascii="Times New Roman" w:hAnsi="Times New Roman" w:cs="Times New Roman"/>
          <w:sz w:val="24"/>
          <w:szCs w:val="24"/>
        </w:rPr>
        <w:endnoteReference w:id="54"/>
      </w:r>
    </w:p>
    <w:p w14:paraId="10EB62CF" w14:textId="4ADEC7F7" w:rsidR="002C41A7" w:rsidRPr="003B1A78" w:rsidRDefault="002C41A7" w:rsidP="002C41A7">
      <w:pPr>
        <w:pStyle w:val="Bullet1G"/>
        <w:numPr>
          <w:ilvl w:val="0"/>
          <w:numId w:val="0"/>
        </w:numPr>
        <w:pBdr>
          <w:bottom w:val="single" w:sz="6" w:space="1" w:color="auto"/>
        </w:pBdr>
        <w:spacing w:beforeLines="30" w:before="72" w:afterLines="30" w:after="72"/>
        <w:rPr>
          <w:sz w:val="24"/>
          <w:szCs w:val="24"/>
        </w:rPr>
      </w:pPr>
    </w:p>
    <w:p w14:paraId="78A3F153" w14:textId="77777777" w:rsidR="006F630C" w:rsidRDefault="006F630C" w:rsidP="002C41A7">
      <w:pPr>
        <w:spacing w:beforeLines="30" w:before="72" w:afterLines="30" w:after="72"/>
        <w:ind w:left="0" w:firstLine="0"/>
        <w:jc w:val="left"/>
        <w:rPr>
          <w:rFonts w:ascii="Times New Roman" w:eastAsia="Helvetica Neue" w:hAnsi="Times New Roman" w:cs="Times New Roman"/>
          <w:color w:val="000000" w:themeColor="text1"/>
          <w:sz w:val="24"/>
          <w:szCs w:val="24"/>
        </w:rPr>
      </w:pPr>
    </w:p>
    <w:p w14:paraId="239D0438" w14:textId="77777777" w:rsidR="006F630C" w:rsidRPr="003611CE" w:rsidRDefault="006F630C" w:rsidP="006F630C">
      <w:pPr>
        <w:ind w:left="360"/>
        <w:rPr>
          <w:rFonts w:ascii="Times New Roman" w:hAnsi="Times New Roman" w:cs="Times New Roman"/>
          <w:b/>
          <w:bCs/>
          <w:sz w:val="24"/>
          <w:szCs w:val="24"/>
        </w:rPr>
      </w:pPr>
      <w:r w:rsidRPr="003611CE">
        <w:rPr>
          <w:rFonts w:ascii="Times New Roman" w:hAnsi="Times New Roman" w:cs="Times New Roman"/>
          <w:b/>
          <w:bCs/>
          <w:sz w:val="24"/>
          <w:szCs w:val="24"/>
        </w:rPr>
        <w:t>We propose that the Committee urge the state party to:</w:t>
      </w:r>
    </w:p>
    <w:p w14:paraId="59B7B088" w14:textId="77777777" w:rsidR="006F630C" w:rsidRPr="003611CE" w:rsidRDefault="006F630C" w:rsidP="006F630C">
      <w:pPr>
        <w:ind w:left="360"/>
        <w:rPr>
          <w:b/>
          <w:bCs/>
        </w:rPr>
      </w:pPr>
    </w:p>
    <w:p w14:paraId="76FC4997" w14:textId="77777777" w:rsidR="006F630C" w:rsidRPr="003611CE" w:rsidRDefault="006F630C" w:rsidP="006F630C">
      <w:pPr>
        <w:pStyle w:val="Bullet1G"/>
        <w:numPr>
          <w:ilvl w:val="0"/>
          <w:numId w:val="10"/>
        </w:numPr>
        <w:ind w:left="567" w:right="573"/>
        <w:rPr>
          <w:b/>
          <w:bCs/>
          <w:sz w:val="24"/>
          <w:szCs w:val="24"/>
        </w:rPr>
      </w:pPr>
      <w:r w:rsidRPr="003611CE">
        <w:rPr>
          <w:b/>
          <w:bCs/>
          <w:sz w:val="24"/>
          <w:szCs w:val="24"/>
        </w:rPr>
        <w:t>Ensure access to quality comprehensive abortion care in accordance with international human rights norms and standards and the WHO Abortion Care Guideline including by:</w:t>
      </w:r>
    </w:p>
    <w:p w14:paraId="47A00D2E" w14:textId="77777777" w:rsidR="006F630C" w:rsidRPr="003611CE" w:rsidRDefault="006F630C" w:rsidP="006F630C">
      <w:pPr>
        <w:pStyle w:val="Bullet1G"/>
        <w:numPr>
          <w:ilvl w:val="0"/>
          <w:numId w:val="10"/>
        </w:numPr>
        <w:ind w:left="567" w:right="573"/>
        <w:rPr>
          <w:b/>
          <w:bCs/>
          <w:sz w:val="24"/>
          <w:szCs w:val="24"/>
        </w:rPr>
      </w:pPr>
      <w:r w:rsidRPr="003611CE">
        <w:rPr>
          <w:b/>
          <w:bCs/>
          <w:sz w:val="24"/>
          <w:szCs w:val="24"/>
        </w:rPr>
        <w:t xml:space="preserve">Repealing Articles 256-259 of the Revised Penal Code to fully decriminalize abortion and not impose restrictions on abortion by grounds or gestational age limits, </w:t>
      </w:r>
    </w:p>
    <w:p w14:paraId="62268A21" w14:textId="77777777" w:rsidR="006F630C" w:rsidRPr="003611CE" w:rsidRDefault="006F630C" w:rsidP="006F630C">
      <w:pPr>
        <w:pStyle w:val="Bullet1G"/>
        <w:numPr>
          <w:ilvl w:val="0"/>
          <w:numId w:val="10"/>
        </w:numPr>
        <w:ind w:left="567" w:right="573"/>
        <w:rPr>
          <w:b/>
          <w:bCs/>
          <w:sz w:val="24"/>
          <w:szCs w:val="24"/>
        </w:rPr>
      </w:pPr>
      <w:r w:rsidRPr="003611CE">
        <w:rPr>
          <w:b/>
          <w:bCs/>
          <w:sz w:val="24"/>
          <w:szCs w:val="24"/>
        </w:rPr>
        <w:t xml:space="preserve">Making abortion available on the request of the woman and other pregnant persons without the authorization of any other individual, body, or institution, </w:t>
      </w:r>
    </w:p>
    <w:p w14:paraId="7B8E0DD2" w14:textId="06C985F2" w:rsidR="006F630C" w:rsidRPr="003611CE" w:rsidRDefault="006F630C" w:rsidP="006F630C">
      <w:pPr>
        <w:pStyle w:val="Bullet1G"/>
        <w:numPr>
          <w:ilvl w:val="0"/>
          <w:numId w:val="10"/>
        </w:numPr>
        <w:ind w:left="567" w:right="573"/>
        <w:rPr>
          <w:b/>
          <w:bCs/>
          <w:sz w:val="24"/>
          <w:szCs w:val="24"/>
        </w:rPr>
      </w:pPr>
      <w:r w:rsidRPr="003611CE">
        <w:rPr>
          <w:b/>
          <w:bCs/>
          <w:sz w:val="24"/>
          <w:szCs w:val="24"/>
        </w:rPr>
        <w:t xml:space="preserve">Adopting regulations to ensure effective and timely access to comprehensive abortion care </w:t>
      </w:r>
      <w:r w:rsidR="00BE0ADC" w:rsidRPr="003611CE">
        <w:rPr>
          <w:b/>
          <w:bCs/>
          <w:sz w:val="24"/>
          <w:szCs w:val="24"/>
        </w:rPr>
        <w:t>considering</w:t>
      </w:r>
      <w:r w:rsidRPr="003611CE">
        <w:rPr>
          <w:b/>
          <w:bCs/>
          <w:sz w:val="24"/>
          <w:szCs w:val="24"/>
        </w:rPr>
        <w:t xml:space="preserve"> the specific health needs and issues faced by adolescents, women and girls living in rural areas, those living with a disability and with HIV/AIDS, and of gender-diverse persons,</w:t>
      </w:r>
    </w:p>
    <w:p w14:paraId="13B51878" w14:textId="77777777" w:rsidR="006F630C" w:rsidRPr="003611CE" w:rsidRDefault="006F630C" w:rsidP="006F630C">
      <w:pPr>
        <w:pStyle w:val="Bullet1G"/>
        <w:numPr>
          <w:ilvl w:val="0"/>
          <w:numId w:val="10"/>
        </w:numPr>
        <w:ind w:left="567" w:right="573"/>
        <w:rPr>
          <w:b/>
          <w:bCs/>
          <w:sz w:val="24"/>
          <w:szCs w:val="24"/>
        </w:rPr>
      </w:pPr>
      <w:r w:rsidRPr="003611CE">
        <w:rPr>
          <w:b/>
          <w:bCs/>
          <w:sz w:val="24"/>
          <w:szCs w:val="24"/>
        </w:rPr>
        <w:t>Removing arbitrary restrictions on who can provide and manage abortion and allowing self-management of abortion and access to medical abortion,</w:t>
      </w:r>
    </w:p>
    <w:p w14:paraId="25786BB8" w14:textId="77777777" w:rsidR="006F630C" w:rsidRPr="003611CE" w:rsidRDefault="006F630C" w:rsidP="006F630C">
      <w:pPr>
        <w:pStyle w:val="Bullet1G"/>
        <w:numPr>
          <w:ilvl w:val="0"/>
          <w:numId w:val="10"/>
        </w:numPr>
        <w:ind w:left="567" w:right="573"/>
        <w:rPr>
          <w:b/>
          <w:bCs/>
          <w:sz w:val="24"/>
          <w:szCs w:val="24"/>
        </w:rPr>
      </w:pPr>
      <w:r w:rsidRPr="003611CE">
        <w:rPr>
          <w:b/>
          <w:bCs/>
          <w:sz w:val="24"/>
          <w:szCs w:val="24"/>
        </w:rPr>
        <w:t>Reviewing the Department of Health (DoH) Administrative Order No. 2018-003 titled “National Policy on the Prevention of Illegal and Unsafe Abortion and Management of Post-Abortion Complications” to ensure that it does not further stigmatize those seeking and providing abortions, guarantee provider-patient confidentiality, and define accountability mechanisms in cases of failure to access quality, confidential, and humane post-abortion care,</w:t>
      </w:r>
    </w:p>
    <w:p w14:paraId="17C92732" w14:textId="77777777" w:rsidR="006F630C" w:rsidRPr="003611CE" w:rsidRDefault="006F630C" w:rsidP="006F630C">
      <w:pPr>
        <w:pStyle w:val="Bullet1G"/>
        <w:numPr>
          <w:ilvl w:val="0"/>
          <w:numId w:val="10"/>
        </w:numPr>
        <w:ind w:left="567" w:right="573"/>
        <w:rPr>
          <w:b/>
          <w:bCs/>
          <w:sz w:val="24"/>
          <w:szCs w:val="24"/>
        </w:rPr>
      </w:pPr>
      <w:r w:rsidRPr="003611CE">
        <w:rPr>
          <w:b/>
          <w:bCs/>
          <w:sz w:val="24"/>
          <w:szCs w:val="24"/>
        </w:rPr>
        <w:lastRenderedPageBreak/>
        <w:t>Providing systematic training in all government offices particularly law enforcement authorities, judges, prosecutors, and lawyers, and healthcare professionals in all public hospitals, clinics, and health centers, and conduct public awareness-raising campaigns to address the stigmatization and social exclusion of those seeking abortion and those supporting them.</w:t>
      </w:r>
    </w:p>
    <w:p w14:paraId="66746A62" w14:textId="77777777" w:rsidR="006F630C" w:rsidRDefault="006F630C" w:rsidP="002C41A7">
      <w:pPr>
        <w:pBdr>
          <w:bottom w:val="single" w:sz="6" w:space="1" w:color="auto"/>
        </w:pBdr>
        <w:spacing w:beforeLines="30" w:before="72" w:afterLines="30" w:after="72"/>
        <w:ind w:left="0" w:firstLine="0"/>
        <w:jc w:val="left"/>
        <w:rPr>
          <w:rFonts w:ascii="Times New Roman" w:eastAsia="Helvetica Neue" w:hAnsi="Times New Roman" w:cs="Times New Roman"/>
          <w:color w:val="000000" w:themeColor="text1"/>
          <w:sz w:val="24"/>
          <w:szCs w:val="24"/>
        </w:rPr>
      </w:pPr>
    </w:p>
    <w:p w14:paraId="25012E57" w14:textId="77777777" w:rsidR="002C41A7" w:rsidRPr="003B1A78" w:rsidRDefault="002C41A7" w:rsidP="002C41A7">
      <w:pPr>
        <w:pStyle w:val="Bullet1G"/>
        <w:numPr>
          <w:ilvl w:val="0"/>
          <w:numId w:val="0"/>
        </w:numPr>
        <w:spacing w:beforeLines="30" w:before="72" w:afterLines="30" w:after="72"/>
        <w:rPr>
          <w:rFonts w:eastAsia="Helvetica Neue"/>
          <w:color w:val="000000" w:themeColor="text1"/>
          <w:sz w:val="24"/>
          <w:szCs w:val="24"/>
        </w:rPr>
      </w:pPr>
    </w:p>
    <w:p w14:paraId="395B92A0"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b/>
          <w:color w:val="0070C0"/>
          <w:sz w:val="24"/>
          <w:szCs w:val="24"/>
        </w:rPr>
      </w:pPr>
      <w:r w:rsidRPr="003B1A78">
        <w:rPr>
          <w:rFonts w:ascii="Times New Roman" w:eastAsia="Helvetica Neue" w:hAnsi="Times New Roman" w:cs="Times New Roman"/>
          <w:b/>
          <w:color w:val="0070C0"/>
          <w:sz w:val="24"/>
          <w:szCs w:val="24"/>
        </w:rPr>
        <w:t xml:space="preserve">V. Access to Modern Contraceptives including Emergency Contraceptives </w:t>
      </w:r>
      <w:r w:rsidRPr="003B1A78">
        <w:rPr>
          <w:rFonts w:ascii="Times New Roman" w:eastAsia="Helvetica Neue" w:hAnsi="Times New Roman" w:cs="Times New Roman"/>
          <w:bCs/>
          <w:i/>
          <w:iCs/>
          <w:color w:val="0070C0"/>
          <w:sz w:val="24"/>
          <w:szCs w:val="24"/>
        </w:rPr>
        <w:t>(Articles 2, 12, 14, 16)</w:t>
      </w:r>
      <w:r w:rsidRPr="003B1A78" w:rsidDel="00827233">
        <w:rPr>
          <w:rFonts w:ascii="Times New Roman" w:eastAsia="Helvetica Neue" w:hAnsi="Times New Roman" w:cs="Times New Roman"/>
          <w:b/>
          <w:color w:val="0070C0"/>
          <w:sz w:val="24"/>
          <w:szCs w:val="24"/>
        </w:rPr>
        <w:t xml:space="preserve"> </w:t>
      </w:r>
    </w:p>
    <w:p w14:paraId="0914E7DC"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b/>
          <w:bCs/>
          <w:color w:val="000000" w:themeColor="text1"/>
          <w:sz w:val="24"/>
          <w:szCs w:val="24"/>
        </w:rPr>
      </w:pPr>
    </w:p>
    <w:p w14:paraId="020F8D56" w14:textId="77777777" w:rsidR="002C41A7" w:rsidRPr="003B1A78" w:rsidRDefault="17A22470" w:rsidP="002C41A7">
      <w:pPr>
        <w:pBdr>
          <w:top w:val="nil"/>
          <w:left w:val="nil"/>
          <w:bottom w:val="nil"/>
          <w:right w:val="nil"/>
          <w:between w:val="nil"/>
        </w:pBdr>
        <w:tabs>
          <w:tab w:val="left" w:pos="1701"/>
          <w:tab w:val="left" w:pos="2268"/>
          <w:tab w:val="left" w:pos="2835"/>
          <w:tab w:val="left" w:pos="6804"/>
        </w:tabs>
        <w:spacing w:beforeLines="30" w:before="72" w:afterLines="30" w:after="72"/>
        <w:ind w:left="1134" w:right="2556" w:hanging="54"/>
        <w:rPr>
          <w:rFonts w:ascii="Times New Roman" w:eastAsia="Helvetica Neue" w:hAnsi="Times New Roman" w:cs="Times New Roman"/>
          <w:color w:val="000000" w:themeColor="text1"/>
          <w:sz w:val="24"/>
          <w:szCs w:val="24"/>
          <w:vertAlign w:val="superscript"/>
        </w:rPr>
      </w:pPr>
      <w:r w:rsidRPr="003B1A78">
        <w:rPr>
          <w:rFonts w:ascii="Times New Roman" w:eastAsia="Helvetica Neue" w:hAnsi="Times New Roman" w:cs="Times New Roman"/>
          <w:i/>
          <w:color w:val="000000" w:themeColor="text1"/>
          <w:sz w:val="24"/>
          <w:szCs w:val="24"/>
        </w:rPr>
        <w:t xml:space="preserve">Please provide information on measures taken to…raise awareness about modern forms of contraception and ensure widespread access to safe and affordable contraception for women and adolescent girls, </w:t>
      </w:r>
      <w:proofErr w:type="gramStart"/>
      <w:r w:rsidRPr="003B1A78">
        <w:rPr>
          <w:rFonts w:ascii="Times New Roman" w:eastAsia="Helvetica Neue" w:hAnsi="Times New Roman" w:cs="Times New Roman"/>
          <w:i/>
          <w:color w:val="000000" w:themeColor="text1"/>
          <w:sz w:val="24"/>
          <w:szCs w:val="24"/>
        </w:rPr>
        <w:t>in particular in</w:t>
      </w:r>
      <w:proofErr w:type="gramEnd"/>
      <w:r w:rsidRPr="003B1A78">
        <w:rPr>
          <w:rFonts w:ascii="Times New Roman" w:eastAsia="Helvetica Neue" w:hAnsi="Times New Roman" w:cs="Times New Roman"/>
          <w:i/>
          <w:color w:val="000000" w:themeColor="text1"/>
          <w:sz w:val="24"/>
          <w:szCs w:val="24"/>
        </w:rPr>
        <w:t xml:space="preserve"> rural and remote areas and among aboriginal communities;</w:t>
      </w:r>
      <w:r w:rsidRPr="003B1A78">
        <w:rPr>
          <w:rFonts w:ascii="Times New Roman" w:eastAsia="Helvetica Neue" w:hAnsi="Times New Roman" w:cs="Times New Roman"/>
          <w:color w:val="000000" w:themeColor="text1"/>
          <w:sz w:val="24"/>
          <w:szCs w:val="24"/>
        </w:rPr>
        <w:t xml:space="preserve"> </w:t>
      </w:r>
      <w:r w:rsidR="002C41A7" w:rsidRPr="003B1A78">
        <w:rPr>
          <w:rFonts w:ascii="Times New Roman" w:eastAsia="Helvetica Neue" w:hAnsi="Times New Roman" w:cs="Times New Roman"/>
          <w:color w:val="000000" w:themeColor="text1"/>
          <w:sz w:val="24"/>
          <w:szCs w:val="24"/>
          <w:vertAlign w:val="superscript"/>
        </w:rPr>
        <w:endnoteReference w:id="55"/>
      </w:r>
    </w:p>
    <w:p w14:paraId="29ADC860"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p>
    <w:p w14:paraId="0AECE432" w14:textId="77777777" w:rsidR="002C41A7" w:rsidRPr="003B1A78" w:rsidRDefault="17A22470"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1B0E4A98">
        <w:rPr>
          <w:rFonts w:ascii="Times New Roman" w:eastAsia="Helvetica Neue" w:hAnsi="Times New Roman" w:cs="Times New Roman"/>
          <w:color w:val="000000" w:themeColor="text1"/>
          <w:sz w:val="24"/>
          <w:szCs w:val="24"/>
        </w:rPr>
        <w:t xml:space="preserve">In our 2022 NGO report, we discussed the impact of the COVID-19 pandemic on access to contraceptive information and service including for minors. We also highlighted the persistent barriers such as the imposition of medically unnecessary requirements i.e., parental and/or spousal consent prior to access, and allowing institutions to exercise refusals of care based on religious beliefs. We further noted the impact on early childbearing and childbirth particularly among 10 to 14 years old due to lack of access to contraceptives and comprehensive sexuality education. </w:t>
      </w:r>
    </w:p>
    <w:p w14:paraId="3CFB0A10" w14:textId="4EA70E73" w:rsidR="002C41A7" w:rsidRPr="003B1A78" w:rsidRDefault="17A22470" w:rsidP="0D74C69F">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hAnsi="Times New Roman" w:cs="Times New Roman"/>
          <w:sz w:val="24"/>
          <w:szCs w:val="24"/>
        </w:rPr>
        <w:t>The state party acknowledged in its response to the follow-up to the 2016 COs of the Committee that the “</w:t>
      </w:r>
      <w:r w:rsidRPr="003B1A78">
        <w:rPr>
          <w:rFonts w:ascii="Times New Roman" w:eastAsia="TimesNewRomanPSMT" w:hAnsi="Times New Roman" w:cs="Times New Roman"/>
          <w:sz w:val="24"/>
          <w:szCs w:val="24"/>
          <w:lang w:val="en-PH" w:eastAsia="zh-TW"/>
        </w:rPr>
        <w:t>review of the RPRH Law…points to a legal barrier which requires a minor, specifically adolescents who have already begun childbearing, to secure parental consent to access sexual and reproductive health (SRH) services.”</w:t>
      </w:r>
      <w:r w:rsidR="00EE2AB1">
        <w:rPr>
          <w:rFonts w:ascii="Times New Roman" w:eastAsia="TimesNewRomanPSMT" w:hAnsi="Times New Roman" w:cs="Times New Roman"/>
          <w:sz w:val="24"/>
          <w:szCs w:val="24"/>
          <w:lang w:val="en-PH" w:eastAsia="zh-TW"/>
        </w:rPr>
        <w:t xml:space="preserve"> </w:t>
      </w:r>
      <w:r w:rsidR="002C41A7" w:rsidRPr="003B1A78">
        <w:rPr>
          <w:rStyle w:val="EndnoteReference"/>
          <w:rFonts w:ascii="Times New Roman" w:eastAsia="TimesNewRomanPSMT" w:hAnsi="Times New Roman" w:cs="Times New Roman"/>
          <w:sz w:val="24"/>
          <w:szCs w:val="24"/>
          <w:lang w:val="en-PH"/>
        </w:rPr>
        <w:endnoteReference w:id="56"/>
      </w:r>
      <w:r w:rsidRPr="003B1A78">
        <w:rPr>
          <w:rFonts w:ascii="Times New Roman" w:eastAsia="TimesNewRomanPSMT" w:hAnsi="Times New Roman" w:cs="Times New Roman"/>
          <w:sz w:val="24"/>
          <w:szCs w:val="24"/>
          <w:vertAlign w:val="superscript"/>
          <w:lang w:val="en-PH" w:eastAsia="zh-TW"/>
        </w:rPr>
        <w:t xml:space="preserve"> </w:t>
      </w:r>
      <w:r w:rsidRPr="003B1A78">
        <w:rPr>
          <w:rFonts w:ascii="Times New Roman" w:eastAsia="TimesNewRomanPSMT" w:hAnsi="Times New Roman" w:cs="Times New Roman"/>
          <w:sz w:val="24"/>
          <w:szCs w:val="24"/>
          <w:lang w:val="en-PH" w:eastAsia="zh-TW"/>
        </w:rPr>
        <w:t>Despite this recognition, the state party failed to recognize the autonomy and evolving capacities of adolescents and repeal the third-party consent requirements.</w:t>
      </w:r>
      <w:r w:rsidR="00BB5CB7" w:rsidRPr="00CB3AAF">
        <w:rPr>
          <w:rStyle w:val="EndnoteReference"/>
          <w:rFonts w:ascii="Times New Roman" w:eastAsia="TimesNewRomanPSMT" w:hAnsi="Times New Roman" w:cs="Times New Roman"/>
          <w:sz w:val="24"/>
          <w:szCs w:val="24"/>
          <w:lang w:val="en-PH" w:eastAsia="zh-TW"/>
        </w:rPr>
        <w:endnoteReference w:id="57"/>
      </w:r>
      <w:r w:rsidR="00CB3AAF" w:rsidRPr="00CB3AAF">
        <w:rPr>
          <w:rFonts w:ascii="Times New Roman" w:eastAsia="TimesNewRomanPSMT" w:hAnsi="Times New Roman" w:cs="Times New Roman"/>
          <w:sz w:val="24"/>
          <w:szCs w:val="24"/>
          <w:lang w:val="en-PH" w:eastAsia="zh-TW"/>
        </w:rPr>
        <w:t xml:space="preserve"> </w:t>
      </w:r>
      <w:r w:rsidR="00CB3AAF" w:rsidRPr="00CB3AAF">
        <w:rPr>
          <w:rFonts w:ascii="Times New Roman" w:hAnsi="Times New Roman" w:cs="Times New Roman"/>
          <w:sz w:val="24"/>
          <w:szCs w:val="24"/>
        </w:rPr>
        <w:t>States have an obligation to ensure that girls can make autonomous and informed decisions on their reproductive health.</w:t>
      </w:r>
      <w:r w:rsidR="00CB3AAF" w:rsidRPr="00CB3AAF">
        <w:rPr>
          <w:rStyle w:val="EndnoteReference"/>
          <w:rFonts w:ascii="Times New Roman" w:hAnsi="Times New Roman" w:cs="Times New Roman"/>
          <w:sz w:val="24"/>
          <w:szCs w:val="24"/>
        </w:rPr>
        <w:endnoteReference w:id="58"/>
      </w:r>
    </w:p>
    <w:p w14:paraId="05BDCEA0" w14:textId="77777777" w:rsidR="002C41A7" w:rsidRPr="003B1A78" w:rsidRDefault="17A22470"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1B0E4A98">
        <w:rPr>
          <w:rFonts w:ascii="Times New Roman" w:eastAsia="Helvetica Neue" w:hAnsi="Times New Roman" w:cs="Times New Roman"/>
          <w:color w:val="000000" w:themeColor="text1"/>
          <w:sz w:val="24"/>
          <w:szCs w:val="24"/>
        </w:rPr>
        <w:t xml:space="preserve">The state party also failed to provide more information on its regulation of the practice of conscientious objection both in its state party report and in its Replies to the LOIs. Thus, it remains unclear whether timely, systematic mechanisms for referrals to an alternative health care provider are now available. </w:t>
      </w:r>
    </w:p>
    <w:p w14:paraId="5DAC7630" w14:textId="2B69AD94" w:rsidR="002C41A7" w:rsidRPr="003B1A78" w:rsidRDefault="75F736E0"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Pr>
          <w:rFonts w:ascii="Times New Roman" w:eastAsia="Helvetica Neue" w:hAnsi="Times New Roman" w:cs="Times New Roman"/>
          <w:color w:val="000000" w:themeColor="text1"/>
          <w:sz w:val="24"/>
          <w:szCs w:val="24"/>
        </w:rPr>
        <w:t>As mentioned above, i</w:t>
      </w:r>
      <w:r w:rsidR="17A22470" w:rsidRPr="003B1A78">
        <w:rPr>
          <w:rFonts w:ascii="Times New Roman" w:eastAsia="Helvetica Neue" w:hAnsi="Times New Roman" w:cs="Times New Roman"/>
          <w:color w:val="000000" w:themeColor="text1"/>
          <w:sz w:val="24"/>
          <w:szCs w:val="24"/>
        </w:rPr>
        <w:t xml:space="preserve">nformation was also not provided by the state party on steps to ensure access to emergency contraceptives. </w:t>
      </w:r>
      <w:r w:rsidR="17A22470" w:rsidRPr="46BFF266">
        <w:rPr>
          <w:rFonts w:ascii="Times New Roman" w:hAnsi="Times New Roman" w:cs="Times New Roman"/>
          <w:sz w:val="24"/>
          <w:szCs w:val="24"/>
          <w:lang w:val="en-US" w:eastAsia="en-US"/>
          <w14:ligatures w14:val="standardContextual"/>
        </w:rPr>
        <w:t>Although its use is recommended under the 2014 DoH Manual, building skills and knowledge on emergency contraceptives are not included under the existing Family Planning Competency-Based Training: Basic Course Handbook for Service Providers by the DoH.</w:t>
      </w:r>
      <w:r w:rsidR="002C41A7" w:rsidRPr="003B1A78">
        <w:rPr>
          <w:rStyle w:val="EndnoteReference"/>
          <w:rFonts w:ascii="Times New Roman" w:hAnsi="Times New Roman" w:cs="Times New Roman"/>
          <w:sz w:val="24"/>
          <w:szCs w:val="24"/>
        </w:rPr>
        <w:endnoteReference w:id="59"/>
      </w:r>
      <w:r w:rsidR="17A22470" w:rsidRPr="46BFF266">
        <w:rPr>
          <w:rFonts w:ascii="Times New Roman" w:hAnsi="Times New Roman" w:cs="Times New Roman"/>
          <w:sz w:val="24"/>
          <w:szCs w:val="24"/>
          <w:lang w:val="en-US" w:eastAsia="en-US"/>
          <w14:ligatures w14:val="standardContextual"/>
        </w:rPr>
        <w:t xml:space="preserve"> </w:t>
      </w:r>
      <w:r w:rsidR="17A22470" w:rsidRPr="003B1A78">
        <w:rPr>
          <w:rFonts w:ascii="Times New Roman" w:eastAsia="Helvetica Neue" w:hAnsi="Times New Roman" w:cs="Times New Roman"/>
          <w:color w:val="000000" w:themeColor="text1"/>
          <w:sz w:val="24"/>
          <w:szCs w:val="24"/>
        </w:rPr>
        <w:t xml:space="preserve">The continuing lack of access to dedicated emergency contraceptives (EC) not only poses a threat to women’s and girls’ lives and well-being in general but also discriminates against thousands of women and girls in the country, including victims of sexual violence who are exposed to </w:t>
      </w:r>
      <w:r w:rsidR="17A22470" w:rsidRPr="003B1A78">
        <w:rPr>
          <w:rFonts w:ascii="Times New Roman" w:eastAsia="Helvetica Neue" w:hAnsi="Times New Roman" w:cs="Times New Roman"/>
          <w:color w:val="000000" w:themeColor="text1"/>
          <w:sz w:val="24"/>
          <w:szCs w:val="24"/>
        </w:rPr>
        <w:lastRenderedPageBreak/>
        <w:t>possible risks of serious traumatic stress and mental suffering from pregnancies resulting from rape. This is worrying particularly given the incidence of sexual violence in the Philippines; the number of rapes reported to the Philippine National Police (PNP) in 2019 was 2,341, an increase of 30.6% compared to 2018, although with the imposition of lockdowns and quarantine measures this decreased to 1,850 reports in 2020. The PNP records also show a significant 25% decrease in all types of VAW recorded cases, from 19,743 in 2019, to 14,835 in 2020. While a downward trend is reflected, these figures may be attributed, in part, to the difficulty that victims faced when trying to report such crimes, because of the restrictions imposed by quarantine, which limited not only their ability to travel, but for many, the ability to leave the home due to their proximity to the perpetrator.</w:t>
      </w:r>
    </w:p>
    <w:p w14:paraId="3C3EF3C4" w14:textId="77777777" w:rsidR="002C41A7" w:rsidRPr="003B1A78" w:rsidRDefault="17A22470"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Treaty monitoring bodies have paid particular attention to the issue of access to emergency contraception, which prevents pregnancy following unprotected sexual intercourse. Emergency contraception should be available without a prescription,</w:t>
      </w:r>
      <w:r w:rsidR="002C41A7" w:rsidRPr="003B1A78">
        <w:rPr>
          <w:rFonts w:ascii="Times New Roman" w:eastAsia="Helvetica Neue" w:hAnsi="Times New Roman" w:cs="Times New Roman"/>
          <w:color w:val="000000" w:themeColor="text1"/>
          <w:sz w:val="24"/>
          <w:szCs w:val="24"/>
          <w:vertAlign w:val="superscript"/>
        </w:rPr>
        <w:endnoteReference w:id="60"/>
      </w:r>
      <w:r w:rsidRPr="003B1A78">
        <w:rPr>
          <w:rFonts w:ascii="Times New Roman" w:eastAsia="Helvetica Neue" w:hAnsi="Times New Roman" w:cs="Times New Roman"/>
          <w:color w:val="000000" w:themeColor="text1"/>
          <w:sz w:val="24"/>
          <w:szCs w:val="24"/>
        </w:rPr>
        <w:t xml:space="preserve"> should be free for victims of violence, including adolescents,</w:t>
      </w:r>
      <w:r w:rsidR="002C41A7" w:rsidRPr="003B1A78">
        <w:rPr>
          <w:rFonts w:ascii="Times New Roman" w:eastAsia="Helvetica Neue" w:hAnsi="Times New Roman" w:cs="Times New Roman"/>
          <w:color w:val="000000" w:themeColor="text1"/>
          <w:sz w:val="24"/>
          <w:szCs w:val="24"/>
          <w:vertAlign w:val="superscript"/>
        </w:rPr>
        <w:endnoteReference w:id="61"/>
      </w:r>
      <w:r w:rsidRPr="003B1A78">
        <w:rPr>
          <w:rFonts w:ascii="Times New Roman" w:eastAsia="Helvetica Neue" w:hAnsi="Times New Roman" w:cs="Times New Roman"/>
          <w:color w:val="000000" w:themeColor="text1"/>
          <w:sz w:val="24"/>
          <w:szCs w:val="24"/>
        </w:rPr>
        <w:t xml:space="preserve"> and special measures should be taken to ensure that it is available to women in conflict and post-conflict zones.</w:t>
      </w:r>
      <w:r w:rsidR="002C41A7" w:rsidRPr="003B1A78">
        <w:rPr>
          <w:rFonts w:ascii="Times New Roman" w:eastAsia="Helvetica Neue" w:hAnsi="Times New Roman" w:cs="Times New Roman"/>
          <w:color w:val="000000" w:themeColor="text1"/>
          <w:sz w:val="24"/>
          <w:szCs w:val="24"/>
          <w:vertAlign w:val="superscript"/>
        </w:rPr>
        <w:endnoteReference w:id="62"/>
      </w:r>
      <w:r w:rsidRPr="003B1A78">
        <w:rPr>
          <w:rFonts w:ascii="Times New Roman" w:eastAsia="Helvetica Neue" w:hAnsi="Times New Roman" w:cs="Times New Roman"/>
          <w:color w:val="000000" w:themeColor="text1"/>
          <w:sz w:val="24"/>
          <w:szCs w:val="24"/>
        </w:rPr>
        <w:t xml:space="preserve"> Failure to ensure legal and accessible emergency contraception for women who are victims of rape or sexual abuse can result in physical and mental suffering that may amount to ill-treatment.</w:t>
      </w:r>
      <w:r w:rsidR="002C41A7" w:rsidRPr="003B1A78">
        <w:rPr>
          <w:rFonts w:ascii="Times New Roman" w:eastAsia="Helvetica Neue" w:hAnsi="Times New Roman" w:cs="Times New Roman"/>
          <w:color w:val="000000" w:themeColor="text1"/>
          <w:sz w:val="24"/>
          <w:szCs w:val="24"/>
          <w:vertAlign w:val="superscript"/>
        </w:rPr>
        <w:endnoteReference w:id="63"/>
      </w:r>
    </w:p>
    <w:p w14:paraId="561A885C" w14:textId="3B9C5D69" w:rsidR="002C41A7" w:rsidRPr="003B1A78" w:rsidRDefault="17A22470"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UN treaty bodies including th</w:t>
      </w:r>
      <w:r w:rsidR="43AAEB6F">
        <w:rPr>
          <w:rFonts w:ascii="Times New Roman" w:eastAsia="Helvetica Neue" w:hAnsi="Times New Roman" w:cs="Times New Roman"/>
          <w:color w:val="000000" w:themeColor="text1"/>
          <w:sz w:val="24"/>
          <w:szCs w:val="24"/>
        </w:rPr>
        <w:t>e</w:t>
      </w:r>
      <w:r w:rsidRPr="003B1A78">
        <w:rPr>
          <w:rFonts w:ascii="Times New Roman" w:eastAsia="Helvetica Neue" w:hAnsi="Times New Roman" w:cs="Times New Roman"/>
          <w:color w:val="000000" w:themeColor="text1"/>
          <w:sz w:val="24"/>
          <w:szCs w:val="24"/>
        </w:rPr>
        <w:t xml:space="preserve"> Committee urged the state party to ensure access to emergency contraceptives and provide education about their benefits including among adolescents.</w:t>
      </w:r>
      <w:r w:rsidR="002C41A7" w:rsidRPr="003B1A78">
        <w:rPr>
          <w:rFonts w:ascii="Times New Roman" w:eastAsia="Helvetica Neue" w:hAnsi="Times New Roman" w:cs="Times New Roman"/>
          <w:color w:val="000000" w:themeColor="text1"/>
          <w:sz w:val="24"/>
          <w:szCs w:val="24"/>
          <w:vertAlign w:val="superscript"/>
        </w:rPr>
        <w:endnoteReference w:id="64"/>
      </w:r>
      <w:r w:rsidRPr="003B1A78">
        <w:rPr>
          <w:rFonts w:ascii="Times New Roman" w:eastAsia="Helvetica Neue" w:hAnsi="Times New Roman" w:cs="Times New Roman"/>
          <w:color w:val="000000" w:themeColor="text1"/>
          <w:sz w:val="24"/>
          <w:szCs w:val="24"/>
          <w:vertAlign w:val="superscript"/>
        </w:rPr>
        <w:t xml:space="preserve"> </w:t>
      </w:r>
      <w:r w:rsidRPr="003B1A78">
        <w:rPr>
          <w:rFonts w:ascii="Times New Roman" w:eastAsia="Helvetica Neue" w:hAnsi="Times New Roman" w:cs="Times New Roman"/>
          <w:color w:val="000000" w:themeColor="text1"/>
          <w:sz w:val="24"/>
          <w:szCs w:val="24"/>
        </w:rPr>
        <w:t xml:space="preserve">The </w:t>
      </w:r>
      <w:r w:rsidR="62B3F601">
        <w:rPr>
          <w:rFonts w:ascii="Times New Roman" w:eastAsia="Helvetica Neue" w:hAnsi="Times New Roman" w:cs="Times New Roman"/>
          <w:color w:val="000000" w:themeColor="text1"/>
          <w:sz w:val="24"/>
          <w:szCs w:val="24"/>
        </w:rPr>
        <w:t>Committee on Economic, Social, and Cultural Rights (</w:t>
      </w:r>
      <w:r w:rsidRPr="003B1A78">
        <w:rPr>
          <w:rFonts w:ascii="Times New Roman" w:eastAsia="Helvetica Neue" w:hAnsi="Times New Roman" w:cs="Times New Roman"/>
          <w:color w:val="000000" w:themeColor="text1"/>
          <w:sz w:val="24"/>
          <w:szCs w:val="24"/>
        </w:rPr>
        <w:t>ESCR Committee</w:t>
      </w:r>
      <w:r w:rsidR="62B3F601">
        <w:rPr>
          <w:rFonts w:ascii="Times New Roman" w:eastAsia="Helvetica Neue" w:hAnsi="Times New Roman" w:cs="Times New Roman"/>
          <w:color w:val="000000" w:themeColor="text1"/>
          <w:sz w:val="24"/>
          <w:szCs w:val="24"/>
        </w:rPr>
        <w:t>)</w:t>
      </w:r>
      <w:r w:rsidRPr="003B1A78">
        <w:rPr>
          <w:rFonts w:ascii="Times New Roman" w:eastAsia="Helvetica Neue" w:hAnsi="Times New Roman" w:cs="Times New Roman"/>
          <w:color w:val="000000" w:themeColor="text1"/>
          <w:sz w:val="24"/>
          <w:szCs w:val="24"/>
        </w:rPr>
        <w:t xml:space="preserve"> noted that “banning or denying access in practice to sexual and reproductive health services and medicines, such as emergency contraception” is a violation of the obligation to respect the right to sexual and reproductive health (SRH).</w:t>
      </w:r>
      <w:r w:rsidR="002C41A7" w:rsidRPr="003B1A78">
        <w:rPr>
          <w:rFonts w:ascii="Times New Roman" w:eastAsia="Helvetica Neue" w:hAnsi="Times New Roman" w:cs="Times New Roman"/>
          <w:color w:val="000000" w:themeColor="text1"/>
          <w:sz w:val="24"/>
          <w:szCs w:val="24"/>
          <w:vertAlign w:val="superscript"/>
        </w:rPr>
        <w:endnoteReference w:id="65"/>
      </w:r>
      <w:r w:rsidRPr="003B1A78">
        <w:rPr>
          <w:rFonts w:ascii="Times New Roman" w:eastAsia="Helvetica Neue" w:hAnsi="Times New Roman" w:cs="Times New Roman"/>
          <w:color w:val="000000" w:themeColor="text1"/>
          <w:sz w:val="24"/>
          <w:szCs w:val="24"/>
        </w:rPr>
        <w:t xml:space="preserve"> In its 2016 COs, the Committee recommended that the state party fully implement, without delay, all the recommendations issued by the Committee in 2015 in the report on its inquiry which included the legalization and decriminalization of abortion and the provision of access to emergency contraceptives. </w:t>
      </w:r>
      <w:r w:rsidR="002C41A7" w:rsidRPr="003B1A78">
        <w:rPr>
          <w:rFonts w:ascii="Times New Roman" w:eastAsia="Helvetica Neue" w:hAnsi="Times New Roman" w:cs="Times New Roman"/>
          <w:color w:val="000000" w:themeColor="text1"/>
          <w:sz w:val="24"/>
          <w:szCs w:val="24"/>
          <w:vertAlign w:val="superscript"/>
        </w:rPr>
        <w:endnoteReference w:id="66"/>
      </w:r>
    </w:p>
    <w:p w14:paraId="52EE0950" w14:textId="49B38285" w:rsidR="002C41A7" w:rsidRPr="003B1A78" w:rsidRDefault="17A22470"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Calibri" w:hAnsi="Times New Roman" w:cs="Times New Roman"/>
          <w:color w:val="000000" w:themeColor="text1"/>
          <w:sz w:val="24"/>
          <w:szCs w:val="24"/>
          <w:lang w:val="en-US" w:eastAsia="en-US"/>
        </w:rPr>
        <w:t>On adolescents’ access to contraceptives, several bills have been introduced to address adolescent pregnancies, such as Senate Bill No. (SBN) 1979 or the Prevention of Adolescent Pregnancy Act of 2023.</w:t>
      </w:r>
      <w:r w:rsidR="002C41A7" w:rsidRPr="003B1A78">
        <w:rPr>
          <w:rStyle w:val="EndnoteReference"/>
          <w:rFonts w:ascii="Times New Roman" w:eastAsia="Calibri" w:hAnsi="Times New Roman" w:cs="Times New Roman"/>
          <w:color w:val="000000" w:themeColor="text1"/>
          <w:sz w:val="24"/>
          <w:szCs w:val="24"/>
          <w:lang w:val="en-US" w:eastAsia="en-US"/>
        </w:rPr>
        <w:endnoteReference w:id="67"/>
      </w:r>
      <w:r w:rsidRPr="003B1A78">
        <w:rPr>
          <w:rFonts w:ascii="Times New Roman" w:eastAsia="Calibri" w:hAnsi="Times New Roman" w:cs="Times New Roman"/>
          <w:color w:val="000000" w:themeColor="text1"/>
          <w:sz w:val="24"/>
          <w:szCs w:val="24"/>
          <w:lang w:val="en-US" w:eastAsia="en-US"/>
        </w:rPr>
        <w:t xml:space="preserve"> This bill substituted 3 other senate bills (SBN 372, 651, 1209) and Senate Resolution No. 42. </w:t>
      </w:r>
      <w:r w:rsidR="1B6C6D53">
        <w:rPr>
          <w:rFonts w:ascii="Times New Roman" w:eastAsia="Calibri" w:hAnsi="Times New Roman" w:cs="Times New Roman"/>
          <w:color w:val="000000" w:themeColor="text1"/>
          <w:sz w:val="24"/>
          <w:szCs w:val="24"/>
          <w:lang w:val="en-US" w:eastAsia="en-US"/>
        </w:rPr>
        <w:t>SBN 1979</w:t>
      </w:r>
      <w:r w:rsidRPr="003B1A78">
        <w:rPr>
          <w:rFonts w:ascii="Times New Roman" w:eastAsia="Calibri" w:hAnsi="Times New Roman" w:cs="Times New Roman"/>
          <w:color w:val="000000" w:themeColor="text1"/>
          <w:sz w:val="24"/>
          <w:szCs w:val="24"/>
          <w:lang w:val="en-US" w:eastAsia="en-US"/>
        </w:rPr>
        <w:t xml:space="preserve"> is pending second reading by special order dated March 8, 2023.</w:t>
      </w:r>
      <w:r w:rsidRPr="003B1A78">
        <w:rPr>
          <w:rFonts w:ascii="Times New Roman" w:eastAsia="Helvetica Neue" w:hAnsi="Times New Roman" w:cs="Times New Roman"/>
          <w:color w:val="000000" w:themeColor="text1"/>
          <w:sz w:val="24"/>
          <w:szCs w:val="24"/>
        </w:rPr>
        <w:t>There have also been bills filed before the House of Representatives such as</w:t>
      </w:r>
      <w:r w:rsidRPr="003B1A78">
        <w:rPr>
          <w:rFonts w:ascii="Times New Roman" w:eastAsia="Calibri" w:hAnsi="Times New Roman" w:cs="Times New Roman"/>
          <w:color w:val="000000" w:themeColor="text1"/>
          <w:sz w:val="24"/>
          <w:szCs w:val="24"/>
          <w:lang w:val="en-US" w:eastAsia="en-US"/>
        </w:rPr>
        <w:t xml:space="preserve"> House Bill </w:t>
      </w:r>
      <w:r w:rsidR="11A7FEB8">
        <w:rPr>
          <w:rFonts w:ascii="Times New Roman" w:eastAsia="Calibri" w:hAnsi="Times New Roman" w:cs="Times New Roman"/>
          <w:color w:val="000000" w:themeColor="text1"/>
          <w:sz w:val="24"/>
          <w:szCs w:val="24"/>
          <w:lang w:val="en-US" w:eastAsia="en-US"/>
        </w:rPr>
        <w:t xml:space="preserve">No. (HBN) </w:t>
      </w:r>
      <w:r w:rsidRPr="003B1A78">
        <w:rPr>
          <w:rFonts w:ascii="Times New Roman" w:eastAsia="Calibri" w:hAnsi="Times New Roman" w:cs="Times New Roman"/>
          <w:color w:val="000000" w:themeColor="text1"/>
          <w:sz w:val="24"/>
          <w:szCs w:val="24"/>
          <w:lang w:val="en-US" w:eastAsia="en-US"/>
        </w:rPr>
        <w:t>7276, known as the Adolescent Pregnancy Prevention Act</w:t>
      </w:r>
      <w:r w:rsidR="11A7FEB8">
        <w:rPr>
          <w:rFonts w:ascii="Times New Roman" w:eastAsia="Calibri" w:hAnsi="Times New Roman" w:cs="Times New Roman"/>
          <w:color w:val="000000" w:themeColor="text1"/>
          <w:sz w:val="24"/>
          <w:szCs w:val="24"/>
          <w:lang w:val="en-US" w:eastAsia="en-US"/>
        </w:rPr>
        <w:t>,</w:t>
      </w:r>
      <w:r w:rsidRPr="003B1A78">
        <w:rPr>
          <w:rFonts w:ascii="Times New Roman" w:eastAsia="Calibri" w:hAnsi="Times New Roman" w:cs="Times New Roman"/>
          <w:color w:val="000000" w:themeColor="text1"/>
          <w:sz w:val="24"/>
          <w:szCs w:val="24"/>
          <w:lang w:val="en-US" w:eastAsia="en-US"/>
        </w:rPr>
        <w:t xml:space="preserve"> which proposes the establishment of an Inter-Agency Council for adolescent-friendly sexual and reproductive health programs</w:t>
      </w:r>
      <w:r w:rsidR="11A7FEB8">
        <w:rPr>
          <w:rFonts w:ascii="Times New Roman" w:eastAsia="Calibri" w:hAnsi="Times New Roman" w:cs="Times New Roman"/>
          <w:color w:val="000000" w:themeColor="text1"/>
          <w:sz w:val="24"/>
          <w:szCs w:val="24"/>
          <w:lang w:val="en-US" w:eastAsia="en-US"/>
        </w:rPr>
        <w:t>,</w:t>
      </w:r>
      <w:r w:rsidRPr="003B1A78">
        <w:rPr>
          <w:rFonts w:ascii="Times New Roman" w:eastAsia="Calibri" w:hAnsi="Times New Roman" w:cs="Times New Roman"/>
          <w:color w:val="000000" w:themeColor="text1"/>
          <w:sz w:val="24"/>
          <w:szCs w:val="24"/>
          <w:lang w:val="en-US" w:eastAsia="en-US"/>
        </w:rPr>
        <w:t xml:space="preserve"> and </w:t>
      </w:r>
      <w:r w:rsidR="11A7FEB8">
        <w:rPr>
          <w:rFonts w:ascii="Times New Roman" w:eastAsia="Calibri" w:hAnsi="Times New Roman" w:cs="Times New Roman"/>
          <w:color w:val="000000" w:themeColor="text1"/>
          <w:sz w:val="24"/>
          <w:szCs w:val="24"/>
          <w:lang w:val="en-US" w:eastAsia="en-US"/>
        </w:rPr>
        <w:t>HBN</w:t>
      </w:r>
      <w:r w:rsidRPr="003B1A78">
        <w:rPr>
          <w:rFonts w:ascii="Times New Roman" w:eastAsia="Calibri" w:hAnsi="Times New Roman" w:cs="Times New Roman"/>
          <w:color w:val="000000" w:themeColor="text1"/>
          <w:sz w:val="24"/>
          <w:szCs w:val="24"/>
          <w:lang w:val="en-US" w:eastAsia="en-US"/>
        </w:rPr>
        <w:t xml:space="preserve"> 79</w:t>
      </w:r>
      <w:r w:rsidR="0E7CB376">
        <w:rPr>
          <w:rFonts w:ascii="Times New Roman" w:eastAsia="Calibri" w:hAnsi="Times New Roman" w:cs="Times New Roman"/>
          <w:color w:val="000000" w:themeColor="text1"/>
          <w:sz w:val="24"/>
          <w:szCs w:val="24"/>
          <w:lang w:val="en-US" w:eastAsia="en-US"/>
        </w:rPr>
        <w:t xml:space="preserve"> with a similar title as HB</w:t>
      </w:r>
      <w:r w:rsidR="11A7FEB8">
        <w:rPr>
          <w:rFonts w:ascii="Times New Roman" w:eastAsia="Calibri" w:hAnsi="Times New Roman" w:cs="Times New Roman"/>
          <w:color w:val="000000" w:themeColor="text1"/>
          <w:sz w:val="24"/>
          <w:szCs w:val="24"/>
          <w:lang w:val="en-US" w:eastAsia="en-US"/>
        </w:rPr>
        <w:t>N</w:t>
      </w:r>
      <w:r w:rsidR="0E7CB376">
        <w:rPr>
          <w:rFonts w:ascii="Times New Roman" w:eastAsia="Calibri" w:hAnsi="Times New Roman" w:cs="Times New Roman"/>
          <w:color w:val="000000" w:themeColor="text1"/>
          <w:sz w:val="24"/>
          <w:szCs w:val="24"/>
          <w:lang w:val="en-US" w:eastAsia="en-US"/>
        </w:rPr>
        <w:t xml:space="preserve"> 7276</w:t>
      </w:r>
      <w:r w:rsidR="13B15CA4">
        <w:rPr>
          <w:rFonts w:ascii="Times New Roman" w:eastAsia="Calibri" w:hAnsi="Times New Roman" w:cs="Times New Roman"/>
          <w:color w:val="000000" w:themeColor="text1"/>
          <w:sz w:val="24"/>
          <w:szCs w:val="24"/>
          <w:lang w:val="en-US" w:eastAsia="en-US"/>
        </w:rPr>
        <w:t xml:space="preserve"> </w:t>
      </w:r>
      <w:r w:rsidR="69331104">
        <w:rPr>
          <w:rFonts w:ascii="Times New Roman" w:eastAsia="Calibri" w:hAnsi="Times New Roman" w:cs="Times New Roman"/>
          <w:color w:val="000000" w:themeColor="text1"/>
          <w:sz w:val="24"/>
          <w:szCs w:val="24"/>
          <w:lang w:val="en-US" w:eastAsia="en-US"/>
        </w:rPr>
        <w:t>which</w:t>
      </w:r>
      <w:r w:rsidRPr="003B1A78">
        <w:rPr>
          <w:rFonts w:ascii="Times New Roman" w:eastAsia="Calibri" w:hAnsi="Times New Roman" w:cs="Times New Roman"/>
          <w:color w:val="000000" w:themeColor="text1"/>
          <w:sz w:val="24"/>
          <w:szCs w:val="24"/>
          <w:lang w:val="en-US" w:eastAsia="en-US"/>
        </w:rPr>
        <w:t xml:space="preserve"> enabl</w:t>
      </w:r>
      <w:r w:rsidR="13B15CA4">
        <w:rPr>
          <w:rFonts w:ascii="Times New Roman" w:eastAsia="Calibri" w:hAnsi="Times New Roman" w:cs="Times New Roman"/>
          <w:color w:val="000000" w:themeColor="text1"/>
          <w:sz w:val="24"/>
          <w:szCs w:val="24"/>
          <w:lang w:val="en-US" w:eastAsia="en-US"/>
        </w:rPr>
        <w:t>es</w:t>
      </w:r>
      <w:r w:rsidRPr="003B1A78">
        <w:rPr>
          <w:rFonts w:ascii="Times New Roman" w:eastAsia="Calibri" w:hAnsi="Times New Roman" w:cs="Times New Roman"/>
          <w:color w:val="000000" w:themeColor="text1"/>
          <w:sz w:val="24"/>
          <w:szCs w:val="24"/>
          <w:lang w:val="en-US" w:eastAsia="en-US"/>
        </w:rPr>
        <w:t xml:space="preserve"> Filipino adolescents to access contraceptives without parental consent.</w:t>
      </w:r>
      <w:r w:rsidRPr="003B1A78">
        <w:rPr>
          <w:rFonts w:ascii="Times New Roman" w:eastAsia="Helvetica Neue" w:hAnsi="Times New Roman" w:cs="Times New Roman"/>
          <w:color w:val="000000" w:themeColor="text1"/>
          <w:sz w:val="24"/>
          <w:szCs w:val="24"/>
          <w:highlight w:val="white"/>
          <w:vertAlign w:val="superscript"/>
        </w:rPr>
        <w:t xml:space="preserve"> </w:t>
      </w:r>
      <w:r w:rsidR="002C41A7" w:rsidRPr="003B1A78">
        <w:rPr>
          <w:rFonts w:ascii="Times New Roman" w:eastAsia="Helvetica Neue" w:hAnsi="Times New Roman" w:cs="Times New Roman"/>
          <w:color w:val="000000" w:themeColor="text1"/>
          <w:sz w:val="24"/>
          <w:szCs w:val="24"/>
          <w:highlight w:val="white"/>
          <w:vertAlign w:val="superscript"/>
        </w:rPr>
        <w:endnoteReference w:id="68"/>
      </w:r>
      <w:r w:rsidRPr="003B1A78">
        <w:rPr>
          <w:rFonts w:ascii="Times New Roman" w:eastAsia="Calibri" w:hAnsi="Times New Roman" w:cs="Times New Roman"/>
          <w:color w:val="000000" w:themeColor="text1"/>
          <w:sz w:val="24"/>
          <w:szCs w:val="24"/>
          <w:lang w:val="en-US" w:eastAsia="en-US"/>
        </w:rPr>
        <w:t xml:space="preserve">  </w:t>
      </w:r>
      <w:r w:rsidRPr="46BFF266">
        <w:rPr>
          <w:rFonts w:ascii="Times New Roman" w:hAnsi="Times New Roman" w:cs="Times New Roman"/>
          <w:sz w:val="24"/>
          <w:szCs w:val="24"/>
          <w:lang w:val="en-US" w:eastAsia="en-US"/>
          <w14:ligatures w14:val="standardContextual"/>
        </w:rPr>
        <w:t xml:space="preserve">These proposed laws aim to guarantee that adolescents and young adults can readily obtain the knowledge and support necessary to make informed and responsible decisions regarding their sexual and reproductive health and to deter unintended pregnancies. These bills have been consolidated into House Bill No. 8910 which has been </w:t>
      </w:r>
      <w:r w:rsidRPr="003B1A78">
        <w:rPr>
          <w:rStyle w:val="font-weight-bold"/>
          <w:rFonts w:ascii="Times New Roman" w:hAnsi="Times New Roman" w:cs="Times New Roman"/>
          <w:sz w:val="24"/>
          <w:szCs w:val="24"/>
        </w:rPr>
        <w:t>approved by the House on September 5 and transmitted to the Senate on September 7, 2023.</w:t>
      </w:r>
      <w:r w:rsidR="002C41A7" w:rsidRPr="003B1A78">
        <w:rPr>
          <w:rFonts w:ascii="Times New Roman" w:eastAsia="Helvetica Neue" w:hAnsi="Times New Roman" w:cs="Times New Roman"/>
          <w:color w:val="000000" w:themeColor="text1"/>
          <w:sz w:val="24"/>
          <w:szCs w:val="24"/>
          <w:highlight w:val="white"/>
          <w:vertAlign w:val="superscript"/>
        </w:rPr>
        <w:endnoteReference w:id="69"/>
      </w:r>
    </w:p>
    <w:p w14:paraId="6165A6F0" w14:textId="77777777" w:rsidR="00240C37" w:rsidRPr="003B1A78" w:rsidRDefault="4710AABF" w:rsidP="00240C37">
      <w:pPr>
        <w:pStyle w:val="ListParagraph"/>
        <w:numPr>
          <w:ilvl w:val="0"/>
          <w:numId w:val="1"/>
        </w:numPr>
        <w:pBdr>
          <w:top w:val="nil"/>
          <w:left w:val="nil"/>
          <w:bottom w:val="nil"/>
          <w:right w:val="nil"/>
          <w:between w:val="nil"/>
        </w:pBdr>
        <w:tabs>
          <w:tab w:val="left" w:pos="1701"/>
          <w:tab w:val="left" w:pos="2268"/>
          <w:tab w:val="left" w:pos="2835"/>
        </w:tabs>
        <w:autoSpaceDE w:val="0"/>
        <w:autoSpaceDN w:val="0"/>
        <w:adjustRightInd w:val="0"/>
        <w:spacing w:beforeLines="30" w:before="72" w:afterLines="30" w:after="72"/>
        <w:ind w:right="1134"/>
        <w:rPr>
          <w:rFonts w:ascii="Times New Roman" w:eastAsiaTheme="minorHAnsi" w:hAnsi="Times New Roman" w:cs="Times New Roman"/>
          <w:sz w:val="24"/>
          <w:szCs w:val="24"/>
          <w:lang w:val="en-US" w:eastAsia="en-US"/>
          <w14:ligatures w14:val="standardContextual"/>
        </w:rPr>
      </w:pPr>
      <w:r w:rsidRPr="46BFF266">
        <w:rPr>
          <w:rFonts w:ascii="Times New Roman" w:hAnsi="Times New Roman" w:cs="Times New Roman"/>
          <w:sz w:val="24"/>
          <w:szCs w:val="24"/>
          <w:lang w:val="en-US" w:eastAsia="en-US"/>
          <w14:ligatures w14:val="standardContextual"/>
        </w:rPr>
        <w:t xml:space="preserve">Data reflect how adolescents engage in sexual activities before marriage and therefore may get pregnant, however they do not have access to the full range </w:t>
      </w:r>
      <w:r w:rsidRPr="46BFF266">
        <w:rPr>
          <w:rFonts w:ascii="Times New Roman" w:hAnsi="Times New Roman" w:cs="Times New Roman"/>
          <w:sz w:val="24"/>
          <w:szCs w:val="24"/>
          <w:lang w:val="en-US" w:eastAsia="en-US"/>
          <w14:ligatures w14:val="standardContextual"/>
        </w:rPr>
        <w:lastRenderedPageBreak/>
        <w:t>of sexual and reproductive health services, including modern contraceptives.</w:t>
      </w:r>
      <w:r w:rsidR="00240C37" w:rsidRPr="003B1A78">
        <w:rPr>
          <w:rStyle w:val="EndnoteReference"/>
          <w:rFonts w:ascii="Times New Roman" w:hAnsi="Times New Roman" w:cs="Times New Roman"/>
          <w:sz w:val="24"/>
          <w:szCs w:val="24"/>
        </w:rPr>
        <w:endnoteReference w:id="70"/>
      </w:r>
      <w:r>
        <w:rPr>
          <w:rFonts w:ascii="Times New Roman" w:hAnsi="Times New Roman" w:cs="Times New Roman"/>
          <w:sz w:val="24"/>
          <w:szCs w:val="24"/>
          <w:lang w:eastAsia="en-US"/>
          <w14:ligatures w14:val="standardContextual"/>
        </w:rPr>
        <w:t xml:space="preserve"> </w:t>
      </w:r>
      <w:r w:rsidRPr="003B1A78">
        <w:rPr>
          <w:rFonts w:ascii="Times New Roman" w:eastAsia="Helvetica Neue" w:hAnsi="Times New Roman" w:cs="Times New Roman"/>
          <w:color w:val="000000" w:themeColor="text1"/>
          <w:sz w:val="24"/>
          <w:szCs w:val="24"/>
        </w:rPr>
        <w:t xml:space="preserve">The 2022 NDHS Report </w:t>
      </w:r>
      <w:r w:rsidRPr="46BFF266">
        <w:rPr>
          <w:rFonts w:ascii="Times New Roman" w:hAnsi="Times New Roman" w:cs="Times New Roman"/>
          <w:sz w:val="24"/>
          <w:szCs w:val="24"/>
          <w:lang w:val="en-US" w:eastAsia="en-US"/>
          <w14:ligatures w14:val="standardContextual"/>
        </w:rPr>
        <w:t>recorded an increase in the percentage of women aged 25–49 who had sexual intercourse by age 18 from 15% in 2017 to 19% in 2022.</w:t>
      </w:r>
      <w:r w:rsidR="00240C37" w:rsidRPr="46BFF266">
        <w:rPr>
          <w:rStyle w:val="EndnoteReference"/>
          <w:rFonts w:ascii="Times New Roman" w:hAnsi="Times New Roman" w:cs="Times New Roman"/>
        </w:rPr>
        <w:endnoteReference w:id="71"/>
      </w:r>
      <w:r w:rsidRPr="46BFF266">
        <w:rPr>
          <w:rFonts w:ascii="Times New Roman" w:hAnsi="Times New Roman" w:cs="Times New Roman"/>
          <w:sz w:val="24"/>
          <w:szCs w:val="24"/>
          <w:vertAlign w:val="superscript"/>
          <w:lang w:val="en-US" w:eastAsia="en-US"/>
          <w14:ligatures w14:val="standardContextual"/>
        </w:rPr>
        <w:t xml:space="preserve"> </w:t>
      </w:r>
      <w:r w:rsidRPr="46BFF266">
        <w:rPr>
          <w:rFonts w:ascii="Times New Roman" w:hAnsi="Times New Roman" w:cs="Times New Roman"/>
          <w:sz w:val="24"/>
          <w:szCs w:val="24"/>
          <w:lang w:val="en-US" w:eastAsia="en-US"/>
          <w14:ligatures w14:val="standardContextual"/>
        </w:rPr>
        <w:t>The median age at first sexual intercourse among women aged 25–49 is 20.7 years.</w:t>
      </w:r>
      <w:r w:rsidR="00240C37" w:rsidRPr="003B1A78">
        <w:rPr>
          <w:rStyle w:val="EndnoteReference"/>
          <w:rFonts w:ascii="Times New Roman" w:hAnsi="Times New Roman" w:cs="Times New Roman"/>
          <w:sz w:val="24"/>
          <w:szCs w:val="24"/>
        </w:rPr>
        <w:endnoteReference w:id="72"/>
      </w:r>
      <w:r w:rsidRPr="46BFF266">
        <w:rPr>
          <w:rFonts w:ascii="Times New Roman" w:hAnsi="Times New Roman" w:cs="Times New Roman"/>
          <w:sz w:val="24"/>
          <w:szCs w:val="24"/>
          <w:vertAlign w:val="superscript"/>
          <w:lang w:val="en-US" w:eastAsia="en-US"/>
          <w14:ligatures w14:val="standardContextual"/>
        </w:rPr>
        <w:t xml:space="preserve"> </w:t>
      </w:r>
    </w:p>
    <w:p w14:paraId="10E81E61" w14:textId="23D17FC3" w:rsidR="002C41A7" w:rsidRPr="003B1A78" w:rsidRDefault="17A22470" w:rsidP="0D74C69F">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46BFF266">
        <w:rPr>
          <w:rFonts w:ascii="Times New Roman" w:hAnsi="Times New Roman" w:cs="Times New Roman"/>
          <w:sz w:val="24"/>
          <w:szCs w:val="24"/>
          <w:lang w:val="en-US" w:eastAsia="en-US"/>
          <w14:ligatures w14:val="standardContextual"/>
        </w:rPr>
        <w:t>Treaty monitoring bodies recognize that adolescents and youth face specific barriers in accessing contraception,</w:t>
      </w:r>
      <w:r w:rsidR="002C41A7" w:rsidRPr="003B1A78">
        <w:rPr>
          <w:rStyle w:val="EndnoteReference"/>
          <w:rFonts w:ascii="Times New Roman" w:hAnsi="Times New Roman" w:cs="Times New Roman"/>
          <w:sz w:val="24"/>
          <w:szCs w:val="24"/>
        </w:rPr>
        <w:endnoteReference w:id="73"/>
      </w:r>
      <w:r w:rsidRPr="46BFF266">
        <w:rPr>
          <w:rFonts w:ascii="Times New Roman" w:hAnsi="Times New Roman" w:cs="Times New Roman"/>
          <w:sz w:val="24"/>
          <w:szCs w:val="24"/>
          <w:lang w:val="en-US" w:eastAsia="en-US"/>
          <w14:ligatures w14:val="standardContextual"/>
        </w:rPr>
        <w:t xml:space="preserve"> including taboos about adolescent sexuality</w:t>
      </w:r>
      <w:r w:rsidR="002C41A7" w:rsidRPr="003B1A78">
        <w:rPr>
          <w:rStyle w:val="EndnoteReference"/>
          <w:rFonts w:ascii="Times New Roman" w:hAnsi="Times New Roman" w:cs="Times New Roman"/>
          <w:sz w:val="24"/>
          <w:szCs w:val="24"/>
        </w:rPr>
        <w:endnoteReference w:id="74"/>
      </w:r>
      <w:r w:rsidRPr="46BFF266">
        <w:rPr>
          <w:rFonts w:ascii="Times New Roman" w:hAnsi="Times New Roman" w:cs="Times New Roman"/>
          <w:sz w:val="24"/>
          <w:szCs w:val="24"/>
          <w:vertAlign w:val="superscript"/>
          <w:lang w:val="en-US" w:eastAsia="en-US"/>
          <w14:ligatures w14:val="standardContextual"/>
        </w:rPr>
        <w:t xml:space="preserve"> </w:t>
      </w:r>
      <w:r w:rsidRPr="46BFF266">
        <w:rPr>
          <w:rFonts w:ascii="Times New Roman" w:hAnsi="Times New Roman" w:cs="Times New Roman"/>
          <w:sz w:val="24"/>
          <w:szCs w:val="24"/>
          <w:lang w:val="en-US" w:eastAsia="en-US"/>
          <w14:ligatures w14:val="standardContextual"/>
        </w:rPr>
        <w:t>and legal restrictions on contraceptives for unmarried women.</w:t>
      </w:r>
      <w:r w:rsidR="002C41A7" w:rsidRPr="003B1A78">
        <w:rPr>
          <w:rStyle w:val="EndnoteReference"/>
          <w:rFonts w:ascii="Times New Roman" w:hAnsi="Times New Roman" w:cs="Times New Roman"/>
          <w:sz w:val="24"/>
          <w:szCs w:val="24"/>
        </w:rPr>
        <w:endnoteReference w:id="75"/>
      </w:r>
      <w:r w:rsidRPr="46BFF266">
        <w:rPr>
          <w:rFonts w:ascii="Times New Roman" w:hAnsi="Times New Roman" w:cs="Times New Roman"/>
          <w:sz w:val="24"/>
          <w:szCs w:val="24"/>
          <w:vertAlign w:val="superscript"/>
          <w:lang w:val="en-US" w:eastAsia="en-US"/>
          <w14:ligatures w14:val="standardContextual"/>
        </w:rPr>
        <w:t xml:space="preserve"> </w:t>
      </w:r>
      <w:r w:rsidRPr="46BFF266">
        <w:rPr>
          <w:rFonts w:ascii="Times New Roman" w:hAnsi="Times New Roman" w:cs="Times New Roman"/>
          <w:sz w:val="24"/>
          <w:szCs w:val="24"/>
          <w:lang w:val="en-US" w:eastAsia="en-US"/>
          <w14:ligatures w14:val="standardContextual"/>
        </w:rPr>
        <w:t xml:space="preserve">The ESCR Committee has </w:t>
      </w:r>
      <w:r w:rsidR="34ED10CC">
        <w:rPr>
          <w:rFonts w:ascii="Times New Roman" w:hAnsi="Times New Roman" w:cs="Times New Roman"/>
          <w:sz w:val="24"/>
          <w:szCs w:val="24"/>
          <w:lang w:val="en-US" w:eastAsia="en-US"/>
          <w14:ligatures w14:val="standardContextual"/>
        </w:rPr>
        <w:t>called on states to</w:t>
      </w:r>
      <w:r w:rsidRPr="46BFF266">
        <w:rPr>
          <w:rFonts w:ascii="Times New Roman" w:hAnsi="Times New Roman" w:cs="Times New Roman"/>
          <w:sz w:val="24"/>
          <w:szCs w:val="24"/>
          <w:lang w:val="en-US" w:eastAsia="en-US"/>
          <w14:ligatures w14:val="standardContextual"/>
        </w:rPr>
        <w:t xml:space="preserve"> </w:t>
      </w:r>
      <w:r w:rsidR="62B3F601">
        <w:rPr>
          <w:rFonts w:ascii="Times New Roman" w:hAnsi="Times New Roman" w:cs="Times New Roman"/>
          <w:sz w:val="24"/>
          <w:szCs w:val="24"/>
          <w:lang w:val="en-US" w:eastAsia="en-US"/>
          <w14:ligatures w14:val="standardContextual"/>
        </w:rPr>
        <w:t>“</w:t>
      </w:r>
      <w:r w:rsidRPr="46BFF266">
        <w:rPr>
          <w:rFonts w:ascii="Times New Roman" w:hAnsi="Times New Roman" w:cs="Times New Roman"/>
          <w:sz w:val="24"/>
          <w:szCs w:val="24"/>
          <w:lang w:val="en-US" w:eastAsia="en-US"/>
          <w14:ligatures w14:val="standardContextual"/>
        </w:rPr>
        <w:t>take affirmative measures to eradicate social barriers in terms of norms or beliefs that prevent girls and adolescents from autonomously exercising their right to sexual and reproductive health.”</w:t>
      </w:r>
      <w:r w:rsidR="002C41A7" w:rsidRPr="003B1A78">
        <w:rPr>
          <w:rStyle w:val="EndnoteReference"/>
          <w:rFonts w:ascii="Times New Roman" w:hAnsi="Times New Roman" w:cs="Times New Roman"/>
          <w:sz w:val="24"/>
          <w:szCs w:val="24"/>
        </w:rPr>
        <w:endnoteReference w:id="76"/>
      </w:r>
      <w:r w:rsidRPr="46BFF266">
        <w:rPr>
          <w:rFonts w:ascii="Times New Roman" w:hAnsi="Times New Roman" w:cs="Times New Roman"/>
          <w:sz w:val="24"/>
          <w:szCs w:val="24"/>
          <w:vertAlign w:val="superscript"/>
          <w:lang w:val="en-US" w:eastAsia="en-US"/>
          <w14:ligatures w14:val="standardContextual"/>
        </w:rPr>
        <w:t xml:space="preserve"> </w:t>
      </w:r>
      <w:r w:rsidRPr="46BFF266">
        <w:rPr>
          <w:rFonts w:ascii="Times New Roman" w:hAnsi="Times New Roman" w:cs="Times New Roman"/>
          <w:sz w:val="24"/>
          <w:szCs w:val="24"/>
          <w:lang w:val="en-US" w:eastAsia="en-US"/>
          <w14:ligatures w14:val="standardContextual"/>
        </w:rPr>
        <w:t xml:space="preserve">The CRC Committee also urged </w:t>
      </w:r>
      <w:r w:rsidR="62B3F601">
        <w:rPr>
          <w:rFonts w:ascii="Times New Roman" w:hAnsi="Times New Roman" w:cs="Times New Roman"/>
          <w:sz w:val="24"/>
          <w:szCs w:val="24"/>
          <w:lang w:val="en-US" w:eastAsia="en-US"/>
          <w14:ligatures w14:val="standardContextual"/>
        </w:rPr>
        <w:t>s</w:t>
      </w:r>
      <w:r w:rsidRPr="46BFF266">
        <w:rPr>
          <w:rFonts w:ascii="Times New Roman" w:hAnsi="Times New Roman" w:cs="Times New Roman"/>
          <w:sz w:val="24"/>
          <w:szCs w:val="24"/>
          <w:lang w:val="en-US" w:eastAsia="en-US"/>
          <w14:ligatures w14:val="standardContextual"/>
        </w:rPr>
        <w:t>tates to remove parental and guardian consent requirements by giving consideration “to the introduction of a legal presumption that adolescents are competent to seek and have access to preventive or time-sensitive sexual and reproductive health commodities and services.”</w:t>
      </w:r>
      <w:r w:rsidR="002C41A7" w:rsidRPr="003B1A78">
        <w:rPr>
          <w:rStyle w:val="EndnoteReference"/>
          <w:rFonts w:ascii="Times New Roman" w:hAnsi="Times New Roman" w:cs="Times New Roman"/>
          <w:sz w:val="24"/>
          <w:szCs w:val="24"/>
        </w:rPr>
        <w:endnoteReference w:id="77"/>
      </w:r>
    </w:p>
    <w:p w14:paraId="33E21A53" w14:textId="44428CF9" w:rsidR="002C41A7" w:rsidRDefault="002C41A7" w:rsidP="002C41A7">
      <w:pPr>
        <w:pBdr>
          <w:bottom w:val="single" w:sz="6" w:space="1" w:color="auto"/>
        </w:pBdr>
        <w:spacing w:beforeLines="30" w:before="72" w:afterLines="30" w:after="72"/>
        <w:ind w:left="0" w:firstLine="0"/>
        <w:rPr>
          <w:rFonts w:ascii="Times New Roman" w:eastAsia="Helvetica Neue" w:hAnsi="Times New Roman" w:cs="Times New Roman"/>
          <w:color w:val="FF0000"/>
          <w:sz w:val="24"/>
          <w:szCs w:val="24"/>
        </w:rPr>
      </w:pPr>
    </w:p>
    <w:p w14:paraId="28404277" w14:textId="77777777" w:rsidR="006F630C" w:rsidRPr="003B1A78" w:rsidRDefault="006F630C" w:rsidP="002C41A7">
      <w:pPr>
        <w:spacing w:beforeLines="30" w:before="72" w:afterLines="30" w:after="72"/>
        <w:ind w:left="0" w:firstLine="0"/>
        <w:rPr>
          <w:rFonts w:ascii="Times New Roman" w:eastAsia="Helvetica Neue" w:hAnsi="Times New Roman" w:cs="Times New Roman"/>
          <w:color w:val="FF0000"/>
          <w:sz w:val="24"/>
          <w:szCs w:val="24"/>
        </w:rPr>
      </w:pPr>
    </w:p>
    <w:p w14:paraId="371F2BA4" w14:textId="77777777" w:rsidR="006F630C" w:rsidRPr="00CD4A72" w:rsidRDefault="006F630C" w:rsidP="006F630C">
      <w:pPr>
        <w:ind w:left="360"/>
        <w:rPr>
          <w:rFonts w:ascii="Times New Roman" w:hAnsi="Times New Roman" w:cs="Times New Roman"/>
          <w:b/>
          <w:bCs/>
          <w:sz w:val="24"/>
          <w:szCs w:val="24"/>
        </w:rPr>
      </w:pPr>
      <w:r w:rsidRPr="00CD4A72">
        <w:rPr>
          <w:rFonts w:ascii="Times New Roman" w:hAnsi="Times New Roman" w:cs="Times New Roman"/>
          <w:b/>
          <w:bCs/>
          <w:sz w:val="24"/>
          <w:szCs w:val="24"/>
        </w:rPr>
        <w:t>We propose that the Committee urge the state party to:</w:t>
      </w:r>
    </w:p>
    <w:p w14:paraId="41D9F736" w14:textId="77777777" w:rsidR="006F630C" w:rsidRPr="00CD4A72" w:rsidRDefault="006F630C" w:rsidP="006F630C">
      <w:pPr>
        <w:ind w:left="360"/>
        <w:rPr>
          <w:b/>
          <w:bCs/>
        </w:rPr>
      </w:pPr>
    </w:p>
    <w:p w14:paraId="61EDBB24" w14:textId="77777777" w:rsidR="006F630C" w:rsidRPr="00CD4A72" w:rsidRDefault="006F630C" w:rsidP="006F630C">
      <w:pPr>
        <w:pStyle w:val="ListParagraph"/>
        <w:numPr>
          <w:ilvl w:val="0"/>
          <w:numId w:val="13"/>
        </w:numPr>
        <w:spacing w:line="276" w:lineRule="auto"/>
        <w:ind w:left="567" w:right="570"/>
        <w:outlineLvl w:val="2"/>
        <w:rPr>
          <w:rStyle w:val="markedcontent"/>
          <w:rFonts w:ascii="Times New Roman" w:hAnsi="Times New Roman" w:cs="Times New Roman"/>
          <w:b/>
          <w:bCs/>
          <w:color w:val="000000" w:themeColor="text1"/>
          <w:sz w:val="24"/>
          <w:szCs w:val="24"/>
        </w:rPr>
      </w:pPr>
      <w:r w:rsidRPr="00CD4A72">
        <w:rPr>
          <w:rStyle w:val="markedcontent"/>
          <w:rFonts w:ascii="Times New Roman" w:hAnsi="Times New Roman" w:cs="Times New Roman"/>
          <w:b/>
          <w:bCs/>
          <w:color w:val="000000" w:themeColor="text1"/>
          <w:sz w:val="24"/>
          <w:szCs w:val="24"/>
        </w:rPr>
        <w:t>Remove barriers to sexual and reproductive health information and services including by taking immediate steps to:</w:t>
      </w:r>
    </w:p>
    <w:p w14:paraId="78313CD3" w14:textId="77777777" w:rsidR="006F630C" w:rsidRPr="00CD4A72" w:rsidRDefault="006F630C" w:rsidP="006F630C">
      <w:pPr>
        <w:pStyle w:val="ListParagraph"/>
        <w:numPr>
          <w:ilvl w:val="2"/>
          <w:numId w:val="13"/>
        </w:numPr>
        <w:spacing w:line="276" w:lineRule="auto"/>
        <w:ind w:right="570"/>
        <w:outlineLvl w:val="2"/>
        <w:rPr>
          <w:rStyle w:val="markedcontent"/>
          <w:rFonts w:ascii="Times New Roman" w:hAnsi="Times New Roman" w:cs="Times New Roman"/>
          <w:b/>
          <w:bCs/>
          <w:color w:val="000000" w:themeColor="text1"/>
          <w:sz w:val="24"/>
          <w:szCs w:val="24"/>
        </w:rPr>
      </w:pPr>
      <w:r w:rsidRPr="00CD4A72">
        <w:rPr>
          <w:rStyle w:val="markedcontent"/>
          <w:rFonts w:ascii="Times New Roman" w:hAnsi="Times New Roman" w:cs="Times New Roman"/>
          <w:b/>
          <w:bCs/>
          <w:color w:val="000000" w:themeColor="text1"/>
          <w:sz w:val="24"/>
          <w:szCs w:val="24"/>
        </w:rPr>
        <w:t xml:space="preserve">Ensure adequate allocation in national and local government budgets for the implementation of the Responsible Parenthood and Reproductive Health Act (RPRHA), </w:t>
      </w:r>
    </w:p>
    <w:p w14:paraId="13F7684F" w14:textId="77777777" w:rsidR="006F630C" w:rsidRPr="00CD4A72" w:rsidRDefault="006F630C" w:rsidP="006F630C">
      <w:pPr>
        <w:pStyle w:val="ListParagraph"/>
        <w:numPr>
          <w:ilvl w:val="2"/>
          <w:numId w:val="13"/>
        </w:numPr>
        <w:spacing w:line="276" w:lineRule="auto"/>
        <w:ind w:right="570"/>
        <w:outlineLvl w:val="2"/>
        <w:rPr>
          <w:rStyle w:val="markedcontent"/>
          <w:rFonts w:ascii="Times New Roman" w:hAnsi="Times New Roman" w:cs="Times New Roman"/>
          <w:b/>
          <w:bCs/>
          <w:color w:val="000000" w:themeColor="text1"/>
          <w:sz w:val="24"/>
          <w:szCs w:val="24"/>
        </w:rPr>
      </w:pPr>
      <w:r w:rsidRPr="00CD4A72">
        <w:rPr>
          <w:rStyle w:val="markedcontent"/>
          <w:rFonts w:ascii="Times New Roman" w:hAnsi="Times New Roman" w:cs="Times New Roman"/>
          <w:b/>
          <w:bCs/>
          <w:color w:val="000000" w:themeColor="text1"/>
          <w:sz w:val="24"/>
          <w:szCs w:val="24"/>
        </w:rPr>
        <w:t xml:space="preserve">Repeal third-party authorizations i.e., </w:t>
      </w:r>
      <w:proofErr w:type="gramStart"/>
      <w:r w:rsidRPr="00CD4A72">
        <w:rPr>
          <w:rStyle w:val="markedcontent"/>
          <w:rFonts w:ascii="Times New Roman" w:hAnsi="Times New Roman" w:cs="Times New Roman"/>
          <w:b/>
          <w:bCs/>
          <w:color w:val="000000" w:themeColor="text1"/>
          <w:sz w:val="24"/>
          <w:szCs w:val="24"/>
        </w:rPr>
        <w:t>parental</w:t>
      </w:r>
      <w:proofErr w:type="gramEnd"/>
      <w:r w:rsidRPr="00CD4A72">
        <w:rPr>
          <w:rStyle w:val="markedcontent"/>
          <w:rFonts w:ascii="Times New Roman" w:hAnsi="Times New Roman" w:cs="Times New Roman"/>
          <w:b/>
          <w:bCs/>
          <w:color w:val="000000" w:themeColor="text1"/>
          <w:sz w:val="24"/>
          <w:szCs w:val="24"/>
        </w:rPr>
        <w:t xml:space="preserve"> or spousal consent requirements for married women and minors specifically those provided under the RPRHA,</w:t>
      </w:r>
    </w:p>
    <w:p w14:paraId="156969B5" w14:textId="528C9DEA" w:rsidR="006F630C" w:rsidRPr="00CD4A72" w:rsidRDefault="006F630C" w:rsidP="006F630C">
      <w:pPr>
        <w:pStyle w:val="ListParagraph"/>
        <w:numPr>
          <w:ilvl w:val="2"/>
          <w:numId w:val="13"/>
        </w:numPr>
        <w:spacing w:line="276" w:lineRule="auto"/>
        <w:ind w:right="570"/>
        <w:outlineLvl w:val="2"/>
        <w:rPr>
          <w:rFonts w:ascii="Times New Roman" w:hAnsi="Times New Roman" w:cs="Times New Roman"/>
          <w:b/>
          <w:bCs/>
          <w:color w:val="000000" w:themeColor="text1"/>
          <w:sz w:val="24"/>
          <w:szCs w:val="24"/>
        </w:rPr>
      </w:pPr>
      <w:r w:rsidRPr="00CD4A72">
        <w:rPr>
          <w:rFonts w:ascii="Times New Roman" w:hAnsi="Times New Roman" w:cs="Times New Roman"/>
          <w:b/>
          <w:bCs/>
          <w:color w:val="000000" w:themeColor="text1"/>
          <w:sz w:val="24"/>
          <w:szCs w:val="24"/>
        </w:rPr>
        <w:t xml:space="preserve">Enact the Adolescent Prevention Pregnancy Act to ensure access to adolescent-friendly sexual and reproductive health care and </w:t>
      </w:r>
      <w:r w:rsidR="00F24E6E" w:rsidRPr="00CD4A72">
        <w:rPr>
          <w:rFonts w:ascii="Times New Roman" w:hAnsi="Times New Roman" w:cs="Times New Roman"/>
          <w:b/>
          <w:bCs/>
          <w:sz w:val="24"/>
          <w:szCs w:val="24"/>
        </w:rPr>
        <w:t>can make autonomous and informed decisions on their reproductive health</w:t>
      </w:r>
      <w:r w:rsidRPr="00CD4A72">
        <w:rPr>
          <w:rFonts w:ascii="Times New Roman" w:hAnsi="Times New Roman" w:cs="Times New Roman"/>
          <w:b/>
          <w:bCs/>
          <w:color w:val="000000" w:themeColor="text1"/>
          <w:sz w:val="24"/>
          <w:szCs w:val="24"/>
        </w:rPr>
        <w:t>,</w:t>
      </w:r>
    </w:p>
    <w:p w14:paraId="0808F16A" w14:textId="77777777" w:rsidR="006F630C" w:rsidRPr="00CD4A72" w:rsidRDefault="006F630C" w:rsidP="006F630C">
      <w:pPr>
        <w:pStyle w:val="ListParagraph"/>
        <w:numPr>
          <w:ilvl w:val="2"/>
          <w:numId w:val="13"/>
        </w:numPr>
        <w:spacing w:line="276" w:lineRule="auto"/>
        <w:ind w:right="570"/>
        <w:outlineLvl w:val="2"/>
        <w:rPr>
          <w:rStyle w:val="markedcontent"/>
          <w:rFonts w:ascii="Times New Roman" w:hAnsi="Times New Roman" w:cs="Times New Roman"/>
          <w:b/>
          <w:bCs/>
          <w:color w:val="000000" w:themeColor="text1"/>
          <w:sz w:val="24"/>
          <w:szCs w:val="24"/>
        </w:rPr>
      </w:pPr>
      <w:r w:rsidRPr="00CD4A72">
        <w:rPr>
          <w:rStyle w:val="markedcontent"/>
          <w:rFonts w:ascii="Times New Roman" w:hAnsi="Times New Roman" w:cs="Times New Roman"/>
          <w:b/>
          <w:bCs/>
          <w:color w:val="000000" w:themeColor="text1"/>
          <w:sz w:val="24"/>
          <w:szCs w:val="24"/>
        </w:rPr>
        <w:t xml:space="preserve">Address the </w:t>
      </w:r>
      <w:r w:rsidRPr="00CD4A72">
        <w:rPr>
          <w:rFonts w:ascii="Times New Roman" w:hAnsi="Times New Roman" w:cs="Times New Roman"/>
          <w:b/>
          <w:bCs/>
          <w:color w:val="000000" w:themeColor="text1"/>
          <w:sz w:val="24"/>
          <w:szCs w:val="24"/>
        </w:rPr>
        <w:t>increasing unmet need for family planning and the early pregnancies and childbirth particularly among those between the ages of 10 and 14 including by e</w:t>
      </w:r>
      <w:r w:rsidRPr="00CD4A72">
        <w:rPr>
          <w:rStyle w:val="markedcontent"/>
          <w:rFonts w:ascii="Times New Roman" w:hAnsi="Times New Roman" w:cs="Times New Roman"/>
          <w:b/>
          <w:bCs/>
          <w:color w:val="000000" w:themeColor="text1"/>
          <w:sz w:val="24"/>
          <w:szCs w:val="24"/>
        </w:rPr>
        <w:t xml:space="preserve">nacting and strengthening laws and policies providing comprehensive sexuality education and those ensuring social protection measures for adolescents who are pregnant or have given birth and their partners, </w:t>
      </w:r>
    </w:p>
    <w:p w14:paraId="5A222CDF" w14:textId="77777777" w:rsidR="006F630C" w:rsidRPr="00CD4A72" w:rsidRDefault="006F630C" w:rsidP="006F630C">
      <w:pPr>
        <w:pStyle w:val="ListParagraph"/>
        <w:numPr>
          <w:ilvl w:val="2"/>
          <w:numId w:val="13"/>
        </w:numPr>
        <w:spacing w:line="276" w:lineRule="auto"/>
        <w:ind w:right="570"/>
        <w:outlineLvl w:val="2"/>
        <w:rPr>
          <w:rStyle w:val="markedcontent"/>
          <w:rFonts w:ascii="Times New Roman" w:hAnsi="Times New Roman" w:cs="Times New Roman"/>
          <w:b/>
          <w:bCs/>
          <w:color w:val="000000" w:themeColor="text1"/>
          <w:sz w:val="24"/>
          <w:szCs w:val="24"/>
        </w:rPr>
      </w:pPr>
      <w:r w:rsidRPr="00CD4A72">
        <w:rPr>
          <w:rStyle w:val="markedcontent"/>
          <w:rFonts w:ascii="Times New Roman" w:hAnsi="Times New Roman" w:cs="Times New Roman"/>
          <w:b/>
          <w:bCs/>
          <w:color w:val="000000" w:themeColor="text1"/>
          <w:sz w:val="24"/>
          <w:szCs w:val="24"/>
        </w:rPr>
        <w:t>Prohibit refusals of care based on religion or beliefs by hospitals and other institutions and establish effective mechanisms to ensure that refusals of care based on religion or beliefs by individual health care providers and public officials do not impede the full realization of sexual and reproductive health and rights.</w:t>
      </w:r>
    </w:p>
    <w:p w14:paraId="6C205E25" w14:textId="41E57BEA" w:rsidR="006F630C" w:rsidRPr="00CD4A72" w:rsidRDefault="006F630C" w:rsidP="006F630C">
      <w:pPr>
        <w:pStyle w:val="ListParagraph"/>
        <w:numPr>
          <w:ilvl w:val="2"/>
          <w:numId w:val="13"/>
        </w:numPr>
        <w:ind w:right="570"/>
        <w:rPr>
          <w:rFonts w:ascii="Times New Roman" w:hAnsi="Times New Roman" w:cs="Times New Roman"/>
          <w:b/>
          <w:bCs/>
          <w:sz w:val="24"/>
          <w:szCs w:val="24"/>
        </w:rPr>
      </w:pPr>
      <w:r w:rsidRPr="00CD4A72">
        <w:rPr>
          <w:rFonts w:ascii="Times New Roman" w:hAnsi="Times New Roman" w:cs="Times New Roman"/>
          <w:b/>
          <w:bCs/>
          <w:color w:val="000000" w:themeColor="text1"/>
          <w:sz w:val="24"/>
          <w:szCs w:val="24"/>
        </w:rPr>
        <w:t xml:space="preserve">Ensure access to the full range of sexual and reproductive health care including quality and affordable modern and emergency contraceptives, abortion, and post-abortion care </w:t>
      </w:r>
      <w:r w:rsidR="00BE0ADC" w:rsidRPr="00CD4A72">
        <w:rPr>
          <w:rFonts w:ascii="Times New Roman" w:hAnsi="Times New Roman" w:cs="Times New Roman"/>
          <w:b/>
          <w:bCs/>
          <w:color w:val="000000" w:themeColor="text1"/>
          <w:sz w:val="24"/>
          <w:szCs w:val="24"/>
        </w:rPr>
        <w:t>considering</w:t>
      </w:r>
      <w:r w:rsidRPr="00CD4A72">
        <w:rPr>
          <w:rFonts w:ascii="Times New Roman" w:hAnsi="Times New Roman" w:cs="Times New Roman"/>
          <w:b/>
          <w:bCs/>
          <w:color w:val="000000" w:themeColor="text1"/>
          <w:sz w:val="24"/>
          <w:szCs w:val="24"/>
        </w:rPr>
        <w:t xml:space="preserve"> the specific health needs and issues faced by adolescents, women and girls living in rural areas, </w:t>
      </w:r>
      <w:r w:rsidRPr="00CD4A72">
        <w:rPr>
          <w:rFonts w:ascii="Times New Roman" w:hAnsi="Times New Roman" w:cs="Times New Roman"/>
          <w:b/>
          <w:bCs/>
          <w:color w:val="000000" w:themeColor="text1"/>
          <w:sz w:val="24"/>
          <w:szCs w:val="24"/>
        </w:rPr>
        <w:lastRenderedPageBreak/>
        <w:t xml:space="preserve">those living with a disability and with HIV/AIDS, and of gender-diverse persons, </w:t>
      </w:r>
    </w:p>
    <w:p w14:paraId="30C8AA4D" w14:textId="77777777" w:rsidR="006F630C" w:rsidRPr="00CD4A72" w:rsidRDefault="006F630C" w:rsidP="006F630C">
      <w:pPr>
        <w:pStyle w:val="ListParagraph"/>
        <w:numPr>
          <w:ilvl w:val="2"/>
          <w:numId w:val="13"/>
        </w:numPr>
        <w:ind w:right="570"/>
        <w:rPr>
          <w:rFonts w:ascii="Times New Roman" w:hAnsi="Times New Roman" w:cs="Times New Roman"/>
          <w:b/>
          <w:bCs/>
          <w:sz w:val="24"/>
          <w:szCs w:val="24"/>
        </w:rPr>
      </w:pPr>
      <w:r w:rsidRPr="00CD4A72">
        <w:rPr>
          <w:rFonts w:ascii="Times New Roman" w:hAnsi="Times New Roman" w:cs="Times New Roman"/>
          <w:b/>
          <w:bCs/>
          <w:sz w:val="24"/>
          <w:szCs w:val="24"/>
        </w:rPr>
        <w:t>Educate and sensitize health care providers on the sexual and reproductive health needs of and the stigma and discrimination against lesbian, bisexual, transgender and intersex women in the health system to ensure their full and non-discriminatory access to sexual and reproductive health care,</w:t>
      </w:r>
    </w:p>
    <w:p w14:paraId="1D3A255D" w14:textId="77777777" w:rsidR="006F630C" w:rsidRPr="00CD4A72" w:rsidRDefault="006F630C" w:rsidP="006F630C">
      <w:pPr>
        <w:pStyle w:val="ListParagraph"/>
        <w:numPr>
          <w:ilvl w:val="2"/>
          <w:numId w:val="13"/>
        </w:numPr>
        <w:ind w:right="570"/>
        <w:rPr>
          <w:rFonts w:ascii="Times New Roman" w:hAnsi="Times New Roman" w:cs="Times New Roman"/>
          <w:b/>
          <w:bCs/>
          <w:sz w:val="24"/>
          <w:szCs w:val="24"/>
        </w:rPr>
      </w:pPr>
      <w:r w:rsidRPr="00CD4A72">
        <w:rPr>
          <w:rFonts w:ascii="Times New Roman" w:hAnsi="Times New Roman" w:cs="Times New Roman"/>
          <w:b/>
          <w:bCs/>
          <w:sz w:val="24"/>
          <w:szCs w:val="24"/>
        </w:rPr>
        <w:t>Disseminate materials with information in accessible and easy-to-read formats on the sexual and reproductive health care available to women and girls.</w:t>
      </w:r>
    </w:p>
    <w:p w14:paraId="00734B7C" w14:textId="77777777" w:rsidR="006F630C" w:rsidRPr="00CD4A72" w:rsidRDefault="006F630C" w:rsidP="006F630C">
      <w:pPr>
        <w:pStyle w:val="ListParagraph"/>
        <w:numPr>
          <w:ilvl w:val="0"/>
          <w:numId w:val="13"/>
        </w:numPr>
        <w:ind w:right="570"/>
        <w:rPr>
          <w:rStyle w:val="markedcontent"/>
          <w:rFonts w:ascii="Times New Roman" w:hAnsi="Times New Roman" w:cs="Times New Roman"/>
          <w:b/>
          <w:bCs/>
          <w:color w:val="000000" w:themeColor="text1"/>
          <w:sz w:val="24"/>
          <w:szCs w:val="24"/>
        </w:rPr>
      </w:pPr>
      <w:r w:rsidRPr="00CD4A72">
        <w:rPr>
          <w:rStyle w:val="markedcontent"/>
          <w:rFonts w:ascii="Times New Roman" w:hAnsi="Times New Roman" w:cs="Times New Roman"/>
          <w:b/>
          <w:bCs/>
          <w:color w:val="000000" w:themeColor="text1"/>
          <w:sz w:val="24"/>
          <w:szCs w:val="24"/>
        </w:rPr>
        <w:t>Provide access to dedicated emergency contraceptives and ensure that the different methods of emergency contraceptives including the levonorgestrel regimen are offered and available in sufficient supply in both public and private health facilities duly licensed and certified by the Department of Health (DoH) including by:</w:t>
      </w:r>
    </w:p>
    <w:p w14:paraId="6223717E" w14:textId="77777777" w:rsidR="006F630C" w:rsidRPr="00CD4A72" w:rsidRDefault="006F630C" w:rsidP="006F630C">
      <w:pPr>
        <w:pStyle w:val="ListParagraph"/>
        <w:numPr>
          <w:ilvl w:val="1"/>
          <w:numId w:val="13"/>
        </w:numPr>
        <w:ind w:right="570"/>
        <w:rPr>
          <w:rStyle w:val="markedcontent"/>
          <w:rFonts w:ascii="Times New Roman" w:hAnsi="Times New Roman" w:cs="Times New Roman"/>
          <w:b/>
          <w:bCs/>
          <w:color w:val="000000" w:themeColor="text1"/>
          <w:sz w:val="24"/>
          <w:szCs w:val="24"/>
        </w:rPr>
      </w:pPr>
      <w:r w:rsidRPr="00CD4A72">
        <w:rPr>
          <w:rStyle w:val="markedcontent"/>
          <w:rFonts w:ascii="Times New Roman" w:hAnsi="Times New Roman" w:cs="Times New Roman"/>
          <w:b/>
          <w:bCs/>
          <w:color w:val="000000" w:themeColor="text1"/>
          <w:sz w:val="24"/>
          <w:szCs w:val="24"/>
        </w:rPr>
        <w:t>Repealing the provision under the RPRHA prohibiting national hospitals from purchasing and acquiring emergency contraceptives,</w:t>
      </w:r>
    </w:p>
    <w:p w14:paraId="04C5D761" w14:textId="77777777" w:rsidR="006F630C" w:rsidRPr="00CD4A72" w:rsidRDefault="006F630C" w:rsidP="006F630C">
      <w:pPr>
        <w:pStyle w:val="ListParagraph"/>
        <w:numPr>
          <w:ilvl w:val="1"/>
          <w:numId w:val="13"/>
        </w:numPr>
        <w:ind w:right="570"/>
        <w:rPr>
          <w:rFonts w:ascii="Times New Roman" w:hAnsi="Times New Roman" w:cs="Times New Roman"/>
          <w:b/>
          <w:bCs/>
          <w:sz w:val="24"/>
          <w:szCs w:val="24"/>
        </w:rPr>
      </w:pPr>
      <w:r w:rsidRPr="00CD4A72">
        <w:rPr>
          <w:rStyle w:val="markedcontent"/>
          <w:rFonts w:ascii="Times New Roman" w:hAnsi="Times New Roman" w:cs="Times New Roman"/>
          <w:b/>
          <w:bCs/>
          <w:color w:val="000000" w:themeColor="text1"/>
          <w:sz w:val="24"/>
          <w:szCs w:val="24"/>
        </w:rPr>
        <w:t xml:space="preserve">Increasing awareness about the use of emergency contraceptives among women as well as knowledge, skills, and capacity among health care providers such as by incorporating them in the modules of the DoH’s </w:t>
      </w:r>
      <w:r w:rsidRPr="00CD4A72">
        <w:rPr>
          <w:rFonts w:ascii="Times New Roman" w:hAnsi="Times New Roman" w:cs="Times New Roman"/>
          <w:b/>
          <w:bCs/>
          <w:sz w:val="24"/>
          <w:szCs w:val="24"/>
        </w:rPr>
        <w:t>Family Planning Competency-Based Trainings.</w:t>
      </w:r>
    </w:p>
    <w:p w14:paraId="34E452B2" w14:textId="77777777" w:rsidR="006F630C" w:rsidRPr="00CD4A72" w:rsidRDefault="006F630C" w:rsidP="006F630C">
      <w:pPr>
        <w:pStyle w:val="ListParagraph"/>
        <w:numPr>
          <w:ilvl w:val="1"/>
          <w:numId w:val="13"/>
        </w:numPr>
        <w:ind w:right="570"/>
        <w:rPr>
          <w:rFonts w:ascii="Times New Roman" w:hAnsi="Times New Roman" w:cs="Times New Roman"/>
          <w:b/>
          <w:bCs/>
          <w:sz w:val="24"/>
          <w:szCs w:val="24"/>
        </w:rPr>
      </w:pPr>
      <w:r w:rsidRPr="00CD4A72">
        <w:rPr>
          <w:rStyle w:val="markedcontent"/>
          <w:rFonts w:ascii="Times New Roman" w:hAnsi="Times New Roman" w:cs="Times New Roman"/>
          <w:b/>
          <w:bCs/>
          <w:color w:val="000000" w:themeColor="text1"/>
          <w:sz w:val="24"/>
          <w:szCs w:val="24"/>
        </w:rPr>
        <w:t>Amending the 2014 Family Planning Manual to ensure that dedicated emergency contraceptives are recommended and made available to all without discrimination to prevent pregnancies not only in cases of sexual assault but also in cases of unprotected sexual activity, concerns around possible contraceptive failure, and improper use of contraceptives.</w:t>
      </w:r>
    </w:p>
    <w:p w14:paraId="40BD95CE" w14:textId="77777777" w:rsidR="002C41A7" w:rsidRPr="00CD4A72" w:rsidRDefault="002C41A7" w:rsidP="002C41A7">
      <w:pPr>
        <w:pBdr>
          <w:bottom w:val="single" w:sz="6" w:space="1" w:color="auto"/>
        </w:pBdr>
        <w:spacing w:beforeLines="30" w:before="72" w:afterLines="30" w:after="72"/>
        <w:ind w:left="0" w:firstLine="0"/>
        <w:rPr>
          <w:rFonts w:ascii="Times New Roman" w:hAnsi="Times New Roman" w:cs="Times New Roman"/>
          <w:b/>
          <w:bCs/>
          <w:color w:val="000000" w:themeColor="text1"/>
          <w:sz w:val="24"/>
          <w:szCs w:val="24"/>
        </w:rPr>
      </w:pPr>
    </w:p>
    <w:p w14:paraId="59D936E6" w14:textId="6A816DF9" w:rsidR="002C41A7" w:rsidRPr="003B1A78" w:rsidRDefault="002C41A7" w:rsidP="002C41A7">
      <w:pPr>
        <w:spacing w:beforeLines="30" w:before="72" w:afterLines="30" w:after="72"/>
        <w:rPr>
          <w:rFonts w:ascii="Times New Roman" w:hAnsi="Times New Roman" w:cs="Times New Roman"/>
        </w:rPr>
      </w:pPr>
    </w:p>
    <w:p w14:paraId="7D1C0AF7"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b/>
          <w:color w:val="0070C0"/>
          <w:sz w:val="24"/>
          <w:szCs w:val="24"/>
        </w:rPr>
      </w:pPr>
      <w:r w:rsidRPr="003B1A78">
        <w:rPr>
          <w:rFonts w:ascii="Times New Roman" w:eastAsia="Helvetica Neue" w:hAnsi="Times New Roman" w:cs="Times New Roman"/>
          <w:b/>
          <w:color w:val="0070C0"/>
          <w:sz w:val="24"/>
          <w:szCs w:val="24"/>
        </w:rPr>
        <w:t xml:space="preserve">VII. Access to Maternal Health Care </w:t>
      </w:r>
      <w:r w:rsidRPr="003B1A78">
        <w:rPr>
          <w:rFonts w:ascii="Times New Roman" w:eastAsia="Helvetica Neue" w:hAnsi="Times New Roman" w:cs="Times New Roman"/>
          <w:bCs/>
          <w:i/>
          <w:iCs/>
          <w:color w:val="0070C0"/>
          <w:sz w:val="24"/>
          <w:szCs w:val="24"/>
        </w:rPr>
        <w:t>(Articles 2, 12, 14, 16)</w:t>
      </w:r>
    </w:p>
    <w:p w14:paraId="37DD97C6"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rPr>
          <w:rFonts w:ascii="Times New Roman" w:eastAsia="Helvetica Neue" w:hAnsi="Times New Roman" w:cs="Times New Roman"/>
          <w:i/>
          <w:color w:val="000000" w:themeColor="text1"/>
          <w:sz w:val="24"/>
          <w:szCs w:val="24"/>
        </w:rPr>
      </w:pPr>
    </w:p>
    <w:p w14:paraId="4B144C17" w14:textId="77777777" w:rsidR="002C41A7" w:rsidRPr="003B1A78" w:rsidRDefault="17A22470" w:rsidP="002C41A7">
      <w:pPr>
        <w:pBdr>
          <w:top w:val="nil"/>
          <w:left w:val="nil"/>
          <w:bottom w:val="nil"/>
          <w:right w:val="nil"/>
          <w:between w:val="nil"/>
        </w:pBdr>
        <w:tabs>
          <w:tab w:val="left" w:pos="1701"/>
          <w:tab w:val="left" w:pos="2268"/>
          <w:tab w:val="left" w:pos="2835"/>
        </w:tabs>
        <w:spacing w:beforeLines="30" w:before="72" w:afterLines="30" w:after="72"/>
        <w:ind w:left="1134" w:right="2556" w:hanging="54"/>
        <w:rPr>
          <w:rFonts w:ascii="Times New Roman" w:eastAsia="Helvetica Neue" w:hAnsi="Times New Roman" w:cs="Times New Roman"/>
          <w:i/>
          <w:color w:val="000000" w:themeColor="text1"/>
          <w:sz w:val="24"/>
          <w:szCs w:val="24"/>
        </w:rPr>
      </w:pPr>
      <w:r w:rsidRPr="003B1A78">
        <w:rPr>
          <w:rFonts w:ascii="Times New Roman" w:eastAsia="Helvetica Neue" w:hAnsi="Times New Roman" w:cs="Times New Roman"/>
          <w:i/>
          <w:color w:val="000000" w:themeColor="text1"/>
          <w:sz w:val="24"/>
          <w:szCs w:val="24"/>
        </w:rPr>
        <w:t>Please provide information on measures taken to…protect pregnant women during childbirth, adequately punish obstetric violence, strengthen capacity-building programmes for medical practitioners and ensure regular monitoring of the treatment of patients in health-care centres and hospitals;</w:t>
      </w:r>
      <w:r w:rsidR="002C41A7" w:rsidRPr="003B1A78">
        <w:rPr>
          <w:rFonts w:ascii="Times New Roman" w:eastAsia="Helvetica Neue" w:hAnsi="Times New Roman" w:cs="Times New Roman"/>
          <w:i/>
          <w:color w:val="000000" w:themeColor="text1"/>
          <w:sz w:val="24"/>
          <w:szCs w:val="24"/>
          <w:vertAlign w:val="superscript"/>
        </w:rPr>
        <w:endnoteReference w:id="78"/>
      </w:r>
    </w:p>
    <w:p w14:paraId="64B7DAEE"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2556" w:hanging="54"/>
        <w:rPr>
          <w:rFonts w:ascii="Times New Roman" w:eastAsia="Helvetica Neue" w:hAnsi="Times New Roman" w:cs="Times New Roman"/>
          <w:i/>
          <w:color w:val="000000" w:themeColor="text1"/>
          <w:sz w:val="24"/>
          <w:szCs w:val="24"/>
        </w:rPr>
      </w:pPr>
    </w:p>
    <w:p w14:paraId="7C56CEB9" w14:textId="7B7F232D" w:rsidR="002C41A7" w:rsidRPr="003B1A78" w:rsidRDefault="17A22470" w:rsidP="002C41A7">
      <w:pPr>
        <w:pStyle w:val="ListParagraph"/>
        <w:numPr>
          <w:ilvl w:val="0"/>
          <w:numId w:val="1"/>
        </w:numPr>
        <w:spacing w:beforeLines="30" w:before="72" w:afterLines="30" w:after="72"/>
        <w:ind w:right="1138"/>
        <w:rPr>
          <w:rFonts w:ascii="Times New Roman" w:hAnsi="Times New Roman" w:cs="Times New Roman"/>
          <w:color w:val="000000" w:themeColor="text1"/>
          <w:sz w:val="24"/>
          <w:szCs w:val="24"/>
          <w:lang w:eastAsia="zh-HK"/>
        </w:rPr>
      </w:pPr>
      <w:r w:rsidRPr="1B0E4A98">
        <w:rPr>
          <w:rFonts w:ascii="Times New Roman" w:eastAsia="Helvetica Neue" w:hAnsi="Times New Roman" w:cs="Times New Roman"/>
          <w:color w:val="000000" w:themeColor="text1"/>
          <w:sz w:val="24"/>
          <w:szCs w:val="24"/>
        </w:rPr>
        <w:t xml:space="preserve">The state party in its Replies to the LOIs mentioned the protection of pregnant women during childbirth through the DOH’s Safe Motherhood </w:t>
      </w:r>
      <w:r w:rsidR="4714E9A6" w:rsidRPr="1B0E4A98">
        <w:rPr>
          <w:rFonts w:ascii="Times New Roman" w:eastAsia="Helvetica Neue" w:hAnsi="Times New Roman" w:cs="Times New Roman"/>
          <w:color w:val="000000" w:themeColor="text1"/>
          <w:sz w:val="24"/>
          <w:szCs w:val="24"/>
        </w:rPr>
        <w:t>P</w:t>
      </w:r>
      <w:r w:rsidRPr="1B0E4A98">
        <w:rPr>
          <w:rFonts w:ascii="Times New Roman" w:eastAsia="Helvetica Neue" w:hAnsi="Times New Roman" w:cs="Times New Roman"/>
          <w:color w:val="000000" w:themeColor="text1"/>
          <w:sz w:val="24"/>
          <w:szCs w:val="24"/>
        </w:rPr>
        <w:t>rogram, which advances women’s full access to health services towards safer pregnancy and delivery, however, this only covers maternal health in general and not for young women and girls.</w:t>
      </w:r>
    </w:p>
    <w:p w14:paraId="6C9E60AF" w14:textId="77777777" w:rsidR="002C41A7" w:rsidRPr="003B1A78" w:rsidRDefault="17A22470" w:rsidP="002C41A7">
      <w:pPr>
        <w:pStyle w:val="ListParagraph"/>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In our 2022 NGO report, we noted how adolescent pregnancy was the “most important problem” women faced in the country.</w:t>
      </w:r>
      <w:r w:rsidR="002C41A7" w:rsidRPr="003B1A78">
        <w:rPr>
          <w:rFonts w:ascii="Times New Roman" w:eastAsia="Helvetica Neue" w:hAnsi="Times New Roman" w:cs="Times New Roman"/>
          <w:sz w:val="24"/>
          <w:szCs w:val="24"/>
          <w:vertAlign w:val="superscript"/>
        </w:rPr>
        <w:endnoteReference w:id="79"/>
      </w:r>
      <w:r w:rsidRPr="003B1A78">
        <w:rPr>
          <w:rFonts w:ascii="Times New Roman" w:eastAsia="Helvetica Neue" w:hAnsi="Times New Roman" w:cs="Times New Roman"/>
          <w:color w:val="000000" w:themeColor="text1"/>
          <w:sz w:val="24"/>
          <w:szCs w:val="24"/>
        </w:rPr>
        <w:t xml:space="preserve"> Access to maternal health care for young women and girls has remained problematic. An estimated 280,000 women and girls aged 15-19 give birth each year with 53,000 not having a facility-based delivery and 67,000 having less than 4 antenatal care </w:t>
      </w:r>
      <w:r w:rsidRPr="003B1A78">
        <w:rPr>
          <w:rFonts w:ascii="Times New Roman" w:eastAsia="Helvetica Neue" w:hAnsi="Times New Roman" w:cs="Times New Roman"/>
          <w:color w:val="000000" w:themeColor="text1"/>
          <w:sz w:val="24"/>
          <w:szCs w:val="24"/>
        </w:rPr>
        <w:lastRenderedPageBreak/>
        <w:t>visits.</w:t>
      </w:r>
      <w:r w:rsidR="002C41A7" w:rsidRPr="003B1A78">
        <w:rPr>
          <w:rFonts w:ascii="Times New Roman" w:eastAsia="Helvetica Neue" w:hAnsi="Times New Roman" w:cs="Times New Roman"/>
          <w:sz w:val="24"/>
          <w:szCs w:val="24"/>
          <w:vertAlign w:val="superscript"/>
        </w:rPr>
        <w:endnoteReference w:id="80"/>
      </w:r>
      <w:r w:rsidRPr="003B1A78">
        <w:rPr>
          <w:rFonts w:ascii="Times New Roman" w:eastAsia="Helvetica Neue" w:hAnsi="Times New Roman" w:cs="Times New Roman"/>
          <w:color w:val="000000" w:themeColor="text1"/>
          <w:sz w:val="24"/>
          <w:szCs w:val="24"/>
          <w:vertAlign w:val="superscript"/>
        </w:rPr>
        <w:t xml:space="preserve"> </w:t>
      </w:r>
      <w:r w:rsidRPr="003B1A78">
        <w:rPr>
          <w:rFonts w:ascii="Times New Roman" w:eastAsia="Helvetica Neue" w:hAnsi="Times New Roman" w:cs="Times New Roman"/>
          <w:color w:val="000000" w:themeColor="text1"/>
          <w:sz w:val="24"/>
          <w:szCs w:val="24"/>
        </w:rPr>
        <w:t>Maternal condition is also one of the top five causes of deaths among adolescent girls (15-19) in the country.</w:t>
      </w:r>
      <w:r w:rsidR="002C41A7" w:rsidRPr="003B1A78">
        <w:rPr>
          <w:rFonts w:ascii="Times New Roman" w:eastAsia="Helvetica Neue" w:hAnsi="Times New Roman" w:cs="Times New Roman"/>
          <w:sz w:val="24"/>
          <w:szCs w:val="24"/>
          <w:vertAlign w:val="superscript"/>
        </w:rPr>
        <w:endnoteReference w:id="81"/>
      </w:r>
      <w:r w:rsidRPr="003B1A78">
        <w:rPr>
          <w:rFonts w:ascii="Times New Roman" w:eastAsia="Helvetica Neue" w:hAnsi="Times New Roman" w:cs="Times New Roman"/>
          <w:color w:val="000000" w:themeColor="text1"/>
          <w:sz w:val="24"/>
          <w:szCs w:val="24"/>
          <w:vertAlign w:val="superscript"/>
        </w:rPr>
        <w:t xml:space="preserve"> </w:t>
      </w:r>
    </w:p>
    <w:p w14:paraId="7E7699FD" w14:textId="77777777" w:rsidR="0036462B" w:rsidRPr="002C4010" w:rsidRDefault="17A22470" w:rsidP="006F5951">
      <w:pPr>
        <w:pStyle w:val="ListParagraph"/>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hAnsi="Times New Roman" w:cs="Times New Roman"/>
          <w:sz w:val="24"/>
          <w:szCs w:val="24"/>
        </w:rPr>
      </w:pPr>
      <w:r w:rsidRPr="003B1A78">
        <w:rPr>
          <w:rFonts w:ascii="Times New Roman" w:eastAsia="Helvetica Neue" w:hAnsi="Times New Roman" w:cs="Times New Roman"/>
          <w:color w:val="000000" w:themeColor="text1"/>
          <w:sz w:val="24"/>
          <w:szCs w:val="24"/>
        </w:rPr>
        <w:t>Further, our 2022 NGO report highlighted reports that pregnant women who are poor, with more children, and those burdened with household chores and tasked with childcare are more likely not to seek services from a health care facility and therefore suffer from deaths and complications.</w:t>
      </w:r>
      <w:r w:rsidR="002C41A7" w:rsidRPr="003B1A78">
        <w:rPr>
          <w:rFonts w:ascii="Times New Roman" w:eastAsia="Helvetica Neue" w:hAnsi="Times New Roman" w:cs="Times New Roman"/>
          <w:sz w:val="24"/>
          <w:szCs w:val="24"/>
          <w:vertAlign w:val="superscript"/>
        </w:rPr>
        <w:endnoteReference w:id="82"/>
      </w:r>
      <w:r w:rsidRPr="003B1A78">
        <w:rPr>
          <w:rFonts w:ascii="Times New Roman" w:eastAsia="Helvetica Neue" w:hAnsi="Times New Roman" w:cs="Times New Roman"/>
          <w:color w:val="000000" w:themeColor="text1"/>
          <w:sz w:val="24"/>
          <w:szCs w:val="24"/>
          <w:vertAlign w:val="superscript"/>
        </w:rPr>
        <w:t xml:space="preserve"> </w:t>
      </w:r>
      <w:r w:rsidRPr="003B1A78">
        <w:rPr>
          <w:rFonts w:ascii="Times New Roman" w:eastAsia="Helvetica Neue" w:hAnsi="Times New Roman" w:cs="Times New Roman"/>
          <w:color w:val="000000" w:themeColor="text1"/>
          <w:sz w:val="24"/>
          <w:szCs w:val="24"/>
        </w:rPr>
        <w:t xml:space="preserve">We then noted how unsafe abortion and limited access to SRH care including essential drugs e.g. misoprostol for postpartum </w:t>
      </w:r>
      <w:r w:rsidR="673379F3" w:rsidRPr="003B1A78">
        <w:rPr>
          <w:rFonts w:ascii="Times New Roman" w:eastAsia="Helvetica Neue" w:hAnsi="Times New Roman" w:cs="Times New Roman"/>
          <w:color w:val="000000" w:themeColor="text1"/>
          <w:sz w:val="24"/>
          <w:szCs w:val="24"/>
        </w:rPr>
        <w:t>haemorrhage</w:t>
      </w:r>
      <w:r w:rsidRPr="003B1A78">
        <w:rPr>
          <w:rFonts w:ascii="Times New Roman" w:eastAsia="Helvetica Neue" w:hAnsi="Times New Roman" w:cs="Times New Roman"/>
          <w:color w:val="000000" w:themeColor="text1"/>
          <w:sz w:val="24"/>
          <w:szCs w:val="24"/>
        </w:rPr>
        <w:t xml:space="preserve"> contribute to the high number of maternal deaths. We also reported on the impact of COVID-19 pandemic on the increased number of home births and decreased access to pre- and post-natal care especially among adolescents. </w:t>
      </w:r>
    </w:p>
    <w:p w14:paraId="12F01536" w14:textId="39E8D410" w:rsidR="002C41A7" w:rsidRPr="003B1A78" w:rsidRDefault="17A22470" w:rsidP="002C41A7">
      <w:pPr>
        <w:pStyle w:val="ListParagraph"/>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hAnsi="Times New Roman" w:cs="Times New Roman"/>
          <w:sz w:val="24"/>
          <w:szCs w:val="24"/>
        </w:rPr>
      </w:pPr>
      <w:r w:rsidRPr="003B1A78">
        <w:rPr>
          <w:rFonts w:ascii="Times New Roman" w:eastAsia="Helvetica Neue" w:hAnsi="Times New Roman" w:cs="Times New Roman"/>
          <w:color w:val="000000" w:themeColor="text1"/>
          <w:sz w:val="24"/>
          <w:szCs w:val="24"/>
        </w:rPr>
        <w:t>Despite the Philippines being a signatory to the 2030 Agenda for Sustainable Development, which aims to reduce mortality rates to under 70 per 100,000 live births, the country still experiences six to seven maternal deaths daily due to childbirth.</w:t>
      </w:r>
      <w:r w:rsidR="002C41A7" w:rsidRPr="003B1A78">
        <w:rPr>
          <w:rFonts w:ascii="Times New Roman" w:eastAsia="Helvetica Neue" w:hAnsi="Times New Roman" w:cs="Times New Roman"/>
          <w:sz w:val="24"/>
          <w:szCs w:val="24"/>
          <w:vertAlign w:val="superscript"/>
        </w:rPr>
        <w:endnoteReference w:id="83"/>
      </w:r>
      <w:r w:rsidRPr="003B1A78">
        <w:rPr>
          <w:rFonts w:ascii="Times New Roman" w:eastAsia="Helvetica Neue" w:hAnsi="Times New Roman" w:cs="Times New Roman"/>
          <w:color w:val="000000" w:themeColor="text1"/>
          <w:sz w:val="24"/>
          <w:szCs w:val="24"/>
        </w:rPr>
        <w:t xml:space="preserve"> </w:t>
      </w:r>
      <w:r w:rsidR="4710AABF">
        <w:rPr>
          <w:rFonts w:ascii="Times New Roman" w:hAnsi="Times New Roman" w:cs="Times New Roman"/>
          <w:sz w:val="24"/>
          <w:szCs w:val="24"/>
        </w:rPr>
        <w:t>A</w:t>
      </w:r>
      <w:r w:rsidRPr="003B1A78">
        <w:rPr>
          <w:rFonts w:ascii="Times New Roman" w:hAnsi="Times New Roman" w:cs="Times New Roman"/>
          <w:sz w:val="24"/>
          <w:szCs w:val="24"/>
        </w:rPr>
        <w:t>s recognized by this Committee, the state party should reduce maternal mortality and morbidity rates by providing women access to quality post-abortion care in all public health facilities, especially in case of complications resulting from unsafe abortions, and reintroducing misoprostol.</w:t>
      </w:r>
      <w:r w:rsidR="002C41A7" w:rsidRPr="003B1A78">
        <w:rPr>
          <w:rFonts w:ascii="Times New Roman" w:hAnsi="Times New Roman" w:cs="Times New Roman"/>
          <w:sz w:val="24"/>
          <w:szCs w:val="24"/>
          <w:vertAlign w:val="superscript"/>
        </w:rPr>
        <w:endnoteReference w:id="84"/>
      </w:r>
    </w:p>
    <w:p w14:paraId="1F6A6101" w14:textId="77777777" w:rsidR="002C41A7" w:rsidRPr="003B1A78" w:rsidRDefault="17A22470" w:rsidP="002C41A7">
      <w:pPr>
        <w:pStyle w:val="ListParagraph"/>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hAnsi="Times New Roman" w:cs="Times New Roman"/>
          <w:sz w:val="24"/>
          <w:szCs w:val="24"/>
          <w:lang w:eastAsia="zh-HK"/>
        </w:rPr>
        <w:t>The pandemic also highlighted the additional challenges posed by the Maternal</w:t>
      </w:r>
      <w:r w:rsidRPr="46BFF266">
        <w:rPr>
          <w:rFonts w:ascii="Times New Roman" w:hAnsi="Times New Roman" w:cs="Times New Roman"/>
          <w:sz w:val="24"/>
          <w:szCs w:val="24"/>
          <w:lang w:val="en-US"/>
          <w14:ligatures w14:val="standardContextual"/>
        </w:rPr>
        <w:t>, Newborn, and Child Health and Nutrition (MNCHN) Strategy passed in 2008 and espoused what is commonly known as the “no home birth policy”.</w:t>
      </w:r>
      <w:r w:rsidR="002C41A7" w:rsidRPr="46BFF266">
        <w:rPr>
          <w:rStyle w:val="EndnoteReference"/>
          <w:rFonts w:ascii="Times New Roman" w:hAnsi="Times New Roman" w:cs="Times New Roman"/>
          <w:sz w:val="24"/>
          <w:szCs w:val="24"/>
          <w:lang w:val="en-US"/>
          <w14:ligatures w14:val="standardContextual"/>
        </w:rPr>
        <w:endnoteReference w:id="85"/>
      </w:r>
      <w:r w:rsidRPr="46BFF266">
        <w:rPr>
          <w:rFonts w:ascii="Times New Roman" w:hAnsi="Times New Roman" w:cs="Times New Roman"/>
          <w:sz w:val="24"/>
          <w:szCs w:val="24"/>
          <w:lang w:val="en-US"/>
          <w14:ligatures w14:val="standardContextual"/>
        </w:rPr>
        <w:t xml:space="preserve"> The policy aimed to reduce maternal mortality by discouraging home births. The 2022 NGO report reveals a surge in home births during the pandemic due to transportation challenges for women in remote areas who live far from the clinics. Further, many women worry about uncovered expenses, making traditional birth attendants, who charge around USD 10, a more affordable option.</w:t>
      </w:r>
      <w:r w:rsidR="002C41A7" w:rsidRPr="003B1A78">
        <w:rPr>
          <w:rStyle w:val="EndnoteReference"/>
          <w:rFonts w:ascii="Times New Roman" w:hAnsi="Times New Roman" w:cs="Times New Roman"/>
          <w:sz w:val="24"/>
          <w:szCs w:val="24"/>
        </w:rPr>
        <w:endnoteReference w:id="86"/>
      </w:r>
      <w:r w:rsidRPr="46BFF266">
        <w:rPr>
          <w:rFonts w:ascii="Times New Roman" w:hAnsi="Times New Roman" w:cs="Times New Roman"/>
          <w:sz w:val="24"/>
          <w:szCs w:val="24"/>
          <w:lang w:val="en-US"/>
          <w14:ligatures w14:val="standardContextual"/>
        </w:rPr>
        <w:t xml:space="preserve"> The policy negatively and disproportionately impacts women in rural areas and those living in poorer conditions as there is higher prevalence of home delivery among them compared to their urban counterparts.</w:t>
      </w:r>
      <w:r w:rsidR="002C41A7" w:rsidRPr="46BFF266">
        <w:rPr>
          <w:rStyle w:val="EndnoteReference"/>
          <w:rFonts w:ascii="Times New Roman" w:hAnsi="Times New Roman" w:cs="Times New Roman"/>
        </w:rPr>
        <w:endnoteReference w:id="87"/>
      </w:r>
    </w:p>
    <w:p w14:paraId="6F63EBE6" w14:textId="1C72E8D9" w:rsidR="002C41A7" w:rsidRPr="003B1A78" w:rsidRDefault="17A22470" w:rsidP="002C41A7">
      <w:pPr>
        <w:pStyle w:val="ListParagraph"/>
        <w:numPr>
          <w:ilvl w:val="0"/>
          <w:numId w:val="1"/>
        </w:numPr>
        <w:pBdr>
          <w:top w:val="nil"/>
          <w:left w:val="nil"/>
          <w:bottom w:val="nil"/>
          <w:right w:val="nil"/>
          <w:between w:val="nil"/>
        </w:pBdr>
        <w:tabs>
          <w:tab w:val="left" w:pos="1701"/>
          <w:tab w:val="left" w:pos="2268"/>
          <w:tab w:val="left" w:pos="2835"/>
        </w:tabs>
        <w:autoSpaceDE w:val="0"/>
        <w:autoSpaceDN w:val="0"/>
        <w:adjustRightInd w:val="0"/>
        <w:spacing w:beforeLines="30" w:before="72" w:afterLines="30" w:after="72"/>
        <w:ind w:right="1134"/>
        <w:rPr>
          <w:rFonts w:ascii="Times New Roman" w:eastAsiaTheme="minorHAnsi" w:hAnsi="Times New Roman" w:cs="Times New Roman"/>
          <w:sz w:val="24"/>
          <w:szCs w:val="24"/>
          <w:lang w:val="en-US" w:eastAsia="en-US"/>
          <w14:ligatures w14:val="standardContextual"/>
        </w:rPr>
      </w:pPr>
      <w:r w:rsidRPr="46BFF266">
        <w:rPr>
          <w:rFonts w:ascii="Times New Roman" w:hAnsi="Times New Roman" w:cs="Times New Roman"/>
          <w:sz w:val="24"/>
          <w:szCs w:val="24"/>
          <w:lang w:val="en-US" w:eastAsia="en-US"/>
          <w14:ligatures w14:val="standardContextual"/>
        </w:rPr>
        <w:t xml:space="preserve">Treaty monitoring bodies have specifically recognized that intersectional discrimination can hinder women’s access to maternal health </w:t>
      </w:r>
      <w:r w:rsidR="00AE2761" w:rsidRPr="46BFF266">
        <w:rPr>
          <w:rFonts w:ascii="Times New Roman" w:hAnsi="Times New Roman" w:cs="Times New Roman"/>
          <w:sz w:val="24"/>
          <w:szCs w:val="24"/>
          <w:lang w:val="en-US" w:eastAsia="en-US"/>
          <w14:ligatures w14:val="standardContextual"/>
        </w:rPr>
        <w:t>services and</w:t>
      </w:r>
      <w:r w:rsidRPr="46BFF266">
        <w:rPr>
          <w:rFonts w:ascii="Times New Roman" w:hAnsi="Times New Roman" w:cs="Times New Roman"/>
          <w:sz w:val="24"/>
          <w:szCs w:val="24"/>
          <w:lang w:val="en-US" w:eastAsia="en-US"/>
          <w14:ligatures w14:val="standardContextual"/>
        </w:rPr>
        <w:t xml:space="preserve"> have recommended that States put a particular focus on the maternal health needs of women from marginalized groups, including adolescents, poor women, minority women, rural women, migrant women, and women with disabilities. This requires the collection of disaggregated data on maternal mortality.</w:t>
      </w:r>
      <w:r w:rsidR="002C41A7" w:rsidRPr="46BFF266">
        <w:rPr>
          <w:rStyle w:val="EndnoteReference"/>
          <w:rFonts w:ascii="Times New Roman" w:hAnsi="Times New Roman" w:cs="Times New Roman"/>
          <w:sz w:val="24"/>
          <w:szCs w:val="24"/>
          <w:lang w:val="en-US" w:eastAsia="en-US"/>
          <w14:ligatures w14:val="standardContextual"/>
        </w:rPr>
        <w:endnoteReference w:id="88"/>
      </w:r>
    </w:p>
    <w:p w14:paraId="675DBA0F" w14:textId="77777777" w:rsidR="002C41A7" w:rsidRDefault="002C41A7" w:rsidP="007F30A7">
      <w:pPr>
        <w:ind w:left="0" w:firstLine="0"/>
        <w:rPr>
          <w:rFonts w:ascii="Times New Roman" w:hAnsi="Times New Roman" w:cs="Times New Roman"/>
          <w:lang w:val="en-US" w:eastAsia="en-US"/>
        </w:rPr>
      </w:pPr>
    </w:p>
    <w:p w14:paraId="3AAE8AEA" w14:textId="77777777" w:rsidR="007F30A7" w:rsidRDefault="007F30A7" w:rsidP="007F30A7">
      <w:pPr>
        <w:pBdr>
          <w:bottom w:val="single" w:sz="6" w:space="1" w:color="auto"/>
        </w:pBdr>
        <w:ind w:left="0" w:firstLine="0"/>
        <w:rPr>
          <w:rFonts w:ascii="Times New Roman" w:hAnsi="Times New Roman" w:cs="Times New Roman"/>
          <w:lang w:val="en-US" w:eastAsia="en-US"/>
        </w:rPr>
      </w:pPr>
    </w:p>
    <w:p w14:paraId="73987432" w14:textId="77777777" w:rsidR="007F30A7" w:rsidRPr="003B1A78" w:rsidRDefault="007F30A7" w:rsidP="007F30A7">
      <w:pPr>
        <w:ind w:left="0" w:firstLine="0"/>
        <w:rPr>
          <w:rFonts w:ascii="Times New Roman" w:hAnsi="Times New Roman" w:cs="Times New Roman"/>
          <w:lang w:val="en-US" w:eastAsia="en-US"/>
        </w:rPr>
      </w:pPr>
    </w:p>
    <w:p w14:paraId="11B7B3AF" w14:textId="77777777" w:rsidR="002C41A7" w:rsidRPr="003B1A78" w:rsidRDefault="002C41A7" w:rsidP="002C41A7">
      <w:pPr>
        <w:rPr>
          <w:rFonts w:ascii="Times New Roman" w:hAnsi="Times New Roman" w:cs="Times New Roman"/>
          <w:lang w:val="en-US" w:eastAsia="en-US"/>
        </w:rPr>
      </w:pPr>
    </w:p>
    <w:p w14:paraId="3BCEA713" w14:textId="77777777" w:rsidR="006F630C" w:rsidRPr="00575F0F" w:rsidRDefault="006F630C" w:rsidP="006F630C">
      <w:pPr>
        <w:ind w:left="360"/>
        <w:rPr>
          <w:rFonts w:ascii="Times New Roman" w:hAnsi="Times New Roman" w:cs="Times New Roman"/>
          <w:b/>
          <w:bCs/>
          <w:sz w:val="24"/>
          <w:szCs w:val="24"/>
        </w:rPr>
      </w:pPr>
      <w:r w:rsidRPr="00575F0F">
        <w:rPr>
          <w:rFonts w:ascii="Times New Roman" w:hAnsi="Times New Roman" w:cs="Times New Roman"/>
          <w:b/>
          <w:bCs/>
          <w:sz w:val="24"/>
          <w:szCs w:val="24"/>
        </w:rPr>
        <w:t>We propose that the Committee urge the state party to:</w:t>
      </w:r>
    </w:p>
    <w:p w14:paraId="01EC4D09" w14:textId="77777777" w:rsidR="006F630C" w:rsidRPr="00575F0F" w:rsidRDefault="006F630C" w:rsidP="006F630C">
      <w:pPr>
        <w:ind w:left="360"/>
        <w:rPr>
          <w:rFonts w:ascii="Times New Roman" w:hAnsi="Times New Roman" w:cs="Times New Roman"/>
          <w:b/>
          <w:bCs/>
        </w:rPr>
      </w:pPr>
    </w:p>
    <w:p w14:paraId="61541089" w14:textId="77777777" w:rsidR="006F630C" w:rsidRPr="00575F0F" w:rsidRDefault="006F630C" w:rsidP="006F630C">
      <w:pPr>
        <w:pStyle w:val="Bullet1G"/>
        <w:numPr>
          <w:ilvl w:val="0"/>
          <w:numId w:val="7"/>
        </w:numPr>
        <w:spacing w:beforeLines="30" w:before="72" w:afterLines="30" w:after="72"/>
        <w:ind w:left="709" w:right="344"/>
        <w:rPr>
          <w:b/>
          <w:bCs/>
          <w:sz w:val="24"/>
          <w:szCs w:val="24"/>
          <w:lang w:val="en-US"/>
        </w:rPr>
      </w:pPr>
      <w:r w:rsidRPr="00575F0F">
        <w:rPr>
          <w:b/>
          <w:bCs/>
          <w:sz w:val="24"/>
          <w:szCs w:val="24"/>
          <w:lang w:val="en-US"/>
        </w:rPr>
        <w:t>Allocate sufficient resources to ensure affordable access to timely and quality maternal health care throughout pregnancy, delivery, and post-childbirth without discrimination,</w:t>
      </w:r>
    </w:p>
    <w:p w14:paraId="710B2F6F" w14:textId="77777777" w:rsidR="006F630C" w:rsidRPr="00575F0F" w:rsidRDefault="006F630C" w:rsidP="006F630C">
      <w:pPr>
        <w:pStyle w:val="Bullet1G"/>
        <w:numPr>
          <w:ilvl w:val="0"/>
          <w:numId w:val="7"/>
        </w:numPr>
        <w:spacing w:beforeLines="30" w:before="72" w:afterLines="30" w:after="72"/>
        <w:ind w:left="709" w:right="344"/>
        <w:rPr>
          <w:b/>
          <w:bCs/>
          <w:sz w:val="24"/>
          <w:szCs w:val="24"/>
          <w:lang w:val="en-US"/>
        </w:rPr>
      </w:pPr>
      <w:r w:rsidRPr="00575F0F">
        <w:rPr>
          <w:b/>
          <w:bCs/>
          <w:sz w:val="24"/>
          <w:szCs w:val="24"/>
          <w:lang w:val="en-US"/>
        </w:rPr>
        <w:t>Ensure the availability of childbirth traditions of indigenous women in obstetric practice and remove penalties for home birth or non-facility-based deliveries,</w:t>
      </w:r>
    </w:p>
    <w:p w14:paraId="5527BA19" w14:textId="77777777" w:rsidR="006F630C" w:rsidRPr="00112A3A" w:rsidRDefault="006F630C" w:rsidP="006F630C">
      <w:pPr>
        <w:pStyle w:val="Bullet1G"/>
        <w:numPr>
          <w:ilvl w:val="0"/>
          <w:numId w:val="7"/>
        </w:numPr>
        <w:spacing w:beforeLines="30" w:before="72" w:afterLines="30" w:after="72"/>
        <w:ind w:left="709" w:right="344"/>
        <w:rPr>
          <w:sz w:val="24"/>
          <w:szCs w:val="24"/>
          <w:lang w:val="en-US"/>
        </w:rPr>
      </w:pPr>
      <w:r w:rsidRPr="00575F0F">
        <w:rPr>
          <w:b/>
          <w:bCs/>
          <w:sz w:val="24"/>
          <w:szCs w:val="24"/>
          <w:lang w:val="en-US"/>
        </w:rPr>
        <w:lastRenderedPageBreak/>
        <w:t xml:space="preserve">Ensure the availability of non-discriminatory, affordable, and accessible maternal care services and facilities for particularly for adolescents, women and girls with </w:t>
      </w:r>
      <w:r w:rsidRPr="00A13673">
        <w:rPr>
          <w:b/>
          <w:bCs/>
          <w:sz w:val="24"/>
          <w:szCs w:val="24"/>
          <w:lang w:val="en-US"/>
        </w:rPr>
        <w:t>disabilities, persons living with HIV/AIDS, and gender diverse individuals, and train health professionals on their specific health needs</w:t>
      </w:r>
      <w:r w:rsidRPr="00112A3A">
        <w:rPr>
          <w:sz w:val="24"/>
          <w:szCs w:val="24"/>
          <w:lang w:val="en-US"/>
        </w:rPr>
        <w:t>,</w:t>
      </w:r>
    </w:p>
    <w:p w14:paraId="701B25D3" w14:textId="77777777" w:rsidR="006F630C" w:rsidRPr="00A13673" w:rsidRDefault="006F630C" w:rsidP="006F630C">
      <w:pPr>
        <w:pStyle w:val="Bullet1G"/>
        <w:numPr>
          <w:ilvl w:val="0"/>
          <w:numId w:val="7"/>
        </w:numPr>
        <w:spacing w:beforeLines="30" w:before="72" w:afterLines="30" w:after="72"/>
        <w:ind w:left="709" w:right="344"/>
        <w:rPr>
          <w:b/>
          <w:bCs/>
          <w:sz w:val="24"/>
          <w:szCs w:val="24"/>
          <w:lang w:val="en-US"/>
        </w:rPr>
      </w:pPr>
      <w:r w:rsidRPr="00A13673">
        <w:rPr>
          <w:b/>
          <w:bCs/>
          <w:sz w:val="24"/>
          <w:szCs w:val="24"/>
          <w:lang w:val="en-US"/>
        </w:rPr>
        <w:t>Reduce maternal mortality and morbidity rates including by reintroducing misoprostol to prevent and treat post-partum hemorrhage particularly for those living in rural areas and geographically isolated and disadvantaged areas, and providing safe abortion and timely post-abortion care,</w:t>
      </w:r>
    </w:p>
    <w:p w14:paraId="5C86FA33" w14:textId="77777777" w:rsidR="006F630C" w:rsidRPr="00A13673" w:rsidRDefault="006F630C" w:rsidP="006F630C">
      <w:pPr>
        <w:pStyle w:val="Bullet1G"/>
        <w:numPr>
          <w:ilvl w:val="0"/>
          <w:numId w:val="7"/>
        </w:numPr>
        <w:spacing w:beforeLines="30" w:before="72" w:afterLines="30" w:after="72"/>
        <w:ind w:left="709" w:right="344"/>
        <w:rPr>
          <w:b/>
          <w:bCs/>
          <w:sz w:val="24"/>
          <w:szCs w:val="24"/>
          <w:lang w:val="en-US"/>
        </w:rPr>
      </w:pPr>
      <w:r w:rsidRPr="00A13673">
        <w:rPr>
          <w:b/>
          <w:bCs/>
          <w:sz w:val="24"/>
          <w:szCs w:val="24"/>
          <w:lang w:val="en-US"/>
        </w:rPr>
        <w:t>Gather comprehensive and disaggregated data on the incidence of obstetric violence and review and strengthen laws and policies to prohibit the mistreatment of women during pregnancy and childbirth.</w:t>
      </w:r>
    </w:p>
    <w:p w14:paraId="774B3DA4" w14:textId="54B4EC00" w:rsidR="006F630C" w:rsidRPr="00A13673" w:rsidRDefault="006F630C" w:rsidP="006F630C">
      <w:pPr>
        <w:pBdr>
          <w:bottom w:val="single" w:sz="6" w:space="1" w:color="auto"/>
        </w:pBdr>
        <w:ind w:left="0" w:firstLine="0"/>
        <w:rPr>
          <w:rFonts w:ascii="Times New Roman" w:hAnsi="Times New Roman" w:cs="Times New Roman"/>
          <w:b/>
          <w:bCs/>
          <w:lang w:val="en-US" w:eastAsia="en-US"/>
        </w:rPr>
      </w:pPr>
    </w:p>
    <w:p w14:paraId="040E3585" w14:textId="77777777" w:rsidR="007F30A7" w:rsidRPr="00A13673" w:rsidRDefault="007F30A7" w:rsidP="006F630C">
      <w:pPr>
        <w:ind w:left="0" w:firstLine="0"/>
        <w:rPr>
          <w:rFonts w:ascii="Times New Roman" w:hAnsi="Times New Roman" w:cs="Times New Roman"/>
          <w:b/>
          <w:bCs/>
          <w:lang w:val="en-US" w:eastAsia="en-US"/>
        </w:rPr>
      </w:pPr>
    </w:p>
    <w:p w14:paraId="0939260A" w14:textId="35EB5B37" w:rsidR="002C41A7" w:rsidRPr="003B1A78" w:rsidRDefault="002C41A7" w:rsidP="007F30A7">
      <w:pPr>
        <w:tabs>
          <w:tab w:val="left" w:pos="3513"/>
        </w:tabs>
        <w:rPr>
          <w:rFonts w:ascii="Times New Roman" w:eastAsia="Helvetica Neue" w:hAnsi="Times New Roman" w:cs="Times New Roman"/>
          <w:b/>
          <w:color w:val="0070C0"/>
          <w:sz w:val="24"/>
          <w:szCs w:val="24"/>
        </w:rPr>
      </w:pPr>
      <w:r w:rsidRPr="003B1A78">
        <w:rPr>
          <w:rFonts w:ascii="Times New Roman" w:hAnsi="Times New Roman" w:cs="Times New Roman"/>
          <w:lang w:val="en-US" w:eastAsia="en-US"/>
        </w:rPr>
        <w:tab/>
      </w:r>
    </w:p>
    <w:p w14:paraId="7074F3C5"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b/>
          <w:color w:val="0070C0"/>
          <w:sz w:val="24"/>
          <w:szCs w:val="24"/>
        </w:rPr>
      </w:pPr>
      <w:r w:rsidRPr="003B1A78">
        <w:rPr>
          <w:rFonts w:ascii="Times New Roman" w:eastAsia="Helvetica Neue" w:hAnsi="Times New Roman" w:cs="Times New Roman"/>
          <w:b/>
          <w:color w:val="0070C0"/>
          <w:sz w:val="24"/>
          <w:szCs w:val="24"/>
        </w:rPr>
        <w:t xml:space="preserve">V. Education </w:t>
      </w:r>
      <w:r w:rsidRPr="003B1A78">
        <w:rPr>
          <w:rFonts w:ascii="Times New Roman" w:eastAsia="Helvetica Neue" w:hAnsi="Times New Roman" w:cs="Times New Roman"/>
          <w:bCs/>
          <w:i/>
          <w:iCs/>
          <w:color w:val="0070C0"/>
          <w:sz w:val="24"/>
          <w:szCs w:val="24"/>
        </w:rPr>
        <w:t>(Articles 2, 5, 12, 16)</w:t>
      </w:r>
    </w:p>
    <w:p w14:paraId="51B8B7DD"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0" w:right="1134" w:firstLine="0"/>
        <w:rPr>
          <w:rFonts w:ascii="Times New Roman" w:eastAsia="Helvetica Neue" w:hAnsi="Times New Roman" w:cs="Times New Roman"/>
          <w:b/>
          <w:color w:val="000000" w:themeColor="text1"/>
          <w:sz w:val="24"/>
          <w:szCs w:val="24"/>
        </w:rPr>
      </w:pPr>
    </w:p>
    <w:p w14:paraId="36727752" w14:textId="77777777" w:rsidR="002C41A7" w:rsidRPr="003B1A78" w:rsidRDefault="17A22470" w:rsidP="002C41A7">
      <w:pPr>
        <w:pBdr>
          <w:top w:val="nil"/>
          <w:left w:val="nil"/>
          <w:bottom w:val="nil"/>
          <w:right w:val="nil"/>
          <w:between w:val="nil"/>
        </w:pBdr>
        <w:tabs>
          <w:tab w:val="left" w:pos="1701"/>
          <w:tab w:val="left" w:pos="2268"/>
          <w:tab w:val="left" w:pos="2835"/>
        </w:tabs>
        <w:spacing w:beforeLines="30" w:before="72" w:afterLines="30" w:after="72"/>
        <w:ind w:left="1134" w:right="2414" w:hanging="54"/>
        <w:rPr>
          <w:rFonts w:ascii="Times New Roman" w:eastAsia="Helvetica Neue" w:hAnsi="Times New Roman" w:cs="Times New Roman"/>
          <w:i/>
          <w:color w:val="000000" w:themeColor="text1"/>
          <w:sz w:val="24"/>
          <w:szCs w:val="24"/>
        </w:rPr>
      </w:pPr>
      <w:r w:rsidRPr="003B1A78">
        <w:rPr>
          <w:rFonts w:ascii="Times New Roman" w:eastAsia="Helvetica Neue" w:hAnsi="Times New Roman" w:cs="Times New Roman"/>
          <w:i/>
          <w:color w:val="000000" w:themeColor="text1"/>
          <w:sz w:val="24"/>
          <w:szCs w:val="24"/>
        </w:rPr>
        <w:t xml:space="preserve">Please provide information on measures taken to…operationalize a school-based, gender-sensitive, comprehensive sexuality education curricula in accordance with international standards, following the Comprehensive Sexuality Education and Adolescent Reproductive Health Convergence. </w:t>
      </w:r>
      <w:r w:rsidR="002C41A7" w:rsidRPr="003B1A78">
        <w:rPr>
          <w:rFonts w:ascii="Times New Roman" w:eastAsia="Helvetica Neue" w:hAnsi="Times New Roman" w:cs="Times New Roman"/>
          <w:i/>
          <w:color w:val="000000" w:themeColor="text1"/>
          <w:sz w:val="24"/>
          <w:szCs w:val="24"/>
          <w:vertAlign w:val="superscript"/>
        </w:rPr>
        <w:endnoteReference w:id="89"/>
      </w:r>
    </w:p>
    <w:p w14:paraId="60585D0E" w14:textId="77777777" w:rsidR="002C41A7" w:rsidRPr="003B1A78" w:rsidRDefault="002C41A7" w:rsidP="002C41A7">
      <w:pPr>
        <w:pBdr>
          <w:top w:val="nil"/>
          <w:left w:val="nil"/>
          <w:bottom w:val="nil"/>
          <w:right w:val="nil"/>
          <w:between w:val="nil"/>
        </w:pBdr>
        <w:tabs>
          <w:tab w:val="left" w:pos="1701"/>
          <w:tab w:val="left" w:pos="2268"/>
          <w:tab w:val="left" w:pos="2835"/>
        </w:tabs>
        <w:spacing w:beforeLines="30" w:before="72" w:afterLines="30" w:after="72"/>
        <w:ind w:left="1134" w:right="1134" w:hanging="54"/>
        <w:rPr>
          <w:rFonts w:ascii="Times New Roman" w:eastAsia="Helvetica Neue" w:hAnsi="Times New Roman" w:cs="Times New Roman"/>
          <w:i/>
          <w:color w:val="000000" w:themeColor="text1"/>
          <w:sz w:val="24"/>
          <w:szCs w:val="24"/>
        </w:rPr>
      </w:pPr>
    </w:p>
    <w:p w14:paraId="38F6BAE0" w14:textId="77777777" w:rsidR="002C41A7" w:rsidRPr="003B1A78" w:rsidRDefault="17A22470"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 xml:space="preserve">The state party in its Replies to the LOIs mentioned the continuous promotion of Gender-Responsive Curricular Programs in higher education </w:t>
      </w:r>
      <w:r w:rsidRPr="003B1A78">
        <w:rPr>
          <w:rFonts w:ascii="Times New Roman" w:hAnsi="Times New Roman" w:cs="Times New Roman"/>
          <w:sz w:val="24"/>
          <w:szCs w:val="24"/>
          <w:lang w:val="en-PH"/>
        </w:rPr>
        <w:t xml:space="preserve">education and roll-out of the Gender Sensitive Curriculum and Gender Sensitivity Trainer's Manual in TVET programs; and </w:t>
      </w:r>
      <w:r w:rsidRPr="003B1A78">
        <w:rPr>
          <w:rFonts w:ascii="Times New Roman" w:eastAsia="Helvetica Neue" w:hAnsi="Times New Roman" w:cs="Times New Roman"/>
          <w:color w:val="000000" w:themeColor="text1"/>
          <w:sz w:val="24"/>
          <w:szCs w:val="24"/>
        </w:rPr>
        <w:t xml:space="preserve">introduction of Comprehensive Sexuality education (CSE). </w:t>
      </w:r>
      <w:r w:rsidR="002C41A7" w:rsidRPr="003B1A78">
        <w:rPr>
          <w:rStyle w:val="EndnoteReference"/>
          <w:rFonts w:ascii="Times New Roman" w:eastAsia="Helvetica Neue" w:hAnsi="Times New Roman" w:cs="Times New Roman"/>
          <w:color w:val="000000" w:themeColor="text1"/>
          <w:sz w:val="24"/>
          <w:szCs w:val="24"/>
        </w:rPr>
        <w:endnoteReference w:id="90"/>
      </w:r>
    </w:p>
    <w:p w14:paraId="6C6C0694" w14:textId="77777777" w:rsidR="002C41A7" w:rsidRPr="003B1A78" w:rsidRDefault="17A22470"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003B1A78">
        <w:rPr>
          <w:rFonts w:ascii="Times New Roman" w:eastAsia="Helvetica Neue" w:hAnsi="Times New Roman" w:cs="Times New Roman"/>
          <w:color w:val="000000" w:themeColor="text1"/>
          <w:sz w:val="24"/>
          <w:szCs w:val="24"/>
        </w:rPr>
        <w:t xml:space="preserve">However, despite the efforts of the state party to include sexual and reproductive health and rights in its education system, there are still barriers to increasing the awareness and capacities of </w:t>
      </w:r>
      <w:r w:rsidRPr="003B1A78">
        <w:rPr>
          <w:rFonts w:ascii="Times New Roman" w:hAnsi="Times New Roman" w:cs="Times New Roman"/>
          <w:sz w:val="24"/>
          <w:szCs w:val="24"/>
        </w:rPr>
        <w:t>children</w:t>
      </w:r>
      <w:r w:rsidRPr="003B1A78">
        <w:rPr>
          <w:rFonts w:ascii="Times New Roman" w:eastAsia="Helvetica Neue" w:hAnsi="Times New Roman" w:cs="Times New Roman"/>
          <w:color w:val="000000" w:themeColor="text1"/>
          <w:sz w:val="24"/>
          <w:szCs w:val="24"/>
        </w:rPr>
        <w:t xml:space="preserve"> and adolescents about their sexual and reproductive health and rights. At the same time, the COVID-19 pandemic further deepened the pre-existing challenges in the proper and effective implementation of Comprehensive Sexual Education (CSE).  As the educational system shifted to distance learning using various modalities, the quality of education during the pandemic was drastically reduced due to the digital divide, lack of preparation and training for school personnel, and insufficient state funding. Moreover, the pandemic situation resulted in the growing number of out-of-school youth posted from 16.9% in January 2020 to 25.2% in April 2020 </w:t>
      </w:r>
      <w:r w:rsidR="002C41A7" w:rsidRPr="003B1A78">
        <w:rPr>
          <w:rFonts w:ascii="Times New Roman" w:eastAsia="Helvetica Neue" w:hAnsi="Times New Roman" w:cs="Times New Roman"/>
          <w:color w:val="000000" w:themeColor="text1"/>
          <w:sz w:val="24"/>
          <w:szCs w:val="24"/>
          <w:vertAlign w:val="superscript"/>
        </w:rPr>
        <w:endnoteReference w:id="91"/>
      </w:r>
      <w:r w:rsidRPr="003B1A78">
        <w:rPr>
          <w:rFonts w:ascii="Times New Roman" w:eastAsia="Helvetica Neue" w:hAnsi="Times New Roman" w:cs="Times New Roman"/>
          <w:color w:val="000000" w:themeColor="text1"/>
          <w:sz w:val="24"/>
          <w:szCs w:val="24"/>
          <w:vertAlign w:val="superscript"/>
        </w:rPr>
        <w:t>,</w:t>
      </w:r>
      <w:r w:rsidRPr="003B1A78">
        <w:rPr>
          <w:rFonts w:ascii="Times New Roman" w:eastAsia="Helvetica Neue" w:hAnsi="Times New Roman" w:cs="Times New Roman"/>
          <w:color w:val="000000" w:themeColor="text1"/>
          <w:sz w:val="24"/>
          <w:szCs w:val="24"/>
        </w:rPr>
        <w:t xml:space="preserve">  which consequently led to the increasing number of adolescents who have been deprived of their right to access necessary information relating to sexual education. </w:t>
      </w:r>
    </w:p>
    <w:p w14:paraId="0745487E" w14:textId="77777777" w:rsidR="002C41A7" w:rsidRPr="003B1A78" w:rsidRDefault="17A22470" w:rsidP="002C41A7">
      <w:pPr>
        <w:pStyle w:val="Bullet1G"/>
        <w:numPr>
          <w:ilvl w:val="0"/>
          <w:numId w:val="1"/>
        </w:numPr>
        <w:tabs>
          <w:tab w:val="left" w:pos="1701"/>
        </w:tabs>
        <w:spacing w:beforeLines="30" w:before="72" w:afterLines="30" w:after="72"/>
        <w:rPr>
          <w:rFonts w:eastAsia="Helvetica Neue"/>
          <w:i/>
          <w:color w:val="000000" w:themeColor="text1"/>
          <w:sz w:val="24"/>
          <w:szCs w:val="24"/>
        </w:rPr>
      </w:pPr>
      <w:r w:rsidRPr="003B1A78">
        <w:rPr>
          <w:rFonts w:eastAsia="Helvetica Neue"/>
          <w:color w:val="000000" w:themeColor="text1"/>
          <w:sz w:val="24"/>
          <w:szCs w:val="24"/>
        </w:rPr>
        <w:t>According to the state party, CSE topics include gender awareness and sensitivity, abstinence, body image, puberty, and reproduction are incorporated in Family Health for Grade 8.</w:t>
      </w:r>
      <w:r w:rsidR="002C41A7" w:rsidRPr="003B1A78">
        <w:rPr>
          <w:rFonts w:eastAsia="Helvetica Neue"/>
          <w:color w:val="000000" w:themeColor="text1"/>
          <w:sz w:val="24"/>
          <w:szCs w:val="24"/>
          <w:vertAlign w:val="superscript"/>
        </w:rPr>
        <w:endnoteReference w:id="92"/>
      </w:r>
      <w:r w:rsidRPr="003B1A78">
        <w:rPr>
          <w:rFonts w:eastAsia="Helvetica Neue"/>
          <w:color w:val="000000" w:themeColor="text1"/>
          <w:sz w:val="24"/>
          <w:szCs w:val="24"/>
        </w:rPr>
        <w:t xml:space="preserve"> Meanwhile, gender and development concepts are incorporated in the curriculum for Social Studies for Grade 10, and personality and career development are taught in Grades 11 and 12. While CSE </w:t>
      </w:r>
      <w:r w:rsidRPr="003B1A78">
        <w:rPr>
          <w:rFonts w:eastAsia="Helvetica Neue"/>
          <w:color w:val="000000" w:themeColor="text1"/>
          <w:sz w:val="24"/>
          <w:szCs w:val="24"/>
        </w:rPr>
        <w:lastRenderedPageBreak/>
        <w:t xml:space="preserve">integration is required across all subjects under the RPRHA, there have been only five subjects so far where this has been done and partly because Department of Education Order No. 31 which was belatedly issued in 2018 only identified subject areas where it should be included.  </w:t>
      </w:r>
    </w:p>
    <w:p w14:paraId="07FAAC78" w14:textId="262FF57C" w:rsidR="002C41A7" w:rsidRPr="003B1A78" w:rsidRDefault="17A22470" w:rsidP="002C41A7">
      <w:pPr>
        <w:pStyle w:val="ListParagraph"/>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lang w:eastAsia="en-US"/>
        </w:rPr>
      </w:pPr>
      <w:r w:rsidRPr="003B1A78">
        <w:rPr>
          <w:rFonts w:ascii="Times New Roman" w:eastAsia="Helvetica Neue" w:hAnsi="Times New Roman" w:cs="Times New Roman"/>
          <w:color w:val="000000" w:themeColor="text1"/>
          <w:sz w:val="24"/>
          <w:szCs w:val="24"/>
          <w:lang w:eastAsia="en-US"/>
        </w:rPr>
        <w:t>As discussed in our 2022 NGO report, public school teachers claimed that they have not been part of any training on integrating age- and development-appropriate RH education.</w:t>
      </w:r>
      <w:r w:rsidR="002C41A7" w:rsidRPr="003B1A78">
        <w:rPr>
          <w:rFonts w:ascii="Times New Roman" w:eastAsia="Helvetica Neue" w:hAnsi="Times New Roman" w:cs="Times New Roman"/>
          <w:color w:val="000000" w:themeColor="text1"/>
          <w:sz w:val="24"/>
          <w:szCs w:val="24"/>
          <w:vertAlign w:val="superscript"/>
          <w:lang w:eastAsia="en-US"/>
        </w:rPr>
        <w:endnoteReference w:id="93"/>
      </w:r>
      <w:r w:rsidRPr="003B1A78">
        <w:rPr>
          <w:rFonts w:ascii="Times New Roman" w:eastAsia="Helvetica Neue" w:hAnsi="Times New Roman" w:cs="Times New Roman"/>
          <w:color w:val="000000" w:themeColor="text1"/>
          <w:sz w:val="24"/>
          <w:szCs w:val="24"/>
          <w:lang w:eastAsia="en-US"/>
        </w:rPr>
        <w:t xml:space="preserve"> Hence, it remains unclear how key concepts of sexual and reproductive health issues including contraception, pregnancy, abortion, birth, and sexually transmitted diseases among others are being integrated and discussed in schools. There were also concerns that because there could be students of different ages in the same class and grade level, age- and development-appropriate education cannot be achieved using the same information for all.</w:t>
      </w:r>
      <w:r w:rsidR="002C41A7" w:rsidRPr="003B1A78">
        <w:rPr>
          <w:rFonts w:ascii="Times New Roman" w:eastAsia="Helvetica Neue" w:hAnsi="Times New Roman" w:cs="Times New Roman"/>
          <w:color w:val="000000" w:themeColor="text1"/>
          <w:sz w:val="24"/>
          <w:szCs w:val="24"/>
          <w:vertAlign w:val="superscript"/>
          <w:lang w:eastAsia="en-US"/>
        </w:rPr>
        <w:endnoteReference w:id="94"/>
      </w:r>
    </w:p>
    <w:p w14:paraId="36B72EE4" w14:textId="77777777" w:rsidR="002C41A7" w:rsidRPr="003B1A78" w:rsidRDefault="17A22470" w:rsidP="002C41A7">
      <w:pPr>
        <w:numPr>
          <w:ilvl w:val="0"/>
          <w:numId w:val="1"/>
        </w:numPr>
        <w:pBdr>
          <w:top w:val="nil"/>
          <w:left w:val="nil"/>
          <w:bottom w:val="nil"/>
          <w:right w:val="nil"/>
          <w:between w:val="nil"/>
        </w:pBdr>
        <w:tabs>
          <w:tab w:val="left" w:pos="1701"/>
          <w:tab w:val="left" w:pos="2268"/>
          <w:tab w:val="left" w:pos="2835"/>
        </w:tabs>
        <w:spacing w:beforeLines="30" w:before="72" w:afterLines="30" w:after="72"/>
        <w:ind w:right="1134"/>
        <w:rPr>
          <w:rFonts w:ascii="Times New Roman" w:eastAsia="Helvetica Neue" w:hAnsi="Times New Roman" w:cs="Times New Roman"/>
          <w:color w:val="000000" w:themeColor="text1"/>
          <w:sz w:val="24"/>
          <w:szCs w:val="24"/>
        </w:rPr>
      </w:pPr>
      <w:r w:rsidRPr="46BFF266">
        <w:rPr>
          <w:rFonts w:ascii="Times New Roman" w:hAnsi="Times New Roman" w:cs="Times New Roman"/>
          <w:sz w:val="24"/>
          <w:szCs w:val="24"/>
          <w:lang w:val="en-US" w:eastAsia="en-US"/>
          <w14:ligatures w14:val="standardContextual"/>
        </w:rPr>
        <w:t>As mentioned above, there are bills filed in the Senate and the House of Representatives that seek to prevent adolescent pregnancies which former President Rodrigo Duterte called a “national priority” under Executive Order 141, issued in 2021. These bills will make comprehensive sexuality education (CSE) mandatory at all levels of basic education and aims to eliminate the taboo around discussing adolescent sexuality. It seeks to ensure that CSE is medically accurate, culturally sensitive, rights based, and inclusive and non-discriminatory towards LGBTQIA adolescents.</w:t>
      </w:r>
      <w:r w:rsidR="002C41A7" w:rsidRPr="46BFF266">
        <w:rPr>
          <w:rStyle w:val="EndnoteReference"/>
          <w:rFonts w:ascii="Times New Roman" w:hAnsi="Times New Roman" w:cs="Times New Roman"/>
          <w:sz w:val="24"/>
          <w:szCs w:val="24"/>
          <w:lang w:val="en-US" w:eastAsia="en-US"/>
          <w14:ligatures w14:val="standardContextual"/>
        </w:rPr>
        <w:endnoteReference w:id="95"/>
      </w:r>
      <w:r w:rsidRPr="46BFF266">
        <w:rPr>
          <w:rFonts w:ascii="Times New Roman" w:hAnsi="Times New Roman" w:cs="Times New Roman"/>
          <w:sz w:val="24"/>
          <w:szCs w:val="24"/>
          <w:lang w:val="en-US" w:eastAsia="en-US"/>
          <w14:ligatures w14:val="standardContextual"/>
        </w:rPr>
        <w:t xml:space="preserve"> The Department of Education endorses the bills' measures to ensure compliance including by linking CSE to school accreditation.</w:t>
      </w:r>
      <w:r w:rsidR="002C41A7" w:rsidRPr="003B1A78">
        <w:rPr>
          <w:rStyle w:val="EndnoteReference"/>
          <w:rFonts w:ascii="Times New Roman" w:hAnsi="Times New Roman" w:cs="Times New Roman"/>
          <w:sz w:val="24"/>
          <w:szCs w:val="24"/>
        </w:rPr>
        <w:endnoteReference w:id="96"/>
      </w:r>
      <w:r w:rsidRPr="46BFF266">
        <w:rPr>
          <w:rFonts w:ascii="Times New Roman" w:hAnsi="Times New Roman" w:cs="Times New Roman"/>
          <w:sz w:val="24"/>
          <w:szCs w:val="24"/>
          <w:lang w:val="en-US" w:eastAsia="en-US"/>
          <w14:ligatures w14:val="standardContextual"/>
        </w:rPr>
        <w:t xml:space="preserve">  </w:t>
      </w:r>
    </w:p>
    <w:p w14:paraId="2C8EBC9E" w14:textId="790C76EA" w:rsidR="002C41A7" w:rsidRPr="003B1A78" w:rsidRDefault="17A22470" w:rsidP="002C41A7">
      <w:pPr>
        <w:pStyle w:val="ListParagraph"/>
        <w:numPr>
          <w:ilvl w:val="0"/>
          <w:numId w:val="1"/>
        </w:numPr>
        <w:pBdr>
          <w:top w:val="nil"/>
          <w:left w:val="nil"/>
          <w:bottom w:val="nil"/>
          <w:right w:val="nil"/>
          <w:between w:val="nil"/>
        </w:pBdr>
        <w:autoSpaceDE w:val="0"/>
        <w:autoSpaceDN w:val="0"/>
        <w:adjustRightInd w:val="0"/>
        <w:spacing w:beforeLines="30" w:before="72" w:afterLines="30" w:after="72"/>
        <w:ind w:right="1134"/>
        <w:rPr>
          <w:rFonts w:ascii="Times New Roman" w:eastAsia="Helvetica Neue" w:hAnsi="Times New Roman" w:cs="Times New Roman"/>
          <w:color w:val="000000" w:themeColor="text1"/>
          <w:sz w:val="24"/>
          <w:szCs w:val="24"/>
        </w:rPr>
      </w:pPr>
      <w:r w:rsidRPr="46BFF266">
        <w:rPr>
          <w:rFonts w:ascii="Times New Roman" w:hAnsi="Times New Roman" w:cs="Times New Roman"/>
          <w:color w:val="1B1B1B"/>
          <w:sz w:val="24"/>
          <w:szCs w:val="24"/>
          <w:lang w:val="en-PH" w:eastAsia="en-US"/>
          <w14:ligatures w14:val="standardContextual"/>
        </w:rPr>
        <w:t>Treaty monitoring bodies have called on States to provide access to sexual and reproductive health information and services, as well as comprehensive sexuality education in and out of schools,</w:t>
      </w:r>
      <w:r w:rsidR="002C41A7" w:rsidRPr="46BFF266">
        <w:rPr>
          <w:rStyle w:val="EndnoteReference"/>
          <w:rFonts w:ascii="Times New Roman" w:hAnsi="Times New Roman" w:cs="Times New Roman"/>
        </w:rPr>
        <w:endnoteReference w:id="97"/>
      </w:r>
      <w:r w:rsidRPr="46BFF266">
        <w:rPr>
          <w:rFonts w:ascii="Times New Roman" w:hAnsi="Times New Roman" w:cs="Times New Roman"/>
          <w:color w:val="1B1B1B"/>
          <w:sz w:val="24"/>
          <w:szCs w:val="24"/>
          <w:lang w:val="en-PH" w:eastAsia="en-US"/>
          <w14:ligatures w14:val="standardContextual"/>
        </w:rPr>
        <w:t xml:space="preserve"> irrespective of age and without the consent of a parent or guardian.</w:t>
      </w:r>
      <w:r w:rsidR="002C41A7" w:rsidRPr="46BFF266">
        <w:rPr>
          <w:rStyle w:val="EndnoteReference"/>
          <w:rFonts w:ascii="Times New Roman" w:hAnsi="Times New Roman" w:cs="Times New Roman"/>
        </w:rPr>
        <w:endnoteReference w:id="98"/>
      </w:r>
      <w:r w:rsidRPr="46BFF266">
        <w:rPr>
          <w:rFonts w:ascii="Times New Roman" w:hAnsi="Times New Roman" w:cs="Times New Roman"/>
          <w:color w:val="1B1B1B"/>
          <w:sz w:val="24"/>
          <w:szCs w:val="24"/>
          <w:lang w:val="en-PH" w:eastAsia="en-US"/>
          <w14:ligatures w14:val="standardContextual"/>
        </w:rPr>
        <w:t xml:space="preserve"> States have an obligation to ensure that information provided is scientifically accurate and objective, age appropriate, and free of prejudice and discrimination.</w:t>
      </w:r>
      <w:r w:rsidR="002C41A7" w:rsidRPr="46BFF266">
        <w:rPr>
          <w:rStyle w:val="EndnoteReference"/>
          <w:rFonts w:ascii="Times New Roman" w:hAnsi="Times New Roman" w:cs="Times New Roman"/>
        </w:rPr>
        <w:endnoteReference w:id="99"/>
      </w:r>
      <w:r w:rsidRPr="46BFF266">
        <w:rPr>
          <w:rFonts w:ascii="Times New Roman" w:hAnsi="Times New Roman" w:cs="Times New Roman"/>
          <w:color w:val="1B1B1B"/>
          <w:sz w:val="24"/>
          <w:szCs w:val="24"/>
          <w:lang w:val="en-PH" w:eastAsia="en-US"/>
          <w14:ligatures w14:val="standardContextual"/>
        </w:rPr>
        <w:t xml:space="preserve"> The school curriculum must be based on human rights standards, integrate a strong gender perspective, and address socialized gender roles and stereotypes, patriarchal attitudes, and unequal power dynamics.</w:t>
      </w:r>
      <w:r w:rsidR="002C41A7" w:rsidRPr="46BFF266">
        <w:rPr>
          <w:rStyle w:val="EndnoteReference"/>
          <w:rFonts w:ascii="Times New Roman" w:hAnsi="Times New Roman" w:cs="Times New Roman"/>
        </w:rPr>
        <w:endnoteReference w:id="100"/>
      </w:r>
      <w:r w:rsidRPr="46BFF266">
        <w:rPr>
          <w:rFonts w:ascii="Times New Roman" w:hAnsi="Times New Roman" w:cs="Times New Roman"/>
          <w:color w:val="1B1B1B"/>
          <w:sz w:val="24"/>
          <w:szCs w:val="24"/>
          <w:lang w:val="en-PH" w:eastAsia="en-US"/>
          <w14:ligatures w14:val="standardContextual"/>
        </w:rPr>
        <w:t xml:space="preserve"> Attention should be given to gender equality, sexual diversity, sexual and reproductive health rights, and violence prevention. </w:t>
      </w:r>
      <w:r w:rsidR="002C41A7" w:rsidRPr="46BFF266">
        <w:rPr>
          <w:rStyle w:val="EndnoteReference"/>
          <w:rFonts w:ascii="Times New Roman" w:hAnsi="Times New Roman" w:cs="Times New Roman"/>
        </w:rPr>
        <w:endnoteReference w:id="101"/>
      </w:r>
      <w:r w:rsidRPr="46BFF266">
        <w:rPr>
          <w:rFonts w:ascii="Times New Roman" w:hAnsi="Times New Roman" w:cs="Times New Roman"/>
          <w:color w:val="1B1B1B"/>
          <w:sz w:val="24"/>
          <w:szCs w:val="24"/>
          <w:lang w:val="en-PH" w:eastAsia="en-US"/>
          <w14:ligatures w14:val="standardContextual"/>
        </w:rPr>
        <w:t xml:space="preserve"> States must develop training for teachers on delivering comprehensive education on sexual and reproductive health and sexuality in a way that respects adolescents’ right to privacy and confidentially.</w:t>
      </w:r>
      <w:r w:rsidR="002C41A7" w:rsidRPr="46BFF266">
        <w:rPr>
          <w:rStyle w:val="EndnoteReference"/>
          <w:rFonts w:ascii="Times New Roman" w:hAnsi="Times New Roman" w:cs="Times New Roman"/>
        </w:rPr>
        <w:endnoteReference w:id="102"/>
      </w:r>
      <w:r w:rsidRPr="46BFF266">
        <w:rPr>
          <w:rFonts w:ascii="Times New Roman" w:hAnsi="Times New Roman" w:cs="Times New Roman"/>
          <w:color w:val="1B1B1B"/>
          <w:sz w:val="24"/>
          <w:szCs w:val="24"/>
          <w:lang w:val="en-PH" w:eastAsia="en-US"/>
          <w14:ligatures w14:val="standardContextual"/>
        </w:rPr>
        <w:t xml:space="preserve"> Similar recommendations have been issued by the Committee to the state party in its 2015 inquiry report and previous COs.</w:t>
      </w:r>
      <w:r w:rsidR="002C41A7" w:rsidRPr="003B1A78">
        <w:rPr>
          <w:rStyle w:val="EndnoteReference"/>
          <w:rFonts w:ascii="Times New Roman" w:hAnsi="Times New Roman" w:cs="Times New Roman"/>
          <w:sz w:val="24"/>
          <w:szCs w:val="24"/>
        </w:rPr>
        <w:endnoteReference w:id="103"/>
      </w:r>
      <w:r w:rsidRPr="46BFF266">
        <w:rPr>
          <w:rFonts w:ascii="Times New Roman" w:hAnsi="Times New Roman" w:cs="Times New Roman"/>
          <w:color w:val="1B1B1B"/>
          <w:sz w:val="24"/>
          <w:szCs w:val="24"/>
          <w:lang w:val="en-PH" w:eastAsia="en-US"/>
          <w14:ligatures w14:val="standardContextual"/>
        </w:rPr>
        <w:t xml:space="preserve"> </w:t>
      </w:r>
    </w:p>
    <w:p w14:paraId="40597779" w14:textId="77777777" w:rsidR="007F30A7" w:rsidRDefault="007F30A7" w:rsidP="007F30A7">
      <w:pPr>
        <w:ind w:left="360"/>
        <w:rPr>
          <w:rFonts w:ascii="Times New Roman" w:hAnsi="Times New Roman" w:cs="Times New Roman"/>
          <w:sz w:val="24"/>
          <w:szCs w:val="24"/>
        </w:rPr>
      </w:pPr>
    </w:p>
    <w:p w14:paraId="2D2B77F0" w14:textId="77777777" w:rsidR="007F30A7" w:rsidRDefault="007F30A7" w:rsidP="007F30A7">
      <w:pPr>
        <w:pBdr>
          <w:bottom w:val="single" w:sz="6" w:space="1" w:color="auto"/>
        </w:pBdr>
        <w:ind w:left="0" w:firstLine="0"/>
        <w:rPr>
          <w:rFonts w:ascii="Times New Roman" w:hAnsi="Times New Roman" w:cs="Times New Roman"/>
          <w:lang w:val="en-US" w:eastAsia="en-US"/>
        </w:rPr>
      </w:pPr>
    </w:p>
    <w:p w14:paraId="5FC91CF4" w14:textId="77777777" w:rsidR="007F30A7" w:rsidRDefault="007F30A7" w:rsidP="007F30A7">
      <w:pPr>
        <w:ind w:left="360"/>
        <w:rPr>
          <w:rFonts w:ascii="Times New Roman" w:hAnsi="Times New Roman" w:cs="Times New Roman"/>
          <w:sz w:val="24"/>
          <w:szCs w:val="24"/>
          <w:lang w:val="en-US"/>
        </w:rPr>
      </w:pPr>
    </w:p>
    <w:p w14:paraId="71D38B13" w14:textId="381A30A6" w:rsidR="007F30A7" w:rsidRPr="00B05F67" w:rsidRDefault="007F30A7" w:rsidP="007F30A7">
      <w:pPr>
        <w:ind w:left="360"/>
        <w:rPr>
          <w:rFonts w:ascii="Times New Roman" w:hAnsi="Times New Roman" w:cs="Times New Roman"/>
          <w:b/>
          <w:bCs/>
          <w:sz w:val="24"/>
          <w:szCs w:val="24"/>
        </w:rPr>
      </w:pPr>
      <w:r w:rsidRPr="00B05F67">
        <w:rPr>
          <w:rFonts w:ascii="Times New Roman" w:hAnsi="Times New Roman" w:cs="Times New Roman"/>
          <w:b/>
          <w:bCs/>
          <w:sz w:val="24"/>
          <w:szCs w:val="24"/>
        </w:rPr>
        <w:t>We propose that the Committee urge the state party to:</w:t>
      </w:r>
    </w:p>
    <w:p w14:paraId="5B8B57BB" w14:textId="77777777" w:rsidR="007F30A7" w:rsidRPr="00B05F67" w:rsidRDefault="007F30A7" w:rsidP="007F30A7">
      <w:pPr>
        <w:ind w:left="360"/>
        <w:rPr>
          <w:rFonts w:ascii="Times New Roman" w:hAnsi="Times New Roman" w:cs="Times New Roman"/>
          <w:b/>
          <w:bCs/>
        </w:rPr>
      </w:pPr>
    </w:p>
    <w:p w14:paraId="0BB17648" w14:textId="77777777" w:rsidR="007F30A7" w:rsidRPr="00B05F67" w:rsidRDefault="007F30A7" w:rsidP="00CB3AAF">
      <w:pPr>
        <w:pStyle w:val="ListParagraph"/>
        <w:numPr>
          <w:ilvl w:val="0"/>
          <w:numId w:val="12"/>
        </w:numPr>
        <w:spacing w:line="276" w:lineRule="auto"/>
        <w:rPr>
          <w:rFonts w:ascii="Times New Roman" w:hAnsi="Times New Roman" w:cs="Times New Roman"/>
          <w:b/>
          <w:bCs/>
          <w:sz w:val="24"/>
          <w:szCs w:val="24"/>
        </w:rPr>
      </w:pPr>
      <w:r w:rsidRPr="00B05F67">
        <w:rPr>
          <w:rFonts w:ascii="Times New Roman" w:hAnsi="Times New Roman" w:cs="Times New Roman"/>
          <w:b/>
          <w:bCs/>
          <w:color w:val="000000" w:themeColor="text1"/>
          <w:sz w:val="24"/>
          <w:szCs w:val="24"/>
        </w:rPr>
        <w:t xml:space="preserve">Ensure access to </w:t>
      </w:r>
      <w:proofErr w:type="gramStart"/>
      <w:r w:rsidRPr="00B05F67">
        <w:rPr>
          <w:rFonts w:ascii="Times New Roman" w:hAnsi="Times New Roman" w:cs="Times New Roman"/>
          <w:b/>
          <w:bCs/>
          <w:color w:val="000000" w:themeColor="text1"/>
          <w:sz w:val="24"/>
          <w:szCs w:val="24"/>
        </w:rPr>
        <w:t>medically-accurate</w:t>
      </w:r>
      <w:proofErr w:type="gramEnd"/>
      <w:r w:rsidRPr="00B05F67">
        <w:rPr>
          <w:rFonts w:ascii="Times New Roman" w:hAnsi="Times New Roman" w:cs="Times New Roman"/>
          <w:b/>
          <w:bCs/>
          <w:color w:val="000000" w:themeColor="text1"/>
          <w:sz w:val="24"/>
          <w:szCs w:val="24"/>
        </w:rPr>
        <w:t xml:space="preserve"> and age-appropriate sexual and reproductive health information </w:t>
      </w:r>
      <w:r w:rsidRPr="00B05F67">
        <w:rPr>
          <w:rFonts w:ascii="Times New Roman" w:hAnsi="Times New Roman" w:cs="Times New Roman"/>
          <w:b/>
          <w:bCs/>
          <w:sz w:val="24"/>
          <w:szCs w:val="24"/>
        </w:rPr>
        <w:t xml:space="preserve">including addressing health-related misconceptions, prevention of early pregnancies, contraceptive use, abortion, and sexually transmitted diseases </w:t>
      </w:r>
      <w:r w:rsidRPr="00B05F67">
        <w:rPr>
          <w:rFonts w:ascii="Times New Roman" w:hAnsi="Times New Roman" w:cs="Times New Roman"/>
          <w:b/>
          <w:bCs/>
          <w:color w:val="000000" w:themeColor="text1"/>
          <w:sz w:val="24"/>
          <w:szCs w:val="24"/>
        </w:rPr>
        <w:t>presented in a way that they are accessible, and easy to read or hear and understand particularly for out-of-school adolescents and girls and those living with a disability,</w:t>
      </w:r>
    </w:p>
    <w:p w14:paraId="3213575D" w14:textId="77777777" w:rsidR="007F30A7" w:rsidRPr="00B05F67" w:rsidRDefault="007F30A7" w:rsidP="00CB3AAF">
      <w:pPr>
        <w:pStyle w:val="ListParagraph"/>
        <w:numPr>
          <w:ilvl w:val="0"/>
          <w:numId w:val="12"/>
        </w:numPr>
        <w:autoSpaceDE w:val="0"/>
        <w:autoSpaceDN w:val="0"/>
        <w:adjustRightInd w:val="0"/>
        <w:rPr>
          <w:rFonts w:ascii="Times New Roman" w:hAnsi="Times New Roman" w:cs="Times New Roman"/>
          <w:b/>
          <w:sz w:val="24"/>
          <w:szCs w:val="24"/>
        </w:rPr>
      </w:pPr>
      <w:r w:rsidRPr="00B05F67">
        <w:rPr>
          <w:rFonts w:ascii="Times New Roman" w:hAnsi="Times New Roman" w:cs="Times New Roman"/>
          <w:b/>
          <w:sz w:val="24"/>
          <w:szCs w:val="24"/>
        </w:rPr>
        <w:lastRenderedPageBreak/>
        <w:t>Ensure that the Department of Education immediately and fully implements a gender- and disability-responsive Comprehensive Sexuality Education in schools including special education schools as mandated by the Responsible Parenthood and Reproductive Health Act,</w:t>
      </w:r>
    </w:p>
    <w:p w14:paraId="2B0B4EE6" w14:textId="77777777" w:rsidR="007F30A7" w:rsidRPr="00B05F67" w:rsidRDefault="007F30A7" w:rsidP="00CB3AAF">
      <w:pPr>
        <w:pStyle w:val="ListParagraph"/>
        <w:numPr>
          <w:ilvl w:val="0"/>
          <w:numId w:val="12"/>
        </w:numPr>
        <w:autoSpaceDE w:val="0"/>
        <w:autoSpaceDN w:val="0"/>
        <w:adjustRightInd w:val="0"/>
        <w:rPr>
          <w:rFonts w:ascii="Times New Roman" w:hAnsi="Times New Roman" w:cs="Times New Roman"/>
          <w:b/>
          <w:sz w:val="24"/>
          <w:szCs w:val="24"/>
        </w:rPr>
      </w:pPr>
      <w:r w:rsidRPr="00B05F67">
        <w:rPr>
          <w:rFonts w:ascii="Times New Roman" w:hAnsi="Times New Roman" w:cs="Times New Roman"/>
          <w:b/>
          <w:sz w:val="24"/>
          <w:szCs w:val="24"/>
        </w:rPr>
        <w:t>Ensure that the Department of Education develops training curriculum for teachers on delivering comprehensive education on sexual and reproductive health and sexuality in a way that respects adolescents’ right to privacy and confidentiality.</w:t>
      </w:r>
    </w:p>
    <w:p w14:paraId="7AE6C06D" w14:textId="69D02976" w:rsidR="002C41A7" w:rsidRPr="00B05F67" w:rsidRDefault="002C41A7" w:rsidP="002C41A7">
      <w:pPr>
        <w:pStyle w:val="NormalAshurst"/>
        <w:spacing w:beforeLines="30" w:before="72" w:afterLines="30" w:after="72" w:line="240" w:lineRule="auto"/>
        <w:ind w:left="360"/>
        <w:rPr>
          <w:rFonts w:ascii="Times New Roman" w:hAnsi="Times New Roman" w:cs="Times New Roman"/>
          <w:b/>
          <w:sz w:val="24"/>
        </w:rPr>
      </w:pPr>
    </w:p>
    <w:p w14:paraId="3BAB1AAD" w14:textId="77777777" w:rsidR="007F30A7" w:rsidRDefault="007F30A7" w:rsidP="007F30A7">
      <w:pPr>
        <w:pBdr>
          <w:bottom w:val="single" w:sz="6" w:space="1" w:color="auto"/>
        </w:pBdr>
        <w:ind w:left="0" w:firstLine="0"/>
        <w:rPr>
          <w:rFonts w:ascii="Times New Roman" w:hAnsi="Times New Roman" w:cs="Times New Roman"/>
          <w:lang w:val="en-US" w:eastAsia="en-US"/>
        </w:rPr>
      </w:pPr>
    </w:p>
    <w:p w14:paraId="01711D4C" w14:textId="77777777" w:rsidR="002C41A7" w:rsidRPr="003B1A78" w:rsidRDefault="002C41A7" w:rsidP="002C41A7">
      <w:pPr>
        <w:pStyle w:val="NormalAshurst"/>
        <w:spacing w:beforeLines="30" w:before="72" w:afterLines="30" w:after="72" w:line="240" w:lineRule="auto"/>
        <w:ind w:left="360" w:right="1088"/>
        <w:rPr>
          <w:rFonts w:ascii="Times New Roman" w:hAnsi="Times New Roman" w:cs="Times New Roman"/>
          <w:sz w:val="24"/>
        </w:rPr>
      </w:pPr>
    </w:p>
    <w:p w14:paraId="6B7D9E49" w14:textId="40FA24B0" w:rsidR="002C41A7" w:rsidRDefault="002C41A7" w:rsidP="00CB3AAF">
      <w:pPr>
        <w:pStyle w:val="NormalAshurst"/>
        <w:spacing w:beforeLines="30" w:before="72" w:afterLines="30" w:after="72" w:line="240" w:lineRule="auto"/>
        <w:ind w:right="95"/>
        <w:rPr>
          <w:rFonts w:ascii="Times New Roman" w:hAnsi="Times New Roman" w:cs="Times New Roman"/>
          <w:sz w:val="24"/>
        </w:rPr>
      </w:pPr>
      <w:r w:rsidRPr="003B1A78">
        <w:rPr>
          <w:rFonts w:ascii="Times New Roman" w:hAnsi="Times New Roman" w:cs="Times New Roman"/>
          <w:sz w:val="24"/>
        </w:rPr>
        <w:t xml:space="preserve">For any questions, please contact Jihan Jacob, Associate Director for Legal Strategies in Asia, of the Center for Reproductive Rights at </w:t>
      </w:r>
      <w:hyperlink r:id="rId19" w:history="1">
        <w:r w:rsidR="00BB5CB7" w:rsidRPr="00604934">
          <w:rPr>
            <w:rStyle w:val="Hyperlink"/>
            <w:rFonts w:ascii="Times New Roman" w:hAnsi="Times New Roman" w:cs="Times New Roman"/>
            <w:sz w:val="24"/>
          </w:rPr>
          <w:t>jjacob@reprorights.org</w:t>
        </w:r>
      </w:hyperlink>
      <w:r w:rsidRPr="003B1A78">
        <w:rPr>
          <w:rFonts w:ascii="Times New Roman" w:hAnsi="Times New Roman" w:cs="Times New Roman"/>
          <w:sz w:val="24"/>
        </w:rPr>
        <w:t>.</w:t>
      </w:r>
    </w:p>
    <w:p w14:paraId="2BD6330C" w14:textId="77777777" w:rsidR="00BB5CB7" w:rsidRDefault="00BB5CB7" w:rsidP="002C41A7">
      <w:pPr>
        <w:pStyle w:val="NormalAshurst"/>
        <w:spacing w:beforeLines="30" w:before="72" w:afterLines="30" w:after="72" w:line="240" w:lineRule="auto"/>
        <w:ind w:left="360" w:right="1088"/>
        <w:rPr>
          <w:rFonts w:ascii="Times New Roman" w:hAnsi="Times New Roman" w:cs="Times New Roman"/>
          <w:sz w:val="24"/>
        </w:rPr>
      </w:pPr>
    </w:p>
    <w:p w14:paraId="1B82EEC1" w14:textId="77777777" w:rsidR="00BB5CB7" w:rsidRDefault="00BB5CB7" w:rsidP="002C41A7">
      <w:pPr>
        <w:pStyle w:val="NormalAshurst"/>
        <w:spacing w:beforeLines="30" w:before="72" w:afterLines="30" w:after="72" w:line="240" w:lineRule="auto"/>
        <w:ind w:left="360" w:right="1088"/>
        <w:rPr>
          <w:rFonts w:ascii="Times New Roman" w:hAnsi="Times New Roman" w:cs="Times New Roman"/>
          <w:sz w:val="24"/>
        </w:rPr>
      </w:pPr>
    </w:p>
    <w:sectPr w:rsidR="00BB5CB7" w:rsidSect="00D92EDB">
      <w:headerReference w:type="default" r:id="rId20"/>
      <w:endnotePr>
        <w:numFmt w:val="decimal"/>
      </w:endnotePr>
      <w:pgSz w:w="11906" w:h="16838" w:code="9"/>
      <w:pgMar w:top="1440" w:right="1440" w:bottom="1440" w:left="1440" w:header="705" w:footer="705"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6F54D" w14:textId="77777777" w:rsidR="00131CB6" w:rsidRDefault="00131CB6" w:rsidP="004C33FD">
      <w:r>
        <w:separator/>
      </w:r>
    </w:p>
  </w:endnote>
  <w:endnote w:type="continuationSeparator" w:id="0">
    <w:p w14:paraId="3ADF3436" w14:textId="77777777" w:rsidR="00131CB6" w:rsidRDefault="00131CB6" w:rsidP="004C33FD">
      <w:r>
        <w:continuationSeparator/>
      </w:r>
    </w:p>
  </w:endnote>
  <w:endnote w:type="continuationNotice" w:id="1">
    <w:p w14:paraId="59077EFF" w14:textId="77777777" w:rsidR="00131CB6" w:rsidRDefault="00131CB6"/>
  </w:endnote>
  <w:endnote w:id="2">
    <w:p w14:paraId="5075C674" w14:textId="060BD1DB"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Committee on the Elimination of Discrimination against Women (CEDAW Committee), Concluding Observations: Philippines, paras. 39-40, U.N. Doc. CEDAW/C/PHL/CO/7-8 (2016)</w:t>
      </w:r>
      <w:r w:rsidR="00BE6326" w:rsidRPr="00067049">
        <w:rPr>
          <w:rStyle w:val="Emphasis"/>
          <w:rFonts w:ascii="Times New Roman" w:hAnsi="Times New Roman" w:cs="Times New Roman"/>
          <w:color w:val="000000" w:themeColor="text1"/>
          <w:sz w:val="18"/>
          <w:szCs w:val="18"/>
        </w:rPr>
        <w:t>; CEDAW Committee, List of Issues in relation to the 9th periodic report: Philippines, U.N. Doc. CEDAW/C/PHL/Q/9 (2022).</w:t>
      </w:r>
    </w:p>
  </w:endnote>
  <w:endnote w:id="3">
    <w:p w14:paraId="514B2C27"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The report was submitted by Catholics for Reproductive Health, Center for Reproductive Rights, EnGendeRights, Inc., Family Planning Organization of the Philippines, Filipino Freethinkers, Philippine Safe Abortion Advocacy Network, WomanHealth Philippines, Inc., Women’s Clinic Pilipinas, and Women’s Global Network for Reproductive Rights.</w:t>
      </w:r>
    </w:p>
  </w:endnote>
  <w:endnote w:id="4">
    <w:p w14:paraId="4BE9C71C"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Government of the Philippines, Replies of the Philippines to the list of issues in relation to its ninth periodic report, U.N. Doc. CEDAW/C/PHL/RQ/9 (December 27, 2022) [hereinafter Replies to List of Issues of the CEDAW Committee (2022)].</w:t>
      </w:r>
    </w:p>
  </w:endnote>
  <w:endnote w:id="5">
    <w:p w14:paraId="62884913" w14:textId="4005EC30"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Human Rights Watch. (2023, June 28). Philippines: Marcos Failing on Rights: A Year On, Course Correction Needed. Retrieved from [https://www.hrw.org/news/2023/06/28/philippines-marcos-failing-rights]</w:t>
      </w:r>
      <w:r w:rsidR="00157458" w:rsidRPr="00067049">
        <w:rPr>
          <w:rStyle w:val="Emphasis"/>
          <w:rFonts w:ascii="Times New Roman" w:hAnsi="Times New Roman" w:cs="Times New Roman"/>
          <w:color w:val="000000" w:themeColor="text1"/>
          <w:sz w:val="18"/>
          <w:szCs w:val="18"/>
        </w:rPr>
        <w:t>.</w:t>
      </w:r>
    </w:p>
  </w:endnote>
  <w:endnote w:id="6">
    <w:p w14:paraId="216837D2" w14:textId="3E42D344"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lang w:val="en-US"/>
        </w:rPr>
        <w:t>Abad, Michelle, Groups call for more priority on gender issues after Marcos’ first SONA, Rappler (2022, July 26) Retrieved from: https://www.rappler.com/nation/groups-call-more-priority-gender-issues-after-marcos-jr-sona-2022/.</w:t>
      </w:r>
      <w:r w:rsidRPr="00067049">
        <w:rPr>
          <w:rStyle w:val="Emphasis"/>
          <w:rFonts w:ascii="Times New Roman" w:hAnsi="Times New Roman" w:cs="Times New Roman"/>
          <w:color w:val="000000" w:themeColor="text1"/>
          <w:sz w:val="18"/>
          <w:szCs w:val="18"/>
        </w:rPr>
        <w:t xml:space="preserve"> CNN Philippines, SONA 2023: Key takeaways from Marcos’ Second Report to the Nation, (2023, July 25) Retrieved from: </w:t>
      </w:r>
      <w:hyperlink r:id="rId1" w:history="1">
        <w:r w:rsidRPr="00067049">
          <w:rPr>
            <w:rStyle w:val="Emphasis"/>
            <w:rFonts w:ascii="Times New Roman" w:hAnsi="Times New Roman" w:cs="Times New Roman"/>
            <w:color w:val="000000" w:themeColor="text1"/>
            <w:sz w:val="18"/>
            <w:szCs w:val="18"/>
          </w:rPr>
          <w:t>https://www.cnnphilippines.com/news/2023/7/25/marcos-second-sona-takeaways.html</w:t>
        </w:r>
      </w:hyperlink>
      <w:r w:rsidR="00157458" w:rsidRPr="00067049">
        <w:rPr>
          <w:rStyle w:val="Emphasis"/>
          <w:rFonts w:ascii="Times New Roman" w:hAnsi="Times New Roman" w:cs="Times New Roman"/>
          <w:color w:val="000000" w:themeColor="text1"/>
          <w:sz w:val="18"/>
          <w:szCs w:val="18"/>
        </w:rPr>
        <w:t>.</w:t>
      </w:r>
    </w:p>
  </w:endnote>
  <w:endnote w:id="7">
    <w:p w14:paraId="36322591" w14:textId="24AFABC6"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lang w:val="en-US" w:eastAsia="en-US"/>
        </w:rPr>
        <w:t>Macasero, Ryan, Who is Ted Herbosa, Marcos’ new health secretary?, (2023, June 5) Retrieved from:</w:t>
      </w:r>
      <w:r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lang w:val="en-US" w:eastAsia="en-US"/>
        </w:rPr>
        <w:t>https://www.rappler.com/nation/who-is-ted-herbosa-marcos-new-health-secretary/</w:t>
      </w:r>
      <w:r w:rsidR="00157458" w:rsidRPr="00067049">
        <w:rPr>
          <w:rStyle w:val="Emphasis"/>
          <w:rFonts w:ascii="Times New Roman" w:hAnsi="Times New Roman" w:cs="Times New Roman"/>
          <w:color w:val="000000" w:themeColor="text1"/>
          <w:sz w:val="18"/>
          <w:szCs w:val="18"/>
          <w:lang w:val="en-US" w:eastAsia="en-US"/>
        </w:rPr>
        <w:t>.</w:t>
      </w:r>
    </w:p>
  </w:endnote>
  <w:endnote w:id="8">
    <w:p w14:paraId="3CD800F2" w14:textId="025D9D21"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lang w:val="en-US" w:eastAsia="en-US"/>
        </w:rPr>
        <w:t xml:space="preserve">Magsambol, Bonz, UP exec resigns after controversial ‘death by community pantry tweet’, (2021, April 25) Retrieved from: </w:t>
      </w:r>
      <w:hyperlink r:id="rId2" w:history="1">
        <w:r w:rsidRPr="00067049">
          <w:rPr>
            <w:rStyle w:val="Emphasis"/>
            <w:rFonts w:ascii="Times New Roman" w:hAnsi="Times New Roman" w:cs="Times New Roman"/>
            <w:color w:val="000000" w:themeColor="text1"/>
            <w:sz w:val="18"/>
            <w:szCs w:val="18"/>
            <w:lang w:val="en-US" w:eastAsia="en-US"/>
          </w:rPr>
          <w:t>https://www.rappler.com/nation/up</w:t>
        </w:r>
      </w:hyperlink>
      <w:r w:rsidRPr="00067049">
        <w:rPr>
          <w:rStyle w:val="Emphasis"/>
          <w:rFonts w:ascii="Times New Roman" w:hAnsi="Times New Roman" w:cs="Times New Roman"/>
          <w:color w:val="000000" w:themeColor="text1"/>
          <w:sz w:val="18"/>
          <w:szCs w:val="18"/>
          <w:lang w:val="en-US" w:eastAsia="en-US"/>
        </w:rPr>
        <w:t xml:space="preserve"> executive-vp-teddy-herbosa-resigns-after-controversial-tweet/</w:t>
      </w:r>
      <w:r w:rsidR="00157458" w:rsidRPr="00067049">
        <w:rPr>
          <w:rStyle w:val="Emphasis"/>
          <w:rFonts w:ascii="Times New Roman" w:hAnsi="Times New Roman" w:cs="Times New Roman"/>
          <w:color w:val="000000" w:themeColor="text1"/>
          <w:sz w:val="18"/>
          <w:szCs w:val="18"/>
          <w:lang w:val="en-US" w:eastAsia="en-US"/>
        </w:rPr>
        <w:t>.</w:t>
      </w:r>
    </w:p>
  </w:endnote>
  <w:endnote w:id="9">
    <w:p w14:paraId="45A91284" w14:textId="5C61B86E"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Bernal, Buena, SC declares RH law constitutional, RAPPLER, (2014, April 8) Retrieved from: https://www.rappler.com/nation/54946-supreme-court-rh-law-constitutional/</w:t>
      </w:r>
      <w:r w:rsidR="00157458" w:rsidRPr="00067049">
        <w:rPr>
          <w:rStyle w:val="Emphasis"/>
          <w:rFonts w:ascii="Times New Roman" w:hAnsi="Times New Roman" w:cs="Times New Roman"/>
          <w:color w:val="000000" w:themeColor="text1"/>
          <w:sz w:val="18"/>
          <w:szCs w:val="18"/>
        </w:rPr>
        <w:t>.</w:t>
      </w:r>
    </w:p>
  </w:endnote>
  <w:endnote w:id="10">
    <w:p w14:paraId="02381A30"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Funds for reproductive health services sought, Inquirer.Net, June 12, 2022, available at https://newsinfo.inquirer.net/1609529/funds-for-reproductive-health-services-sought.</w:t>
      </w:r>
    </w:p>
  </w:endnote>
  <w:endnote w:id="11">
    <w:p w14:paraId="3D515ACF"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Jovic Yee, Funds for contraceptive implants scrapped; PopCom alarmed, Inquirer (Dec. 14, 2019) available at </w:t>
      </w:r>
      <w:hyperlink r:id="rId3">
        <w:r w:rsidRPr="00067049">
          <w:rPr>
            <w:rStyle w:val="Emphasis"/>
            <w:rFonts w:ascii="Times New Roman" w:hAnsi="Times New Roman" w:cs="Times New Roman"/>
            <w:color w:val="000000" w:themeColor="text1"/>
            <w:sz w:val="18"/>
            <w:szCs w:val="18"/>
          </w:rPr>
          <w:t>https://newsinfo.inquirer.net/1201520/funds-for-contraceptive-implants-scrapped-popcom-alarmed</w:t>
        </w:r>
      </w:hyperlink>
      <w:r w:rsidRPr="00067049">
        <w:rPr>
          <w:rStyle w:val="Emphasis"/>
          <w:rFonts w:ascii="Times New Roman" w:hAnsi="Times New Roman" w:cs="Times New Roman"/>
          <w:color w:val="000000" w:themeColor="text1"/>
          <w:sz w:val="18"/>
          <w:szCs w:val="18"/>
        </w:rPr>
        <w:t>.</w:t>
      </w:r>
    </w:p>
  </w:endnote>
  <w:endnote w:id="12">
    <w:p w14:paraId="0F076078" w14:textId="77777777" w:rsidR="00D5498F" w:rsidRPr="00067049" w:rsidRDefault="00D5498F"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Philippine Statistics Authority. (2022). 2022 Philippine National Demographic and Health Survey (NDHS) available at: </w:t>
      </w:r>
      <w:hyperlink r:id="rId4">
        <w:r w:rsidRPr="00067049">
          <w:rPr>
            <w:rStyle w:val="Emphasis"/>
            <w:rFonts w:ascii="Times New Roman" w:hAnsi="Times New Roman" w:cs="Times New Roman"/>
            <w:color w:val="000000" w:themeColor="text1"/>
            <w:sz w:val="18"/>
            <w:szCs w:val="18"/>
          </w:rPr>
          <w:t>https://r.search.yahoo.com/_ylt=Awrx.7gADeVkfvsXHqezRwx.;_ylu=Y29sbwNzZzMEcG9zAzIEdnRpZAMEc2VjA3Ny/RV=2/RE=1692761472/RO=10/RU=https%3a%2f%2fdhsprogram.com%2fpubs%2fpdf%2fPR146%2fPR146.pdf/RK=2/RS=G1nHrp9PuaehP_A_aYBQFejRwJM-</w:t>
        </w:r>
      </w:hyperlink>
      <w:r w:rsidRPr="00067049">
        <w:rPr>
          <w:rStyle w:val="Emphasis"/>
          <w:rFonts w:ascii="Times New Roman" w:hAnsi="Times New Roman" w:cs="Times New Roman"/>
          <w:color w:val="000000" w:themeColor="text1"/>
          <w:sz w:val="18"/>
          <w:szCs w:val="18"/>
        </w:rPr>
        <w:t>.</w:t>
      </w:r>
    </w:p>
  </w:endnote>
  <w:endnote w:id="13">
    <w:p w14:paraId="58C025EB" w14:textId="3BA67F5C"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United Nations Population Fund, On Mother’s Day, United Nations Population Fund calls for gender equality, adequate health care, (2023, May 13) Retrieved from: https://philippines.unfpa.org/en/news/mothers-day-united-nations-population-fund-calls-gender-equality-adequate-health-care</w:t>
      </w:r>
      <w:r w:rsidR="00157458" w:rsidRPr="00067049">
        <w:rPr>
          <w:rStyle w:val="Emphasis"/>
          <w:rFonts w:ascii="Times New Roman" w:hAnsi="Times New Roman" w:cs="Times New Roman"/>
          <w:color w:val="000000" w:themeColor="text1"/>
          <w:sz w:val="18"/>
          <w:szCs w:val="18"/>
        </w:rPr>
        <w:t>.</w:t>
      </w:r>
    </w:p>
  </w:endnote>
  <w:endnote w:id="14">
    <w:p w14:paraId="5E7B8102" w14:textId="7D70CDFA"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ABS-CBN News, Maternal deaths up in first 6 months of 2022: PSA, (2022, October 21) Retrieved from: https://news.abs-cbn.com/video/news/10/21/22/maternal-deaths-up-in-first-6-months-of-2022-psa</w:t>
      </w:r>
      <w:r w:rsidR="00157458" w:rsidRPr="00067049">
        <w:rPr>
          <w:rStyle w:val="Emphasis"/>
          <w:rFonts w:ascii="Times New Roman" w:hAnsi="Times New Roman" w:cs="Times New Roman"/>
          <w:color w:val="000000" w:themeColor="text1"/>
          <w:sz w:val="18"/>
          <w:szCs w:val="18"/>
        </w:rPr>
        <w:t>.</w:t>
      </w:r>
    </w:p>
  </w:endnote>
  <w:endnote w:id="15">
    <w:p w14:paraId="4311255C" w14:textId="7BE31FEE"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Philippine Statistics Authority. (2022). 2022 Philippine National Demographic and Health Survey (NDHS), </w:t>
      </w:r>
      <w:r w:rsidR="00157458" w:rsidRPr="00067049">
        <w:rPr>
          <w:rStyle w:val="Emphasis"/>
          <w:rFonts w:ascii="Times New Roman" w:hAnsi="Times New Roman" w:cs="Times New Roman"/>
          <w:color w:val="000000" w:themeColor="text1"/>
          <w:sz w:val="18"/>
          <w:szCs w:val="18"/>
        </w:rPr>
        <w:t>p</w:t>
      </w:r>
      <w:r w:rsidRPr="00067049">
        <w:rPr>
          <w:rStyle w:val="Emphasis"/>
          <w:rFonts w:ascii="Times New Roman" w:hAnsi="Times New Roman" w:cs="Times New Roman"/>
          <w:color w:val="000000" w:themeColor="text1"/>
          <w:sz w:val="18"/>
          <w:szCs w:val="18"/>
        </w:rPr>
        <w:t>age 133 Available at:</w:t>
      </w:r>
      <w:r w:rsidR="00157458" w:rsidRPr="00067049">
        <w:rPr>
          <w:rStyle w:val="Emphasis"/>
          <w:rFonts w:ascii="Times New Roman" w:hAnsi="Times New Roman" w:cs="Times New Roman"/>
          <w:color w:val="000000" w:themeColor="text1"/>
          <w:sz w:val="18"/>
          <w:szCs w:val="18"/>
        </w:rPr>
        <w:t xml:space="preserve"> </w:t>
      </w:r>
      <w:r w:rsidR="00D73CD6" w:rsidRPr="00067049">
        <w:rPr>
          <w:rFonts w:ascii="Times New Roman" w:hAnsi="Times New Roman" w:cs="Times New Roman"/>
          <w:i w:val="0"/>
          <w:iCs w:val="0"/>
          <w:color w:val="000000" w:themeColor="text1"/>
          <w:sz w:val="18"/>
          <w:szCs w:val="18"/>
        </w:rPr>
        <w:t>https://dhsprogram.com/pubs/pdf/FR381/FR381.pdf.</w:t>
      </w:r>
    </w:p>
  </w:endnote>
  <w:endnote w:id="16">
    <w:p w14:paraId="03D30907" w14:textId="7B13FF18"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00157458"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Crisostomo, Sheila, UHC full implementation seen in 3 years, PhilStar (2022, May 31) Retri</w:t>
      </w:r>
      <w:r w:rsidR="00157458" w:rsidRPr="00067049">
        <w:rPr>
          <w:rStyle w:val="Emphasis"/>
          <w:rFonts w:ascii="Times New Roman" w:hAnsi="Times New Roman" w:cs="Times New Roman"/>
          <w:color w:val="000000" w:themeColor="text1"/>
          <w:sz w:val="18"/>
          <w:szCs w:val="18"/>
        </w:rPr>
        <w:t>e</w:t>
      </w:r>
      <w:r w:rsidRPr="00067049">
        <w:rPr>
          <w:rStyle w:val="Emphasis"/>
          <w:rFonts w:ascii="Times New Roman" w:hAnsi="Times New Roman" w:cs="Times New Roman"/>
          <w:color w:val="000000" w:themeColor="text1"/>
          <w:sz w:val="18"/>
          <w:szCs w:val="18"/>
        </w:rPr>
        <w:t>ved from: https://www.philstar.com/headlines/2022/05/31/2184872/uhc-full-implementation-seen-3-years</w:t>
      </w:r>
      <w:r w:rsidR="00157458" w:rsidRPr="00067049">
        <w:rPr>
          <w:rStyle w:val="Emphasis"/>
          <w:rFonts w:ascii="Times New Roman" w:hAnsi="Times New Roman" w:cs="Times New Roman"/>
          <w:color w:val="000000" w:themeColor="text1"/>
          <w:sz w:val="18"/>
          <w:szCs w:val="18"/>
        </w:rPr>
        <w:t>.</w:t>
      </w:r>
    </w:p>
  </w:endnote>
  <w:endnote w:id="17">
    <w:p w14:paraId="520DF369" w14:textId="32F4F8F7"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Infographic: headways in the Universal Health Care Act (2022, October 29) Retrieved from </w:t>
      </w:r>
      <w:hyperlink r:id="rId5" w:history="1">
        <w:r w:rsidRPr="00067049">
          <w:rPr>
            <w:rStyle w:val="Emphasis"/>
            <w:rFonts w:ascii="Times New Roman" w:hAnsi="Times New Roman" w:cs="Times New Roman"/>
            <w:color w:val="000000" w:themeColor="text1"/>
            <w:sz w:val="18"/>
            <w:szCs w:val="18"/>
          </w:rPr>
          <w:t>https://isacenter.org/infographic-headways-in-the-universal-health-care-uhc-act/</w:t>
        </w:r>
      </w:hyperlink>
      <w:r w:rsidR="00157458" w:rsidRPr="00067049">
        <w:rPr>
          <w:rStyle w:val="Emphasis"/>
          <w:rFonts w:ascii="Times New Roman" w:hAnsi="Times New Roman" w:cs="Times New Roman"/>
          <w:color w:val="000000" w:themeColor="text1"/>
          <w:sz w:val="18"/>
          <w:szCs w:val="18"/>
        </w:rPr>
        <w:t>.</w:t>
      </w:r>
    </w:p>
  </w:endnote>
  <w:endnote w:id="18">
    <w:p w14:paraId="3C709D33" w14:textId="7CA1E75F"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00157458"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GMA Integrated News, House Bill Seeks Regulation of Surrogacy in PH,</w:t>
      </w:r>
      <w:r w:rsidR="00D73CD6"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(2023, May 24) Retrieved from: https://www.gmanetwork.com/news/topstories/nation/870982/house-bill-seeks-regulation-of-surrogacy-in-ph/story/</w:t>
      </w:r>
      <w:r w:rsidR="00157458" w:rsidRPr="00067049">
        <w:rPr>
          <w:rStyle w:val="Emphasis"/>
          <w:rFonts w:ascii="Times New Roman" w:hAnsi="Times New Roman" w:cs="Times New Roman"/>
          <w:color w:val="000000" w:themeColor="text1"/>
          <w:sz w:val="18"/>
          <w:szCs w:val="18"/>
        </w:rPr>
        <w:t>.</w:t>
      </w:r>
    </w:p>
  </w:endnote>
  <w:endnote w:id="19">
    <w:p w14:paraId="474B76CF" w14:textId="4CF0DBB9"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00D73CD6" w:rsidRPr="00067049">
        <w:rPr>
          <w:rStyle w:val="Emphasis"/>
          <w:rFonts w:ascii="Times New Roman" w:hAnsi="Times New Roman" w:cs="Times New Roman"/>
          <w:color w:val="000000" w:themeColor="text1"/>
          <w:sz w:val="18"/>
          <w:szCs w:val="18"/>
          <w:lang w:val="en-US" w:eastAsia="en-US"/>
        </w:rPr>
        <w:t>Gabriela files bill seeking ‘menstrual leave’, ABS-CBN News</w:t>
      </w:r>
      <w:r w:rsidRPr="00067049">
        <w:rPr>
          <w:rStyle w:val="Emphasis"/>
          <w:rFonts w:ascii="Times New Roman" w:hAnsi="Times New Roman" w:cs="Times New Roman"/>
          <w:color w:val="000000" w:themeColor="text1"/>
          <w:sz w:val="18"/>
          <w:szCs w:val="18"/>
          <w:lang w:val="en-US" w:eastAsia="en-US"/>
        </w:rPr>
        <w:t xml:space="preserve"> (2023, March 2</w:t>
      </w:r>
      <w:r w:rsidR="00D73CD6" w:rsidRPr="00067049">
        <w:rPr>
          <w:rStyle w:val="Emphasis"/>
          <w:rFonts w:ascii="Times New Roman" w:hAnsi="Times New Roman" w:cs="Times New Roman"/>
          <w:color w:val="000000" w:themeColor="text1"/>
          <w:sz w:val="18"/>
          <w:szCs w:val="18"/>
          <w:lang w:val="en-US" w:eastAsia="en-US"/>
        </w:rPr>
        <w:t>2</w:t>
      </w:r>
      <w:r w:rsidRPr="00067049">
        <w:rPr>
          <w:rStyle w:val="Emphasis"/>
          <w:rFonts w:ascii="Times New Roman" w:hAnsi="Times New Roman" w:cs="Times New Roman"/>
          <w:color w:val="000000" w:themeColor="text1"/>
          <w:sz w:val="18"/>
          <w:szCs w:val="18"/>
          <w:lang w:val="en-US" w:eastAsia="en-US"/>
        </w:rPr>
        <w:t xml:space="preserve">) </w:t>
      </w:r>
      <w:r w:rsidR="00D73CD6" w:rsidRPr="00067049">
        <w:rPr>
          <w:rStyle w:val="Emphasis"/>
          <w:rFonts w:ascii="Times New Roman" w:hAnsi="Times New Roman" w:cs="Times New Roman"/>
          <w:color w:val="000000" w:themeColor="text1"/>
          <w:sz w:val="18"/>
          <w:szCs w:val="18"/>
          <w:lang w:val="en-US" w:eastAsia="en-US"/>
        </w:rPr>
        <w:t>R</w:t>
      </w:r>
      <w:r w:rsidRPr="00067049">
        <w:rPr>
          <w:rStyle w:val="Emphasis"/>
          <w:rFonts w:ascii="Times New Roman" w:hAnsi="Times New Roman" w:cs="Times New Roman"/>
          <w:color w:val="000000" w:themeColor="text1"/>
          <w:sz w:val="18"/>
          <w:szCs w:val="18"/>
          <w:lang w:val="en-US" w:eastAsia="en-US"/>
        </w:rPr>
        <w:t xml:space="preserve">etrieved from: </w:t>
      </w:r>
      <w:r w:rsidR="00D73CD6" w:rsidRPr="00067049">
        <w:rPr>
          <w:rStyle w:val="Emphasis"/>
          <w:rFonts w:ascii="Times New Roman" w:hAnsi="Times New Roman" w:cs="Times New Roman"/>
          <w:color w:val="000000" w:themeColor="text1"/>
          <w:sz w:val="18"/>
          <w:szCs w:val="18"/>
          <w:lang w:val="en-US" w:eastAsia="en-US"/>
        </w:rPr>
        <w:t>https://news.abs-cbn.com/news/03/22/23/gabriela-files-menstrual-leave-bill.</w:t>
      </w:r>
    </w:p>
  </w:endnote>
  <w:endnote w:id="20">
    <w:p w14:paraId="3519AF67"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CEDAW Committee, List of Issues in relation to the 9th periodic report: Philippines, para. 10 (b), U.N. Doc. CEDAW/C/PHL/Q/9 (2022).</w:t>
      </w:r>
    </w:p>
  </w:endnote>
  <w:endnote w:id="21">
    <w:p w14:paraId="356AD1D8" w14:textId="74B2EAF5"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Awareness on contraception to curb teen pregnancies: survey, Philippine News Agency (25 November 2021) available at </w:t>
      </w:r>
      <w:hyperlink r:id="rId6">
        <w:r w:rsidRPr="00067049">
          <w:rPr>
            <w:rStyle w:val="Emphasis"/>
            <w:rFonts w:ascii="Times New Roman" w:hAnsi="Times New Roman" w:cs="Times New Roman"/>
            <w:color w:val="000000" w:themeColor="text1"/>
            <w:sz w:val="18"/>
            <w:szCs w:val="18"/>
          </w:rPr>
          <w:t>https://www.pna.gov.ph/articles/1160818</w:t>
        </w:r>
      </w:hyperlink>
      <w:r w:rsidRPr="00067049">
        <w:rPr>
          <w:rStyle w:val="Emphasis"/>
          <w:rFonts w:ascii="Times New Roman" w:hAnsi="Times New Roman" w:cs="Times New Roman"/>
          <w:color w:val="000000" w:themeColor="text1"/>
          <w:sz w:val="18"/>
          <w:szCs w:val="18"/>
        </w:rPr>
        <w:t xml:space="preserve">; 1 in 4 Filipino women unaware of emergency contraception, says study, BusinessWorld (1 December 2021) available at </w:t>
      </w:r>
      <w:hyperlink r:id="rId7">
        <w:r w:rsidRPr="00067049">
          <w:rPr>
            <w:rStyle w:val="Emphasis"/>
            <w:rFonts w:ascii="Times New Roman" w:hAnsi="Times New Roman" w:cs="Times New Roman"/>
            <w:color w:val="000000" w:themeColor="text1"/>
            <w:sz w:val="18"/>
            <w:szCs w:val="18"/>
          </w:rPr>
          <w:t>https://www.bworldonline.com/1-in-4-filipino-women-unaware-of-emergency-contraception-says-study</w:t>
        </w:r>
      </w:hyperlink>
      <w:r w:rsidR="005B582D" w:rsidRPr="00067049">
        <w:rPr>
          <w:rStyle w:val="Emphasis"/>
          <w:rFonts w:ascii="Times New Roman" w:hAnsi="Times New Roman" w:cs="Times New Roman"/>
          <w:color w:val="000000" w:themeColor="text1"/>
          <w:sz w:val="18"/>
          <w:szCs w:val="18"/>
        </w:rPr>
        <w:t>;</w:t>
      </w:r>
      <w:r w:rsidRPr="00067049">
        <w:rPr>
          <w:rStyle w:val="Emphasis"/>
          <w:rFonts w:ascii="Times New Roman" w:hAnsi="Times New Roman" w:cs="Times New Roman"/>
          <w:color w:val="000000" w:themeColor="text1"/>
          <w:sz w:val="18"/>
          <w:szCs w:val="18"/>
        </w:rPr>
        <w:t xml:space="preserve"> Unsafe in Lockdown: Double Threats to Children During COVID-19 Crisis, International Justice Mission Philippines, available at https://www.ijm.org/vawc/blog/unsafe-in-lockdown-double-threats-to-children-during-covid19-crisis</w:t>
      </w:r>
      <w:r w:rsidR="005B582D" w:rsidRPr="00067049">
        <w:rPr>
          <w:rStyle w:val="Emphasis"/>
          <w:rFonts w:ascii="Times New Roman" w:hAnsi="Times New Roman" w:cs="Times New Roman"/>
          <w:color w:val="000000" w:themeColor="text1"/>
          <w:sz w:val="18"/>
          <w:szCs w:val="18"/>
        </w:rPr>
        <w:t>.</w:t>
      </w:r>
    </w:p>
  </w:endnote>
  <w:endnote w:id="22">
    <w:p w14:paraId="5E0113A0"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Department of Health, The Philippine Clinical Standards Manual on Family Planning 2014 Edition, at 232, available at https://doh.gov.ph/sites/default/files/publications/FPCSM_2014.pdf.</w:t>
      </w:r>
    </w:p>
  </w:endnote>
  <w:endnote w:id="23">
    <w:p w14:paraId="6A5AB7E4"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Committee on the Elimination of Discrimination against Women, Philippines Inquiry Summary (Article 8 of Optional Protocol to Convention on the Elimination of All Forms of Discrimination against Women), paras. 51-52, U.N. Doc. CEDAW/C/OP.8/PHL/1 (2014).</w:t>
      </w:r>
    </w:p>
  </w:endnote>
  <w:endnote w:id="24">
    <w:p w14:paraId="354D8CB5"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Woman Health Philippines, Lived Barriers in the Access to and Provision of Adequate Post-abortion Care in Multiple Sites in the Philippines (2019) [on file with WomanHealth Philippines] (The study areas were Quezon City, Gubat, Dumaguete City, and Davao City and involved 141 survey participants and 37 in-depth interviews.).</w:t>
      </w:r>
    </w:p>
  </w:endnote>
  <w:endnote w:id="25">
    <w:p w14:paraId="7B1BBE49"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Mangaluz, Jean, List: Schools with Sexual Abuse Allegations, INQUIRER.net (2022, September 06) Retrieved from: https://newsinfo.inquirer.net/1659568/schools-with-sexual-abuse-allegations</w:t>
      </w:r>
    </w:p>
  </w:endnote>
  <w:endnote w:id="26">
    <w:p w14:paraId="7260021C" w14:textId="10DEB589"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Ramos, Mariejo, Protests vs. sexual </w:t>
      </w:r>
      <w:r w:rsidR="00D73CD6" w:rsidRPr="00067049">
        <w:rPr>
          <w:rStyle w:val="Emphasis"/>
          <w:rFonts w:ascii="Times New Roman" w:hAnsi="Times New Roman" w:cs="Times New Roman"/>
          <w:color w:val="000000" w:themeColor="text1"/>
          <w:sz w:val="18"/>
          <w:szCs w:val="18"/>
        </w:rPr>
        <w:t>harassment</w:t>
      </w:r>
      <w:r w:rsidRPr="00067049">
        <w:rPr>
          <w:rStyle w:val="Emphasis"/>
          <w:rFonts w:ascii="Times New Roman" w:hAnsi="Times New Roman" w:cs="Times New Roman"/>
          <w:color w:val="000000" w:themeColor="text1"/>
          <w:sz w:val="18"/>
          <w:szCs w:val="18"/>
        </w:rPr>
        <w:t xml:space="preserve"> rock Ateneo, INQUIRER.net(2019, October 16) Retrieved from: </w:t>
      </w:r>
      <w:hyperlink r:id="rId8" w:history="1">
        <w:r w:rsidRPr="00067049">
          <w:rPr>
            <w:rStyle w:val="Emphasis"/>
            <w:rFonts w:ascii="Times New Roman" w:hAnsi="Times New Roman" w:cs="Times New Roman"/>
            <w:color w:val="000000" w:themeColor="text1"/>
            <w:sz w:val="18"/>
            <w:szCs w:val="18"/>
          </w:rPr>
          <w:t>https://newsinfo.inquirer.net/1177974/protests-vs-sexual-harassment-rock-ateneo</w:t>
        </w:r>
      </w:hyperlink>
      <w:r w:rsidRPr="00067049">
        <w:rPr>
          <w:rStyle w:val="Emphasis"/>
          <w:rFonts w:ascii="Times New Roman" w:hAnsi="Times New Roman" w:cs="Times New Roman"/>
          <w:color w:val="000000" w:themeColor="text1"/>
          <w:sz w:val="18"/>
          <w:szCs w:val="18"/>
        </w:rPr>
        <w:t xml:space="preserve">. Bautista, Jane, 6 </w:t>
      </w:r>
      <w:r w:rsidR="00D73CD6" w:rsidRPr="00067049">
        <w:rPr>
          <w:rStyle w:val="Emphasis"/>
          <w:rFonts w:ascii="Times New Roman" w:hAnsi="Times New Roman" w:cs="Times New Roman"/>
          <w:color w:val="000000" w:themeColor="text1"/>
          <w:sz w:val="18"/>
          <w:szCs w:val="18"/>
        </w:rPr>
        <w:t>Cavite</w:t>
      </w:r>
      <w:r w:rsidRPr="00067049">
        <w:rPr>
          <w:rStyle w:val="Emphasis"/>
          <w:rFonts w:ascii="Times New Roman" w:hAnsi="Times New Roman" w:cs="Times New Roman"/>
          <w:color w:val="000000" w:themeColor="text1"/>
          <w:sz w:val="18"/>
          <w:szCs w:val="18"/>
        </w:rPr>
        <w:t xml:space="preserve"> teachers facing probe for ‘grooming’ minors, INQUIRER.net (2022, August 31) Retrieved from: </w:t>
      </w:r>
      <w:hyperlink r:id="rId9" w:anchor="ixzz7e6veGVLI" w:history="1">
        <w:r w:rsidRPr="00067049">
          <w:rPr>
            <w:rStyle w:val="Emphasis"/>
            <w:rFonts w:ascii="Times New Roman" w:hAnsi="Times New Roman" w:cs="Times New Roman"/>
            <w:color w:val="000000" w:themeColor="text1"/>
            <w:sz w:val="18"/>
            <w:szCs w:val="18"/>
          </w:rPr>
          <w:t>https://newsinfo.inquirer.net/1655819/6-cavite-teachers-facing-probe-for-grooming-minors#ixzz7e6veGVLI</w:t>
        </w:r>
      </w:hyperlink>
      <w:r w:rsidRPr="00067049">
        <w:rPr>
          <w:rStyle w:val="Emphasis"/>
          <w:rFonts w:ascii="Times New Roman" w:hAnsi="Times New Roman" w:cs="Times New Roman"/>
          <w:color w:val="000000" w:themeColor="text1"/>
          <w:sz w:val="18"/>
          <w:szCs w:val="18"/>
        </w:rPr>
        <w:t xml:space="preserve">. Ines, Eternity, This alumni group is fighting for safe spaces to change their school’s rape culture, Preen.ph (2020, June 30) Retrieved from: </w:t>
      </w:r>
      <w:hyperlink r:id="rId10" w:history="1">
        <w:r w:rsidRPr="00067049">
          <w:rPr>
            <w:rStyle w:val="Emphasis"/>
            <w:rFonts w:ascii="Times New Roman" w:hAnsi="Times New Roman" w:cs="Times New Roman"/>
            <w:color w:val="000000" w:themeColor="text1"/>
            <w:sz w:val="18"/>
            <w:szCs w:val="18"/>
          </w:rPr>
          <w:t>https://preen.ph/112864/safe-spaces-lhs-now</w:t>
        </w:r>
      </w:hyperlink>
      <w:r w:rsidRPr="00067049">
        <w:rPr>
          <w:rStyle w:val="Emphasis"/>
          <w:rFonts w:ascii="Times New Roman" w:hAnsi="Times New Roman" w:cs="Times New Roman"/>
          <w:color w:val="000000" w:themeColor="text1"/>
          <w:sz w:val="18"/>
          <w:szCs w:val="18"/>
        </w:rPr>
        <w:t>. Ramos, Mariejo, Miriam College Students bare harassment complaints, INQUIRER.net (2020, June 28), retrieved from:</w:t>
      </w:r>
      <w:hyperlink r:id="rId11">
        <w:r w:rsidRPr="00067049">
          <w:rPr>
            <w:rStyle w:val="Emphasis"/>
            <w:rFonts w:ascii="Times New Roman" w:hAnsi="Times New Roman" w:cs="Times New Roman"/>
            <w:color w:val="000000" w:themeColor="text1"/>
            <w:sz w:val="18"/>
            <w:szCs w:val="18"/>
          </w:rPr>
          <w:t>https://newsinfo.inquirer.net/1298492/miriam-students-bare-harassment-complaints</w:t>
        </w:r>
      </w:hyperlink>
      <w:r w:rsidRPr="00067049">
        <w:rPr>
          <w:rStyle w:val="Emphasis"/>
          <w:rFonts w:ascii="Times New Roman" w:hAnsi="Times New Roman" w:cs="Times New Roman"/>
          <w:color w:val="000000" w:themeColor="text1"/>
          <w:sz w:val="18"/>
          <w:szCs w:val="18"/>
        </w:rPr>
        <w:t>. Tuazon, Anna Cristina, Normalization of Abuse, INQUIRER.net, (2022 July 14) Retrieved from: https://opinion.inquirer.net/155003/normalization-of-abuse</w:t>
      </w:r>
      <w:r w:rsidR="00D73CD6" w:rsidRPr="00067049">
        <w:rPr>
          <w:rStyle w:val="Emphasis"/>
          <w:rFonts w:ascii="Times New Roman" w:hAnsi="Times New Roman" w:cs="Times New Roman"/>
          <w:color w:val="000000" w:themeColor="text1"/>
          <w:sz w:val="18"/>
          <w:szCs w:val="18"/>
        </w:rPr>
        <w:t>.</w:t>
      </w:r>
    </w:p>
  </w:endnote>
  <w:endnote w:id="27">
    <w:p w14:paraId="683DD54B" w14:textId="02565C1F"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Senate of the Philippines, Hontiveros seeks inquiry into spate of sexual harassment cases in PH schools, (2022, August 31) Retrieved from: https://legacy.senate.gov.ph/press_release/2022/0831_hontiveros1.asp</w:t>
      </w:r>
      <w:r w:rsidR="00D73CD6" w:rsidRPr="00067049">
        <w:rPr>
          <w:rStyle w:val="Emphasis"/>
          <w:rFonts w:ascii="Times New Roman" w:hAnsi="Times New Roman" w:cs="Times New Roman"/>
          <w:color w:val="000000" w:themeColor="text1"/>
          <w:sz w:val="18"/>
          <w:szCs w:val="18"/>
        </w:rPr>
        <w:t>.</w:t>
      </w:r>
    </w:p>
  </w:endnote>
  <w:endnote w:id="28">
    <w:p w14:paraId="272C9875" w14:textId="442DE2A6"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CNN, New Law puts pressure on private stakeholders to protect children vs. online sexual abuse, (2022, August 3) retrieved from: https://www.cnnphilippines.com/news/2022/8/3/Online-sexual-abuse-children-protection-law-Hontiveros.html</w:t>
      </w:r>
      <w:r w:rsidR="00D73CD6" w:rsidRPr="00067049">
        <w:rPr>
          <w:rStyle w:val="Emphasis"/>
          <w:rFonts w:ascii="Times New Roman" w:hAnsi="Times New Roman" w:cs="Times New Roman"/>
          <w:color w:val="000000" w:themeColor="text1"/>
          <w:sz w:val="18"/>
          <w:szCs w:val="18"/>
        </w:rPr>
        <w:t>.</w:t>
      </w:r>
    </w:p>
  </w:endnote>
  <w:endnote w:id="29">
    <w:p w14:paraId="74E17DCB" w14:textId="68A35DD4"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Commission on Human Rights Gender Equality and Women’s Human Rights Center, “Telling our Own Stories”  Report on the CHR National Inquiry on the Reproductive Health and Rights of Women with Disabilities, (2021, October 7) Retrieved from: chrome-extension://efaidnbmnnnibpcajpcglclefindmkaj/https://chr-observatories.uwazi.io/api/files/1635787667181tdrl1bhrwa.pdf; UN CEDAW Committee. Concluding observations on the combined seventh and eighth periodic reports of the Philippines. (25 July</w:t>
      </w:r>
      <w:r w:rsidR="0025109D"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2016). CEDAW/C/PHL/CO/7-8 6 UN CRPD Committee. Concluding observations on the initial report of the</w:t>
      </w:r>
      <w:r w:rsidR="0025109D"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Philippines. (16 October 2018). CRPD/C/PHL/CO/1</w:t>
      </w:r>
      <w:r w:rsidR="00D73CD6" w:rsidRPr="00067049">
        <w:rPr>
          <w:rStyle w:val="Emphasis"/>
          <w:rFonts w:ascii="Times New Roman" w:hAnsi="Times New Roman" w:cs="Times New Roman"/>
          <w:color w:val="000000" w:themeColor="text1"/>
          <w:sz w:val="18"/>
          <w:szCs w:val="18"/>
        </w:rPr>
        <w:t>.</w:t>
      </w:r>
    </w:p>
  </w:endnote>
  <w:endnote w:id="30">
    <w:p w14:paraId="09A3C4EB"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Gender and Inclusion Assessment of COVID-19 Pandemic on Vulnerable Women and Girls in the Philippines, available at chrome-extension://efaidnbmnnnibpcajpcglclefindmkaj/https://philippines.unfpa.org/sites/default/files/pub-pdf/silayan_gia_report.pdf</w:t>
      </w:r>
    </w:p>
  </w:endnote>
  <w:endnote w:id="31">
    <w:p w14:paraId="641D88A0" w14:textId="0D485ADC" w:rsidR="00D56E6B" w:rsidRPr="00067049" w:rsidRDefault="00D56E6B" w:rsidP="00D73CD6">
      <w:pPr>
        <w:pStyle w:val="EndnoteText"/>
        <w:ind w:left="360" w:right="862"/>
        <w:jc w:val="left"/>
        <w:rPr>
          <w:rFonts w:ascii="Times New Roman" w:hAnsi="Times New Roman" w:cs="Times New Roman"/>
          <w:color w:val="000000" w:themeColor="text1"/>
          <w:sz w:val="18"/>
          <w:szCs w:val="18"/>
          <w:lang w:val="en-US"/>
        </w:rPr>
      </w:pPr>
      <w:r w:rsidRPr="00067049">
        <w:rPr>
          <w:rStyle w:val="EndnoteReference"/>
          <w:rFonts w:ascii="Times New Roman" w:hAnsi="Times New Roman" w:cs="Times New Roman"/>
          <w:color w:val="000000" w:themeColor="text1"/>
          <w:sz w:val="18"/>
          <w:szCs w:val="18"/>
        </w:rPr>
        <w:endnoteRef/>
      </w:r>
      <w:r w:rsidRPr="00067049">
        <w:rPr>
          <w:rFonts w:ascii="Times New Roman" w:hAnsi="Times New Roman" w:cs="Times New Roman"/>
          <w:color w:val="000000" w:themeColor="text1"/>
          <w:sz w:val="18"/>
          <w:szCs w:val="18"/>
        </w:rPr>
        <w:t xml:space="preserve"> </w:t>
      </w:r>
      <w:r w:rsidRPr="00067049">
        <w:rPr>
          <w:rFonts w:ascii="Times New Roman" w:eastAsia="Calibri" w:hAnsi="Times New Roman" w:cs="Times New Roman"/>
          <w:color w:val="000000" w:themeColor="text1"/>
          <w:sz w:val="18"/>
          <w:szCs w:val="18"/>
        </w:rPr>
        <w:t>Thoreson, Ryan, Philippines Uses Humiliation as COVID Curfew Punishment; LGBT People Ordered to Dance and Kiss on Video, Human Rights Watch, (2020 April 8) Retrieved from: https://www.hrw.org/news/2020/04/08/philippines-uses-humiliation-covid-curfew-punishment</w:t>
      </w:r>
    </w:p>
  </w:endnote>
  <w:endnote w:id="32">
    <w:p w14:paraId="19829AD9" w14:textId="50AB7DE6"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00CB3AAF" w:rsidRPr="00067049">
        <w:rPr>
          <w:rStyle w:val="Emphasis"/>
          <w:rFonts w:ascii="Times New Roman" w:hAnsi="Times New Roman" w:cs="Times New Roman"/>
          <w:color w:val="000000" w:themeColor="text1"/>
          <w:sz w:val="18"/>
          <w:szCs w:val="18"/>
        </w:rPr>
        <w:t xml:space="preserve">See Rappler, At least 20 arrested at Pride March in Manila, (2020, June 26) Retrieved from: </w:t>
      </w:r>
      <w:hyperlink r:id="rId12" w:history="1">
        <w:r w:rsidR="00CB3AAF" w:rsidRPr="00067049">
          <w:rPr>
            <w:rStyle w:val="Hyperlink"/>
            <w:rFonts w:ascii="Times New Roman" w:hAnsi="Times New Roman" w:cs="Times New Roman"/>
            <w:i w:val="0"/>
            <w:iCs w:val="0"/>
            <w:color w:val="000000" w:themeColor="text1"/>
            <w:sz w:val="18"/>
            <w:szCs w:val="18"/>
            <w:u w:val="none"/>
          </w:rPr>
          <w:t>https://www.rappler.com/nation/264919-cops-arrest-individuals-pride-month-protest-manila-june-2020/</w:t>
        </w:r>
      </w:hyperlink>
      <w:r w:rsidR="00CB3AAF"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Redfern, Corinne, I’m scared every damn day’: In the Phi</w:t>
      </w:r>
      <w:r w:rsidR="00CB3AAF" w:rsidRPr="00067049">
        <w:rPr>
          <w:rStyle w:val="Emphasis"/>
          <w:rFonts w:ascii="Times New Roman" w:hAnsi="Times New Roman" w:cs="Times New Roman"/>
          <w:color w:val="000000" w:themeColor="text1"/>
          <w:sz w:val="18"/>
          <w:szCs w:val="18"/>
        </w:rPr>
        <w:t>l</w:t>
      </w:r>
      <w:r w:rsidRPr="00067049">
        <w:rPr>
          <w:rStyle w:val="Emphasis"/>
          <w:rFonts w:ascii="Times New Roman" w:hAnsi="Times New Roman" w:cs="Times New Roman"/>
          <w:color w:val="000000" w:themeColor="text1"/>
          <w:sz w:val="18"/>
          <w:szCs w:val="18"/>
        </w:rPr>
        <w:t>ippines, violence shadow trans lives, (2021, January 7) The Fuller Project, Retrieved from: https://fullerproject.org/story/im-scared-every-damn-day-in-the-philippines-violence-shadows-trans-lives/</w:t>
      </w:r>
    </w:p>
  </w:endnote>
  <w:endnote w:id="33">
    <w:p w14:paraId="427B3553" w14:textId="3961FF7D"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Plan International, Through her lens: The impact of COVID-19 on Filipino Girls and Young Women, (2020, October 15) Retrieved from: https://reliefweb.int/report/philippines/through-her-lens-impact-covid-19-filipino-girls-and-young-women</w:t>
      </w:r>
    </w:p>
  </w:endnote>
  <w:endnote w:id="34">
    <w:p w14:paraId="0BB9775D"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CEDAW Committee, List of Issues in relation to the 9th periodic report: Philippines, para. 15 (a), U.N. Doc. CEDAW/C/PHL/Q/9 (2022).</w:t>
      </w:r>
    </w:p>
  </w:endnote>
  <w:endnote w:id="35">
    <w:p w14:paraId="027113F0" w14:textId="77777777" w:rsidR="00C310BD" w:rsidRPr="00067049" w:rsidRDefault="00C310BD" w:rsidP="00D73CD6">
      <w:pPr>
        <w:pStyle w:val="EndnoteText"/>
        <w:ind w:left="0" w:firstLine="0"/>
        <w:jc w:val="left"/>
        <w:rPr>
          <w:rFonts w:ascii="Times New Roman" w:hAnsi="Times New Roman" w:cs="Times New Roman"/>
          <w:color w:val="000000" w:themeColor="text1"/>
          <w:sz w:val="18"/>
          <w:szCs w:val="18"/>
        </w:rPr>
      </w:pPr>
      <w:r w:rsidRPr="00067049">
        <w:rPr>
          <w:rStyle w:val="EndnoteReference"/>
          <w:rFonts w:ascii="Times New Roman" w:hAnsi="Times New Roman" w:cs="Times New Roman"/>
          <w:color w:val="000000" w:themeColor="text1"/>
          <w:sz w:val="18"/>
          <w:szCs w:val="18"/>
        </w:rPr>
        <w:endnoteRef/>
      </w:r>
      <w:r w:rsidRPr="00067049">
        <w:rPr>
          <w:rFonts w:ascii="Times New Roman" w:hAnsi="Times New Roman" w:cs="Times New Roman"/>
          <w:color w:val="000000" w:themeColor="text1"/>
          <w:sz w:val="18"/>
          <w:szCs w:val="18"/>
        </w:rPr>
        <w:t xml:space="preserve"> </w:t>
      </w:r>
      <w:r w:rsidRPr="00067049">
        <w:rPr>
          <w:rFonts w:ascii="Times New Roman" w:hAnsi="Times New Roman" w:cs="Times New Roman"/>
          <w:smallCaps/>
          <w:color w:val="000000" w:themeColor="text1"/>
          <w:sz w:val="18"/>
          <w:szCs w:val="18"/>
        </w:rPr>
        <w:t>Phil.</w:t>
      </w:r>
      <w:r w:rsidRPr="00067049">
        <w:rPr>
          <w:rFonts w:ascii="Times New Roman" w:hAnsi="Times New Roman" w:cs="Times New Roman"/>
          <w:color w:val="000000" w:themeColor="text1"/>
          <w:sz w:val="18"/>
          <w:szCs w:val="18"/>
        </w:rPr>
        <w:t xml:space="preserve"> </w:t>
      </w:r>
      <w:r w:rsidRPr="00067049">
        <w:rPr>
          <w:rFonts w:ascii="Times New Roman" w:hAnsi="Times New Roman" w:cs="Times New Roman"/>
          <w:smallCaps/>
          <w:color w:val="000000" w:themeColor="text1"/>
          <w:sz w:val="18"/>
          <w:szCs w:val="18"/>
        </w:rPr>
        <w:t>Revised Penal Code</w:t>
      </w:r>
      <w:r w:rsidRPr="00067049">
        <w:rPr>
          <w:rFonts w:ascii="Times New Roman" w:hAnsi="Times New Roman" w:cs="Times New Roman"/>
          <w:color w:val="000000" w:themeColor="text1"/>
          <w:sz w:val="18"/>
          <w:szCs w:val="18"/>
        </w:rPr>
        <w:t xml:space="preserve"> (Act No. 3815), arts. 256-259 (1930) [hereinafter </w:t>
      </w:r>
      <w:r w:rsidRPr="00067049">
        <w:rPr>
          <w:rFonts w:ascii="Times New Roman" w:hAnsi="Times New Roman" w:cs="Times New Roman"/>
          <w:smallCaps/>
          <w:color w:val="000000" w:themeColor="text1"/>
          <w:sz w:val="18"/>
          <w:szCs w:val="18"/>
        </w:rPr>
        <w:t>Rev. Penal Code]</w:t>
      </w:r>
      <w:r w:rsidRPr="00067049">
        <w:rPr>
          <w:rFonts w:ascii="Times New Roman" w:hAnsi="Times New Roman" w:cs="Times New Roman"/>
          <w:color w:val="000000" w:themeColor="text1"/>
          <w:sz w:val="18"/>
          <w:szCs w:val="18"/>
        </w:rPr>
        <w:t xml:space="preserve">. </w:t>
      </w:r>
    </w:p>
  </w:endnote>
  <w:endnote w:id="36">
    <w:p w14:paraId="4716945C" w14:textId="77777777" w:rsidR="00C310BD" w:rsidRPr="00067049" w:rsidRDefault="00C310BD" w:rsidP="00D73CD6">
      <w:pPr>
        <w:pStyle w:val="EndnoteText"/>
        <w:ind w:left="0" w:firstLine="0"/>
        <w:jc w:val="left"/>
        <w:rPr>
          <w:rFonts w:ascii="Times New Roman" w:hAnsi="Times New Roman" w:cs="Times New Roman"/>
          <w:color w:val="000000" w:themeColor="text1"/>
          <w:sz w:val="18"/>
          <w:szCs w:val="18"/>
        </w:rPr>
      </w:pPr>
      <w:r w:rsidRPr="00067049">
        <w:rPr>
          <w:rStyle w:val="EndnoteReference"/>
          <w:rFonts w:ascii="Times New Roman" w:hAnsi="Times New Roman" w:cs="Times New Roman"/>
          <w:color w:val="000000" w:themeColor="text1"/>
          <w:sz w:val="18"/>
          <w:szCs w:val="18"/>
        </w:rPr>
        <w:endnoteRef/>
      </w:r>
      <w:r w:rsidRPr="00067049">
        <w:rPr>
          <w:rFonts w:ascii="Times New Roman" w:hAnsi="Times New Roman" w:cs="Times New Roman"/>
          <w:color w:val="000000" w:themeColor="text1"/>
          <w:sz w:val="18"/>
          <w:szCs w:val="18"/>
        </w:rPr>
        <w:t xml:space="preserve"> </w:t>
      </w:r>
      <w:r w:rsidRPr="00067049">
        <w:rPr>
          <w:rFonts w:ascii="Times New Roman" w:hAnsi="Times New Roman" w:cs="Times New Roman"/>
          <w:color w:val="000000" w:themeColor="text1"/>
          <w:sz w:val="18"/>
          <w:szCs w:val="18"/>
          <w:lang w:val="en-US"/>
        </w:rPr>
        <w:t>Id.</w:t>
      </w:r>
    </w:p>
  </w:endnote>
  <w:endnote w:id="37">
    <w:p w14:paraId="6524E5D4"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Replies to List of Issues of the CEDAW Committee (2022), </w:t>
      </w:r>
      <w:r w:rsidRPr="00067049">
        <w:rPr>
          <w:rStyle w:val="Emphasis"/>
          <w:rFonts w:ascii="Times New Roman" w:hAnsi="Times New Roman" w:cs="Times New Roman"/>
          <w:i/>
          <w:iCs/>
          <w:color w:val="000000" w:themeColor="text1"/>
          <w:sz w:val="18"/>
          <w:szCs w:val="18"/>
        </w:rPr>
        <w:t>supra</w:t>
      </w:r>
      <w:r w:rsidRPr="00067049">
        <w:rPr>
          <w:rStyle w:val="Emphasis"/>
          <w:rFonts w:ascii="Times New Roman" w:hAnsi="Times New Roman" w:cs="Times New Roman"/>
          <w:color w:val="000000" w:themeColor="text1"/>
          <w:sz w:val="18"/>
          <w:szCs w:val="18"/>
        </w:rPr>
        <w:t xml:space="preserve"> note 3, para. 88.</w:t>
      </w:r>
    </w:p>
  </w:endnote>
  <w:endnote w:id="38">
    <w:p w14:paraId="5391D4F3"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Melissa Upreti and Jihan Jacob, "The Philippines Rolls Back Recent Advancements in Post Abortion Care Policy", International Journal of Gynecology and Obstetrics, (August 2018); 142: 255-256. </w:t>
      </w:r>
    </w:p>
  </w:endnote>
  <w:endnote w:id="39">
    <w:p w14:paraId="1CA34D70"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The Philippine Safe Abortion Advocacy Network (PINSAN) is committed to work towards achieving full realization of women and girls’ human rights – including their sexual and reproductive health and rights. More information about PINSAN and its work available at https://pinsan.ph/.</w:t>
      </w:r>
    </w:p>
  </w:endnote>
  <w:endnote w:id="40">
    <w:p w14:paraId="3FDE8F63"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An Act Decriminalizing Induced Abortion To Save The Lives Of Women, Girls, And Persons Of Diverse Gender Identities, Amending For This Purpose Articles 256-259 Of Act No. 3815, As Amended, Otherwise Known As The Revised Penal Code, Establishing Institutional Mechanisms And For Other Purposes (2020) available at </w:t>
      </w:r>
      <w:hyperlink r:id="rId13">
        <w:r w:rsidRPr="00067049">
          <w:rPr>
            <w:rStyle w:val="Emphasis"/>
            <w:rFonts w:ascii="Times New Roman" w:hAnsi="Times New Roman" w:cs="Times New Roman"/>
            <w:color w:val="000000" w:themeColor="text1"/>
            <w:sz w:val="18"/>
            <w:szCs w:val="18"/>
          </w:rPr>
          <w:t>https://decriminalizeabortion.ph/about/the-bill/</w:t>
        </w:r>
      </w:hyperlink>
      <w:r w:rsidRPr="00067049">
        <w:rPr>
          <w:rStyle w:val="Emphasis"/>
          <w:rFonts w:ascii="Times New Roman" w:hAnsi="Times New Roman" w:cs="Times New Roman"/>
          <w:color w:val="000000" w:themeColor="text1"/>
          <w:sz w:val="18"/>
          <w:szCs w:val="18"/>
        </w:rPr>
        <w:t>.</w:t>
      </w:r>
    </w:p>
  </w:endnote>
  <w:endnote w:id="41">
    <w:p w14:paraId="582FB0AA"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Online petition is available at https://www.change.org/decriminalizeabortionph.</w:t>
      </w:r>
    </w:p>
  </w:endnote>
  <w:endnote w:id="42">
    <w:p w14:paraId="38995295"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The state party in its Annex Q to the State Party report (page 49) only noted that “discussions on decriminalizing abortion under certain circumstances are on-going.”</w:t>
      </w:r>
    </w:p>
  </w:endnote>
  <w:endnote w:id="43">
    <w:p w14:paraId="6D01FC63"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Government of the Philippines, Replies of the Philippines to the list of issues in relation to its fifth periodic report, para. 53. U.N. Doc. CCPR/C/PHL/RQ/5 (March 18, 2022) [hereinafter Replies to List of Issues of the Human Rights Committee (2022)].</w:t>
      </w:r>
    </w:p>
  </w:endnote>
  <w:endnote w:id="44">
    <w:p w14:paraId="003C4F24" w14:textId="77777777" w:rsidR="002C41A7" w:rsidRPr="00067049" w:rsidRDefault="002C41A7" w:rsidP="00D73CD6">
      <w:pPr>
        <w:pStyle w:val="Quote"/>
        <w:ind w:left="360" w:right="862"/>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Letter addressed to Jihan Jacob, Senior Legal Adviser for Asia, Center for Reproductive Rights from Allan S. Iral, Jail Director, Chief, BJMP dated June 30, 2022 [on file with the Center for Reproductive Rights].</w:t>
      </w:r>
    </w:p>
  </w:endnote>
  <w:endnote w:id="45">
    <w:p w14:paraId="6BF21CD0" w14:textId="32FC7D28" w:rsidR="00E80A33" w:rsidRPr="00067049" w:rsidRDefault="00E80A33" w:rsidP="00D73CD6">
      <w:pPr>
        <w:pStyle w:val="EndnoteText"/>
        <w:ind w:left="360" w:right="862"/>
        <w:jc w:val="left"/>
        <w:rPr>
          <w:rFonts w:ascii="Times New Roman" w:hAnsi="Times New Roman" w:cs="Times New Roman"/>
          <w:color w:val="000000" w:themeColor="text1"/>
          <w:sz w:val="18"/>
          <w:szCs w:val="18"/>
          <w:lang w:val="en-US"/>
        </w:rPr>
      </w:pPr>
      <w:r w:rsidRPr="00067049">
        <w:rPr>
          <w:rStyle w:val="EndnoteReference"/>
          <w:rFonts w:ascii="Times New Roman" w:hAnsi="Times New Roman" w:cs="Times New Roman"/>
          <w:color w:val="000000" w:themeColor="text1"/>
          <w:sz w:val="18"/>
          <w:szCs w:val="18"/>
          <w:vertAlign w:val="baseline"/>
        </w:rPr>
        <w:endnoteRef/>
      </w:r>
      <w:r w:rsidRPr="00067049">
        <w:rPr>
          <w:rFonts w:ascii="Times New Roman" w:hAnsi="Times New Roman" w:cs="Times New Roman"/>
          <w:color w:val="000000" w:themeColor="text1"/>
          <w:sz w:val="18"/>
          <w:szCs w:val="18"/>
        </w:rPr>
        <w:t xml:space="preserve"> World Health Organization. (2022) Abortion </w:t>
      </w:r>
      <w:r w:rsidR="00CB3AAF" w:rsidRPr="00067049">
        <w:rPr>
          <w:rFonts w:ascii="Times New Roman" w:hAnsi="Times New Roman" w:cs="Times New Roman"/>
          <w:color w:val="000000" w:themeColor="text1"/>
          <w:sz w:val="18"/>
          <w:szCs w:val="18"/>
        </w:rPr>
        <w:t>C</w:t>
      </w:r>
      <w:r w:rsidRPr="00067049">
        <w:rPr>
          <w:rFonts w:ascii="Times New Roman" w:hAnsi="Times New Roman" w:cs="Times New Roman"/>
          <w:color w:val="000000" w:themeColor="text1"/>
          <w:sz w:val="18"/>
          <w:szCs w:val="18"/>
        </w:rPr>
        <w:t xml:space="preserve">are </w:t>
      </w:r>
      <w:r w:rsidR="00CB3AAF" w:rsidRPr="00067049">
        <w:rPr>
          <w:rFonts w:ascii="Times New Roman" w:hAnsi="Times New Roman" w:cs="Times New Roman"/>
          <w:color w:val="000000" w:themeColor="text1"/>
          <w:sz w:val="18"/>
          <w:szCs w:val="18"/>
        </w:rPr>
        <w:t>G</w:t>
      </w:r>
      <w:r w:rsidRPr="00067049">
        <w:rPr>
          <w:rFonts w:ascii="Times New Roman" w:hAnsi="Times New Roman" w:cs="Times New Roman"/>
          <w:color w:val="000000" w:themeColor="text1"/>
          <w:sz w:val="18"/>
          <w:szCs w:val="18"/>
        </w:rPr>
        <w:t>uideline</w:t>
      </w:r>
      <w:r w:rsidR="00CB3AAF" w:rsidRPr="00067049">
        <w:rPr>
          <w:rFonts w:ascii="Times New Roman" w:hAnsi="Times New Roman" w:cs="Times New Roman"/>
          <w:color w:val="000000" w:themeColor="text1"/>
          <w:sz w:val="18"/>
          <w:szCs w:val="18"/>
        </w:rPr>
        <w:t>s,</w:t>
      </w:r>
      <w:r w:rsidRPr="00067049">
        <w:rPr>
          <w:rFonts w:ascii="Times New Roman" w:hAnsi="Times New Roman" w:cs="Times New Roman"/>
          <w:color w:val="000000" w:themeColor="text1"/>
          <w:sz w:val="18"/>
          <w:szCs w:val="18"/>
        </w:rPr>
        <w:t xml:space="preserve"> Sections 3.4 (pp. 62–63); 3.6.1 (p. 95); 3.6.2 (pp. 98–100); 3.6.3 (pp. 100–102) Retrieved from: https://srhr.org/abortioncare/</w:t>
      </w:r>
      <w:r w:rsidR="00D73CD6" w:rsidRPr="00067049">
        <w:rPr>
          <w:rFonts w:ascii="Times New Roman" w:hAnsi="Times New Roman" w:cs="Times New Roman"/>
          <w:color w:val="000000" w:themeColor="text1"/>
          <w:sz w:val="18"/>
          <w:szCs w:val="18"/>
        </w:rPr>
        <w:t>.</w:t>
      </w:r>
    </w:p>
  </w:endnote>
  <w:endnote w:id="46">
    <w:p w14:paraId="33A96FEE" w14:textId="5199BCA8" w:rsidR="002C41A7" w:rsidRPr="00067049" w:rsidRDefault="002C41A7" w:rsidP="00D73CD6">
      <w:pPr>
        <w:pStyle w:val="Quote"/>
        <w:ind w:left="360" w:right="862"/>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Center for Reproductive Rights, Legal and Policy Barriers to Self- Managed Abortion (report), (2022, SEPTEMBER 13) Retrieved from: </w:t>
      </w:r>
      <w:hyperlink r:id="rId14" w:history="1">
        <w:r w:rsidRPr="00067049">
          <w:rPr>
            <w:rStyle w:val="Emphasis"/>
            <w:rFonts w:ascii="Times New Roman" w:hAnsi="Times New Roman" w:cs="Times New Roman"/>
            <w:color w:val="000000" w:themeColor="text1"/>
            <w:sz w:val="18"/>
            <w:szCs w:val="18"/>
            <w:lang w:val="en-US"/>
          </w:rPr>
          <w:t>https://reproductiverights.org/self-managed-abortion-legal-policy-barriers/</w:t>
        </w:r>
      </w:hyperlink>
      <w:r w:rsidRPr="00067049">
        <w:rPr>
          <w:rStyle w:val="Emphasis"/>
          <w:rFonts w:ascii="Times New Roman" w:hAnsi="Times New Roman" w:cs="Times New Roman"/>
          <w:color w:val="000000" w:themeColor="text1"/>
          <w:sz w:val="18"/>
          <w:szCs w:val="18"/>
          <w:lang w:val="en-US"/>
        </w:rPr>
        <w:t>; World Health Organization. Abortion, (2021, November 25) Retrieved from: https://www.who.int/news-room/fact-sheets/detail/abortion</w:t>
      </w:r>
      <w:r w:rsidR="00D73CD6" w:rsidRPr="00067049">
        <w:rPr>
          <w:rStyle w:val="Emphasis"/>
          <w:rFonts w:ascii="Times New Roman" w:hAnsi="Times New Roman" w:cs="Times New Roman"/>
          <w:color w:val="000000" w:themeColor="text1"/>
          <w:sz w:val="18"/>
          <w:szCs w:val="18"/>
          <w:lang w:val="en-US"/>
        </w:rPr>
        <w:t>.</w:t>
      </w:r>
    </w:p>
  </w:endnote>
  <w:endnote w:id="47">
    <w:p w14:paraId="64435D61" w14:textId="5C98B320" w:rsidR="1B0E4A98" w:rsidRPr="00067049" w:rsidRDefault="1B0E4A98" w:rsidP="00D73CD6">
      <w:pPr>
        <w:ind w:left="360" w:right="862"/>
        <w:jc w:val="left"/>
        <w:rPr>
          <w:rFonts w:ascii="Times New Roman" w:hAnsi="Times New Roman" w:cs="Times New Roman"/>
          <w:color w:val="000000" w:themeColor="text1"/>
          <w:sz w:val="18"/>
          <w:szCs w:val="18"/>
        </w:rPr>
      </w:pPr>
      <w:r w:rsidRPr="00067049">
        <w:rPr>
          <w:rStyle w:val="EndnoteReference"/>
          <w:rFonts w:ascii="Times New Roman" w:hAnsi="Times New Roman" w:cs="Times New Roman"/>
          <w:color w:val="000000" w:themeColor="text1"/>
          <w:sz w:val="18"/>
          <w:szCs w:val="18"/>
          <w:vertAlign w:val="baseline"/>
        </w:rPr>
        <w:endnoteRef/>
      </w:r>
      <w:r w:rsidRPr="00067049">
        <w:rPr>
          <w:rFonts w:ascii="Times New Roman" w:hAnsi="Times New Roman" w:cs="Times New Roman"/>
          <w:color w:val="000000" w:themeColor="text1"/>
          <w:sz w:val="18"/>
          <w:szCs w:val="18"/>
        </w:rPr>
        <w:t xml:space="preserve"> </w:t>
      </w:r>
      <w:r w:rsidR="00BE3026" w:rsidRPr="00067049">
        <w:rPr>
          <w:rFonts w:ascii="Times New Roman" w:hAnsi="Times New Roman" w:cs="Times New Roman"/>
          <w:color w:val="000000" w:themeColor="text1"/>
          <w:sz w:val="18"/>
          <w:szCs w:val="18"/>
        </w:rPr>
        <w:t xml:space="preserve"> Human Rights Committee, General Comment 36, Article 6: Right to life para 8, U.N, Doc. CCPR/C/GC/</w:t>
      </w:r>
      <w:r w:rsidR="00BE3026" w:rsidRPr="00067049">
        <w:rPr>
          <w:rFonts w:ascii="Times New Roman" w:hAnsi="Times New Roman" w:cs="Times New Roman"/>
          <w:color w:val="000000" w:themeColor="text1"/>
          <w:sz w:val="18"/>
          <w:szCs w:val="18"/>
        </w:rPr>
        <w:t xml:space="preserve">36  </w:t>
      </w:r>
      <w:r w:rsidR="00D73CD6" w:rsidRPr="00067049">
        <w:rPr>
          <w:rFonts w:ascii="Times New Roman" w:hAnsi="Times New Roman" w:cs="Times New Roman"/>
          <w:color w:val="000000" w:themeColor="text1"/>
          <w:sz w:val="18"/>
          <w:szCs w:val="18"/>
        </w:rPr>
        <w:t>(</w:t>
      </w:r>
      <w:r w:rsidR="00BE3026" w:rsidRPr="00067049">
        <w:rPr>
          <w:rFonts w:ascii="Times New Roman" w:hAnsi="Times New Roman" w:cs="Times New Roman"/>
          <w:color w:val="000000" w:themeColor="text1"/>
          <w:sz w:val="18"/>
          <w:szCs w:val="18"/>
        </w:rPr>
        <w:t>2019)</w:t>
      </w:r>
      <w:r w:rsidR="00D73CD6" w:rsidRPr="00067049">
        <w:rPr>
          <w:rFonts w:ascii="Times New Roman" w:hAnsi="Times New Roman" w:cs="Times New Roman"/>
          <w:color w:val="000000" w:themeColor="text1"/>
          <w:sz w:val="18"/>
          <w:szCs w:val="18"/>
        </w:rPr>
        <w:t>.</w:t>
      </w:r>
    </w:p>
  </w:endnote>
  <w:endnote w:id="48">
    <w:p w14:paraId="44F22F47" w14:textId="104DCA12"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Perez, J.R.M., Monteagudo, G.R.S., Nebrada, P.J.C., Arevalo, M.V.P.N., Dela Paz, E.P., Ho, F.D.V., &amp; Padilla, C.R.A. (Year). The Spectre of Unsafe Abortions in the Philippines. The</w:t>
      </w:r>
      <w:r w:rsidR="00D73CD6"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 xml:space="preserve">Lancet Regional Health-Western Pacific </w:t>
      </w:r>
      <w:r w:rsidR="00AE2761" w:rsidRPr="00067049">
        <w:rPr>
          <w:rStyle w:val="Emphasis"/>
          <w:rFonts w:ascii="Times New Roman" w:hAnsi="Times New Roman" w:cs="Times New Roman"/>
          <w:color w:val="000000" w:themeColor="text1"/>
          <w:sz w:val="18"/>
          <w:szCs w:val="18"/>
        </w:rPr>
        <w:t>2023; 32:100655</w:t>
      </w:r>
      <w:r w:rsidRPr="00067049">
        <w:rPr>
          <w:rStyle w:val="Emphasis"/>
          <w:rFonts w:ascii="Times New Roman" w:hAnsi="Times New Roman" w:cs="Times New Roman"/>
          <w:color w:val="000000" w:themeColor="text1"/>
          <w:sz w:val="18"/>
          <w:szCs w:val="18"/>
        </w:rPr>
        <w:t xml:space="preserve"> Published Online 19 December 2022 https://doi.org/10. 1016/j.lanwpc.2022. 100655</w:t>
      </w:r>
      <w:r w:rsidR="00D73CD6" w:rsidRPr="00067049">
        <w:rPr>
          <w:rStyle w:val="Emphasis"/>
          <w:rFonts w:ascii="Times New Roman" w:hAnsi="Times New Roman" w:cs="Times New Roman"/>
          <w:color w:val="000000" w:themeColor="text1"/>
          <w:sz w:val="18"/>
          <w:szCs w:val="18"/>
        </w:rPr>
        <w:t>.</w:t>
      </w:r>
    </w:p>
  </w:endnote>
  <w:endnote w:id="49">
    <w:p w14:paraId="1A0CA338" w14:textId="2FBC0E8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Philippine Statistics Authority. (2022). 2022 Philippine National Demographic and Health Survey (NDHS) Available at:</w:t>
      </w:r>
      <w:r w:rsidR="00D73CD6" w:rsidRPr="00067049">
        <w:rPr>
          <w:rStyle w:val="Emphasis"/>
          <w:rFonts w:ascii="Times New Roman" w:hAnsi="Times New Roman" w:cs="Times New Roman"/>
          <w:color w:val="000000" w:themeColor="text1"/>
          <w:sz w:val="18"/>
          <w:szCs w:val="18"/>
        </w:rPr>
        <w:t xml:space="preserve"> https://dhsprogram.com/pubs/pdf/FR381/FR381.pdf.</w:t>
      </w:r>
    </w:p>
  </w:endnote>
  <w:endnote w:id="50">
    <w:p w14:paraId="71DE4873"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The Boy Abunda Talk Channel. (2022, January 25). The 2022 Presidential One-On-One Interviews with Boy Abunda featuring Former Senator Bongbong Marcos [Interview]. Boy Abunda (Interviewer). </w:t>
      </w:r>
      <w:hyperlink r:id="rId15">
        <w:r w:rsidRPr="00067049">
          <w:rPr>
            <w:rStyle w:val="Emphasis"/>
            <w:rFonts w:ascii="Times New Roman" w:hAnsi="Times New Roman" w:cs="Times New Roman"/>
            <w:color w:val="000000" w:themeColor="text1"/>
            <w:sz w:val="18"/>
            <w:szCs w:val="18"/>
          </w:rPr>
          <w:t>https://www.youtube.com/watch?v=wFD0CwgfMwQ&amp;t=1963s</w:t>
        </w:r>
      </w:hyperlink>
    </w:p>
  </w:endnote>
  <w:endnote w:id="51">
    <w:p w14:paraId="778E4AF3" w14:textId="5C4DEE2C"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00F43CF8" w:rsidRPr="00067049">
        <w:rPr>
          <w:rStyle w:val="Emphasis"/>
          <w:rFonts w:ascii="Times New Roman" w:hAnsi="Times New Roman" w:cs="Times New Roman"/>
          <w:color w:val="000000" w:themeColor="text1"/>
          <w:sz w:val="18"/>
          <w:szCs w:val="18"/>
        </w:rPr>
        <w:t>. Center for Reproductive Rights. Progress on Abortion Rights in the Philippines, (2023, Jan. 30) Retrieved from:</w:t>
      </w:r>
      <w:r w:rsidRPr="00067049">
        <w:rPr>
          <w:rStyle w:val="Emphasis"/>
          <w:rFonts w:ascii="Times New Roman" w:hAnsi="Times New Roman" w:cs="Times New Roman"/>
          <w:color w:val="000000" w:themeColor="text1"/>
          <w:sz w:val="18"/>
          <w:szCs w:val="18"/>
        </w:rPr>
        <w:t xml:space="preserve"> </w:t>
      </w:r>
      <w:hyperlink r:id="rId16">
        <w:r w:rsidRPr="00067049">
          <w:rPr>
            <w:rStyle w:val="Emphasis"/>
            <w:rFonts w:ascii="Times New Roman" w:hAnsi="Times New Roman" w:cs="Times New Roman"/>
            <w:color w:val="000000" w:themeColor="text1"/>
            <w:sz w:val="18"/>
            <w:szCs w:val="18"/>
          </w:rPr>
          <w:t>https://reproductiverights.org/pchr-philippine-commission-human-rights-abortion-decriminalization/</w:t>
        </w:r>
      </w:hyperlink>
      <w:r w:rsidR="00100F12" w:rsidRPr="00067049">
        <w:rPr>
          <w:rStyle w:val="Emphasis"/>
          <w:rFonts w:ascii="Times New Roman" w:hAnsi="Times New Roman" w:cs="Times New Roman"/>
          <w:color w:val="000000" w:themeColor="text1"/>
          <w:sz w:val="18"/>
          <w:szCs w:val="18"/>
        </w:rPr>
        <w:t xml:space="preserve"> </w:t>
      </w:r>
    </w:p>
  </w:endnote>
  <w:endnote w:id="52">
    <w:p w14:paraId="0CD312A2" w14:textId="3F77B295" w:rsidR="00CB3AAF" w:rsidRPr="00067049" w:rsidRDefault="00CB3AAF"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See </w:t>
      </w:r>
      <w:r w:rsidRPr="00067049">
        <w:rPr>
          <w:rFonts w:ascii="Times New Roman" w:hAnsi="Times New Roman" w:cs="Times New Roman"/>
          <w:bCs/>
          <w:i w:val="0"/>
          <w:iCs w:val="0"/>
          <w:color w:val="000000" w:themeColor="text1"/>
          <w:sz w:val="18"/>
          <w:szCs w:val="18"/>
        </w:rPr>
        <w:t xml:space="preserve">CEDAW </w:t>
      </w:r>
      <w:r w:rsidRPr="00067049">
        <w:rPr>
          <w:rFonts w:ascii="Times New Roman" w:hAnsi="Times New Roman" w:cs="Times New Roman"/>
          <w:i w:val="0"/>
          <w:iCs w:val="0"/>
          <w:color w:val="000000" w:themeColor="text1"/>
          <w:sz w:val="18"/>
          <w:szCs w:val="18"/>
          <w:lang w:val="en-PH" w:eastAsia="zh-TW"/>
        </w:rPr>
        <w:t xml:space="preserve">Committee, General Recommendation No. 35: Gender-based violence against women, updating general recommendation No. 19, in Compilation of General Comments and General Recommendations Adopted by Human Rights Treaty Bodies, para. 18, U.N. Doc. CEDAW/C/GC/35 (2017); </w:t>
      </w:r>
      <w:r w:rsidRPr="00067049">
        <w:rPr>
          <w:rFonts w:ascii="Times New Roman" w:hAnsi="Times New Roman" w:cs="Times New Roman"/>
          <w:bCs/>
          <w:i w:val="0"/>
          <w:iCs w:val="0"/>
          <w:color w:val="000000" w:themeColor="text1"/>
          <w:sz w:val="18"/>
          <w:szCs w:val="18"/>
          <w:lang w:val="en-US"/>
        </w:rPr>
        <w:t>Human Rights Committee, General Comment No. 36 (2018</w:t>
      </w:r>
      <w:r w:rsidR="00067049">
        <w:rPr>
          <w:rFonts w:ascii="Times New Roman" w:hAnsi="Times New Roman" w:cs="Times New Roman"/>
          <w:bCs/>
          <w:i w:val="0"/>
          <w:iCs w:val="0"/>
          <w:color w:val="000000" w:themeColor="text1"/>
          <w:sz w:val="18"/>
          <w:szCs w:val="18"/>
          <w:lang w:val="en-US"/>
        </w:rPr>
        <w:t xml:space="preserve">), </w:t>
      </w:r>
      <w:r w:rsidR="00067049">
        <w:rPr>
          <w:rFonts w:ascii="Times New Roman" w:hAnsi="Times New Roman" w:cs="Times New Roman"/>
          <w:bCs/>
          <w:color w:val="000000" w:themeColor="text1"/>
          <w:sz w:val="18"/>
          <w:szCs w:val="18"/>
          <w:lang w:val="en-US"/>
        </w:rPr>
        <w:t xml:space="preserve">supra </w:t>
      </w:r>
      <w:r w:rsidR="00067049">
        <w:rPr>
          <w:rFonts w:ascii="Times New Roman" w:hAnsi="Times New Roman" w:cs="Times New Roman"/>
          <w:bCs/>
          <w:i w:val="0"/>
          <w:iCs w:val="0"/>
          <w:color w:val="000000" w:themeColor="text1"/>
          <w:sz w:val="18"/>
          <w:szCs w:val="18"/>
          <w:lang w:val="en-US"/>
        </w:rPr>
        <w:t xml:space="preserve">note 46, </w:t>
      </w:r>
      <w:r w:rsidRPr="00067049">
        <w:rPr>
          <w:rFonts w:ascii="Times New Roman" w:hAnsi="Times New Roman" w:cs="Times New Roman"/>
          <w:bCs/>
          <w:i w:val="0"/>
          <w:iCs w:val="0"/>
          <w:color w:val="000000" w:themeColor="text1"/>
          <w:sz w:val="18"/>
          <w:szCs w:val="18"/>
          <w:lang w:val="en-US"/>
        </w:rPr>
        <w:t>para.</w:t>
      </w:r>
      <w:r w:rsidR="00067049">
        <w:rPr>
          <w:rFonts w:ascii="Times New Roman" w:hAnsi="Times New Roman" w:cs="Times New Roman"/>
          <w:bCs/>
          <w:i w:val="0"/>
          <w:iCs w:val="0"/>
          <w:color w:val="000000" w:themeColor="text1"/>
          <w:sz w:val="18"/>
          <w:szCs w:val="18"/>
          <w:lang w:val="en-US"/>
        </w:rPr>
        <w:t>8</w:t>
      </w:r>
      <w:r w:rsidRPr="00067049">
        <w:rPr>
          <w:rFonts w:ascii="Times New Roman" w:hAnsi="Times New Roman" w:cs="Times New Roman"/>
          <w:bCs/>
          <w:i w:val="0"/>
          <w:iCs w:val="0"/>
          <w:color w:val="000000" w:themeColor="text1"/>
          <w:sz w:val="18"/>
          <w:szCs w:val="18"/>
          <w:lang w:val="en-US"/>
        </w:rPr>
        <w:t xml:space="preserve">; </w:t>
      </w:r>
      <w:r w:rsidRPr="00067049">
        <w:rPr>
          <w:rFonts w:ascii="Times New Roman" w:hAnsi="Times New Roman" w:cs="Times New Roman"/>
          <w:bCs/>
          <w:i w:val="0"/>
          <w:iCs w:val="0"/>
          <w:color w:val="000000" w:themeColor="text1"/>
          <w:sz w:val="18"/>
          <w:szCs w:val="18"/>
        </w:rPr>
        <w:t xml:space="preserve">Committee on the Rights of the Child (CRC Committee), Concluding Observations: Czech Republic, para. 51, U.N. Doc. CRC/C/15/Add.201 (2003); Liberia, para. 49, U.N. Doc. CRC/C/15/Add.236 (2004); Malaysia, para. </w:t>
      </w:r>
      <w:r w:rsidRPr="00067049">
        <w:rPr>
          <w:rFonts w:ascii="Times New Roman" w:hAnsi="Times New Roman" w:cs="Times New Roman"/>
          <w:bCs/>
          <w:i w:val="0"/>
          <w:iCs w:val="0"/>
          <w:color w:val="000000" w:themeColor="text1"/>
          <w:sz w:val="18"/>
          <w:szCs w:val="18"/>
          <w:lang w:val="es-ES"/>
        </w:rPr>
        <w:t xml:space="preserve">67, U.N. Doc. CRC/C/MYS/CO/1 (2007); Nicaragua, para. 53, U.N. Doc. </w:t>
      </w:r>
      <w:r w:rsidRPr="00067049">
        <w:rPr>
          <w:rFonts w:ascii="Times New Roman" w:hAnsi="Times New Roman" w:cs="Times New Roman"/>
          <w:bCs/>
          <w:i w:val="0"/>
          <w:iCs w:val="0"/>
          <w:color w:val="000000" w:themeColor="text1"/>
          <w:sz w:val="18"/>
          <w:szCs w:val="18"/>
        </w:rPr>
        <w:t xml:space="preserve">CRC/C/15/Add.265 (2005). See also CEDAW </w:t>
      </w:r>
      <w:r w:rsidRPr="00067049">
        <w:rPr>
          <w:rFonts w:ascii="Times New Roman" w:hAnsi="Times New Roman" w:cs="Times New Roman"/>
          <w:i w:val="0"/>
          <w:iCs w:val="0"/>
          <w:color w:val="000000" w:themeColor="text1"/>
          <w:sz w:val="18"/>
          <w:szCs w:val="18"/>
          <w:lang w:val="en-PH" w:eastAsia="zh-TW"/>
        </w:rPr>
        <w:t xml:space="preserve">Committee on the Elimination of Discrimination against Women, United Kingdom of Great </w:t>
      </w:r>
      <w:r w:rsidRPr="00067049">
        <w:rPr>
          <w:rFonts w:ascii="Times New Roman" w:hAnsi="Times New Roman" w:cs="Times New Roman"/>
          <w:i w:val="0"/>
          <w:iCs w:val="0"/>
          <w:color w:val="000000" w:themeColor="text1"/>
          <w:sz w:val="18"/>
          <w:szCs w:val="18"/>
          <w:lang w:val="en-PH" w:eastAsia="zh-TW"/>
        </w:rPr>
        <w:t>Britain and Northern Ireland Inquiry Summary (Article 8 of Optional Protocol to Convention on the Elimination of All Forms of Discrimination against Women), para. 58, U.N. Doc. CEDAW/C/OP.8/GBR/1(2018); Mellet v. Ireland, Human Rights Committee, Commc’n No. 2324/2013, paras. 7.6, 7.7, 7.8, U.N. Doc. CCPR/C/116/D/2324/2013 (2016).</w:t>
      </w:r>
    </w:p>
  </w:endnote>
  <w:endnote w:id="53">
    <w:p w14:paraId="73DB1469" w14:textId="10092495"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00E14055" w:rsidRPr="00067049">
        <w:rPr>
          <w:rFonts w:ascii="Times New Roman" w:hAnsi="Times New Roman" w:cs="Times New Roman"/>
          <w:bCs/>
          <w:i w:val="0"/>
          <w:iCs w:val="0"/>
          <w:color w:val="000000" w:themeColor="text1"/>
          <w:sz w:val="18"/>
          <w:szCs w:val="18"/>
          <w:lang w:val="en-US"/>
        </w:rPr>
        <w:t xml:space="preserve"> Human Rights Committee, General Comment No. 36</w:t>
      </w:r>
      <w:r w:rsidR="002B1666" w:rsidRPr="00067049">
        <w:rPr>
          <w:rFonts w:ascii="Times New Roman" w:hAnsi="Times New Roman" w:cs="Times New Roman"/>
          <w:bCs/>
          <w:i w:val="0"/>
          <w:iCs w:val="0"/>
          <w:color w:val="000000" w:themeColor="text1"/>
          <w:sz w:val="18"/>
          <w:szCs w:val="18"/>
          <w:lang w:val="en-US"/>
        </w:rPr>
        <w:t xml:space="preserve">, </w:t>
      </w:r>
      <w:r w:rsidR="002B1666" w:rsidRPr="00067049">
        <w:rPr>
          <w:rFonts w:ascii="Times New Roman" w:hAnsi="Times New Roman" w:cs="Times New Roman"/>
          <w:bCs/>
          <w:color w:val="000000" w:themeColor="text1"/>
          <w:sz w:val="18"/>
          <w:szCs w:val="18"/>
          <w:lang w:val="en-US"/>
        </w:rPr>
        <w:t>supra</w:t>
      </w:r>
      <w:r w:rsidR="002B1666" w:rsidRPr="00067049">
        <w:rPr>
          <w:rFonts w:ascii="Times New Roman" w:hAnsi="Times New Roman" w:cs="Times New Roman"/>
          <w:bCs/>
          <w:i w:val="0"/>
          <w:iCs w:val="0"/>
          <w:color w:val="000000" w:themeColor="text1"/>
          <w:sz w:val="18"/>
          <w:szCs w:val="18"/>
          <w:lang w:val="en-US"/>
        </w:rPr>
        <w:t xml:space="preserve"> note </w:t>
      </w:r>
      <w:r w:rsidR="00067049" w:rsidRPr="00067049">
        <w:rPr>
          <w:rFonts w:ascii="Times New Roman" w:hAnsi="Times New Roman" w:cs="Times New Roman"/>
          <w:bCs/>
          <w:i w:val="0"/>
          <w:iCs w:val="0"/>
          <w:color w:val="000000" w:themeColor="text1"/>
          <w:sz w:val="18"/>
          <w:szCs w:val="18"/>
          <w:lang w:val="en-US"/>
        </w:rPr>
        <w:t>46</w:t>
      </w:r>
      <w:r w:rsidR="002B1666" w:rsidRPr="00067049">
        <w:rPr>
          <w:rFonts w:ascii="Times New Roman" w:hAnsi="Times New Roman" w:cs="Times New Roman"/>
          <w:bCs/>
          <w:i w:val="0"/>
          <w:iCs w:val="0"/>
          <w:color w:val="000000" w:themeColor="text1"/>
          <w:sz w:val="18"/>
          <w:szCs w:val="18"/>
          <w:lang w:val="en-US"/>
        </w:rPr>
        <w:t xml:space="preserve">, </w:t>
      </w:r>
      <w:r w:rsidR="00E14055" w:rsidRPr="00067049">
        <w:rPr>
          <w:rFonts w:ascii="Times New Roman" w:hAnsi="Times New Roman" w:cs="Times New Roman"/>
          <w:bCs/>
          <w:i w:val="0"/>
          <w:iCs w:val="0"/>
          <w:color w:val="000000" w:themeColor="text1"/>
          <w:sz w:val="18"/>
          <w:szCs w:val="18"/>
          <w:lang w:val="en-US"/>
        </w:rPr>
        <w:t>para. 8</w:t>
      </w:r>
      <w:r w:rsidR="002B1666" w:rsidRPr="00067049">
        <w:rPr>
          <w:rFonts w:ascii="Times New Roman" w:hAnsi="Times New Roman" w:cs="Times New Roman"/>
          <w:bCs/>
          <w:i w:val="0"/>
          <w:iCs w:val="0"/>
          <w:color w:val="000000" w:themeColor="text1"/>
          <w:sz w:val="18"/>
          <w:szCs w:val="18"/>
          <w:lang w:val="en-US"/>
        </w:rPr>
        <w:t>.</w:t>
      </w:r>
    </w:p>
  </w:endnote>
  <w:endnote w:id="54">
    <w:p w14:paraId="36AAED8A" w14:textId="5EA82AF6"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CRC Committee, Concluding Observations: Philippines, para.32 (g), U.N. Doc. CRC/C/PHL/CO/5-6 (2022).</w:t>
      </w:r>
    </w:p>
  </w:endnote>
  <w:endnote w:id="55">
    <w:p w14:paraId="5667A877"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CEDAW Committee, List of Issues in relation to the 9th periodic report: Philippines, para. 15 (b), U.N. Doc. CEDAW/C/PHL/Q/9 (2022).</w:t>
      </w:r>
    </w:p>
    <w:bookmarkStart w:id="0" w:name="_heading=h.pxqpytobtsnn" w:colFirst="0" w:colLast="0"/>
    <w:bookmarkEnd w:id="0"/>
  </w:endnote>
  <w:endnote w:id="56">
    <w:p w14:paraId="7A2CC249" w14:textId="3CC2CF81" w:rsidR="00BB5CB7" w:rsidRPr="00067049" w:rsidRDefault="002C41A7" w:rsidP="00D73CD6">
      <w:pPr>
        <w:pStyle w:val="Quote"/>
        <w:ind w:left="360" w:right="862"/>
        <w:jc w:val="left"/>
        <w:rPr>
          <w:rFonts w:ascii="Times New Roman" w:hAnsi="Times New Roman" w:cs="Times New Roman"/>
          <w:i w:val="0"/>
          <w:iCs w:val="0"/>
          <w:color w:val="000000" w:themeColor="text1"/>
          <w:sz w:val="18"/>
          <w:szCs w:val="18"/>
        </w:rPr>
      </w:pPr>
      <w:bookmarkStart w:id="1" w:name="_heading=h.pxqpytobtsnn" w:colFirst="0" w:colLast="0"/>
      <w:bookmarkEnd w:id="1"/>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See Annex Q, State Response to the Report of Lia Nadaraia Rapporteur on Follow-up on Concluding Observations of the Committee on the Elimination of Discrimination against Women (CEDAW)), para 3.2 in the Ninth periodic report submitted by the Philippines under article 18 of the Convention, due in 2020, UN Doc CEDAW/C/PHL/9 (2021) [hereinafter Annex Q, State Party Report].</w:t>
      </w:r>
    </w:p>
  </w:endnote>
  <w:endnote w:id="57">
    <w:p w14:paraId="21D5489B" w14:textId="6405B1D5" w:rsidR="00BB5CB7" w:rsidRPr="00067049" w:rsidRDefault="00BB5CB7" w:rsidP="00D73CD6">
      <w:pPr>
        <w:suppressLineNumbers/>
        <w:ind w:left="360" w:right="862"/>
        <w:jc w:val="left"/>
        <w:rPr>
          <w:rStyle w:val="Emphasis"/>
          <w:rFonts w:ascii="Times New Roman" w:hAnsi="Times New Roman" w:cs="Times New Roman"/>
          <w:i w:val="0"/>
          <w:iCs w:val="0"/>
          <w:color w:val="000000" w:themeColor="text1"/>
          <w:sz w:val="18"/>
          <w:szCs w:val="18"/>
        </w:rPr>
      </w:pPr>
      <w:r w:rsidRPr="00067049">
        <w:rPr>
          <w:rStyle w:val="EndnoteReference"/>
          <w:rFonts w:ascii="Times New Roman" w:hAnsi="Times New Roman" w:cs="Times New Roman"/>
          <w:color w:val="000000" w:themeColor="text1"/>
          <w:sz w:val="18"/>
          <w:szCs w:val="18"/>
          <w:vertAlign w:val="baseline"/>
        </w:rPr>
        <w:endnoteRef/>
      </w:r>
      <w:r w:rsidRPr="00067049">
        <w:rPr>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i w:val="0"/>
          <w:iCs w:val="0"/>
          <w:color w:val="000000" w:themeColor="text1"/>
          <w:sz w:val="18"/>
          <w:szCs w:val="18"/>
        </w:rPr>
        <w:t xml:space="preserve">Committee on the Rights of the Child, General Comment No. 15: The right of the child to the enjoyment of the highest attainable standard of health (Art. 24), (62nd Sess., 2013), in Compilation of General Comments and General Recommendations Adopted by Human Rights Treaty Bodies, paras. 31, 70, U.N. Doc. CRC/C/GC/15 (2013) [hereinafter CRC Committee, Gen. Comment No. 15]; Committee on the Rights of the </w:t>
      </w:r>
      <w:r w:rsidR="00AE2761" w:rsidRPr="00067049">
        <w:rPr>
          <w:rStyle w:val="Emphasis"/>
          <w:rFonts w:ascii="Times New Roman" w:hAnsi="Times New Roman" w:cs="Times New Roman"/>
          <w:i w:val="0"/>
          <w:iCs w:val="0"/>
          <w:color w:val="000000" w:themeColor="text1"/>
          <w:sz w:val="18"/>
          <w:szCs w:val="18"/>
        </w:rPr>
        <w:t>Child,</w:t>
      </w:r>
      <w:r w:rsidRPr="00067049">
        <w:rPr>
          <w:rStyle w:val="Emphasis"/>
          <w:rFonts w:ascii="Times New Roman" w:hAnsi="Times New Roman" w:cs="Times New Roman"/>
          <w:i w:val="0"/>
          <w:iCs w:val="0"/>
          <w:color w:val="000000" w:themeColor="text1"/>
          <w:sz w:val="18"/>
          <w:szCs w:val="18"/>
        </w:rPr>
        <w:t xml:space="preserve"> Gen. Comment No. 12, para. 15.; Committee on the Rights of the </w:t>
      </w:r>
      <w:r w:rsidR="00AE2761" w:rsidRPr="00067049">
        <w:rPr>
          <w:rStyle w:val="Emphasis"/>
          <w:rFonts w:ascii="Times New Roman" w:hAnsi="Times New Roman" w:cs="Times New Roman"/>
          <w:i w:val="0"/>
          <w:iCs w:val="0"/>
          <w:color w:val="000000" w:themeColor="text1"/>
          <w:sz w:val="18"/>
          <w:szCs w:val="18"/>
        </w:rPr>
        <w:t>Child,</w:t>
      </w:r>
      <w:r w:rsidRPr="00067049">
        <w:rPr>
          <w:rStyle w:val="Emphasis"/>
          <w:rFonts w:ascii="Times New Roman" w:hAnsi="Times New Roman" w:cs="Times New Roman"/>
          <w:i w:val="0"/>
          <w:iCs w:val="0"/>
          <w:color w:val="000000" w:themeColor="text1"/>
          <w:sz w:val="18"/>
          <w:szCs w:val="18"/>
        </w:rPr>
        <w:t xml:space="preserve"> General Comment No. 20: The right to the highest attainable standard of health (Art. 12), (22nd Sess., 2000), in Compilation of General Comments and General Recommendations Adopted by Human Rights Treaty Bodies, para. 12, U.N. Doc. E/C.12/2000/4 (2000) [hereinafter CESCR Committee, Gen. Comment No. 14</w:t>
      </w:r>
      <w:r w:rsidR="00067049">
        <w:rPr>
          <w:rStyle w:val="Emphasis"/>
          <w:rFonts w:ascii="Times New Roman" w:hAnsi="Times New Roman" w:cs="Times New Roman"/>
          <w:i w:val="0"/>
          <w:iCs w:val="0"/>
          <w:color w:val="000000" w:themeColor="text1"/>
          <w:sz w:val="18"/>
          <w:szCs w:val="18"/>
        </w:rPr>
        <w:t>].</w:t>
      </w:r>
    </w:p>
    <w:p w14:paraId="5CC9D5FC" w14:textId="0E4F24D9" w:rsidR="00BB5CB7" w:rsidRPr="00067049" w:rsidRDefault="00BB5CB7" w:rsidP="00067049">
      <w:pPr>
        <w:ind w:left="0" w:firstLine="0"/>
        <w:jc w:val="left"/>
        <w:rPr>
          <w:rFonts w:ascii="Times New Roman" w:hAnsi="Times New Roman" w:cs="Times New Roman"/>
          <w:color w:val="000000" w:themeColor="text1"/>
          <w:sz w:val="18"/>
          <w:szCs w:val="18"/>
        </w:rPr>
      </w:pPr>
    </w:p>
  </w:endnote>
  <w:endnote w:id="58">
    <w:p w14:paraId="6C7B1247" w14:textId="649EDF8F" w:rsidR="00CB3AAF" w:rsidRPr="00AE2761" w:rsidRDefault="00CB3AAF" w:rsidP="00AE2761">
      <w:pPr>
        <w:pStyle w:val="EndnoteText"/>
        <w:ind w:left="284" w:hanging="284"/>
        <w:jc w:val="left"/>
        <w:rPr>
          <w:rFonts w:ascii="Times New Roman" w:hAnsi="Times New Roman" w:cs="Times New Roman"/>
          <w:bCs/>
          <w:color w:val="000000" w:themeColor="text1"/>
          <w:sz w:val="18"/>
          <w:szCs w:val="18"/>
          <w:lang w:val="en-US"/>
        </w:rPr>
      </w:pPr>
      <w:r w:rsidRPr="00AE2761">
        <w:rPr>
          <w:rStyle w:val="EndnoteReference"/>
          <w:rFonts w:ascii="Times New Roman" w:hAnsi="Times New Roman" w:cs="Times New Roman"/>
          <w:color w:val="000000" w:themeColor="text1"/>
          <w:sz w:val="18"/>
          <w:szCs w:val="18"/>
          <w:vertAlign w:val="baseline"/>
        </w:rPr>
        <w:endnoteRef/>
      </w:r>
      <w:r w:rsidRPr="00067049">
        <w:rPr>
          <w:rFonts w:ascii="Times New Roman" w:hAnsi="Times New Roman" w:cs="Times New Roman"/>
          <w:color w:val="000000" w:themeColor="text1"/>
          <w:sz w:val="18"/>
          <w:szCs w:val="18"/>
        </w:rPr>
        <w:t xml:space="preserve"> CRC Committee, Gen. Comment </w:t>
      </w:r>
      <w:r w:rsidRPr="00AE2761">
        <w:rPr>
          <w:rFonts w:ascii="Times New Roman" w:hAnsi="Times New Roman" w:cs="Times New Roman"/>
          <w:color w:val="000000" w:themeColor="text1"/>
          <w:sz w:val="18"/>
          <w:szCs w:val="18"/>
        </w:rPr>
        <w:t xml:space="preserve">No. 15, </w:t>
      </w:r>
      <w:r w:rsidR="00067049" w:rsidRPr="00AE2761">
        <w:rPr>
          <w:rFonts w:ascii="Times New Roman" w:hAnsi="Times New Roman" w:cs="Times New Roman"/>
          <w:i/>
          <w:iCs/>
          <w:color w:val="000000" w:themeColor="text1"/>
          <w:sz w:val="18"/>
          <w:szCs w:val="18"/>
        </w:rPr>
        <w:t>supra</w:t>
      </w:r>
      <w:r w:rsidR="00067049" w:rsidRPr="00AE2761">
        <w:rPr>
          <w:rFonts w:ascii="Times New Roman" w:hAnsi="Times New Roman" w:cs="Times New Roman"/>
          <w:color w:val="000000" w:themeColor="text1"/>
          <w:sz w:val="18"/>
          <w:szCs w:val="18"/>
        </w:rPr>
        <w:t xml:space="preserve"> note 56, </w:t>
      </w:r>
      <w:r w:rsidRPr="00AE2761">
        <w:rPr>
          <w:rFonts w:ascii="Times New Roman" w:hAnsi="Times New Roman" w:cs="Times New Roman"/>
          <w:color w:val="000000" w:themeColor="text1"/>
          <w:sz w:val="18"/>
          <w:szCs w:val="18"/>
        </w:rPr>
        <w:t>para. 52; CRC Committee, Gen. Comment No. 20</w:t>
      </w:r>
      <w:r w:rsidR="00D73CD6" w:rsidRPr="00AE2761">
        <w:rPr>
          <w:rFonts w:ascii="Times New Roman" w:hAnsi="Times New Roman" w:cs="Times New Roman"/>
          <w:bCs/>
          <w:color w:val="000000" w:themeColor="text1"/>
          <w:sz w:val="18"/>
          <w:szCs w:val="18"/>
          <w:lang w:val="en-US"/>
        </w:rPr>
        <w:t xml:space="preserve"> </w:t>
      </w:r>
      <w:r w:rsidR="00D73CD6" w:rsidRPr="00AE2761">
        <w:rPr>
          <w:rFonts w:ascii="Times New Roman" w:hAnsi="Times New Roman" w:cs="Times New Roman"/>
          <w:bCs/>
          <w:i/>
          <w:iCs/>
          <w:color w:val="000000" w:themeColor="text1"/>
          <w:sz w:val="18"/>
          <w:szCs w:val="18"/>
          <w:lang w:val="en-US"/>
        </w:rPr>
        <w:t>supra</w:t>
      </w:r>
      <w:r w:rsidR="00D73CD6" w:rsidRPr="00AE2761">
        <w:rPr>
          <w:rFonts w:ascii="Times New Roman" w:hAnsi="Times New Roman" w:cs="Times New Roman"/>
          <w:bCs/>
          <w:color w:val="000000" w:themeColor="text1"/>
          <w:sz w:val="18"/>
          <w:szCs w:val="18"/>
          <w:lang w:val="en-US"/>
        </w:rPr>
        <w:t xml:space="preserve"> note </w:t>
      </w:r>
      <w:r w:rsidR="00067049" w:rsidRPr="00AE2761">
        <w:rPr>
          <w:rFonts w:ascii="Times New Roman" w:hAnsi="Times New Roman" w:cs="Times New Roman"/>
          <w:bCs/>
          <w:color w:val="000000" w:themeColor="text1"/>
          <w:sz w:val="18"/>
          <w:szCs w:val="18"/>
          <w:lang w:val="en-US"/>
        </w:rPr>
        <w:t>56</w:t>
      </w:r>
      <w:r w:rsidRPr="00AE2761">
        <w:rPr>
          <w:rFonts w:ascii="Times New Roman" w:hAnsi="Times New Roman" w:cs="Times New Roman"/>
          <w:color w:val="000000" w:themeColor="text1"/>
          <w:sz w:val="18"/>
          <w:szCs w:val="18"/>
        </w:rPr>
        <w:t>;</w:t>
      </w:r>
      <w:r w:rsidRPr="00067049">
        <w:rPr>
          <w:rFonts w:ascii="Times New Roman" w:hAnsi="Times New Roman" w:cs="Times New Roman"/>
          <w:color w:val="000000" w:themeColor="text1"/>
          <w:sz w:val="18"/>
          <w:szCs w:val="18"/>
        </w:rPr>
        <w:t xml:space="preserve"> </w:t>
      </w:r>
      <w:r w:rsidR="00AE2761" w:rsidRPr="00067049">
        <w:rPr>
          <w:rFonts w:ascii="Times New Roman" w:hAnsi="Times New Roman" w:cs="Times New Roman"/>
          <w:color w:val="000000" w:themeColor="text1"/>
          <w:sz w:val="18"/>
          <w:szCs w:val="18"/>
        </w:rPr>
        <w:t>Committee on Economic, Social and Cultural Rights, General Comment No. 22: On the right to sexual and reproductive health (Art. 12 of the International Covenant on Economic, Social and Cultural Rights), para</w:t>
      </w:r>
      <w:r w:rsidR="00AE2761">
        <w:rPr>
          <w:rFonts w:ascii="Times New Roman" w:hAnsi="Times New Roman" w:cs="Times New Roman"/>
          <w:color w:val="000000" w:themeColor="text1"/>
          <w:sz w:val="18"/>
          <w:szCs w:val="18"/>
        </w:rPr>
        <w:t xml:space="preserve">. 20, </w:t>
      </w:r>
      <w:r w:rsidR="00AE2761" w:rsidRPr="00067049">
        <w:rPr>
          <w:rFonts w:ascii="Times New Roman" w:hAnsi="Times New Roman" w:cs="Times New Roman"/>
          <w:color w:val="000000" w:themeColor="text1"/>
          <w:sz w:val="18"/>
          <w:szCs w:val="18"/>
        </w:rPr>
        <w:t>U.N. Doc. E/C.12/GC/22 (2016) [hereinafter CESCR Committee, Gen. Comment No. 22]</w:t>
      </w:r>
    </w:p>
  </w:endnote>
  <w:endnote w:id="59">
    <w:p w14:paraId="39522272"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Department of Health, Family Planning Competency-Based Training: Basic Course Handbook for Service Providers (2016) available at </w:t>
      </w:r>
      <w:hyperlink r:id="rId17" w:history="1">
        <w:r w:rsidRPr="00067049">
          <w:rPr>
            <w:rStyle w:val="Emphasis"/>
            <w:rFonts w:ascii="Times New Roman" w:hAnsi="Times New Roman" w:cs="Times New Roman"/>
            <w:color w:val="000000" w:themeColor="text1"/>
            <w:sz w:val="18"/>
            <w:szCs w:val="18"/>
          </w:rPr>
          <w:t>https://doh.gov.ph/node/5699</w:t>
        </w:r>
      </w:hyperlink>
      <w:r w:rsidRPr="00067049">
        <w:rPr>
          <w:rStyle w:val="Emphasis"/>
          <w:rFonts w:ascii="Times New Roman" w:hAnsi="Times New Roman" w:cs="Times New Roman"/>
          <w:color w:val="000000" w:themeColor="text1"/>
          <w:sz w:val="18"/>
          <w:szCs w:val="18"/>
        </w:rPr>
        <w:t>.)</w:t>
      </w:r>
    </w:p>
  </w:endnote>
  <w:endnote w:id="60">
    <w:p w14:paraId="1F003CBE"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CEDAW Committee, Concluding Observations: Hungary, para. 31(b), U.N. Doc. CEDAW/C/HUN/CO/7-8 (2013).</w:t>
      </w:r>
    </w:p>
  </w:endnote>
  <w:endnote w:id="61">
    <w:p w14:paraId="5FB2FA2B" w14:textId="6337A4D8" w:rsidR="002C41A7" w:rsidRPr="00067049" w:rsidRDefault="002C41A7" w:rsidP="00067049">
      <w:pPr>
        <w:ind w:left="360" w:right="862"/>
        <w:jc w:val="left"/>
        <w:rPr>
          <w:rStyle w:val="Emphasis"/>
          <w:rFonts w:ascii="Times New Roman" w:hAnsi="Times New Roman" w:cs="Times New Roman"/>
          <w:i w:val="0"/>
          <w:iCs w:val="0"/>
          <w:color w:val="000000" w:themeColor="text1"/>
          <w:sz w:val="18"/>
          <w:szCs w:val="18"/>
        </w:rPr>
      </w:pPr>
      <w:r w:rsidRPr="00067049">
        <w:rPr>
          <w:rFonts w:ascii="Times New Roman" w:hAnsi="Times New Roman" w:cs="Times New Roman"/>
          <w:color w:val="000000" w:themeColor="text1"/>
          <w:sz w:val="18"/>
          <w:szCs w:val="18"/>
        </w:rPr>
        <w:endnoteRef/>
      </w:r>
      <w:r w:rsidRPr="00067049">
        <w:rPr>
          <w:rFonts w:ascii="Times New Roman" w:hAnsi="Times New Roman" w:cs="Times New Roman"/>
          <w:color w:val="000000" w:themeColor="text1"/>
          <w:sz w:val="18"/>
          <w:szCs w:val="18"/>
        </w:rPr>
        <w:t xml:space="preserve"> CRC Committee, Gen. Comment No. 15, </w:t>
      </w:r>
      <w:r w:rsidRPr="00067049">
        <w:rPr>
          <w:rFonts w:ascii="Times New Roman" w:hAnsi="Times New Roman" w:cs="Times New Roman"/>
          <w:i/>
          <w:iCs/>
          <w:color w:val="000000" w:themeColor="text1"/>
          <w:sz w:val="18"/>
          <w:szCs w:val="18"/>
        </w:rPr>
        <w:t>supra</w:t>
      </w:r>
      <w:r w:rsidRPr="00067049">
        <w:rPr>
          <w:rFonts w:ascii="Times New Roman" w:hAnsi="Times New Roman" w:cs="Times New Roman"/>
          <w:color w:val="000000" w:themeColor="text1"/>
          <w:sz w:val="18"/>
          <w:szCs w:val="18"/>
        </w:rPr>
        <w:t xml:space="preserve"> note </w:t>
      </w:r>
      <w:r w:rsidR="000E3D51" w:rsidRPr="00067049">
        <w:rPr>
          <w:rFonts w:ascii="Times New Roman" w:hAnsi="Times New Roman" w:cs="Times New Roman"/>
          <w:color w:val="000000" w:themeColor="text1"/>
          <w:sz w:val="18"/>
          <w:szCs w:val="18"/>
        </w:rPr>
        <w:t>5</w:t>
      </w:r>
      <w:r w:rsidR="00067049" w:rsidRPr="00067049">
        <w:rPr>
          <w:rFonts w:ascii="Times New Roman" w:hAnsi="Times New Roman" w:cs="Times New Roman"/>
          <w:color w:val="000000" w:themeColor="text1"/>
          <w:sz w:val="18"/>
          <w:szCs w:val="18"/>
        </w:rPr>
        <w:t>6</w:t>
      </w:r>
      <w:r w:rsidRPr="00067049">
        <w:rPr>
          <w:rFonts w:ascii="Times New Roman" w:hAnsi="Times New Roman" w:cs="Times New Roman"/>
          <w:color w:val="000000" w:themeColor="text1"/>
          <w:sz w:val="18"/>
          <w:szCs w:val="18"/>
        </w:rPr>
        <w:t xml:space="preserve">, para. 70.; CRC Committee, Gen. Comment No. 20, </w:t>
      </w:r>
      <w:r w:rsidRPr="00067049">
        <w:rPr>
          <w:rFonts w:ascii="Times New Roman" w:hAnsi="Times New Roman" w:cs="Times New Roman"/>
          <w:i/>
          <w:iCs/>
          <w:color w:val="000000" w:themeColor="text1"/>
          <w:sz w:val="18"/>
          <w:szCs w:val="18"/>
        </w:rPr>
        <w:t>supra</w:t>
      </w:r>
      <w:r w:rsidRPr="00067049">
        <w:rPr>
          <w:rFonts w:ascii="Times New Roman" w:hAnsi="Times New Roman" w:cs="Times New Roman"/>
          <w:color w:val="000000" w:themeColor="text1"/>
          <w:sz w:val="18"/>
          <w:szCs w:val="18"/>
        </w:rPr>
        <w:t xml:space="preserve"> note </w:t>
      </w:r>
      <w:r w:rsidR="000E3D51" w:rsidRPr="00067049">
        <w:rPr>
          <w:rFonts w:ascii="Times New Roman" w:hAnsi="Times New Roman" w:cs="Times New Roman"/>
          <w:color w:val="000000" w:themeColor="text1"/>
          <w:sz w:val="18"/>
          <w:szCs w:val="18"/>
        </w:rPr>
        <w:t>5</w:t>
      </w:r>
      <w:r w:rsidR="00067049" w:rsidRPr="00067049">
        <w:rPr>
          <w:rFonts w:ascii="Times New Roman" w:hAnsi="Times New Roman" w:cs="Times New Roman"/>
          <w:color w:val="000000" w:themeColor="text1"/>
          <w:sz w:val="18"/>
          <w:szCs w:val="18"/>
        </w:rPr>
        <w:t>6</w:t>
      </w:r>
      <w:r w:rsidRPr="00067049">
        <w:rPr>
          <w:rFonts w:ascii="Times New Roman" w:hAnsi="Times New Roman" w:cs="Times New Roman"/>
          <w:color w:val="000000" w:themeColor="text1"/>
          <w:sz w:val="18"/>
          <w:szCs w:val="18"/>
        </w:rPr>
        <w:t xml:space="preserve">, para. 59.; Committee on the Elimination of Discrimination against Women, General Recommendation No. 35: Gender-based violence against women, updating general recommendation No. 19, in Compilation of General Comments and General Recommendations Adopted by Human Rights Treaty Bodies, para. 40(c), U.N. Doc. CEDAW/C/GC/35 (2017) [hereinafter CEDAW Committee, Gen. Recommendation No. 35]; </w:t>
      </w:r>
      <w:r w:rsidR="00AE2761" w:rsidRPr="00067049">
        <w:rPr>
          <w:rFonts w:ascii="Times New Roman" w:hAnsi="Times New Roman" w:cs="Times New Roman"/>
          <w:color w:val="000000" w:themeColor="text1"/>
          <w:sz w:val="18"/>
          <w:szCs w:val="18"/>
        </w:rPr>
        <w:t>CESCR Committee, Gen. Comment No. 22</w:t>
      </w:r>
      <w:r w:rsidR="00AE2761">
        <w:rPr>
          <w:rFonts w:ascii="Times New Roman" w:hAnsi="Times New Roman" w:cs="Times New Roman"/>
          <w:color w:val="000000" w:themeColor="text1"/>
          <w:sz w:val="18"/>
          <w:szCs w:val="18"/>
        </w:rPr>
        <w:t xml:space="preserve">, </w:t>
      </w:r>
      <w:r w:rsidR="00AE2761">
        <w:rPr>
          <w:rFonts w:ascii="Times New Roman" w:hAnsi="Times New Roman" w:cs="Times New Roman"/>
          <w:i/>
          <w:iCs/>
          <w:color w:val="000000" w:themeColor="text1"/>
          <w:sz w:val="18"/>
          <w:szCs w:val="18"/>
        </w:rPr>
        <w:t xml:space="preserve">supra </w:t>
      </w:r>
      <w:r w:rsidR="00AE2761">
        <w:rPr>
          <w:rFonts w:ascii="Times New Roman" w:hAnsi="Times New Roman" w:cs="Times New Roman"/>
          <w:color w:val="000000" w:themeColor="text1"/>
          <w:sz w:val="18"/>
          <w:szCs w:val="18"/>
        </w:rPr>
        <w:t xml:space="preserve">note 57, </w:t>
      </w:r>
      <w:r w:rsidR="000E3D51" w:rsidRPr="00067049">
        <w:rPr>
          <w:rFonts w:ascii="Times New Roman" w:hAnsi="Times New Roman" w:cs="Times New Roman"/>
          <w:color w:val="000000" w:themeColor="text1"/>
          <w:sz w:val="18"/>
          <w:szCs w:val="18"/>
        </w:rPr>
        <w:t>paras. 13, 45, 57</w:t>
      </w:r>
      <w:r w:rsidRPr="00067049">
        <w:rPr>
          <w:rFonts w:ascii="Times New Roman" w:hAnsi="Times New Roman" w:cs="Times New Roman"/>
          <w:color w:val="000000" w:themeColor="text1"/>
          <w:sz w:val="18"/>
          <w:szCs w:val="18"/>
        </w:rPr>
        <w:t>; CEDAW Committee, Concluding Observations: Peru, paras. 35-36, U.N. Doc. CEDAW/C/PER/CO/7-8 (2014).; CRC Committee, Concluding Observations: Costa Rica, paras. 63</w:t>
      </w:r>
      <w:r w:rsidR="000E3D51" w:rsidRPr="00067049">
        <w:rPr>
          <w:rFonts w:ascii="Times New Roman" w:hAnsi="Times New Roman" w:cs="Times New Roman"/>
          <w:color w:val="000000" w:themeColor="text1"/>
          <w:sz w:val="18"/>
          <w:szCs w:val="18"/>
        </w:rPr>
        <w:t xml:space="preserve">, paras. 19- 20, U.N. Doc. CCPR/C/CRI/CO/6 (2016). </w:t>
      </w:r>
    </w:p>
  </w:endnote>
  <w:endnote w:id="62">
    <w:p w14:paraId="1ABCC525" w14:textId="4FAD1361"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Committee on the Elimination of Discrimination against Women, General Recommendation No. 30: Women in conflict prevention, conflict, and post-conflict situations, in Compilation of General Comments and General</w:t>
      </w:r>
      <w:r w:rsidR="001D4D84"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Recommendations Adopted by Human Rights Treaty Bodies, para. 52(c), U.N. Doc. CEDAW/C/GC/30 (2013) [hereinafter CEDAW Committee, Gen. Recommendation No. 30].; CEDAW Committee, Concluding Observations: Central African Republic, paras. 39-40, U.N. Doc. CEDAW/C/CAF/CO/1-5 (2014).</w:t>
      </w:r>
    </w:p>
  </w:endnote>
  <w:endnote w:id="63">
    <w:p w14:paraId="56E3DCCE" w14:textId="05DF357F" w:rsidR="002C41A7" w:rsidRPr="00AE2761" w:rsidRDefault="002C41A7" w:rsidP="00D73CD6">
      <w:pPr>
        <w:pStyle w:val="Quote"/>
        <w:ind w:left="360"/>
        <w:jc w:val="left"/>
        <w:rPr>
          <w:rStyle w:val="Emphasis"/>
          <w:rFonts w:ascii="Times New Roman" w:hAnsi="Times New Roman" w:cs="Times New Roman"/>
          <w:color w:val="000000" w:themeColor="text1"/>
          <w:sz w:val="18"/>
          <w:szCs w:val="18"/>
        </w:rPr>
      </w:pPr>
      <w:r w:rsidRPr="00AE2761">
        <w:rPr>
          <w:rStyle w:val="Emphasis"/>
          <w:rFonts w:ascii="Times New Roman" w:hAnsi="Times New Roman" w:cs="Times New Roman"/>
          <w:color w:val="000000" w:themeColor="text1"/>
          <w:sz w:val="18"/>
          <w:szCs w:val="18"/>
        </w:rPr>
        <w:endnoteRef/>
      </w:r>
      <w:r w:rsidRPr="00AE2761">
        <w:rPr>
          <w:rStyle w:val="Emphasis"/>
          <w:rFonts w:ascii="Times New Roman" w:hAnsi="Times New Roman" w:cs="Times New Roman"/>
          <w:color w:val="000000" w:themeColor="text1"/>
          <w:sz w:val="18"/>
          <w:szCs w:val="18"/>
        </w:rPr>
        <w:t xml:space="preserve"> CEDAW Committee, Gen. Recommendation No. 35, </w:t>
      </w:r>
      <w:r w:rsidRPr="00AE2761">
        <w:rPr>
          <w:rStyle w:val="Emphasis"/>
          <w:rFonts w:ascii="Times New Roman" w:hAnsi="Times New Roman" w:cs="Times New Roman"/>
          <w:i/>
          <w:iCs/>
          <w:color w:val="000000" w:themeColor="text1"/>
          <w:sz w:val="18"/>
          <w:szCs w:val="18"/>
        </w:rPr>
        <w:t>supra</w:t>
      </w:r>
      <w:r w:rsidRPr="00AE2761">
        <w:rPr>
          <w:rStyle w:val="Emphasis"/>
          <w:rFonts w:ascii="Times New Roman" w:hAnsi="Times New Roman" w:cs="Times New Roman"/>
          <w:color w:val="000000" w:themeColor="text1"/>
          <w:sz w:val="18"/>
          <w:szCs w:val="18"/>
        </w:rPr>
        <w:t xml:space="preserve"> note </w:t>
      </w:r>
      <w:r w:rsidR="00AE2761" w:rsidRPr="00AE2761">
        <w:rPr>
          <w:rStyle w:val="Emphasis"/>
          <w:rFonts w:ascii="Times New Roman" w:hAnsi="Times New Roman" w:cs="Times New Roman"/>
          <w:color w:val="000000" w:themeColor="text1"/>
          <w:sz w:val="18"/>
          <w:szCs w:val="18"/>
        </w:rPr>
        <w:t>60</w:t>
      </w:r>
      <w:r w:rsidRPr="00AE2761">
        <w:rPr>
          <w:rStyle w:val="Emphasis"/>
          <w:rFonts w:ascii="Times New Roman" w:hAnsi="Times New Roman" w:cs="Times New Roman"/>
          <w:color w:val="000000" w:themeColor="text1"/>
          <w:sz w:val="18"/>
          <w:szCs w:val="18"/>
        </w:rPr>
        <w:t>, paras. 18, 40(c).; CAT Committee, Concluding Observations: Greece, paras. 24, 25, U.N. Doc. CAT/C/GRC/7 (2018).</w:t>
      </w:r>
    </w:p>
  </w:endnote>
  <w:endnote w:id="64">
    <w:p w14:paraId="7E9AA5CC" w14:textId="77777777" w:rsidR="002C41A7" w:rsidRPr="00AE2761" w:rsidRDefault="002C41A7" w:rsidP="00D73CD6">
      <w:pPr>
        <w:pStyle w:val="Quote"/>
        <w:ind w:left="360"/>
        <w:jc w:val="left"/>
        <w:rPr>
          <w:rStyle w:val="Emphasis"/>
          <w:rFonts w:ascii="Times New Roman" w:hAnsi="Times New Roman" w:cs="Times New Roman"/>
          <w:color w:val="000000" w:themeColor="text1"/>
          <w:sz w:val="18"/>
          <w:szCs w:val="18"/>
        </w:rPr>
      </w:pPr>
      <w:r w:rsidRPr="00AE2761">
        <w:rPr>
          <w:rStyle w:val="Emphasis"/>
          <w:rFonts w:ascii="Times New Roman" w:hAnsi="Times New Roman" w:cs="Times New Roman"/>
          <w:color w:val="000000" w:themeColor="text1"/>
          <w:sz w:val="18"/>
          <w:szCs w:val="18"/>
        </w:rPr>
        <w:endnoteRef/>
      </w:r>
      <w:r w:rsidRPr="00AE2761">
        <w:rPr>
          <w:rStyle w:val="Emphasis"/>
          <w:rFonts w:ascii="Times New Roman" w:hAnsi="Times New Roman" w:cs="Times New Roman"/>
          <w:color w:val="000000" w:themeColor="text1"/>
          <w:sz w:val="18"/>
          <w:szCs w:val="18"/>
        </w:rPr>
        <w:t xml:space="preserve"> CEDAW Committee, Inquiry Report, paras.52(i), (iii); Committee Against Torture, Concluding Observations: Philippines, paras. 39, 40(c), U.N. Doc. CAT/C/PHL/CO/3 (2016); Committee on the Elimination of Discrimination against Women (CEDAW Committee), Concluding Observations: Philippines, para. 40, U.N. Doc. CEDAW/C/PHL/CO/7-8 (2016); ESCR Committee, Concluding Observations: Philippines (2016), supra note 1, paras. 51-52.</w:t>
      </w:r>
    </w:p>
  </w:endnote>
  <w:endnote w:id="65">
    <w:p w14:paraId="0DD77095" w14:textId="63B532DB"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AE2761">
        <w:rPr>
          <w:rStyle w:val="Emphasis"/>
          <w:rFonts w:ascii="Times New Roman" w:hAnsi="Times New Roman" w:cs="Times New Roman"/>
          <w:color w:val="000000" w:themeColor="text1"/>
          <w:sz w:val="18"/>
          <w:szCs w:val="18"/>
        </w:rPr>
        <w:endnoteRef/>
      </w:r>
      <w:r w:rsidRPr="00AE2761">
        <w:rPr>
          <w:rStyle w:val="Emphasis"/>
          <w:rFonts w:ascii="Times New Roman" w:hAnsi="Times New Roman" w:cs="Times New Roman"/>
          <w:color w:val="000000" w:themeColor="text1"/>
          <w:sz w:val="18"/>
          <w:szCs w:val="18"/>
        </w:rPr>
        <w:t xml:space="preserve"> ESCR Committee, Gen. Comment No. 22, </w:t>
      </w:r>
      <w:r w:rsidRPr="00AE2761">
        <w:rPr>
          <w:rStyle w:val="Emphasis"/>
          <w:rFonts w:ascii="Times New Roman" w:hAnsi="Times New Roman" w:cs="Times New Roman"/>
          <w:i/>
          <w:iCs/>
          <w:color w:val="000000" w:themeColor="text1"/>
          <w:sz w:val="18"/>
          <w:szCs w:val="18"/>
        </w:rPr>
        <w:t xml:space="preserve">supra </w:t>
      </w:r>
      <w:r w:rsidRPr="00AE2761">
        <w:rPr>
          <w:rStyle w:val="Emphasis"/>
          <w:rFonts w:ascii="Times New Roman" w:hAnsi="Times New Roman" w:cs="Times New Roman"/>
          <w:color w:val="000000" w:themeColor="text1"/>
          <w:sz w:val="18"/>
          <w:szCs w:val="18"/>
        </w:rPr>
        <w:t xml:space="preserve">note </w:t>
      </w:r>
      <w:r w:rsidR="00AE2761" w:rsidRPr="00AE2761">
        <w:rPr>
          <w:rStyle w:val="Emphasis"/>
          <w:rFonts w:ascii="Times New Roman" w:hAnsi="Times New Roman" w:cs="Times New Roman"/>
          <w:color w:val="000000" w:themeColor="text1"/>
          <w:sz w:val="18"/>
          <w:szCs w:val="18"/>
        </w:rPr>
        <w:t>57</w:t>
      </w:r>
      <w:r w:rsidRPr="00AE2761">
        <w:rPr>
          <w:rStyle w:val="Emphasis"/>
          <w:rFonts w:ascii="Times New Roman" w:hAnsi="Times New Roman" w:cs="Times New Roman"/>
          <w:color w:val="000000" w:themeColor="text1"/>
          <w:sz w:val="18"/>
          <w:szCs w:val="18"/>
        </w:rPr>
        <w:t>, para. 57.</w:t>
      </w:r>
    </w:p>
  </w:endnote>
  <w:endnote w:id="66">
    <w:p w14:paraId="1D06C625" w14:textId="20480D2D"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001D4D84"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 xml:space="preserve">Committee on the Elimination of Discrimination against Women (CEDAW Committee), Concluding Observations: Philippines, para. 40, U.N. Doc. CEDAW/C/PHL/CO/7-8 (2016). </w:t>
      </w:r>
    </w:p>
  </w:endnote>
  <w:endnote w:id="67">
    <w:p w14:paraId="27EC2DE5" w14:textId="326E2702"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001D4D84"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 xml:space="preserve">Philippines, Senate of the Philippines. Senate Bill No. 1979, Prevention of Adolescent Pregnancy Act of 2023, Retrieved from:  </w:t>
      </w:r>
      <w:hyperlink r:id="rId18" w:history="1">
        <w:r w:rsidRPr="00067049">
          <w:rPr>
            <w:rStyle w:val="Emphasis"/>
            <w:rFonts w:ascii="Times New Roman" w:hAnsi="Times New Roman" w:cs="Times New Roman"/>
            <w:color w:val="000000" w:themeColor="text1"/>
            <w:sz w:val="18"/>
            <w:szCs w:val="18"/>
          </w:rPr>
          <w:t>https://legacy.senate.gov.ph/lis/bill_res.aspx?congress=19&amp;q=SBN-1979</w:t>
        </w:r>
      </w:hyperlink>
      <w:r w:rsidR="00067049" w:rsidRPr="00067049">
        <w:rPr>
          <w:rStyle w:val="Emphasis"/>
          <w:rFonts w:ascii="Times New Roman" w:hAnsi="Times New Roman" w:cs="Times New Roman"/>
          <w:color w:val="000000" w:themeColor="text1"/>
          <w:sz w:val="18"/>
          <w:szCs w:val="18"/>
        </w:rPr>
        <w:t>.</w:t>
      </w:r>
    </w:p>
  </w:endnote>
  <w:endnote w:id="68">
    <w:p w14:paraId="2AA9635D" w14:textId="1A436576"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Philippines, Senate of the Philippines. Senate Bill No. 372, 19th Congress Retrieved from: </w:t>
      </w:r>
      <w:hyperlink r:id="rId19">
        <w:r w:rsidRPr="00067049">
          <w:rPr>
            <w:rStyle w:val="Emphasis"/>
            <w:rFonts w:ascii="Times New Roman" w:hAnsi="Times New Roman" w:cs="Times New Roman"/>
            <w:color w:val="000000" w:themeColor="text1"/>
            <w:sz w:val="18"/>
            <w:szCs w:val="18"/>
          </w:rPr>
          <w:t>https://issuances-library.senate.gov.ph/bills/senate-bill-no-372-19th-congress</w:t>
        </w:r>
      </w:hyperlink>
      <w:r w:rsidRPr="00067049">
        <w:rPr>
          <w:rStyle w:val="Emphasis"/>
          <w:rFonts w:ascii="Times New Roman" w:hAnsi="Times New Roman" w:cs="Times New Roman"/>
          <w:color w:val="000000" w:themeColor="text1"/>
          <w:sz w:val="18"/>
          <w:szCs w:val="18"/>
        </w:rPr>
        <w:t>; Senate Bill No. 1979, Prevention of Adolescent Pregnancy Act of 2023, Retrieved from: chrome-extension://efaidnbmnnnibpcajpcglclefindmkaj/https://legacy.senate.gov.ph/lisdata/4108237439!.pdf; House Bill 79, Adolescent Pregnancy Prevention Act (2022) Retrieved from: chrome-extension://efaidnbmnnnibpcajpcglclefindmkaj/https://hrep-website.s3.ap-southeast-1.amazonaws.com/legisdocs/basic_19/HB00079.pdf; House Bill 8910, Adolescent Prevention Act (2023) Retrieved from: chrome-extension://efaidnbmnnnibpcajpcglclefindmkaj/https://hrep-website.s3.ap-southeast-1.amazonaws.com/legisdocs/third_19/HBT8910.pdf</w:t>
      </w:r>
      <w:r w:rsidR="00067049" w:rsidRPr="00067049">
        <w:rPr>
          <w:rStyle w:val="Emphasis"/>
          <w:rFonts w:ascii="Times New Roman" w:hAnsi="Times New Roman" w:cs="Times New Roman"/>
          <w:color w:val="000000" w:themeColor="text1"/>
          <w:sz w:val="18"/>
          <w:szCs w:val="18"/>
        </w:rPr>
        <w:t>.</w:t>
      </w:r>
    </w:p>
  </w:endnote>
  <w:endnote w:id="69">
    <w:p w14:paraId="3F55B0F7" w14:textId="07D23B5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Philippines, House of Representatives. House approves bill aiming to prevent teenage pregnancies, (2023, September 06) Retrieved from the Library of </w:t>
      </w:r>
      <w:hyperlink r:id="rId20" w:history="1">
        <w:r w:rsidRPr="00067049">
          <w:rPr>
            <w:rStyle w:val="Emphasis"/>
            <w:rFonts w:ascii="Times New Roman" w:hAnsi="Times New Roman" w:cs="Times New Roman"/>
            <w:color w:val="000000" w:themeColor="text1"/>
            <w:sz w:val="18"/>
            <w:szCs w:val="18"/>
          </w:rPr>
          <w:t>https://www.congress.gov.ph/press/details.php?pressid=12676&amp;key=adolescent</w:t>
        </w:r>
      </w:hyperlink>
      <w:r w:rsidRPr="00067049">
        <w:rPr>
          <w:rStyle w:val="Emphasis"/>
          <w:rFonts w:ascii="Times New Roman" w:hAnsi="Times New Roman" w:cs="Times New Roman"/>
          <w:color w:val="000000" w:themeColor="text1"/>
          <w:sz w:val="18"/>
          <w:szCs w:val="18"/>
        </w:rPr>
        <w:t>; House Bill 7278, Adolescent Pregnancy Prevention Act (2023) Retrieved from: chrome-extension://efaidnbmnnnibpcajpcglclefindmkaj/https://hrep-website.s3.ap-southeast-1.amazonaws.com/legisdocs/basic_19/HB07276.pdf</w:t>
      </w:r>
      <w:r w:rsidR="00067049" w:rsidRPr="00067049">
        <w:rPr>
          <w:rStyle w:val="Emphasis"/>
          <w:rFonts w:ascii="Times New Roman" w:hAnsi="Times New Roman" w:cs="Times New Roman"/>
          <w:color w:val="000000" w:themeColor="text1"/>
          <w:sz w:val="18"/>
          <w:szCs w:val="18"/>
        </w:rPr>
        <w:t>.</w:t>
      </w:r>
    </w:p>
  </w:endnote>
  <w:endnote w:id="70">
    <w:p w14:paraId="13C23D00" w14:textId="14EF7FF6" w:rsidR="00240C37" w:rsidRPr="00067049" w:rsidRDefault="00240C3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Philippine Legislators’ Committee on Population and Development, A Primer on Adolescent Pregnancy in the Philippines (2020, December) Retrieved from: chrome-extension://efaidnbmnnnibpcajpcglclefindmkaj/https://www.plcpd.org.ph/wp-content/uploads/2021/04/A-Primer-on-Adolescent-Pregnancy-in-the-Philippines-2020.pdf</w:t>
      </w:r>
      <w:r w:rsidR="00067049" w:rsidRPr="00067049">
        <w:rPr>
          <w:rStyle w:val="Emphasis"/>
          <w:rFonts w:ascii="Times New Roman" w:hAnsi="Times New Roman" w:cs="Times New Roman"/>
          <w:color w:val="000000" w:themeColor="text1"/>
          <w:sz w:val="18"/>
          <w:szCs w:val="18"/>
        </w:rPr>
        <w:t>.</w:t>
      </w:r>
    </w:p>
  </w:endnote>
  <w:endnote w:id="71">
    <w:p w14:paraId="1DAAED7D" w14:textId="58A42278" w:rsidR="00240C37" w:rsidRPr="00067049" w:rsidRDefault="00240C3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00BE3026"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 xml:space="preserve">National Demographic and Health Survey, 2017 Page 48, Retrieved from: </w:t>
      </w:r>
      <w:r w:rsidRPr="00067049">
        <w:rPr>
          <w:rStyle w:val="Emphasis"/>
          <w:rFonts w:ascii="Times New Roman" w:hAnsi="Times New Roman" w:cs="Times New Roman"/>
          <w:color w:val="000000" w:themeColor="text1"/>
          <w:sz w:val="18"/>
          <w:szCs w:val="18"/>
          <w:lang w:val="en-US"/>
        </w:rPr>
        <w:t>chrome-extension://efaidnbmnnnibpcajpcglclefindmkaj/https://dhsprogram.com/pubs/pdf/FR347/FR347.pdf</w:t>
      </w:r>
      <w:r w:rsidR="00067049" w:rsidRPr="00067049">
        <w:rPr>
          <w:rStyle w:val="Emphasis"/>
          <w:rFonts w:ascii="Times New Roman" w:hAnsi="Times New Roman" w:cs="Times New Roman"/>
          <w:color w:val="000000" w:themeColor="text1"/>
          <w:sz w:val="18"/>
          <w:szCs w:val="18"/>
          <w:lang w:val="en-US"/>
        </w:rPr>
        <w:t>.</w:t>
      </w:r>
    </w:p>
  </w:endnote>
  <w:endnote w:id="72">
    <w:p w14:paraId="416588A3" w14:textId="47A035E6" w:rsidR="00240C37" w:rsidRPr="00067049" w:rsidRDefault="00240C3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00BE3026"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 xml:space="preserve">Philippine Statistics Authority. (2022). 2022 Philippine National Demographic and Health Survey (NDHS) Page 64 Available at: </w:t>
      </w:r>
      <w:r w:rsidR="00067049" w:rsidRPr="00067049">
        <w:rPr>
          <w:rFonts w:ascii="Times New Roman" w:hAnsi="Times New Roman" w:cs="Times New Roman"/>
          <w:i w:val="0"/>
          <w:iCs w:val="0"/>
          <w:color w:val="000000" w:themeColor="text1"/>
          <w:sz w:val="18"/>
          <w:szCs w:val="18"/>
        </w:rPr>
        <w:t>https://dhsprogram.com/pubs/pdf/FR381/FR381.pdf.</w:t>
      </w:r>
    </w:p>
  </w:endnote>
  <w:endnote w:id="73">
    <w:p w14:paraId="5572C6D3" w14:textId="509AEE84"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PH" w:eastAsia="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00BE3026"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lang w:val="en-PH" w:eastAsia="en-US"/>
        </w:rPr>
        <w:t xml:space="preserve">CRC Committee, Gen. Comment No. 15, </w:t>
      </w:r>
      <w:r w:rsidRPr="00067049">
        <w:rPr>
          <w:rStyle w:val="Emphasis"/>
          <w:rFonts w:ascii="Times New Roman" w:hAnsi="Times New Roman" w:cs="Times New Roman"/>
          <w:i/>
          <w:iCs/>
          <w:color w:val="000000" w:themeColor="text1"/>
          <w:sz w:val="18"/>
          <w:szCs w:val="18"/>
          <w:lang w:val="en-PH" w:eastAsia="en-US"/>
        </w:rPr>
        <w:t xml:space="preserve">supra </w:t>
      </w:r>
      <w:r w:rsidRPr="00067049">
        <w:rPr>
          <w:rStyle w:val="Emphasis"/>
          <w:rFonts w:ascii="Times New Roman" w:hAnsi="Times New Roman" w:cs="Times New Roman"/>
          <w:color w:val="000000" w:themeColor="text1"/>
          <w:sz w:val="18"/>
          <w:szCs w:val="18"/>
          <w:lang w:val="en-PH" w:eastAsia="en-US"/>
        </w:rPr>
        <w:t xml:space="preserve">note </w:t>
      </w:r>
      <w:r w:rsidR="002B1666" w:rsidRPr="00067049">
        <w:rPr>
          <w:rStyle w:val="Emphasis"/>
          <w:rFonts w:ascii="Times New Roman" w:hAnsi="Times New Roman" w:cs="Times New Roman"/>
          <w:color w:val="000000" w:themeColor="text1"/>
          <w:sz w:val="18"/>
          <w:szCs w:val="18"/>
          <w:lang w:val="en-PH" w:eastAsia="en-US"/>
        </w:rPr>
        <w:t>5</w:t>
      </w:r>
      <w:r w:rsidR="00067049" w:rsidRPr="00067049">
        <w:rPr>
          <w:rStyle w:val="Emphasis"/>
          <w:rFonts w:ascii="Times New Roman" w:hAnsi="Times New Roman" w:cs="Times New Roman"/>
          <w:color w:val="000000" w:themeColor="text1"/>
          <w:sz w:val="18"/>
          <w:szCs w:val="18"/>
          <w:lang w:val="en-PH" w:eastAsia="en-US"/>
        </w:rPr>
        <w:t>6</w:t>
      </w:r>
      <w:r w:rsidRPr="00067049">
        <w:rPr>
          <w:rStyle w:val="Emphasis"/>
          <w:rFonts w:ascii="Times New Roman" w:hAnsi="Times New Roman" w:cs="Times New Roman"/>
          <w:color w:val="000000" w:themeColor="text1"/>
          <w:sz w:val="18"/>
          <w:szCs w:val="18"/>
          <w:lang w:val="en-PH" w:eastAsia="en-US"/>
        </w:rPr>
        <w:t xml:space="preserve">, para. 70.; CRC Committee, Concluding Observations: Guinea, paras. 67-68, U.N. Doc. CRC/C/GIN/CO/2 (2013).; </w:t>
      </w:r>
      <w:r w:rsidR="002B1666" w:rsidRPr="00067049">
        <w:rPr>
          <w:rFonts w:ascii="Times New Roman" w:hAnsi="Times New Roman" w:cs="Times New Roman"/>
          <w:i w:val="0"/>
          <w:iCs w:val="0"/>
          <w:color w:val="000000" w:themeColor="text1"/>
          <w:sz w:val="18"/>
          <w:szCs w:val="18"/>
        </w:rPr>
        <w:t>Committee on the Elimination of Discrimination against Women, General Recommendation No. 24: Article 12 of the Convention (Women and Health), (20th Sess., 1999), in Compilation of General Comments and General Recommendations Adopted by Human Rights Treaty Bodies, para. 49, U.N. Doc. A/54/38/Rev.1, chap I (1999) [hereinafter CEDAW Committee, Gen. Recommendation No. 24]</w:t>
      </w:r>
    </w:p>
  </w:endnote>
  <w:endnote w:id="74">
    <w:p w14:paraId="2F42775A" w14:textId="22B0C4A3"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00BE3026"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lang w:val="en-PH" w:eastAsia="en-US"/>
        </w:rPr>
        <w:t>CRC Committee, Concluding Observations: Holy See, para. 57, U.N. Doc. CRC/C/VAT/CO/2 (2014).</w:t>
      </w:r>
    </w:p>
  </w:endnote>
  <w:endnote w:id="75">
    <w:p w14:paraId="23E98459" w14:textId="1D77AAF4"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00BE3026"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lang w:val="en-PH" w:eastAsia="en-US"/>
        </w:rPr>
        <w:t>CRC Committee, Concluding Observations: Indonesia, paras. 49-50, U.N. Doc. CRC/C/IDN/CO/3-4 (2014).</w:t>
      </w:r>
    </w:p>
  </w:endnote>
  <w:endnote w:id="76">
    <w:p w14:paraId="50871D34" w14:textId="5D9188E5" w:rsidR="002C41A7" w:rsidRPr="00067049" w:rsidRDefault="002C41A7" w:rsidP="00067049">
      <w:pPr>
        <w:ind w:left="360"/>
        <w:jc w:val="left"/>
        <w:rPr>
          <w:rStyle w:val="Emphasis"/>
          <w:rFonts w:ascii="Times New Roman" w:hAnsi="Times New Roman" w:cs="Times New Roman"/>
          <w:i w:val="0"/>
          <w:iCs w:val="0"/>
          <w:color w:val="000000" w:themeColor="text1"/>
          <w:sz w:val="18"/>
          <w:szCs w:val="18"/>
        </w:rPr>
      </w:pPr>
      <w:r w:rsidRPr="00AE2761">
        <w:rPr>
          <w:rStyle w:val="Emphasis"/>
          <w:rFonts w:ascii="Times New Roman" w:hAnsi="Times New Roman" w:cs="Times New Roman"/>
          <w:i w:val="0"/>
          <w:iCs w:val="0"/>
          <w:color w:val="000000" w:themeColor="text1"/>
          <w:sz w:val="18"/>
          <w:szCs w:val="18"/>
        </w:rPr>
        <w:endnoteRef/>
      </w:r>
      <w:r w:rsidR="00092A67" w:rsidRPr="00AE2761">
        <w:rPr>
          <w:rStyle w:val="Emphasis"/>
          <w:rFonts w:ascii="Times New Roman" w:hAnsi="Times New Roman" w:cs="Times New Roman"/>
          <w:i w:val="0"/>
          <w:iCs w:val="0"/>
          <w:color w:val="000000" w:themeColor="text1"/>
          <w:sz w:val="18"/>
          <w:szCs w:val="18"/>
        </w:rPr>
        <w:t xml:space="preserve">  </w:t>
      </w:r>
      <w:r w:rsidR="00BE3026" w:rsidRPr="00AE2761">
        <w:rPr>
          <w:rStyle w:val="Emphasis"/>
          <w:rFonts w:ascii="Times New Roman" w:hAnsi="Times New Roman" w:cs="Times New Roman"/>
          <w:i w:val="0"/>
          <w:iCs w:val="0"/>
          <w:color w:val="000000" w:themeColor="text1"/>
          <w:sz w:val="18"/>
          <w:szCs w:val="18"/>
        </w:rPr>
        <w:t xml:space="preserve"> </w:t>
      </w:r>
      <w:r w:rsidRPr="00AE2761">
        <w:rPr>
          <w:rStyle w:val="Emphasis"/>
          <w:rFonts w:ascii="Times New Roman" w:hAnsi="Times New Roman" w:cs="Times New Roman"/>
          <w:i w:val="0"/>
          <w:iCs w:val="0"/>
          <w:color w:val="000000" w:themeColor="text1"/>
          <w:sz w:val="18"/>
          <w:szCs w:val="18"/>
        </w:rPr>
        <w:t>CESCR Committee, Gen. Comment No. 22,</w:t>
      </w:r>
      <w:r w:rsidRPr="00AE2761">
        <w:rPr>
          <w:rStyle w:val="Emphasis"/>
          <w:rFonts w:ascii="Times New Roman" w:hAnsi="Times New Roman" w:cs="Times New Roman"/>
          <w:color w:val="000000" w:themeColor="text1"/>
          <w:sz w:val="18"/>
          <w:szCs w:val="18"/>
        </w:rPr>
        <w:t xml:space="preserve"> supra</w:t>
      </w:r>
      <w:r w:rsidRPr="00AE2761">
        <w:rPr>
          <w:rStyle w:val="Emphasis"/>
          <w:rFonts w:ascii="Times New Roman" w:hAnsi="Times New Roman" w:cs="Times New Roman"/>
          <w:i w:val="0"/>
          <w:iCs w:val="0"/>
          <w:color w:val="000000" w:themeColor="text1"/>
          <w:sz w:val="18"/>
          <w:szCs w:val="18"/>
        </w:rPr>
        <w:t xml:space="preserve"> note </w:t>
      </w:r>
      <w:r w:rsidR="00AE2761" w:rsidRPr="00AE2761">
        <w:rPr>
          <w:rStyle w:val="Emphasis"/>
          <w:rFonts w:ascii="Times New Roman" w:hAnsi="Times New Roman" w:cs="Times New Roman"/>
          <w:i w:val="0"/>
          <w:iCs w:val="0"/>
          <w:color w:val="000000" w:themeColor="text1"/>
          <w:sz w:val="18"/>
          <w:szCs w:val="18"/>
        </w:rPr>
        <w:t>57</w:t>
      </w:r>
      <w:r w:rsidRPr="00AE2761">
        <w:rPr>
          <w:rStyle w:val="Emphasis"/>
          <w:rFonts w:ascii="Times New Roman" w:hAnsi="Times New Roman" w:cs="Times New Roman"/>
          <w:i w:val="0"/>
          <w:iCs w:val="0"/>
          <w:color w:val="000000" w:themeColor="text1"/>
          <w:sz w:val="18"/>
          <w:szCs w:val="18"/>
        </w:rPr>
        <w:t>, para. 48.</w:t>
      </w:r>
    </w:p>
  </w:endnote>
  <w:endnote w:id="77">
    <w:p w14:paraId="6A7829AE" w14:textId="0D09E41E"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00BE3026"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 xml:space="preserve">CRC Committee, Gen. Comment No. 20, </w:t>
      </w:r>
      <w:r w:rsidRPr="00067049">
        <w:rPr>
          <w:rStyle w:val="Emphasis"/>
          <w:rFonts w:ascii="Times New Roman" w:hAnsi="Times New Roman" w:cs="Times New Roman"/>
          <w:i/>
          <w:iCs/>
          <w:color w:val="000000" w:themeColor="text1"/>
          <w:sz w:val="18"/>
          <w:szCs w:val="18"/>
        </w:rPr>
        <w:t xml:space="preserve">supra </w:t>
      </w:r>
      <w:r w:rsidRPr="00067049">
        <w:rPr>
          <w:rStyle w:val="Emphasis"/>
          <w:rFonts w:ascii="Times New Roman" w:hAnsi="Times New Roman" w:cs="Times New Roman"/>
          <w:color w:val="000000" w:themeColor="text1"/>
          <w:sz w:val="18"/>
          <w:szCs w:val="18"/>
        </w:rPr>
        <w:t xml:space="preserve">note </w:t>
      </w:r>
      <w:r w:rsidR="00092A67" w:rsidRPr="00067049">
        <w:rPr>
          <w:rStyle w:val="Emphasis"/>
          <w:rFonts w:ascii="Times New Roman" w:hAnsi="Times New Roman" w:cs="Times New Roman"/>
          <w:color w:val="000000" w:themeColor="text1"/>
          <w:sz w:val="18"/>
          <w:szCs w:val="18"/>
        </w:rPr>
        <w:t>5</w:t>
      </w:r>
      <w:r w:rsidR="00067049" w:rsidRPr="00067049">
        <w:rPr>
          <w:rStyle w:val="Emphasis"/>
          <w:rFonts w:ascii="Times New Roman" w:hAnsi="Times New Roman" w:cs="Times New Roman"/>
          <w:color w:val="000000" w:themeColor="text1"/>
          <w:sz w:val="18"/>
          <w:szCs w:val="18"/>
        </w:rPr>
        <w:t>6</w:t>
      </w:r>
      <w:r w:rsidRPr="00067049">
        <w:rPr>
          <w:rStyle w:val="Emphasis"/>
          <w:rFonts w:ascii="Times New Roman" w:hAnsi="Times New Roman" w:cs="Times New Roman"/>
          <w:color w:val="000000" w:themeColor="text1"/>
          <w:sz w:val="18"/>
          <w:szCs w:val="18"/>
        </w:rPr>
        <w:t>, para. 39.</w:t>
      </w:r>
    </w:p>
  </w:endnote>
  <w:endnote w:id="78">
    <w:p w14:paraId="1EE3F797" w14:textId="0F97AE63"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00BE3026"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CEDAW Committee, List of Issues in relation to the 9th periodic report: Philippines, para. 15 (c), U.N. Doc. CEDAW/C/PHL/Q/9 (2022).</w:t>
      </w:r>
    </w:p>
  </w:endnote>
  <w:endnote w:id="79">
    <w:p w14:paraId="2A9E2D9B" w14:textId="003EEF9A"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00BE3026"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 xml:space="preserve">Michelle Abad, Teen pregnancy is ‘most important problem of women today’ in PH – survey, Rappler (Feb. 17, 2021) available at </w:t>
      </w:r>
      <w:hyperlink r:id="rId21" w:history="1">
        <w:r w:rsidR="00067049" w:rsidRPr="00667913">
          <w:rPr>
            <w:rStyle w:val="Hyperlink"/>
            <w:rFonts w:ascii="Times New Roman" w:hAnsi="Times New Roman" w:cs="Times New Roman"/>
            <w:sz w:val="18"/>
            <w:szCs w:val="18"/>
          </w:rPr>
          <w:t>https://www.rappler.com/nation/teen-pregnancy-most-important-problem-women-today-philippines-sws-survey-november-20</w:t>
        </w:r>
      </w:hyperlink>
      <w:r w:rsid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20/.</w:t>
      </w:r>
    </w:p>
  </w:endnote>
  <w:endnote w:id="80">
    <w:p w14:paraId="11484D4E" w14:textId="210AA58E"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00BE3026"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 xml:space="preserve">Guttmacher Institute, Philippines country profile (2022) </w:t>
      </w:r>
      <w:hyperlink r:id="rId22">
        <w:r w:rsidRPr="00067049">
          <w:rPr>
            <w:rStyle w:val="Emphasis"/>
            <w:rFonts w:ascii="Times New Roman" w:hAnsi="Times New Roman" w:cs="Times New Roman"/>
            <w:color w:val="000000" w:themeColor="text1"/>
            <w:sz w:val="18"/>
            <w:szCs w:val="18"/>
          </w:rPr>
          <w:t>https://www.guttmacher.org/geography/asia/philippines</w:t>
        </w:r>
      </w:hyperlink>
      <w:r w:rsidRPr="00067049">
        <w:rPr>
          <w:rStyle w:val="Emphasis"/>
          <w:rFonts w:ascii="Times New Roman" w:hAnsi="Times New Roman" w:cs="Times New Roman"/>
          <w:color w:val="000000" w:themeColor="text1"/>
          <w:sz w:val="18"/>
          <w:szCs w:val="18"/>
        </w:rPr>
        <w:t xml:space="preserve"> [hereinafter Guttmacher Institute (2022)].</w:t>
      </w:r>
    </w:p>
  </w:endnote>
  <w:endnote w:id="81">
    <w:p w14:paraId="1DCA7371"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World Health Organization, Philippines: Adolescent Country Profile, available at https://platform.who.int/data/maternal-newborn-child-adolescent-ageing/static-visualizations/adolescent-country-profile.</w:t>
      </w:r>
    </w:p>
  </w:endnote>
  <w:endnote w:id="82">
    <w:p w14:paraId="7ABB822D"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Commission on Population, Precious and Precarious: The Life of Filipino Mothers, State of Population Report 6, p. 24 (2015).</w:t>
      </w:r>
    </w:p>
  </w:endnote>
  <w:endnote w:id="83">
    <w:p w14:paraId="067DE72C" w14:textId="49842D7E"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Inquirer.Net, UN Population Fund seeks to Prevent Maternal Deaths in PH, (2023 May 15) Retrieved from: https://newsinfo.inquirer.net/1769125/un-population-fund-seeks-to-prevent-maternal-deaths-in-ph</w:t>
      </w:r>
      <w:r w:rsidR="00AE2761">
        <w:rPr>
          <w:rStyle w:val="Emphasis"/>
          <w:rFonts w:ascii="Times New Roman" w:hAnsi="Times New Roman" w:cs="Times New Roman"/>
          <w:color w:val="000000" w:themeColor="text1"/>
          <w:sz w:val="18"/>
          <w:szCs w:val="18"/>
        </w:rPr>
        <w:t>.</w:t>
      </w:r>
    </w:p>
  </w:endnote>
  <w:endnote w:id="84">
    <w:p w14:paraId="271A28FA"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Committee on the Elimination of Discrimination against Women, Philippines Inquiry Summary (Article 8 of Optional Protocol to Convention on the Elimination of All Forms of Discrimination against Women), paras. 51-52, U.N. Doc. CEDAW/C/OP.8/PHL/1 (2014).</w:t>
      </w:r>
    </w:p>
  </w:endnote>
  <w:endnote w:id="85">
    <w:p w14:paraId="31A2B5D2"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The MNCHN strategy was first articulated through Administrative Order 2008-0029 under President Arroyo and updated under President Aquino through the MNCHN Manual of Operations (MOP) released in 2011. The MOP is clear on the prohibition of the traditional birth attendant (TBA)-assisted delivery (even by those trained by the government) and the promotion of facility-based delivery.</w:t>
      </w:r>
    </w:p>
  </w:endnote>
  <w:endnote w:id="86">
    <w:p w14:paraId="4A25F934" w14:textId="1C2D2056"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Bacani, Xyza Cruz, The Philippines has a policy against home birth. It’s not playing well in a pandemic. Retrieved from: https://www.npr.org/sections/goatsandsoda/2020/10/25/925442135/the-philippines-has-a-policy-against-home-births-its-not-playing-well-in-a-pandemic</w:t>
      </w:r>
      <w:r w:rsidR="00D83543">
        <w:rPr>
          <w:rStyle w:val="Emphasis"/>
          <w:rFonts w:ascii="Times New Roman" w:hAnsi="Times New Roman" w:cs="Times New Roman"/>
          <w:color w:val="000000" w:themeColor="text1"/>
          <w:sz w:val="18"/>
          <w:szCs w:val="18"/>
        </w:rPr>
        <w:t>.</w:t>
      </w:r>
    </w:p>
  </w:endnote>
  <w:endnote w:id="87">
    <w:p w14:paraId="2DD61769"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L. Amit, A. M., F. Pepito, V. C., Tang, C. S., Kiamco Aliazas, N. A., &amp; Sumpaico-Tanchanco, L. (2022). Prevalence and determinants of home delivery in urban and rural Philippines: Evidence from the 2017 National Demographic and Health Survey. Women's</w:t>
      </w:r>
      <w:r w:rsidR="00FF3C91"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Health, 18. </w:t>
      </w:r>
      <w:hyperlink r:id="rId23" w:history="1">
        <w:r w:rsidRPr="00067049">
          <w:rPr>
            <w:rStyle w:val="Emphasis"/>
            <w:rFonts w:ascii="Times New Roman" w:hAnsi="Times New Roman" w:cs="Times New Roman"/>
            <w:color w:val="000000" w:themeColor="text1"/>
            <w:sz w:val="18"/>
            <w:szCs w:val="18"/>
          </w:rPr>
          <w:t>https://doi.org/10.1177/17455057221117957</w:t>
        </w:r>
      </w:hyperlink>
      <w:r w:rsidRPr="00067049">
        <w:rPr>
          <w:rStyle w:val="Emphasis"/>
          <w:rFonts w:ascii="Times New Roman" w:hAnsi="Times New Roman" w:cs="Times New Roman"/>
          <w:color w:val="000000" w:themeColor="text1"/>
          <w:sz w:val="18"/>
          <w:szCs w:val="18"/>
        </w:rPr>
        <w:t xml:space="preserve"> See: How </w:t>
      </w:r>
      <w:r w:rsidRPr="00067049">
        <w:rPr>
          <w:rStyle w:val="Emphasis"/>
          <w:rFonts w:ascii="Times New Roman" w:hAnsi="Times New Roman" w:cs="Times New Roman"/>
          <w:color w:val="000000" w:themeColor="text1"/>
          <w:sz w:val="18"/>
          <w:szCs w:val="18"/>
          <w:lang w:val="en-US"/>
        </w:rPr>
        <w:t>the policy impacts women in rural areas and those living in poorer conditions as there is higher prevalence of home delivery among them compared to their urban counterparts.</w:t>
      </w:r>
    </w:p>
  </w:endnote>
  <w:endnote w:id="88">
    <w:p w14:paraId="3B2F0107" w14:textId="081399D1" w:rsidR="002C41A7" w:rsidRPr="00067049" w:rsidRDefault="002C41A7" w:rsidP="00067049">
      <w:pPr>
        <w:ind w:left="360" w:right="873"/>
        <w:jc w:val="left"/>
        <w:rPr>
          <w:rStyle w:val="Emphasis"/>
          <w:rFonts w:ascii="Times New Roman" w:hAnsi="Times New Roman" w:cs="Times New Roman"/>
          <w:i w:val="0"/>
          <w:iCs w:val="0"/>
          <w:color w:val="000000" w:themeColor="text1"/>
          <w:sz w:val="18"/>
          <w:szCs w:val="18"/>
        </w:rPr>
      </w:pPr>
      <w:r w:rsidRPr="00067049">
        <w:rPr>
          <w:rStyle w:val="Emphasis"/>
          <w:rFonts w:ascii="Times New Roman" w:hAnsi="Times New Roman" w:cs="Times New Roman"/>
          <w:i w:val="0"/>
          <w:iCs w:val="0"/>
          <w:color w:val="000000" w:themeColor="text1"/>
          <w:sz w:val="18"/>
          <w:szCs w:val="18"/>
        </w:rPr>
        <w:endnoteRef/>
      </w:r>
      <w:r w:rsidRPr="00067049">
        <w:rPr>
          <w:rStyle w:val="Emphasis"/>
          <w:rFonts w:ascii="Times New Roman" w:hAnsi="Times New Roman" w:cs="Times New Roman"/>
          <w:i w:val="0"/>
          <w:iCs w:val="0"/>
          <w:color w:val="000000" w:themeColor="text1"/>
          <w:sz w:val="18"/>
          <w:szCs w:val="18"/>
        </w:rPr>
        <w:t xml:space="preserve"> </w:t>
      </w:r>
      <w:r w:rsidR="00877369" w:rsidRPr="00067049">
        <w:rPr>
          <w:rFonts w:ascii="Times New Roman" w:hAnsi="Times New Roman" w:cs="Times New Roman"/>
          <w:color w:val="000000" w:themeColor="text1"/>
          <w:sz w:val="18"/>
          <w:szCs w:val="18"/>
        </w:rPr>
        <w:t>Committee on Economic, Social and Cultural Rights, General Comment</w:t>
      </w:r>
      <w:r w:rsidR="00067049" w:rsidRPr="00067049">
        <w:rPr>
          <w:rFonts w:ascii="Times New Roman" w:hAnsi="Times New Roman" w:cs="Times New Roman"/>
          <w:color w:val="000000" w:themeColor="text1"/>
          <w:sz w:val="18"/>
          <w:szCs w:val="18"/>
        </w:rPr>
        <w:t xml:space="preserve"> </w:t>
      </w:r>
      <w:r w:rsidR="00877369" w:rsidRPr="00067049">
        <w:rPr>
          <w:rFonts w:ascii="Times New Roman" w:hAnsi="Times New Roman" w:cs="Times New Roman"/>
          <w:color w:val="000000" w:themeColor="text1"/>
          <w:sz w:val="18"/>
          <w:szCs w:val="18"/>
        </w:rPr>
        <w:t>No. 14: The right to the highest attainable standard of health (Art. 12),</w:t>
      </w:r>
      <w:r w:rsidR="00067049" w:rsidRPr="00067049">
        <w:rPr>
          <w:rFonts w:ascii="Times New Roman" w:hAnsi="Times New Roman" w:cs="Times New Roman"/>
          <w:color w:val="000000" w:themeColor="text1"/>
          <w:sz w:val="18"/>
          <w:szCs w:val="18"/>
        </w:rPr>
        <w:t xml:space="preserve"> </w:t>
      </w:r>
      <w:r w:rsidR="00877369" w:rsidRPr="00067049">
        <w:rPr>
          <w:rFonts w:ascii="Times New Roman" w:hAnsi="Times New Roman" w:cs="Times New Roman"/>
          <w:color w:val="000000" w:themeColor="text1"/>
          <w:sz w:val="18"/>
          <w:szCs w:val="18"/>
        </w:rPr>
        <w:t>(22nd Sess., 2000), in Compilation of General Comments and General Recommendations Adopted by Human Rights Treaty Bodies, para. 12, U.N. Doc. E/C.12/2000/4 (2000) [hereinafter CESCR Committee, Gen. Comment No. 14]</w:t>
      </w:r>
      <w:r w:rsidRPr="00067049">
        <w:rPr>
          <w:rStyle w:val="Emphasis"/>
          <w:rFonts w:ascii="Times New Roman" w:hAnsi="Times New Roman" w:cs="Times New Roman"/>
          <w:i w:val="0"/>
          <w:iCs w:val="0"/>
          <w:color w:val="000000" w:themeColor="text1"/>
          <w:sz w:val="18"/>
          <w:szCs w:val="18"/>
        </w:rPr>
        <w:t xml:space="preserve">; Committee on Economic, Social and Cultural Rights, General Comment No. 20: Non-discrimination in economic, </w:t>
      </w:r>
      <w:r w:rsidRPr="00067049">
        <w:rPr>
          <w:rStyle w:val="Emphasis"/>
          <w:rFonts w:ascii="Times New Roman" w:hAnsi="Times New Roman" w:cs="Times New Roman"/>
          <w:i w:val="0"/>
          <w:iCs w:val="0"/>
          <w:color w:val="000000" w:themeColor="text1"/>
          <w:sz w:val="18"/>
          <w:szCs w:val="18"/>
        </w:rPr>
        <w:t>social and cultural rights (art.2, para. 2 of the International Covenant on Economic, Social and Cultural Rights), para. 20, U.N. Doc. E/C.12/GC/20 (2009) [hereinafter CESCR Committee, Gen. Comment No. 20].; Committee on the Elimination of Discrimination against Women, General Recommendation No. 9: Statistical data concerning the situation of women, (8th Sess., 1989), in Compilation of General Comments and General Recommendations Adopted by Human Rights Treaty Bodies, U.N. Doc. A/44/38 (1989) [hereinafter CEDAW Committee, Gen. Recommendation No. 9].; Committee on the Rights of the Child, General Comment No. 5: General measures of implementation of the Convention on the Rights of the Child (arts. 4, 42 and 44, para. 6), (34th Sess., 2003), in Compilation of General Comments and General Recommendations Adopted by Human Rights Treaty Bodies, para. 45, U.N. Doc. CRC/GC/2003/5 (2003) [hereinafter CRC Committee, Gen. Comment No. 5].; CRC Committee, Gen. Com</w:t>
      </w:r>
      <w:r w:rsidRPr="00AE2761">
        <w:rPr>
          <w:rStyle w:val="Emphasis"/>
          <w:rFonts w:ascii="Times New Roman" w:hAnsi="Times New Roman" w:cs="Times New Roman"/>
          <w:i w:val="0"/>
          <w:iCs w:val="0"/>
          <w:color w:val="000000" w:themeColor="text1"/>
          <w:sz w:val="18"/>
          <w:szCs w:val="18"/>
        </w:rPr>
        <w:t xml:space="preserve">ment No. 20, </w:t>
      </w:r>
      <w:r w:rsidRPr="00AE2761">
        <w:rPr>
          <w:rStyle w:val="Emphasis"/>
          <w:rFonts w:ascii="Times New Roman" w:hAnsi="Times New Roman" w:cs="Times New Roman"/>
          <w:color w:val="000000" w:themeColor="text1"/>
          <w:sz w:val="18"/>
          <w:szCs w:val="18"/>
        </w:rPr>
        <w:t>supra</w:t>
      </w:r>
      <w:r w:rsidRPr="00AE2761">
        <w:rPr>
          <w:rStyle w:val="Emphasis"/>
          <w:rFonts w:ascii="Times New Roman" w:hAnsi="Times New Roman" w:cs="Times New Roman"/>
          <w:i w:val="0"/>
          <w:iCs w:val="0"/>
          <w:color w:val="000000" w:themeColor="text1"/>
          <w:sz w:val="18"/>
          <w:szCs w:val="18"/>
        </w:rPr>
        <w:t xml:space="preserve"> note </w:t>
      </w:r>
      <w:r w:rsidR="00877369" w:rsidRPr="00AE2761">
        <w:rPr>
          <w:rStyle w:val="Emphasis"/>
          <w:rFonts w:ascii="Times New Roman" w:hAnsi="Times New Roman" w:cs="Times New Roman"/>
          <w:i w:val="0"/>
          <w:iCs w:val="0"/>
          <w:color w:val="000000" w:themeColor="text1"/>
          <w:sz w:val="18"/>
          <w:szCs w:val="18"/>
        </w:rPr>
        <w:t>5</w:t>
      </w:r>
      <w:r w:rsidR="00AE2761" w:rsidRPr="00AE2761">
        <w:rPr>
          <w:rStyle w:val="Emphasis"/>
          <w:rFonts w:ascii="Times New Roman" w:hAnsi="Times New Roman" w:cs="Times New Roman"/>
          <w:i w:val="0"/>
          <w:iCs w:val="0"/>
          <w:color w:val="000000" w:themeColor="text1"/>
          <w:sz w:val="18"/>
          <w:szCs w:val="18"/>
        </w:rPr>
        <w:t>6</w:t>
      </w:r>
      <w:r w:rsidRPr="00AE2761">
        <w:rPr>
          <w:rStyle w:val="Emphasis"/>
          <w:rFonts w:ascii="Times New Roman" w:hAnsi="Times New Roman" w:cs="Times New Roman"/>
          <w:i w:val="0"/>
          <w:iCs w:val="0"/>
          <w:color w:val="000000" w:themeColor="text1"/>
          <w:sz w:val="18"/>
          <w:szCs w:val="18"/>
        </w:rPr>
        <w:t>, para. 34 Breaking Ground: Treaty Monitoring Bodies on Reproductive Rights 2020 37(c).; CEDAW Committee, Concluding Observations: Romania, paras. 40-41, U.N. Doc. CEDAW/C/ROU/CO/7-8 (2017).; CEDAW Committee, Concluding Observations: Lesotho, paras. 32-33, U.N. Doc. CEDAW/C/LSO/CO/1-4/Add.1 (2013).</w:t>
      </w:r>
    </w:p>
  </w:endnote>
  <w:endnote w:id="89">
    <w:p w14:paraId="154736CC"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CEDAW Committee, List of Issues in relation to the 9th periodic report: Philippines, para. 15 (d), U.N. Doc. CEDAW/C/PHL/Q/9 (2022).</w:t>
      </w:r>
    </w:p>
  </w:endnote>
  <w:endnote w:id="90">
    <w:p w14:paraId="680DEDFF"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lang w:val="en-US"/>
        </w:rPr>
        <w:t>CEDAW Committee, Replies of the Philippines to the List of Issues and Questions in relation to its ninth periodic report, L. Education Par. 78 Retrieved from: https://tbinternet.ohchr.org/_layouts/15/treatybodyexternal/Download.aspx?symbolno=CEDAW%2FC%2FPHL%2FRQ%2F9&amp;Lang=en</w:t>
      </w:r>
    </w:p>
  </w:endnote>
  <w:endnote w:id="91">
    <w:p w14:paraId="7970512F" w14:textId="22675828"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U</w:t>
      </w:r>
      <w:r w:rsidR="00AE2761">
        <w:rPr>
          <w:rStyle w:val="Emphasis"/>
          <w:rFonts w:ascii="Times New Roman" w:hAnsi="Times New Roman" w:cs="Times New Roman"/>
          <w:color w:val="000000" w:themeColor="text1"/>
          <w:sz w:val="18"/>
          <w:szCs w:val="18"/>
        </w:rPr>
        <w:t>NICEF</w:t>
      </w:r>
      <w:r w:rsidRPr="00067049">
        <w:rPr>
          <w:rStyle w:val="Emphasis"/>
          <w:rFonts w:ascii="Times New Roman" w:hAnsi="Times New Roman" w:cs="Times New Roman"/>
          <w:color w:val="000000" w:themeColor="text1"/>
          <w:sz w:val="18"/>
          <w:szCs w:val="18"/>
        </w:rPr>
        <w:t>: Many children drop out as in-person classes reopen, Inquirer.Net, April 4, 2022, available at https://newsinfo.inquirer.net/1577764/unicef-many-children-drop-out-as-in-person-classes-reopen.</w:t>
      </w:r>
    </w:p>
  </w:endnote>
  <w:endnote w:id="92">
    <w:p w14:paraId="64E77A73"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Annex J.9, Integration of Gad and Comprehensive Sexuality Education in the Curricula and Learning Materials, p. 35 in the Ninth periodic report submitted by the Philippines under article 18 of the Convention, due in 2020, UN Doc CEDAW/C/PHL/9 (2021).</w:t>
      </w:r>
    </w:p>
  </w:endnote>
  <w:endnote w:id="93">
    <w:p w14:paraId="74B5B2CC" w14:textId="61188188" w:rsidR="00B13725" w:rsidRPr="00067049" w:rsidRDefault="002C41A7" w:rsidP="00067049">
      <w:pPr>
        <w:ind w:left="360" w:right="862"/>
        <w:jc w:val="left"/>
        <w:rPr>
          <w:rFonts w:ascii="Times New Roman" w:hAnsi="Times New Roman" w:cs="Times New Roman"/>
          <w:color w:val="000000" w:themeColor="text1"/>
          <w:sz w:val="18"/>
          <w:szCs w:val="18"/>
        </w:rPr>
      </w:pPr>
      <w:r w:rsidRPr="00067049">
        <w:rPr>
          <w:rStyle w:val="Emphasis"/>
          <w:rFonts w:ascii="Times New Roman" w:hAnsi="Times New Roman" w:cs="Times New Roman"/>
          <w:i w:val="0"/>
          <w:iCs w:val="0"/>
          <w:color w:val="000000" w:themeColor="text1"/>
          <w:sz w:val="18"/>
          <w:szCs w:val="18"/>
        </w:rPr>
        <w:endnoteRef/>
      </w:r>
      <w:r w:rsidRPr="00067049">
        <w:rPr>
          <w:rStyle w:val="Emphasis"/>
          <w:rFonts w:ascii="Times New Roman" w:hAnsi="Times New Roman" w:cs="Times New Roman"/>
          <w:i w:val="0"/>
          <w:iCs w:val="0"/>
          <w:color w:val="000000" w:themeColor="text1"/>
          <w:sz w:val="18"/>
          <w:szCs w:val="18"/>
        </w:rPr>
        <w:t>.</w:t>
      </w:r>
      <w:r w:rsidR="00B13725" w:rsidRPr="00067049">
        <w:rPr>
          <w:rFonts w:ascii="Times New Roman" w:hAnsi="Times New Roman" w:cs="Times New Roman"/>
          <w:color w:val="000000" w:themeColor="text1"/>
          <w:sz w:val="18"/>
          <w:szCs w:val="18"/>
        </w:rPr>
        <w:t xml:space="preserve"> The Department of Health, 7th Annual Report: Responsible Parenthood and Reproductive Health Act of 2012, p. 67 (30 June 2021), available at  </w:t>
      </w:r>
      <w:hyperlink r:id="rId24" w:history="1">
        <w:r w:rsidR="00B13725" w:rsidRPr="00067049">
          <w:rPr>
            <w:rStyle w:val="Hyperlink"/>
            <w:rFonts w:ascii="Times New Roman" w:hAnsi="Times New Roman" w:cs="Times New Roman"/>
            <w:color w:val="000000" w:themeColor="text1"/>
            <w:sz w:val="18"/>
            <w:szCs w:val="18"/>
            <w:u w:val="none"/>
          </w:rPr>
          <w:t>https://doh.gov.ph/serials/7th-RPRH-2020</w:t>
        </w:r>
      </w:hyperlink>
      <w:r w:rsidR="00B13725" w:rsidRPr="00067049">
        <w:rPr>
          <w:rFonts w:ascii="Times New Roman" w:hAnsi="Times New Roman" w:cs="Times New Roman"/>
          <w:color w:val="000000" w:themeColor="text1"/>
          <w:sz w:val="18"/>
          <w:szCs w:val="18"/>
        </w:rPr>
        <w:t xml:space="preserve"> [hereinafter 2020 RPRHA Report]</w:t>
      </w:r>
      <w:r w:rsidR="00067049" w:rsidRPr="00067049">
        <w:rPr>
          <w:rFonts w:ascii="Times New Roman" w:hAnsi="Times New Roman" w:cs="Times New Roman"/>
          <w:color w:val="000000" w:themeColor="text1"/>
          <w:sz w:val="18"/>
          <w:szCs w:val="18"/>
        </w:rPr>
        <w:t>.</w:t>
      </w:r>
    </w:p>
  </w:endnote>
  <w:endnote w:id="94">
    <w:p w14:paraId="11516674" w14:textId="77777777"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Mary Pauline V. Saquing and Norliza M. Nordan, Process Evaluation of Selected Programs of the Department of Health (DOH): RPRH Education and Communication, p. 21-22, PHILIPPINE INSTITUTE FOR DEVELOPMENT STUDIES (March 2021) [hereinafter PIDS 2021]; Department of Education, Order No. 31, s. 2018 Policy Guidelines on the Implementation of the Comprehensive Sexuality Education (July 13, 2018) available at https://www.deped.gov.ph/2018/07/13/do-31-s-2018-policy-guidelines-on-the-implementation-of-the-comprehensive-sexuality-education/.</w:t>
      </w:r>
    </w:p>
  </w:endnote>
  <w:endnote w:id="95">
    <w:p w14:paraId="7AD422DD" w14:textId="58B322E6"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w:t>
      </w:r>
      <w:r w:rsidR="00C329D1" w:rsidRPr="00067049">
        <w:rPr>
          <w:rStyle w:val="Emphasis"/>
          <w:rFonts w:ascii="Times New Roman" w:hAnsi="Times New Roman" w:cs="Times New Roman"/>
          <w:color w:val="000000" w:themeColor="text1"/>
          <w:sz w:val="18"/>
          <w:szCs w:val="18"/>
        </w:rPr>
        <w:t xml:space="preserve">House of Representatives. (2023) House Bill 8910, An Act Providing for a National Policy in Preventing Adolescent </w:t>
      </w:r>
      <w:r w:rsidR="00C329D1" w:rsidRPr="00067049">
        <w:rPr>
          <w:rStyle w:val="Emphasis"/>
          <w:rFonts w:ascii="Times New Roman" w:hAnsi="Times New Roman" w:cs="Times New Roman"/>
          <w:color w:val="000000" w:themeColor="text1"/>
          <w:sz w:val="18"/>
          <w:szCs w:val="18"/>
        </w:rPr>
        <w:t xml:space="preserve">Pregnancies and Institutionalizing Social Protection for Adolescent Parents. Retrieved from: </w:t>
      </w:r>
      <w:hyperlink r:id="rId25" w:history="1">
        <w:r w:rsidR="00C329D1" w:rsidRPr="00067049">
          <w:rPr>
            <w:rStyle w:val="Hyperlink"/>
            <w:rFonts w:ascii="Times New Roman" w:hAnsi="Times New Roman" w:cs="Times New Roman"/>
            <w:i w:val="0"/>
            <w:iCs w:val="0"/>
            <w:color w:val="000000" w:themeColor="text1"/>
            <w:sz w:val="18"/>
            <w:szCs w:val="18"/>
            <w:u w:val="none"/>
          </w:rPr>
          <w:t>https://hrep-website.s3.ap-southeast-1.amazonaws.com/legisdocs/first_19/CR00716.pdf</w:t>
        </w:r>
      </w:hyperlink>
      <w:r w:rsidR="00067049" w:rsidRPr="00067049">
        <w:rPr>
          <w:rStyle w:val="Emphasis"/>
          <w:rFonts w:ascii="Times New Roman" w:hAnsi="Times New Roman" w:cs="Times New Roman"/>
          <w:color w:val="000000" w:themeColor="text1"/>
          <w:sz w:val="18"/>
          <w:szCs w:val="18"/>
        </w:rPr>
        <w:t>.</w:t>
      </w:r>
    </w:p>
  </w:endnote>
  <w:endnote w:id="96">
    <w:p w14:paraId="374A775D" w14:textId="7C5E7400"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Gregorio, Xavier, DepEd backs making sex education compulsory, standardized, (2023, February 7) Retrieved from: </w:t>
      </w:r>
      <w:r w:rsidRPr="00067049">
        <w:rPr>
          <w:rStyle w:val="Emphasis"/>
          <w:rFonts w:ascii="Times New Roman" w:hAnsi="Times New Roman" w:cs="Times New Roman"/>
          <w:color w:val="000000" w:themeColor="text1"/>
          <w:sz w:val="18"/>
          <w:szCs w:val="18"/>
          <w:lang w:val="en-US"/>
        </w:rPr>
        <w:t>https://www.philstar.com/headlines/2023/02/07/2243236/deped-backs-making-sex-education-compulsory-standardized</w:t>
      </w:r>
      <w:r w:rsidR="00067049">
        <w:rPr>
          <w:rStyle w:val="Emphasis"/>
          <w:rFonts w:ascii="Times New Roman" w:hAnsi="Times New Roman" w:cs="Times New Roman"/>
          <w:color w:val="000000" w:themeColor="text1"/>
          <w:sz w:val="18"/>
          <w:szCs w:val="18"/>
          <w:lang w:val="en-US"/>
        </w:rPr>
        <w:t>.</w:t>
      </w:r>
    </w:p>
  </w:endnote>
  <w:endnote w:id="97">
    <w:p w14:paraId="3ED20706" w14:textId="77D8E574"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PH"/>
        </w:rPr>
      </w:pPr>
      <w:r w:rsidRPr="00067049">
        <w:rPr>
          <w:rStyle w:val="Emphasis"/>
          <w:rFonts w:ascii="Times New Roman" w:hAnsi="Times New Roman" w:cs="Times New Roman"/>
          <w:color w:val="000000" w:themeColor="text1"/>
          <w:sz w:val="18"/>
          <w:szCs w:val="18"/>
        </w:rPr>
        <w:endnoteRef/>
      </w:r>
      <w:r w:rsidR="00B13725" w:rsidRPr="00067049">
        <w:rPr>
          <w:rStyle w:val="Emphasis"/>
          <w:rFonts w:ascii="Times New Roman" w:hAnsi="Times New Roman" w:cs="Times New Roman"/>
          <w:color w:val="000000" w:themeColor="text1"/>
          <w:sz w:val="18"/>
          <w:szCs w:val="18"/>
        </w:rPr>
        <w:t xml:space="preserve">  </w:t>
      </w:r>
      <w:r w:rsidRPr="00067049">
        <w:rPr>
          <w:rStyle w:val="Emphasis"/>
          <w:rFonts w:ascii="Times New Roman" w:hAnsi="Times New Roman" w:cs="Times New Roman"/>
          <w:color w:val="000000" w:themeColor="text1"/>
          <w:sz w:val="18"/>
          <w:szCs w:val="18"/>
        </w:rPr>
        <w:t xml:space="preserve">CRC Committee, Gen. Comment No. </w:t>
      </w:r>
      <w:r w:rsidRPr="00AE2761">
        <w:rPr>
          <w:rStyle w:val="Emphasis"/>
          <w:rFonts w:ascii="Times New Roman" w:hAnsi="Times New Roman" w:cs="Times New Roman"/>
          <w:color w:val="000000" w:themeColor="text1"/>
          <w:sz w:val="18"/>
          <w:szCs w:val="18"/>
        </w:rPr>
        <w:t xml:space="preserve">20, </w:t>
      </w:r>
      <w:r w:rsidRPr="00AE2761">
        <w:rPr>
          <w:rStyle w:val="Emphasis"/>
          <w:rFonts w:ascii="Times New Roman" w:hAnsi="Times New Roman" w:cs="Times New Roman"/>
          <w:i/>
          <w:iCs/>
          <w:color w:val="000000" w:themeColor="text1"/>
          <w:sz w:val="18"/>
          <w:szCs w:val="18"/>
        </w:rPr>
        <w:t>supra</w:t>
      </w:r>
      <w:r w:rsidRPr="00AE2761">
        <w:rPr>
          <w:rStyle w:val="Emphasis"/>
          <w:rFonts w:ascii="Times New Roman" w:hAnsi="Times New Roman" w:cs="Times New Roman"/>
          <w:color w:val="000000" w:themeColor="text1"/>
          <w:sz w:val="18"/>
          <w:szCs w:val="18"/>
        </w:rPr>
        <w:t xml:space="preserve"> note </w:t>
      </w:r>
      <w:r w:rsidR="00B13725" w:rsidRPr="00AE2761">
        <w:rPr>
          <w:rStyle w:val="Emphasis"/>
          <w:rFonts w:ascii="Times New Roman" w:hAnsi="Times New Roman" w:cs="Times New Roman"/>
          <w:color w:val="000000" w:themeColor="text1"/>
          <w:sz w:val="18"/>
          <w:szCs w:val="18"/>
        </w:rPr>
        <w:t>5</w:t>
      </w:r>
      <w:r w:rsidR="00AE2761" w:rsidRPr="00AE2761">
        <w:rPr>
          <w:rStyle w:val="Emphasis"/>
          <w:rFonts w:ascii="Times New Roman" w:hAnsi="Times New Roman" w:cs="Times New Roman"/>
          <w:color w:val="000000" w:themeColor="text1"/>
          <w:sz w:val="18"/>
          <w:szCs w:val="18"/>
        </w:rPr>
        <w:t>6</w:t>
      </w:r>
      <w:r w:rsidRPr="00AE2761">
        <w:rPr>
          <w:rStyle w:val="Emphasis"/>
          <w:rFonts w:ascii="Times New Roman" w:hAnsi="Times New Roman" w:cs="Times New Roman"/>
          <w:color w:val="000000" w:themeColor="text1"/>
          <w:sz w:val="18"/>
          <w:szCs w:val="18"/>
        </w:rPr>
        <w:t>, paras.</w:t>
      </w:r>
      <w:r w:rsidRPr="00067049">
        <w:rPr>
          <w:rStyle w:val="Emphasis"/>
          <w:rFonts w:ascii="Times New Roman" w:hAnsi="Times New Roman" w:cs="Times New Roman"/>
          <w:color w:val="000000" w:themeColor="text1"/>
          <w:sz w:val="18"/>
          <w:szCs w:val="18"/>
        </w:rPr>
        <w:t xml:space="preserve"> 59 – 61.; CESCR Committee, Gen. Comment </w:t>
      </w:r>
      <w:r w:rsidRPr="00AE2761">
        <w:rPr>
          <w:rStyle w:val="Emphasis"/>
          <w:rFonts w:ascii="Times New Roman" w:hAnsi="Times New Roman" w:cs="Times New Roman"/>
          <w:color w:val="000000" w:themeColor="text1"/>
          <w:sz w:val="18"/>
          <w:szCs w:val="18"/>
        </w:rPr>
        <w:t>No. 22,</w:t>
      </w:r>
      <w:r w:rsidRPr="00AE2761">
        <w:rPr>
          <w:rStyle w:val="Emphasis"/>
          <w:rFonts w:ascii="Times New Roman" w:hAnsi="Times New Roman" w:cs="Times New Roman"/>
          <w:i/>
          <w:iCs/>
          <w:color w:val="000000" w:themeColor="text1"/>
          <w:sz w:val="18"/>
          <w:szCs w:val="18"/>
        </w:rPr>
        <w:t xml:space="preserve"> </w:t>
      </w:r>
      <w:r w:rsidR="00AE2761" w:rsidRPr="00AE2761">
        <w:rPr>
          <w:rStyle w:val="Emphasis"/>
          <w:rFonts w:ascii="Times New Roman" w:hAnsi="Times New Roman" w:cs="Times New Roman"/>
          <w:i/>
          <w:iCs/>
          <w:color w:val="000000" w:themeColor="text1"/>
          <w:sz w:val="18"/>
          <w:szCs w:val="18"/>
        </w:rPr>
        <w:t>supra</w:t>
      </w:r>
      <w:r w:rsidR="00AE2761" w:rsidRPr="00AE2761">
        <w:rPr>
          <w:rStyle w:val="Emphasis"/>
          <w:rFonts w:ascii="Times New Roman" w:hAnsi="Times New Roman" w:cs="Times New Roman"/>
          <w:color w:val="000000" w:themeColor="text1"/>
          <w:sz w:val="18"/>
          <w:szCs w:val="18"/>
        </w:rPr>
        <w:t xml:space="preserve"> note 57</w:t>
      </w:r>
      <w:r w:rsidR="00BE3026" w:rsidRPr="00AE2761">
        <w:rPr>
          <w:rStyle w:val="Emphasis"/>
          <w:rFonts w:ascii="Times New Roman" w:hAnsi="Times New Roman" w:cs="Times New Roman"/>
          <w:color w:val="000000" w:themeColor="text1"/>
          <w:sz w:val="18"/>
          <w:szCs w:val="18"/>
        </w:rPr>
        <w:t xml:space="preserve">, </w:t>
      </w:r>
      <w:r w:rsidRPr="00AE2761">
        <w:rPr>
          <w:rStyle w:val="Emphasis"/>
          <w:rFonts w:ascii="Times New Roman" w:hAnsi="Times New Roman" w:cs="Times New Roman"/>
          <w:color w:val="000000" w:themeColor="text1"/>
          <w:sz w:val="18"/>
          <w:szCs w:val="18"/>
        </w:rPr>
        <w:t>paras. 28, 44, 47, 48, 49(f), 63</w:t>
      </w:r>
      <w:r w:rsidR="00067049" w:rsidRPr="00AE2761">
        <w:rPr>
          <w:rStyle w:val="Emphasis"/>
          <w:rFonts w:ascii="Times New Roman" w:hAnsi="Times New Roman" w:cs="Times New Roman"/>
          <w:color w:val="000000" w:themeColor="text1"/>
          <w:sz w:val="18"/>
          <w:szCs w:val="18"/>
        </w:rPr>
        <w:t>.</w:t>
      </w:r>
    </w:p>
  </w:endnote>
  <w:endnote w:id="98">
    <w:p w14:paraId="1A643BA9" w14:textId="53253293"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PH"/>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CRC Committee, Gen. Comment No. 20, </w:t>
      </w:r>
      <w:r w:rsidRPr="00AE2761">
        <w:rPr>
          <w:rStyle w:val="Emphasis"/>
          <w:rFonts w:ascii="Times New Roman" w:hAnsi="Times New Roman" w:cs="Times New Roman"/>
          <w:i/>
          <w:iCs/>
          <w:color w:val="000000" w:themeColor="text1"/>
          <w:sz w:val="18"/>
          <w:szCs w:val="18"/>
        </w:rPr>
        <w:t>supra</w:t>
      </w:r>
      <w:r w:rsidRPr="00AE2761">
        <w:rPr>
          <w:rStyle w:val="Emphasis"/>
          <w:rFonts w:ascii="Times New Roman" w:hAnsi="Times New Roman" w:cs="Times New Roman"/>
          <w:color w:val="000000" w:themeColor="text1"/>
          <w:sz w:val="18"/>
          <w:szCs w:val="18"/>
        </w:rPr>
        <w:t xml:space="preserve"> note </w:t>
      </w:r>
      <w:r w:rsidR="00B13725" w:rsidRPr="00AE2761">
        <w:rPr>
          <w:rStyle w:val="Emphasis"/>
          <w:rFonts w:ascii="Times New Roman" w:hAnsi="Times New Roman" w:cs="Times New Roman"/>
          <w:color w:val="000000" w:themeColor="text1"/>
          <w:sz w:val="18"/>
          <w:szCs w:val="18"/>
        </w:rPr>
        <w:t>5</w:t>
      </w:r>
      <w:r w:rsidR="00AE2761" w:rsidRPr="00AE2761">
        <w:rPr>
          <w:rStyle w:val="Emphasis"/>
          <w:rFonts w:ascii="Times New Roman" w:hAnsi="Times New Roman" w:cs="Times New Roman"/>
          <w:color w:val="000000" w:themeColor="text1"/>
          <w:sz w:val="18"/>
          <w:szCs w:val="18"/>
        </w:rPr>
        <w:t>6</w:t>
      </w:r>
      <w:r w:rsidRPr="00AE2761">
        <w:rPr>
          <w:rStyle w:val="Emphasis"/>
          <w:rFonts w:ascii="Times New Roman" w:hAnsi="Times New Roman" w:cs="Times New Roman"/>
          <w:color w:val="000000" w:themeColor="text1"/>
          <w:sz w:val="18"/>
          <w:szCs w:val="18"/>
        </w:rPr>
        <w:t>,</w:t>
      </w:r>
      <w:r w:rsidRPr="00067049">
        <w:rPr>
          <w:rStyle w:val="Emphasis"/>
          <w:rFonts w:ascii="Times New Roman" w:hAnsi="Times New Roman" w:cs="Times New Roman"/>
          <w:color w:val="000000" w:themeColor="text1"/>
          <w:sz w:val="18"/>
          <w:szCs w:val="18"/>
        </w:rPr>
        <w:t xml:space="preserve"> para. 60.; CESCR Committee, Gen. Comment No. </w:t>
      </w:r>
      <w:r w:rsidRPr="00AE2761">
        <w:rPr>
          <w:rStyle w:val="Emphasis"/>
          <w:rFonts w:ascii="Times New Roman" w:hAnsi="Times New Roman" w:cs="Times New Roman"/>
          <w:color w:val="000000" w:themeColor="text1"/>
          <w:sz w:val="18"/>
          <w:szCs w:val="18"/>
        </w:rPr>
        <w:t xml:space="preserve">22, </w:t>
      </w:r>
      <w:r w:rsidR="00AE2761" w:rsidRPr="00AE2761">
        <w:rPr>
          <w:rStyle w:val="Emphasis"/>
          <w:rFonts w:ascii="Times New Roman" w:hAnsi="Times New Roman" w:cs="Times New Roman"/>
          <w:i/>
          <w:iCs/>
          <w:color w:val="000000" w:themeColor="text1"/>
          <w:sz w:val="18"/>
          <w:szCs w:val="18"/>
        </w:rPr>
        <w:t>supra</w:t>
      </w:r>
      <w:r w:rsidR="00AE2761" w:rsidRPr="00AE2761">
        <w:rPr>
          <w:rStyle w:val="Emphasis"/>
          <w:rFonts w:ascii="Times New Roman" w:hAnsi="Times New Roman" w:cs="Times New Roman"/>
          <w:color w:val="000000" w:themeColor="text1"/>
          <w:sz w:val="18"/>
          <w:szCs w:val="18"/>
        </w:rPr>
        <w:t xml:space="preserve"> note 57</w:t>
      </w:r>
      <w:r w:rsidRPr="00AE2761">
        <w:rPr>
          <w:rStyle w:val="Emphasis"/>
          <w:rFonts w:ascii="Times New Roman" w:hAnsi="Times New Roman" w:cs="Times New Roman"/>
          <w:color w:val="000000" w:themeColor="text1"/>
          <w:sz w:val="18"/>
          <w:szCs w:val="18"/>
        </w:rPr>
        <w:t>, para. 44</w:t>
      </w:r>
      <w:r w:rsidR="00067049" w:rsidRPr="00AE2761">
        <w:rPr>
          <w:rStyle w:val="Emphasis"/>
          <w:rFonts w:ascii="Times New Roman" w:hAnsi="Times New Roman" w:cs="Times New Roman"/>
          <w:color w:val="000000" w:themeColor="text1"/>
          <w:sz w:val="18"/>
          <w:szCs w:val="18"/>
        </w:rPr>
        <w:t>.</w:t>
      </w:r>
    </w:p>
  </w:endnote>
  <w:endnote w:id="99">
    <w:p w14:paraId="12518B01" w14:textId="40F254C6" w:rsidR="002C41A7" w:rsidRPr="00AE2761" w:rsidRDefault="002C41A7" w:rsidP="00D73CD6">
      <w:pPr>
        <w:pStyle w:val="Quote"/>
        <w:ind w:left="360"/>
        <w:jc w:val="left"/>
        <w:rPr>
          <w:rStyle w:val="Emphasis"/>
          <w:rFonts w:ascii="Times New Roman" w:hAnsi="Times New Roman" w:cs="Times New Roman"/>
          <w:color w:val="000000" w:themeColor="text1"/>
          <w:sz w:val="18"/>
          <w:szCs w:val="18"/>
          <w:lang w:val="en-PH"/>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CESCR Committee, Gen. Comment No. </w:t>
      </w:r>
      <w:r w:rsidRPr="00AE2761">
        <w:rPr>
          <w:rStyle w:val="Emphasis"/>
          <w:rFonts w:ascii="Times New Roman" w:hAnsi="Times New Roman" w:cs="Times New Roman"/>
          <w:color w:val="000000" w:themeColor="text1"/>
          <w:sz w:val="18"/>
          <w:szCs w:val="18"/>
        </w:rPr>
        <w:t xml:space="preserve">22, </w:t>
      </w:r>
      <w:r w:rsidR="00AE2761" w:rsidRPr="00AE2761">
        <w:rPr>
          <w:rStyle w:val="Emphasis"/>
          <w:rFonts w:ascii="Times New Roman" w:hAnsi="Times New Roman" w:cs="Times New Roman"/>
          <w:i/>
          <w:iCs/>
          <w:color w:val="000000" w:themeColor="text1"/>
          <w:sz w:val="18"/>
          <w:szCs w:val="18"/>
        </w:rPr>
        <w:t>supra</w:t>
      </w:r>
      <w:r w:rsidR="00AE2761" w:rsidRPr="00AE2761">
        <w:rPr>
          <w:rStyle w:val="Emphasis"/>
          <w:rFonts w:ascii="Times New Roman" w:hAnsi="Times New Roman" w:cs="Times New Roman"/>
          <w:color w:val="000000" w:themeColor="text1"/>
          <w:sz w:val="18"/>
          <w:szCs w:val="18"/>
        </w:rPr>
        <w:t xml:space="preserve"> note 57</w:t>
      </w:r>
      <w:r w:rsidRPr="00AE2761">
        <w:rPr>
          <w:rStyle w:val="Emphasis"/>
          <w:rFonts w:ascii="Times New Roman" w:hAnsi="Times New Roman" w:cs="Times New Roman"/>
          <w:color w:val="000000" w:themeColor="text1"/>
          <w:sz w:val="18"/>
          <w:szCs w:val="18"/>
        </w:rPr>
        <w:t>, paras. 18-21, 40-41, 43-44; CEDAW Committee, Concluding Observations: Italy, para. 35, U.N. Doc. CEDAW/C/ITA/CO/7 (2017).; CEDAW Committee, Concluding Observations: Nigeria, para. 34(e), U.N. Doc. CEDAW/C/NGA/CO/7-8 (2017); CEDAW Committee, Concluding Observations: Ireland, para. 39(c) U.N. Doc. CEDAW/C/IRL/CO/6-7 (2017).; CRC Committee, Concluding Observations: Antigua and Barbuda, para. 45(a), U.N. Doc. CRC/C/ATG/ CO/2-4 (2017)</w:t>
      </w:r>
      <w:r w:rsidR="00067049" w:rsidRPr="00AE2761">
        <w:rPr>
          <w:rStyle w:val="Emphasis"/>
          <w:rFonts w:ascii="Times New Roman" w:hAnsi="Times New Roman" w:cs="Times New Roman"/>
          <w:color w:val="000000" w:themeColor="text1"/>
          <w:sz w:val="18"/>
          <w:szCs w:val="18"/>
        </w:rPr>
        <w:t>.</w:t>
      </w:r>
    </w:p>
  </w:endnote>
  <w:endnote w:id="100">
    <w:p w14:paraId="5D4E5936" w14:textId="1E87AF43" w:rsidR="002C41A7" w:rsidRPr="00067049" w:rsidRDefault="002C41A7" w:rsidP="00D73CD6">
      <w:pPr>
        <w:pStyle w:val="Quote"/>
        <w:ind w:left="360"/>
        <w:jc w:val="left"/>
        <w:rPr>
          <w:rStyle w:val="Emphasis"/>
          <w:rFonts w:ascii="Times New Roman" w:hAnsi="Times New Roman" w:cs="Times New Roman"/>
          <w:color w:val="000000" w:themeColor="text1"/>
          <w:sz w:val="18"/>
          <w:szCs w:val="18"/>
        </w:rPr>
      </w:pPr>
      <w:r w:rsidRPr="00AE2761">
        <w:rPr>
          <w:rStyle w:val="Emphasis"/>
          <w:rFonts w:ascii="Times New Roman" w:hAnsi="Times New Roman" w:cs="Times New Roman"/>
          <w:color w:val="000000" w:themeColor="text1"/>
          <w:sz w:val="18"/>
          <w:szCs w:val="18"/>
        </w:rPr>
        <w:endnoteRef/>
      </w:r>
      <w:r w:rsidRPr="00AE2761">
        <w:rPr>
          <w:rStyle w:val="Emphasis"/>
          <w:rFonts w:ascii="Times New Roman" w:hAnsi="Times New Roman" w:cs="Times New Roman"/>
          <w:color w:val="000000" w:themeColor="text1"/>
          <w:sz w:val="18"/>
          <w:szCs w:val="18"/>
        </w:rPr>
        <w:t xml:space="preserve"> CESCR Committee, Gen. Comment No. 22, </w:t>
      </w:r>
      <w:r w:rsidR="00AE2761" w:rsidRPr="00AE2761">
        <w:rPr>
          <w:rStyle w:val="Emphasis"/>
          <w:rFonts w:ascii="Times New Roman" w:hAnsi="Times New Roman" w:cs="Times New Roman"/>
          <w:i/>
          <w:iCs/>
          <w:color w:val="000000" w:themeColor="text1"/>
          <w:sz w:val="18"/>
          <w:szCs w:val="18"/>
        </w:rPr>
        <w:t>supra</w:t>
      </w:r>
      <w:r w:rsidR="00AE2761" w:rsidRPr="00AE2761">
        <w:rPr>
          <w:rStyle w:val="Emphasis"/>
          <w:rFonts w:ascii="Times New Roman" w:hAnsi="Times New Roman" w:cs="Times New Roman"/>
          <w:color w:val="000000" w:themeColor="text1"/>
          <w:sz w:val="18"/>
          <w:szCs w:val="18"/>
        </w:rPr>
        <w:t xml:space="preserve"> note 57</w:t>
      </w:r>
      <w:r w:rsidRPr="00AE2761">
        <w:rPr>
          <w:rStyle w:val="Emphasis"/>
          <w:rFonts w:ascii="Times New Roman" w:hAnsi="Times New Roman" w:cs="Times New Roman"/>
          <w:color w:val="000000" w:themeColor="text1"/>
          <w:sz w:val="18"/>
          <w:szCs w:val="18"/>
        </w:rPr>
        <w:t>, paras</w:t>
      </w:r>
      <w:r w:rsidRPr="00067049">
        <w:rPr>
          <w:rStyle w:val="Emphasis"/>
          <w:rFonts w:ascii="Times New Roman" w:hAnsi="Times New Roman" w:cs="Times New Roman"/>
          <w:color w:val="000000" w:themeColor="text1"/>
          <w:sz w:val="18"/>
          <w:szCs w:val="18"/>
        </w:rPr>
        <w:t xml:space="preserve">. 35, 48.; CEDAW Committee, Concluding Observations: Montenegro, paras. 30-31, U.N. Doc. CEDAW/C/MNE/CO/2 (2017).; CEDAW Committee, Concluding Observations: Portugal, para. 33, U.N. Doc. CEDAW/C/PRT/CO/8-9 (2015).; CEDAW Committee, Concluding Observations: Timor-Leste, para. 27, U.N. Doc. CEDAW/C/TLS/CO/2-3 (2015).; CEDAW Committee, Concluding Observations: Mongolia, para. 25(a), U.N. Doc. CEDAW/C/MNG/CO/8-9 (2016).; See also, CRPD Committee, Concluding Observations: Islamic Republic of Iran, para. 49(b), U.N. Doc. CRPD/C/IRN/CO/1 (2017). </w:t>
      </w:r>
    </w:p>
  </w:endnote>
  <w:endnote w:id="101">
    <w:p w14:paraId="21C16122" w14:textId="4E8214A5"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PH" w:eastAsia="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CRC Committee, Gen. Comment No. 20, </w:t>
      </w:r>
      <w:r w:rsidRPr="00AE2761">
        <w:rPr>
          <w:rStyle w:val="Emphasis"/>
          <w:rFonts w:ascii="Times New Roman" w:hAnsi="Times New Roman" w:cs="Times New Roman"/>
          <w:i/>
          <w:iCs/>
          <w:color w:val="000000" w:themeColor="text1"/>
          <w:sz w:val="18"/>
          <w:szCs w:val="18"/>
        </w:rPr>
        <w:t>supra</w:t>
      </w:r>
      <w:r w:rsidRPr="00AE2761">
        <w:rPr>
          <w:rStyle w:val="Emphasis"/>
          <w:rFonts w:ascii="Times New Roman" w:hAnsi="Times New Roman" w:cs="Times New Roman"/>
          <w:color w:val="000000" w:themeColor="text1"/>
          <w:sz w:val="18"/>
          <w:szCs w:val="18"/>
        </w:rPr>
        <w:t xml:space="preserve"> note </w:t>
      </w:r>
      <w:r w:rsidR="00BE3026" w:rsidRPr="00AE2761">
        <w:rPr>
          <w:rStyle w:val="Emphasis"/>
          <w:rFonts w:ascii="Times New Roman" w:hAnsi="Times New Roman" w:cs="Times New Roman"/>
          <w:color w:val="000000" w:themeColor="text1"/>
          <w:sz w:val="18"/>
          <w:szCs w:val="18"/>
        </w:rPr>
        <w:t>5</w:t>
      </w:r>
      <w:r w:rsidR="00AE2761" w:rsidRPr="00AE2761">
        <w:rPr>
          <w:rStyle w:val="Emphasis"/>
          <w:rFonts w:ascii="Times New Roman" w:hAnsi="Times New Roman" w:cs="Times New Roman"/>
          <w:color w:val="000000" w:themeColor="text1"/>
          <w:sz w:val="18"/>
          <w:szCs w:val="18"/>
        </w:rPr>
        <w:t>6</w:t>
      </w:r>
      <w:r w:rsidRPr="00AE2761">
        <w:rPr>
          <w:rStyle w:val="Emphasis"/>
          <w:rFonts w:ascii="Times New Roman" w:hAnsi="Times New Roman" w:cs="Times New Roman"/>
          <w:color w:val="000000" w:themeColor="text1"/>
          <w:sz w:val="18"/>
          <w:szCs w:val="18"/>
        </w:rPr>
        <w:t>, para. 61</w:t>
      </w:r>
      <w:r w:rsidRPr="00067049">
        <w:rPr>
          <w:rStyle w:val="Emphasis"/>
          <w:rFonts w:ascii="Times New Roman" w:hAnsi="Times New Roman" w:cs="Times New Roman"/>
          <w:color w:val="000000" w:themeColor="text1"/>
          <w:sz w:val="18"/>
          <w:szCs w:val="18"/>
        </w:rPr>
        <w:t xml:space="preserve">. </w:t>
      </w:r>
    </w:p>
  </w:endnote>
  <w:endnote w:id="102">
    <w:p w14:paraId="12B81A24" w14:textId="437503B4" w:rsidR="002C41A7" w:rsidRPr="00067049" w:rsidRDefault="002C41A7" w:rsidP="00D73CD6">
      <w:pPr>
        <w:pStyle w:val="Quote"/>
        <w:ind w:left="360"/>
        <w:jc w:val="left"/>
        <w:rPr>
          <w:rStyle w:val="Emphasis"/>
          <w:rFonts w:ascii="Times New Roman" w:hAnsi="Times New Roman" w:cs="Times New Roman"/>
          <w:color w:val="000000" w:themeColor="text1"/>
          <w:sz w:val="18"/>
          <w:szCs w:val="18"/>
          <w:lang w:val="en-PH" w:eastAsia="en-US"/>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CESCR Committee, Concluding Observations: Denmark, paras. 60, 61, U.N. Doc. E/C.12/DNK/CO/6 (2019); CRC Committee, Gen. Co</w:t>
      </w:r>
      <w:r w:rsidRPr="00AE2761">
        <w:rPr>
          <w:rStyle w:val="Emphasis"/>
          <w:rFonts w:ascii="Times New Roman" w:hAnsi="Times New Roman" w:cs="Times New Roman"/>
          <w:color w:val="000000" w:themeColor="text1"/>
          <w:sz w:val="18"/>
          <w:szCs w:val="18"/>
        </w:rPr>
        <w:t xml:space="preserve">mment No. 15, </w:t>
      </w:r>
      <w:r w:rsidRPr="00AE2761">
        <w:rPr>
          <w:rStyle w:val="Emphasis"/>
          <w:rFonts w:ascii="Times New Roman" w:hAnsi="Times New Roman" w:cs="Times New Roman"/>
          <w:i/>
          <w:iCs/>
          <w:color w:val="000000" w:themeColor="text1"/>
          <w:sz w:val="18"/>
          <w:szCs w:val="18"/>
        </w:rPr>
        <w:t>supra</w:t>
      </w:r>
      <w:r w:rsidRPr="00AE2761">
        <w:rPr>
          <w:rStyle w:val="Emphasis"/>
          <w:rFonts w:ascii="Times New Roman" w:hAnsi="Times New Roman" w:cs="Times New Roman"/>
          <w:color w:val="000000" w:themeColor="text1"/>
          <w:sz w:val="18"/>
          <w:szCs w:val="18"/>
        </w:rPr>
        <w:t xml:space="preserve"> note </w:t>
      </w:r>
      <w:r w:rsidR="00BE3026" w:rsidRPr="00AE2761">
        <w:rPr>
          <w:rStyle w:val="Emphasis"/>
          <w:rFonts w:ascii="Times New Roman" w:hAnsi="Times New Roman" w:cs="Times New Roman"/>
          <w:color w:val="000000" w:themeColor="text1"/>
          <w:sz w:val="18"/>
          <w:szCs w:val="18"/>
        </w:rPr>
        <w:t>5</w:t>
      </w:r>
      <w:r w:rsidR="00AE2761" w:rsidRPr="00AE2761">
        <w:rPr>
          <w:rStyle w:val="Emphasis"/>
          <w:rFonts w:ascii="Times New Roman" w:hAnsi="Times New Roman" w:cs="Times New Roman"/>
          <w:color w:val="000000" w:themeColor="text1"/>
          <w:sz w:val="18"/>
          <w:szCs w:val="18"/>
        </w:rPr>
        <w:t>6</w:t>
      </w:r>
      <w:r w:rsidRPr="00AE2761">
        <w:rPr>
          <w:rStyle w:val="Emphasis"/>
          <w:rFonts w:ascii="Times New Roman" w:hAnsi="Times New Roman" w:cs="Times New Roman"/>
          <w:color w:val="000000" w:themeColor="text1"/>
          <w:sz w:val="18"/>
          <w:szCs w:val="18"/>
        </w:rPr>
        <w:t xml:space="preserve">.; CRC Committee, Gen. Comment No. 20, </w:t>
      </w:r>
      <w:r w:rsidRPr="00AE2761">
        <w:rPr>
          <w:rStyle w:val="Emphasis"/>
          <w:rFonts w:ascii="Times New Roman" w:hAnsi="Times New Roman" w:cs="Times New Roman"/>
          <w:i/>
          <w:iCs/>
          <w:color w:val="000000" w:themeColor="text1"/>
          <w:sz w:val="18"/>
          <w:szCs w:val="18"/>
        </w:rPr>
        <w:t>supra</w:t>
      </w:r>
      <w:r w:rsidRPr="00AE2761">
        <w:rPr>
          <w:rStyle w:val="Emphasis"/>
          <w:rFonts w:ascii="Times New Roman" w:hAnsi="Times New Roman" w:cs="Times New Roman"/>
          <w:color w:val="000000" w:themeColor="text1"/>
          <w:sz w:val="18"/>
          <w:szCs w:val="18"/>
        </w:rPr>
        <w:t xml:space="preserve"> note </w:t>
      </w:r>
      <w:r w:rsidR="00BE3026" w:rsidRPr="00AE2761">
        <w:rPr>
          <w:rStyle w:val="Emphasis"/>
          <w:rFonts w:ascii="Times New Roman" w:hAnsi="Times New Roman" w:cs="Times New Roman"/>
          <w:color w:val="000000" w:themeColor="text1"/>
          <w:sz w:val="18"/>
          <w:szCs w:val="18"/>
        </w:rPr>
        <w:t>5</w:t>
      </w:r>
      <w:r w:rsidR="00AE2761" w:rsidRPr="00AE2761">
        <w:rPr>
          <w:rStyle w:val="Emphasis"/>
          <w:rFonts w:ascii="Times New Roman" w:hAnsi="Times New Roman" w:cs="Times New Roman"/>
          <w:color w:val="000000" w:themeColor="text1"/>
          <w:sz w:val="18"/>
          <w:szCs w:val="18"/>
        </w:rPr>
        <w:t>6</w:t>
      </w:r>
      <w:r w:rsidRPr="00AE2761">
        <w:rPr>
          <w:rStyle w:val="Emphasis"/>
          <w:rFonts w:ascii="Times New Roman" w:hAnsi="Times New Roman" w:cs="Times New Roman"/>
          <w:color w:val="000000" w:themeColor="text1"/>
          <w:sz w:val="18"/>
          <w:szCs w:val="18"/>
        </w:rPr>
        <w:t>, para.17.; CESCR Committee</w:t>
      </w:r>
      <w:r w:rsidRPr="00067049">
        <w:rPr>
          <w:rStyle w:val="Emphasis"/>
          <w:rFonts w:ascii="Times New Roman" w:hAnsi="Times New Roman" w:cs="Times New Roman"/>
          <w:color w:val="000000" w:themeColor="text1"/>
          <w:sz w:val="18"/>
          <w:szCs w:val="18"/>
        </w:rPr>
        <w:t xml:space="preserve">, Gen. </w:t>
      </w:r>
      <w:r w:rsidRPr="00AE2761">
        <w:rPr>
          <w:rStyle w:val="Emphasis"/>
          <w:rFonts w:ascii="Times New Roman" w:hAnsi="Times New Roman" w:cs="Times New Roman"/>
          <w:color w:val="000000" w:themeColor="text1"/>
          <w:sz w:val="18"/>
          <w:szCs w:val="18"/>
        </w:rPr>
        <w:t xml:space="preserve">Comment No. 22, </w:t>
      </w:r>
      <w:r w:rsidR="00AE2761" w:rsidRPr="00AE2761">
        <w:rPr>
          <w:rStyle w:val="Emphasis"/>
          <w:rFonts w:ascii="Times New Roman" w:hAnsi="Times New Roman" w:cs="Times New Roman"/>
          <w:i/>
          <w:iCs/>
          <w:color w:val="000000" w:themeColor="text1"/>
          <w:sz w:val="18"/>
          <w:szCs w:val="18"/>
        </w:rPr>
        <w:t>supra</w:t>
      </w:r>
      <w:r w:rsidR="00AE2761" w:rsidRPr="00AE2761">
        <w:rPr>
          <w:rStyle w:val="Emphasis"/>
          <w:rFonts w:ascii="Times New Roman" w:hAnsi="Times New Roman" w:cs="Times New Roman"/>
          <w:color w:val="000000" w:themeColor="text1"/>
          <w:sz w:val="18"/>
          <w:szCs w:val="18"/>
        </w:rPr>
        <w:t xml:space="preserve"> note 57</w:t>
      </w:r>
      <w:r w:rsidRPr="00AE2761">
        <w:rPr>
          <w:rStyle w:val="Emphasis"/>
          <w:rFonts w:ascii="Times New Roman" w:hAnsi="Times New Roman" w:cs="Times New Roman"/>
          <w:color w:val="000000" w:themeColor="text1"/>
          <w:sz w:val="18"/>
          <w:szCs w:val="18"/>
        </w:rPr>
        <w:t>.</w:t>
      </w:r>
      <w:r w:rsidRPr="00067049">
        <w:rPr>
          <w:rStyle w:val="Emphasis"/>
          <w:rFonts w:ascii="Times New Roman" w:hAnsi="Times New Roman" w:cs="Times New Roman"/>
          <w:color w:val="000000" w:themeColor="text1"/>
          <w:sz w:val="18"/>
          <w:szCs w:val="18"/>
        </w:rPr>
        <w:t xml:space="preserve"> </w:t>
      </w:r>
    </w:p>
  </w:endnote>
  <w:endnote w:id="103">
    <w:p w14:paraId="3BCF80D0" w14:textId="1A619D2D" w:rsidR="002C41A7" w:rsidRPr="00067049" w:rsidRDefault="002C41A7" w:rsidP="00D73CD6">
      <w:pPr>
        <w:pStyle w:val="Quote"/>
        <w:ind w:left="360"/>
        <w:jc w:val="left"/>
        <w:rPr>
          <w:rFonts w:ascii="Times New Roman" w:hAnsi="Times New Roman" w:cs="Times New Roman"/>
          <w:i w:val="0"/>
          <w:iCs w:val="0"/>
          <w:color w:val="000000" w:themeColor="text1"/>
          <w:sz w:val="18"/>
          <w:szCs w:val="18"/>
          <w:lang w:val="en-PH"/>
        </w:rPr>
      </w:pPr>
      <w:r w:rsidRPr="00067049">
        <w:rPr>
          <w:rStyle w:val="Emphasis"/>
          <w:rFonts w:ascii="Times New Roman" w:hAnsi="Times New Roman" w:cs="Times New Roman"/>
          <w:color w:val="000000" w:themeColor="text1"/>
          <w:sz w:val="18"/>
          <w:szCs w:val="18"/>
        </w:rPr>
        <w:endnoteRef/>
      </w:r>
      <w:r w:rsidRPr="00067049">
        <w:rPr>
          <w:rStyle w:val="Emphasis"/>
          <w:rFonts w:ascii="Times New Roman" w:hAnsi="Times New Roman" w:cs="Times New Roman"/>
          <w:color w:val="000000" w:themeColor="text1"/>
          <w:sz w:val="18"/>
          <w:szCs w:val="18"/>
        </w:rPr>
        <w:t xml:space="preserve"> See </w:t>
      </w:r>
      <w:r w:rsidR="00BE0ADC" w:rsidRPr="00067049">
        <w:rPr>
          <w:rStyle w:val="Emphasis"/>
          <w:rFonts w:ascii="Times New Roman" w:hAnsi="Times New Roman" w:cs="Times New Roman"/>
          <w:color w:val="000000" w:themeColor="text1"/>
          <w:sz w:val="18"/>
          <w:szCs w:val="18"/>
        </w:rPr>
        <w:t>e.g.,</w:t>
      </w:r>
      <w:r w:rsidRPr="00067049">
        <w:rPr>
          <w:rStyle w:val="Emphasis"/>
          <w:rFonts w:ascii="Times New Roman" w:hAnsi="Times New Roman" w:cs="Times New Roman"/>
          <w:color w:val="000000" w:themeColor="text1"/>
          <w:sz w:val="18"/>
          <w:szCs w:val="18"/>
        </w:rPr>
        <w:t xml:space="preserve"> Human Rights Committee Concluding Observations: Philippines, 2022, para. 22(d); Committee on the Rights of the Child, Concluding Observations: Philippines, 2022, para. 32(e); ESCR Committee, Concluding Observations: Philippines, 2016, para. 52; </w:t>
      </w:r>
      <w:r w:rsidR="005B582D" w:rsidRPr="00067049">
        <w:rPr>
          <w:rStyle w:val="Emphasis"/>
          <w:rFonts w:ascii="Times New Roman" w:hAnsi="Times New Roman" w:cs="Times New Roman"/>
          <w:color w:val="000000" w:themeColor="text1"/>
          <w:sz w:val="18"/>
          <w:szCs w:val="18"/>
        </w:rPr>
        <w:t>Committee on the Elimination of Discrimination against Women, Philippines Inquiry Summary (Article 8 of Optional Protocol to Convention on the Elimination of All Forms of Discrimination against Women), paras. 52 (viii), U.N. Doc. CEDAW/C/OP.8/PHL/1 (2014);</w:t>
      </w:r>
      <w:r w:rsidRPr="00067049">
        <w:rPr>
          <w:rStyle w:val="Emphasis"/>
          <w:rFonts w:ascii="Times New Roman" w:hAnsi="Times New Roman" w:cs="Times New Roman"/>
          <w:color w:val="000000" w:themeColor="text1"/>
          <w:sz w:val="18"/>
          <w:szCs w:val="18"/>
        </w:rPr>
        <w:t xml:space="preserve"> CEDAW Committee, Concluding Observations: Philippines</w:t>
      </w:r>
      <w:r w:rsidRPr="00067049">
        <w:rPr>
          <w:rFonts w:ascii="Times New Roman" w:hAnsi="Times New Roman" w:cs="Times New Roman"/>
          <w:i w:val="0"/>
          <w:iCs w:val="0"/>
          <w:color w:val="000000" w:themeColor="text1"/>
          <w:sz w:val="18"/>
          <w:szCs w:val="18"/>
        </w:rPr>
        <w:t>, 2006, para. 28.</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auto"/>
    <w:pitch w:val="variable"/>
    <w:sig w:usb0="E50002FF" w:usb1="500079DB" w:usb2="00000010" w:usb3="00000000" w:csb0="00000001" w:csb1="00000000"/>
  </w:font>
  <w:font w:name="TimesNewRomanPSMT">
    <w:altName w:val="Yu Gothic"/>
    <w:panose1 w:val="00000000000000000000"/>
    <w:charset w:val="80"/>
    <w:family w:val="auto"/>
    <w:notTrueType/>
    <w:pitch w:val="default"/>
    <w:sig w:usb0="00000001" w:usb1="08070000" w:usb2="00000010" w:usb3="00000000" w:csb0="00020000" w:csb1="00000000"/>
  </w:font>
  <w:font w:name="Constantia">
    <w:panose1 w:val="02030602050306030303"/>
    <w:charset w:val="00"/>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E0C62" w14:textId="77777777" w:rsidR="00131CB6" w:rsidRDefault="00131CB6" w:rsidP="004C33FD">
      <w:r>
        <w:separator/>
      </w:r>
    </w:p>
  </w:footnote>
  <w:footnote w:type="continuationSeparator" w:id="0">
    <w:p w14:paraId="7798AA2A" w14:textId="77777777" w:rsidR="00131CB6" w:rsidRDefault="00131CB6" w:rsidP="004C33FD">
      <w:r>
        <w:continuationSeparator/>
      </w:r>
    </w:p>
  </w:footnote>
  <w:footnote w:type="continuationNotice" w:id="1">
    <w:p w14:paraId="3C8EC87C" w14:textId="77777777" w:rsidR="00131CB6" w:rsidRDefault="00131C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C35AB" w14:textId="77777777" w:rsidR="008275A6" w:rsidRPr="00D92EDB" w:rsidRDefault="008275A6">
    <w:pPr>
      <w:pBdr>
        <w:top w:val="nil"/>
        <w:left w:val="nil"/>
        <w:bottom w:val="nil"/>
        <w:right w:val="nil"/>
        <w:between w:val="nil"/>
      </w:pBdr>
      <w:tabs>
        <w:tab w:val="center" w:pos="4680"/>
        <w:tab w:val="right" w:pos="9360"/>
      </w:tabs>
      <w:ind w:left="0" w:firstLine="0"/>
      <w:jc w:val="right"/>
      <w:rPr>
        <w:rFonts w:ascii="Times New Roman" w:eastAsia="Constantia" w:hAnsi="Times New Roman" w:cs="Times New Roman"/>
        <w:color w:val="000000"/>
        <w:sz w:val="20"/>
        <w:szCs w:val="20"/>
      </w:rPr>
    </w:pPr>
    <w:r w:rsidRPr="00D92EDB">
      <w:rPr>
        <w:rFonts w:ascii="Times New Roman" w:eastAsia="Constantia" w:hAnsi="Times New Roman" w:cs="Times New Roman"/>
        <w:color w:val="000000"/>
        <w:sz w:val="20"/>
        <w:szCs w:val="20"/>
      </w:rPr>
      <w:t xml:space="preserve">Page </w:t>
    </w:r>
    <w:r w:rsidRPr="00D92EDB">
      <w:rPr>
        <w:rFonts w:ascii="Times New Roman" w:eastAsia="Constantia" w:hAnsi="Times New Roman" w:cs="Times New Roman"/>
        <w:b/>
        <w:color w:val="000000"/>
        <w:sz w:val="20"/>
        <w:szCs w:val="20"/>
      </w:rPr>
      <w:fldChar w:fldCharType="begin"/>
    </w:r>
    <w:r w:rsidRPr="00D92EDB">
      <w:rPr>
        <w:rFonts w:ascii="Times New Roman" w:eastAsia="Constantia" w:hAnsi="Times New Roman" w:cs="Times New Roman"/>
        <w:b/>
        <w:color w:val="000000"/>
        <w:sz w:val="20"/>
        <w:szCs w:val="20"/>
      </w:rPr>
      <w:instrText>PAGE</w:instrText>
    </w:r>
    <w:r w:rsidRPr="00D92EDB">
      <w:rPr>
        <w:rFonts w:ascii="Times New Roman" w:eastAsia="Constantia" w:hAnsi="Times New Roman" w:cs="Times New Roman"/>
        <w:b/>
        <w:color w:val="000000"/>
        <w:sz w:val="20"/>
        <w:szCs w:val="20"/>
      </w:rPr>
      <w:fldChar w:fldCharType="separate"/>
    </w:r>
    <w:r w:rsidRPr="00D92EDB">
      <w:rPr>
        <w:rFonts w:ascii="Times New Roman" w:eastAsia="Constantia" w:hAnsi="Times New Roman" w:cs="Times New Roman"/>
        <w:b/>
        <w:noProof/>
        <w:color w:val="000000"/>
        <w:sz w:val="20"/>
        <w:szCs w:val="20"/>
      </w:rPr>
      <w:t>2</w:t>
    </w:r>
    <w:r w:rsidRPr="00D92EDB">
      <w:rPr>
        <w:rFonts w:ascii="Times New Roman" w:eastAsia="Constantia" w:hAnsi="Times New Roman" w:cs="Times New Roman"/>
        <w:b/>
        <w:color w:val="000000"/>
        <w:sz w:val="20"/>
        <w:szCs w:val="20"/>
      </w:rPr>
      <w:fldChar w:fldCharType="end"/>
    </w:r>
    <w:r w:rsidRPr="00D92EDB">
      <w:rPr>
        <w:rFonts w:ascii="Times New Roman" w:eastAsia="Constantia" w:hAnsi="Times New Roman" w:cs="Times New Roman"/>
        <w:color w:val="000000"/>
        <w:sz w:val="20"/>
        <w:szCs w:val="20"/>
      </w:rPr>
      <w:t xml:space="preserve"> of </w:t>
    </w:r>
    <w:r w:rsidRPr="00D92EDB">
      <w:rPr>
        <w:rFonts w:ascii="Times New Roman" w:eastAsia="Constantia" w:hAnsi="Times New Roman" w:cs="Times New Roman"/>
        <w:b/>
        <w:color w:val="000000"/>
        <w:sz w:val="20"/>
        <w:szCs w:val="20"/>
      </w:rPr>
      <w:fldChar w:fldCharType="begin"/>
    </w:r>
    <w:r w:rsidRPr="00D92EDB">
      <w:rPr>
        <w:rFonts w:ascii="Times New Roman" w:eastAsia="Constantia" w:hAnsi="Times New Roman" w:cs="Times New Roman"/>
        <w:b/>
        <w:color w:val="000000"/>
        <w:sz w:val="20"/>
        <w:szCs w:val="20"/>
      </w:rPr>
      <w:instrText>NUMPAGES</w:instrText>
    </w:r>
    <w:r w:rsidRPr="00D92EDB">
      <w:rPr>
        <w:rFonts w:ascii="Times New Roman" w:eastAsia="Constantia" w:hAnsi="Times New Roman" w:cs="Times New Roman"/>
        <w:b/>
        <w:color w:val="000000"/>
        <w:sz w:val="20"/>
        <w:szCs w:val="20"/>
      </w:rPr>
      <w:fldChar w:fldCharType="separate"/>
    </w:r>
    <w:r w:rsidRPr="00D92EDB">
      <w:rPr>
        <w:rFonts w:ascii="Times New Roman" w:eastAsia="Constantia" w:hAnsi="Times New Roman" w:cs="Times New Roman"/>
        <w:b/>
        <w:noProof/>
        <w:color w:val="000000"/>
        <w:sz w:val="20"/>
        <w:szCs w:val="20"/>
      </w:rPr>
      <w:t>3</w:t>
    </w:r>
    <w:r w:rsidRPr="00D92EDB">
      <w:rPr>
        <w:rFonts w:ascii="Times New Roman" w:eastAsia="Constantia" w:hAnsi="Times New Roman" w:cs="Times New Roman"/>
        <w:b/>
        <w:color w:val="000000"/>
        <w:sz w:val="20"/>
        <w:szCs w:val="20"/>
      </w:rPr>
      <w:fldChar w:fldCharType="end"/>
    </w:r>
  </w:p>
  <w:p w14:paraId="6733C17A" w14:textId="77777777" w:rsidR="008275A6" w:rsidRPr="00D92EDB" w:rsidRDefault="008275A6">
    <w:pPr>
      <w:pBdr>
        <w:top w:val="nil"/>
        <w:left w:val="nil"/>
        <w:bottom w:val="nil"/>
        <w:right w:val="nil"/>
        <w:between w:val="nil"/>
      </w:pBdr>
      <w:tabs>
        <w:tab w:val="center" w:pos="4680"/>
        <w:tab w:val="right" w:pos="9360"/>
      </w:tabs>
      <w:ind w:left="0" w:firstLine="0"/>
      <w:jc w:val="left"/>
      <w:rPr>
        <w:rFonts w:ascii="Times New Roman" w:eastAsia="Constantia" w:hAnsi="Times New Roman" w:cs="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D2D10"/>
    <w:multiLevelType w:val="hybridMultilevel"/>
    <w:tmpl w:val="D5526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E366E"/>
    <w:multiLevelType w:val="hybridMultilevel"/>
    <w:tmpl w:val="FFFFFFFF"/>
    <w:lvl w:ilvl="0" w:tplc="8884D76A">
      <w:start w:val="1"/>
      <w:numFmt w:val="decimal"/>
      <w:lvlText w:val="%1."/>
      <w:lvlJc w:val="left"/>
      <w:pPr>
        <w:ind w:left="720" w:hanging="360"/>
      </w:pPr>
    </w:lvl>
    <w:lvl w:ilvl="1" w:tplc="83E69A2A">
      <w:start w:val="1"/>
      <w:numFmt w:val="decimal"/>
      <w:lvlText w:val="%2."/>
      <w:lvlJc w:val="left"/>
      <w:pPr>
        <w:ind w:left="1440" w:hanging="360"/>
      </w:pPr>
    </w:lvl>
    <w:lvl w:ilvl="2" w:tplc="ADBC9DA8">
      <w:start w:val="1"/>
      <w:numFmt w:val="lowerRoman"/>
      <w:lvlText w:val="%3."/>
      <w:lvlJc w:val="right"/>
      <w:pPr>
        <w:ind w:left="2160" w:hanging="180"/>
      </w:pPr>
    </w:lvl>
    <w:lvl w:ilvl="3" w:tplc="D6CCDC26">
      <w:start w:val="1"/>
      <w:numFmt w:val="decimal"/>
      <w:lvlText w:val="%4."/>
      <w:lvlJc w:val="left"/>
      <w:pPr>
        <w:ind w:left="2880" w:hanging="360"/>
      </w:pPr>
    </w:lvl>
    <w:lvl w:ilvl="4" w:tplc="23BC35B2">
      <w:start w:val="1"/>
      <w:numFmt w:val="lowerLetter"/>
      <w:lvlText w:val="%5."/>
      <w:lvlJc w:val="left"/>
      <w:pPr>
        <w:ind w:left="3600" w:hanging="360"/>
      </w:pPr>
    </w:lvl>
    <w:lvl w:ilvl="5" w:tplc="5DCAA490">
      <w:start w:val="1"/>
      <w:numFmt w:val="lowerRoman"/>
      <w:lvlText w:val="%6."/>
      <w:lvlJc w:val="right"/>
      <w:pPr>
        <w:ind w:left="4320" w:hanging="180"/>
      </w:pPr>
    </w:lvl>
    <w:lvl w:ilvl="6" w:tplc="D9DC8CC2">
      <w:start w:val="1"/>
      <w:numFmt w:val="decimal"/>
      <w:lvlText w:val="%7."/>
      <w:lvlJc w:val="left"/>
      <w:pPr>
        <w:ind w:left="5040" w:hanging="360"/>
      </w:pPr>
    </w:lvl>
    <w:lvl w:ilvl="7" w:tplc="6C7E896A">
      <w:start w:val="1"/>
      <w:numFmt w:val="lowerLetter"/>
      <w:lvlText w:val="%8."/>
      <w:lvlJc w:val="left"/>
      <w:pPr>
        <w:ind w:left="5760" w:hanging="360"/>
      </w:pPr>
    </w:lvl>
    <w:lvl w:ilvl="8" w:tplc="33A6C816">
      <w:start w:val="1"/>
      <w:numFmt w:val="lowerRoman"/>
      <w:lvlText w:val="%9."/>
      <w:lvlJc w:val="right"/>
      <w:pPr>
        <w:ind w:left="6480" w:hanging="180"/>
      </w:pPr>
    </w:lvl>
  </w:abstractNum>
  <w:abstractNum w:abstractNumId="2" w15:restartNumberingAfterBreak="0">
    <w:nsid w:val="04CC864F"/>
    <w:multiLevelType w:val="hybridMultilevel"/>
    <w:tmpl w:val="FFFFFFFF"/>
    <w:lvl w:ilvl="0" w:tplc="3A9263EA">
      <w:start w:val="1"/>
      <w:numFmt w:val="decimal"/>
      <w:lvlText w:val="%1."/>
      <w:lvlJc w:val="left"/>
      <w:pPr>
        <w:ind w:left="720" w:hanging="360"/>
      </w:pPr>
    </w:lvl>
    <w:lvl w:ilvl="1" w:tplc="A16EA918">
      <w:start w:val="1"/>
      <w:numFmt w:val="decimal"/>
      <w:lvlText w:val="%2."/>
      <w:lvlJc w:val="left"/>
      <w:pPr>
        <w:ind w:left="1440" w:hanging="360"/>
      </w:pPr>
    </w:lvl>
    <w:lvl w:ilvl="2" w:tplc="96B89110">
      <w:start w:val="1"/>
      <w:numFmt w:val="lowerRoman"/>
      <w:lvlText w:val="%3."/>
      <w:lvlJc w:val="right"/>
      <w:pPr>
        <w:ind w:left="2160" w:hanging="180"/>
      </w:pPr>
    </w:lvl>
    <w:lvl w:ilvl="3" w:tplc="AE3CC542">
      <w:start w:val="1"/>
      <w:numFmt w:val="decimal"/>
      <w:lvlText w:val="%4."/>
      <w:lvlJc w:val="left"/>
      <w:pPr>
        <w:ind w:left="2880" w:hanging="360"/>
      </w:pPr>
    </w:lvl>
    <w:lvl w:ilvl="4" w:tplc="27B018EA">
      <w:start w:val="1"/>
      <w:numFmt w:val="lowerLetter"/>
      <w:lvlText w:val="%5."/>
      <w:lvlJc w:val="left"/>
      <w:pPr>
        <w:ind w:left="3600" w:hanging="360"/>
      </w:pPr>
    </w:lvl>
    <w:lvl w:ilvl="5" w:tplc="131C9F40">
      <w:start w:val="1"/>
      <w:numFmt w:val="lowerRoman"/>
      <w:lvlText w:val="%6."/>
      <w:lvlJc w:val="right"/>
      <w:pPr>
        <w:ind w:left="4320" w:hanging="180"/>
      </w:pPr>
    </w:lvl>
    <w:lvl w:ilvl="6" w:tplc="F1722844">
      <w:start w:val="1"/>
      <w:numFmt w:val="decimal"/>
      <w:lvlText w:val="%7."/>
      <w:lvlJc w:val="left"/>
      <w:pPr>
        <w:ind w:left="5040" w:hanging="360"/>
      </w:pPr>
    </w:lvl>
    <w:lvl w:ilvl="7" w:tplc="33C68D8E">
      <w:start w:val="1"/>
      <w:numFmt w:val="lowerLetter"/>
      <w:lvlText w:val="%8."/>
      <w:lvlJc w:val="left"/>
      <w:pPr>
        <w:ind w:left="5760" w:hanging="360"/>
      </w:pPr>
    </w:lvl>
    <w:lvl w:ilvl="8" w:tplc="1318E638">
      <w:start w:val="1"/>
      <w:numFmt w:val="lowerRoman"/>
      <w:lvlText w:val="%9."/>
      <w:lvlJc w:val="right"/>
      <w:pPr>
        <w:ind w:left="6480" w:hanging="180"/>
      </w:pPr>
    </w:lvl>
  </w:abstractNum>
  <w:abstractNum w:abstractNumId="3" w15:restartNumberingAfterBreak="0">
    <w:nsid w:val="05733946"/>
    <w:multiLevelType w:val="hybridMultilevel"/>
    <w:tmpl w:val="C2769AC6"/>
    <w:lvl w:ilvl="0" w:tplc="3BE89648">
      <w:start w:val="10"/>
      <w:numFmt w:val="lowerRoman"/>
      <w:lvlText w:val="%1."/>
      <w:lvlJc w:val="left"/>
      <w:pPr>
        <w:ind w:left="1800" w:hanging="72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0BFA215A"/>
    <w:multiLevelType w:val="hybridMultilevel"/>
    <w:tmpl w:val="0742B2C8"/>
    <w:lvl w:ilvl="0" w:tplc="34090017">
      <w:start w:val="1"/>
      <w:numFmt w:val="lowerLetter"/>
      <w:lvlText w:val="%1)"/>
      <w:lvlJc w:val="left"/>
      <w:pPr>
        <w:ind w:left="720" w:hanging="360"/>
      </w:pPr>
      <w:rPr>
        <w:rFonts w:hint="default"/>
        <w:b w:val="0"/>
        <w:bCs w:val="0"/>
        <w:color w:val="auto"/>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97F5B23"/>
    <w:multiLevelType w:val="multilevel"/>
    <w:tmpl w:val="1A6E5376"/>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3C6DBE"/>
    <w:multiLevelType w:val="multilevel"/>
    <w:tmpl w:val="AF0A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255D37"/>
    <w:multiLevelType w:val="hybridMultilevel"/>
    <w:tmpl w:val="AEBCECA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 w15:restartNumberingAfterBreak="0">
    <w:nsid w:val="2A2F78FA"/>
    <w:multiLevelType w:val="hybridMultilevel"/>
    <w:tmpl w:val="B13C0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DF6228"/>
    <w:multiLevelType w:val="multilevel"/>
    <w:tmpl w:val="06E6E5B2"/>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EFC2ED8"/>
    <w:multiLevelType w:val="multilevel"/>
    <w:tmpl w:val="BF0E0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B55F98"/>
    <w:multiLevelType w:val="multilevel"/>
    <w:tmpl w:val="1DBAEFE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8354A0"/>
    <w:multiLevelType w:val="multilevel"/>
    <w:tmpl w:val="70AC0690"/>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E10833"/>
    <w:multiLevelType w:val="multilevel"/>
    <w:tmpl w:val="6B342EF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386B1810"/>
    <w:multiLevelType w:val="multilevel"/>
    <w:tmpl w:val="18DAA0BE"/>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EA5750D"/>
    <w:multiLevelType w:val="hybridMultilevel"/>
    <w:tmpl w:val="78142A4E"/>
    <w:lvl w:ilvl="0" w:tplc="1E1A219A">
      <w:start w:val="1"/>
      <w:numFmt w:val="lowerLetter"/>
      <w:lvlText w:val="%1)"/>
      <w:lvlJc w:val="left"/>
      <w:pPr>
        <w:ind w:left="720" w:hanging="360"/>
      </w:pPr>
      <w:rPr>
        <w:i w:val="0"/>
        <w:iCs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430A0DD7"/>
    <w:multiLevelType w:val="multilevel"/>
    <w:tmpl w:val="373A303C"/>
    <w:lvl w:ilvl="0">
      <w:start w:val="1"/>
      <w:numFmt w:val="decimal"/>
      <w:lvlText w:val="%1."/>
      <w:lvlJc w:val="left"/>
      <w:pPr>
        <w:ind w:left="360" w:hanging="360"/>
      </w:pPr>
      <w:rPr>
        <w:b w:val="0"/>
        <w:i w:val="0"/>
        <w:iCs/>
        <w:color w:val="000000" w:themeColor="text1"/>
      </w:rPr>
    </w:lvl>
    <w:lvl w:ilvl="1">
      <w:start w:val="1"/>
      <w:numFmt w:val="decimal"/>
      <w:lvlText w:val="%2."/>
      <w:lvlJc w:val="left"/>
      <w:pPr>
        <w:ind w:left="360" w:hanging="360"/>
      </w:pPr>
    </w:lvl>
    <w:lvl w:ilvl="2">
      <w:start w:val="1"/>
      <w:numFmt w:val="lowerRoman"/>
      <w:lvlText w:val="%3."/>
      <w:lvlJc w:val="righ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abstractNum w:abstractNumId="17" w15:restartNumberingAfterBreak="0">
    <w:nsid w:val="4B595239"/>
    <w:multiLevelType w:val="multilevel"/>
    <w:tmpl w:val="22A2140C"/>
    <w:lvl w:ilvl="0">
      <w:start w:val="1"/>
      <w:numFmt w:val="upperLetter"/>
      <w:lvlText w:val="%1."/>
      <w:lvlJc w:val="left"/>
      <w:pPr>
        <w:ind w:left="720" w:hanging="360"/>
      </w:pPr>
      <w:rPr>
        <w:color w:val="auto"/>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8" w15:restartNumberingAfterBreak="0">
    <w:nsid w:val="4CE53E8B"/>
    <w:multiLevelType w:val="multilevel"/>
    <w:tmpl w:val="2BF85302"/>
    <w:lvl w:ilvl="0">
      <w:start w:val="10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94347E"/>
    <w:multiLevelType w:val="multilevel"/>
    <w:tmpl w:val="09FA394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9FBD9D"/>
    <w:multiLevelType w:val="hybridMultilevel"/>
    <w:tmpl w:val="FFFFFFFF"/>
    <w:lvl w:ilvl="0" w:tplc="7DB4F3AA">
      <w:start w:val="1"/>
      <w:numFmt w:val="decimal"/>
      <w:lvlText w:val="%1."/>
      <w:lvlJc w:val="left"/>
      <w:pPr>
        <w:ind w:left="720" w:hanging="360"/>
      </w:pPr>
    </w:lvl>
    <w:lvl w:ilvl="1" w:tplc="50F6811A">
      <w:start w:val="1"/>
      <w:numFmt w:val="decimal"/>
      <w:lvlText w:val="%2."/>
      <w:lvlJc w:val="left"/>
      <w:pPr>
        <w:ind w:left="1440" w:hanging="360"/>
      </w:pPr>
    </w:lvl>
    <w:lvl w:ilvl="2" w:tplc="56C2CEA8">
      <w:start w:val="1"/>
      <w:numFmt w:val="lowerRoman"/>
      <w:lvlText w:val="%3."/>
      <w:lvlJc w:val="right"/>
      <w:pPr>
        <w:ind w:left="2160" w:hanging="180"/>
      </w:pPr>
    </w:lvl>
    <w:lvl w:ilvl="3" w:tplc="9FD67F6C">
      <w:start w:val="1"/>
      <w:numFmt w:val="decimal"/>
      <w:lvlText w:val="%4."/>
      <w:lvlJc w:val="left"/>
      <w:pPr>
        <w:ind w:left="2880" w:hanging="360"/>
      </w:pPr>
    </w:lvl>
    <w:lvl w:ilvl="4" w:tplc="CFBE64E0">
      <w:start w:val="1"/>
      <w:numFmt w:val="lowerLetter"/>
      <w:lvlText w:val="%5."/>
      <w:lvlJc w:val="left"/>
      <w:pPr>
        <w:ind w:left="3600" w:hanging="360"/>
      </w:pPr>
    </w:lvl>
    <w:lvl w:ilvl="5" w:tplc="5120B3A4">
      <w:start w:val="1"/>
      <w:numFmt w:val="lowerRoman"/>
      <w:lvlText w:val="%6."/>
      <w:lvlJc w:val="right"/>
      <w:pPr>
        <w:ind w:left="4320" w:hanging="180"/>
      </w:pPr>
    </w:lvl>
    <w:lvl w:ilvl="6" w:tplc="1F86A770">
      <w:start w:val="1"/>
      <w:numFmt w:val="decimal"/>
      <w:lvlText w:val="%7."/>
      <w:lvlJc w:val="left"/>
      <w:pPr>
        <w:ind w:left="5040" w:hanging="360"/>
      </w:pPr>
    </w:lvl>
    <w:lvl w:ilvl="7" w:tplc="166A29D6">
      <w:start w:val="1"/>
      <w:numFmt w:val="lowerLetter"/>
      <w:lvlText w:val="%8."/>
      <w:lvlJc w:val="left"/>
      <w:pPr>
        <w:ind w:left="5760" w:hanging="360"/>
      </w:pPr>
    </w:lvl>
    <w:lvl w:ilvl="8" w:tplc="6B7A8608">
      <w:start w:val="1"/>
      <w:numFmt w:val="lowerRoman"/>
      <w:lvlText w:val="%9."/>
      <w:lvlJc w:val="right"/>
      <w:pPr>
        <w:ind w:left="6480" w:hanging="180"/>
      </w:pPr>
    </w:lvl>
  </w:abstractNum>
  <w:abstractNum w:abstractNumId="21" w15:restartNumberingAfterBreak="0">
    <w:nsid w:val="578A0D40"/>
    <w:multiLevelType w:val="multilevel"/>
    <w:tmpl w:val="F8D22C5E"/>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A23BF0"/>
    <w:multiLevelType w:val="multilevel"/>
    <w:tmpl w:val="38A2F50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8C5DB3"/>
    <w:multiLevelType w:val="hybridMultilevel"/>
    <w:tmpl w:val="A78E8C5E"/>
    <w:lvl w:ilvl="0" w:tplc="04090015">
      <w:start w:val="1"/>
      <w:numFmt w:val="upperLetter"/>
      <w:lvlText w:val="%1."/>
      <w:lvlJc w:val="left"/>
      <w:pPr>
        <w:ind w:left="360" w:hanging="360"/>
      </w:pPr>
      <w:rPr>
        <w:rFonts w:hint="default"/>
      </w:rPr>
    </w:lvl>
    <w:lvl w:ilvl="1" w:tplc="FFFFFFFF" w:tentative="1">
      <w:start w:val="1"/>
      <w:numFmt w:val="bullet"/>
      <w:lvlText w:val="o"/>
      <w:lvlJc w:val="left"/>
      <w:pPr>
        <w:tabs>
          <w:tab w:val="num" w:pos="1610"/>
        </w:tabs>
        <w:ind w:left="1610" w:hanging="360"/>
      </w:pPr>
      <w:rPr>
        <w:rFonts w:ascii="Courier New" w:hAnsi="Courier New" w:hint="default"/>
      </w:rPr>
    </w:lvl>
    <w:lvl w:ilvl="2" w:tplc="FFFFFFFF" w:tentative="1">
      <w:start w:val="1"/>
      <w:numFmt w:val="bullet"/>
      <w:lvlText w:val=""/>
      <w:lvlJc w:val="left"/>
      <w:pPr>
        <w:tabs>
          <w:tab w:val="num" w:pos="2330"/>
        </w:tabs>
        <w:ind w:left="2330" w:hanging="360"/>
      </w:pPr>
      <w:rPr>
        <w:rFonts w:ascii="Wingdings" w:hAnsi="Wingdings" w:hint="default"/>
      </w:rPr>
    </w:lvl>
    <w:lvl w:ilvl="3" w:tplc="FFFFFFFF" w:tentative="1">
      <w:start w:val="1"/>
      <w:numFmt w:val="bullet"/>
      <w:lvlText w:val=""/>
      <w:lvlJc w:val="left"/>
      <w:pPr>
        <w:tabs>
          <w:tab w:val="num" w:pos="3050"/>
        </w:tabs>
        <w:ind w:left="3050" w:hanging="360"/>
      </w:pPr>
      <w:rPr>
        <w:rFonts w:ascii="Symbol" w:hAnsi="Symbol" w:hint="default"/>
      </w:rPr>
    </w:lvl>
    <w:lvl w:ilvl="4" w:tplc="FFFFFFFF" w:tentative="1">
      <w:start w:val="1"/>
      <w:numFmt w:val="bullet"/>
      <w:lvlText w:val="o"/>
      <w:lvlJc w:val="left"/>
      <w:pPr>
        <w:tabs>
          <w:tab w:val="num" w:pos="3770"/>
        </w:tabs>
        <w:ind w:left="3770" w:hanging="360"/>
      </w:pPr>
      <w:rPr>
        <w:rFonts w:ascii="Courier New" w:hAnsi="Courier New" w:hint="default"/>
      </w:rPr>
    </w:lvl>
    <w:lvl w:ilvl="5" w:tplc="FFFFFFFF" w:tentative="1">
      <w:start w:val="1"/>
      <w:numFmt w:val="bullet"/>
      <w:lvlText w:val=""/>
      <w:lvlJc w:val="left"/>
      <w:pPr>
        <w:tabs>
          <w:tab w:val="num" w:pos="4490"/>
        </w:tabs>
        <w:ind w:left="4490" w:hanging="360"/>
      </w:pPr>
      <w:rPr>
        <w:rFonts w:ascii="Wingdings" w:hAnsi="Wingdings" w:hint="default"/>
      </w:rPr>
    </w:lvl>
    <w:lvl w:ilvl="6" w:tplc="FFFFFFFF" w:tentative="1">
      <w:start w:val="1"/>
      <w:numFmt w:val="bullet"/>
      <w:lvlText w:val=""/>
      <w:lvlJc w:val="left"/>
      <w:pPr>
        <w:tabs>
          <w:tab w:val="num" w:pos="5210"/>
        </w:tabs>
        <w:ind w:left="5210" w:hanging="360"/>
      </w:pPr>
      <w:rPr>
        <w:rFonts w:ascii="Symbol" w:hAnsi="Symbol" w:hint="default"/>
      </w:rPr>
    </w:lvl>
    <w:lvl w:ilvl="7" w:tplc="FFFFFFFF" w:tentative="1">
      <w:start w:val="1"/>
      <w:numFmt w:val="bullet"/>
      <w:lvlText w:val="o"/>
      <w:lvlJc w:val="left"/>
      <w:pPr>
        <w:tabs>
          <w:tab w:val="num" w:pos="5930"/>
        </w:tabs>
        <w:ind w:left="5930" w:hanging="360"/>
      </w:pPr>
      <w:rPr>
        <w:rFonts w:ascii="Courier New" w:hAnsi="Courier New" w:hint="default"/>
      </w:rPr>
    </w:lvl>
    <w:lvl w:ilvl="8" w:tplc="FFFFFFFF" w:tentative="1">
      <w:start w:val="1"/>
      <w:numFmt w:val="bullet"/>
      <w:lvlText w:val=""/>
      <w:lvlJc w:val="left"/>
      <w:pPr>
        <w:tabs>
          <w:tab w:val="num" w:pos="6650"/>
        </w:tabs>
        <w:ind w:left="6650" w:hanging="360"/>
      </w:pPr>
      <w:rPr>
        <w:rFonts w:ascii="Wingdings" w:hAnsi="Wingdings" w:hint="default"/>
      </w:rPr>
    </w:lvl>
  </w:abstractNum>
  <w:abstractNum w:abstractNumId="24" w15:restartNumberingAfterBreak="0">
    <w:nsid w:val="630331F1"/>
    <w:multiLevelType w:val="multilevel"/>
    <w:tmpl w:val="18DAA0BE"/>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68A3B85"/>
    <w:multiLevelType w:val="hybridMultilevel"/>
    <w:tmpl w:val="FFFFFFFF"/>
    <w:lvl w:ilvl="0" w:tplc="75C6B7A2">
      <w:start w:val="1"/>
      <w:numFmt w:val="decimal"/>
      <w:lvlText w:val="%1."/>
      <w:lvlJc w:val="left"/>
      <w:pPr>
        <w:ind w:left="720" w:hanging="360"/>
      </w:pPr>
    </w:lvl>
    <w:lvl w:ilvl="1" w:tplc="4C4ED1FC">
      <w:start w:val="1"/>
      <w:numFmt w:val="decimal"/>
      <w:lvlText w:val="%2."/>
      <w:lvlJc w:val="left"/>
      <w:pPr>
        <w:ind w:left="1440" w:hanging="360"/>
      </w:pPr>
    </w:lvl>
    <w:lvl w:ilvl="2" w:tplc="59DE0E04">
      <w:start w:val="1"/>
      <w:numFmt w:val="lowerRoman"/>
      <w:lvlText w:val="%3."/>
      <w:lvlJc w:val="right"/>
      <w:pPr>
        <w:ind w:left="2160" w:hanging="180"/>
      </w:pPr>
    </w:lvl>
    <w:lvl w:ilvl="3" w:tplc="F7703896">
      <w:start w:val="1"/>
      <w:numFmt w:val="decimal"/>
      <w:lvlText w:val="%4."/>
      <w:lvlJc w:val="left"/>
      <w:pPr>
        <w:ind w:left="2880" w:hanging="360"/>
      </w:pPr>
    </w:lvl>
    <w:lvl w:ilvl="4" w:tplc="3ED85CCE">
      <w:start w:val="1"/>
      <w:numFmt w:val="lowerLetter"/>
      <w:lvlText w:val="%5."/>
      <w:lvlJc w:val="left"/>
      <w:pPr>
        <w:ind w:left="3600" w:hanging="360"/>
      </w:pPr>
    </w:lvl>
    <w:lvl w:ilvl="5" w:tplc="E5883A8E">
      <w:start w:val="1"/>
      <w:numFmt w:val="lowerRoman"/>
      <w:lvlText w:val="%6."/>
      <w:lvlJc w:val="right"/>
      <w:pPr>
        <w:ind w:left="4320" w:hanging="180"/>
      </w:pPr>
    </w:lvl>
    <w:lvl w:ilvl="6" w:tplc="ACF6C8FA">
      <w:start w:val="1"/>
      <w:numFmt w:val="decimal"/>
      <w:lvlText w:val="%7."/>
      <w:lvlJc w:val="left"/>
      <w:pPr>
        <w:ind w:left="5040" w:hanging="360"/>
      </w:pPr>
    </w:lvl>
    <w:lvl w:ilvl="7" w:tplc="A2C290B0">
      <w:start w:val="1"/>
      <w:numFmt w:val="lowerLetter"/>
      <w:lvlText w:val="%8."/>
      <w:lvlJc w:val="left"/>
      <w:pPr>
        <w:ind w:left="5760" w:hanging="360"/>
      </w:pPr>
    </w:lvl>
    <w:lvl w:ilvl="8" w:tplc="22FEC206">
      <w:start w:val="1"/>
      <w:numFmt w:val="lowerRoman"/>
      <w:lvlText w:val="%9."/>
      <w:lvlJc w:val="right"/>
      <w:pPr>
        <w:ind w:left="6480" w:hanging="180"/>
      </w:pPr>
    </w:lvl>
  </w:abstractNum>
  <w:abstractNum w:abstractNumId="26" w15:restartNumberingAfterBreak="0">
    <w:nsid w:val="66A063F3"/>
    <w:multiLevelType w:val="multilevel"/>
    <w:tmpl w:val="37622A9C"/>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upp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8AD07B2"/>
    <w:multiLevelType w:val="hybridMultilevel"/>
    <w:tmpl w:val="7FEE3222"/>
    <w:lvl w:ilvl="0" w:tplc="2FD67616">
      <w:start w:val="1"/>
      <w:numFmt w:val="bullet"/>
      <w:pStyle w:val="Bullet1G"/>
      <w:lvlText w:val="•"/>
      <w:lvlJc w:val="left"/>
      <w:pPr>
        <w:tabs>
          <w:tab w:val="num" w:pos="1701"/>
        </w:tabs>
        <w:ind w:left="1701" w:hanging="170"/>
      </w:pPr>
      <w:rPr>
        <w:rFonts w:ascii="Times New Roman" w:hAnsi="Times New Roman" w:cs="Times New Roman" w:hint="default"/>
      </w:rPr>
    </w:lvl>
    <w:lvl w:ilvl="1" w:tplc="CE60D57C" w:tentative="1">
      <w:start w:val="1"/>
      <w:numFmt w:val="bullet"/>
      <w:lvlText w:val="o"/>
      <w:lvlJc w:val="left"/>
      <w:pPr>
        <w:tabs>
          <w:tab w:val="num" w:pos="3141"/>
        </w:tabs>
        <w:ind w:left="3141" w:hanging="360"/>
      </w:pPr>
      <w:rPr>
        <w:rFonts w:ascii="Courier New" w:hAnsi="Courier New" w:hint="default"/>
      </w:rPr>
    </w:lvl>
    <w:lvl w:ilvl="2" w:tplc="A1ACAE18" w:tentative="1">
      <w:start w:val="1"/>
      <w:numFmt w:val="bullet"/>
      <w:lvlText w:val=""/>
      <w:lvlJc w:val="left"/>
      <w:pPr>
        <w:tabs>
          <w:tab w:val="num" w:pos="3861"/>
        </w:tabs>
        <w:ind w:left="3861" w:hanging="360"/>
      </w:pPr>
      <w:rPr>
        <w:rFonts w:ascii="Wingdings" w:hAnsi="Wingdings" w:hint="default"/>
      </w:rPr>
    </w:lvl>
    <w:lvl w:ilvl="3" w:tplc="70EA451A" w:tentative="1">
      <w:start w:val="1"/>
      <w:numFmt w:val="bullet"/>
      <w:lvlText w:val=""/>
      <w:lvlJc w:val="left"/>
      <w:pPr>
        <w:tabs>
          <w:tab w:val="num" w:pos="4581"/>
        </w:tabs>
        <w:ind w:left="4581" w:hanging="360"/>
      </w:pPr>
      <w:rPr>
        <w:rFonts w:ascii="Symbol" w:hAnsi="Symbol" w:hint="default"/>
      </w:rPr>
    </w:lvl>
    <w:lvl w:ilvl="4" w:tplc="6EB0B372" w:tentative="1">
      <w:start w:val="1"/>
      <w:numFmt w:val="bullet"/>
      <w:lvlText w:val="o"/>
      <w:lvlJc w:val="left"/>
      <w:pPr>
        <w:tabs>
          <w:tab w:val="num" w:pos="5301"/>
        </w:tabs>
        <w:ind w:left="5301" w:hanging="360"/>
      </w:pPr>
      <w:rPr>
        <w:rFonts w:ascii="Courier New" w:hAnsi="Courier New" w:hint="default"/>
      </w:rPr>
    </w:lvl>
    <w:lvl w:ilvl="5" w:tplc="A4FABAB2" w:tentative="1">
      <w:start w:val="1"/>
      <w:numFmt w:val="bullet"/>
      <w:lvlText w:val=""/>
      <w:lvlJc w:val="left"/>
      <w:pPr>
        <w:tabs>
          <w:tab w:val="num" w:pos="6021"/>
        </w:tabs>
        <w:ind w:left="6021" w:hanging="360"/>
      </w:pPr>
      <w:rPr>
        <w:rFonts w:ascii="Wingdings" w:hAnsi="Wingdings" w:hint="default"/>
      </w:rPr>
    </w:lvl>
    <w:lvl w:ilvl="6" w:tplc="DDB2AB5E" w:tentative="1">
      <w:start w:val="1"/>
      <w:numFmt w:val="bullet"/>
      <w:lvlText w:val=""/>
      <w:lvlJc w:val="left"/>
      <w:pPr>
        <w:tabs>
          <w:tab w:val="num" w:pos="6741"/>
        </w:tabs>
        <w:ind w:left="6741" w:hanging="360"/>
      </w:pPr>
      <w:rPr>
        <w:rFonts w:ascii="Symbol" w:hAnsi="Symbol" w:hint="default"/>
      </w:rPr>
    </w:lvl>
    <w:lvl w:ilvl="7" w:tplc="B9D24FE0" w:tentative="1">
      <w:start w:val="1"/>
      <w:numFmt w:val="bullet"/>
      <w:lvlText w:val="o"/>
      <w:lvlJc w:val="left"/>
      <w:pPr>
        <w:tabs>
          <w:tab w:val="num" w:pos="7461"/>
        </w:tabs>
        <w:ind w:left="7461" w:hanging="360"/>
      </w:pPr>
      <w:rPr>
        <w:rFonts w:ascii="Courier New" w:hAnsi="Courier New" w:hint="default"/>
      </w:rPr>
    </w:lvl>
    <w:lvl w:ilvl="8" w:tplc="A78C1990"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FD00A9C"/>
    <w:multiLevelType w:val="hybridMultilevel"/>
    <w:tmpl w:val="FFFFFFFF"/>
    <w:lvl w:ilvl="0" w:tplc="9BB4D992">
      <w:start w:val="1"/>
      <w:numFmt w:val="decimal"/>
      <w:lvlText w:val="%1."/>
      <w:lvlJc w:val="left"/>
      <w:pPr>
        <w:ind w:left="720" w:hanging="360"/>
      </w:pPr>
    </w:lvl>
    <w:lvl w:ilvl="1" w:tplc="5E42715A">
      <w:start w:val="1"/>
      <w:numFmt w:val="decimal"/>
      <w:lvlText w:val="%2."/>
      <w:lvlJc w:val="left"/>
      <w:pPr>
        <w:ind w:left="1440" w:hanging="360"/>
      </w:pPr>
    </w:lvl>
    <w:lvl w:ilvl="2" w:tplc="FA8A249E">
      <w:start w:val="1"/>
      <w:numFmt w:val="lowerRoman"/>
      <w:lvlText w:val="%3."/>
      <w:lvlJc w:val="right"/>
      <w:pPr>
        <w:ind w:left="2160" w:hanging="180"/>
      </w:pPr>
    </w:lvl>
    <w:lvl w:ilvl="3" w:tplc="43E655B8">
      <w:start w:val="1"/>
      <w:numFmt w:val="decimal"/>
      <w:lvlText w:val="%4."/>
      <w:lvlJc w:val="left"/>
      <w:pPr>
        <w:ind w:left="2880" w:hanging="360"/>
      </w:pPr>
    </w:lvl>
    <w:lvl w:ilvl="4" w:tplc="D2AE1170">
      <w:start w:val="1"/>
      <w:numFmt w:val="lowerLetter"/>
      <w:lvlText w:val="%5."/>
      <w:lvlJc w:val="left"/>
      <w:pPr>
        <w:ind w:left="3600" w:hanging="360"/>
      </w:pPr>
    </w:lvl>
    <w:lvl w:ilvl="5" w:tplc="4D3C7AEC">
      <w:start w:val="1"/>
      <w:numFmt w:val="lowerRoman"/>
      <w:lvlText w:val="%6."/>
      <w:lvlJc w:val="right"/>
      <w:pPr>
        <w:ind w:left="4320" w:hanging="180"/>
      </w:pPr>
    </w:lvl>
    <w:lvl w:ilvl="6" w:tplc="1588572A">
      <w:start w:val="1"/>
      <w:numFmt w:val="decimal"/>
      <w:lvlText w:val="%7."/>
      <w:lvlJc w:val="left"/>
      <w:pPr>
        <w:ind w:left="5040" w:hanging="360"/>
      </w:pPr>
    </w:lvl>
    <w:lvl w:ilvl="7" w:tplc="7A16134A">
      <w:start w:val="1"/>
      <w:numFmt w:val="lowerLetter"/>
      <w:lvlText w:val="%8."/>
      <w:lvlJc w:val="left"/>
      <w:pPr>
        <w:ind w:left="5760" w:hanging="360"/>
      </w:pPr>
    </w:lvl>
    <w:lvl w:ilvl="8" w:tplc="67CC6C74">
      <w:start w:val="1"/>
      <w:numFmt w:val="lowerRoman"/>
      <w:lvlText w:val="%9."/>
      <w:lvlJc w:val="right"/>
      <w:pPr>
        <w:ind w:left="6480" w:hanging="180"/>
      </w:pPr>
    </w:lvl>
  </w:abstractNum>
  <w:abstractNum w:abstractNumId="29" w15:restartNumberingAfterBreak="0">
    <w:nsid w:val="79B60A2F"/>
    <w:multiLevelType w:val="multilevel"/>
    <w:tmpl w:val="18DAA0BE"/>
    <w:lvl w:ilvl="0">
      <w:start w:val="1"/>
      <w:numFmt w:val="upperLetter"/>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0" w15:restartNumberingAfterBreak="0">
    <w:nsid w:val="7C912803"/>
    <w:multiLevelType w:val="multilevel"/>
    <w:tmpl w:val="46D6D6FC"/>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01521">
    <w:abstractNumId w:val="16"/>
  </w:num>
  <w:num w:numId="2" w16cid:durableId="291404314">
    <w:abstractNumId w:val="4"/>
  </w:num>
  <w:num w:numId="3" w16cid:durableId="1689863822">
    <w:abstractNumId w:val="3"/>
  </w:num>
  <w:num w:numId="4" w16cid:durableId="1757091854">
    <w:abstractNumId w:val="27"/>
  </w:num>
  <w:num w:numId="5" w16cid:durableId="1550727117">
    <w:abstractNumId w:val="9"/>
  </w:num>
  <w:num w:numId="6" w16cid:durableId="610205749">
    <w:abstractNumId w:val="17"/>
  </w:num>
  <w:num w:numId="7" w16cid:durableId="1953659527">
    <w:abstractNumId w:val="23"/>
  </w:num>
  <w:num w:numId="8" w16cid:durableId="39480216">
    <w:abstractNumId w:val="0"/>
  </w:num>
  <w:num w:numId="9" w16cid:durableId="1926839017">
    <w:abstractNumId w:val="8"/>
  </w:num>
  <w:num w:numId="10" w16cid:durableId="1270167044">
    <w:abstractNumId w:val="14"/>
  </w:num>
  <w:num w:numId="11" w16cid:durableId="917597544">
    <w:abstractNumId w:val="15"/>
  </w:num>
  <w:num w:numId="12" w16cid:durableId="856578048">
    <w:abstractNumId w:val="24"/>
  </w:num>
  <w:num w:numId="13" w16cid:durableId="974793378">
    <w:abstractNumId w:val="26"/>
  </w:num>
  <w:num w:numId="14" w16cid:durableId="1562671916">
    <w:abstractNumId w:val="7"/>
  </w:num>
  <w:num w:numId="15" w16cid:durableId="1557467695">
    <w:abstractNumId w:val="29"/>
  </w:num>
  <w:num w:numId="16" w16cid:durableId="1746947765">
    <w:abstractNumId w:val="6"/>
  </w:num>
  <w:num w:numId="17" w16cid:durableId="721103236">
    <w:abstractNumId w:val="22"/>
  </w:num>
  <w:num w:numId="18" w16cid:durableId="1417676394">
    <w:abstractNumId w:val="19"/>
  </w:num>
  <w:num w:numId="19" w16cid:durableId="1324436425">
    <w:abstractNumId w:val="30"/>
  </w:num>
  <w:num w:numId="20" w16cid:durableId="1204173777">
    <w:abstractNumId w:val="11"/>
  </w:num>
  <w:num w:numId="21" w16cid:durableId="1804499240">
    <w:abstractNumId w:val="21"/>
  </w:num>
  <w:num w:numId="22" w16cid:durableId="904143617">
    <w:abstractNumId w:val="5"/>
  </w:num>
  <w:num w:numId="23" w16cid:durableId="726760546">
    <w:abstractNumId w:val="12"/>
  </w:num>
  <w:num w:numId="24" w16cid:durableId="168646633">
    <w:abstractNumId w:val="2"/>
  </w:num>
  <w:num w:numId="25" w16cid:durableId="1319186679">
    <w:abstractNumId w:val="28"/>
  </w:num>
  <w:num w:numId="26" w16cid:durableId="1033110784">
    <w:abstractNumId w:val="25"/>
  </w:num>
  <w:num w:numId="27" w16cid:durableId="1861550429">
    <w:abstractNumId w:val="1"/>
  </w:num>
  <w:num w:numId="28" w16cid:durableId="410858374">
    <w:abstractNumId w:val="20"/>
  </w:num>
  <w:num w:numId="29" w16cid:durableId="444034797">
    <w:abstractNumId w:val="10"/>
  </w:num>
  <w:num w:numId="30" w16cid:durableId="1273591244">
    <w:abstractNumId w:val="13"/>
  </w:num>
  <w:num w:numId="31" w16cid:durableId="1055279555">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3FD"/>
    <w:rsid w:val="000012D5"/>
    <w:rsid w:val="00005F8E"/>
    <w:rsid w:val="00013EDC"/>
    <w:rsid w:val="00034311"/>
    <w:rsid w:val="000449C0"/>
    <w:rsid w:val="0005336D"/>
    <w:rsid w:val="000562A7"/>
    <w:rsid w:val="00067049"/>
    <w:rsid w:val="000734B8"/>
    <w:rsid w:val="000756E1"/>
    <w:rsid w:val="0007681B"/>
    <w:rsid w:val="0008447E"/>
    <w:rsid w:val="00085BA7"/>
    <w:rsid w:val="000869E1"/>
    <w:rsid w:val="00092A67"/>
    <w:rsid w:val="0009420A"/>
    <w:rsid w:val="000963E8"/>
    <w:rsid w:val="000B39B5"/>
    <w:rsid w:val="000B5A0D"/>
    <w:rsid w:val="000C10EC"/>
    <w:rsid w:val="000C26FC"/>
    <w:rsid w:val="000E09E8"/>
    <w:rsid w:val="000E3D51"/>
    <w:rsid w:val="000E52DF"/>
    <w:rsid w:val="000F2E0C"/>
    <w:rsid w:val="00100F12"/>
    <w:rsid w:val="00101C0D"/>
    <w:rsid w:val="001118EA"/>
    <w:rsid w:val="00112A3A"/>
    <w:rsid w:val="001176EA"/>
    <w:rsid w:val="001261F5"/>
    <w:rsid w:val="00126F0E"/>
    <w:rsid w:val="00131CB6"/>
    <w:rsid w:val="00157458"/>
    <w:rsid w:val="0016600A"/>
    <w:rsid w:val="0017039D"/>
    <w:rsid w:val="001D1FCA"/>
    <w:rsid w:val="001D4D84"/>
    <w:rsid w:val="001D5EAC"/>
    <w:rsid w:val="001D6852"/>
    <w:rsid w:val="001E6EF8"/>
    <w:rsid w:val="00205B85"/>
    <w:rsid w:val="00210485"/>
    <w:rsid w:val="00216D4C"/>
    <w:rsid w:val="0022085C"/>
    <w:rsid w:val="00240C37"/>
    <w:rsid w:val="00250113"/>
    <w:rsid w:val="0025085F"/>
    <w:rsid w:val="0025109D"/>
    <w:rsid w:val="00251B48"/>
    <w:rsid w:val="0025658B"/>
    <w:rsid w:val="0026002A"/>
    <w:rsid w:val="00270FC4"/>
    <w:rsid w:val="002715AA"/>
    <w:rsid w:val="00274140"/>
    <w:rsid w:val="0028327C"/>
    <w:rsid w:val="002913C5"/>
    <w:rsid w:val="00292180"/>
    <w:rsid w:val="002A225A"/>
    <w:rsid w:val="002B01D1"/>
    <w:rsid w:val="002B1666"/>
    <w:rsid w:val="002B1A1B"/>
    <w:rsid w:val="002B3E6F"/>
    <w:rsid w:val="002C2AA6"/>
    <w:rsid w:val="002C4010"/>
    <w:rsid w:val="002C41A7"/>
    <w:rsid w:val="002D63D2"/>
    <w:rsid w:val="002E1342"/>
    <w:rsid w:val="002F5067"/>
    <w:rsid w:val="00300B7F"/>
    <w:rsid w:val="0030238E"/>
    <w:rsid w:val="00304A75"/>
    <w:rsid w:val="003204A9"/>
    <w:rsid w:val="0032747F"/>
    <w:rsid w:val="0034517C"/>
    <w:rsid w:val="003560E4"/>
    <w:rsid w:val="00360FFF"/>
    <w:rsid w:val="003611CE"/>
    <w:rsid w:val="00361495"/>
    <w:rsid w:val="003642F5"/>
    <w:rsid w:val="0036462B"/>
    <w:rsid w:val="00376CAB"/>
    <w:rsid w:val="00385C04"/>
    <w:rsid w:val="00385E78"/>
    <w:rsid w:val="003909A0"/>
    <w:rsid w:val="00394BBD"/>
    <w:rsid w:val="0039501B"/>
    <w:rsid w:val="00397563"/>
    <w:rsid w:val="00397C4E"/>
    <w:rsid w:val="003B1A78"/>
    <w:rsid w:val="003C07C9"/>
    <w:rsid w:val="003D4A62"/>
    <w:rsid w:val="003D4F9B"/>
    <w:rsid w:val="003E5051"/>
    <w:rsid w:val="003E5139"/>
    <w:rsid w:val="003F28A5"/>
    <w:rsid w:val="003F2FAF"/>
    <w:rsid w:val="003F54B2"/>
    <w:rsid w:val="00404F82"/>
    <w:rsid w:val="004113DB"/>
    <w:rsid w:val="0041434E"/>
    <w:rsid w:val="0042546E"/>
    <w:rsid w:val="0042659B"/>
    <w:rsid w:val="00437BCD"/>
    <w:rsid w:val="004449C0"/>
    <w:rsid w:val="00445672"/>
    <w:rsid w:val="00453990"/>
    <w:rsid w:val="00455947"/>
    <w:rsid w:val="00460B85"/>
    <w:rsid w:val="00461B42"/>
    <w:rsid w:val="00462D31"/>
    <w:rsid w:val="0046578C"/>
    <w:rsid w:val="004670FD"/>
    <w:rsid w:val="00485CD8"/>
    <w:rsid w:val="004909C2"/>
    <w:rsid w:val="00491E49"/>
    <w:rsid w:val="0049340C"/>
    <w:rsid w:val="004B260A"/>
    <w:rsid w:val="004B7C68"/>
    <w:rsid w:val="004C33FD"/>
    <w:rsid w:val="004D11C4"/>
    <w:rsid w:val="004D3282"/>
    <w:rsid w:val="004D45DF"/>
    <w:rsid w:val="004E68CA"/>
    <w:rsid w:val="004E7DD0"/>
    <w:rsid w:val="004F02DC"/>
    <w:rsid w:val="00511FFE"/>
    <w:rsid w:val="0051268E"/>
    <w:rsid w:val="005317F9"/>
    <w:rsid w:val="00532871"/>
    <w:rsid w:val="00533A8C"/>
    <w:rsid w:val="00552EAE"/>
    <w:rsid w:val="005550C1"/>
    <w:rsid w:val="0057124E"/>
    <w:rsid w:val="00575F0F"/>
    <w:rsid w:val="00584F0C"/>
    <w:rsid w:val="005871BC"/>
    <w:rsid w:val="00591714"/>
    <w:rsid w:val="005A3C02"/>
    <w:rsid w:val="005B582D"/>
    <w:rsid w:val="005E041A"/>
    <w:rsid w:val="005E63AF"/>
    <w:rsid w:val="005E7ACA"/>
    <w:rsid w:val="005F00FF"/>
    <w:rsid w:val="00615EDA"/>
    <w:rsid w:val="006276C4"/>
    <w:rsid w:val="00641028"/>
    <w:rsid w:val="00645A09"/>
    <w:rsid w:val="00647E7A"/>
    <w:rsid w:val="00661006"/>
    <w:rsid w:val="00662679"/>
    <w:rsid w:val="0066302A"/>
    <w:rsid w:val="0066381C"/>
    <w:rsid w:val="00667B5C"/>
    <w:rsid w:val="006724DF"/>
    <w:rsid w:val="00681C44"/>
    <w:rsid w:val="0068359B"/>
    <w:rsid w:val="00685525"/>
    <w:rsid w:val="006914D4"/>
    <w:rsid w:val="006936D1"/>
    <w:rsid w:val="00695EBF"/>
    <w:rsid w:val="006A2108"/>
    <w:rsid w:val="006A58E9"/>
    <w:rsid w:val="006A62AA"/>
    <w:rsid w:val="006A6633"/>
    <w:rsid w:val="006B1D02"/>
    <w:rsid w:val="006B511E"/>
    <w:rsid w:val="006C4560"/>
    <w:rsid w:val="006D7E21"/>
    <w:rsid w:val="006E0369"/>
    <w:rsid w:val="006E3DA3"/>
    <w:rsid w:val="006E6920"/>
    <w:rsid w:val="006F017C"/>
    <w:rsid w:val="006F54A4"/>
    <w:rsid w:val="006F5951"/>
    <w:rsid w:val="006F630C"/>
    <w:rsid w:val="007173AF"/>
    <w:rsid w:val="00724010"/>
    <w:rsid w:val="007348B0"/>
    <w:rsid w:val="007355A9"/>
    <w:rsid w:val="0073647A"/>
    <w:rsid w:val="00737DB0"/>
    <w:rsid w:val="00754196"/>
    <w:rsid w:val="00760FA0"/>
    <w:rsid w:val="007621EC"/>
    <w:rsid w:val="00773DCA"/>
    <w:rsid w:val="00782643"/>
    <w:rsid w:val="007A5544"/>
    <w:rsid w:val="007B5294"/>
    <w:rsid w:val="007C3D4E"/>
    <w:rsid w:val="007D637A"/>
    <w:rsid w:val="007E4010"/>
    <w:rsid w:val="007F04BF"/>
    <w:rsid w:val="007F1C33"/>
    <w:rsid w:val="007F2F33"/>
    <w:rsid w:val="007F30A7"/>
    <w:rsid w:val="00800795"/>
    <w:rsid w:val="00801619"/>
    <w:rsid w:val="00805421"/>
    <w:rsid w:val="0080614A"/>
    <w:rsid w:val="0081045F"/>
    <w:rsid w:val="00825584"/>
    <w:rsid w:val="00827233"/>
    <w:rsid w:val="008275A6"/>
    <w:rsid w:val="00832222"/>
    <w:rsid w:val="00833AF3"/>
    <w:rsid w:val="00841981"/>
    <w:rsid w:val="00846CD6"/>
    <w:rsid w:val="008609B6"/>
    <w:rsid w:val="008764E0"/>
    <w:rsid w:val="00877369"/>
    <w:rsid w:val="00897BCC"/>
    <w:rsid w:val="008A643E"/>
    <w:rsid w:val="008A714C"/>
    <w:rsid w:val="008B0D9E"/>
    <w:rsid w:val="008B5F3D"/>
    <w:rsid w:val="008C0B2C"/>
    <w:rsid w:val="008C1449"/>
    <w:rsid w:val="008D1D32"/>
    <w:rsid w:val="008F03AC"/>
    <w:rsid w:val="0091061B"/>
    <w:rsid w:val="00911BC9"/>
    <w:rsid w:val="0091259E"/>
    <w:rsid w:val="00914DC6"/>
    <w:rsid w:val="00917B77"/>
    <w:rsid w:val="009454D8"/>
    <w:rsid w:val="009563A7"/>
    <w:rsid w:val="00982212"/>
    <w:rsid w:val="00995CF6"/>
    <w:rsid w:val="00995DDA"/>
    <w:rsid w:val="00996ED9"/>
    <w:rsid w:val="009A57B7"/>
    <w:rsid w:val="009A65DA"/>
    <w:rsid w:val="009B1BAC"/>
    <w:rsid w:val="009C6C2E"/>
    <w:rsid w:val="009C7536"/>
    <w:rsid w:val="009D642C"/>
    <w:rsid w:val="009F3774"/>
    <w:rsid w:val="00A02033"/>
    <w:rsid w:val="00A0709F"/>
    <w:rsid w:val="00A13673"/>
    <w:rsid w:val="00A153EB"/>
    <w:rsid w:val="00A15E80"/>
    <w:rsid w:val="00A17CC5"/>
    <w:rsid w:val="00A2107E"/>
    <w:rsid w:val="00A36E26"/>
    <w:rsid w:val="00A42EC4"/>
    <w:rsid w:val="00A5341E"/>
    <w:rsid w:val="00A55781"/>
    <w:rsid w:val="00A626DB"/>
    <w:rsid w:val="00A641CE"/>
    <w:rsid w:val="00A65B59"/>
    <w:rsid w:val="00A65D41"/>
    <w:rsid w:val="00A6634B"/>
    <w:rsid w:val="00A76319"/>
    <w:rsid w:val="00A82CC0"/>
    <w:rsid w:val="00A90AB5"/>
    <w:rsid w:val="00A91D5A"/>
    <w:rsid w:val="00AA0DE3"/>
    <w:rsid w:val="00AD4835"/>
    <w:rsid w:val="00AE2761"/>
    <w:rsid w:val="00AE5708"/>
    <w:rsid w:val="00AE5E48"/>
    <w:rsid w:val="00B03684"/>
    <w:rsid w:val="00B05F67"/>
    <w:rsid w:val="00B13725"/>
    <w:rsid w:val="00B2720E"/>
    <w:rsid w:val="00B27CB8"/>
    <w:rsid w:val="00B3758B"/>
    <w:rsid w:val="00B421CD"/>
    <w:rsid w:val="00B4553B"/>
    <w:rsid w:val="00B50086"/>
    <w:rsid w:val="00B54059"/>
    <w:rsid w:val="00B62840"/>
    <w:rsid w:val="00B720D7"/>
    <w:rsid w:val="00B827F1"/>
    <w:rsid w:val="00B951CC"/>
    <w:rsid w:val="00B961D5"/>
    <w:rsid w:val="00B96F96"/>
    <w:rsid w:val="00BA35A2"/>
    <w:rsid w:val="00BA6E77"/>
    <w:rsid w:val="00BB5CB7"/>
    <w:rsid w:val="00BB6752"/>
    <w:rsid w:val="00BD2B7D"/>
    <w:rsid w:val="00BD62A8"/>
    <w:rsid w:val="00BE0ADC"/>
    <w:rsid w:val="00BE3026"/>
    <w:rsid w:val="00BE55AB"/>
    <w:rsid w:val="00BE6326"/>
    <w:rsid w:val="00BF6B84"/>
    <w:rsid w:val="00C01B41"/>
    <w:rsid w:val="00C01BB6"/>
    <w:rsid w:val="00C039EE"/>
    <w:rsid w:val="00C04BC1"/>
    <w:rsid w:val="00C17DE1"/>
    <w:rsid w:val="00C25E98"/>
    <w:rsid w:val="00C310BD"/>
    <w:rsid w:val="00C329D1"/>
    <w:rsid w:val="00C40033"/>
    <w:rsid w:val="00C463E2"/>
    <w:rsid w:val="00C46F2C"/>
    <w:rsid w:val="00C47024"/>
    <w:rsid w:val="00C66152"/>
    <w:rsid w:val="00C72F13"/>
    <w:rsid w:val="00C7512D"/>
    <w:rsid w:val="00C7580D"/>
    <w:rsid w:val="00C87C5E"/>
    <w:rsid w:val="00C90FB6"/>
    <w:rsid w:val="00C94CD9"/>
    <w:rsid w:val="00C97E1D"/>
    <w:rsid w:val="00CA7114"/>
    <w:rsid w:val="00CA7741"/>
    <w:rsid w:val="00CB0A54"/>
    <w:rsid w:val="00CB3AAF"/>
    <w:rsid w:val="00CC688B"/>
    <w:rsid w:val="00CD4A72"/>
    <w:rsid w:val="00CE6730"/>
    <w:rsid w:val="00CF078F"/>
    <w:rsid w:val="00D049C2"/>
    <w:rsid w:val="00D103C0"/>
    <w:rsid w:val="00D148C5"/>
    <w:rsid w:val="00D16284"/>
    <w:rsid w:val="00D2540C"/>
    <w:rsid w:val="00D5498F"/>
    <w:rsid w:val="00D54E83"/>
    <w:rsid w:val="00D56E6B"/>
    <w:rsid w:val="00D62947"/>
    <w:rsid w:val="00D67674"/>
    <w:rsid w:val="00D70127"/>
    <w:rsid w:val="00D73CD6"/>
    <w:rsid w:val="00D83543"/>
    <w:rsid w:val="00D92EDB"/>
    <w:rsid w:val="00D94B69"/>
    <w:rsid w:val="00D97754"/>
    <w:rsid w:val="00DA2A59"/>
    <w:rsid w:val="00DB25CC"/>
    <w:rsid w:val="00DC17A6"/>
    <w:rsid w:val="00DC4EF4"/>
    <w:rsid w:val="00DD0444"/>
    <w:rsid w:val="00DD508D"/>
    <w:rsid w:val="00DD59EB"/>
    <w:rsid w:val="00DD79D0"/>
    <w:rsid w:val="00DE0F5F"/>
    <w:rsid w:val="00DE27AE"/>
    <w:rsid w:val="00DE51F0"/>
    <w:rsid w:val="00DE7796"/>
    <w:rsid w:val="00DF3655"/>
    <w:rsid w:val="00DF3794"/>
    <w:rsid w:val="00DF7135"/>
    <w:rsid w:val="00DF7140"/>
    <w:rsid w:val="00E14055"/>
    <w:rsid w:val="00E25E28"/>
    <w:rsid w:val="00E27DEF"/>
    <w:rsid w:val="00E40AF7"/>
    <w:rsid w:val="00E41EA3"/>
    <w:rsid w:val="00E435DD"/>
    <w:rsid w:val="00E43D9A"/>
    <w:rsid w:val="00E456BF"/>
    <w:rsid w:val="00E51EF0"/>
    <w:rsid w:val="00E52B3B"/>
    <w:rsid w:val="00E572CF"/>
    <w:rsid w:val="00E65243"/>
    <w:rsid w:val="00E6632E"/>
    <w:rsid w:val="00E7243E"/>
    <w:rsid w:val="00E76694"/>
    <w:rsid w:val="00E80A33"/>
    <w:rsid w:val="00EA0C2E"/>
    <w:rsid w:val="00EB108A"/>
    <w:rsid w:val="00EE2AB1"/>
    <w:rsid w:val="00EF3AE7"/>
    <w:rsid w:val="00EF7F32"/>
    <w:rsid w:val="00F01360"/>
    <w:rsid w:val="00F043A9"/>
    <w:rsid w:val="00F15446"/>
    <w:rsid w:val="00F23A24"/>
    <w:rsid w:val="00F24E6E"/>
    <w:rsid w:val="00F332BF"/>
    <w:rsid w:val="00F43CF8"/>
    <w:rsid w:val="00F6046B"/>
    <w:rsid w:val="00F60F82"/>
    <w:rsid w:val="00F6277E"/>
    <w:rsid w:val="00F64B83"/>
    <w:rsid w:val="00F755ED"/>
    <w:rsid w:val="00F776B8"/>
    <w:rsid w:val="00F94327"/>
    <w:rsid w:val="00FA266F"/>
    <w:rsid w:val="00FB4641"/>
    <w:rsid w:val="00FC555D"/>
    <w:rsid w:val="00FE4A94"/>
    <w:rsid w:val="00FF0254"/>
    <w:rsid w:val="00FF3C91"/>
    <w:rsid w:val="00FF4A05"/>
    <w:rsid w:val="00FF582F"/>
    <w:rsid w:val="00FF6BC0"/>
    <w:rsid w:val="01300F3F"/>
    <w:rsid w:val="05234D62"/>
    <w:rsid w:val="081380C7"/>
    <w:rsid w:val="0A2FACAC"/>
    <w:rsid w:val="0A4CC09A"/>
    <w:rsid w:val="0B08F127"/>
    <w:rsid w:val="0BE12D87"/>
    <w:rsid w:val="0D74C69F"/>
    <w:rsid w:val="0E7CB376"/>
    <w:rsid w:val="1082B583"/>
    <w:rsid w:val="11A7FEB8"/>
    <w:rsid w:val="13B15CA4"/>
    <w:rsid w:val="17A22470"/>
    <w:rsid w:val="1B0E4A98"/>
    <w:rsid w:val="1B6C6D53"/>
    <w:rsid w:val="1C2D68C3"/>
    <w:rsid w:val="1CAD36F0"/>
    <w:rsid w:val="1E587473"/>
    <w:rsid w:val="1EC22D04"/>
    <w:rsid w:val="24DEFD13"/>
    <w:rsid w:val="25750E0E"/>
    <w:rsid w:val="26ABF83A"/>
    <w:rsid w:val="2A454B39"/>
    <w:rsid w:val="2C9C6135"/>
    <w:rsid w:val="2F2BCC50"/>
    <w:rsid w:val="3294251D"/>
    <w:rsid w:val="32D9BC56"/>
    <w:rsid w:val="34ED10CC"/>
    <w:rsid w:val="369F9850"/>
    <w:rsid w:val="39220EE8"/>
    <w:rsid w:val="3A2D1C36"/>
    <w:rsid w:val="3C01D3B4"/>
    <w:rsid w:val="3DDB79A6"/>
    <w:rsid w:val="43AAEB6F"/>
    <w:rsid w:val="46BFF266"/>
    <w:rsid w:val="4710AABF"/>
    <w:rsid w:val="4714E9A6"/>
    <w:rsid w:val="47A70E21"/>
    <w:rsid w:val="49AEB93A"/>
    <w:rsid w:val="4B2A4066"/>
    <w:rsid w:val="4F1CFE9C"/>
    <w:rsid w:val="502C4130"/>
    <w:rsid w:val="5745F8B0"/>
    <w:rsid w:val="5823F2D0"/>
    <w:rsid w:val="5B4159A0"/>
    <w:rsid w:val="5D229F2A"/>
    <w:rsid w:val="621D4836"/>
    <w:rsid w:val="62B3F601"/>
    <w:rsid w:val="6488F04E"/>
    <w:rsid w:val="66340FC9"/>
    <w:rsid w:val="673379F3"/>
    <w:rsid w:val="67F51676"/>
    <w:rsid w:val="69331104"/>
    <w:rsid w:val="69B13766"/>
    <w:rsid w:val="6A1C1B8F"/>
    <w:rsid w:val="6AE25435"/>
    <w:rsid w:val="6F33E334"/>
    <w:rsid w:val="737935D9"/>
    <w:rsid w:val="75F736E0"/>
    <w:rsid w:val="7BC7A116"/>
    <w:rsid w:val="7DC68841"/>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63F38"/>
  <w15:chartTrackingRefBased/>
  <w15:docId w15:val="{FCA2E3BA-A2DF-49B2-B223-D7FC687B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P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8"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0A7"/>
    <w:pPr>
      <w:ind w:left="1440" w:hanging="360"/>
      <w:jc w:val="both"/>
    </w:pPr>
    <w:rPr>
      <w:rFonts w:ascii="Calibri" w:eastAsiaTheme="minorEastAsia" w:hAnsi="Calibri" w:cs="Calibri"/>
      <w:kern w:val="0"/>
      <w:sz w:val="22"/>
      <w:szCs w:val="22"/>
      <w:lang w:val="en-GB" w:eastAsia="zh-CN"/>
      <w14:ligatures w14:val="none"/>
    </w:rPr>
  </w:style>
  <w:style w:type="paragraph" w:styleId="Heading1">
    <w:name w:val="heading 1"/>
    <w:basedOn w:val="Normal"/>
    <w:next w:val="Normal"/>
    <w:link w:val="Heading1Char"/>
    <w:uiPriority w:val="9"/>
    <w:qFormat/>
    <w:rsid w:val="004C33FD"/>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E43D9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3FD"/>
    <w:rPr>
      <w:rFonts w:asciiTheme="majorHAnsi" w:eastAsiaTheme="majorEastAsia" w:hAnsiTheme="majorHAnsi" w:cstheme="majorBidi"/>
      <w:color w:val="2F5496" w:themeColor="accent1" w:themeShade="BF"/>
      <w:kern w:val="0"/>
      <w:sz w:val="32"/>
      <w:szCs w:val="32"/>
      <w:vertAlign w:val="superscript"/>
      <w:lang w:val="en-GB"/>
      <w14:ligatures w14:val="none"/>
    </w:rPr>
  </w:style>
  <w:style w:type="paragraph" w:styleId="FootnoteText">
    <w:name w:val="footnote text"/>
    <w:aliases w:val="5_G,FA Fu,Footnote Quote,Footnote Quote1,Footnote Quote2,Footnote Text Char Char Char,Footnote Text Char Char Char Char,Footnote Text Char Char Char Char Char,Footnote Text Char Char Char Char Char Char Char Char,Footnote reference,fn,ft"/>
    <w:basedOn w:val="Normal"/>
    <w:link w:val="FootnoteTextChar"/>
    <w:unhideWhenUsed/>
    <w:rsid w:val="004C33FD"/>
    <w:rPr>
      <w:sz w:val="20"/>
      <w:szCs w:val="20"/>
      <w:vertAlign w:val="superscript"/>
    </w:rPr>
  </w:style>
  <w:style w:type="character" w:customStyle="1" w:styleId="FootnoteTextChar">
    <w:name w:val="Footnote Text Char"/>
    <w:aliases w:val="5_G Char,FA Fu Char,Footnote Quote Char,Footnote Quote1 Char,Footnote Quote2 Char,Footnote Text Char Char Char Char1,Footnote Text Char Char Char Char Char1,Footnote Text Char Char Char Char Char Char,Footnote reference Char,fn Char"/>
    <w:basedOn w:val="DefaultParagraphFont"/>
    <w:link w:val="FootnoteText"/>
    <w:rsid w:val="004C33FD"/>
    <w:rPr>
      <w:rFonts w:ascii="Calibri" w:eastAsiaTheme="minorEastAsia" w:hAnsi="Calibri" w:cs="Calibri"/>
      <w:kern w:val="0"/>
      <w:sz w:val="20"/>
      <w:szCs w:val="20"/>
      <w:vertAlign w:val="superscript"/>
      <w:lang w:val="en-GB" w:eastAsia="zh-CN"/>
      <w14:ligatures w14:val="none"/>
    </w:rPr>
  </w:style>
  <w:style w:type="character" w:styleId="FootnoteReference">
    <w:name w:val="footnote reference"/>
    <w:aliases w:val="m_-7507350186547039596msolistparagraph,4_G"/>
    <w:basedOn w:val="DefaultParagraphFont"/>
    <w:unhideWhenUsed/>
    <w:qFormat/>
    <w:rsid w:val="004C33FD"/>
    <w:rPr>
      <w:rFonts w:ascii="Times New Roman" w:eastAsiaTheme="minorEastAsia" w:hAnsi="Times New Roman" w:cs="Times New Roman"/>
      <w:color w:val="000000" w:themeColor="text1"/>
      <w:kern w:val="0"/>
      <w:sz w:val="28"/>
      <w:vertAlign w:val="baseline"/>
      <w:lang w:val="en-GB" w:eastAsia="zh-TW"/>
      <w14:ligatures w14:val="none"/>
    </w:rPr>
  </w:style>
  <w:style w:type="paragraph" w:styleId="ListParagraph">
    <w:name w:val="List Paragraph"/>
    <w:basedOn w:val="Normal"/>
    <w:link w:val="ListParagraphChar"/>
    <w:uiPriority w:val="34"/>
    <w:qFormat/>
    <w:rsid w:val="004C33FD"/>
    <w:pPr>
      <w:ind w:left="720"/>
      <w:contextualSpacing/>
    </w:pPr>
  </w:style>
  <w:style w:type="character" w:styleId="Hyperlink">
    <w:name w:val="Hyperlink"/>
    <w:basedOn w:val="DefaultParagraphFont"/>
    <w:uiPriority w:val="99"/>
    <w:unhideWhenUsed/>
    <w:rsid w:val="004C33FD"/>
    <w:rPr>
      <w:color w:val="0563C1" w:themeColor="hyperlink"/>
      <w:u w:val="single"/>
    </w:rPr>
  </w:style>
  <w:style w:type="character" w:styleId="CommentReference">
    <w:name w:val="annotation reference"/>
    <w:basedOn w:val="DefaultParagraphFont"/>
    <w:uiPriority w:val="99"/>
    <w:semiHidden/>
    <w:unhideWhenUsed/>
    <w:rsid w:val="004C33FD"/>
    <w:rPr>
      <w:sz w:val="16"/>
      <w:szCs w:val="16"/>
    </w:rPr>
  </w:style>
  <w:style w:type="paragraph" w:styleId="CommentText">
    <w:name w:val="annotation text"/>
    <w:basedOn w:val="Normal"/>
    <w:link w:val="CommentTextChar"/>
    <w:uiPriority w:val="99"/>
    <w:unhideWhenUsed/>
    <w:rsid w:val="004C33FD"/>
    <w:rPr>
      <w:sz w:val="20"/>
      <w:szCs w:val="20"/>
    </w:rPr>
  </w:style>
  <w:style w:type="character" w:customStyle="1" w:styleId="CommentTextChar">
    <w:name w:val="Comment Text Char"/>
    <w:basedOn w:val="DefaultParagraphFont"/>
    <w:link w:val="CommentText"/>
    <w:uiPriority w:val="99"/>
    <w:rsid w:val="004C33FD"/>
    <w:rPr>
      <w:rFonts w:ascii="Calibri" w:eastAsiaTheme="minorEastAsia" w:hAnsi="Calibri" w:cs="Calibri"/>
      <w:kern w:val="0"/>
      <w:sz w:val="20"/>
      <w:szCs w:val="20"/>
      <w:vertAlign w:val="superscript"/>
      <w:lang w:val="en-GB" w:eastAsia="zh-CN"/>
      <w14:ligatures w14:val="none"/>
    </w:rPr>
  </w:style>
  <w:style w:type="character" w:customStyle="1" w:styleId="ListParagraphChar">
    <w:name w:val="List Paragraph Char"/>
    <w:basedOn w:val="DefaultParagraphFont"/>
    <w:link w:val="ListParagraph"/>
    <w:uiPriority w:val="34"/>
    <w:locked/>
    <w:rsid w:val="004C33FD"/>
    <w:rPr>
      <w:rFonts w:ascii="Calibri" w:eastAsiaTheme="minorEastAsia" w:hAnsi="Calibri" w:cs="Calibri"/>
      <w:kern w:val="0"/>
      <w:sz w:val="22"/>
      <w:szCs w:val="22"/>
      <w:vertAlign w:val="superscript"/>
      <w:lang w:val="en-GB" w:eastAsia="zh-CN"/>
      <w14:ligatures w14:val="none"/>
    </w:rPr>
  </w:style>
  <w:style w:type="character" w:customStyle="1" w:styleId="markedcontent">
    <w:name w:val="markedcontent"/>
    <w:basedOn w:val="DefaultParagraphFont"/>
    <w:rsid w:val="004C33FD"/>
  </w:style>
  <w:style w:type="paragraph" w:styleId="CommentSubject">
    <w:name w:val="annotation subject"/>
    <w:basedOn w:val="CommentText"/>
    <w:next w:val="CommentText"/>
    <w:link w:val="CommentSubjectChar"/>
    <w:uiPriority w:val="99"/>
    <w:semiHidden/>
    <w:unhideWhenUsed/>
    <w:rsid w:val="00805421"/>
    <w:rPr>
      <w:b/>
      <w:bCs/>
    </w:rPr>
  </w:style>
  <w:style w:type="character" w:customStyle="1" w:styleId="CommentSubjectChar">
    <w:name w:val="Comment Subject Char"/>
    <w:basedOn w:val="CommentTextChar"/>
    <w:link w:val="CommentSubject"/>
    <w:uiPriority w:val="99"/>
    <w:semiHidden/>
    <w:rsid w:val="00805421"/>
    <w:rPr>
      <w:rFonts w:ascii="Calibri" w:eastAsiaTheme="minorEastAsia" w:hAnsi="Calibri" w:cs="Calibri"/>
      <w:b/>
      <w:bCs/>
      <w:kern w:val="0"/>
      <w:sz w:val="20"/>
      <w:szCs w:val="20"/>
      <w:vertAlign w:val="superscript"/>
      <w:lang w:val="en-GB" w:eastAsia="zh-CN"/>
      <w14:ligatures w14:val="none"/>
    </w:rPr>
  </w:style>
  <w:style w:type="paragraph" w:styleId="NormalWeb">
    <w:name w:val="Normal (Web)"/>
    <w:basedOn w:val="Normal"/>
    <w:uiPriority w:val="99"/>
    <w:unhideWhenUsed/>
    <w:rsid w:val="002F5067"/>
    <w:pPr>
      <w:spacing w:before="100" w:beforeAutospacing="1" w:after="100" w:afterAutospacing="1"/>
      <w:ind w:left="0" w:firstLine="0"/>
      <w:jc w:val="left"/>
    </w:pPr>
    <w:rPr>
      <w:rFonts w:ascii="Times New Roman" w:eastAsia="Times New Roman" w:hAnsi="Times New Roman" w:cs="Times New Roman"/>
      <w:sz w:val="24"/>
      <w:szCs w:val="24"/>
      <w:lang w:val="en-PH" w:eastAsia="en-US"/>
    </w:rPr>
  </w:style>
  <w:style w:type="paragraph" w:customStyle="1" w:styleId="MediumList2-Accent41">
    <w:name w:val="Medium List 2 - Accent 41"/>
    <w:basedOn w:val="Normal"/>
    <w:uiPriority w:val="34"/>
    <w:qFormat/>
    <w:rsid w:val="007B5294"/>
    <w:pPr>
      <w:overflowPunct w:val="0"/>
      <w:autoSpaceDE w:val="0"/>
      <w:autoSpaceDN w:val="0"/>
      <w:adjustRightInd w:val="0"/>
      <w:ind w:left="720" w:firstLine="0"/>
      <w:textAlignment w:val="baseline"/>
    </w:pPr>
    <w:rPr>
      <w:rFonts w:ascii="Times New Roman" w:eastAsia="Times New Roman" w:hAnsi="Times New Roman" w:cs="Times New Roman"/>
      <w:szCs w:val="20"/>
      <w:lang w:eastAsia="en-US"/>
    </w:rPr>
  </w:style>
  <w:style w:type="character" w:styleId="UnresolvedMention">
    <w:name w:val="Unresolved Mention"/>
    <w:basedOn w:val="DefaultParagraphFont"/>
    <w:uiPriority w:val="99"/>
    <w:semiHidden/>
    <w:unhideWhenUsed/>
    <w:rsid w:val="0009420A"/>
    <w:rPr>
      <w:color w:val="605E5C"/>
      <w:shd w:val="clear" w:color="auto" w:fill="E1DFDD"/>
    </w:rPr>
  </w:style>
  <w:style w:type="paragraph" w:customStyle="1" w:styleId="NormalAshurst">
    <w:name w:val="NormalAshurst"/>
    <w:link w:val="NormalAshurstChar"/>
    <w:qFormat/>
    <w:rsid w:val="00A65D41"/>
    <w:pPr>
      <w:suppressAutoHyphens/>
      <w:spacing w:after="220" w:line="264" w:lineRule="auto"/>
      <w:jc w:val="both"/>
    </w:pPr>
    <w:rPr>
      <w:rFonts w:eastAsiaTheme="minorEastAsia"/>
      <w:kern w:val="0"/>
      <w:sz w:val="18"/>
      <w:lang w:val="en-GB" w:eastAsia="zh-TW"/>
      <w14:ligatures w14:val="none"/>
    </w:rPr>
  </w:style>
  <w:style w:type="character" w:customStyle="1" w:styleId="NormalAshurstChar">
    <w:name w:val="NormalAshurst Char"/>
    <w:basedOn w:val="DefaultParagraphFont"/>
    <w:link w:val="NormalAshurst"/>
    <w:rsid w:val="00A65D41"/>
    <w:rPr>
      <w:rFonts w:eastAsiaTheme="minorEastAsia"/>
      <w:kern w:val="0"/>
      <w:sz w:val="18"/>
      <w:lang w:val="en-GB" w:eastAsia="zh-TW"/>
      <w14:ligatures w14:val="none"/>
    </w:rPr>
  </w:style>
  <w:style w:type="character" w:customStyle="1" w:styleId="Heading3Char">
    <w:name w:val="Heading 3 Char"/>
    <w:basedOn w:val="DefaultParagraphFont"/>
    <w:link w:val="Heading3"/>
    <w:uiPriority w:val="9"/>
    <w:semiHidden/>
    <w:rsid w:val="00E43D9A"/>
    <w:rPr>
      <w:rFonts w:asciiTheme="majorHAnsi" w:eastAsiaTheme="majorEastAsia" w:hAnsiTheme="majorHAnsi" w:cstheme="majorBidi"/>
      <w:color w:val="1F3763" w:themeColor="accent1" w:themeShade="7F"/>
      <w:kern w:val="0"/>
      <w:lang w:val="en-GB" w:eastAsia="zh-CN"/>
      <w14:ligatures w14:val="none"/>
    </w:rPr>
  </w:style>
  <w:style w:type="paragraph" w:customStyle="1" w:styleId="xmsonormal">
    <w:name w:val="x_msonormal"/>
    <w:basedOn w:val="Normal"/>
    <w:rsid w:val="00FA266F"/>
    <w:pPr>
      <w:ind w:left="0" w:firstLine="0"/>
      <w:jc w:val="left"/>
    </w:pPr>
    <w:rPr>
      <w:rFonts w:eastAsiaTheme="minorHAnsi"/>
      <w:lang w:val="en-PH" w:eastAsia="en-PH"/>
    </w:rPr>
  </w:style>
  <w:style w:type="character" w:styleId="FollowedHyperlink">
    <w:name w:val="FollowedHyperlink"/>
    <w:basedOn w:val="DefaultParagraphFont"/>
    <w:uiPriority w:val="99"/>
    <w:semiHidden/>
    <w:unhideWhenUsed/>
    <w:rsid w:val="003204A9"/>
    <w:rPr>
      <w:color w:val="954F72" w:themeColor="followedHyperlink"/>
      <w:u w:val="single"/>
    </w:rPr>
  </w:style>
  <w:style w:type="paragraph" w:customStyle="1" w:styleId="Bullet1G">
    <w:name w:val="_Bullet 1_G"/>
    <w:basedOn w:val="Normal"/>
    <w:qFormat/>
    <w:rsid w:val="00DF3794"/>
    <w:pPr>
      <w:numPr>
        <w:numId w:val="4"/>
      </w:numPr>
      <w:suppressAutoHyphens/>
      <w:kinsoku w:val="0"/>
      <w:overflowPunct w:val="0"/>
      <w:autoSpaceDE w:val="0"/>
      <w:autoSpaceDN w:val="0"/>
      <w:adjustRightInd w:val="0"/>
      <w:snapToGrid w:val="0"/>
      <w:spacing w:after="120" w:line="240" w:lineRule="atLeast"/>
      <w:ind w:right="1134"/>
    </w:pPr>
    <w:rPr>
      <w:rFonts w:ascii="Times New Roman" w:eastAsiaTheme="minorHAnsi" w:hAnsi="Times New Roman" w:cs="Times New Roman"/>
      <w:sz w:val="20"/>
      <w:szCs w:val="20"/>
      <w:lang w:eastAsia="en-US"/>
    </w:rPr>
  </w:style>
  <w:style w:type="paragraph" w:styleId="Revision">
    <w:name w:val="Revision"/>
    <w:hidden/>
    <w:uiPriority w:val="99"/>
    <w:semiHidden/>
    <w:rsid w:val="0022085C"/>
    <w:rPr>
      <w:rFonts w:ascii="Calibri" w:eastAsiaTheme="minorEastAsia" w:hAnsi="Calibri" w:cs="Calibri"/>
      <w:kern w:val="0"/>
      <w:sz w:val="22"/>
      <w:szCs w:val="22"/>
      <w:lang w:val="en-GB" w:eastAsia="zh-CN"/>
      <w14:ligatures w14:val="none"/>
    </w:rPr>
  </w:style>
  <w:style w:type="paragraph" w:styleId="Header">
    <w:name w:val="header"/>
    <w:basedOn w:val="Normal"/>
    <w:link w:val="HeaderChar"/>
    <w:uiPriority w:val="99"/>
    <w:unhideWhenUsed/>
    <w:rsid w:val="00D92EDB"/>
    <w:pPr>
      <w:tabs>
        <w:tab w:val="center" w:pos="4680"/>
        <w:tab w:val="right" w:pos="9360"/>
      </w:tabs>
    </w:pPr>
  </w:style>
  <w:style w:type="character" w:customStyle="1" w:styleId="HeaderChar">
    <w:name w:val="Header Char"/>
    <w:basedOn w:val="DefaultParagraphFont"/>
    <w:link w:val="Header"/>
    <w:uiPriority w:val="99"/>
    <w:rsid w:val="00D92EDB"/>
    <w:rPr>
      <w:rFonts w:ascii="Calibri" w:eastAsiaTheme="minorEastAsia" w:hAnsi="Calibri" w:cs="Calibri"/>
      <w:kern w:val="0"/>
      <w:sz w:val="22"/>
      <w:szCs w:val="22"/>
      <w:lang w:val="en-GB" w:eastAsia="zh-CN"/>
      <w14:ligatures w14:val="none"/>
    </w:rPr>
  </w:style>
  <w:style w:type="paragraph" w:styleId="Footer">
    <w:name w:val="footer"/>
    <w:basedOn w:val="Normal"/>
    <w:link w:val="FooterChar"/>
    <w:uiPriority w:val="99"/>
    <w:unhideWhenUsed/>
    <w:rsid w:val="00D92EDB"/>
    <w:pPr>
      <w:tabs>
        <w:tab w:val="center" w:pos="4680"/>
        <w:tab w:val="right" w:pos="9360"/>
      </w:tabs>
    </w:pPr>
  </w:style>
  <w:style w:type="character" w:customStyle="1" w:styleId="FooterChar">
    <w:name w:val="Footer Char"/>
    <w:basedOn w:val="DefaultParagraphFont"/>
    <w:link w:val="Footer"/>
    <w:uiPriority w:val="99"/>
    <w:rsid w:val="00D92EDB"/>
    <w:rPr>
      <w:rFonts w:ascii="Calibri" w:eastAsiaTheme="minorEastAsia" w:hAnsi="Calibri" w:cs="Calibri"/>
      <w:kern w:val="0"/>
      <w:sz w:val="22"/>
      <w:szCs w:val="22"/>
      <w:lang w:val="en-GB" w:eastAsia="zh-CN"/>
      <w14:ligatures w14:val="none"/>
    </w:rPr>
  </w:style>
  <w:style w:type="paragraph" w:styleId="EndnoteText">
    <w:name w:val="endnote text"/>
    <w:basedOn w:val="Normal"/>
    <w:link w:val="EndnoteTextChar"/>
    <w:uiPriority w:val="98"/>
    <w:unhideWhenUsed/>
    <w:rsid w:val="00D92EDB"/>
    <w:rPr>
      <w:sz w:val="20"/>
      <w:szCs w:val="20"/>
    </w:rPr>
  </w:style>
  <w:style w:type="character" w:customStyle="1" w:styleId="EndnoteTextChar">
    <w:name w:val="Endnote Text Char"/>
    <w:basedOn w:val="DefaultParagraphFont"/>
    <w:link w:val="EndnoteText"/>
    <w:uiPriority w:val="98"/>
    <w:rsid w:val="00D92EDB"/>
    <w:rPr>
      <w:rFonts w:ascii="Calibri" w:eastAsiaTheme="minorEastAsia" w:hAnsi="Calibri" w:cs="Calibri"/>
      <w:kern w:val="0"/>
      <w:sz w:val="20"/>
      <w:szCs w:val="20"/>
      <w:lang w:val="en-GB" w:eastAsia="zh-CN"/>
      <w14:ligatures w14:val="none"/>
    </w:rPr>
  </w:style>
  <w:style w:type="character" w:styleId="EndnoteReference">
    <w:name w:val="endnote reference"/>
    <w:basedOn w:val="DefaultParagraphFont"/>
    <w:uiPriority w:val="99"/>
    <w:unhideWhenUsed/>
    <w:rsid w:val="00D92EDB"/>
    <w:rPr>
      <w:vertAlign w:val="superscript"/>
    </w:rPr>
  </w:style>
  <w:style w:type="character" w:customStyle="1" w:styleId="fal6plv">
    <w:name w:val="fal6plv"/>
    <w:basedOn w:val="DefaultParagraphFont"/>
    <w:rsid w:val="00DD508D"/>
  </w:style>
  <w:style w:type="character" w:customStyle="1" w:styleId="font-weight-bold">
    <w:name w:val="font-weight-bold"/>
    <w:basedOn w:val="DefaultParagraphFont"/>
    <w:rsid w:val="00085BA7"/>
  </w:style>
  <w:style w:type="paragraph" w:customStyle="1" w:styleId="pf0">
    <w:name w:val="pf0"/>
    <w:basedOn w:val="Normal"/>
    <w:rsid w:val="004F02DC"/>
    <w:pPr>
      <w:spacing w:before="100" w:beforeAutospacing="1" w:after="100" w:afterAutospacing="1"/>
      <w:ind w:left="0" w:firstLine="0"/>
      <w:jc w:val="left"/>
    </w:pPr>
    <w:rPr>
      <w:rFonts w:ascii="Times New Roman" w:eastAsia="Times New Roman" w:hAnsi="Times New Roman" w:cs="Times New Roman"/>
      <w:sz w:val="24"/>
      <w:szCs w:val="24"/>
      <w:lang w:val="en-PH" w:eastAsia="en-PH"/>
    </w:rPr>
  </w:style>
  <w:style w:type="character" w:customStyle="1" w:styleId="cf01">
    <w:name w:val="cf01"/>
    <w:basedOn w:val="DefaultParagraphFont"/>
    <w:rsid w:val="004F02DC"/>
    <w:rPr>
      <w:rFonts w:ascii="Segoe UI" w:hAnsi="Segoe UI" w:cs="Segoe UI" w:hint="default"/>
      <w:color w:val="292B2C"/>
      <w:sz w:val="18"/>
      <w:szCs w:val="18"/>
    </w:rPr>
  </w:style>
  <w:style w:type="character" w:styleId="Emphasis">
    <w:name w:val="Emphasis"/>
    <w:basedOn w:val="DefaultParagraphFont"/>
    <w:uiPriority w:val="20"/>
    <w:qFormat/>
    <w:rsid w:val="002C41A7"/>
    <w:rPr>
      <w:i/>
      <w:iCs/>
    </w:rPr>
  </w:style>
  <w:style w:type="paragraph" w:styleId="Quote">
    <w:name w:val="Quote"/>
    <w:basedOn w:val="Normal"/>
    <w:next w:val="Normal"/>
    <w:link w:val="QuoteChar"/>
    <w:uiPriority w:val="29"/>
    <w:qFormat/>
    <w:rsid w:val="002C41A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C41A7"/>
    <w:rPr>
      <w:rFonts w:ascii="Calibri" w:eastAsiaTheme="minorEastAsia" w:hAnsi="Calibri" w:cs="Calibri"/>
      <w:i/>
      <w:iCs/>
      <w:color w:val="404040" w:themeColor="text1" w:themeTint="BF"/>
      <w:kern w:val="0"/>
      <w:sz w:val="22"/>
      <w:szCs w:val="22"/>
      <w:lang w:val="en-GB" w:eastAsia="zh-CN"/>
      <w14:ligatures w14:val="none"/>
    </w:rPr>
  </w:style>
  <w:style w:type="character" w:styleId="SubtleReference">
    <w:name w:val="Subtle Reference"/>
    <w:basedOn w:val="DefaultParagraphFont"/>
    <w:uiPriority w:val="31"/>
    <w:qFormat/>
    <w:rsid w:val="00C329D1"/>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0327">
      <w:bodyDiv w:val="1"/>
      <w:marLeft w:val="0"/>
      <w:marRight w:val="0"/>
      <w:marTop w:val="0"/>
      <w:marBottom w:val="0"/>
      <w:divBdr>
        <w:top w:val="none" w:sz="0" w:space="0" w:color="auto"/>
        <w:left w:val="none" w:sz="0" w:space="0" w:color="auto"/>
        <w:bottom w:val="none" w:sz="0" w:space="0" w:color="auto"/>
        <w:right w:val="none" w:sz="0" w:space="0" w:color="auto"/>
      </w:divBdr>
    </w:div>
    <w:div w:id="83384741">
      <w:bodyDiv w:val="1"/>
      <w:marLeft w:val="0"/>
      <w:marRight w:val="0"/>
      <w:marTop w:val="0"/>
      <w:marBottom w:val="0"/>
      <w:divBdr>
        <w:top w:val="none" w:sz="0" w:space="0" w:color="auto"/>
        <w:left w:val="none" w:sz="0" w:space="0" w:color="auto"/>
        <w:bottom w:val="none" w:sz="0" w:space="0" w:color="auto"/>
        <w:right w:val="none" w:sz="0" w:space="0" w:color="auto"/>
      </w:divBdr>
    </w:div>
    <w:div w:id="123740963">
      <w:bodyDiv w:val="1"/>
      <w:marLeft w:val="0"/>
      <w:marRight w:val="0"/>
      <w:marTop w:val="0"/>
      <w:marBottom w:val="0"/>
      <w:divBdr>
        <w:top w:val="none" w:sz="0" w:space="0" w:color="auto"/>
        <w:left w:val="none" w:sz="0" w:space="0" w:color="auto"/>
        <w:bottom w:val="none" w:sz="0" w:space="0" w:color="auto"/>
        <w:right w:val="none" w:sz="0" w:space="0" w:color="auto"/>
      </w:divBdr>
      <w:divsChild>
        <w:div w:id="1719471075">
          <w:marLeft w:val="0"/>
          <w:marRight w:val="0"/>
          <w:marTop w:val="0"/>
          <w:marBottom w:val="0"/>
          <w:divBdr>
            <w:top w:val="none" w:sz="0" w:space="0" w:color="auto"/>
            <w:left w:val="none" w:sz="0" w:space="0" w:color="auto"/>
            <w:bottom w:val="none" w:sz="0" w:space="0" w:color="auto"/>
            <w:right w:val="none" w:sz="0" w:space="0" w:color="auto"/>
          </w:divBdr>
          <w:divsChild>
            <w:div w:id="504899870">
              <w:marLeft w:val="0"/>
              <w:marRight w:val="0"/>
              <w:marTop w:val="0"/>
              <w:marBottom w:val="0"/>
              <w:divBdr>
                <w:top w:val="none" w:sz="0" w:space="0" w:color="auto"/>
                <w:left w:val="none" w:sz="0" w:space="0" w:color="auto"/>
                <w:bottom w:val="none" w:sz="0" w:space="0" w:color="auto"/>
                <w:right w:val="none" w:sz="0" w:space="0" w:color="auto"/>
              </w:divBdr>
              <w:divsChild>
                <w:div w:id="24099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18982">
      <w:bodyDiv w:val="1"/>
      <w:marLeft w:val="0"/>
      <w:marRight w:val="0"/>
      <w:marTop w:val="0"/>
      <w:marBottom w:val="0"/>
      <w:divBdr>
        <w:top w:val="none" w:sz="0" w:space="0" w:color="auto"/>
        <w:left w:val="none" w:sz="0" w:space="0" w:color="auto"/>
        <w:bottom w:val="none" w:sz="0" w:space="0" w:color="auto"/>
        <w:right w:val="none" w:sz="0" w:space="0" w:color="auto"/>
      </w:divBdr>
    </w:div>
    <w:div w:id="216862654">
      <w:bodyDiv w:val="1"/>
      <w:marLeft w:val="0"/>
      <w:marRight w:val="0"/>
      <w:marTop w:val="0"/>
      <w:marBottom w:val="0"/>
      <w:divBdr>
        <w:top w:val="none" w:sz="0" w:space="0" w:color="auto"/>
        <w:left w:val="none" w:sz="0" w:space="0" w:color="auto"/>
        <w:bottom w:val="none" w:sz="0" w:space="0" w:color="auto"/>
        <w:right w:val="none" w:sz="0" w:space="0" w:color="auto"/>
      </w:divBdr>
      <w:divsChild>
        <w:div w:id="595023111">
          <w:marLeft w:val="0"/>
          <w:marRight w:val="0"/>
          <w:marTop w:val="0"/>
          <w:marBottom w:val="0"/>
          <w:divBdr>
            <w:top w:val="single" w:sz="12" w:space="11" w:color="F5F5F5"/>
            <w:left w:val="none" w:sz="0" w:space="0" w:color="auto"/>
            <w:bottom w:val="none" w:sz="0" w:space="11" w:color="auto"/>
            <w:right w:val="none" w:sz="0" w:space="0" w:color="auto"/>
          </w:divBdr>
        </w:div>
      </w:divsChild>
    </w:div>
    <w:div w:id="294413946">
      <w:bodyDiv w:val="1"/>
      <w:marLeft w:val="0"/>
      <w:marRight w:val="0"/>
      <w:marTop w:val="0"/>
      <w:marBottom w:val="0"/>
      <w:divBdr>
        <w:top w:val="none" w:sz="0" w:space="0" w:color="auto"/>
        <w:left w:val="none" w:sz="0" w:space="0" w:color="auto"/>
        <w:bottom w:val="none" w:sz="0" w:space="0" w:color="auto"/>
        <w:right w:val="none" w:sz="0" w:space="0" w:color="auto"/>
      </w:divBdr>
      <w:divsChild>
        <w:div w:id="459958737">
          <w:marLeft w:val="0"/>
          <w:marRight w:val="0"/>
          <w:marTop w:val="0"/>
          <w:marBottom w:val="0"/>
          <w:divBdr>
            <w:top w:val="none" w:sz="0" w:space="0" w:color="auto"/>
            <w:left w:val="none" w:sz="0" w:space="0" w:color="auto"/>
            <w:bottom w:val="none" w:sz="0" w:space="0" w:color="auto"/>
            <w:right w:val="none" w:sz="0" w:space="0" w:color="auto"/>
          </w:divBdr>
          <w:divsChild>
            <w:div w:id="1384018779">
              <w:marLeft w:val="0"/>
              <w:marRight w:val="0"/>
              <w:marTop w:val="0"/>
              <w:marBottom w:val="0"/>
              <w:divBdr>
                <w:top w:val="none" w:sz="0" w:space="0" w:color="auto"/>
                <w:left w:val="none" w:sz="0" w:space="0" w:color="auto"/>
                <w:bottom w:val="none" w:sz="0" w:space="0" w:color="auto"/>
                <w:right w:val="none" w:sz="0" w:space="0" w:color="auto"/>
              </w:divBdr>
              <w:divsChild>
                <w:div w:id="1320500250">
                  <w:marLeft w:val="0"/>
                  <w:marRight w:val="0"/>
                  <w:marTop w:val="0"/>
                  <w:marBottom w:val="0"/>
                  <w:divBdr>
                    <w:top w:val="none" w:sz="0" w:space="0" w:color="auto"/>
                    <w:left w:val="none" w:sz="0" w:space="0" w:color="auto"/>
                    <w:bottom w:val="none" w:sz="0" w:space="0" w:color="auto"/>
                    <w:right w:val="none" w:sz="0" w:space="0" w:color="auto"/>
                  </w:divBdr>
                  <w:divsChild>
                    <w:div w:id="17198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973969">
      <w:bodyDiv w:val="1"/>
      <w:marLeft w:val="0"/>
      <w:marRight w:val="0"/>
      <w:marTop w:val="0"/>
      <w:marBottom w:val="0"/>
      <w:divBdr>
        <w:top w:val="none" w:sz="0" w:space="0" w:color="auto"/>
        <w:left w:val="none" w:sz="0" w:space="0" w:color="auto"/>
        <w:bottom w:val="none" w:sz="0" w:space="0" w:color="auto"/>
        <w:right w:val="none" w:sz="0" w:space="0" w:color="auto"/>
      </w:divBdr>
    </w:div>
    <w:div w:id="306252046">
      <w:bodyDiv w:val="1"/>
      <w:marLeft w:val="0"/>
      <w:marRight w:val="0"/>
      <w:marTop w:val="0"/>
      <w:marBottom w:val="0"/>
      <w:divBdr>
        <w:top w:val="none" w:sz="0" w:space="0" w:color="auto"/>
        <w:left w:val="none" w:sz="0" w:space="0" w:color="auto"/>
        <w:bottom w:val="none" w:sz="0" w:space="0" w:color="auto"/>
        <w:right w:val="none" w:sz="0" w:space="0" w:color="auto"/>
      </w:divBdr>
      <w:divsChild>
        <w:div w:id="316305473">
          <w:marLeft w:val="0"/>
          <w:marRight w:val="0"/>
          <w:marTop w:val="0"/>
          <w:marBottom w:val="0"/>
          <w:divBdr>
            <w:top w:val="none" w:sz="0" w:space="0" w:color="auto"/>
            <w:left w:val="none" w:sz="0" w:space="0" w:color="auto"/>
            <w:bottom w:val="none" w:sz="0" w:space="0" w:color="auto"/>
            <w:right w:val="none" w:sz="0" w:space="0" w:color="auto"/>
          </w:divBdr>
          <w:divsChild>
            <w:div w:id="2020041585">
              <w:marLeft w:val="0"/>
              <w:marRight w:val="0"/>
              <w:marTop w:val="0"/>
              <w:marBottom w:val="0"/>
              <w:divBdr>
                <w:top w:val="none" w:sz="0" w:space="0" w:color="auto"/>
                <w:left w:val="none" w:sz="0" w:space="0" w:color="auto"/>
                <w:bottom w:val="none" w:sz="0" w:space="0" w:color="auto"/>
                <w:right w:val="none" w:sz="0" w:space="0" w:color="auto"/>
              </w:divBdr>
              <w:divsChild>
                <w:div w:id="127162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764195">
      <w:bodyDiv w:val="1"/>
      <w:marLeft w:val="0"/>
      <w:marRight w:val="0"/>
      <w:marTop w:val="0"/>
      <w:marBottom w:val="0"/>
      <w:divBdr>
        <w:top w:val="none" w:sz="0" w:space="0" w:color="auto"/>
        <w:left w:val="none" w:sz="0" w:space="0" w:color="auto"/>
        <w:bottom w:val="none" w:sz="0" w:space="0" w:color="auto"/>
        <w:right w:val="none" w:sz="0" w:space="0" w:color="auto"/>
      </w:divBdr>
      <w:divsChild>
        <w:div w:id="631985345">
          <w:marLeft w:val="0"/>
          <w:marRight w:val="0"/>
          <w:marTop w:val="0"/>
          <w:marBottom w:val="0"/>
          <w:divBdr>
            <w:top w:val="none" w:sz="0" w:space="0" w:color="auto"/>
            <w:left w:val="none" w:sz="0" w:space="0" w:color="auto"/>
            <w:bottom w:val="none" w:sz="0" w:space="0" w:color="auto"/>
            <w:right w:val="none" w:sz="0" w:space="0" w:color="auto"/>
          </w:divBdr>
          <w:divsChild>
            <w:div w:id="1640575384">
              <w:marLeft w:val="0"/>
              <w:marRight w:val="0"/>
              <w:marTop w:val="0"/>
              <w:marBottom w:val="0"/>
              <w:divBdr>
                <w:top w:val="none" w:sz="0" w:space="0" w:color="auto"/>
                <w:left w:val="none" w:sz="0" w:space="0" w:color="auto"/>
                <w:bottom w:val="none" w:sz="0" w:space="0" w:color="auto"/>
                <w:right w:val="none" w:sz="0" w:space="0" w:color="auto"/>
              </w:divBdr>
              <w:divsChild>
                <w:div w:id="213597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292711">
      <w:bodyDiv w:val="1"/>
      <w:marLeft w:val="0"/>
      <w:marRight w:val="0"/>
      <w:marTop w:val="0"/>
      <w:marBottom w:val="0"/>
      <w:divBdr>
        <w:top w:val="none" w:sz="0" w:space="0" w:color="auto"/>
        <w:left w:val="none" w:sz="0" w:space="0" w:color="auto"/>
        <w:bottom w:val="none" w:sz="0" w:space="0" w:color="auto"/>
        <w:right w:val="none" w:sz="0" w:space="0" w:color="auto"/>
      </w:divBdr>
      <w:divsChild>
        <w:div w:id="1218854160">
          <w:marLeft w:val="0"/>
          <w:marRight w:val="0"/>
          <w:marTop w:val="0"/>
          <w:marBottom w:val="0"/>
          <w:divBdr>
            <w:top w:val="none" w:sz="0" w:space="0" w:color="auto"/>
            <w:left w:val="none" w:sz="0" w:space="0" w:color="auto"/>
            <w:bottom w:val="none" w:sz="0" w:space="0" w:color="auto"/>
            <w:right w:val="none" w:sz="0" w:space="0" w:color="auto"/>
          </w:divBdr>
          <w:divsChild>
            <w:div w:id="281766491">
              <w:marLeft w:val="0"/>
              <w:marRight w:val="0"/>
              <w:marTop w:val="0"/>
              <w:marBottom w:val="0"/>
              <w:divBdr>
                <w:top w:val="none" w:sz="0" w:space="0" w:color="auto"/>
                <w:left w:val="none" w:sz="0" w:space="0" w:color="auto"/>
                <w:bottom w:val="none" w:sz="0" w:space="0" w:color="auto"/>
                <w:right w:val="none" w:sz="0" w:space="0" w:color="auto"/>
              </w:divBdr>
              <w:divsChild>
                <w:div w:id="107154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658311">
      <w:bodyDiv w:val="1"/>
      <w:marLeft w:val="0"/>
      <w:marRight w:val="0"/>
      <w:marTop w:val="0"/>
      <w:marBottom w:val="0"/>
      <w:divBdr>
        <w:top w:val="none" w:sz="0" w:space="0" w:color="auto"/>
        <w:left w:val="none" w:sz="0" w:space="0" w:color="auto"/>
        <w:bottom w:val="none" w:sz="0" w:space="0" w:color="auto"/>
        <w:right w:val="none" w:sz="0" w:space="0" w:color="auto"/>
      </w:divBdr>
      <w:divsChild>
        <w:div w:id="1609501731">
          <w:marLeft w:val="0"/>
          <w:marRight w:val="0"/>
          <w:marTop w:val="0"/>
          <w:marBottom w:val="0"/>
          <w:divBdr>
            <w:top w:val="none" w:sz="0" w:space="0" w:color="auto"/>
            <w:left w:val="none" w:sz="0" w:space="0" w:color="auto"/>
            <w:bottom w:val="none" w:sz="0" w:space="0" w:color="auto"/>
            <w:right w:val="none" w:sz="0" w:space="0" w:color="auto"/>
          </w:divBdr>
          <w:divsChild>
            <w:div w:id="977031086">
              <w:marLeft w:val="0"/>
              <w:marRight w:val="0"/>
              <w:marTop w:val="0"/>
              <w:marBottom w:val="0"/>
              <w:divBdr>
                <w:top w:val="none" w:sz="0" w:space="0" w:color="auto"/>
                <w:left w:val="none" w:sz="0" w:space="0" w:color="auto"/>
                <w:bottom w:val="none" w:sz="0" w:space="0" w:color="auto"/>
                <w:right w:val="none" w:sz="0" w:space="0" w:color="auto"/>
              </w:divBdr>
              <w:divsChild>
                <w:div w:id="139253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879384">
      <w:bodyDiv w:val="1"/>
      <w:marLeft w:val="0"/>
      <w:marRight w:val="0"/>
      <w:marTop w:val="0"/>
      <w:marBottom w:val="0"/>
      <w:divBdr>
        <w:top w:val="none" w:sz="0" w:space="0" w:color="auto"/>
        <w:left w:val="none" w:sz="0" w:space="0" w:color="auto"/>
        <w:bottom w:val="none" w:sz="0" w:space="0" w:color="auto"/>
        <w:right w:val="none" w:sz="0" w:space="0" w:color="auto"/>
      </w:divBdr>
      <w:divsChild>
        <w:div w:id="987785087">
          <w:marLeft w:val="0"/>
          <w:marRight w:val="0"/>
          <w:marTop w:val="0"/>
          <w:marBottom w:val="0"/>
          <w:divBdr>
            <w:top w:val="none" w:sz="0" w:space="0" w:color="auto"/>
            <w:left w:val="none" w:sz="0" w:space="0" w:color="auto"/>
            <w:bottom w:val="none" w:sz="0" w:space="0" w:color="auto"/>
            <w:right w:val="none" w:sz="0" w:space="0" w:color="auto"/>
          </w:divBdr>
          <w:divsChild>
            <w:div w:id="107940149">
              <w:marLeft w:val="0"/>
              <w:marRight w:val="0"/>
              <w:marTop w:val="0"/>
              <w:marBottom w:val="0"/>
              <w:divBdr>
                <w:top w:val="none" w:sz="0" w:space="0" w:color="auto"/>
                <w:left w:val="none" w:sz="0" w:space="0" w:color="auto"/>
                <w:bottom w:val="none" w:sz="0" w:space="0" w:color="auto"/>
                <w:right w:val="none" w:sz="0" w:space="0" w:color="auto"/>
              </w:divBdr>
              <w:divsChild>
                <w:div w:id="51526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850097">
      <w:bodyDiv w:val="1"/>
      <w:marLeft w:val="0"/>
      <w:marRight w:val="0"/>
      <w:marTop w:val="0"/>
      <w:marBottom w:val="0"/>
      <w:divBdr>
        <w:top w:val="none" w:sz="0" w:space="0" w:color="auto"/>
        <w:left w:val="none" w:sz="0" w:space="0" w:color="auto"/>
        <w:bottom w:val="none" w:sz="0" w:space="0" w:color="auto"/>
        <w:right w:val="none" w:sz="0" w:space="0" w:color="auto"/>
      </w:divBdr>
      <w:divsChild>
        <w:div w:id="581334432">
          <w:marLeft w:val="0"/>
          <w:marRight w:val="0"/>
          <w:marTop w:val="0"/>
          <w:marBottom w:val="0"/>
          <w:divBdr>
            <w:top w:val="none" w:sz="0" w:space="0" w:color="auto"/>
            <w:left w:val="none" w:sz="0" w:space="0" w:color="auto"/>
            <w:bottom w:val="none" w:sz="0" w:space="0" w:color="auto"/>
            <w:right w:val="none" w:sz="0" w:space="0" w:color="auto"/>
          </w:divBdr>
          <w:divsChild>
            <w:div w:id="1387141386">
              <w:marLeft w:val="0"/>
              <w:marRight w:val="0"/>
              <w:marTop w:val="0"/>
              <w:marBottom w:val="0"/>
              <w:divBdr>
                <w:top w:val="none" w:sz="0" w:space="0" w:color="auto"/>
                <w:left w:val="none" w:sz="0" w:space="0" w:color="auto"/>
                <w:bottom w:val="none" w:sz="0" w:space="0" w:color="auto"/>
                <w:right w:val="none" w:sz="0" w:space="0" w:color="auto"/>
              </w:divBdr>
              <w:divsChild>
                <w:div w:id="44138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543591">
      <w:bodyDiv w:val="1"/>
      <w:marLeft w:val="0"/>
      <w:marRight w:val="0"/>
      <w:marTop w:val="0"/>
      <w:marBottom w:val="0"/>
      <w:divBdr>
        <w:top w:val="none" w:sz="0" w:space="0" w:color="auto"/>
        <w:left w:val="none" w:sz="0" w:space="0" w:color="auto"/>
        <w:bottom w:val="none" w:sz="0" w:space="0" w:color="auto"/>
        <w:right w:val="none" w:sz="0" w:space="0" w:color="auto"/>
      </w:divBdr>
      <w:divsChild>
        <w:div w:id="37895977">
          <w:marLeft w:val="0"/>
          <w:marRight w:val="0"/>
          <w:marTop w:val="0"/>
          <w:marBottom w:val="0"/>
          <w:divBdr>
            <w:top w:val="none" w:sz="0" w:space="0" w:color="auto"/>
            <w:left w:val="none" w:sz="0" w:space="0" w:color="auto"/>
            <w:bottom w:val="none" w:sz="0" w:space="0" w:color="auto"/>
            <w:right w:val="none" w:sz="0" w:space="0" w:color="auto"/>
          </w:divBdr>
          <w:divsChild>
            <w:div w:id="1999842954">
              <w:marLeft w:val="0"/>
              <w:marRight w:val="0"/>
              <w:marTop w:val="0"/>
              <w:marBottom w:val="0"/>
              <w:divBdr>
                <w:top w:val="none" w:sz="0" w:space="0" w:color="auto"/>
                <w:left w:val="none" w:sz="0" w:space="0" w:color="auto"/>
                <w:bottom w:val="none" w:sz="0" w:space="0" w:color="auto"/>
                <w:right w:val="none" w:sz="0" w:space="0" w:color="auto"/>
              </w:divBdr>
              <w:divsChild>
                <w:div w:id="107643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778188">
      <w:bodyDiv w:val="1"/>
      <w:marLeft w:val="0"/>
      <w:marRight w:val="0"/>
      <w:marTop w:val="0"/>
      <w:marBottom w:val="0"/>
      <w:divBdr>
        <w:top w:val="none" w:sz="0" w:space="0" w:color="auto"/>
        <w:left w:val="none" w:sz="0" w:space="0" w:color="auto"/>
        <w:bottom w:val="none" w:sz="0" w:space="0" w:color="auto"/>
        <w:right w:val="none" w:sz="0" w:space="0" w:color="auto"/>
      </w:divBdr>
      <w:divsChild>
        <w:div w:id="665329697">
          <w:marLeft w:val="0"/>
          <w:marRight w:val="0"/>
          <w:marTop w:val="0"/>
          <w:marBottom w:val="0"/>
          <w:divBdr>
            <w:top w:val="none" w:sz="0" w:space="0" w:color="auto"/>
            <w:left w:val="none" w:sz="0" w:space="0" w:color="auto"/>
            <w:bottom w:val="none" w:sz="0" w:space="0" w:color="auto"/>
            <w:right w:val="none" w:sz="0" w:space="0" w:color="auto"/>
          </w:divBdr>
          <w:divsChild>
            <w:div w:id="2020157604">
              <w:marLeft w:val="0"/>
              <w:marRight w:val="0"/>
              <w:marTop w:val="0"/>
              <w:marBottom w:val="0"/>
              <w:divBdr>
                <w:top w:val="none" w:sz="0" w:space="0" w:color="auto"/>
                <w:left w:val="none" w:sz="0" w:space="0" w:color="auto"/>
                <w:bottom w:val="none" w:sz="0" w:space="0" w:color="auto"/>
                <w:right w:val="none" w:sz="0" w:space="0" w:color="auto"/>
              </w:divBdr>
              <w:divsChild>
                <w:div w:id="124047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278356">
      <w:bodyDiv w:val="1"/>
      <w:marLeft w:val="0"/>
      <w:marRight w:val="0"/>
      <w:marTop w:val="0"/>
      <w:marBottom w:val="0"/>
      <w:divBdr>
        <w:top w:val="none" w:sz="0" w:space="0" w:color="auto"/>
        <w:left w:val="none" w:sz="0" w:space="0" w:color="auto"/>
        <w:bottom w:val="none" w:sz="0" w:space="0" w:color="auto"/>
        <w:right w:val="none" w:sz="0" w:space="0" w:color="auto"/>
      </w:divBdr>
      <w:divsChild>
        <w:div w:id="817648820">
          <w:marLeft w:val="0"/>
          <w:marRight w:val="0"/>
          <w:marTop w:val="0"/>
          <w:marBottom w:val="0"/>
          <w:divBdr>
            <w:top w:val="none" w:sz="0" w:space="0" w:color="auto"/>
            <w:left w:val="none" w:sz="0" w:space="0" w:color="auto"/>
            <w:bottom w:val="none" w:sz="0" w:space="0" w:color="auto"/>
            <w:right w:val="none" w:sz="0" w:space="0" w:color="auto"/>
          </w:divBdr>
          <w:divsChild>
            <w:div w:id="1243612215">
              <w:marLeft w:val="0"/>
              <w:marRight w:val="0"/>
              <w:marTop w:val="0"/>
              <w:marBottom w:val="0"/>
              <w:divBdr>
                <w:top w:val="none" w:sz="0" w:space="0" w:color="auto"/>
                <w:left w:val="none" w:sz="0" w:space="0" w:color="auto"/>
                <w:bottom w:val="none" w:sz="0" w:space="0" w:color="auto"/>
                <w:right w:val="none" w:sz="0" w:space="0" w:color="auto"/>
              </w:divBdr>
              <w:divsChild>
                <w:div w:id="19737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009252">
      <w:bodyDiv w:val="1"/>
      <w:marLeft w:val="0"/>
      <w:marRight w:val="0"/>
      <w:marTop w:val="0"/>
      <w:marBottom w:val="0"/>
      <w:divBdr>
        <w:top w:val="none" w:sz="0" w:space="0" w:color="auto"/>
        <w:left w:val="none" w:sz="0" w:space="0" w:color="auto"/>
        <w:bottom w:val="none" w:sz="0" w:space="0" w:color="auto"/>
        <w:right w:val="none" w:sz="0" w:space="0" w:color="auto"/>
      </w:divBdr>
      <w:divsChild>
        <w:div w:id="1441951893">
          <w:marLeft w:val="0"/>
          <w:marRight w:val="0"/>
          <w:marTop w:val="0"/>
          <w:marBottom w:val="0"/>
          <w:divBdr>
            <w:top w:val="none" w:sz="0" w:space="0" w:color="auto"/>
            <w:left w:val="none" w:sz="0" w:space="0" w:color="auto"/>
            <w:bottom w:val="none" w:sz="0" w:space="0" w:color="auto"/>
            <w:right w:val="none" w:sz="0" w:space="0" w:color="auto"/>
          </w:divBdr>
          <w:divsChild>
            <w:div w:id="1801025577">
              <w:marLeft w:val="0"/>
              <w:marRight w:val="0"/>
              <w:marTop w:val="0"/>
              <w:marBottom w:val="0"/>
              <w:divBdr>
                <w:top w:val="none" w:sz="0" w:space="0" w:color="auto"/>
                <w:left w:val="none" w:sz="0" w:space="0" w:color="auto"/>
                <w:bottom w:val="none" w:sz="0" w:space="0" w:color="auto"/>
                <w:right w:val="none" w:sz="0" w:space="0" w:color="auto"/>
              </w:divBdr>
              <w:divsChild>
                <w:div w:id="120405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636173">
      <w:bodyDiv w:val="1"/>
      <w:marLeft w:val="0"/>
      <w:marRight w:val="0"/>
      <w:marTop w:val="0"/>
      <w:marBottom w:val="0"/>
      <w:divBdr>
        <w:top w:val="none" w:sz="0" w:space="0" w:color="auto"/>
        <w:left w:val="none" w:sz="0" w:space="0" w:color="auto"/>
        <w:bottom w:val="none" w:sz="0" w:space="0" w:color="auto"/>
        <w:right w:val="none" w:sz="0" w:space="0" w:color="auto"/>
      </w:divBdr>
      <w:divsChild>
        <w:div w:id="539320428">
          <w:marLeft w:val="0"/>
          <w:marRight w:val="0"/>
          <w:marTop w:val="0"/>
          <w:marBottom w:val="0"/>
          <w:divBdr>
            <w:top w:val="none" w:sz="0" w:space="0" w:color="auto"/>
            <w:left w:val="none" w:sz="0" w:space="0" w:color="auto"/>
            <w:bottom w:val="none" w:sz="0" w:space="0" w:color="auto"/>
            <w:right w:val="none" w:sz="0" w:space="0" w:color="auto"/>
          </w:divBdr>
          <w:divsChild>
            <w:div w:id="1505777384">
              <w:marLeft w:val="0"/>
              <w:marRight w:val="0"/>
              <w:marTop w:val="0"/>
              <w:marBottom w:val="0"/>
              <w:divBdr>
                <w:top w:val="none" w:sz="0" w:space="0" w:color="auto"/>
                <w:left w:val="none" w:sz="0" w:space="0" w:color="auto"/>
                <w:bottom w:val="none" w:sz="0" w:space="0" w:color="auto"/>
                <w:right w:val="none" w:sz="0" w:space="0" w:color="auto"/>
              </w:divBdr>
              <w:divsChild>
                <w:div w:id="38372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340396">
      <w:bodyDiv w:val="1"/>
      <w:marLeft w:val="0"/>
      <w:marRight w:val="0"/>
      <w:marTop w:val="0"/>
      <w:marBottom w:val="0"/>
      <w:divBdr>
        <w:top w:val="none" w:sz="0" w:space="0" w:color="auto"/>
        <w:left w:val="none" w:sz="0" w:space="0" w:color="auto"/>
        <w:bottom w:val="none" w:sz="0" w:space="0" w:color="auto"/>
        <w:right w:val="none" w:sz="0" w:space="0" w:color="auto"/>
      </w:divBdr>
      <w:divsChild>
        <w:div w:id="1398481267">
          <w:marLeft w:val="0"/>
          <w:marRight w:val="0"/>
          <w:marTop w:val="0"/>
          <w:marBottom w:val="0"/>
          <w:divBdr>
            <w:top w:val="none" w:sz="0" w:space="0" w:color="auto"/>
            <w:left w:val="none" w:sz="0" w:space="0" w:color="auto"/>
            <w:bottom w:val="none" w:sz="0" w:space="0" w:color="auto"/>
            <w:right w:val="none" w:sz="0" w:space="0" w:color="auto"/>
          </w:divBdr>
          <w:divsChild>
            <w:div w:id="182978242">
              <w:marLeft w:val="0"/>
              <w:marRight w:val="0"/>
              <w:marTop w:val="0"/>
              <w:marBottom w:val="0"/>
              <w:divBdr>
                <w:top w:val="none" w:sz="0" w:space="0" w:color="auto"/>
                <w:left w:val="none" w:sz="0" w:space="0" w:color="auto"/>
                <w:bottom w:val="none" w:sz="0" w:space="0" w:color="auto"/>
                <w:right w:val="none" w:sz="0" w:space="0" w:color="auto"/>
              </w:divBdr>
              <w:divsChild>
                <w:div w:id="139738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194152">
      <w:bodyDiv w:val="1"/>
      <w:marLeft w:val="0"/>
      <w:marRight w:val="0"/>
      <w:marTop w:val="0"/>
      <w:marBottom w:val="0"/>
      <w:divBdr>
        <w:top w:val="none" w:sz="0" w:space="0" w:color="auto"/>
        <w:left w:val="none" w:sz="0" w:space="0" w:color="auto"/>
        <w:bottom w:val="none" w:sz="0" w:space="0" w:color="auto"/>
        <w:right w:val="none" w:sz="0" w:space="0" w:color="auto"/>
      </w:divBdr>
      <w:divsChild>
        <w:div w:id="545337732">
          <w:marLeft w:val="0"/>
          <w:marRight w:val="0"/>
          <w:marTop w:val="0"/>
          <w:marBottom w:val="0"/>
          <w:divBdr>
            <w:top w:val="none" w:sz="0" w:space="0" w:color="auto"/>
            <w:left w:val="none" w:sz="0" w:space="0" w:color="auto"/>
            <w:bottom w:val="none" w:sz="0" w:space="0" w:color="auto"/>
            <w:right w:val="none" w:sz="0" w:space="0" w:color="auto"/>
          </w:divBdr>
          <w:divsChild>
            <w:div w:id="1477184470">
              <w:marLeft w:val="0"/>
              <w:marRight w:val="0"/>
              <w:marTop w:val="0"/>
              <w:marBottom w:val="0"/>
              <w:divBdr>
                <w:top w:val="none" w:sz="0" w:space="0" w:color="auto"/>
                <w:left w:val="none" w:sz="0" w:space="0" w:color="auto"/>
                <w:bottom w:val="none" w:sz="0" w:space="0" w:color="auto"/>
                <w:right w:val="none" w:sz="0" w:space="0" w:color="auto"/>
              </w:divBdr>
              <w:divsChild>
                <w:div w:id="178094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558883">
      <w:bodyDiv w:val="1"/>
      <w:marLeft w:val="0"/>
      <w:marRight w:val="0"/>
      <w:marTop w:val="0"/>
      <w:marBottom w:val="0"/>
      <w:divBdr>
        <w:top w:val="none" w:sz="0" w:space="0" w:color="auto"/>
        <w:left w:val="none" w:sz="0" w:space="0" w:color="auto"/>
        <w:bottom w:val="none" w:sz="0" w:space="0" w:color="auto"/>
        <w:right w:val="none" w:sz="0" w:space="0" w:color="auto"/>
      </w:divBdr>
      <w:divsChild>
        <w:div w:id="481166778">
          <w:marLeft w:val="0"/>
          <w:marRight w:val="0"/>
          <w:marTop w:val="0"/>
          <w:marBottom w:val="0"/>
          <w:divBdr>
            <w:top w:val="none" w:sz="0" w:space="0" w:color="auto"/>
            <w:left w:val="none" w:sz="0" w:space="0" w:color="auto"/>
            <w:bottom w:val="none" w:sz="0" w:space="0" w:color="auto"/>
            <w:right w:val="none" w:sz="0" w:space="0" w:color="auto"/>
          </w:divBdr>
          <w:divsChild>
            <w:div w:id="679818845">
              <w:marLeft w:val="0"/>
              <w:marRight w:val="0"/>
              <w:marTop w:val="0"/>
              <w:marBottom w:val="0"/>
              <w:divBdr>
                <w:top w:val="none" w:sz="0" w:space="0" w:color="auto"/>
                <w:left w:val="none" w:sz="0" w:space="0" w:color="auto"/>
                <w:bottom w:val="none" w:sz="0" w:space="0" w:color="auto"/>
                <w:right w:val="none" w:sz="0" w:space="0" w:color="auto"/>
              </w:divBdr>
              <w:divsChild>
                <w:div w:id="99576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115224">
      <w:bodyDiv w:val="1"/>
      <w:marLeft w:val="0"/>
      <w:marRight w:val="0"/>
      <w:marTop w:val="0"/>
      <w:marBottom w:val="0"/>
      <w:divBdr>
        <w:top w:val="none" w:sz="0" w:space="0" w:color="auto"/>
        <w:left w:val="none" w:sz="0" w:space="0" w:color="auto"/>
        <w:bottom w:val="none" w:sz="0" w:space="0" w:color="auto"/>
        <w:right w:val="none" w:sz="0" w:space="0" w:color="auto"/>
      </w:divBdr>
    </w:div>
    <w:div w:id="1552841251">
      <w:bodyDiv w:val="1"/>
      <w:marLeft w:val="0"/>
      <w:marRight w:val="0"/>
      <w:marTop w:val="0"/>
      <w:marBottom w:val="0"/>
      <w:divBdr>
        <w:top w:val="none" w:sz="0" w:space="0" w:color="auto"/>
        <w:left w:val="none" w:sz="0" w:space="0" w:color="auto"/>
        <w:bottom w:val="none" w:sz="0" w:space="0" w:color="auto"/>
        <w:right w:val="none" w:sz="0" w:space="0" w:color="auto"/>
      </w:divBdr>
      <w:divsChild>
        <w:div w:id="273293780">
          <w:marLeft w:val="0"/>
          <w:marRight w:val="0"/>
          <w:marTop w:val="0"/>
          <w:marBottom w:val="0"/>
          <w:divBdr>
            <w:top w:val="none" w:sz="0" w:space="0" w:color="auto"/>
            <w:left w:val="none" w:sz="0" w:space="0" w:color="auto"/>
            <w:bottom w:val="none" w:sz="0" w:space="0" w:color="auto"/>
            <w:right w:val="none" w:sz="0" w:space="0" w:color="auto"/>
          </w:divBdr>
          <w:divsChild>
            <w:div w:id="220945531">
              <w:marLeft w:val="0"/>
              <w:marRight w:val="0"/>
              <w:marTop w:val="0"/>
              <w:marBottom w:val="0"/>
              <w:divBdr>
                <w:top w:val="none" w:sz="0" w:space="0" w:color="auto"/>
                <w:left w:val="none" w:sz="0" w:space="0" w:color="auto"/>
                <w:bottom w:val="none" w:sz="0" w:space="0" w:color="auto"/>
                <w:right w:val="none" w:sz="0" w:space="0" w:color="auto"/>
              </w:divBdr>
              <w:divsChild>
                <w:div w:id="4608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938925">
      <w:bodyDiv w:val="1"/>
      <w:marLeft w:val="0"/>
      <w:marRight w:val="0"/>
      <w:marTop w:val="0"/>
      <w:marBottom w:val="0"/>
      <w:divBdr>
        <w:top w:val="none" w:sz="0" w:space="0" w:color="auto"/>
        <w:left w:val="none" w:sz="0" w:space="0" w:color="auto"/>
        <w:bottom w:val="none" w:sz="0" w:space="0" w:color="auto"/>
        <w:right w:val="none" w:sz="0" w:space="0" w:color="auto"/>
      </w:divBdr>
      <w:divsChild>
        <w:div w:id="203293258">
          <w:marLeft w:val="0"/>
          <w:marRight w:val="0"/>
          <w:marTop w:val="0"/>
          <w:marBottom w:val="0"/>
          <w:divBdr>
            <w:top w:val="none" w:sz="0" w:space="0" w:color="auto"/>
            <w:left w:val="none" w:sz="0" w:space="0" w:color="auto"/>
            <w:bottom w:val="none" w:sz="0" w:space="0" w:color="auto"/>
            <w:right w:val="none" w:sz="0" w:space="0" w:color="auto"/>
          </w:divBdr>
          <w:divsChild>
            <w:div w:id="975717414">
              <w:marLeft w:val="0"/>
              <w:marRight w:val="0"/>
              <w:marTop w:val="0"/>
              <w:marBottom w:val="0"/>
              <w:divBdr>
                <w:top w:val="none" w:sz="0" w:space="0" w:color="auto"/>
                <w:left w:val="none" w:sz="0" w:space="0" w:color="auto"/>
                <w:bottom w:val="none" w:sz="0" w:space="0" w:color="auto"/>
                <w:right w:val="none" w:sz="0" w:space="0" w:color="auto"/>
              </w:divBdr>
              <w:divsChild>
                <w:div w:id="149881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015682">
      <w:bodyDiv w:val="1"/>
      <w:marLeft w:val="0"/>
      <w:marRight w:val="0"/>
      <w:marTop w:val="0"/>
      <w:marBottom w:val="0"/>
      <w:divBdr>
        <w:top w:val="none" w:sz="0" w:space="0" w:color="auto"/>
        <w:left w:val="none" w:sz="0" w:space="0" w:color="auto"/>
        <w:bottom w:val="none" w:sz="0" w:space="0" w:color="auto"/>
        <w:right w:val="none" w:sz="0" w:space="0" w:color="auto"/>
      </w:divBdr>
      <w:divsChild>
        <w:div w:id="729695079">
          <w:marLeft w:val="0"/>
          <w:marRight w:val="0"/>
          <w:marTop w:val="0"/>
          <w:marBottom w:val="0"/>
          <w:divBdr>
            <w:top w:val="none" w:sz="0" w:space="0" w:color="auto"/>
            <w:left w:val="none" w:sz="0" w:space="0" w:color="auto"/>
            <w:bottom w:val="none" w:sz="0" w:space="0" w:color="auto"/>
            <w:right w:val="none" w:sz="0" w:space="0" w:color="auto"/>
          </w:divBdr>
          <w:divsChild>
            <w:div w:id="959989332">
              <w:marLeft w:val="0"/>
              <w:marRight w:val="0"/>
              <w:marTop w:val="0"/>
              <w:marBottom w:val="0"/>
              <w:divBdr>
                <w:top w:val="none" w:sz="0" w:space="0" w:color="auto"/>
                <w:left w:val="none" w:sz="0" w:space="0" w:color="auto"/>
                <w:bottom w:val="none" w:sz="0" w:space="0" w:color="auto"/>
                <w:right w:val="none" w:sz="0" w:space="0" w:color="auto"/>
              </w:divBdr>
              <w:divsChild>
                <w:div w:id="59077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847693">
      <w:bodyDiv w:val="1"/>
      <w:marLeft w:val="0"/>
      <w:marRight w:val="0"/>
      <w:marTop w:val="0"/>
      <w:marBottom w:val="0"/>
      <w:divBdr>
        <w:top w:val="none" w:sz="0" w:space="0" w:color="auto"/>
        <w:left w:val="none" w:sz="0" w:space="0" w:color="auto"/>
        <w:bottom w:val="none" w:sz="0" w:space="0" w:color="auto"/>
        <w:right w:val="none" w:sz="0" w:space="0" w:color="auto"/>
      </w:divBdr>
      <w:divsChild>
        <w:div w:id="233273809">
          <w:marLeft w:val="0"/>
          <w:marRight w:val="0"/>
          <w:marTop w:val="0"/>
          <w:marBottom w:val="0"/>
          <w:divBdr>
            <w:top w:val="none" w:sz="0" w:space="0" w:color="auto"/>
            <w:left w:val="none" w:sz="0" w:space="0" w:color="auto"/>
            <w:bottom w:val="none" w:sz="0" w:space="0" w:color="auto"/>
            <w:right w:val="none" w:sz="0" w:space="0" w:color="auto"/>
          </w:divBdr>
          <w:divsChild>
            <w:div w:id="269515538">
              <w:marLeft w:val="0"/>
              <w:marRight w:val="0"/>
              <w:marTop w:val="0"/>
              <w:marBottom w:val="0"/>
              <w:divBdr>
                <w:top w:val="none" w:sz="0" w:space="0" w:color="auto"/>
                <w:left w:val="none" w:sz="0" w:space="0" w:color="auto"/>
                <w:bottom w:val="none" w:sz="0" w:space="0" w:color="auto"/>
                <w:right w:val="none" w:sz="0" w:space="0" w:color="auto"/>
              </w:divBdr>
              <w:divsChild>
                <w:div w:id="147594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984257">
      <w:bodyDiv w:val="1"/>
      <w:marLeft w:val="0"/>
      <w:marRight w:val="0"/>
      <w:marTop w:val="0"/>
      <w:marBottom w:val="0"/>
      <w:divBdr>
        <w:top w:val="none" w:sz="0" w:space="0" w:color="auto"/>
        <w:left w:val="none" w:sz="0" w:space="0" w:color="auto"/>
        <w:bottom w:val="none" w:sz="0" w:space="0" w:color="auto"/>
        <w:right w:val="none" w:sz="0" w:space="0" w:color="auto"/>
      </w:divBdr>
      <w:divsChild>
        <w:div w:id="160856612">
          <w:marLeft w:val="0"/>
          <w:marRight w:val="0"/>
          <w:marTop w:val="0"/>
          <w:marBottom w:val="0"/>
          <w:divBdr>
            <w:top w:val="none" w:sz="0" w:space="0" w:color="auto"/>
            <w:left w:val="none" w:sz="0" w:space="0" w:color="auto"/>
            <w:bottom w:val="none" w:sz="0" w:space="0" w:color="auto"/>
            <w:right w:val="none" w:sz="0" w:space="0" w:color="auto"/>
          </w:divBdr>
          <w:divsChild>
            <w:div w:id="1434597096">
              <w:marLeft w:val="0"/>
              <w:marRight w:val="0"/>
              <w:marTop w:val="0"/>
              <w:marBottom w:val="0"/>
              <w:divBdr>
                <w:top w:val="none" w:sz="0" w:space="0" w:color="auto"/>
                <w:left w:val="none" w:sz="0" w:space="0" w:color="auto"/>
                <w:bottom w:val="none" w:sz="0" w:space="0" w:color="auto"/>
                <w:right w:val="none" w:sz="0" w:space="0" w:color="auto"/>
              </w:divBdr>
              <w:divsChild>
                <w:div w:id="147039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837971">
      <w:bodyDiv w:val="1"/>
      <w:marLeft w:val="0"/>
      <w:marRight w:val="0"/>
      <w:marTop w:val="0"/>
      <w:marBottom w:val="0"/>
      <w:divBdr>
        <w:top w:val="none" w:sz="0" w:space="0" w:color="auto"/>
        <w:left w:val="none" w:sz="0" w:space="0" w:color="auto"/>
        <w:bottom w:val="none" w:sz="0" w:space="0" w:color="auto"/>
        <w:right w:val="none" w:sz="0" w:space="0" w:color="auto"/>
      </w:divBdr>
      <w:divsChild>
        <w:div w:id="1638804746">
          <w:marLeft w:val="0"/>
          <w:marRight w:val="0"/>
          <w:marTop w:val="0"/>
          <w:marBottom w:val="0"/>
          <w:divBdr>
            <w:top w:val="none" w:sz="0" w:space="0" w:color="auto"/>
            <w:left w:val="none" w:sz="0" w:space="0" w:color="auto"/>
            <w:bottom w:val="none" w:sz="0" w:space="0" w:color="auto"/>
            <w:right w:val="none" w:sz="0" w:space="0" w:color="auto"/>
          </w:divBdr>
          <w:divsChild>
            <w:div w:id="286745496">
              <w:marLeft w:val="0"/>
              <w:marRight w:val="0"/>
              <w:marTop w:val="0"/>
              <w:marBottom w:val="0"/>
              <w:divBdr>
                <w:top w:val="none" w:sz="0" w:space="0" w:color="auto"/>
                <w:left w:val="none" w:sz="0" w:space="0" w:color="auto"/>
                <w:bottom w:val="none" w:sz="0" w:space="0" w:color="auto"/>
                <w:right w:val="none" w:sz="0" w:space="0" w:color="auto"/>
              </w:divBdr>
              <w:divsChild>
                <w:div w:id="116740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352497">
      <w:bodyDiv w:val="1"/>
      <w:marLeft w:val="0"/>
      <w:marRight w:val="0"/>
      <w:marTop w:val="0"/>
      <w:marBottom w:val="0"/>
      <w:divBdr>
        <w:top w:val="none" w:sz="0" w:space="0" w:color="auto"/>
        <w:left w:val="none" w:sz="0" w:space="0" w:color="auto"/>
        <w:bottom w:val="none" w:sz="0" w:space="0" w:color="auto"/>
        <w:right w:val="none" w:sz="0" w:space="0" w:color="auto"/>
      </w:divBdr>
      <w:divsChild>
        <w:div w:id="246768049">
          <w:marLeft w:val="0"/>
          <w:marRight w:val="0"/>
          <w:marTop w:val="0"/>
          <w:marBottom w:val="0"/>
          <w:divBdr>
            <w:top w:val="none" w:sz="0" w:space="0" w:color="auto"/>
            <w:left w:val="none" w:sz="0" w:space="0" w:color="auto"/>
            <w:bottom w:val="none" w:sz="0" w:space="0" w:color="auto"/>
            <w:right w:val="none" w:sz="0" w:space="0" w:color="auto"/>
          </w:divBdr>
          <w:divsChild>
            <w:div w:id="496074071">
              <w:marLeft w:val="0"/>
              <w:marRight w:val="0"/>
              <w:marTop w:val="0"/>
              <w:marBottom w:val="0"/>
              <w:divBdr>
                <w:top w:val="none" w:sz="0" w:space="0" w:color="auto"/>
                <w:left w:val="none" w:sz="0" w:space="0" w:color="auto"/>
                <w:bottom w:val="none" w:sz="0" w:space="0" w:color="auto"/>
                <w:right w:val="none" w:sz="0" w:space="0" w:color="auto"/>
              </w:divBdr>
              <w:divsChild>
                <w:div w:id="60407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usc-word-edit.officeapps.live.com/we/wordeditorframe.aspx?ui=en-US&amp;rs=en-US&amp;wopisrc=https%3A%2F%2Freproductiverights-my.sharepoint.com%2Fpersonal%2Fjjacob_reprorights_org%2F_vti_bin%2Fwopi.ashx%2Ffiles%2F5a3cbf8417854eb79fde1a37fa14080f&amp;wdenableroaming=1&amp;mscc=1&amp;wdodb=1&amp;hid=CA786AE3-F3B0-42E2-A879-D79B9B7DEFDC.0&amp;uih=sharepointcom&amp;wdlcid=en-US&amp;jsapi=1&amp;jsapiver=v2&amp;corrid=51f0e8ed-9708-b3af-2ce0-880dd24b19af&amp;usid=51f0e8ed-9708-b3af-2ce0-880dd24b19af&amp;newsession=1&amp;sftc=1&amp;uihit=docaspx&amp;muv=1&amp;cac=1&amp;sams=1&amp;mtf=1&amp;sfp=1&amp;hch=1&amp;hwfh=1&amp;dchat=1&amp;sc=%7B%22pmo%22%3A%22https%3A%2F%2Freproductiverights-my.sharepoint.com%22%2C%22pmshare%22%3Atrue%7D&amp;ctp=LeastProtected&amp;rct=Normal&amp;wdorigin=BrowserReload.Sharing.ServerTransfer&amp;instantedit=1&amp;wopicomplete=1&amp;wdredirectionreason=Unified_SingleFlus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hyperlink" Target="mailto:jjacob@reprorights.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newsinfo.inquirer.net/1177974/protests-vs-sexual-harassment-rock-ateneo" TargetMode="External"/><Relationship Id="rId13" Type="http://schemas.openxmlformats.org/officeDocument/2006/relationships/hyperlink" Target="https://decriminalizeabortion.ph/about/the-bill/" TargetMode="External"/><Relationship Id="rId18" Type="http://schemas.openxmlformats.org/officeDocument/2006/relationships/hyperlink" Target="https://legacy.senate.gov.ph/lis/bill_res.aspx?congress=19&amp;q=SBN-1979" TargetMode="External"/><Relationship Id="rId3" Type="http://schemas.openxmlformats.org/officeDocument/2006/relationships/hyperlink" Target="https://newsinfo.inquirer.net/1201520/funds-for-contraceptive-implants-scrapped-popcom-alarmed" TargetMode="External"/><Relationship Id="rId21" Type="http://schemas.openxmlformats.org/officeDocument/2006/relationships/hyperlink" Target="https://www.rappler.com/nation/teen-pregnancy-most-important-problem-women-today-philippines-sws-survey-november-20" TargetMode="External"/><Relationship Id="rId7" Type="http://schemas.openxmlformats.org/officeDocument/2006/relationships/hyperlink" Target="https://www.bworldonline.com/1-in-4-filipino-women-unaware-of-emergency-contraception-says-study" TargetMode="External"/><Relationship Id="rId12" Type="http://schemas.openxmlformats.org/officeDocument/2006/relationships/hyperlink" Target="https://www.rappler.com/nation/264919-cops-arrest-individuals-pride-month-protest-manila-june-2020/" TargetMode="External"/><Relationship Id="rId17" Type="http://schemas.openxmlformats.org/officeDocument/2006/relationships/hyperlink" Target="https://doh.gov.ph/node/5699" TargetMode="External"/><Relationship Id="rId25" Type="http://schemas.openxmlformats.org/officeDocument/2006/relationships/hyperlink" Target="https://hrep-website.s3.ap-southeast-1.amazonaws.com/legisdocs/first_19/CR00716.pdf" TargetMode="External"/><Relationship Id="rId2" Type="http://schemas.openxmlformats.org/officeDocument/2006/relationships/hyperlink" Target="https://www.rappler.com/nation/up" TargetMode="External"/><Relationship Id="rId16" Type="http://schemas.openxmlformats.org/officeDocument/2006/relationships/hyperlink" Target="https://reproductiverights.org/pchr-philippine-commission-human-rights-abortion-decriminalization/" TargetMode="External"/><Relationship Id="rId20" Type="http://schemas.openxmlformats.org/officeDocument/2006/relationships/hyperlink" Target="https://www.congress.gov.ph/press/details.php?pressid=12676&amp;key=adolescent" TargetMode="External"/><Relationship Id="rId1" Type="http://schemas.openxmlformats.org/officeDocument/2006/relationships/hyperlink" Target="https://www.cnnphilippines.com/news/2023/7/25/marcos-second-sona-takeaways.html" TargetMode="External"/><Relationship Id="rId6" Type="http://schemas.openxmlformats.org/officeDocument/2006/relationships/hyperlink" Target="https://www.pna.gov.ph/articles/1160818" TargetMode="External"/><Relationship Id="rId11" Type="http://schemas.openxmlformats.org/officeDocument/2006/relationships/hyperlink" Target="https://newsinfo.inquirer.net/1298492/miriam-students-bare-harassment-complaints" TargetMode="External"/><Relationship Id="rId24" Type="http://schemas.openxmlformats.org/officeDocument/2006/relationships/hyperlink" Target="https://doh.gov.ph/serials/7th-RPRH-2020" TargetMode="External"/><Relationship Id="rId5" Type="http://schemas.openxmlformats.org/officeDocument/2006/relationships/hyperlink" Target="https://isacenter.org/infographic-headways-in-the-universal-health-care-uhc-act/" TargetMode="External"/><Relationship Id="rId15" Type="http://schemas.openxmlformats.org/officeDocument/2006/relationships/hyperlink" Target="https://www.youtube.com/watch?v=wFD0CwgfMwQ&amp;t=1963s" TargetMode="External"/><Relationship Id="rId23" Type="http://schemas.openxmlformats.org/officeDocument/2006/relationships/hyperlink" Target="https://doi.org/10.1177/17455057221117957" TargetMode="External"/><Relationship Id="rId10" Type="http://schemas.openxmlformats.org/officeDocument/2006/relationships/hyperlink" Target="https://preen.ph/112864/safe-spaces-lhs-now" TargetMode="External"/><Relationship Id="rId19" Type="http://schemas.openxmlformats.org/officeDocument/2006/relationships/hyperlink" Target="https://issuances-library.senate.gov.ph/bills/senate-bill-no-372-19th-congress" TargetMode="External"/><Relationship Id="rId4" Type="http://schemas.openxmlformats.org/officeDocument/2006/relationships/hyperlink" Target="https://r.search.yahoo.com/_ylt=Awrx.7gADeVkfvsXHqezRwx.;_ylu=Y29sbwNzZzMEcG9zAzIEdnRpZAMEc2VjA3Ny/RV=2/RE=1692761472/RO=10/RU=https%3a%2f%2fdhsprogram.com%2fpubs%2fpdf%2fPR146%2fPR146.pdf/RK=2/RS=G1nHrp9PuaehP_A_aYBQFejRwJM-" TargetMode="External"/><Relationship Id="rId9" Type="http://schemas.openxmlformats.org/officeDocument/2006/relationships/hyperlink" Target="https://newsinfo.inquirer.net/1655819/6-cavite-teachers-facing-probe-for-grooming-minors" TargetMode="External"/><Relationship Id="rId14" Type="http://schemas.openxmlformats.org/officeDocument/2006/relationships/hyperlink" Target="https://reproductiverights.org/self-managed-abortion-legal-policy-barriers/" TargetMode="External"/><Relationship Id="rId22" Type="http://schemas.openxmlformats.org/officeDocument/2006/relationships/hyperlink" Target="https://www.guttmacher.org/geography/asia/philipp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02CA3-3284-8A47-B12C-B1E6802E3ECE}">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23</Pages>
  <Words>6601</Words>
  <Characters>38696</Characters>
  <Application>Microsoft Office Word</Application>
  <DocSecurity>4</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am Hazel Claire Bagonoc</dc:creator>
  <cp:keywords/>
  <dc:description/>
  <cp:lastModifiedBy>Janna Iskakova</cp:lastModifiedBy>
  <cp:revision>2</cp:revision>
  <dcterms:created xsi:type="dcterms:W3CDTF">2023-09-15T13:01:00Z</dcterms:created>
  <dcterms:modified xsi:type="dcterms:W3CDTF">2023-09-15T13:01:00Z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f36db4b83b8f9bc5e6dc7be5888cb39fa5459fb9b07655fd3fb71693267151ad</vt:lpwstr>
  </property>
</Properties>
</file>