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75B52DB6"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6D715EF7">
                  <wp:simplePos x="0" y="0"/>
                  <wp:positionH relativeFrom="margin">
                    <wp:posOffset>885248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3F182921"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AF52B9">
              <w:rPr>
                <w:rFonts w:ascii="Times New Roman" w:hAnsi="Times New Roman" w:cs="Times New Roman"/>
              </w:rPr>
              <w:t>Panama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0BE0083E" w:rsidR="00AA22CB" w:rsidRPr="004922D7" w:rsidRDefault="00AF52B9" w:rsidP="00AA22CB">
      <w:pPr>
        <w:jc w:val="center"/>
        <w:rPr>
          <w:rFonts w:ascii="Times New Roman" w:hAnsi="Times New Roman" w:cs="Times New Roman"/>
          <w:b/>
        </w:rPr>
      </w:pPr>
      <w:r>
        <w:rPr>
          <w:rFonts w:ascii="Times New Roman" w:hAnsi="Times New Roman" w:cs="Times New Roman"/>
          <w:b/>
        </w:rPr>
        <w:t>Panama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3632E1" w14:paraId="75EBC69E" w14:textId="77777777" w:rsidTr="00771AF5">
        <w:tc>
          <w:tcPr>
            <w:tcW w:w="8856" w:type="dxa"/>
            <w:gridSpan w:val="2"/>
          </w:tcPr>
          <w:p w14:paraId="30B39F1C" w14:textId="7FC8BECC" w:rsidR="005370E4" w:rsidRPr="003632E1" w:rsidRDefault="003632E1" w:rsidP="00354FA3">
            <w:pPr>
              <w:jc w:val="both"/>
              <w:rPr>
                <w:rFonts w:ascii="Times New Roman" w:hAnsi="Times New Roman" w:cs="Times New Roman"/>
              </w:rPr>
            </w:pPr>
            <w:r w:rsidRPr="003632E1">
              <w:rPr>
                <w:rFonts w:ascii="Times New Roman" w:hAnsi="Times New Roman" w:cs="Times New Roman"/>
              </w:rPr>
              <w:t>Panama</w:t>
            </w:r>
            <w:r w:rsidR="00E818E8" w:rsidRPr="003632E1">
              <w:rPr>
                <w:rFonts w:ascii="Times New Roman" w:hAnsi="Times New Roman" w:cs="Times New Roman"/>
              </w:rPr>
              <w:t xml:space="preserve"> </w:t>
            </w:r>
            <w:r w:rsidR="007E674D">
              <w:rPr>
                <w:rFonts w:ascii="Times New Roman" w:hAnsi="Times New Roman" w:cs="Times New Roman"/>
              </w:rPr>
              <w:t>has a blanket limit</w:t>
            </w:r>
            <w:r w:rsidR="00C236E1">
              <w:rPr>
                <w:rFonts w:ascii="Times New Roman" w:hAnsi="Times New Roman" w:cs="Times New Roman"/>
              </w:rPr>
              <w:t xml:space="preserve"> applying to all youth with a time limit</w:t>
            </w:r>
            <w:r w:rsidR="007E674D">
              <w:rPr>
                <w:rFonts w:ascii="Times New Roman" w:hAnsi="Times New Roman" w:cs="Times New Roman"/>
              </w:rPr>
              <w:t xml:space="preserve"> of 2 months of juvenile pretrial detention. Pretrial detention can be extended by 1 month in the case of an appeal. Precautionary measures may be extended by 2 months but only if they do not involve a deprivation of liberty.</w:t>
            </w:r>
          </w:p>
        </w:tc>
      </w:tr>
      <w:tr w:rsidR="00AA22CB" w:rsidRPr="003632E1"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1DF18D0F" w14:textId="77777777" w:rsidR="003632E1" w:rsidRPr="003632E1" w:rsidRDefault="003632E1" w:rsidP="003632E1">
            <w:pPr>
              <w:rPr>
                <w:rFonts w:ascii="Times New Roman" w:hAnsi="Times New Roman" w:cs="Times New Roman"/>
                <w:bCs/>
              </w:rPr>
            </w:pPr>
            <w:r w:rsidRPr="003632E1">
              <w:rPr>
                <w:rFonts w:ascii="Times New Roman" w:hAnsi="Times New Roman" w:cs="Times New Roman"/>
                <w:bCs/>
              </w:rPr>
              <w:t xml:space="preserve">Artículo 58. Casos en que procede la detención provisional. </w:t>
            </w:r>
          </w:p>
          <w:p w14:paraId="56BD2B79" w14:textId="77777777" w:rsidR="003632E1" w:rsidRPr="003632E1" w:rsidRDefault="003632E1" w:rsidP="003632E1">
            <w:pPr>
              <w:rPr>
                <w:rFonts w:ascii="Times New Roman" w:hAnsi="Times New Roman" w:cs="Times New Roman"/>
                <w:bCs/>
              </w:rPr>
            </w:pPr>
            <w:r w:rsidRPr="003632E1">
              <w:rPr>
                <w:rFonts w:ascii="Times New Roman" w:hAnsi="Times New Roman" w:cs="Times New Roman"/>
                <w:bCs/>
              </w:rPr>
              <w:t xml:space="preserve">En los casos en que la conducta infractora investigada constituya homicidio doloso, violación, secuestro, robo, terrorismo o tráfico de drogas, y haya necesidad comprobada de aplicar una medida cautelar, el fiscal de adolescentes podrá decretar la detención provisional. </w:t>
            </w:r>
          </w:p>
          <w:p w14:paraId="38175B04" w14:textId="76D06075" w:rsidR="00D50971" w:rsidRPr="003632E1" w:rsidRDefault="00D50971" w:rsidP="007E0DFA">
            <w:pPr>
              <w:rPr>
                <w:rFonts w:ascii="Times New Roman" w:hAnsi="Times New Roman" w:cs="Times New Roman"/>
                <w:bCs/>
              </w:rPr>
            </w:pPr>
          </w:p>
          <w:p w14:paraId="4E018F99" w14:textId="77777777" w:rsidR="003632E1" w:rsidRPr="003632E1" w:rsidRDefault="003632E1" w:rsidP="003632E1">
            <w:pPr>
              <w:rPr>
                <w:rFonts w:ascii="Times New Roman" w:hAnsi="Times New Roman" w:cs="Times New Roman"/>
                <w:bCs/>
                <w:lang w:val="en"/>
              </w:rPr>
            </w:pPr>
            <w:r w:rsidRPr="003632E1">
              <w:rPr>
                <w:rFonts w:ascii="Times New Roman" w:hAnsi="Times New Roman" w:cs="Times New Roman"/>
                <w:bCs/>
                <w:lang w:val="en"/>
              </w:rPr>
              <w:t>Article 58. Cases in which the provisional arrest proceeds.</w:t>
            </w:r>
          </w:p>
          <w:p w14:paraId="3B5101CE" w14:textId="22639B3B" w:rsidR="003632E1" w:rsidRPr="003632E1" w:rsidRDefault="003632E1" w:rsidP="007E0DFA">
            <w:pPr>
              <w:rPr>
                <w:rFonts w:ascii="Times New Roman" w:hAnsi="Times New Roman" w:cs="Times New Roman"/>
                <w:bCs/>
              </w:rPr>
            </w:pPr>
            <w:r w:rsidRPr="003632E1">
              <w:rPr>
                <w:rFonts w:ascii="Times New Roman" w:hAnsi="Times New Roman" w:cs="Times New Roman"/>
                <w:bCs/>
                <w:lang w:val="en"/>
              </w:rPr>
              <w:t>In cases where the infringing conduct investigated constitutes intentional homicide, rape, kidnapping, robbery, terrorism or drug trafficking, and there is a proven need to apply a precautionary measure, the juvenile prosecutor may order provisional detention.</w:t>
            </w:r>
          </w:p>
          <w:p w14:paraId="2DBF14B4" w14:textId="77777777" w:rsidR="003632E1" w:rsidRPr="003632E1" w:rsidRDefault="003632E1" w:rsidP="007E0DFA">
            <w:pPr>
              <w:rPr>
                <w:rFonts w:ascii="Times New Roman" w:hAnsi="Times New Roman" w:cs="Times New Roman"/>
                <w:bCs/>
              </w:rPr>
            </w:pPr>
          </w:p>
          <w:p w14:paraId="0156FE62" w14:textId="5C633078" w:rsidR="003632E1" w:rsidRPr="003632E1" w:rsidRDefault="003632E1" w:rsidP="003632E1">
            <w:pPr>
              <w:rPr>
                <w:rFonts w:ascii="Times New Roman" w:hAnsi="Times New Roman" w:cs="Times New Roman"/>
                <w:bCs/>
              </w:rPr>
            </w:pPr>
            <w:r w:rsidRPr="003632E1">
              <w:rPr>
                <w:rFonts w:ascii="Times New Roman" w:hAnsi="Times New Roman" w:cs="Times New Roman"/>
                <w:bCs/>
              </w:rPr>
              <w:t xml:space="preserve">Artículo 62. Duración máxima de las medidas. </w:t>
            </w:r>
          </w:p>
          <w:p w14:paraId="52602783" w14:textId="03B15956" w:rsidR="003632E1" w:rsidRPr="003632E1" w:rsidRDefault="003632E1" w:rsidP="003632E1">
            <w:pPr>
              <w:rPr>
                <w:rFonts w:ascii="Times New Roman" w:hAnsi="Times New Roman" w:cs="Times New Roman"/>
                <w:bCs/>
              </w:rPr>
            </w:pPr>
            <w:r w:rsidRPr="003632E1">
              <w:rPr>
                <w:rFonts w:ascii="Times New Roman" w:hAnsi="Times New Roman" w:cs="Times New Roman"/>
                <w:bCs/>
              </w:rPr>
              <w:t xml:space="preserve">Las medidas cautelares podrán ser decretadas hasta por dos meses de duración. Vencido este plazo, sólo podrán ser prorrogadas por el juez de la causa, mediante resolución motivada, hasta por un máximo de dos meses, si se trata de una medida que no implica privación de libertad. </w:t>
            </w:r>
          </w:p>
          <w:p w14:paraId="45BCD8C3" w14:textId="77777777" w:rsidR="003632E1" w:rsidRDefault="003632E1" w:rsidP="003632E1">
            <w:pPr>
              <w:rPr>
                <w:rFonts w:ascii="Times New Roman" w:hAnsi="Times New Roman" w:cs="Times New Roman"/>
                <w:bCs/>
              </w:rPr>
            </w:pPr>
            <w:r w:rsidRPr="003632E1">
              <w:rPr>
                <w:rFonts w:ascii="Times New Roman" w:hAnsi="Times New Roman" w:cs="Times New Roman"/>
                <w:bCs/>
              </w:rPr>
              <w:br/>
              <w:t xml:space="preserve">Article 62. Maximum duration of the measures. </w:t>
            </w:r>
          </w:p>
          <w:p w14:paraId="4DD8B3EA" w14:textId="78D4843B" w:rsidR="003632E1" w:rsidRPr="003632E1" w:rsidRDefault="003632E1" w:rsidP="003632E1">
            <w:pPr>
              <w:rPr>
                <w:rFonts w:ascii="Times New Roman" w:hAnsi="Times New Roman" w:cs="Times New Roman"/>
                <w:bCs/>
              </w:rPr>
            </w:pPr>
            <w:r w:rsidRPr="003632E1">
              <w:rPr>
                <w:rFonts w:ascii="Times New Roman" w:hAnsi="Times New Roman" w:cs="Times New Roman"/>
                <w:bCs/>
              </w:rPr>
              <w:t>The precautionary measures may be decreed for up to two months. Upon expiration of this period, they may only be extended by the judge of the case, by reasoned resolution, up to a maximum of two months, if it is a measure that does not imply deprivation of liberty.</w:t>
            </w:r>
          </w:p>
          <w:p w14:paraId="40677794" w14:textId="77777777" w:rsidR="003632E1" w:rsidRDefault="003632E1" w:rsidP="007E0DFA">
            <w:pPr>
              <w:rPr>
                <w:rFonts w:ascii="Times New Roman" w:hAnsi="Times New Roman" w:cs="Times New Roman"/>
                <w:bCs/>
              </w:rPr>
            </w:pPr>
          </w:p>
          <w:p w14:paraId="66D3D407" w14:textId="77777777" w:rsidR="007A579D" w:rsidRPr="007A579D" w:rsidRDefault="007A579D" w:rsidP="007A579D">
            <w:pPr>
              <w:rPr>
                <w:rFonts w:ascii="Times New Roman" w:hAnsi="Times New Roman" w:cs="Times New Roman"/>
                <w:bCs/>
              </w:rPr>
            </w:pPr>
            <w:r w:rsidRPr="007A579D">
              <w:rPr>
                <w:rFonts w:ascii="Times New Roman" w:hAnsi="Times New Roman" w:cs="Times New Roman"/>
                <w:bCs/>
              </w:rPr>
              <w:t xml:space="preserve">Artículo 63. Prórrogas de las medidas cautelares que implican privación de libertad. </w:t>
            </w:r>
          </w:p>
          <w:p w14:paraId="677A01C2" w14:textId="77777777" w:rsidR="007A579D" w:rsidRPr="007A579D" w:rsidRDefault="007A579D" w:rsidP="007A579D">
            <w:pPr>
              <w:rPr>
                <w:rFonts w:ascii="Times New Roman" w:hAnsi="Times New Roman" w:cs="Times New Roman"/>
                <w:bCs/>
              </w:rPr>
            </w:pPr>
            <w:r w:rsidRPr="007A579D">
              <w:rPr>
                <w:rFonts w:ascii="Times New Roman" w:hAnsi="Times New Roman" w:cs="Times New Roman"/>
                <w:bCs/>
              </w:rPr>
              <w:t xml:space="preserve">Las medidas cautelares que implican la privación de libertad, sólo podrán ser decretadas hasta por un máximo de dos meses y no admiten prórroga. Al vencimiento de este término, si no hay sentencia condenatoria de primera instancia, la medida cesa de pleno derecho,. y el juez debe decretar la libertad de los detenidos provisionalmente. </w:t>
            </w:r>
          </w:p>
          <w:p w14:paraId="4EA25AEC" w14:textId="77777777" w:rsidR="007A579D" w:rsidRPr="007A579D" w:rsidRDefault="007A579D" w:rsidP="007A579D">
            <w:pPr>
              <w:rPr>
                <w:rFonts w:ascii="Times New Roman" w:hAnsi="Times New Roman" w:cs="Times New Roman"/>
                <w:bCs/>
              </w:rPr>
            </w:pPr>
            <w:r w:rsidRPr="007A579D">
              <w:rPr>
                <w:rFonts w:ascii="Times New Roman" w:hAnsi="Times New Roman" w:cs="Times New Roman"/>
                <w:bCs/>
              </w:rPr>
              <w:t xml:space="preserve">Si hay sentencia condenatoria de primera instancia que ha sido apelada por el adolescente, el Tribunal Superior de Niñez y Adolescencia podrá disponer, por una sola vez, que se prorrogue la medida por el tiempo que necesite para pronunciar su fallo, el cual no podrá exceder, en ningún caso, el término de un mes. </w:t>
            </w:r>
          </w:p>
          <w:p w14:paraId="5DF28C4F" w14:textId="77777777" w:rsidR="007A579D" w:rsidRDefault="007A579D" w:rsidP="007E0DFA">
            <w:pPr>
              <w:rPr>
                <w:rFonts w:ascii="Times New Roman" w:hAnsi="Times New Roman" w:cs="Times New Roman"/>
                <w:bCs/>
              </w:rPr>
            </w:pPr>
          </w:p>
          <w:p w14:paraId="52A71744" w14:textId="77777777" w:rsidR="007A579D" w:rsidRPr="007A579D" w:rsidRDefault="007A579D" w:rsidP="007A579D">
            <w:pPr>
              <w:rPr>
                <w:rFonts w:ascii="Times New Roman" w:hAnsi="Times New Roman" w:cs="Times New Roman"/>
                <w:bCs/>
                <w:lang w:val="en"/>
              </w:rPr>
            </w:pPr>
            <w:r w:rsidRPr="007A579D">
              <w:rPr>
                <w:rFonts w:ascii="Times New Roman" w:hAnsi="Times New Roman" w:cs="Times New Roman"/>
                <w:bCs/>
                <w:lang w:val="en"/>
              </w:rPr>
              <w:t>Article 63. Prorogations of precautionary measures that imply deprivation of liberty.</w:t>
            </w:r>
          </w:p>
          <w:p w14:paraId="6F346CF5" w14:textId="4234592F" w:rsidR="007A579D" w:rsidRPr="007A579D" w:rsidRDefault="007A579D" w:rsidP="007A579D">
            <w:pPr>
              <w:rPr>
                <w:rFonts w:ascii="Times New Roman" w:hAnsi="Times New Roman" w:cs="Times New Roman"/>
                <w:bCs/>
                <w:lang w:val="en"/>
              </w:rPr>
            </w:pPr>
            <w:r w:rsidRPr="007A579D">
              <w:rPr>
                <w:rFonts w:ascii="Times New Roman" w:hAnsi="Times New Roman" w:cs="Times New Roman"/>
                <w:bCs/>
                <w:lang w:val="en"/>
              </w:rPr>
              <w:t xml:space="preserve">The precautionary measures that imply the deprivation of liberty, can only be decreed up to a maximum of two months and do not admit prorogation. Upon the expiration of this term, if there is no conviction of first instance, </w:t>
            </w:r>
            <w:r>
              <w:rPr>
                <w:rFonts w:ascii="Times New Roman" w:hAnsi="Times New Roman" w:cs="Times New Roman"/>
                <w:bCs/>
                <w:lang w:val="en"/>
              </w:rPr>
              <w:t>the measure ceases as of right,</w:t>
            </w:r>
            <w:r w:rsidRPr="007A579D">
              <w:rPr>
                <w:rFonts w:ascii="Times New Roman" w:hAnsi="Times New Roman" w:cs="Times New Roman"/>
                <w:bCs/>
                <w:lang w:val="en"/>
              </w:rPr>
              <w:t xml:space="preserve"> and the judge must order the release of those provisionally detained.</w:t>
            </w:r>
          </w:p>
          <w:p w14:paraId="1E97748B" w14:textId="6B308D46" w:rsidR="007A579D" w:rsidRDefault="007A579D" w:rsidP="007E0DFA">
            <w:pPr>
              <w:rPr>
                <w:rFonts w:ascii="Times New Roman" w:hAnsi="Times New Roman" w:cs="Times New Roman"/>
                <w:bCs/>
              </w:rPr>
            </w:pPr>
            <w:r w:rsidRPr="007A579D">
              <w:rPr>
                <w:rFonts w:ascii="Times New Roman" w:hAnsi="Times New Roman" w:cs="Times New Roman"/>
                <w:bCs/>
                <w:lang w:val="en"/>
              </w:rPr>
              <w:t>If there is a conviction of first instance that has been appealed by the adolescent, the Superior Court of Childhood and Adolescence may order, for only once, that the measure be extended for the time it needs to pronounce its</w:t>
            </w:r>
            <w:r>
              <w:rPr>
                <w:rFonts w:ascii="Times New Roman" w:hAnsi="Times New Roman" w:cs="Times New Roman"/>
                <w:bCs/>
                <w:lang w:val="en"/>
              </w:rPr>
              <w:t xml:space="preserve"> judgment, which may not exceed</w:t>
            </w:r>
            <w:r w:rsidRPr="007A579D">
              <w:rPr>
                <w:rFonts w:ascii="Times New Roman" w:hAnsi="Times New Roman" w:cs="Times New Roman"/>
                <w:bCs/>
                <w:lang w:val="en"/>
              </w:rPr>
              <w:t>, in no case, the term of one month.</w:t>
            </w:r>
          </w:p>
          <w:p w14:paraId="3CFD9827" w14:textId="77777777" w:rsidR="007A579D" w:rsidRPr="003632E1" w:rsidRDefault="007A579D" w:rsidP="007E0DFA">
            <w:pPr>
              <w:rPr>
                <w:rFonts w:ascii="Times New Roman" w:hAnsi="Times New Roman" w:cs="Times New Roman"/>
                <w:bCs/>
              </w:rPr>
            </w:pPr>
          </w:p>
          <w:p w14:paraId="473DF9A0" w14:textId="46542582" w:rsidR="00D50971" w:rsidRPr="003632E1" w:rsidRDefault="003632E1" w:rsidP="007E0DFA">
            <w:pPr>
              <w:rPr>
                <w:rFonts w:ascii="Times New Roman" w:hAnsi="Times New Roman" w:cs="Times New Roman"/>
                <w:bCs/>
              </w:rPr>
            </w:pPr>
            <w:r w:rsidRPr="003632E1">
              <w:rPr>
                <w:rFonts w:ascii="Times New Roman" w:hAnsi="Times New Roman" w:cs="Times New Roman"/>
                <w:bCs/>
              </w:rPr>
              <w:t>Ley No. 40, 26 Aug. 1999, Del Regimen Especial de responsibilidad Penal para la Adolescencia [Regarding the Special Penal Code for Juveniles] tit. III, ch. II, arts. 58-62), http://www.ilo.org/dyn/natlex/docs/ELECTRONIC/83733/92690/F334348830/PAN83733.pdf</w:t>
            </w:r>
          </w:p>
        </w:tc>
      </w:tr>
      <w:tr w:rsidR="00AA22CB" w:rsidRPr="004922D7" w14:paraId="70159D2D" w14:textId="77777777" w:rsidTr="00771AF5">
        <w:tc>
          <w:tcPr>
            <w:tcW w:w="2141" w:type="dxa"/>
          </w:tcPr>
          <w:p w14:paraId="6633FF78" w14:textId="4E534598" w:rsidR="00AA22CB" w:rsidRPr="007E674D" w:rsidRDefault="00AA22CB" w:rsidP="00650F1F">
            <w:pPr>
              <w:rPr>
                <w:rFonts w:ascii="Times New Roman" w:hAnsi="Times New Roman" w:cs="Times New Roman"/>
              </w:rPr>
            </w:pPr>
            <w:r w:rsidRPr="007E674D">
              <w:rPr>
                <w:rFonts w:ascii="Times New Roman" w:hAnsi="Times New Roman" w:cs="Times New Roman"/>
              </w:rPr>
              <w:lastRenderedPageBreak/>
              <w:t>Recommended changes to statutory limit according to international law:</w:t>
            </w:r>
          </w:p>
        </w:tc>
        <w:tc>
          <w:tcPr>
            <w:tcW w:w="6715" w:type="dxa"/>
          </w:tcPr>
          <w:p w14:paraId="4BE83998" w14:textId="4CAEB2E9" w:rsidR="00772996" w:rsidRPr="007E674D" w:rsidRDefault="001E0AA3" w:rsidP="001C5973">
            <w:pPr>
              <w:pStyle w:val="ListParagraph"/>
              <w:numPr>
                <w:ilvl w:val="0"/>
                <w:numId w:val="3"/>
              </w:numPr>
              <w:ind w:left="354"/>
              <w:rPr>
                <w:rFonts w:ascii="Times New Roman" w:hAnsi="Times New Roman" w:cs="Times New Roman"/>
                <w:sz w:val="24"/>
                <w:szCs w:val="24"/>
              </w:rPr>
            </w:pPr>
            <w:r w:rsidRPr="007E674D">
              <w:rPr>
                <w:rFonts w:ascii="Times New Roman" w:hAnsi="Times New Roman" w:cs="Times New Roman"/>
                <w:sz w:val="24"/>
                <w:szCs w:val="24"/>
              </w:rPr>
              <w:t xml:space="preserve">JJAI recommends that </w:t>
            </w:r>
            <w:r w:rsidR="00BD2493" w:rsidRPr="007E674D">
              <w:rPr>
                <w:rFonts w:ascii="Times New Roman" w:hAnsi="Times New Roman" w:cs="Times New Roman"/>
                <w:sz w:val="24"/>
                <w:szCs w:val="24"/>
                <w:lang w:val="en-US"/>
              </w:rPr>
              <w:t>Panama</w:t>
            </w:r>
            <w:r w:rsidR="006B2878" w:rsidRPr="007E674D">
              <w:rPr>
                <w:rFonts w:ascii="Times New Roman" w:hAnsi="Times New Roman" w:cs="Times New Roman"/>
                <w:sz w:val="24"/>
                <w:szCs w:val="24"/>
                <w:lang w:val="en-US"/>
              </w:rPr>
              <w:t xml:space="preserve"> </w:t>
            </w:r>
            <w:r w:rsidR="00772996" w:rsidRPr="007E674D">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7E674D" w:rsidRDefault="00772996" w:rsidP="00772996">
            <w:pPr>
              <w:pStyle w:val="ListParagraph"/>
              <w:numPr>
                <w:ilvl w:val="0"/>
                <w:numId w:val="3"/>
              </w:numPr>
              <w:ind w:left="354"/>
              <w:rPr>
                <w:rFonts w:ascii="Times New Roman" w:hAnsi="Times New Roman" w:cs="Times New Roman"/>
                <w:sz w:val="24"/>
                <w:szCs w:val="24"/>
              </w:rPr>
            </w:pPr>
            <w:r w:rsidRPr="007E674D">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7E674D">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7E674D" w:rsidRDefault="00772996" w:rsidP="00771AF5">
            <w:pPr>
              <w:pStyle w:val="ListParagraph"/>
              <w:numPr>
                <w:ilvl w:val="0"/>
                <w:numId w:val="3"/>
              </w:numPr>
              <w:ind w:left="354"/>
              <w:rPr>
                <w:rFonts w:ascii="Times New Roman" w:hAnsi="Times New Roman" w:cs="Times New Roman"/>
                <w:sz w:val="24"/>
                <w:szCs w:val="24"/>
              </w:rPr>
            </w:pPr>
            <w:r w:rsidRPr="007E674D">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FB5207D" w14:textId="3A542857" w:rsidR="00C452B7" w:rsidRPr="00202BA2" w:rsidRDefault="00415EAE" w:rsidP="007E0DFA">
            <w:pPr>
              <w:pStyle w:val="ListParagraph"/>
              <w:numPr>
                <w:ilvl w:val="0"/>
                <w:numId w:val="7"/>
              </w:numPr>
              <w:rPr>
                <w:rFonts w:ascii="Times New Roman" w:hAnsi="Times New Roman" w:cs="Times New Roman"/>
              </w:rPr>
            </w:pPr>
            <w:r w:rsidRPr="00202BA2">
              <w:rPr>
                <w:rFonts w:ascii="Times New Roman" w:hAnsi="Times New Roman" w:cs="Times New Roman"/>
                <w:sz w:val="24"/>
                <w:szCs w:val="24"/>
              </w:rPr>
              <w:t xml:space="preserve">Minimum age of criminal responsibility is </w:t>
            </w:r>
            <w:r w:rsidR="00EE14F4">
              <w:rPr>
                <w:rFonts w:ascii="Times New Roman" w:hAnsi="Times New Roman" w:cs="Times New Roman"/>
                <w:sz w:val="24"/>
                <w:szCs w:val="24"/>
              </w:rPr>
              <w:t>12</w:t>
            </w:r>
            <w:r w:rsidR="00D50971" w:rsidRPr="00202BA2">
              <w:rPr>
                <w:rFonts w:ascii="Times New Roman" w:hAnsi="Times New Roman" w:cs="Times New Roman"/>
                <w:sz w:val="24"/>
                <w:szCs w:val="24"/>
              </w:rPr>
              <w:t xml:space="preserve"> years. </w:t>
            </w:r>
          </w:p>
          <w:p w14:paraId="2072779A" w14:textId="32195A4B" w:rsidR="00D50971" w:rsidRPr="00202BA2" w:rsidRDefault="00B23D93"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Conditions of juvenile detention are very poor and there is a lack of adequate investigation into the condition of the facilities.</w:t>
            </w:r>
          </w:p>
          <w:p w14:paraId="394C4277" w14:textId="37E7A677" w:rsidR="00D50971" w:rsidRDefault="009C2119" w:rsidP="00D50971">
            <w:pPr>
              <w:rPr>
                <w:rFonts w:ascii="Times New Roman" w:hAnsi="Times New Roman" w:cs="Times New Roman"/>
              </w:rPr>
            </w:pPr>
            <w:bookmarkStart w:id="6" w:name="OLE_LINK1"/>
            <w:r w:rsidRPr="009C2119">
              <w:rPr>
                <w:rFonts w:ascii="Times New Roman" w:hAnsi="Times New Roman" w:cs="Times New Roman"/>
              </w:rPr>
              <w:t>Convention</w:t>
            </w:r>
            <w:r w:rsidR="007756F4" w:rsidRPr="009C2119">
              <w:rPr>
                <w:rFonts w:ascii="Times New Roman" w:hAnsi="Times New Roman" w:cs="Times New Roman"/>
              </w:rPr>
              <w:t xml:space="preserve"> on the Rights of the Child, </w:t>
            </w:r>
            <w:r w:rsidR="007756F4" w:rsidRPr="007E674D">
              <w:rPr>
                <w:rFonts w:ascii="Times New Roman" w:hAnsi="Times New Roman" w:cs="Times New Roman"/>
                <w:i/>
              </w:rPr>
              <w:t>Co</w:t>
            </w:r>
            <w:r w:rsidRPr="007E674D">
              <w:rPr>
                <w:rFonts w:ascii="Times New Roman" w:hAnsi="Times New Roman" w:cs="Times New Roman"/>
                <w:i/>
              </w:rPr>
              <w:t>ncluding Observations: on the Combined Fifth and Sixth P</w:t>
            </w:r>
            <w:r w:rsidR="00EE14F4" w:rsidRPr="007E674D">
              <w:rPr>
                <w:rFonts w:ascii="Times New Roman" w:hAnsi="Times New Roman" w:cs="Times New Roman"/>
                <w:i/>
              </w:rPr>
              <w:t>eriodic Reports of Panama</w:t>
            </w:r>
            <w:r w:rsidR="00EE14F4">
              <w:rPr>
                <w:rFonts w:ascii="Times New Roman" w:hAnsi="Times New Roman" w:cs="Times New Roman"/>
              </w:rPr>
              <w:t>, ¶ 74–76</w:t>
            </w:r>
            <w:r w:rsidRPr="009C2119">
              <w:rPr>
                <w:rFonts w:ascii="Times New Roman" w:hAnsi="Times New Roman" w:cs="Times New Roman"/>
              </w:rPr>
              <w:t>, U.N. Doc. CRC/C/PAN/CO/5-6 (Feb. 28, 2018</w:t>
            </w:r>
            <w:r w:rsidR="007756F4" w:rsidRPr="009C2119">
              <w:rPr>
                <w:rFonts w:ascii="Times New Roman" w:hAnsi="Times New Roman" w:cs="Times New Roman"/>
              </w:rPr>
              <w:t xml:space="preserve">), </w:t>
            </w:r>
            <w:r w:rsidR="00202BA2" w:rsidRPr="00202BA2">
              <w:rPr>
                <w:rFonts w:ascii="Times New Roman" w:hAnsi="Times New Roman" w:cs="Times New Roman"/>
              </w:rPr>
              <w:t>https://tbinternet.ohchr.org/_layouts/15/treatybodyexternal/Download.aspx?symbolno=CRC%2fC%2fPAN%2fCO%2f5-6&amp;Lang=en</w:t>
            </w:r>
          </w:p>
          <w:bookmarkEnd w:id="6"/>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20168D7B"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1A75EF"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67FAD" w14:textId="77777777" w:rsidR="006C07AA" w:rsidRDefault="006C07AA" w:rsidP="000A296B">
      <w:r>
        <w:separator/>
      </w:r>
    </w:p>
  </w:endnote>
  <w:endnote w:type="continuationSeparator" w:id="0">
    <w:p w14:paraId="5869CC52" w14:textId="77777777" w:rsidR="006C07AA" w:rsidRDefault="006C07AA"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BCB0B" w14:textId="77777777" w:rsidR="006C07AA" w:rsidRDefault="006C07AA" w:rsidP="000A296B">
      <w:r>
        <w:separator/>
      </w:r>
    </w:p>
  </w:footnote>
  <w:footnote w:type="continuationSeparator" w:id="0">
    <w:p w14:paraId="71F31782" w14:textId="77777777" w:rsidR="006C07AA" w:rsidRDefault="006C07AA"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Kritsonis,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Birk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Ziedenber</w:t>
      </w:r>
      <w:r>
        <w:rPr>
          <w:rFonts w:eastAsia="Calibri"/>
          <w:sz w:val="20"/>
          <w:szCs w:val="20"/>
        </w:rPr>
        <w:t>g</w:t>
      </w:r>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Pol</w:t>
      </w:r>
      <w:r>
        <w:rPr>
          <w:rFonts w:eastAsia="Calibri"/>
          <w:smallCaps/>
          <w:sz w:val="20"/>
          <w:szCs w:val="20"/>
        </w:rPr>
        <w:t>’</w:t>
      </w:r>
      <w:r w:rsidRPr="00B0537C">
        <w:rPr>
          <w:rFonts w:eastAsia="Calibri"/>
          <w:smallCaps/>
          <w:sz w:val="20"/>
          <w:szCs w:val="20"/>
        </w:rPr>
        <w:t>y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r>
        <w:t>i,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15208"/>
    <w:rsid w:val="001237E7"/>
    <w:rsid w:val="00134CB0"/>
    <w:rsid w:val="00187935"/>
    <w:rsid w:val="00195F22"/>
    <w:rsid w:val="001A75EF"/>
    <w:rsid w:val="001C5973"/>
    <w:rsid w:val="001E0AA3"/>
    <w:rsid w:val="001F09DF"/>
    <w:rsid w:val="001F1B5F"/>
    <w:rsid w:val="001F56C7"/>
    <w:rsid w:val="00202BA2"/>
    <w:rsid w:val="00225B1A"/>
    <w:rsid w:val="002354B9"/>
    <w:rsid w:val="002A386C"/>
    <w:rsid w:val="002B3B78"/>
    <w:rsid w:val="00303B05"/>
    <w:rsid w:val="00310A40"/>
    <w:rsid w:val="00312FED"/>
    <w:rsid w:val="00354FA3"/>
    <w:rsid w:val="003629A5"/>
    <w:rsid w:val="003632E1"/>
    <w:rsid w:val="003E7DA5"/>
    <w:rsid w:val="003F2B67"/>
    <w:rsid w:val="00415EAE"/>
    <w:rsid w:val="004273CC"/>
    <w:rsid w:val="00436A8F"/>
    <w:rsid w:val="00440E87"/>
    <w:rsid w:val="00462AF4"/>
    <w:rsid w:val="00473A3B"/>
    <w:rsid w:val="004922D7"/>
    <w:rsid w:val="0049596E"/>
    <w:rsid w:val="004977BA"/>
    <w:rsid w:val="005045B5"/>
    <w:rsid w:val="00522026"/>
    <w:rsid w:val="005370E4"/>
    <w:rsid w:val="00537903"/>
    <w:rsid w:val="00554125"/>
    <w:rsid w:val="005759BE"/>
    <w:rsid w:val="005E645F"/>
    <w:rsid w:val="005F4C56"/>
    <w:rsid w:val="00613979"/>
    <w:rsid w:val="006B2878"/>
    <w:rsid w:val="006C07AA"/>
    <w:rsid w:val="006E081B"/>
    <w:rsid w:val="00711FCC"/>
    <w:rsid w:val="00746562"/>
    <w:rsid w:val="007470D3"/>
    <w:rsid w:val="007641BC"/>
    <w:rsid w:val="00771AF5"/>
    <w:rsid w:val="00772996"/>
    <w:rsid w:val="00773F2C"/>
    <w:rsid w:val="007756F4"/>
    <w:rsid w:val="007A579D"/>
    <w:rsid w:val="007E0DFA"/>
    <w:rsid w:val="007E674D"/>
    <w:rsid w:val="007E67BD"/>
    <w:rsid w:val="007F384B"/>
    <w:rsid w:val="007F465D"/>
    <w:rsid w:val="00817E06"/>
    <w:rsid w:val="008924DA"/>
    <w:rsid w:val="00893C4F"/>
    <w:rsid w:val="0090460C"/>
    <w:rsid w:val="00924B32"/>
    <w:rsid w:val="00961173"/>
    <w:rsid w:val="009A3ECB"/>
    <w:rsid w:val="009A7B2B"/>
    <w:rsid w:val="009C2119"/>
    <w:rsid w:val="009C2458"/>
    <w:rsid w:val="009E4689"/>
    <w:rsid w:val="009E7DB1"/>
    <w:rsid w:val="009F0A61"/>
    <w:rsid w:val="00A35EE0"/>
    <w:rsid w:val="00A52B1F"/>
    <w:rsid w:val="00A81EC4"/>
    <w:rsid w:val="00A87A53"/>
    <w:rsid w:val="00AA22CB"/>
    <w:rsid w:val="00AF52B9"/>
    <w:rsid w:val="00B027EC"/>
    <w:rsid w:val="00B07E2A"/>
    <w:rsid w:val="00B23D93"/>
    <w:rsid w:val="00B3016D"/>
    <w:rsid w:val="00B30CA2"/>
    <w:rsid w:val="00B574D3"/>
    <w:rsid w:val="00B756AD"/>
    <w:rsid w:val="00B83D6F"/>
    <w:rsid w:val="00BA1DBB"/>
    <w:rsid w:val="00BA63CB"/>
    <w:rsid w:val="00BD2493"/>
    <w:rsid w:val="00BD5469"/>
    <w:rsid w:val="00C22420"/>
    <w:rsid w:val="00C236E1"/>
    <w:rsid w:val="00C23A9F"/>
    <w:rsid w:val="00C32FDE"/>
    <w:rsid w:val="00C452B7"/>
    <w:rsid w:val="00C76D06"/>
    <w:rsid w:val="00C93044"/>
    <w:rsid w:val="00CD0839"/>
    <w:rsid w:val="00CF2E23"/>
    <w:rsid w:val="00CF4972"/>
    <w:rsid w:val="00D01729"/>
    <w:rsid w:val="00D12330"/>
    <w:rsid w:val="00D50971"/>
    <w:rsid w:val="00DB615B"/>
    <w:rsid w:val="00DD6A3A"/>
    <w:rsid w:val="00DE4012"/>
    <w:rsid w:val="00DF19BE"/>
    <w:rsid w:val="00E5591E"/>
    <w:rsid w:val="00E818E8"/>
    <w:rsid w:val="00E968EB"/>
    <w:rsid w:val="00EB1BE1"/>
    <w:rsid w:val="00EB2356"/>
    <w:rsid w:val="00EC37A8"/>
    <w:rsid w:val="00EE14F4"/>
    <w:rsid w:val="00EF56C3"/>
    <w:rsid w:val="00F1413F"/>
    <w:rsid w:val="00F16676"/>
    <w:rsid w:val="00F249ED"/>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2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18197371">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985357932">
      <w:bodyDiv w:val="1"/>
      <w:marLeft w:val="0"/>
      <w:marRight w:val="0"/>
      <w:marTop w:val="0"/>
      <w:marBottom w:val="0"/>
      <w:divBdr>
        <w:top w:val="none" w:sz="0" w:space="0" w:color="auto"/>
        <w:left w:val="none" w:sz="0" w:space="0" w:color="auto"/>
        <w:bottom w:val="none" w:sz="0" w:space="0" w:color="auto"/>
        <w:right w:val="none" w:sz="0" w:space="0" w:color="auto"/>
      </w:divBdr>
    </w:div>
    <w:div w:id="985818784">
      <w:bodyDiv w:val="1"/>
      <w:marLeft w:val="0"/>
      <w:marRight w:val="0"/>
      <w:marTop w:val="0"/>
      <w:marBottom w:val="0"/>
      <w:divBdr>
        <w:top w:val="none" w:sz="0" w:space="0" w:color="auto"/>
        <w:left w:val="none" w:sz="0" w:space="0" w:color="auto"/>
        <w:bottom w:val="none" w:sz="0" w:space="0" w:color="auto"/>
        <w:right w:val="none" w:sz="0" w:space="0" w:color="auto"/>
      </w:divBdr>
      <w:divsChild>
        <w:div w:id="970982849">
          <w:marLeft w:val="0"/>
          <w:marRight w:val="0"/>
          <w:marTop w:val="0"/>
          <w:marBottom w:val="0"/>
          <w:divBdr>
            <w:top w:val="none" w:sz="0" w:space="0" w:color="auto"/>
            <w:left w:val="none" w:sz="0" w:space="0" w:color="auto"/>
            <w:bottom w:val="none" w:sz="0" w:space="0" w:color="auto"/>
            <w:right w:val="none" w:sz="0" w:space="0" w:color="auto"/>
          </w:divBdr>
          <w:divsChild>
            <w:div w:id="415564361">
              <w:marLeft w:val="0"/>
              <w:marRight w:val="0"/>
              <w:marTop w:val="0"/>
              <w:marBottom w:val="0"/>
              <w:divBdr>
                <w:top w:val="none" w:sz="0" w:space="0" w:color="auto"/>
                <w:left w:val="none" w:sz="0" w:space="0" w:color="auto"/>
                <w:bottom w:val="none" w:sz="0" w:space="0" w:color="auto"/>
                <w:right w:val="none" w:sz="0" w:space="0" w:color="auto"/>
              </w:divBdr>
              <w:divsChild>
                <w:div w:id="102197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599231">
      <w:bodyDiv w:val="1"/>
      <w:marLeft w:val="0"/>
      <w:marRight w:val="0"/>
      <w:marTop w:val="0"/>
      <w:marBottom w:val="0"/>
      <w:divBdr>
        <w:top w:val="none" w:sz="0" w:space="0" w:color="auto"/>
        <w:left w:val="none" w:sz="0" w:space="0" w:color="auto"/>
        <w:bottom w:val="none" w:sz="0" w:space="0" w:color="auto"/>
        <w:right w:val="none" w:sz="0" w:space="0" w:color="auto"/>
      </w:divBdr>
    </w:div>
    <w:div w:id="1069427794">
      <w:bodyDiv w:val="1"/>
      <w:marLeft w:val="0"/>
      <w:marRight w:val="0"/>
      <w:marTop w:val="0"/>
      <w:marBottom w:val="0"/>
      <w:divBdr>
        <w:top w:val="none" w:sz="0" w:space="0" w:color="auto"/>
        <w:left w:val="none" w:sz="0" w:space="0" w:color="auto"/>
        <w:bottom w:val="none" w:sz="0" w:space="0" w:color="auto"/>
        <w:right w:val="none" w:sz="0" w:space="0" w:color="auto"/>
      </w:divBdr>
      <w:divsChild>
        <w:div w:id="926691370">
          <w:marLeft w:val="0"/>
          <w:marRight w:val="0"/>
          <w:marTop w:val="0"/>
          <w:marBottom w:val="0"/>
          <w:divBdr>
            <w:top w:val="none" w:sz="0" w:space="0" w:color="auto"/>
            <w:left w:val="none" w:sz="0" w:space="0" w:color="auto"/>
            <w:bottom w:val="none" w:sz="0" w:space="0" w:color="auto"/>
            <w:right w:val="none" w:sz="0" w:space="0" w:color="auto"/>
          </w:divBdr>
          <w:divsChild>
            <w:div w:id="2053338535">
              <w:marLeft w:val="0"/>
              <w:marRight w:val="0"/>
              <w:marTop w:val="0"/>
              <w:marBottom w:val="0"/>
              <w:divBdr>
                <w:top w:val="none" w:sz="0" w:space="0" w:color="auto"/>
                <w:left w:val="none" w:sz="0" w:space="0" w:color="auto"/>
                <w:bottom w:val="none" w:sz="0" w:space="0" w:color="auto"/>
                <w:right w:val="none" w:sz="0" w:space="0" w:color="auto"/>
              </w:divBdr>
              <w:divsChild>
                <w:div w:id="11677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136678658">
      <w:bodyDiv w:val="1"/>
      <w:marLeft w:val="0"/>
      <w:marRight w:val="0"/>
      <w:marTop w:val="0"/>
      <w:marBottom w:val="0"/>
      <w:divBdr>
        <w:top w:val="none" w:sz="0" w:space="0" w:color="auto"/>
        <w:left w:val="none" w:sz="0" w:space="0" w:color="auto"/>
        <w:bottom w:val="none" w:sz="0" w:space="0" w:color="auto"/>
        <w:right w:val="none" w:sz="0" w:space="0" w:color="auto"/>
      </w:divBdr>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37228133">
      <w:bodyDiv w:val="1"/>
      <w:marLeft w:val="0"/>
      <w:marRight w:val="0"/>
      <w:marTop w:val="0"/>
      <w:marBottom w:val="0"/>
      <w:divBdr>
        <w:top w:val="none" w:sz="0" w:space="0" w:color="auto"/>
        <w:left w:val="none" w:sz="0" w:space="0" w:color="auto"/>
        <w:bottom w:val="none" w:sz="0" w:space="0" w:color="auto"/>
        <w:right w:val="none" w:sz="0" w:space="0" w:color="auto"/>
      </w:divBdr>
      <w:divsChild>
        <w:div w:id="476844302">
          <w:marLeft w:val="0"/>
          <w:marRight w:val="0"/>
          <w:marTop w:val="0"/>
          <w:marBottom w:val="0"/>
          <w:divBdr>
            <w:top w:val="none" w:sz="0" w:space="0" w:color="auto"/>
            <w:left w:val="none" w:sz="0" w:space="0" w:color="auto"/>
            <w:bottom w:val="none" w:sz="0" w:space="0" w:color="auto"/>
            <w:right w:val="none" w:sz="0" w:space="0" w:color="auto"/>
          </w:divBdr>
          <w:divsChild>
            <w:div w:id="129829776">
              <w:marLeft w:val="0"/>
              <w:marRight w:val="0"/>
              <w:marTop w:val="0"/>
              <w:marBottom w:val="0"/>
              <w:divBdr>
                <w:top w:val="none" w:sz="0" w:space="0" w:color="auto"/>
                <w:left w:val="none" w:sz="0" w:space="0" w:color="auto"/>
                <w:bottom w:val="none" w:sz="0" w:space="0" w:color="auto"/>
                <w:right w:val="none" w:sz="0" w:space="0" w:color="auto"/>
              </w:divBdr>
              <w:divsChild>
                <w:div w:id="181960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385056515">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58806544">
      <w:bodyDiv w:val="1"/>
      <w:marLeft w:val="0"/>
      <w:marRight w:val="0"/>
      <w:marTop w:val="0"/>
      <w:marBottom w:val="0"/>
      <w:divBdr>
        <w:top w:val="none" w:sz="0" w:space="0" w:color="auto"/>
        <w:left w:val="none" w:sz="0" w:space="0" w:color="auto"/>
        <w:bottom w:val="none" w:sz="0" w:space="0" w:color="auto"/>
        <w:right w:val="none" w:sz="0" w:space="0" w:color="auto"/>
      </w:divBdr>
      <w:divsChild>
        <w:div w:id="1788349006">
          <w:marLeft w:val="0"/>
          <w:marRight w:val="0"/>
          <w:marTop w:val="0"/>
          <w:marBottom w:val="0"/>
          <w:divBdr>
            <w:top w:val="none" w:sz="0" w:space="0" w:color="auto"/>
            <w:left w:val="none" w:sz="0" w:space="0" w:color="auto"/>
            <w:bottom w:val="none" w:sz="0" w:space="0" w:color="auto"/>
            <w:right w:val="none" w:sz="0" w:space="0" w:color="auto"/>
          </w:divBdr>
          <w:divsChild>
            <w:div w:id="1828856840">
              <w:marLeft w:val="0"/>
              <w:marRight w:val="0"/>
              <w:marTop w:val="0"/>
              <w:marBottom w:val="0"/>
              <w:divBdr>
                <w:top w:val="none" w:sz="0" w:space="0" w:color="auto"/>
                <w:left w:val="none" w:sz="0" w:space="0" w:color="auto"/>
                <w:bottom w:val="none" w:sz="0" w:space="0" w:color="auto"/>
                <w:right w:val="none" w:sz="0" w:space="0" w:color="auto"/>
              </w:divBdr>
              <w:divsChild>
                <w:div w:id="17761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791195495">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4a20949ee8624b34af5eae9ec5a8649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FA0418-C631-4858-87B1-421EDF2F906C}">
  <ds:schemaRefs>
    <ds:schemaRef ds:uri="http://schemas.openxmlformats.org/officeDocument/2006/bibliography"/>
  </ds:schemaRefs>
</ds:datastoreItem>
</file>

<file path=customXml/itemProps2.xml><?xml version="1.0" encoding="utf-8"?>
<ds:datastoreItem xmlns:ds="http://schemas.openxmlformats.org/officeDocument/2006/customXml" ds:itemID="{BA2C930D-14AA-4840-A702-D481B6F5C69F}"/>
</file>

<file path=customXml/itemProps3.xml><?xml version="1.0" encoding="utf-8"?>
<ds:datastoreItem xmlns:ds="http://schemas.openxmlformats.org/officeDocument/2006/customXml" ds:itemID="{870D59DC-A2CD-4CC1-9499-6D1104FA0B74}"/>
</file>

<file path=customXml/itemProps4.xml><?xml version="1.0" encoding="utf-8"?>
<ds:datastoreItem xmlns:ds="http://schemas.openxmlformats.org/officeDocument/2006/customXml" ds:itemID="{A93218DC-7786-4EC0-8556-8CEB98516122}"/>
</file>

<file path=docProps/app.xml><?xml version="1.0" encoding="utf-8"?>
<Properties xmlns="http://schemas.openxmlformats.org/officeDocument/2006/extended-properties" xmlns:vt="http://schemas.openxmlformats.org/officeDocument/2006/docPropsVTypes">
  <Template>Normal.dotm</Template>
  <TotalTime>1</TotalTime>
  <Pages>5</Pages>
  <Words>1433</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2019-08-22T08:47:00Z</dcterms:created>
  <dcterms:modified xsi:type="dcterms:W3CDTF">2019-08-22T08:47:00Z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