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D54" w:rsidRPr="003A646E" w:rsidRDefault="008D3E2E">
      <w:pPr>
        <w:spacing w:after="200"/>
        <w:jc w:val="both"/>
        <w:rPr>
          <w:rFonts w:ascii="Times New Roman" w:eastAsia="Times New Roman" w:hAnsi="Times New Roman" w:cs="Times New Roman"/>
          <w:b/>
          <w:color w:val="0A0A0A"/>
          <w:sz w:val="24"/>
          <w:szCs w:val="24"/>
          <w:lang w:val="en-GB"/>
        </w:rPr>
      </w:pPr>
      <w:bookmarkStart w:id="0" w:name="_GoBack"/>
      <w:bookmarkEnd w:id="0"/>
      <w:r w:rsidRPr="003A646E">
        <w:rPr>
          <w:rFonts w:ascii="Times New Roman" w:hAnsi="Times New Roman" w:cs="Times New Roman"/>
          <w:noProof/>
          <w:lang w:val="en-GB" w:eastAsia="en-GB"/>
        </w:rPr>
        <w:drawing>
          <wp:anchor distT="0" distB="0" distL="0" distR="0" simplePos="0" relativeHeight="251658240" behindDoc="0" locked="0" layoutInCell="1" hidden="0" allowOverlap="1">
            <wp:simplePos x="0" y="0"/>
            <wp:positionH relativeFrom="column">
              <wp:posOffset>1660688</wp:posOffset>
            </wp:positionH>
            <wp:positionV relativeFrom="paragraph">
              <wp:posOffset>133350</wp:posOffset>
            </wp:positionV>
            <wp:extent cx="2411550" cy="1154896"/>
            <wp:effectExtent l="0" t="0" r="0" b="0"/>
            <wp:wrapTopAndBottom distT="0" dist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11550" cy="1154896"/>
                    </a:xfrm>
                    <a:prstGeom prst="rect">
                      <a:avLst/>
                    </a:prstGeom>
                    <a:ln/>
                  </pic:spPr>
                </pic:pic>
              </a:graphicData>
            </a:graphic>
          </wp:anchor>
        </w:drawing>
      </w:r>
    </w:p>
    <w:p w:rsidR="005E2D54" w:rsidRPr="003A646E" w:rsidRDefault="005E2D54">
      <w:pPr>
        <w:spacing w:after="200"/>
        <w:jc w:val="both"/>
        <w:rPr>
          <w:rFonts w:ascii="Times New Roman" w:eastAsia="Times New Roman" w:hAnsi="Times New Roman" w:cs="Times New Roman"/>
          <w:b/>
          <w:color w:val="0A0A0A"/>
          <w:sz w:val="24"/>
          <w:szCs w:val="24"/>
          <w:lang w:val="en-GB"/>
        </w:rPr>
      </w:pPr>
    </w:p>
    <w:p w:rsidR="005E2D54" w:rsidRPr="003A646E" w:rsidRDefault="005E2D54" w:rsidP="003A646E">
      <w:pPr>
        <w:rPr>
          <w:rFonts w:ascii="Times New Roman" w:eastAsia="Times New Roman" w:hAnsi="Times New Roman" w:cs="Times New Roman"/>
          <w:b/>
          <w:sz w:val="24"/>
          <w:szCs w:val="24"/>
          <w:lang w:val="en-GB"/>
        </w:rPr>
      </w:pPr>
    </w:p>
    <w:p w:rsidR="005E2D54" w:rsidRPr="003A646E" w:rsidRDefault="00BF2D77">
      <w:pPr>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Alternative Report prepared to </w:t>
      </w:r>
      <w:r w:rsidR="003A646E" w:rsidRPr="003A646E">
        <w:rPr>
          <w:rFonts w:ascii="Times New Roman" w:eastAsia="Times New Roman" w:hAnsi="Times New Roman" w:cs="Times New Roman"/>
          <w:b/>
          <w:sz w:val="24"/>
          <w:szCs w:val="24"/>
          <w:lang w:val="en-GB"/>
        </w:rPr>
        <w:t>the Committee on the Rights of the Child</w:t>
      </w:r>
      <w:r>
        <w:rPr>
          <w:rFonts w:ascii="Times New Roman" w:eastAsia="Times New Roman" w:hAnsi="Times New Roman" w:cs="Times New Roman"/>
          <w:b/>
          <w:sz w:val="24"/>
          <w:szCs w:val="24"/>
          <w:lang w:val="en-GB"/>
        </w:rPr>
        <w:t>ren</w:t>
      </w:r>
      <w:r w:rsidR="003A646E" w:rsidRPr="003A646E">
        <w:rPr>
          <w:rFonts w:ascii="Times New Roman" w:eastAsia="Times New Roman" w:hAnsi="Times New Roman" w:cs="Times New Roman"/>
          <w:b/>
          <w:sz w:val="24"/>
          <w:szCs w:val="24"/>
          <w:lang w:val="en-GB"/>
        </w:rPr>
        <w:t xml:space="preserve"> </w:t>
      </w:r>
      <w:r w:rsidR="008D3E2E" w:rsidRPr="003A646E">
        <w:rPr>
          <w:rFonts w:ascii="Times New Roman" w:eastAsia="Times New Roman" w:hAnsi="Times New Roman" w:cs="Times New Roman"/>
          <w:b/>
          <w:sz w:val="24"/>
          <w:szCs w:val="24"/>
          <w:lang w:val="en-GB"/>
        </w:rPr>
        <w:t>for Turkey’s review at the Committee’s 93rd Pre-Session (September 2022)</w:t>
      </w:r>
    </w:p>
    <w:p w:rsidR="005E2D54" w:rsidRPr="003A646E" w:rsidRDefault="005E2D54">
      <w:pPr>
        <w:jc w:val="center"/>
        <w:rPr>
          <w:rFonts w:ascii="Times New Roman" w:eastAsia="Times New Roman" w:hAnsi="Times New Roman" w:cs="Times New Roman"/>
          <w:b/>
          <w:i/>
          <w:sz w:val="23"/>
          <w:szCs w:val="23"/>
          <w:lang w:val="en-GB"/>
        </w:rPr>
      </w:pPr>
    </w:p>
    <w:p w:rsidR="005E2D54" w:rsidRPr="003A646E" w:rsidRDefault="005E2D54">
      <w:pPr>
        <w:jc w:val="center"/>
        <w:rPr>
          <w:rFonts w:ascii="Times New Roman" w:eastAsia="Times New Roman" w:hAnsi="Times New Roman" w:cs="Times New Roman"/>
          <w:b/>
          <w:i/>
          <w:sz w:val="23"/>
          <w:szCs w:val="23"/>
          <w:lang w:val="en-GB"/>
        </w:rPr>
      </w:pPr>
    </w:p>
    <w:p w:rsidR="005E2D54" w:rsidRPr="003A646E" w:rsidRDefault="005E2D54">
      <w:pPr>
        <w:jc w:val="center"/>
        <w:rPr>
          <w:rFonts w:ascii="Times New Roman" w:eastAsia="Times New Roman" w:hAnsi="Times New Roman" w:cs="Times New Roman"/>
          <w:b/>
          <w:i/>
          <w:sz w:val="23"/>
          <w:szCs w:val="23"/>
          <w:lang w:val="en-GB"/>
        </w:rPr>
      </w:pPr>
    </w:p>
    <w:p w:rsidR="005E2D54" w:rsidRPr="003A646E" w:rsidRDefault="005E2D54">
      <w:pPr>
        <w:jc w:val="center"/>
        <w:rPr>
          <w:rFonts w:ascii="Times New Roman" w:eastAsia="Times New Roman" w:hAnsi="Times New Roman" w:cs="Times New Roman"/>
          <w:b/>
          <w:i/>
          <w:sz w:val="23"/>
          <w:szCs w:val="23"/>
          <w:lang w:val="en-GB"/>
        </w:rPr>
      </w:pPr>
    </w:p>
    <w:p w:rsidR="005E2D54" w:rsidRPr="003A646E" w:rsidRDefault="008D3E2E">
      <w:pPr>
        <w:jc w:val="center"/>
        <w:rPr>
          <w:rFonts w:ascii="Times New Roman" w:eastAsia="Times New Roman" w:hAnsi="Times New Roman" w:cs="Times New Roman"/>
          <w:b/>
          <w:sz w:val="24"/>
          <w:szCs w:val="24"/>
          <w:lang w:val="en-GB"/>
        </w:rPr>
      </w:pPr>
      <w:r w:rsidRPr="003A646E">
        <w:rPr>
          <w:rFonts w:ascii="Times New Roman" w:eastAsia="Times New Roman" w:hAnsi="Times New Roman" w:cs="Times New Roman"/>
          <w:b/>
          <w:sz w:val="24"/>
          <w:szCs w:val="24"/>
          <w:lang w:val="en-GB"/>
        </w:rPr>
        <w:t>Prepared and submitted by</w:t>
      </w:r>
    </w:p>
    <w:p w:rsidR="005E2D54" w:rsidRPr="003A646E" w:rsidRDefault="008D3E2E">
      <w:pPr>
        <w:jc w:val="center"/>
        <w:rPr>
          <w:rFonts w:ascii="Times New Roman" w:eastAsia="Times New Roman" w:hAnsi="Times New Roman" w:cs="Times New Roman"/>
          <w:b/>
          <w:sz w:val="24"/>
          <w:szCs w:val="24"/>
          <w:lang w:val="en-GB"/>
        </w:rPr>
      </w:pPr>
      <w:r w:rsidRPr="003A646E">
        <w:rPr>
          <w:rFonts w:ascii="Times New Roman" w:eastAsia="Times New Roman" w:hAnsi="Times New Roman" w:cs="Times New Roman"/>
          <w:b/>
          <w:sz w:val="24"/>
          <w:szCs w:val="24"/>
          <w:lang w:val="en-GB"/>
        </w:rPr>
        <w:t>Association for Monitoring Equal Rights (AMER)</w:t>
      </w:r>
    </w:p>
    <w:p w:rsidR="005E2D54" w:rsidRPr="003A646E" w:rsidRDefault="005E2D54" w:rsidP="003A646E">
      <w:pPr>
        <w:rPr>
          <w:rFonts w:ascii="Times New Roman" w:hAnsi="Times New Roman" w:cs="Times New Roman"/>
          <w:lang w:val="en-GB"/>
        </w:rPr>
      </w:pPr>
      <w:bookmarkStart w:id="1" w:name="_heading=h.7p2qe4a4c9v" w:colFirst="0" w:colLast="0"/>
      <w:bookmarkEnd w:id="1"/>
    </w:p>
    <w:p w:rsidR="005E2D54" w:rsidRPr="003A646E" w:rsidRDefault="005E2D54">
      <w:pPr>
        <w:rPr>
          <w:rFonts w:ascii="Times New Roman" w:hAnsi="Times New Roman" w:cs="Times New Roman"/>
          <w:lang w:val="en-GB"/>
        </w:rPr>
      </w:pPr>
    </w:p>
    <w:p w:rsidR="005E2D54" w:rsidRPr="003A646E" w:rsidRDefault="005E2D54">
      <w:pPr>
        <w:rPr>
          <w:rFonts w:ascii="Times New Roman" w:hAnsi="Times New Roman" w:cs="Times New Roman"/>
          <w:lang w:val="en-GB"/>
        </w:rPr>
      </w:pPr>
    </w:p>
    <w:p w:rsidR="005E2D54" w:rsidRPr="003A646E" w:rsidRDefault="005E2D54">
      <w:pPr>
        <w:rPr>
          <w:rFonts w:ascii="Times New Roman" w:hAnsi="Times New Roman" w:cs="Times New Roman"/>
          <w:lang w:val="en-GB"/>
        </w:rPr>
      </w:pPr>
    </w:p>
    <w:p w:rsidR="005E2D54" w:rsidRPr="003A646E" w:rsidRDefault="005E2D54">
      <w:pPr>
        <w:rPr>
          <w:rFonts w:ascii="Times New Roman" w:hAnsi="Times New Roman" w:cs="Times New Roman"/>
          <w:lang w:val="en-GB"/>
        </w:rPr>
      </w:pPr>
    </w:p>
    <w:p w:rsidR="005E2D54" w:rsidRPr="003A646E" w:rsidRDefault="005E2D54" w:rsidP="003A646E">
      <w:pPr>
        <w:rPr>
          <w:rFonts w:ascii="Times New Roman" w:hAnsi="Times New Roman" w:cs="Times New Roman"/>
          <w:lang w:val="en-GB"/>
        </w:rPr>
      </w:pPr>
      <w:bookmarkStart w:id="2" w:name="_heading=h.mfet7l6hiy6" w:colFirst="0" w:colLast="0"/>
      <w:bookmarkEnd w:id="2"/>
    </w:p>
    <w:p w:rsidR="005E2D54" w:rsidRPr="003A646E" w:rsidRDefault="005E2D54" w:rsidP="003A646E">
      <w:pPr>
        <w:rPr>
          <w:rFonts w:ascii="Times New Roman" w:hAnsi="Times New Roman" w:cs="Times New Roman"/>
          <w:lang w:val="en-GB"/>
        </w:rPr>
      </w:pPr>
      <w:bookmarkStart w:id="3" w:name="_heading=h.2u1z8cfayhud" w:colFirst="0" w:colLast="0"/>
      <w:bookmarkEnd w:id="3"/>
    </w:p>
    <w:p w:rsidR="005E2D54" w:rsidRPr="003A646E" w:rsidRDefault="005E2D54" w:rsidP="003A646E">
      <w:pPr>
        <w:rPr>
          <w:rFonts w:ascii="Times New Roman" w:hAnsi="Times New Roman" w:cs="Times New Roman"/>
          <w:lang w:val="en-GB"/>
        </w:rPr>
      </w:pPr>
      <w:bookmarkStart w:id="4" w:name="_heading=h.ii5qukcwazlj" w:colFirst="0" w:colLast="0"/>
      <w:bookmarkEnd w:id="4"/>
    </w:p>
    <w:p w:rsidR="005E2D54" w:rsidRPr="003A646E" w:rsidRDefault="005E2D54" w:rsidP="003A646E">
      <w:pPr>
        <w:rPr>
          <w:rFonts w:ascii="Times New Roman" w:hAnsi="Times New Roman" w:cs="Times New Roman"/>
          <w:lang w:val="en-GB"/>
        </w:rPr>
      </w:pPr>
      <w:bookmarkStart w:id="5" w:name="_heading=h.5y2d8z61mter" w:colFirst="0" w:colLast="0"/>
      <w:bookmarkEnd w:id="5"/>
    </w:p>
    <w:p w:rsidR="005E2D54" w:rsidRPr="003A646E" w:rsidRDefault="005E2D54" w:rsidP="003A646E">
      <w:pPr>
        <w:rPr>
          <w:rFonts w:ascii="Times New Roman" w:hAnsi="Times New Roman" w:cs="Times New Roman"/>
          <w:lang w:val="en-GB"/>
        </w:rPr>
      </w:pPr>
      <w:bookmarkStart w:id="6" w:name="_heading=h.cjk658184zkm" w:colFirst="0" w:colLast="0"/>
      <w:bookmarkEnd w:id="6"/>
    </w:p>
    <w:p w:rsidR="005E2D54" w:rsidRPr="003A646E" w:rsidRDefault="005E2D54" w:rsidP="003A646E">
      <w:pPr>
        <w:rPr>
          <w:rFonts w:ascii="Times New Roman" w:hAnsi="Times New Roman" w:cs="Times New Roman"/>
          <w:lang w:val="en-GB"/>
        </w:rPr>
      </w:pPr>
      <w:bookmarkStart w:id="7" w:name="_heading=h.d1n0459n4au0" w:colFirst="0" w:colLast="0"/>
      <w:bookmarkEnd w:id="7"/>
    </w:p>
    <w:p w:rsidR="005E2D54" w:rsidRPr="003A646E" w:rsidRDefault="005E2D54" w:rsidP="003A646E">
      <w:pPr>
        <w:rPr>
          <w:rFonts w:ascii="Times New Roman" w:hAnsi="Times New Roman" w:cs="Times New Roman"/>
          <w:lang w:val="en-GB"/>
        </w:rPr>
      </w:pPr>
      <w:bookmarkStart w:id="8" w:name="_heading=h.d165mx1o5nqe" w:colFirst="0" w:colLast="0"/>
      <w:bookmarkEnd w:id="8"/>
    </w:p>
    <w:p w:rsidR="005E2D54" w:rsidRPr="003A646E" w:rsidRDefault="005E2D54" w:rsidP="003A646E">
      <w:pPr>
        <w:rPr>
          <w:rFonts w:ascii="Times New Roman" w:hAnsi="Times New Roman" w:cs="Times New Roman"/>
          <w:lang w:val="en-GB"/>
        </w:rPr>
      </w:pPr>
      <w:bookmarkStart w:id="9" w:name="_heading=h.x3aqtspmilg3" w:colFirst="0" w:colLast="0"/>
      <w:bookmarkEnd w:id="9"/>
    </w:p>
    <w:p w:rsidR="005E2D54" w:rsidRDefault="005E2D54" w:rsidP="003A646E">
      <w:pPr>
        <w:rPr>
          <w:rFonts w:ascii="Times New Roman" w:hAnsi="Times New Roman" w:cs="Times New Roman"/>
          <w:lang w:val="en-GB"/>
        </w:rPr>
      </w:pPr>
      <w:bookmarkStart w:id="10" w:name="_heading=h.z1decmf4z2n8" w:colFirst="0" w:colLast="0"/>
      <w:bookmarkEnd w:id="10"/>
    </w:p>
    <w:p w:rsidR="003A646E" w:rsidRDefault="003A646E" w:rsidP="003A646E">
      <w:pPr>
        <w:rPr>
          <w:rFonts w:ascii="Times New Roman" w:hAnsi="Times New Roman" w:cs="Times New Roman"/>
          <w:lang w:val="en-GB"/>
        </w:rPr>
      </w:pPr>
    </w:p>
    <w:p w:rsidR="003A646E" w:rsidRDefault="003A646E" w:rsidP="003A646E">
      <w:pPr>
        <w:rPr>
          <w:rFonts w:ascii="Times New Roman" w:hAnsi="Times New Roman" w:cs="Times New Roman"/>
          <w:lang w:val="en-GB"/>
        </w:rPr>
      </w:pPr>
    </w:p>
    <w:p w:rsidR="003A646E" w:rsidRDefault="003A646E" w:rsidP="003A646E">
      <w:pPr>
        <w:rPr>
          <w:rFonts w:ascii="Times New Roman" w:hAnsi="Times New Roman" w:cs="Times New Roman"/>
          <w:lang w:val="en-GB"/>
        </w:rPr>
      </w:pPr>
    </w:p>
    <w:p w:rsidR="003A646E" w:rsidRDefault="003A646E" w:rsidP="003A646E">
      <w:pPr>
        <w:rPr>
          <w:rFonts w:ascii="Times New Roman" w:hAnsi="Times New Roman" w:cs="Times New Roman"/>
          <w:lang w:val="en-GB"/>
        </w:rPr>
      </w:pPr>
    </w:p>
    <w:p w:rsidR="003A646E" w:rsidRDefault="003A646E" w:rsidP="003A646E">
      <w:pPr>
        <w:rPr>
          <w:rFonts w:ascii="Times New Roman" w:hAnsi="Times New Roman" w:cs="Times New Roman"/>
          <w:lang w:val="en-GB"/>
        </w:rPr>
      </w:pPr>
    </w:p>
    <w:p w:rsidR="003A646E" w:rsidRDefault="003A646E" w:rsidP="003A646E">
      <w:pPr>
        <w:rPr>
          <w:rFonts w:ascii="Times New Roman" w:hAnsi="Times New Roman" w:cs="Times New Roman"/>
          <w:lang w:val="en-GB"/>
        </w:rPr>
      </w:pPr>
    </w:p>
    <w:p w:rsidR="003A646E" w:rsidRDefault="003A646E" w:rsidP="003A646E">
      <w:pPr>
        <w:rPr>
          <w:rFonts w:ascii="Times New Roman" w:hAnsi="Times New Roman" w:cs="Times New Roman"/>
          <w:lang w:val="en-GB"/>
        </w:rPr>
      </w:pPr>
    </w:p>
    <w:p w:rsidR="003A646E" w:rsidRDefault="003A646E" w:rsidP="003A646E">
      <w:pPr>
        <w:rPr>
          <w:rFonts w:ascii="Times New Roman" w:hAnsi="Times New Roman" w:cs="Times New Roman"/>
          <w:lang w:val="en-GB"/>
        </w:rPr>
      </w:pPr>
    </w:p>
    <w:p w:rsidR="003A646E" w:rsidRDefault="003A646E" w:rsidP="003A646E">
      <w:pPr>
        <w:rPr>
          <w:rFonts w:ascii="Times New Roman" w:hAnsi="Times New Roman" w:cs="Times New Roman"/>
          <w:lang w:val="en-GB"/>
        </w:rPr>
      </w:pPr>
    </w:p>
    <w:p w:rsidR="003A646E" w:rsidRDefault="003A646E" w:rsidP="003A646E">
      <w:pPr>
        <w:rPr>
          <w:rFonts w:ascii="Times New Roman" w:hAnsi="Times New Roman" w:cs="Times New Roman"/>
          <w:lang w:val="en-GB"/>
        </w:rPr>
      </w:pPr>
    </w:p>
    <w:p w:rsidR="003A646E" w:rsidRPr="003A646E" w:rsidRDefault="003A646E" w:rsidP="003A646E">
      <w:pPr>
        <w:rPr>
          <w:rFonts w:ascii="Times New Roman" w:hAnsi="Times New Roman" w:cs="Times New Roman"/>
          <w:lang w:val="en-GB"/>
        </w:rPr>
      </w:pPr>
    </w:p>
    <w:p w:rsidR="005E2D54" w:rsidRPr="003A646E" w:rsidRDefault="005E2D54">
      <w:pPr>
        <w:rPr>
          <w:rFonts w:ascii="Times New Roman" w:hAnsi="Times New Roman" w:cs="Times New Roman"/>
          <w:lang w:val="en-GB"/>
        </w:rPr>
      </w:pPr>
    </w:p>
    <w:p w:rsidR="005E2D54" w:rsidRDefault="003A646E" w:rsidP="003A646E">
      <w:pPr>
        <w:rPr>
          <w:rFonts w:ascii="Times New Roman" w:hAnsi="Times New Roman" w:cs="Times New Roman"/>
          <w:sz w:val="24"/>
          <w:lang w:val="en-GB"/>
        </w:rPr>
      </w:pPr>
      <w:bookmarkStart w:id="11" w:name="_heading=h.jlgzj1vfvz7v" w:colFirst="0" w:colLast="0"/>
      <w:bookmarkEnd w:id="11"/>
      <w:r w:rsidRPr="003A646E">
        <w:rPr>
          <w:rFonts w:ascii="Times New Roman" w:hAnsi="Times New Roman" w:cs="Times New Roman"/>
          <w:sz w:val="24"/>
          <w:lang w:val="en-GB"/>
        </w:rPr>
        <w:lastRenderedPageBreak/>
        <w:t>The Association for Monitoring Equal Rights - AMER) (</w:t>
      </w:r>
      <w:r w:rsidRPr="003A646E">
        <w:rPr>
          <w:rFonts w:ascii="Times New Roman" w:hAnsi="Times New Roman" w:cs="Times New Roman"/>
          <w:i/>
          <w:sz w:val="24"/>
          <w:lang w:val="en-GB"/>
        </w:rPr>
        <w:t>Eşit Haklar İçin İzleme Derneği - ESHİD</w:t>
      </w:r>
      <w:r w:rsidRPr="003A646E">
        <w:rPr>
          <w:rFonts w:ascii="Times New Roman" w:hAnsi="Times New Roman" w:cs="Times New Roman"/>
          <w:sz w:val="24"/>
          <w:lang w:val="en-GB"/>
        </w:rPr>
        <w:t>) was established in October 2010 to monitor and combat discrimination in society, to enable equal rights for each person belonging to disadvantaged groups. AMER carries out all its monitoring and reporting activities in consultation and partnership with national and grassroots civil society organizations (CSOs) which work with various disadvantaged groups including women, persons with disabilities, different ethnic and religious minority groups in different parts of Turkey. AMER has been observing every election since 2011 in terms of equal access of disadvantaged groups within society, as well as reporting discrimination with regards to the enjoyment of human rights. Since 2016, AMER has been working on access to justice for persons with disabilities in Turkey. In this respect, the General Comments of the CRPD, the Guidelines to Individual Communications to the Committee and relevant international court decisions have been translated to Turkish for the first time.  Legal aid, legal support, including trial monitoring has been provided to persons with disabilities through the Legal Aid Hotline. The International Conference on Access to Justice for Persons with Disabilities was organized in December 2018.  Prior to this report, AMER has submitted an Alternative Country Report on Turkey for the 88</w:t>
      </w:r>
      <w:r w:rsidRPr="003A646E">
        <w:rPr>
          <w:rFonts w:ascii="Times New Roman" w:hAnsi="Times New Roman" w:cs="Times New Roman"/>
          <w:sz w:val="24"/>
          <w:vertAlign w:val="superscript"/>
          <w:lang w:val="en-GB"/>
        </w:rPr>
        <w:t>th</w:t>
      </w:r>
      <w:r w:rsidRPr="003A646E">
        <w:rPr>
          <w:rFonts w:ascii="Times New Roman" w:hAnsi="Times New Roman" w:cs="Times New Roman"/>
          <w:sz w:val="24"/>
          <w:lang w:val="en-GB"/>
        </w:rPr>
        <w:t xml:space="preserve"> CERD Meeting in 2015, a list of issues to the 10th Pre-Session of the CRPD in August 2018 and NGO Submission to CEDAW for Turkey’s review at the Committee’s 82</w:t>
      </w:r>
      <w:r w:rsidRPr="003A646E">
        <w:rPr>
          <w:rFonts w:ascii="Times New Roman" w:hAnsi="Times New Roman" w:cs="Times New Roman"/>
          <w:sz w:val="24"/>
          <w:vertAlign w:val="superscript"/>
          <w:lang w:val="en-GB"/>
        </w:rPr>
        <w:t>nd</w:t>
      </w:r>
      <w:r w:rsidRPr="003A646E">
        <w:rPr>
          <w:rFonts w:ascii="Times New Roman" w:hAnsi="Times New Roman" w:cs="Times New Roman"/>
          <w:sz w:val="24"/>
          <w:lang w:val="en-GB"/>
        </w:rPr>
        <w:t xml:space="preserve"> Session</w:t>
      </w:r>
      <w:r>
        <w:rPr>
          <w:rFonts w:ascii="Times New Roman" w:hAnsi="Times New Roman" w:cs="Times New Roman"/>
          <w:sz w:val="24"/>
          <w:lang w:val="en-GB"/>
        </w:rPr>
        <w:t>.</w:t>
      </w:r>
    </w:p>
    <w:p w:rsidR="003A646E" w:rsidRDefault="003A646E" w:rsidP="003A646E">
      <w:pPr>
        <w:rPr>
          <w:rFonts w:ascii="Times New Roman" w:hAnsi="Times New Roman" w:cs="Times New Roman"/>
          <w:sz w:val="24"/>
          <w:lang w:val="en-GB"/>
        </w:rPr>
      </w:pPr>
    </w:p>
    <w:p w:rsidR="003A646E" w:rsidRDefault="003A646E" w:rsidP="003A646E">
      <w:pPr>
        <w:rPr>
          <w:rFonts w:ascii="Times New Roman" w:hAnsi="Times New Roman" w:cs="Times New Roman"/>
          <w:sz w:val="24"/>
          <w:lang w:val="en-GB"/>
        </w:rPr>
      </w:pPr>
    </w:p>
    <w:p w:rsidR="003A646E" w:rsidRPr="003A646E" w:rsidRDefault="003A646E" w:rsidP="003A646E">
      <w:pPr>
        <w:rPr>
          <w:rFonts w:ascii="Times New Roman" w:hAnsi="Times New Roman" w:cs="Times New Roman"/>
          <w:lang w:val="en-GB"/>
        </w:rPr>
      </w:pPr>
    </w:p>
    <w:p w:rsidR="003A646E" w:rsidRDefault="00C7026E" w:rsidP="003A646E">
      <w:pPr>
        <w:rPr>
          <w:rFonts w:ascii="Times New Roman" w:hAnsi="Times New Roman" w:cs="Times New Roman"/>
          <w:lang w:val="en-GB"/>
        </w:rPr>
      </w:pPr>
      <w:hyperlink r:id="rId8" w:history="1">
        <w:r w:rsidR="003A646E" w:rsidRPr="00BE0527">
          <w:rPr>
            <w:rStyle w:val="Hyperlink"/>
            <w:rFonts w:ascii="Times New Roman" w:hAnsi="Times New Roman" w:cs="Times New Roman"/>
            <w:lang w:val="en-GB"/>
          </w:rPr>
          <w:t>www.esithaklar.org</w:t>
        </w:r>
      </w:hyperlink>
      <w:r w:rsidR="003A646E">
        <w:rPr>
          <w:rFonts w:ascii="Times New Roman" w:hAnsi="Times New Roman" w:cs="Times New Roman"/>
          <w:lang w:val="en-GB"/>
        </w:rPr>
        <w:t xml:space="preserve"> </w:t>
      </w:r>
    </w:p>
    <w:p w:rsidR="003A646E" w:rsidRDefault="003A646E" w:rsidP="003A646E">
      <w:pPr>
        <w:rPr>
          <w:rFonts w:ascii="Times New Roman" w:hAnsi="Times New Roman" w:cs="Times New Roman"/>
          <w:lang w:val="en-GB"/>
        </w:rPr>
      </w:pPr>
      <w:r>
        <w:rPr>
          <w:rFonts w:ascii="Times New Roman" w:hAnsi="Times New Roman" w:cs="Times New Roman"/>
          <w:lang w:val="en-GB"/>
        </w:rPr>
        <w:t xml:space="preserve">e-mail: </w:t>
      </w:r>
      <w:hyperlink r:id="rId9" w:history="1">
        <w:r w:rsidRPr="00BE0527">
          <w:rPr>
            <w:rStyle w:val="Hyperlink"/>
            <w:rFonts w:ascii="Times New Roman" w:hAnsi="Times New Roman" w:cs="Times New Roman"/>
            <w:lang w:val="en-GB"/>
          </w:rPr>
          <w:t>esithaklar@gmail.com</w:t>
        </w:r>
      </w:hyperlink>
    </w:p>
    <w:p w:rsidR="003A646E" w:rsidRPr="003A646E" w:rsidRDefault="003A646E" w:rsidP="003A646E">
      <w:pPr>
        <w:rPr>
          <w:rFonts w:ascii="Times New Roman" w:hAnsi="Times New Roman" w:cs="Times New Roman"/>
          <w:lang w:val="en-GB"/>
        </w:rPr>
      </w:pPr>
      <w:r>
        <w:rPr>
          <w:rFonts w:ascii="Times New Roman" w:hAnsi="Times New Roman" w:cs="Times New Roman"/>
          <w:lang w:val="en-GB"/>
        </w:rPr>
        <w:t>Phone: +90 212 293 6377</w:t>
      </w:r>
    </w:p>
    <w:p w:rsidR="005E2D54" w:rsidRPr="003A646E" w:rsidRDefault="005E2D54">
      <w:pPr>
        <w:widowControl w:val="0"/>
        <w:spacing w:line="240" w:lineRule="auto"/>
        <w:rPr>
          <w:rFonts w:ascii="Times New Roman" w:hAnsi="Times New Roman" w:cs="Times New Roman"/>
          <w:lang w:val="en-GB"/>
        </w:rPr>
      </w:pPr>
    </w:p>
    <w:p w:rsidR="005E2D54" w:rsidRPr="003A646E" w:rsidRDefault="005E2D54" w:rsidP="003A646E">
      <w:pPr>
        <w:rPr>
          <w:rFonts w:ascii="Times New Roman" w:hAnsi="Times New Roman" w:cs="Times New Roman"/>
          <w:lang w:val="en-GB"/>
        </w:rPr>
      </w:pPr>
      <w:bookmarkStart w:id="12" w:name="_heading=h.gjdgxs" w:colFirst="0" w:colLast="0"/>
      <w:bookmarkStart w:id="13" w:name="_heading=h.c8d1pw5kadh6" w:colFirst="0" w:colLast="0"/>
      <w:bookmarkStart w:id="14" w:name="_heading=h.mbecdr9f971w" w:colFirst="0" w:colLast="0"/>
      <w:bookmarkEnd w:id="12"/>
      <w:bookmarkEnd w:id="13"/>
      <w:bookmarkEnd w:id="14"/>
    </w:p>
    <w:p w:rsidR="005E2D54" w:rsidRPr="003A646E" w:rsidRDefault="008D3E2E" w:rsidP="001D7BFC">
      <w:pPr>
        <w:rPr>
          <w:lang w:val="en-GB"/>
        </w:rPr>
      </w:pPr>
      <w:bookmarkStart w:id="15" w:name="_heading=h.f6u7p49exkjq" w:colFirst="0" w:colLast="0"/>
      <w:bookmarkEnd w:id="15"/>
      <w:r w:rsidRPr="003A646E">
        <w:rPr>
          <w:lang w:val="en-GB"/>
        </w:rPr>
        <w:br w:type="page"/>
      </w:r>
    </w:p>
    <w:p w:rsidR="005E2D54" w:rsidRPr="003A646E" w:rsidRDefault="008D3E2E">
      <w:pPr>
        <w:pStyle w:val="Heading1"/>
        <w:spacing w:after="200"/>
        <w:rPr>
          <w:rFonts w:cs="Times New Roman"/>
          <w:sz w:val="24"/>
          <w:szCs w:val="24"/>
          <w:lang w:val="en-GB"/>
        </w:rPr>
      </w:pPr>
      <w:bookmarkStart w:id="16" w:name="_heading=h.x962v2s072te" w:colFirst="0" w:colLast="0"/>
      <w:bookmarkEnd w:id="16"/>
      <w:r w:rsidRPr="003A646E">
        <w:rPr>
          <w:rFonts w:cs="Times New Roman"/>
          <w:lang w:val="en-GB"/>
        </w:rPr>
        <w:lastRenderedPageBreak/>
        <w:t>Reservations</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Turkey became a party to the Convention on the Rights of the Child (CRC) with reservations on Articles 17, 29 and 30 of the Convention. Turkey continues to keep the reservations despite the recommendation of the UN Committee on the Rights of the Child to lift them. </w:t>
      </w:r>
    </w:p>
    <w:p w:rsidR="005E2D54" w:rsidRPr="003A646E" w:rsidRDefault="008D3E2E">
      <w:pPr>
        <w:spacing w:after="200"/>
        <w:jc w:val="both"/>
        <w:rPr>
          <w:rFonts w:ascii="Times New Roman" w:eastAsia="Times New Roman" w:hAnsi="Times New Roman" w:cs="Times New Roman"/>
          <w:b/>
          <w:color w:val="0A0A0A"/>
          <w:sz w:val="24"/>
          <w:szCs w:val="24"/>
          <w:lang w:val="en-GB"/>
        </w:rPr>
      </w:pPr>
      <w:r w:rsidRPr="003A646E">
        <w:rPr>
          <w:rFonts w:ascii="Times New Roman" w:eastAsia="Times New Roman" w:hAnsi="Times New Roman" w:cs="Times New Roman"/>
          <w:color w:val="0A0A0A"/>
          <w:sz w:val="24"/>
          <w:szCs w:val="24"/>
          <w:lang w:val="en-GB"/>
        </w:rPr>
        <w:t xml:space="preserve">Contrary to the information provided in Paragraph 9 of the State Report, there is not a public effort underway to lift the reservations, notwithstanding the recommendations of international mechanisms and the calls made by civil society organisations (CSOs) for the lifting of the reservations.  </w:t>
      </w:r>
    </w:p>
    <w:p w:rsidR="005E2D54" w:rsidRPr="003A646E" w:rsidRDefault="008D3E2E">
      <w:pPr>
        <w:pStyle w:val="Heading1"/>
        <w:spacing w:after="200" w:line="276" w:lineRule="auto"/>
        <w:jc w:val="both"/>
        <w:rPr>
          <w:rFonts w:cs="Times New Roman"/>
          <w:lang w:val="en-GB"/>
        </w:rPr>
      </w:pPr>
      <w:bookmarkStart w:id="17" w:name="_heading=h.f5buran8fa5g" w:colFirst="0" w:colLast="0"/>
      <w:bookmarkEnd w:id="17"/>
      <w:r w:rsidRPr="003A646E">
        <w:rPr>
          <w:rFonts w:cs="Times New Roman"/>
          <w:lang w:val="en-GB"/>
        </w:rPr>
        <w:t xml:space="preserve">National Strategy Papers on the Rights of the Child </w:t>
      </w:r>
    </w:p>
    <w:p w:rsidR="005E2D54" w:rsidRPr="003A646E" w:rsidRDefault="008D3E2E">
      <w:pPr>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Turkey has strategy and action plans drafted, albeit not implemented, in several areas. Turkey adopted the Strategy Paper and Action Plan for the Rights of the Child covering 2013 and 2017. Similar to previous strategies and plans, the strategy paper and action plan for the rights of the child have also failed in implementation, and its outcomes have not been monitored. The Monitoring and Assessment Board for the Rights of the Child was set up to monitor the implementation of the action plan. The Board convened only once until 2016. Indeed, Çocuk Vakfı (Children's Foundation), a CSO and a member of the Board, publicly announced that it withdrew from the Board due to a lack of work carried out by the Board.</w:t>
      </w:r>
      <w:r w:rsidRPr="003A646E">
        <w:rPr>
          <w:rFonts w:ascii="Times New Roman" w:eastAsia="Times New Roman" w:hAnsi="Times New Roman" w:cs="Times New Roman"/>
          <w:color w:val="0A0A0A"/>
          <w:sz w:val="24"/>
          <w:szCs w:val="24"/>
          <w:vertAlign w:val="superscript"/>
          <w:lang w:val="en-GB"/>
        </w:rPr>
        <w:footnoteReference w:id="1"/>
      </w:r>
      <w:r w:rsidRPr="003A646E">
        <w:rPr>
          <w:rFonts w:ascii="Times New Roman" w:eastAsia="Times New Roman" w:hAnsi="Times New Roman" w:cs="Times New Roman"/>
          <w:color w:val="0A0A0A"/>
          <w:sz w:val="24"/>
          <w:szCs w:val="24"/>
          <w:lang w:val="en-GB"/>
        </w:rPr>
        <w:t xml:space="preserve"> The Board held its second and last meeting in 2016 and has not carried out any activities.  </w:t>
      </w:r>
    </w:p>
    <w:p w:rsidR="005E2D54" w:rsidRPr="003A646E" w:rsidRDefault="008D3E2E">
      <w:pPr>
        <w:spacing w:before="240" w:after="200"/>
        <w:jc w:val="both"/>
        <w:rPr>
          <w:rFonts w:ascii="Times New Roman" w:eastAsia="Times New Roman" w:hAnsi="Times New Roman" w:cs="Times New Roman"/>
          <w:b/>
          <w:color w:val="0A0A0A"/>
          <w:sz w:val="24"/>
          <w:szCs w:val="24"/>
          <w:lang w:val="en-GB"/>
        </w:rPr>
      </w:pPr>
      <w:r w:rsidRPr="003A646E">
        <w:rPr>
          <w:rFonts w:ascii="Times New Roman" w:eastAsia="Times New Roman" w:hAnsi="Times New Roman" w:cs="Times New Roman"/>
          <w:color w:val="0A0A0A"/>
          <w:sz w:val="24"/>
          <w:szCs w:val="24"/>
          <w:lang w:val="en-GB"/>
        </w:rPr>
        <w:t>As of 2022, there is no public information about the activities conducted under the Strategy Paper and Action Plan for the Rights of the Child or the extent to which the targets set in the plan have been achieved.</w:t>
      </w:r>
    </w:p>
    <w:p w:rsidR="005E2D54" w:rsidRPr="003A646E" w:rsidRDefault="008D3E2E">
      <w:pPr>
        <w:pStyle w:val="Heading1"/>
        <w:spacing w:after="200"/>
        <w:rPr>
          <w:rFonts w:cs="Times New Roman"/>
          <w:lang w:val="en-GB"/>
        </w:rPr>
      </w:pPr>
      <w:r w:rsidRPr="003A646E">
        <w:rPr>
          <w:rFonts w:cs="Times New Roman"/>
          <w:lang w:val="en-GB"/>
        </w:rPr>
        <w:t xml:space="preserve">Independent Monitoring Institutions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Information provided in paragraph 28 of the State report does not reflect the truth about the Human Rights and Equality Institution of Turkey (TIHEK). The Institution was set up in 2016 by Law no. 6701. Board members were appointed in 2017. TIHEK is non-compliance with the Paris Principles. All board members are appointed by the President, who is also the chair of a political party. The composition of the board is not pluralistic. It is impossible for the Board to be independent of the government since the President appoints board members. The Institution could only start receiving applications and initiate the decision-making process as late as the end of 2017.</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In 2021, TIHEK applied for accreditation granted by GANHRI to National Human Rights Institutions to comply with UN Principles. A review of the application for accreditation is still ongoing.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Law no 6701 gives TIHEK the task of monitoring the national implementation of the human rights conventions to which Turkey is a party. TIHEK has not monitored the conventions to which Turkey is a party, nor has it drafted any reports in this regard.</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Apart from a 2020 report on the right of children with autism, TIHEK has not put forth any report, recommendation, policy paper or legal proposal concerning the rights of the child.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The application statistics provided in TIHEK annual activity reports do not include information on the number of children who have filed an application or on which rights the applications pertain to. The subject of applications shows that the number of applications concerning child rights is 0. The report covering the first quarter of 2022 reveals that seven applications were made by child applicants.</w:t>
      </w:r>
      <w:r w:rsidRPr="003A646E">
        <w:rPr>
          <w:rFonts w:ascii="Times New Roman" w:eastAsia="Times New Roman" w:hAnsi="Times New Roman" w:cs="Times New Roman"/>
          <w:color w:val="0A0A0A"/>
          <w:sz w:val="24"/>
          <w:szCs w:val="24"/>
          <w:vertAlign w:val="superscript"/>
          <w:lang w:val="en-GB"/>
        </w:rPr>
        <w:footnoteReference w:id="2"/>
      </w:r>
      <w:r w:rsidRPr="003A646E">
        <w:rPr>
          <w:rFonts w:ascii="Times New Roman" w:eastAsia="Times New Roman" w:hAnsi="Times New Roman" w:cs="Times New Roman"/>
          <w:color w:val="0A0A0A"/>
          <w:sz w:val="24"/>
          <w:szCs w:val="24"/>
          <w:lang w:val="en-GB"/>
        </w:rPr>
        <w:t xml:space="preserve"> TIHEK does not have a strategy for increasing the number of applications on child rights violations.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The Human Rights Action Plan announced in 2021 by the government sets out a target to allow public access, within 6 months, to the decisions of the Ombudsman Institution (KDK), and TIHEK provided that personal data are protected.</w:t>
      </w:r>
      <w:r w:rsidRPr="003A646E">
        <w:rPr>
          <w:rFonts w:ascii="Times New Roman" w:eastAsia="Times New Roman" w:hAnsi="Times New Roman" w:cs="Times New Roman"/>
          <w:color w:val="0A0A0A"/>
          <w:sz w:val="24"/>
          <w:szCs w:val="24"/>
          <w:vertAlign w:val="superscript"/>
          <w:lang w:val="en-GB"/>
        </w:rPr>
        <w:t xml:space="preserve"> </w:t>
      </w:r>
      <w:r w:rsidRPr="003A646E">
        <w:rPr>
          <w:rFonts w:ascii="Times New Roman" w:eastAsia="Times New Roman" w:hAnsi="Times New Roman" w:cs="Times New Roman"/>
          <w:color w:val="0A0A0A"/>
          <w:sz w:val="24"/>
          <w:szCs w:val="24"/>
          <w:vertAlign w:val="superscript"/>
          <w:lang w:val="en-GB"/>
        </w:rPr>
        <w:footnoteReference w:id="3"/>
      </w:r>
      <w:r w:rsidRPr="003A646E">
        <w:rPr>
          <w:rFonts w:ascii="Times New Roman" w:eastAsia="Times New Roman" w:hAnsi="Times New Roman" w:cs="Times New Roman"/>
          <w:color w:val="0A0A0A"/>
          <w:sz w:val="24"/>
          <w:szCs w:val="24"/>
          <w:lang w:val="en-GB"/>
        </w:rPr>
        <w:t xml:space="preserve"> Nevertheless, the decisions of 2021 and the ensuing period are not accessible, although some of the decisions taken between 2013-2022 are posted on the children’s section of the website of the Ombudsman Institution.</w:t>
      </w:r>
      <w:r w:rsidRPr="003A646E">
        <w:rPr>
          <w:rFonts w:ascii="Times New Roman" w:eastAsia="Times New Roman" w:hAnsi="Times New Roman" w:cs="Times New Roman"/>
          <w:color w:val="0A0A0A"/>
          <w:sz w:val="24"/>
          <w:szCs w:val="24"/>
          <w:vertAlign w:val="superscript"/>
          <w:lang w:val="en-GB"/>
        </w:rPr>
        <w:t xml:space="preserve"> </w:t>
      </w:r>
      <w:r w:rsidRPr="003A646E">
        <w:rPr>
          <w:rFonts w:ascii="Times New Roman" w:eastAsia="Times New Roman" w:hAnsi="Times New Roman" w:cs="Times New Roman"/>
          <w:color w:val="0A0A0A"/>
          <w:sz w:val="24"/>
          <w:szCs w:val="24"/>
          <w:vertAlign w:val="superscript"/>
          <w:lang w:val="en-GB"/>
        </w:rPr>
        <w:footnoteReference w:id="4"/>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According to the 2021 annual report of the Ombudsman Institution, the total number of applications filed by natural persons was 18.843, out of which only 264 are related to child rights. (1,40%).</w:t>
      </w:r>
      <w:r w:rsidRPr="003A646E">
        <w:rPr>
          <w:rFonts w:ascii="Times New Roman" w:eastAsia="Times New Roman" w:hAnsi="Times New Roman" w:cs="Times New Roman"/>
          <w:color w:val="0A0A0A"/>
          <w:sz w:val="24"/>
          <w:szCs w:val="24"/>
          <w:vertAlign w:val="superscript"/>
          <w:lang w:val="en-GB"/>
        </w:rPr>
        <w:footnoteReference w:id="5"/>
      </w:r>
      <w:r w:rsidRPr="003A646E">
        <w:rPr>
          <w:rFonts w:ascii="Times New Roman" w:eastAsia="Times New Roman" w:hAnsi="Times New Roman" w:cs="Times New Roman"/>
          <w:color w:val="0A0A0A"/>
          <w:sz w:val="24"/>
          <w:szCs w:val="24"/>
          <w:lang w:val="en-GB"/>
        </w:rPr>
        <w:t xml:space="preserve"> This percentage stands at 0,36% for 2020.</w:t>
      </w:r>
      <w:r w:rsidRPr="003A646E">
        <w:rPr>
          <w:rFonts w:ascii="Times New Roman" w:eastAsia="Times New Roman" w:hAnsi="Times New Roman" w:cs="Times New Roman"/>
          <w:color w:val="0A0A0A"/>
          <w:sz w:val="24"/>
          <w:szCs w:val="24"/>
          <w:vertAlign w:val="superscript"/>
          <w:lang w:val="en-GB"/>
        </w:rPr>
        <w:t xml:space="preserve"> </w:t>
      </w:r>
      <w:r w:rsidRPr="003A646E">
        <w:rPr>
          <w:rFonts w:ascii="Times New Roman" w:eastAsia="Times New Roman" w:hAnsi="Times New Roman" w:cs="Times New Roman"/>
          <w:color w:val="0A0A0A"/>
          <w:sz w:val="24"/>
          <w:szCs w:val="24"/>
          <w:vertAlign w:val="superscript"/>
          <w:lang w:val="en-GB"/>
        </w:rPr>
        <w:footnoteReference w:id="6"/>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The reports on the monitoring visits TIHEK makes to closed institutions (childcare centres and penitentiary institutions) as part of its role as the national preventive mechanism reveal that there are not any physicians at these institutions, the visits are announced beforehand, religious services are provided at these institutions only address the Muslim Sunni faith, that imams are employed as staff,  and that Koran classes are held, but there are not any services for children practising other religions and faiths. </w:t>
      </w:r>
    </w:p>
    <w:p w:rsidR="005E2D54" w:rsidRPr="003A646E" w:rsidRDefault="008D3E2E">
      <w:pPr>
        <w:pBdr>
          <w:top w:val="nil"/>
          <w:left w:val="nil"/>
          <w:bottom w:val="nil"/>
          <w:right w:val="nil"/>
          <w:between w:val="nil"/>
        </w:pBd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TIHEK does not have a strategy for monitoring closed institutions or an implementation protocol for monitoring visits. There is no risk assessment for closed children’s institutions. It is unclear what the framework is for approaching the rights of the children in minority groups during the visits. This causes the monitoring visits to be kept within limits set by the delegates of the monitoring visit and the administrators at the monitored institution.</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Turkey has a large number of closed institutions that are opened up and operated by diverse congregations of the Muslim Sunni faith. The State provides facilitation in every way to the congregations in opening up and operating these dormitories. In recent years, there have been cases of severe violations of human rights at these institutions in the context of the rights of the child. For instance, a fire that broke out in 2016 in a girls’ dormitory in the Aladağ district of Adana province left 11 children and 1 staff member dead and 22 children injured.</w:t>
      </w:r>
      <w:r w:rsidRPr="003A646E">
        <w:rPr>
          <w:rFonts w:ascii="Times New Roman" w:eastAsia="Times New Roman" w:hAnsi="Times New Roman" w:cs="Times New Roman"/>
          <w:color w:val="0A0A0A"/>
          <w:sz w:val="24"/>
          <w:szCs w:val="24"/>
          <w:vertAlign w:val="superscript"/>
          <w:lang w:val="en-GB"/>
        </w:rPr>
        <w:footnoteReference w:id="7"/>
      </w:r>
      <w:r w:rsidRPr="003A646E">
        <w:rPr>
          <w:rFonts w:ascii="Times New Roman" w:eastAsia="Times New Roman" w:hAnsi="Times New Roman" w:cs="Times New Roman"/>
          <w:color w:val="0A0A0A"/>
          <w:sz w:val="24"/>
          <w:szCs w:val="24"/>
          <w:lang w:val="en-GB"/>
        </w:rPr>
        <w:t xml:space="preserve"> Again in the same year it was revealed that, between 2012-2015, 45 children between the ages of 9-10 who stayed at several dorms opened up by a congregation foundation Ensar Foundation and Alumni Association of Karaman Anatolian Imam Hatip High School were sexually abused and raped by a teacher.</w:t>
      </w:r>
      <w:r w:rsidRPr="003A646E">
        <w:rPr>
          <w:rFonts w:ascii="Times New Roman" w:eastAsia="Times New Roman" w:hAnsi="Times New Roman" w:cs="Times New Roman"/>
          <w:color w:val="0A0A0A"/>
          <w:sz w:val="24"/>
          <w:szCs w:val="24"/>
          <w:vertAlign w:val="superscript"/>
          <w:lang w:val="en-GB"/>
        </w:rPr>
        <w:t xml:space="preserve"> </w:t>
      </w:r>
      <w:r w:rsidRPr="003A646E">
        <w:rPr>
          <w:rFonts w:ascii="Times New Roman" w:eastAsia="Times New Roman" w:hAnsi="Times New Roman" w:cs="Times New Roman"/>
          <w:color w:val="0A0A0A"/>
          <w:sz w:val="24"/>
          <w:szCs w:val="24"/>
          <w:vertAlign w:val="superscript"/>
          <w:lang w:val="en-GB"/>
        </w:rPr>
        <w:footnoteReference w:id="8"/>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Since its establishment, TIHEK has not carried out a monitoring visit to these dormitories run by congregations although these dormitories are closed institutions where severe violations of human rights have occurred.</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TIHEK does not conduct an effective monitoring in closed children’s institutions. Its drafts are drafted with the motivation of protecting the state; it builds on the statements made by senior public officials with respect to existing problems and disregards the human rights approach in the recommendations made for the outlined problems. The lack of TIHEK’s independency is also reflected in its reports. For instance, during a monitoring visit, children pointed out that they caught cold because hot water was not provided to some dormitory wards.</w:t>
      </w:r>
      <w:r w:rsidRPr="003A646E">
        <w:rPr>
          <w:rFonts w:ascii="Times New Roman" w:eastAsia="Times New Roman" w:hAnsi="Times New Roman" w:cs="Times New Roman"/>
          <w:color w:val="0A0A0A"/>
          <w:sz w:val="24"/>
          <w:szCs w:val="24"/>
          <w:vertAlign w:val="superscript"/>
          <w:lang w:val="en-GB"/>
        </w:rPr>
        <w:footnoteReference w:id="9"/>
      </w:r>
      <w:r w:rsidRPr="003A646E">
        <w:rPr>
          <w:rFonts w:ascii="Times New Roman" w:eastAsia="Times New Roman" w:hAnsi="Times New Roman" w:cs="Times New Roman"/>
          <w:color w:val="0A0A0A"/>
          <w:sz w:val="24"/>
          <w:szCs w:val="24"/>
          <w:lang w:val="en-GB"/>
        </w:rPr>
        <w:t xml:space="preserve">  TIHEK does not address this situation in the context of the prohibition of torture and ill treatment, but notes that “</w:t>
      </w:r>
      <w:r w:rsidRPr="003A646E">
        <w:rPr>
          <w:rFonts w:ascii="Times New Roman" w:eastAsia="Times New Roman" w:hAnsi="Times New Roman" w:cs="Times New Roman"/>
          <w:i/>
          <w:color w:val="0A0A0A"/>
          <w:sz w:val="24"/>
          <w:szCs w:val="24"/>
          <w:lang w:val="en-GB"/>
        </w:rPr>
        <w:t>it is necessary to be mindful of ensuring an equal distribution of how water</w:t>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It is stated that children at visited institutions were briefed on TIHEK and given guidance to file an application with TIHEK in case they experience torture, ill treatment, humiliating or degrading treatment or punishment; however, it is not considered how, in reality, children can access to the means to contact TIHEK or whether their current circumstances are conducive to making an application.</w:t>
      </w:r>
      <w:r w:rsidRPr="003A646E">
        <w:rPr>
          <w:rFonts w:ascii="Times New Roman" w:eastAsia="Times New Roman" w:hAnsi="Times New Roman" w:cs="Times New Roman"/>
          <w:color w:val="0A0A0A"/>
          <w:sz w:val="24"/>
          <w:szCs w:val="24"/>
          <w:vertAlign w:val="superscript"/>
          <w:lang w:val="en-GB"/>
        </w:rPr>
        <w:footnoteReference w:id="10"/>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TIHEK, in its reports, notes that children did not report any allegations of torture, ill treatment or humiliating punishment, nor did the visiting delegation detect any findings pointing to such violations. Nonetheless, the reports fail to provide details on how this assessment was made or whether a physician examined the children.</w:t>
      </w:r>
      <w:r w:rsidRPr="003A646E">
        <w:rPr>
          <w:rFonts w:ascii="Times New Roman" w:eastAsia="Times New Roman" w:hAnsi="Times New Roman" w:cs="Times New Roman"/>
          <w:color w:val="0A0A0A"/>
          <w:sz w:val="24"/>
          <w:szCs w:val="24"/>
          <w:vertAlign w:val="superscript"/>
          <w:lang w:val="en-GB"/>
        </w:rPr>
        <w:footnoteReference w:id="11"/>
      </w:r>
      <w:r w:rsidRPr="003A646E">
        <w:rPr>
          <w:rFonts w:ascii="Times New Roman" w:eastAsia="Times New Roman" w:hAnsi="Times New Roman" w:cs="Times New Roman"/>
          <w:color w:val="0A0A0A"/>
          <w:sz w:val="24"/>
          <w:szCs w:val="24"/>
          <w:lang w:val="en-GB"/>
        </w:rPr>
        <w:t xml:space="preserve"> Although at the time of pandemics national preventive mechanisms are supposed to increase the frequency of their monitoring visits and check whether the measures taken are duly implemented, TIHEK, in its reports, notes that visits to children’s homes are not made due to Covid-19 pandemic.</w:t>
      </w:r>
      <w:r w:rsidRPr="003A646E">
        <w:rPr>
          <w:rFonts w:ascii="Times New Roman" w:eastAsia="Times New Roman" w:hAnsi="Times New Roman" w:cs="Times New Roman"/>
          <w:color w:val="0A0A0A"/>
          <w:sz w:val="24"/>
          <w:szCs w:val="24"/>
          <w:vertAlign w:val="superscript"/>
          <w:lang w:val="en-GB"/>
        </w:rPr>
        <w:footnoteReference w:id="12"/>
      </w:r>
      <w:r w:rsidRPr="003A646E">
        <w:rPr>
          <w:rFonts w:ascii="Times New Roman" w:eastAsia="Times New Roman" w:hAnsi="Times New Roman" w:cs="Times New Roman"/>
          <w:color w:val="0A0A0A"/>
          <w:sz w:val="24"/>
          <w:szCs w:val="24"/>
          <w:lang w:val="en-GB"/>
        </w:rPr>
        <w:t xml:space="preserve">  </w:t>
      </w:r>
    </w:p>
    <w:p w:rsidR="005E2D54" w:rsidRPr="003A646E" w:rsidRDefault="008D3E2E">
      <w:pPr>
        <w:pStyle w:val="Heading1"/>
        <w:spacing w:after="200" w:line="276" w:lineRule="auto"/>
        <w:jc w:val="both"/>
        <w:rPr>
          <w:rFonts w:cs="Times New Roman"/>
          <w:lang w:val="en-GB"/>
        </w:rPr>
      </w:pPr>
      <w:bookmarkStart w:id="19" w:name="_heading=h.2et92p0" w:colFirst="0" w:colLast="0"/>
      <w:bookmarkEnd w:id="19"/>
      <w:r w:rsidRPr="003A646E">
        <w:rPr>
          <w:rFonts w:cs="Times New Roman"/>
          <w:lang w:val="en-GB"/>
        </w:rPr>
        <w:t>Non-discrimination</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Turkish legislation addresses the prohibition of discrimination in the context of general equality regulations. Contrary to paragraph 40 of the State Report, there are not any regulations for describing the forms of discrimination in line with international standards, covering all grounds of discrimination, shifting the burden of proof, introducing criminal sanctions for discrimination and creating compensation mechanisms.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Article 10 of the Constitution, which regulates the norm of equality before the law, does not include sexual orientation, gender identity, ethnic identity and ageism in the grounds of discrimination. Article 4 of the Fundamental Law on National Education (METK), which regulates the prohibition of discrimination, stipulates that educational institutions should be “available for all irrespective of language, race, sex, disability and religion” but fails to include ethnic identity and sexual orientation in the grounds of discrimination.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Sub-paragraph c of article 4 of the Child Protection Law no. 5395 includes the wording: “no discrimination against the child or their family”; nonetheless, the law does not provide any regulation about discrimination.</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In a similar vein, the Law on People with Disabilities, which defines the forms of discrimination and prohibits discrimination on the ground of disability, does not provide any criminal sanctions for discrimination.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Discrimination was regulated and considered a crime for the first time by Article 122 of Turkish Penal Code no. 5237 that went into effect in 2004. An amendment made in 2014 to Article 122 requires that the act should be motivated by hate to be considered a crime of discrimination.  The Article covers a limited number of grounds, leaving out ethnic origin, sexual orientation and ageism as grounds of discrimination. Article 122 covers only recruitment, engagement in economic activities, enjoyment of public goods and services, punishing hate motivated discrimination committed only in these specific areas.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ECRI report on Turkey levels a similar criticism, underlining the necessity to improve the penal code.</w:t>
      </w:r>
      <w:r w:rsidRPr="003A646E">
        <w:rPr>
          <w:rFonts w:ascii="Times New Roman" w:eastAsia="Times New Roman" w:hAnsi="Times New Roman" w:cs="Times New Roman"/>
          <w:color w:val="0A0A0A"/>
          <w:sz w:val="24"/>
          <w:szCs w:val="24"/>
          <w:vertAlign w:val="superscript"/>
          <w:lang w:val="en-GB"/>
        </w:rPr>
        <w:footnoteReference w:id="13"/>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On 20 March 2021, Turkey withdrew, via a Presidential Decree, from the Council of Europe Convention on Preventing and Combating Violence Against Women and Domestic Violence (the Istanbul Convention). A fundamental feature of the Istanbul Convention is that it imposes on the states the obligation to implement the provisions of the convention without discrimination on any ground in order to leave no-one behind. Another important point is that the Istanbul Convention includes specific provisions related to refugee and immigrant women and girls. The Convention defines children as individuals and considers all forms of discrimination as rights violations. It stresses that every individual should be protected from discrimination at any rate, regardless of race, religion, language, disability, social origin, citizenship or immigration status, gender identity and sexual orientation.</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Withdrawal from the Convention might lead to a number of consequences, including holding off on steps to eliminate gender inequality, hindering the development of preventive programs and causing impunity for abuse and violence against women and children. It would also create the risks of allowing child abuse in the context of child marriage, a lack of support systems for victims of abuse and violence, and incitement to hate speech and crimes against lgbti+ persons.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The Strategy Paper and Action Plan for the Rights of the Child (ÇHSBEP) (2013-2017), drafted to protect and promote child rights in line with the principles set forth by the Convention on the Rights of the Child (CRC), refers to discrimination only by underlining “positive discrimination” in its consideration of the legislation, failing to provide specific measures for children subject to or at risk of multiple discrimination and for eliminating discriminating against children. The Committee on the Rights of the Child stresses in its report for the second and third cycles (CRC/C/TUR/CO/2-3, Par. 14-15) that the Action Plan lacks a rights-based approach to the strategy and has not been revised in the meantime. As of 2017, there has not been a public assessment of the targets set out in the completed action plan. </w:t>
      </w:r>
    </w:p>
    <w:p w:rsidR="005E2D54" w:rsidRPr="003A646E" w:rsidRDefault="008D3E2E">
      <w:pPr>
        <w:pStyle w:val="Heading1"/>
        <w:spacing w:after="200" w:line="276" w:lineRule="auto"/>
        <w:jc w:val="both"/>
        <w:rPr>
          <w:rFonts w:cs="Times New Roman"/>
          <w:lang w:val="en-GB"/>
        </w:rPr>
      </w:pPr>
      <w:bookmarkStart w:id="20" w:name="_heading=h.ubh2kvb40pp0" w:colFirst="0" w:colLast="0"/>
      <w:bookmarkEnd w:id="20"/>
      <w:r w:rsidRPr="003A646E">
        <w:rPr>
          <w:rFonts w:cs="Times New Roman"/>
          <w:lang w:val="en-GB"/>
        </w:rPr>
        <w:t>Data collection</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Turkey does not collect disaggregated data that would allow adopting specific measures to ensure access by diverse groups to human rights and to prevent discrimination.</w:t>
      </w:r>
      <w:r w:rsidRPr="003A646E">
        <w:rPr>
          <w:rFonts w:ascii="Times New Roman" w:eastAsia="Times New Roman" w:hAnsi="Times New Roman" w:cs="Times New Roman"/>
          <w:color w:val="0A0A0A"/>
          <w:sz w:val="24"/>
          <w:szCs w:val="24"/>
          <w:vertAlign w:val="superscript"/>
          <w:lang w:val="en-GB"/>
        </w:rPr>
        <w:footnoteReference w:id="14"/>
      </w:r>
      <w:r w:rsidRPr="003A646E">
        <w:rPr>
          <w:rFonts w:ascii="Times New Roman" w:eastAsia="Times New Roman" w:hAnsi="Times New Roman" w:cs="Times New Roman"/>
          <w:color w:val="0A0A0A"/>
          <w:sz w:val="24"/>
          <w:szCs w:val="24"/>
          <w:lang w:val="en-GB"/>
        </w:rPr>
        <w:t xml:space="preserve"> The State explains the non-collection of data as egalitarianism. The lack of disaggregated data makes it impossible to strengthen and measure the access to human rights by ethnic, religious and linguistic minorities and people with disabilities.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Paragraph 212 of Turkey’s state report claims that data based on ethnic origin are not retained and analysed. However, in 2013, an official letter sent by Istanbul Provincial Directorate of National Education to Sisli District Directorate of National Education with regard to a student who wanted to enrol in a minority school revealed that a secret “code for descent” is used in civil registration records.</w:t>
      </w:r>
      <w:r w:rsidRPr="003A646E">
        <w:rPr>
          <w:rFonts w:ascii="Times New Roman" w:eastAsia="Times New Roman" w:hAnsi="Times New Roman" w:cs="Times New Roman"/>
          <w:color w:val="0A0A0A"/>
          <w:sz w:val="24"/>
          <w:szCs w:val="24"/>
          <w:vertAlign w:val="superscript"/>
          <w:lang w:val="en-GB"/>
        </w:rPr>
        <w:footnoteReference w:id="15"/>
      </w:r>
      <w:r w:rsidRPr="003A646E">
        <w:rPr>
          <w:rFonts w:ascii="Times New Roman" w:eastAsia="Times New Roman" w:hAnsi="Times New Roman" w:cs="Times New Roman"/>
          <w:color w:val="0A0A0A"/>
          <w:sz w:val="24"/>
          <w:szCs w:val="24"/>
          <w:lang w:val="en-GB"/>
        </w:rPr>
        <w:t xml:space="preserve"> This sparked off a debate which led to statement by the then Minister of Interior who noted that the code for descent was not used only for minorities but for all citizens.</w:t>
      </w:r>
      <w:r w:rsidRPr="003A646E">
        <w:rPr>
          <w:rFonts w:ascii="Times New Roman" w:eastAsia="Times New Roman" w:hAnsi="Times New Roman" w:cs="Times New Roman"/>
          <w:color w:val="0A0A0A"/>
          <w:sz w:val="24"/>
          <w:szCs w:val="24"/>
          <w:vertAlign w:val="superscript"/>
          <w:lang w:val="en-GB"/>
        </w:rPr>
        <w:footnoteReference w:id="16"/>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Turkish public believes that the state is collecting disaggregated data due to a pro-security approach. It is not possible to determine the purposes of the data collected or what such data are used for. In the aftermath of the public debate, it is not possible to access any information on whether the system of coding descent is still in practice.</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The Strategy Paper and Action Plan for the Rights of the Child sets a target of (target 9.1) “developing a nation-wide data collection and monitoring system that covers all children”. In line with this target, it was planned to set up a child information center and complete the revision of data collection methods by 2015. However, as of 2022, there has not been any progress in this regard. An information note, dated 16 March 2022 and posted on the Ministry’s website, concerning a workshop on child research in Turkey states that “field studies will be conducted to build a profile for children in the context of education, health, safety, living and environmental conditions.”</w:t>
      </w:r>
      <w:r w:rsidRPr="003A646E">
        <w:rPr>
          <w:rFonts w:ascii="Times New Roman" w:eastAsia="Times New Roman" w:hAnsi="Times New Roman" w:cs="Times New Roman"/>
          <w:color w:val="0A0A0A"/>
          <w:sz w:val="24"/>
          <w:szCs w:val="24"/>
          <w:vertAlign w:val="superscript"/>
          <w:lang w:val="en-GB"/>
        </w:rPr>
        <w:t xml:space="preserve"> </w:t>
      </w:r>
      <w:r w:rsidRPr="003A646E">
        <w:rPr>
          <w:rFonts w:ascii="Times New Roman" w:eastAsia="Times New Roman" w:hAnsi="Times New Roman" w:cs="Times New Roman"/>
          <w:color w:val="0A0A0A"/>
          <w:sz w:val="24"/>
          <w:szCs w:val="24"/>
          <w:vertAlign w:val="superscript"/>
          <w:lang w:val="en-GB"/>
        </w:rPr>
        <w:footnoteReference w:id="17"/>
      </w:r>
    </w:p>
    <w:p w:rsidR="005E2D54" w:rsidRPr="003A646E" w:rsidRDefault="008D3E2E">
      <w:pPr>
        <w:pStyle w:val="Heading1"/>
        <w:spacing w:after="200" w:line="276" w:lineRule="auto"/>
        <w:jc w:val="both"/>
        <w:rPr>
          <w:rFonts w:cs="Times New Roman"/>
          <w:lang w:val="en-GB"/>
        </w:rPr>
      </w:pPr>
      <w:bookmarkStart w:id="21" w:name="_heading=h.p8nflh7c54zf" w:colFirst="0" w:colLast="0"/>
      <w:bookmarkEnd w:id="21"/>
      <w:r w:rsidRPr="003A646E">
        <w:rPr>
          <w:rFonts w:cs="Times New Roman"/>
          <w:lang w:val="en-GB"/>
        </w:rPr>
        <w:t>Freedom of expression, freedom to claim one’s rights ve right to freedom of information</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The statistics on the implementation of Articles 220, 300, 301 and 299 of Turkish Penal Code, which restrict the freedom of expression, reveal the interventions in the freedom of expression of children.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The regulation of the types of crimes covered by these articles do not provide for an effective protection of the freedom of expression, nor do they fulfil the conditions required for restricting freedoms. A review of the statistics</w:t>
      </w:r>
      <w:r w:rsidRPr="003A646E">
        <w:rPr>
          <w:rFonts w:ascii="Times New Roman" w:eastAsia="Times New Roman" w:hAnsi="Times New Roman" w:cs="Times New Roman"/>
          <w:color w:val="0A0A0A"/>
          <w:sz w:val="24"/>
          <w:szCs w:val="24"/>
          <w:vertAlign w:val="superscript"/>
          <w:lang w:val="en-GB"/>
        </w:rPr>
        <w:footnoteReference w:id="18"/>
      </w:r>
      <w:r w:rsidRPr="003A646E">
        <w:rPr>
          <w:rFonts w:ascii="Times New Roman" w:eastAsia="Times New Roman" w:hAnsi="Times New Roman" w:cs="Times New Roman"/>
          <w:color w:val="0A0A0A"/>
          <w:sz w:val="24"/>
          <w:szCs w:val="24"/>
          <w:lang w:val="en-GB"/>
        </w:rPr>
        <w:t xml:space="preserve"> published by the Ministry of Justice on the number of convicts and their age brackets shows that conviction of children is also in considerable numbers.</w:t>
      </w:r>
      <w:r w:rsidRPr="003A646E">
        <w:rPr>
          <w:rFonts w:ascii="Times New Roman" w:eastAsia="Times New Roman" w:hAnsi="Times New Roman" w:cs="Times New Roman"/>
          <w:color w:val="0A0A0A"/>
          <w:sz w:val="24"/>
          <w:szCs w:val="24"/>
          <w:vertAlign w:val="superscript"/>
          <w:lang w:val="en-GB"/>
        </w:rPr>
        <w:footnoteReference w:id="19"/>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According to the statistics on the offense of insulting the President of Turkey, an offense regulated by Article 299, the article has been increasingly invoked since 2015 for intervening in the freedom of expression of children. In 2015, a child aged 12-14 years old was convicted for the first time under this Article and the number of convicted children increased in the following years, rising to 22 in 2022.  Between 2012-2020, the total number of children found guilty of this crime was 106 for those between the ages of 12-17 and 24 for those between the ages of 12-14.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Between 2012-2020, 43.031 persons were convicted under Article 220 of TPC for forming an organisation with the intention of committing crime. The number of children aged between 12-18 who were sentenced for the same offence was 298, out of whom 49 were aged between 12-14.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Between 2012-2020, the number of persons convicted under Article 300 of TPC (Offense of Degrading the Insignia of State Sovereignty) is 656. The number of children aged between 12-17 who were convicted for this offense was 98. 48 children aged between 12-14, who were all boys, were given a punitive sentence.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Between 2012-2021, 1152 persons were convicted under Article 301 of TPC for degrading the Turkish Nation, the State of the Republic of Turkey and the Institutions and the Organs of the State. The number of children convicted for this offense was 29, out of whom 9 were children aged between 12-14. 2019 saw the largest number of convicted children in a given year with 13 conviction sentences. Conviction sentences given to children fell to 7 in 2020. </w:t>
      </w:r>
    </w:p>
    <w:p w:rsidR="005E2D54" w:rsidRPr="003A646E" w:rsidRDefault="008D3E2E">
      <w:pPr>
        <w:pStyle w:val="Heading1"/>
        <w:spacing w:after="200" w:line="276" w:lineRule="auto"/>
        <w:jc w:val="both"/>
        <w:rPr>
          <w:rFonts w:cs="Times New Roman"/>
          <w:lang w:val="en-GB"/>
        </w:rPr>
      </w:pPr>
      <w:bookmarkStart w:id="22" w:name="_heading=h.qfg7h52iyivt" w:colFirst="0" w:colLast="0"/>
      <w:bookmarkEnd w:id="22"/>
      <w:r w:rsidRPr="003A646E">
        <w:rPr>
          <w:rFonts w:cs="Times New Roman"/>
          <w:lang w:val="en-GB"/>
        </w:rPr>
        <w:t>Freedom of information requests</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Turkey has two laws that regulate the right to obtain information, namely the Law no. 3071 on the Enjoyment of the Right to Petition and the Law no. 4982 on the Right to Obtain Information, none of which includes an article that restricts or encourages children from enjoying these rights. Chief Ombudsman Şeref Malkoç’s statement on the matter that “the only institution in Turkey that grants the right to petition to children, those younger than 18 years old, is the Ombudsman Institution” reveals the de facto situation.</w:t>
      </w:r>
      <w:r w:rsidRPr="003A646E">
        <w:rPr>
          <w:rFonts w:ascii="Times New Roman" w:eastAsia="Times New Roman" w:hAnsi="Times New Roman" w:cs="Times New Roman"/>
          <w:color w:val="0A0A0A"/>
          <w:sz w:val="24"/>
          <w:szCs w:val="24"/>
          <w:vertAlign w:val="superscript"/>
          <w:lang w:val="en-GB"/>
        </w:rPr>
        <w:footnoteReference w:id="20"/>
      </w:r>
      <w:r w:rsidRPr="003A646E">
        <w:rPr>
          <w:rFonts w:ascii="Times New Roman" w:eastAsia="Times New Roman" w:hAnsi="Times New Roman" w:cs="Times New Roman"/>
          <w:color w:val="0A0A0A"/>
          <w:sz w:val="24"/>
          <w:szCs w:val="24"/>
          <w:lang w:val="en-GB"/>
        </w:rPr>
        <w:t xml:space="preserve"> Consequently, children’s access to the right to obtain information is a problematic area. Apart from the Ombudsman Institution, there are not any institutions in place that specifically regulate this matter. </w:t>
      </w:r>
    </w:p>
    <w:p w:rsidR="005E2D54" w:rsidRPr="003A646E" w:rsidRDefault="008D3E2E">
      <w:pPr>
        <w:pStyle w:val="Heading1"/>
        <w:spacing w:after="200" w:line="276" w:lineRule="auto"/>
        <w:jc w:val="both"/>
        <w:rPr>
          <w:rFonts w:cs="Times New Roman"/>
          <w:lang w:val="en-GB"/>
        </w:rPr>
      </w:pPr>
      <w:bookmarkStart w:id="23" w:name="_heading=h.ymooaex526io" w:colFirst="0" w:colLast="0"/>
      <w:bookmarkEnd w:id="23"/>
      <w:r w:rsidRPr="003A646E">
        <w:rPr>
          <w:rFonts w:cs="Times New Roman"/>
          <w:lang w:val="en-GB"/>
        </w:rPr>
        <w:t xml:space="preserve">Freedom of association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According to sub-paragraph 3 of Article 3 of the Law on Associations, minors who are older than 15 years old and who have the capacity to discernment can found child associations with the permission of their legal representatives; and minors over 12 years old can become a member to child associations with the permission of their legal representatives. The same article also restricts the purposes of child associations to: “protect and promote their social, spiritual, moral, physical and mental capabilities, their right to sport and to education and training, their social and cultural assets, their family structures and private lives”.</w:t>
      </w:r>
      <w:r w:rsidRPr="003A646E">
        <w:rPr>
          <w:rFonts w:ascii="Times New Roman" w:eastAsia="Times New Roman" w:hAnsi="Times New Roman" w:cs="Times New Roman"/>
          <w:color w:val="0A0A0A"/>
          <w:sz w:val="24"/>
          <w:szCs w:val="24"/>
          <w:vertAlign w:val="superscript"/>
          <w:lang w:val="en-GB"/>
        </w:rPr>
        <w:footnoteReference w:id="21"/>
      </w:r>
      <w:r w:rsidRPr="003A646E">
        <w:rPr>
          <w:rFonts w:ascii="Times New Roman" w:eastAsia="Times New Roman" w:hAnsi="Times New Roman" w:cs="Times New Roman"/>
          <w:color w:val="0A0A0A"/>
          <w:sz w:val="24"/>
          <w:szCs w:val="24"/>
          <w:lang w:val="en-GB"/>
        </w:rPr>
        <w:t xml:space="preserve"> This limitation of membership only to child associations and the requirement of permission by a legal custodian is non-compliant with Article 15 of CRC.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There is not any policy in practice that encourages the association of children. In fact, the 4</w:t>
      </w:r>
      <w:r w:rsidRPr="003A646E">
        <w:rPr>
          <w:rFonts w:ascii="Times New Roman" w:eastAsia="Times New Roman" w:hAnsi="Times New Roman" w:cs="Times New Roman"/>
          <w:color w:val="0A0A0A"/>
          <w:sz w:val="24"/>
          <w:szCs w:val="24"/>
          <w:vertAlign w:val="superscript"/>
          <w:lang w:val="en-GB"/>
        </w:rPr>
        <w:t>th</w:t>
      </w:r>
      <w:r w:rsidRPr="003A646E">
        <w:rPr>
          <w:rFonts w:ascii="Times New Roman" w:eastAsia="Times New Roman" w:hAnsi="Times New Roman" w:cs="Times New Roman"/>
          <w:color w:val="0A0A0A"/>
          <w:sz w:val="24"/>
          <w:szCs w:val="24"/>
          <w:lang w:val="en-GB"/>
        </w:rPr>
        <w:t xml:space="preserve"> and the 5</w:t>
      </w:r>
      <w:r w:rsidRPr="003A646E">
        <w:rPr>
          <w:rFonts w:ascii="Times New Roman" w:eastAsia="Times New Roman" w:hAnsi="Times New Roman" w:cs="Times New Roman"/>
          <w:color w:val="0A0A0A"/>
          <w:sz w:val="24"/>
          <w:szCs w:val="24"/>
          <w:vertAlign w:val="superscript"/>
          <w:lang w:val="en-GB"/>
        </w:rPr>
        <w:t>th</w:t>
      </w:r>
      <w:r w:rsidRPr="003A646E">
        <w:rPr>
          <w:rFonts w:ascii="Times New Roman" w:eastAsia="Times New Roman" w:hAnsi="Times New Roman" w:cs="Times New Roman"/>
          <w:color w:val="0A0A0A"/>
          <w:sz w:val="24"/>
          <w:szCs w:val="24"/>
          <w:lang w:val="en-GB"/>
        </w:rPr>
        <w:t xml:space="preserve"> periodic report on Turkey notes that, according to 2017 data, the number of child associations stands at 16 whereas it is 14 in 2022.</w:t>
      </w:r>
      <w:r w:rsidRPr="003A646E">
        <w:rPr>
          <w:rFonts w:ascii="Times New Roman" w:eastAsia="Times New Roman" w:hAnsi="Times New Roman" w:cs="Times New Roman"/>
          <w:color w:val="0A0A0A"/>
          <w:sz w:val="24"/>
          <w:szCs w:val="24"/>
          <w:vertAlign w:val="superscript"/>
          <w:lang w:val="en-GB"/>
        </w:rPr>
        <w:footnoteReference w:id="22"/>
      </w:r>
      <w:r w:rsidRPr="003A646E">
        <w:rPr>
          <w:rFonts w:ascii="Times New Roman" w:eastAsia="Times New Roman" w:hAnsi="Times New Roman" w:cs="Times New Roman"/>
          <w:color w:val="0A0A0A"/>
          <w:sz w:val="24"/>
          <w:szCs w:val="24"/>
          <w:lang w:val="en-GB"/>
        </w:rPr>
        <w:t xml:space="preserve"> </w:t>
      </w:r>
    </w:p>
    <w:p w:rsidR="005E2D54" w:rsidRPr="003A646E" w:rsidRDefault="008D3E2E">
      <w:pPr>
        <w:pStyle w:val="Heading1"/>
        <w:spacing w:after="200" w:line="276" w:lineRule="auto"/>
        <w:jc w:val="both"/>
        <w:rPr>
          <w:rFonts w:cs="Times New Roman"/>
          <w:lang w:val="en-GB"/>
        </w:rPr>
      </w:pPr>
      <w:bookmarkStart w:id="24" w:name="_heading=h.pg16flmq3lxr" w:colFirst="0" w:colLast="0"/>
      <w:bookmarkEnd w:id="24"/>
      <w:r w:rsidRPr="003A646E">
        <w:rPr>
          <w:rFonts w:cs="Times New Roman"/>
          <w:lang w:val="en-GB"/>
        </w:rPr>
        <w:t>Freedom of peaceful assembly</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Article 9 of the Law no. 2911 on Assemblies and Demonstrations sets out a requirement for being over the age of 18 to take part in the board for organisation of assemblies and demonstration. This Article is a direct intervention to the rights of children to freedom of assembly and demonstration. Freedom of peaceful assembly is defined as a Constitutional right in Turkey; nonetheless, powers granted to public authorities by diverse laws have made it impossible to enjoy this right. There is a lack of an effective mechanism to prevent arbitrary use of these powers. Provincial governors or directorates of security have the power to ban peaceful assemblies. Security forces use disproportionate force to interfere with totally non-violent demonstrations. For instance, the ban imposed by the office of the governor in Van province has been in effect for 6 years. Interference by security forces is not dependent on whether the assembly is violent or whether it calls for violence. There is not a protocol for protecting children or people with disabilities during interference with the demonstrations. Children are also taken under custody at LGBTI+ pride marches.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According to judicial statistics published by the Ministry of Justice, the number of children convicted for contravention of the law no. 2911 between 2012-2020 was 1817 (age group 12-17), out of whom 794 were between the ages of 12-14. The number of persons who received punishment in the same period was 15.492. The number of children who received punishment corresponds to around 12% of this total number. </w:t>
      </w:r>
    </w:p>
    <w:p w:rsidR="005E2D54" w:rsidRPr="003A646E" w:rsidRDefault="008D3E2E">
      <w:pPr>
        <w:pStyle w:val="Heading1"/>
        <w:spacing w:after="200" w:line="276" w:lineRule="auto"/>
        <w:jc w:val="both"/>
        <w:rPr>
          <w:rFonts w:cs="Times New Roman"/>
          <w:lang w:val="en-GB"/>
        </w:rPr>
      </w:pPr>
      <w:bookmarkStart w:id="25" w:name="_heading=h.kmn148z4anm9" w:colFirst="0" w:colLast="0"/>
      <w:bookmarkEnd w:id="25"/>
      <w:r w:rsidRPr="003A646E">
        <w:rPr>
          <w:rFonts w:cs="Times New Roman"/>
          <w:lang w:val="en-GB"/>
        </w:rPr>
        <w:t>Right to education for minorities</w:t>
      </w:r>
    </w:p>
    <w:p w:rsidR="005E2D54" w:rsidRPr="003A646E" w:rsidRDefault="008D3E2E">
      <w:pPr>
        <w:pStyle w:val="Heading2"/>
        <w:rPr>
          <w:rFonts w:ascii="Times New Roman" w:hAnsi="Times New Roman" w:cs="Times New Roman"/>
          <w:b/>
          <w:color w:val="000000" w:themeColor="text1"/>
          <w:lang w:val="en-GB"/>
        </w:rPr>
      </w:pPr>
      <w:bookmarkStart w:id="26" w:name="_heading=h.ekbg1zru1xa8" w:colFirst="0" w:colLast="0"/>
      <w:bookmarkEnd w:id="26"/>
      <w:r w:rsidRPr="003A646E">
        <w:rPr>
          <w:rFonts w:ascii="Times New Roman" w:hAnsi="Times New Roman" w:cs="Times New Roman"/>
          <w:b/>
          <w:color w:val="000000" w:themeColor="text1"/>
          <w:lang w:val="en-GB"/>
        </w:rPr>
        <w:t>Definition of “minority”</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Turkey does not comply with the framework set out in human rights conventions regarding the identification of minorities and recognition of status. Despite the fact that there are many settled different groups in terms of ethnicity, religion and language, Turkey only accepts Armenians, Rums and Jews as minorities based on the provisions of the 1923 Treaty of Lausanne. This situation excludes groups such as Kurds, Roma, Arab, Alevi, Circassian, Abkhaz, Caferi and Laz living in Turkey from minority status. Children belonging to groups whose minority status is not recognized are completely deprived of their rights, especially regarding their identity and culture.</w:t>
      </w:r>
    </w:p>
    <w:p w:rsidR="005E2D54" w:rsidRPr="003A646E" w:rsidRDefault="008D3E2E">
      <w:pPr>
        <w:spacing w:after="200"/>
        <w:jc w:val="both"/>
        <w:rPr>
          <w:rFonts w:ascii="Times New Roman" w:eastAsia="Times New Roman" w:hAnsi="Times New Roman" w:cs="Times New Roman"/>
          <w:b/>
          <w:color w:val="0A0A0A"/>
          <w:sz w:val="24"/>
          <w:szCs w:val="24"/>
          <w:lang w:val="en-GB"/>
        </w:rPr>
      </w:pPr>
      <w:bookmarkStart w:id="27" w:name="_heading=h.30j0zll" w:colFirst="0" w:colLast="0"/>
      <w:bookmarkEnd w:id="27"/>
      <w:r w:rsidRPr="003A646E">
        <w:rPr>
          <w:rFonts w:ascii="Times New Roman" w:eastAsia="Times New Roman" w:hAnsi="Times New Roman" w:cs="Times New Roman"/>
          <w:color w:val="0A0A0A"/>
          <w:sz w:val="24"/>
          <w:szCs w:val="24"/>
          <w:lang w:val="en-GB"/>
        </w:rPr>
        <w:t>Moreover, Turkey does not implement the rights defined for Armenians, Rums and Jews in Articles 37-44 of the Treaty of Lausanne, and these groups cannot enjoy their rights fully and effectively.</w:t>
      </w:r>
    </w:p>
    <w:p w:rsidR="005E2D54" w:rsidRPr="003A646E" w:rsidRDefault="008D3E2E">
      <w:pPr>
        <w:pStyle w:val="Heading2"/>
        <w:spacing w:after="200"/>
        <w:jc w:val="both"/>
        <w:rPr>
          <w:rFonts w:ascii="Times New Roman" w:hAnsi="Times New Roman" w:cs="Times New Roman"/>
          <w:b/>
          <w:color w:val="000000" w:themeColor="text1"/>
          <w:lang w:val="en-GB"/>
        </w:rPr>
      </w:pPr>
      <w:bookmarkStart w:id="28" w:name="_heading=h.hkxjskxm9wwx" w:colFirst="0" w:colLast="0"/>
      <w:bookmarkEnd w:id="28"/>
      <w:r w:rsidRPr="003A646E">
        <w:rPr>
          <w:rFonts w:ascii="Times New Roman" w:hAnsi="Times New Roman" w:cs="Times New Roman"/>
          <w:b/>
          <w:color w:val="000000" w:themeColor="text1"/>
          <w:lang w:val="en-GB"/>
        </w:rPr>
        <w:t>Right to education and culture for children belonging to various groups</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Contrary to paragraph 6 of the state report, the state party is not applying the provisions of the UN Covenant on Civil and Political Rights (Article 27). Although it is stated in paragraph 7 that children belonging to different ethnic origins, languages or religions do not experience any difficulties in living their culture, believing in their own religion, performing their own worship, and using their own language; it has not presented any concrete, verifiable information or document showing that these groups benefit from all these rights equally.</w:t>
      </w:r>
    </w:p>
    <w:p w:rsidR="005E2D54" w:rsidRPr="003A646E" w:rsidRDefault="008D3E2E" w:rsidP="003A646E">
      <w:pPr>
        <w:pStyle w:val="Heading2"/>
        <w:spacing w:after="240"/>
        <w:rPr>
          <w:rFonts w:ascii="Times New Roman" w:hAnsi="Times New Roman" w:cs="Times New Roman"/>
          <w:b/>
          <w:color w:val="000000" w:themeColor="text1"/>
          <w:lang w:val="en-GB"/>
        </w:rPr>
      </w:pPr>
      <w:r w:rsidRPr="003A646E">
        <w:rPr>
          <w:rFonts w:ascii="Times New Roman" w:hAnsi="Times New Roman" w:cs="Times New Roman"/>
          <w:b/>
          <w:color w:val="000000" w:themeColor="text1"/>
          <w:lang w:val="en-GB"/>
        </w:rPr>
        <w:t>Textbooks</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Contrary to article 42 of the state report, the education curriculum and textbooks are prepared without reference to universal values.</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According to "Secularism and Gender Research in Changing Textbooks II", there has been an increase in the use of Sunni-Muslim and sexist discourse in the books used in the 2018-19 academic year compared to the ones used in 2017-18. Religious references are included in primary school 2nd-grade Turkish, secondary school Turkish and 10th-grade history books. In addition, through men, religious expressions based on Sunni Islam under the theme of virtue are included in the textbooks. In terms of gender equality, sexist expressions and visuals about the division of labour within the family were included in the 2nd and 3rd grade Life Science books. Compared to the books used in 2017-18, a male-dominated perspective was used. In addition, in the book prepared within the scope of the "Psychosocial Preventive Support Program" initiated by the Ministry of National Education to provide psychological support in the face of natural disasters, terrorism and sexual abuse, while non-headscarfed women inflict violence and abuse on children; headscarfed women are depicted showing compassion to children.</w:t>
      </w:r>
    </w:p>
    <w:p w:rsidR="005E2D54" w:rsidRPr="003A646E" w:rsidRDefault="008D3E2E">
      <w:pPr>
        <w:spacing w:after="200"/>
        <w:jc w:val="both"/>
        <w:rPr>
          <w:rFonts w:ascii="Times New Roman" w:eastAsia="Times New Roman" w:hAnsi="Times New Roman" w:cs="Times New Roman"/>
          <w:color w:val="0A0A0A"/>
          <w:sz w:val="24"/>
          <w:szCs w:val="24"/>
          <w:lang w:val="en-GB"/>
        </w:rPr>
      </w:pPr>
      <w:bookmarkStart w:id="29" w:name="_heading=h.1fob9te" w:colFirst="0" w:colLast="0"/>
      <w:bookmarkEnd w:id="29"/>
      <w:r w:rsidRPr="003A646E">
        <w:rPr>
          <w:rFonts w:ascii="Times New Roman" w:eastAsia="Times New Roman" w:hAnsi="Times New Roman" w:cs="Times New Roman"/>
          <w:color w:val="0A0A0A"/>
          <w:sz w:val="24"/>
          <w:szCs w:val="24"/>
          <w:lang w:val="en-GB"/>
        </w:rPr>
        <w:t>When the primary and secondary school curriculum of 2019-20 is examined, Religion, Morality and Values course has been added as an elective course in addition to the compulsory Religious Culture and Moral Knowledge course. In the Compulsory Religious Culture and Moral Knowledge course, only Islamic religious teachings are included and there is no regulation about other religions. Turkey also does not implement the decision taken by the European Court of Human Rights in 2014 to remove the compulsory religion course.</w:t>
      </w:r>
    </w:p>
    <w:p w:rsidR="005E2D54" w:rsidRPr="003A646E" w:rsidRDefault="008D3E2E">
      <w:pPr>
        <w:spacing w:after="200"/>
        <w:jc w:val="both"/>
        <w:rPr>
          <w:rFonts w:ascii="Times New Roman" w:eastAsia="Times New Roman" w:hAnsi="Times New Roman" w:cs="Times New Roman"/>
          <w:b/>
          <w:color w:val="0A0A0A"/>
          <w:sz w:val="24"/>
          <w:szCs w:val="24"/>
          <w:lang w:val="en-GB"/>
        </w:rPr>
      </w:pPr>
      <w:r w:rsidRPr="003A646E">
        <w:rPr>
          <w:rFonts w:ascii="Times New Roman" w:eastAsia="Times New Roman" w:hAnsi="Times New Roman" w:cs="Times New Roman"/>
          <w:color w:val="0A0A0A"/>
          <w:sz w:val="24"/>
          <w:szCs w:val="24"/>
          <w:lang w:val="en-GB"/>
        </w:rPr>
        <w:t>As stated in the report, TIHEK has the responsibility to contribute to the preparation of sections on the prevention of discrimination and human rights in the MoNE curriculum. However, TIHEK does not have any studies on this issue. TIHEK has not made any suggestions regarding the removal of discriminatory expressions in the textbooks.</w:t>
      </w:r>
    </w:p>
    <w:p w:rsidR="005E2D54" w:rsidRPr="003A646E" w:rsidRDefault="008D3E2E" w:rsidP="003A646E">
      <w:pPr>
        <w:pStyle w:val="Heading2"/>
        <w:spacing w:after="240"/>
        <w:rPr>
          <w:rFonts w:ascii="Times New Roman" w:hAnsi="Times New Roman" w:cs="Times New Roman"/>
          <w:b/>
          <w:color w:val="000000" w:themeColor="text1"/>
          <w:lang w:val="en-GB"/>
        </w:rPr>
      </w:pPr>
      <w:bookmarkStart w:id="30" w:name="_heading=h.51eteryvjfay" w:colFirst="0" w:colLast="0"/>
      <w:bookmarkEnd w:id="30"/>
      <w:r w:rsidRPr="003A646E">
        <w:rPr>
          <w:rFonts w:ascii="Times New Roman" w:hAnsi="Times New Roman" w:cs="Times New Roman"/>
          <w:b/>
          <w:color w:val="000000" w:themeColor="text1"/>
          <w:lang w:val="en-GB"/>
        </w:rPr>
        <w:t>The Right to Education in the Mother Tongue and Teaching the Mother Tongue</w:t>
      </w:r>
    </w:p>
    <w:p w:rsidR="005E2D54" w:rsidRPr="003A646E" w:rsidRDefault="008D3E2E">
      <w:pPr>
        <w:spacing w:after="200"/>
        <w:jc w:val="both"/>
        <w:rPr>
          <w:rFonts w:ascii="Times New Roman" w:eastAsia="Times New Roman" w:hAnsi="Times New Roman" w:cs="Times New Roman"/>
          <w:b/>
          <w:color w:val="0A0A0A"/>
          <w:sz w:val="24"/>
          <w:szCs w:val="24"/>
          <w:lang w:val="en-GB"/>
        </w:rPr>
      </w:pPr>
      <w:r w:rsidRPr="003A646E">
        <w:rPr>
          <w:rFonts w:ascii="Times New Roman" w:eastAsia="Times New Roman" w:hAnsi="Times New Roman" w:cs="Times New Roman"/>
          <w:color w:val="0A0A0A"/>
          <w:sz w:val="24"/>
          <w:szCs w:val="24"/>
          <w:lang w:val="en-GB"/>
        </w:rPr>
        <w:t>Turkey implements a strict single language policy in the public sphere. According to the UNESCO’s Atlas of Endangered Languages, 18 different languages and dialects are in danger of extinction in Turkey.</w:t>
      </w:r>
      <w:r w:rsidRPr="003A646E">
        <w:rPr>
          <w:rFonts w:ascii="Times New Roman" w:eastAsia="Times New Roman" w:hAnsi="Times New Roman" w:cs="Times New Roman"/>
          <w:color w:val="0A0A0A"/>
          <w:sz w:val="24"/>
          <w:szCs w:val="24"/>
          <w:vertAlign w:val="superscript"/>
          <w:lang w:val="en-GB"/>
        </w:rPr>
        <w:footnoteReference w:id="23"/>
      </w:r>
      <w:r w:rsidRPr="003A646E">
        <w:rPr>
          <w:rFonts w:ascii="Times New Roman" w:eastAsia="Times New Roman" w:hAnsi="Times New Roman" w:cs="Times New Roman"/>
          <w:color w:val="0A0A0A"/>
          <w:sz w:val="24"/>
          <w:szCs w:val="24"/>
          <w:lang w:val="en-GB"/>
        </w:rPr>
        <w:t xml:space="preserve"> While the right to carry out cultural studies in the mother tongue is prevented for many groups, at the same time the use of languages such as Kurdish in public sphere is criminalized.</w:t>
      </w:r>
    </w:p>
    <w:p w:rsidR="005E2D54" w:rsidRPr="003A646E" w:rsidRDefault="008D3E2E">
      <w:pPr>
        <w:pStyle w:val="Heading3"/>
        <w:rPr>
          <w:lang w:val="en-GB"/>
        </w:rPr>
      </w:pPr>
      <w:bookmarkStart w:id="31" w:name="_heading=h.jl0l34m4uybo" w:colFirst="0" w:colLast="0"/>
      <w:bookmarkEnd w:id="31"/>
      <w:r w:rsidRPr="003A646E">
        <w:rPr>
          <w:lang w:val="en-GB"/>
        </w:rPr>
        <w:t>Education in Mother Tongue</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More than 35 languages ​​are spoken in Turkey and UNESCO states that most of these languages ​​are in danger of extinction. Living Languages ​​and Dialects Courses, added to the curriculum as an elective course, are not prepared for a child to learn or improve his/her mother tongue. As mentioned in paragraph 36 of the state report, the purpose of introducing this course is only for children to recognize and learn different languages ​​and dialects. Besides, in practice, it is refrained from providing adequate information to families and children about Living Languages ​​and Dialects, especially the courses in Kurmanji and Zazaki dialects of Kurdish, no teachers are appointed to teach, and 10 students in the school must choose for this course to be opened. School administrations direct students not to choose these courses.</w:t>
      </w:r>
      <w:r w:rsidRPr="003A646E">
        <w:rPr>
          <w:rFonts w:ascii="Times New Roman" w:eastAsia="Times New Roman" w:hAnsi="Times New Roman" w:cs="Times New Roman"/>
          <w:color w:val="0A0A0A"/>
          <w:sz w:val="24"/>
          <w:szCs w:val="24"/>
          <w:vertAlign w:val="superscript"/>
          <w:lang w:val="en-GB"/>
        </w:rPr>
        <w:footnoteReference w:id="24"/>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In order for the Living Languages and Dialects Course to be opened in a school, at least 10 students must choose. This necessity prevents children who live dispersedly in the cities and prefer Kurmanji, Zazaki, Abkhazian, Adyghe, Laz, and Georgian courses from taking the course. Especially Circassian, Laz and Georgian groups live in different cities, and dispersedly. Therefore, it is practically impossible for them to take this course.</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It is observed that the interest in Kurmanji and Zazaki dialects increased in the years when the Living Languages and Dialects Course was first opened. However, due to the oppressive atmosphere created by the end of the solution process/democratic opening in 2015, the number of children who chose the Living Languages and Dialects Course between 2015-2020 decreased by 50 thousand.</w:t>
      </w:r>
      <w:r w:rsidRPr="003A646E">
        <w:rPr>
          <w:rFonts w:ascii="Times New Roman" w:eastAsia="Times New Roman" w:hAnsi="Times New Roman" w:cs="Times New Roman"/>
          <w:color w:val="0A0A0A"/>
          <w:sz w:val="24"/>
          <w:szCs w:val="24"/>
          <w:vertAlign w:val="superscript"/>
          <w:lang w:val="en-GB"/>
        </w:rPr>
        <w:footnoteReference w:id="25"/>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While the number of students who chose the Living Languages ​​and Dialects Course in 2013-2014 was 53 thousand, 17 teachers were appointed. While the number of students who chose the course in 2014-2015 increased to 83 thousand, 9 new teachers were appointed in December 2015.</w:t>
      </w:r>
      <w:r w:rsidRPr="003A646E">
        <w:rPr>
          <w:rFonts w:ascii="Times New Roman" w:eastAsia="Times New Roman" w:hAnsi="Times New Roman" w:cs="Times New Roman"/>
          <w:color w:val="0A0A0A"/>
          <w:sz w:val="24"/>
          <w:szCs w:val="24"/>
          <w:vertAlign w:val="superscript"/>
          <w:lang w:val="en-GB"/>
        </w:rPr>
        <w:footnoteReference w:id="26"/>
      </w:r>
      <w:r w:rsidRPr="003A646E">
        <w:rPr>
          <w:rFonts w:ascii="Times New Roman" w:eastAsia="Times New Roman" w:hAnsi="Times New Roman" w:cs="Times New Roman"/>
          <w:color w:val="0A0A0A"/>
          <w:sz w:val="24"/>
          <w:szCs w:val="24"/>
          <w:lang w:val="en-GB"/>
        </w:rPr>
        <w:t xml:space="preserve"> In 2016 16 teachers, in 2017 2 teachers, in 2018 3 teachers, in 2019 0 or 2 teacher(s) </w:t>
      </w:r>
      <w:r w:rsidRPr="003A646E">
        <w:rPr>
          <w:rFonts w:ascii="Times New Roman" w:eastAsia="Times New Roman" w:hAnsi="Times New Roman" w:cs="Times New Roman"/>
          <w:i/>
          <w:color w:val="0A0A0A"/>
          <w:sz w:val="24"/>
          <w:szCs w:val="24"/>
          <w:lang w:val="en-GB"/>
        </w:rPr>
        <w:t xml:space="preserve">(different sources provide different information) </w:t>
      </w:r>
      <w:r w:rsidRPr="003A646E">
        <w:rPr>
          <w:rFonts w:ascii="Times New Roman" w:eastAsia="Times New Roman" w:hAnsi="Times New Roman" w:cs="Times New Roman"/>
          <w:color w:val="0A0A0A"/>
          <w:sz w:val="24"/>
          <w:szCs w:val="24"/>
          <w:lang w:val="en-GB"/>
        </w:rPr>
        <w:t>were appointed, and in 2020 only 1 teacher was appointed. These courses are not effective in learning the mother tongue, as the state does not appoint sufficient number of teachers for the Living Languages ​​and Dialects Course, does not produce sufficient course materials and does not implement any encouraging policies. No planned and systematic study has been carried out since 2013, when the course was included in the curriculum, in order to solve the problems of lack of material and number of teachers. On the contrary, a policy to prevent students from choosing the course continues to be implemented.</w:t>
      </w:r>
    </w:p>
    <w:p w:rsidR="005E2D54" w:rsidRPr="003A646E" w:rsidRDefault="008D3E2E">
      <w:pPr>
        <w:spacing w:after="200"/>
        <w:jc w:val="both"/>
        <w:rPr>
          <w:rFonts w:ascii="Times New Roman" w:eastAsia="Times New Roman" w:hAnsi="Times New Roman" w:cs="Times New Roman"/>
          <w:b/>
          <w:color w:val="0A0A0A"/>
          <w:sz w:val="24"/>
          <w:szCs w:val="24"/>
          <w:lang w:val="en-GB"/>
        </w:rPr>
      </w:pPr>
      <w:r w:rsidRPr="003A646E">
        <w:rPr>
          <w:rFonts w:ascii="Times New Roman" w:eastAsia="Times New Roman" w:hAnsi="Times New Roman" w:cs="Times New Roman"/>
          <w:color w:val="0A0A0A"/>
          <w:sz w:val="24"/>
          <w:szCs w:val="24"/>
          <w:lang w:val="en-GB"/>
        </w:rPr>
        <w:t>Along with the Living Languages and Dialects Course and its application contain many problems, we should underline that Romanes, Domari and Lomavren languages spoken in Turkey are not included in the elective course curriculum.</w:t>
      </w:r>
    </w:p>
    <w:p w:rsidR="005E2D54" w:rsidRPr="003A646E" w:rsidRDefault="008D3E2E">
      <w:pPr>
        <w:pStyle w:val="Heading3"/>
        <w:rPr>
          <w:lang w:val="en-GB"/>
        </w:rPr>
      </w:pPr>
      <w:bookmarkStart w:id="32" w:name="_heading=h.mlgc7iomngx5" w:colFirst="0" w:colLast="0"/>
      <w:bookmarkEnd w:id="32"/>
      <w:r w:rsidRPr="003A646E">
        <w:rPr>
          <w:lang w:val="en-GB"/>
        </w:rPr>
        <w:t>Education in Native Language</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There are not any legal regulations in place that would allow children in public schools to get an education in their native language. A 2013 amendment to Article 2 of the Law on Foreign Language Education and Teaching and Learning of Turkish Citizens' Different Languages and Dialects allows opening private educational institutions that provide education in different languages and dialects traditionally used by citizens in their daily lives. However, the government does not provide any support or incentive either for opening private educational institutions that offer education in different languages or for families to enrol their children at these schools. On the contrary, there are policies implemented to prevent the opening of these private educational institutions. For instance, there are not any schools that provide education in Kurdish, which is among the most spoken languages in Turkey.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Schools that had a Kurdish educational curriculum, which were opened with the support of some municipalities and civil society organisations, were either sealed off or closed down on the ground that they were against the legislation on national education. Ferzad Kemanger School, Üveyş Ana School and Bêrîvan School which were opened on 15 September 2014, were sealed off after a short while by the Ministry of Interior and closed off later on. </w:t>
      </w:r>
    </w:p>
    <w:p w:rsidR="005E2D54" w:rsidRPr="003A646E" w:rsidRDefault="008D3E2E">
      <w:pPr>
        <w:spacing w:after="200"/>
        <w:jc w:val="both"/>
        <w:rPr>
          <w:rFonts w:ascii="Times New Roman" w:eastAsia="Times New Roman" w:hAnsi="Times New Roman" w:cs="Times New Roman"/>
          <w:b/>
          <w:color w:val="0A0A0A"/>
          <w:sz w:val="24"/>
          <w:szCs w:val="24"/>
          <w:lang w:val="en-GB"/>
        </w:rPr>
      </w:pPr>
      <w:bookmarkStart w:id="33" w:name="_heading=h.3dy6vkm" w:colFirst="0" w:colLast="0"/>
      <w:bookmarkEnd w:id="33"/>
      <w:r w:rsidRPr="003A646E">
        <w:rPr>
          <w:rFonts w:ascii="Times New Roman" w:eastAsia="Times New Roman" w:hAnsi="Times New Roman" w:cs="Times New Roman"/>
          <w:color w:val="0A0A0A"/>
          <w:sz w:val="24"/>
          <w:szCs w:val="24"/>
          <w:lang w:val="en-GB"/>
        </w:rPr>
        <w:t>Nurseries and playrooms, which were opened by municipalities in some provinces with a dense Kurdish population, had a Kurdish educational curriculum; nonetheless trustees appointed by the government to these municipalities closed them down in 2017 and in the ensuing period.</w:t>
      </w:r>
      <w:r w:rsidRPr="003A646E">
        <w:rPr>
          <w:rFonts w:ascii="Times New Roman" w:eastAsia="Times New Roman" w:hAnsi="Times New Roman" w:cs="Times New Roman"/>
          <w:color w:val="0A0A0A"/>
          <w:sz w:val="24"/>
          <w:szCs w:val="24"/>
          <w:vertAlign w:val="superscript"/>
          <w:lang w:val="en-GB"/>
        </w:rPr>
        <w:t xml:space="preserve"> </w:t>
      </w:r>
      <w:r w:rsidRPr="003A646E">
        <w:rPr>
          <w:rFonts w:ascii="Times New Roman" w:eastAsia="Times New Roman" w:hAnsi="Times New Roman" w:cs="Times New Roman"/>
          <w:color w:val="0A0A0A"/>
          <w:sz w:val="24"/>
          <w:szCs w:val="24"/>
          <w:vertAlign w:val="superscript"/>
          <w:lang w:val="en-GB"/>
        </w:rPr>
        <w:footnoteReference w:id="27"/>
      </w:r>
      <w:r w:rsidRPr="003A646E">
        <w:rPr>
          <w:rFonts w:ascii="Times New Roman" w:eastAsia="Times New Roman" w:hAnsi="Times New Roman" w:cs="Times New Roman"/>
          <w:color w:val="0A0A0A"/>
          <w:sz w:val="24"/>
          <w:szCs w:val="24"/>
          <w:lang w:val="en-GB"/>
        </w:rPr>
        <w:t xml:space="preserve"> </w:t>
      </w:r>
    </w:p>
    <w:p w:rsidR="005E2D54" w:rsidRPr="003A646E" w:rsidRDefault="008D3E2E">
      <w:pPr>
        <w:pStyle w:val="Heading3"/>
        <w:spacing w:before="400"/>
        <w:rPr>
          <w:lang w:val="en-GB"/>
        </w:rPr>
      </w:pPr>
      <w:bookmarkStart w:id="34" w:name="_heading=h.1kqo5u2zqqv" w:colFirst="0" w:colLast="0"/>
      <w:bookmarkEnd w:id="34"/>
      <w:r w:rsidRPr="003A646E">
        <w:rPr>
          <w:lang w:val="en-GB"/>
        </w:rPr>
        <w:t>Kurdish Children</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As a consequence of the conflict process in progress, security-focused policies, and child labor - particularly seasonal agricultural labor - due to the poverty at rural areas, the Kurdish children do not have equal access to the right to education.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The main problems faced by the Kurdish children can be listed as the low schooling rate, the lack of access to education in mother tongue, the lack of secure areas for education, economic problems, etc.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According to the annual statistics of MoNE (2012-2021), it is observed that the provinces with the lowest schooling rates at secondary school level are generally the provinces with a dense Kurdish population (Siirt, Ş.Urfa, Ağrı, Muş and Van).</w:t>
      </w:r>
      <w:r w:rsidRPr="003A646E">
        <w:rPr>
          <w:rFonts w:ascii="Times New Roman" w:eastAsia="Times New Roman" w:hAnsi="Times New Roman" w:cs="Times New Roman"/>
          <w:color w:val="0A0A0A"/>
          <w:sz w:val="24"/>
          <w:szCs w:val="24"/>
          <w:vertAlign w:val="superscript"/>
          <w:lang w:val="en-GB"/>
        </w:rPr>
        <w:footnoteReference w:id="28"/>
      </w:r>
      <w:r w:rsidRPr="003A646E">
        <w:rPr>
          <w:rFonts w:ascii="Times New Roman" w:eastAsia="Times New Roman" w:hAnsi="Times New Roman" w:cs="Times New Roman"/>
          <w:color w:val="0A0A0A"/>
          <w:sz w:val="24"/>
          <w:szCs w:val="24"/>
          <w:lang w:val="en-GB"/>
        </w:rPr>
        <w:t xml:space="preserve"> In 2017, the region with the lowest rate of participation in preschool education was the Northeastern Anatolia, which has a dense Kurdish population</w:t>
      </w:r>
      <w:r w:rsidRPr="003A646E">
        <w:rPr>
          <w:rFonts w:ascii="Times New Roman" w:eastAsia="Times New Roman" w:hAnsi="Times New Roman" w:cs="Times New Roman"/>
          <w:color w:val="0A0A0A"/>
          <w:sz w:val="24"/>
          <w:szCs w:val="24"/>
          <w:vertAlign w:val="superscript"/>
          <w:lang w:val="en-GB"/>
        </w:rPr>
        <w:footnoteReference w:id="29"/>
      </w:r>
      <w:r w:rsidRPr="003A646E">
        <w:rPr>
          <w:rFonts w:ascii="Times New Roman" w:eastAsia="Times New Roman" w:hAnsi="Times New Roman" w:cs="Times New Roman"/>
          <w:color w:val="0A0A0A"/>
          <w:sz w:val="24"/>
          <w:szCs w:val="24"/>
          <w:lang w:val="en-GB"/>
        </w:rPr>
        <w:t xml:space="preserve">; and again the 2017 data demonstrates that the net schooling rate at secondary school level was lower at Northeastern Anatolia, Mideastern Anatolia and Southeastern Anatolia compared to other regions.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In 2015, there were long lasting conflicts at 7 provincial and 17 district centers with a dense Kurdish population. The curfews during this process affected 362,012 students who had education in 11,199 classrooms at 1,556 schools in total, and 16,797 teachers working at these schools.</w:t>
      </w:r>
      <w:r w:rsidRPr="003A646E">
        <w:rPr>
          <w:rFonts w:ascii="Times New Roman" w:eastAsia="Times New Roman" w:hAnsi="Times New Roman" w:cs="Times New Roman"/>
          <w:color w:val="0A0A0A"/>
          <w:sz w:val="24"/>
          <w:szCs w:val="24"/>
          <w:vertAlign w:val="superscript"/>
          <w:lang w:val="en-GB"/>
        </w:rPr>
        <w:footnoteReference w:id="30"/>
      </w:r>
      <w:r w:rsidRPr="003A646E">
        <w:rPr>
          <w:rFonts w:ascii="Times New Roman" w:eastAsia="Times New Roman" w:hAnsi="Times New Roman" w:cs="Times New Roman"/>
          <w:color w:val="0A0A0A"/>
          <w:sz w:val="24"/>
          <w:szCs w:val="24"/>
          <w:lang w:val="en-GB"/>
        </w:rPr>
        <w:t xml:space="preserve"> There are schools that were completely destroyed during the conflict process. For example Yavuz Selim Secondary School, Alparslan Anatolian High School, Mardinkapı Secondary School, Süleyman Nazif Preschool and Primary School, Alparslan Islamic Vocational Secondary School, Cumhuriyet Secondary School at Diyarbakır’s Sur district were completely destroyed.</w:t>
      </w:r>
      <w:r w:rsidRPr="003A646E">
        <w:rPr>
          <w:rFonts w:ascii="Times New Roman" w:eastAsia="Times New Roman" w:hAnsi="Times New Roman" w:cs="Times New Roman"/>
          <w:color w:val="0A0A0A"/>
          <w:sz w:val="24"/>
          <w:szCs w:val="24"/>
          <w:vertAlign w:val="superscript"/>
          <w:lang w:val="en-GB"/>
        </w:rPr>
        <w:footnoteReference w:id="31"/>
      </w:r>
      <w:r w:rsidRPr="003A646E">
        <w:rPr>
          <w:rFonts w:ascii="Times New Roman" w:eastAsia="Times New Roman" w:hAnsi="Times New Roman" w:cs="Times New Roman"/>
          <w:color w:val="0A0A0A"/>
          <w:sz w:val="24"/>
          <w:szCs w:val="24"/>
          <w:lang w:val="en-GB"/>
        </w:rPr>
        <w:t xml:space="preserve"> At the city centers where the conflicts were experienced, especially at Diyarbakır/Sur and Şırnak/Cizre, the schools were converted into command centers or police stations.</w:t>
      </w:r>
      <w:r w:rsidRPr="003A646E">
        <w:rPr>
          <w:rFonts w:ascii="Times New Roman" w:eastAsia="Times New Roman" w:hAnsi="Times New Roman" w:cs="Times New Roman"/>
          <w:color w:val="0A0A0A"/>
          <w:sz w:val="24"/>
          <w:szCs w:val="24"/>
          <w:vertAlign w:val="superscript"/>
          <w:lang w:val="en-GB"/>
        </w:rPr>
        <w:footnoteReference w:id="32"/>
      </w:r>
      <w:r w:rsidRPr="003A646E">
        <w:rPr>
          <w:rFonts w:ascii="Times New Roman" w:eastAsia="Times New Roman" w:hAnsi="Times New Roman" w:cs="Times New Roman"/>
          <w:color w:val="0A0A0A"/>
          <w:sz w:val="24"/>
          <w:szCs w:val="24"/>
          <w:lang w:val="en-GB"/>
        </w:rPr>
        <w:t xml:space="preserve"> The State did not provide alternative educational opportunities for the children. Therefore, the educational life completely stopped for the children living at the settlements affected by the conflicts. Only the “volunteer” students participated in the supplementary education courses provided after the conflict process. Only about 15 thousand of the total 362 thousand students attending to the schools at 7 provinces and 17 districts were included in the remedial educational courses. The children, who witnessed the conflicts, were adversely affected psychologically. Children from different groups such as Christian, Domi, Arabian, etc., and especially the Kurdish children, could not continue their education. Remedial educational opportunities were not provided for the children forcibly removed from their living areas due to the conflicts and migrated to different provinces.</w:t>
      </w:r>
    </w:p>
    <w:p w:rsidR="005E2D54" w:rsidRPr="003A646E" w:rsidRDefault="008D3E2E">
      <w:pPr>
        <w:pStyle w:val="Heading3"/>
        <w:rPr>
          <w:lang w:val="en-GB"/>
        </w:rPr>
      </w:pPr>
      <w:bookmarkStart w:id="35" w:name="_heading=h.2xbv1csw9eas" w:colFirst="0" w:colLast="0"/>
      <w:bookmarkEnd w:id="35"/>
      <w:r w:rsidRPr="003A646E">
        <w:rPr>
          <w:lang w:val="en-GB"/>
        </w:rPr>
        <w:t>Roma Children</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The Roma children are the group with the lowest rate of access to the right of education in Turkey. The reasons for this are the child labor due to poverty, migration of the seasonally employed Roma groups, the discriminatory attitudes of the school administrations and teachers, the urban transformation policies, and child marriages.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Since Turkey does not keep disaggregated data concerning the access of the children to basic rights and freedoms and to public services, there is no clear data concerning the schooling rate and the literacy rate of the Roma children.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The non-governmental organizations report that the schooling rate is low. As the enrollment to the schools is carried out on address-based system, there are schools that consist of only Roma children. At the schools located at quarters where different ethnic groups live, the school administrations form separate classrooms for the Roma children</w:t>
      </w:r>
      <w:r w:rsidRPr="003A646E">
        <w:rPr>
          <w:rFonts w:ascii="Times New Roman" w:eastAsia="Times New Roman" w:hAnsi="Times New Roman" w:cs="Times New Roman"/>
          <w:color w:val="0A0A0A"/>
          <w:sz w:val="24"/>
          <w:szCs w:val="24"/>
          <w:vertAlign w:val="superscript"/>
          <w:lang w:val="en-GB"/>
        </w:rPr>
        <w:footnoteReference w:id="33"/>
      </w:r>
      <w:r w:rsidRPr="003A646E">
        <w:rPr>
          <w:rFonts w:ascii="Times New Roman" w:eastAsia="Times New Roman" w:hAnsi="Times New Roman" w:cs="Times New Roman"/>
          <w:color w:val="0A0A0A"/>
          <w:sz w:val="24"/>
          <w:szCs w:val="24"/>
          <w:lang w:val="en-GB"/>
        </w:rPr>
        <w:t xml:space="preserve">, and the Roma children are gathered at specific schools and/or classrooms and marginalized.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In 2016 Roma Strategy Action Plan, the problems concerning the schooling rate and drop-out rate were mentioned, but the objectives aimed at solving the problem were not included. Again, the measures to allow for the equal access to the right of education by disabled Roma children and Roma girls, who are under the risk of multiple discrimination, were not envisaged.</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Among the Roma people, the schooling and literacy rates of Domi and Abdal groups, who live mostly at Diyarbakır, Hatay, Van and Gaziantep provinces, are generally lower.</w:t>
      </w:r>
      <w:r w:rsidRPr="003A646E">
        <w:rPr>
          <w:rFonts w:ascii="Times New Roman" w:eastAsia="Times New Roman" w:hAnsi="Times New Roman" w:cs="Times New Roman"/>
          <w:color w:val="0A0A0A"/>
          <w:sz w:val="24"/>
          <w:szCs w:val="24"/>
          <w:vertAlign w:val="superscript"/>
          <w:lang w:val="en-GB"/>
        </w:rPr>
        <w:footnoteReference w:id="34"/>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The problem of accommodation is severe at the settlements with a dense Roma population, particularly at Kandıra District of Kocaeli, Karasu District of Sakarya, Saray District of Tekirdağ, Selçuk and Urla Districts of İzmir, Gaziantep, Kilis, and Nusaybin District of Mardin, and people live in tents. The children living in tents either cannot be enrolled in schools since they do not have an address, or they enroll at schools that are very far from their living areas.  This increases the rate of drop-outs.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At some regions where the Roma people live, there are schools that were demolished due to the urban transformation practices and the weakness of the buildings against earthquakes, and no new schools were constructed to replace these schools. Hatay Kırıkhan Mehmet Akif Primary School and Edirne Gazi Primary School were demolished on the grounds of their weakness susceptibility against earthquakes.</w:t>
      </w:r>
      <w:r w:rsidRPr="003A646E">
        <w:rPr>
          <w:rFonts w:ascii="Times New Roman" w:eastAsia="Times New Roman" w:hAnsi="Times New Roman" w:cs="Times New Roman"/>
          <w:color w:val="0A0A0A"/>
          <w:sz w:val="24"/>
          <w:szCs w:val="24"/>
          <w:vertAlign w:val="superscript"/>
          <w:lang w:val="en-GB"/>
        </w:rPr>
        <w:footnoteReference w:id="35"/>
      </w:r>
      <w:r w:rsidRPr="003A646E">
        <w:rPr>
          <w:rFonts w:ascii="Times New Roman" w:eastAsia="Times New Roman" w:hAnsi="Times New Roman" w:cs="Times New Roman"/>
          <w:color w:val="0A0A0A"/>
          <w:sz w:val="24"/>
          <w:szCs w:val="24"/>
          <w:lang w:val="en-GB"/>
        </w:rPr>
        <w:t xml:space="preserve"> The children could not continue to attend to school, as there were no other schools that the children could access at the areas of the demolished schools, and no new schools were constructed at these areas.</w:t>
      </w:r>
    </w:p>
    <w:p w:rsidR="005E2D54" w:rsidRPr="003A646E" w:rsidRDefault="008D3E2E">
      <w:pPr>
        <w:spacing w:after="200"/>
        <w:jc w:val="both"/>
        <w:rPr>
          <w:rFonts w:ascii="Times New Roman" w:eastAsia="Times New Roman" w:hAnsi="Times New Roman" w:cs="Times New Roman"/>
          <w:b/>
          <w:color w:val="0A0A0A"/>
          <w:sz w:val="24"/>
          <w:szCs w:val="24"/>
          <w:lang w:val="en-GB"/>
        </w:rPr>
      </w:pPr>
      <w:r w:rsidRPr="003A646E">
        <w:rPr>
          <w:rFonts w:ascii="Times New Roman" w:eastAsia="Times New Roman" w:hAnsi="Times New Roman" w:cs="Times New Roman"/>
          <w:color w:val="0A0A0A"/>
          <w:sz w:val="24"/>
          <w:szCs w:val="24"/>
          <w:lang w:val="en-GB"/>
        </w:rPr>
        <w:t>Another problem concerning the right to education experienced by the Roma children is that the Roma children are frequently included in Special Education Counseling and Research Centers (CRC) and special education classrooms, although they are not in need of special education. The CRC officers promise economic aids to poor Roma families, and in some cases, the school administrators direct the Roma children to CRCs with allegations of mental retardation, and these students are included in the special education classrooms within the same school or at other schools. This prevents the Roma children to attend to different levels of education, and increases the drop-out rates of the children.</w:t>
      </w:r>
      <w:r w:rsidRPr="003A646E">
        <w:rPr>
          <w:rFonts w:ascii="Times New Roman" w:eastAsia="Times New Roman" w:hAnsi="Times New Roman" w:cs="Times New Roman"/>
          <w:color w:val="0A0A0A"/>
          <w:sz w:val="24"/>
          <w:szCs w:val="24"/>
          <w:vertAlign w:val="superscript"/>
          <w:lang w:val="en-GB"/>
        </w:rPr>
        <w:footnoteReference w:id="36"/>
      </w:r>
    </w:p>
    <w:p w:rsidR="005E2D54" w:rsidRPr="003A646E" w:rsidRDefault="008D3E2E">
      <w:pPr>
        <w:pStyle w:val="Heading3"/>
        <w:rPr>
          <w:lang w:val="en-GB"/>
        </w:rPr>
      </w:pPr>
      <w:bookmarkStart w:id="36" w:name="_heading=h.m67e083que8p" w:colFirst="0" w:colLast="0"/>
      <w:bookmarkEnd w:id="36"/>
      <w:r w:rsidRPr="003A646E">
        <w:rPr>
          <w:lang w:val="en-GB"/>
        </w:rPr>
        <w:t>The Right to Education of the Children under Temporary Protection and Asylum Seeker Children</w:t>
      </w:r>
    </w:p>
    <w:p w:rsidR="005E2D54" w:rsidRPr="003A646E" w:rsidRDefault="008D3E2E">
      <w:pPr>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As of 2011, Turkey has been receiving immigrants from many countries, particularly from Syria. In the statement made by the Harmonization and Communication Department of Directorate General of Migration Management on May 18, 2022, it was noted that there were 5,506,304 foreign nationals in Turkey, including the Syrians under temporary protection.</w:t>
      </w:r>
      <w:r w:rsidRPr="003A646E">
        <w:rPr>
          <w:rFonts w:ascii="Times New Roman" w:eastAsia="Times New Roman" w:hAnsi="Times New Roman" w:cs="Times New Roman"/>
          <w:color w:val="0A0A0A"/>
          <w:sz w:val="24"/>
          <w:szCs w:val="24"/>
          <w:vertAlign w:val="superscript"/>
          <w:lang w:val="en-GB"/>
        </w:rPr>
        <w:footnoteReference w:id="37"/>
      </w:r>
      <w:r w:rsidRPr="003A646E">
        <w:rPr>
          <w:rFonts w:ascii="Times New Roman" w:eastAsia="Times New Roman" w:hAnsi="Times New Roman" w:cs="Times New Roman"/>
          <w:color w:val="0A0A0A"/>
          <w:sz w:val="24"/>
          <w:szCs w:val="24"/>
          <w:lang w:val="en-GB"/>
        </w:rPr>
        <w:t xml:space="preserve"> Of course, the situation is much more serious, when the number of the irregular migrants is added to this figure. According to 2019 Activity Report of UNICEF Turkey, there are 1 million Syrian refugee children under temporary protection in Turkey, and about 400,000 registered asylum seekers and refugees from other countries, one third of whom are children.</w:t>
      </w:r>
      <w:r w:rsidRPr="003A646E">
        <w:rPr>
          <w:rFonts w:ascii="Times New Roman" w:eastAsia="Times New Roman" w:hAnsi="Times New Roman" w:cs="Times New Roman"/>
          <w:color w:val="0A0A0A"/>
          <w:sz w:val="24"/>
          <w:szCs w:val="24"/>
          <w:vertAlign w:val="superscript"/>
          <w:lang w:val="en-GB"/>
        </w:rPr>
        <w:footnoteReference w:id="38"/>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In the initial years of the migration from Syria to Turkey, the education policies were planned to prevent the children from being distant from education for a long time when they return to their countries, and the designed education policies covered only the children living at the camps and were only in Arabic. The education for the children living outside the camps was commenced in 2013 with the MoNE circular issued, and the Temporary Education Centers were established. The Temporary Education Centers became the educational institutions with the highest classroom population in primary and secondary education due to the insufficiency of the classrooms and schools especially in İstanbul and the cities in Southeastern Anatolia Region, and the 244 Temporary Education Centers in 19 provinces were generally considered as “schools for guests” rather than a permanent solution.</w:t>
      </w:r>
      <w:r w:rsidRPr="003A646E">
        <w:rPr>
          <w:rFonts w:ascii="Times New Roman" w:eastAsia="Times New Roman" w:hAnsi="Times New Roman" w:cs="Times New Roman"/>
          <w:color w:val="0A0A0A"/>
          <w:sz w:val="24"/>
          <w:szCs w:val="24"/>
          <w:vertAlign w:val="superscript"/>
          <w:lang w:val="en-GB"/>
        </w:rPr>
        <w:footnoteReference w:id="39"/>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Furthermore, it was determined that 60% of the Syrian children did not have access to education as of September 2015, and UNICEF noted that there were about 400 thousand children who could not get education or could not attend to their schools as of January 2019. </w:t>
      </w:r>
    </w:p>
    <w:p w:rsidR="005E2D54" w:rsidRPr="003A646E" w:rsidRDefault="008D3E2E">
      <w:pPr>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The process of enrolling the migrant children in public schools started in 2016, and it was declared that 771,458 children under temporary protection were enrolled at schools as of June 2021.  In the statistics mentioned above and also in 2021-2022 Regional Refugee and Resilience Plan (3RP), it was noted that 35,8 percent of the Syrian children at school age under temporary protection could not attend to schools. According to the statement of the Ministry of National Education on June 8, 2021, the number of Syrian students is 35,707 in preschools, 442,817 in primary schools, 348,638 in secondary schools, and 110,976 in high schools. It was stated that a total of 938,138 children continued their education, and that there were 432,956 children who did not attend to schools despite being at school age.</w:t>
      </w:r>
      <w:r w:rsidRPr="003A646E">
        <w:rPr>
          <w:rFonts w:ascii="Times New Roman" w:eastAsia="Times New Roman" w:hAnsi="Times New Roman" w:cs="Times New Roman"/>
          <w:color w:val="0A0A0A"/>
          <w:sz w:val="24"/>
          <w:szCs w:val="24"/>
          <w:vertAlign w:val="superscript"/>
          <w:lang w:val="en-GB"/>
        </w:rPr>
        <w:footnoteReference w:id="40"/>
      </w:r>
    </w:p>
    <w:p w:rsidR="005E2D54" w:rsidRPr="003A646E" w:rsidRDefault="008D3E2E">
      <w:pPr>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There are no directives or instructions regarding the education to be provided for migrants at public schools. The schools were not prepared for educating the migrant children, and concerning the education to be provided to migrant children, the teachers were not guided at all in matters such as citizenship, human rights, discrimination against migrants, etc. regarding inter-cultural education. The circular no. 2014/21 dated September 23, 2014, named Education-Training Services for Foreigners</w:t>
      </w:r>
      <w:r w:rsidRPr="003A646E">
        <w:rPr>
          <w:rFonts w:ascii="Times New Roman" w:eastAsia="Times New Roman" w:hAnsi="Times New Roman" w:cs="Times New Roman"/>
          <w:color w:val="0A0A0A"/>
          <w:sz w:val="24"/>
          <w:szCs w:val="24"/>
          <w:vertAlign w:val="superscript"/>
          <w:lang w:val="en-GB"/>
        </w:rPr>
        <w:footnoteReference w:id="41"/>
      </w:r>
      <w:r w:rsidRPr="003A646E">
        <w:rPr>
          <w:rFonts w:ascii="Times New Roman" w:eastAsia="Times New Roman" w:hAnsi="Times New Roman" w:cs="Times New Roman"/>
          <w:color w:val="0A0A0A"/>
          <w:sz w:val="24"/>
          <w:szCs w:val="24"/>
          <w:lang w:val="en-GB"/>
        </w:rPr>
        <w:t>, some of the issues regarding the education to be provided to children were identified. In 2015-2019 strategic plan published by the Ministry of National Education</w:t>
      </w:r>
      <w:r w:rsidRPr="003A646E">
        <w:rPr>
          <w:rFonts w:ascii="Times New Roman" w:eastAsia="Times New Roman" w:hAnsi="Times New Roman" w:cs="Times New Roman"/>
          <w:color w:val="0A0A0A"/>
          <w:sz w:val="24"/>
          <w:szCs w:val="24"/>
          <w:vertAlign w:val="superscript"/>
          <w:lang w:val="en-GB"/>
        </w:rPr>
        <w:footnoteReference w:id="42"/>
      </w:r>
      <w:r w:rsidRPr="003A646E">
        <w:rPr>
          <w:rFonts w:ascii="Times New Roman" w:eastAsia="Times New Roman" w:hAnsi="Times New Roman" w:cs="Times New Roman"/>
          <w:color w:val="0A0A0A"/>
          <w:sz w:val="24"/>
          <w:szCs w:val="24"/>
          <w:lang w:val="en-GB"/>
        </w:rPr>
        <w:t xml:space="preserve">, it was observed for the first time that there were plans aimed at the education of refugees.  However, these objectives consisted solely of expressions stating “carrying out efforts to achieve integration and to cooperate with international organizations”, and were not made concrete. </w:t>
      </w:r>
    </w:p>
    <w:p w:rsidR="005E2D54" w:rsidRPr="003A646E" w:rsidRDefault="008D3E2E">
      <w:pPr>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In brief, the problems experienced by the asylum seeker children / children under temporary protection are: the language barrier at the schools providing education in Turkish; the expenditures such as transportation, stationery, etc. although the education is free, and Syrian families which cannot work or work under </w:t>
      </w:r>
      <w:r w:rsidR="003A646E" w:rsidRPr="003A646E">
        <w:rPr>
          <w:rFonts w:ascii="Times New Roman" w:eastAsia="Times New Roman" w:hAnsi="Times New Roman" w:cs="Times New Roman"/>
          <w:color w:val="0A0A0A"/>
          <w:sz w:val="24"/>
          <w:szCs w:val="24"/>
          <w:lang w:val="en-GB"/>
        </w:rPr>
        <w:t>unfavourable</w:t>
      </w:r>
      <w:r w:rsidRPr="003A646E">
        <w:rPr>
          <w:rFonts w:ascii="Times New Roman" w:eastAsia="Times New Roman" w:hAnsi="Times New Roman" w:cs="Times New Roman"/>
          <w:color w:val="0A0A0A"/>
          <w:sz w:val="24"/>
          <w:szCs w:val="24"/>
          <w:lang w:val="en-GB"/>
        </w:rPr>
        <w:t xml:space="preserve"> conditions due to lack of work permit, etc. removing their children from school since they cannot meet these expenditures; bullying aimed at asylum seeker children at the schools by their peers, teachers, and the families of other children; the lack of a separate curriculum suitable for Syrian children at the public schools other than the Temporary Education </w:t>
      </w:r>
      <w:r w:rsidR="003A646E" w:rsidRPr="003A646E">
        <w:rPr>
          <w:rFonts w:ascii="Times New Roman" w:eastAsia="Times New Roman" w:hAnsi="Times New Roman" w:cs="Times New Roman"/>
          <w:color w:val="0A0A0A"/>
          <w:sz w:val="24"/>
          <w:szCs w:val="24"/>
          <w:lang w:val="en-GB"/>
        </w:rPr>
        <w:t>Centres</w:t>
      </w:r>
      <w:r w:rsidRPr="003A646E">
        <w:rPr>
          <w:rFonts w:ascii="Times New Roman" w:eastAsia="Times New Roman" w:hAnsi="Times New Roman" w:cs="Times New Roman"/>
          <w:color w:val="0A0A0A"/>
          <w:sz w:val="24"/>
          <w:szCs w:val="24"/>
          <w:lang w:val="en-GB"/>
        </w:rPr>
        <w:t xml:space="preserve">, most of which are paid; the lack of programs for adaptation to educational system for children, and its adverse effects on their academic achievements; the insufficient knowledge of the teachers on both the refugee children and the procedures, and their insufficiency in coping with problems such as discrimination, exclusion, etc. that might arise in the classroom; and the inefficiency of the remedies that the children can resort against arbitrary attitudes and rights violations encountered during the education process.  </w:t>
      </w:r>
    </w:p>
    <w:p w:rsidR="005E2D54" w:rsidRPr="003A646E" w:rsidRDefault="008D3E2E">
      <w:pPr>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Although it was stated in paragraphs 197, 221, and 223 of the State’s report that the children under temporary protection exercise the right to education, all the problems mentioned above require the educational policies aimed at the asylum seeker/migrant children to have an attribute that generates more permanent solutions and to be more inclusive; the language barrier, social integration and the economic difficulties require the children, some of which also became citizens, to integrate and get better education and not be exposed to discrimination. In addition, it was observed that all the Syrian children were assessed uniformly in the accessible education. There are children with Arabian, Kurdish and Turkmen ethnic origins, and in addition to Hanafi sect of Islam, there are children with Christian beliefs and from other sects of Islam.  The educational system mentioned above must have arrangements specific to these differences. Although it was mentioned in detail that the Syrian children - since they constitute the majority of the asylum seekers in Turkey - are not able to access the right to education, it is necessary to accurately define the requirements of the asylum seeker children from different countries (countries such as Afghanistan, Iraq, Iran, etc.), and to take precautions on this course for the equal access of all children to education. The solutions to be applied must be planned and systematic, and in compliance with the cultures, ethnic origins and mother tongues of the children, in order to allow for the equal access of all children to education, and to learn and exercise their cultures.</w:t>
      </w:r>
    </w:p>
    <w:p w:rsidR="005E2D54" w:rsidRPr="003A646E" w:rsidRDefault="008D3E2E">
      <w:pPr>
        <w:pStyle w:val="Heading3"/>
        <w:spacing w:before="400"/>
        <w:rPr>
          <w:lang w:val="en-GB"/>
        </w:rPr>
      </w:pPr>
      <w:bookmarkStart w:id="37" w:name="_heading=h.rz9wnctvuorr" w:colFirst="0" w:colLast="0"/>
      <w:bookmarkEnd w:id="37"/>
      <w:r w:rsidRPr="003A646E">
        <w:rPr>
          <w:lang w:val="en-GB"/>
        </w:rPr>
        <w:t>Non-Muslim Children</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The children from the communities granted minority status with the Lausanne Treaty also have a number of problems in accessing the right to education. There are problems such as minority schools, the problem of status/lack of status, the principle of reciprocity concerning the minority schools, the difficulties in educating and recruiting Armenian and Hebrew teachers, the provision of textbooks and educational materials, the condition of being a member of the minority and a citizen of Republic of Turkey for enrollment to minority schools, the lack of allocation of funds to minority schools from state’s budget, the number of students, the prohibition on organizing activities in minority language at the schools, and the lack of communication between the minority schools and the other schools.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Although Article 41 of the Lausanne Treatment stipulates the allocation of funds to minority schools from the state’s budget, Turkey does not fulfill this obligation. A motion submitted by a member of the parliament on this matter in 2021 was rejected at the parliament.   </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In 2014 TEOG (the system for transition to high schools), two Armenian students that graduated from minority secondary schools were placed to Islamic vocational high schools by means of automatic enrollment system. There is not a system for preventing the automatic enrollment of children who graduated from minority schools to Islamic vocational schools.</w:t>
      </w:r>
    </w:p>
    <w:p w:rsidR="005E2D54" w:rsidRPr="003A646E" w:rsidRDefault="008D3E2E">
      <w:pPr>
        <w:spacing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Although the minority schools do not have the status of foreign schools or private schools, they are governed by the same law with the schools opened by commercial companies (Law on Private Educational Institutions, Regulations on Private Educational Institutions). It is necessary to issue separate laws and regulations for the minority schools.  In addition, the Head Assistant to the Principal, appointed at these schools by the State, leads to a two-headed administration at these schools. The procedure applied for getting a work permit for the foreign teachers to be employed at the minority schools is extreme, and in some cases, arbitrary difficulties are created. There is still no regulation regarding the procedure of appointment and the tenure of the teachers of Turkish and Culture lessons. </w:t>
      </w:r>
    </w:p>
    <w:p w:rsidR="005E2D54" w:rsidRPr="003A646E" w:rsidRDefault="008D3E2E">
      <w:pPr>
        <w:pStyle w:val="Heading2"/>
        <w:spacing w:after="200"/>
        <w:jc w:val="both"/>
        <w:rPr>
          <w:rFonts w:ascii="Times New Roman" w:hAnsi="Times New Roman" w:cs="Times New Roman"/>
          <w:b/>
          <w:color w:val="000000" w:themeColor="text1"/>
          <w:lang w:val="en-GB"/>
        </w:rPr>
      </w:pPr>
      <w:bookmarkStart w:id="38" w:name="_heading=h.5rnoegx43bqj" w:colFirst="0" w:colLast="0"/>
      <w:bookmarkEnd w:id="38"/>
      <w:r w:rsidRPr="003A646E">
        <w:rPr>
          <w:rFonts w:ascii="Times New Roman" w:hAnsi="Times New Roman" w:cs="Times New Roman"/>
          <w:b/>
          <w:color w:val="000000" w:themeColor="text1"/>
          <w:lang w:val="en-GB"/>
        </w:rPr>
        <w:t>Faith Minorities and Compulsory Religion Education</w:t>
      </w:r>
    </w:p>
    <w:p w:rsidR="005E2D54" w:rsidRPr="003A646E" w:rsidRDefault="008D3E2E">
      <w:pPr>
        <w:shd w:val="clear" w:color="auto" w:fill="FFFFFF"/>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 basic discrimination encountered by the children from different religion and faith communities attending to public schools is the compulsory Religious Culture and Ethics (RCE) lesson. It is evident that the relevant lesson is religious education, and does not treat equally to all faiths. When the contents of the textbooks were examined, it was observed that only Muslim-Sunni-Hanafi belief was taken as reference, that Alawism was included not as a faith but as a culture, that deficient and inaccurate information was given regarding Alawism and Shiite-Caferism, that Jihad was included in the curriculum of 9th grades as a way of worship, that the radical Sunni beliefs such as Salafism were embraced, and that the people who wanted to proselytize Christianity were identified as ‘Exploitative Missionaries’.</w:t>
      </w:r>
      <w:r w:rsidRPr="003A646E">
        <w:rPr>
          <w:rFonts w:ascii="Times New Roman" w:eastAsia="Times New Roman" w:hAnsi="Times New Roman" w:cs="Times New Roman"/>
          <w:color w:val="0A0A0A"/>
          <w:sz w:val="24"/>
          <w:szCs w:val="24"/>
          <w:vertAlign w:val="superscript"/>
          <w:lang w:val="en-GB"/>
        </w:rPr>
        <w:footnoteReference w:id="43"/>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hd w:val="clear" w:color="auto" w:fill="FFFFFF"/>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In its Hasan-Eylem Zengin judgment, the ECHR made a decision of violation upon the applications objecting to compulsory RCE lesson and requesting to be held exempt of the lesson, and highlighted the liabilities of the state </w:t>
      </w:r>
      <w:r w:rsidRPr="003A646E">
        <w:rPr>
          <w:rFonts w:ascii="Times New Roman" w:eastAsia="Times New Roman" w:hAnsi="Times New Roman" w:cs="Times New Roman"/>
          <w:i/>
          <w:color w:val="0A0A0A"/>
          <w:sz w:val="24"/>
          <w:szCs w:val="24"/>
          <w:lang w:val="en-GB"/>
        </w:rPr>
        <w:t>“The Court reiterates that it has always stressed that, in a pluralist democratic society, the State's duty of impartiality and neutrality towards various religions, faiths and beliefs is incompatible with any assessment by the State of the legitimacy of religious beliefs or the ways in which those beliefs are expressed (see Manoussakis and Others v. Greece, Reports 1996-IV and Hasan and Chaush  v. Bulgaria [GC], no. 30985/96). Further, the State does not need to take measures to ensure that religious communities remain or are brought under a unified leadership.”</w:t>
      </w:r>
      <w:r w:rsidRPr="003A646E">
        <w:rPr>
          <w:rFonts w:ascii="Times New Roman" w:eastAsia="Times New Roman" w:hAnsi="Times New Roman" w:cs="Times New Roman"/>
          <w:color w:val="0A0A0A"/>
          <w:sz w:val="24"/>
          <w:szCs w:val="24"/>
          <w:lang w:val="en-GB"/>
        </w:rPr>
        <w:t xml:space="preserve"> In addition, in the same judgment, the ECHR concluded that the students/applicant child were obliged to take part in a form of religious worship and were exposed to a form of one-way religious indoctrination, and whatever the category of pupils concerned, the obligation that parents must make a prior declaration to schools stating that they belong to the Christian or Jewish religion in order for their children to be exempted from the classes is a violation of freedom of religion and conscience. </w:t>
      </w:r>
    </w:p>
    <w:p w:rsidR="005E2D54" w:rsidRPr="003A646E" w:rsidRDefault="008D3E2E">
      <w:pPr>
        <w:shd w:val="clear" w:color="auto" w:fill="FFFFFF"/>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Similarly, the report “Compulsory Religion Education in Turkey: A Human-Rights Based Assessment on Religious Culture and Ethics Lessons and Textbooks”</w:t>
      </w:r>
      <w:r w:rsidRPr="003A646E">
        <w:rPr>
          <w:rFonts w:ascii="Times New Roman" w:eastAsia="Times New Roman" w:hAnsi="Times New Roman" w:cs="Times New Roman"/>
          <w:color w:val="0A0A0A"/>
          <w:sz w:val="24"/>
          <w:szCs w:val="24"/>
          <w:vertAlign w:val="superscript"/>
          <w:lang w:val="en-GB"/>
        </w:rPr>
        <w:footnoteReference w:id="44"/>
      </w:r>
      <w:r w:rsidRPr="003A646E">
        <w:rPr>
          <w:rFonts w:ascii="Times New Roman" w:eastAsia="Times New Roman" w:hAnsi="Times New Roman" w:cs="Times New Roman"/>
          <w:color w:val="0A0A0A"/>
          <w:sz w:val="24"/>
          <w:szCs w:val="24"/>
          <w:lang w:val="en-GB"/>
        </w:rPr>
        <w:t>, which examined the lesson contents of compulsory RCE lesson at 4th-12th grades, contains the following findings: “</w:t>
      </w:r>
      <w:r w:rsidRPr="003A646E">
        <w:rPr>
          <w:rFonts w:ascii="Times New Roman" w:eastAsia="Times New Roman" w:hAnsi="Times New Roman" w:cs="Times New Roman"/>
          <w:i/>
          <w:color w:val="0A0A0A"/>
          <w:sz w:val="24"/>
          <w:szCs w:val="24"/>
          <w:lang w:val="en-GB"/>
        </w:rPr>
        <w:t>The RCE textbooks maintain the quality of being religion education, they contain biased and non-objective information about the religions, presented with the perspective of Sunni Islam theology. The books cover Alawism in a limited manner; and although the information on Judaism and Christianity comprehensively covers the worshiping practices of these religions, the information that the resources of these religions were distorted at the beginning is given with reference to Islamic doctrine, in support of the widespread prejudice and false information.The different philosophical approaches such as atheism and deism are discussed with the defense of Islamic faith, and are not presented in an unbiased manner. Therefore, they still continue to constitute an intervention against the child’s freedom of opinion, religion and conscience, and the parent’s right to raise their children on the course of their religious or philosophical views</w:t>
      </w:r>
      <w:r w:rsidRPr="003A646E">
        <w:rPr>
          <w:rFonts w:ascii="Times New Roman" w:eastAsia="Times New Roman" w:hAnsi="Times New Roman" w:cs="Times New Roman"/>
          <w:color w:val="0A0A0A"/>
          <w:sz w:val="24"/>
          <w:szCs w:val="24"/>
          <w:lang w:val="en-GB"/>
        </w:rPr>
        <w:t>.</w:t>
      </w:r>
      <w:r w:rsidRPr="003A646E">
        <w:rPr>
          <w:rFonts w:ascii="Times New Roman" w:eastAsia="Times New Roman" w:hAnsi="Times New Roman" w:cs="Times New Roman"/>
          <w:color w:val="0A0A0A"/>
          <w:sz w:val="24"/>
          <w:szCs w:val="24"/>
          <w:vertAlign w:val="superscript"/>
          <w:lang w:val="en-GB"/>
        </w:rPr>
        <w:footnoteReference w:id="45"/>
      </w:r>
      <w:r w:rsidRPr="003A646E">
        <w:rPr>
          <w:rFonts w:ascii="Times New Roman" w:eastAsia="Times New Roman" w:hAnsi="Times New Roman" w:cs="Times New Roman"/>
          <w:color w:val="0A0A0A"/>
          <w:sz w:val="24"/>
          <w:szCs w:val="24"/>
          <w:lang w:val="en-GB"/>
        </w:rPr>
        <w:t xml:space="preserve"> </w:t>
      </w:r>
    </w:p>
    <w:p w:rsidR="005E2D54" w:rsidRPr="003A646E" w:rsidRDefault="008D3E2E">
      <w:pPr>
        <w:shd w:val="clear" w:color="auto" w:fill="FFFFFF"/>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Accepting the requests of the children - who do not want to be exposed to one-way religious indoctrination - only in the case that they prove that they belong to Christianity or Judaism, leads to discrimination even if the children are held exempt of the lesson. In the reports of Association of Protestant Churches, it was noted that in 2017, some schools demanded the Christening document of the children to allow them to exercise the right of exemption. In addition, it was noted that the people who later converted to Christianity abstained from changing the ‘Muslim’ expression on their identity cards due to the risk of discrimination, and therefore could not exercise the right of exemption although they were Christians.</w:t>
      </w:r>
    </w:p>
    <w:p w:rsidR="005E2D54" w:rsidRPr="003A646E" w:rsidRDefault="008D3E2E">
      <w:pPr>
        <w:shd w:val="clear" w:color="auto" w:fill="FFFFFF"/>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During the interviews carried out for the report “Compulsory Religion Education in Turkey: A Human-Rights Based Assessment on Religious Culture and Ethics Lessons and Textbooks”, it was stated that in 2019 and 2020, some school administrations demanded from some parents a Christening document obtained from a church in İstanbul, or a document proving that they are Church members, to allow them to exercise the right of exemption.</w:t>
      </w:r>
    </w:p>
    <w:p w:rsidR="005E2D54" w:rsidRPr="003A646E" w:rsidRDefault="008D3E2E">
      <w:pPr>
        <w:shd w:val="clear" w:color="auto" w:fill="FFFFFF"/>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Again in the report ‘Compulsory Religion Education in Turkey: A Human-Rights Based Assessment on Religious Culture and Ethics Lessons and Textbooks’, it is stated that, according to Toledo Guiding Principles, where a compulsory program involving teaching about religions and beliefs is not sufficiently objective, efforts should be made to revise it, to make it more balanced and impartial, and that these lessons were not in compliance with the said principles; and furthermore, “a clear and predictable guidance was not available for the schools and students regarding where the students exercising the right of exemption would be and how they would spend the time during the lessons, that the students exempt of the lesson would encounter the risk of stigmatization and discriminations as the school report cards of these students state that these students are “exempt” of RCE lesson, and that they were exposed to unequal conditions compared to other students in the examination for transition to high school”.</w:t>
      </w:r>
    </w:p>
    <w:p w:rsidR="005E2D54" w:rsidRPr="003A646E" w:rsidRDefault="008D3E2E">
      <w:pPr>
        <w:shd w:val="clear" w:color="auto" w:fill="FFFFFF"/>
        <w:spacing w:before="240" w:after="200"/>
        <w:jc w:val="both"/>
        <w:rPr>
          <w:rFonts w:ascii="Times New Roman" w:eastAsia="Times New Roman" w:hAnsi="Times New Roman" w:cs="Times New Roman"/>
          <w:color w:val="0A0A0A"/>
          <w:sz w:val="24"/>
          <w:szCs w:val="24"/>
          <w:lang w:val="en-GB"/>
        </w:rPr>
      </w:pPr>
      <w:r w:rsidRPr="003A646E">
        <w:rPr>
          <w:rFonts w:ascii="Times New Roman" w:eastAsia="Times New Roman" w:hAnsi="Times New Roman" w:cs="Times New Roman"/>
          <w:color w:val="0A0A0A"/>
          <w:sz w:val="24"/>
          <w:szCs w:val="24"/>
          <w:lang w:val="en-GB"/>
        </w:rPr>
        <w:t xml:space="preserve">Regarding the top policy documents of Turkey and the children’s right to participate in matters concerning this lesson, the same report also states that “Although the children are direct stakeholders regarding the RCE lesson and the opinions of the children should also be heard regarding this matter, there are no procedures for the participation of children in the policy-making concerning the RCE lesson, in the preparation of RCE syllabus and textbooks, and in the process of execution of the exemption process, and that this right is in now way guaranteed”.  </w:t>
      </w:r>
    </w:p>
    <w:p w:rsidR="005E2D54" w:rsidRPr="003A646E" w:rsidRDefault="008D3E2E">
      <w:pPr>
        <w:shd w:val="clear" w:color="auto" w:fill="FFFFFF"/>
        <w:spacing w:before="240" w:after="200"/>
        <w:jc w:val="both"/>
        <w:rPr>
          <w:rFonts w:ascii="Times New Roman" w:eastAsia="Times New Roman" w:hAnsi="Times New Roman" w:cs="Times New Roman"/>
          <w:b/>
          <w:color w:val="0A0A0A"/>
          <w:sz w:val="24"/>
          <w:szCs w:val="24"/>
          <w:lang w:val="en-GB"/>
        </w:rPr>
      </w:pPr>
      <w:r w:rsidRPr="003A646E">
        <w:rPr>
          <w:rFonts w:ascii="Times New Roman" w:eastAsia="Times New Roman" w:hAnsi="Times New Roman" w:cs="Times New Roman"/>
          <w:color w:val="0A0A0A"/>
          <w:sz w:val="24"/>
          <w:szCs w:val="24"/>
          <w:lang w:val="en-GB"/>
        </w:rPr>
        <w:t xml:space="preserve">The State is required to fulfill its liabilities arising from international law, and the policies regarding the RCE lesson have to be established in compliance with the children’s freedom of opinion, conscience and religion, the children’s right to participate, and the parent’s right to raise their children on the course of their religious or philosophical views. </w:t>
      </w:r>
    </w:p>
    <w:p w:rsidR="005E2D54" w:rsidRPr="003A646E" w:rsidRDefault="008D3E2E">
      <w:pPr>
        <w:tabs>
          <w:tab w:val="left" w:pos="2717"/>
        </w:tabs>
        <w:spacing w:after="200"/>
        <w:jc w:val="both"/>
        <w:rPr>
          <w:rFonts w:ascii="Times New Roman" w:eastAsia="Times New Roman" w:hAnsi="Times New Roman" w:cs="Times New Roman"/>
          <w:b/>
          <w:sz w:val="24"/>
          <w:szCs w:val="24"/>
          <w:lang w:val="en-GB"/>
        </w:rPr>
      </w:pPr>
      <w:r w:rsidRPr="003A646E">
        <w:rPr>
          <w:rFonts w:ascii="Times New Roman" w:eastAsia="Times New Roman" w:hAnsi="Times New Roman" w:cs="Times New Roman"/>
          <w:b/>
          <w:sz w:val="24"/>
          <w:szCs w:val="24"/>
          <w:lang w:val="en-GB"/>
        </w:rPr>
        <w:t>Children with Disabilities</w:t>
      </w:r>
    </w:p>
    <w:p w:rsidR="005E2D54" w:rsidRPr="003A646E" w:rsidRDefault="008D3E2E">
      <w:pPr>
        <w:tabs>
          <w:tab w:val="left" w:pos="2717"/>
        </w:tabs>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Turkey became a party to the Convention on the Rights of Persons with Disabilities in 2009 and signed the Additional Protocol of the Convention. However, it does not address the issue of disability as a human rights issue. The medical approach maintains its weight in state policies. Persons who cannot obtain 40% disability or more health reports from health institutions in Turkey are not considered as disabled. Disabled people and children with disabilities are not seen as subjects of rights, but as objects of social assistance.</w:t>
      </w:r>
    </w:p>
    <w:p w:rsidR="005E2D54" w:rsidRPr="003A646E" w:rsidRDefault="008D3E2E">
      <w:pPr>
        <w:tabs>
          <w:tab w:val="left" w:pos="2717"/>
        </w:tabs>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There is no human rights-oriented holistic policy to ensure that children with disabilities have equal access to human rights with others and their full/effective participation in society.</w:t>
      </w:r>
    </w:p>
    <w:p w:rsidR="005E2D54" w:rsidRPr="003A646E" w:rsidRDefault="008D3E2E">
      <w:pPr>
        <w:tabs>
          <w:tab w:val="left" w:pos="2717"/>
        </w:tabs>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The Ministry of Family and Social Services was determined as the focal institution for the contract. In addition, according to Law No. 6701, TİHEK is responsible for monitoring the national implementation of the convention. However, neither the ministry nor TİHEK monitors the implementation of the Convention.</w:t>
      </w:r>
    </w:p>
    <w:p w:rsidR="005E2D54" w:rsidRPr="003A646E" w:rsidRDefault="008D3E2E">
      <w:pPr>
        <w:spacing w:after="200"/>
        <w:jc w:val="both"/>
        <w:rPr>
          <w:rFonts w:ascii="Times New Roman" w:eastAsia="Times New Roman" w:hAnsi="Times New Roman" w:cs="Times New Roman"/>
          <w:b/>
          <w:sz w:val="24"/>
          <w:szCs w:val="24"/>
          <w:lang w:val="en-GB"/>
        </w:rPr>
      </w:pPr>
      <w:r w:rsidRPr="003A646E">
        <w:rPr>
          <w:rFonts w:ascii="Times New Roman" w:eastAsia="Times New Roman" w:hAnsi="Times New Roman" w:cs="Times New Roman"/>
          <w:b/>
          <w:sz w:val="24"/>
          <w:szCs w:val="24"/>
          <w:lang w:val="en-GB"/>
        </w:rPr>
        <w:t>Discrimination</w:t>
      </w:r>
    </w:p>
    <w:p w:rsidR="005E2D54" w:rsidRPr="003A646E" w:rsidRDefault="008D3E2E">
      <w:pPr>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In addition to the Convention, discrimination on the basis of disability is prohibited in the Law on People with Disabilities, enacted in 2005. However, there is no penal sanction for discrimination in the law. There is no effective and independent mechanism for persons with disabilities who have been discriminated against. There is no policy document on the empowerment of children with disabilities who are at risk of double discrimination (children with disabilities, girls, etc. from minority groups) against discrimination.</w:t>
      </w:r>
    </w:p>
    <w:p w:rsidR="005E2D54" w:rsidRPr="003A646E" w:rsidRDefault="008D3E2E">
      <w:pPr>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Field studies show that children with disabilities, their families and supporters are discriminated against. In also the researches conducted by the state, it is seen that discrimination against the people with disabilities continues systematically in some areas. For example, according to the 2002 Turkey Disability Survey, while 12.90% of the general population is illiterate, this rate is 36.3% for the people with disabilities. According to the data of the Problems and Expectations of the People with disabilities, who were registered to the People with disabilities Database in 2010 after eight years, the rate of illiterate people is 41.6%. The rate of illiterate people in the 6+ age group in the general population is 5.79%. Looking at the gender distribution in both studies, it is clearly seen that women/girls with disabilities experience double discrimination in access to education. For example, according to the 2011 Disability Survey, the rate of illiterate male people with disabilities is 10.9%, while the rate of illiterate female people with disabilities is 32.4%. The rate of male people with disabilities with higher education graduates is 4%, while the rate of female people with disabilities is 1.5%.</w:t>
      </w:r>
    </w:p>
    <w:p w:rsidR="005E2D54" w:rsidRPr="003A646E" w:rsidRDefault="008D3E2E">
      <w:pPr>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Despite widespread discrimination, no one has been penalized for discrimination against persons with disabilities under TCK 122 so far. This shows how ineffective the substance is.</w:t>
      </w:r>
    </w:p>
    <w:p w:rsidR="005E2D54" w:rsidRPr="003A646E" w:rsidRDefault="008D3E2E">
      <w:pPr>
        <w:spacing w:after="200"/>
        <w:jc w:val="both"/>
        <w:rPr>
          <w:rFonts w:ascii="Times New Roman" w:eastAsia="Times New Roman" w:hAnsi="Times New Roman" w:cs="Times New Roman"/>
          <w:b/>
          <w:sz w:val="24"/>
          <w:szCs w:val="24"/>
          <w:lang w:val="en-GB"/>
        </w:rPr>
      </w:pPr>
      <w:r w:rsidRPr="003A646E">
        <w:rPr>
          <w:rFonts w:ascii="Times New Roman" w:eastAsia="Times New Roman" w:hAnsi="Times New Roman" w:cs="Times New Roman"/>
          <w:b/>
          <w:sz w:val="24"/>
          <w:szCs w:val="24"/>
          <w:lang w:val="en-GB"/>
        </w:rPr>
        <w:t>Disaggregated Data or Children with Disabilities</w:t>
      </w:r>
    </w:p>
    <w:p w:rsidR="005E2D54" w:rsidRPr="003A646E" w:rsidRDefault="008D3E2E">
      <w:pPr>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It is not systematically collected disaggregated and up-to-date data on the population with disabilities in Turkey. The disaggregated data about age, gender, religion, language, ethnic origin, type of disability and provinces where children with disabilities live, etc. is not available in any government agency. The first study on data collection was conducted in 2002. In 2010, the Problems and Expectations of the People with Disabilities Survey was conducted with the persons registered in the People with Disabilities Database, where persons who received disability reports from health institutions were registered. Finally, in the "Population and Housing Survey" dated 2011, mentioned in paragraph 148 of the State report, data were collected under six headings: those who have difficulties in seeing, hearing, speaking and learning, those who have difficulties in walking, climbing and descending stairs, and those who have difficulties in holding and carrying things.</w:t>
      </w:r>
    </w:p>
    <w:p w:rsidR="005E2D54" w:rsidRPr="003A646E" w:rsidRDefault="008D3E2E">
      <w:pPr>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There is no data collection study conducted after 2011 until 2022. However, in terms of public services, detailed data should be collected in order to determine the needs, plan the services and ensure equal access.</w:t>
      </w:r>
    </w:p>
    <w:p w:rsidR="005E2D54" w:rsidRPr="003A646E" w:rsidRDefault="008D3E2E">
      <w:pPr>
        <w:tabs>
          <w:tab w:val="left" w:pos="2717"/>
        </w:tabs>
        <w:spacing w:after="200"/>
        <w:jc w:val="both"/>
        <w:rPr>
          <w:rFonts w:ascii="Times New Roman" w:eastAsia="Times New Roman" w:hAnsi="Times New Roman" w:cs="Times New Roman"/>
          <w:b/>
          <w:sz w:val="24"/>
          <w:szCs w:val="24"/>
          <w:lang w:val="en-GB"/>
        </w:rPr>
      </w:pPr>
      <w:r w:rsidRPr="003A646E">
        <w:rPr>
          <w:rFonts w:ascii="Times New Roman" w:eastAsia="Times New Roman" w:hAnsi="Times New Roman" w:cs="Times New Roman"/>
          <w:b/>
          <w:sz w:val="24"/>
          <w:szCs w:val="24"/>
          <w:lang w:val="en-GB"/>
        </w:rPr>
        <w:t>Health and Healthcare Services</w:t>
      </w:r>
    </w:p>
    <w:p w:rsidR="005E2D54" w:rsidRPr="003A646E" w:rsidRDefault="008D3E2E">
      <w:pPr>
        <w:tabs>
          <w:tab w:val="left" w:pos="2717"/>
        </w:tabs>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In paragraph 166 of the State Report, it is stated that all children up to the age of 18 can benefit from health services free of charge, under the general health insurance.</w:t>
      </w:r>
    </w:p>
    <w:p w:rsidR="005E2D54" w:rsidRPr="003A646E" w:rsidRDefault="008D3E2E">
      <w:pPr>
        <w:tabs>
          <w:tab w:val="left" w:pos="2717"/>
        </w:tabs>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In Turkey, according to the statement made by the Ministry of Health in December 2019, there are 1,619 children with Spinal Muscular Atrophy (SMA) - while the current number is unknown. Most of these children need to receive gene therapy. However, the Social Security System does not cover Gene Therapy fees. Dozens of families whose children need Gene Therapy are trying to raise  money for the treatment with aid campaigns.</w:t>
      </w:r>
      <w:r w:rsidRPr="003A646E">
        <w:rPr>
          <w:rFonts w:ascii="Times New Roman" w:eastAsia="Times New Roman" w:hAnsi="Times New Roman" w:cs="Times New Roman"/>
          <w:sz w:val="24"/>
          <w:szCs w:val="24"/>
          <w:vertAlign w:val="superscript"/>
          <w:lang w:val="en-GB"/>
        </w:rPr>
        <w:footnoteReference w:id="46"/>
      </w:r>
      <w:r w:rsidRPr="003A646E">
        <w:rPr>
          <w:rFonts w:ascii="Times New Roman" w:eastAsia="Times New Roman" w:hAnsi="Times New Roman" w:cs="Times New Roman"/>
          <w:sz w:val="24"/>
          <w:szCs w:val="24"/>
          <w:vertAlign w:val="superscript"/>
          <w:lang w:val="en-GB"/>
        </w:rPr>
        <w:t xml:space="preserve"> </w:t>
      </w:r>
      <w:r w:rsidRPr="003A646E">
        <w:rPr>
          <w:rFonts w:ascii="Times New Roman" w:eastAsia="Times New Roman" w:hAnsi="Times New Roman" w:cs="Times New Roman"/>
          <w:sz w:val="24"/>
          <w:szCs w:val="24"/>
          <w:lang w:val="en-GB"/>
        </w:rPr>
        <w:t>According to the data we can confirm, at least 13 children have died in the last three years because they could not receive the necessary treatment.</w:t>
      </w:r>
    </w:p>
    <w:p w:rsidR="005E2D54" w:rsidRPr="003A646E" w:rsidRDefault="008D3E2E">
      <w:pPr>
        <w:pStyle w:val="Heading2"/>
        <w:tabs>
          <w:tab w:val="left" w:pos="1560"/>
        </w:tabs>
        <w:spacing w:before="360" w:after="200"/>
        <w:ind w:right="5"/>
        <w:jc w:val="both"/>
        <w:rPr>
          <w:rFonts w:ascii="Times New Roman" w:eastAsia="Times New Roman" w:hAnsi="Times New Roman" w:cs="Times New Roman"/>
          <w:b/>
          <w:sz w:val="24"/>
          <w:szCs w:val="24"/>
          <w:lang w:val="en-GB"/>
        </w:rPr>
      </w:pPr>
      <w:bookmarkStart w:id="39" w:name="_heading=h.szvcz0cbyl0t" w:colFirst="0" w:colLast="0"/>
      <w:bookmarkEnd w:id="39"/>
      <w:r w:rsidRPr="003A646E">
        <w:rPr>
          <w:rFonts w:ascii="Times New Roman" w:hAnsi="Times New Roman" w:cs="Times New Roman"/>
          <w:b/>
          <w:color w:val="000000"/>
          <w:lang w:val="en-GB"/>
        </w:rPr>
        <w:t>Accessibility</w:t>
      </w:r>
    </w:p>
    <w:p w:rsidR="005E2D54" w:rsidRPr="003A646E" w:rsidRDefault="008D3E2E">
      <w:pPr>
        <w:tabs>
          <w:tab w:val="left" w:pos="1560"/>
        </w:tabs>
        <w:spacing w:after="200"/>
        <w:ind w:right="5"/>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 xml:space="preserve">Accessibility is a prerequisite for disabled people to access all other human rights and freedoms. In the Law on Persons with Disabilities, enacted in 2005, a period of 7 years has been granted for public spaces and services to be accessible until 2012. During this period, the State did not allocate the necessary budget for accessibility. With the amendment made in the Law in 2012, an additional period of 3 years was given, but the State did not allocate the necessary budget and did not monitor during this period either. As a result, as of 2022, accessibility rates in public spaces and services are quite low. </w:t>
      </w:r>
    </w:p>
    <w:p w:rsidR="005E2D54" w:rsidRPr="003A646E" w:rsidRDefault="008D3E2E">
      <w:pPr>
        <w:tabs>
          <w:tab w:val="left" w:pos="1560"/>
        </w:tabs>
        <w:spacing w:after="200"/>
        <w:ind w:right="5"/>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For instance, in the 150th and 151st paragraphs of the State report, it is stated that all public transportation and service vehicles will be accessible to people with disabilities by 2018. In contrast, in the 2021-2025 Accessible Transport Strategies and Action Plan of The Ministry of Transport and Infrastructure, it is stated  that only 4% of the shuttle vehicles used in school and personnel transportation are accessible for persons with di</w:t>
      </w:r>
      <w:r w:rsidR="003A646E">
        <w:rPr>
          <w:rFonts w:ascii="Times New Roman" w:eastAsia="Times New Roman" w:hAnsi="Times New Roman" w:cs="Times New Roman"/>
          <w:sz w:val="24"/>
          <w:szCs w:val="24"/>
          <w:lang w:val="en-GB"/>
        </w:rPr>
        <w:t>s</w:t>
      </w:r>
      <w:r w:rsidRPr="003A646E">
        <w:rPr>
          <w:rFonts w:ascii="Times New Roman" w:eastAsia="Times New Roman" w:hAnsi="Times New Roman" w:cs="Times New Roman"/>
          <w:sz w:val="24"/>
          <w:szCs w:val="24"/>
          <w:lang w:val="en-GB"/>
        </w:rPr>
        <w:t>abilities.</w:t>
      </w:r>
      <w:r w:rsidRPr="003A646E">
        <w:rPr>
          <w:rFonts w:ascii="Times New Roman" w:eastAsia="Times New Roman" w:hAnsi="Times New Roman" w:cs="Times New Roman"/>
          <w:sz w:val="24"/>
          <w:szCs w:val="24"/>
          <w:vertAlign w:val="superscript"/>
          <w:lang w:val="en-GB"/>
        </w:rPr>
        <w:footnoteReference w:id="47"/>
      </w:r>
    </w:p>
    <w:p w:rsidR="005E2D54" w:rsidRPr="003A646E" w:rsidRDefault="008D3E2E">
      <w:pPr>
        <w:tabs>
          <w:tab w:val="left" w:pos="1560"/>
        </w:tabs>
        <w:spacing w:after="200"/>
        <w:ind w:right="5"/>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It is common that children with disabilities cann</w:t>
      </w:r>
      <w:r w:rsidR="003A646E">
        <w:rPr>
          <w:rFonts w:ascii="Times New Roman" w:eastAsia="Times New Roman" w:hAnsi="Times New Roman" w:cs="Times New Roman"/>
          <w:sz w:val="24"/>
          <w:szCs w:val="24"/>
          <w:lang w:val="en-GB"/>
        </w:rPr>
        <w:t>ot go to school because they do not</w:t>
      </w:r>
      <w:r w:rsidRPr="003A646E">
        <w:rPr>
          <w:rFonts w:ascii="Times New Roman" w:eastAsia="Times New Roman" w:hAnsi="Times New Roman" w:cs="Times New Roman"/>
          <w:sz w:val="24"/>
          <w:szCs w:val="24"/>
          <w:lang w:val="en-GB"/>
        </w:rPr>
        <w:t xml:space="preserve"> have access to an accessible shuttle bus.</w:t>
      </w:r>
      <w:r w:rsidRPr="003A646E">
        <w:rPr>
          <w:rFonts w:ascii="Times New Roman" w:eastAsia="Times New Roman" w:hAnsi="Times New Roman" w:cs="Times New Roman"/>
          <w:sz w:val="24"/>
          <w:szCs w:val="24"/>
          <w:vertAlign w:val="superscript"/>
          <w:lang w:val="en-GB"/>
        </w:rPr>
        <w:footnoteReference w:id="48"/>
      </w:r>
      <w:r w:rsidRPr="003A646E">
        <w:rPr>
          <w:rFonts w:ascii="Times New Roman" w:eastAsia="Times New Roman" w:hAnsi="Times New Roman" w:cs="Times New Roman"/>
          <w:sz w:val="24"/>
          <w:szCs w:val="24"/>
          <w:lang w:val="en-GB"/>
        </w:rPr>
        <w:t xml:space="preserve"> Some schools refuse to provide services to students with disabilities, stating that it will cause public loss.</w:t>
      </w:r>
      <w:r w:rsidRPr="003A646E">
        <w:rPr>
          <w:rFonts w:ascii="Times New Roman" w:eastAsia="Times New Roman" w:hAnsi="Times New Roman" w:cs="Times New Roman"/>
          <w:sz w:val="24"/>
          <w:szCs w:val="24"/>
          <w:vertAlign w:val="superscript"/>
          <w:lang w:val="en-GB"/>
        </w:rPr>
        <w:footnoteReference w:id="49"/>
      </w:r>
    </w:p>
    <w:p w:rsidR="005E2D54" w:rsidRPr="003A646E" w:rsidRDefault="008D3E2E">
      <w:pPr>
        <w:tabs>
          <w:tab w:val="left" w:pos="2717"/>
        </w:tabs>
        <w:spacing w:after="200"/>
        <w:jc w:val="both"/>
        <w:rPr>
          <w:rFonts w:ascii="Times New Roman" w:eastAsia="Times New Roman" w:hAnsi="Times New Roman" w:cs="Times New Roman"/>
          <w:b/>
          <w:sz w:val="24"/>
          <w:szCs w:val="24"/>
          <w:lang w:val="en-GB"/>
        </w:rPr>
      </w:pPr>
      <w:r w:rsidRPr="003A646E">
        <w:rPr>
          <w:rFonts w:ascii="Times New Roman" w:eastAsia="Times New Roman" w:hAnsi="Times New Roman" w:cs="Times New Roman"/>
          <w:b/>
          <w:sz w:val="24"/>
          <w:szCs w:val="24"/>
          <w:lang w:val="en-GB"/>
        </w:rPr>
        <w:t>Right to Education for Children with Disabilities</w:t>
      </w:r>
    </w:p>
    <w:p w:rsidR="005E2D54" w:rsidRPr="003A646E" w:rsidRDefault="008D3E2E">
      <w:pPr>
        <w:tabs>
          <w:tab w:val="left" w:pos="2717"/>
        </w:tabs>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Although Turkey has a legal framework for children with disabilities to receive education together with other children, the rate of disabled children receiving inclusive education in practice is extremely low.</w:t>
      </w:r>
    </w:p>
    <w:p w:rsidR="005E2D54" w:rsidRPr="003A646E" w:rsidRDefault="008D3E2E">
      <w:pPr>
        <w:tabs>
          <w:tab w:val="left" w:pos="2717"/>
        </w:tabs>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Although it is not included in the State report, one of the targets of the National Action Plan for Individuals with Autism Spectrum Disorders (2016-2019) (OEP) is to include children with autism in mainstream education. However, like other action plans in Turkey regarding human rights of disadvantaged groups in Turkey implemented the OEP has not been implemented.</w:t>
      </w:r>
    </w:p>
    <w:p w:rsidR="005E2D54" w:rsidRPr="003A646E" w:rsidRDefault="008D3E2E">
      <w:pPr>
        <w:tabs>
          <w:tab w:val="left" w:pos="2717"/>
        </w:tabs>
        <w:spacing w:after="200"/>
        <w:jc w:val="both"/>
        <w:rPr>
          <w:rFonts w:ascii="Times New Roman" w:eastAsia="Times New Roman" w:hAnsi="Times New Roman" w:cs="Times New Roman"/>
          <w:sz w:val="24"/>
          <w:szCs w:val="24"/>
          <w:lang w:val="en-GB"/>
        </w:rPr>
      </w:pPr>
      <w:r w:rsidRPr="003A646E">
        <w:rPr>
          <w:rFonts w:ascii="Times New Roman" w:eastAsia="Times New Roman" w:hAnsi="Times New Roman" w:cs="Times New Roman"/>
          <w:sz w:val="24"/>
          <w:szCs w:val="24"/>
          <w:lang w:val="en-GB"/>
        </w:rPr>
        <w:t>In the response given by the Minister of National Education in 2021 regarding the written questions submitted by 11 deputies in the parliament; he st2ated that there are 33,816 people with autism at school age in Turkey, 10,020 people with autism are educated in special education schools, and 1,079 people with autism receive inclusion/integration education. These data show that 67% of people with autism who are at the school age do not have access to the right to education. Approximately 30% of people with autism can receive special education and only 3.4% can receive inclusive education.</w:t>
      </w:r>
    </w:p>
    <w:sectPr w:rsidR="005E2D54" w:rsidRPr="003A646E">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FAB" w:rsidRDefault="00F30FAB">
      <w:pPr>
        <w:spacing w:line="240" w:lineRule="auto"/>
      </w:pPr>
      <w:r>
        <w:separator/>
      </w:r>
    </w:p>
  </w:endnote>
  <w:endnote w:type="continuationSeparator" w:id="0">
    <w:p w:rsidR="00F30FAB" w:rsidRDefault="00F30F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FAB" w:rsidRDefault="00F30FAB">
      <w:pPr>
        <w:spacing w:line="240" w:lineRule="auto"/>
      </w:pPr>
      <w:r>
        <w:separator/>
      </w:r>
    </w:p>
  </w:footnote>
  <w:footnote w:type="continuationSeparator" w:id="0">
    <w:p w:rsidR="00F30FAB" w:rsidRDefault="00F30FAB">
      <w:pPr>
        <w:spacing w:line="240" w:lineRule="auto"/>
      </w:pPr>
      <w:r>
        <w:continuationSeparator/>
      </w:r>
    </w:p>
  </w:footnote>
  <w:footnote w:id="1">
    <w:p w:rsidR="005E2D54" w:rsidRPr="003A646E" w:rsidRDefault="008D3E2E">
      <w:pPr>
        <w:spacing w:line="240" w:lineRule="auto"/>
        <w:rPr>
          <w:rFonts w:ascii="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1">
        <w:r w:rsidRPr="003A646E">
          <w:rPr>
            <w:rFonts w:ascii="Times New Roman" w:hAnsi="Times New Roman" w:cs="Times New Roman"/>
            <w:color w:val="0563C1"/>
            <w:sz w:val="20"/>
            <w:szCs w:val="20"/>
            <w:u w:val="single"/>
          </w:rPr>
          <w:t>https://www.stgm.org.tr/cocuk-vakfi-cocuk-haklari-izleme-kurulundan-ayrildi</w:t>
        </w:r>
      </w:hyperlink>
    </w:p>
    <w:p w:rsidR="005E2D54" w:rsidRPr="003A646E" w:rsidRDefault="005E2D54">
      <w:pPr>
        <w:spacing w:line="240" w:lineRule="auto"/>
        <w:rPr>
          <w:rFonts w:ascii="Times New Roman" w:hAnsi="Times New Roman" w:cs="Times New Roman"/>
          <w:sz w:val="20"/>
          <w:szCs w:val="20"/>
        </w:rPr>
      </w:pPr>
    </w:p>
  </w:footnote>
  <w:footnote w:id="2">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Times New Roman" w:hAnsi="Times New Roman" w:cs="Times New Roman"/>
          <w:sz w:val="20"/>
          <w:szCs w:val="20"/>
        </w:rPr>
        <w:t xml:space="preserve"> Statistics of applications made to TİHEK made within the first quarter of 2022 Yılının (the period between 1 January-31 March) </w:t>
      </w:r>
      <w:hyperlink r:id="rId2">
        <w:r w:rsidRPr="003A646E">
          <w:rPr>
            <w:rFonts w:ascii="Times New Roman" w:eastAsia="Times New Roman" w:hAnsi="Times New Roman" w:cs="Times New Roman"/>
            <w:color w:val="1155CC"/>
            <w:sz w:val="20"/>
            <w:szCs w:val="20"/>
            <w:u w:val="single"/>
          </w:rPr>
          <w:t>https://www.tihek.gov.tr/upload/file_editor/2022/04/1649166369.pdf</w:t>
        </w:r>
      </w:hyperlink>
      <w:r w:rsidRPr="003A646E">
        <w:rPr>
          <w:rFonts w:ascii="Times New Roman" w:eastAsia="Times New Roman" w:hAnsi="Times New Roman" w:cs="Times New Roman"/>
          <w:sz w:val="20"/>
          <w:szCs w:val="20"/>
        </w:rPr>
        <w:t xml:space="preserve"> </w:t>
      </w:r>
    </w:p>
  </w:footnote>
  <w:footnote w:id="3">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Times New Roman" w:hAnsi="Times New Roman" w:cs="Times New Roman"/>
          <w:sz w:val="20"/>
          <w:szCs w:val="20"/>
        </w:rPr>
        <w:t xml:space="preserve"> See Activity 1.2.b </w:t>
      </w:r>
      <w:hyperlink r:id="rId3">
        <w:r w:rsidRPr="003A646E">
          <w:rPr>
            <w:rFonts w:ascii="Times New Roman" w:eastAsia="Times New Roman" w:hAnsi="Times New Roman" w:cs="Times New Roman"/>
            <w:color w:val="1155CC"/>
            <w:sz w:val="20"/>
            <w:szCs w:val="20"/>
            <w:u w:val="single"/>
          </w:rPr>
          <w:t>https://insanhaklarieylemplani.adalet.gov.tr/resimler/%C4%B0nsan_Haklar%C4%B1_Eylem_Plan%C4%B1_ve_Uygulama_Takvimi.pdf</w:t>
        </w:r>
      </w:hyperlink>
      <w:r w:rsidRPr="003A646E">
        <w:rPr>
          <w:rFonts w:ascii="Times New Roman" w:eastAsia="Times New Roman" w:hAnsi="Times New Roman" w:cs="Times New Roman"/>
          <w:sz w:val="20"/>
          <w:szCs w:val="20"/>
        </w:rPr>
        <w:t xml:space="preserve"> </w:t>
      </w:r>
    </w:p>
  </w:footnote>
  <w:footnote w:id="4">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Times New Roman" w:hAnsi="Times New Roman" w:cs="Times New Roman"/>
          <w:sz w:val="20"/>
          <w:szCs w:val="20"/>
        </w:rPr>
        <w:t xml:space="preserve"> </w:t>
      </w:r>
      <w:hyperlink r:id="rId4">
        <w:r w:rsidRPr="003A646E">
          <w:rPr>
            <w:rFonts w:ascii="Times New Roman" w:eastAsia="Times New Roman" w:hAnsi="Times New Roman" w:cs="Times New Roman"/>
            <w:color w:val="1155CC"/>
            <w:sz w:val="20"/>
            <w:szCs w:val="20"/>
            <w:u w:val="single"/>
          </w:rPr>
          <w:t>https://www.kdkcocuk.gov.tr/kdk-pdf/kdk-kararlar-derlemsi.pdf</w:t>
        </w:r>
      </w:hyperlink>
      <w:r w:rsidRPr="003A646E">
        <w:rPr>
          <w:rFonts w:ascii="Times New Roman" w:eastAsia="Times New Roman" w:hAnsi="Times New Roman" w:cs="Times New Roman"/>
          <w:sz w:val="20"/>
          <w:szCs w:val="20"/>
        </w:rPr>
        <w:t xml:space="preserve"> </w:t>
      </w:r>
    </w:p>
  </w:footnote>
  <w:footnote w:id="5">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Times New Roman" w:hAnsi="Times New Roman" w:cs="Times New Roman"/>
          <w:sz w:val="20"/>
          <w:szCs w:val="20"/>
        </w:rPr>
        <w:t xml:space="preserve"> </w:t>
      </w:r>
      <w:hyperlink r:id="rId5">
        <w:r w:rsidRPr="003A646E">
          <w:rPr>
            <w:rFonts w:ascii="Times New Roman" w:eastAsia="Times New Roman" w:hAnsi="Times New Roman" w:cs="Times New Roman"/>
            <w:color w:val="1155CC"/>
            <w:sz w:val="20"/>
            <w:szCs w:val="20"/>
            <w:u w:val="single"/>
          </w:rPr>
          <w:t>https://www.ombudsman.gov.tr/kdk-pdf/kdk-2021-yili-faliyet/mobile/index.html</w:t>
        </w:r>
      </w:hyperlink>
      <w:r w:rsidRPr="003A646E">
        <w:rPr>
          <w:rFonts w:ascii="Times New Roman" w:eastAsia="Times New Roman" w:hAnsi="Times New Roman" w:cs="Times New Roman"/>
          <w:sz w:val="20"/>
          <w:szCs w:val="20"/>
        </w:rPr>
        <w:t xml:space="preserve"> </w:t>
      </w:r>
    </w:p>
  </w:footnote>
  <w:footnote w:id="6">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Times New Roman" w:hAnsi="Times New Roman" w:cs="Times New Roman"/>
          <w:sz w:val="20"/>
          <w:szCs w:val="20"/>
        </w:rPr>
        <w:t xml:space="preserve"> 2,24% of the total number of applications is made by children. Data for previous years are not available in annual reports. </w:t>
      </w:r>
    </w:p>
  </w:footnote>
  <w:footnote w:id="7">
    <w:p w:rsidR="005E2D54" w:rsidRPr="003A646E" w:rsidRDefault="008D3E2E">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sidRPr="003A646E">
        <w:rPr>
          <w:rFonts w:ascii="Times New Roman" w:hAnsi="Times New Roman" w:cs="Times New Roman"/>
          <w:sz w:val="20"/>
          <w:szCs w:val="20"/>
          <w:vertAlign w:val="superscript"/>
        </w:rPr>
        <w:footnoteRef/>
      </w:r>
      <w:r w:rsidRPr="003A646E">
        <w:rPr>
          <w:rFonts w:ascii="Times New Roman" w:eastAsia="Times New Roman" w:hAnsi="Times New Roman" w:cs="Times New Roman"/>
          <w:color w:val="000000"/>
          <w:sz w:val="20"/>
          <w:szCs w:val="20"/>
        </w:rPr>
        <w:t xml:space="preserve"> </w:t>
      </w:r>
      <w:hyperlink r:id="rId6">
        <w:r w:rsidRPr="003A646E">
          <w:rPr>
            <w:rFonts w:ascii="Times New Roman" w:eastAsia="Times New Roman" w:hAnsi="Times New Roman" w:cs="Times New Roman"/>
            <w:color w:val="1155CC"/>
            <w:sz w:val="20"/>
            <w:szCs w:val="20"/>
            <w:u w:val="single"/>
          </w:rPr>
          <w:t>https://bianet.org/kurdi/cocuk/186946-aladag-yurt-yangini-davasinda-saniklar-itfaiyeyi-sucladi</w:t>
        </w:r>
      </w:hyperlink>
      <w:r w:rsidRPr="003A646E">
        <w:rPr>
          <w:rFonts w:ascii="Times New Roman" w:eastAsia="Times New Roman" w:hAnsi="Times New Roman" w:cs="Times New Roman"/>
          <w:color w:val="000000"/>
          <w:sz w:val="20"/>
          <w:szCs w:val="20"/>
        </w:rPr>
        <w:t xml:space="preserve"> </w:t>
      </w:r>
    </w:p>
  </w:footnote>
  <w:footnote w:id="8">
    <w:p w:rsidR="005E2D54" w:rsidRPr="003A646E" w:rsidRDefault="008D3E2E">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sidRPr="003A646E">
        <w:rPr>
          <w:rFonts w:ascii="Times New Roman" w:hAnsi="Times New Roman" w:cs="Times New Roman"/>
          <w:sz w:val="20"/>
          <w:szCs w:val="20"/>
          <w:vertAlign w:val="superscript"/>
        </w:rPr>
        <w:footnoteRef/>
      </w:r>
      <w:r w:rsidRPr="003A646E">
        <w:rPr>
          <w:rFonts w:ascii="Times New Roman" w:eastAsia="Calibri" w:hAnsi="Times New Roman" w:cs="Times New Roman"/>
          <w:color w:val="000000"/>
          <w:sz w:val="20"/>
          <w:szCs w:val="20"/>
        </w:rPr>
        <w:t xml:space="preserve"> </w:t>
      </w:r>
      <w:hyperlink r:id="rId7">
        <w:r w:rsidRPr="003A646E">
          <w:rPr>
            <w:rFonts w:ascii="Times New Roman" w:eastAsia="Times New Roman" w:hAnsi="Times New Roman" w:cs="Times New Roman"/>
            <w:color w:val="1155CC"/>
            <w:sz w:val="20"/>
            <w:szCs w:val="20"/>
            <w:u w:val="single"/>
          </w:rPr>
          <w:t>https://www.hurriyet.com.tr/gundem/son-dakika-karamandaki-dava-basladi-ogretmen-suclamalari-reddetti-40091581</w:t>
        </w:r>
      </w:hyperlink>
      <w:r w:rsidRPr="003A646E">
        <w:rPr>
          <w:rFonts w:ascii="Times New Roman" w:eastAsia="Times New Roman" w:hAnsi="Times New Roman" w:cs="Times New Roman"/>
          <w:color w:val="000000"/>
          <w:sz w:val="20"/>
          <w:szCs w:val="20"/>
        </w:rPr>
        <w:t xml:space="preserve"> </w:t>
      </w:r>
    </w:p>
  </w:footnote>
  <w:footnote w:id="9">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Calibri" w:hAnsi="Times New Roman" w:cs="Times New Roman"/>
          <w:sz w:val="20"/>
          <w:szCs w:val="20"/>
        </w:rPr>
        <w:t xml:space="preserve"> </w:t>
      </w:r>
      <w:hyperlink r:id="rId8">
        <w:r w:rsidRPr="003A646E">
          <w:rPr>
            <w:rFonts w:ascii="Times New Roman" w:eastAsia="Times New Roman" w:hAnsi="Times New Roman" w:cs="Times New Roman"/>
            <w:color w:val="1155CC"/>
            <w:sz w:val="20"/>
            <w:szCs w:val="20"/>
            <w:u w:val="single"/>
          </w:rPr>
          <w:t>https://www.tihek.gov.tr/upload/file_editor/2019/02/1551076875.pdf</w:t>
        </w:r>
      </w:hyperlink>
      <w:r w:rsidRPr="003A646E">
        <w:rPr>
          <w:rFonts w:ascii="Times New Roman" w:eastAsia="Times New Roman" w:hAnsi="Times New Roman" w:cs="Times New Roman"/>
          <w:sz w:val="20"/>
          <w:szCs w:val="20"/>
        </w:rPr>
        <w:t xml:space="preserve"> </w:t>
      </w:r>
    </w:p>
  </w:footnote>
  <w:footnote w:id="10">
    <w:p w:rsidR="005E2D54" w:rsidRPr="003A646E" w:rsidRDefault="008D3E2E">
      <w:pPr>
        <w:spacing w:line="240" w:lineRule="auto"/>
        <w:rPr>
          <w:rFonts w:ascii="Times New Roman" w:eastAsia="Calibri"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Calibri" w:hAnsi="Times New Roman" w:cs="Times New Roman"/>
          <w:sz w:val="20"/>
          <w:szCs w:val="20"/>
        </w:rPr>
        <w:t xml:space="preserve"> </w:t>
      </w:r>
      <w:hyperlink r:id="rId9">
        <w:r w:rsidRPr="003A646E">
          <w:rPr>
            <w:rFonts w:ascii="Times New Roman" w:eastAsia="Times New Roman" w:hAnsi="Times New Roman" w:cs="Times New Roman"/>
            <w:color w:val="1155CC"/>
            <w:sz w:val="20"/>
            <w:szCs w:val="20"/>
            <w:u w:val="single"/>
          </w:rPr>
          <w:t>https://www.tihek.gov.tr/upload/file_editor/2019/02/1551077280.pdf</w:t>
        </w:r>
      </w:hyperlink>
      <w:r w:rsidRPr="003A646E">
        <w:rPr>
          <w:rFonts w:ascii="Times New Roman" w:eastAsia="Calibri" w:hAnsi="Times New Roman" w:cs="Times New Roman"/>
          <w:sz w:val="20"/>
          <w:szCs w:val="20"/>
        </w:rPr>
        <w:t xml:space="preserve"> </w:t>
      </w:r>
    </w:p>
  </w:footnote>
  <w:footnote w:id="11">
    <w:p w:rsidR="005E2D54" w:rsidRPr="003A646E" w:rsidRDefault="008D3E2E">
      <w:pPr>
        <w:spacing w:line="240" w:lineRule="auto"/>
        <w:rPr>
          <w:rFonts w:ascii="Times New Roman" w:eastAsia="Times New Roman" w:hAnsi="Times New Roman" w:cs="Times New Roman"/>
          <w:sz w:val="20"/>
          <w:szCs w:val="20"/>
        </w:rPr>
      </w:pPr>
      <w:bookmarkStart w:id="18" w:name="_heading=h.1t3h5sf" w:colFirst="0" w:colLast="0"/>
      <w:bookmarkEnd w:id="18"/>
      <w:r w:rsidRPr="003A646E">
        <w:rPr>
          <w:rFonts w:ascii="Times New Roman" w:hAnsi="Times New Roman" w:cs="Times New Roman"/>
          <w:sz w:val="20"/>
          <w:szCs w:val="20"/>
          <w:vertAlign w:val="superscript"/>
        </w:rPr>
        <w:footnoteRef/>
      </w:r>
      <w:r w:rsidRPr="003A646E">
        <w:rPr>
          <w:rFonts w:ascii="Times New Roman" w:eastAsia="Calibri" w:hAnsi="Times New Roman" w:cs="Times New Roman"/>
          <w:sz w:val="20"/>
          <w:szCs w:val="20"/>
        </w:rPr>
        <w:t xml:space="preserve"> </w:t>
      </w:r>
      <w:hyperlink r:id="rId10">
        <w:r w:rsidRPr="003A646E">
          <w:rPr>
            <w:rFonts w:ascii="Times New Roman" w:eastAsia="Times New Roman" w:hAnsi="Times New Roman" w:cs="Times New Roman"/>
            <w:color w:val="1155CC"/>
            <w:sz w:val="20"/>
            <w:szCs w:val="20"/>
            <w:u w:val="single"/>
          </w:rPr>
          <w:t>https://www.tihek.gov.tr/upload/file_editor/2021/07/1625566099.pdf</w:t>
        </w:r>
      </w:hyperlink>
      <w:r w:rsidRPr="003A646E">
        <w:rPr>
          <w:rFonts w:ascii="Times New Roman" w:eastAsia="Times New Roman" w:hAnsi="Times New Roman" w:cs="Times New Roman"/>
          <w:sz w:val="20"/>
          <w:szCs w:val="20"/>
        </w:rPr>
        <w:t xml:space="preserve"> </w:t>
      </w:r>
    </w:p>
  </w:footnote>
  <w:footnote w:id="12">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Calibri" w:hAnsi="Times New Roman" w:cs="Times New Roman"/>
          <w:sz w:val="20"/>
          <w:szCs w:val="20"/>
        </w:rPr>
        <w:t xml:space="preserve"> </w:t>
      </w:r>
      <w:hyperlink r:id="rId11">
        <w:r w:rsidRPr="003A646E">
          <w:rPr>
            <w:rFonts w:ascii="Times New Roman" w:eastAsia="Times New Roman" w:hAnsi="Times New Roman" w:cs="Times New Roman"/>
            <w:color w:val="1155CC"/>
            <w:sz w:val="20"/>
            <w:szCs w:val="20"/>
            <w:u w:val="single"/>
          </w:rPr>
          <w:t>https://www.tihek.gov.tr/upload/file_editor/2021/07/1625566099.pdf</w:t>
        </w:r>
      </w:hyperlink>
      <w:r w:rsidRPr="003A646E">
        <w:rPr>
          <w:rFonts w:ascii="Times New Roman" w:eastAsia="Times New Roman" w:hAnsi="Times New Roman" w:cs="Times New Roman"/>
          <w:sz w:val="20"/>
          <w:szCs w:val="20"/>
        </w:rPr>
        <w:t xml:space="preserve"> </w:t>
      </w:r>
    </w:p>
    <w:p w:rsidR="005E2D54" w:rsidRPr="003A646E" w:rsidRDefault="005E2D54">
      <w:pPr>
        <w:pBdr>
          <w:top w:val="nil"/>
          <w:left w:val="nil"/>
          <w:bottom w:val="nil"/>
          <w:right w:val="nil"/>
          <w:between w:val="nil"/>
        </w:pBdr>
        <w:spacing w:line="240" w:lineRule="auto"/>
        <w:rPr>
          <w:rFonts w:ascii="Times New Roman" w:eastAsia="Calibri" w:hAnsi="Times New Roman" w:cs="Times New Roman"/>
          <w:color w:val="000000"/>
          <w:sz w:val="20"/>
          <w:szCs w:val="20"/>
        </w:rPr>
      </w:pPr>
    </w:p>
  </w:footnote>
  <w:footnote w:id="13">
    <w:p w:rsidR="005E2D54" w:rsidRPr="003A646E" w:rsidRDefault="008D3E2E">
      <w:pPr>
        <w:spacing w:line="240" w:lineRule="auto"/>
        <w:rPr>
          <w:rFonts w:ascii="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r w:rsidRPr="003A646E">
        <w:rPr>
          <w:rFonts w:ascii="Times New Roman" w:eastAsia="Times New Roman" w:hAnsi="Times New Roman" w:cs="Times New Roman"/>
          <w:sz w:val="20"/>
          <w:szCs w:val="20"/>
        </w:rPr>
        <w:t xml:space="preserve">European Commission against Racism and Intolerance (ECRI), </w:t>
      </w:r>
      <w:r w:rsidRPr="003A646E">
        <w:rPr>
          <w:rFonts w:ascii="Times New Roman" w:eastAsia="Times New Roman" w:hAnsi="Times New Roman" w:cs="Times New Roman"/>
          <w:b/>
          <w:sz w:val="20"/>
          <w:szCs w:val="20"/>
        </w:rPr>
        <w:t>Report on Turkey (Fifth monitoring cycle</w:t>
      </w:r>
      <w:r w:rsidRPr="003A646E">
        <w:rPr>
          <w:rFonts w:ascii="Times New Roman" w:eastAsia="Times New Roman" w:hAnsi="Times New Roman" w:cs="Times New Roman"/>
          <w:sz w:val="20"/>
          <w:szCs w:val="20"/>
        </w:rPr>
        <w:t>), 4 October 2016, p.15</w:t>
      </w:r>
    </w:p>
  </w:footnote>
  <w:footnote w:id="14">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r w:rsidRPr="003A646E">
        <w:rPr>
          <w:rFonts w:ascii="Times New Roman" w:eastAsia="Times New Roman" w:hAnsi="Times New Roman" w:cs="Times New Roman"/>
          <w:sz w:val="20"/>
          <w:szCs w:val="20"/>
          <w:lang w:val="en-GB"/>
        </w:rPr>
        <w:t>This is a recommendation made by several committees. CERD/C/TUR/CO/4-6 par. 12;</w:t>
      </w:r>
      <w:r w:rsidRPr="003A646E">
        <w:rPr>
          <w:rFonts w:ascii="Times New Roman" w:eastAsia="Times New Roman" w:hAnsi="Times New Roman" w:cs="Times New Roman"/>
          <w:sz w:val="20"/>
          <w:szCs w:val="20"/>
        </w:rPr>
        <w:t xml:space="preserve"> </w:t>
      </w:r>
    </w:p>
  </w:footnote>
  <w:footnote w:id="15">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12">
        <w:r w:rsidRPr="003A646E">
          <w:rPr>
            <w:rFonts w:ascii="Times New Roman" w:eastAsia="Times New Roman" w:hAnsi="Times New Roman" w:cs="Times New Roman"/>
            <w:color w:val="1155CC"/>
            <w:sz w:val="20"/>
            <w:szCs w:val="20"/>
            <w:u w:val="single"/>
          </w:rPr>
          <w:t>https://www.turktime.com/haber/Nufus-Iadresi-nde-Fisleme-Skandali/238850</w:t>
        </w:r>
      </w:hyperlink>
      <w:r w:rsidRPr="003A646E">
        <w:rPr>
          <w:rFonts w:ascii="Times New Roman" w:eastAsia="Times New Roman" w:hAnsi="Times New Roman" w:cs="Times New Roman"/>
          <w:sz w:val="20"/>
          <w:szCs w:val="20"/>
        </w:rPr>
        <w:t xml:space="preserve"> </w:t>
      </w:r>
    </w:p>
  </w:footnote>
  <w:footnote w:id="16">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13">
        <w:r w:rsidRPr="003A646E">
          <w:rPr>
            <w:rFonts w:ascii="Times New Roman" w:eastAsia="Times New Roman" w:hAnsi="Times New Roman" w:cs="Times New Roman"/>
            <w:color w:val="1155CC"/>
            <w:sz w:val="20"/>
            <w:szCs w:val="20"/>
            <w:u w:val="single"/>
          </w:rPr>
          <w:t>https://t24.com.tr/haber/icisleri-bakani-efkan-ala-soy-kodunun-tum-vatandaslar-icin-uygulandigini-soyledi,328285</w:t>
        </w:r>
      </w:hyperlink>
      <w:r w:rsidRPr="003A646E">
        <w:rPr>
          <w:rFonts w:ascii="Times New Roman" w:eastAsia="Times New Roman" w:hAnsi="Times New Roman" w:cs="Times New Roman"/>
          <w:sz w:val="20"/>
          <w:szCs w:val="20"/>
        </w:rPr>
        <w:t xml:space="preserve"> </w:t>
      </w:r>
    </w:p>
  </w:footnote>
  <w:footnote w:id="17">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14">
        <w:r w:rsidRPr="003A646E">
          <w:rPr>
            <w:rFonts w:ascii="Times New Roman" w:eastAsia="Times New Roman" w:hAnsi="Times New Roman" w:cs="Times New Roman"/>
            <w:color w:val="1155CC"/>
            <w:sz w:val="20"/>
            <w:szCs w:val="20"/>
            <w:u w:val="single"/>
          </w:rPr>
          <w:t>https://www.aile.gov.tr/chgm/haberler/turkiye-cocuk-arastirmasi-calistayi-yapildi/</w:t>
        </w:r>
      </w:hyperlink>
      <w:r w:rsidRPr="003A646E">
        <w:rPr>
          <w:rFonts w:ascii="Times New Roman" w:eastAsia="Times New Roman" w:hAnsi="Times New Roman" w:cs="Times New Roman"/>
          <w:sz w:val="20"/>
          <w:szCs w:val="20"/>
        </w:rPr>
        <w:t xml:space="preserve"> </w:t>
      </w:r>
    </w:p>
  </w:footnote>
  <w:footnote w:id="18">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r w:rsidRPr="003A646E">
        <w:rPr>
          <w:rFonts w:ascii="Times New Roman" w:eastAsia="Times New Roman" w:hAnsi="Times New Roman" w:cs="Times New Roman"/>
          <w:sz w:val="20"/>
          <w:szCs w:val="20"/>
        </w:rPr>
        <w:t>See.</w:t>
      </w:r>
      <w:hyperlink r:id="rId15">
        <w:r w:rsidRPr="003A646E">
          <w:rPr>
            <w:rFonts w:ascii="Times New Roman" w:eastAsia="Times New Roman" w:hAnsi="Times New Roman" w:cs="Times New Roman"/>
            <w:color w:val="1155CC"/>
            <w:sz w:val="20"/>
            <w:szCs w:val="20"/>
            <w:u w:val="single"/>
          </w:rPr>
          <w:t>https://adlisicil.adalet.gov.tr/Home/SayfaDetay/adl-istatistikler-yayin-arsivi</w:t>
        </w:r>
      </w:hyperlink>
      <w:r w:rsidRPr="003A646E">
        <w:rPr>
          <w:rFonts w:ascii="Times New Roman" w:eastAsia="Times New Roman" w:hAnsi="Times New Roman" w:cs="Times New Roman"/>
          <w:sz w:val="20"/>
          <w:szCs w:val="20"/>
        </w:rPr>
        <w:t xml:space="preserve"> </w:t>
      </w:r>
    </w:p>
  </w:footnote>
  <w:footnote w:id="19">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r w:rsidRPr="003A646E">
        <w:rPr>
          <w:rFonts w:ascii="Times New Roman" w:eastAsia="Times New Roman" w:hAnsi="Times New Roman" w:cs="Times New Roman"/>
          <w:sz w:val="20"/>
          <w:szCs w:val="20"/>
        </w:rPr>
        <w:t>For detailed statistics, see Annex-1.</w:t>
      </w:r>
    </w:p>
  </w:footnote>
  <w:footnote w:id="20">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16">
        <w:r w:rsidRPr="003A646E">
          <w:rPr>
            <w:rFonts w:ascii="Times New Roman" w:eastAsia="Times New Roman" w:hAnsi="Times New Roman" w:cs="Times New Roman"/>
            <w:color w:val="1155CC"/>
            <w:sz w:val="20"/>
            <w:szCs w:val="20"/>
            <w:u w:val="single"/>
          </w:rPr>
          <w:t>https://www.sondakika.com/haber/haber-kamu-basdenetcisi-malkoc-18-yasindan-kucuklere-14889396/</w:t>
        </w:r>
      </w:hyperlink>
      <w:r w:rsidRPr="003A646E">
        <w:rPr>
          <w:rFonts w:ascii="Times New Roman" w:eastAsia="Times New Roman" w:hAnsi="Times New Roman" w:cs="Times New Roman"/>
          <w:sz w:val="20"/>
          <w:szCs w:val="20"/>
        </w:rPr>
        <w:t xml:space="preserve"> </w:t>
      </w:r>
    </w:p>
  </w:footnote>
  <w:footnote w:id="21">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r w:rsidRPr="003A646E">
        <w:rPr>
          <w:rFonts w:ascii="Times New Roman" w:eastAsia="Times New Roman" w:hAnsi="Times New Roman" w:cs="Times New Roman"/>
          <w:sz w:val="20"/>
          <w:szCs w:val="20"/>
        </w:rPr>
        <w:t xml:space="preserve">The Law on Associations, Article 3, </w:t>
      </w:r>
      <w:hyperlink r:id="rId17">
        <w:r w:rsidRPr="003A646E">
          <w:rPr>
            <w:rFonts w:ascii="Times New Roman" w:eastAsia="Times New Roman" w:hAnsi="Times New Roman" w:cs="Times New Roman"/>
            <w:color w:val="1155CC"/>
            <w:sz w:val="20"/>
            <w:szCs w:val="20"/>
            <w:u w:val="single"/>
          </w:rPr>
          <w:t>https://www.mevzuat.gov.tr/MevzuatMetin/1.5.5253.pdf</w:t>
        </w:r>
      </w:hyperlink>
      <w:r w:rsidRPr="003A646E">
        <w:rPr>
          <w:rFonts w:ascii="Times New Roman" w:eastAsia="Times New Roman" w:hAnsi="Times New Roman" w:cs="Times New Roman"/>
          <w:sz w:val="20"/>
          <w:szCs w:val="20"/>
        </w:rPr>
        <w:t xml:space="preserve"> </w:t>
      </w:r>
    </w:p>
  </w:footnote>
  <w:footnote w:id="22">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18">
        <w:r w:rsidRPr="003A646E">
          <w:rPr>
            <w:rFonts w:ascii="Times New Roman" w:eastAsia="Times New Roman" w:hAnsi="Times New Roman" w:cs="Times New Roman"/>
            <w:color w:val="1155CC"/>
            <w:sz w:val="20"/>
            <w:szCs w:val="20"/>
            <w:u w:val="single"/>
          </w:rPr>
          <w:t>https://www.siviltoplum.gov.tr/derneklerin-faaliyet-alanlarina-gore-dagilimi</w:t>
        </w:r>
      </w:hyperlink>
      <w:r w:rsidRPr="003A646E">
        <w:rPr>
          <w:rFonts w:ascii="Times New Roman" w:eastAsia="Times New Roman" w:hAnsi="Times New Roman" w:cs="Times New Roman"/>
          <w:sz w:val="20"/>
          <w:szCs w:val="20"/>
        </w:rPr>
        <w:t xml:space="preserve"> </w:t>
      </w:r>
    </w:p>
  </w:footnote>
  <w:footnote w:id="23">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Times New Roman" w:hAnsi="Times New Roman" w:cs="Times New Roman"/>
          <w:sz w:val="20"/>
          <w:szCs w:val="20"/>
        </w:rPr>
        <w:t xml:space="preserve"> </w:t>
      </w:r>
      <w:hyperlink r:id="rId19">
        <w:r w:rsidRPr="003A646E">
          <w:rPr>
            <w:rFonts w:ascii="Times New Roman" w:eastAsia="Times New Roman" w:hAnsi="Times New Roman" w:cs="Times New Roman"/>
            <w:color w:val="1155CC"/>
            <w:sz w:val="20"/>
            <w:szCs w:val="20"/>
            <w:u w:val="single"/>
          </w:rPr>
          <w:t>http://www.unesco.org/languages-atlas/index.php</w:t>
        </w:r>
      </w:hyperlink>
    </w:p>
  </w:footnote>
  <w:footnote w:id="24">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hyperlink r:id="rId20">
        <w:r w:rsidRPr="003A646E">
          <w:rPr>
            <w:rFonts w:ascii="Times New Roman" w:eastAsia="Times New Roman" w:hAnsi="Times New Roman" w:cs="Times New Roman"/>
            <w:color w:val="1155CC"/>
            <w:sz w:val="20"/>
            <w:szCs w:val="20"/>
            <w:u w:val="single"/>
          </w:rPr>
          <w:t>https://bianet.org/system/uploads/1/files/attachments/000/003/396/original/Anadili_I%CC%87zlenmesi_raporu_son.pdf?1622022697</w:t>
        </w:r>
      </w:hyperlink>
    </w:p>
  </w:footnote>
  <w:footnote w:id="25">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Times New Roman" w:hAnsi="Times New Roman" w:cs="Times New Roman"/>
          <w:sz w:val="20"/>
          <w:szCs w:val="20"/>
        </w:rPr>
        <w:t xml:space="preserve"> </w:t>
      </w:r>
      <w:hyperlink r:id="rId21">
        <w:r w:rsidRPr="003A646E">
          <w:rPr>
            <w:rFonts w:ascii="Times New Roman" w:eastAsia="Times New Roman" w:hAnsi="Times New Roman" w:cs="Times New Roman"/>
            <w:color w:val="0563C1"/>
            <w:sz w:val="20"/>
            <w:szCs w:val="20"/>
            <w:u w:val="single"/>
          </w:rPr>
          <w:t>https://www.gazeteduvar.com.tr/hdp-arastirma-istedi-kurtce-secen-ogrenci-sayisi-5-yilda-56-bin-azaldi-haber-1552611</w:t>
        </w:r>
      </w:hyperlink>
      <w:r w:rsidRPr="003A646E">
        <w:rPr>
          <w:rFonts w:ascii="Times New Roman" w:eastAsia="Times New Roman" w:hAnsi="Times New Roman" w:cs="Times New Roman"/>
          <w:sz w:val="20"/>
          <w:szCs w:val="20"/>
        </w:rPr>
        <w:t xml:space="preserve"> </w:t>
      </w:r>
    </w:p>
  </w:footnote>
  <w:footnote w:id="26">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Times New Roman" w:hAnsi="Times New Roman" w:cs="Times New Roman"/>
          <w:sz w:val="20"/>
          <w:szCs w:val="20"/>
        </w:rPr>
        <w:t xml:space="preserve"> </w:t>
      </w:r>
      <w:hyperlink r:id="rId22">
        <w:r w:rsidRPr="003A646E">
          <w:rPr>
            <w:rFonts w:ascii="Times New Roman" w:eastAsia="Times New Roman" w:hAnsi="Times New Roman" w:cs="Times New Roman"/>
            <w:color w:val="1155CC"/>
            <w:sz w:val="20"/>
            <w:szCs w:val="20"/>
            <w:u w:val="single"/>
          </w:rPr>
          <w:t>https://m.bianet.org/bianet/insan-haklari/183823-yasayan-diller-ve-lehceler-dersi-ve-anadilinde-egitim-hakki</w:t>
        </w:r>
      </w:hyperlink>
    </w:p>
  </w:footnote>
  <w:footnote w:id="27">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23">
        <w:r w:rsidRPr="003A646E">
          <w:rPr>
            <w:rFonts w:ascii="Times New Roman" w:eastAsia="Times New Roman" w:hAnsi="Times New Roman" w:cs="Times New Roman"/>
            <w:color w:val="1155CC"/>
            <w:sz w:val="20"/>
            <w:szCs w:val="20"/>
            <w:u w:val="single"/>
          </w:rPr>
          <w:t>https://www.agos.com.tr/tr/yazi/17730/zarokistana-turkce-darbesi</w:t>
        </w:r>
      </w:hyperlink>
      <w:r w:rsidRPr="003A646E">
        <w:rPr>
          <w:rFonts w:ascii="Times New Roman" w:eastAsia="Times New Roman" w:hAnsi="Times New Roman" w:cs="Times New Roman"/>
          <w:sz w:val="20"/>
          <w:szCs w:val="20"/>
        </w:rPr>
        <w:t xml:space="preserve">; </w:t>
      </w:r>
      <w:hyperlink r:id="rId24">
        <w:r w:rsidRPr="003A646E">
          <w:rPr>
            <w:rFonts w:ascii="Times New Roman" w:eastAsia="Times New Roman" w:hAnsi="Times New Roman" w:cs="Times New Roman"/>
            <w:color w:val="1155CC"/>
            <w:sz w:val="20"/>
            <w:szCs w:val="20"/>
            <w:u w:val="single"/>
          </w:rPr>
          <w:t>https://www.demokrathaber.org/kurtce-egitim-veren-kres-ve-cocuk-oyun-odasi-kapatild</w:t>
        </w:r>
      </w:hyperlink>
      <w:hyperlink r:id="rId25">
        <w:r w:rsidRPr="003A646E">
          <w:rPr>
            <w:rFonts w:ascii="Times New Roman" w:eastAsia="Times New Roman" w:hAnsi="Times New Roman" w:cs="Times New Roman"/>
            <w:color w:val="0000FF"/>
            <w:sz w:val="20"/>
            <w:szCs w:val="20"/>
            <w:u w:val="single"/>
          </w:rPr>
          <w:t>i</w:t>
        </w:r>
      </w:hyperlink>
    </w:p>
  </w:footnote>
  <w:footnote w:id="28">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26">
        <w:r w:rsidRPr="003A646E">
          <w:rPr>
            <w:rFonts w:ascii="Times New Roman" w:eastAsia="Times New Roman" w:hAnsi="Times New Roman" w:cs="Times New Roman"/>
            <w:color w:val="0563C1"/>
            <w:sz w:val="20"/>
            <w:szCs w:val="20"/>
            <w:u w:val="single"/>
          </w:rPr>
          <w:t>https://sgb.meb.gov.tr/www/resmi-istatistikler/icerik/</w:t>
        </w:r>
      </w:hyperlink>
    </w:p>
  </w:footnote>
  <w:footnote w:id="29">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27">
        <w:r w:rsidRPr="003A646E">
          <w:rPr>
            <w:rFonts w:ascii="Times New Roman" w:eastAsia="Times New Roman" w:hAnsi="Times New Roman" w:cs="Times New Roman"/>
            <w:color w:val="0563C1"/>
            <w:sz w:val="20"/>
            <w:szCs w:val="20"/>
            <w:u w:val="single"/>
          </w:rPr>
          <w:t>https://www.egitimreformugirisimi.org/wp-content/uploads/2017/03/EIR_2017_2018_29.11.18.pdf</w:t>
        </w:r>
      </w:hyperlink>
    </w:p>
  </w:footnote>
  <w:footnote w:id="30">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28">
        <w:r w:rsidRPr="003A646E">
          <w:rPr>
            <w:rFonts w:ascii="Times New Roman" w:eastAsia="Times New Roman" w:hAnsi="Times New Roman" w:cs="Times New Roman"/>
            <w:color w:val="1155CC"/>
            <w:sz w:val="20"/>
            <w:szCs w:val="20"/>
            <w:u w:val="single"/>
          </w:rPr>
          <w:t>https://bianet.org/cocuk/insan-haklari/170555-362-bin-ogrencinin-%20egitim-hakki-gaspedild</w:t>
        </w:r>
      </w:hyperlink>
    </w:p>
  </w:footnote>
  <w:footnote w:id="31">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eastAsia="Times New Roman" w:hAnsi="Times New Roman" w:cs="Times New Roman"/>
          <w:sz w:val="20"/>
          <w:szCs w:val="20"/>
        </w:rPr>
        <w:t xml:space="preserve"> </w:t>
      </w:r>
      <w:hyperlink r:id="rId29">
        <w:r w:rsidRPr="003A646E">
          <w:rPr>
            <w:rFonts w:ascii="Times New Roman" w:eastAsia="Times New Roman" w:hAnsi="Times New Roman" w:cs="Times New Roman"/>
            <w:color w:val="1155CC"/>
            <w:sz w:val="20"/>
            <w:szCs w:val="20"/>
            <w:u w:val="single"/>
          </w:rPr>
          <w:t>https://t24.com.tr/haber/diyarbakirda-bir-binada-bes-okul,336245</w:t>
        </w:r>
      </w:hyperlink>
      <w:r w:rsidRPr="003A646E">
        <w:rPr>
          <w:rFonts w:ascii="Times New Roman" w:eastAsia="Times New Roman" w:hAnsi="Times New Roman" w:cs="Times New Roman"/>
          <w:sz w:val="20"/>
          <w:szCs w:val="20"/>
        </w:rPr>
        <w:t xml:space="preserve"> </w:t>
      </w:r>
    </w:p>
  </w:footnote>
  <w:footnote w:id="32">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30">
        <w:r w:rsidRPr="003A646E">
          <w:rPr>
            <w:rFonts w:ascii="Times New Roman" w:eastAsia="Times New Roman" w:hAnsi="Times New Roman" w:cs="Times New Roman"/>
            <w:color w:val="1155CC"/>
            <w:sz w:val="20"/>
            <w:szCs w:val="20"/>
            <w:u w:val="single"/>
          </w:rPr>
          <w:t>https://www.ihd.org.tr/wp-content/uploads/2016/04/Cizre-G%C3%B6zlem-Raporu_31-Mart2016.pdf</w:t>
        </w:r>
      </w:hyperlink>
      <w:r w:rsidRPr="003A646E">
        <w:rPr>
          <w:rFonts w:ascii="Times New Roman" w:eastAsia="Times New Roman" w:hAnsi="Times New Roman" w:cs="Times New Roman"/>
          <w:sz w:val="20"/>
          <w:szCs w:val="20"/>
        </w:rPr>
        <w:t xml:space="preserve"> </w:t>
      </w:r>
    </w:p>
  </w:footnote>
  <w:footnote w:id="33">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31">
        <w:r w:rsidRPr="003A646E">
          <w:rPr>
            <w:rFonts w:ascii="Times New Roman" w:eastAsia="Times New Roman" w:hAnsi="Times New Roman" w:cs="Times New Roman"/>
            <w:color w:val="1155CC"/>
            <w:sz w:val="20"/>
            <w:szCs w:val="20"/>
            <w:u w:val="single"/>
          </w:rPr>
          <w:t>https://www.haberler.com/guncel/canakkale-deki-okulda-roman-cocuklarin-tek-sinifta-5110007-haberi/</w:t>
        </w:r>
      </w:hyperlink>
    </w:p>
  </w:footnote>
  <w:footnote w:id="34">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32">
        <w:r w:rsidRPr="003A646E">
          <w:rPr>
            <w:rFonts w:ascii="Times New Roman" w:eastAsia="Times New Roman" w:hAnsi="Times New Roman" w:cs="Times New Roman"/>
            <w:color w:val="1155CC"/>
            <w:sz w:val="20"/>
            <w:szCs w:val="20"/>
            <w:u w:val="single"/>
          </w:rPr>
          <w:t>https://www.kirkayak.org/wp-content/uploads/2020/09/Okumusluk-ele-gecmez_TR_e-2.pdf</w:t>
        </w:r>
      </w:hyperlink>
    </w:p>
  </w:footnote>
  <w:footnote w:id="35">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33">
        <w:r w:rsidRPr="003A646E">
          <w:rPr>
            <w:rFonts w:ascii="Times New Roman" w:eastAsia="Times New Roman" w:hAnsi="Times New Roman" w:cs="Times New Roman"/>
            <w:color w:val="1155CC"/>
            <w:sz w:val="20"/>
            <w:szCs w:val="20"/>
            <w:u w:val="single"/>
          </w:rPr>
          <w:t>https://www.edirnetv.com/edirne/yerel/gazi-ilkokulu-yikildi/</w:t>
        </w:r>
      </w:hyperlink>
      <w:r w:rsidRPr="003A646E">
        <w:rPr>
          <w:rFonts w:ascii="Times New Roman" w:eastAsia="Times New Roman" w:hAnsi="Times New Roman" w:cs="Times New Roman"/>
          <w:sz w:val="20"/>
          <w:szCs w:val="20"/>
        </w:rPr>
        <w:t xml:space="preserve"> </w:t>
      </w:r>
      <w:hyperlink r:id="rId34">
        <w:r w:rsidRPr="003A646E">
          <w:rPr>
            <w:rFonts w:ascii="Times New Roman" w:eastAsia="Times New Roman" w:hAnsi="Times New Roman" w:cs="Times New Roman"/>
            <w:color w:val="1155CC"/>
            <w:sz w:val="20"/>
            <w:szCs w:val="20"/>
            <w:u w:val="single"/>
          </w:rPr>
          <w:t>https://www.hurriyet.com.tr/gundem/bitsin-bu-kolelik-aileler-desteklensin-kiz-cocuklari-okutulsun-40993370</w:t>
        </w:r>
      </w:hyperlink>
    </w:p>
  </w:footnote>
  <w:footnote w:id="36">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35">
        <w:r w:rsidRPr="003A646E">
          <w:rPr>
            <w:rFonts w:ascii="Times New Roman" w:eastAsia="Times New Roman" w:hAnsi="Times New Roman" w:cs="Times New Roman"/>
            <w:color w:val="1155CC"/>
            <w:sz w:val="20"/>
            <w:szCs w:val="20"/>
            <w:u w:val="single"/>
          </w:rPr>
          <w:t>https://www.stgm.org.tr/sites/default/files/2020-09/gormezlikten-gelinen-esitsizlik-turkiyede-romanlarin-barinma-ve-egitim-hakkina-erisimi-raporu.pdf</w:t>
        </w:r>
      </w:hyperlink>
      <w:r w:rsidRPr="003A646E">
        <w:rPr>
          <w:rFonts w:ascii="Times New Roman" w:eastAsia="Times New Roman" w:hAnsi="Times New Roman" w:cs="Times New Roman"/>
          <w:sz w:val="20"/>
          <w:szCs w:val="20"/>
        </w:rPr>
        <w:t xml:space="preserve"> </w:t>
      </w:r>
    </w:p>
  </w:footnote>
  <w:footnote w:id="37">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36" w:anchor=":~:text=18%20May%C4%B1s%202022%20tarihinde%20G%C3%B6%C3%A7,yabanc%C4%B1%20uyruklu%20ki%C5%9Fi%20oldu%C4%9Fu%20belirtildi">
        <w:r w:rsidRPr="003A646E">
          <w:rPr>
            <w:rFonts w:ascii="Times New Roman" w:eastAsia="Times New Roman" w:hAnsi="Times New Roman" w:cs="Times New Roman"/>
            <w:color w:val="1155CC"/>
            <w:sz w:val="20"/>
            <w:szCs w:val="20"/>
            <w:u w:val="single"/>
          </w:rPr>
          <w:t>https://multeciler.org.tr/turkiyedeki-suriyeli-sayisi/#:~:text=18%20May%C4%B1s%202022%20tarihinde%20G%C3%B6%C3%A7,yabanc%C4%B1%20uyruklu%20ki%C5%9Fi%20oldu%C4%9Fu%20belirtildi</w:t>
        </w:r>
      </w:hyperlink>
    </w:p>
  </w:footnote>
  <w:footnote w:id="38">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37">
        <w:r w:rsidRPr="003A646E">
          <w:rPr>
            <w:rFonts w:ascii="Times New Roman" w:eastAsia="Times New Roman" w:hAnsi="Times New Roman" w:cs="Times New Roman"/>
            <w:color w:val="1155CC"/>
            <w:sz w:val="20"/>
            <w:szCs w:val="20"/>
            <w:u w:val="single"/>
          </w:rPr>
          <w:t>https://www.unicef.org/turkiye/sites/unicef.org.turkey/files/2020-06/UNICEF%202019%20Y%C4%B1ll%C4%B1k%20Faaliyet%20Raporu_1.pdf</w:t>
        </w:r>
      </w:hyperlink>
    </w:p>
  </w:footnote>
  <w:footnote w:id="39">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38">
        <w:r w:rsidRPr="003A646E">
          <w:rPr>
            <w:rFonts w:ascii="Times New Roman" w:eastAsia="Times New Roman" w:hAnsi="Times New Roman" w:cs="Times New Roman"/>
            <w:color w:val="1155CC"/>
            <w:sz w:val="20"/>
            <w:szCs w:val="20"/>
            <w:u w:val="single"/>
          </w:rPr>
          <w:t>https://medium.com/hariciye/s%C4%B1%C4%9F%C4%B1nmac%C4%B1-%C3%A7ocuklar-ve-t%C3%BCrkiyede-e%C4%9Fitim-32b359754b2a</w:t>
        </w:r>
      </w:hyperlink>
    </w:p>
  </w:footnote>
  <w:footnote w:id="40">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39">
        <w:r w:rsidRPr="003A646E">
          <w:rPr>
            <w:rFonts w:ascii="Times New Roman" w:eastAsia="Times New Roman" w:hAnsi="Times New Roman" w:cs="Times New Roman"/>
            <w:color w:val="1155CC"/>
            <w:sz w:val="20"/>
            <w:szCs w:val="20"/>
            <w:u w:val="single"/>
          </w:rPr>
          <w:t>https://www.gazeteduvar.com.tr/771-bin-siginmaci-cocuk-okula-gidiyor-428-binden-fazlasi-egitime-erisemiyor-haber-1535151</w:t>
        </w:r>
      </w:hyperlink>
    </w:p>
  </w:footnote>
  <w:footnote w:id="41">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40">
        <w:r w:rsidRPr="003A646E">
          <w:rPr>
            <w:rFonts w:ascii="Times New Roman" w:eastAsia="Times New Roman" w:hAnsi="Times New Roman" w:cs="Times New Roman"/>
            <w:color w:val="1155CC"/>
            <w:sz w:val="20"/>
            <w:szCs w:val="20"/>
            <w:u w:val="single"/>
          </w:rPr>
          <w:t>http://mevzuat.meb.gov.tr/dosyalar/1715.pdf</w:t>
        </w:r>
      </w:hyperlink>
    </w:p>
  </w:footnote>
  <w:footnote w:id="42">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41">
        <w:r w:rsidRPr="003A646E">
          <w:rPr>
            <w:rFonts w:ascii="Times New Roman" w:eastAsia="Times New Roman" w:hAnsi="Times New Roman" w:cs="Times New Roman"/>
            <w:color w:val="1155CC"/>
            <w:sz w:val="20"/>
            <w:szCs w:val="20"/>
            <w:u w:val="single"/>
          </w:rPr>
          <w:t>https://sgb.meb.gov.tr/meb_iys_dosyalar/2015_09/10052958_10.09.2015sp17.15imzasz.pdf</w:t>
        </w:r>
      </w:hyperlink>
    </w:p>
    <w:p w:rsidR="005E2D54" w:rsidRPr="003A646E" w:rsidRDefault="005E2D54">
      <w:pPr>
        <w:spacing w:line="240" w:lineRule="auto"/>
        <w:rPr>
          <w:rFonts w:ascii="Times New Roman" w:hAnsi="Times New Roman" w:cs="Times New Roman"/>
          <w:sz w:val="20"/>
          <w:szCs w:val="20"/>
        </w:rPr>
      </w:pPr>
    </w:p>
  </w:footnote>
  <w:footnote w:id="43">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42">
        <w:r w:rsidRPr="003A646E">
          <w:rPr>
            <w:rFonts w:ascii="Times New Roman" w:eastAsia="Times New Roman" w:hAnsi="Times New Roman" w:cs="Times New Roman"/>
            <w:color w:val="1155CC"/>
            <w:sz w:val="20"/>
            <w:szCs w:val="20"/>
            <w:u w:val="single"/>
          </w:rPr>
          <w:t>http://www.egitimis.org.tr/guncel/sendika-haberleri/iste-din-kulturu-ve-ahlak-bilgisi-taslak-mufredati-2457/</w:t>
        </w:r>
      </w:hyperlink>
      <w:r w:rsidRPr="003A646E">
        <w:rPr>
          <w:rFonts w:ascii="Times New Roman" w:eastAsia="Times New Roman" w:hAnsi="Times New Roman" w:cs="Times New Roman"/>
          <w:sz w:val="20"/>
          <w:szCs w:val="20"/>
        </w:rPr>
        <w:t xml:space="preserve">; </w:t>
      </w:r>
      <w:hyperlink r:id="rId43">
        <w:r w:rsidRPr="003A646E">
          <w:rPr>
            <w:rFonts w:ascii="Times New Roman" w:eastAsia="Times New Roman" w:hAnsi="Times New Roman" w:cs="Times New Roman"/>
            <w:color w:val="1155CC"/>
            <w:sz w:val="20"/>
            <w:szCs w:val="20"/>
            <w:u w:val="single"/>
          </w:rPr>
          <w:t>https://www.birgun.net/haber/din-kulturu-ve-ahlak-bilgisi-kitaplarinda-yine-skandal-ifadeler-90537</w:t>
        </w:r>
      </w:hyperlink>
    </w:p>
  </w:footnote>
  <w:footnote w:id="44">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44">
        <w:r w:rsidRPr="003A646E">
          <w:rPr>
            <w:rFonts w:ascii="Times New Roman" w:eastAsia="Times New Roman" w:hAnsi="Times New Roman" w:cs="Times New Roman"/>
            <w:color w:val="1155CC"/>
            <w:sz w:val="20"/>
            <w:szCs w:val="20"/>
            <w:u w:val="single"/>
          </w:rPr>
          <w:t>https://www.esithaklar.org/wp-content/uploads/2021/02/Tu%CC%88rkiyede-Zorunlu-Din-Eg%CC%86itimi.pdf</w:t>
        </w:r>
      </w:hyperlink>
    </w:p>
  </w:footnote>
  <w:footnote w:id="45">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45">
        <w:r w:rsidRPr="003A646E">
          <w:rPr>
            <w:rFonts w:ascii="Times New Roman" w:eastAsia="Times New Roman" w:hAnsi="Times New Roman" w:cs="Times New Roman"/>
            <w:color w:val="1155CC"/>
            <w:sz w:val="20"/>
            <w:szCs w:val="20"/>
            <w:u w:val="single"/>
          </w:rPr>
          <w:t>https://www.esithaklar.org/wp-content/uploads/2021/02/Tu%CC%88rkiyede-Zorunlu-Din-Eg%CC%86itimi.pdf</w:t>
        </w:r>
      </w:hyperlink>
    </w:p>
    <w:p w:rsidR="005E2D54" w:rsidRPr="003A646E" w:rsidRDefault="005E2D54">
      <w:pPr>
        <w:spacing w:line="240" w:lineRule="auto"/>
        <w:rPr>
          <w:rFonts w:ascii="Times New Roman" w:hAnsi="Times New Roman" w:cs="Times New Roman"/>
          <w:sz w:val="20"/>
          <w:szCs w:val="20"/>
        </w:rPr>
      </w:pPr>
    </w:p>
  </w:footnote>
  <w:footnote w:id="46">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46">
        <w:r w:rsidRPr="003A646E">
          <w:rPr>
            <w:rFonts w:ascii="Times New Roman" w:eastAsia="Times New Roman" w:hAnsi="Times New Roman" w:cs="Times New Roman"/>
            <w:color w:val="0000FF"/>
            <w:sz w:val="20"/>
            <w:szCs w:val="20"/>
            <w:u w:val="single"/>
          </w:rPr>
          <w:t>https://ankahaber.net/haber/detay/sma_hastasi_egemen_bebegin_ailesinden_yardim_cagrisi_84013</w:t>
        </w:r>
      </w:hyperlink>
    </w:p>
  </w:footnote>
  <w:footnote w:id="47">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47">
        <w:r w:rsidRPr="003A646E">
          <w:rPr>
            <w:rFonts w:ascii="Times New Roman" w:eastAsia="Times New Roman" w:hAnsi="Times New Roman" w:cs="Times New Roman"/>
            <w:color w:val="1155CC"/>
            <w:sz w:val="20"/>
            <w:szCs w:val="20"/>
            <w:u w:val="single"/>
          </w:rPr>
          <w:t>http://www.sp.gov.tr/upload/xSPTemelBelge/files/qzEC8+erisilebilir-ulasim-stratejisi-ve-eylem-plani.pdf</w:t>
        </w:r>
      </w:hyperlink>
      <w:r w:rsidRPr="003A646E">
        <w:rPr>
          <w:rFonts w:ascii="Times New Roman" w:eastAsia="Times New Roman" w:hAnsi="Times New Roman" w:cs="Times New Roman"/>
          <w:sz w:val="20"/>
          <w:szCs w:val="20"/>
        </w:rPr>
        <w:t xml:space="preserve"> </w:t>
      </w:r>
    </w:p>
  </w:footnote>
  <w:footnote w:id="48">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48">
        <w:r w:rsidRPr="003A646E">
          <w:rPr>
            <w:rFonts w:ascii="Times New Roman" w:eastAsia="Times New Roman" w:hAnsi="Times New Roman" w:cs="Times New Roman"/>
            <w:color w:val="1155CC"/>
            <w:sz w:val="20"/>
            <w:szCs w:val="20"/>
            <w:u w:val="single"/>
          </w:rPr>
          <w:t>https://www.milliyet.com.tr/yerel-haberler/gaziantep/zihinsel-engelli-cocugun-okul-hayaline-servis-engeli-13117122</w:t>
        </w:r>
      </w:hyperlink>
      <w:r w:rsidRPr="003A646E">
        <w:rPr>
          <w:rFonts w:ascii="Times New Roman" w:eastAsia="Times New Roman" w:hAnsi="Times New Roman" w:cs="Times New Roman"/>
          <w:sz w:val="20"/>
          <w:szCs w:val="20"/>
        </w:rPr>
        <w:t xml:space="preserve"> </w:t>
      </w:r>
    </w:p>
  </w:footnote>
  <w:footnote w:id="49">
    <w:p w:rsidR="005E2D54" w:rsidRPr="003A646E" w:rsidRDefault="008D3E2E">
      <w:pPr>
        <w:spacing w:line="240" w:lineRule="auto"/>
        <w:rPr>
          <w:rFonts w:ascii="Times New Roman" w:eastAsia="Times New Roman" w:hAnsi="Times New Roman" w:cs="Times New Roman"/>
          <w:sz w:val="20"/>
          <w:szCs w:val="20"/>
        </w:rPr>
      </w:pPr>
      <w:r w:rsidRPr="003A646E">
        <w:rPr>
          <w:rFonts w:ascii="Times New Roman" w:hAnsi="Times New Roman" w:cs="Times New Roman"/>
          <w:sz w:val="20"/>
          <w:szCs w:val="20"/>
          <w:vertAlign w:val="superscript"/>
        </w:rPr>
        <w:footnoteRef/>
      </w:r>
      <w:r w:rsidRPr="003A646E">
        <w:rPr>
          <w:rFonts w:ascii="Times New Roman" w:hAnsi="Times New Roman" w:cs="Times New Roman"/>
          <w:sz w:val="20"/>
          <w:szCs w:val="20"/>
        </w:rPr>
        <w:t xml:space="preserve"> </w:t>
      </w:r>
      <w:hyperlink r:id="rId49">
        <w:r w:rsidRPr="003A646E">
          <w:rPr>
            <w:rFonts w:ascii="Times New Roman" w:eastAsia="Times New Roman" w:hAnsi="Times New Roman" w:cs="Times New Roman"/>
            <w:color w:val="1155CC"/>
            <w:sz w:val="20"/>
            <w:szCs w:val="20"/>
            <w:u w:val="single"/>
          </w:rPr>
          <w:t>https://kronos35.news/tr/engelli-ogrenciye-servis-kamu-zarari-sayildi/</w:t>
        </w:r>
      </w:hyperlink>
      <w:r w:rsidRPr="003A646E">
        <w:rPr>
          <w:rFonts w:ascii="Times New Roman" w:eastAsia="Times New Roman" w:hAnsi="Times New Roman" w:cs="Times New Roman"/>
          <w:sz w:val="20"/>
          <w:szCs w:val="20"/>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D54"/>
    <w:rsid w:val="001D7BFC"/>
    <w:rsid w:val="003A646E"/>
    <w:rsid w:val="005E2D54"/>
    <w:rsid w:val="008D3E2E"/>
    <w:rsid w:val="00BF2D77"/>
    <w:rsid w:val="00C7026E"/>
    <w:rsid w:val="00F30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A676E2-8D92-4722-9D7C-BDE0D69EC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6106"/>
    <w:rPr>
      <w:lang w:val="tr" w:eastAsia="tr-TR"/>
    </w:rPr>
  </w:style>
  <w:style w:type="paragraph" w:styleId="Heading1">
    <w:name w:val="heading 1"/>
    <w:basedOn w:val="Normal"/>
    <w:next w:val="Normal"/>
    <w:link w:val="Heading1Char"/>
    <w:autoRedefine/>
    <w:uiPriority w:val="9"/>
    <w:qFormat/>
    <w:rsid w:val="00F00C8D"/>
    <w:pPr>
      <w:keepNext/>
      <w:keepLines/>
      <w:spacing w:before="240" w:line="240" w:lineRule="auto"/>
      <w:outlineLvl w:val="0"/>
    </w:pPr>
    <w:rPr>
      <w:rFonts w:ascii="Times New Roman" w:eastAsiaTheme="majorEastAsia" w:hAnsi="Times New Roman" w:cstheme="majorBidi"/>
      <w:b/>
      <w:color w:val="000000" w:themeColor="text1"/>
      <w:sz w:val="28"/>
      <w:szCs w:val="32"/>
      <w:u w:val="single"/>
    </w:rPr>
  </w:style>
  <w:style w:type="paragraph" w:styleId="Heading2">
    <w:name w:val="heading 2"/>
    <w:basedOn w:val="Normal"/>
    <w:next w:val="Normal"/>
    <w:link w:val="Heading2Char"/>
    <w:uiPriority w:val="9"/>
    <w:semiHidden/>
    <w:unhideWhenUsed/>
    <w:qFormat/>
    <w:rsid w:val="0007113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pPr>
      <w:keepNext/>
      <w:keepLines/>
      <w:spacing w:before="40" w:after="200"/>
      <w:jc w:val="both"/>
      <w:outlineLvl w:val="2"/>
    </w:pPr>
    <w:rPr>
      <w:rFonts w:ascii="Times New Roman" w:eastAsia="Times New Roman" w:hAnsi="Times New Roman" w:cs="Times New Roman"/>
      <w:b/>
      <w:color w:val="0A0A0A"/>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F00C8D"/>
    <w:rPr>
      <w:rFonts w:ascii="Times New Roman" w:eastAsiaTheme="majorEastAsia" w:hAnsi="Times New Roman" w:cstheme="majorBidi"/>
      <w:b/>
      <w:color w:val="000000" w:themeColor="text1"/>
      <w:sz w:val="28"/>
      <w:szCs w:val="32"/>
      <w:u w:val="single"/>
    </w:rPr>
  </w:style>
  <w:style w:type="paragraph" w:styleId="CommentText">
    <w:name w:val="annotation text"/>
    <w:basedOn w:val="Normal"/>
    <w:link w:val="CommentTextChar"/>
    <w:uiPriority w:val="99"/>
    <w:unhideWhenUsed/>
    <w:rsid w:val="005E6106"/>
    <w:pPr>
      <w:spacing w:line="240" w:lineRule="auto"/>
    </w:pPr>
    <w:rPr>
      <w:sz w:val="20"/>
      <w:szCs w:val="20"/>
    </w:rPr>
  </w:style>
  <w:style w:type="character" w:customStyle="1" w:styleId="CommentTextChar">
    <w:name w:val="Comment Text Char"/>
    <w:basedOn w:val="DefaultParagraphFont"/>
    <w:link w:val="CommentText"/>
    <w:uiPriority w:val="99"/>
    <w:rsid w:val="005E6106"/>
    <w:rPr>
      <w:rFonts w:ascii="Arial" w:eastAsia="Arial" w:hAnsi="Arial" w:cs="Arial"/>
      <w:sz w:val="20"/>
      <w:szCs w:val="20"/>
      <w:lang w:val="tr" w:eastAsia="tr-TR"/>
    </w:rPr>
  </w:style>
  <w:style w:type="character" w:styleId="CommentReference">
    <w:name w:val="annotation reference"/>
    <w:basedOn w:val="DefaultParagraphFont"/>
    <w:uiPriority w:val="99"/>
    <w:semiHidden/>
    <w:unhideWhenUsed/>
    <w:rsid w:val="005E6106"/>
    <w:rPr>
      <w:sz w:val="16"/>
      <w:szCs w:val="16"/>
    </w:rPr>
  </w:style>
  <w:style w:type="character" w:styleId="Hyperlink">
    <w:name w:val="Hyperlink"/>
    <w:basedOn w:val="DefaultParagraphFont"/>
    <w:uiPriority w:val="99"/>
    <w:unhideWhenUsed/>
    <w:rsid w:val="005E6106"/>
    <w:rPr>
      <w:color w:val="0563C1" w:themeColor="hyperlink"/>
      <w:u w:val="single"/>
    </w:rPr>
  </w:style>
  <w:style w:type="paragraph" w:styleId="ListParagraph">
    <w:name w:val="List Paragraph"/>
    <w:basedOn w:val="Normal"/>
    <w:uiPriority w:val="34"/>
    <w:qFormat/>
    <w:rsid w:val="005E6106"/>
    <w:pPr>
      <w:ind w:left="720"/>
      <w:contextualSpacing/>
    </w:pPr>
  </w:style>
  <w:style w:type="paragraph" w:styleId="FootnoteText">
    <w:name w:val="footnote text"/>
    <w:basedOn w:val="Normal"/>
    <w:link w:val="FootnoteTextChar"/>
    <w:uiPriority w:val="99"/>
    <w:semiHidden/>
    <w:unhideWhenUsed/>
    <w:rsid w:val="005E6106"/>
    <w:pPr>
      <w:spacing w:line="240" w:lineRule="auto"/>
    </w:pPr>
    <w:rPr>
      <w:sz w:val="20"/>
      <w:szCs w:val="20"/>
    </w:rPr>
  </w:style>
  <w:style w:type="character" w:customStyle="1" w:styleId="FootnoteTextChar">
    <w:name w:val="Footnote Text Char"/>
    <w:basedOn w:val="DefaultParagraphFont"/>
    <w:link w:val="FootnoteText"/>
    <w:uiPriority w:val="99"/>
    <w:semiHidden/>
    <w:rsid w:val="005E6106"/>
    <w:rPr>
      <w:rFonts w:ascii="Arial" w:eastAsia="Arial" w:hAnsi="Arial" w:cs="Arial"/>
      <w:sz w:val="20"/>
      <w:szCs w:val="20"/>
      <w:lang w:val="tr" w:eastAsia="tr-TR"/>
    </w:rPr>
  </w:style>
  <w:style w:type="character" w:styleId="FootnoteReference">
    <w:name w:val="footnote reference"/>
    <w:basedOn w:val="DefaultParagraphFont"/>
    <w:uiPriority w:val="99"/>
    <w:semiHidden/>
    <w:unhideWhenUsed/>
    <w:rsid w:val="005E6106"/>
    <w:rPr>
      <w:vertAlign w:val="superscript"/>
    </w:rPr>
  </w:style>
  <w:style w:type="paragraph" w:styleId="BalloonText">
    <w:name w:val="Balloon Text"/>
    <w:basedOn w:val="Normal"/>
    <w:link w:val="BalloonTextChar"/>
    <w:uiPriority w:val="99"/>
    <w:semiHidden/>
    <w:unhideWhenUsed/>
    <w:rsid w:val="005E610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106"/>
    <w:rPr>
      <w:rFonts w:ascii="Segoe UI" w:eastAsia="Arial" w:hAnsi="Segoe UI" w:cs="Segoe UI"/>
      <w:sz w:val="18"/>
      <w:szCs w:val="18"/>
      <w:lang w:val="tr" w:eastAsia="tr-TR"/>
    </w:rPr>
  </w:style>
  <w:style w:type="character" w:customStyle="1" w:styleId="Heading2Char">
    <w:name w:val="Heading 2 Char"/>
    <w:basedOn w:val="DefaultParagraphFont"/>
    <w:link w:val="Heading2"/>
    <w:uiPriority w:val="9"/>
    <w:semiHidden/>
    <w:rsid w:val="00071137"/>
    <w:rPr>
      <w:rFonts w:asciiTheme="majorHAnsi" w:eastAsiaTheme="majorEastAsia" w:hAnsiTheme="majorHAnsi" w:cstheme="majorBidi"/>
      <w:color w:val="2E74B5" w:themeColor="accent1" w:themeShade="BF"/>
      <w:sz w:val="26"/>
      <w:szCs w:val="26"/>
      <w:lang w:val="tr" w:eastAsia="tr-TR"/>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esithaklar.org"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sithaklar@gmail.com"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t24.com.tr/haber/icisleri-bakani-efkan-ala-soy-kodunun-tum-vatandaslar-icin-uygulandigini-soyledi,328285" TargetMode="External"/><Relationship Id="rId18" Type="http://schemas.openxmlformats.org/officeDocument/2006/relationships/hyperlink" Target="https://www.siviltoplum.gov.tr/derneklerin-faaliyet-alanlarina-gore-dagilimi" TargetMode="External"/><Relationship Id="rId26" Type="http://schemas.openxmlformats.org/officeDocument/2006/relationships/hyperlink" Target="https://sgb.meb.gov.tr/www/resmi-istatistikler/icerik/64" TargetMode="External"/><Relationship Id="rId39" Type="http://schemas.openxmlformats.org/officeDocument/2006/relationships/hyperlink" Target="https://www.gazeteduvar.com.tr/771-bin-siginmaci-cocuk-okula-gidiyor-428-binden-fazlasi-egitime-erisemiyor-haber-1535151" TargetMode="External"/><Relationship Id="rId3" Type="http://schemas.openxmlformats.org/officeDocument/2006/relationships/hyperlink" Target="https://insanhaklarieylemplani.adalet.gov.tr/resimler/%C4%B0nsan_Haklar%C4%B1_Eylem_Plan%C4%B1_ve_Uygulama_Takvimi.pdf" TargetMode="External"/><Relationship Id="rId21" Type="http://schemas.openxmlformats.org/officeDocument/2006/relationships/hyperlink" Target="https://www.gazeteduvar.com.tr/hdp-arastirma-istedi-kurtce-secen-ogrenci-sayisi-5-yilda-56-bin-azaldi-haber-1552611" TargetMode="External"/><Relationship Id="rId34" Type="http://schemas.openxmlformats.org/officeDocument/2006/relationships/hyperlink" Target="https://www.hurriyet.com.tr/gundem/bitsin-bu-kolelik-aileler-desteklensin-kiz-cocuklari-okutulsun-40993370" TargetMode="External"/><Relationship Id="rId42" Type="http://schemas.openxmlformats.org/officeDocument/2006/relationships/hyperlink" Target="http://www.egitimis.org.tr/guncel/sendika-haberleri/iste-din-kulturu-ve-ahlak-bilgisi-taslak-mufredati-2457/" TargetMode="External"/><Relationship Id="rId47" Type="http://schemas.openxmlformats.org/officeDocument/2006/relationships/hyperlink" Target="http://www.sp.gov.tr/upload/xSPTemelBelge/files/qzEC8+erisilebilir-ulasim-stratejisi-ve-eylem-plani.pdf" TargetMode="External"/><Relationship Id="rId7" Type="http://schemas.openxmlformats.org/officeDocument/2006/relationships/hyperlink" Target="https://www.hurriyet.com.tr/gundem/son-dakika-karamandaki-dava-basladi-ogretmen-suclamalari-reddetti-40091581" TargetMode="External"/><Relationship Id="rId12" Type="http://schemas.openxmlformats.org/officeDocument/2006/relationships/hyperlink" Target="https://www.turktime.com/haber/Nufus-Iadresi-nde-Fisleme-Skandali/238850" TargetMode="External"/><Relationship Id="rId17" Type="http://schemas.openxmlformats.org/officeDocument/2006/relationships/hyperlink" Target="https://www.mevzuat.gov.tr/MevzuatMetin/1.5.5253.pdf" TargetMode="External"/><Relationship Id="rId25" Type="http://schemas.openxmlformats.org/officeDocument/2006/relationships/hyperlink" Target="https://www.demokrathaber.org/kurtce-egitim-veren-kres-ve-cocuk-oyun-odasi-kapatildi" TargetMode="External"/><Relationship Id="rId33" Type="http://schemas.openxmlformats.org/officeDocument/2006/relationships/hyperlink" Target="https://www.edirnetv.com/edirne/yerel/gazi-ilkokulu-yikildi/" TargetMode="External"/><Relationship Id="rId38" Type="http://schemas.openxmlformats.org/officeDocument/2006/relationships/hyperlink" Target="https://medium.com/hariciye/s%C4%B1%C4%9F%C4%B1nmac%C4%B1-%C3%A7ocuklar-ve-t%C3%BCrkiyede-e%C4%9Fitim-32b359754b2a" TargetMode="External"/><Relationship Id="rId46" Type="http://schemas.openxmlformats.org/officeDocument/2006/relationships/hyperlink" Target="https://ankahaber.net/haber/detay/sma_hastasi_egemen_bebegin_ailesinden_yardim_cagrisi_84013" TargetMode="External"/><Relationship Id="rId2" Type="http://schemas.openxmlformats.org/officeDocument/2006/relationships/hyperlink" Target="https://www.tihek.gov.tr/upload/file_editor/2022/04/1649166369.pdf" TargetMode="External"/><Relationship Id="rId16" Type="http://schemas.openxmlformats.org/officeDocument/2006/relationships/hyperlink" Target="https://www.sondakika.com/haber/haber-kamu-basdenetcisi-malkoc-18-yasindan-kucuklere-14889396/" TargetMode="External"/><Relationship Id="rId20" Type="http://schemas.openxmlformats.org/officeDocument/2006/relationships/hyperlink" Target="https://bianet.org/system/uploads/1/files/attachments/000/003/396/original/Anadili_I%CC%87zlenmesi_raporu_son.pdf?1622022697" TargetMode="External"/><Relationship Id="rId29" Type="http://schemas.openxmlformats.org/officeDocument/2006/relationships/hyperlink" Target="https://t24.com.tr/haber/diyarbakirda-bir-binada-bes-okul,336245" TargetMode="External"/><Relationship Id="rId41" Type="http://schemas.openxmlformats.org/officeDocument/2006/relationships/hyperlink" Target="https://sgb.meb.gov.tr/meb_iys_dosyalar/2015_09/10052958_10.09.2015sp17.15imzasz.pdf" TargetMode="External"/><Relationship Id="rId1" Type="http://schemas.openxmlformats.org/officeDocument/2006/relationships/hyperlink" Target="https://www.stgm.org.tr/cocuk-vakfi-cocuk-haklari-izleme-kurulundan-ayrildi" TargetMode="External"/><Relationship Id="rId6" Type="http://schemas.openxmlformats.org/officeDocument/2006/relationships/hyperlink" Target="https://bianet.org/kurdi/cocuk/186946-aladag-yurt-yangini-davasinda-saniklar-itfaiyeyi-sucladi" TargetMode="External"/><Relationship Id="rId11" Type="http://schemas.openxmlformats.org/officeDocument/2006/relationships/hyperlink" Target="https://www.tihek.gov.tr/upload/file_editor/2021/07/1625566099.pdf" TargetMode="External"/><Relationship Id="rId24" Type="http://schemas.openxmlformats.org/officeDocument/2006/relationships/hyperlink" Target="https://www.demokrathaber.org/kurtce-egitim-veren-kres-ve-cocuk-oyun-odasi-kapatildi" TargetMode="External"/><Relationship Id="rId32" Type="http://schemas.openxmlformats.org/officeDocument/2006/relationships/hyperlink" Target="https://www.kirkayak.org/wp-content/uploads/2020/09/Okumusluk-ele-gecmez_TR_e-2.pdf" TargetMode="External"/><Relationship Id="rId37" Type="http://schemas.openxmlformats.org/officeDocument/2006/relationships/hyperlink" Target="https://www.unicef.org/turkiye/sites/unicef.org.turkey/files/2020-06/UNICEF%202019%20Y%C4%B1ll%C4%B1k%20Faaliyet%20Raporu_1.pdf" TargetMode="External"/><Relationship Id="rId40" Type="http://schemas.openxmlformats.org/officeDocument/2006/relationships/hyperlink" Target="http://mevzuat.meb.gov.tr/dosyalar/1715.pdf" TargetMode="External"/><Relationship Id="rId45" Type="http://schemas.openxmlformats.org/officeDocument/2006/relationships/hyperlink" Target="https://www.esithaklar.org/wp-content/uploads/2021/02/Tu%CC%88rkiyede-Zorunlu-Din-Eg%CC%86itimi.pdf" TargetMode="External"/><Relationship Id="rId5" Type="http://schemas.openxmlformats.org/officeDocument/2006/relationships/hyperlink" Target="https://www.ombudsman.gov.tr/kdk-pdf/kdk-2021-yili-faliyet/mobile/index.html" TargetMode="External"/><Relationship Id="rId15" Type="http://schemas.openxmlformats.org/officeDocument/2006/relationships/hyperlink" Target="https://adlisicil.adalet.gov.tr/Home/SayfaDetay/adl-istatistikler-yayin-arsivi" TargetMode="External"/><Relationship Id="rId23" Type="http://schemas.openxmlformats.org/officeDocument/2006/relationships/hyperlink" Target="https://www.agos.com.tr/tr/yazi/17730/zarokistana-turkce-darbesi" TargetMode="External"/><Relationship Id="rId28" Type="http://schemas.openxmlformats.org/officeDocument/2006/relationships/hyperlink" Target="https://bianet.org/cocuk/insan-haklari/170555-362-bin-ogrencinin-%20egitim-hakki-gaspedild" TargetMode="External"/><Relationship Id="rId36" Type="http://schemas.openxmlformats.org/officeDocument/2006/relationships/hyperlink" Target="https://multeciler.org.tr/turkiyedeki-suriyeli-sayisi/" TargetMode="External"/><Relationship Id="rId49" Type="http://schemas.openxmlformats.org/officeDocument/2006/relationships/hyperlink" Target="https://kronos35.news/tr/engelli-ogrenciye-servis-kamu-zarari-sayildi/" TargetMode="External"/><Relationship Id="rId10" Type="http://schemas.openxmlformats.org/officeDocument/2006/relationships/hyperlink" Target="https://www.tihek.gov.tr/upload/file_editor/2021/07/1625566099.pdf" TargetMode="External"/><Relationship Id="rId19" Type="http://schemas.openxmlformats.org/officeDocument/2006/relationships/hyperlink" Target="http://www.unesco.org/languages-atlas/index.php" TargetMode="External"/><Relationship Id="rId31" Type="http://schemas.openxmlformats.org/officeDocument/2006/relationships/hyperlink" Target="https://www.haberler.com/guncel/canakkale-deki-okulda-roman-cocuklarin-tek-sinifta-5110007-haberi/" TargetMode="External"/><Relationship Id="rId44" Type="http://schemas.openxmlformats.org/officeDocument/2006/relationships/hyperlink" Target="https://www.esithaklar.org/wp-content/uploads/2021/02/Tu%CC%88rkiyede-Zorunlu-Din-Eg%CC%86itimi.pdf" TargetMode="External"/><Relationship Id="rId4" Type="http://schemas.openxmlformats.org/officeDocument/2006/relationships/hyperlink" Target="https://www.kdkcocuk.gov.tr/kdk-pdf/kdk-kararlar-derlemsi.pdf" TargetMode="External"/><Relationship Id="rId9" Type="http://schemas.openxmlformats.org/officeDocument/2006/relationships/hyperlink" Target="https://www.tihek.gov.tr/upload/file_editor/2019/02/1551077280.pdf" TargetMode="External"/><Relationship Id="rId14" Type="http://schemas.openxmlformats.org/officeDocument/2006/relationships/hyperlink" Target="https://www.aile.gov.tr/chgm/haberler/turkiye-cocuk-arastirmasi-calistayi-yapildi/" TargetMode="External"/><Relationship Id="rId22" Type="http://schemas.openxmlformats.org/officeDocument/2006/relationships/hyperlink" Target="https://m.bianet.org/bianet/insan-haklari/183823-yasayan-diller-ve-lehceler-dersi-ve-anadilinde-egitim-hakki" TargetMode="External"/><Relationship Id="rId27" Type="http://schemas.openxmlformats.org/officeDocument/2006/relationships/hyperlink" Target="https://www.egitimreformugirisimi.org/wp-content/uploads/2017/03/EIR_2017_2018_29.11.18.pdf" TargetMode="External"/><Relationship Id="rId30" Type="http://schemas.openxmlformats.org/officeDocument/2006/relationships/hyperlink" Target="https://www.ihd.org.tr/wp-content/uploads/2016/04/Cizre-G%C3%B6zlem-Raporu_31-Mart2016.pdf" TargetMode="External"/><Relationship Id="rId35" Type="http://schemas.openxmlformats.org/officeDocument/2006/relationships/hyperlink" Target="https://www.stgm.org.tr/sites/default/files/2020-09/gormezlikten-gelinen-esitsizlik-turkiyede-romanlarin-barinma-ve-egitim-hakkina-erisimi-raporu.pdf" TargetMode="External"/><Relationship Id="rId43" Type="http://schemas.openxmlformats.org/officeDocument/2006/relationships/hyperlink" Target="https://www.birgun.net/haber/din-kulturu-ve-ahlak-bilgisi-kitaplarinda-yine-skandal-ifadeler-90537" TargetMode="External"/><Relationship Id="rId48" Type="http://schemas.openxmlformats.org/officeDocument/2006/relationships/hyperlink" Target="https://www.milliyet.com.tr/yerel-haberler/gaziantep/zihinsel-engelli-cocugun-okul-hayaline-servis-engeli-13117122" TargetMode="External"/><Relationship Id="rId8" Type="http://schemas.openxmlformats.org/officeDocument/2006/relationships/hyperlink" Target="https://www.tihek.gov.tr/upload/file_editor/2019/02/1551076875.pdf"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WKmxNrOu9xsB4CxQxyjgMwqj/Q==">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</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0BB1A66-45EF-4E48-A6C2-FFC46CAB1C5E}"/>
</file>

<file path=customXml/itemProps3.xml><?xml version="1.0" encoding="utf-8"?>
<ds:datastoreItem xmlns:ds="http://schemas.openxmlformats.org/officeDocument/2006/customXml" ds:itemID="{863F3259-E900-4199-8306-6F10B7FD2BAF}"/>
</file>

<file path=customXml/itemProps4.xml><?xml version="1.0" encoding="utf-8"?>
<ds:datastoreItem xmlns:ds="http://schemas.openxmlformats.org/officeDocument/2006/customXml" ds:itemID="{7F512E68-F274-4FC9-9678-9F063529CC92}"/>
</file>

<file path=docProps/app.xml><?xml version="1.0" encoding="utf-8"?>
<Properties xmlns="http://schemas.openxmlformats.org/officeDocument/2006/extended-properties" xmlns:vt="http://schemas.openxmlformats.org/officeDocument/2006/docPropsVTypes">
  <Template>Normal.dotm</Template>
  <TotalTime>0</TotalTime>
  <Pages>22</Pages>
  <Words>8946</Words>
  <Characters>50996</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BOIT James</cp:lastModifiedBy>
  <cp:revision>2</cp:revision>
  <dcterms:created xsi:type="dcterms:W3CDTF">2022-08-04T21:30:00Z</dcterms:created>
  <dcterms:modified xsi:type="dcterms:W3CDTF">2022-08-04T21:30:00Z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