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77777777" w:rsidR="00C05D9B" w:rsidRPr="004B1E4E" w:rsidRDefault="00C05D9B" w:rsidP="00626C39"/>
    <w:p w14:paraId="43F13231" w14:textId="234E36D2" w:rsidR="004B1E4E" w:rsidRDefault="461AAB45" w:rsidP="008A3BE8">
      <w:pPr>
        <w:pStyle w:val="TitlePageHeading"/>
        <w:tabs>
          <w:tab w:val="left" w:pos="5370"/>
        </w:tabs>
        <w:spacing w:before="240"/>
      </w:pPr>
      <w:r>
        <w:t>Türkiye</w:t>
      </w:r>
      <w:r w:rsidR="7FAE0744">
        <w:t>’s</w:t>
      </w:r>
      <w:r w:rsidR="7608237F">
        <w:t xml:space="preserve"> Compliance with </w:t>
      </w:r>
      <w:r w:rsidR="494C0556">
        <w:t>the International Covenant on Civil and Political Rights</w:t>
      </w:r>
      <w:r w:rsidR="7B6B931F">
        <w:t xml:space="preserve">: </w:t>
      </w:r>
      <w:r w:rsidR="65ABFE11">
        <w:t xml:space="preserve">Women’s Rights to </w:t>
      </w:r>
      <w:r w:rsidR="68CC5A91">
        <w:t xml:space="preserve">Life, </w:t>
      </w:r>
      <w:r w:rsidR="65ABFE11">
        <w:t>Freedom of Expression</w:t>
      </w:r>
      <w:r w:rsidR="68CC5A91">
        <w:t>,</w:t>
      </w:r>
      <w:r w:rsidR="65ABFE11">
        <w:t xml:space="preserve"> </w:t>
      </w:r>
      <w:r w:rsidR="68CC5A91">
        <w:t xml:space="preserve">Freedom of </w:t>
      </w:r>
      <w:r w:rsidR="65ABFE11">
        <w:t xml:space="preserve">Association, </w:t>
      </w:r>
      <w:r w:rsidR="68CC5A91">
        <w:t xml:space="preserve">and </w:t>
      </w:r>
      <w:r w:rsidR="65ABFE11">
        <w:t>Equality in Marriage,</w:t>
      </w:r>
      <w:r w:rsidR="2F206FFE">
        <w:t xml:space="preserve"> </w:t>
      </w:r>
      <w:r w:rsidR="494C0556">
        <w:t>Rights of Migrant Women</w:t>
      </w:r>
      <w:r w:rsidR="1EB0F4B2">
        <w:t xml:space="preserve">, and Reproductive Rights </w:t>
      </w:r>
      <w:r w:rsidR="494C0556">
        <w:t xml:space="preserve">in </w:t>
      </w:r>
      <w:r>
        <w:t>Türkiye</w:t>
      </w:r>
    </w:p>
    <w:p w14:paraId="5DC74E00" w14:textId="77777777" w:rsidR="00550A8F" w:rsidRPr="00550A8F" w:rsidRDefault="00550A8F" w:rsidP="00550A8F">
      <w:pPr>
        <w:pStyle w:val="TitlePageHeading"/>
      </w:pPr>
    </w:p>
    <w:p w14:paraId="26D24DDC" w14:textId="77777777" w:rsidR="004B1E4E" w:rsidRPr="00550A8F" w:rsidRDefault="004B1E4E" w:rsidP="00550A8F">
      <w:pPr>
        <w:pStyle w:val="TitlePageHeading"/>
      </w:pPr>
      <w:r w:rsidRPr="00550A8F">
        <w:t xml:space="preserve">Submitted by </w:t>
      </w:r>
      <w:r w:rsidR="00AA7FCB" w:rsidRPr="00550A8F">
        <w:t>T</w:t>
      </w:r>
      <w:r w:rsidRPr="00550A8F">
        <w:t>he Advocates for Human Rights</w:t>
      </w:r>
    </w:p>
    <w:p w14:paraId="25D3BE21" w14:textId="26DFD22F" w:rsidR="00550A8F" w:rsidRPr="00550A8F" w:rsidRDefault="004B1E4E" w:rsidP="00550A8F">
      <w:pPr>
        <w:pStyle w:val="TitlePageSubheading"/>
      </w:pPr>
      <w:r>
        <w:t>a non-governmental organization in special consultative status with ECOSOC</w:t>
      </w:r>
      <w:r w:rsidR="00624A10">
        <w:t xml:space="preserve"> since 1996</w:t>
      </w:r>
      <w:r w:rsidR="00550A8F">
        <w:t xml:space="preserve"> </w:t>
      </w:r>
    </w:p>
    <w:p w14:paraId="5415E788" w14:textId="77777777" w:rsidR="0031166B" w:rsidRPr="00550A8F" w:rsidRDefault="0031166B" w:rsidP="00550A8F">
      <w:pPr>
        <w:pStyle w:val="TitlePageSubheading"/>
      </w:pPr>
    </w:p>
    <w:p w14:paraId="24E688AE" w14:textId="19AE5A23" w:rsidR="004B1E4E" w:rsidRPr="00CA5CC2" w:rsidRDefault="004B1E4E" w:rsidP="0031166B">
      <w:pPr>
        <w:pStyle w:val="TitlePageSubheading"/>
      </w:pPr>
      <w:r w:rsidRPr="00CA5CC2">
        <w:t>for the</w:t>
      </w:r>
      <w:r w:rsidR="00EE3828">
        <w:t xml:space="preserve"> </w:t>
      </w:r>
      <w:r w:rsidR="00BB5D06">
        <w:t>142</w:t>
      </w:r>
      <w:r w:rsidR="00BB5D06" w:rsidRPr="00BB5D06">
        <w:rPr>
          <w:vertAlign w:val="superscript"/>
        </w:rPr>
        <w:t>nd</w:t>
      </w:r>
      <w:r w:rsidR="00BB5D06">
        <w:t xml:space="preserve"> </w:t>
      </w:r>
      <w:r w:rsidRPr="00CA5CC2">
        <w:t xml:space="preserve">Session of the </w:t>
      </w:r>
      <w:r w:rsidR="00EE3828">
        <w:t>Human Rights Committee</w:t>
      </w:r>
    </w:p>
    <w:p w14:paraId="2364C833" w14:textId="100A3D12" w:rsidR="0031166B" w:rsidRDefault="00BB5D06" w:rsidP="0031166B">
      <w:pPr>
        <w:pStyle w:val="TitlePageSubheading"/>
      </w:pPr>
      <w:r w:rsidRPr="00BB5D06">
        <w:t>14 Oct</w:t>
      </w:r>
      <w:r>
        <w:t>ober</w:t>
      </w:r>
      <w:r w:rsidRPr="00BB5D06">
        <w:t xml:space="preserve"> 2024 </w:t>
      </w:r>
      <w:r>
        <w:t>–</w:t>
      </w:r>
      <w:r w:rsidRPr="00BB5D06">
        <w:t xml:space="preserve"> 8</w:t>
      </w:r>
      <w:r>
        <w:t xml:space="preserve"> </w:t>
      </w:r>
      <w:r w:rsidRPr="00BB5D06">
        <w:t>Nov</w:t>
      </w:r>
      <w:r>
        <w:t>ember</w:t>
      </w:r>
      <w:r w:rsidRPr="00BB5D06">
        <w:t xml:space="preserve"> 2024</w:t>
      </w:r>
    </w:p>
    <w:p w14:paraId="4E22A074" w14:textId="77777777" w:rsidR="005933C7" w:rsidRDefault="005933C7" w:rsidP="0031166B">
      <w:pPr>
        <w:pStyle w:val="TitlePageSubheading"/>
      </w:pPr>
    </w:p>
    <w:p w14:paraId="3D93E372" w14:textId="203C60F5" w:rsidR="00C214BA" w:rsidRDefault="00C214BA" w:rsidP="0031166B">
      <w:pPr>
        <w:pStyle w:val="TitlePageSubheading"/>
      </w:pPr>
      <w:r>
        <w:t xml:space="preserve">Submitted </w:t>
      </w:r>
      <w:r w:rsidR="00BB5D06">
        <w:t>16 September 2024</w:t>
      </w:r>
    </w:p>
    <w:p w14:paraId="4EBFAEDD" w14:textId="5A1D8358" w:rsidR="004B1E4E" w:rsidRPr="004B1E4E" w:rsidRDefault="004B1E4E" w:rsidP="40B962A2">
      <w:pPr>
        <w:pStyle w:val="TitlePageSubheading"/>
      </w:pPr>
    </w:p>
    <w:p w14:paraId="6226088C" w14:textId="77777777" w:rsidR="007B044F" w:rsidRDefault="008A3BE8" w:rsidP="007B34F2">
      <w:pPr>
        <w:widowControl w:val="0"/>
        <w:spacing w:after="240"/>
        <w:jc w:val="both"/>
        <w:rPr>
          <w:rStyle w:val="BoilerplatetextChar"/>
        </w:rPr>
      </w:pPr>
      <w:r w:rsidRPr="00363190">
        <w:rPr>
          <w:rStyle w:val="BoilerplatetitleChar"/>
        </w:rPr>
        <w:t>The Advocates for Human Rights</w:t>
      </w:r>
      <w:r w:rsidRPr="00363190">
        <w:rPr>
          <w:b/>
        </w:rPr>
        <w:t xml:space="preserve"> </w:t>
      </w:r>
      <w:r w:rsidRPr="00363190">
        <w:rPr>
          <w:rStyle w:val="BoilerplatetextChar"/>
        </w:rPr>
        <w:t>(The Advocates) is a volunteer-based non</w:t>
      </w:r>
      <w:r>
        <w:rPr>
          <w:rStyle w:val="BoilerplatetextChar"/>
        </w:rPr>
        <w:t>-</w:t>
      </w:r>
      <w:r w:rsidRPr="00363190">
        <w:rPr>
          <w:rStyle w:val="BoilerplatetextChar"/>
        </w:rPr>
        <w:t>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has published more than 30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4F5135DC" w14:textId="402D5035" w:rsidR="00D35F2A" w:rsidRDefault="007B044F" w:rsidP="00D35F2A">
      <w:pPr>
        <w:widowControl w:val="0"/>
        <w:spacing w:after="240"/>
        <w:jc w:val="both"/>
        <w:rPr>
          <w:rStyle w:val="BoilerplatetextChar"/>
          <w:b/>
          <w:bCs/>
        </w:rPr>
      </w:pPr>
      <w:r>
        <w:rPr>
          <w:rStyle w:val="BoilerplatetextChar"/>
        </w:rPr>
        <w:t>The current report was drafted in collaboration with women human rights defenders in the diaspora.</w:t>
      </w:r>
    </w:p>
    <w:p w14:paraId="1DB262AB" w14:textId="77777777" w:rsidR="004E71C1" w:rsidRPr="00D35F2A" w:rsidRDefault="004E71C1" w:rsidP="00D35F2A">
      <w:pPr>
        <w:widowControl w:val="0"/>
        <w:spacing w:after="240"/>
        <w:jc w:val="both"/>
        <w:rPr>
          <w:rStyle w:val="BoilerplatetextChar"/>
          <w:b/>
          <w:bCs/>
        </w:rPr>
      </w:pPr>
      <w:r>
        <w:rPr>
          <w:rStyle w:val="BoilerplatetextChar"/>
        </w:rPr>
        <w:br w:type="page"/>
      </w:r>
    </w:p>
    <w:p w14:paraId="55BAB451" w14:textId="77777777" w:rsidR="004B1E4E" w:rsidRPr="008A3BE8" w:rsidRDefault="004B1E4E" w:rsidP="008A3BE8">
      <w:pPr>
        <w:widowControl w:val="0"/>
        <w:spacing w:after="240"/>
        <w:jc w:val="both"/>
        <w:rPr>
          <w:color w:val="000000" w:themeColor="text1"/>
        </w:rPr>
      </w:pPr>
    </w:p>
    <w:p w14:paraId="1FC77D31" w14:textId="55258F57" w:rsidR="004B1E4E" w:rsidRPr="004B1E4E" w:rsidRDefault="004B1E4E" w:rsidP="00EF4293">
      <w:pPr>
        <w:pStyle w:val="ExecutiveSummary"/>
      </w:pPr>
      <w:r>
        <w:t>Executive Summary</w:t>
      </w:r>
    </w:p>
    <w:p w14:paraId="13CCAE42" w14:textId="40CEB5E3" w:rsidR="494C0556" w:rsidRDefault="494C0556" w:rsidP="04CAA791">
      <w:pPr>
        <w:pStyle w:val="Paragraph"/>
        <w:rPr>
          <w:color w:val="000000" w:themeColor="text1"/>
        </w:rPr>
      </w:pPr>
      <w:r>
        <w:t xml:space="preserve">This report addresses </w:t>
      </w:r>
      <w:r w:rsidR="461AAB45">
        <w:t>Türkiye</w:t>
      </w:r>
      <w:r>
        <w:t>’s compliance with its obligations under the International Covenant on Civil and Political Rights (ICCPR) with respect to</w:t>
      </w:r>
      <w:r w:rsidR="20443BE5">
        <w:t xml:space="preserve"> </w:t>
      </w:r>
      <w:r w:rsidR="3538DB90">
        <w:t>restrictions to women’s right to freedom of expression,</w:t>
      </w:r>
      <w:r w:rsidR="5952F1EC">
        <w:t xml:space="preserve"> association,</w:t>
      </w:r>
      <w:r w:rsidR="3538DB90">
        <w:t xml:space="preserve"> equali</w:t>
      </w:r>
      <w:r w:rsidR="0ECC3B77">
        <w:t xml:space="preserve">ty under marriage, </w:t>
      </w:r>
      <w:r w:rsidR="45C96E29">
        <w:t xml:space="preserve">support as migrants, </w:t>
      </w:r>
      <w:r w:rsidR="0ECC3B77">
        <w:t xml:space="preserve">and reproductive care. </w:t>
      </w:r>
      <w:r w:rsidR="1F2152E9" w:rsidRPr="04CAA791">
        <w:rPr>
          <w:color w:val="000000" w:themeColor="text1"/>
        </w:rPr>
        <w:t>The information in this report was compiled from a review of current laws and policies, along with materials, reports, and analyses produced by the authors, as well as international, regional, and domestic governmental and non-governmental organizations.</w:t>
      </w:r>
      <w:r w:rsidR="1F2152E9">
        <w:t xml:space="preserve"> </w:t>
      </w:r>
      <w:r w:rsidR="1F1E81F2">
        <w:t>This report</w:t>
      </w:r>
      <w:r w:rsidR="4AA608B5">
        <w:t xml:space="preserve"> makes </w:t>
      </w:r>
      <w:bookmarkStart w:id="0" w:name="_Int_kJoHQN1b"/>
      <w:proofErr w:type="gramStart"/>
      <w:r w:rsidR="4AA608B5">
        <w:t>a number of</w:t>
      </w:r>
      <w:bookmarkEnd w:id="0"/>
      <w:proofErr w:type="gramEnd"/>
      <w:r w:rsidR="4AA608B5">
        <w:t xml:space="preserve"> recommendations that the State Party should adopt to be in better </w:t>
      </w:r>
      <w:r w:rsidR="5D0911B0">
        <w:t xml:space="preserve">compliance with </w:t>
      </w:r>
      <w:r w:rsidR="4AA608B5" w:rsidRPr="04CAA791">
        <w:rPr>
          <w:lang w:val="en-GB"/>
        </w:rPr>
        <w:t>the Convention</w:t>
      </w:r>
      <w:r w:rsidR="485184CD" w:rsidRPr="04CAA791">
        <w:rPr>
          <w:lang w:val="en-GB"/>
        </w:rPr>
        <w:t xml:space="preserve">. </w:t>
      </w:r>
      <w:r w:rsidR="1094DCB2" w:rsidRPr="04CAA791">
        <w:rPr>
          <w:lang w:val="en-GB"/>
        </w:rPr>
        <w:t xml:space="preserve">These recommendations include: (1) </w:t>
      </w:r>
      <w:r w:rsidR="63AC8859">
        <w:t xml:space="preserve">refraining from the persecution, intimidation, harassment or imprisonment of civil society representatives who peacefully exercise, among other rights, their freedom of expression, (2) </w:t>
      </w:r>
      <w:r w:rsidR="2AE5E776">
        <w:t xml:space="preserve">amending Article 187 of Türkiye’s Civil Code to ensure that all women can exercise their freedom to keep their maiden name without any substantive or procedural errors, (3) </w:t>
      </w:r>
      <w:r w:rsidR="27CDCEF7" w:rsidRPr="04CAA791">
        <w:t>a</w:t>
      </w:r>
      <w:r w:rsidR="2AE5E776" w:rsidRPr="04CAA791">
        <w:t>dhering to international non-refoulment standards and domestic laws regarding deportation appeals (4</w:t>
      </w:r>
      <w:r w:rsidR="3EEF5569" w:rsidRPr="04CAA791">
        <w:t xml:space="preserve">) </w:t>
      </w:r>
      <w:r w:rsidR="5BE2E17C" w:rsidRPr="04CAA791">
        <w:t>ensuring migrant women are treated equally to Turkish women when seeking help from domestic violence shelters, and (5)</w:t>
      </w:r>
      <w:r w:rsidR="30F6D993" w:rsidRPr="04CAA791">
        <w:t xml:space="preserve"> ensure the right of every woman and girl to have full control over matters related to their reproductive health, including </w:t>
      </w:r>
      <w:r w:rsidR="25D5D5AA" w:rsidRPr="04CAA791">
        <w:t>eliminating all legal barriers to accessing abortion</w:t>
      </w:r>
      <w:r w:rsidR="30F6D993" w:rsidRPr="04CAA791">
        <w:t xml:space="preserve"> services. </w:t>
      </w:r>
    </w:p>
    <w:p w14:paraId="7E4FBC1C" w14:textId="4DFD5F54" w:rsidR="00EA0EEB" w:rsidRPr="00F6493F" w:rsidRDefault="461AAB45" w:rsidP="0092386B">
      <w:pPr>
        <w:pStyle w:val="SectionSummary"/>
      </w:pPr>
      <w:r>
        <w:t>Türkiye</w:t>
      </w:r>
      <w:r w:rsidR="27AF6232">
        <w:t xml:space="preserve"> fails to uphold its obligations under the </w:t>
      </w:r>
      <w:r w:rsidR="494C0556">
        <w:t>ICCPR</w:t>
      </w:r>
    </w:p>
    <w:p w14:paraId="53F06C3E" w14:textId="31879BA1" w:rsidR="004B1E4E" w:rsidRPr="004B1E4E" w:rsidRDefault="005F130F" w:rsidP="00646DE9">
      <w:pPr>
        <w:pStyle w:val="SectionHeading"/>
      </w:pPr>
      <w:r>
        <w:t>Women’s Rights to Freedom of Expression and Association</w:t>
      </w:r>
    </w:p>
    <w:p w14:paraId="59AD79B4" w14:textId="05CA3ED2" w:rsidR="007D1153" w:rsidRDefault="2F388F77" w:rsidP="00646DE9">
      <w:pPr>
        <w:pStyle w:val="Paragraph"/>
      </w:pPr>
      <w:r>
        <w:t xml:space="preserve">The Committee, in its 2021 List of Issues Prior to Reporting, </w:t>
      </w:r>
      <w:r w:rsidR="76F28D10">
        <w:t xml:space="preserve">enquired about efforts made by the State Party to decriminalize </w:t>
      </w:r>
      <w:r w:rsidR="605E2815">
        <w:t>acts that restrict the right to freedom of expression</w:t>
      </w:r>
      <w:r w:rsidR="0A2AF27C">
        <w:t>, including in digital spaces.</w:t>
      </w:r>
      <w:r w:rsidR="00A305B5">
        <w:rPr>
          <w:rStyle w:val="FootnoteReference"/>
        </w:rPr>
        <w:footnoteReference w:id="2"/>
      </w:r>
      <w:r w:rsidR="15914691">
        <w:t xml:space="preserve"> </w:t>
      </w:r>
      <w:r w:rsidR="1F015EC0">
        <w:t xml:space="preserve">Similarly, the Committee questioned the compatibility of Law No. 2911 with the ICCPR due to its </w:t>
      </w:r>
      <w:r w:rsidR="5CB0394D">
        <w:t xml:space="preserve">provisions and application permitting </w:t>
      </w:r>
      <w:r w:rsidR="00F2289C">
        <w:t xml:space="preserve">the </w:t>
      </w:r>
      <w:r w:rsidR="5CB0394D">
        <w:t xml:space="preserve">proscription of </w:t>
      </w:r>
      <w:r w:rsidR="7320500C">
        <w:t>freedom of assembly on vague grounds.</w:t>
      </w:r>
      <w:r w:rsidR="00FE6678">
        <w:rPr>
          <w:rStyle w:val="FootnoteReference"/>
        </w:rPr>
        <w:footnoteReference w:id="3"/>
      </w:r>
    </w:p>
    <w:p w14:paraId="36076C94" w14:textId="742EFB66" w:rsidR="00E114C5" w:rsidRDefault="270FA47E" w:rsidP="00646DE9">
      <w:pPr>
        <w:pStyle w:val="Paragraph"/>
      </w:pPr>
      <w:r>
        <w:t xml:space="preserve">In reply, </w:t>
      </w:r>
      <w:r w:rsidR="461AAB45">
        <w:t>Türkiye</w:t>
      </w:r>
      <w:r>
        <w:t xml:space="preserve"> </w:t>
      </w:r>
      <w:r w:rsidR="73EC4A3C">
        <w:t xml:space="preserve">delineated how amendments to laws intended to counter terrorism permit </w:t>
      </w:r>
      <w:r w:rsidR="49BB9F67">
        <w:t xml:space="preserve">critical </w:t>
      </w:r>
      <w:r w:rsidR="73EC4A3C">
        <w:t>expressions of opinion</w:t>
      </w:r>
      <w:r w:rsidR="005F600B" w:rsidRPr="007D2D9D">
        <w:rPr>
          <w:rStyle w:val="FootnoteReference"/>
          <w:lang w:val="en-GB"/>
        </w:rPr>
        <w:footnoteReference w:id="4"/>
      </w:r>
      <w:r w:rsidR="73EC4A3C">
        <w:t xml:space="preserve"> </w:t>
      </w:r>
      <w:r w:rsidR="5FCCC43E">
        <w:t xml:space="preserve">and that </w:t>
      </w:r>
      <w:r w:rsidR="242372E9">
        <w:t>Criminal Code of Procedures Article 286</w:t>
      </w:r>
      <w:r w:rsidR="4DE4D45E">
        <w:t xml:space="preserve"> establish a legal remedy for decisions on crimes that cannot be appealed, </w:t>
      </w:r>
      <w:r w:rsidR="53600FF7">
        <w:t>such as</w:t>
      </w:r>
      <w:r w:rsidR="4DE4D45E">
        <w:t xml:space="preserve"> “</w:t>
      </w:r>
      <w:r w:rsidR="53600FF7" w:rsidRPr="00E331AD">
        <w:t>threatening to create fear and panic among the public</w:t>
      </w:r>
      <w:r w:rsidR="53600FF7">
        <w:t>” and “provoking the public to hatred and to hostility.”</w:t>
      </w:r>
      <w:r w:rsidR="00E331AD" w:rsidRPr="007D2D9D">
        <w:rPr>
          <w:rStyle w:val="FootnoteReference"/>
          <w:lang w:val="en-GB"/>
        </w:rPr>
        <w:footnoteReference w:id="5"/>
      </w:r>
      <w:r w:rsidR="474CAEC9">
        <w:t xml:space="preserve"> Specifically,</w:t>
      </w:r>
      <w:r w:rsidR="6D2A876F">
        <w:t xml:space="preserve"> Türkiye </w:t>
      </w:r>
      <w:r w:rsidR="474CAEC9">
        <w:t xml:space="preserve">explained </w:t>
      </w:r>
      <w:r w:rsidR="36E86953">
        <w:t xml:space="preserve">that celebrations of International Women’s Day were observed </w:t>
      </w:r>
      <w:r w:rsidR="36E86953">
        <w:lastRenderedPageBreak/>
        <w:t xml:space="preserve">under parameters permitted by the constitution and that action was </w:t>
      </w:r>
      <w:r w:rsidR="08869209">
        <w:t>taken against those participating in illegal activities.</w:t>
      </w:r>
      <w:r w:rsidR="00DE6610" w:rsidRPr="007D2D9D">
        <w:rPr>
          <w:rStyle w:val="FootnoteReference"/>
          <w:lang w:val="en-GB"/>
        </w:rPr>
        <w:footnoteReference w:id="6"/>
      </w:r>
    </w:p>
    <w:p w14:paraId="6F3ADC73" w14:textId="7DBB0D29" w:rsidR="000177DE" w:rsidRDefault="461AAB45" w:rsidP="000736AD">
      <w:pPr>
        <w:pStyle w:val="Paragraph"/>
      </w:pPr>
      <w:r>
        <w:t>Türkiye</w:t>
      </w:r>
      <w:r w:rsidR="110765B2">
        <w:t xml:space="preserve"> </w:t>
      </w:r>
      <w:r w:rsidR="5E208488">
        <w:t>restricts</w:t>
      </w:r>
      <w:r w:rsidR="110765B2">
        <w:t xml:space="preserve"> </w:t>
      </w:r>
      <w:r w:rsidR="717D63C8">
        <w:t xml:space="preserve">freedom of association and expression by creating legislation that violates these rights. </w:t>
      </w:r>
      <w:r>
        <w:t>Türkiye</w:t>
      </w:r>
      <w:r w:rsidR="717D63C8">
        <w:t>'s Constitution recognizes the right to” unarmed and peaceful meetings and demonstration marches without prior permission.” The Constitution also prescribes the possibility of restricting such rights by law</w:t>
      </w:r>
      <w:r w:rsidR="001E65B5">
        <w:t>,</w:t>
      </w:r>
      <w:r w:rsidR="717D63C8">
        <w:t xml:space="preserve"> “protection of public health and public morals or the rights and freedoms of others.”</w:t>
      </w:r>
      <w:r w:rsidR="00413CFC" w:rsidRPr="008245D2">
        <w:rPr>
          <w:rStyle w:val="FootnoteReference"/>
        </w:rPr>
        <w:footnoteReference w:id="7"/>
      </w:r>
      <w:r w:rsidR="72EE1BC3" w:rsidRPr="04CAA791">
        <w:rPr>
          <w:i/>
          <w:iCs/>
        </w:rPr>
        <w:t xml:space="preserve"> </w:t>
      </w:r>
      <w:r>
        <w:t>Türkiye</w:t>
      </w:r>
      <w:r w:rsidR="6DB56E00">
        <w:t xml:space="preserve"> has </w:t>
      </w:r>
      <w:r w:rsidR="15ADEA1C">
        <w:t>issued important legislation that highly restricts</w:t>
      </w:r>
      <w:r w:rsidR="6DB56E00">
        <w:t xml:space="preserve"> such rights.</w:t>
      </w:r>
      <w:r w:rsidR="009E66F5">
        <w:rPr>
          <w:rStyle w:val="FootnoteReference"/>
        </w:rPr>
        <w:footnoteReference w:id="8"/>
      </w:r>
    </w:p>
    <w:p w14:paraId="1767C0A1" w14:textId="0BF4E6CB" w:rsidR="001F3D80" w:rsidRPr="001F3D80" w:rsidRDefault="001F3D80" w:rsidP="0029288C">
      <w:pPr>
        <w:pStyle w:val="Paragraph"/>
      </w:pPr>
      <w:r w:rsidRPr="001F3D80">
        <w:t xml:space="preserve"> The Law No. 2911</w:t>
      </w:r>
      <w:r w:rsidR="00051D30">
        <w:t xml:space="preserve"> </w:t>
      </w:r>
      <w:r w:rsidR="00B36155">
        <w:t xml:space="preserve">on </w:t>
      </w:r>
      <w:r w:rsidR="00051D30" w:rsidRPr="00051D30">
        <w:rPr>
          <w:i/>
          <w:iCs/>
        </w:rPr>
        <w:t>the Regulation on the Implementation of Law on Meetings and Demonstrations</w:t>
      </w:r>
      <w:r w:rsidR="00051D30">
        <w:t xml:space="preserve"> </w:t>
      </w:r>
      <w:r w:rsidR="004330FD">
        <w:t>severely hinders</w:t>
      </w:r>
      <w:r w:rsidRPr="001F3D80">
        <w:t xml:space="preserve"> the right to peaceful assembly. </w:t>
      </w:r>
      <w:r w:rsidR="0029288C" w:rsidRPr="001F3D80">
        <w:t xml:space="preserve">Law 2911 </w:t>
      </w:r>
      <w:r w:rsidR="009579B6">
        <w:t xml:space="preserve">weakens the constitution's rights provisions as it includes vague and </w:t>
      </w:r>
      <w:r w:rsidR="008C6618">
        <w:t>excessive requirements for individuals to exercise such rights and leaves</w:t>
      </w:r>
      <w:r w:rsidR="009579B6">
        <w:t xml:space="preserve"> excessive </w:t>
      </w:r>
      <w:r w:rsidR="008C6618">
        <w:t>deference</w:t>
      </w:r>
      <w:r w:rsidR="009579B6">
        <w:t xml:space="preserve"> to the executive power</w:t>
      </w:r>
      <w:r w:rsidR="008C6618">
        <w:t xml:space="preserve"> to interpret it</w:t>
      </w:r>
      <w:r w:rsidR="009579B6">
        <w:t xml:space="preserve">. </w:t>
      </w:r>
      <w:r w:rsidRPr="001F3D80">
        <w:t>According to Article 10</w:t>
      </w:r>
      <w:r w:rsidR="00051D30">
        <w:t>,</w:t>
      </w:r>
      <w:r w:rsidRPr="001F3D80">
        <w:t xml:space="preserve"> any assembly will </w:t>
      </w:r>
      <w:r w:rsidR="008C6618">
        <w:t>be considered illegal unless all organizing committee members sign a declaration 48 hours before</w:t>
      </w:r>
      <w:r w:rsidRPr="001F3D80">
        <w:t xml:space="preserve"> the assembly and submit it to the district governor’s office during working hours. In that case, </w:t>
      </w:r>
      <w:r w:rsidR="00051D30">
        <w:t xml:space="preserve">the </w:t>
      </w:r>
      <w:r w:rsidRPr="001F3D80">
        <w:t>administration has the right to take all measures to disperse it</w:t>
      </w:r>
      <w:r w:rsidR="0029288C">
        <w:t>.</w:t>
      </w:r>
      <w:r w:rsidR="008D75BF">
        <w:t xml:space="preserve"> </w:t>
      </w:r>
      <w:r w:rsidR="0029288C" w:rsidRPr="001F3D80">
        <w:t>According to Article 6 of Law No. 2911</w:t>
      </w:r>
      <w:r w:rsidR="001E65B5">
        <w:t>,</w:t>
      </w:r>
      <w:r w:rsidR="0029288C" w:rsidRPr="001F3D80">
        <w:t xml:space="preserve"> provincial governors have the authority to decide on the venue and the route of gatherings to </w:t>
      </w:r>
      <w:r w:rsidR="003D0AD6">
        <w:t>ensure</w:t>
      </w:r>
      <w:r w:rsidR="0029288C" w:rsidRPr="001F3D80">
        <w:t xml:space="preserve"> </w:t>
      </w:r>
      <w:r w:rsidR="001E65B5">
        <w:t xml:space="preserve">that they </w:t>
      </w:r>
      <w:r w:rsidR="0029288C" w:rsidRPr="001F3D80">
        <w:t>“do not make the daily life of citizens excessively and unbearably difficult.”</w:t>
      </w:r>
      <w:r w:rsidR="0029288C">
        <w:t xml:space="preserve"> </w:t>
      </w:r>
      <w:r w:rsidR="00D10EF4">
        <w:t xml:space="preserve">Likewise, </w:t>
      </w:r>
      <w:r w:rsidRPr="001F3D80">
        <w:t xml:space="preserve">Article 19 of Law No. </w:t>
      </w:r>
      <w:r w:rsidR="003D0AD6" w:rsidRPr="001F3D80">
        <w:t>2911</w:t>
      </w:r>
      <w:r w:rsidRPr="001F3D80">
        <w:t xml:space="preserve"> allow</w:t>
      </w:r>
      <w:r w:rsidR="00D10EF4">
        <w:t>s</w:t>
      </w:r>
      <w:r w:rsidRPr="001F3D80">
        <w:t xml:space="preserve"> the administration to postpone and ban all meetings in cities and districts for up to one month.</w:t>
      </w:r>
    </w:p>
    <w:p w14:paraId="7C04B692" w14:textId="6F3A7110" w:rsidR="001F3D80" w:rsidRPr="001F3D80" w:rsidRDefault="78B70B35" w:rsidP="00F32A29">
      <w:pPr>
        <w:pStyle w:val="Paragraph"/>
      </w:pPr>
      <w:r>
        <w:t xml:space="preserve"> Legislation </w:t>
      </w:r>
      <w:r w:rsidR="65B85E87">
        <w:t xml:space="preserve">such </w:t>
      </w:r>
      <w:r w:rsidR="208954AD">
        <w:t>as Anti-Terror Law No. 3713 represents a severe risk to the rights to freedom of association</w:t>
      </w:r>
      <w:r w:rsidR="00231788">
        <w:t xml:space="preserve"> and expression as it </w:t>
      </w:r>
      <w:r w:rsidR="03BDB306">
        <w:t>equals</w:t>
      </w:r>
      <w:r w:rsidR="00231788">
        <w:t xml:space="preserve"> the exercise </w:t>
      </w:r>
      <w:r w:rsidR="65B85E87">
        <w:t>of rights with terrorist activities</w:t>
      </w:r>
      <w:r w:rsidR="208954AD">
        <w:t xml:space="preserve">. </w:t>
      </w:r>
      <w:r w:rsidR="7C4475D3" w:rsidRPr="04CAA791">
        <w:rPr>
          <w:color w:val="000000" w:themeColor="text1"/>
        </w:rPr>
        <w:t>Its vague provisions allow authorities to classify demonstrations and marches</w:t>
      </w:r>
      <w:r w:rsidR="6A7E1CA7" w:rsidRPr="001F3D80">
        <w:t xml:space="preserve"> as terrorist activities</w:t>
      </w:r>
      <w:r w:rsidR="6D003CA7">
        <w:t xml:space="preserve">. </w:t>
      </w:r>
      <w:r w:rsidR="6A7E1CA7" w:rsidRPr="001F3D80">
        <w:t xml:space="preserve">Articles 6 and 7 of the Anti-Terror Law </w:t>
      </w:r>
      <w:r w:rsidR="22722519">
        <w:t>prescribe that those who join demonstrations can be accused of being terrorists</w:t>
      </w:r>
      <w:r w:rsidR="6A7E1CA7" w:rsidRPr="001F3D80">
        <w:t xml:space="preserve"> or committing terror crimes for their slogans and placards in the demonstrations.</w:t>
      </w:r>
      <w:r w:rsidR="00340205">
        <w:rPr>
          <w:rStyle w:val="FootnoteReference"/>
        </w:rPr>
        <w:footnoteReference w:id="9"/>
      </w:r>
      <w:r w:rsidR="4B7FF1D9">
        <w:t xml:space="preserve"> </w:t>
      </w:r>
      <w:r w:rsidR="2B084264">
        <w:t xml:space="preserve">According to findings by Amnesty International, authorities have often </w:t>
      </w:r>
      <w:r w:rsidR="7AAD6177">
        <w:t>used</w:t>
      </w:r>
      <w:r w:rsidR="2B084264">
        <w:t xml:space="preserve"> such provisions to</w:t>
      </w:r>
      <w:r w:rsidR="7AAD6177">
        <w:t xml:space="preserve"> </w:t>
      </w:r>
      <w:r w:rsidR="745CC4BE">
        <w:t>investigate and sentence individuals without sufficient evidence, as “it has become a routine judicial practice to prosecute and convict people for broad and undefined terrorism-related offenses</w:t>
      </w:r>
      <w:r w:rsidR="79062228" w:rsidRPr="00F32A29">
        <w:t xml:space="preserve"> without credible and sufficient evidence and on the sole basis of their real or perceived political opinions.</w:t>
      </w:r>
      <w:r w:rsidR="79062228">
        <w:t>”</w:t>
      </w:r>
      <w:r w:rsidR="00F32A29">
        <w:rPr>
          <w:rStyle w:val="FootnoteReference"/>
        </w:rPr>
        <w:footnoteReference w:id="10"/>
      </w:r>
    </w:p>
    <w:p w14:paraId="4E3C9566" w14:textId="2AA13EB1" w:rsidR="009C24E0" w:rsidRDefault="263EDED2" w:rsidP="009C24E0">
      <w:pPr>
        <w:pStyle w:val="Paragraph"/>
      </w:pPr>
      <w:r w:rsidRPr="001D0966">
        <w:t xml:space="preserve">There has been a longstanding pattern of </w:t>
      </w:r>
      <w:r w:rsidR="41F61BA3">
        <w:t>Turkish</w:t>
      </w:r>
      <w:r>
        <w:t xml:space="preserve"> authorities restricting and u</w:t>
      </w:r>
      <w:r w:rsidRPr="001D0966">
        <w:t xml:space="preserve">sing excessive force </w:t>
      </w:r>
      <w:r w:rsidR="1049E0A0">
        <w:t>to disperse</w:t>
      </w:r>
      <w:r w:rsidRPr="001D0966">
        <w:t xml:space="preserve"> protest</w:t>
      </w:r>
      <w:r w:rsidR="62DB2176" w:rsidRPr="001D0966">
        <w:t xml:space="preserve">s </w:t>
      </w:r>
      <w:r w:rsidR="541DFC57">
        <w:t>and demonstrations.</w:t>
      </w:r>
      <w:r w:rsidR="00546953">
        <w:rPr>
          <w:rStyle w:val="FootnoteReference"/>
        </w:rPr>
        <w:footnoteReference w:id="11"/>
      </w:r>
      <w:r w:rsidR="541DFC57">
        <w:t xml:space="preserve"> </w:t>
      </w:r>
      <w:r w:rsidR="42F57963">
        <w:t xml:space="preserve">Authorities have targeted feminist demonstrations commemorating women’s rights and denouncing violence against women. In 2021, </w:t>
      </w:r>
      <w:r w:rsidR="627F3C9D">
        <w:t xml:space="preserve">Turkish </w:t>
      </w:r>
      <w:r w:rsidR="7BBB9962">
        <w:t xml:space="preserve">riot </w:t>
      </w:r>
      <w:r w:rsidR="627F3C9D">
        <w:t xml:space="preserve">police </w:t>
      </w:r>
      <w:r w:rsidR="68703FB1">
        <w:t>“</w:t>
      </w:r>
      <w:r w:rsidR="68703FB1" w:rsidRPr="00E01E8B">
        <w:t>fired the gas and scuffled with the protesters</w:t>
      </w:r>
      <w:r w:rsidR="68703FB1">
        <w:t xml:space="preserve">” to disperse </w:t>
      </w:r>
      <w:r w:rsidR="0807312B">
        <w:t>demonstrations as part of the commemoration of November 25</w:t>
      </w:r>
      <w:r w:rsidR="0807312B" w:rsidRPr="00B20C4D">
        <w:rPr>
          <w:vertAlign w:val="superscript"/>
        </w:rPr>
        <w:t>th</w:t>
      </w:r>
      <w:r w:rsidR="1BA43CE3">
        <w:t xml:space="preserve">, the day against gender-based </w:t>
      </w:r>
      <w:r w:rsidR="1BA43CE3">
        <w:lastRenderedPageBreak/>
        <w:t xml:space="preserve">violence. </w:t>
      </w:r>
      <w:r w:rsidR="007A66B5">
        <w:rPr>
          <w:rStyle w:val="FootnoteReference"/>
        </w:rPr>
        <w:footnoteReference w:id="12"/>
      </w:r>
      <w:r w:rsidR="644FAFE2">
        <w:t xml:space="preserve"> </w:t>
      </w:r>
      <w:r w:rsidR="02C5AF62" w:rsidRPr="2443B300">
        <w:t xml:space="preserve">Mor </w:t>
      </w:r>
      <w:proofErr w:type="spellStart"/>
      <w:r w:rsidR="02C5AF62" w:rsidRPr="2443B300">
        <w:t>Çatı</w:t>
      </w:r>
      <w:proofErr w:type="spellEnd"/>
      <w:r w:rsidR="02C5AF62" w:rsidRPr="2443B300">
        <w:t xml:space="preserve"> Women’s Shelter </w:t>
      </w:r>
      <w:r w:rsidR="050470C0">
        <w:t>report</w:t>
      </w:r>
      <w:r w:rsidR="02C5AF62">
        <w:t>s</w:t>
      </w:r>
      <w:r w:rsidR="050470C0">
        <w:t xml:space="preserve"> that Turkish </w:t>
      </w:r>
      <w:r w:rsidR="5B1478CF">
        <w:t xml:space="preserve">authorities </w:t>
      </w:r>
      <w:r w:rsidR="050470C0">
        <w:t xml:space="preserve">frequently </w:t>
      </w:r>
      <w:r w:rsidR="7D88FD14">
        <w:t>restrict</w:t>
      </w:r>
      <w:r w:rsidR="050470C0">
        <w:t xml:space="preserve"> individuals from joining protests</w:t>
      </w:r>
      <w:r w:rsidR="324EEE24">
        <w:t xml:space="preserve"> by cording the areas</w:t>
      </w:r>
      <w:r w:rsidR="050470C0">
        <w:t xml:space="preserve"> and arbitrarily </w:t>
      </w:r>
      <w:r w:rsidR="001E65B5">
        <w:t>detaining</w:t>
      </w:r>
      <w:r w:rsidR="2E7BF9A8">
        <w:t xml:space="preserve"> </w:t>
      </w:r>
      <w:r w:rsidR="050470C0">
        <w:t>activists even before they assemble for the demonstrations</w:t>
      </w:r>
      <w:r w:rsidR="5396DAC3">
        <w:t xml:space="preserve"> and undertakes</w:t>
      </w:r>
      <w:r w:rsidR="050470C0">
        <w:t xml:space="preserve">. </w:t>
      </w:r>
      <w:r w:rsidR="5B9D369C">
        <w:t>Additionally</w:t>
      </w:r>
      <w:r w:rsidR="050470C0">
        <w:t xml:space="preserve">, Turkish police are reported to target and detain activists </w:t>
      </w:r>
      <w:r w:rsidR="5396DAC3">
        <w:t>in their homes</w:t>
      </w:r>
      <w:r w:rsidR="5843A40E">
        <w:t xml:space="preserve">, with </w:t>
      </w:r>
      <w:r w:rsidR="5843A40E" w:rsidRPr="003D3758">
        <w:t>reports of strip searches being used as a form of torture during detention.</w:t>
      </w:r>
      <w:r w:rsidR="003D3758">
        <w:rPr>
          <w:rStyle w:val="FootnoteReference"/>
        </w:rPr>
        <w:footnoteReference w:id="13"/>
      </w:r>
      <w:r w:rsidR="6F296089">
        <w:t xml:space="preserve"> </w:t>
      </w:r>
      <w:r w:rsidR="3AEC78D0" w:rsidRPr="001F3D80">
        <w:t>The most common place where women (58.6%) and LGBTI+ (92.5%) are subjected to torture during the detention process is the street/open area</w:t>
      </w:r>
      <w:r w:rsidR="004E71C1" w:rsidRPr="001F3D80">
        <w:rPr>
          <w:vertAlign w:val="superscript"/>
        </w:rPr>
        <w:footnoteReference w:id="14"/>
      </w:r>
      <w:r w:rsidR="3AEC78D0" w:rsidRPr="001F3D80">
        <w:t>.</w:t>
      </w:r>
      <w:r w:rsidR="3AEC78D0">
        <w:t xml:space="preserve"> Detentions</w:t>
      </w:r>
      <w:r w:rsidR="6F296089">
        <w:t xml:space="preserve"> are reported to be a way of reprisal and torture by Turkish police as judges do not charge most activists due to the constitutional protection of freedom of assembly.</w:t>
      </w:r>
      <w:r w:rsidR="00E330C0">
        <w:rPr>
          <w:rStyle w:val="FootnoteReference"/>
        </w:rPr>
        <w:footnoteReference w:id="15"/>
      </w:r>
    </w:p>
    <w:p w14:paraId="0F8AD445" w14:textId="03ACE07A" w:rsidR="009D48CB" w:rsidRDefault="4ADC86D3" w:rsidP="009A5DD1">
      <w:pPr>
        <w:pStyle w:val="Paragraph"/>
      </w:pPr>
      <w:r>
        <w:t xml:space="preserve">Local government systematically bans peaceful demonstrations. </w:t>
      </w:r>
      <w:r w:rsidR="3F02CA00">
        <w:t>As an example of such actions, si</w:t>
      </w:r>
      <w:r w:rsidR="0C693818">
        <w:t xml:space="preserve">nce 2018, the </w:t>
      </w:r>
      <w:r w:rsidR="664728F2" w:rsidRPr="00E2733E">
        <w:t xml:space="preserve">Beyoğlu District Governorship </w:t>
      </w:r>
      <w:r w:rsidR="664728F2">
        <w:t xml:space="preserve">has banned the </w:t>
      </w:r>
      <w:r w:rsidR="4DEEDFEB">
        <w:t xml:space="preserve">pacific vigils of the group </w:t>
      </w:r>
      <w:r w:rsidR="2F68AC04" w:rsidRPr="00E2733E">
        <w:t>The Saturday Mothers/People</w:t>
      </w:r>
      <w:r w:rsidR="79626405">
        <w:t xml:space="preserve"> </w:t>
      </w:r>
      <w:r w:rsidR="2F68AC04" w:rsidRPr="00E2733E">
        <w:t>(</w:t>
      </w:r>
      <w:proofErr w:type="spellStart"/>
      <w:r w:rsidR="2F68AC04" w:rsidRPr="04CAA791">
        <w:rPr>
          <w:i/>
          <w:iCs/>
        </w:rPr>
        <w:t>Cumartesi</w:t>
      </w:r>
      <w:proofErr w:type="spellEnd"/>
      <w:r w:rsidR="2F68AC04" w:rsidRPr="04CAA791">
        <w:rPr>
          <w:i/>
          <w:iCs/>
        </w:rPr>
        <w:t xml:space="preserve"> </w:t>
      </w:r>
      <w:proofErr w:type="spellStart"/>
      <w:r w:rsidR="2F68AC04" w:rsidRPr="04CAA791">
        <w:rPr>
          <w:i/>
          <w:iCs/>
        </w:rPr>
        <w:t>Anneleri</w:t>
      </w:r>
      <w:proofErr w:type="spellEnd"/>
      <w:r w:rsidR="2F68AC04" w:rsidRPr="04CAA791">
        <w:rPr>
          <w:i/>
          <w:iCs/>
        </w:rPr>
        <w:t>/</w:t>
      </w:r>
      <w:proofErr w:type="spellStart"/>
      <w:r w:rsidR="2F68AC04" w:rsidRPr="04CAA791">
        <w:rPr>
          <w:i/>
          <w:iCs/>
        </w:rPr>
        <w:t>İnsanları</w:t>
      </w:r>
      <w:proofErr w:type="spellEnd"/>
      <w:r w:rsidR="2F68AC04" w:rsidRPr="00E2733E">
        <w:t>)</w:t>
      </w:r>
      <w:r w:rsidR="2F68AC04">
        <w:t>, which gathers every Saturday to demand justice for their family members.</w:t>
      </w:r>
      <w:r w:rsidR="0092386B">
        <w:rPr>
          <w:rStyle w:val="FootnoteReference"/>
        </w:rPr>
        <w:footnoteReference w:id="16"/>
      </w:r>
      <w:r w:rsidR="341F970C">
        <w:t xml:space="preserve"> </w:t>
      </w:r>
      <w:r w:rsidR="3F634127" w:rsidRPr="009A5DD1">
        <w:t xml:space="preserve">Authorities engage in arbitrary arrests and detentions of </w:t>
      </w:r>
      <w:r w:rsidR="3C9065AE" w:rsidRPr="00E2733E">
        <w:t>The Saturday Mothers/People</w:t>
      </w:r>
      <w:r w:rsidR="3F634127" w:rsidRPr="009A5DD1">
        <w:t>, along with the excessive use of force by law enforcement</w:t>
      </w:r>
      <w:r w:rsidR="3C9065AE">
        <w:t xml:space="preserve"> and </w:t>
      </w:r>
      <w:r w:rsidR="3F634127" w:rsidRPr="009A5DD1">
        <w:t>tactics like "security encirclements" and the unnecessary handcuffing of protesters.</w:t>
      </w:r>
      <w:r w:rsidR="009C24E0">
        <w:rPr>
          <w:rStyle w:val="FootnoteReference"/>
        </w:rPr>
        <w:footnoteReference w:id="17"/>
      </w:r>
      <w:r w:rsidR="6404D6FA">
        <w:t xml:space="preserve"> </w:t>
      </w:r>
      <w:r w:rsidR="2DA720C8">
        <w:t xml:space="preserve"> </w:t>
      </w:r>
      <w:r w:rsidR="461AAB45">
        <w:t>Türkiye</w:t>
      </w:r>
      <w:r w:rsidR="2DA720C8">
        <w:t xml:space="preserve"> authorities have also</w:t>
      </w:r>
      <w:r w:rsidR="6AF4C559">
        <w:t xml:space="preserve"> attempted to</w:t>
      </w:r>
      <w:r w:rsidR="2DA720C8">
        <w:t xml:space="preserve"> criminalize </w:t>
      </w:r>
      <w:r w:rsidR="29274BF2">
        <w:t xml:space="preserve">movement </w:t>
      </w:r>
      <w:r w:rsidR="4563D1D4">
        <w:t xml:space="preserve">members and allies </w:t>
      </w:r>
      <w:r w:rsidR="3DEB917B">
        <w:t xml:space="preserve">after participating in </w:t>
      </w:r>
      <w:r w:rsidR="29274BF2">
        <w:t xml:space="preserve">one of the movement’s vigils in 2023 under the charge of “attending illegal demonstrations and marches without arms and failing to disperse despite the </w:t>
      </w:r>
      <w:r w:rsidR="323CB91C" w:rsidRPr="00E2733E">
        <w:t>warning</w:t>
      </w:r>
      <w:r w:rsidR="323CB91C">
        <w:t>.</w:t>
      </w:r>
      <w:r w:rsidR="323CB91C" w:rsidRPr="00E2733E">
        <w:t>”</w:t>
      </w:r>
      <w:r w:rsidR="007B34F2">
        <w:rPr>
          <w:rStyle w:val="FootnoteReference"/>
        </w:rPr>
        <w:footnoteReference w:id="18"/>
      </w:r>
      <w:r w:rsidR="6AF4C559">
        <w:t xml:space="preserve"> Charges are likely not </w:t>
      </w:r>
      <w:r w:rsidR="16999878">
        <w:t xml:space="preserve">to </w:t>
      </w:r>
      <w:r w:rsidR="6AF4C559">
        <w:t>result in a sentence</w:t>
      </w:r>
      <w:r w:rsidR="2389476A">
        <w:t>.</w:t>
      </w:r>
    </w:p>
    <w:p w14:paraId="341B8833" w14:textId="56F0732E" w:rsidR="00B67D7D" w:rsidRDefault="5AF28F85" w:rsidP="009A5DD1">
      <w:pPr>
        <w:pStyle w:val="Paragraph"/>
      </w:pPr>
      <w:r>
        <w:t xml:space="preserve">The </w:t>
      </w:r>
      <w:r w:rsidR="2E8CCFEE">
        <w:t>misuse</w:t>
      </w:r>
      <w:r>
        <w:t xml:space="preserve"> </w:t>
      </w:r>
      <w:r w:rsidR="3D3C1AA7">
        <w:t>of the legal system</w:t>
      </w:r>
      <w:r w:rsidR="520E3FAA">
        <w:t xml:space="preserve"> by criminalizing women human rights defenders</w:t>
      </w:r>
      <w:r w:rsidR="3D3C1AA7">
        <w:t xml:space="preserve"> </w:t>
      </w:r>
      <w:r w:rsidR="2E8CCFEE">
        <w:t>is</w:t>
      </w:r>
      <w:r w:rsidR="3D3C1AA7">
        <w:t xml:space="preserve"> a </w:t>
      </w:r>
      <w:r w:rsidR="520E3FAA">
        <w:t xml:space="preserve">known </w:t>
      </w:r>
      <w:r w:rsidR="3D3C1AA7">
        <w:t xml:space="preserve">tactic </w:t>
      </w:r>
      <w:r w:rsidR="520E3FAA">
        <w:t>by the Turkish government to dissuad</w:t>
      </w:r>
      <w:r w:rsidR="2E8CCFEE">
        <w:t>e dissent. The charges against the</w:t>
      </w:r>
      <w:r w:rsidR="38D8D760">
        <w:t xml:space="preserve"> non-governmental organization (NGO)</w:t>
      </w:r>
      <w:r w:rsidR="2E8CCFEE">
        <w:t xml:space="preserve"> </w:t>
      </w:r>
      <w:r w:rsidR="38D8D760" w:rsidRPr="6BDE474D">
        <w:t>We Will Stop Femicide organization</w:t>
      </w:r>
      <w:r w:rsidR="38D8D760">
        <w:t xml:space="preserve"> exemplify such tactics. The </w:t>
      </w:r>
      <w:r w:rsidR="1E8F8267">
        <w:t>NGO was brought to trial</w:t>
      </w:r>
      <w:r w:rsidR="3B6704BC">
        <w:t xml:space="preserve"> for closure </w:t>
      </w:r>
      <w:r w:rsidR="1E8F8267">
        <w:t xml:space="preserve">under the charges </w:t>
      </w:r>
      <w:r w:rsidR="3B6704BC">
        <w:t xml:space="preserve">of </w:t>
      </w:r>
      <w:r w:rsidR="3B6704BC" w:rsidRPr="6BDE474D">
        <w:t>“activity against law and morals</w:t>
      </w:r>
      <w:r w:rsidR="3B6704BC">
        <w:t>.</w:t>
      </w:r>
      <w:r w:rsidR="3B6704BC" w:rsidRPr="6BDE474D">
        <w:t>”</w:t>
      </w:r>
      <w:r w:rsidR="3B6704BC">
        <w:t xml:space="preserve"> According to reports</w:t>
      </w:r>
      <w:r w:rsidR="70637DFB">
        <w:t>, legal persecution was motivated</w:t>
      </w:r>
      <w:r w:rsidR="28D6AFF1">
        <w:t xml:space="preserve"> by the </w:t>
      </w:r>
      <w:r w:rsidR="5610F877">
        <w:t>organization's work on women’s rights and its critics of</w:t>
      </w:r>
      <w:r w:rsidR="28D6AFF1">
        <w:t xml:space="preserve"> the government’s response to violence against women.</w:t>
      </w:r>
      <w:r w:rsidR="009C405B">
        <w:rPr>
          <w:rStyle w:val="FootnoteReference"/>
        </w:rPr>
        <w:footnoteReference w:id="19"/>
      </w:r>
      <w:r w:rsidR="2744C438">
        <w:t xml:space="preserve"> </w:t>
      </w:r>
      <w:r w:rsidR="2744C438">
        <w:lastRenderedPageBreak/>
        <w:t>Available information indicates that the prosecution file</w:t>
      </w:r>
      <w:r w:rsidR="0F4FB330">
        <w:t>d</w:t>
      </w:r>
      <w:r w:rsidR="2744C438">
        <w:t xml:space="preserve"> the </w:t>
      </w:r>
      <w:r w:rsidR="5610F877">
        <w:t>case</w:t>
      </w:r>
      <w:r w:rsidR="2744C438">
        <w:t xml:space="preserve"> on the grounds of the NGOs disregarding the concept of family “while pretending women’s rights</w:t>
      </w:r>
      <w:r w:rsidR="1B2FB659">
        <w:t>.</w:t>
      </w:r>
      <w:r w:rsidR="2744C438">
        <w:t>”</w:t>
      </w:r>
      <w:r w:rsidR="00733318">
        <w:rPr>
          <w:rStyle w:val="FootnoteReference"/>
        </w:rPr>
        <w:footnoteReference w:id="20"/>
      </w:r>
      <w:r w:rsidR="1B2FB659">
        <w:t xml:space="preserve"> </w:t>
      </w:r>
    </w:p>
    <w:p w14:paraId="08B60D0E" w14:textId="28569F07" w:rsidR="00F13EC5" w:rsidRDefault="461AAB45" w:rsidP="008242C3">
      <w:pPr>
        <w:pStyle w:val="Paragraph"/>
      </w:pPr>
      <w:r>
        <w:t>Türkiye</w:t>
      </w:r>
      <w:r w:rsidR="5610F877">
        <w:t xml:space="preserve">’s persecution of civil society also extends to individual defenders. </w:t>
      </w:r>
      <w:r w:rsidR="1DE1EB56">
        <w:t xml:space="preserve">Of note, </w:t>
      </w:r>
      <w:r w:rsidR="314E1BFC" w:rsidRPr="04CAA791">
        <w:rPr>
          <w:color w:val="000000" w:themeColor="text1"/>
          <w:lang w:val="en-GB"/>
        </w:rPr>
        <w:t xml:space="preserve">the Human Rights Association (İHD) and the Human Rights Foundation of </w:t>
      </w:r>
      <w:r w:rsidRPr="04CAA791">
        <w:rPr>
          <w:color w:val="000000" w:themeColor="text1"/>
          <w:lang w:val="en-GB"/>
        </w:rPr>
        <w:t>Türkiye</w:t>
      </w:r>
      <w:r w:rsidR="314E1BFC" w:rsidRPr="04CAA791">
        <w:rPr>
          <w:color w:val="000000" w:themeColor="text1"/>
          <w:lang w:val="en-GB"/>
        </w:rPr>
        <w:t xml:space="preserve"> (HRFT) denounce that the </w:t>
      </w:r>
      <w:r w:rsidRPr="04CAA791">
        <w:rPr>
          <w:color w:val="000000" w:themeColor="text1"/>
          <w:lang w:val="en-GB"/>
        </w:rPr>
        <w:t>Türkiye</w:t>
      </w:r>
      <w:r w:rsidR="314E1BFC" w:rsidRPr="04CAA791">
        <w:rPr>
          <w:color w:val="000000" w:themeColor="text1"/>
          <w:lang w:val="en-GB"/>
        </w:rPr>
        <w:t xml:space="preserve"> </w:t>
      </w:r>
      <w:r w:rsidR="5BF8C2CE" w:rsidRPr="04CAA791">
        <w:rPr>
          <w:color w:val="000000" w:themeColor="text1"/>
          <w:lang w:val="en-GB"/>
        </w:rPr>
        <w:t xml:space="preserve">authorities </w:t>
      </w:r>
      <w:r w:rsidR="5BF8C2CE">
        <w:t>gave</w:t>
      </w:r>
      <w:r w:rsidR="13A0B7F2">
        <w:t xml:space="preserve"> </w:t>
      </w:r>
    </w:p>
    <w:p w14:paraId="22A94870" w14:textId="75835DAE" w:rsidR="007D6CE6" w:rsidRPr="007D6CE6" w:rsidRDefault="461AAB45" w:rsidP="007D6CE6">
      <w:pPr>
        <w:pStyle w:val="Paragraph"/>
      </w:pPr>
      <w:r>
        <w:t>Türkiye</w:t>
      </w:r>
      <w:r w:rsidR="76F43E63">
        <w:t xml:space="preserve"> has </w:t>
      </w:r>
      <w:r w:rsidR="41CA9ECB">
        <w:t xml:space="preserve">increasingly criminalized </w:t>
      </w:r>
      <w:r w:rsidR="6A7E1CA7" w:rsidRPr="001F3D80">
        <w:t xml:space="preserve">Kurdish women´s </w:t>
      </w:r>
      <w:r w:rsidR="41CA9ECB">
        <w:t>organizations</w:t>
      </w:r>
      <w:r w:rsidR="5610F877">
        <w:t xml:space="preserve"> and defenders</w:t>
      </w:r>
      <w:r w:rsidR="1E5BD01F">
        <w:t xml:space="preserve"> </w:t>
      </w:r>
      <w:r w:rsidR="6A7E1CA7" w:rsidRPr="001F3D80">
        <w:t>in recent years</w:t>
      </w:r>
      <w:r w:rsidR="1E5BD01F">
        <w:t xml:space="preserve"> </w:t>
      </w:r>
      <w:r w:rsidR="3C28820D">
        <w:t>because of</w:t>
      </w:r>
      <w:r w:rsidR="1E5BD01F">
        <w:t xml:space="preserve"> their rights activism against violence against women.</w:t>
      </w:r>
      <w:r w:rsidR="001F3D80" w:rsidRPr="001F3D80">
        <w:rPr>
          <w:vertAlign w:val="superscript"/>
        </w:rPr>
        <w:footnoteReference w:id="21"/>
      </w:r>
      <w:r w:rsidR="2B32FEED">
        <w:t xml:space="preserve"> </w:t>
      </w:r>
      <w:r w:rsidR="061CFE3C">
        <w:t xml:space="preserve">In 2022, </w:t>
      </w:r>
      <w:r w:rsidR="2B32FEED">
        <w:t>Authorities arbitrarily detained defenders from the Kurdish women’s movement</w:t>
      </w:r>
      <w:r w:rsidR="061CFE3C">
        <w:t xml:space="preserve"> in </w:t>
      </w:r>
      <w:r w:rsidR="23B6AB43">
        <w:t>multiple cities</w:t>
      </w:r>
      <w:r w:rsidR="0D1D77E9">
        <w:t xml:space="preserve"> through hose raids</w:t>
      </w:r>
      <w:r w:rsidR="23B6AB43">
        <w:t xml:space="preserve">, </w:t>
      </w:r>
      <w:r w:rsidR="0D1D77E9">
        <w:t xml:space="preserve">including members from </w:t>
      </w:r>
      <w:r w:rsidR="23B6AB43">
        <w:t>the Rosa Women's Association and</w:t>
      </w:r>
      <w:r w:rsidR="2238F1E9">
        <w:t xml:space="preserve"> </w:t>
      </w:r>
      <w:r w:rsidR="2238F1E9" w:rsidRPr="00E768CE">
        <w:t>Free Women's Movement</w:t>
      </w:r>
      <w:r w:rsidR="23B6AB43">
        <w:t xml:space="preserve"> </w:t>
      </w:r>
      <w:r w:rsidR="2238F1E9">
        <w:t>(</w:t>
      </w:r>
      <w:r w:rsidR="23B6AB43">
        <w:t>TJA</w:t>
      </w:r>
      <w:r w:rsidR="2238F1E9">
        <w:t>)</w:t>
      </w:r>
      <w:r w:rsidR="23B6AB43">
        <w:t>, following their</w:t>
      </w:r>
      <w:r w:rsidR="3AB3035A">
        <w:t xml:space="preserve"> </w:t>
      </w:r>
      <w:r w:rsidR="23B6AB43">
        <w:t>participation in the November 25</w:t>
      </w:r>
      <w:r w:rsidR="2060CE41" w:rsidRPr="004750E5">
        <w:rPr>
          <w:vertAlign w:val="superscript"/>
        </w:rPr>
        <w:t>th</w:t>
      </w:r>
      <w:r w:rsidR="2060CE41">
        <w:t xml:space="preserve"> demonstrations</w:t>
      </w:r>
      <w:r w:rsidR="061CFE3C">
        <w:t xml:space="preserve"> related to </w:t>
      </w:r>
      <w:r w:rsidR="23B6AB43">
        <w:t>women's</w:t>
      </w:r>
      <w:r w:rsidR="061CFE3C">
        <w:t xml:space="preserve"> rights</w:t>
      </w:r>
      <w:r w:rsidR="33D17B30">
        <w:t>.</w:t>
      </w:r>
      <w:r w:rsidR="00084112">
        <w:rPr>
          <w:rStyle w:val="FootnoteReference"/>
        </w:rPr>
        <w:footnoteReference w:id="22"/>
      </w:r>
      <w:r w:rsidR="0D1D77E9">
        <w:t xml:space="preserve"> </w:t>
      </w:r>
    </w:p>
    <w:p w14:paraId="34791C2A" w14:textId="6A6FF8CE" w:rsidR="001F3D80" w:rsidRPr="00A742D4" w:rsidRDefault="7113B323" w:rsidP="007D6CE6">
      <w:pPr>
        <w:pStyle w:val="Paragraph"/>
      </w:pPr>
      <w:r w:rsidRPr="00A742D4">
        <w:t xml:space="preserve">Kurdish and pro-Kurdish civil society organizations continue to face challenges in exercising their rights to freedom of assembly and association. </w:t>
      </w:r>
      <w:r w:rsidR="22E5AF68" w:rsidRPr="00A742D4">
        <w:t>Since</w:t>
      </w:r>
      <w:r w:rsidR="1ECA456A" w:rsidRPr="00A742D4">
        <w:t xml:space="preserve"> 2016</w:t>
      </w:r>
      <w:r w:rsidR="22E5AF68" w:rsidRPr="00A742D4">
        <w:t xml:space="preserve"> and its consequence of the State of Emergency, authorities </w:t>
      </w:r>
      <w:r w:rsidR="3EA43890" w:rsidRPr="00A742D4">
        <w:t xml:space="preserve">have </w:t>
      </w:r>
      <w:r w:rsidR="22E5AF68" w:rsidRPr="00A742D4">
        <w:t>closed multiple Kurdish organizations</w:t>
      </w:r>
      <w:r w:rsidR="3EA43890" w:rsidRPr="00A742D4">
        <w:t>. To this date, available information indicates that many of them remain closed by the government.</w:t>
      </w:r>
      <w:r w:rsidR="00A742D4" w:rsidRPr="00A742D4">
        <w:rPr>
          <w:rStyle w:val="FootnoteReference"/>
        </w:rPr>
        <w:footnoteReference w:id="23"/>
      </w:r>
    </w:p>
    <w:p w14:paraId="253A5179" w14:textId="09C1753E" w:rsidR="001F3D80" w:rsidRPr="00DC7CAD" w:rsidRDefault="001F3D80" w:rsidP="001F3D80">
      <w:pPr>
        <w:pStyle w:val="Paragraph"/>
      </w:pPr>
      <w:r w:rsidRPr="00DC7CAD">
        <w:rPr>
          <w:b/>
          <w:bCs/>
        </w:rPr>
        <w:t xml:space="preserve">Suggested recommendations </w:t>
      </w:r>
    </w:p>
    <w:p w14:paraId="30CA4007" w14:textId="06EEDB81" w:rsidR="418042DF" w:rsidRPr="00DC7CAD" w:rsidRDefault="2EF01F4C" w:rsidP="64711C71">
      <w:pPr>
        <w:pStyle w:val="BulletRecommendationsQuestions"/>
      </w:pPr>
      <w:r w:rsidRPr="00DC7CAD">
        <w:rPr>
          <w:color w:val="000000" w:themeColor="text1"/>
        </w:rPr>
        <w:t>Refrain from the persecution, intimidation, harassment</w:t>
      </w:r>
      <w:r w:rsidR="001E65B5">
        <w:rPr>
          <w:color w:val="000000" w:themeColor="text1"/>
        </w:rPr>
        <w:t>,</w:t>
      </w:r>
      <w:r w:rsidRPr="00DC7CAD">
        <w:rPr>
          <w:color w:val="000000" w:themeColor="text1"/>
        </w:rPr>
        <w:t xml:space="preserve"> or imprisonment of civil society representatives who peacefully exercise, among other rights, their freedom of expression in </w:t>
      </w:r>
      <w:r w:rsidR="461AAB45" w:rsidRPr="00DC7CAD">
        <w:rPr>
          <w:color w:val="000000" w:themeColor="text1"/>
        </w:rPr>
        <w:t>Türkiye</w:t>
      </w:r>
      <w:r w:rsidRPr="00DC7CAD">
        <w:rPr>
          <w:color w:val="000000" w:themeColor="text1"/>
        </w:rPr>
        <w:t xml:space="preserve">. </w:t>
      </w:r>
      <w:r w:rsidRPr="00DC7CAD">
        <w:t xml:space="preserve"> </w:t>
      </w:r>
    </w:p>
    <w:p w14:paraId="7153554B" w14:textId="6D212858" w:rsidR="00E46D63" w:rsidRPr="00DC7CAD" w:rsidRDefault="00E46D63" w:rsidP="00E46D63">
      <w:pPr>
        <w:pStyle w:val="BulletRecommendationsQuestions"/>
      </w:pPr>
      <w:r w:rsidRPr="00DC7CAD">
        <w:t>Cease all criminalization practices against women human rights defenders and organizations.</w:t>
      </w:r>
    </w:p>
    <w:p w14:paraId="1794EBF2" w14:textId="1233C050" w:rsidR="001B3C54" w:rsidRPr="00DC7CAD" w:rsidRDefault="001B3C54" w:rsidP="001B3C54">
      <w:pPr>
        <w:pStyle w:val="BulletRecommendationsQuestions"/>
      </w:pPr>
      <w:r w:rsidRPr="00DC7CAD">
        <w:t>Amend Law No. 2911 and the Anti-Terror Law No. 3713 to bring them fully into line with articles 19 and 22 of the Covenant. Especially:</w:t>
      </w:r>
    </w:p>
    <w:p w14:paraId="61104D1A" w14:textId="0C17E35D" w:rsidR="005244F0" w:rsidRPr="00DC7CAD" w:rsidRDefault="48482427" w:rsidP="04CAA791">
      <w:pPr>
        <w:pStyle w:val="BulletRecommendationsQuestions"/>
      </w:pPr>
      <w:r w:rsidRPr="00DC7CAD">
        <w:t xml:space="preserve">Revise </w:t>
      </w:r>
      <w:r w:rsidR="1F2AE585" w:rsidRPr="00DC7CAD">
        <w:t>Law</w:t>
      </w:r>
      <w:r w:rsidRPr="00DC7CAD">
        <w:t xml:space="preserve"> No. 2911 </w:t>
      </w:r>
      <w:r w:rsidR="458FFDEB" w:rsidRPr="00DC7CAD">
        <w:t xml:space="preserve">and </w:t>
      </w:r>
      <w:r w:rsidR="2245B56D" w:rsidRPr="00DC7CAD">
        <w:t xml:space="preserve">amend </w:t>
      </w:r>
      <w:r w:rsidR="147B79AC" w:rsidRPr="00DC7CAD">
        <w:t xml:space="preserve">all articles </w:t>
      </w:r>
      <w:r w:rsidR="1369066A" w:rsidRPr="00DC7CAD">
        <w:t>restricting freedom of expression and association.</w:t>
      </w:r>
    </w:p>
    <w:p w14:paraId="2186AFE8" w14:textId="3D437C9C" w:rsidR="00C407E8" w:rsidRPr="00DC7CAD" w:rsidRDefault="00C407E8" w:rsidP="005244F0">
      <w:pPr>
        <w:pStyle w:val="BulletRecommendationsQuestions"/>
        <w:numPr>
          <w:ilvl w:val="2"/>
          <w:numId w:val="7"/>
        </w:numPr>
      </w:pPr>
      <w:r w:rsidRPr="00DC7CAD">
        <w:t xml:space="preserve">Revise the </w:t>
      </w:r>
      <w:r w:rsidR="00371950" w:rsidRPr="00DC7CAD">
        <w:t xml:space="preserve">Anti-Terror Law No. 3713 </w:t>
      </w:r>
      <w:proofErr w:type="gramStart"/>
      <w:r w:rsidR="00371950" w:rsidRPr="00DC7CAD">
        <w:t>i</w:t>
      </w:r>
      <w:r w:rsidRPr="00DC7CAD">
        <w:t>n order to</w:t>
      </w:r>
      <w:proofErr w:type="gramEnd"/>
      <w:r w:rsidRPr="00DC7CAD">
        <w:t xml:space="preserve"> strictly define an act of terrorism and ensure that counter-terrorism legislation is not used to limit</w:t>
      </w:r>
      <w:r w:rsidR="00E46D63" w:rsidRPr="00DC7CAD">
        <w:t xml:space="preserve"> the </w:t>
      </w:r>
      <w:r w:rsidRPr="00DC7CAD">
        <w:t xml:space="preserve">rights of freedom </w:t>
      </w:r>
      <w:r w:rsidR="00E46D63" w:rsidRPr="00DC7CAD">
        <w:t xml:space="preserve">and </w:t>
      </w:r>
      <w:r w:rsidRPr="00DC7CAD">
        <w:t>ass</w:t>
      </w:r>
      <w:r w:rsidR="00E46D63" w:rsidRPr="00DC7CAD">
        <w:t xml:space="preserve">ociation </w:t>
      </w:r>
      <w:r w:rsidR="00F70E4A" w:rsidRPr="00DC7CAD">
        <w:t>of human rights defenders</w:t>
      </w:r>
      <w:r w:rsidR="004E696A" w:rsidRPr="00DC7CAD">
        <w:t>.</w:t>
      </w:r>
    </w:p>
    <w:p w14:paraId="00D8247B" w14:textId="2C33F3D1" w:rsidR="00785D4F" w:rsidRPr="00DC7CAD" w:rsidRDefault="6EE27451" w:rsidP="00785D4F">
      <w:pPr>
        <w:pStyle w:val="BulletRecommendationsQuestions"/>
      </w:pPr>
      <w:r w:rsidRPr="00DC7CAD">
        <w:lastRenderedPageBreak/>
        <w:t>Refrain from revoking the legal personalities of civil society organizations, including women human rights organization</w:t>
      </w:r>
      <w:r w:rsidR="4CE6FCEA" w:rsidRPr="00DC7CAD">
        <w:t>s</w:t>
      </w:r>
      <w:r w:rsidRPr="00DC7CAD">
        <w:t>.</w:t>
      </w:r>
    </w:p>
    <w:p w14:paraId="09245900" w14:textId="77777777" w:rsidR="005244F0" w:rsidRPr="00DC7CAD" w:rsidRDefault="005244F0" w:rsidP="005244F0">
      <w:pPr>
        <w:pStyle w:val="BulletRecommendationsQuestions"/>
      </w:pPr>
      <w:r w:rsidRPr="00DC7CAD">
        <w:t>Ensure the provision of effective assistance and protection to human rights defenders and journalists who are subjected to threats, violence and intimidation, and should ensure that they can carry out their work in appropriate conditions, including by recognizing the right of individuals, organizations and groups to defend human rights, by adopting special legislative measures for their protection.</w:t>
      </w:r>
    </w:p>
    <w:p w14:paraId="527702A1" w14:textId="77777777" w:rsidR="005244F0" w:rsidRPr="00DC7CAD" w:rsidRDefault="005244F0" w:rsidP="005244F0">
      <w:pPr>
        <w:pStyle w:val="BulletRecommendationsQuestions"/>
      </w:pPr>
      <w:r w:rsidRPr="00DC7CAD">
        <w:t>Take immediate steps to ensure that all women can exercise their rights to freedom of expression and peaceful assembly and association without interference.</w:t>
      </w:r>
    </w:p>
    <w:p w14:paraId="25B15C90" w14:textId="2F94A3F7" w:rsidR="005244F0" w:rsidRPr="00DC7CAD" w:rsidRDefault="005244F0" w:rsidP="005244F0">
      <w:pPr>
        <w:pStyle w:val="BulletRecommendationsQuestions"/>
      </w:pPr>
      <w:r w:rsidRPr="00DC7CAD">
        <w:t>Investigate, prosecute and appropriately punish, without impunity, all acts of human rights violations against women human rights defenders, including when committed by police officers or other public officials, and provide victims with effective remedies.</w:t>
      </w:r>
    </w:p>
    <w:p w14:paraId="44397060" w14:textId="6DFE885C" w:rsidR="005F130F" w:rsidRPr="004B1E4E" w:rsidRDefault="005F130F" w:rsidP="005F130F">
      <w:pPr>
        <w:pStyle w:val="SectionHeading"/>
      </w:pPr>
      <w:r>
        <w:t>Women’s Rights to Equality in Marriage</w:t>
      </w:r>
    </w:p>
    <w:p w14:paraId="6A98DC74" w14:textId="3BD3F4B8" w:rsidR="005F130F" w:rsidRDefault="29150F49" w:rsidP="005F130F">
      <w:pPr>
        <w:pStyle w:val="Paragraph"/>
      </w:pPr>
      <w:r>
        <w:t xml:space="preserve">In the 2021 List of Issues Prior to Reporting, the Committee inquired as to measures put in place, including legislation, </w:t>
      </w:r>
      <w:r w:rsidR="44AED738">
        <w:t xml:space="preserve">that prevent and </w:t>
      </w:r>
      <w:r w:rsidR="727C5AD3">
        <w:t xml:space="preserve">protect </w:t>
      </w:r>
      <w:r w:rsidR="74A6FF9C">
        <w:t xml:space="preserve">against </w:t>
      </w:r>
      <w:r w:rsidR="727C5AD3">
        <w:t>discrimination based on gender as well as other grounds.</w:t>
      </w:r>
      <w:r w:rsidR="0054697C">
        <w:rPr>
          <w:rStyle w:val="FootnoteReference"/>
        </w:rPr>
        <w:footnoteReference w:id="24"/>
      </w:r>
      <w:r w:rsidR="44AED738">
        <w:t xml:space="preserve"> </w:t>
      </w:r>
    </w:p>
    <w:p w14:paraId="054E3638" w14:textId="1115A0E6" w:rsidR="005F130F" w:rsidRDefault="222AE3DA" w:rsidP="005F130F">
      <w:pPr>
        <w:pStyle w:val="Paragraph"/>
      </w:pPr>
      <w:r>
        <w:t xml:space="preserve">In response, </w:t>
      </w:r>
      <w:r w:rsidR="461AAB45">
        <w:t>Türkiye</w:t>
      </w:r>
      <w:r>
        <w:t xml:space="preserve"> elaborated in its </w:t>
      </w:r>
      <w:r w:rsidR="2640C363">
        <w:t xml:space="preserve">Second Periodic Report </w:t>
      </w:r>
      <w:r w:rsidR="6B488983">
        <w:t xml:space="preserve">on </w:t>
      </w:r>
      <w:r w:rsidR="17AD0898">
        <w:t>measures relating to</w:t>
      </w:r>
      <w:r w:rsidR="224C707C">
        <w:t xml:space="preserve"> </w:t>
      </w:r>
      <w:r w:rsidR="2E86AADC">
        <w:t>hate speech, freedom of thought and conviction</w:t>
      </w:r>
      <w:r w:rsidR="72C444C3">
        <w:t xml:space="preserve">, and </w:t>
      </w:r>
      <w:r w:rsidR="0A45EE75">
        <w:t>political participation and representation</w:t>
      </w:r>
      <w:r w:rsidR="0FED3AC3">
        <w:t>,</w:t>
      </w:r>
      <w:r w:rsidR="17AD0898">
        <w:t xml:space="preserve"> without </w:t>
      </w:r>
      <w:r w:rsidR="0FED3AC3">
        <w:t xml:space="preserve">specifically </w:t>
      </w:r>
      <w:r w:rsidR="7BEFEF8D">
        <w:t>addressing realization of a right to substantive gender equality.</w:t>
      </w:r>
      <w:r w:rsidR="00A051A1" w:rsidRPr="007D2D9D">
        <w:rPr>
          <w:rStyle w:val="FootnoteReference"/>
          <w:lang w:val="en-GB"/>
        </w:rPr>
        <w:footnoteReference w:id="25"/>
      </w:r>
      <w:r w:rsidR="6F2F23FF">
        <w:t xml:space="preserve"> </w:t>
      </w:r>
      <w:r w:rsidR="461AAB45">
        <w:t>Türkiye</w:t>
      </w:r>
      <w:r w:rsidR="6F2F23FF">
        <w:t xml:space="preserve"> cross-referenced its responses to the List of Issues Prior to Reporting it received from the </w:t>
      </w:r>
      <w:r w:rsidR="1B299711" w:rsidRPr="008929D0">
        <w:t>Committee on the Elimination of Discrimination against Women</w:t>
      </w:r>
      <w:r w:rsidR="6F2F23FF">
        <w:t xml:space="preserve"> (CEDAW</w:t>
      </w:r>
      <w:r w:rsidR="1B299711">
        <w:t xml:space="preserve"> Committee</w:t>
      </w:r>
      <w:r w:rsidR="6F2F23FF">
        <w:t>)</w:t>
      </w:r>
      <w:r w:rsidR="7A7AF858">
        <w:t>, in which it explained</w:t>
      </w:r>
      <w:r w:rsidR="0FED3AC3">
        <w:t xml:space="preserve"> that </w:t>
      </w:r>
      <w:r w:rsidR="17A6F98E">
        <w:t xml:space="preserve">divorced parties are legally mandated to resume </w:t>
      </w:r>
      <w:r w:rsidR="00F2289C">
        <w:t xml:space="preserve">the </w:t>
      </w:r>
      <w:r w:rsidR="17A6F98E">
        <w:t>use of their pre-marital surnames,</w:t>
      </w:r>
      <w:r w:rsidR="002A6E23" w:rsidRPr="007D2D9D">
        <w:rPr>
          <w:rStyle w:val="FootnoteReference"/>
          <w:lang w:val="en-GB"/>
        </w:rPr>
        <w:footnoteReference w:id="26"/>
      </w:r>
      <w:r w:rsidR="17A6F98E">
        <w:t xml:space="preserve"> </w:t>
      </w:r>
      <w:r w:rsidR="38F9C74B">
        <w:t xml:space="preserve">and that married women may apply to use their own surname (alone or in conjunction with that of their husband) </w:t>
      </w:r>
      <w:r w:rsidR="2E053A41">
        <w:t xml:space="preserve">as per Turkish Civil Code Article </w:t>
      </w:r>
      <w:r w:rsidR="63787FA9">
        <w:t xml:space="preserve">187 and the related </w:t>
      </w:r>
      <w:r w:rsidR="63787FA9" w:rsidRPr="00A154ED">
        <w:t>decision of the General Assembly of the Law of the Supreme Court</w:t>
      </w:r>
      <w:r w:rsidR="63787FA9">
        <w:t>.</w:t>
      </w:r>
      <w:r w:rsidR="00A154ED">
        <w:rPr>
          <w:rStyle w:val="FootnoteReference"/>
        </w:rPr>
        <w:footnoteReference w:id="27"/>
      </w:r>
      <w:r w:rsidR="7E923F3F">
        <w:t xml:space="preserve"> </w:t>
      </w:r>
    </w:p>
    <w:p w14:paraId="2578DBFB" w14:textId="1CB2C3FE" w:rsidR="008D5A28" w:rsidRDefault="5B1EBA0A" w:rsidP="00CE371C">
      <w:pPr>
        <w:pStyle w:val="Paragraph"/>
        <w:rPr>
          <w:rStyle w:val="normaltextrun"/>
        </w:rPr>
      </w:pPr>
      <w:r>
        <w:rPr>
          <w:rStyle w:val="normaltextrun"/>
        </w:rPr>
        <w:t xml:space="preserve">Article 187 </w:t>
      </w:r>
      <w:r w:rsidR="264E27E5">
        <w:rPr>
          <w:rStyle w:val="normaltextrun"/>
        </w:rPr>
        <w:t xml:space="preserve">of </w:t>
      </w:r>
      <w:r w:rsidR="461AAB45">
        <w:rPr>
          <w:rStyle w:val="normaltextrun"/>
        </w:rPr>
        <w:t>Türkiye</w:t>
      </w:r>
      <w:r w:rsidR="264E27E5">
        <w:rPr>
          <w:rStyle w:val="normaltextrun"/>
        </w:rPr>
        <w:t>’s</w:t>
      </w:r>
      <w:r>
        <w:rPr>
          <w:rStyle w:val="normaltextrun"/>
        </w:rPr>
        <w:t xml:space="preserve"> Civil Code states</w:t>
      </w:r>
      <w:r w:rsidR="00F2289C">
        <w:rPr>
          <w:rStyle w:val="normaltextrun"/>
        </w:rPr>
        <w:t>,</w:t>
      </w:r>
      <w:r w:rsidR="264E27E5">
        <w:rPr>
          <w:rStyle w:val="normaltextrun"/>
        </w:rPr>
        <w:t xml:space="preserve"> “</w:t>
      </w:r>
      <w:r w:rsidR="264E27E5" w:rsidRPr="04CAA791">
        <w:rPr>
          <w:i/>
          <w:iCs/>
        </w:rPr>
        <w:t>Married women shall bear their husband’s name. However, they can make a written declaration to the Registrar of Births, Marriages and Deaths on signing the marriage deed, or at the Registry of Births, Marriages and Deaths after the marriage, if they wish to keep their maiden name in front of their surname</w:t>
      </w:r>
      <w:r w:rsidR="005E6005">
        <w:rPr>
          <w:i/>
          <w:iCs/>
        </w:rPr>
        <w:t>.</w:t>
      </w:r>
      <w:r w:rsidR="264E27E5" w:rsidRPr="04CAA791">
        <w:rPr>
          <w:i/>
          <w:iCs/>
        </w:rPr>
        <w:t xml:space="preserve">” </w:t>
      </w:r>
      <w:r w:rsidR="00CE371C" w:rsidRPr="04CAA791">
        <w:rPr>
          <w:rStyle w:val="FootnoteReference"/>
          <w:i/>
          <w:iCs/>
        </w:rPr>
        <w:footnoteReference w:id="28"/>
      </w:r>
      <w:r>
        <w:rPr>
          <w:rStyle w:val="normaltextrun"/>
        </w:rPr>
        <w:t xml:space="preserve"> </w:t>
      </w:r>
    </w:p>
    <w:p w14:paraId="2DBB5C4C" w14:textId="1700F2BF" w:rsidR="00A85EFA" w:rsidRPr="007C7FDF" w:rsidRDefault="239B222B" w:rsidP="00CE371C">
      <w:pPr>
        <w:pStyle w:val="Paragraph"/>
        <w:rPr>
          <w:rStyle w:val="superscript"/>
        </w:rPr>
      </w:pPr>
      <w:r w:rsidRPr="007C7FDF">
        <w:rPr>
          <w:rStyle w:val="normaltextrun"/>
        </w:rPr>
        <w:lastRenderedPageBreak/>
        <w:t>Des</w:t>
      </w:r>
      <w:r w:rsidR="5B1EBA0A" w:rsidRPr="007C7FDF">
        <w:rPr>
          <w:rStyle w:val="normaltextrun"/>
        </w:rPr>
        <w:t>p</w:t>
      </w:r>
      <w:r w:rsidRPr="007C7FDF">
        <w:rPr>
          <w:rStyle w:val="normaltextrun"/>
        </w:rPr>
        <w:t xml:space="preserve">ite </w:t>
      </w:r>
      <w:r w:rsidR="65FC9475" w:rsidRPr="007C7FDF">
        <w:rPr>
          <w:rStyle w:val="normaltextrun"/>
        </w:rPr>
        <w:t xml:space="preserve">several judicial orders to change the current legislation, </w:t>
      </w:r>
      <w:r w:rsidR="461AAB45" w:rsidRPr="007C7FDF">
        <w:rPr>
          <w:rStyle w:val="normaltextrun"/>
        </w:rPr>
        <w:t>Türkiye</w:t>
      </w:r>
      <w:r w:rsidR="65FC9475" w:rsidRPr="007C7FDF">
        <w:rPr>
          <w:rStyle w:val="normaltextrun"/>
        </w:rPr>
        <w:t xml:space="preserve"> still fails to guarantee the right of married </w:t>
      </w:r>
      <w:r w:rsidR="2A1C2E2D" w:rsidRPr="007C7FDF">
        <w:rPr>
          <w:rStyle w:val="normaltextrun"/>
        </w:rPr>
        <w:t>women to use their own surname</w:t>
      </w:r>
      <w:r w:rsidR="501317F4" w:rsidRPr="007C7FDF">
        <w:rPr>
          <w:rStyle w:val="normaltextrun"/>
        </w:rPr>
        <w:t xml:space="preserve">. </w:t>
      </w:r>
      <w:r w:rsidR="494887DE" w:rsidRPr="007C7FDF">
        <w:rPr>
          <w:rStyle w:val="normaltextrun"/>
        </w:rPr>
        <w:t xml:space="preserve">The European Court of Human Rights (ECHR) found Article 187 unconstitutional in </w:t>
      </w:r>
      <w:r w:rsidR="494887DE" w:rsidRPr="007C7FDF">
        <w:rPr>
          <w:rStyle w:val="normaltextrun"/>
          <w:i/>
          <w:iCs/>
          <w:color w:val="000000"/>
        </w:rPr>
        <w:t xml:space="preserve">Ünal Tekeli v. </w:t>
      </w:r>
      <w:r w:rsidR="461AAB45" w:rsidRPr="007C7FDF">
        <w:rPr>
          <w:rStyle w:val="normaltextrun"/>
          <w:i/>
          <w:iCs/>
          <w:color w:val="000000"/>
        </w:rPr>
        <w:t>Türkiye</w:t>
      </w:r>
      <w:r w:rsidR="494887DE" w:rsidRPr="007C7FDF">
        <w:rPr>
          <w:rStyle w:val="normaltextrun"/>
        </w:rPr>
        <w:t xml:space="preserve"> (2005)</w:t>
      </w:r>
      <w:r w:rsidR="5CC96D14" w:rsidRPr="007C7FDF">
        <w:rPr>
          <w:rStyle w:val="normaltextrun"/>
        </w:rPr>
        <w:t>.</w:t>
      </w:r>
      <w:r w:rsidR="00913E74" w:rsidRPr="007C7FDF">
        <w:rPr>
          <w:rStyle w:val="FootnoteReference"/>
        </w:rPr>
        <w:footnoteReference w:id="29"/>
      </w:r>
      <w:r w:rsidR="5CC96D14" w:rsidRPr="007C7FDF">
        <w:rPr>
          <w:rStyle w:val="normaltextrun"/>
        </w:rPr>
        <w:t xml:space="preserve"> T</w:t>
      </w:r>
      <w:r w:rsidR="494887DE" w:rsidRPr="007C7FDF">
        <w:rPr>
          <w:rStyle w:val="normaltextrun"/>
        </w:rPr>
        <w:t>he highest Turkish Civil Court found it unconstitutional in 2015, and the Turkish Constitutional Court found it unconstitutional in 2023, but the law has not been changed.</w:t>
      </w:r>
      <w:r w:rsidR="004C5D78" w:rsidRPr="007C7FDF">
        <w:rPr>
          <w:rStyle w:val="FootnoteReference"/>
        </w:rPr>
        <w:footnoteReference w:id="30"/>
      </w:r>
    </w:p>
    <w:p w14:paraId="4D1FAE16" w14:textId="4D1DB6B1" w:rsidR="00D64DC8" w:rsidRPr="007C7FDF" w:rsidRDefault="5BB93815" w:rsidP="1887980E">
      <w:pPr>
        <w:pStyle w:val="Paragraph"/>
        <w:rPr>
          <w:rStyle w:val="eop"/>
        </w:rPr>
      </w:pPr>
      <w:r w:rsidRPr="007C7FDF">
        <w:rPr>
          <w:rStyle w:val="normaltextrun"/>
        </w:rPr>
        <w:t xml:space="preserve"> </w:t>
      </w:r>
      <w:r w:rsidR="3354E3D8" w:rsidRPr="007C7FDF">
        <w:rPr>
          <w:rStyle w:val="normaltextrun"/>
        </w:rPr>
        <w:t xml:space="preserve">As early as </w:t>
      </w:r>
      <w:r w:rsidR="39CD9A98" w:rsidRPr="007C7FDF">
        <w:rPr>
          <w:rStyle w:val="normaltextrun"/>
        </w:rPr>
        <w:t xml:space="preserve">2008, there </w:t>
      </w:r>
      <w:r w:rsidR="2C9C3E46" w:rsidRPr="007C7FDF">
        <w:rPr>
          <w:rStyle w:val="normaltextrun"/>
        </w:rPr>
        <w:t>have been</w:t>
      </w:r>
      <w:r w:rsidR="39CD9A98" w:rsidRPr="007C7FDF">
        <w:rPr>
          <w:rStyle w:val="normaltextrun"/>
        </w:rPr>
        <w:t xml:space="preserve"> </w:t>
      </w:r>
      <w:r w:rsidRPr="007C7FDF">
        <w:rPr>
          <w:rStyle w:val="normaltextrun"/>
        </w:rPr>
        <w:t xml:space="preserve">efforts to change </w:t>
      </w:r>
      <w:r w:rsidR="39CD9A98" w:rsidRPr="007C7FDF">
        <w:rPr>
          <w:rStyle w:val="normaltextrun"/>
        </w:rPr>
        <w:t>such legislation</w:t>
      </w:r>
      <w:r w:rsidRPr="007C7FDF">
        <w:rPr>
          <w:rStyle w:val="normaltextrun"/>
        </w:rPr>
        <w:t>, but none of the bills passed the legislature.</w:t>
      </w:r>
      <w:r w:rsidR="00BA613B" w:rsidRPr="007C7FDF">
        <w:rPr>
          <w:rStyle w:val="FootnoteReference"/>
        </w:rPr>
        <w:footnoteReference w:id="31"/>
      </w:r>
      <w:r w:rsidR="66E5E257" w:rsidRPr="007C7FDF">
        <w:rPr>
          <w:rStyle w:val="normaltextrun"/>
        </w:rPr>
        <w:t>To the date of this submission, there</w:t>
      </w:r>
      <w:r w:rsidRPr="007C7FDF">
        <w:rPr>
          <w:rStyle w:val="normaltextrun"/>
        </w:rPr>
        <w:t xml:space="preserve"> are efforts to include a new law regarding married women’s surnames in the forthcoming judicial package, but whether this is successful remains to be seen.</w:t>
      </w:r>
      <w:r w:rsidRPr="007C7FDF">
        <w:rPr>
          <w:rStyle w:val="superscript"/>
          <w:vertAlign w:val="superscript"/>
        </w:rPr>
        <w:t>8</w:t>
      </w:r>
      <w:r w:rsidRPr="007C7FDF">
        <w:rPr>
          <w:rStyle w:val="normaltextrun"/>
        </w:rPr>
        <w:t xml:space="preserve"> </w:t>
      </w:r>
      <w:r w:rsidR="66E5E257" w:rsidRPr="007C7FDF">
        <w:rPr>
          <w:rStyle w:val="normaltextrun"/>
        </w:rPr>
        <w:t>Currently, t</w:t>
      </w:r>
      <w:r w:rsidRPr="007C7FDF">
        <w:rPr>
          <w:rStyle w:val="normaltextrun"/>
        </w:rPr>
        <w:t xml:space="preserve">he only remedy available to married women who wish to retain their maiden name in Türkiye </w:t>
      </w:r>
      <w:r w:rsidR="3F436E4D" w:rsidRPr="007C7FDF">
        <w:rPr>
          <w:rStyle w:val="normaltextrun"/>
        </w:rPr>
        <w:t>is</w:t>
      </w:r>
      <w:r w:rsidRPr="007C7FDF">
        <w:rPr>
          <w:rStyle w:val="normaltextrun"/>
        </w:rPr>
        <w:t xml:space="preserve"> individual lawsuits.</w:t>
      </w:r>
      <w:r w:rsidR="00906BF5" w:rsidRPr="007C7FDF">
        <w:rPr>
          <w:rStyle w:val="FootnoteReference"/>
        </w:rPr>
        <w:footnoteReference w:id="32"/>
      </w:r>
    </w:p>
    <w:p w14:paraId="4F9EFB25" w14:textId="601B637C" w:rsidR="005E6005" w:rsidRPr="005E6005" w:rsidRDefault="26D32E9D" w:rsidP="005E6005">
      <w:pPr>
        <w:pStyle w:val="Paragraph"/>
        <w:spacing w:after="0"/>
        <w:rPr>
          <w:rStyle w:val="eop"/>
          <w:color w:val="000000" w:themeColor="text1"/>
        </w:rPr>
      </w:pPr>
      <w:r w:rsidRPr="007C7FDF">
        <w:rPr>
          <w:color w:val="000000" w:themeColor="text1"/>
        </w:rPr>
        <w:t>The Justice and Development Party</w:t>
      </w:r>
      <w:r w:rsidRPr="007C7FDF">
        <w:t xml:space="preserve"> (</w:t>
      </w:r>
      <w:r w:rsidRPr="007C7FDF">
        <w:rPr>
          <w:color w:val="000000" w:themeColor="text1"/>
        </w:rPr>
        <w:t>AKP) introduced an omnibus bill</w:t>
      </w:r>
      <w:r w:rsidR="59ED4EC5" w:rsidRPr="007C7FDF">
        <w:rPr>
          <w:color w:val="000000" w:themeColor="text1"/>
        </w:rPr>
        <w:t xml:space="preserve">, </w:t>
      </w:r>
      <w:r w:rsidRPr="007C7FDF">
        <w:rPr>
          <w:color w:val="000000" w:themeColor="text1"/>
        </w:rPr>
        <w:t>which included the issue of surnames</w:t>
      </w:r>
      <w:r w:rsidR="0C495D1C" w:rsidRPr="007C7FDF">
        <w:rPr>
          <w:color w:val="000000" w:themeColor="text1"/>
        </w:rPr>
        <w:t xml:space="preserve">. </w:t>
      </w:r>
      <w:r w:rsidR="27D2970E" w:rsidRPr="007C7FDF">
        <w:rPr>
          <w:color w:val="000000" w:themeColor="text1"/>
        </w:rPr>
        <w:t xml:space="preserve">The </w:t>
      </w:r>
      <w:r w:rsidRPr="007C7FDF">
        <w:rPr>
          <w:color w:val="000000" w:themeColor="text1"/>
        </w:rPr>
        <w:t>proposed law is similar to the previous policy which was ruled unconstitutional</w:t>
      </w:r>
      <w:r w:rsidR="1CC30CBC" w:rsidRPr="007C7FDF">
        <w:rPr>
          <w:color w:val="000000" w:themeColor="text1"/>
        </w:rPr>
        <w:t>.</w:t>
      </w:r>
      <w:r w:rsidR="00D64DC8" w:rsidRPr="007C7FDF">
        <w:rPr>
          <w:rStyle w:val="FootnoteReference"/>
          <w:lang w:val="en-GB"/>
        </w:rPr>
        <w:footnoteReference w:id="33"/>
      </w:r>
      <w:r w:rsidRPr="007C7FDF">
        <w:rPr>
          <w:rStyle w:val="eop"/>
          <w:color w:val="000000" w:themeColor="text1"/>
        </w:rPr>
        <w:t xml:space="preserve"> </w:t>
      </w:r>
      <w:r w:rsidR="15705A27" w:rsidRPr="007C7FDF">
        <w:rPr>
          <w:rStyle w:val="eop"/>
          <w:color w:val="000000" w:themeColor="text1"/>
        </w:rPr>
        <w:t>The</w:t>
      </w:r>
      <w:r w:rsidR="00A72687" w:rsidRPr="007C7FDF">
        <w:t xml:space="preserve"> proposed</w:t>
      </w:r>
      <w:r w:rsidR="136F8909" w:rsidRPr="007C7FDF">
        <w:t xml:space="preserve"> legislation </w:t>
      </w:r>
      <w:r w:rsidR="00A72687" w:rsidRPr="007C7FDF">
        <w:t>would allow</w:t>
      </w:r>
      <w:r w:rsidR="136F8909" w:rsidRPr="007C7FDF">
        <w:t xml:space="preserve"> married women to use their maiden names along with their husbands’ surnames, which is not in line with the Constitutional Court ruling.</w:t>
      </w:r>
      <w:r w:rsidR="0020506A" w:rsidRPr="007C7FDF">
        <w:rPr>
          <w:rStyle w:val="FootnoteReference"/>
        </w:rPr>
        <w:footnoteReference w:id="34"/>
      </w:r>
      <w:r w:rsidR="136F8909" w:rsidRPr="007C7FDF">
        <w:t xml:space="preserve"> </w:t>
      </w:r>
      <w:r w:rsidR="00A72687" w:rsidRPr="007C7FDF">
        <w:t xml:space="preserve">Other credible information indicates that </w:t>
      </w:r>
      <w:r w:rsidR="56641CC2" w:rsidRPr="007C7FDF">
        <w:t>t</w:t>
      </w:r>
      <w:r w:rsidR="046740AC" w:rsidRPr="007C7FDF">
        <w:t>he proposed regulation would grant certain women, like artists, politicians, and public figures, the privilege to use only their own surnames because they are publicly known by them.</w:t>
      </w:r>
      <w:r w:rsidR="00FD7FA4" w:rsidRPr="007C7FDF">
        <w:rPr>
          <w:rStyle w:val="FootnoteReference"/>
        </w:rPr>
        <w:footnoteReference w:id="35"/>
      </w:r>
      <w:r w:rsidR="046740AC" w:rsidRPr="007C7FDF">
        <w:t xml:space="preserve"> </w:t>
      </w:r>
      <w:r w:rsidR="56641CC2" w:rsidRPr="007C7FDF">
        <w:t xml:space="preserve">If applicable, it would </w:t>
      </w:r>
      <w:r w:rsidR="4A49BBE6" w:rsidRPr="007C7FDF">
        <w:t xml:space="preserve">be discriminatory among women. </w:t>
      </w:r>
      <w:r w:rsidRPr="007C7FDF">
        <w:rPr>
          <w:rStyle w:val="eop"/>
          <w:color w:val="000000" w:themeColor="text1"/>
        </w:rPr>
        <w:t xml:space="preserve">Although media outlets reported that the issue may be removed from the bill, women’s rights advocates </w:t>
      </w:r>
      <w:r w:rsidRPr="007C7FDF">
        <w:rPr>
          <w:color w:val="000000" w:themeColor="text1"/>
        </w:rPr>
        <w:t>remain vigilant as the judicial reform package is set to be finalized in October 2024</w:t>
      </w:r>
      <w:r w:rsidR="143D6BFD" w:rsidRPr="007C7FDF">
        <w:rPr>
          <w:color w:val="000000" w:themeColor="text1"/>
        </w:rPr>
        <w:t>.</w:t>
      </w:r>
      <w:r w:rsidR="00D64DC8" w:rsidRPr="007C7FDF">
        <w:rPr>
          <w:rStyle w:val="FootnoteReference"/>
          <w:lang w:val="en-GB"/>
        </w:rPr>
        <w:footnoteReference w:id="36"/>
      </w:r>
      <w:r w:rsidRPr="007C7FDF">
        <w:rPr>
          <w:color w:val="000000" w:themeColor="text1"/>
        </w:rPr>
        <w:t xml:space="preserve"> </w:t>
      </w:r>
      <w:r w:rsidR="1A892C87" w:rsidRPr="007C7FDF">
        <w:rPr>
          <w:color w:val="000000" w:themeColor="text1"/>
        </w:rPr>
        <w:t>If passed, the</w:t>
      </w:r>
      <w:r w:rsidRPr="007C7FDF">
        <w:rPr>
          <w:color w:val="000000" w:themeColor="text1"/>
        </w:rPr>
        <w:t xml:space="preserve"> law would violate the Constitution Article 10, Article, and the United Nations Convention on the Elimination of All Forms of Discrimination against </w:t>
      </w:r>
      <w:r w:rsidR="0945FAE6" w:rsidRPr="007C7FDF">
        <w:rPr>
          <w:color w:val="000000" w:themeColor="text1"/>
        </w:rPr>
        <w:t>W</w:t>
      </w:r>
      <w:r w:rsidRPr="007C7FDF">
        <w:rPr>
          <w:color w:val="000000" w:themeColor="text1"/>
        </w:rPr>
        <w:t>omen</w:t>
      </w:r>
      <w:r w:rsidR="4969F955" w:rsidRPr="007C7FDF">
        <w:rPr>
          <w:color w:val="000000" w:themeColor="text1"/>
        </w:rPr>
        <w:t xml:space="preserve">. </w:t>
      </w:r>
      <w:r w:rsidR="00D64DC8" w:rsidRPr="007C7FDF">
        <w:rPr>
          <w:rStyle w:val="FootnoteReference"/>
          <w:lang w:val="en-GB"/>
        </w:rPr>
        <w:footnoteReference w:id="37"/>
      </w:r>
    </w:p>
    <w:p w14:paraId="473DD72D" w14:textId="29151F86" w:rsidR="005F130F" w:rsidRPr="007C7FDF" w:rsidRDefault="005F130F" w:rsidP="0082778E">
      <w:pPr>
        <w:pStyle w:val="Paragraph"/>
      </w:pPr>
      <w:r w:rsidRPr="007C7FDF">
        <w:rPr>
          <w:b/>
          <w:bCs/>
        </w:rPr>
        <w:t xml:space="preserve">Suggested recommendations </w:t>
      </w:r>
    </w:p>
    <w:p w14:paraId="57B2D828" w14:textId="3D80FFF5" w:rsidR="007E3F32" w:rsidRPr="007C7FDF" w:rsidRDefault="0108573F" w:rsidP="04CAA791">
      <w:pPr>
        <w:pStyle w:val="Paragraph"/>
      </w:pPr>
      <w:r w:rsidRPr="007C7FDF">
        <w:rPr>
          <w:color w:val="000000" w:themeColor="text1"/>
        </w:rPr>
        <w:t xml:space="preserve">Amend </w:t>
      </w:r>
      <w:r w:rsidRPr="007C7FDF">
        <w:rPr>
          <w:rStyle w:val="normaltextrun"/>
        </w:rPr>
        <w:t xml:space="preserve">Article 187 of </w:t>
      </w:r>
      <w:r w:rsidR="461AAB45" w:rsidRPr="007C7FDF">
        <w:rPr>
          <w:rStyle w:val="normaltextrun"/>
        </w:rPr>
        <w:t>Türkiye</w:t>
      </w:r>
      <w:r w:rsidRPr="007C7FDF">
        <w:rPr>
          <w:rStyle w:val="normaltextrun"/>
        </w:rPr>
        <w:t>’s Civil Code</w:t>
      </w:r>
      <w:r w:rsidRPr="007C7FDF">
        <w:rPr>
          <w:color w:val="000000" w:themeColor="text1"/>
        </w:rPr>
        <w:t xml:space="preserve"> to ensure that all women </w:t>
      </w:r>
      <w:r w:rsidR="2F239B93" w:rsidRPr="007C7FDF">
        <w:rPr>
          <w:color w:val="000000" w:themeColor="text1"/>
        </w:rPr>
        <w:t>can exercise their freedom to keep their maiden name</w:t>
      </w:r>
      <w:r w:rsidR="025D66A9" w:rsidRPr="007C7FDF">
        <w:rPr>
          <w:color w:val="000000" w:themeColor="text1"/>
        </w:rPr>
        <w:t xml:space="preserve"> without any substantive or procedural errors</w:t>
      </w:r>
      <w:r w:rsidR="2656F8CD" w:rsidRPr="007C7FDF">
        <w:rPr>
          <w:color w:val="000000" w:themeColor="text1"/>
        </w:rPr>
        <w:t xml:space="preserve"> in fulfillment of the </w:t>
      </w:r>
      <w:r w:rsidR="2586C78A" w:rsidRPr="007C7FDF">
        <w:rPr>
          <w:color w:val="000000" w:themeColor="text1"/>
        </w:rPr>
        <w:t>ECHR</w:t>
      </w:r>
      <w:r w:rsidR="2656F8CD" w:rsidRPr="007C7FDF">
        <w:rPr>
          <w:color w:val="000000" w:themeColor="text1"/>
        </w:rPr>
        <w:t xml:space="preserve"> </w:t>
      </w:r>
      <w:r w:rsidR="2586C78A" w:rsidRPr="007C7FDF">
        <w:rPr>
          <w:color w:val="000000" w:themeColor="text1"/>
        </w:rPr>
        <w:t>judgment</w:t>
      </w:r>
      <w:r w:rsidR="2656F8CD" w:rsidRPr="007C7FDF">
        <w:rPr>
          <w:color w:val="000000" w:themeColor="text1"/>
        </w:rPr>
        <w:t xml:space="preserve"> </w:t>
      </w:r>
      <w:r w:rsidR="2656F8CD" w:rsidRPr="007C7FDF">
        <w:rPr>
          <w:rStyle w:val="normaltextrun"/>
          <w:i/>
          <w:iCs/>
          <w:color w:val="000000" w:themeColor="text1"/>
        </w:rPr>
        <w:t xml:space="preserve">Ünal Tekeli v. </w:t>
      </w:r>
      <w:r w:rsidR="461AAB45" w:rsidRPr="007C7FDF">
        <w:rPr>
          <w:rStyle w:val="normaltextrun"/>
          <w:i/>
          <w:iCs/>
          <w:color w:val="000000" w:themeColor="text1"/>
        </w:rPr>
        <w:t>Türkiye</w:t>
      </w:r>
      <w:r w:rsidR="2656F8CD" w:rsidRPr="007C7FDF">
        <w:rPr>
          <w:rStyle w:val="normaltextrun"/>
        </w:rPr>
        <w:t xml:space="preserve"> (2005) and other related judgments.</w:t>
      </w:r>
    </w:p>
    <w:p w14:paraId="5778C7B9" w14:textId="13B8CE91" w:rsidR="005F130F" w:rsidRPr="004B1E4E" w:rsidRDefault="479FA891" w:rsidP="04CAA791">
      <w:pPr>
        <w:pStyle w:val="SectionHeading"/>
        <w:numPr>
          <w:ilvl w:val="0"/>
          <w:numId w:val="0"/>
        </w:numPr>
      </w:pPr>
      <w:r>
        <w:lastRenderedPageBreak/>
        <w:t xml:space="preserve">Rights of Migrant Women in </w:t>
      </w:r>
      <w:r w:rsidR="461AAB45">
        <w:t>Türkiye</w:t>
      </w:r>
    </w:p>
    <w:p w14:paraId="4F92F499" w14:textId="71EA4788" w:rsidR="005F130F" w:rsidRDefault="21387D30" w:rsidP="005F130F">
      <w:pPr>
        <w:pStyle w:val="Paragraph"/>
      </w:pPr>
      <w:r>
        <w:t xml:space="preserve">The Committee raised in its 2021 List of Issues Prior to Reporting </w:t>
      </w:r>
      <w:r w:rsidR="3241307D">
        <w:t xml:space="preserve">reports of expulsion of migrants, refugees, and asylum seekers that are conducted </w:t>
      </w:r>
      <w:r w:rsidR="698AEC5D">
        <w:t xml:space="preserve">in a manner that violates international standards and run contrary to the right to </w:t>
      </w:r>
      <w:r w:rsidR="698AEC5D" w:rsidRPr="04CAA791">
        <w:rPr>
          <w:i/>
          <w:iCs/>
        </w:rPr>
        <w:t>non-refoulement</w:t>
      </w:r>
      <w:r w:rsidR="698AEC5D">
        <w:t>.</w:t>
      </w:r>
      <w:r w:rsidR="00F90ACD">
        <w:rPr>
          <w:rStyle w:val="FootnoteReference"/>
        </w:rPr>
        <w:footnoteReference w:id="38"/>
      </w:r>
      <w:r w:rsidR="75A6802B">
        <w:t xml:space="preserve"> The Committee also noted concerns about </w:t>
      </w:r>
      <w:r w:rsidR="145C9CC8">
        <w:t xml:space="preserve">access to shelters and psychosocial </w:t>
      </w:r>
      <w:r w:rsidR="490876DA">
        <w:t>s</w:t>
      </w:r>
      <w:r w:rsidR="145C9CC8">
        <w:t>ervices for victim</w:t>
      </w:r>
      <w:r w:rsidR="23F09B3D">
        <w:t>-</w:t>
      </w:r>
      <w:r w:rsidR="145C9CC8">
        <w:t>s</w:t>
      </w:r>
      <w:r w:rsidR="23F09B3D">
        <w:t>urvivors</w:t>
      </w:r>
      <w:r w:rsidR="145C9CC8">
        <w:t xml:space="preserve"> of </w:t>
      </w:r>
      <w:r w:rsidR="490876DA">
        <w:t>violence against women.</w:t>
      </w:r>
      <w:r w:rsidR="00F90ACD">
        <w:rPr>
          <w:rStyle w:val="FootnoteReference"/>
        </w:rPr>
        <w:footnoteReference w:id="39"/>
      </w:r>
      <w:r w:rsidR="490876DA">
        <w:t xml:space="preserve"> </w:t>
      </w:r>
    </w:p>
    <w:p w14:paraId="53BE7D1A" w14:textId="3710B1A9" w:rsidR="005F130F" w:rsidRDefault="1509B216" w:rsidP="005F130F">
      <w:pPr>
        <w:pStyle w:val="Paragraph"/>
      </w:pPr>
      <w:r>
        <w:t xml:space="preserve">Regarding </w:t>
      </w:r>
      <w:r w:rsidR="3E16FBB8" w:rsidRPr="04CAA791">
        <w:rPr>
          <w:i/>
          <w:iCs/>
        </w:rPr>
        <w:t>non-refoulement</w:t>
      </w:r>
      <w:r w:rsidR="3E16FBB8">
        <w:t xml:space="preserve">, </w:t>
      </w:r>
      <w:r w:rsidR="461AAB45">
        <w:t>Türkiye</w:t>
      </w:r>
      <w:r w:rsidR="3E16FBB8">
        <w:t xml:space="preserve"> noted its legal framework upholding the principle in line with the 1951 Convention on the Status of Refugees </w:t>
      </w:r>
      <w:r w:rsidR="5CD8C281">
        <w:t>as reflected in Law no. 6458 Article 4</w:t>
      </w:r>
      <w:r w:rsidR="5CDAD962">
        <w:t xml:space="preserve"> and return procedures implemented according to various national programs and </w:t>
      </w:r>
      <w:r w:rsidR="1E9515C6">
        <w:t>readmission agreements.</w:t>
      </w:r>
      <w:r w:rsidR="00DD1FAF" w:rsidRPr="007D2D9D">
        <w:rPr>
          <w:rStyle w:val="FootnoteReference"/>
          <w:lang w:val="en-GB"/>
        </w:rPr>
        <w:footnoteReference w:id="40"/>
      </w:r>
      <w:r w:rsidR="1E9515C6">
        <w:t xml:space="preserve"> It provided no response regarding </w:t>
      </w:r>
      <w:r w:rsidR="00F2289C">
        <w:t xml:space="preserve">the </w:t>
      </w:r>
      <w:r w:rsidR="1E9515C6">
        <w:t xml:space="preserve">review of actual return practices. </w:t>
      </w:r>
      <w:r w:rsidR="23F09B3D">
        <w:t>Shelters and psychosocial support services for victim-survivors of violence against women were discussed without reference to access based on nationality</w:t>
      </w:r>
      <w:r w:rsidR="00F2289C">
        <w:t>.</w:t>
      </w:r>
      <w:r w:rsidR="00DE21BA" w:rsidRPr="007D2D9D">
        <w:rPr>
          <w:rStyle w:val="FootnoteReference"/>
          <w:lang w:val="en-GB"/>
        </w:rPr>
        <w:footnoteReference w:id="41"/>
      </w:r>
      <w:r w:rsidR="5ED52B95">
        <w:t xml:space="preserve"> </w:t>
      </w:r>
      <w:r w:rsidR="00F2289C">
        <w:t>Though</w:t>
      </w:r>
      <w:r w:rsidR="5ED52B95">
        <w:t xml:space="preserve"> </w:t>
      </w:r>
      <w:r w:rsidR="461AAB45">
        <w:t>Türkiye</w:t>
      </w:r>
      <w:r w:rsidR="5ED52B95">
        <w:t xml:space="preserve"> mentioned a project implemented with the UN Population Fund focusing on gender-based violence experienced by Syrians in </w:t>
      </w:r>
      <w:r w:rsidR="461AAB45">
        <w:t>Türkiye</w:t>
      </w:r>
      <w:r w:rsidR="5ED52B95">
        <w:t>.</w:t>
      </w:r>
      <w:r w:rsidR="00DE21BA" w:rsidRPr="007D2D9D">
        <w:rPr>
          <w:rStyle w:val="FootnoteReference"/>
          <w:lang w:val="en-GB"/>
        </w:rPr>
        <w:footnoteReference w:id="42"/>
      </w:r>
      <w:r w:rsidR="6BFD0C93">
        <w:t xml:space="preserve"> </w:t>
      </w:r>
    </w:p>
    <w:p w14:paraId="61A494F9" w14:textId="1BA60918" w:rsidR="6EC88C56" w:rsidRDefault="095C5510" w:rsidP="004323E5">
      <w:pPr>
        <w:pStyle w:val="Paragraph"/>
        <w:spacing w:line="276" w:lineRule="auto"/>
        <w:rPr>
          <w:color w:val="000000" w:themeColor="text1"/>
        </w:rPr>
      </w:pPr>
      <w:r w:rsidRPr="7C88F3AB">
        <w:rPr>
          <w:color w:val="000000" w:themeColor="text1"/>
        </w:rPr>
        <w:t xml:space="preserve">While </w:t>
      </w:r>
      <w:r w:rsidR="461AAB45" w:rsidRPr="7C88F3AB">
        <w:rPr>
          <w:color w:val="000000" w:themeColor="text1"/>
        </w:rPr>
        <w:t>Türkiye</w:t>
      </w:r>
      <w:r w:rsidRPr="7C88F3AB">
        <w:rPr>
          <w:color w:val="000000" w:themeColor="text1"/>
        </w:rPr>
        <w:t xml:space="preserve"> currently provides temporary protection for 3.6 million Syrian refugees, </w:t>
      </w:r>
      <w:r w:rsidR="77323A23">
        <w:rPr>
          <w:color w:val="000000" w:themeColor="text1"/>
        </w:rPr>
        <w:t>i</w:t>
      </w:r>
      <w:r w:rsidRPr="7C88F3AB">
        <w:rPr>
          <w:color w:val="000000" w:themeColor="text1"/>
        </w:rPr>
        <w:t>ndicated strong anti-refugee sentiment</w:t>
      </w:r>
      <w:r w:rsidR="2F38A077" w:rsidRPr="7C88F3AB">
        <w:rPr>
          <w:color w:val="000000" w:themeColor="text1"/>
        </w:rPr>
        <w:t>.</w:t>
      </w:r>
      <w:r w:rsidR="6EC88C56" w:rsidRPr="7C88F3AB">
        <w:rPr>
          <w:rStyle w:val="FootnoteReference"/>
          <w:lang w:val="en-GB"/>
        </w:rPr>
        <w:footnoteReference w:id="43"/>
      </w:r>
      <w:r w:rsidR="6FDCAE98" w:rsidRPr="7C88F3AB">
        <w:rPr>
          <w:color w:val="000000" w:themeColor="text1"/>
        </w:rPr>
        <w:t xml:space="preserve"> </w:t>
      </w:r>
      <w:r w:rsidRPr="7C88F3AB">
        <w:rPr>
          <w:color w:val="000000" w:themeColor="text1"/>
        </w:rPr>
        <w:t>This view is reflected by the State Party’s vow to resettle refugees in areas of Turkish-occupied Syria</w:t>
      </w:r>
      <w:r w:rsidR="78E3D53F" w:rsidRPr="7C88F3AB">
        <w:rPr>
          <w:color w:val="000000" w:themeColor="text1"/>
        </w:rPr>
        <w:t>.</w:t>
      </w:r>
      <w:r w:rsidR="6EC88C56" w:rsidRPr="7C88F3AB">
        <w:rPr>
          <w:rStyle w:val="FootnoteReference"/>
          <w:lang w:val="en-GB"/>
        </w:rPr>
        <w:footnoteReference w:id="44"/>
      </w:r>
      <w:r w:rsidR="2E946352" w:rsidRPr="7C88F3AB">
        <w:rPr>
          <w:color w:val="000000" w:themeColor="text1"/>
        </w:rPr>
        <w:t xml:space="preserve"> </w:t>
      </w:r>
      <w:r w:rsidRPr="7C88F3AB">
        <w:rPr>
          <w:color w:val="000000" w:themeColor="text1"/>
        </w:rPr>
        <w:t xml:space="preserve">Additionally, </w:t>
      </w:r>
      <w:r w:rsidR="7FBAE5D5" w:rsidRPr="02A77751">
        <w:rPr>
          <w:color w:val="000000" w:themeColor="text1"/>
        </w:rPr>
        <w:t xml:space="preserve">anti-immigrant sentiment spurred Turkish authorities </w:t>
      </w:r>
      <w:r w:rsidR="74F5A2F0" w:rsidRPr="02A77751">
        <w:rPr>
          <w:color w:val="000000" w:themeColor="text1"/>
        </w:rPr>
        <w:t xml:space="preserve">to </w:t>
      </w:r>
      <w:r w:rsidRPr="7C88F3AB">
        <w:rPr>
          <w:color w:val="000000" w:themeColor="text1"/>
        </w:rPr>
        <w:t>arrest and deport hundreds</w:t>
      </w:r>
      <w:r w:rsidRPr="02A77751">
        <w:rPr>
          <w:color w:val="000000" w:themeColor="text1"/>
        </w:rPr>
        <w:t xml:space="preserve"> of Syrians between February and July of 2022</w:t>
      </w:r>
      <w:r w:rsidR="146203CD" w:rsidRPr="02A77751">
        <w:rPr>
          <w:color w:val="000000" w:themeColor="text1"/>
        </w:rPr>
        <w:t>.</w:t>
      </w:r>
      <w:r w:rsidR="6EC88C56" w:rsidRPr="7C88F3AB">
        <w:rPr>
          <w:rStyle w:val="FootnoteReference"/>
          <w:lang w:val="en-GB"/>
        </w:rPr>
        <w:footnoteReference w:id="45"/>
      </w:r>
      <w:r w:rsidRPr="7C88F3AB">
        <w:rPr>
          <w:color w:val="000000" w:themeColor="text1"/>
        </w:rPr>
        <w:t>Furthermore, at least 28,734 Afghans were returned to Afghanistan in the same year according to the Ministry of the Interior</w:t>
      </w:r>
      <w:r w:rsidR="124A4732" w:rsidRPr="7C88F3AB">
        <w:rPr>
          <w:color w:val="000000" w:themeColor="text1"/>
        </w:rPr>
        <w:t>.</w:t>
      </w:r>
      <w:r w:rsidR="6EC88C56" w:rsidRPr="7C88F3AB">
        <w:rPr>
          <w:rStyle w:val="FootnoteReference"/>
          <w:lang w:val="en-GB"/>
        </w:rPr>
        <w:footnoteReference w:id="46"/>
      </w:r>
      <w:r w:rsidR="63DACD67" w:rsidRPr="7C88F3AB">
        <w:rPr>
          <w:color w:val="000000" w:themeColor="text1"/>
        </w:rPr>
        <w:t xml:space="preserve"> </w:t>
      </w:r>
      <w:r w:rsidRPr="7C88F3AB">
        <w:rPr>
          <w:color w:val="000000" w:themeColor="text1"/>
        </w:rPr>
        <w:t xml:space="preserve">Migrants also report being forced to sign forms </w:t>
      </w:r>
      <w:r w:rsidR="007F7B36">
        <w:rPr>
          <w:color w:val="000000" w:themeColor="text1"/>
        </w:rPr>
        <w:t>that</w:t>
      </w:r>
      <w:r w:rsidRPr="7C88F3AB">
        <w:rPr>
          <w:color w:val="000000" w:themeColor="text1"/>
        </w:rPr>
        <w:t xml:space="preserve"> </w:t>
      </w:r>
      <w:r w:rsidR="49296404" w:rsidRPr="7C88F3AB">
        <w:rPr>
          <w:color w:val="000000" w:themeColor="text1"/>
        </w:rPr>
        <w:t>claim</w:t>
      </w:r>
      <w:r w:rsidRPr="7C88F3AB">
        <w:rPr>
          <w:color w:val="000000" w:themeColor="text1"/>
        </w:rPr>
        <w:t xml:space="preserve"> they had voluntarily agreed to return and being threatened with detention for not complying</w:t>
      </w:r>
      <w:r w:rsidR="135C1213" w:rsidRPr="7C88F3AB">
        <w:rPr>
          <w:color w:val="000000" w:themeColor="text1"/>
        </w:rPr>
        <w:t>.</w:t>
      </w:r>
      <w:r w:rsidR="6EC88C56" w:rsidRPr="7C88F3AB">
        <w:rPr>
          <w:rStyle w:val="FootnoteReference"/>
          <w:lang w:val="en-GB"/>
        </w:rPr>
        <w:footnoteReference w:id="47"/>
      </w:r>
      <w:r w:rsidRPr="7C88F3AB">
        <w:rPr>
          <w:color w:val="000000" w:themeColor="text1"/>
        </w:rPr>
        <w:t xml:space="preserve"> According to Turkish officials about 340,000 refugees have voluntarily returned </w:t>
      </w:r>
      <w:r w:rsidRPr="7C88F3AB">
        <w:rPr>
          <w:color w:val="000000" w:themeColor="text1"/>
        </w:rPr>
        <w:lastRenderedPageBreak/>
        <w:t>to Syria by 2019</w:t>
      </w:r>
      <w:r w:rsidR="77222CEC">
        <w:rPr>
          <w:color w:val="000000" w:themeColor="text1"/>
        </w:rPr>
        <w:t xml:space="preserve">. Still, </w:t>
      </w:r>
      <w:r w:rsidR="004323E5" w:rsidRPr="004323E5">
        <w:rPr>
          <w:color w:val="000000" w:themeColor="text1"/>
        </w:rPr>
        <w:t>United Nations High Commissioner for Refugees</w:t>
      </w:r>
      <w:r w:rsidR="004323E5" w:rsidRPr="004323E5">
        <w:rPr>
          <w:color w:val="000000" w:themeColor="text1"/>
        </w:rPr>
        <w:t xml:space="preserve"> </w:t>
      </w:r>
      <w:r w:rsidR="00783E24">
        <w:rPr>
          <w:color w:val="000000" w:themeColor="text1"/>
        </w:rPr>
        <w:t>(</w:t>
      </w:r>
      <w:r w:rsidR="77222CEC">
        <w:rPr>
          <w:color w:val="000000" w:themeColor="text1"/>
        </w:rPr>
        <w:t>UNHCR</w:t>
      </w:r>
      <w:r w:rsidR="00783E24">
        <w:rPr>
          <w:color w:val="000000" w:themeColor="text1"/>
        </w:rPr>
        <w:t>)</w:t>
      </w:r>
      <w:r w:rsidRPr="7C88F3AB">
        <w:rPr>
          <w:color w:val="000000" w:themeColor="text1"/>
        </w:rPr>
        <w:t xml:space="preserve"> has only monitored 62,000 returnees, signifying that there is a discrepancy between the State Party’s reports and international monitoring</w:t>
      </w:r>
      <w:r w:rsidR="164D880F" w:rsidRPr="7C88F3AB">
        <w:rPr>
          <w:color w:val="000000" w:themeColor="text1"/>
        </w:rPr>
        <w:t>.</w:t>
      </w:r>
      <w:r w:rsidR="6EC88C56" w:rsidRPr="7C88F3AB">
        <w:rPr>
          <w:rStyle w:val="FootnoteReference"/>
          <w:lang w:val="en-GB"/>
        </w:rPr>
        <w:footnoteReference w:id="48"/>
      </w:r>
      <w:r w:rsidR="1A10E954" w:rsidRPr="7C88F3AB">
        <w:rPr>
          <w:color w:val="000000" w:themeColor="text1"/>
        </w:rPr>
        <w:t xml:space="preserve"> </w:t>
      </w:r>
      <w:r w:rsidRPr="7C88F3AB">
        <w:rPr>
          <w:color w:val="000000" w:themeColor="text1"/>
        </w:rPr>
        <w:t>The process of deportation usually takes months, but human rights lawyers reveal that clients are deported within a few days</w:t>
      </w:r>
      <w:r w:rsidR="7130D4CB" w:rsidRPr="7C88F3AB">
        <w:rPr>
          <w:color w:val="000000" w:themeColor="text1"/>
        </w:rPr>
        <w:t>.</w:t>
      </w:r>
      <w:r w:rsidR="6EC88C56" w:rsidRPr="7C88F3AB">
        <w:rPr>
          <w:rStyle w:val="FootnoteReference"/>
          <w:lang w:val="en-GB"/>
        </w:rPr>
        <w:footnoteReference w:id="49"/>
      </w:r>
    </w:p>
    <w:p w14:paraId="3B12A9D3" w14:textId="5C298DFB" w:rsidR="6EC88C56" w:rsidRDefault="095C5510" w:rsidP="7C88F3AB">
      <w:pPr>
        <w:pStyle w:val="Paragraph"/>
        <w:spacing w:line="276" w:lineRule="auto"/>
        <w:rPr>
          <w:color w:val="000000" w:themeColor="text1"/>
        </w:rPr>
      </w:pPr>
      <w:r w:rsidRPr="7C88F3AB">
        <w:rPr>
          <w:color w:val="000000" w:themeColor="text1"/>
        </w:rPr>
        <w:t>Once they are deported, migrants, especially women and members of the LGBT+ community, can face serious consequences</w:t>
      </w:r>
      <w:r w:rsidR="3AEA15AC" w:rsidRPr="7C88F3AB">
        <w:rPr>
          <w:color w:val="000000" w:themeColor="text1"/>
        </w:rPr>
        <w:t xml:space="preserve">. </w:t>
      </w:r>
      <w:r w:rsidR="6EC88C56" w:rsidRPr="7C88F3AB">
        <w:rPr>
          <w:rStyle w:val="FootnoteReference"/>
          <w:lang w:val="en-GB"/>
        </w:rPr>
        <w:footnoteReference w:id="50"/>
      </w:r>
      <w:r w:rsidR="3AEA15AC" w:rsidRPr="7C88F3AB">
        <w:rPr>
          <w:color w:val="000000" w:themeColor="text1"/>
        </w:rPr>
        <w:t xml:space="preserve"> </w:t>
      </w:r>
      <w:r w:rsidRPr="7C88F3AB">
        <w:rPr>
          <w:color w:val="000000" w:themeColor="text1"/>
        </w:rPr>
        <w:t>For example, a trans woman who had all proper documents</w:t>
      </w:r>
      <w:r w:rsidR="0559758D" w:rsidRPr="7C88F3AB">
        <w:rPr>
          <w:color w:val="000000" w:themeColor="text1"/>
        </w:rPr>
        <w:t xml:space="preserve">, </w:t>
      </w:r>
      <w:r w:rsidRPr="7C88F3AB">
        <w:rPr>
          <w:color w:val="000000" w:themeColor="text1"/>
        </w:rPr>
        <w:t xml:space="preserve">living in </w:t>
      </w:r>
      <w:r w:rsidR="461AAB45" w:rsidRPr="7C88F3AB">
        <w:rPr>
          <w:color w:val="000000" w:themeColor="text1"/>
        </w:rPr>
        <w:t>Türkiye</w:t>
      </w:r>
      <w:r w:rsidRPr="7C88F3AB">
        <w:rPr>
          <w:color w:val="000000" w:themeColor="text1"/>
        </w:rPr>
        <w:t xml:space="preserve"> </w:t>
      </w:r>
      <w:r w:rsidR="3392596B" w:rsidRPr="7C88F3AB">
        <w:rPr>
          <w:color w:val="000000" w:themeColor="text1"/>
        </w:rPr>
        <w:t xml:space="preserve">legally </w:t>
      </w:r>
      <w:r w:rsidRPr="7C88F3AB">
        <w:rPr>
          <w:color w:val="000000" w:themeColor="text1"/>
        </w:rPr>
        <w:t>in 2019, was detained by police for trying to obtain medical aid for her partner.</w:t>
      </w:r>
      <w:r w:rsidR="4B108179" w:rsidRPr="2F47A414">
        <w:rPr>
          <w:color w:val="000000" w:themeColor="text1"/>
        </w:rPr>
        <w:t xml:space="preserve"> </w:t>
      </w:r>
      <w:r w:rsidR="6EC88C56" w:rsidRPr="2F47A414">
        <w:rPr>
          <w:rStyle w:val="FootnoteReference"/>
          <w:lang w:val="en-GB"/>
        </w:rPr>
        <w:footnoteReference w:id="51"/>
      </w:r>
      <w:r w:rsidRPr="7C88F3AB">
        <w:rPr>
          <w:color w:val="000000" w:themeColor="text1"/>
        </w:rPr>
        <w:t xml:space="preserve"> She contacted UNHCR to appeal the decision to deport, but she was returned to Syria the next day</w:t>
      </w:r>
      <w:r w:rsidR="42C57751" w:rsidRPr="2F47A414">
        <w:rPr>
          <w:color w:val="000000" w:themeColor="text1"/>
        </w:rPr>
        <w:t>.</w:t>
      </w:r>
      <w:r w:rsidR="6EC88C56" w:rsidRPr="2F47A414">
        <w:rPr>
          <w:rStyle w:val="FootnoteReference"/>
          <w:lang w:val="en-GB"/>
        </w:rPr>
        <w:footnoteReference w:id="52"/>
      </w:r>
      <w:r w:rsidRPr="7C88F3AB">
        <w:rPr>
          <w:color w:val="000000" w:themeColor="text1"/>
        </w:rPr>
        <w:t xml:space="preserve"> She was taken by Hayat Tahrir al-Sham agents</w:t>
      </w:r>
      <w:r w:rsidR="76F49532" w:rsidRPr="7C88F3AB">
        <w:rPr>
          <w:color w:val="000000" w:themeColor="text1"/>
        </w:rPr>
        <w:t xml:space="preserve"> </w:t>
      </w:r>
      <w:r w:rsidR="1F6D3937" w:rsidRPr="7C88F3AB">
        <w:rPr>
          <w:color w:val="000000" w:themeColor="text1"/>
        </w:rPr>
        <w:t>a</w:t>
      </w:r>
      <w:r w:rsidRPr="7C88F3AB">
        <w:rPr>
          <w:color w:val="000000" w:themeColor="text1"/>
        </w:rPr>
        <w:t xml:space="preserve">nd forced into the trunk of a car 100 meters from the border. She has not been heard from since </w:t>
      </w:r>
      <w:r w:rsidR="29A9F786" w:rsidRPr="7C88F3AB">
        <w:rPr>
          <w:color w:val="000000" w:themeColor="text1"/>
        </w:rPr>
        <w:t>then</w:t>
      </w:r>
      <w:r w:rsidRPr="7C88F3AB">
        <w:rPr>
          <w:color w:val="000000" w:themeColor="text1"/>
        </w:rPr>
        <w:t>.</w:t>
      </w:r>
      <w:r w:rsidR="6EC88C56" w:rsidRPr="2F47A414">
        <w:rPr>
          <w:rStyle w:val="FootnoteReference"/>
          <w:lang w:val="en-GB"/>
        </w:rPr>
        <w:footnoteReference w:id="53"/>
      </w:r>
      <w:r w:rsidR="6CC80CAF" w:rsidRPr="7C88F3AB">
        <w:rPr>
          <w:color w:val="000000" w:themeColor="text1"/>
        </w:rPr>
        <w:t xml:space="preserve"> Actions taken against this woman violate international non-refoulment standards and Turkish law</w:t>
      </w:r>
      <w:r w:rsidR="002D0A7E">
        <w:rPr>
          <w:color w:val="000000" w:themeColor="text1"/>
        </w:rPr>
        <w:t>,</w:t>
      </w:r>
      <w:r w:rsidR="6CC80CAF" w:rsidRPr="7C88F3AB">
        <w:rPr>
          <w:color w:val="000000" w:themeColor="text1"/>
        </w:rPr>
        <w:t xml:space="preserve"> which </w:t>
      </w:r>
      <w:r w:rsidR="5BCE731D" w:rsidRPr="7C88F3AB">
        <w:rPr>
          <w:color w:val="000000" w:themeColor="text1"/>
        </w:rPr>
        <w:t>grant</w:t>
      </w:r>
      <w:r w:rsidR="565DBBF4" w:rsidRPr="7C88F3AB">
        <w:rPr>
          <w:color w:val="000000" w:themeColor="text1"/>
        </w:rPr>
        <w:t>s</w:t>
      </w:r>
      <w:r w:rsidR="6CC80CAF" w:rsidRPr="7C88F3AB">
        <w:rPr>
          <w:color w:val="000000" w:themeColor="text1"/>
        </w:rPr>
        <w:t xml:space="preserve"> a </w:t>
      </w:r>
      <w:r w:rsidR="4C46F951" w:rsidRPr="7C88F3AB">
        <w:rPr>
          <w:color w:val="000000" w:themeColor="text1"/>
        </w:rPr>
        <w:t>15-day</w:t>
      </w:r>
      <w:r w:rsidR="6CC80CAF" w:rsidRPr="7C88F3AB">
        <w:rPr>
          <w:color w:val="000000" w:themeColor="text1"/>
        </w:rPr>
        <w:t xml:space="preserve"> period to </w:t>
      </w:r>
      <w:r w:rsidR="36436551" w:rsidRPr="7C88F3AB">
        <w:rPr>
          <w:color w:val="000000" w:themeColor="text1"/>
        </w:rPr>
        <w:t>appeal deportations.</w:t>
      </w:r>
      <w:r w:rsidR="65AE67A8" w:rsidRPr="2F47A414">
        <w:rPr>
          <w:color w:val="000000" w:themeColor="text1"/>
        </w:rPr>
        <w:t xml:space="preserve"> </w:t>
      </w:r>
      <w:r w:rsidR="6EC88C56" w:rsidRPr="02A77751">
        <w:rPr>
          <w:rStyle w:val="FootnoteReference"/>
          <w:lang w:val="en-GB"/>
        </w:rPr>
        <w:footnoteReference w:id="54"/>
      </w:r>
    </w:p>
    <w:p w14:paraId="65B84DEA" w14:textId="1885B2D0" w:rsidR="7C88F3AB" w:rsidRDefault="68EC021E" w:rsidP="02A77751">
      <w:pPr>
        <w:pStyle w:val="Paragraph"/>
        <w:spacing w:line="276" w:lineRule="auto"/>
        <w:rPr>
          <w:color w:val="000000" w:themeColor="text1"/>
        </w:rPr>
      </w:pPr>
      <w:r w:rsidRPr="02A77751">
        <w:rPr>
          <w:color w:val="000000" w:themeColor="text1"/>
        </w:rPr>
        <w:t xml:space="preserve">When not facing deportation, migrant women are still at risk due to working conditions in </w:t>
      </w:r>
      <w:r w:rsidR="461AAB45" w:rsidRPr="02A77751">
        <w:rPr>
          <w:color w:val="000000" w:themeColor="text1"/>
        </w:rPr>
        <w:t>Türkiye</w:t>
      </w:r>
      <w:r w:rsidRPr="02A77751">
        <w:rPr>
          <w:color w:val="000000" w:themeColor="text1"/>
        </w:rPr>
        <w:t xml:space="preserve">. Financial need forces many migrant women to take informal low-paying positions, leaving them without insurance or retirement opportunities. </w:t>
      </w:r>
      <w:r w:rsidR="7C88F3AB" w:rsidRPr="02A77751">
        <w:rPr>
          <w:rStyle w:val="FootnoteReference"/>
          <w:lang w:val="en-GB"/>
        </w:rPr>
        <w:footnoteReference w:id="55"/>
      </w:r>
      <w:r w:rsidRPr="02A77751">
        <w:rPr>
          <w:color w:val="000000" w:themeColor="text1"/>
        </w:rPr>
        <w:t xml:space="preserve"> They are usually paid less than their Turkish counterparts for the same work</w:t>
      </w:r>
      <w:r w:rsidR="1CEC8713" w:rsidRPr="02A77751">
        <w:rPr>
          <w:color w:val="000000" w:themeColor="text1"/>
        </w:rPr>
        <w:t>.</w:t>
      </w:r>
      <w:r w:rsidR="7C88F3AB" w:rsidRPr="02A77751">
        <w:rPr>
          <w:rStyle w:val="FootnoteReference"/>
          <w:lang w:val="en-GB"/>
        </w:rPr>
        <w:footnoteReference w:id="56"/>
      </w:r>
      <w:r w:rsidR="24176567" w:rsidRPr="02A77751">
        <w:rPr>
          <w:color w:val="000000" w:themeColor="text1"/>
        </w:rPr>
        <w:t xml:space="preserve"> </w:t>
      </w:r>
      <w:r w:rsidRPr="02A77751">
        <w:rPr>
          <w:color w:val="000000" w:themeColor="text1"/>
        </w:rPr>
        <w:t>Common positions for migrants, like housekeeping and care work, often come with occupational risks like injuries due to heavy lifting and exposure to harsh chemicals</w:t>
      </w:r>
      <w:r w:rsidR="50276E3B" w:rsidRPr="02A77751">
        <w:rPr>
          <w:color w:val="000000" w:themeColor="text1"/>
        </w:rPr>
        <w:t>.</w:t>
      </w:r>
      <w:r w:rsidR="7C88F3AB" w:rsidRPr="02A77751">
        <w:rPr>
          <w:rStyle w:val="FootnoteReference"/>
          <w:lang w:val="en-GB"/>
        </w:rPr>
        <w:footnoteReference w:id="57"/>
      </w:r>
      <w:r w:rsidR="2C22F3B4" w:rsidRPr="02A77751">
        <w:rPr>
          <w:color w:val="000000" w:themeColor="text1"/>
        </w:rPr>
        <w:t xml:space="preserve"> </w:t>
      </w:r>
      <w:r w:rsidRPr="02A77751">
        <w:rPr>
          <w:color w:val="000000" w:themeColor="text1"/>
        </w:rPr>
        <w:t xml:space="preserve">To avoid additional discrimination, some Syrian </w:t>
      </w:r>
      <w:r w:rsidRPr="02A77751">
        <w:rPr>
          <w:color w:val="000000" w:themeColor="text1"/>
        </w:rPr>
        <w:lastRenderedPageBreak/>
        <w:t>women report hiding their nationality to protect themselves from verbal harassment in the workplace</w:t>
      </w:r>
      <w:r w:rsidR="45F4C189" w:rsidRPr="02A77751">
        <w:rPr>
          <w:color w:val="000000" w:themeColor="text1"/>
        </w:rPr>
        <w:t>.</w:t>
      </w:r>
      <w:r w:rsidR="7C88F3AB" w:rsidRPr="02A77751">
        <w:rPr>
          <w:rStyle w:val="FootnoteReference"/>
          <w:lang w:val="en-GB"/>
        </w:rPr>
        <w:footnoteReference w:id="58"/>
      </w:r>
      <w:r w:rsidRPr="02A77751">
        <w:rPr>
          <w:color w:val="000000" w:themeColor="text1"/>
        </w:rPr>
        <w:t xml:space="preserve"> The State Party instituted reforms to the work permit system to prevent these types of risks to migrants</w:t>
      </w:r>
      <w:r w:rsidR="05FEC233" w:rsidRPr="02A77751">
        <w:rPr>
          <w:color w:val="000000" w:themeColor="text1"/>
        </w:rPr>
        <w:t>.</w:t>
      </w:r>
      <w:r w:rsidR="7C88F3AB" w:rsidRPr="02A77751">
        <w:rPr>
          <w:rStyle w:val="FootnoteReference"/>
          <w:lang w:val="en-GB"/>
        </w:rPr>
        <w:footnoteReference w:id="59"/>
      </w:r>
      <w:r w:rsidRPr="02A77751">
        <w:rPr>
          <w:color w:val="000000" w:themeColor="text1"/>
        </w:rPr>
        <w:t xml:space="preserve"> However, migrants face </w:t>
      </w:r>
      <w:r w:rsidR="002D0A7E">
        <w:rPr>
          <w:color w:val="000000" w:themeColor="text1"/>
        </w:rPr>
        <w:t>difficulty</w:t>
      </w:r>
      <w:r w:rsidRPr="02A77751">
        <w:rPr>
          <w:color w:val="000000" w:themeColor="text1"/>
        </w:rPr>
        <w:t xml:space="preserve"> obtaining these permits and have to adhere to strict requirements in order to maintain them</w:t>
      </w:r>
      <w:r w:rsidR="3D7D8274" w:rsidRPr="02A77751">
        <w:rPr>
          <w:color w:val="000000" w:themeColor="text1"/>
        </w:rPr>
        <w:t>.</w:t>
      </w:r>
      <w:r w:rsidR="7C88F3AB" w:rsidRPr="02A77751">
        <w:rPr>
          <w:rStyle w:val="FootnoteReference"/>
          <w:lang w:val="en-GB"/>
        </w:rPr>
        <w:footnoteReference w:id="60"/>
      </w:r>
      <w:r w:rsidR="3D7D8274" w:rsidRPr="02A77751">
        <w:rPr>
          <w:color w:val="000000" w:themeColor="text1"/>
        </w:rPr>
        <w:t xml:space="preserve"> </w:t>
      </w:r>
      <w:r w:rsidR="540F0529" w:rsidRPr="02A77751">
        <w:rPr>
          <w:color w:val="000000" w:themeColor="text1"/>
        </w:rPr>
        <w:t xml:space="preserve">There is a significant gender gap in the recipients of work permits, so </w:t>
      </w:r>
      <w:r w:rsidR="786D954A" w:rsidRPr="02A77751">
        <w:rPr>
          <w:color w:val="000000" w:themeColor="text1"/>
        </w:rPr>
        <w:t xml:space="preserve">migrant </w:t>
      </w:r>
      <w:r w:rsidR="540F0529" w:rsidRPr="02A77751">
        <w:rPr>
          <w:color w:val="000000" w:themeColor="text1"/>
        </w:rPr>
        <w:t>women are often less protected under the la</w:t>
      </w:r>
      <w:r w:rsidR="4368B1D6" w:rsidRPr="02A77751">
        <w:rPr>
          <w:color w:val="000000" w:themeColor="text1"/>
        </w:rPr>
        <w:t>w than their male counterparts</w:t>
      </w:r>
      <w:r w:rsidR="2569262F" w:rsidRPr="5EF71450">
        <w:rPr>
          <w:color w:val="000000" w:themeColor="text1"/>
        </w:rPr>
        <w:t>.</w:t>
      </w:r>
      <w:r w:rsidR="54C80F74" w:rsidRPr="5EF71450">
        <w:rPr>
          <w:rStyle w:val="FootnoteReference"/>
          <w:lang w:val="en-GB"/>
        </w:rPr>
        <w:footnoteReference w:id="61"/>
      </w:r>
      <w:r w:rsidR="67B58DAB" w:rsidRPr="02A77751">
        <w:rPr>
          <w:color w:val="000000" w:themeColor="text1"/>
        </w:rPr>
        <w:t xml:space="preserve"> </w:t>
      </w:r>
      <w:r w:rsidRPr="02A77751">
        <w:rPr>
          <w:color w:val="000000" w:themeColor="text1"/>
        </w:rPr>
        <w:t xml:space="preserve">Since the permits are tied to a specific employer, migrant women who experience </w:t>
      </w:r>
      <w:r w:rsidR="46A19424" w:rsidRPr="02A77751">
        <w:rPr>
          <w:color w:val="000000" w:themeColor="text1"/>
        </w:rPr>
        <w:t xml:space="preserve">sexual harassment or </w:t>
      </w:r>
      <w:r w:rsidRPr="02A77751">
        <w:rPr>
          <w:color w:val="000000" w:themeColor="text1"/>
        </w:rPr>
        <w:t>abuse in the workplace are unable to change jobs or seek recourse without losing their permit and source of income</w:t>
      </w:r>
      <w:r w:rsidR="4A28A113" w:rsidRPr="02A77751">
        <w:rPr>
          <w:color w:val="000000" w:themeColor="text1"/>
        </w:rPr>
        <w:t>.</w:t>
      </w:r>
      <w:r w:rsidR="7C88F3AB" w:rsidRPr="02A77751">
        <w:rPr>
          <w:rStyle w:val="FootnoteReference"/>
          <w:lang w:val="en-GB"/>
        </w:rPr>
        <w:footnoteReference w:id="62"/>
      </w:r>
    </w:p>
    <w:p w14:paraId="0A21E630" w14:textId="0D8B113E" w:rsidR="7C88F3AB" w:rsidRDefault="711F7F1D" w:rsidP="5EF71450">
      <w:pPr>
        <w:pStyle w:val="Paragraph"/>
        <w:spacing w:line="276" w:lineRule="auto"/>
        <w:rPr>
          <w:color w:val="000000" w:themeColor="text1"/>
        </w:rPr>
      </w:pPr>
      <w:r w:rsidRPr="5EF71450">
        <w:rPr>
          <w:color w:val="000000" w:themeColor="text1"/>
        </w:rPr>
        <w:t>Whether migrant women experience abuse at home or in their workplace, their status as migrants limits their access to resources. Language barriers are one of the first obstacles these women can experience when seeking support.</w:t>
      </w:r>
      <w:r w:rsidR="7C88F3AB" w:rsidRPr="5EF71450">
        <w:rPr>
          <w:rStyle w:val="FootnoteReference"/>
          <w:lang w:val="en-GB"/>
        </w:rPr>
        <w:footnoteReference w:id="63"/>
      </w:r>
      <w:r w:rsidRPr="5EF71450">
        <w:rPr>
          <w:color w:val="000000" w:themeColor="text1"/>
        </w:rPr>
        <w:t xml:space="preserve"> For example, a young Syrian woman who had been living in </w:t>
      </w:r>
      <w:r w:rsidR="461AAB45" w:rsidRPr="5EF71450">
        <w:rPr>
          <w:color w:val="000000" w:themeColor="text1"/>
        </w:rPr>
        <w:t>Türkiye</w:t>
      </w:r>
      <w:r w:rsidRPr="5EF71450">
        <w:rPr>
          <w:color w:val="000000" w:themeColor="text1"/>
        </w:rPr>
        <w:t xml:space="preserve"> for six years sought help when her husband started sending threats to her and her newly born child</w:t>
      </w:r>
      <w:r w:rsidR="12F81675" w:rsidRPr="5EF71450">
        <w:rPr>
          <w:color w:val="000000" w:themeColor="text1"/>
        </w:rPr>
        <w:t>.</w:t>
      </w:r>
      <w:r w:rsidR="7C88F3AB" w:rsidRPr="5EF71450">
        <w:rPr>
          <w:rStyle w:val="FootnoteReference"/>
          <w:lang w:val="en-GB"/>
        </w:rPr>
        <w:footnoteReference w:id="64"/>
      </w:r>
      <w:r w:rsidR="12F81675" w:rsidRPr="5EF71450">
        <w:rPr>
          <w:color w:val="000000" w:themeColor="text1"/>
        </w:rPr>
        <w:t xml:space="preserve"> </w:t>
      </w:r>
      <w:r w:rsidRPr="5EF71450">
        <w:rPr>
          <w:color w:val="000000" w:themeColor="text1"/>
        </w:rPr>
        <w:t>On February 22,</w:t>
      </w:r>
      <w:r w:rsidR="4DF2FA39" w:rsidRPr="5EF71450">
        <w:rPr>
          <w:color w:val="000000" w:themeColor="text1"/>
        </w:rPr>
        <w:t xml:space="preserve"> 2022,</w:t>
      </w:r>
      <w:r w:rsidRPr="5EF71450">
        <w:rPr>
          <w:color w:val="000000" w:themeColor="text1"/>
        </w:rPr>
        <w:t xml:space="preserve"> using a translator, she asked a hospital for help, and they directed her to the police</w:t>
      </w:r>
      <w:r w:rsidR="2FE9F027" w:rsidRPr="5EF71450">
        <w:rPr>
          <w:color w:val="000000" w:themeColor="text1"/>
        </w:rPr>
        <w:t>.</w:t>
      </w:r>
      <w:r w:rsidR="7C88F3AB" w:rsidRPr="5EF71450">
        <w:rPr>
          <w:rStyle w:val="FootnoteReference"/>
          <w:lang w:val="en-GB"/>
        </w:rPr>
        <w:footnoteReference w:id="65"/>
      </w:r>
      <w:r w:rsidRPr="5EF71450">
        <w:rPr>
          <w:color w:val="000000" w:themeColor="text1"/>
        </w:rPr>
        <w:t xml:space="preserve"> The police did not have a translator to explain the preventive order to her, so she was forced to find her own interpreter</w:t>
      </w:r>
      <w:r w:rsidR="74788FEE" w:rsidRPr="5EF71450">
        <w:rPr>
          <w:color w:val="000000" w:themeColor="text1"/>
        </w:rPr>
        <w:t>.</w:t>
      </w:r>
      <w:r w:rsidR="7C88F3AB" w:rsidRPr="5EF71450">
        <w:rPr>
          <w:rStyle w:val="FootnoteReference"/>
          <w:lang w:val="en-GB"/>
        </w:rPr>
        <w:footnoteReference w:id="66"/>
      </w:r>
      <w:r w:rsidRPr="5EF71450">
        <w:rPr>
          <w:color w:val="000000" w:themeColor="text1"/>
        </w:rPr>
        <w:t xml:space="preserve"> They also did not issue the order until March 5 nor inform the woman what to do if her husband violated the order</w:t>
      </w:r>
      <w:r w:rsidR="18B5151D" w:rsidRPr="5EF71450">
        <w:rPr>
          <w:color w:val="000000" w:themeColor="text1"/>
        </w:rPr>
        <w:t>.</w:t>
      </w:r>
      <w:r w:rsidR="7C88F3AB" w:rsidRPr="5EF71450">
        <w:rPr>
          <w:rStyle w:val="FootnoteReference"/>
          <w:lang w:val="en-GB"/>
        </w:rPr>
        <w:footnoteReference w:id="67"/>
      </w:r>
    </w:p>
    <w:p w14:paraId="243A2EF7" w14:textId="317CBDD4" w:rsidR="7C88F3AB" w:rsidRDefault="2DEE3EC4" w:rsidP="02A77751">
      <w:pPr>
        <w:pStyle w:val="Paragraph"/>
        <w:spacing w:line="276" w:lineRule="auto"/>
        <w:rPr>
          <w:color w:val="000000" w:themeColor="text1"/>
        </w:rPr>
      </w:pPr>
      <w:r w:rsidRPr="5EF71450">
        <w:rPr>
          <w:color w:val="000000" w:themeColor="text1"/>
        </w:rPr>
        <w:lastRenderedPageBreak/>
        <w:t>Deportation is a</w:t>
      </w:r>
      <w:r w:rsidR="18B5151D" w:rsidRPr="5EF71450">
        <w:rPr>
          <w:color w:val="000000" w:themeColor="text1"/>
        </w:rPr>
        <w:t xml:space="preserve">nother specific vulnerability that migrant women </w:t>
      </w:r>
      <w:r w:rsidR="0310445D" w:rsidRPr="5EF71450">
        <w:rPr>
          <w:color w:val="000000" w:themeColor="text1"/>
        </w:rPr>
        <w:t>encounter</w:t>
      </w:r>
      <w:r w:rsidR="18B5151D" w:rsidRPr="5EF71450">
        <w:rPr>
          <w:color w:val="000000" w:themeColor="text1"/>
        </w:rPr>
        <w:t xml:space="preserve"> when seeking help for domestic violence</w:t>
      </w:r>
      <w:r w:rsidR="1780CE8C" w:rsidRPr="5EF71450">
        <w:rPr>
          <w:color w:val="000000" w:themeColor="text1"/>
        </w:rPr>
        <w:t>.</w:t>
      </w:r>
      <w:r w:rsidR="18B5151D" w:rsidRPr="5EF71450">
        <w:rPr>
          <w:color w:val="000000" w:themeColor="text1"/>
        </w:rPr>
        <w:t xml:space="preserve"> The same woman discussed above hesitated to report her husband, fearing that he would be deported.</w:t>
      </w:r>
      <w:r w:rsidR="7C88F3AB" w:rsidRPr="5EF71450">
        <w:rPr>
          <w:rStyle w:val="FootnoteReference"/>
          <w:lang w:val="en-GB"/>
        </w:rPr>
        <w:footnoteReference w:id="68"/>
      </w:r>
      <w:r w:rsidR="18B5151D" w:rsidRPr="5EF71450">
        <w:rPr>
          <w:color w:val="000000" w:themeColor="text1"/>
        </w:rPr>
        <w:t xml:space="preserve"> The deportation of a partner can leave migrant women isolated and </w:t>
      </w:r>
      <w:r w:rsidR="6E47BAA0" w:rsidRPr="5EF71450">
        <w:rPr>
          <w:color w:val="000000" w:themeColor="text1"/>
        </w:rPr>
        <w:t>facing</w:t>
      </w:r>
      <w:r w:rsidR="18B5151D" w:rsidRPr="5EF71450">
        <w:rPr>
          <w:color w:val="000000" w:themeColor="text1"/>
        </w:rPr>
        <w:t xml:space="preserve"> greater economic hardships</w:t>
      </w:r>
      <w:r w:rsidR="1E5BA8C7" w:rsidRPr="5EF71450">
        <w:rPr>
          <w:color w:val="000000" w:themeColor="text1"/>
        </w:rPr>
        <w:t>.</w:t>
      </w:r>
      <w:r w:rsidR="7C88F3AB" w:rsidRPr="5EF71450">
        <w:rPr>
          <w:rStyle w:val="FootnoteReference"/>
          <w:lang w:val="en-GB"/>
        </w:rPr>
        <w:footnoteReference w:id="69"/>
      </w:r>
      <w:r w:rsidR="18B5151D" w:rsidRPr="5EF71450">
        <w:rPr>
          <w:color w:val="000000" w:themeColor="text1"/>
        </w:rPr>
        <w:t xml:space="preserve"> Alternatively, as a form of retaliation, their partner can counter-report them, so the women themselves can face deportation</w:t>
      </w:r>
      <w:r w:rsidR="24D42E66" w:rsidRPr="5EF71450">
        <w:rPr>
          <w:color w:val="000000" w:themeColor="text1"/>
        </w:rPr>
        <w:t>.</w:t>
      </w:r>
      <w:r w:rsidR="7C88F3AB" w:rsidRPr="5EF71450">
        <w:rPr>
          <w:rStyle w:val="FootnoteReference"/>
          <w:lang w:val="en-GB"/>
        </w:rPr>
        <w:footnoteReference w:id="70"/>
      </w:r>
      <w:r w:rsidR="24D42E66" w:rsidRPr="5EF71450">
        <w:rPr>
          <w:color w:val="000000" w:themeColor="text1"/>
        </w:rPr>
        <w:t xml:space="preserve"> </w:t>
      </w:r>
      <w:r w:rsidR="18B5151D" w:rsidRPr="5EF71450">
        <w:rPr>
          <w:color w:val="000000" w:themeColor="text1"/>
        </w:rPr>
        <w:t xml:space="preserve">Thus, if migrant women lack the appropriate documentation, they may hesitate to seek support from official institutions entirely. </w:t>
      </w:r>
    </w:p>
    <w:p w14:paraId="7C73DC1A" w14:textId="6017BC37" w:rsidR="265F348C" w:rsidRPr="007E0339" w:rsidRDefault="188710B8" w:rsidP="007E0339">
      <w:pPr>
        <w:pStyle w:val="Paragraph"/>
        <w:spacing w:line="276" w:lineRule="auto"/>
        <w:rPr>
          <w:color w:val="000000" w:themeColor="text1"/>
        </w:rPr>
      </w:pPr>
      <w:r w:rsidRPr="5EF71450">
        <w:rPr>
          <w:color w:val="000000" w:themeColor="text1"/>
        </w:rPr>
        <w:t>Migrant women are required to register and obtain documentation from migration authorities before entry into domestic violence shelters.</w:t>
      </w:r>
      <w:r w:rsidR="265F348C" w:rsidRPr="5EF71450">
        <w:rPr>
          <w:rStyle w:val="FootnoteReference"/>
          <w:lang w:val="en-GB"/>
        </w:rPr>
        <w:footnoteReference w:id="71"/>
      </w:r>
      <w:r w:rsidRPr="5EF71450">
        <w:rPr>
          <w:color w:val="000000" w:themeColor="text1"/>
        </w:rPr>
        <w:t xml:space="preserve"> Women who lack the proper documents are denied access to the shelters, perpetuating their vulnerability to their abuser</w:t>
      </w:r>
      <w:r w:rsidR="10F87510" w:rsidRPr="5EF71450">
        <w:rPr>
          <w:color w:val="000000" w:themeColor="text1"/>
        </w:rPr>
        <w:t>s</w:t>
      </w:r>
      <w:r w:rsidRPr="5EF71450">
        <w:rPr>
          <w:color w:val="000000" w:themeColor="text1"/>
        </w:rPr>
        <w:t>.</w:t>
      </w:r>
      <w:r w:rsidR="265F348C" w:rsidRPr="5EF71450">
        <w:rPr>
          <w:rStyle w:val="FootnoteReference"/>
          <w:lang w:val="en-GB"/>
        </w:rPr>
        <w:footnoteReference w:id="72"/>
      </w:r>
      <w:r w:rsidRPr="5EF71450">
        <w:rPr>
          <w:color w:val="000000" w:themeColor="text1"/>
        </w:rPr>
        <w:t xml:space="preserve"> Even migrant women with proper documentation are told to apply to shelters inside their provinces. Yet, it is within these provinces where women face the greatest risk of violence.</w:t>
      </w:r>
      <w:r w:rsidR="265F348C" w:rsidRPr="5EF71450">
        <w:rPr>
          <w:rStyle w:val="FootnoteReference"/>
          <w:lang w:val="en-GB"/>
        </w:rPr>
        <w:footnoteReference w:id="73"/>
      </w:r>
      <w:r w:rsidRPr="5EF71450">
        <w:rPr>
          <w:color w:val="000000" w:themeColor="text1"/>
        </w:rPr>
        <w:t xml:space="preserve"> Furthermore, unlike Turkish women, migrant women must file for divorce or report any violence to authorities even though there is no legal requirement to do so.</w:t>
      </w:r>
      <w:r w:rsidR="265F348C" w:rsidRPr="5EF71450">
        <w:rPr>
          <w:rStyle w:val="FootnoteReference"/>
          <w:lang w:val="en-GB"/>
        </w:rPr>
        <w:footnoteReference w:id="74"/>
      </w:r>
      <w:r w:rsidRPr="5EF71450">
        <w:rPr>
          <w:color w:val="000000" w:themeColor="text1"/>
        </w:rPr>
        <w:t xml:space="preserve"> Due to these compounding difficulties, migrant women tend not to receive </w:t>
      </w:r>
      <w:r w:rsidR="002D0A7E">
        <w:rPr>
          <w:color w:val="000000" w:themeColor="text1"/>
        </w:rPr>
        <w:t>assistance</w:t>
      </w:r>
      <w:r w:rsidRPr="5EF71450">
        <w:rPr>
          <w:color w:val="000000" w:themeColor="text1"/>
        </w:rPr>
        <w:t xml:space="preserve"> at shelters. However, </w:t>
      </w:r>
      <w:r w:rsidR="69B088E6" w:rsidRPr="5EF71450">
        <w:rPr>
          <w:color w:val="000000" w:themeColor="text1"/>
        </w:rPr>
        <w:t xml:space="preserve">in the case that </w:t>
      </w:r>
      <w:r w:rsidRPr="5EF71450">
        <w:rPr>
          <w:color w:val="000000" w:themeColor="text1"/>
        </w:rPr>
        <w:t>they do gain access to the shelters, migrant women experience discrimination from both social workers and other women at the shelter.</w:t>
      </w:r>
      <w:r w:rsidR="265F348C" w:rsidRPr="5EF71450">
        <w:rPr>
          <w:rStyle w:val="FootnoteReference"/>
          <w:lang w:val="en-GB"/>
        </w:rPr>
        <w:footnoteReference w:id="75"/>
      </w:r>
      <w:r w:rsidRPr="5EF71450">
        <w:rPr>
          <w:color w:val="000000" w:themeColor="text1"/>
        </w:rPr>
        <w:t xml:space="preserve"> The shelters do not provide culturally sensitive care, so the support migrant women receive is not tailored to their needs</w:t>
      </w:r>
      <w:r w:rsidR="3F6BB3C3" w:rsidRPr="5EF71450">
        <w:rPr>
          <w:color w:val="000000" w:themeColor="text1"/>
        </w:rPr>
        <w:t>.</w:t>
      </w:r>
      <w:r w:rsidR="265F348C" w:rsidRPr="5EF71450">
        <w:rPr>
          <w:rStyle w:val="FootnoteReference"/>
          <w:lang w:val="en-GB"/>
        </w:rPr>
        <w:footnoteReference w:id="76"/>
      </w:r>
      <w:r w:rsidRPr="5EF71450">
        <w:rPr>
          <w:color w:val="000000" w:themeColor="text1"/>
        </w:rPr>
        <w:t xml:space="preserve"> The shelters also lack appropriate interpreters who speak relevant languages, meaning migrant women cannot express their needs nor share their experiences easily</w:t>
      </w:r>
      <w:r w:rsidR="2BEFD649" w:rsidRPr="5EF71450">
        <w:rPr>
          <w:color w:val="000000" w:themeColor="text1"/>
        </w:rPr>
        <w:t>.</w:t>
      </w:r>
      <w:r w:rsidR="265F348C" w:rsidRPr="5EF71450">
        <w:rPr>
          <w:rStyle w:val="FootnoteReference"/>
          <w:lang w:val="en-GB"/>
        </w:rPr>
        <w:footnoteReference w:id="77"/>
      </w:r>
      <w:r w:rsidR="007E0339">
        <w:rPr>
          <w:color w:val="000000" w:themeColor="text1"/>
        </w:rPr>
        <w:t xml:space="preserve"> </w:t>
      </w:r>
      <w:r w:rsidR="007E0339">
        <w:rPr>
          <w:color w:val="000000" w:themeColor="text1"/>
        </w:rPr>
        <w:t>Unregistered migrant women cannot access these social support mechanisms at all. They are not accepted to the shelters.</w:t>
      </w:r>
      <w:r w:rsidR="007E0339">
        <w:rPr>
          <w:rStyle w:val="FootnoteReference"/>
          <w:color w:val="000000" w:themeColor="text1"/>
        </w:rPr>
        <w:footnoteReference w:id="78"/>
      </w:r>
      <w:r w:rsidR="007E0339">
        <w:rPr>
          <w:color w:val="000000" w:themeColor="text1"/>
        </w:rPr>
        <w:t xml:space="preserve"> </w:t>
      </w:r>
    </w:p>
    <w:p w14:paraId="2976176F" w14:textId="3E6D6EE5" w:rsidR="000D21D2" w:rsidRPr="007E0339" w:rsidRDefault="007E0339" w:rsidP="007E0339">
      <w:pPr>
        <w:pStyle w:val="Paragraph"/>
        <w:spacing w:line="276" w:lineRule="auto"/>
        <w:rPr>
          <w:color w:val="000000" w:themeColor="text1"/>
        </w:rPr>
      </w:pPr>
      <w:r>
        <w:rPr>
          <w:color w:val="000000" w:themeColor="text1"/>
        </w:rPr>
        <w:lastRenderedPageBreak/>
        <w:t>Regarding</w:t>
      </w:r>
      <w:r>
        <w:rPr>
          <w:color w:val="000000" w:themeColor="text1"/>
        </w:rPr>
        <w:t xml:space="preserve"> other social support mechanisms against</w:t>
      </w:r>
      <w:r>
        <w:rPr>
          <w:color w:val="000000" w:themeColor="text1"/>
        </w:rPr>
        <w:t xml:space="preserve"> gender-based violence</w:t>
      </w:r>
      <w:r>
        <w:rPr>
          <w:color w:val="000000" w:themeColor="text1"/>
        </w:rPr>
        <w:t xml:space="preserve">, there are similar difficulties for migrant women. </w:t>
      </w:r>
      <w:r w:rsidRPr="009C0A16">
        <w:rPr>
          <w:color w:val="000000" w:themeColor="text1"/>
        </w:rPr>
        <w:t>The Alo 183 Social Support Line</w:t>
      </w:r>
      <w:r>
        <w:rPr>
          <w:color w:val="000000" w:themeColor="text1"/>
        </w:rPr>
        <w:t xml:space="preserve"> provides support in Arabic, yet </w:t>
      </w:r>
      <w:r>
        <w:rPr>
          <w:color w:val="000000" w:themeColor="text1"/>
        </w:rPr>
        <w:t xml:space="preserve">it </w:t>
      </w:r>
      <w:r w:rsidRPr="009C0A16">
        <w:rPr>
          <w:color w:val="000000" w:themeColor="text1"/>
        </w:rPr>
        <w:t>is not an emergency hotline service</w:t>
      </w:r>
      <w:r>
        <w:rPr>
          <w:color w:val="000000" w:themeColor="text1"/>
        </w:rPr>
        <w:t xml:space="preserve"> that is dedicated to specialized support for women who experience violence. When migrant women apply for protective and preventive orders at the police stations, they face police officers who deter women and attempt mediation with the perpetrator. </w:t>
      </w:r>
      <w:r>
        <w:rPr>
          <w:rStyle w:val="FootnoteReference"/>
          <w:color w:val="000000" w:themeColor="text1"/>
        </w:rPr>
        <w:footnoteReference w:id="79"/>
      </w:r>
    </w:p>
    <w:p w14:paraId="16233EDF" w14:textId="30E7B2CB" w:rsidR="005F130F" w:rsidRPr="00646DE9" w:rsidRDefault="368B88BE" w:rsidP="005F130F">
      <w:pPr>
        <w:pStyle w:val="Paragraph"/>
      </w:pPr>
      <w:r w:rsidRPr="5EF71450">
        <w:rPr>
          <w:b/>
          <w:bCs/>
        </w:rPr>
        <w:t xml:space="preserve">Suggested recommendations </w:t>
      </w:r>
      <w:r w:rsidR="45A69881" w:rsidRPr="5EF71450">
        <w:rPr>
          <w:b/>
          <w:bCs/>
        </w:rPr>
        <w:t xml:space="preserve">  </w:t>
      </w:r>
    </w:p>
    <w:p w14:paraId="0A26EAC6" w14:textId="7A2C8192" w:rsidR="3FB3C68E" w:rsidRDefault="3FB3C68E" w:rsidP="5EF71450">
      <w:pPr>
        <w:pStyle w:val="BulletRecommendationsQuestions"/>
      </w:pPr>
      <w:r>
        <w:t>E</w:t>
      </w:r>
      <w:r w:rsidRPr="5EF71450">
        <w:t xml:space="preserve">nsure adherence to international </w:t>
      </w:r>
      <w:r w:rsidR="10872ABD" w:rsidRPr="5EF71450">
        <w:t>non-</w:t>
      </w:r>
      <w:r w:rsidRPr="5EF71450">
        <w:t xml:space="preserve">refoulment </w:t>
      </w:r>
      <w:r w:rsidR="67EB90A7" w:rsidRPr="5EF71450">
        <w:t>standards and domestic laws regarding deportation appeals</w:t>
      </w:r>
      <w:r w:rsidR="01B3611D" w:rsidRPr="5EF71450">
        <w:t>.</w:t>
      </w:r>
    </w:p>
    <w:p w14:paraId="5AD171AA" w14:textId="23414A9D" w:rsidR="17044605" w:rsidRDefault="17044605" w:rsidP="5EF71450">
      <w:pPr>
        <w:pStyle w:val="BulletRecommendationsQuestions"/>
        <w:rPr>
          <w:color w:val="161719"/>
          <w:lang w:val="en-GB"/>
        </w:rPr>
      </w:pPr>
      <w:r w:rsidRPr="5EF71450">
        <w:rPr>
          <w:color w:val="161719"/>
          <w:lang w:val="en-GB"/>
        </w:rPr>
        <w:t>Implement measurable steps to dismantle the set of legislation, policies</w:t>
      </w:r>
      <w:r w:rsidR="001E65B5">
        <w:rPr>
          <w:color w:val="161719"/>
          <w:lang w:val="en-GB"/>
        </w:rPr>
        <w:t>,</w:t>
      </w:r>
      <w:r w:rsidRPr="5EF71450">
        <w:rPr>
          <w:color w:val="161719"/>
          <w:lang w:val="en-GB"/>
        </w:rPr>
        <w:t xml:space="preserve"> and practices that foster the current anti-refugee rhetoric</w:t>
      </w:r>
      <w:r w:rsidR="7708A93F" w:rsidRPr="5EF71450">
        <w:rPr>
          <w:color w:val="161719"/>
          <w:lang w:val="en-GB"/>
        </w:rPr>
        <w:t>.</w:t>
      </w:r>
    </w:p>
    <w:p w14:paraId="1F7AFD57" w14:textId="1AD83B3C" w:rsidR="008C6C2D" w:rsidRDefault="008C6C2D" w:rsidP="008C6C2D">
      <w:pPr>
        <w:pStyle w:val="BulletRecommendationsQuestions"/>
        <w:rPr>
          <w:color w:val="161719"/>
          <w:lang w:val="en-GB"/>
        </w:rPr>
      </w:pPr>
      <w:r w:rsidRPr="008C6C2D">
        <w:rPr>
          <w:color w:val="161719"/>
        </w:rPr>
        <w:t xml:space="preserve">Avoid placing asylum seekers, especially </w:t>
      </w:r>
      <w:r>
        <w:rPr>
          <w:color w:val="161719"/>
        </w:rPr>
        <w:t>women and children</w:t>
      </w:r>
      <w:r w:rsidRPr="008C6C2D">
        <w:rPr>
          <w:color w:val="161719"/>
        </w:rPr>
        <w:t>, in administrative detention and provide alternatives to detention for adult asylum seekers so that detention is used only as a last resort and for as short a period as possible</w:t>
      </w:r>
      <w:r>
        <w:rPr>
          <w:color w:val="161719"/>
        </w:rPr>
        <w:t>.</w:t>
      </w:r>
    </w:p>
    <w:p w14:paraId="329F96AB" w14:textId="54380C2E" w:rsidR="427AED47" w:rsidRDefault="427AED47" w:rsidP="5EF71450">
      <w:pPr>
        <w:pStyle w:val="BulletRecommendationsQuestions"/>
      </w:pPr>
      <w:r>
        <w:t>Promote equal access to work permits for</w:t>
      </w:r>
      <w:r w:rsidR="6D74A70F">
        <w:t xml:space="preserve"> female</w:t>
      </w:r>
      <w:r w:rsidR="7BA6D2D0">
        <w:t xml:space="preserve"> </w:t>
      </w:r>
      <w:r>
        <w:t xml:space="preserve">migrants </w:t>
      </w:r>
      <w:r w:rsidR="3ADC15B3">
        <w:t xml:space="preserve">and </w:t>
      </w:r>
      <w:r w:rsidR="1C4800E6">
        <w:t>discontinue the practice of tying work permits to specific employers</w:t>
      </w:r>
      <w:r w:rsidR="5D24A1EC">
        <w:t>.</w:t>
      </w:r>
    </w:p>
    <w:p w14:paraId="797FA59B" w14:textId="4B35DBCC" w:rsidR="008C6C2D" w:rsidRDefault="6B93F85A" w:rsidP="008C6C2D">
      <w:pPr>
        <w:pStyle w:val="BulletRecommendationsQuestions"/>
      </w:pPr>
      <w:r>
        <w:t>Ensure sufficient translators are available for migrant women</w:t>
      </w:r>
      <w:r w:rsidR="5520EC82">
        <w:t xml:space="preserve"> seeking </w:t>
      </w:r>
      <w:r w:rsidR="57B27D1A">
        <w:t>assistance</w:t>
      </w:r>
      <w:r w:rsidR="5520EC82">
        <w:t xml:space="preserve"> regarding domestic violence</w:t>
      </w:r>
      <w:r>
        <w:t xml:space="preserve"> </w:t>
      </w:r>
      <w:r w:rsidR="55DF346F">
        <w:t>in police stations, shelters, and other relevant institutio</w:t>
      </w:r>
      <w:r w:rsidR="008C6C2D">
        <w:t>n</w:t>
      </w:r>
      <w:r w:rsidR="55DF346F">
        <w:t>s</w:t>
      </w:r>
      <w:r w:rsidR="15C4A703">
        <w:t>.</w:t>
      </w:r>
    </w:p>
    <w:p w14:paraId="125E97C9" w14:textId="14D88458" w:rsidR="3CE3C0C5" w:rsidRDefault="3CE3C0C5" w:rsidP="5EF71450">
      <w:pPr>
        <w:pStyle w:val="BulletRecommendationsQuestions"/>
      </w:pPr>
      <w:r w:rsidRPr="5EF71450">
        <w:t>Entry c</w:t>
      </w:r>
      <w:r w:rsidR="6B4104AB" w:rsidRPr="5EF71450">
        <w:t>riteria for domestic violence shelters should be reviewed</w:t>
      </w:r>
      <w:r w:rsidR="7AB96CF4" w:rsidRPr="5EF71450">
        <w:t xml:space="preserve"> to ensure</w:t>
      </w:r>
      <w:r w:rsidR="6B4104AB" w:rsidRPr="5EF71450">
        <w:t xml:space="preserve"> shelters are accessible to all women regardless of their immigration status</w:t>
      </w:r>
      <w:r w:rsidR="4CACE5E5" w:rsidRPr="5EF71450">
        <w:t>,</w:t>
      </w:r>
      <w:r w:rsidR="6B4104AB" w:rsidRPr="5EF71450">
        <w:t xml:space="preserve"> and alternative options are available for </w:t>
      </w:r>
      <w:r w:rsidR="4A6A83BB" w:rsidRPr="5EF71450">
        <w:t xml:space="preserve">migrant </w:t>
      </w:r>
      <w:r w:rsidR="6B4104AB" w:rsidRPr="5EF71450">
        <w:t xml:space="preserve">women who do not meet the </w:t>
      </w:r>
      <w:r w:rsidR="0C458FF6" w:rsidRPr="5EF71450">
        <w:t>existing</w:t>
      </w:r>
      <w:r w:rsidR="6B4104AB" w:rsidRPr="5EF71450">
        <w:t xml:space="preserve"> criteria</w:t>
      </w:r>
      <w:r w:rsidR="67CC5C47" w:rsidRPr="5EF71450">
        <w:t>.</w:t>
      </w:r>
    </w:p>
    <w:p w14:paraId="3D982D1F" w14:textId="602B9EE2" w:rsidR="26A8F64B" w:rsidRDefault="26A8F64B" w:rsidP="5EF71450">
      <w:pPr>
        <w:pStyle w:val="BulletRecommendationsQuestions"/>
      </w:pPr>
      <w:r w:rsidRPr="5EF71450">
        <w:t xml:space="preserve">Ensure migrant women are treated equally to Turkish women in terms of access to shelters </w:t>
      </w:r>
      <w:r w:rsidR="007C7FDF">
        <w:t>and other social support mechanisms</w:t>
      </w:r>
      <w:r w:rsidR="007C7FDF">
        <w:t xml:space="preserve">, </w:t>
      </w:r>
      <w:r w:rsidRPr="5EF71450">
        <w:t xml:space="preserve">and care within them. </w:t>
      </w:r>
    </w:p>
    <w:p w14:paraId="750DEEA8" w14:textId="7693A0E4" w:rsidR="6821C559" w:rsidRDefault="6821C559" w:rsidP="5EF71450">
      <w:pPr>
        <w:pStyle w:val="BulletRecommendationsQuestions"/>
      </w:pPr>
      <w:r w:rsidRPr="5EF71450">
        <w:t xml:space="preserve">Refrain </w:t>
      </w:r>
      <w:r w:rsidR="468F6CF7" w:rsidRPr="5EF71450">
        <w:t xml:space="preserve">from requiring </w:t>
      </w:r>
      <w:r w:rsidR="26A8F64B" w:rsidRPr="5EF71450">
        <w:t xml:space="preserve">migrant women </w:t>
      </w:r>
      <w:r w:rsidR="22041589" w:rsidRPr="5EF71450">
        <w:t>to</w:t>
      </w:r>
      <w:r w:rsidR="26A8F64B" w:rsidRPr="5EF71450">
        <w:t xml:space="preserve"> report violence or file for divorce as a condition of admission</w:t>
      </w:r>
      <w:r w:rsidR="4DF7E2B1" w:rsidRPr="5EF71450">
        <w:t xml:space="preserve"> to shelters</w:t>
      </w:r>
      <w:r w:rsidR="2CFF7D36" w:rsidRPr="5EF71450">
        <w:t>.</w:t>
      </w:r>
    </w:p>
    <w:p w14:paraId="38A5CA9B" w14:textId="7246FE1C" w:rsidR="3424100C" w:rsidRDefault="4768D331" w:rsidP="5EF71450">
      <w:pPr>
        <w:pStyle w:val="SectionHeading"/>
        <w:numPr>
          <w:ilvl w:val="0"/>
          <w:numId w:val="0"/>
        </w:numPr>
      </w:pPr>
      <w:r>
        <w:t xml:space="preserve">Sexual and </w:t>
      </w:r>
      <w:r w:rsidR="167A2FD0">
        <w:t xml:space="preserve">Reproductive Rights in </w:t>
      </w:r>
      <w:r w:rsidR="461AAB45">
        <w:t>Türkiye</w:t>
      </w:r>
    </w:p>
    <w:p w14:paraId="72E14D9B" w14:textId="554F66D5" w:rsidR="4BD6AB0D" w:rsidRDefault="75C58195" w:rsidP="5EF71450">
      <w:pPr>
        <w:pStyle w:val="Paragraph"/>
        <w:rPr>
          <w:color w:val="000000" w:themeColor="text1"/>
        </w:rPr>
      </w:pPr>
      <w:r w:rsidRPr="5EF71450">
        <w:rPr>
          <w:color w:val="000000" w:themeColor="text1"/>
        </w:rPr>
        <w:t>Under</w:t>
      </w:r>
      <w:r w:rsidR="6E98B3DF" w:rsidRPr="5EF71450">
        <w:rPr>
          <w:color w:val="000000" w:themeColor="text1"/>
        </w:rPr>
        <w:t xml:space="preserve"> Turkish law, women have been permitted to receive an abortion at public hospitals since 1983.</w:t>
      </w:r>
      <w:r w:rsidR="4BD6AB0D" w:rsidRPr="5EF71450">
        <w:rPr>
          <w:rStyle w:val="FootnoteReference"/>
          <w:lang w:val="en-GB"/>
        </w:rPr>
        <w:footnoteReference w:id="80"/>
      </w:r>
      <w:r w:rsidR="6E98B3DF" w:rsidRPr="5EF71450">
        <w:rPr>
          <w:color w:val="000000" w:themeColor="text1"/>
        </w:rPr>
        <w:t xml:space="preserve"> </w:t>
      </w:r>
      <w:r w:rsidR="4ED891E7" w:rsidRPr="1887980E">
        <w:rPr>
          <w:color w:val="000000" w:themeColor="text1"/>
        </w:rPr>
        <w:t>In 2005, The State Party established a ten-year national action plan for expanding reproductive and sexual healthcare.</w:t>
      </w:r>
      <w:r w:rsidR="4BD6AB0D" w:rsidRPr="1887980E">
        <w:rPr>
          <w:rStyle w:val="FootnoteReference"/>
          <w:lang w:val="en-GB"/>
        </w:rPr>
        <w:footnoteReference w:id="81"/>
      </w:r>
      <w:r w:rsidR="6E98B3DF" w:rsidRPr="5EF71450">
        <w:rPr>
          <w:color w:val="000000" w:themeColor="text1"/>
        </w:rPr>
        <w:t xml:space="preserve"> </w:t>
      </w:r>
      <w:r w:rsidR="16AA72F1">
        <w:rPr>
          <w:color w:val="000000" w:themeColor="text1"/>
        </w:rPr>
        <w:t xml:space="preserve">However, </w:t>
      </w:r>
      <w:r w:rsidR="461AAB45">
        <w:rPr>
          <w:color w:val="000000" w:themeColor="text1"/>
        </w:rPr>
        <w:t>Türkiye</w:t>
      </w:r>
      <w:r w:rsidR="16AA72F1">
        <w:rPr>
          <w:color w:val="000000" w:themeColor="text1"/>
        </w:rPr>
        <w:t xml:space="preserve"> has several shortcomings in </w:t>
      </w:r>
      <w:r w:rsidR="40970C08" w:rsidRPr="1887980E">
        <w:rPr>
          <w:color w:val="000000" w:themeColor="text1"/>
        </w:rPr>
        <w:t>reproductive health</w:t>
      </w:r>
      <w:r w:rsidR="16AA72F1">
        <w:rPr>
          <w:color w:val="000000" w:themeColor="text1"/>
        </w:rPr>
        <w:t xml:space="preserve"> legislation and </w:t>
      </w:r>
      <w:r w:rsidR="5D1B9CE7" w:rsidRPr="5EF71450">
        <w:rPr>
          <w:color w:val="000000" w:themeColor="text1"/>
        </w:rPr>
        <w:t>its</w:t>
      </w:r>
      <w:r w:rsidR="6E98B3DF" w:rsidRPr="5EF71450">
        <w:rPr>
          <w:color w:val="000000" w:themeColor="text1"/>
        </w:rPr>
        <w:t xml:space="preserve"> implementation</w:t>
      </w:r>
      <w:r w:rsidR="68CB1FFA">
        <w:rPr>
          <w:color w:val="000000" w:themeColor="text1"/>
        </w:rPr>
        <w:t>,</w:t>
      </w:r>
      <w:r w:rsidR="6E98B3DF" w:rsidRPr="5EF71450">
        <w:rPr>
          <w:color w:val="000000" w:themeColor="text1"/>
        </w:rPr>
        <w:t xml:space="preserve"> which prevent women from receiving the care they need. </w:t>
      </w:r>
      <w:r w:rsidR="1754BB55" w:rsidRPr="5EF71450">
        <w:rPr>
          <w:color w:val="000000" w:themeColor="text1"/>
        </w:rPr>
        <w:t xml:space="preserve">For example, the national action plan </w:t>
      </w:r>
      <w:r w:rsidR="6F4B0C76" w:rsidRPr="5EF71450">
        <w:rPr>
          <w:color w:val="000000" w:themeColor="text1"/>
        </w:rPr>
        <w:t xml:space="preserve">was </w:t>
      </w:r>
      <w:r w:rsidR="1754BB55" w:rsidRPr="5EF71450">
        <w:rPr>
          <w:color w:val="000000" w:themeColor="text1"/>
        </w:rPr>
        <w:t>halted in the 2010s</w:t>
      </w:r>
      <w:r w:rsidR="5103A7DE" w:rsidRPr="5EF71450">
        <w:rPr>
          <w:color w:val="000000" w:themeColor="text1"/>
        </w:rPr>
        <w:t>, and</w:t>
      </w:r>
      <w:r w:rsidR="283EEB03" w:rsidRPr="5EF71450">
        <w:rPr>
          <w:color w:val="000000" w:themeColor="text1"/>
        </w:rPr>
        <w:t xml:space="preserve"> the State </w:t>
      </w:r>
      <w:r w:rsidR="283EEB03" w:rsidRPr="5EF71450">
        <w:rPr>
          <w:color w:val="000000" w:themeColor="text1"/>
        </w:rPr>
        <w:lastRenderedPageBreak/>
        <w:t>Party announced a plan to address the recent decline in population growth</w:t>
      </w:r>
      <w:r w:rsidR="71E5A4FC" w:rsidRPr="5EF71450">
        <w:rPr>
          <w:color w:val="000000" w:themeColor="text1"/>
        </w:rPr>
        <w:t>.</w:t>
      </w:r>
      <w:r w:rsidR="4BD6AB0D" w:rsidRPr="5EF71450">
        <w:rPr>
          <w:rStyle w:val="FootnoteReference"/>
          <w:lang w:val="en-GB"/>
        </w:rPr>
        <w:footnoteReference w:id="82"/>
      </w:r>
      <w:r w:rsidR="283EEB03" w:rsidRPr="5EF71450">
        <w:rPr>
          <w:color w:val="000000" w:themeColor="text1"/>
        </w:rPr>
        <w:t xml:space="preserve"> The emphasis on population</w:t>
      </w:r>
      <w:r w:rsidR="256A95A7" w:rsidRPr="5EF71450">
        <w:rPr>
          <w:color w:val="000000" w:themeColor="text1"/>
        </w:rPr>
        <w:t xml:space="preserve"> regulation</w:t>
      </w:r>
      <w:r w:rsidR="283EEB03" w:rsidRPr="5EF71450">
        <w:rPr>
          <w:color w:val="000000" w:themeColor="text1"/>
        </w:rPr>
        <w:t xml:space="preserve"> has further reduced the number </w:t>
      </w:r>
      <w:r w:rsidR="52BDFA6D">
        <w:rPr>
          <w:color w:val="000000" w:themeColor="text1"/>
        </w:rPr>
        <w:t xml:space="preserve">of </w:t>
      </w:r>
      <w:r w:rsidR="283EEB03" w:rsidRPr="5EF71450">
        <w:rPr>
          <w:color w:val="000000" w:themeColor="text1"/>
        </w:rPr>
        <w:t>policies designed to improve reproductive and sexual rights</w:t>
      </w:r>
      <w:r w:rsidR="6383F1B6" w:rsidRPr="5EF71450">
        <w:rPr>
          <w:color w:val="000000" w:themeColor="text1"/>
        </w:rPr>
        <w:t>.</w:t>
      </w:r>
      <w:r w:rsidR="4BD6AB0D" w:rsidRPr="5EF71450">
        <w:rPr>
          <w:rStyle w:val="FootnoteReference"/>
          <w:lang w:val="en-GB"/>
        </w:rPr>
        <w:footnoteReference w:id="83"/>
      </w:r>
    </w:p>
    <w:p w14:paraId="1D558BF3" w14:textId="74652A3C" w:rsidR="405BE6F6" w:rsidRDefault="3E31080D" w:rsidP="5EF71450">
      <w:pPr>
        <w:pStyle w:val="Paragraph"/>
        <w:rPr>
          <w:color w:val="000000" w:themeColor="text1"/>
        </w:rPr>
      </w:pPr>
      <w:r w:rsidRPr="5EF71450">
        <w:rPr>
          <w:color w:val="000000" w:themeColor="text1"/>
        </w:rPr>
        <w:t>Access to reproductive care and education has been restricted in part due to the population goals of the State Party.</w:t>
      </w:r>
      <w:r w:rsidR="405BE6F6" w:rsidRPr="5EF71450">
        <w:rPr>
          <w:rStyle w:val="FootnoteReference"/>
          <w:lang w:val="en-GB"/>
        </w:rPr>
        <w:footnoteReference w:id="84"/>
      </w:r>
      <w:r w:rsidRPr="5EF71450">
        <w:rPr>
          <w:color w:val="000000" w:themeColor="text1"/>
        </w:rPr>
        <w:t xml:space="preserve"> There is a lack of education on the subject in the school system, so youth in </w:t>
      </w:r>
      <w:r w:rsidR="461AAB45" w:rsidRPr="5EF71450">
        <w:rPr>
          <w:color w:val="000000" w:themeColor="text1"/>
        </w:rPr>
        <w:t>Türkiye</w:t>
      </w:r>
      <w:r w:rsidRPr="5EF71450">
        <w:rPr>
          <w:color w:val="000000" w:themeColor="text1"/>
        </w:rPr>
        <w:t xml:space="preserve"> have limited knowledge about STI transmission and contraceptives.</w:t>
      </w:r>
      <w:r w:rsidR="405BE6F6" w:rsidRPr="5EF71450">
        <w:rPr>
          <w:rStyle w:val="FootnoteReference"/>
          <w:lang w:val="en-GB"/>
        </w:rPr>
        <w:footnoteReference w:id="85"/>
      </w:r>
      <w:r w:rsidRPr="5EF71450">
        <w:rPr>
          <w:color w:val="000000" w:themeColor="text1"/>
        </w:rPr>
        <w:t xml:space="preserve"> Additionally, physicians can skip questions about sexual health when attending to unmarried women.</w:t>
      </w:r>
      <w:r w:rsidR="405BE6F6" w:rsidRPr="5EF71450">
        <w:rPr>
          <w:rStyle w:val="FootnoteReference"/>
          <w:lang w:val="en-GB"/>
        </w:rPr>
        <w:footnoteReference w:id="86"/>
      </w:r>
      <w:r w:rsidR="38D148B3" w:rsidRPr="5EF71450">
        <w:rPr>
          <w:color w:val="000000" w:themeColor="text1"/>
        </w:rPr>
        <w:t xml:space="preserve"> </w:t>
      </w:r>
      <w:r w:rsidRPr="5EF71450">
        <w:rPr>
          <w:color w:val="000000" w:themeColor="text1"/>
        </w:rPr>
        <w:t>A lack of information leads to more unwanted pregnancies</w:t>
      </w:r>
      <w:r w:rsidR="0B84E95C" w:rsidRPr="5EF71450">
        <w:rPr>
          <w:color w:val="000000" w:themeColor="text1"/>
        </w:rPr>
        <w:t xml:space="preserve"> and </w:t>
      </w:r>
      <w:r w:rsidR="2498318C" w:rsidRPr="5EF71450">
        <w:rPr>
          <w:color w:val="000000" w:themeColor="text1"/>
        </w:rPr>
        <w:t>negative</w:t>
      </w:r>
      <w:r w:rsidR="0B84E95C" w:rsidRPr="5EF71450">
        <w:rPr>
          <w:color w:val="000000" w:themeColor="text1"/>
        </w:rPr>
        <w:t xml:space="preserve"> health outcomes</w:t>
      </w:r>
      <w:r w:rsidR="001E65B5">
        <w:rPr>
          <w:color w:val="000000" w:themeColor="text1"/>
        </w:rPr>
        <w:t>.</w:t>
      </w:r>
      <w:r w:rsidR="405BE6F6" w:rsidRPr="5EF71450">
        <w:rPr>
          <w:rStyle w:val="FootnoteReference"/>
          <w:lang w:val="en-GB"/>
        </w:rPr>
        <w:footnoteReference w:id="87"/>
      </w:r>
    </w:p>
    <w:p w14:paraId="47BB52FD" w14:textId="391D9B24" w:rsidR="00AB2918" w:rsidRDefault="7873BBA0" w:rsidP="5EF71450">
      <w:pPr>
        <w:pStyle w:val="Paragraph"/>
        <w:rPr>
          <w:color w:val="000000" w:themeColor="text1"/>
        </w:rPr>
      </w:pPr>
      <w:r w:rsidRPr="5EF71450">
        <w:rPr>
          <w:color w:val="000000" w:themeColor="text1"/>
        </w:rPr>
        <w:t>Turkish law</w:t>
      </w:r>
      <w:r w:rsidR="6E98B3DF" w:rsidRPr="5EF71450">
        <w:rPr>
          <w:color w:val="000000" w:themeColor="text1"/>
        </w:rPr>
        <w:t xml:space="preserve"> allows the </w:t>
      </w:r>
      <w:r w:rsidR="5C051377" w:rsidRPr="5EF71450">
        <w:rPr>
          <w:color w:val="000000" w:themeColor="text1"/>
        </w:rPr>
        <w:t>termination of pregnancy</w:t>
      </w:r>
      <w:r w:rsidR="6E98B3DF" w:rsidRPr="5EF71450">
        <w:rPr>
          <w:color w:val="000000" w:themeColor="text1"/>
        </w:rPr>
        <w:t xml:space="preserve"> up to the tenth week of pregnancy </w:t>
      </w:r>
      <w:r w:rsidR="2BCA64B4" w:rsidRPr="5EF71450">
        <w:rPr>
          <w:color w:val="000000" w:themeColor="text1"/>
        </w:rPr>
        <w:t>or</w:t>
      </w:r>
      <w:r w:rsidR="6E98B3DF" w:rsidRPr="5EF71450">
        <w:rPr>
          <w:color w:val="000000" w:themeColor="text1"/>
        </w:rPr>
        <w:t xml:space="preserve"> </w:t>
      </w:r>
      <w:r w:rsidR="311ED840" w:rsidRPr="5EF71450">
        <w:rPr>
          <w:color w:val="000000" w:themeColor="text1"/>
        </w:rPr>
        <w:t>longer</w:t>
      </w:r>
      <w:r w:rsidR="6E98B3DF" w:rsidRPr="5EF71450">
        <w:rPr>
          <w:color w:val="000000" w:themeColor="text1"/>
        </w:rPr>
        <w:t xml:space="preserve"> in the case of rape</w:t>
      </w:r>
      <w:r w:rsidR="6E6EBE03" w:rsidRPr="5EF71450">
        <w:rPr>
          <w:color w:val="000000" w:themeColor="text1"/>
        </w:rPr>
        <w:t>.</w:t>
      </w:r>
      <w:r w:rsidR="2FDE1E19" w:rsidRPr="5EF71450">
        <w:rPr>
          <w:rStyle w:val="FootnoteReference"/>
          <w:lang w:val="en-GB"/>
        </w:rPr>
        <w:footnoteReference w:id="88"/>
      </w:r>
      <w:r w:rsidR="6E6EBE03" w:rsidRPr="5EF71450">
        <w:rPr>
          <w:color w:val="000000" w:themeColor="text1"/>
        </w:rPr>
        <w:t xml:space="preserve"> </w:t>
      </w:r>
      <w:r w:rsidR="04A3B71A" w:rsidRPr="5EF71450">
        <w:rPr>
          <w:color w:val="000000" w:themeColor="text1"/>
        </w:rPr>
        <w:t>T</w:t>
      </w:r>
      <w:r w:rsidR="1AEBFF82">
        <w:rPr>
          <w:color w:val="000000" w:themeColor="text1"/>
        </w:rPr>
        <w:t xml:space="preserve">his provision </w:t>
      </w:r>
      <w:r w:rsidR="001E65B5">
        <w:rPr>
          <w:color w:val="000000" w:themeColor="text1"/>
        </w:rPr>
        <w:t xml:space="preserve">is </w:t>
      </w:r>
      <w:r w:rsidR="1AEBFF82">
        <w:rPr>
          <w:color w:val="000000" w:themeColor="text1"/>
        </w:rPr>
        <w:t xml:space="preserve">short </w:t>
      </w:r>
      <w:r w:rsidR="0B6AAE90">
        <w:rPr>
          <w:color w:val="000000" w:themeColor="text1"/>
        </w:rPr>
        <w:t>by standard h</w:t>
      </w:r>
      <w:r w:rsidR="0B6AAE90" w:rsidRPr="1887980E">
        <w:rPr>
          <w:color w:val="000000" w:themeColor="text1"/>
        </w:rPr>
        <w:t>ealth guidelines</w:t>
      </w:r>
      <w:r w:rsidR="1AEBFF82">
        <w:rPr>
          <w:color w:val="000000" w:themeColor="text1"/>
        </w:rPr>
        <w:t xml:space="preserve"> since pregnancy frequently cannot be identified until the fourth or fifth week,</w:t>
      </w:r>
      <w:r w:rsidR="6E98B3DF" w:rsidRPr="5EF71450">
        <w:rPr>
          <w:color w:val="000000" w:themeColor="text1"/>
        </w:rPr>
        <w:t xml:space="preserve"> and women need time to </w:t>
      </w:r>
      <w:r w:rsidR="215319D5" w:rsidRPr="5EF71450">
        <w:rPr>
          <w:color w:val="000000" w:themeColor="text1"/>
        </w:rPr>
        <w:t>decide</w:t>
      </w:r>
      <w:r w:rsidR="6E98B3DF" w:rsidRPr="5EF71450">
        <w:rPr>
          <w:color w:val="000000" w:themeColor="text1"/>
        </w:rPr>
        <w:t xml:space="preserve"> beyond that timeframe</w:t>
      </w:r>
      <w:r w:rsidR="110DED91" w:rsidRPr="5EF71450">
        <w:rPr>
          <w:color w:val="000000" w:themeColor="text1"/>
        </w:rPr>
        <w:t>.</w:t>
      </w:r>
      <w:r w:rsidR="2FDE1E19" w:rsidRPr="5EF71450">
        <w:rPr>
          <w:rStyle w:val="FootnoteReference"/>
          <w:lang w:val="en-GB"/>
        </w:rPr>
        <w:footnoteReference w:id="89"/>
      </w:r>
      <w:r w:rsidR="43ECE71E" w:rsidRPr="5EF71450">
        <w:rPr>
          <w:color w:val="000000" w:themeColor="text1"/>
        </w:rPr>
        <w:t xml:space="preserve"> </w:t>
      </w:r>
      <w:r w:rsidR="6E98B3DF" w:rsidRPr="5EF71450">
        <w:rPr>
          <w:color w:val="000000" w:themeColor="text1"/>
        </w:rPr>
        <w:t>A majority of legal systems, which allow abortion, permit it through</w:t>
      </w:r>
      <w:r w:rsidR="1AEBFF82">
        <w:rPr>
          <w:color w:val="000000" w:themeColor="text1"/>
        </w:rPr>
        <w:t xml:space="preserve"> at least</w:t>
      </w:r>
      <w:r w:rsidR="6E98B3DF" w:rsidRPr="5EF71450">
        <w:rPr>
          <w:color w:val="000000" w:themeColor="text1"/>
        </w:rPr>
        <w:t xml:space="preserve"> the twelfth week</w:t>
      </w:r>
      <w:r w:rsidR="02393E31" w:rsidRPr="5EF71450">
        <w:rPr>
          <w:color w:val="000000" w:themeColor="text1"/>
        </w:rPr>
        <w:t>.</w:t>
      </w:r>
      <w:r w:rsidR="2FDE1E19" w:rsidRPr="5EF71450">
        <w:rPr>
          <w:rStyle w:val="FootnoteReference"/>
          <w:lang w:val="en-GB"/>
        </w:rPr>
        <w:footnoteReference w:id="90"/>
      </w:r>
    </w:p>
    <w:p w14:paraId="32F38FD1" w14:textId="5D12BC49" w:rsidR="2FDE1E19" w:rsidRDefault="6E98B3DF" w:rsidP="5EF71450">
      <w:pPr>
        <w:pStyle w:val="Paragraph"/>
        <w:rPr>
          <w:color w:val="000000" w:themeColor="text1"/>
        </w:rPr>
      </w:pPr>
      <w:r w:rsidRPr="5EF71450">
        <w:rPr>
          <w:color w:val="000000" w:themeColor="text1"/>
        </w:rPr>
        <w:t>Additionally, the Turkish legal system is one of few that pursues the consent of the spouse of the pregnant person</w:t>
      </w:r>
      <w:r w:rsidR="391977FF" w:rsidRPr="5EF71450">
        <w:rPr>
          <w:color w:val="000000" w:themeColor="text1"/>
        </w:rPr>
        <w:t>.</w:t>
      </w:r>
      <w:r w:rsidR="2FDE1E19" w:rsidRPr="5EF71450">
        <w:rPr>
          <w:rStyle w:val="FootnoteReference"/>
          <w:lang w:val="en-GB"/>
        </w:rPr>
        <w:footnoteReference w:id="91"/>
      </w:r>
      <w:r w:rsidRPr="5EF71450">
        <w:rPr>
          <w:color w:val="000000" w:themeColor="text1"/>
        </w:rPr>
        <w:t xml:space="preserve"> Technically, there are no legal ramifications if a woman does not obtain consent. However, a spouse is permitted to claim compensation from the pregnant person and </w:t>
      </w:r>
      <w:r w:rsidRPr="5EF71450">
        <w:rPr>
          <w:color w:val="000000" w:themeColor="text1"/>
        </w:rPr>
        <w:lastRenderedPageBreak/>
        <w:t>anyone who a</w:t>
      </w:r>
      <w:r w:rsidR="780B4908" w:rsidRPr="5EF71450">
        <w:rPr>
          <w:color w:val="000000" w:themeColor="text1"/>
        </w:rPr>
        <w:t>ssis</w:t>
      </w:r>
      <w:r w:rsidRPr="5EF71450">
        <w:rPr>
          <w:color w:val="000000" w:themeColor="text1"/>
        </w:rPr>
        <w:t>ted them in ending the pregnancy, demonstrating that there are sanctions to abortion without the consent of a spouse</w:t>
      </w:r>
      <w:r w:rsidR="279C56DD" w:rsidRPr="5EF71450">
        <w:rPr>
          <w:color w:val="000000" w:themeColor="text1"/>
        </w:rPr>
        <w:t>.</w:t>
      </w:r>
      <w:r w:rsidR="2FDE1E19" w:rsidRPr="5EF71450">
        <w:rPr>
          <w:rStyle w:val="FootnoteReference"/>
          <w:lang w:val="en-GB"/>
        </w:rPr>
        <w:footnoteReference w:id="92"/>
      </w:r>
      <w:r w:rsidR="7C9697BE" w:rsidRPr="1887980E">
        <w:rPr>
          <w:color w:val="000000" w:themeColor="text1"/>
        </w:rPr>
        <w:t xml:space="preserve"> </w:t>
      </w:r>
    </w:p>
    <w:p w14:paraId="374D491F" w14:textId="35B817CF" w:rsidR="4BD6AB0D" w:rsidRDefault="24AA7175" w:rsidP="5EF71450">
      <w:pPr>
        <w:pStyle w:val="Paragraph"/>
        <w:spacing w:after="0"/>
      </w:pPr>
      <w:r>
        <w:rPr>
          <w:color w:val="000000" w:themeColor="text1"/>
        </w:rPr>
        <w:t xml:space="preserve">Although abortion remains legal, </w:t>
      </w:r>
      <w:r w:rsidR="6E98B3DF" w:rsidRPr="5EF71450">
        <w:rPr>
          <w:color w:val="000000" w:themeColor="text1"/>
        </w:rPr>
        <w:t>further restrictions from medical and governmental bodies result in a de facto ban on the procedure. By law, doctors cannot tell a pregnant person not to have an abortion, but many doctors refuse</w:t>
      </w:r>
      <w:r w:rsidR="7F68B012" w:rsidRPr="5EF71450">
        <w:rPr>
          <w:color w:val="000000" w:themeColor="text1"/>
        </w:rPr>
        <w:t xml:space="preserve"> to perform the procedure</w:t>
      </w:r>
      <w:r w:rsidR="59A226B1" w:rsidRPr="5EF71450">
        <w:rPr>
          <w:color w:val="000000" w:themeColor="text1"/>
        </w:rPr>
        <w:t>.</w:t>
      </w:r>
      <w:r w:rsidR="4BD6AB0D" w:rsidRPr="5EF71450">
        <w:rPr>
          <w:rStyle w:val="FootnoteReference"/>
          <w:lang w:val="en-GB"/>
        </w:rPr>
        <w:footnoteReference w:id="93"/>
      </w:r>
      <w:r w:rsidR="6E98B3DF" w:rsidRPr="5EF71450">
        <w:rPr>
          <w:color w:val="000000" w:themeColor="text1"/>
        </w:rPr>
        <w:t xml:space="preserve"> One study found that of 295 public hospitals contacted</w:t>
      </w:r>
      <w:r w:rsidR="0A67F6EA" w:rsidRPr="5EF71450">
        <w:rPr>
          <w:color w:val="000000" w:themeColor="text1"/>
        </w:rPr>
        <w:t>,</w:t>
      </w:r>
      <w:r w:rsidR="6E98B3DF" w:rsidRPr="5EF71450">
        <w:rPr>
          <w:color w:val="000000" w:themeColor="text1"/>
        </w:rPr>
        <w:t xml:space="preserve"> </w:t>
      </w:r>
      <w:r w:rsidR="441A6443" w:rsidRPr="5EF71450">
        <w:rPr>
          <w:color w:val="000000" w:themeColor="text1"/>
        </w:rPr>
        <w:t xml:space="preserve">only </w:t>
      </w:r>
      <w:r w:rsidR="6A1564EB" w:rsidRPr="5EF71450">
        <w:rPr>
          <w:color w:val="000000" w:themeColor="text1"/>
        </w:rPr>
        <w:t>3 percent</w:t>
      </w:r>
      <w:r w:rsidR="6E98B3DF" w:rsidRPr="5EF71450">
        <w:rPr>
          <w:color w:val="000000" w:themeColor="text1"/>
        </w:rPr>
        <w:t xml:space="preserve"> </w:t>
      </w:r>
      <w:r w:rsidR="3F8378E1" w:rsidRPr="5EF71450">
        <w:rPr>
          <w:color w:val="000000" w:themeColor="text1"/>
        </w:rPr>
        <w:t>provided voluntary abortion</w:t>
      </w:r>
      <w:r w:rsidR="373468B7" w:rsidRPr="5EF71450">
        <w:rPr>
          <w:color w:val="000000" w:themeColor="text1"/>
        </w:rPr>
        <w:t xml:space="preserve"> without</w:t>
      </w:r>
      <w:r w:rsidR="6E98B3DF" w:rsidRPr="5EF71450">
        <w:rPr>
          <w:color w:val="000000" w:themeColor="text1"/>
        </w:rPr>
        <w:t xml:space="preserve"> restrictions</w:t>
      </w:r>
      <w:r w:rsidR="1089B5BE" w:rsidRPr="5EF71450">
        <w:rPr>
          <w:color w:val="000000" w:themeColor="text1"/>
        </w:rPr>
        <w:t xml:space="preserve"> in 2020</w:t>
      </w:r>
      <w:r w:rsidR="64BB39E2" w:rsidRPr="5EF71450">
        <w:rPr>
          <w:color w:val="000000" w:themeColor="text1"/>
        </w:rPr>
        <w:t>.</w:t>
      </w:r>
      <w:r w:rsidR="4BD6AB0D" w:rsidRPr="5EF71450">
        <w:rPr>
          <w:rStyle w:val="FootnoteReference"/>
          <w:lang w:val="en-GB"/>
        </w:rPr>
        <w:footnoteReference w:id="94"/>
      </w:r>
      <w:r w:rsidR="3D145E6A" w:rsidRPr="5EF71450">
        <w:rPr>
          <w:color w:val="000000" w:themeColor="text1"/>
        </w:rPr>
        <w:t xml:space="preserve"> </w:t>
      </w:r>
      <w:r w:rsidR="6853405D" w:rsidRPr="5EF71450">
        <w:rPr>
          <w:color w:val="000000" w:themeColor="text1"/>
        </w:rPr>
        <w:t>Furthermore, 19 percent of the hospitals</w:t>
      </w:r>
      <w:r w:rsidR="3572B26F" w:rsidRPr="5EF71450">
        <w:rPr>
          <w:color w:val="000000" w:themeColor="text1"/>
        </w:rPr>
        <w:t xml:space="preserve"> </w:t>
      </w:r>
      <w:r w:rsidR="4A65C129" w:rsidRPr="5EF71450">
        <w:rPr>
          <w:color w:val="000000" w:themeColor="text1"/>
        </w:rPr>
        <w:t xml:space="preserve">did not have a doctor or department to perform the procedure </w:t>
      </w:r>
      <w:r w:rsidR="001E65B5">
        <w:rPr>
          <w:color w:val="000000" w:themeColor="text1"/>
        </w:rPr>
        <w:t>compared to 2016,</w:t>
      </w:r>
      <w:r w:rsidR="4A65C129" w:rsidRPr="5EF71450">
        <w:rPr>
          <w:color w:val="000000" w:themeColor="text1"/>
        </w:rPr>
        <w:t xml:space="preserve"> when all hospitals had relevan</w:t>
      </w:r>
      <w:r w:rsidR="1F2710FA" w:rsidRPr="5EF71450">
        <w:rPr>
          <w:color w:val="000000" w:themeColor="text1"/>
        </w:rPr>
        <w:t>t personnel</w:t>
      </w:r>
      <w:r w:rsidR="6ED2C003" w:rsidRPr="5EF71450">
        <w:rPr>
          <w:color w:val="000000" w:themeColor="text1"/>
        </w:rPr>
        <w:t>, showing a decline in the availability of reproductive care.</w:t>
      </w:r>
      <w:r w:rsidR="00CB2E11" w:rsidRPr="1887980E">
        <w:rPr>
          <w:rStyle w:val="FootnoteReference"/>
          <w:lang w:val="en-GB"/>
        </w:rPr>
        <w:footnoteReference w:id="95"/>
      </w:r>
      <w:r w:rsidR="6ED2C003" w:rsidRPr="5EF71450">
        <w:rPr>
          <w:color w:val="000000" w:themeColor="text1"/>
        </w:rPr>
        <w:t xml:space="preserve"> </w:t>
      </w:r>
      <w:r w:rsidR="6E98B3DF" w:rsidRPr="5EF71450">
        <w:rPr>
          <w:color w:val="000000" w:themeColor="text1"/>
        </w:rPr>
        <w:t>Private hospitals</w:t>
      </w:r>
      <w:r w:rsidR="21DABABE" w:rsidRPr="5EF71450">
        <w:rPr>
          <w:color w:val="000000" w:themeColor="text1"/>
        </w:rPr>
        <w:t xml:space="preserve"> are not viable alternative</w:t>
      </w:r>
      <w:r w:rsidR="001E65B5">
        <w:rPr>
          <w:color w:val="000000" w:themeColor="text1"/>
        </w:rPr>
        <w:t>s</w:t>
      </w:r>
      <w:r w:rsidR="21DABABE" w:rsidRPr="5EF71450">
        <w:rPr>
          <w:color w:val="000000" w:themeColor="text1"/>
        </w:rPr>
        <w:t xml:space="preserve"> as they can be</w:t>
      </w:r>
      <w:r w:rsidR="6E98B3DF" w:rsidRPr="5EF71450">
        <w:rPr>
          <w:color w:val="000000" w:themeColor="text1"/>
        </w:rPr>
        <w:t xml:space="preserve"> prohibitively expensive for </w:t>
      </w:r>
      <w:r w:rsidR="13F0F07B" w:rsidRPr="5EF71450">
        <w:rPr>
          <w:color w:val="000000" w:themeColor="text1"/>
        </w:rPr>
        <w:t xml:space="preserve">many </w:t>
      </w:r>
      <w:r w:rsidR="6E98B3DF" w:rsidRPr="5EF71450">
        <w:rPr>
          <w:color w:val="000000" w:themeColor="text1"/>
        </w:rPr>
        <w:t>women</w:t>
      </w:r>
      <w:r w:rsidR="240E68C9" w:rsidRPr="5EF71450">
        <w:rPr>
          <w:color w:val="000000" w:themeColor="text1"/>
        </w:rPr>
        <w:t>.</w:t>
      </w:r>
      <w:r w:rsidR="4BD6AB0D" w:rsidRPr="5EF71450">
        <w:rPr>
          <w:rStyle w:val="FootnoteReference"/>
          <w:lang w:val="en-GB"/>
        </w:rPr>
        <w:footnoteReference w:id="96"/>
      </w:r>
      <w:r w:rsidR="6E98B3DF" w:rsidRPr="5EF71450">
        <w:rPr>
          <w:color w:val="000000" w:themeColor="text1"/>
        </w:rPr>
        <w:t xml:space="preserve"> Those who can afford </w:t>
      </w:r>
      <w:r w:rsidR="54BFD4FC" w:rsidRPr="5EF71450">
        <w:rPr>
          <w:color w:val="000000" w:themeColor="text1"/>
        </w:rPr>
        <w:t>private care</w:t>
      </w:r>
      <w:r w:rsidR="6E98B3DF" w:rsidRPr="5EF71450">
        <w:rPr>
          <w:color w:val="000000" w:themeColor="text1"/>
        </w:rPr>
        <w:t xml:space="preserve"> report stigmatization on the part of practitioners</w:t>
      </w:r>
      <w:r w:rsidR="6E98B3DF" w:rsidRPr="5EF71450">
        <w:t xml:space="preserve"> and unsolicited advice </w:t>
      </w:r>
      <w:r w:rsidR="7A2F77D3" w:rsidRPr="5EF71450">
        <w:t>urging</w:t>
      </w:r>
      <w:r w:rsidR="6E98B3DF" w:rsidRPr="5EF71450">
        <w:t xml:space="preserve"> them to reconsider.</w:t>
      </w:r>
      <w:r w:rsidR="4BD6AB0D" w:rsidRPr="5EF71450">
        <w:rPr>
          <w:rStyle w:val="FootnoteReference"/>
          <w:lang w:val="en-GB"/>
        </w:rPr>
        <w:footnoteReference w:id="97"/>
      </w:r>
    </w:p>
    <w:p w14:paraId="5BA5FD26" w14:textId="1A02FDE0" w:rsidR="00085935" w:rsidRPr="00262845" w:rsidRDefault="3351DF97" w:rsidP="04CAA791">
      <w:pPr>
        <w:pStyle w:val="SectionHeading"/>
        <w:numPr>
          <w:ilvl w:val="0"/>
          <w:numId w:val="0"/>
        </w:numPr>
      </w:pPr>
      <w:r>
        <w:t xml:space="preserve">Suggested </w:t>
      </w:r>
      <w:r w:rsidR="07387B2E">
        <w:t>questions/</w:t>
      </w:r>
      <w:r>
        <w:t>recommendations</w:t>
      </w:r>
      <w:r w:rsidR="136D3D13">
        <w:t xml:space="preserve"> for</w:t>
      </w:r>
      <w:r w:rsidR="4235A14A">
        <w:t xml:space="preserve"> the Government of </w:t>
      </w:r>
      <w:r w:rsidR="461AAB45">
        <w:t>Türkiye</w:t>
      </w:r>
      <w:r w:rsidR="07387B2E">
        <w:t xml:space="preserve"> </w:t>
      </w:r>
    </w:p>
    <w:p w14:paraId="512320F8" w14:textId="72BEE4FF" w:rsidR="00CA10BB" w:rsidRDefault="00CA10BB" w:rsidP="00CA10BB">
      <w:pPr>
        <w:pStyle w:val="BulletRecommendationsQuestions"/>
      </w:pPr>
      <w:r>
        <w:t xml:space="preserve">Ensure that women have the right to make their own informed choices </w:t>
      </w:r>
      <w:r w:rsidR="5DC75730">
        <w:t>regarding</w:t>
      </w:r>
      <w:r>
        <w:t xml:space="preserve"> </w:t>
      </w:r>
      <w:r w:rsidR="00711BB1">
        <w:t>sexual and reproductive health rights</w:t>
      </w:r>
      <w:r>
        <w:t xml:space="preserve">, to ensure the right to bodily integrity and personal autonomy. </w:t>
      </w:r>
    </w:p>
    <w:p w14:paraId="4BB4B970" w14:textId="77777777" w:rsidR="00CA10BB" w:rsidRDefault="00CA10BB" w:rsidP="00CA10BB">
      <w:pPr>
        <w:pStyle w:val="BulletRecommendationsQuestions"/>
      </w:pPr>
      <w:r>
        <w:t xml:space="preserve">Ensure the right of every woman and girl to have full control over and decide freely and responsibly on matters related to their sexuality and sexual and reproductive rights, free from discrimination, coercion and violence, </w:t>
      </w:r>
    </w:p>
    <w:p w14:paraId="7C917656" w14:textId="38AF5092" w:rsidR="00D64DC8" w:rsidRDefault="77222CEC" w:rsidP="00D64DC8">
      <w:pPr>
        <w:pStyle w:val="BulletRecommendationsQuestions"/>
      </w:pPr>
      <w:r>
        <w:t xml:space="preserve">Eliminate all legal barriers to accessing abortion, including the requirement for spousal consent and its </w:t>
      </w:r>
      <w:r w:rsidR="001E65B5">
        <w:t>consequent</w:t>
      </w:r>
      <w:r>
        <w:t xml:space="preserve"> sanctions for women.</w:t>
      </w:r>
    </w:p>
    <w:p w14:paraId="1452A313" w14:textId="652FF9DD" w:rsidR="007D0BB6" w:rsidRDefault="00952B25" w:rsidP="00D64DC8">
      <w:pPr>
        <w:pStyle w:val="BulletRecommendationsQuestions"/>
      </w:pPr>
      <w:r w:rsidRPr="00952B25">
        <w:t>Integrate comprehensive sexual and reproductive health education into school curriculums to inform young people about their rights and health. </w:t>
      </w:r>
    </w:p>
    <w:p w14:paraId="6E618A2B" w14:textId="77777777" w:rsidR="00952B25" w:rsidRDefault="00952B25" w:rsidP="00952B25">
      <w:pPr>
        <w:pStyle w:val="BulletRecommendationsQuestions"/>
      </w:pPr>
      <w:r>
        <w:t xml:space="preserve">Implement mandatory training programs for healthcare providers on safe abortion practices and reproductive rights to ensure non-judgmental and professional care. </w:t>
      </w:r>
    </w:p>
    <w:p w14:paraId="2EFE9459" w14:textId="77777777" w:rsidR="00952B25" w:rsidRDefault="00952B25" w:rsidP="00952B25">
      <w:pPr>
        <w:pStyle w:val="BulletRecommendationsQuestions"/>
      </w:pPr>
      <w:r>
        <w:lastRenderedPageBreak/>
        <w:t xml:space="preserve">Conduct public awareness campaigns to educate the community about reproductive rights and the legal aspects of abortion. </w:t>
      </w:r>
    </w:p>
    <w:p w14:paraId="7C1FC5CF" w14:textId="38B2BAFE" w:rsidR="00952B25" w:rsidRDefault="00265E02" w:rsidP="00265E02">
      <w:pPr>
        <w:pStyle w:val="BulletRecommendationsQuestions"/>
      </w:pPr>
      <w:r w:rsidRPr="00265E02">
        <w:t xml:space="preserve">Strengthen awareness-raising campaigns for society as a whole </w:t>
      </w:r>
      <w:proofErr w:type="gramStart"/>
      <w:r w:rsidRPr="00265E02">
        <w:t>in order to</w:t>
      </w:r>
      <w:proofErr w:type="gramEnd"/>
      <w:r w:rsidRPr="00265E02">
        <w:t xml:space="preserve"> address social and cultural patterns and stereotypes that facilitate tolerance of gender-based violence. </w:t>
      </w:r>
    </w:p>
    <w:p w14:paraId="0D7A7965" w14:textId="77777777" w:rsidR="00265E02" w:rsidRDefault="00265E02" w:rsidP="00265E02">
      <w:pPr>
        <w:pStyle w:val="BulletRecommendationsQuestions"/>
      </w:pPr>
      <w:r w:rsidRPr="007D0BB6">
        <w:t>Allocate sufficient public funds to support abortion services, making them accessible to all women regardless of their economic status. </w:t>
      </w:r>
    </w:p>
    <w:p w14:paraId="5AFE5722" w14:textId="4E3B0A50" w:rsidR="00711BB1" w:rsidRDefault="00A26E86" w:rsidP="00A26E86">
      <w:pPr>
        <w:pStyle w:val="BulletRecommendationsQuestions"/>
      </w:pPr>
      <w:r w:rsidRPr="00A26E86">
        <w:t>Implement mandatory training programs for healthcare providers on safe abortion practices and reproductive rights to ensure non-judgmental and professional care.</w:t>
      </w:r>
    </w:p>
    <w:p w14:paraId="49748ADB" w14:textId="4F46ECB6" w:rsidR="00360CC0" w:rsidRDefault="00112260" w:rsidP="00112260">
      <w:pPr>
        <w:pStyle w:val="BulletRecommendationsQuestions"/>
      </w:pPr>
      <w:r w:rsidRPr="00112260">
        <w:t>Undertake substantive steps to regulate conscientious objection</w:t>
      </w:r>
      <w:r w:rsidR="005877D1">
        <w:t>.</w:t>
      </w:r>
    </w:p>
    <w:p w14:paraId="459558BF" w14:textId="77777777" w:rsidR="00265E02" w:rsidRPr="00E114C5" w:rsidRDefault="00265E02" w:rsidP="00711BB1">
      <w:pPr>
        <w:pStyle w:val="BulletRecommendationsQuestions"/>
        <w:numPr>
          <w:ilvl w:val="0"/>
          <w:numId w:val="0"/>
        </w:numPr>
        <w:ind w:left="1440"/>
      </w:pPr>
    </w:p>
    <w:sectPr w:rsidR="00265E02"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4267D3" w14:textId="77777777" w:rsidR="000F548B" w:rsidRDefault="000F548B">
      <w:r>
        <w:separator/>
      </w:r>
    </w:p>
  </w:endnote>
  <w:endnote w:type="continuationSeparator" w:id="0">
    <w:p w14:paraId="66D4E3FA" w14:textId="77777777" w:rsidR="000F548B" w:rsidRDefault="000F548B">
      <w:r>
        <w:continuationSeparator/>
      </w:r>
    </w:p>
  </w:endnote>
  <w:endnote w:type="continuationNotice" w:id="1">
    <w:p w14:paraId="3D96C733" w14:textId="77777777" w:rsidR="000F548B" w:rsidRDefault="000F54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BD868"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3681D4" w14:textId="77777777" w:rsidR="000F548B" w:rsidRDefault="000F548B">
      <w:r>
        <w:separator/>
      </w:r>
    </w:p>
  </w:footnote>
  <w:footnote w:type="continuationSeparator" w:id="0">
    <w:p w14:paraId="4EDCF4E4" w14:textId="77777777" w:rsidR="000F548B" w:rsidRDefault="000F548B">
      <w:r>
        <w:continuationSeparator/>
      </w:r>
    </w:p>
  </w:footnote>
  <w:footnote w:type="continuationNotice" w:id="1">
    <w:p w14:paraId="0C2AC88A" w14:textId="77777777" w:rsidR="000F548B" w:rsidRDefault="000F548B"/>
  </w:footnote>
  <w:footnote w:id="2">
    <w:p w14:paraId="3834D2A7" w14:textId="7B198158" w:rsidR="00A305B5" w:rsidRPr="0082614C" w:rsidRDefault="00A305B5" w:rsidP="00A305B5">
      <w:pPr>
        <w:pStyle w:val="FootnoteText"/>
        <w:rPr>
          <w:sz w:val="20"/>
          <w:szCs w:val="20"/>
        </w:rPr>
      </w:pPr>
      <w:r w:rsidRPr="0082614C">
        <w:rPr>
          <w:rStyle w:val="FootnoteReference"/>
          <w:sz w:val="20"/>
          <w:szCs w:val="20"/>
        </w:rPr>
        <w:footnoteRef/>
      </w:r>
      <w:r w:rsidR="04CAA791" w:rsidRPr="0082614C">
        <w:rPr>
          <w:sz w:val="20"/>
          <w:szCs w:val="20"/>
        </w:rPr>
        <w:t xml:space="preserve"> Human Rights Committee, </w:t>
      </w:r>
      <w:r w:rsidR="04CAA791" w:rsidRPr="0082614C">
        <w:rPr>
          <w:i/>
          <w:iCs/>
          <w:sz w:val="20"/>
          <w:szCs w:val="20"/>
        </w:rPr>
        <w:t>List of issues prior to submission of the second periodic report of Türkiye</w:t>
      </w:r>
      <w:r w:rsidR="04CAA791" w:rsidRPr="0082614C">
        <w:rPr>
          <w:sz w:val="20"/>
          <w:szCs w:val="20"/>
        </w:rPr>
        <w:t>, (August 25, 2021), U.N. Doc. CCPR/C/TUR/QPR/2, ¶ 24.</w:t>
      </w:r>
    </w:p>
  </w:footnote>
  <w:footnote w:id="3">
    <w:p w14:paraId="4D621EBF" w14:textId="23B8D137" w:rsidR="00FE6678" w:rsidRPr="0082614C" w:rsidRDefault="00FE6678" w:rsidP="00FE6678">
      <w:pPr>
        <w:pStyle w:val="FootnoteText"/>
        <w:rPr>
          <w:sz w:val="20"/>
          <w:szCs w:val="20"/>
        </w:rPr>
      </w:pPr>
      <w:r w:rsidRPr="0082614C">
        <w:rPr>
          <w:rStyle w:val="FootnoteReference"/>
          <w:sz w:val="20"/>
          <w:szCs w:val="20"/>
        </w:rPr>
        <w:footnoteRef/>
      </w:r>
      <w:r w:rsidR="04CAA791" w:rsidRPr="0082614C">
        <w:rPr>
          <w:sz w:val="20"/>
          <w:szCs w:val="20"/>
        </w:rPr>
        <w:t xml:space="preserve"> Human Rights Committee, </w:t>
      </w:r>
      <w:r w:rsidR="04CAA791" w:rsidRPr="0082614C">
        <w:rPr>
          <w:i/>
          <w:iCs/>
          <w:sz w:val="20"/>
          <w:szCs w:val="20"/>
        </w:rPr>
        <w:t>List of issues prior to submission of the second periodic report of Türkiye</w:t>
      </w:r>
      <w:r w:rsidR="04CAA791" w:rsidRPr="0082614C">
        <w:rPr>
          <w:sz w:val="20"/>
          <w:szCs w:val="20"/>
        </w:rPr>
        <w:t>, (August 25, 2021), U.N. Doc. CCPR/C/TUR/QPR/2, ¶ 26.</w:t>
      </w:r>
    </w:p>
  </w:footnote>
  <w:footnote w:id="4">
    <w:p w14:paraId="2D4B6028" w14:textId="7158C2D6" w:rsidR="005F600B" w:rsidRPr="0082614C" w:rsidRDefault="005F600B" w:rsidP="005F600B">
      <w:pPr>
        <w:pStyle w:val="FootnoteText"/>
        <w:rPr>
          <w:sz w:val="20"/>
          <w:szCs w:val="20"/>
          <w:lang w:val="en-GB"/>
        </w:rPr>
      </w:pPr>
      <w:r w:rsidRPr="0082614C">
        <w:rPr>
          <w:rStyle w:val="FootnoteReference"/>
          <w:sz w:val="20"/>
          <w:szCs w:val="20"/>
        </w:rPr>
        <w:footnoteRef/>
      </w:r>
      <w:r w:rsidRPr="0082614C">
        <w:rPr>
          <w:sz w:val="20"/>
          <w:szCs w:val="20"/>
        </w:rPr>
        <w:t xml:space="preserve"> </w:t>
      </w:r>
      <w:r w:rsidRPr="0082614C">
        <w:rPr>
          <w:kern w:val="0"/>
          <w:sz w:val="20"/>
          <w:szCs w:val="20"/>
          <w:lang w:val="en-GB"/>
        </w:rPr>
        <w:t xml:space="preserve">Human Rights Committee, </w:t>
      </w:r>
      <w:proofErr w:type="gramStart"/>
      <w:r w:rsidRPr="0082614C">
        <w:rPr>
          <w:i/>
          <w:iCs/>
          <w:kern w:val="0"/>
          <w:sz w:val="20"/>
          <w:szCs w:val="20"/>
          <w:lang w:val="en-GB"/>
        </w:rPr>
        <w:t>Second</w:t>
      </w:r>
      <w:proofErr w:type="gramEnd"/>
      <w:r w:rsidRPr="0082614C">
        <w:rPr>
          <w:i/>
          <w:iCs/>
          <w:kern w:val="0"/>
          <w:sz w:val="20"/>
          <w:szCs w:val="20"/>
          <w:lang w:val="en-GB"/>
        </w:rPr>
        <w:t xml:space="preserve"> periodic report submitted by Türkiye under article 40 of the Covenant pursuant to the optional reporting procedure, due in 2022 (date received: 3 August 2022)</w:t>
      </w:r>
      <w:r w:rsidRPr="0082614C">
        <w:rPr>
          <w:kern w:val="0"/>
          <w:sz w:val="20"/>
          <w:szCs w:val="20"/>
          <w:lang w:val="en-GB"/>
        </w:rPr>
        <w:t>, UN. Doc. CCPR/C/TUR/2 (April 28, 2023), ¶ 78.</w:t>
      </w:r>
    </w:p>
  </w:footnote>
  <w:footnote w:id="5">
    <w:p w14:paraId="15322A26" w14:textId="5A9FA96A" w:rsidR="00E331AD" w:rsidRPr="0082614C" w:rsidRDefault="00E331AD" w:rsidP="00E331AD">
      <w:pPr>
        <w:pStyle w:val="FootnoteText"/>
        <w:rPr>
          <w:sz w:val="20"/>
          <w:szCs w:val="20"/>
          <w:lang w:val="en-GB"/>
        </w:rPr>
      </w:pPr>
      <w:r w:rsidRPr="0082614C">
        <w:rPr>
          <w:rStyle w:val="FootnoteReference"/>
          <w:sz w:val="20"/>
          <w:szCs w:val="20"/>
        </w:rPr>
        <w:footnoteRef/>
      </w:r>
      <w:r w:rsidRPr="0082614C">
        <w:rPr>
          <w:sz w:val="20"/>
          <w:szCs w:val="20"/>
        </w:rPr>
        <w:t xml:space="preserve"> </w:t>
      </w:r>
      <w:r w:rsidRPr="0082614C">
        <w:rPr>
          <w:kern w:val="0"/>
          <w:sz w:val="20"/>
          <w:szCs w:val="20"/>
          <w:lang w:val="en-GB"/>
        </w:rPr>
        <w:t xml:space="preserve">Human Rights Committee, </w:t>
      </w:r>
      <w:proofErr w:type="gramStart"/>
      <w:r w:rsidRPr="0082614C">
        <w:rPr>
          <w:i/>
          <w:iCs/>
          <w:kern w:val="0"/>
          <w:sz w:val="20"/>
          <w:szCs w:val="20"/>
          <w:lang w:val="en-GB"/>
        </w:rPr>
        <w:t>Second</w:t>
      </w:r>
      <w:proofErr w:type="gramEnd"/>
      <w:r w:rsidRPr="0082614C">
        <w:rPr>
          <w:i/>
          <w:iCs/>
          <w:kern w:val="0"/>
          <w:sz w:val="20"/>
          <w:szCs w:val="20"/>
          <w:lang w:val="en-GB"/>
        </w:rPr>
        <w:t xml:space="preserve"> periodic report submitted by Türkiye under article 40 of the Covenant pursuant to the optional reporting procedure, due in 2022 (date received: 3 August 2022)</w:t>
      </w:r>
      <w:r w:rsidRPr="0082614C">
        <w:rPr>
          <w:kern w:val="0"/>
          <w:sz w:val="20"/>
          <w:szCs w:val="20"/>
          <w:lang w:val="en-GB"/>
        </w:rPr>
        <w:t>, UN. Doc. CCPR/C/TUR/2 (April 28, 2023), ¶ 242.</w:t>
      </w:r>
    </w:p>
  </w:footnote>
  <w:footnote w:id="6">
    <w:p w14:paraId="38058556" w14:textId="23561FC8" w:rsidR="00DE6610" w:rsidRPr="0082614C" w:rsidRDefault="00DE6610" w:rsidP="00DE6610">
      <w:pPr>
        <w:pStyle w:val="FootnoteText"/>
        <w:rPr>
          <w:sz w:val="20"/>
          <w:szCs w:val="20"/>
          <w:lang w:val="en-GB"/>
        </w:rPr>
      </w:pPr>
      <w:r w:rsidRPr="0082614C">
        <w:rPr>
          <w:rStyle w:val="FootnoteReference"/>
          <w:sz w:val="20"/>
          <w:szCs w:val="20"/>
        </w:rPr>
        <w:footnoteRef/>
      </w:r>
      <w:r w:rsidRPr="0082614C">
        <w:rPr>
          <w:sz w:val="20"/>
          <w:szCs w:val="20"/>
        </w:rPr>
        <w:t xml:space="preserve"> </w:t>
      </w:r>
      <w:r w:rsidRPr="0082614C">
        <w:rPr>
          <w:kern w:val="0"/>
          <w:sz w:val="20"/>
          <w:szCs w:val="20"/>
          <w:lang w:val="en-GB"/>
        </w:rPr>
        <w:t xml:space="preserve">Human Rights Committee, </w:t>
      </w:r>
      <w:proofErr w:type="gramStart"/>
      <w:r w:rsidRPr="0082614C">
        <w:rPr>
          <w:i/>
          <w:iCs/>
          <w:kern w:val="0"/>
          <w:sz w:val="20"/>
          <w:szCs w:val="20"/>
          <w:lang w:val="en-GB"/>
        </w:rPr>
        <w:t>Second</w:t>
      </w:r>
      <w:proofErr w:type="gramEnd"/>
      <w:r w:rsidRPr="0082614C">
        <w:rPr>
          <w:i/>
          <w:iCs/>
          <w:kern w:val="0"/>
          <w:sz w:val="20"/>
          <w:szCs w:val="20"/>
          <w:lang w:val="en-GB"/>
        </w:rPr>
        <w:t xml:space="preserve"> periodic report submitted by Türkiye under article 40 of the Covenant pursuant to the optional reporting procedure, due in 2022 (date received: 3 August 2022)</w:t>
      </w:r>
      <w:r w:rsidRPr="0082614C">
        <w:rPr>
          <w:kern w:val="0"/>
          <w:sz w:val="20"/>
          <w:szCs w:val="20"/>
          <w:lang w:val="en-GB"/>
        </w:rPr>
        <w:t>, UN. Doc. CCPR/C/TUR/2 (April 28, 2023), ¶ 268-269.</w:t>
      </w:r>
    </w:p>
  </w:footnote>
  <w:footnote w:id="7">
    <w:p w14:paraId="5DC257F9" w14:textId="1F15FE99" w:rsidR="00413CFC" w:rsidRPr="0082614C" w:rsidRDefault="00413CFC">
      <w:pPr>
        <w:pStyle w:val="FootnoteText"/>
        <w:rPr>
          <w:sz w:val="20"/>
          <w:szCs w:val="20"/>
        </w:rPr>
      </w:pPr>
      <w:r w:rsidRPr="0082614C">
        <w:rPr>
          <w:rStyle w:val="FootnoteReference"/>
          <w:sz w:val="20"/>
          <w:szCs w:val="20"/>
        </w:rPr>
        <w:footnoteRef/>
      </w:r>
      <w:r w:rsidR="04CAA791" w:rsidRPr="0082614C">
        <w:rPr>
          <w:sz w:val="20"/>
          <w:szCs w:val="20"/>
        </w:rPr>
        <w:t xml:space="preserve"> Article 34 of the 1982 Constitution of Türkiye</w:t>
      </w:r>
    </w:p>
  </w:footnote>
  <w:footnote w:id="8">
    <w:p w14:paraId="128540C8" w14:textId="2D61FF16" w:rsidR="009E66F5" w:rsidRPr="0082614C" w:rsidRDefault="009E66F5">
      <w:pPr>
        <w:pStyle w:val="FootnoteText"/>
        <w:rPr>
          <w:sz w:val="20"/>
          <w:szCs w:val="20"/>
        </w:rPr>
      </w:pPr>
      <w:r w:rsidRPr="0082614C">
        <w:rPr>
          <w:rStyle w:val="FootnoteReference"/>
          <w:sz w:val="20"/>
          <w:szCs w:val="20"/>
        </w:rPr>
        <w:footnoteRef/>
      </w:r>
      <w:r w:rsidR="04CAA791" w:rsidRPr="0082614C">
        <w:rPr>
          <w:sz w:val="20"/>
          <w:szCs w:val="20"/>
        </w:rPr>
        <w:t xml:space="preserve"> See INCL, https://www.icnl.org/wp-content/uploads/cfr_FoA-in-Türkiye.pdf</w:t>
      </w:r>
    </w:p>
  </w:footnote>
  <w:footnote w:id="9">
    <w:p w14:paraId="6C07F977" w14:textId="4870D80A" w:rsidR="00340205" w:rsidRPr="0082614C" w:rsidRDefault="00340205" w:rsidP="04CAA791">
      <w:pPr>
        <w:pStyle w:val="FootnoteText"/>
        <w:rPr>
          <w:sz w:val="20"/>
          <w:szCs w:val="20"/>
        </w:rPr>
      </w:pPr>
      <w:r w:rsidRPr="0082614C">
        <w:rPr>
          <w:rStyle w:val="FootnoteReference"/>
          <w:sz w:val="20"/>
          <w:szCs w:val="20"/>
        </w:rPr>
        <w:footnoteRef/>
      </w:r>
      <w:r w:rsidR="04CAA791" w:rsidRPr="0082614C">
        <w:rPr>
          <w:sz w:val="20"/>
          <w:szCs w:val="20"/>
        </w:rPr>
        <w:t xml:space="preserve"> Türkiye, Anti-Terror Law No. 3713.</w:t>
      </w:r>
    </w:p>
  </w:footnote>
  <w:footnote w:id="10">
    <w:p w14:paraId="04C23177" w14:textId="4986E4E4" w:rsidR="00F32A29" w:rsidRPr="0082614C" w:rsidRDefault="00F32A29">
      <w:pPr>
        <w:pStyle w:val="FootnoteText"/>
        <w:rPr>
          <w:sz w:val="20"/>
          <w:szCs w:val="20"/>
        </w:rPr>
      </w:pPr>
      <w:r w:rsidRPr="0082614C">
        <w:rPr>
          <w:rStyle w:val="FootnoteReference"/>
          <w:sz w:val="20"/>
          <w:szCs w:val="20"/>
        </w:rPr>
        <w:footnoteRef/>
      </w:r>
      <w:r w:rsidR="04CAA791" w:rsidRPr="0082614C">
        <w:rPr>
          <w:sz w:val="20"/>
          <w:szCs w:val="20"/>
        </w:rPr>
        <w:t xml:space="preserve"> Amnesty International, </w:t>
      </w:r>
      <w:r w:rsidR="04CAA791" w:rsidRPr="0082614C">
        <w:rPr>
          <w:i/>
          <w:iCs/>
          <w:sz w:val="20"/>
          <w:szCs w:val="20"/>
        </w:rPr>
        <w:t>Turkey: Weaponizing Counterterrorism: Turkey Exploits Terrorism Financing Assessment to Target Civil Society</w:t>
      </w:r>
      <w:r w:rsidR="04CAA791" w:rsidRPr="0082614C">
        <w:rPr>
          <w:sz w:val="20"/>
          <w:szCs w:val="20"/>
        </w:rPr>
        <w:t xml:space="preserve">, 2021, available at </w:t>
      </w:r>
      <w:hyperlink r:id="rId1" w:history="1">
        <w:r w:rsidR="04CAA791" w:rsidRPr="0082614C">
          <w:rPr>
            <w:rStyle w:val="Hyperlink"/>
            <w:color w:val="auto"/>
            <w:sz w:val="20"/>
            <w:szCs w:val="20"/>
          </w:rPr>
          <w:t>https://www.amnesty.org/en/wp-content/uploads/2021/07/EUR4442692021ENGLISH.pdf</w:t>
        </w:r>
      </w:hyperlink>
    </w:p>
  </w:footnote>
  <w:footnote w:id="11">
    <w:p w14:paraId="09C65467" w14:textId="42BCCA07" w:rsidR="00546953" w:rsidRPr="0082614C" w:rsidRDefault="00546953">
      <w:pPr>
        <w:pStyle w:val="FootnoteText"/>
        <w:rPr>
          <w:sz w:val="20"/>
          <w:szCs w:val="20"/>
        </w:rPr>
      </w:pPr>
      <w:r w:rsidRPr="0082614C">
        <w:rPr>
          <w:rStyle w:val="FootnoteReference"/>
          <w:sz w:val="20"/>
          <w:szCs w:val="20"/>
        </w:rPr>
        <w:footnoteRef/>
      </w:r>
      <w:r w:rsidR="04CAA791" w:rsidRPr="0082614C">
        <w:rPr>
          <w:sz w:val="20"/>
          <w:szCs w:val="20"/>
        </w:rPr>
        <w:t xml:space="preserve"> Freedom house, "Freedom in the world 2024, Türkiye", accessed August 29, 2024, https://freedomhouse.org/country/Türkiye/freedom-world/2024</w:t>
      </w:r>
    </w:p>
  </w:footnote>
  <w:footnote w:id="12">
    <w:p w14:paraId="65363DD0" w14:textId="42964BA9" w:rsidR="007A66B5" w:rsidRPr="0082614C" w:rsidRDefault="007A66B5" w:rsidP="04CAA791">
      <w:pPr>
        <w:rPr>
          <w:sz w:val="20"/>
          <w:szCs w:val="20"/>
        </w:rPr>
      </w:pPr>
      <w:r w:rsidRPr="0082614C">
        <w:rPr>
          <w:rStyle w:val="FootnoteReference"/>
          <w:sz w:val="20"/>
          <w:szCs w:val="20"/>
        </w:rPr>
        <w:footnoteRef/>
      </w:r>
      <w:r w:rsidR="04CAA791" w:rsidRPr="0082614C">
        <w:rPr>
          <w:sz w:val="20"/>
          <w:szCs w:val="20"/>
        </w:rPr>
        <w:t xml:space="preserve">  Reuters, </w:t>
      </w:r>
      <w:r w:rsidR="04CAA791" w:rsidRPr="0082614C">
        <w:rPr>
          <w:i/>
          <w:iCs/>
          <w:sz w:val="20"/>
          <w:szCs w:val="20"/>
        </w:rPr>
        <w:t xml:space="preserve">Turkish police break up </w:t>
      </w:r>
      <w:r w:rsidR="04CAA791" w:rsidRPr="0082614C">
        <w:rPr>
          <w:i/>
          <w:iCs/>
          <w:color w:val="000000" w:themeColor="text1"/>
          <w:sz w:val="20"/>
          <w:szCs w:val="20"/>
        </w:rPr>
        <w:t>‘</w:t>
      </w:r>
      <w:r w:rsidR="04CAA791" w:rsidRPr="0082614C">
        <w:rPr>
          <w:i/>
          <w:iCs/>
          <w:sz w:val="20"/>
          <w:szCs w:val="20"/>
        </w:rPr>
        <w:t>violence against women’ protest</w:t>
      </w:r>
      <w:r w:rsidR="04CAA791" w:rsidRPr="0082614C">
        <w:rPr>
          <w:sz w:val="20"/>
          <w:szCs w:val="20"/>
        </w:rPr>
        <w:t>, Nov. 25, 2021, available at https://www.reuters.com/world/middle-east/turkish-police-break-up-violence-against-women-protest-2021-11-25/</w:t>
      </w:r>
    </w:p>
  </w:footnote>
  <w:footnote w:id="13">
    <w:p w14:paraId="66821F59" w14:textId="427FEFCD" w:rsidR="003D3758" w:rsidRPr="0082614C" w:rsidRDefault="003D3758">
      <w:pPr>
        <w:pStyle w:val="FootnoteText"/>
        <w:rPr>
          <w:sz w:val="20"/>
          <w:szCs w:val="20"/>
        </w:rPr>
      </w:pPr>
      <w:r w:rsidRPr="0082614C">
        <w:rPr>
          <w:rStyle w:val="FootnoteReference"/>
          <w:sz w:val="20"/>
          <w:szCs w:val="20"/>
        </w:rPr>
        <w:footnoteRef/>
      </w:r>
      <w:r w:rsidRPr="0082614C">
        <w:rPr>
          <w:sz w:val="20"/>
          <w:szCs w:val="20"/>
        </w:rPr>
        <w:t xml:space="preserve"> </w:t>
      </w:r>
      <w:r w:rsidR="008C656A" w:rsidRPr="0082614C">
        <w:rPr>
          <w:sz w:val="20"/>
          <w:szCs w:val="20"/>
        </w:rPr>
        <w:t xml:space="preserve">Mor </w:t>
      </w:r>
      <w:proofErr w:type="spellStart"/>
      <w:r w:rsidR="008C656A" w:rsidRPr="0082614C">
        <w:rPr>
          <w:sz w:val="20"/>
          <w:szCs w:val="20"/>
        </w:rPr>
        <w:t>Çatı</w:t>
      </w:r>
      <w:proofErr w:type="spellEnd"/>
      <w:r w:rsidR="008C656A" w:rsidRPr="0082614C">
        <w:rPr>
          <w:sz w:val="20"/>
          <w:szCs w:val="20"/>
        </w:rPr>
        <w:t xml:space="preserve"> Women’s Shelter Foundation, Shadow Report to be submitted to the Committee against Torture and Other Cruel Inhuman or Degrading Treatment or Punishment for review during the 80th General Session,20 (July 17, 2024) </w:t>
      </w:r>
    </w:p>
  </w:footnote>
  <w:footnote w:id="14">
    <w:p w14:paraId="3DB0B04E" w14:textId="34BEED0C" w:rsidR="004E71C1" w:rsidRPr="0082614C" w:rsidRDefault="004E71C1" w:rsidP="04CAA791">
      <w:pPr>
        <w:jc w:val="both"/>
        <w:rPr>
          <w:sz w:val="20"/>
          <w:szCs w:val="20"/>
        </w:rPr>
      </w:pPr>
      <w:r w:rsidRPr="0082614C">
        <w:rPr>
          <w:rStyle w:val="FootnoteReference"/>
          <w:sz w:val="20"/>
          <w:szCs w:val="20"/>
        </w:rPr>
        <w:footnoteRef/>
      </w:r>
      <w:r w:rsidR="04CAA791" w:rsidRPr="0082614C">
        <w:rPr>
          <w:sz w:val="20"/>
          <w:szCs w:val="20"/>
        </w:rPr>
        <w:t xml:space="preserve"> </w:t>
      </w:r>
      <w:r w:rsidR="04CAA791" w:rsidRPr="0082614C">
        <w:rPr>
          <w:sz w:val="20"/>
          <w:szCs w:val="20"/>
          <w:lang w:val="en-GB"/>
        </w:rPr>
        <w:t xml:space="preserve">Human Rights Foundation of Türkiye, </w:t>
      </w:r>
      <w:r w:rsidR="04CAA791" w:rsidRPr="0082614C">
        <w:rPr>
          <w:i/>
          <w:iCs/>
          <w:sz w:val="20"/>
          <w:szCs w:val="20"/>
        </w:rPr>
        <w:t xml:space="preserve">Treatment and rehabilitation </w:t>
      </w:r>
      <w:proofErr w:type="spellStart"/>
      <w:r w:rsidR="04CAA791" w:rsidRPr="0082614C">
        <w:rPr>
          <w:i/>
          <w:iCs/>
          <w:sz w:val="20"/>
          <w:szCs w:val="20"/>
        </w:rPr>
        <w:t>centres</w:t>
      </w:r>
      <w:proofErr w:type="spellEnd"/>
      <w:r w:rsidR="04CAA791" w:rsidRPr="0082614C">
        <w:rPr>
          <w:i/>
          <w:iCs/>
          <w:sz w:val="20"/>
          <w:szCs w:val="20"/>
        </w:rPr>
        <w:t xml:space="preserve"> report 2022</w:t>
      </w:r>
      <w:r w:rsidR="04CAA791" w:rsidRPr="0082614C">
        <w:rPr>
          <w:sz w:val="20"/>
          <w:szCs w:val="20"/>
        </w:rPr>
        <w:t xml:space="preserve"> (2023), 148, August 27,2014</w:t>
      </w:r>
      <w:r w:rsidRPr="0082614C">
        <w:rPr>
          <w:sz w:val="20"/>
          <w:szCs w:val="20"/>
        </w:rPr>
        <w:tab/>
      </w:r>
      <w:r w:rsidR="04CAA791" w:rsidRPr="0082614C">
        <w:rPr>
          <w:sz w:val="20"/>
          <w:szCs w:val="20"/>
        </w:rPr>
        <w:t>accessed,</w:t>
      </w:r>
      <w:hyperlink r:id="rId2" w:history="1">
        <w:r w:rsidR="04CAA791" w:rsidRPr="0082614C">
          <w:rPr>
            <w:rStyle w:val="Hyperlink"/>
            <w:color w:val="auto"/>
            <w:sz w:val="20"/>
            <w:szCs w:val="20"/>
          </w:rPr>
          <w:t>https://en.tihv.org.tr/wp-content/uploads/2023/12/HRFT_Treatment_and_Rehabilitation_Centers_report_2022.pdf</w:t>
        </w:r>
      </w:hyperlink>
    </w:p>
  </w:footnote>
  <w:footnote w:id="15">
    <w:p w14:paraId="048B1B6F" w14:textId="0C63F0BE" w:rsidR="00E330C0" w:rsidRPr="0082614C" w:rsidRDefault="00E330C0">
      <w:pPr>
        <w:pStyle w:val="FootnoteText"/>
        <w:rPr>
          <w:sz w:val="20"/>
          <w:szCs w:val="20"/>
        </w:rPr>
      </w:pPr>
      <w:r w:rsidRPr="0082614C">
        <w:rPr>
          <w:rStyle w:val="FootnoteReference"/>
          <w:sz w:val="20"/>
          <w:szCs w:val="20"/>
        </w:rPr>
        <w:footnoteRef/>
      </w:r>
      <w:r w:rsidRPr="0082614C">
        <w:rPr>
          <w:sz w:val="20"/>
          <w:szCs w:val="20"/>
        </w:rPr>
        <w:t xml:space="preserve"> Mor </w:t>
      </w:r>
      <w:proofErr w:type="spellStart"/>
      <w:r w:rsidRPr="0082614C">
        <w:rPr>
          <w:sz w:val="20"/>
          <w:szCs w:val="20"/>
        </w:rPr>
        <w:t>Çatı</w:t>
      </w:r>
      <w:proofErr w:type="spellEnd"/>
      <w:r w:rsidRPr="0082614C">
        <w:rPr>
          <w:sz w:val="20"/>
          <w:szCs w:val="20"/>
        </w:rPr>
        <w:t xml:space="preserve"> Women’s Shelter Foundation, Shadow Report to be submitted to the Committee against Torture and Other Cruel Inhuman or Degrading Treatment or Punishment for review during the 80th General Session,20 (July 17, 2024) </w:t>
      </w:r>
    </w:p>
  </w:footnote>
  <w:footnote w:id="16">
    <w:p w14:paraId="65E2ADA0" w14:textId="5E55E68E" w:rsidR="0092386B" w:rsidRPr="0082614C" w:rsidRDefault="0092386B" w:rsidP="0092386B">
      <w:pPr>
        <w:jc w:val="both"/>
        <w:rPr>
          <w:sz w:val="20"/>
          <w:szCs w:val="20"/>
        </w:rPr>
      </w:pPr>
      <w:r w:rsidRPr="0082614C">
        <w:rPr>
          <w:rStyle w:val="FootnoteReference"/>
          <w:sz w:val="20"/>
          <w:szCs w:val="20"/>
        </w:rPr>
        <w:footnoteRef/>
      </w:r>
      <w:r w:rsidR="04CAA791" w:rsidRPr="0082614C">
        <w:rPr>
          <w:sz w:val="20"/>
          <w:szCs w:val="20"/>
        </w:rPr>
        <w:t xml:space="preserve"> International Federation for Human Rights, "Türkiye: First hearing in latest trial against Saturday Mothers/People", accessed September 2, 2024, https://www.fidh.org/en/region/europe-central-asia/Türkiye/Türkiye-first-hearing-in-latest-trial-against-saturday-mothers-people#</w:t>
      </w:r>
    </w:p>
  </w:footnote>
  <w:footnote w:id="17">
    <w:p w14:paraId="387D98DD" w14:textId="0E29E695" w:rsidR="009C24E0" w:rsidRPr="0082614C" w:rsidRDefault="009C24E0">
      <w:pPr>
        <w:pStyle w:val="FootnoteText"/>
        <w:rPr>
          <w:sz w:val="20"/>
          <w:szCs w:val="20"/>
        </w:rPr>
      </w:pPr>
      <w:r w:rsidRPr="0082614C">
        <w:rPr>
          <w:rStyle w:val="FootnoteReference"/>
          <w:sz w:val="20"/>
          <w:szCs w:val="20"/>
        </w:rPr>
        <w:footnoteRef/>
      </w:r>
      <w:r w:rsidR="04CAA791" w:rsidRPr="0082614C">
        <w:rPr>
          <w:sz w:val="20"/>
          <w:szCs w:val="20"/>
        </w:rPr>
        <w:t xml:space="preserve"> International Federation for Human Rights, "Türkiye: First hearing in latest trial against Saturday Mothers/People", accessed September 2, 2024, https://www.fidh.org/en/region/europe-central-asia/Türkiye/Türkiye-first-hearing-in-latest-trial-against-saturday-mothers-people#</w:t>
      </w:r>
    </w:p>
  </w:footnote>
  <w:footnote w:id="18">
    <w:p w14:paraId="3ADDD954" w14:textId="600B5DEC" w:rsidR="007B34F2" w:rsidRPr="0082614C" w:rsidRDefault="007B34F2" w:rsidP="007B34F2">
      <w:pPr>
        <w:pStyle w:val="FootnoteText"/>
        <w:rPr>
          <w:sz w:val="20"/>
          <w:szCs w:val="20"/>
        </w:rPr>
      </w:pPr>
      <w:r w:rsidRPr="0082614C">
        <w:rPr>
          <w:rStyle w:val="FootnoteReference"/>
          <w:sz w:val="20"/>
          <w:szCs w:val="20"/>
        </w:rPr>
        <w:footnoteRef/>
      </w:r>
      <w:r w:rsidR="04CAA791" w:rsidRPr="0082614C">
        <w:rPr>
          <w:sz w:val="20"/>
          <w:szCs w:val="20"/>
        </w:rPr>
        <w:t xml:space="preserve"> International Federation for Human Rights, "Türkiye: First hearing in latest trial against Saturday Mothers/People", accessed September 2, 2024, https://www.fidh.org/en/region/europe-central-asia/Türkiye/Türkiye-first-hearing-in-latest-trial-against-saturday-mothers-people#</w:t>
      </w:r>
    </w:p>
  </w:footnote>
  <w:footnote w:id="19">
    <w:p w14:paraId="27E5F94B" w14:textId="65A93567" w:rsidR="009C405B" w:rsidRPr="0082614C" w:rsidRDefault="009C405B">
      <w:pPr>
        <w:pStyle w:val="FootnoteText"/>
        <w:rPr>
          <w:sz w:val="20"/>
          <w:szCs w:val="20"/>
        </w:rPr>
      </w:pPr>
      <w:r w:rsidRPr="0082614C">
        <w:rPr>
          <w:rStyle w:val="FootnoteReference"/>
          <w:sz w:val="20"/>
          <w:szCs w:val="20"/>
        </w:rPr>
        <w:footnoteRef/>
      </w:r>
      <w:r w:rsidR="04CAA791" w:rsidRPr="0082614C">
        <w:rPr>
          <w:sz w:val="20"/>
          <w:szCs w:val="20"/>
        </w:rPr>
        <w:t xml:space="preserve"> United States, Department of State Bureau of Democracy, Human Rights, and </w:t>
      </w:r>
      <w:proofErr w:type="spellStart"/>
      <w:proofErr w:type="gramStart"/>
      <w:r w:rsidR="04CAA791" w:rsidRPr="0082614C">
        <w:rPr>
          <w:sz w:val="20"/>
          <w:szCs w:val="20"/>
        </w:rPr>
        <w:t>Labor,Türkiye</w:t>
      </w:r>
      <w:proofErr w:type="spellEnd"/>
      <w:proofErr w:type="gramEnd"/>
      <w:r w:rsidR="04CAA791" w:rsidRPr="0082614C">
        <w:rPr>
          <w:sz w:val="20"/>
          <w:szCs w:val="20"/>
        </w:rPr>
        <w:t xml:space="preserve"> (Türkiye) 2023 Human Rights Report (2024) 41. accessed </w:t>
      </w:r>
      <w:proofErr w:type="spellStart"/>
      <w:r w:rsidR="04CAA791" w:rsidRPr="0082614C">
        <w:rPr>
          <w:sz w:val="20"/>
          <w:szCs w:val="20"/>
        </w:rPr>
        <w:t>Auguts</w:t>
      </w:r>
      <w:proofErr w:type="spellEnd"/>
      <w:r w:rsidR="04CAA791" w:rsidRPr="0082614C">
        <w:rPr>
          <w:sz w:val="20"/>
          <w:szCs w:val="20"/>
        </w:rPr>
        <w:t xml:space="preserve"> 29, 2024, https://www.state.gov/wp-content/uploads/2024/02/528267_TU%CC%88RKIYE-2023-HUMAN-RIGHTS-REPORT.pdf</w:t>
      </w:r>
    </w:p>
  </w:footnote>
  <w:footnote w:id="20">
    <w:p w14:paraId="5C9CE7DA" w14:textId="233509A1" w:rsidR="00733318" w:rsidRPr="0082614C" w:rsidRDefault="00733318">
      <w:pPr>
        <w:pStyle w:val="FootnoteText"/>
        <w:rPr>
          <w:sz w:val="20"/>
          <w:szCs w:val="20"/>
        </w:rPr>
      </w:pPr>
      <w:r w:rsidRPr="0082614C">
        <w:rPr>
          <w:rStyle w:val="FootnoteReference"/>
          <w:sz w:val="20"/>
          <w:szCs w:val="20"/>
        </w:rPr>
        <w:footnoteRef/>
      </w:r>
      <w:r w:rsidR="04CAA791" w:rsidRPr="0082614C">
        <w:rPr>
          <w:sz w:val="20"/>
          <w:szCs w:val="20"/>
        </w:rPr>
        <w:t xml:space="preserve"> Media and Law Studies Association (MLSA), “We Will Stop Femicide Platform closure case </w:t>
      </w:r>
      <w:proofErr w:type="gramStart"/>
      <w:r w:rsidR="04CAA791" w:rsidRPr="0082614C">
        <w:rPr>
          <w:sz w:val="20"/>
          <w:szCs w:val="20"/>
        </w:rPr>
        <w:t>rejected”  News</w:t>
      </w:r>
      <w:proofErr w:type="gramEnd"/>
      <w:r w:rsidR="04CAA791" w:rsidRPr="0082614C">
        <w:rPr>
          <w:sz w:val="20"/>
          <w:szCs w:val="20"/>
        </w:rPr>
        <w:t xml:space="preserve"> 2023, </w:t>
      </w:r>
      <w:proofErr w:type="spellStart"/>
      <w:r w:rsidR="04CAA791" w:rsidRPr="0082614C">
        <w:rPr>
          <w:sz w:val="20"/>
          <w:szCs w:val="20"/>
        </w:rPr>
        <w:t>accesed</w:t>
      </w:r>
      <w:proofErr w:type="spellEnd"/>
      <w:r w:rsidR="04CAA791" w:rsidRPr="0082614C">
        <w:rPr>
          <w:sz w:val="20"/>
          <w:szCs w:val="20"/>
        </w:rPr>
        <w:t xml:space="preserve"> August 28 2024, https://www.mlsaTürkiye.com/en/we-will-stop-femicide-platform-closure-case-rejected</w:t>
      </w:r>
    </w:p>
  </w:footnote>
  <w:footnote w:id="21">
    <w:p w14:paraId="72EDF48F" w14:textId="101E005B" w:rsidR="001F3D80" w:rsidRPr="0082614C" w:rsidRDefault="001F3D80" w:rsidP="001F3D80">
      <w:pPr>
        <w:pStyle w:val="FootnoteText"/>
        <w:rPr>
          <w:sz w:val="20"/>
          <w:szCs w:val="20"/>
          <w:lang w:val="en-GB"/>
        </w:rPr>
      </w:pPr>
      <w:r w:rsidRPr="0082614C">
        <w:rPr>
          <w:rStyle w:val="FootnoteReference"/>
          <w:sz w:val="20"/>
          <w:szCs w:val="20"/>
        </w:rPr>
        <w:footnoteRef/>
      </w:r>
      <w:r w:rsidR="04CAA791" w:rsidRPr="0082614C">
        <w:rPr>
          <w:sz w:val="20"/>
          <w:szCs w:val="20"/>
        </w:rPr>
        <w:t xml:space="preserve"> Feride </w:t>
      </w:r>
      <w:proofErr w:type="spellStart"/>
      <w:r w:rsidR="04CAA791" w:rsidRPr="0082614C">
        <w:rPr>
          <w:sz w:val="20"/>
          <w:szCs w:val="20"/>
        </w:rPr>
        <w:t>Eralp</w:t>
      </w:r>
      <w:proofErr w:type="spellEnd"/>
      <w:r w:rsidR="04CAA791" w:rsidRPr="0082614C">
        <w:rPr>
          <w:sz w:val="20"/>
          <w:szCs w:val="20"/>
        </w:rPr>
        <w:t xml:space="preserve"> &amp; Selin Top, “Agendas and current areas of action of the feminist movement in Türkiye” Information Note, Association for Gender Equality Policies, 2022, https://cinsiyetesitligipolitikalari.org/turkiyede-feminist-hareketin-gundemleri-ve-guncel-eylem-alanlari/#bolum2</w:t>
      </w:r>
    </w:p>
  </w:footnote>
  <w:footnote w:id="22">
    <w:p w14:paraId="4B4D7521" w14:textId="51BFE8DF" w:rsidR="00084112" w:rsidRPr="0082614C" w:rsidRDefault="00084112" w:rsidP="00A742D4">
      <w:pPr>
        <w:pStyle w:val="FootnoteText"/>
        <w:rPr>
          <w:sz w:val="20"/>
          <w:szCs w:val="20"/>
        </w:rPr>
      </w:pPr>
      <w:r w:rsidRPr="0082614C">
        <w:rPr>
          <w:rStyle w:val="FootnoteReference"/>
          <w:sz w:val="20"/>
          <w:szCs w:val="20"/>
        </w:rPr>
        <w:footnoteRef/>
      </w:r>
      <w:r w:rsidR="04CAA791" w:rsidRPr="0082614C">
        <w:rPr>
          <w:sz w:val="20"/>
          <w:szCs w:val="20"/>
        </w:rPr>
        <w:t xml:space="preserve"> Feride </w:t>
      </w:r>
      <w:proofErr w:type="spellStart"/>
      <w:r w:rsidR="04CAA791" w:rsidRPr="0082614C">
        <w:rPr>
          <w:sz w:val="20"/>
          <w:szCs w:val="20"/>
        </w:rPr>
        <w:t>Eralp</w:t>
      </w:r>
      <w:proofErr w:type="spellEnd"/>
      <w:r w:rsidR="04CAA791" w:rsidRPr="0082614C">
        <w:rPr>
          <w:sz w:val="20"/>
          <w:szCs w:val="20"/>
        </w:rPr>
        <w:t xml:space="preserve"> &amp; Selin Top, “Agendas and current areas of action of the feminist movement in Türkiye” Information Note, Association for Gender Equality Policies, 2022, https://cinsiyetesitligipolitikalari.org/turkiyede-feminist-hareketin-gundemleri-ve-guncel-eylem-alanlari/#bolum2 </w:t>
      </w:r>
    </w:p>
  </w:footnote>
  <w:footnote w:id="23">
    <w:p w14:paraId="3DA8BF0C" w14:textId="52C02F5A" w:rsidR="00567F52" w:rsidRPr="0082614C" w:rsidRDefault="00A742D4" w:rsidP="00567F52">
      <w:pPr>
        <w:pStyle w:val="FootnoteText"/>
        <w:rPr>
          <w:rFonts w:asciiTheme="majorBidi" w:hAnsiTheme="majorBidi" w:cstheme="majorBidi"/>
          <w:i/>
          <w:iCs/>
          <w:sz w:val="20"/>
          <w:szCs w:val="20"/>
        </w:rPr>
      </w:pPr>
      <w:r w:rsidRPr="0082614C">
        <w:rPr>
          <w:rStyle w:val="FootnoteReference"/>
          <w:sz w:val="20"/>
          <w:szCs w:val="20"/>
        </w:rPr>
        <w:footnoteRef/>
      </w:r>
      <w:r w:rsidR="04CAA791" w:rsidRPr="0082614C">
        <w:rPr>
          <w:sz w:val="20"/>
          <w:szCs w:val="20"/>
        </w:rPr>
        <w:t xml:space="preserve"> </w:t>
      </w:r>
      <w:r w:rsidR="000E78D0" w:rsidRPr="0082614C">
        <w:rPr>
          <w:rFonts w:asciiTheme="majorBidi" w:hAnsiTheme="majorBidi" w:cstheme="majorBidi"/>
          <w:sz w:val="20"/>
          <w:szCs w:val="20"/>
        </w:rPr>
        <w:t xml:space="preserve">Information in file. See also </w:t>
      </w:r>
      <w:r w:rsidR="00C2576E" w:rsidRPr="0082614C">
        <w:rPr>
          <w:rFonts w:asciiTheme="majorBidi" w:hAnsiTheme="majorBidi" w:cstheme="majorBidi"/>
          <w:sz w:val="20"/>
          <w:szCs w:val="20"/>
        </w:rPr>
        <w:t xml:space="preserve">Turkish Minute, </w:t>
      </w:r>
      <w:r w:rsidR="00C973AE" w:rsidRPr="0082614C">
        <w:rPr>
          <w:rFonts w:asciiTheme="majorBidi" w:hAnsiTheme="majorBidi" w:cstheme="majorBidi"/>
          <w:i/>
          <w:iCs/>
          <w:sz w:val="20"/>
          <w:szCs w:val="20"/>
        </w:rPr>
        <w:t>Report sheds light on shrinking space for civil society in Turkey under state pressure</w:t>
      </w:r>
      <w:r w:rsidR="00C973AE" w:rsidRPr="0082614C">
        <w:rPr>
          <w:rFonts w:asciiTheme="majorBidi" w:hAnsiTheme="majorBidi" w:cstheme="majorBidi"/>
          <w:sz w:val="20"/>
          <w:szCs w:val="20"/>
        </w:rPr>
        <w:t>, March 13</w:t>
      </w:r>
      <w:proofErr w:type="gramStart"/>
      <w:r w:rsidR="00C973AE" w:rsidRPr="0082614C">
        <w:rPr>
          <w:rFonts w:asciiTheme="majorBidi" w:hAnsiTheme="majorBidi" w:cstheme="majorBidi"/>
          <w:sz w:val="20"/>
          <w:szCs w:val="20"/>
        </w:rPr>
        <w:t xml:space="preserve"> 2024</w:t>
      </w:r>
      <w:proofErr w:type="gramEnd"/>
      <w:r w:rsidR="00C973AE" w:rsidRPr="0082614C">
        <w:rPr>
          <w:rFonts w:asciiTheme="majorBidi" w:hAnsiTheme="majorBidi" w:cstheme="majorBidi"/>
          <w:sz w:val="20"/>
          <w:szCs w:val="20"/>
        </w:rPr>
        <w:t>,</w:t>
      </w:r>
      <w:r w:rsidR="003A5083" w:rsidRPr="0082614C">
        <w:rPr>
          <w:rFonts w:asciiTheme="majorBidi" w:hAnsiTheme="majorBidi" w:cstheme="majorBidi"/>
          <w:sz w:val="20"/>
          <w:szCs w:val="20"/>
        </w:rPr>
        <w:t xml:space="preserve"> </w:t>
      </w:r>
      <w:r w:rsidR="003A5083" w:rsidRPr="0082614C">
        <w:rPr>
          <w:rFonts w:asciiTheme="majorBidi" w:hAnsiTheme="majorBidi" w:cstheme="majorBidi"/>
          <w:sz w:val="20"/>
          <w:szCs w:val="20"/>
        </w:rPr>
        <w:t>https://turkishminute.com/2024/03/13/report-sheds-light-on-shrinking-space-for-civil-society-in-turkey-under-state-pressure/</w:t>
      </w:r>
      <w:r w:rsidR="003A5083" w:rsidRPr="0082614C">
        <w:rPr>
          <w:rFonts w:asciiTheme="majorBidi" w:hAnsiTheme="majorBidi" w:cstheme="majorBidi"/>
          <w:sz w:val="20"/>
          <w:szCs w:val="20"/>
        </w:rPr>
        <w:t>;</w:t>
      </w:r>
      <w:r w:rsidR="00BB77EC" w:rsidRPr="0082614C">
        <w:rPr>
          <w:rFonts w:asciiTheme="majorBidi" w:hAnsiTheme="majorBidi" w:cstheme="majorBidi"/>
          <w:sz w:val="20"/>
          <w:szCs w:val="20"/>
        </w:rPr>
        <w:t xml:space="preserve"> UK Government,</w:t>
      </w:r>
      <w:r w:rsidR="003A5083" w:rsidRPr="0082614C">
        <w:rPr>
          <w:rFonts w:asciiTheme="majorBidi" w:hAnsiTheme="majorBidi" w:cstheme="majorBidi"/>
          <w:sz w:val="20"/>
          <w:szCs w:val="20"/>
        </w:rPr>
        <w:t xml:space="preserve"> </w:t>
      </w:r>
      <w:r w:rsidR="00567F52" w:rsidRPr="0082614C">
        <w:rPr>
          <w:rFonts w:asciiTheme="majorBidi" w:hAnsiTheme="majorBidi" w:cstheme="majorBidi"/>
          <w:i/>
          <w:iCs/>
          <w:sz w:val="20"/>
          <w:szCs w:val="20"/>
        </w:rPr>
        <w:t>Guidance</w:t>
      </w:r>
    </w:p>
    <w:p w14:paraId="64A8D924" w14:textId="5E5017FD" w:rsidR="00A742D4" w:rsidRPr="0082614C" w:rsidRDefault="00567F52" w:rsidP="00BB77EC">
      <w:pPr>
        <w:pStyle w:val="FootnoteText"/>
        <w:rPr>
          <w:b/>
          <w:bCs/>
          <w:sz w:val="20"/>
          <w:szCs w:val="20"/>
        </w:rPr>
      </w:pPr>
      <w:r w:rsidRPr="00567F52">
        <w:rPr>
          <w:rFonts w:asciiTheme="majorBidi" w:hAnsiTheme="majorBidi" w:cstheme="majorBidi"/>
          <w:i/>
          <w:iCs/>
          <w:sz w:val="20"/>
          <w:szCs w:val="20"/>
        </w:rPr>
        <w:t>Country policy and information note: Gülenist movement, Turkey, October 2023</w:t>
      </w:r>
      <w:r w:rsidRPr="00567F52">
        <w:rPr>
          <w:rFonts w:asciiTheme="majorBidi" w:hAnsiTheme="majorBidi" w:cstheme="majorBidi"/>
          <w:sz w:val="20"/>
          <w:szCs w:val="20"/>
        </w:rPr>
        <w:t xml:space="preserve"> (accessible)</w:t>
      </w:r>
      <w:r w:rsidRPr="0082614C">
        <w:rPr>
          <w:rFonts w:asciiTheme="majorBidi" w:hAnsiTheme="majorBidi" w:cstheme="majorBidi"/>
          <w:sz w:val="20"/>
          <w:szCs w:val="20"/>
        </w:rPr>
        <w:t xml:space="preserve"> (</w:t>
      </w:r>
      <w:r w:rsidR="0049455C" w:rsidRPr="0082614C">
        <w:rPr>
          <w:rFonts w:asciiTheme="majorBidi" w:hAnsiTheme="majorBidi" w:cstheme="majorBidi"/>
          <w:sz w:val="20"/>
          <w:szCs w:val="20"/>
        </w:rPr>
        <w:t>Updated 9 August 2024</w:t>
      </w:r>
      <w:r w:rsidR="0049455C" w:rsidRPr="0082614C">
        <w:rPr>
          <w:rFonts w:asciiTheme="majorBidi" w:hAnsiTheme="majorBidi" w:cstheme="majorBidi"/>
          <w:sz w:val="20"/>
          <w:szCs w:val="20"/>
        </w:rPr>
        <w:t>)</w:t>
      </w:r>
      <w:r w:rsidR="00BB77EC" w:rsidRPr="0082614C">
        <w:rPr>
          <w:rFonts w:asciiTheme="majorBidi" w:hAnsiTheme="majorBidi" w:cstheme="majorBidi"/>
          <w:sz w:val="20"/>
          <w:szCs w:val="20"/>
        </w:rPr>
        <w:t xml:space="preserve">, </w:t>
      </w:r>
      <w:r w:rsidR="002E5952" w:rsidRPr="0082614C">
        <w:rPr>
          <w:rFonts w:asciiTheme="majorBidi" w:hAnsiTheme="majorBidi" w:cstheme="majorBidi"/>
          <w:sz w:val="20"/>
          <w:szCs w:val="20"/>
        </w:rPr>
        <w:t>https://www.gov.uk/government/publications/turkey-country-policy-and-information-notes/475f9b93-76c5-4312-b918-68756604f8ed</w:t>
      </w:r>
      <w:r w:rsidR="002E5952" w:rsidRPr="0082614C">
        <w:rPr>
          <w:rFonts w:asciiTheme="majorBidi" w:hAnsiTheme="majorBidi" w:cstheme="majorBidi"/>
          <w:sz w:val="20"/>
          <w:szCs w:val="20"/>
        </w:rPr>
        <w:t xml:space="preserve"> </w:t>
      </w:r>
    </w:p>
  </w:footnote>
  <w:footnote w:id="24">
    <w:p w14:paraId="25BDF2B1" w14:textId="12E9DBE9" w:rsidR="0054697C" w:rsidRPr="0082614C" w:rsidRDefault="0054697C" w:rsidP="0054697C">
      <w:pPr>
        <w:pStyle w:val="FootnoteText"/>
        <w:rPr>
          <w:sz w:val="20"/>
          <w:szCs w:val="20"/>
        </w:rPr>
      </w:pPr>
      <w:r w:rsidRPr="0082614C">
        <w:rPr>
          <w:rStyle w:val="FootnoteReference"/>
          <w:sz w:val="20"/>
          <w:szCs w:val="20"/>
        </w:rPr>
        <w:footnoteRef/>
      </w:r>
      <w:r w:rsidR="04CAA791" w:rsidRPr="0082614C">
        <w:rPr>
          <w:sz w:val="20"/>
          <w:szCs w:val="20"/>
        </w:rPr>
        <w:t xml:space="preserve"> Human Rights Committee, </w:t>
      </w:r>
      <w:r w:rsidR="04CAA791" w:rsidRPr="0082614C">
        <w:rPr>
          <w:i/>
          <w:iCs/>
          <w:sz w:val="20"/>
          <w:szCs w:val="20"/>
        </w:rPr>
        <w:t>List of issues prior to submission of the second periodic report of Türkiye</w:t>
      </w:r>
      <w:r w:rsidR="04CAA791" w:rsidRPr="0082614C">
        <w:rPr>
          <w:sz w:val="20"/>
          <w:szCs w:val="20"/>
        </w:rPr>
        <w:t>, (August 25, 2021), U.N. Doc. CCPR/C/TUR/QPR/2, ¶ 3.</w:t>
      </w:r>
    </w:p>
  </w:footnote>
  <w:footnote w:id="25">
    <w:p w14:paraId="1E809DFB" w14:textId="2239F633" w:rsidR="00A051A1" w:rsidRPr="0082614C" w:rsidRDefault="00A051A1" w:rsidP="00A051A1">
      <w:pPr>
        <w:pStyle w:val="FootnoteText"/>
        <w:rPr>
          <w:sz w:val="20"/>
          <w:szCs w:val="20"/>
          <w:lang w:val="en-GB"/>
        </w:rPr>
      </w:pPr>
      <w:r w:rsidRPr="0082614C">
        <w:rPr>
          <w:rStyle w:val="FootnoteReference"/>
          <w:sz w:val="20"/>
          <w:szCs w:val="20"/>
        </w:rPr>
        <w:footnoteRef/>
      </w:r>
      <w:r w:rsidRPr="0082614C">
        <w:rPr>
          <w:sz w:val="20"/>
          <w:szCs w:val="20"/>
        </w:rPr>
        <w:t xml:space="preserve"> </w:t>
      </w:r>
      <w:r w:rsidRPr="0082614C">
        <w:rPr>
          <w:kern w:val="0"/>
          <w:sz w:val="20"/>
          <w:szCs w:val="20"/>
          <w:lang w:val="en-GB"/>
        </w:rPr>
        <w:t xml:space="preserve">Human Rights Committee, </w:t>
      </w:r>
      <w:proofErr w:type="gramStart"/>
      <w:r w:rsidRPr="0082614C">
        <w:rPr>
          <w:i/>
          <w:iCs/>
          <w:kern w:val="0"/>
          <w:sz w:val="20"/>
          <w:szCs w:val="20"/>
          <w:lang w:val="en-GB"/>
        </w:rPr>
        <w:t>Second</w:t>
      </w:r>
      <w:proofErr w:type="gramEnd"/>
      <w:r w:rsidRPr="0082614C">
        <w:rPr>
          <w:i/>
          <w:iCs/>
          <w:kern w:val="0"/>
          <w:sz w:val="20"/>
          <w:szCs w:val="20"/>
          <w:lang w:val="en-GB"/>
        </w:rPr>
        <w:t xml:space="preserve"> periodic report submitted by Türkiye under article 40 of the Covenant pursuant to the optional reporting procedure, due in 2022 (date received: 3 August 2022)</w:t>
      </w:r>
      <w:r w:rsidRPr="0082614C">
        <w:rPr>
          <w:kern w:val="0"/>
          <w:sz w:val="20"/>
          <w:szCs w:val="20"/>
          <w:lang w:val="en-GB"/>
        </w:rPr>
        <w:t>, UN. Doc. CCPR/C/TUR/2 (April 28, 2023), ¶</w:t>
      </w:r>
      <w:r w:rsidR="00220BB8" w:rsidRPr="0082614C">
        <w:rPr>
          <w:kern w:val="0"/>
          <w:sz w:val="20"/>
          <w:szCs w:val="20"/>
          <w:lang w:val="en-GB"/>
        </w:rPr>
        <w:t xml:space="preserve"> </w:t>
      </w:r>
      <w:r w:rsidRPr="0082614C">
        <w:rPr>
          <w:kern w:val="0"/>
          <w:sz w:val="20"/>
          <w:szCs w:val="20"/>
          <w:lang w:val="en-GB"/>
        </w:rPr>
        <w:t>42-</w:t>
      </w:r>
      <w:r w:rsidR="00791109" w:rsidRPr="0082614C">
        <w:rPr>
          <w:kern w:val="0"/>
          <w:sz w:val="20"/>
          <w:szCs w:val="20"/>
          <w:lang w:val="en-GB"/>
        </w:rPr>
        <w:t>54</w:t>
      </w:r>
      <w:r w:rsidRPr="0082614C">
        <w:rPr>
          <w:kern w:val="0"/>
          <w:sz w:val="20"/>
          <w:szCs w:val="20"/>
          <w:lang w:val="en-GB"/>
        </w:rPr>
        <w:t>.</w:t>
      </w:r>
    </w:p>
  </w:footnote>
  <w:footnote w:id="26">
    <w:p w14:paraId="7DA60A83" w14:textId="3F9EC274" w:rsidR="002A6E23" w:rsidRPr="0082614C" w:rsidRDefault="002A6E23" w:rsidP="002A6E23">
      <w:pPr>
        <w:pStyle w:val="FootnoteText"/>
        <w:rPr>
          <w:sz w:val="20"/>
          <w:szCs w:val="20"/>
          <w:lang w:val="en-GB"/>
        </w:rPr>
      </w:pPr>
      <w:r w:rsidRPr="0082614C">
        <w:rPr>
          <w:rStyle w:val="FootnoteReference"/>
          <w:sz w:val="20"/>
          <w:szCs w:val="20"/>
        </w:rPr>
        <w:footnoteRef/>
      </w:r>
      <w:r w:rsidR="04CAA791" w:rsidRPr="0082614C">
        <w:rPr>
          <w:sz w:val="20"/>
          <w:szCs w:val="20"/>
        </w:rPr>
        <w:t xml:space="preserve"> </w:t>
      </w:r>
      <w:r w:rsidR="04CAA791" w:rsidRPr="0082614C">
        <w:rPr>
          <w:kern w:val="0"/>
          <w:sz w:val="20"/>
          <w:szCs w:val="20"/>
          <w:lang w:val="en-GB"/>
        </w:rPr>
        <w:t xml:space="preserve">Committee on the Elimination of Discrimination against Women, </w:t>
      </w:r>
      <w:r w:rsidR="04CAA791" w:rsidRPr="0082614C">
        <w:rPr>
          <w:i/>
          <w:iCs/>
          <w:kern w:val="0"/>
          <w:sz w:val="20"/>
          <w:szCs w:val="20"/>
          <w:lang w:val="en-GB"/>
        </w:rPr>
        <w:t>Replies of Türkiye to the list of issues and questions in relation to its eighth periodic report (date received: 9 November 2021)</w:t>
      </w:r>
      <w:r w:rsidR="04CAA791" w:rsidRPr="0082614C">
        <w:rPr>
          <w:kern w:val="0"/>
          <w:sz w:val="20"/>
          <w:szCs w:val="20"/>
          <w:lang w:val="en-GB"/>
        </w:rPr>
        <w:t>, UN. Doc. CEDAW/C/TUR/RQ/8 (February 25, 2022), ¶ 260.</w:t>
      </w:r>
    </w:p>
  </w:footnote>
  <w:footnote w:id="27">
    <w:p w14:paraId="49BEB3DB" w14:textId="375F358C" w:rsidR="00A154ED" w:rsidRPr="0082614C" w:rsidRDefault="00A154ED">
      <w:pPr>
        <w:pStyle w:val="FootnoteText"/>
        <w:rPr>
          <w:sz w:val="20"/>
          <w:szCs w:val="20"/>
        </w:rPr>
      </w:pPr>
      <w:r w:rsidRPr="0082614C">
        <w:rPr>
          <w:rStyle w:val="FootnoteReference"/>
          <w:sz w:val="20"/>
          <w:szCs w:val="20"/>
        </w:rPr>
        <w:footnoteRef/>
      </w:r>
      <w:r w:rsidR="04CAA791" w:rsidRPr="0082614C">
        <w:rPr>
          <w:sz w:val="20"/>
          <w:szCs w:val="20"/>
        </w:rPr>
        <w:t xml:space="preserve"> Committee on the Elimination of Discrimination against Women, </w:t>
      </w:r>
      <w:proofErr w:type="gramStart"/>
      <w:r w:rsidR="04CAA791" w:rsidRPr="0082614C">
        <w:rPr>
          <w:i/>
          <w:iCs/>
          <w:sz w:val="20"/>
          <w:szCs w:val="20"/>
        </w:rPr>
        <w:t>Eighth</w:t>
      </w:r>
      <w:proofErr w:type="gramEnd"/>
      <w:r w:rsidR="04CAA791" w:rsidRPr="0082614C">
        <w:rPr>
          <w:i/>
          <w:iCs/>
          <w:sz w:val="20"/>
          <w:szCs w:val="20"/>
        </w:rPr>
        <w:t xml:space="preserve"> periodic report submitted by Türkiye under article 18 of the Convention, due in 2020 (date received: 26 November 2020)</w:t>
      </w:r>
      <w:r w:rsidR="04CAA791" w:rsidRPr="0082614C">
        <w:rPr>
          <w:sz w:val="20"/>
          <w:szCs w:val="20"/>
        </w:rPr>
        <w:t>, U.N. Doc. CEDAW/C/TUR/8 (April 1, 2021), ¶ 247.</w:t>
      </w:r>
    </w:p>
  </w:footnote>
  <w:footnote w:id="28">
    <w:p w14:paraId="58379E81" w14:textId="76E6D9BC" w:rsidR="00CE371C" w:rsidRPr="0082614C" w:rsidRDefault="00CE371C" w:rsidP="002F27F0">
      <w:pPr>
        <w:pStyle w:val="FootnoteText"/>
        <w:rPr>
          <w:sz w:val="20"/>
          <w:szCs w:val="20"/>
        </w:rPr>
      </w:pPr>
      <w:r w:rsidRPr="0082614C">
        <w:rPr>
          <w:rStyle w:val="FootnoteReference"/>
          <w:sz w:val="20"/>
          <w:szCs w:val="20"/>
        </w:rPr>
        <w:footnoteRef/>
      </w:r>
      <w:r w:rsidR="04CAA791" w:rsidRPr="0082614C">
        <w:rPr>
          <w:sz w:val="20"/>
          <w:szCs w:val="20"/>
        </w:rPr>
        <w:t xml:space="preserve"> Turkish Civil Code</w:t>
      </w:r>
      <w:r w:rsidR="002F27F0" w:rsidRPr="0082614C">
        <w:rPr>
          <w:sz w:val="20"/>
          <w:szCs w:val="20"/>
        </w:rPr>
        <w:t xml:space="preserve"> [</w:t>
      </w:r>
      <w:r w:rsidR="002F27F0" w:rsidRPr="0082614C">
        <w:rPr>
          <w:sz w:val="20"/>
          <w:szCs w:val="20"/>
        </w:rPr>
        <w:t>Law N. 4721, dated 7/12/2002</w:t>
      </w:r>
      <w:r w:rsidR="002F27F0" w:rsidRPr="0082614C">
        <w:rPr>
          <w:sz w:val="20"/>
          <w:szCs w:val="20"/>
        </w:rPr>
        <w:t>].</w:t>
      </w:r>
    </w:p>
  </w:footnote>
  <w:footnote w:id="29">
    <w:p w14:paraId="10640C9F" w14:textId="54E9C3AE" w:rsidR="00913E74" w:rsidRPr="0082614C" w:rsidRDefault="00913E74" w:rsidP="04CAA791">
      <w:pPr>
        <w:pStyle w:val="FootnoteText"/>
        <w:rPr>
          <w:sz w:val="20"/>
          <w:szCs w:val="20"/>
        </w:rPr>
      </w:pPr>
      <w:r w:rsidRPr="0082614C">
        <w:rPr>
          <w:rStyle w:val="FootnoteReference"/>
          <w:sz w:val="20"/>
          <w:szCs w:val="20"/>
        </w:rPr>
        <w:footnoteRef/>
      </w:r>
      <w:r w:rsidR="04CAA791" w:rsidRPr="0082614C">
        <w:rPr>
          <w:sz w:val="20"/>
          <w:szCs w:val="20"/>
        </w:rPr>
        <w:t xml:space="preserve"> </w:t>
      </w:r>
      <w:r w:rsidR="04CAA791" w:rsidRPr="0082614C">
        <w:rPr>
          <w:i/>
          <w:iCs/>
          <w:color w:val="000000" w:themeColor="text1"/>
          <w:sz w:val="20"/>
          <w:szCs w:val="20"/>
        </w:rPr>
        <w:t>Ünal Tekeli v. Türkiye</w:t>
      </w:r>
      <w:r w:rsidR="04CAA791" w:rsidRPr="0082614C">
        <w:rPr>
          <w:color w:val="000000" w:themeColor="text1"/>
          <w:sz w:val="20"/>
          <w:szCs w:val="20"/>
        </w:rPr>
        <w:t xml:space="preserve">, 2005 ECHR §68 (Feb. 16); </w:t>
      </w:r>
      <w:r w:rsidR="04CAA791" w:rsidRPr="0082614C">
        <w:rPr>
          <w:sz w:val="20"/>
          <w:szCs w:val="20"/>
        </w:rPr>
        <w:t xml:space="preserve">Daily Sabah, </w:t>
      </w:r>
      <w:r w:rsidR="04CAA791" w:rsidRPr="0082614C">
        <w:rPr>
          <w:i/>
          <w:iCs/>
          <w:sz w:val="20"/>
          <w:szCs w:val="20"/>
        </w:rPr>
        <w:t>Court Ruling a Victory for Maiden Name Usage in Türkiye</w:t>
      </w:r>
      <w:r w:rsidR="04CAA791" w:rsidRPr="0082614C">
        <w:rPr>
          <w:sz w:val="20"/>
          <w:szCs w:val="20"/>
        </w:rPr>
        <w:t xml:space="preserve">, Oct. 5, 2015, </w:t>
      </w:r>
      <w:hyperlink r:id="rId3">
        <w:r w:rsidR="04CAA791" w:rsidRPr="0082614C">
          <w:rPr>
            <w:rStyle w:val="Hyperlink"/>
            <w:color w:val="auto"/>
            <w:sz w:val="20"/>
            <w:szCs w:val="20"/>
            <w:u w:val="none"/>
          </w:rPr>
          <w:t>https://www.dailysabah.com/Türkiye/2015/10/05/court-ruling-a-victory-for-maiden-name-usage-in-Türkiye</w:t>
        </w:r>
      </w:hyperlink>
    </w:p>
  </w:footnote>
  <w:footnote w:id="30">
    <w:p w14:paraId="15BCF118" w14:textId="3BF90A98" w:rsidR="004C5D78" w:rsidRPr="0082614C" w:rsidRDefault="004C5D78" w:rsidP="04CAA791">
      <w:pPr>
        <w:pStyle w:val="FootnoteText"/>
        <w:rPr>
          <w:sz w:val="20"/>
          <w:szCs w:val="20"/>
        </w:rPr>
      </w:pPr>
      <w:r w:rsidRPr="0082614C">
        <w:rPr>
          <w:rStyle w:val="FootnoteReference"/>
          <w:sz w:val="20"/>
          <w:szCs w:val="20"/>
        </w:rPr>
        <w:footnoteRef/>
      </w:r>
      <w:r w:rsidR="04CAA791" w:rsidRPr="0082614C">
        <w:rPr>
          <w:sz w:val="20"/>
          <w:szCs w:val="20"/>
        </w:rPr>
        <w:t xml:space="preserve"> Daily Sabah, </w:t>
      </w:r>
      <w:r w:rsidR="04CAA791" w:rsidRPr="0082614C">
        <w:rPr>
          <w:i/>
          <w:iCs/>
          <w:sz w:val="20"/>
          <w:szCs w:val="20"/>
        </w:rPr>
        <w:t>Court Ruling a Victory for Maiden Name Usage in Türkiye</w:t>
      </w:r>
      <w:r w:rsidR="04CAA791" w:rsidRPr="0082614C">
        <w:rPr>
          <w:sz w:val="20"/>
          <w:szCs w:val="20"/>
        </w:rPr>
        <w:t xml:space="preserve">, Oct. 5, 2015, </w:t>
      </w:r>
      <w:hyperlink r:id="rId4">
        <w:r w:rsidR="04CAA791" w:rsidRPr="0082614C">
          <w:rPr>
            <w:rStyle w:val="Hyperlink"/>
            <w:color w:val="auto"/>
            <w:sz w:val="20"/>
            <w:szCs w:val="20"/>
          </w:rPr>
          <w:t>https://www.dailysabah.com/Türkiye/2015/10/05/court-ruling-a-victory-for-maiden-name-usage-in-Türkiye</w:t>
        </w:r>
      </w:hyperlink>
      <w:r w:rsidR="04CAA791" w:rsidRPr="0082614C">
        <w:rPr>
          <w:sz w:val="20"/>
          <w:szCs w:val="20"/>
          <w:u w:val="single"/>
        </w:rPr>
        <w:t>.</w:t>
      </w:r>
    </w:p>
  </w:footnote>
  <w:footnote w:id="31">
    <w:p w14:paraId="35869695" w14:textId="1255C688" w:rsidR="00BA613B" w:rsidRPr="0082614C" w:rsidRDefault="00BA613B" w:rsidP="04CAA791">
      <w:pPr>
        <w:pStyle w:val="FootnoteText"/>
        <w:rPr>
          <w:sz w:val="20"/>
          <w:szCs w:val="20"/>
        </w:rPr>
      </w:pPr>
      <w:r w:rsidRPr="0082614C">
        <w:rPr>
          <w:rStyle w:val="FootnoteReference"/>
          <w:sz w:val="20"/>
          <w:szCs w:val="20"/>
        </w:rPr>
        <w:footnoteRef/>
      </w:r>
      <w:r w:rsidR="04CAA791" w:rsidRPr="0082614C">
        <w:rPr>
          <w:sz w:val="20"/>
          <w:szCs w:val="20"/>
        </w:rPr>
        <w:t xml:space="preserve"> Seda İrem </w:t>
      </w:r>
      <w:proofErr w:type="spellStart"/>
      <w:proofErr w:type="gramStart"/>
      <w:r w:rsidR="04CAA791" w:rsidRPr="0082614C">
        <w:rPr>
          <w:sz w:val="20"/>
          <w:szCs w:val="20"/>
        </w:rPr>
        <w:t>Çakırca</w:t>
      </w:r>
      <w:proofErr w:type="spellEnd"/>
      <w:r w:rsidR="04CAA791" w:rsidRPr="0082614C">
        <w:rPr>
          <w:sz w:val="20"/>
          <w:szCs w:val="20"/>
        </w:rPr>
        <w:t xml:space="preserve">,  </w:t>
      </w:r>
      <w:proofErr w:type="spellStart"/>
      <w:r w:rsidR="04CAA791" w:rsidRPr="0082614C">
        <w:rPr>
          <w:i/>
          <w:iCs/>
          <w:color w:val="000000" w:themeColor="text1"/>
          <w:sz w:val="20"/>
          <w:szCs w:val="20"/>
        </w:rPr>
        <w:t>Evli</w:t>
      </w:r>
      <w:proofErr w:type="spellEnd"/>
      <w:r w:rsidR="04CAA791" w:rsidRPr="0082614C">
        <w:rPr>
          <w:i/>
          <w:iCs/>
          <w:color w:val="000000" w:themeColor="text1"/>
          <w:sz w:val="20"/>
          <w:szCs w:val="20"/>
        </w:rPr>
        <w:t>̇</w:t>
      </w:r>
      <w:proofErr w:type="gramEnd"/>
      <w:r w:rsidR="04CAA791" w:rsidRPr="0082614C">
        <w:rPr>
          <w:i/>
          <w:iCs/>
          <w:color w:val="000000" w:themeColor="text1"/>
          <w:sz w:val="20"/>
          <w:szCs w:val="20"/>
        </w:rPr>
        <w:t xml:space="preserve"> </w:t>
      </w:r>
      <w:proofErr w:type="spellStart"/>
      <w:r w:rsidR="04CAA791" w:rsidRPr="0082614C">
        <w:rPr>
          <w:i/>
          <w:iCs/>
          <w:color w:val="000000" w:themeColor="text1"/>
          <w:sz w:val="20"/>
          <w:szCs w:val="20"/>
        </w:rPr>
        <w:t>Kadinin</w:t>
      </w:r>
      <w:proofErr w:type="spellEnd"/>
      <w:r w:rsidR="04CAA791" w:rsidRPr="0082614C">
        <w:rPr>
          <w:i/>
          <w:iCs/>
          <w:color w:val="000000" w:themeColor="text1"/>
          <w:sz w:val="20"/>
          <w:szCs w:val="20"/>
        </w:rPr>
        <w:t xml:space="preserve"> </w:t>
      </w:r>
      <w:proofErr w:type="spellStart"/>
      <w:r w:rsidR="04CAA791" w:rsidRPr="0082614C">
        <w:rPr>
          <w:i/>
          <w:iCs/>
          <w:color w:val="000000" w:themeColor="text1"/>
          <w:sz w:val="20"/>
          <w:szCs w:val="20"/>
        </w:rPr>
        <w:t>Soyadina</w:t>
      </w:r>
      <w:proofErr w:type="spellEnd"/>
      <w:r w:rsidR="04CAA791" w:rsidRPr="0082614C">
        <w:rPr>
          <w:i/>
          <w:iCs/>
          <w:color w:val="000000" w:themeColor="text1"/>
          <w:sz w:val="20"/>
          <w:szCs w:val="20"/>
        </w:rPr>
        <w:t xml:space="preserve"> </w:t>
      </w:r>
      <w:proofErr w:type="spellStart"/>
      <w:r w:rsidR="04CAA791" w:rsidRPr="0082614C">
        <w:rPr>
          <w:i/>
          <w:iCs/>
          <w:color w:val="000000" w:themeColor="text1"/>
          <w:sz w:val="20"/>
          <w:szCs w:val="20"/>
        </w:rPr>
        <w:t>İli̇şki̇n</w:t>
      </w:r>
      <w:proofErr w:type="spellEnd"/>
      <w:r w:rsidR="04CAA791" w:rsidRPr="0082614C">
        <w:rPr>
          <w:i/>
          <w:iCs/>
          <w:color w:val="000000" w:themeColor="text1"/>
          <w:sz w:val="20"/>
          <w:szCs w:val="20"/>
        </w:rPr>
        <w:t xml:space="preserve"> </w:t>
      </w:r>
      <w:proofErr w:type="spellStart"/>
      <w:r w:rsidR="04CAA791" w:rsidRPr="0082614C">
        <w:rPr>
          <w:i/>
          <w:iCs/>
          <w:color w:val="000000" w:themeColor="text1"/>
          <w:sz w:val="20"/>
          <w:szCs w:val="20"/>
        </w:rPr>
        <w:t>Güncel</w:t>
      </w:r>
      <w:proofErr w:type="spellEnd"/>
      <w:r w:rsidR="04CAA791" w:rsidRPr="0082614C">
        <w:rPr>
          <w:i/>
          <w:iCs/>
          <w:color w:val="000000" w:themeColor="text1"/>
          <w:sz w:val="20"/>
          <w:szCs w:val="20"/>
        </w:rPr>
        <w:t xml:space="preserve"> </w:t>
      </w:r>
      <w:proofErr w:type="spellStart"/>
      <w:r w:rsidR="04CAA791" w:rsidRPr="0082614C">
        <w:rPr>
          <w:i/>
          <w:iCs/>
          <w:color w:val="000000" w:themeColor="text1"/>
          <w:sz w:val="20"/>
          <w:szCs w:val="20"/>
        </w:rPr>
        <w:t>Geli̇şmeleri̇n</w:t>
      </w:r>
      <w:proofErr w:type="spellEnd"/>
      <w:r w:rsidR="04CAA791" w:rsidRPr="0082614C">
        <w:rPr>
          <w:i/>
          <w:iCs/>
          <w:color w:val="000000" w:themeColor="text1"/>
          <w:sz w:val="20"/>
          <w:szCs w:val="20"/>
        </w:rPr>
        <w:t xml:space="preserve"> </w:t>
      </w:r>
      <w:proofErr w:type="spellStart"/>
      <w:r w:rsidR="04CAA791" w:rsidRPr="0082614C">
        <w:rPr>
          <w:i/>
          <w:iCs/>
          <w:color w:val="000000" w:themeColor="text1"/>
          <w:sz w:val="20"/>
          <w:szCs w:val="20"/>
        </w:rPr>
        <w:t>Değerlendi̇rilmesi</w:t>
      </w:r>
      <w:proofErr w:type="spellEnd"/>
      <w:r w:rsidR="04CAA791" w:rsidRPr="0082614C">
        <w:rPr>
          <w:color w:val="000000" w:themeColor="text1"/>
          <w:sz w:val="20"/>
          <w:szCs w:val="20"/>
        </w:rPr>
        <w:t xml:space="preserve">, 70 Istanbul University Faculty of Law Journal 145, </w:t>
      </w:r>
      <w:r w:rsidR="04CAA791" w:rsidRPr="0082614C">
        <w:rPr>
          <w:sz w:val="20"/>
          <w:szCs w:val="20"/>
        </w:rPr>
        <w:t>162 (2012).</w:t>
      </w:r>
    </w:p>
  </w:footnote>
  <w:footnote w:id="32">
    <w:p w14:paraId="07F6839D" w14:textId="2505CCC8" w:rsidR="00906BF5" w:rsidRPr="0082614C" w:rsidRDefault="00906BF5" w:rsidP="04CAA791">
      <w:pPr>
        <w:pStyle w:val="FootnoteText"/>
        <w:rPr>
          <w:sz w:val="20"/>
          <w:szCs w:val="20"/>
        </w:rPr>
      </w:pPr>
      <w:r w:rsidRPr="0082614C">
        <w:rPr>
          <w:rStyle w:val="FootnoteReference"/>
          <w:sz w:val="20"/>
          <w:szCs w:val="20"/>
        </w:rPr>
        <w:footnoteRef/>
      </w:r>
      <w:r w:rsidR="04CAA791" w:rsidRPr="0082614C">
        <w:rPr>
          <w:sz w:val="20"/>
          <w:szCs w:val="20"/>
        </w:rPr>
        <w:t xml:space="preserve"> Seda İrem </w:t>
      </w:r>
      <w:proofErr w:type="spellStart"/>
      <w:proofErr w:type="gramStart"/>
      <w:r w:rsidR="04CAA791" w:rsidRPr="0082614C">
        <w:rPr>
          <w:sz w:val="20"/>
          <w:szCs w:val="20"/>
        </w:rPr>
        <w:t>Çakırca</w:t>
      </w:r>
      <w:proofErr w:type="spellEnd"/>
      <w:r w:rsidR="04CAA791" w:rsidRPr="0082614C">
        <w:rPr>
          <w:sz w:val="20"/>
          <w:szCs w:val="20"/>
        </w:rPr>
        <w:t xml:space="preserve">,  </w:t>
      </w:r>
      <w:proofErr w:type="spellStart"/>
      <w:r w:rsidR="04CAA791" w:rsidRPr="0082614C">
        <w:rPr>
          <w:i/>
          <w:iCs/>
          <w:color w:val="000000" w:themeColor="text1"/>
          <w:sz w:val="20"/>
          <w:szCs w:val="20"/>
        </w:rPr>
        <w:t>Evli</w:t>
      </w:r>
      <w:proofErr w:type="spellEnd"/>
      <w:r w:rsidR="04CAA791" w:rsidRPr="0082614C">
        <w:rPr>
          <w:i/>
          <w:iCs/>
          <w:color w:val="000000" w:themeColor="text1"/>
          <w:sz w:val="20"/>
          <w:szCs w:val="20"/>
        </w:rPr>
        <w:t>̇</w:t>
      </w:r>
      <w:proofErr w:type="gramEnd"/>
      <w:r w:rsidR="04CAA791" w:rsidRPr="0082614C">
        <w:rPr>
          <w:i/>
          <w:iCs/>
          <w:color w:val="000000" w:themeColor="text1"/>
          <w:sz w:val="20"/>
          <w:szCs w:val="20"/>
        </w:rPr>
        <w:t xml:space="preserve"> </w:t>
      </w:r>
      <w:proofErr w:type="spellStart"/>
      <w:r w:rsidR="04CAA791" w:rsidRPr="0082614C">
        <w:rPr>
          <w:i/>
          <w:iCs/>
          <w:color w:val="000000" w:themeColor="text1"/>
          <w:sz w:val="20"/>
          <w:szCs w:val="20"/>
        </w:rPr>
        <w:t>Kadinin</w:t>
      </w:r>
      <w:proofErr w:type="spellEnd"/>
      <w:r w:rsidR="04CAA791" w:rsidRPr="0082614C">
        <w:rPr>
          <w:i/>
          <w:iCs/>
          <w:color w:val="000000" w:themeColor="text1"/>
          <w:sz w:val="20"/>
          <w:szCs w:val="20"/>
        </w:rPr>
        <w:t xml:space="preserve"> </w:t>
      </w:r>
      <w:proofErr w:type="spellStart"/>
      <w:r w:rsidR="04CAA791" w:rsidRPr="0082614C">
        <w:rPr>
          <w:i/>
          <w:iCs/>
          <w:color w:val="000000" w:themeColor="text1"/>
          <w:sz w:val="20"/>
          <w:szCs w:val="20"/>
        </w:rPr>
        <w:t>Soyadina</w:t>
      </w:r>
      <w:proofErr w:type="spellEnd"/>
      <w:r w:rsidR="04CAA791" w:rsidRPr="0082614C">
        <w:rPr>
          <w:i/>
          <w:iCs/>
          <w:color w:val="000000" w:themeColor="text1"/>
          <w:sz w:val="20"/>
          <w:szCs w:val="20"/>
        </w:rPr>
        <w:t xml:space="preserve"> </w:t>
      </w:r>
      <w:proofErr w:type="spellStart"/>
      <w:r w:rsidR="04CAA791" w:rsidRPr="0082614C">
        <w:rPr>
          <w:i/>
          <w:iCs/>
          <w:color w:val="000000" w:themeColor="text1"/>
          <w:sz w:val="20"/>
          <w:szCs w:val="20"/>
        </w:rPr>
        <w:t>İli̇şki̇n</w:t>
      </w:r>
      <w:proofErr w:type="spellEnd"/>
      <w:r w:rsidR="04CAA791" w:rsidRPr="0082614C">
        <w:rPr>
          <w:i/>
          <w:iCs/>
          <w:color w:val="000000" w:themeColor="text1"/>
          <w:sz w:val="20"/>
          <w:szCs w:val="20"/>
        </w:rPr>
        <w:t xml:space="preserve"> </w:t>
      </w:r>
      <w:proofErr w:type="spellStart"/>
      <w:r w:rsidR="04CAA791" w:rsidRPr="0082614C">
        <w:rPr>
          <w:i/>
          <w:iCs/>
          <w:color w:val="000000" w:themeColor="text1"/>
          <w:sz w:val="20"/>
          <w:szCs w:val="20"/>
        </w:rPr>
        <w:t>Güncel</w:t>
      </w:r>
      <w:proofErr w:type="spellEnd"/>
      <w:r w:rsidR="04CAA791" w:rsidRPr="0082614C">
        <w:rPr>
          <w:i/>
          <w:iCs/>
          <w:color w:val="000000" w:themeColor="text1"/>
          <w:sz w:val="20"/>
          <w:szCs w:val="20"/>
        </w:rPr>
        <w:t xml:space="preserve"> </w:t>
      </w:r>
      <w:proofErr w:type="spellStart"/>
      <w:r w:rsidR="04CAA791" w:rsidRPr="0082614C">
        <w:rPr>
          <w:i/>
          <w:iCs/>
          <w:color w:val="000000" w:themeColor="text1"/>
          <w:sz w:val="20"/>
          <w:szCs w:val="20"/>
        </w:rPr>
        <w:t>Geli̇şmeleri̇n</w:t>
      </w:r>
      <w:proofErr w:type="spellEnd"/>
      <w:r w:rsidR="04CAA791" w:rsidRPr="0082614C">
        <w:rPr>
          <w:i/>
          <w:iCs/>
          <w:color w:val="000000" w:themeColor="text1"/>
          <w:sz w:val="20"/>
          <w:szCs w:val="20"/>
        </w:rPr>
        <w:t xml:space="preserve"> </w:t>
      </w:r>
      <w:proofErr w:type="spellStart"/>
      <w:r w:rsidR="04CAA791" w:rsidRPr="0082614C">
        <w:rPr>
          <w:i/>
          <w:iCs/>
          <w:color w:val="000000" w:themeColor="text1"/>
          <w:sz w:val="20"/>
          <w:szCs w:val="20"/>
        </w:rPr>
        <w:t>Değerlendi̇rilmesi</w:t>
      </w:r>
      <w:proofErr w:type="spellEnd"/>
      <w:r w:rsidR="04CAA791" w:rsidRPr="0082614C">
        <w:rPr>
          <w:color w:val="000000" w:themeColor="text1"/>
          <w:sz w:val="20"/>
          <w:szCs w:val="20"/>
        </w:rPr>
        <w:t xml:space="preserve">, 70 Istanbul University Faculty of Law Journal 145, </w:t>
      </w:r>
      <w:r w:rsidR="04CAA791" w:rsidRPr="0082614C">
        <w:rPr>
          <w:sz w:val="20"/>
          <w:szCs w:val="20"/>
        </w:rPr>
        <w:t>162 (2012).</w:t>
      </w:r>
    </w:p>
  </w:footnote>
  <w:footnote w:id="33">
    <w:p w14:paraId="74010DC1" w14:textId="53952FDE" w:rsidR="1887980E" w:rsidRPr="0082614C" w:rsidRDefault="1887980E" w:rsidP="1887980E">
      <w:pPr>
        <w:pStyle w:val="FootnoteText"/>
        <w:rPr>
          <w:color w:val="000000" w:themeColor="text1"/>
          <w:sz w:val="20"/>
          <w:szCs w:val="20"/>
        </w:rPr>
      </w:pPr>
      <w:r w:rsidRPr="0082614C">
        <w:rPr>
          <w:rStyle w:val="FootnoteReference"/>
          <w:sz w:val="20"/>
          <w:szCs w:val="20"/>
        </w:rPr>
        <w:footnoteRef/>
      </w:r>
      <w:r w:rsidRPr="0082614C">
        <w:rPr>
          <w:sz w:val="20"/>
          <w:szCs w:val="20"/>
        </w:rPr>
        <w:t xml:space="preserve"> </w:t>
      </w:r>
      <w:proofErr w:type="spellStart"/>
      <w:r w:rsidRPr="0082614C">
        <w:rPr>
          <w:color w:val="000000" w:themeColor="text1"/>
          <w:sz w:val="20"/>
          <w:szCs w:val="20"/>
        </w:rPr>
        <w:t>Hurriyet</w:t>
      </w:r>
      <w:proofErr w:type="spellEnd"/>
      <w:r w:rsidRPr="0082614C">
        <w:rPr>
          <w:color w:val="000000" w:themeColor="text1"/>
          <w:sz w:val="20"/>
          <w:szCs w:val="20"/>
        </w:rPr>
        <w:t xml:space="preserve"> Daily News, </w:t>
      </w:r>
      <w:r w:rsidRPr="0082614C">
        <w:rPr>
          <w:i/>
          <w:iCs/>
          <w:color w:val="000000" w:themeColor="text1"/>
          <w:sz w:val="20"/>
          <w:szCs w:val="20"/>
        </w:rPr>
        <w:t>AKP Submits New Omnibus Bill to Parliament</w:t>
      </w:r>
      <w:r w:rsidRPr="0082614C">
        <w:rPr>
          <w:color w:val="000000" w:themeColor="text1"/>
          <w:sz w:val="20"/>
          <w:szCs w:val="20"/>
        </w:rPr>
        <w:t xml:space="preserve">, July 4, 2024, </w:t>
      </w:r>
      <w:r w:rsidRPr="0082614C">
        <w:rPr>
          <w:sz w:val="20"/>
          <w:szCs w:val="20"/>
        </w:rPr>
        <w:t>https://www.hurriyetdailynews.com/akp-submits-new-omnibus-bill-to-parliament-198119</w:t>
      </w:r>
    </w:p>
  </w:footnote>
  <w:footnote w:id="34">
    <w:p w14:paraId="445D53EE" w14:textId="77777777" w:rsidR="0020506A" w:rsidRPr="0082614C" w:rsidRDefault="0020506A" w:rsidP="04CAA791">
      <w:pPr>
        <w:pStyle w:val="FootnoteText"/>
        <w:rPr>
          <w:sz w:val="20"/>
          <w:szCs w:val="20"/>
        </w:rPr>
      </w:pPr>
      <w:r w:rsidRPr="0082614C">
        <w:rPr>
          <w:rStyle w:val="FootnoteReference"/>
          <w:sz w:val="20"/>
          <w:szCs w:val="20"/>
        </w:rPr>
        <w:footnoteRef/>
      </w:r>
      <w:r w:rsidR="04CAA791" w:rsidRPr="0082614C">
        <w:rPr>
          <w:sz w:val="20"/>
          <w:szCs w:val="20"/>
        </w:rPr>
        <w:t xml:space="preserve"> </w:t>
      </w:r>
      <w:proofErr w:type="spellStart"/>
      <w:r w:rsidR="04CAA791" w:rsidRPr="0082614C">
        <w:rPr>
          <w:sz w:val="20"/>
          <w:szCs w:val="20"/>
        </w:rPr>
        <w:t>Hurriyet</w:t>
      </w:r>
      <w:proofErr w:type="spellEnd"/>
      <w:r w:rsidR="04CAA791" w:rsidRPr="0082614C">
        <w:rPr>
          <w:sz w:val="20"/>
          <w:szCs w:val="20"/>
        </w:rPr>
        <w:t xml:space="preserve"> Daily News, </w:t>
      </w:r>
      <w:r w:rsidR="04CAA791" w:rsidRPr="0082614C">
        <w:rPr>
          <w:i/>
          <w:iCs/>
          <w:sz w:val="20"/>
          <w:szCs w:val="20"/>
        </w:rPr>
        <w:t>AKP Submits New Omnibus Bill to Parliament</w:t>
      </w:r>
      <w:r w:rsidR="04CAA791" w:rsidRPr="0082614C">
        <w:rPr>
          <w:sz w:val="20"/>
          <w:szCs w:val="20"/>
        </w:rPr>
        <w:t xml:space="preserve">, July 4, 2024, </w:t>
      </w:r>
      <w:hyperlink r:id="rId5">
        <w:r w:rsidR="04CAA791" w:rsidRPr="0082614C">
          <w:rPr>
            <w:rStyle w:val="Hyperlink"/>
            <w:color w:val="auto"/>
            <w:sz w:val="20"/>
            <w:szCs w:val="20"/>
            <w:u w:val="none"/>
          </w:rPr>
          <w:t>https://www.hurriyetdailynews.com/akp-submits-new-omnibus-bill-to-parliament-198119</w:t>
        </w:r>
      </w:hyperlink>
      <w:r w:rsidR="04CAA791" w:rsidRPr="0082614C">
        <w:rPr>
          <w:sz w:val="20"/>
          <w:szCs w:val="20"/>
        </w:rPr>
        <w:t>.</w:t>
      </w:r>
    </w:p>
  </w:footnote>
  <w:footnote w:id="35">
    <w:p w14:paraId="611E2DE3" w14:textId="2AC89A82" w:rsidR="00FD7FA4" w:rsidRPr="0082614C" w:rsidRDefault="00FD7FA4" w:rsidP="04CAA791">
      <w:pPr>
        <w:pStyle w:val="FootnoteText"/>
        <w:rPr>
          <w:sz w:val="20"/>
          <w:szCs w:val="20"/>
        </w:rPr>
      </w:pPr>
      <w:r w:rsidRPr="0082614C">
        <w:rPr>
          <w:rStyle w:val="FootnoteReference"/>
          <w:sz w:val="20"/>
          <w:szCs w:val="20"/>
        </w:rPr>
        <w:footnoteRef/>
      </w:r>
      <w:r w:rsidR="04CAA791" w:rsidRPr="0082614C">
        <w:rPr>
          <w:sz w:val="20"/>
          <w:szCs w:val="20"/>
        </w:rPr>
        <w:t xml:space="preserve"> </w:t>
      </w:r>
      <w:proofErr w:type="spellStart"/>
      <w:r w:rsidR="04CAA791" w:rsidRPr="0082614C">
        <w:rPr>
          <w:sz w:val="20"/>
          <w:szCs w:val="20"/>
        </w:rPr>
        <w:t>ArtıGerçek</w:t>
      </w:r>
      <w:proofErr w:type="spellEnd"/>
      <w:r w:rsidR="04CAA791" w:rsidRPr="0082614C">
        <w:rPr>
          <w:sz w:val="20"/>
          <w:szCs w:val="20"/>
        </w:rPr>
        <w:t xml:space="preserve"> Newspaper, August 28, </w:t>
      </w:r>
      <w:proofErr w:type="gramStart"/>
      <w:r w:rsidR="04CAA791" w:rsidRPr="0082614C">
        <w:rPr>
          <w:sz w:val="20"/>
          <w:szCs w:val="20"/>
        </w:rPr>
        <w:t>2024</w:t>
      </w:r>
      <w:proofErr w:type="gramEnd"/>
      <w:r w:rsidR="04CAA791" w:rsidRPr="0082614C">
        <w:rPr>
          <w:sz w:val="20"/>
          <w:szCs w:val="20"/>
        </w:rPr>
        <w:t xml:space="preserve"> https://artigercek.com/kadin/iddia-akp-soyadi-duzenlemesinde-israrli-bu-kez-unlulere-ayricalik-kadinlar-315871h</w:t>
      </w:r>
    </w:p>
  </w:footnote>
  <w:footnote w:id="36">
    <w:p w14:paraId="6D9AE52F" w14:textId="2265EB9B" w:rsidR="1887980E" w:rsidRPr="0082614C" w:rsidRDefault="1887980E" w:rsidP="1887980E">
      <w:pPr>
        <w:pStyle w:val="FootnoteText"/>
        <w:rPr>
          <w:rFonts w:ascii="Aptos" w:eastAsia="Aptos" w:hAnsi="Aptos" w:cs="Aptos"/>
          <w:color w:val="000000" w:themeColor="text1"/>
          <w:sz w:val="20"/>
          <w:szCs w:val="20"/>
        </w:rPr>
      </w:pPr>
      <w:r w:rsidRPr="0082614C">
        <w:rPr>
          <w:rStyle w:val="FootnoteReference"/>
          <w:sz w:val="20"/>
          <w:szCs w:val="20"/>
        </w:rPr>
        <w:footnoteRef/>
      </w:r>
      <w:r w:rsidRPr="0082614C">
        <w:rPr>
          <w:sz w:val="20"/>
          <w:szCs w:val="20"/>
        </w:rPr>
        <w:t xml:space="preserve"> </w:t>
      </w:r>
      <w:r w:rsidRPr="0082614C">
        <w:rPr>
          <w:color w:val="000000" w:themeColor="text1"/>
          <w:sz w:val="20"/>
          <w:szCs w:val="20"/>
        </w:rPr>
        <w:t xml:space="preserve">Yeni Şafak, </w:t>
      </w:r>
      <w:r w:rsidRPr="0082614C">
        <w:rPr>
          <w:i/>
          <w:iCs/>
          <w:color w:val="000000" w:themeColor="text1"/>
          <w:sz w:val="20"/>
          <w:szCs w:val="20"/>
        </w:rPr>
        <w:t xml:space="preserve">9. </w:t>
      </w:r>
      <w:proofErr w:type="spellStart"/>
      <w:r w:rsidRPr="0082614C">
        <w:rPr>
          <w:i/>
          <w:iCs/>
          <w:color w:val="000000" w:themeColor="text1"/>
          <w:sz w:val="20"/>
          <w:szCs w:val="20"/>
        </w:rPr>
        <w:t>Yargi</w:t>
      </w:r>
      <w:proofErr w:type="spellEnd"/>
      <w:r w:rsidRPr="0082614C">
        <w:rPr>
          <w:i/>
          <w:iCs/>
          <w:color w:val="000000" w:themeColor="text1"/>
          <w:sz w:val="20"/>
          <w:szCs w:val="20"/>
        </w:rPr>
        <w:t xml:space="preserve"> </w:t>
      </w:r>
      <w:proofErr w:type="spellStart"/>
      <w:r w:rsidRPr="0082614C">
        <w:rPr>
          <w:i/>
          <w:iCs/>
          <w:color w:val="000000" w:themeColor="text1"/>
          <w:sz w:val="20"/>
          <w:szCs w:val="20"/>
        </w:rPr>
        <w:t>Paketi</w:t>
      </w:r>
      <w:proofErr w:type="spellEnd"/>
      <w:r w:rsidRPr="0082614C">
        <w:rPr>
          <w:i/>
          <w:iCs/>
          <w:color w:val="000000" w:themeColor="text1"/>
          <w:sz w:val="20"/>
          <w:szCs w:val="20"/>
        </w:rPr>
        <w:t xml:space="preserve">̇ Son </w:t>
      </w:r>
      <w:proofErr w:type="spellStart"/>
      <w:r w:rsidRPr="0082614C">
        <w:rPr>
          <w:i/>
          <w:iCs/>
          <w:color w:val="000000" w:themeColor="text1"/>
          <w:sz w:val="20"/>
          <w:szCs w:val="20"/>
        </w:rPr>
        <w:t>Daki̇ka</w:t>
      </w:r>
      <w:proofErr w:type="spellEnd"/>
      <w:r w:rsidRPr="0082614C">
        <w:rPr>
          <w:i/>
          <w:iCs/>
          <w:color w:val="000000" w:themeColor="text1"/>
          <w:sz w:val="20"/>
          <w:szCs w:val="20"/>
        </w:rPr>
        <w:t xml:space="preserve"> </w:t>
      </w:r>
      <w:proofErr w:type="spellStart"/>
      <w:r w:rsidRPr="0082614C">
        <w:rPr>
          <w:i/>
          <w:iCs/>
          <w:color w:val="000000" w:themeColor="text1"/>
          <w:sz w:val="20"/>
          <w:szCs w:val="20"/>
        </w:rPr>
        <w:t>Açiklamalar</w:t>
      </w:r>
      <w:proofErr w:type="spellEnd"/>
      <w:r w:rsidRPr="0082614C">
        <w:rPr>
          <w:i/>
          <w:iCs/>
          <w:color w:val="000000" w:themeColor="text1"/>
          <w:sz w:val="20"/>
          <w:szCs w:val="20"/>
        </w:rPr>
        <w:t xml:space="preserve">: 9. </w:t>
      </w:r>
      <w:proofErr w:type="spellStart"/>
      <w:r w:rsidRPr="0082614C">
        <w:rPr>
          <w:i/>
          <w:iCs/>
          <w:color w:val="000000" w:themeColor="text1"/>
          <w:sz w:val="20"/>
          <w:szCs w:val="20"/>
        </w:rPr>
        <w:t>Yargı</w:t>
      </w:r>
      <w:proofErr w:type="spellEnd"/>
      <w:r w:rsidRPr="0082614C">
        <w:rPr>
          <w:i/>
          <w:iCs/>
          <w:color w:val="000000" w:themeColor="text1"/>
          <w:sz w:val="20"/>
          <w:szCs w:val="20"/>
        </w:rPr>
        <w:t xml:space="preserve"> </w:t>
      </w:r>
      <w:proofErr w:type="spellStart"/>
      <w:r w:rsidRPr="0082614C">
        <w:rPr>
          <w:i/>
          <w:iCs/>
          <w:color w:val="000000" w:themeColor="text1"/>
          <w:sz w:val="20"/>
          <w:szCs w:val="20"/>
        </w:rPr>
        <w:t>Paketi</w:t>
      </w:r>
      <w:proofErr w:type="spellEnd"/>
      <w:r w:rsidRPr="0082614C">
        <w:rPr>
          <w:i/>
          <w:iCs/>
          <w:color w:val="000000" w:themeColor="text1"/>
          <w:sz w:val="20"/>
          <w:szCs w:val="20"/>
        </w:rPr>
        <w:t xml:space="preserve"> Ne Zaman </w:t>
      </w:r>
      <w:proofErr w:type="spellStart"/>
      <w:r w:rsidRPr="0082614C">
        <w:rPr>
          <w:i/>
          <w:iCs/>
          <w:color w:val="000000" w:themeColor="text1"/>
          <w:sz w:val="20"/>
          <w:szCs w:val="20"/>
        </w:rPr>
        <w:t>Yürürlüğe</w:t>
      </w:r>
      <w:proofErr w:type="spellEnd"/>
      <w:r w:rsidRPr="0082614C">
        <w:rPr>
          <w:i/>
          <w:iCs/>
          <w:color w:val="000000" w:themeColor="text1"/>
          <w:sz w:val="20"/>
          <w:szCs w:val="20"/>
        </w:rPr>
        <w:t xml:space="preserve"> </w:t>
      </w:r>
      <w:proofErr w:type="spellStart"/>
      <w:r w:rsidRPr="0082614C">
        <w:rPr>
          <w:i/>
          <w:iCs/>
          <w:color w:val="000000" w:themeColor="text1"/>
          <w:sz w:val="20"/>
          <w:szCs w:val="20"/>
        </w:rPr>
        <w:t>Girecek</w:t>
      </w:r>
      <w:proofErr w:type="spellEnd"/>
      <w:r w:rsidRPr="0082614C">
        <w:rPr>
          <w:i/>
          <w:iCs/>
          <w:color w:val="000000" w:themeColor="text1"/>
          <w:sz w:val="20"/>
          <w:szCs w:val="20"/>
        </w:rPr>
        <w:t xml:space="preserve">, </w:t>
      </w:r>
      <w:proofErr w:type="spellStart"/>
      <w:r w:rsidRPr="0082614C">
        <w:rPr>
          <w:i/>
          <w:iCs/>
          <w:color w:val="000000" w:themeColor="text1"/>
          <w:sz w:val="20"/>
          <w:szCs w:val="20"/>
        </w:rPr>
        <w:t>Meclis'te</w:t>
      </w:r>
      <w:proofErr w:type="spellEnd"/>
      <w:r w:rsidRPr="0082614C">
        <w:rPr>
          <w:i/>
          <w:iCs/>
          <w:color w:val="000000" w:themeColor="text1"/>
          <w:sz w:val="20"/>
          <w:szCs w:val="20"/>
        </w:rPr>
        <w:t xml:space="preserve"> </w:t>
      </w:r>
      <w:proofErr w:type="spellStart"/>
      <w:r w:rsidRPr="0082614C">
        <w:rPr>
          <w:i/>
          <w:iCs/>
          <w:color w:val="000000" w:themeColor="text1"/>
          <w:sz w:val="20"/>
          <w:szCs w:val="20"/>
        </w:rPr>
        <w:t>Onaylandı</w:t>
      </w:r>
      <w:proofErr w:type="spellEnd"/>
      <w:r w:rsidRPr="0082614C">
        <w:rPr>
          <w:i/>
          <w:iCs/>
          <w:color w:val="000000" w:themeColor="text1"/>
          <w:sz w:val="20"/>
          <w:szCs w:val="20"/>
        </w:rPr>
        <w:t xml:space="preserve"> </w:t>
      </w:r>
      <w:proofErr w:type="spellStart"/>
      <w:r w:rsidRPr="0082614C">
        <w:rPr>
          <w:i/>
          <w:iCs/>
          <w:color w:val="000000" w:themeColor="text1"/>
          <w:sz w:val="20"/>
          <w:szCs w:val="20"/>
        </w:rPr>
        <w:t>Mı</w:t>
      </w:r>
      <w:proofErr w:type="spellEnd"/>
      <w:r w:rsidRPr="0082614C">
        <w:rPr>
          <w:i/>
          <w:iCs/>
          <w:color w:val="000000" w:themeColor="text1"/>
          <w:sz w:val="20"/>
          <w:szCs w:val="20"/>
        </w:rPr>
        <w:t xml:space="preserve">? 4-4 </w:t>
      </w:r>
      <w:proofErr w:type="spellStart"/>
      <w:r w:rsidRPr="0082614C">
        <w:rPr>
          <w:i/>
          <w:iCs/>
          <w:color w:val="000000" w:themeColor="text1"/>
          <w:sz w:val="20"/>
          <w:szCs w:val="20"/>
        </w:rPr>
        <w:t>Ceza</w:t>
      </w:r>
      <w:proofErr w:type="spellEnd"/>
      <w:r w:rsidRPr="0082614C">
        <w:rPr>
          <w:i/>
          <w:iCs/>
          <w:color w:val="000000" w:themeColor="text1"/>
          <w:sz w:val="20"/>
          <w:szCs w:val="20"/>
        </w:rPr>
        <w:t xml:space="preserve"> </w:t>
      </w:r>
      <w:proofErr w:type="spellStart"/>
      <w:r w:rsidRPr="0082614C">
        <w:rPr>
          <w:i/>
          <w:iCs/>
          <w:color w:val="000000" w:themeColor="text1"/>
          <w:sz w:val="20"/>
          <w:szCs w:val="20"/>
        </w:rPr>
        <w:t>Indirimi</w:t>
      </w:r>
      <w:proofErr w:type="spellEnd"/>
      <w:r w:rsidRPr="0082614C">
        <w:rPr>
          <w:i/>
          <w:iCs/>
          <w:color w:val="000000" w:themeColor="text1"/>
          <w:sz w:val="20"/>
          <w:szCs w:val="20"/>
        </w:rPr>
        <w:t xml:space="preserve">, Genel </w:t>
      </w:r>
      <w:proofErr w:type="spellStart"/>
      <w:r w:rsidRPr="0082614C">
        <w:rPr>
          <w:i/>
          <w:iCs/>
          <w:color w:val="000000" w:themeColor="text1"/>
          <w:sz w:val="20"/>
          <w:szCs w:val="20"/>
        </w:rPr>
        <w:t>Af</w:t>
      </w:r>
      <w:proofErr w:type="spellEnd"/>
      <w:r w:rsidRPr="0082614C">
        <w:rPr>
          <w:i/>
          <w:iCs/>
          <w:color w:val="000000" w:themeColor="text1"/>
          <w:sz w:val="20"/>
          <w:szCs w:val="20"/>
        </w:rPr>
        <w:t>.</w:t>
      </w:r>
      <w:r w:rsidRPr="0082614C">
        <w:rPr>
          <w:color w:val="000000" w:themeColor="text1"/>
          <w:sz w:val="20"/>
          <w:szCs w:val="20"/>
        </w:rPr>
        <w:t xml:space="preserve">.., July 31, 2024, </w:t>
      </w:r>
      <w:r w:rsidRPr="0082614C">
        <w:rPr>
          <w:sz w:val="20"/>
          <w:szCs w:val="20"/>
        </w:rPr>
        <w:t>https://www.yenisafak.com/foto-galeri/ozgun/9-yargi-paketi-son-dakika-aciklamalar-9-yargi-paketi-ne-zaman-yururluge-girecek-mecliste-onaylandi-mi-4-4-ceza-indirimi-genel-af-4635381</w:t>
      </w:r>
      <w:r w:rsidRPr="0082614C">
        <w:rPr>
          <w:rFonts w:ascii="Aptos" w:eastAsia="Aptos" w:hAnsi="Aptos" w:cs="Aptos"/>
          <w:sz w:val="20"/>
          <w:szCs w:val="20"/>
        </w:rPr>
        <w:t>/</w:t>
      </w:r>
    </w:p>
  </w:footnote>
  <w:footnote w:id="37">
    <w:p w14:paraId="55431DAE" w14:textId="15C2CABF" w:rsidR="1887980E" w:rsidRPr="0082614C" w:rsidRDefault="1887980E" w:rsidP="04CAA791">
      <w:pPr>
        <w:pStyle w:val="Heading1"/>
        <w:shd w:val="clear" w:color="auto" w:fill="FFFFFF" w:themeFill="background1"/>
        <w:jc w:val="left"/>
        <w:rPr>
          <w:rFonts w:eastAsia="Times New Roman" w:cs="Times New Roman"/>
          <w:b w:val="0"/>
          <w:color w:val="2C3E50"/>
          <w:sz w:val="20"/>
          <w:szCs w:val="20"/>
        </w:rPr>
      </w:pPr>
      <w:r w:rsidRPr="0082614C">
        <w:rPr>
          <w:rStyle w:val="FootnoteReference"/>
          <w:rFonts w:eastAsia="Times New Roman" w:cs="Times New Roman"/>
          <w:b w:val="0"/>
          <w:sz w:val="20"/>
          <w:szCs w:val="20"/>
        </w:rPr>
        <w:footnoteRef/>
      </w:r>
      <w:r w:rsidR="04CAA791" w:rsidRPr="0082614C">
        <w:rPr>
          <w:rFonts w:eastAsia="Times New Roman" w:cs="Times New Roman"/>
          <w:b w:val="0"/>
          <w:sz w:val="20"/>
          <w:szCs w:val="20"/>
        </w:rPr>
        <w:t xml:space="preserve"> Bianet, </w:t>
      </w:r>
      <w:r w:rsidR="04CAA791" w:rsidRPr="0082614C">
        <w:rPr>
          <w:rFonts w:eastAsia="Times New Roman" w:cs="Times New Roman"/>
          <w:b w:val="0"/>
          <w:i/>
          <w:iCs/>
          <w:color w:val="auto"/>
          <w:sz w:val="20"/>
          <w:szCs w:val="20"/>
        </w:rPr>
        <w:t>Ankara Bar Association Women's Rights Center: We have earned our surname, we are not giving it up</w:t>
      </w:r>
      <w:r w:rsidR="04CAA791" w:rsidRPr="0082614C">
        <w:rPr>
          <w:rFonts w:eastAsia="Times New Roman" w:cs="Times New Roman"/>
          <w:b w:val="0"/>
          <w:color w:val="auto"/>
          <w:sz w:val="20"/>
          <w:szCs w:val="20"/>
        </w:rPr>
        <w:t>, July 2024, available at https://bianet.org/haber/ankara-barosu-kadin-haklari-merkezi-soyadimizi-kazandik-vazgecmiyoruz-297172</w:t>
      </w:r>
    </w:p>
  </w:footnote>
  <w:footnote w:id="38">
    <w:p w14:paraId="303862DB" w14:textId="2DF40CAD" w:rsidR="00F90ACD" w:rsidRPr="0082614C" w:rsidRDefault="00F90ACD" w:rsidP="00F90ACD">
      <w:pPr>
        <w:pStyle w:val="FootnoteText"/>
        <w:rPr>
          <w:sz w:val="20"/>
          <w:szCs w:val="20"/>
        </w:rPr>
      </w:pPr>
      <w:r w:rsidRPr="0082614C">
        <w:rPr>
          <w:rStyle w:val="FootnoteReference"/>
          <w:sz w:val="20"/>
          <w:szCs w:val="20"/>
        </w:rPr>
        <w:footnoteRef/>
      </w:r>
      <w:r w:rsidR="04CAA791" w:rsidRPr="0082614C">
        <w:rPr>
          <w:sz w:val="20"/>
          <w:szCs w:val="20"/>
        </w:rPr>
        <w:t xml:space="preserve"> Human Rights Committee, </w:t>
      </w:r>
      <w:r w:rsidR="04CAA791" w:rsidRPr="0082614C">
        <w:rPr>
          <w:i/>
          <w:iCs/>
          <w:sz w:val="20"/>
          <w:szCs w:val="20"/>
        </w:rPr>
        <w:t>List of issues prior to submission of the second periodic report of Türkiye</w:t>
      </w:r>
      <w:r w:rsidR="04CAA791" w:rsidRPr="0082614C">
        <w:rPr>
          <w:sz w:val="20"/>
          <w:szCs w:val="20"/>
        </w:rPr>
        <w:t>, (August 25, 2021), U.N. Doc. CCPR/C/TUR/QPR/2, ¶ 15.</w:t>
      </w:r>
    </w:p>
  </w:footnote>
  <w:footnote w:id="39">
    <w:p w14:paraId="29382C23" w14:textId="013A3AB2" w:rsidR="00F90ACD" w:rsidRPr="0082614C" w:rsidRDefault="00F90ACD" w:rsidP="00F90ACD">
      <w:pPr>
        <w:pStyle w:val="FootnoteText"/>
        <w:rPr>
          <w:sz w:val="20"/>
          <w:szCs w:val="20"/>
        </w:rPr>
      </w:pPr>
      <w:r w:rsidRPr="0082614C">
        <w:rPr>
          <w:rStyle w:val="FootnoteReference"/>
          <w:sz w:val="20"/>
          <w:szCs w:val="20"/>
        </w:rPr>
        <w:footnoteRef/>
      </w:r>
      <w:r w:rsidR="04CAA791" w:rsidRPr="0082614C">
        <w:rPr>
          <w:sz w:val="20"/>
          <w:szCs w:val="20"/>
        </w:rPr>
        <w:t xml:space="preserve"> Human Rights Committee, </w:t>
      </w:r>
      <w:r w:rsidR="04CAA791" w:rsidRPr="0082614C">
        <w:rPr>
          <w:i/>
          <w:iCs/>
          <w:sz w:val="20"/>
          <w:szCs w:val="20"/>
        </w:rPr>
        <w:t>List of issues prior to submission of the second periodic report of Türkiye</w:t>
      </w:r>
      <w:r w:rsidR="04CAA791" w:rsidRPr="0082614C">
        <w:rPr>
          <w:sz w:val="20"/>
          <w:szCs w:val="20"/>
        </w:rPr>
        <w:t>, (August 25, 2021), U.N. Doc. CCPR/C/TUR/QPR/2, ¶ 7.</w:t>
      </w:r>
    </w:p>
  </w:footnote>
  <w:footnote w:id="40">
    <w:p w14:paraId="17E88A50" w14:textId="12660A65" w:rsidR="00DD1FAF" w:rsidRPr="0082614C" w:rsidRDefault="00DD1FAF" w:rsidP="00DD1FAF">
      <w:pPr>
        <w:pStyle w:val="FootnoteText"/>
        <w:rPr>
          <w:sz w:val="20"/>
          <w:szCs w:val="20"/>
          <w:lang w:val="en-GB"/>
        </w:rPr>
      </w:pPr>
      <w:r w:rsidRPr="0082614C">
        <w:rPr>
          <w:rStyle w:val="FootnoteReference"/>
          <w:sz w:val="20"/>
          <w:szCs w:val="20"/>
        </w:rPr>
        <w:footnoteRef/>
      </w:r>
      <w:r w:rsidRPr="0082614C">
        <w:rPr>
          <w:sz w:val="20"/>
          <w:szCs w:val="20"/>
        </w:rPr>
        <w:t xml:space="preserve"> </w:t>
      </w:r>
      <w:r w:rsidRPr="0082614C">
        <w:rPr>
          <w:kern w:val="0"/>
          <w:sz w:val="20"/>
          <w:szCs w:val="20"/>
          <w:lang w:val="en-GB"/>
        </w:rPr>
        <w:t xml:space="preserve">Human Rights Committee, </w:t>
      </w:r>
      <w:proofErr w:type="gramStart"/>
      <w:r w:rsidRPr="0082614C">
        <w:rPr>
          <w:i/>
          <w:iCs/>
          <w:kern w:val="0"/>
          <w:sz w:val="20"/>
          <w:szCs w:val="20"/>
          <w:lang w:val="en-GB"/>
        </w:rPr>
        <w:t>Second</w:t>
      </w:r>
      <w:proofErr w:type="gramEnd"/>
      <w:r w:rsidRPr="0082614C">
        <w:rPr>
          <w:i/>
          <w:iCs/>
          <w:kern w:val="0"/>
          <w:sz w:val="20"/>
          <w:szCs w:val="20"/>
          <w:lang w:val="en-GB"/>
        </w:rPr>
        <w:t xml:space="preserve"> periodic report submitted by Türkiye under article 40 of the Covenant pursuant to the optional reporting procedure, due in 2022 (date received: 3 August 2022)</w:t>
      </w:r>
      <w:r w:rsidRPr="0082614C">
        <w:rPr>
          <w:kern w:val="0"/>
          <w:sz w:val="20"/>
          <w:szCs w:val="20"/>
          <w:lang w:val="en-GB"/>
        </w:rPr>
        <w:t>, UN. Doc. CCPR/C/TUR/2 (April 28, 2023), ¶ 197.</w:t>
      </w:r>
    </w:p>
  </w:footnote>
  <w:footnote w:id="41">
    <w:p w14:paraId="354AD9DC" w14:textId="257AEAA3" w:rsidR="00DE21BA" w:rsidRPr="0082614C" w:rsidRDefault="00DE21BA" w:rsidP="00DE21BA">
      <w:pPr>
        <w:pStyle w:val="FootnoteText"/>
        <w:rPr>
          <w:sz w:val="20"/>
          <w:szCs w:val="20"/>
          <w:lang w:val="en-GB"/>
        </w:rPr>
      </w:pPr>
      <w:r w:rsidRPr="0082614C">
        <w:rPr>
          <w:rStyle w:val="FootnoteReference"/>
          <w:sz w:val="20"/>
          <w:szCs w:val="20"/>
        </w:rPr>
        <w:footnoteRef/>
      </w:r>
      <w:r w:rsidRPr="0082614C">
        <w:rPr>
          <w:sz w:val="20"/>
          <w:szCs w:val="20"/>
        </w:rPr>
        <w:t xml:space="preserve"> </w:t>
      </w:r>
      <w:r w:rsidRPr="0082614C">
        <w:rPr>
          <w:kern w:val="0"/>
          <w:sz w:val="20"/>
          <w:szCs w:val="20"/>
          <w:lang w:val="en-GB"/>
        </w:rPr>
        <w:t xml:space="preserve">Human Rights Committee, </w:t>
      </w:r>
      <w:proofErr w:type="gramStart"/>
      <w:r w:rsidRPr="0082614C">
        <w:rPr>
          <w:i/>
          <w:iCs/>
          <w:kern w:val="0"/>
          <w:sz w:val="20"/>
          <w:szCs w:val="20"/>
          <w:lang w:val="en-GB"/>
        </w:rPr>
        <w:t>Second</w:t>
      </w:r>
      <w:proofErr w:type="gramEnd"/>
      <w:r w:rsidRPr="0082614C">
        <w:rPr>
          <w:i/>
          <w:iCs/>
          <w:kern w:val="0"/>
          <w:sz w:val="20"/>
          <w:szCs w:val="20"/>
          <w:lang w:val="en-GB"/>
        </w:rPr>
        <w:t xml:space="preserve"> periodic report submitted by Türkiye under article 40 of the Covenant pursuant to the optional reporting procedure, due in 2022 (date received: 3 August 2022)</w:t>
      </w:r>
      <w:r w:rsidRPr="0082614C">
        <w:rPr>
          <w:kern w:val="0"/>
          <w:sz w:val="20"/>
          <w:szCs w:val="20"/>
          <w:lang w:val="en-GB"/>
        </w:rPr>
        <w:t xml:space="preserve">, UN. Doc. CCPR/C/TUR/2 (April 28, 2023), ¶ </w:t>
      </w:r>
      <w:r w:rsidR="00DE55C5" w:rsidRPr="0082614C">
        <w:rPr>
          <w:kern w:val="0"/>
          <w:sz w:val="20"/>
          <w:szCs w:val="20"/>
          <w:lang w:val="en-GB"/>
        </w:rPr>
        <w:t>104-109, 114</w:t>
      </w:r>
      <w:r w:rsidRPr="0082614C">
        <w:rPr>
          <w:kern w:val="0"/>
          <w:sz w:val="20"/>
          <w:szCs w:val="20"/>
          <w:lang w:val="en-GB"/>
        </w:rPr>
        <w:t>.</w:t>
      </w:r>
    </w:p>
  </w:footnote>
  <w:footnote w:id="42">
    <w:p w14:paraId="6C48D69D" w14:textId="7EF3BDD0" w:rsidR="00DE21BA" w:rsidRPr="0082614C" w:rsidRDefault="00DE21BA" w:rsidP="00DE21BA">
      <w:pPr>
        <w:pStyle w:val="FootnoteText"/>
        <w:rPr>
          <w:sz w:val="20"/>
          <w:szCs w:val="20"/>
          <w:lang w:val="en-GB"/>
        </w:rPr>
      </w:pPr>
      <w:r w:rsidRPr="0082614C">
        <w:rPr>
          <w:rStyle w:val="FootnoteReference"/>
          <w:sz w:val="20"/>
          <w:szCs w:val="20"/>
        </w:rPr>
        <w:footnoteRef/>
      </w:r>
      <w:r w:rsidRPr="0082614C">
        <w:rPr>
          <w:sz w:val="20"/>
          <w:szCs w:val="20"/>
        </w:rPr>
        <w:t xml:space="preserve"> </w:t>
      </w:r>
      <w:r w:rsidRPr="0082614C">
        <w:rPr>
          <w:kern w:val="0"/>
          <w:sz w:val="20"/>
          <w:szCs w:val="20"/>
          <w:lang w:val="en-GB"/>
        </w:rPr>
        <w:t xml:space="preserve">Human Rights Committee, </w:t>
      </w:r>
      <w:proofErr w:type="gramStart"/>
      <w:r w:rsidRPr="0082614C">
        <w:rPr>
          <w:i/>
          <w:iCs/>
          <w:kern w:val="0"/>
          <w:sz w:val="20"/>
          <w:szCs w:val="20"/>
          <w:lang w:val="en-GB"/>
        </w:rPr>
        <w:t>Second</w:t>
      </w:r>
      <w:proofErr w:type="gramEnd"/>
      <w:r w:rsidRPr="0082614C">
        <w:rPr>
          <w:i/>
          <w:iCs/>
          <w:kern w:val="0"/>
          <w:sz w:val="20"/>
          <w:szCs w:val="20"/>
          <w:lang w:val="en-GB"/>
        </w:rPr>
        <w:t xml:space="preserve"> periodic report submitted by Türkiye under article 40 of the Covenant pursuant to the optional reporting procedure, due in 2022 (date received: 3 August 2022)</w:t>
      </w:r>
      <w:r w:rsidRPr="0082614C">
        <w:rPr>
          <w:kern w:val="0"/>
          <w:sz w:val="20"/>
          <w:szCs w:val="20"/>
          <w:lang w:val="en-GB"/>
        </w:rPr>
        <w:t>, UN. Doc. CCPR/C/TUR/2 (April 28, 2023), ¶ 115.</w:t>
      </w:r>
    </w:p>
  </w:footnote>
  <w:footnote w:id="43">
    <w:p w14:paraId="22FD0A53" w14:textId="0B75EA1C" w:rsidR="7C88F3AB" w:rsidRPr="0082614C" w:rsidRDefault="7C88F3AB" w:rsidP="00D64DC8">
      <w:pPr>
        <w:pStyle w:val="FootnoteText"/>
        <w:rPr>
          <w:sz w:val="20"/>
          <w:szCs w:val="20"/>
        </w:rPr>
      </w:pPr>
      <w:r w:rsidRPr="0082614C">
        <w:rPr>
          <w:rStyle w:val="FootnoteReference"/>
          <w:sz w:val="20"/>
          <w:szCs w:val="20"/>
        </w:rPr>
        <w:footnoteRef/>
      </w:r>
      <w:r w:rsidR="04CAA791" w:rsidRPr="0082614C">
        <w:rPr>
          <w:sz w:val="20"/>
          <w:szCs w:val="20"/>
        </w:rPr>
        <w:t xml:space="preserve"> Human Rights Watch, </w:t>
      </w:r>
      <w:r w:rsidR="04CAA791" w:rsidRPr="0082614C">
        <w:rPr>
          <w:color w:val="000000" w:themeColor="text1"/>
          <w:sz w:val="20"/>
          <w:szCs w:val="20"/>
        </w:rPr>
        <w:t>“</w:t>
      </w:r>
      <w:r w:rsidR="04CAA791" w:rsidRPr="0082614C">
        <w:rPr>
          <w:sz w:val="20"/>
          <w:szCs w:val="20"/>
        </w:rPr>
        <w:t>Türkiye: Hundreds of Refugees Deported to Syria,” 2022, available at https://www.hrw.org/news/2022/10/24/Türkiye-hundreds-refugees-deported-syria</w:t>
      </w:r>
    </w:p>
  </w:footnote>
  <w:footnote w:id="44">
    <w:p w14:paraId="61184037" w14:textId="7285C07E" w:rsidR="7C88F3AB" w:rsidRPr="0082614C" w:rsidRDefault="7C88F3AB" w:rsidP="00D64DC8">
      <w:pPr>
        <w:pStyle w:val="FootnoteText"/>
        <w:rPr>
          <w:sz w:val="20"/>
          <w:szCs w:val="20"/>
          <w:lang w:val="en-GB"/>
        </w:rPr>
      </w:pPr>
      <w:r w:rsidRPr="0082614C">
        <w:rPr>
          <w:rStyle w:val="FootnoteReference"/>
          <w:sz w:val="20"/>
          <w:szCs w:val="20"/>
        </w:rPr>
        <w:footnoteRef/>
      </w:r>
      <w:r w:rsidR="04CAA791" w:rsidRPr="0082614C">
        <w:rPr>
          <w:sz w:val="20"/>
          <w:szCs w:val="20"/>
        </w:rPr>
        <w:t xml:space="preserve"> Human Rights Watch, </w:t>
      </w:r>
      <w:r w:rsidR="04CAA791" w:rsidRPr="0082614C">
        <w:rPr>
          <w:color w:val="000000" w:themeColor="text1"/>
          <w:sz w:val="20"/>
          <w:szCs w:val="20"/>
        </w:rPr>
        <w:t>“</w:t>
      </w:r>
      <w:r w:rsidR="04CAA791" w:rsidRPr="0082614C">
        <w:rPr>
          <w:sz w:val="20"/>
          <w:szCs w:val="20"/>
        </w:rPr>
        <w:t>Türkiye: Hundreds of Refugees Deported to Syria,” 2022, available at https://www.hrw.org/news/2022/10/24/Türkiye-hundreds-refugees-deported-syria</w:t>
      </w:r>
    </w:p>
  </w:footnote>
  <w:footnote w:id="45">
    <w:p w14:paraId="317CB65C" w14:textId="7D8FFD4C" w:rsidR="7C88F3AB" w:rsidRPr="0082614C" w:rsidRDefault="7C88F3AB" w:rsidP="00D64DC8">
      <w:pPr>
        <w:pStyle w:val="FootnoteText"/>
        <w:rPr>
          <w:sz w:val="20"/>
          <w:szCs w:val="20"/>
          <w:lang w:val="en-GB"/>
        </w:rPr>
      </w:pPr>
      <w:r w:rsidRPr="0082614C">
        <w:rPr>
          <w:rStyle w:val="FootnoteReference"/>
          <w:sz w:val="20"/>
          <w:szCs w:val="20"/>
        </w:rPr>
        <w:footnoteRef/>
      </w:r>
      <w:r w:rsidR="04CAA791" w:rsidRPr="0082614C">
        <w:rPr>
          <w:sz w:val="20"/>
          <w:szCs w:val="20"/>
        </w:rPr>
        <w:t xml:space="preserve"> Human Rights Watch, </w:t>
      </w:r>
      <w:r w:rsidR="04CAA791" w:rsidRPr="0082614C">
        <w:rPr>
          <w:color w:val="000000" w:themeColor="text1"/>
          <w:sz w:val="20"/>
          <w:szCs w:val="20"/>
        </w:rPr>
        <w:t>“</w:t>
      </w:r>
      <w:r w:rsidR="04CAA791" w:rsidRPr="0082614C">
        <w:rPr>
          <w:sz w:val="20"/>
          <w:szCs w:val="20"/>
        </w:rPr>
        <w:t>Türkiye: Hundreds of Refugees Deported to Syria,” 2022, available at https://www.hrw.org/news/2022/10/24/Türkiye-hundreds-refugees-deported-syria</w:t>
      </w:r>
    </w:p>
  </w:footnote>
  <w:footnote w:id="46">
    <w:p w14:paraId="2D5FFFD9" w14:textId="54D3C72B" w:rsidR="7C88F3AB" w:rsidRPr="0082614C" w:rsidRDefault="7C88F3AB" w:rsidP="00D93856">
      <w:pPr>
        <w:shd w:val="clear" w:color="auto" w:fill="FFFFFF" w:themeFill="background1"/>
        <w:rPr>
          <w:sz w:val="20"/>
          <w:szCs w:val="20"/>
        </w:rPr>
      </w:pPr>
      <w:r w:rsidRPr="0082614C">
        <w:rPr>
          <w:rStyle w:val="FootnoteReference"/>
          <w:sz w:val="20"/>
          <w:szCs w:val="20"/>
        </w:rPr>
        <w:footnoteRef/>
      </w:r>
      <w:r w:rsidR="02A77751" w:rsidRPr="0082614C">
        <w:rPr>
          <w:sz w:val="20"/>
          <w:szCs w:val="20"/>
        </w:rPr>
        <w:t>Amnesty International Türkiye Report, 2023, available at https://www.amnesty.org/en/location/europe-and-central-asia/western-central-and-south-eastern-europe/turkiye/report-turkiye/</w:t>
      </w:r>
    </w:p>
  </w:footnote>
  <w:footnote w:id="47">
    <w:p w14:paraId="39859D91" w14:textId="4BEDFA23" w:rsidR="7C88F3AB" w:rsidRPr="0082614C" w:rsidRDefault="7C88F3AB" w:rsidP="00D64DC8">
      <w:pPr>
        <w:pStyle w:val="Paragraph"/>
        <w:numPr>
          <w:ilvl w:val="0"/>
          <w:numId w:val="0"/>
        </w:numPr>
        <w:rPr>
          <w:color w:val="000000" w:themeColor="text1"/>
          <w:sz w:val="20"/>
          <w:szCs w:val="20"/>
        </w:rPr>
      </w:pPr>
      <w:r w:rsidRPr="0082614C">
        <w:rPr>
          <w:rStyle w:val="FootnoteReference"/>
          <w:sz w:val="20"/>
          <w:szCs w:val="20"/>
        </w:rPr>
        <w:footnoteRef/>
      </w:r>
      <w:r w:rsidR="04CAA791" w:rsidRPr="0082614C">
        <w:rPr>
          <w:sz w:val="20"/>
          <w:szCs w:val="20"/>
        </w:rPr>
        <w:t xml:space="preserve"> The Guardian, </w:t>
      </w:r>
      <w:r w:rsidR="04CAA791" w:rsidRPr="0082614C">
        <w:rPr>
          <w:i/>
          <w:iCs/>
          <w:color w:val="000000" w:themeColor="text1"/>
          <w:sz w:val="20"/>
          <w:szCs w:val="20"/>
        </w:rPr>
        <w:t>‘It's not legal’: UN stands by as Türkiye deports vulnerable Syrians</w:t>
      </w:r>
      <w:r w:rsidR="04CAA791" w:rsidRPr="0082614C">
        <w:rPr>
          <w:color w:val="000000" w:themeColor="text1"/>
          <w:sz w:val="20"/>
          <w:szCs w:val="20"/>
        </w:rPr>
        <w:t>, 2019, available at https://www.theguardian.com/global-development/2019/aug/23/its-not-legal-un-stands-by-as-Türkiye-deports-vulnerable-syrians</w:t>
      </w:r>
    </w:p>
  </w:footnote>
  <w:footnote w:id="48">
    <w:p w14:paraId="53BB926E" w14:textId="2A29B8DD" w:rsidR="7C88F3AB" w:rsidRPr="0082614C" w:rsidRDefault="7C88F3AB" w:rsidP="004E4D62">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The Guardian, </w:t>
      </w:r>
      <w:r w:rsidR="04CAA791" w:rsidRPr="0082614C">
        <w:rPr>
          <w:i/>
          <w:iCs/>
          <w:color w:val="000000" w:themeColor="text1"/>
          <w:sz w:val="20"/>
          <w:szCs w:val="20"/>
        </w:rPr>
        <w:t>‘It's not legal’: UN stands by as Türkiye deports vulnerable Syrians</w:t>
      </w:r>
      <w:r w:rsidR="04CAA791" w:rsidRPr="0082614C">
        <w:rPr>
          <w:color w:val="000000" w:themeColor="text1"/>
          <w:sz w:val="20"/>
          <w:szCs w:val="20"/>
        </w:rPr>
        <w:t>, 2019, available at https://www.theguardian.com/global-development/2019/aug/23/its-not-legal-un-stands-by-as-Türkiye-deports-vulnerable-syrians</w:t>
      </w:r>
    </w:p>
  </w:footnote>
  <w:footnote w:id="49">
    <w:p w14:paraId="015C0C43" w14:textId="737DB36E" w:rsidR="7C88F3AB" w:rsidRPr="0082614C" w:rsidRDefault="7C88F3AB" w:rsidP="004E4D62">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The Guardian, </w:t>
      </w:r>
      <w:r w:rsidR="04CAA791" w:rsidRPr="0082614C">
        <w:rPr>
          <w:i/>
          <w:iCs/>
          <w:color w:val="000000" w:themeColor="text1"/>
          <w:sz w:val="20"/>
          <w:szCs w:val="20"/>
        </w:rPr>
        <w:t>‘It's not legal’: UN stands by as Türkiye deports vulnerable Syrians</w:t>
      </w:r>
      <w:r w:rsidR="04CAA791" w:rsidRPr="0082614C">
        <w:rPr>
          <w:color w:val="000000" w:themeColor="text1"/>
          <w:sz w:val="20"/>
          <w:szCs w:val="20"/>
        </w:rPr>
        <w:t>, 2019, available at https://www.theguardian.com/global-development/2019/aug/23/its-not-legal-un-stands-by-as-Türkiye-deports-vulnerable-syrians</w:t>
      </w:r>
    </w:p>
  </w:footnote>
  <w:footnote w:id="50">
    <w:p w14:paraId="32FEAF76" w14:textId="1E990F7E" w:rsidR="7C88F3AB" w:rsidRPr="0082614C" w:rsidRDefault="7C88F3AB" w:rsidP="00D64DC8">
      <w:pPr>
        <w:pStyle w:val="FootnoteText"/>
        <w:rPr>
          <w:sz w:val="20"/>
          <w:szCs w:val="20"/>
        </w:rPr>
      </w:pPr>
      <w:r w:rsidRPr="0082614C">
        <w:rPr>
          <w:rStyle w:val="FootnoteReference"/>
          <w:sz w:val="20"/>
          <w:szCs w:val="20"/>
        </w:rPr>
        <w:footnoteRef/>
      </w:r>
      <w:r w:rsidR="04CAA791" w:rsidRPr="0082614C">
        <w:rPr>
          <w:sz w:val="20"/>
          <w:szCs w:val="20"/>
        </w:rPr>
        <w:t xml:space="preserve"> Human Rights Watch, </w:t>
      </w:r>
      <w:r w:rsidR="04CAA791" w:rsidRPr="0082614C">
        <w:rPr>
          <w:color w:val="000000" w:themeColor="text1"/>
          <w:sz w:val="20"/>
          <w:szCs w:val="20"/>
        </w:rPr>
        <w:t>“</w:t>
      </w:r>
      <w:r w:rsidR="04CAA791" w:rsidRPr="0082614C">
        <w:rPr>
          <w:sz w:val="20"/>
          <w:szCs w:val="20"/>
        </w:rPr>
        <w:t>Türkiye: Hundreds of Refugees Deported to Syria,” 2022, available at https://www.hrw.org/news/2022/10/24/Türkiye-hundreds-refugees-deported-syria</w:t>
      </w:r>
    </w:p>
  </w:footnote>
  <w:footnote w:id="51">
    <w:p w14:paraId="15644B50" w14:textId="0C424DD6" w:rsidR="2F47A414" w:rsidRPr="0082614C" w:rsidRDefault="2F47A414" w:rsidP="00783E24">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The Guardian, </w:t>
      </w:r>
      <w:r w:rsidR="04CAA791" w:rsidRPr="0082614C">
        <w:rPr>
          <w:i/>
          <w:iCs/>
          <w:color w:val="000000" w:themeColor="text1"/>
          <w:sz w:val="20"/>
          <w:szCs w:val="20"/>
        </w:rPr>
        <w:t>‘It's not legal’: UN stands by as Türkiye deports vulnerable Syrians,</w:t>
      </w:r>
      <w:r w:rsidR="04CAA791" w:rsidRPr="0082614C">
        <w:rPr>
          <w:color w:val="000000" w:themeColor="text1"/>
          <w:sz w:val="20"/>
          <w:szCs w:val="20"/>
        </w:rPr>
        <w:t xml:space="preserve"> 2019, available at https://www.theguardian.com/global-development/2019/aug/23/its-not-legal-un-stands-by-as-Türkiye-deports-vulnerable-syrians</w:t>
      </w:r>
    </w:p>
  </w:footnote>
  <w:footnote w:id="52">
    <w:p w14:paraId="4504F9F7" w14:textId="4ED741F9" w:rsidR="2F47A414" w:rsidRPr="0082614C" w:rsidRDefault="2F47A414" w:rsidP="005877D1">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The Guardian</w:t>
      </w:r>
      <w:r w:rsidR="04CAA791" w:rsidRPr="0082614C">
        <w:rPr>
          <w:i/>
          <w:iCs/>
          <w:sz w:val="20"/>
          <w:szCs w:val="20"/>
        </w:rPr>
        <w:t>,</w:t>
      </w:r>
      <w:r w:rsidR="04CAA791" w:rsidRPr="0082614C">
        <w:rPr>
          <w:sz w:val="20"/>
          <w:szCs w:val="20"/>
        </w:rPr>
        <w:t xml:space="preserve"> </w:t>
      </w:r>
      <w:r w:rsidR="04CAA791" w:rsidRPr="0082614C">
        <w:rPr>
          <w:i/>
          <w:iCs/>
          <w:color w:val="000000" w:themeColor="text1"/>
          <w:sz w:val="20"/>
          <w:szCs w:val="20"/>
        </w:rPr>
        <w:t>‘It's not legal’: UN stands by as Türkiye deports vulnerable Syrians</w:t>
      </w:r>
      <w:r w:rsidR="04CAA791" w:rsidRPr="0082614C">
        <w:rPr>
          <w:color w:val="000000" w:themeColor="text1"/>
          <w:sz w:val="20"/>
          <w:szCs w:val="20"/>
        </w:rPr>
        <w:t>, 2019, available at https://www.theguardian.com/global-development/2019/aug/23/its-not-legal-un-stands-by-as-Türkiye-deports-vulnerable-syrians</w:t>
      </w:r>
    </w:p>
  </w:footnote>
  <w:footnote w:id="53">
    <w:p w14:paraId="02F2AE7B" w14:textId="0E55832E" w:rsidR="2F47A414" w:rsidRPr="0082614C" w:rsidRDefault="2F47A414" w:rsidP="00783E24">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i/>
          <w:iCs/>
          <w:sz w:val="20"/>
          <w:szCs w:val="20"/>
        </w:rPr>
        <w:t xml:space="preserve"> </w:t>
      </w:r>
      <w:r w:rsidR="04CAA791" w:rsidRPr="0082614C">
        <w:rPr>
          <w:sz w:val="20"/>
          <w:szCs w:val="20"/>
        </w:rPr>
        <w:t>The Guardian</w:t>
      </w:r>
      <w:r w:rsidR="04CAA791" w:rsidRPr="0082614C">
        <w:rPr>
          <w:i/>
          <w:iCs/>
          <w:sz w:val="20"/>
          <w:szCs w:val="20"/>
        </w:rPr>
        <w:t>,</w:t>
      </w:r>
      <w:r w:rsidR="04CAA791" w:rsidRPr="0082614C">
        <w:rPr>
          <w:sz w:val="20"/>
          <w:szCs w:val="20"/>
        </w:rPr>
        <w:t xml:space="preserve"> </w:t>
      </w:r>
      <w:r w:rsidR="04CAA791" w:rsidRPr="0082614C">
        <w:rPr>
          <w:i/>
          <w:iCs/>
          <w:color w:val="000000" w:themeColor="text1"/>
          <w:sz w:val="20"/>
          <w:szCs w:val="20"/>
        </w:rPr>
        <w:t>‘It's not legal’: UN stands by as Türkiye deports vulnerable Syrians</w:t>
      </w:r>
      <w:r w:rsidR="04CAA791" w:rsidRPr="0082614C">
        <w:rPr>
          <w:color w:val="000000" w:themeColor="text1"/>
          <w:sz w:val="20"/>
          <w:szCs w:val="20"/>
        </w:rPr>
        <w:t>, 2019, available at https://www.theguardian.com/global-development/2019/aug/23/its-not-legal-un-stands-by-as-Türkiye-deports-vulnerable-syrians</w:t>
      </w:r>
    </w:p>
  </w:footnote>
  <w:footnote w:id="54">
    <w:p w14:paraId="04F77FA5" w14:textId="36849E4D" w:rsidR="2F47A414" w:rsidRPr="0082614C" w:rsidRDefault="2F47A414" w:rsidP="04CAA791">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The Guardian</w:t>
      </w:r>
      <w:r w:rsidR="04CAA791" w:rsidRPr="0082614C">
        <w:rPr>
          <w:i/>
          <w:iCs/>
          <w:sz w:val="20"/>
          <w:szCs w:val="20"/>
        </w:rPr>
        <w:t>,</w:t>
      </w:r>
      <w:r w:rsidR="04CAA791" w:rsidRPr="0082614C">
        <w:rPr>
          <w:sz w:val="20"/>
          <w:szCs w:val="20"/>
        </w:rPr>
        <w:t xml:space="preserve"> </w:t>
      </w:r>
      <w:r w:rsidR="04CAA791" w:rsidRPr="0082614C">
        <w:rPr>
          <w:i/>
          <w:iCs/>
          <w:color w:val="000000" w:themeColor="text1"/>
          <w:sz w:val="20"/>
          <w:szCs w:val="20"/>
        </w:rPr>
        <w:t>‘It's not legal’: UN stands by as Türkiye deports vulnerable Syrians</w:t>
      </w:r>
      <w:r w:rsidR="04CAA791" w:rsidRPr="0082614C">
        <w:rPr>
          <w:color w:val="000000" w:themeColor="text1"/>
          <w:sz w:val="20"/>
          <w:szCs w:val="20"/>
        </w:rPr>
        <w:t>, 2019, available at https://www.theguardian.com/global-development/2019/aug/23/its-not-legal-un-stands-by-as-Türkiye-deports-vulnerable-syrians</w:t>
      </w:r>
    </w:p>
  </w:footnote>
  <w:footnote w:id="55">
    <w:p w14:paraId="65367E0C" w14:textId="23E8D1D9" w:rsidR="02A77751" w:rsidRPr="0082614C" w:rsidRDefault="02A77751" w:rsidP="00D64DC8">
      <w:pPr>
        <w:rPr>
          <w:sz w:val="20"/>
          <w:szCs w:val="20"/>
        </w:rPr>
      </w:pPr>
      <w:r w:rsidRPr="0082614C">
        <w:rPr>
          <w:rStyle w:val="FootnoteReference"/>
          <w:sz w:val="20"/>
          <w:szCs w:val="20"/>
        </w:rPr>
        <w:footnoteRef/>
      </w:r>
      <w:r w:rsidRPr="0082614C">
        <w:rPr>
          <w:sz w:val="20"/>
          <w:szCs w:val="20"/>
        </w:rPr>
        <w:t xml:space="preserve"> Association for Migration Research, </w:t>
      </w:r>
      <w:r w:rsidRPr="0082614C">
        <w:rPr>
          <w:color w:val="000000" w:themeColor="text1"/>
          <w:sz w:val="20"/>
          <w:szCs w:val="20"/>
        </w:rPr>
        <w:t>“</w:t>
      </w:r>
      <w:r w:rsidRPr="0082614C">
        <w:rPr>
          <w:sz w:val="20"/>
          <w:szCs w:val="20"/>
        </w:rPr>
        <w:t>Exigency, Negotiation, Change: The Work Experiences of Refugee Women and Gender Relations,” 2020, available at https://gocarastirmalaridernegi.org/attachments/article/161/Exigency%20Negotiation%20Change.pdf</w:t>
      </w:r>
    </w:p>
  </w:footnote>
  <w:footnote w:id="56">
    <w:p w14:paraId="2263ECC5" w14:textId="5B6632FD" w:rsidR="02A77751" w:rsidRPr="0082614C" w:rsidRDefault="02A77751" w:rsidP="04CAA791">
      <w:pPr>
        <w:rPr>
          <w:sz w:val="20"/>
          <w:szCs w:val="20"/>
        </w:rPr>
      </w:pPr>
      <w:r w:rsidRPr="0082614C">
        <w:rPr>
          <w:rStyle w:val="FootnoteReference"/>
          <w:sz w:val="20"/>
          <w:szCs w:val="20"/>
        </w:rPr>
        <w:footnoteRef/>
      </w:r>
      <w:r w:rsidR="04CAA791" w:rsidRPr="0082614C">
        <w:rPr>
          <w:sz w:val="20"/>
          <w:szCs w:val="20"/>
        </w:rPr>
        <w:t xml:space="preserve"> Association for Migration Research, </w:t>
      </w:r>
      <w:r w:rsidR="04CAA791" w:rsidRPr="0082614C">
        <w:rPr>
          <w:color w:val="000000" w:themeColor="text1"/>
          <w:sz w:val="20"/>
          <w:szCs w:val="20"/>
        </w:rPr>
        <w:t>“</w:t>
      </w:r>
      <w:r w:rsidR="04CAA791" w:rsidRPr="0082614C">
        <w:rPr>
          <w:sz w:val="20"/>
          <w:szCs w:val="20"/>
        </w:rPr>
        <w:t>Exigency, Negotiation, Change: The Work Experiences of Refugee Women and Gender Relations,” 2020, available at https://gocarastirmalaridernegi.org/attachments/article/161/Exigency%20Negotiation%20Change.pdf</w:t>
      </w:r>
    </w:p>
  </w:footnote>
  <w:footnote w:id="57">
    <w:p w14:paraId="6E59B290" w14:textId="26E3304E" w:rsidR="02A77751" w:rsidRPr="0082614C" w:rsidRDefault="02A77751" w:rsidP="00D64DC8">
      <w:pPr>
        <w:pStyle w:val="Paragraph"/>
        <w:numPr>
          <w:ilvl w:val="0"/>
          <w:numId w:val="0"/>
        </w:numPr>
        <w:spacing w:after="0"/>
        <w:rPr>
          <w:sz w:val="20"/>
          <w:szCs w:val="20"/>
        </w:rPr>
      </w:pPr>
      <w:r w:rsidRPr="0082614C">
        <w:rPr>
          <w:rStyle w:val="FootnoteReference"/>
          <w:sz w:val="20"/>
          <w:szCs w:val="20"/>
        </w:rPr>
        <w:footnoteRef/>
      </w:r>
      <w:r w:rsidRPr="0082614C">
        <w:rPr>
          <w:sz w:val="20"/>
          <w:szCs w:val="20"/>
        </w:rPr>
        <w:t xml:space="preserve"> UKRI GCRF Gender, Justice &amp; Security Hub Migration &amp; Displacement Stream Gendered Dynamics of </w:t>
      </w:r>
      <w:proofErr w:type="spellStart"/>
      <w:r w:rsidRPr="0082614C">
        <w:rPr>
          <w:sz w:val="20"/>
          <w:szCs w:val="20"/>
        </w:rPr>
        <w:t>Labour</w:t>
      </w:r>
      <w:proofErr w:type="spellEnd"/>
      <w:r w:rsidRPr="0082614C">
        <w:rPr>
          <w:sz w:val="20"/>
          <w:szCs w:val="20"/>
        </w:rPr>
        <w:t xml:space="preserve"> Migration, </w:t>
      </w:r>
      <w:r w:rsidRPr="0082614C">
        <w:rPr>
          <w:color w:val="000000" w:themeColor="text1"/>
          <w:sz w:val="20"/>
          <w:szCs w:val="20"/>
        </w:rPr>
        <w:t>“</w:t>
      </w:r>
      <w:r w:rsidRPr="0082614C">
        <w:rPr>
          <w:sz w:val="20"/>
          <w:szCs w:val="20"/>
        </w:rPr>
        <w:t xml:space="preserve">Gendered Dynamics of International </w:t>
      </w:r>
      <w:proofErr w:type="spellStart"/>
      <w:r w:rsidRPr="0082614C">
        <w:rPr>
          <w:sz w:val="20"/>
          <w:szCs w:val="20"/>
        </w:rPr>
        <w:t>Labour</w:t>
      </w:r>
      <w:proofErr w:type="spellEnd"/>
      <w:r w:rsidRPr="0082614C">
        <w:rPr>
          <w:sz w:val="20"/>
          <w:szCs w:val="20"/>
        </w:rPr>
        <w:t xml:space="preserve"> Migration: Migrant Domestic and Care Workers in Istanbul,” 2024, available at https://thegenderhub.com/wp-content/uploads/2023/08/Migrant-Domestic-and-Care-Workers-in-Istanbul.pdf</w:t>
      </w:r>
    </w:p>
  </w:footnote>
  <w:footnote w:id="58">
    <w:p w14:paraId="0DD5E4C6" w14:textId="696E2A0D" w:rsidR="02A77751" w:rsidRPr="0082614C" w:rsidRDefault="02A77751" w:rsidP="00D64DC8">
      <w:pPr>
        <w:rPr>
          <w:sz w:val="20"/>
          <w:szCs w:val="20"/>
        </w:rPr>
      </w:pPr>
      <w:r w:rsidRPr="0082614C">
        <w:rPr>
          <w:rStyle w:val="FootnoteReference"/>
          <w:sz w:val="20"/>
          <w:szCs w:val="20"/>
        </w:rPr>
        <w:footnoteRef/>
      </w:r>
      <w:r w:rsidRPr="0082614C">
        <w:rPr>
          <w:sz w:val="20"/>
          <w:szCs w:val="20"/>
        </w:rPr>
        <w:t xml:space="preserve"> Association for Migration Research, </w:t>
      </w:r>
      <w:r w:rsidRPr="0082614C">
        <w:rPr>
          <w:color w:val="000000" w:themeColor="text1"/>
          <w:sz w:val="20"/>
          <w:szCs w:val="20"/>
        </w:rPr>
        <w:t>“</w:t>
      </w:r>
      <w:r w:rsidRPr="0082614C">
        <w:rPr>
          <w:sz w:val="20"/>
          <w:szCs w:val="20"/>
        </w:rPr>
        <w:t>Exigency, Negotiation, Change: The Work Experiences of Refugee Women and Gender Relations,” 2020, available at https://gocarastirmalaridernegi.org/attachments/article/161/Exigency%20Negotiation%20Change.pdf</w:t>
      </w:r>
    </w:p>
  </w:footnote>
  <w:footnote w:id="59">
    <w:p w14:paraId="4B5DA0A0" w14:textId="16A8F957" w:rsidR="02A77751" w:rsidRPr="0082614C" w:rsidRDefault="02A77751" w:rsidP="00D64DC8">
      <w:pPr>
        <w:pStyle w:val="Paragraph"/>
        <w:numPr>
          <w:ilvl w:val="0"/>
          <w:numId w:val="0"/>
        </w:numPr>
        <w:spacing w:after="0"/>
        <w:rPr>
          <w:color w:val="000000" w:themeColor="text1"/>
          <w:sz w:val="20"/>
          <w:szCs w:val="20"/>
        </w:rPr>
      </w:pPr>
      <w:r w:rsidRPr="0082614C">
        <w:rPr>
          <w:rStyle w:val="FootnoteReference"/>
          <w:sz w:val="20"/>
          <w:szCs w:val="20"/>
        </w:rPr>
        <w:footnoteRef/>
      </w:r>
      <w:r w:rsidRPr="0082614C">
        <w:rPr>
          <w:sz w:val="20"/>
          <w:szCs w:val="20"/>
        </w:rPr>
        <w:t xml:space="preserve"> UNHCR, </w:t>
      </w:r>
      <w:r w:rsidRPr="0082614C">
        <w:rPr>
          <w:color w:val="000000" w:themeColor="text1"/>
          <w:sz w:val="20"/>
          <w:szCs w:val="20"/>
        </w:rPr>
        <w:t xml:space="preserve">“High Commissioner welcomes Turkish work permits for Syrian Refugees,” 2016, available at </w:t>
      </w:r>
      <w:r w:rsidRPr="0082614C">
        <w:rPr>
          <w:sz w:val="20"/>
          <w:szCs w:val="20"/>
        </w:rPr>
        <w:t>https://www.unhcr.org/us/news/stories/high-commissioner-welcomes-turkish-work-permits-syrian-refugees</w:t>
      </w:r>
    </w:p>
  </w:footnote>
  <w:footnote w:id="60">
    <w:p w14:paraId="3D4E8A86" w14:textId="402BE984" w:rsidR="02A77751" w:rsidRPr="0082614C" w:rsidRDefault="02A77751" w:rsidP="00D64DC8">
      <w:pPr>
        <w:pStyle w:val="Paragraph"/>
        <w:numPr>
          <w:ilvl w:val="0"/>
          <w:numId w:val="0"/>
        </w:numPr>
        <w:spacing w:after="0"/>
        <w:rPr>
          <w:sz w:val="20"/>
          <w:szCs w:val="20"/>
        </w:rPr>
      </w:pPr>
      <w:r w:rsidRPr="0082614C">
        <w:rPr>
          <w:rStyle w:val="FootnoteReference"/>
          <w:sz w:val="20"/>
          <w:szCs w:val="20"/>
        </w:rPr>
        <w:footnoteRef/>
      </w:r>
      <w:r w:rsidR="04CAA791" w:rsidRPr="0082614C">
        <w:rPr>
          <w:sz w:val="20"/>
          <w:szCs w:val="20"/>
        </w:rPr>
        <w:t xml:space="preserve"> Refugee Rights Türkiye, </w:t>
      </w:r>
      <w:r w:rsidR="04CAA791" w:rsidRPr="0082614C">
        <w:rPr>
          <w:color w:val="000000" w:themeColor="text1"/>
          <w:sz w:val="20"/>
          <w:szCs w:val="20"/>
        </w:rPr>
        <w:t>“Securing Pathways: Access to Justice for Refugee and Migrant Women in Türkiye,” 2023, available at https://mhd.org.tr/images/yayinlar/HBS_AccessToJustice_Final_Public.pdf</w:t>
      </w:r>
    </w:p>
  </w:footnote>
  <w:footnote w:id="61">
    <w:p w14:paraId="112DC7D3" w14:textId="7EAC816D" w:rsidR="5EF71450" w:rsidRPr="0082614C" w:rsidRDefault="5EF71450" w:rsidP="00D64DC8">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Refugee Rights Türkiye, </w:t>
      </w:r>
      <w:r w:rsidR="04CAA791" w:rsidRPr="0082614C">
        <w:rPr>
          <w:color w:val="000000" w:themeColor="text1"/>
          <w:sz w:val="20"/>
          <w:szCs w:val="20"/>
        </w:rPr>
        <w:t>“Securing Pathways: Access to Justice for Refugee and Migrant Women in Türkiye,” 2023, available at https://mhd.org.tr/images/yayinlar/HBS_AccessToJustice_Final_Public.pdf</w:t>
      </w:r>
    </w:p>
  </w:footnote>
  <w:footnote w:id="62">
    <w:p w14:paraId="10AC7E3B" w14:textId="1A043D5B" w:rsidR="02A77751" w:rsidRPr="0082614C" w:rsidRDefault="02A77751" w:rsidP="005877D1">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Refugee Rights Türkiye, </w:t>
      </w:r>
      <w:r w:rsidR="04CAA791" w:rsidRPr="0082614C">
        <w:rPr>
          <w:color w:val="000000" w:themeColor="text1"/>
          <w:sz w:val="20"/>
          <w:szCs w:val="20"/>
        </w:rPr>
        <w:t>“Securing Pathways: Access to Justice for Refugee and Migrant Women in Türkiye,” 2023, available at https://mhd.org.tr/images/yayinlar/HBS_AccessToJustice_Final_Public.pdf</w:t>
      </w:r>
    </w:p>
  </w:footnote>
  <w:footnote w:id="63">
    <w:p w14:paraId="54A01B16" w14:textId="59059152" w:rsidR="5EF71450" w:rsidRPr="0082614C" w:rsidRDefault="5EF71450" w:rsidP="002B61B0">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Human Rights Watch, </w:t>
      </w:r>
      <w:r w:rsidR="04CAA791" w:rsidRPr="0082614C">
        <w:rPr>
          <w:color w:val="000000" w:themeColor="text1"/>
          <w:sz w:val="20"/>
          <w:szCs w:val="20"/>
        </w:rPr>
        <w:t>“Combatting Domestic Violence in Türkiye: The Deadly Impact of Failure to Protect,” 2022, available at https://www.hrw.org/report/2022/05/26/combatting-domestic-violence-Türkiye/deadly-impact-failure-protect</w:t>
      </w:r>
    </w:p>
  </w:footnote>
  <w:footnote w:id="64">
    <w:p w14:paraId="546EEF22" w14:textId="3E725F26" w:rsidR="5EF71450" w:rsidRPr="0082614C" w:rsidRDefault="5EF71450" w:rsidP="1887980E">
      <w:pPr>
        <w:pStyle w:val="Paragraph"/>
        <w:numPr>
          <w:ilvl w:val="0"/>
          <w:numId w:val="0"/>
        </w:numPr>
        <w:spacing w:after="0" w:line="259" w:lineRule="auto"/>
        <w:rPr>
          <w:color w:val="000000" w:themeColor="text1"/>
          <w:sz w:val="20"/>
          <w:szCs w:val="20"/>
        </w:rPr>
      </w:pPr>
      <w:r w:rsidRPr="0082614C">
        <w:rPr>
          <w:rStyle w:val="FootnoteReference"/>
          <w:sz w:val="20"/>
          <w:szCs w:val="20"/>
        </w:rPr>
        <w:footnoteRef/>
      </w:r>
      <w:r w:rsidR="04CAA791" w:rsidRPr="0082614C">
        <w:rPr>
          <w:sz w:val="20"/>
          <w:szCs w:val="20"/>
        </w:rPr>
        <w:t xml:space="preserve"> Human Rights Watch, </w:t>
      </w:r>
      <w:r w:rsidR="04CAA791" w:rsidRPr="0082614C">
        <w:rPr>
          <w:color w:val="000000" w:themeColor="text1"/>
          <w:sz w:val="20"/>
          <w:szCs w:val="20"/>
        </w:rPr>
        <w:t>“Combatting Domestic Violence in Türkiye: The Deadly Impact of Failure to Protect,” 2022, available at https://www.hrw.org/report/2022/05/26/combatting-domestic-violence-Türkiye/deadly-impact-failure-protect</w:t>
      </w:r>
      <w:r w:rsidRPr="0082614C">
        <w:rPr>
          <w:rStyle w:val="FootnoteReference"/>
          <w:color w:val="FFFFFF" w:themeColor="background1"/>
          <w:sz w:val="20"/>
          <w:szCs w:val="20"/>
        </w:rPr>
        <w:footnoteRef/>
      </w:r>
    </w:p>
  </w:footnote>
  <w:footnote w:id="65">
    <w:p w14:paraId="4C4E77E3" w14:textId="2377A2BE" w:rsidR="5EF71450" w:rsidRPr="0082614C" w:rsidRDefault="5EF71450" w:rsidP="005877D1">
      <w:pPr>
        <w:pStyle w:val="Paragraph"/>
        <w:numPr>
          <w:ilvl w:val="0"/>
          <w:numId w:val="0"/>
        </w:numPr>
        <w:spacing w:after="0" w:line="259" w:lineRule="auto"/>
        <w:rPr>
          <w:color w:val="000000" w:themeColor="text1"/>
          <w:sz w:val="20"/>
          <w:szCs w:val="20"/>
        </w:rPr>
      </w:pPr>
      <w:r w:rsidRPr="0082614C">
        <w:rPr>
          <w:rStyle w:val="FootnoteReference"/>
          <w:sz w:val="20"/>
          <w:szCs w:val="20"/>
        </w:rPr>
        <w:footnoteRef/>
      </w:r>
      <w:r w:rsidR="04CAA791" w:rsidRPr="0082614C">
        <w:rPr>
          <w:sz w:val="20"/>
          <w:szCs w:val="20"/>
        </w:rPr>
        <w:t xml:space="preserve"> Human Rights Watch, </w:t>
      </w:r>
      <w:r w:rsidR="04CAA791" w:rsidRPr="0082614C">
        <w:rPr>
          <w:color w:val="000000" w:themeColor="text1"/>
          <w:sz w:val="20"/>
          <w:szCs w:val="20"/>
        </w:rPr>
        <w:t>“Combatting Domestic Violence in Türkiye: The Deadly Impact of Failure to Protect,” 2022, available at https://www.hrw.org/report/2022/05/26/combatting-domestic-violence-Türkiye/deadly-impact-failure-protect</w:t>
      </w:r>
    </w:p>
  </w:footnote>
  <w:footnote w:id="66">
    <w:p w14:paraId="5E572E1A" w14:textId="293A3B7C" w:rsidR="5EF71450" w:rsidRPr="0082614C" w:rsidRDefault="5EF71450" w:rsidP="1887980E">
      <w:pPr>
        <w:pStyle w:val="Paragraph"/>
        <w:numPr>
          <w:ilvl w:val="0"/>
          <w:numId w:val="0"/>
        </w:numPr>
        <w:spacing w:after="0" w:line="259" w:lineRule="auto"/>
        <w:rPr>
          <w:color w:val="000000" w:themeColor="text1"/>
          <w:sz w:val="20"/>
          <w:szCs w:val="20"/>
        </w:rPr>
      </w:pPr>
      <w:r w:rsidRPr="0082614C">
        <w:rPr>
          <w:rStyle w:val="FootnoteReference"/>
          <w:sz w:val="20"/>
          <w:szCs w:val="20"/>
        </w:rPr>
        <w:footnoteRef/>
      </w:r>
      <w:r w:rsidR="04CAA791" w:rsidRPr="0082614C">
        <w:rPr>
          <w:sz w:val="20"/>
          <w:szCs w:val="20"/>
        </w:rPr>
        <w:t xml:space="preserve"> Human Rights Watch, </w:t>
      </w:r>
      <w:r w:rsidR="04CAA791" w:rsidRPr="0082614C">
        <w:rPr>
          <w:color w:val="000000" w:themeColor="text1"/>
          <w:sz w:val="20"/>
          <w:szCs w:val="20"/>
        </w:rPr>
        <w:t>“Combatting Domestic Violence in Türkiye: The Deadly Impact of Failure to Protect,” 2022, available at https://www.hrw.org/report/2022/05/26/combatting-domestic-violence-Türkiye/deadly-impact-failure-protect</w:t>
      </w:r>
    </w:p>
  </w:footnote>
  <w:footnote w:id="67">
    <w:p w14:paraId="0A9B294A" w14:textId="67C7DADF" w:rsidR="5EF71450" w:rsidRPr="0082614C" w:rsidRDefault="5EF71450" w:rsidP="002B61B0">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Human Rights Watch, </w:t>
      </w:r>
      <w:r w:rsidR="04CAA791" w:rsidRPr="0082614C">
        <w:rPr>
          <w:color w:val="000000" w:themeColor="text1"/>
          <w:sz w:val="20"/>
          <w:szCs w:val="20"/>
        </w:rPr>
        <w:t>“Combatting Domestic Violence in Türkiye: The Deadly Impact of Failure to Protect,” 2022, available at https://www.hrw.org/report/2022/05/26/combatting-domestic-violence-Türkiye/deadly-impact-failure-protect</w:t>
      </w:r>
    </w:p>
  </w:footnote>
  <w:footnote w:id="68">
    <w:p w14:paraId="0F009660" w14:textId="5CE9E578" w:rsidR="5EF71450" w:rsidRPr="0082614C" w:rsidRDefault="5EF71450" w:rsidP="00112260">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Human Rights Watch, </w:t>
      </w:r>
      <w:r w:rsidR="04CAA791" w:rsidRPr="0082614C">
        <w:rPr>
          <w:color w:val="000000" w:themeColor="text1"/>
          <w:sz w:val="20"/>
          <w:szCs w:val="20"/>
        </w:rPr>
        <w:t>“Combatting Domestic Violence in Türkiye: The Deadly Impact of Failure to Protect,” 2022, available at https://www.hrw.org/report/2022/05/26/combatting-domestic-violence-Türkiye/deadly-impact-failure-protect</w:t>
      </w:r>
    </w:p>
  </w:footnote>
  <w:footnote w:id="69">
    <w:p w14:paraId="739243CB" w14:textId="46684005" w:rsidR="5EF71450" w:rsidRPr="0082614C" w:rsidRDefault="5EF71450" w:rsidP="002B61B0">
      <w:pPr>
        <w:pStyle w:val="Paragraph"/>
        <w:numPr>
          <w:ilvl w:val="0"/>
          <w:numId w:val="0"/>
        </w:numPr>
        <w:spacing w:after="0"/>
        <w:rPr>
          <w:sz w:val="20"/>
          <w:szCs w:val="20"/>
        </w:rPr>
      </w:pPr>
      <w:r w:rsidRPr="0082614C">
        <w:rPr>
          <w:rStyle w:val="FootnoteReference"/>
          <w:sz w:val="20"/>
          <w:szCs w:val="20"/>
        </w:rPr>
        <w:footnoteRef/>
      </w:r>
      <w:r w:rsidR="04CAA791" w:rsidRPr="0082614C">
        <w:rPr>
          <w:sz w:val="20"/>
          <w:szCs w:val="20"/>
        </w:rPr>
        <w:t xml:space="preserve"> Refugee Rights Türkiye, </w:t>
      </w:r>
      <w:r w:rsidR="04CAA791" w:rsidRPr="0082614C">
        <w:rPr>
          <w:color w:val="000000" w:themeColor="text1"/>
          <w:sz w:val="20"/>
          <w:szCs w:val="20"/>
        </w:rPr>
        <w:t>“Securing Pathways: Access to Justice for Refugee and Migrant Women in Türkiye,” 2023, available at https://mhd.org.tr/images/yayinlar/HBS_AccessToJustice_Final_Public.pdf</w:t>
      </w:r>
    </w:p>
  </w:footnote>
  <w:footnote w:id="70">
    <w:p w14:paraId="40F9390A" w14:textId="182BA182" w:rsidR="5EF71450" w:rsidRPr="0082614C" w:rsidRDefault="5EF71450" w:rsidP="00112260">
      <w:pPr>
        <w:pStyle w:val="Paragraph"/>
        <w:numPr>
          <w:ilvl w:val="0"/>
          <w:numId w:val="0"/>
        </w:numPr>
        <w:spacing w:after="0"/>
        <w:rPr>
          <w:sz w:val="20"/>
          <w:szCs w:val="20"/>
        </w:rPr>
      </w:pPr>
      <w:r w:rsidRPr="0082614C">
        <w:rPr>
          <w:rStyle w:val="FootnoteReference"/>
          <w:sz w:val="20"/>
          <w:szCs w:val="20"/>
        </w:rPr>
        <w:footnoteRef/>
      </w:r>
      <w:r w:rsidR="04CAA791" w:rsidRPr="0082614C">
        <w:rPr>
          <w:sz w:val="20"/>
          <w:szCs w:val="20"/>
        </w:rPr>
        <w:t xml:space="preserve"> Refugee Rights Türkiye, </w:t>
      </w:r>
      <w:r w:rsidR="04CAA791" w:rsidRPr="0082614C">
        <w:rPr>
          <w:color w:val="000000" w:themeColor="text1"/>
          <w:sz w:val="20"/>
          <w:szCs w:val="20"/>
        </w:rPr>
        <w:t>“Securing Pathways: Access to Justice for Refugee and Migrant Women in Türkiye,” 2023, available at https://mhd.org.tr/images/yayinlar/HBS_AccessToJustice_Final_Public.pdf</w:t>
      </w:r>
    </w:p>
  </w:footnote>
  <w:footnote w:id="71">
    <w:p w14:paraId="1B7B08C5" w14:textId="70890572" w:rsidR="5EF71450" w:rsidRPr="0082614C" w:rsidRDefault="5EF71450" w:rsidP="00112260">
      <w:pPr>
        <w:pStyle w:val="Paragraph"/>
        <w:numPr>
          <w:ilvl w:val="0"/>
          <w:numId w:val="0"/>
        </w:numPr>
        <w:spacing w:after="0"/>
        <w:rPr>
          <w:sz w:val="20"/>
          <w:szCs w:val="20"/>
        </w:rPr>
      </w:pPr>
      <w:r w:rsidRPr="0082614C">
        <w:rPr>
          <w:rStyle w:val="FootnoteReference"/>
          <w:sz w:val="20"/>
          <w:szCs w:val="20"/>
        </w:rPr>
        <w:footnoteRef/>
      </w:r>
      <w:r w:rsidR="04CAA791" w:rsidRPr="0082614C">
        <w:rPr>
          <w:sz w:val="20"/>
          <w:szCs w:val="20"/>
        </w:rPr>
        <w:t xml:space="preserve"> Refugee Rights Türkiye, </w:t>
      </w:r>
      <w:r w:rsidR="04CAA791" w:rsidRPr="0082614C">
        <w:rPr>
          <w:color w:val="000000" w:themeColor="text1"/>
          <w:sz w:val="20"/>
          <w:szCs w:val="20"/>
        </w:rPr>
        <w:t>“Securing Pathways: Access to Justice for Refugee and Migrant Women in Türkiye,” 2023, available at https://mhd.org.tr/images/yayinlar/HBS_AccessToJustice_Final_Public.pdf</w:t>
      </w:r>
    </w:p>
  </w:footnote>
  <w:footnote w:id="72">
    <w:p w14:paraId="14414CB1" w14:textId="774A77B0" w:rsidR="5EF71450" w:rsidRPr="0082614C" w:rsidRDefault="5EF71450" w:rsidP="005877D1">
      <w:pPr>
        <w:pStyle w:val="Paragraph"/>
        <w:numPr>
          <w:ilvl w:val="0"/>
          <w:numId w:val="0"/>
        </w:numPr>
        <w:spacing w:after="0"/>
        <w:rPr>
          <w:sz w:val="20"/>
          <w:szCs w:val="20"/>
        </w:rPr>
      </w:pPr>
      <w:r w:rsidRPr="0082614C">
        <w:rPr>
          <w:rStyle w:val="FootnoteReference"/>
          <w:sz w:val="20"/>
          <w:szCs w:val="20"/>
        </w:rPr>
        <w:footnoteRef/>
      </w:r>
      <w:r w:rsidR="04CAA791" w:rsidRPr="0082614C">
        <w:rPr>
          <w:sz w:val="20"/>
          <w:szCs w:val="20"/>
        </w:rPr>
        <w:t xml:space="preserve"> Refugee Rights Türkiye, </w:t>
      </w:r>
      <w:r w:rsidR="04CAA791" w:rsidRPr="0082614C">
        <w:rPr>
          <w:color w:val="000000" w:themeColor="text1"/>
          <w:sz w:val="20"/>
          <w:szCs w:val="20"/>
        </w:rPr>
        <w:t>“Securing Pathways: Access to Justice for Refugee and Migrant Women in Türkiye,” 2023, available at https://mhd.org.tr/images/yayinlar/HBS_AccessToJustice_Final_Public.pdf</w:t>
      </w:r>
    </w:p>
  </w:footnote>
  <w:footnote w:id="73">
    <w:p w14:paraId="1FB809A0" w14:textId="1BF6D460" w:rsidR="5EF71450" w:rsidRPr="0082614C" w:rsidRDefault="5EF71450" w:rsidP="005877D1">
      <w:pPr>
        <w:pStyle w:val="Paragraph"/>
        <w:numPr>
          <w:ilvl w:val="0"/>
          <w:numId w:val="0"/>
        </w:numPr>
        <w:spacing w:after="0"/>
        <w:rPr>
          <w:sz w:val="20"/>
          <w:szCs w:val="20"/>
        </w:rPr>
      </w:pPr>
      <w:r w:rsidRPr="0082614C">
        <w:rPr>
          <w:rStyle w:val="FootnoteReference"/>
          <w:sz w:val="20"/>
          <w:szCs w:val="20"/>
        </w:rPr>
        <w:footnoteRef/>
      </w:r>
      <w:r w:rsidR="04CAA791" w:rsidRPr="0082614C">
        <w:rPr>
          <w:sz w:val="20"/>
          <w:szCs w:val="20"/>
        </w:rPr>
        <w:t xml:space="preserve"> Refugee Rights Türkiye, </w:t>
      </w:r>
      <w:r w:rsidR="04CAA791" w:rsidRPr="0082614C">
        <w:rPr>
          <w:color w:val="000000" w:themeColor="text1"/>
          <w:sz w:val="20"/>
          <w:szCs w:val="20"/>
        </w:rPr>
        <w:t>“Securing Pathways: Access to Justice for Refugee and Migrant Women in Türkiye,” 2023, available at https://mhd.org.tr/images/yayinlar/HBS_AccessToJustice_Final_Public.pdf</w:t>
      </w:r>
    </w:p>
  </w:footnote>
  <w:footnote w:id="74">
    <w:p w14:paraId="4DFF32FE" w14:textId="37A2FAA5" w:rsidR="5EF71450" w:rsidRPr="0082614C" w:rsidRDefault="5EF71450" w:rsidP="005877D1">
      <w:pPr>
        <w:pStyle w:val="Paragraph"/>
        <w:numPr>
          <w:ilvl w:val="0"/>
          <w:numId w:val="0"/>
        </w:numPr>
        <w:spacing w:after="0"/>
        <w:rPr>
          <w:sz w:val="20"/>
          <w:szCs w:val="20"/>
        </w:rPr>
      </w:pPr>
      <w:r w:rsidRPr="0082614C">
        <w:rPr>
          <w:rStyle w:val="FootnoteReference"/>
          <w:sz w:val="20"/>
          <w:szCs w:val="20"/>
        </w:rPr>
        <w:footnoteRef/>
      </w:r>
      <w:r w:rsidR="04CAA791" w:rsidRPr="0082614C">
        <w:rPr>
          <w:sz w:val="20"/>
          <w:szCs w:val="20"/>
        </w:rPr>
        <w:t xml:space="preserve"> Refugee Rights Türkiye, </w:t>
      </w:r>
      <w:r w:rsidR="04CAA791" w:rsidRPr="0082614C">
        <w:rPr>
          <w:color w:val="000000" w:themeColor="text1"/>
          <w:sz w:val="20"/>
          <w:szCs w:val="20"/>
        </w:rPr>
        <w:t>“Securing Pathways: Access to Justice for Refugee and Migrant Women in Türkiye,” 2023, available at https://mhd.org.tr/images/yayinlar/HBS_AccessToJustice_Final_Public.pdf</w:t>
      </w:r>
    </w:p>
  </w:footnote>
  <w:footnote w:id="75">
    <w:p w14:paraId="3F658B27" w14:textId="5F6E1D62" w:rsidR="5EF71450" w:rsidRPr="0082614C" w:rsidRDefault="5EF71450" w:rsidP="005877D1">
      <w:pPr>
        <w:pStyle w:val="Paragraph"/>
        <w:numPr>
          <w:ilvl w:val="0"/>
          <w:numId w:val="0"/>
        </w:numPr>
        <w:spacing w:after="0"/>
        <w:rPr>
          <w:sz w:val="20"/>
          <w:szCs w:val="20"/>
        </w:rPr>
      </w:pPr>
      <w:r w:rsidRPr="0082614C">
        <w:rPr>
          <w:rStyle w:val="FootnoteReference"/>
          <w:sz w:val="20"/>
          <w:szCs w:val="20"/>
        </w:rPr>
        <w:footnoteRef/>
      </w:r>
      <w:r w:rsidR="04CAA791" w:rsidRPr="0082614C">
        <w:rPr>
          <w:sz w:val="20"/>
          <w:szCs w:val="20"/>
        </w:rPr>
        <w:t xml:space="preserve"> Refugee Rights Türkiye, </w:t>
      </w:r>
      <w:r w:rsidR="04CAA791" w:rsidRPr="0082614C">
        <w:rPr>
          <w:color w:val="000000" w:themeColor="text1"/>
          <w:sz w:val="20"/>
          <w:szCs w:val="20"/>
        </w:rPr>
        <w:t>“Securing Pathways: Access to Justice for Refugee and Migrant Women in Türkiye,” 2023, available at https://mhd.org.tr/images/yayinlar/HBS_AccessToJustice_Final_Public.pdf</w:t>
      </w:r>
    </w:p>
  </w:footnote>
  <w:footnote w:id="76">
    <w:p w14:paraId="480F9864" w14:textId="6505C67F" w:rsidR="5EF71450" w:rsidRPr="0082614C" w:rsidRDefault="5EF71450" w:rsidP="005877D1">
      <w:pPr>
        <w:pStyle w:val="Paragraph"/>
        <w:numPr>
          <w:ilvl w:val="0"/>
          <w:numId w:val="0"/>
        </w:numPr>
        <w:spacing w:after="0"/>
        <w:rPr>
          <w:sz w:val="20"/>
          <w:szCs w:val="20"/>
        </w:rPr>
      </w:pPr>
      <w:r w:rsidRPr="0082614C">
        <w:rPr>
          <w:rStyle w:val="FootnoteReference"/>
          <w:sz w:val="20"/>
          <w:szCs w:val="20"/>
        </w:rPr>
        <w:footnoteRef/>
      </w:r>
      <w:r w:rsidR="04CAA791" w:rsidRPr="0082614C">
        <w:rPr>
          <w:sz w:val="20"/>
          <w:szCs w:val="20"/>
        </w:rPr>
        <w:t xml:space="preserve"> Refugee Rights Türkiye, </w:t>
      </w:r>
      <w:r w:rsidR="04CAA791" w:rsidRPr="0082614C">
        <w:rPr>
          <w:color w:val="000000" w:themeColor="text1"/>
          <w:sz w:val="20"/>
          <w:szCs w:val="20"/>
        </w:rPr>
        <w:t>“Securing Pathways: Access to Justice for Refugee and Migrant Women in Türkiye,” 2023, available at https://mhd.org.tr/images/yayinlar/HBS_AccessToJustice_Final_Public.pdf</w:t>
      </w:r>
    </w:p>
  </w:footnote>
  <w:footnote w:id="77">
    <w:p w14:paraId="25A498A3" w14:textId="7B55161A" w:rsidR="5EF71450" w:rsidRPr="0082614C" w:rsidRDefault="5EF71450" w:rsidP="005877D1">
      <w:pPr>
        <w:pStyle w:val="Paragraph"/>
        <w:numPr>
          <w:ilvl w:val="0"/>
          <w:numId w:val="0"/>
        </w:numPr>
        <w:spacing w:after="0"/>
        <w:rPr>
          <w:sz w:val="20"/>
          <w:szCs w:val="20"/>
        </w:rPr>
      </w:pPr>
      <w:r w:rsidRPr="0082614C">
        <w:rPr>
          <w:rStyle w:val="FootnoteReference"/>
          <w:sz w:val="20"/>
          <w:szCs w:val="20"/>
        </w:rPr>
        <w:footnoteRef/>
      </w:r>
      <w:r w:rsidR="04CAA791" w:rsidRPr="0082614C">
        <w:rPr>
          <w:sz w:val="20"/>
          <w:szCs w:val="20"/>
        </w:rPr>
        <w:t xml:space="preserve"> Refugee Rights Türkiye, </w:t>
      </w:r>
      <w:r w:rsidR="04CAA791" w:rsidRPr="0082614C">
        <w:rPr>
          <w:color w:val="000000" w:themeColor="text1"/>
          <w:sz w:val="20"/>
          <w:szCs w:val="20"/>
        </w:rPr>
        <w:t>“Securing Pathways: Access to Justice for Refugee and Migrant Women in Türkiye,” 2023, available at https://mhd.org.tr/images/yayinlar/HBS_AccessToJustice_Final_Public.pdf</w:t>
      </w:r>
    </w:p>
  </w:footnote>
  <w:footnote w:id="78">
    <w:p w14:paraId="5C2C1A5F" w14:textId="77777777" w:rsidR="007E0339" w:rsidRPr="0082614C" w:rsidRDefault="007E0339" w:rsidP="007E0339">
      <w:pPr>
        <w:pStyle w:val="FootnoteText"/>
        <w:rPr>
          <w:sz w:val="20"/>
          <w:szCs w:val="20"/>
          <w:lang w:val="tr-TR"/>
        </w:rPr>
      </w:pPr>
      <w:r w:rsidRPr="0082614C">
        <w:rPr>
          <w:rStyle w:val="FootnoteReference"/>
          <w:sz w:val="20"/>
          <w:szCs w:val="20"/>
        </w:rPr>
        <w:footnoteRef/>
      </w:r>
      <w:r w:rsidRPr="0082614C">
        <w:rPr>
          <w:sz w:val="20"/>
          <w:szCs w:val="20"/>
        </w:rPr>
        <w:t xml:space="preserve"> Mor </w:t>
      </w:r>
      <w:proofErr w:type="spellStart"/>
      <w:r w:rsidRPr="0082614C">
        <w:rPr>
          <w:sz w:val="20"/>
          <w:szCs w:val="20"/>
        </w:rPr>
        <w:t>Çatı</w:t>
      </w:r>
      <w:proofErr w:type="spellEnd"/>
      <w:r w:rsidRPr="0082614C">
        <w:rPr>
          <w:sz w:val="20"/>
          <w:szCs w:val="20"/>
        </w:rPr>
        <w:t xml:space="preserve"> Women’s Shelter Foundation, Shadow Report to be submitted to the Committee on the Protection of the Rights of All Migrant Workers and Members of Their Families for review during the 38th General Session (July 29, 2024)</w:t>
      </w:r>
    </w:p>
  </w:footnote>
  <w:footnote w:id="79">
    <w:p w14:paraId="498FD3CD" w14:textId="77777777" w:rsidR="007E0339" w:rsidRPr="0082614C" w:rsidRDefault="007E0339" w:rsidP="007E0339">
      <w:pPr>
        <w:pStyle w:val="FootnoteText"/>
        <w:rPr>
          <w:sz w:val="20"/>
          <w:szCs w:val="20"/>
          <w:lang w:val="tr-TR"/>
        </w:rPr>
      </w:pPr>
      <w:r w:rsidRPr="0082614C">
        <w:rPr>
          <w:rStyle w:val="FootnoteReference"/>
          <w:sz w:val="20"/>
          <w:szCs w:val="20"/>
        </w:rPr>
        <w:footnoteRef/>
      </w:r>
      <w:r w:rsidRPr="0082614C">
        <w:rPr>
          <w:sz w:val="20"/>
          <w:szCs w:val="20"/>
        </w:rPr>
        <w:t xml:space="preserve"> Mor </w:t>
      </w:r>
      <w:proofErr w:type="spellStart"/>
      <w:r w:rsidRPr="0082614C">
        <w:rPr>
          <w:sz w:val="20"/>
          <w:szCs w:val="20"/>
        </w:rPr>
        <w:t>Çatı</w:t>
      </w:r>
      <w:proofErr w:type="spellEnd"/>
      <w:r w:rsidRPr="0082614C">
        <w:rPr>
          <w:sz w:val="20"/>
          <w:szCs w:val="20"/>
        </w:rPr>
        <w:t xml:space="preserve"> Women’s Shelter Foundation, Shadow Report to be submitted to the Committee on the Protection of the Rights of All Migrant Workers and Members of Their Families for review during the 38th General Session (July 29, 2024)</w:t>
      </w:r>
    </w:p>
  </w:footnote>
  <w:footnote w:id="80">
    <w:p w14:paraId="735DB002" w14:textId="697A5C8D" w:rsidR="5EF71450" w:rsidRPr="0082614C" w:rsidRDefault="5EF71450" w:rsidP="5EF71450">
      <w:pPr>
        <w:rPr>
          <w:color w:val="000000" w:themeColor="text1"/>
          <w:sz w:val="20"/>
          <w:szCs w:val="20"/>
        </w:rPr>
      </w:pPr>
      <w:r w:rsidRPr="0082614C">
        <w:rPr>
          <w:rStyle w:val="FootnoteReference"/>
          <w:sz w:val="20"/>
          <w:szCs w:val="20"/>
        </w:rPr>
        <w:footnoteRef/>
      </w:r>
      <w:r w:rsidRPr="0082614C">
        <w:rPr>
          <w:sz w:val="20"/>
          <w:szCs w:val="20"/>
        </w:rPr>
        <w:t xml:space="preserve"> Lara Villalon, </w:t>
      </w:r>
      <w:r w:rsidRPr="0082614C">
        <w:rPr>
          <w:i/>
          <w:iCs/>
          <w:sz w:val="20"/>
          <w:szCs w:val="20"/>
        </w:rPr>
        <w:t>The Guardian</w:t>
      </w:r>
      <w:r w:rsidRPr="0082614C">
        <w:rPr>
          <w:sz w:val="20"/>
          <w:szCs w:val="20"/>
        </w:rPr>
        <w:t xml:space="preserve">, </w:t>
      </w:r>
      <w:r w:rsidRPr="0082614C">
        <w:rPr>
          <w:color w:val="000000" w:themeColor="text1"/>
          <w:sz w:val="20"/>
          <w:szCs w:val="20"/>
        </w:rPr>
        <w:t>“‘It was my right, but they refused’: Turkish women denied access to free and safe abortions,” 2022, available at https://www.theguardian.com/global-development/2022/jul/05/legal-yet-virtually-banned-turkish-women-denied-right-to-free-safe-abortions</w:t>
      </w:r>
    </w:p>
  </w:footnote>
  <w:footnote w:id="81">
    <w:p w14:paraId="64B1D4ED" w14:textId="6D3ECAA6" w:rsidR="1887980E" w:rsidRPr="0082614C" w:rsidRDefault="1887980E" w:rsidP="1887980E">
      <w:pPr>
        <w:rPr>
          <w:color w:val="000000" w:themeColor="text1"/>
          <w:sz w:val="20"/>
          <w:szCs w:val="20"/>
        </w:rPr>
      </w:pPr>
      <w:r w:rsidRPr="0082614C">
        <w:rPr>
          <w:rStyle w:val="FootnoteReference"/>
          <w:sz w:val="20"/>
          <w:szCs w:val="20"/>
        </w:rPr>
        <w:footnoteRef/>
      </w:r>
      <w:r w:rsidR="04CAA791" w:rsidRPr="0082614C">
        <w:rPr>
          <w:color w:val="222222"/>
          <w:sz w:val="20"/>
          <w:szCs w:val="20"/>
        </w:rPr>
        <w:t xml:space="preserve"> Yilmaz, Volkan, and Paul Willis, 2020, "Challenges to a Rights-Based Approach in Sexual Health Policy: A Comparative Study of Türkiye and England" </w:t>
      </w:r>
      <w:r w:rsidR="04CAA791" w:rsidRPr="0082614C">
        <w:rPr>
          <w:i/>
          <w:iCs/>
          <w:color w:val="222222"/>
          <w:sz w:val="20"/>
          <w:szCs w:val="20"/>
        </w:rPr>
        <w:t>Societies</w:t>
      </w:r>
      <w:r w:rsidR="04CAA791" w:rsidRPr="0082614C">
        <w:rPr>
          <w:color w:val="222222"/>
          <w:sz w:val="20"/>
          <w:szCs w:val="20"/>
        </w:rPr>
        <w:t xml:space="preserve"> 10, no. 2: 33. https://doi.org/10.3390/soc10020033</w:t>
      </w:r>
    </w:p>
  </w:footnote>
  <w:footnote w:id="82">
    <w:p w14:paraId="66E9E1EE" w14:textId="3B95403B" w:rsidR="5EF71450" w:rsidRPr="0082614C" w:rsidRDefault="5EF71450" w:rsidP="5EF71450">
      <w:pPr>
        <w:rPr>
          <w:color w:val="000000" w:themeColor="text1"/>
          <w:sz w:val="20"/>
          <w:szCs w:val="20"/>
        </w:rPr>
      </w:pPr>
      <w:r w:rsidRPr="0082614C">
        <w:rPr>
          <w:rStyle w:val="FootnoteReference"/>
          <w:sz w:val="20"/>
          <w:szCs w:val="20"/>
        </w:rPr>
        <w:footnoteRef/>
      </w:r>
      <w:r w:rsidR="04CAA791" w:rsidRPr="0082614C">
        <w:rPr>
          <w:color w:val="222222"/>
          <w:sz w:val="20"/>
          <w:szCs w:val="20"/>
        </w:rPr>
        <w:t xml:space="preserve"> Yilmaz, Volkan, and Paul Willis, 2020, "Challenges to a Rights-Based Approach in Sexual Health Policy: A Comparative Study of Türkiye and England" </w:t>
      </w:r>
      <w:r w:rsidR="04CAA791" w:rsidRPr="0082614C">
        <w:rPr>
          <w:i/>
          <w:iCs/>
          <w:color w:val="222222"/>
          <w:sz w:val="20"/>
          <w:szCs w:val="20"/>
        </w:rPr>
        <w:t>Societies</w:t>
      </w:r>
      <w:r w:rsidR="04CAA791" w:rsidRPr="0082614C">
        <w:rPr>
          <w:color w:val="222222"/>
          <w:sz w:val="20"/>
          <w:szCs w:val="20"/>
        </w:rPr>
        <w:t xml:space="preserve"> 10, no. 2: 33. https://doi.org/10.3390/soc10020033</w:t>
      </w:r>
    </w:p>
  </w:footnote>
  <w:footnote w:id="83">
    <w:p w14:paraId="1DD60EA2" w14:textId="32C7DA0E" w:rsidR="5EF71450" w:rsidRPr="0082614C" w:rsidRDefault="5EF71450" w:rsidP="5EF71450">
      <w:pPr>
        <w:rPr>
          <w:color w:val="000000" w:themeColor="text1"/>
          <w:sz w:val="20"/>
          <w:szCs w:val="20"/>
        </w:rPr>
      </w:pPr>
      <w:r w:rsidRPr="0082614C">
        <w:rPr>
          <w:rStyle w:val="FootnoteReference"/>
          <w:sz w:val="20"/>
          <w:szCs w:val="20"/>
        </w:rPr>
        <w:footnoteRef/>
      </w:r>
      <w:r w:rsidR="04CAA791" w:rsidRPr="0082614C">
        <w:rPr>
          <w:color w:val="222222"/>
          <w:sz w:val="20"/>
          <w:szCs w:val="20"/>
        </w:rPr>
        <w:t xml:space="preserve"> Yilmaz, Volkan, and Paul Willis, 2020, "Challenges to a Rights-Based Approach in Sexual Health Policy: A Comparative Study of Türkiye and England" </w:t>
      </w:r>
      <w:r w:rsidR="04CAA791" w:rsidRPr="0082614C">
        <w:rPr>
          <w:i/>
          <w:iCs/>
          <w:color w:val="222222"/>
          <w:sz w:val="20"/>
          <w:szCs w:val="20"/>
        </w:rPr>
        <w:t>Societies</w:t>
      </w:r>
      <w:r w:rsidR="04CAA791" w:rsidRPr="0082614C">
        <w:rPr>
          <w:color w:val="222222"/>
          <w:sz w:val="20"/>
          <w:szCs w:val="20"/>
        </w:rPr>
        <w:t xml:space="preserve"> 10, no. 2: 33. https://doi.org/10.3390/soc10020033</w:t>
      </w:r>
    </w:p>
  </w:footnote>
  <w:footnote w:id="84">
    <w:p w14:paraId="49C99ECF" w14:textId="299D3A41" w:rsidR="5EF71450" w:rsidRPr="0082614C" w:rsidRDefault="5EF71450" w:rsidP="5EF71450">
      <w:pPr>
        <w:rPr>
          <w:color w:val="000000" w:themeColor="text1"/>
          <w:sz w:val="20"/>
          <w:szCs w:val="20"/>
        </w:rPr>
      </w:pPr>
      <w:r w:rsidRPr="0082614C">
        <w:rPr>
          <w:rStyle w:val="FootnoteReference"/>
          <w:sz w:val="20"/>
          <w:szCs w:val="20"/>
        </w:rPr>
        <w:footnoteRef/>
      </w:r>
      <w:r w:rsidR="04CAA791" w:rsidRPr="0082614C">
        <w:rPr>
          <w:sz w:val="20"/>
          <w:szCs w:val="20"/>
        </w:rPr>
        <w:t xml:space="preserve"> </w:t>
      </w:r>
      <w:r w:rsidR="04CAA791" w:rsidRPr="0082614C">
        <w:rPr>
          <w:color w:val="222222"/>
          <w:sz w:val="20"/>
          <w:szCs w:val="20"/>
        </w:rPr>
        <w:t xml:space="preserve">Yilmaz, Volkan, and Paul Willis, 2020, "Challenges to a Rights-Based Approach in Sexual Health Policy: A Comparative Study of Türkiye and England" </w:t>
      </w:r>
      <w:r w:rsidR="04CAA791" w:rsidRPr="0082614C">
        <w:rPr>
          <w:i/>
          <w:iCs/>
          <w:color w:val="222222"/>
          <w:sz w:val="20"/>
          <w:szCs w:val="20"/>
        </w:rPr>
        <w:t>Societies</w:t>
      </w:r>
      <w:r w:rsidR="04CAA791" w:rsidRPr="0082614C">
        <w:rPr>
          <w:color w:val="222222"/>
          <w:sz w:val="20"/>
          <w:szCs w:val="20"/>
        </w:rPr>
        <w:t xml:space="preserve"> 10, no. 2: 33. https://doi.org/10.3390/soc10020033</w:t>
      </w:r>
    </w:p>
  </w:footnote>
  <w:footnote w:id="85">
    <w:p w14:paraId="1FAF0FB8" w14:textId="58AF9E1C" w:rsidR="5EF71450" w:rsidRPr="0082614C" w:rsidRDefault="5EF71450" w:rsidP="004036CB">
      <w:pPr>
        <w:rPr>
          <w:color w:val="000000" w:themeColor="text1"/>
          <w:sz w:val="20"/>
          <w:szCs w:val="20"/>
        </w:rPr>
      </w:pPr>
      <w:r w:rsidRPr="0082614C">
        <w:rPr>
          <w:rStyle w:val="FootnoteReference"/>
          <w:sz w:val="20"/>
          <w:szCs w:val="20"/>
        </w:rPr>
        <w:footnoteRef/>
      </w:r>
      <w:r w:rsidR="04CAA791" w:rsidRPr="0082614C">
        <w:rPr>
          <w:color w:val="222222"/>
          <w:sz w:val="20"/>
          <w:szCs w:val="20"/>
        </w:rPr>
        <w:t xml:space="preserve"> Yilmaz, Volkan, and Paul Willis, 2020, "Challenges to a Rights-Based Approach in Sexual Health Policy: A Comparative Study of Türkiye and England" </w:t>
      </w:r>
      <w:r w:rsidR="04CAA791" w:rsidRPr="0082614C">
        <w:rPr>
          <w:i/>
          <w:iCs/>
          <w:color w:val="222222"/>
          <w:sz w:val="20"/>
          <w:szCs w:val="20"/>
        </w:rPr>
        <w:t>Societies</w:t>
      </w:r>
      <w:r w:rsidR="04CAA791" w:rsidRPr="0082614C">
        <w:rPr>
          <w:color w:val="222222"/>
          <w:sz w:val="20"/>
          <w:szCs w:val="20"/>
        </w:rPr>
        <w:t xml:space="preserve"> 10, no. 2: 33. https://doi.org/10.3390/soc10020033</w:t>
      </w:r>
    </w:p>
  </w:footnote>
  <w:footnote w:id="86">
    <w:p w14:paraId="7DD68B63" w14:textId="2B6C6879" w:rsidR="5EF71450" w:rsidRPr="0082614C" w:rsidRDefault="5EF71450" w:rsidP="004036CB">
      <w:pPr>
        <w:pStyle w:val="Heading1"/>
        <w:shd w:val="clear" w:color="auto" w:fill="FFFFFF" w:themeFill="background1"/>
        <w:ind w:right="3060"/>
        <w:jc w:val="left"/>
        <w:rPr>
          <w:rFonts w:eastAsia="Times New Roman" w:cs="Times New Roman"/>
          <w:b w:val="0"/>
          <w:color w:val="auto"/>
          <w:sz w:val="20"/>
          <w:szCs w:val="20"/>
        </w:rPr>
      </w:pPr>
      <w:r w:rsidRPr="0082614C">
        <w:rPr>
          <w:rStyle w:val="FootnoteReference"/>
          <w:b w:val="0"/>
          <w:color w:val="auto"/>
          <w:sz w:val="20"/>
          <w:szCs w:val="20"/>
        </w:rPr>
        <w:footnoteRef/>
      </w:r>
      <w:r w:rsidR="04CAA791" w:rsidRPr="0082614C">
        <w:rPr>
          <w:rFonts w:eastAsia="Times New Roman" w:cs="Times New Roman"/>
          <w:b w:val="0"/>
          <w:color w:val="auto"/>
          <w:sz w:val="20"/>
          <w:szCs w:val="20"/>
        </w:rPr>
        <w:t xml:space="preserve"> Mori </w:t>
      </w:r>
      <w:proofErr w:type="spellStart"/>
      <w:r w:rsidR="04CAA791" w:rsidRPr="0082614C">
        <w:rPr>
          <w:rFonts w:eastAsia="Times New Roman" w:cs="Times New Roman"/>
          <w:b w:val="0"/>
          <w:color w:val="auto"/>
          <w:sz w:val="20"/>
          <w:szCs w:val="20"/>
        </w:rPr>
        <w:t>Çati</w:t>
      </w:r>
      <w:proofErr w:type="spellEnd"/>
      <w:r w:rsidR="04CAA791" w:rsidRPr="0082614C">
        <w:rPr>
          <w:rFonts w:eastAsia="Times New Roman" w:cs="Times New Roman"/>
          <w:b w:val="0"/>
          <w:color w:val="auto"/>
          <w:sz w:val="20"/>
          <w:szCs w:val="20"/>
        </w:rPr>
        <w:t xml:space="preserve"> Women’s Shelter Foundation, “Input for the Special Rapporteur on Violence Against Women, Its Causes and Consequences,” 2022, available at </w:t>
      </w:r>
      <w:r w:rsidR="04CAA791" w:rsidRPr="0082614C">
        <w:rPr>
          <w:rFonts w:eastAsia="Times New Roman" w:cs="Times New Roman"/>
          <w:b w:val="0"/>
          <w:sz w:val="20"/>
          <w:szCs w:val="20"/>
        </w:rPr>
        <w:t>https://en.morcati.org.tr/reports/input-for-the-special-rapporteur-on-violence-against-women-its-causes-and-consequences/</w:t>
      </w:r>
    </w:p>
  </w:footnote>
  <w:footnote w:id="87">
    <w:p w14:paraId="32AC15DA" w14:textId="38056C7C" w:rsidR="5EF71450" w:rsidRPr="0082614C" w:rsidRDefault="5EF71450" w:rsidP="00783E24">
      <w:pPr>
        <w:pStyle w:val="Heading1"/>
        <w:shd w:val="clear" w:color="auto" w:fill="FFFFFF" w:themeFill="background1"/>
        <w:ind w:right="3060"/>
        <w:jc w:val="left"/>
        <w:rPr>
          <w:rFonts w:eastAsia="Times New Roman" w:cs="Times New Roman"/>
          <w:b w:val="0"/>
          <w:color w:val="auto"/>
          <w:sz w:val="20"/>
          <w:szCs w:val="20"/>
        </w:rPr>
      </w:pPr>
      <w:r w:rsidRPr="0082614C">
        <w:rPr>
          <w:rStyle w:val="FootnoteReference"/>
          <w:b w:val="0"/>
          <w:sz w:val="20"/>
          <w:szCs w:val="20"/>
        </w:rPr>
        <w:footnoteRef/>
      </w:r>
      <w:r w:rsidR="04CAA791" w:rsidRPr="0082614C">
        <w:rPr>
          <w:b w:val="0"/>
          <w:color w:val="222222"/>
          <w:sz w:val="20"/>
          <w:szCs w:val="20"/>
        </w:rPr>
        <w:t xml:space="preserve"> </w:t>
      </w:r>
      <w:r w:rsidR="04CAA791" w:rsidRPr="0082614C">
        <w:rPr>
          <w:rFonts w:eastAsia="Times New Roman" w:cs="Times New Roman"/>
          <w:b w:val="0"/>
          <w:color w:val="auto"/>
          <w:sz w:val="20"/>
          <w:szCs w:val="20"/>
        </w:rPr>
        <w:t xml:space="preserve">Mori </w:t>
      </w:r>
      <w:proofErr w:type="spellStart"/>
      <w:r w:rsidR="04CAA791" w:rsidRPr="0082614C">
        <w:rPr>
          <w:rFonts w:eastAsia="Times New Roman" w:cs="Times New Roman"/>
          <w:b w:val="0"/>
          <w:color w:val="auto"/>
          <w:sz w:val="20"/>
          <w:szCs w:val="20"/>
        </w:rPr>
        <w:t>Çati</w:t>
      </w:r>
      <w:proofErr w:type="spellEnd"/>
      <w:r w:rsidR="04CAA791" w:rsidRPr="0082614C">
        <w:rPr>
          <w:rFonts w:eastAsia="Times New Roman" w:cs="Times New Roman"/>
          <w:b w:val="0"/>
          <w:color w:val="auto"/>
          <w:sz w:val="20"/>
          <w:szCs w:val="20"/>
        </w:rPr>
        <w:t xml:space="preserve"> Women’s Shelter Foundation, “Input for the Special Rapporteur on Violence Against Women, Its Causes and Consequences,” 2022, available at </w:t>
      </w:r>
      <w:r w:rsidR="04CAA791" w:rsidRPr="0082614C">
        <w:rPr>
          <w:rFonts w:eastAsia="Times New Roman" w:cs="Times New Roman"/>
          <w:b w:val="0"/>
          <w:sz w:val="20"/>
          <w:szCs w:val="20"/>
        </w:rPr>
        <w:t>https://en.morcati.org.tr/reports/input-for-the-special-rapporteur-on-violence-against-women-its-causes-and-consequences/</w:t>
      </w:r>
    </w:p>
  </w:footnote>
  <w:footnote w:id="88">
    <w:p w14:paraId="04DA9565" w14:textId="36AD0C19" w:rsidR="5EF71450" w:rsidRPr="0082614C" w:rsidRDefault="5EF71450" w:rsidP="04CAA791">
      <w:pPr>
        <w:pStyle w:val="Heading1"/>
        <w:shd w:val="clear" w:color="auto" w:fill="FFFFFF" w:themeFill="background1"/>
        <w:ind w:right="3060"/>
        <w:jc w:val="left"/>
        <w:rPr>
          <w:rFonts w:eastAsia="Times New Roman" w:cs="Times New Roman"/>
          <w:b w:val="0"/>
          <w:sz w:val="20"/>
          <w:szCs w:val="20"/>
        </w:rPr>
      </w:pPr>
      <w:r w:rsidRPr="0082614C">
        <w:rPr>
          <w:rStyle w:val="FootnoteReference"/>
          <w:b w:val="0"/>
          <w:sz w:val="20"/>
          <w:szCs w:val="20"/>
        </w:rPr>
        <w:footnoteRef/>
      </w:r>
      <w:r w:rsidR="04CAA791" w:rsidRPr="0082614C">
        <w:rPr>
          <w:b w:val="0"/>
          <w:sz w:val="20"/>
          <w:szCs w:val="20"/>
        </w:rPr>
        <w:t xml:space="preserve"> </w:t>
      </w:r>
      <w:r w:rsidR="04CAA791" w:rsidRPr="0082614C">
        <w:rPr>
          <w:rFonts w:eastAsia="Times New Roman" w:cs="Times New Roman"/>
          <w:b w:val="0"/>
          <w:color w:val="auto"/>
          <w:sz w:val="20"/>
          <w:szCs w:val="20"/>
        </w:rPr>
        <w:t xml:space="preserve">Mori </w:t>
      </w:r>
      <w:proofErr w:type="spellStart"/>
      <w:r w:rsidR="04CAA791" w:rsidRPr="0082614C">
        <w:rPr>
          <w:rFonts w:eastAsia="Times New Roman" w:cs="Times New Roman"/>
          <w:b w:val="0"/>
          <w:color w:val="auto"/>
          <w:sz w:val="20"/>
          <w:szCs w:val="20"/>
        </w:rPr>
        <w:t>Çati</w:t>
      </w:r>
      <w:proofErr w:type="spellEnd"/>
      <w:r w:rsidR="04CAA791" w:rsidRPr="0082614C">
        <w:rPr>
          <w:rFonts w:eastAsia="Times New Roman" w:cs="Times New Roman"/>
          <w:b w:val="0"/>
          <w:color w:val="auto"/>
          <w:sz w:val="20"/>
          <w:szCs w:val="20"/>
        </w:rPr>
        <w:t xml:space="preserve"> Women’s Shelter Foundation, “Input for the Special Rapporteur on Violence Against Women, Its Causes and Consequences,” 2022, available at </w:t>
      </w:r>
      <w:r w:rsidR="04CAA791" w:rsidRPr="0082614C">
        <w:rPr>
          <w:rFonts w:eastAsia="Times New Roman" w:cs="Times New Roman"/>
          <w:b w:val="0"/>
          <w:sz w:val="20"/>
          <w:szCs w:val="20"/>
        </w:rPr>
        <w:t>https://en.morcati.org.tr/reports/input-for-the-special-rapporteur-on-violence-against-women-its-causes-and-consequences/</w:t>
      </w:r>
    </w:p>
  </w:footnote>
  <w:footnote w:id="89">
    <w:p w14:paraId="724A0D5B" w14:textId="26B2EA1B" w:rsidR="5EF71450" w:rsidRPr="0082614C" w:rsidRDefault="5EF71450" w:rsidP="002B61B0">
      <w:pPr>
        <w:pStyle w:val="Paragraph"/>
        <w:numPr>
          <w:ilvl w:val="0"/>
          <w:numId w:val="0"/>
        </w:numPr>
        <w:spacing w:after="0"/>
        <w:rPr>
          <w:sz w:val="20"/>
          <w:szCs w:val="20"/>
        </w:rPr>
      </w:pPr>
      <w:r w:rsidRPr="0082614C">
        <w:rPr>
          <w:rStyle w:val="FootnoteReference"/>
          <w:sz w:val="20"/>
          <w:szCs w:val="20"/>
        </w:rPr>
        <w:footnoteRef/>
      </w:r>
      <w:r w:rsidR="04CAA791" w:rsidRPr="0082614C">
        <w:rPr>
          <w:color w:val="2A2A2A"/>
          <w:sz w:val="20"/>
          <w:szCs w:val="20"/>
        </w:rPr>
        <w:t xml:space="preserve"> </w:t>
      </w:r>
      <w:r w:rsidR="04CAA791" w:rsidRPr="0082614C">
        <w:rPr>
          <w:sz w:val="20"/>
          <w:szCs w:val="20"/>
        </w:rPr>
        <w:t xml:space="preserve">Hatice Kübra </w:t>
      </w:r>
      <w:proofErr w:type="spellStart"/>
      <w:r w:rsidR="04CAA791" w:rsidRPr="0082614C">
        <w:rPr>
          <w:sz w:val="20"/>
          <w:szCs w:val="20"/>
        </w:rPr>
        <w:t>Ercoşkun</w:t>
      </w:r>
      <w:proofErr w:type="spellEnd"/>
      <w:r w:rsidR="04CAA791" w:rsidRPr="0082614C">
        <w:rPr>
          <w:sz w:val="20"/>
          <w:szCs w:val="20"/>
        </w:rPr>
        <w:t xml:space="preserve"> Şenol, Pelin </w:t>
      </w:r>
      <w:proofErr w:type="spellStart"/>
      <w:r w:rsidR="04CAA791" w:rsidRPr="0082614C">
        <w:rPr>
          <w:sz w:val="20"/>
          <w:szCs w:val="20"/>
        </w:rPr>
        <w:t>Ercoşkun</w:t>
      </w:r>
      <w:proofErr w:type="spellEnd"/>
      <w:r w:rsidR="04CAA791" w:rsidRPr="0082614C">
        <w:rPr>
          <w:sz w:val="20"/>
          <w:szCs w:val="20"/>
        </w:rPr>
        <w:t xml:space="preserve">, </w:t>
      </w:r>
      <w:r w:rsidR="04CAA791" w:rsidRPr="0082614C">
        <w:rPr>
          <w:color w:val="000000" w:themeColor="text1"/>
          <w:sz w:val="20"/>
          <w:szCs w:val="20"/>
        </w:rPr>
        <w:t>“</w:t>
      </w:r>
      <w:r w:rsidR="04CAA791" w:rsidRPr="0082614C">
        <w:rPr>
          <w:sz w:val="20"/>
          <w:szCs w:val="20"/>
        </w:rPr>
        <w:t xml:space="preserve">The right to terminate pregnancy (abortion): reflections from Türkiye,” </w:t>
      </w:r>
      <w:r w:rsidR="04CAA791" w:rsidRPr="0082614C">
        <w:rPr>
          <w:i/>
          <w:iCs/>
          <w:sz w:val="20"/>
          <w:szCs w:val="20"/>
        </w:rPr>
        <w:t>Journal of Law and the Biosciences</w:t>
      </w:r>
      <w:r w:rsidR="04CAA791" w:rsidRPr="0082614C">
        <w:rPr>
          <w:sz w:val="20"/>
          <w:szCs w:val="20"/>
        </w:rPr>
        <w:t xml:space="preserve">, Volume 10, Issue 2, July-December 2023, lsad023, </w:t>
      </w:r>
      <w:hyperlink r:id="rId6">
        <w:r w:rsidR="04CAA791" w:rsidRPr="0082614C">
          <w:rPr>
            <w:rStyle w:val="Hyperlink"/>
            <w:color w:val="auto"/>
            <w:sz w:val="20"/>
            <w:szCs w:val="20"/>
            <w:u w:val="none"/>
          </w:rPr>
          <w:t>https://doi.org/10.1093/jlb/lsad023</w:t>
        </w:r>
      </w:hyperlink>
    </w:p>
  </w:footnote>
  <w:footnote w:id="90">
    <w:p w14:paraId="400C28C0" w14:textId="214EEA02" w:rsidR="5EF71450" w:rsidRPr="0082614C" w:rsidRDefault="5EF71450" w:rsidP="1887980E">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Hatice Kübra </w:t>
      </w:r>
      <w:proofErr w:type="spellStart"/>
      <w:r w:rsidR="04CAA791" w:rsidRPr="0082614C">
        <w:rPr>
          <w:sz w:val="20"/>
          <w:szCs w:val="20"/>
        </w:rPr>
        <w:t>Ercoşkun</w:t>
      </w:r>
      <w:proofErr w:type="spellEnd"/>
      <w:r w:rsidR="04CAA791" w:rsidRPr="0082614C">
        <w:rPr>
          <w:sz w:val="20"/>
          <w:szCs w:val="20"/>
        </w:rPr>
        <w:t xml:space="preserve"> Şenol, Pelin </w:t>
      </w:r>
      <w:proofErr w:type="spellStart"/>
      <w:r w:rsidR="04CAA791" w:rsidRPr="0082614C">
        <w:rPr>
          <w:sz w:val="20"/>
          <w:szCs w:val="20"/>
        </w:rPr>
        <w:t>Ercoşkun</w:t>
      </w:r>
      <w:proofErr w:type="spellEnd"/>
      <w:r w:rsidR="04CAA791" w:rsidRPr="0082614C">
        <w:rPr>
          <w:sz w:val="20"/>
          <w:szCs w:val="20"/>
        </w:rPr>
        <w:t xml:space="preserve">, </w:t>
      </w:r>
      <w:r w:rsidR="04CAA791" w:rsidRPr="0082614C">
        <w:rPr>
          <w:color w:val="000000" w:themeColor="text1"/>
          <w:sz w:val="20"/>
          <w:szCs w:val="20"/>
        </w:rPr>
        <w:t>“</w:t>
      </w:r>
      <w:r w:rsidR="04CAA791" w:rsidRPr="0082614C">
        <w:rPr>
          <w:sz w:val="20"/>
          <w:szCs w:val="20"/>
        </w:rPr>
        <w:t xml:space="preserve">The right to terminate pregnancy (abortion): reflections from Türkiye,” </w:t>
      </w:r>
      <w:r w:rsidR="04CAA791" w:rsidRPr="0082614C">
        <w:rPr>
          <w:i/>
          <w:iCs/>
          <w:sz w:val="20"/>
          <w:szCs w:val="20"/>
        </w:rPr>
        <w:t>Journal of Law and the Biosciences</w:t>
      </w:r>
      <w:r w:rsidR="04CAA791" w:rsidRPr="0082614C">
        <w:rPr>
          <w:sz w:val="20"/>
          <w:szCs w:val="20"/>
        </w:rPr>
        <w:t xml:space="preserve">, Volume 10, Issue 2, July-December 2023, lsad023, </w:t>
      </w:r>
      <w:hyperlink r:id="rId7">
        <w:r w:rsidR="04CAA791" w:rsidRPr="0082614C">
          <w:rPr>
            <w:rStyle w:val="Hyperlink"/>
            <w:color w:val="auto"/>
            <w:sz w:val="20"/>
            <w:szCs w:val="20"/>
            <w:u w:val="none"/>
          </w:rPr>
          <w:t>https://doi.org/10.1093/jlb/lsad023</w:t>
        </w:r>
      </w:hyperlink>
    </w:p>
  </w:footnote>
  <w:footnote w:id="91">
    <w:p w14:paraId="11E485FF" w14:textId="621D5AE8" w:rsidR="5EF71450" w:rsidRPr="0082614C" w:rsidRDefault="5EF71450" w:rsidP="1887980E">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Hatice Kübra </w:t>
      </w:r>
      <w:proofErr w:type="spellStart"/>
      <w:r w:rsidR="04CAA791" w:rsidRPr="0082614C">
        <w:rPr>
          <w:sz w:val="20"/>
          <w:szCs w:val="20"/>
        </w:rPr>
        <w:t>Ercoşkun</w:t>
      </w:r>
      <w:proofErr w:type="spellEnd"/>
      <w:r w:rsidR="04CAA791" w:rsidRPr="0082614C">
        <w:rPr>
          <w:sz w:val="20"/>
          <w:szCs w:val="20"/>
        </w:rPr>
        <w:t xml:space="preserve"> Şenol, Pelin </w:t>
      </w:r>
      <w:proofErr w:type="spellStart"/>
      <w:r w:rsidR="04CAA791" w:rsidRPr="0082614C">
        <w:rPr>
          <w:sz w:val="20"/>
          <w:szCs w:val="20"/>
        </w:rPr>
        <w:t>Ercoşkun</w:t>
      </w:r>
      <w:proofErr w:type="spellEnd"/>
      <w:r w:rsidR="04CAA791" w:rsidRPr="0082614C">
        <w:rPr>
          <w:sz w:val="20"/>
          <w:szCs w:val="20"/>
        </w:rPr>
        <w:t xml:space="preserve">, </w:t>
      </w:r>
      <w:r w:rsidR="04CAA791" w:rsidRPr="0082614C">
        <w:rPr>
          <w:color w:val="000000" w:themeColor="text1"/>
          <w:sz w:val="20"/>
          <w:szCs w:val="20"/>
        </w:rPr>
        <w:t>“</w:t>
      </w:r>
      <w:r w:rsidR="04CAA791" w:rsidRPr="0082614C">
        <w:rPr>
          <w:sz w:val="20"/>
          <w:szCs w:val="20"/>
        </w:rPr>
        <w:t xml:space="preserve">The right to terminate pregnancy (abortion): reflections from Türkiye,” </w:t>
      </w:r>
      <w:r w:rsidR="04CAA791" w:rsidRPr="0082614C">
        <w:rPr>
          <w:i/>
          <w:iCs/>
          <w:sz w:val="20"/>
          <w:szCs w:val="20"/>
        </w:rPr>
        <w:t>Journal of Law and the Biosciences</w:t>
      </w:r>
      <w:r w:rsidR="04CAA791" w:rsidRPr="0082614C">
        <w:rPr>
          <w:sz w:val="20"/>
          <w:szCs w:val="20"/>
        </w:rPr>
        <w:t xml:space="preserve">, Volume 10, Issue 2, July-December 2023, lsad023, </w:t>
      </w:r>
      <w:hyperlink r:id="rId8">
        <w:r w:rsidR="04CAA791" w:rsidRPr="0082614C">
          <w:rPr>
            <w:rStyle w:val="Hyperlink"/>
            <w:color w:val="auto"/>
            <w:sz w:val="20"/>
            <w:szCs w:val="20"/>
            <w:u w:val="none"/>
          </w:rPr>
          <w:t>https://doi.org/10.1093/jlb/lsad023</w:t>
        </w:r>
      </w:hyperlink>
    </w:p>
  </w:footnote>
  <w:footnote w:id="92">
    <w:p w14:paraId="7B43CCCF" w14:textId="51B38AD6" w:rsidR="5EF71450" w:rsidRPr="0082614C" w:rsidRDefault="5EF71450" w:rsidP="1887980E">
      <w:pPr>
        <w:pStyle w:val="Paragraph"/>
        <w:numPr>
          <w:ilvl w:val="0"/>
          <w:numId w:val="0"/>
        </w:numPr>
        <w:spacing w:after="0"/>
        <w:rPr>
          <w:color w:val="000000" w:themeColor="text1"/>
          <w:sz w:val="20"/>
          <w:szCs w:val="20"/>
        </w:rPr>
      </w:pPr>
      <w:r w:rsidRPr="0082614C">
        <w:rPr>
          <w:rStyle w:val="FootnoteReference"/>
          <w:sz w:val="20"/>
          <w:szCs w:val="20"/>
        </w:rPr>
        <w:footnoteRef/>
      </w:r>
      <w:r w:rsidR="04CAA791" w:rsidRPr="0082614C">
        <w:rPr>
          <w:sz w:val="20"/>
          <w:szCs w:val="20"/>
        </w:rPr>
        <w:t xml:space="preserve"> Hatice Kübra </w:t>
      </w:r>
      <w:proofErr w:type="spellStart"/>
      <w:r w:rsidR="04CAA791" w:rsidRPr="0082614C">
        <w:rPr>
          <w:sz w:val="20"/>
          <w:szCs w:val="20"/>
        </w:rPr>
        <w:t>Ercoşkun</w:t>
      </w:r>
      <w:proofErr w:type="spellEnd"/>
      <w:r w:rsidR="04CAA791" w:rsidRPr="0082614C">
        <w:rPr>
          <w:sz w:val="20"/>
          <w:szCs w:val="20"/>
        </w:rPr>
        <w:t xml:space="preserve"> Şenol, Pelin </w:t>
      </w:r>
      <w:proofErr w:type="spellStart"/>
      <w:r w:rsidR="04CAA791" w:rsidRPr="0082614C">
        <w:rPr>
          <w:sz w:val="20"/>
          <w:szCs w:val="20"/>
        </w:rPr>
        <w:t>Ercoşkun</w:t>
      </w:r>
      <w:proofErr w:type="spellEnd"/>
      <w:r w:rsidR="04CAA791" w:rsidRPr="0082614C">
        <w:rPr>
          <w:sz w:val="20"/>
          <w:szCs w:val="20"/>
        </w:rPr>
        <w:t xml:space="preserve">, </w:t>
      </w:r>
      <w:r w:rsidR="04CAA791" w:rsidRPr="0082614C">
        <w:rPr>
          <w:color w:val="000000" w:themeColor="text1"/>
          <w:sz w:val="20"/>
          <w:szCs w:val="20"/>
        </w:rPr>
        <w:t>“</w:t>
      </w:r>
      <w:r w:rsidR="04CAA791" w:rsidRPr="0082614C">
        <w:rPr>
          <w:sz w:val="20"/>
          <w:szCs w:val="20"/>
        </w:rPr>
        <w:t xml:space="preserve">The right to terminate pregnancy (abortion): reflections from Türkiye,” </w:t>
      </w:r>
      <w:r w:rsidR="04CAA791" w:rsidRPr="0082614C">
        <w:rPr>
          <w:i/>
          <w:iCs/>
          <w:sz w:val="20"/>
          <w:szCs w:val="20"/>
        </w:rPr>
        <w:t>Journal of Law and the Biosciences</w:t>
      </w:r>
      <w:r w:rsidR="04CAA791" w:rsidRPr="0082614C">
        <w:rPr>
          <w:sz w:val="20"/>
          <w:szCs w:val="20"/>
        </w:rPr>
        <w:t xml:space="preserve">, Volume 10, Issue 2, July-December 2023, lsad023, </w:t>
      </w:r>
      <w:hyperlink r:id="rId9">
        <w:r w:rsidR="04CAA791" w:rsidRPr="0082614C">
          <w:rPr>
            <w:rStyle w:val="Hyperlink"/>
            <w:color w:val="auto"/>
            <w:sz w:val="20"/>
            <w:szCs w:val="20"/>
            <w:u w:val="none"/>
          </w:rPr>
          <w:t>https://doi.org/10.1093/jlb/lsad023</w:t>
        </w:r>
      </w:hyperlink>
    </w:p>
  </w:footnote>
  <w:footnote w:id="93">
    <w:p w14:paraId="637C7A7B" w14:textId="141A99A6" w:rsidR="5EF71450" w:rsidRPr="0082614C" w:rsidRDefault="5EF71450" w:rsidP="002B61B0">
      <w:pPr>
        <w:rPr>
          <w:color w:val="000000" w:themeColor="text1"/>
          <w:sz w:val="20"/>
          <w:szCs w:val="20"/>
        </w:rPr>
      </w:pPr>
      <w:r w:rsidRPr="0082614C">
        <w:rPr>
          <w:rStyle w:val="FootnoteReference"/>
          <w:sz w:val="20"/>
          <w:szCs w:val="20"/>
        </w:rPr>
        <w:footnoteRef/>
      </w:r>
      <w:r w:rsidRPr="0082614C">
        <w:rPr>
          <w:sz w:val="20"/>
          <w:szCs w:val="20"/>
        </w:rPr>
        <w:t xml:space="preserve"> Lara Villalon, </w:t>
      </w:r>
      <w:r w:rsidRPr="0082614C">
        <w:rPr>
          <w:i/>
          <w:iCs/>
          <w:sz w:val="20"/>
          <w:szCs w:val="20"/>
        </w:rPr>
        <w:t>The Guardian</w:t>
      </w:r>
      <w:r w:rsidRPr="0082614C">
        <w:rPr>
          <w:sz w:val="20"/>
          <w:szCs w:val="20"/>
        </w:rPr>
        <w:t xml:space="preserve">, </w:t>
      </w:r>
      <w:r w:rsidRPr="0082614C">
        <w:rPr>
          <w:color w:val="000000" w:themeColor="text1"/>
          <w:sz w:val="20"/>
          <w:szCs w:val="20"/>
        </w:rPr>
        <w:t>“‘It was my right, but they refused’: Turkish women denied access to free and safe abortions,” 2022, available at https://www.theguardian.com/global-development/2022/jul/05/legal-yet-virtually-banned-turkish-women-denied-right-to-free-safe-abortions</w:t>
      </w:r>
    </w:p>
  </w:footnote>
  <w:footnote w:id="94">
    <w:p w14:paraId="6D822EDA" w14:textId="0658DFE8" w:rsidR="5EF71450" w:rsidRPr="0082614C" w:rsidRDefault="5EF71450" w:rsidP="002B61B0">
      <w:pPr>
        <w:spacing w:line="276" w:lineRule="auto"/>
        <w:rPr>
          <w:sz w:val="20"/>
          <w:szCs w:val="20"/>
        </w:rPr>
      </w:pPr>
      <w:r w:rsidRPr="0082614C">
        <w:rPr>
          <w:rStyle w:val="FootnoteReference"/>
          <w:sz w:val="20"/>
          <w:szCs w:val="20"/>
        </w:rPr>
        <w:footnoteRef/>
      </w:r>
      <w:r w:rsidR="04CAA791" w:rsidRPr="0082614C">
        <w:rPr>
          <w:sz w:val="20"/>
          <w:szCs w:val="20"/>
        </w:rPr>
        <w:t xml:space="preserve"> Mary Lou O’Neil, Deniz Altuntaş &amp; Alara </w:t>
      </w:r>
      <w:proofErr w:type="spellStart"/>
      <w:r w:rsidR="04CAA791" w:rsidRPr="0082614C">
        <w:rPr>
          <w:sz w:val="20"/>
          <w:szCs w:val="20"/>
        </w:rPr>
        <w:t>Şevval</w:t>
      </w:r>
      <w:proofErr w:type="spellEnd"/>
      <w:r w:rsidR="04CAA791" w:rsidRPr="0082614C">
        <w:rPr>
          <w:sz w:val="20"/>
          <w:szCs w:val="20"/>
        </w:rPr>
        <w:t xml:space="preserve"> Keskin. </w:t>
      </w:r>
      <w:r w:rsidR="04CAA791" w:rsidRPr="0082614C">
        <w:rPr>
          <w:i/>
          <w:iCs/>
          <w:sz w:val="20"/>
          <w:szCs w:val="20"/>
        </w:rPr>
        <w:t>Legal But Not Necessarily Available:  Abortion Services at Public Hospitals in Türkiye.</w:t>
      </w:r>
      <w:r w:rsidR="04CAA791" w:rsidRPr="0082614C">
        <w:rPr>
          <w:sz w:val="20"/>
          <w:szCs w:val="20"/>
        </w:rPr>
        <w:t xml:space="preserve"> 2020. Kadir Has University Gender and Women’s Studies Research Center. </w:t>
      </w:r>
      <w:hyperlink r:id="rId10">
        <w:r w:rsidR="04CAA791" w:rsidRPr="0082614C">
          <w:rPr>
            <w:rStyle w:val="Hyperlink"/>
            <w:color w:val="auto"/>
            <w:sz w:val="20"/>
            <w:szCs w:val="20"/>
            <w:u w:val="none"/>
          </w:rPr>
          <w:t>https://gender.khas.edu.tr/sites/gender.khas.edu.tr/files/inline-files/Abortion-Report-2020-ENG-new.pdf</w:t>
        </w:r>
      </w:hyperlink>
    </w:p>
  </w:footnote>
  <w:footnote w:id="95">
    <w:p w14:paraId="3366850A" w14:textId="31373B29" w:rsidR="1887980E" w:rsidRPr="0082614C" w:rsidRDefault="1887980E" w:rsidP="1887980E">
      <w:pPr>
        <w:rPr>
          <w:sz w:val="20"/>
          <w:szCs w:val="20"/>
        </w:rPr>
      </w:pPr>
      <w:r w:rsidRPr="0082614C">
        <w:rPr>
          <w:rStyle w:val="FootnoteReference"/>
          <w:sz w:val="20"/>
          <w:szCs w:val="20"/>
        </w:rPr>
        <w:footnoteRef/>
      </w:r>
      <w:r w:rsidR="04CAA791" w:rsidRPr="0082614C">
        <w:rPr>
          <w:sz w:val="20"/>
          <w:szCs w:val="20"/>
        </w:rPr>
        <w:t xml:space="preserve"> Mary Lou O’Neil, Deniz Altuntaş &amp; Alara </w:t>
      </w:r>
      <w:proofErr w:type="spellStart"/>
      <w:r w:rsidR="04CAA791" w:rsidRPr="0082614C">
        <w:rPr>
          <w:sz w:val="20"/>
          <w:szCs w:val="20"/>
        </w:rPr>
        <w:t>Şevval</w:t>
      </w:r>
      <w:proofErr w:type="spellEnd"/>
      <w:r w:rsidR="04CAA791" w:rsidRPr="0082614C">
        <w:rPr>
          <w:sz w:val="20"/>
          <w:szCs w:val="20"/>
        </w:rPr>
        <w:t xml:space="preserve"> Keskin. </w:t>
      </w:r>
      <w:r w:rsidR="04CAA791" w:rsidRPr="0082614C">
        <w:rPr>
          <w:i/>
          <w:iCs/>
          <w:sz w:val="20"/>
          <w:szCs w:val="20"/>
        </w:rPr>
        <w:t>Legal But Not Necessarily Available:  Abortion Services at Public Hospitals in Türkiye.</w:t>
      </w:r>
      <w:r w:rsidR="04CAA791" w:rsidRPr="0082614C">
        <w:rPr>
          <w:sz w:val="20"/>
          <w:szCs w:val="20"/>
        </w:rPr>
        <w:t xml:space="preserve"> 2020. Kadir Has University Gender and Women’s Studies Research Center. </w:t>
      </w:r>
      <w:hyperlink r:id="rId11">
        <w:r w:rsidR="04CAA791" w:rsidRPr="0082614C">
          <w:rPr>
            <w:rStyle w:val="Hyperlink"/>
            <w:color w:val="auto"/>
            <w:sz w:val="20"/>
            <w:szCs w:val="20"/>
            <w:u w:val="none"/>
          </w:rPr>
          <w:t>https://gender.khas.edu.tr/sites/gender.khas.edu.tr/files/inline-files/Abortion-Report-2020-ENG-new.pdf</w:t>
        </w:r>
      </w:hyperlink>
    </w:p>
  </w:footnote>
  <w:footnote w:id="96">
    <w:p w14:paraId="28611F0B" w14:textId="21FD2E33" w:rsidR="5EF71450" w:rsidRPr="0082614C" w:rsidRDefault="5EF71450" w:rsidP="002B61B0">
      <w:pPr>
        <w:rPr>
          <w:color w:val="000000" w:themeColor="text1"/>
          <w:sz w:val="20"/>
          <w:szCs w:val="20"/>
        </w:rPr>
      </w:pPr>
      <w:r w:rsidRPr="0082614C">
        <w:rPr>
          <w:rStyle w:val="FootnoteReference"/>
          <w:sz w:val="20"/>
          <w:szCs w:val="20"/>
        </w:rPr>
        <w:footnoteRef/>
      </w:r>
      <w:r w:rsidR="04CAA791" w:rsidRPr="0082614C">
        <w:rPr>
          <w:sz w:val="20"/>
          <w:szCs w:val="20"/>
        </w:rPr>
        <w:t xml:space="preserve"> The Guardian, </w:t>
      </w:r>
      <w:r w:rsidR="04CAA791" w:rsidRPr="0082614C">
        <w:rPr>
          <w:i/>
          <w:iCs/>
          <w:color w:val="000000" w:themeColor="text1"/>
          <w:sz w:val="20"/>
          <w:szCs w:val="20"/>
        </w:rPr>
        <w:t xml:space="preserve">‘It was my right, but they refused’: Turkish women denied access to free and safe abortions, </w:t>
      </w:r>
      <w:r w:rsidR="04CAA791" w:rsidRPr="0082614C">
        <w:rPr>
          <w:color w:val="000000" w:themeColor="text1"/>
          <w:sz w:val="20"/>
          <w:szCs w:val="20"/>
        </w:rPr>
        <w:t>Jul. 5, 2022, available at https://www.theguardian.com/global-development/2022/jul/05/legal-yet-virtually-banned-turkish-women-denied-right-to-free-safe-abortions</w:t>
      </w:r>
    </w:p>
  </w:footnote>
  <w:footnote w:id="97">
    <w:p w14:paraId="0DBCE031" w14:textId="7E46A68D" w:rsidR="5EF71450" w:rsidRPr="0082614C" w:rsidRDefault="5EF71450" w:rsidP="5EF71450">
      <w:pPr>
        <w:rPr>
          <w:sz w:val="20"/>
          <w:szCs w:val="20"/>
        </w:rPr>
      </w:pPr>
      <w:r w:rsidRPr="0082614C">
        <w:rPr>
          <w:rStyle w:val="FootnoteReference"/>
          <w:sz w:val="20"/>
          <w:szCs w:val="20"/>
        </w:rPr>
        <w:footnoteRef/>
      </w:r>
      <w:r w:rsidR="04CAA791" w:rsidRPr="0082614C">
        <w:rPr>
          <w:sz w:val="20"/>
          <w:szCs w:val="20"/>
        </w:rPr>
        <w:t xml:space="preserve"> Sinem </w:t>
      </w:r>
      <w:proofErr w:type="spellStart"/>
      <w:r w:rsidR="04CAA791" w:rsidRPr="0082614C">
        <w:rPr>
          <w:sz w:val="20"/>
          <w:szCs w:val="20"/>
        </w:rPr>
        <w:t>Esengen</w:t>
      </w:r>
      <w:proofErr w:type="spellEnd"/>
      <w:r w:rsidR="04CAA791" w:rsidRPr="0082614C">
        <w:rPr>
          <w:sz w:val="20"/>
          <w:szCs w:val="20"/>
        </w:rPr>
        <w:t xml:space="preserve">, 2024, </w:t>
      </w:r>
      <w:r w:rsidR="04CAA791" w:rsidRPr="0082614C">
        <w:rPr>
          <w:color w:val="000000" w:themeColor="text1"/>
          <w:sz w:val="20"/>
          <w:szCs w:val="20"/>
        </w:rPr>
        <w:t>“‘</w:t>
      </w:r>
      <w:r w:rsidR="04CAA791" w:rsidRPr="0082614C">
        <w:rPr>
          <w:sz w:val="20"/>
          <w:szCs w:val="20"/>
        </w:rPr>
        <w:t xml:space="preserve">We had that abortion together’: abortion networks and access to il/legal abortions in Türkiye,” </w:t>
      </w:r>
      <w:r w:rsidR="04CAA791" w:rsidRPr="0082614C">
        <w:rPr>
          <w:i/>
          <w:iCs/>
          <w:sz w:val="20"/>
          <w:szCs w:val="20"/>
        </w:rPr>
        <w:t>Culture, Health &amp; Sexuality</w:t>
      </w:r>
      <w:r w:rsidR="04CAA791" w:rsidRPr="0082614C">
        <w:rPr>
          <w:sz w:val="20"/>
          <w:szCs w:val="20"/>
        </w:rPr>
        <w:t xml:space="preserve">, </w:t>
      </w:r>
      <w:r w:rsidR="04CAA791" w:rsidRPr="0082614C">
        <w:rPr>
          <w:i/>
          <w:iCs/>
          <w:sz w:val="20"/>
          <w:szCs w:val="20"/>
        </w:rPr>
        <w:t>26</w:t>
      </w:r>
      <w:r w:rsidR="04CAA791" w:rsidRPr="0082614C">
        <w:rPr>
          <w:sz w:val="20"/>
          <w:szCs w:val="20"/>
        </w:rPr>
        <w:t>(9), 1119–1133. https://doi.org/10.1080/13691058.2023.2301410</w:t>
      </w:r>
    </w:p>
    <w:p w14:paraId="4C58DBD8" w14:textId="0D037DC8" w:rsidR="5EF71450" w:rsidRDefault="5EF71450" w:rsidP="5EF71450">
      <w:pPr>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0945DE44" w:rsidR="00804604" w:rsidRDefault="006848F5">
    <w:pPr>
      <w:pStyle w:val="Header"/>
    </w:pPr>
    <w:r>
      <w:rPr>
        <w:noProof/>
      </w:rPr>
      <w:drawing>
        <wp:anchor distT="0" distB="0" distL="114300" distR="114300" simplePos="0" relativeHeight="251658240" behindDoc="0" locked="0" layoutInCell="1" allowOverlap="1" wp14:anchorId="0D691956" wp14:editId="6F812D02">
          <wp:simplePos x="0" y="0"/>
          <wp:positionH relativeFrom="margin">
            <wp:posOffset>1806575</wp:posOffset>
          </wp:positionH>
          <wp:positionV relativeFrom="paragraph">
            <wp:posOffset>-158115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48F5">
      <w:br/>
    </w:r>
  </w:p>
</w:hdr>
</file>

<file path=word/intelligence2.xml><?xml version="1.0" encoding="utf-8"?>
<int2:intelligence xmlns:int2="http://schemas.microsoft.com/office/intelligence/2020/intelligence" xmlns:oel="http://schemas.microsoft.com/office/2019/extlst">
  <int2:observations>
    <int2:bookmark int2:bookmarkName="_Int_kJoHQN1b" int2:invalidationBookmarkName="" int2:hashCode="0lXQ0GySJQ8tJA" int2:id="hRoHE2H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57AE2"/>
    <w:multiLevelType w:val="hybridMultilevel"/>
    <w:tmpl w:val="71D44926"/>
    <w:lvl w:ilvl="0" w:tplc="94E20A56">
      <w:start w:val="19"/>
      <w:numFmt w:val="decimal"/>
      <w:lvlText w:val="%1."/>
      <w:lvlJc w:val="left"/>
      <w:pPr>
        <w:ind w:left="720" w:hanging="360"/>
      </w:pPr>
    </w:lvl>
    <w:lvl w:ilvl="1" w:tplc="FA040A5A">
      <w:start w:val="1"/>
      <w:numFmt w:val="lowerLetter"/>
      <w:lvlText w:val="%2."/>
      <w:lvlJc w:val="left"/>
      <w:pPr>
        <w:ind w:left="1440" w:hanging="360"/>
      </w:pPr>
    </w:lvl>
    <w:lvl w:ilvl="2" w:tplc="6D6A0C66">
      <w:start w:val="1"/>
      <w:numFmt w:val="lowerRoman"/>
      <w:lvlText w:val="%3."/>
      <w:lvlJc w:val="right"/>
      <w:pPr>
        <w:ind w:left="2160" w:hanging="180"/>
      </w:pPr>
    </w:lvl>
    <w:lvl w:ilvl="3" w:tplc="FE628436">
      <w:start w:val="1"/>
      <w:numFmt w:val="decimal"/>
      <w:lvlText w:val="%4."/>
      <w:lvlJc w:val="left"/>
      <w:pPr>
        <w:ind w:left="2880" w:hanging="360"/>
      </w:pPr>
    </w:lvl>
    <w:lvl w:ilvl="4" w:tplc="A9F6DF68">
      <w:start w:val="1"/>
      <w:numFmt w:val="lowerLetter"/>
      <w:lvlText w:val="%5."/>
      <w:lvlJc w:val="left"/>
      <w:pPr>
        <w:ind w:left="3600" w:hanging="360"/>
      </w:pPr>
    </w:lvl>
    <w:lvl w:ilvl="5" w:tplc="35CEB2A0">
      <w:start w:val="1"/>
      <w:numFmt w:val="lowerRoman"/>
      <w:lvlText w:val="%6."/>
      <w:lvlJc w:val="right"/>
      <w:pPr>
        <w:ind w:left="4320" w:hanging="180"/>
      </w:pPr>
    </w:lvl>
    <w:lvl w:ilvl="6" w:tplc="2826B510">
      <w:start w:val="1"/>
      <w:numFmt w:val="decimal"/>
      <w:lvlText w:val="%7."/>
      <w:lvlJc w:val="left"/>
      <w:pPr>
        <w:ind w:left="5040" w:hanging="360"/>
      </w:pPr>
    </w:lvl>
    <w:lvl w:ilvl="7" w:tplc="9E7EADFA">
      <w:start w:val="1"/>
      <w:numFmt w:val="lowerLetter"/>
      <w:lvlText w:val="%8."/>
      <w:lvlJc w:val="left"/>
      <w:pPr>
        <w:ind w:left="5760" w:hanging="360"/>
      </w:pPr>
    </w:lvl>
    <w:lvl w:ilvl="8" w:tplc="DE38ADA2">
      <w:start w:val="1"/>
      <w:numFmt w:val="lowerRoman"/>
      <w:lvlText w:val="%9."/>
      <w:lvlJc w:val="right"/>
      <w:pPr>
        <w:ind w:left="648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BD778F"/>
    <w:multiLevelType w:val="hybridMultilevel"/>
    <w:tmpl w:val="0FC65B1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15:restartNumberingAfterBreak="0">
    <w:nsid w:val="13D5BB74"/>
    <w:multiLevelType w:val="hybridMultilevel"/>
    <w:tmpl w:val="F878C690"/>
    <w:lvl w:ilvl="0" w:tplc="28D02352">
      <w:start w:val="19"/>
      <w:numFmt w:val="decimal"/>
      <w:lvlText w:val="%1."/>
      <w:lvlJc w:val="left"/>
      <w:pPr>
        <w:ind w:left="720" w:hanging="360"/>
      </w:pPr>
    </w:lvl>
    <w:lvl w:ilvl="1" w:tplc="44061142">
      <w:start w:val="1"/>
      <w:numFmt w:val="lowerLetter"/>
      <w:lvlText w:val="%2."/>
      <w:lvlJc w:val="left"/>
      <w:pPr>
        <w:ind w:left="1440" w:hanging="360"/>
      </w:pPr>
    </w:lvl>
    <w:lvl w:ilvl="2" w:tplc="5A7CD910">
      <w:start w:val="1"/>
      <w:numFmt w:val="lowerRoman"/>
      <w:lvlText w:val="%3."/>
      <w:lvlJc w:val="right"/>
      <w:pPr>
        <w:ind w:left="2160" w:hanging="180"/>
      </w:pPr>
    </w:lvl>
    <w:lvl w:ilvl="3" w:tplc="DE0E776E">
      <w:start w:val="1"/>
      <w:numFmt w:val="decimal"/>
      <w:lvlText w:val="%4."/>
      <w:lvlJc w:val="left"/>
      <w:pPr>
        <w:ind w:left="2880" w:hanging="360"/>
      </w:pPr>
    </w:lvl>
    <w:lvl w:ilvl="4" w:tplc="15A0DB68">
      <w:start w:val="1"/>
      <w:numFmt w:val="lowerLetter"/>
      <w:lvlText w:val="%5."/>
      <w:lvlJc w:val="left"/>
      <w:pPr>
        <w:ind w:left="3600" w:hanging="360"/>
      </w:pPr>
    </w:lvl>
    <w:lvl w:ilvl="5" w:tplc="A8D47726">
      <w:start w:val="1"/>
      <w:numFmt w:val="lowerRoman"/>
      <w:lvlText w:val="%6."/>
      <w:lvlJc w:val="right"/>
      <w:pPr>
        <w:ind w:left="4320" w:hanging="180"/>
      </w:pPr>
    </w:lvl>
    <w:lvl w:ilvl="6" w:tplc="49162F1A">
      <w:start w:val="1"/>
      <w:numFmt w:val="decimal"/>
      <w:lvlText w:val="%7."/>
      <w:lvlJc w:val="left"/>
      <w:pPr>
        <w:ind w:left="5040" w:hanging="360"/>
      </w:pPr>
    </w:lvl>
    <w:lvl w:ilvl="7" w:tplc="605046AA">
      <w:start w:val="1"/>
      <w:numFmt w:val="lowerLetter"/>
      <w:lvlText w:val="%8."/>
      <w:lvlJc w:val="left"/>
      <w:pPr>
        <w:ind w:left="5760" w:hanging="360"/>
      </w:pPr>
    </w:lvl>
    <w:lvl w:ilvl="8" w:tplc="436276D2">
      <w:start w:val="1"/>
      <w:numFmt w:val="lowerRoman"/>
      <w:lvlText w:val="%9."/>
      <w:lvlJc w:val="right"/>
      <w:pPr>
        <w:ind w:left="6480" w:hanging="180"/>
      </w:pPr>
    </w:lvl>
  </w:abstractNum>
  <w:abstractNum w:abstractNumId="4"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6" w15:restartNumberingAfterBreak="0">
    <w:nsid w:val="1C900C86"/>
    <w:multiLevelType w:val="hybridMultilevel"/>
    <w:tmpl w:val="698C79C2"/>
    <w:lvl w:ilvl="0" w:tplc="867CCC8C">
      <w:start w:val="19"/>
      <w:numFmt w:val="decimal"/>
      <w:lvlText w:val="%1."/>
      <w:lvlJc w:val="left"/>
      <w:pPr>
        <w:ind w:left="720" w:hanging="360"/>
      </w:pPr>
    </w:lvl>
    <w:lvl w:ilvl="1" w:tplc="BFE8C8F0">
      <w:start w:val="1"/>
      <w:numFmt w:val="lowerLetter"/>
      <w:lvlText w:val="%2."/>
      <w:lvlJc w:val="left"/>
      <w:pPr>
        <w:ind w:left="1440" w:hanging="360"/>
      </w:pPr>
    </w:lvl>
    <w:lvl w:ilvl="2" w:tplc="2B8884C6">
      <w:start w:val="1"/>
      <w:numFmt w:val="lowerRoman"/>
      <w:lvlText w:val="%3."/>
      <w:lvlJc w:val="right"/>
      <w:pPr>
        <w:ind w:left="2160" w:hanging="180"/>
      </w:pPr>
    </w:lvl>
    <w:lvl w:ilvl="3" w:tplc="16763104">
      <w:start w:val="1"/>
      <w:numFmt w:val="decimal"/>
      <w:lvlText w:val="%4."/>
      <w:lvlJc w:val="left"/>
      <w:pPr>
        <w:ind w:left="2880" w:hanging="360"/>
      </w:pPr>
    </w:lvl>
    <w:lvl w:ilvl="4" w:tplc="C890E9AC">
      <w:start w:val="1"/>
      <w:numFmt w:val="lowerLetter"/>
      <w:lvlText w:val="%5."/>
      <w:lvlJc w:val="left"/>
      <w:pPr>
        <w:ind w:left="3600" w:hanging="360"/>
      </w:pPr>
    </w:lvl>
    <w:lvl w:ilvl="5" w:tplc="F9AE3FC6">
      <w:start w:val="1"/>
      <w:numFmt w:val="lowerRoman"/>
      <w:lvlText w:val="%6."/>
      <w:lvlJc w:val="right"/>
      <w:pPr>
        <w:ind w:left="4320" w:hanging="180"/>
      </w:pPr>
    </w:lvl>
    <w:lvl w:ilvl="6" w:tplc="085C17DE">
      <w:start w:val="1"/>
      <w:numFmt w:val="decimal"/>
      <w:lvlText w:val="%7."/>
      <w:lvlJc w:val="left"/>
      <w:pPr>
        <w:ind w:left="5040" w:hanging="360"/>
      </w:pPr>
    </w:lvl>
    <w:lvl w:ilvl="7" w:tplc="F440EB86">
      <w:start w:val="1"/>
      <w:numFmt w:val="lowerLetter"/>
      <w:lvlText w:val="%8."/>
      <w:lvlJc w:val="left"/>
      <w:pPr>
        <w:ind w:left="5760" w:hanging="360"/>
      </w:pPr>
    </w:lvl>
    <w:lvl w:ilvl="8" w:tplc="3614E402">
      <w:start w:val="1"/>
      <w:numFmt w:val="lowerRoman"/>
      <w:lvlText w:val="%9."/>
      <w:lvlJc w:val="right"/>
      <w:pPr>
        <w:ind w:left="6480" w:hanging="180"/>
      </w:pPr>
    </w:lvl>
  </w:abstractNum>
  <w:abstractNum w:abstractNumId="7" w15:restartNumberingAfterBreak="0">
    <w:nsid w:val="1D5153BE"/>
    <w:multiLevelType w:val="hybridMultilevel"/>
    <w:tmpl w:val="C22E1AC6"/>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28330B"/>
    <w:multiLevelType w:val="hybridMultilevel"/>
    <w:tmpl w:val="DA5A67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81D07AE"/>
    <w:multiLevelType w:val="hybridMultilevel"/>
    <w:tmpl w:val="78A6E1B0"/>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EAEAA31"/>
    <w:multiLevelType w:val="hybridMultilevel"/>
    <w:tmpl w:val="7DD001A0"/>
    <w:lvl w:ilvl="0" w:tplc="9738AFD2">
      <w:start w:val="1"/>
      <w:numFmt w:val="bullet"/>
      <w:lvlText w:val=""/>
      <w:lvlJc w:val="left"/>
      <w:pPr>
        <w:ind w:left="720" w:hanging="360"/>
      </w:pPr>
      <w:rPr>
        <w:rFonts w:ascii="Symbol" w:hAnsi="Symbol" w:hint="default"/>
      </w:rPr>
    </w:lvl>
    <w:lvl w:ilvl="1" w:tplc="97D0B59A">
      <w:start w:val="1"/>
      <w:numFmt w:val="bullet"/>
      <w:lvlText w:val="o"/>
      <w:lvlJc w:val="left"/>
      <w:pPr>
        <w:ind w:left="1440" w:hanging="360"/>
      </w:pPr>
      <w:rPr>
        <w:rFonts w:ascii="Courier New" w:hAnsi="Courier New" w:hint="default"/>
      </w:rPr>
    </w:lvl>
    <w:lvl w:ilvl="2" w:tplc="528C58B2">
      <w:start w:val="1"/>
      <w:numFmt w:val="bullet"/>
      <w:lvlText w:val=""/>
      <w:lvlJc w:val="left"/>
      <w:pPr>
        <w:ind w:left="2160" w:hanging="360"/>
      </w:pPr>
      <w:rPr>
        <w:rFonts w:ascii="Wingdings" w:hAnsi="Wingdings" w:hint="default"/>
      </w:rPr>
    </w:lvl>
    <w:lvl w:ilvl="3" w:tplc="2344602C">
      <w:start w:val="1"/>
      <w:numFmt w:val="bullet"/>
      <w:lvlText w:val=""/>
      <w:lvlJc w:val="left"/>
      <w:pPr>
        <w:ind w:left="2880" w:hanging="360"/>
      </w:pPr>
      <w:rPr>
        <w:rFonts w:ascii="Symbol" w:hAnsi="Symbol" w:hint="default"/>
      </w:rPr>
    </w:lvl>
    <w:lvl w:ilvl="4" w:tplc="CB7C101C">
      <w:start w:val="1"/>
      <w:numFmt w:val="bullet"/>
      <w:lvlText w:val="o"/>
      <w:lvlJc w:val="left"/>
      <w:pPr>
        <w:ind w:left="3600" w:hanging="360"/>
      </w:pPr>
      <w:rPr>
        <w:rFonts w:ascii="Courier New" w:hAnsi="Courier New" w:hint="default"/>
      </w:rPr>
    </w:lvl>
    <w:lvl w:ilvl="5" w:tplc="7F8819E0">
      <w:start w:val="1"/>
      <w:numFmt w:val="bullet"/>
      <w:lvlText w:val=""/>
      <w:lvlJc w:val="left"/>
      <w:pPr>
        <w:ind w:left="4320" w:hanging="360"/>
      </w:pPr>
      <w:rPr>
        <w:rFonts w:ascii="Wingdings" w:hAnsi="Wingdings" w:hint="default"/>
      </w:rPr>
    </w:lvl>
    <w:lvl w:ilvl="6" w:tplc="0F6E678E">
      <w:start w:val="1"/>
      <w:numFmt w:val="bullet"/>
      <w:lvlText w:val=""/>
      <w:lvlJc w:val="left"/>
      <w:pPr>
        <w:ind w:left="5040" w:hanging="360"/>
      </w:pPr>
      <w:rPr>
        <w:rFonts w:ascii="Symbol" w:hAnsi="Symbol" w:hint="default"/>
      </w:rPr>
    </w:lvl>
    <w:lvl w:ilvl="7" w:tplc="2FB217DA">
      <w:start w:val="1"/>
      <w:numFmt w:val="bullet"/>
      <w:lvlText w:val="o"/>
      <w:lvlJc w:val="left"/>
      <w:pPr>
        <w:ind w:left="5760" w:hanging="360"/>
      </w:pPr>
      <w:rPr>
        <w:rFonts w:ascii="Courier New" w:hAnsi="Courier New" w:hint="default"/>
      </w:rPr>
    </w:lvl>
    <w:lvl w:ilvl="8" w:tplc="77B847BA">
      <w:start w:val="1"/>
      <w:numFmt w:val="bullet"/>
      <w:lvlText w:val=""/>
      <w:lvlJc w:val="left"/>
      <w:pPr>
        <w:ind w:left="6480" w:hanging="360"/>
      </w:pPr>
      <w:rPr>
        <w:rFonts w:ascii="Wingdings" w:hAnsi="Wingdings" w:hint="default"/>
      </w:rPr>
    </w:lvl>
  </w:abstractNum>
  <w:abstractNum w:abstractNumId="13" w15:restartNumberingAfterBreak="0">
    <w:nsid w:val="33091BCD"/>
    <w:multiLevelType w:val="hybridMultilevel"/>
    <w:tmpl w:val="86A83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42E21A"/>
    <w:multiLevelType w:val="hybridMultilevel"/>
    <w:tmpl w:val="809A1A4E"/>
    <w:lvl w:ilvl="0" w:tplc="82BA76EC">
      <w:start w:val="19"/>
      <w:numFmt w:val="decimal"/>
      <w:lvlText w:val="%1."/>
      <w:lvlJc w:val="left"/>
      <w:pPr>
        <w:ind w:left="720" w:hanging="360"/>
      </w:pPr>
    </w:lvl>
    <w:lvl w:ilvl="1" w:tplc="9B6E4FD2">
      <w:start w:val="1"/>
      <w:numFmt w:val="lowerLetter"/>
      <w:lvlText w:val="%2."/>
      <w:lvlJc w:val="left"/>
      <w:pPr>
        <w:ind w:left="1440" w:hanging="360"/>
      </w:pPr>
    </w:lvl>
    <w:lvl w:ilvl="2" w:tplc="AF68D98C">
      <w:start w:val="1"/>
      <w:numFmt w:val="lowerRoman"/>
      <w:lvlText w:val="%3."/>
      <w:lvlJc w:val="right"/>
      <w:pPr>
        <w:ind w:left="2160" w:hanging="180"/>
      </w:pPr>
    </w:lvl>
    <w:lvl w:ilvl="3" w:tplc="6130EE0A">
      <w:start w:val="1"/>
      <w:numFmt w:val="decimal"/>
      <w:lvlText w:val="%4."/>
      <w:lvlJc w:val="left"/>
      <w:pPr>
        <w:ind w:left="2880" w:hanging="360"/>
      </w:pPr>
    </w:lvl>
    <w:lvl w:ilvl="4" w:tplc="96246A20">
      <w:start w:val="1"/>
      <w:numFmt w:val="lowerLetter"/>
      <w:lvlText w:val="%5."/>
      <w:lvlJc w:val="left"/>
      <w:pPr>
        <w:ind w:left="3600" w:hanging="360"/>
      </w:pPr>
    </w:lvl>
    <w:lvl w:ilvl="5" w:tplc="EC262856">
      <w:start w:val="1"/>
      <w:numFmt w:val="lowerRoman"/>
      <w:lvlText w:val="%6."/>
      <w:lvlJc w:val="right"/>
      <w:pPr>
        <w:ind w:left="4320" w:hanging="180"/>
      </w:pPr>
    </w:lvl>
    <w:lvl w:ilvl="6" w:tplc="F62227E6">
      <w:start w:val="1"/>
      <w:numFmt w:val="decimal"/>
      <w:lvlText w:val="%7."/>
      <w:lvlJc w:val="left"/>
      <w:pPr>
        <w:ind w:left="5040" w:hanging="360"/>
      </w:pPr>
    </w:lvl>
    <w:lvl w:ilvl="7" w:tplc="F42AB86A">
      <w:start w:val="1"/>
      <w:numFmt w:val="lowerLetter"/>
      <w:lvlText w:val="%8."/>
      <w:lvlJc w:val="left"/>
      <w:pPr>
        <w:ind w:left="5760" w:hanging="360"/>
      </w:pPr>
    </w:lvl>
    <w:lvl w:ilvl="8" w:tplc="6974EC0A">
      <w:start w:val="1"/>
      <w:numFmt w:val="lowerRoman"/>
      <w:lvlText w:val="%9."/>
      <w:lvlJc w:val="right"/>
      <w:pPr>
        <w:ind w:left="6480" w:hanging="180"/>
      </w:pPr>
    </w:lvl>
  </w:abstractNum>
  <w:abstractNum w:abstractNumId="16" w15:restartNumberingAfterBreak="0">
    <w:nsid w:val="3B8B7B6E"/>
    <w:multiLevelType w:val="hybridMultilevel"/>
    <w:tmpl w:val="1614598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609724A"/>
    <w:multiLevelType w:val="hybridMultilevel"/>
    <w:tmpl w:val="A05ED36A"/>
    <w:lvl w:ilvl="0" w:tplc="4322FC98">
      <w:start w:val="19"/>
      <w:numFmt w:val="decimal"/>
      <w:lvlText w:val="%1."/>
      <w:lvlJc w:val="left"/>
      <w:pPr>
        <w:ind w:left="720" w:hanging="360"/>
      </w:pPr>
    </w:lvl>
    <w:lvl w:ilvl="1" w:tplc="F4701222">
      <w:start w:val="1"/>
      <w:numFmt w:val="lowerLetter"/>
      <w:lvlText w:val="%2."/>
      <w:lvlJc w:val="left"/>
      <w:pPr>
        <w:ind w:left="1440" w:hanging="360"/>
      </w:pPr>
    </w:lvl>
    <w:lvl w:ilvl="2" w:tplc="07661756">
      <w:start w:val="1"/>
      <w:numFmt w:val="lowerRoman"/>
      <w:lvlText w:val="%3."/>
      <w:lvlJc w:val="right"/>
      <w:pPr>
        <w:ind w:left="2160" w:hanging="180"/>
      </w:pPr>
    </w:lvl>
    <w:lvl w:ilvl="3" w:tplc="B284FB4C">
      <w:start w:val="1"/>
      <w:numFmt w:val="decimal"/>
      <w:lvlText w:val="%4."/>
      <w:lvlJc w:val="left"/>
      <w:pPr>
        <w:ind w:left="2880" w:hanging="360"/>
      </w:pPr>
    </w:lvl>
    <w:lvl w:ilvl="4" w:tplc="16ECCB3E">
      <w:start w:val="1"/>
      <w:numFmt w:val="lowerLetter"/>
      <w:lvlText w:val="%5."/>
      <w:lvlJc w:val="left"/>
      <w:pPr>
        <w:ind w:left="3600" w:hanging="360"/>
      </w:pPr>
    </w:lvl>
    <w:lvl w:ilvl="5" w:tplc="8354D4DC">
      <w:start w:val="1"/>
      <w:numFmt w:val="lowerRoman"/>
      <w:lvlText w:val="%6."/>
      <w:lvlJc w:val="right"/>
      <w:pPr>
        <w:ind w:left="4320" w:hanging="180"/>
      </w:pPr>
    </w:lvl>
    <w:lvl w:ilvl="6" w:tplc="8F3A2422">
      <w:start w:val="1"/>
      <w:numFmt w:val="decimal"/>
      <w:lvlText w:val="%7."/>
      <w:lvlJc w:val="left"/>
      <w:pPr>
        <w:ind w:left="5040" w:hanging="360"/>
      </w:pPr>
    </w:lvl>
    <w:lvl w:ilvl="7" w:tplc="71CAC390">
      <w:start w:val="1"/>
      <w:numFmt w:val="lowerLetter"/>
      <w:lvlText w:val="%8."/>
      <w:lvlJc w:val="left"/>
      <w:pPr>
        <w:ind w:left="5760" w:hanging="360"/>
      </w:pPr>
    </w:lvl>
    <w:lvl w:ilvl="8" w:tplc="039CE1BA">
      <w:start w:val="1"/>
      <w:numFmt w:val="lowerRoman"/>
      <w:lvlText w:val="%9."/>
      <w:lvlJc w:val="right"/>
      <w:pPr>
        <w:ind w:left="6480" w:hanging="180"/>
      </w:pPr>
    </w:lvl>
  </w:abstractNum>
  <w:abstractNum w:abstractNumId="19" w15:restartNumberingAfterBreak="0">
    <w:nsid w:val="5A263B69"/>
    <w:multiLevelType w:val="hybridMultilevel"/>
    <w:tmpl w:val="3392B306"/>
    <w:lvl w:ilvl="0" w:tplc="76B435D2">
      <w:start w:val="19"/>
      <w:numFmt w:val="decimal"/>
      <w:lvlText w:val="%1."/>
      <w:lvlJc w:val="left"/>
      <w:pPr>
        <w:ind w:left="720" w:hanging="360"/>
      </w:pPr>
    </w:lvl>
    <w:lvl w:ilvl="1" w:tplc="3E3A8A0E">
      <w:start w:val="1"/>
      <w:numFmt w:val="lowerLetter"/>
      <w:lvlText w:val="%2."/>
      <w:lvlJc w:val="left"/>
      <w:pPr>
        <w:ind w:left="1440" w:hanging="360"/>
      </w:pPr>
    </w:lvl>
    <w:lvl w:ilvl="2" w:tplc="CCCE9E08">
      <w:start w:val="1"/>
      <w:numFmt w:val="lowerRoman"/>
      <w:lvlText w:val="%3."/>
      <w:lvlJc w:val="right"/>
      <w:pPr>
        <w:ind w:left="2160" w:hanging="180"/>
      </w:pPr>
    </w:lvl>
    <w:lvl w:ilvl="3" w:tplc="3B4C55AC">
      <w:start w:val="1"/>
      <w:numFmt w:val="decimal"/>
      <w:lvlText w:val="%4."/>
      <w:lvlJc w:val="left"/>
      <w:pPr>
        <w:ind w:left="2880" w:hanging="360"/>
      </w:pPr>
    </w:lvl>
    <w:lvl w:ilvl="4" w:tplc="0C6CCD2C">
      <w:start w:val="1"/>
      <w:numFmt w:val="lowerLetter"/>
      <w:lvlText w:val="%5."/>
      <w:lvlJc w:val="left"/>
      <w:pPr>
        <w:ind w:left="3600" w:hanging="360"/>
      </w:pPr>
    </w:lvl>
    <w:lvl w:ilvl="5" w:tplc="BA82A3DE">
      <w:start w:val="1"/>
      <w:numFmt w:val="lowerRoman"/>
      <w:lvlText w:val="%6."/>
      <w:lvlJc w:val="right"/>
      <w:pPr>
        <w:ind w:left="4320" w:hanging="180"/>
      </w:pPr>
    </w:lvl>
    <w:lvl w:ilvl="6" w:tplc="F1E6CDFE">
      <w:start w:val="1"/>
      <w:numFmt w:val="decimal"/>
      <w:lvlText w:val="%7."/>
      <w:lvlJc w:val="left"/>
      <w:pPr>
        <w:ind w:left="5040" w:hanging="360"/>
      </w:pPr>
    </w:lvl>
    <w:lvl w:ilvl="7" w:tplc="17AA4112">
      <w:start w:val="1"/>
      <w:numFmt w:val="lowerLetter"/>
      <w:lvlText w:val="%8."/>
      <w:lvlJc w:val="left"/>
      <w:pPr>
        <w:ind w:left="5760" w:hanging="360"/>
      </w:pPr>
    </w:lvl>
    <w:lvl w:ilvl="8" w:tplc="A5E01E98">
      <w:start w:val="1"/>
      <w:numFmt w:val="lowerRoman"/>
      <w:lvlText w:val="%9."/>
      <w:lvlJc w:val="right"/>
      <w:pPr>
        <w:ind w:left="6480" w:hanging="180"/>
      </w:pPr>
    </w:lvl>
  </w:abstractNum>
  <w:abstractNum w:abstractNumId="20" w15:restartNumberingAfterBreak="0">
    <w:nsid w:val="612752E1"/>
    <w:multiLevelType w:val="hybridMultilevel"/>
    <w:tmpl w:val="96F24566"/>
    <w:lvl w:ilvl="0" w:tplc="E7764FB8">
      <w:start w:val="19"/>
      <w:numFmt w:val="decimal"/>
      <w:lvlText w:val="%1."/>
      <w:lvlJc w:val="left"/>
      <w:pPr>
        <w:ind w:left="720" w:hanging="360"/>
      </w:pPr>
    </w:lvl>
    <w:lvl w:ilvl="1" w:tplc="980C9AC6">
      <w:start w:val="1"/>
      <w:numFmt w:val="lowerLetter"/>
      <w:lvlText w:val="%2."/>
      <w:lvlJc w:val="left"/>
      <w:pPr>
        <w:ind w:left="1440" w:hanging="360"/>
      </w:pPr>
    </w:lvl>
    <w:lvl w:ilvl="2" w:tplc="37123EE6">
      <w:start w:val="1"/>
      <w:numFmt w:val="lowerRoman"/>
      <w:lvlText w:val="%3."/>
      <w:lvlJc w:val="right"/>
      <w:pPr>
        <w:ind w:left="2160" w:hanging="180"/>
      </w:pPr>
    </w:lvl>
    <w:lvl w:ilvl="3" w:tplc="895E5AC6">
      <w:start w:val="1"/>
      <w:numFmt w:val="decimal"/>
      <w:lvlText w:val="%4."/>
      <w:lvlJc w:val="left"/>
      <w:pPr>
        <w:ind w:left="2880" w:hanging="360"/>
      </w:pPr>
    </w:lvl>
    <w:lvl w:ilvl="4" w:tplc="D27EC10E">
      <w:start w:val="1"/>
      <w:numFmt w:val="lowerLetter"/>
      <w:lvlText w:val="%5."/>
      <w:lvlJc w:val="left"/>
      <w:pPr>
        <w:ind w:left="3600" w:hanging="360"/>
      </w:pPr>
    </w:lvl>
    <w:lvl w:ilvl="5" w:tplc="E9EEDA94">
      <w:start w:val="1"/>
      <w:numFmt w:val="lowerRoman"/>
      <w:lvlText w:val="%6."/>
      <w:lvlJc w:val="right"/>
      <w:pPr>
        <w:ind w:left="4320" w:hanging="180"/>
      </w:pPr>
    </w:lvl>
    <w:lvl w:ilvl="6" w:tplc="E6DAD98A">
      <w:start w:val="1"/>
      <w:numFmt w:val="decimal"/>
      <w:lvlText w:val="%7."/>
      <w:lvlJc w:val="left"/>
      <w:pPr>
        <w:ind w:left="5040" w:hanging="360"/>
      </w:pPr>
    </w:lvl>
    <w:lvl w:ilvl="7" w:tplc="3094034A">
      <w:start w:val="1"/>
      <w:numFmt w:val="lowerLetter"/>
      <w:lvlText w:val="%8."/>
      <w:lvlJc w:val="left"/>
      <w:pPr>
        <w:ind w:left="5760" w:hanging="360"/>
      </w:pPr>
    </w:lvl>
    <w:lvl w:ilvl="8" w:tplc="768A0792">
      <w:start w:val="1"/>
      <w:numFmt w:val="lowerRoman"/>
      <w:lvlText w:val="%9."/>
      <w:lvlJc w:val="right"/>
      <w:pPr>
        <w:ind w:left="6480" w:hanging="180"/>
      </w:pPr>
    </w:lvl>
  </w:abstractNum>
  <w:abstractNum w:abstractNumId="21"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DB9239"/>
    <w:multiLevelType w:val="hybridMultilevel"/>
    <w:tmpl w:val="F3A2409E"/>
    <w:lvl w:ilvl="0" w:tplc="4B3EF07E">
      <w:start w:val="19"/>
      <w:numFmt w:val="decimal"/>
      <w:lvlText w:val="%1."/>
      <w:lvlJc w:val="left"/>
      <w:pPr>
        <w:ind w:left="720" w:hanging="360"/>
      </w:pPr>
    </w:lvl>
    <w:lvl w:ilvl="1" w:tplc="D7BCE8DE">
      <w:start w:val="1"/>
      <w:numFmt w:val="lowerLetter"/>
      <w:lvlText w:val="%2."/>
      <w:lvlJc w:val="left"/>
      <w:pPr>
        <w:ind w:left="1440" w:hanging="360"/>
      </w:pPr>
    </w:lvl>
    <w:lvl w:ilvl="2" w:tplc="0CFEE786">
      <w:start w:val="1"/>
      <w:numFmt w:val="lowerRoman"/>
      <w:lvlText w:val="%3."/>
      <w:lvlJc w:val="right"/>
      <w:pPr>
        <w:ind w:left="2160" w:hanging="180"/>
      </w:pPr>
    </w:lvl>
    <w:lvl w:ilvl="3" w:tplc="8FD8FEA6">
      <w:start w:val="1"/>
      <w:numFmt w:val="decimal"/>
      <w:lvlText w:val="%4."/>
      <w:lvlJc w:val="left"/>
      <w:pPr>
        <w:ind w:left="2880" w:hanging="360"/>
      </w:pPr>
    </w:lvl>
    <w:lvl w:ilvl="4" w:tplc="ABD0B6D0">
      <w:start w:val="1"/>
      <w:numFmt w:val="lowerLetter"/>
      <w:lvlText w:val="%5."/>
      <w:lvlJc w:val="left"/>
      <w:pPr>
        <w:ind w:left="3600" w:hanging="360"/>
      </w:pPr>
    </w:lvl>
    <w:lvl w:ilvl="5" w:tplc="F30807C6">
      <w:start w:val="1"/>
      <w:numFmt w:val="lowerRoman"/>
      <w:lvlText w:val="%6."/>
      <w:lvlJc w:val="right"/>
      <w:pPr>
        <w:ind w:left="4320" w:hanging="180"/>
      </w:pPr>
    </w:lvl>
    <w:lvl w:ilvl="6" w:tplc="92AC3B22">
      <w:start w:val="1"/>
      <w:numFmt w:val="decimal"/>
      <w:lvlText w:val="%7."/>
      <w:lvlJc w:val="left"/>
      <w:pPr>
        <w:ind w:left="5040" w:hanging="360"/>
      </w:pPr>
    </w:lvl>
    <w:lvl w:ilvl="7" w:tplc="FD88CD5C">
      <w:start w:val="1"/>
      <w:numFmt w:val="lowerLetter"/>
      <w:lvlText w:val="%8."/>
      <w:lvlJc w:val="left"/>
      <w:pPr>
        <w:ind w:left="5760" w:hanging="360"/>
      </w:pPr>
    </w:lvl>
    <w:lvl w:ilvl="8" w:tplc="D9FAEFA2">
      <w:start w:val="1"/>
      <w:numFmt w:val="lowerRoman"/>
      <w:lvlText w:val="%9."/>
      <w:lvlJc w:val="right"/>
      <w:pPr>
        <w:ind w:left="6480" w:hanging="180"/>
      </w:pPr>
    </w:lvl>
  </w:abstractNum>
  <w:abstractNum w:abstractNumId="24" w15:restartNumberingAfterBreak="0">
    <w:nsid w:val="7F193EEF"/>
    <w:multiLevelType w:val="hybridMultilevel"/>
    <w:tmpl w:val="40B6FF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7F40657E"/>
    <w:multiLevelType w:val="hybridMultilevel"/>
    <w:tmpl w:val="1C22CB4E"/>
    <w:lvl w:ilvl="0" w:tplc="12C46868">
      <w:start w:val="19"/>
      <w:numFmt w:val="decimal"/>
      <w:lvlText w:val="%1."/>
      <w:lvlJc w:val="left"/>
      <w:pPr>
        <w:ind w:left="720" w:hanging="360"/>
      </w:pPr>
    </w:lvl>
    <w:lvl w:ilvl="1" w:tplc="C4F8F3BC">
      <w:start w:val="1"/>
      <w:numFmt w:val="lowerLetter"/>
      <w:lvlText w:val="%2."/>
      <w:lvlJc w:val="left"/>
      <w:pPr>
        <w:ind w:left="1440" w:hanging="360"/>
      </w:pPr>
    </w:lvl>
    <w:lvl w:ilvl="2" w:tplc="F8CC407C">
      <w:start w:val="1"/>
      <w:numFmt w:val="lowerRoman"/>
      <w:lvlText w:val="%3."/>
      <w:lvlJc w:val="right"/>
      <w:pPr>
        <w:ind w:left="2160" w:hanging="180"/>
      </w:pPr>
    </w:lvl>
    <w:lvl w:ilvl="3" w:tplc="50BA6776">
      <w:start w:val="1"/>
      <w:numFmt w:val="decimal"/>
      <w:lvlText w:val="%4."/>
      <w:lvlJc w:val="left"/>
      <w:pPr>
        <w:ind w:left="2880" w:hanging="360"/>
      </w:pPr>
    </w:lvl>
    <w:lvl w:ilvl="4" w:tplc="A99C6478">
      <w:start w:val="1"/>
      <w:numFmt w:val="lowerLetter"/>
      <w:lvlText w:val="%5."/>
      <w:lvlJc w:val="left"/>
      <w:pPr>
        <w:ind w:left="3600" w:hanging="360"/>
      </w:pPr>
    </w:lvl>
    <w:lvl w:ilvl="5" w:tplc="BA6C6986">
      <w:start w:val="1"/>
      <w:numFmt w:val="lowerRoman"/>
      <w:lvlText w:val="%6."/>
      <w:lvlJc w:val="right"/>
      <w:pPr>
        <w:ind w:left="4320" w:hanging="180"/>
      </w:pPr>
    </w:lvl>
    <w:lvl w:ilvl="6" w:tplc="9A1A780C">
      <w:start w:val="1"/>
      <w:numFmt w:val="decimal"/>
      <w:lvlText w:val="%7."/>
      <w:lvlJc w:val="left"/>
      <w:pPr>
        <w:ind w:left="5040" w:hanging="360"/>
      </w:pPr>
    </w:lvl>
    <w:lvl w:ilvl="7" w:tplc="C0D8CFC8">
      <w:start w:val="1"/>
      <w:numFmt w:val="lowerLetter"/>
      <w:lvlText w:val="%8."/>
      <w:lvlJc w:val="left"/>
      <w:pPr>
        <w:ind w:left="5760" w:hanging="360"/>
      </w:pPr>
    </w:lvl>
    <w:lvl w:ilvl="8" w:tplc="EA02E4C4">
      <w:start w:val="1"/>
      <w:numFmt w:val="lowerRoman"/>
      <w:lvlText w:val="%9."/>
      <w:lvlJc w:val="right"/>
      <w:pPr>
        <w:ind w:left="6480" w:hanging="180"/>
      </w:pPr>
    </w:lvl>
  </w:abstractNum>
  <w:num w:numId="1" w16cid:durableId="1915969075">
    <w:abstractNumId w:val="11"/>
  </w:num>
  <w:num w:numId="2" w16cid:durableId="2029719975">
    <w:abstractNumId w:val="10"/>
  </w:num>
  <w:num w:numId="3" w16cid:durableId="1539776804">
    <w:abstractNumId w:val="17"/>
  </w:num>
  <w:num w:numId="4" w16cid:durableId="3636796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4"/>
  </w:num>
  <w:num w:numId="6" w16cid:durableId="594171688">
    <w:abstractNumId w:val="1"/>
  </w:num>
  <w:num w:numId="7" w16cid:durableId="1938251912">
    <w:abstractNumId w:val="7"/>
  </w:num>
  <w:num w:numId="8" w16cid:durableId="1784962959">
    <w:abstractNumId w:val="22"/>
  </w:num>
  <w:num w:numId="9" w16cid:durableId="1023946614">
    <w:abstractNumId w:val="4"/>
  </w:num>
  <w:num w:numId="10" w16cid:durableId="191308430">
    <w:abstractNumId w:val="21"/>
  </w:num>
  <w:num w:numId="11" w16cid:durableId="1712412969">
    <w:abstractNumId w:val="23"/>
  </w:num>
  <w:num w:numId="12" w16cid:durableId="734083310">
    <w:abstractNumId w:val="18"/>
  </w:num>
  <w:num w:numId="13" w16cid:durableId="791706882">
    <w:abstractNumId w:val="20"/>
  </w:num>
  <w:num w:numId="14" w16cid:durableId="5638576">
    <w:abstractNumId w:val="25"/>
  </w:num>
  <w:num w:numId="15" w16cid:durableId="222764747">
    <w:abstractNumId w:val="6"/>
  </w:num>
  <w:num w:numId="16" w16cid:durableId="1298029046">
    <w:abstractNumId w:val="0"/>
  </w:num>
  <w:num w:numId="17" w16cid:durableId="900140184">
    <w:abstractNumId w:val="16"/>
  </w:num>
  <w:num w:numId="18" w16cid:durableId="1973318511">
    <w:abstractNumId w:val="2"/>
  </w:num>
  <w:num w:numId="19" w16cid:durableId="1292399992">
    <w:abstractNumId w:val="12"/>
  </w:num>
  <w:num w:numId="20" w16cid:durableId="801852891">
    <w:abstractNumId w:val="19"/>
  </w:num>
  <w:num w:numId="21" w16cid:durableId="218446116">
    <w:abstractNumId w:val="3"/>
  </w:num>
  <w:num w:numId="22" w16cid:durableId="1623417826">
    <w:abstractNumId w:val="15"/>
  </w:num>
  <w:num w:numId="23" w16cid:durableId="1233390616">
    <w:abstractNumId w:val="8"/>
  </w:num>
  <w:num w:numId="24" w16cid:durableId="70782490">
    <w:abstractNumId w:val="9"/>
  </w:num>
  <w:num w:numId="25" w16cid:durableId="653722608">
    <w:abstractNumId w:val="13"/>
  </w:num>
  <w:num w:numId="26" w16cid:durableId="5479587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3554"/>
    <w:rsid w:val="000038F3"/>
    <w:rsid w:val="0001506E"/>
    <w:rsid w:val="00017542"/>
    <w:rsid w:val="000177DE"/>
    <w:rsid w:val="00020381"/>
    <w:rsid w:val="000249F9"/>
    <w:rsid w:val="00030F59"/>
    <w:rsid w:val="000327D0"/>
    <w:rsid w:val="000342B6"/>
    <w:rsid w:val="00036F75"/>
    <w:rsid w:val="00043F33"/>
    <w:rsid w:val="0004577B"/>
    <w:rsid w:val="00046377"/>
    <w:rsid w:val="0004641A"/>
    <w:rsid w:val="00051D30"/>
    <w:rsid w:val="00054D40"/>
    <w:rsid w:val="00056CF5"/>
    <w:rsid w:val="000734A4"/>
    <w:rsid w:val="000736AD"/>
    <w:rsid w:val="0008238F"/>
    <w:rsid w:val="00084112"/>
    <w:rsid w:val="00085935"/>
    <w:rsid w:val="000910FC"/>
    <w:rsid w:val="0009644E"/>
    <w:rsid w:val="00097CF8"/>
    <w:rsid w:val="000A1F17"/>
    <w:rsid w:val="000A66B8"/>
    <w:rsid w:val="000B042D"/>
    <w:rsid w:val="000B13E6"/>
    <w:rsid w:val="000B4DB3"/>
    <w:rsid w:val="000B772C"/>
    <w:rsid w:val="000C6340"/>
    <w:rsid w:val="000D0680"/>
    <w:rsid w:val="000D09C4"/>
    <w:rsid w:val="000D21D2"/>
    <w:rsid w:val="000D390B"/>
    <w:rsid w:val="000E1DDC"/>
    <w:rsid w:val="000E663A"/>
    <w:rsid w:val="000E78D0"/>
    <w:rsid w:val="000F0FD6"/>
    <w:rsid w:val="000F1E67"/>
    <w:rsid w:val="000F548B"/>
    <w:rsid w:val="000F56E0"/>
    <w:rsid w:val="001008D1"/>
    <w:rsid w:val="00111994"/>
    <w:rsid w:val="00112260"/>
    <w:rsid w:val="001122A0"/>
    <w:rsid w:val="00114163"/>
    <w:rsid w:val="00115AEA"/>
    <w:rsid w:val="001203F6"/>
    <w:rsid w:val="00120CB9"/>
    <w:rsid w:val="001215B4"/>
    <w:rsid w:val="00136514"/>
    <w:rsid w:val="00137229"/>
    <w:rsid w:val="0013EE09"/>
    <w:rsid w:val="00140962"/>
    <w:rsid w:val="00143423"/>
    <w:rsid w:val="001434B3"/>
    <w:rsid w:val="00147EA4"/>
    <w:rsid w:val="0015406F"/>
    <w:rsid w:val="001565F9"/>
    <w:rsid w:val="00157A53"/>
    <w:rsid w:val="00160BDA"/>
    <w:rsid w:val="00181B2A"/>
    <w:rsid w:val="00181EF5"/>
    <w:rsid w:val="0018642B"/>
    <w:rsid w:val="00190362"/>
    <w:rsid w:val="0019595A"/>
    <w:rsid w:val="0019C171"/>
    <w:rsid w:val="001A1279"/>
    <w:rsid w:val="001A1445"/>
    <w:rsid w:val="001A1BA1"/>
    <w:rsid w:val="001A34F4"/>
    <w:rsid w:val="001A45B2"/>
    <w:rsid w:val="001A59C1"/>
    <w:rsid w:val="001A5ED5"/>
    <w:rsid w:val="001A7AF4"/>
    <w:rsid w:val="001B1AC4"/>
    <w:rsid w:val="001B27D7"/>
    <w:rsid w:val="001B306D"/>
    <w:rsid w:val="001B3C54"/>
    <w:rsid w:val="001B46C2"/>
    <w:rsid w:val="001B799A"/>
    <w:rsid w:val="001C42EB"/>
    <w:rsid w:val="001C59F6"/>
    <w:rsid w:val="001C6F1D"/>
    <w:rsid w:val="001D0966"/>
    <w:rsid w:val="001D3C78"/>
    <w:rsid w:val="001D63EC"/>
    <w:rsid w:val="001D657B"/>
    <w:rsid w:val="001E1298"/>
    <w:rsid w:val="001E49D7"/>
    <w:rsid w:val="001E52CB"/>
    <w:rsid w:val="001E65B5"/>
    <w:rsid w:val="001E762C"/>
    <w:rsid w:val="001F17A7"/>
    <w:rsid w:val="001F3D80"/>
    <w:rsid w:val="001F3EDB"/>
    <w:rsid w:val="001F584B"/>
    <w:rsid w:val="001F6E59"/>
    <w:rsid w:val="00203E33"/>
    <w:rsid w:val="0020506A"/>
    <w:rsid w:val="00207CC3"/>
    <w:rsid w:val="00211315"/>
    <w:rsid w:val="0021183F"/>
    <w:rsid w:val="00212FDE"/>
    <w:rsid w:val="00216487"/>
    <w:rsid w:val="002165F5"/>
    <w:rsid w:val="00217D9C"/>
    <w:rsid w:val="00220BB8"/>
    <w:rsid w:val="00220D48"/>
    <w:rsid w:val="00227C87"/>
    <w:rsid w:val="00231788"/>
    <w:rsid w:val="00232B9C"/>
    <w:rsid w:val="00234644"/>
    <w:rsid w:val="00237C8C"/>
    <w:rsid w:val="00242F64"/>
    <w:rsid w:val="002439A3"/>
    <w:rsid w:val="00243E14"/>
    <w:rsid w:val="002468AD"/>
    <w:rsid w:val="00254837"/>
    <w:rsid w:val="00255789"/>
    <w:rsid w:val="00260E6F"/>
    <w:rsid w:val="00261C2E"/>
    <w:rsid w:val="00262845"/>
    <w:rsid w:val="00265E02"/>
    <w:rsid w:val="00272519"/>
    <w:rsid w:val="002734D9"/>
    <w:rsid w:val="00273933"/>
    <w:rsid w:val="002818AE"/>
    <w:rsid w:val="00282223"/>
    <w:rsid w:val="00282ECC"/>
    <w:rsid w:val="002875A2"/>
    <w:rsid w:val="00291BE8"/>
    <w:rsid w:val="0029288C"/>
    <w:rsid w:val="00296698"/>
    <w:rsid w:val="002A0797"/>
    <w:rsid w:val="002A0FEB"/>
    <w:rsid w:val="002A4838"/>
    <w:rsid w:val="002A4E24"/>
    <w:rsid w:val="002A6E23"/>
    <w:rsid w:val="002B0C9F"/>
    <w:rsid w:val="002B1275"/>
    <w:rsid w:val="002B61B0"/>
    <w:rsid w:val="002C57BC"/>
    <w:rsid w:val="002C6733"/>
    <w:rsid w:val="002D0A7E"/>
    <w:rsid w:val="002D36C6"/>
    <w:rsid w:val="002D3D6B"/>
    <w:rsid w:val="002D7247"/>
    <w:rsid w:val="002E0009"/>
    <w:rsid w:val="002E34EA"/>
    <w:rsid w:val="002E46A1"/>
    <w:rsid w:val="002E594D"/>
    <w:rsid w:val="002E5952"/>
    <w:rsid w:val="002F086A"/>
    <w:rsid w:val="002F27F0"/>
    <w:rsid w:val="002F3EEC"/>
    <w:rsid w:val="002F5A08"/>
    <w:rsid w:val="002F7A11"/>
    <w:rsid w:val="0031166B"/>
    <w:rsid w:val="00311CE6"/>
    <w:rsid w:val="00315C53"/>
    <w:rsid w:val="00320FCD"/>
    <w:rsid w:val="00322CB1"/>
    <w:rsid w:val="003244CB"/>
    <w:rsid w:val="003278C1"/>
    <w:rsid w:val="00331770"/>
    <w:rsid w:val="003347D1"/>
    <w:rsid w:val="003369A6"/>
    <w:rsid w:val="00337CD7"/>
    <w:rsid w:val="00340205"/>
    <w:rsid w:val="00340484"/>
    <w:rsid w:val="00344140"/>
    <w:rsid w:val="00344530"/>
    <w:rsid w:val="00344556"/>
    <w:rsid w:val="003449D8"/>
    <w:rsid w:val="00345B90"/>
    <w:rsid w:val="00346B92"/>
    <w:rsid w:val="0035378E"/>
    <w:rsid w:val="0035424D"/>
    <w:rsid w:val="0036075F"/>
    <w:rsid w:val="00360BF8"/>
    <w:rsid w:val="00360CC0"/>
    <w:rsid w:val="00361AE4"/>
    <w:rsid w:val="0036202F"/>
    <w:rsid w:val="00363AD1"/>
    <w:rsid w:val="003664AF"/>
    <w:rsid w:val="00371950"/>
    <w:rsid w:val="00372AA2"/>
    <w:rsid w:val="00374FD8"/>
    <w:rsid w:val="00377189"/>
    <w:rsid w:val="00377C3E"/>
    <w:rsid w:val="00387A74"/>
    <w:rsid w:val="00387AED"/>
    <w:rsid w:val="00390AC3"/>
    <w:rsid w:val="003937C6"/>
    <w:rsid w:val="00397A58"/>
    <w:rsid w:val="003A0265"/>
    <w:rsid w:val="003A0BC2"/>
    <w:rsid w:val="003A0BF5"/>
    <w:rsid w:val="003A1D3E"/>
    <w:rsid w:val="003A5083"/>
    <w:rsid w:val="003A6F6D"/>
    <w:rsid w:val="003C0565"/>
    <w:rsid w:val="003C1E49"/>
    <w:rsid w:val="003C4FC1"/>
    <w:rsid w:val="003C60FE"/>
    <w:rsid w:val="003C7763"/>
    <w:rsid w:val="003D0AD6"/>
    <w:rsid w:val="003D3758"/>
    <w:rsid w:val="003D608F"/>
    <w:rsid w:val="003E6A6D"/>
    <w:rsid w:val="004036CB"/>
    <w:rsid w:val="00405C8B"/>
    <w:rsid w:val="00406408"/>
    <w:rsid w:val="004076CD"/>
    <w:rsid w:val="00410268"/>
    <w:rsid w:val="004108DD"/>
    <w:rsid w:val="004129E8"/>
    <w:rsid w:val="00413CFC"/>
    <w:rsid w:val="00416E84"/>
    <w:rsid w:val="00417CE5"/>
    <w:rsid w:val="00430A63"/>
    <w:rsid w:val="004310C9"/>
    <w:rsid w:val="004323E5"/>
    <w:rsid w:val="004330FD"/>
    <w:rsid w:val="00433B39"/>
    <w:rsid w:val="004455FE"/>
    <w:rsid w:val="004474B2"/>
    <w:rsid w:val="00447D4C"/>
    <w:rsid w:val="00450118"/>
    <w:rsid w:val="00450405"/>
    <w:rsid w:val="004527B8"/>
    <w:rsid w:val="00453314"/>
    <w:rsid w:val="004750E5"/>
    <w:rsid w:val="0047646B"/>
    <w:rsid w:val="00476CC4"/>
    <w:rsid w:val="00481FFA"/>
    <w:rsid w:val="00483EBD"/>
    <w:rsid w:val="0048595D"/>
    <w:rsid w:val="004866AE"/>
    <w:rsid w:val="00493951"/>
    <w:rsid w:val="0049455C"/>
    <w:rsid w:val="00494E1A"/>
    <w:rsid w:val="004950C5"/>
    <w:rsid w:val="004A0071"/>
    <w:rsid w:val="004A17D9"/>
    <w:rsid w:val="004A5B01"/>
    <w:rsid w:val="004A7D93"/>
    <w:rsid w:val="004A7FF9"/>
    <w:rsid w:val="004B044C"/>
    <w:rsid w:val="004B1E4E"/>
    <w:rsid w:val="004B416F"/>
    <w:rsid w:val="004B4CAF"/>
    <w:rsid w:val="004B73AF"/>
    <w:rsid w:val="004C2F27"/>
    <w:rsid w:val="004C5974"/>
    <w:rsid w:val="004C5D78"/>
    <w:rsid w:val="004D04C4"/>
    <w:rsid w:val="004D2568"/>
    <w:rsid w:val="004D3EE9"/>
    <w:rsid w:val="004D51DD"/>
    <w:rsid w:val="004E07D1"/>
    <w:rsid w:val="004E150B"/>
    <w:rsid w:val="004E2CD9"/>
    <w:rsid w:val="004E4D62"/>
    <w:rsid w:val="004E65BD"/>
    <w:rsid w:val="004E696A"/>
    <w:rsid w:val="004E7176"/>
    <w:rsid w:val="004E71C1"/>
    <w:rsid w:val="004E783D"/>
    <w:rsid w:val="004F2465"/>
    <w:rsid w:val="004F2845"/>
    <w:rsid w:val="004F34E5"/>
    <w:rsid w:val="005132BB"/>
    <w:rsid w:val="0051449D"/>
    <w:rsid w:val="0051494C"/>
    <w:rsid w:val="00521358"/>
    <w:rsid w:val="00524166"/>
    <w:rsid w:val="005244F0"/>
    <w:rsid w:val="00524C18"/>
    <w:rsid w:val="0053230A"/>
    <w:rsid w:val="005336C2"/>
    <w:rsid w:val="00534438"/>
    <w:rsid w:val="005403E3"/>
    <w:rsid w:val="005404A4"/>
    <w:rsid w:val="005426EF"/>
    <w:rsid w:val="005435E7"/>
    <w:rsid w:val="00546953"/>
    <w:rsid w:val="0054697C"/>
    <w:rsid w:val="00550A8F"/>
    <w:rsid w:val="0055461C"/>
    <w:rsid w:val="00555199"/>
    <w:rsid w:val="00556437"/>
    <w:rsid w:val="00556D0F"/>
    <w:rsid w:val="00560BB2"/>
    <w:rsid w:val="00567571"/>
    <w:rsid w:val="00567887"/>
    <w:rsid w:val="00567F52"/>
    <w:rsid w:val="00567FD1"/>
    <w:rsid w:val="00570088"/>
    <w:rsid w:val="00571B90"/>
    <w:rsid w:val="00571EF6"/>
    <w:rsid w:val="005877D1"/>
    <w:rsid w:val="005926BD"/>
    <w:rsid w:val="005933C7"/>
    <w:rsid w:val="0059713D"/>
    <w:rsid w:val="0059754B"/>
    <w:rsid w:val="005A16DF"/>
    <w:rsid w:val="005B0C1B"/>
    <w:rsid w:val="005B2C56"/>
    <w:rsid w:val="005B2D86"/>
    <w:rsid w:val="005C183B"/>
    <w:rsid w:val="005C58B6"/>
    <w:rsid w:val="005C5BF7"/>
    <w:rsid w:val="005C7708"/>
    <w:rsid w:val="005D4788"/>
    <w:rsid w:val="005D4EE6"/>
    <w:rsid w:val="005D5F82"/>
    <w:rsid w:val="005D6CA3"/>
    <w:rsid w:val="005E6005"/>
    <w:rsid w:val="005F130F"/>
    <w:rsid w:val="005F2A19"/>
    <w:rsid w:val="005F4279"/>
    <w:rsid w:val="005F600B"/>
    <w:rsid w:val="005F7E6E"/>
    <w:rsid w:val="0060568A"/>
    <w:rsid w:val="0060622C"/>
    <w:rsid w:val="00610B7B"/>
    <w:rsid w:val="006141A2"/>
    <w:rsid w:val="006169C1"/>
    <w:rsid w:val="006176BC"/>
    <w:rsid w:val="0061778F"/>
    <w:rsid w:val="00624A10"/>
    <w:rsid w:val="00625A7D"/>
    <w:rsid w:val="00626C39"/>
    <w:rsid w:val="00630F48"/>
    <w:rsid w:val="006437F8"/>
    <w:rsid w:val="00643D7A"/>
    <w:rsid w:val="00646D29"/>
    <w:rsid w:val="00646DE9"/>
    <w:rsid w:val="00653DA7"/>
    <w:rsid w:val="0066318F"/>
    <w:rsid w:val="006718AE"/>
    <w:rsid w:val="00675F8E"/>
    <w:rsid w:val="006761A7"/>
    <w:rsid w:val="0068033B"/>
    <w:rsid w:val="006835AA"/>
    <w:rsid w:val="006848F5"/>
    <w:rsid w:val="00685E61"/>
    <w:rsid w:val="006906CB"/>
    <w:rsid w:val="00691BEE"/>
    <w:rsid w:val="006927DD"/>
    <w:rsid w:val="006A7E4D"/>
    <w:rsid w:val="006B7B89"/>
    <w:rsid w:val="006C3370"/>
    <w:rsid w:val="006C4883"/>
    <w:rsid w:val="006D39C4"/>
    <w:rsid w:val="006E0467"/>
    <w:rsid w:val="006E41A6"/>
    <w:rsid w:val="006E6289"/>
    <w:rsid w:val="006E6DD9"/>
    <w:rsid w:val="006E7D5B"/>
    <w:rsid w:val="006F582F"/>
    <w:rsid w:val="006F784B"/>
    <w:rsid w:val="007064C2"/>
    <w:rsid w:val="0070771A"/>
    <w:rsid w:val="00711BB1"/>
    <w:rsid w:val="007143B8"/>
    <w:rsid w:val="00715931"/>
    <w:rsid w:val="00717332"/>
    <w:rsid w:val="007174BE"/>
    <w:rsid w:val="0072241B"/>
    <w:rsid w:val="00730D93"/>
    <w:rsid w:val="007316AA"/>
    <w:rsid w:val="00733318"/>
    <w:rsid w:val="00740768"/>
    <w:rsid w:val="00741B9C"/>
    <w:rsid w:val="007434C2"/>
    <w:rsid w:val="00751E4D"/>
    <w:rsid w:val="00755410"/>
    <w:rsid w:val="00757A1C"/>
    <w:rsid w:val="00761BB6"/>
    <w:rsid w:val="007637D8"/>
    <w:rsid w:val="00763A83"/>
    <w:rsid w:val="007643E3"/>
    <w:rsid w:val="00765EBC"/>
    <w:rsid w:val="00771EA4"/>
    <w:rsid w:val="0077231B"/>
    <w:rsid w:val="00774643"/>
    <w:rsid w:val="007838DE"/>
    <w:rsid w:val="00783E24"/>
    <w:rsid w:val="00785D4F"/>
    <w:rsid w:val="00791109"/>
    <w:rsid w:val="007920C4"/>
    <w:rsid w:val="0079327F"/>
    <w:rsid w:val="0079501C"/>
    <w:rsid w:val="00795CAE"/>
    <w:rsid w:val="00796E3F"/>
    <w:rsid w:val="007A0BD0"/>
    <w:rsid w:val="007A23AF"/>
    <w:rsid w:val="007A278F"/>
    <w:rsid w:val="007A66B5"/>
    <w:rsid w:val="007B044F"/>
    <w:rsid w:val="007B34F2"/>
    <w:rsid w:val="007B42EA"/>
    <w:rsid w:val="007B46BD"/>
    <w:rsid w:val="007B46CD"/>
    <w:rsid w:val="007C0734"/>
    <w:rsid w:val="007C4387"/>
    <w:rsid w:val="007C7CCE"/>
    <w:rsid w:val="007C7FDF"/>
    <w:rsid w:val="007D0BB6"/>
    <w:rsid w:val="007D1153"/>
    <w:rsid w:val="007D18A7"/>
    <w:rsid w:val="007D2FB7"/>
    <w:rsid w:val="007D4E79"/>
    <w:rsid w:val="007D5D26"/>
    <w:rsid w:val="007D6CE6"/>
    <w:rsid w:val="007E0339"/>
    <w:rsid w:val="007E0654"/>
    <w:rsid w:val="007E1443"/>
    <w:rsid w:val="007E3F32"/>
    <w:rsid w:val="007E54B4"/>
    <w:rsid w:val="007E79C4"/>
    <w:rsid w:val="007F23A8"/>
    <w:rsid w:val="007F6C64"/>
    <w:rsid w:val="007F705D"/>
    <w:rsid w:val="007F7B36"/>
    <w:rsid w:val="00804604"/>
    <w:rsid w:val="00811577"/>
    <w:rsid w:val="00811AF5"/>
    <w:rsid w:val="00811F0B"/>
    <w:rsid w:val="0081221D"/>
    <w:rsid w:val="0081392B"/>
    <w:rsid w:val="00814621"/>
    <w:rsid w:val="0082333F"/>
    <w:rsid w:val="008242C3"/>
    <w:rsid w:val="008245D2"/>
    <w:rsid w:val="0082614C"/>
    <w:rsid w:val="00826961"/>
    <w:rsid w:val="00827842"/>
    <w:rsid w:val="00836428"/>
    <w:rsid w:val="00836EF9"/>
    <w:rsid w:val="0083754E"/>
    <w:rsid w:val="00837F68"/>
    <w:rsid w:val="0084749D"/>
    <w:rsid w:val="00847C78"/>
    <w:rsid w:val="008504A9"/>
    <w:rsid w:val="008507E6"/>
    <w:rsid w:val="00852B97"/>
    <w:rsid w:val="00855B8D"/>
    <w:rsid w:val="00860419"/>
    <w:rsid w:val="00860C04"/>
    <w:rsid w:val="00863FBC"/>
    <w:rsid w:val="00870521"/>
    <w:rsid w:val="00870EEC"/>
    <w:rsid w:val="00872E42"/>
    <w:rsid w:val="0087642D"/>
    <w:rsid w:val="008806CE"/>
    <w:rsid w:val="0088232A"/>
    <w:rsid w:val="008856D7"/>
    <w:rsid w:val="008869A0"/>
    <w:rsid w:val="00890056"/>
    <w:rsid w:val="008914F7"/>
    <w:rsid w:val="0089159C"/>
    <w:rsid w:val="008929D0"/>
    <w:rsid w:val="0089523C"/>
    <w:rsid w:val="00896028"/>
    <w:rsid w:val="008A3BE8"/>
    <w:rsid w:val="008A69F3"/>
    <w:rsid w:val="008B30E1"/>
    <w:rsid w:val="008B47F9"/>
    <w:rsid w:val="008C3B9B"/>
    <w:rsid w:val="008C656A"/>
    <w:rsid w:val="008C6618"/>
    <w:rsid w:val="008C6C2D"/>
    <w:rsid w:val="008C7B1F"/>
    <w:rsid w:val="008C7B63"/>
    <w:rsid w:val="008D4A07"/>
    <w:rsid w:val="008D5A28"/>
    <w:rsid w:val="008D75BF"/>
    <w:rsid w:val="008E0859"/>
    <w:rsid w:val="008E70CF"/>
    <w:rsid w:val="008F0452"/>
    <w:rsid w:val="008F0559"/>
    <w:rsid w:val="008F0BDD"/>
    <w:rsid w:val="008F2F99"/>
    <w:rsid w:val="008F3372"/>
    <w:rsid w:val="008F6084"/>
    <w:rsid w:val="009057C8"/>
    <w:rsid w:val="00906BF5"/>
    <w:rsid w:val="0090729E"/>
    <w:rsid w:val="00913E74"/>
    <w:rsid w:val="0092386B"/>
    <w:rsid w:val="009302F5"/>
    <w:rsid w:val="00930F2B"/>
    <w:rsid w:val="0093193B"/>
    <w:rsid w:val="00935452"/>
    <w:rsid w:val="0093652E"/>
    <w:rsid w:val="009404D2"/>
    <w:rsid w:val="00941162"/>
    <w:rsid w:val="0094344C"/>
    <w:rsid w:val="00943C1C"/>
    <w:rsid w:val="00943CAC"/>
    <w:rsid w:val="009466B1"/>
    <w:rsid w:val="00947170"/>
    <w:rsid w:val="00947B3D"/>
    <w:rsid w:val="00952B25"/>
    <w:rsid w:val="00956E94"/>
    <w:rsid w:val="009579B6"/>
    <w:rsid w:val="00962312"/>
    <w:rsid w:val="009627A1"/>
    <w:rsid w:val="0096301D"/>
    <w:rsid w:val="009654C1"/>
    <w:rsid w:val="0096665B"/>
    <w:rsid w:val="00967BBC"/>
    <w:rsid w:val="00970612"/>
    <w:rsid w:val="009712FE"/>
    <w:rsid w:val="00973686"/>
    <w:rsid w:val="00975614"/>
    <w:rsid w:val="009778FD"/>
    <w:rsid w:val="009875AD"/>
    <w:rsid w:val="009924AF"/>
    <w:rsid w:val="0099455E"/>
    <w:rsid w:val="009A1667"/>
    <w:rsid w:val="009A2992"/>
    <w:rsid w:val="009A5DD1"/>
    <w:rsid w:val="009A7F71"/>
    <w:rsid w:val="009B09DB"/>
    <w:rsid w:val="009B51D7"/>
    <w:rsid w:val="009C24E0"/>
    <w:rsid w:val="009C305D"/>
    <w:rsid w:val="009C405B"/>
    <w:rsid w:val="009C6E85"/>
    <w:rsid w:val="009D3A60"/>
    <w:rsid w:val="009D3BEA"/>
    <w:rsid w:val="009D48CB"/>
    <w:rsid w:val="009D5161"/>
    <w:rsid w:val="009E4D16"/>
    <w:rsid w:val="009E4DA0"/>
    <w:rsid w:val="009E66F5"/>
    <w:rsid w:val="009F04C6"/>
    <w:rsid w:val="009F12E2"/>
    <w:rsid w:val="009F3358"/>
    <w:rsid w:val="009F478B"/>
    <w:rsid w:val="009F69C1"/>
    <w:rsid w:val="00A051A1"/>
    <w:rsid w:val="00A057DF"/>
    <w:rsid w:val="00A14B3F"/>
    <w:rsid w:val="00A154ED"/>
    <w:rsid w:val="00A21CFD"/>
    <w:rsid w:val="00A24703"/>
    <w:rsid w:val="00A2558D"/>
    <w:rsid w:val="00A26E86"/>
    <w:rsid w:val="00A305B5"/>
    <w:rsid w:val="00A30937"/>
    <w:rsid w:val="00A331CE"/>
    <w:rsid w:val="00A40EE1"/>
    <w:rsid w:val="00A423ED"/>
    <w:rsid w:val="00A475D8"/>
    <w:rsid w:val="00A536F3"/>
    <w:rsid w:val="00A55FCD"/>
    <w:rsid w:val="00A60C58"/>
    <w:rsid w:val="00A61505"/>
    <w:rsid w:val="00A62E5D"/>
    <w:rsid w:val="00A72103"/>
    <w:rsid w:val="00A72687"/>
    <w:rsid w:val="00A742D4"/>
    <w:rsid w:val="00A74E9A"/>
    <w:rsid w:val="00A75C67"/>
    <w:rsid w:val="00A84563"/>
    <w:rsid w:val="00A85A9E"/>
    <w:rsid w:val="00A85EFA"/>
    <w:rsid w:val="00A865BD"/>
    <w:rsid w:val="00A91D08"/>
    <w:rsid w:val="00A93B1D"/>
    <w:rsid w:val="00A946F5"/>
    <w:rsid w:val="00A94972"/>
    <w:rsid w:val="00A95161"/>
    <w:rsid w:val="00A975D1"/>
    <w:rsid w:val="00AA6318"/>
    <w:rsid w:val="00AA7F88"/>
    <w:rsid w:val="00AA7FCB"/>
    <w:rsid w:val="00AB002B"/>
    <w:rsid w:val="00AB2918"/>
    <w:rsid w:val="00AB54F8"/>
    <w:rsid w:val="00AB59AE"/>
    <w:rsid w:val="00AB5BD9"/>
    <w:rsid w:val="00AC040C"/>
    <w:rsid w:val="00AD0AA1"/>
    <w:rsid w:val="00AD2102"/>
    <w:rsid w:val="00AD2276"/>
    <w:rsid w:val="00AD3240"/>
    <w:rsid w:val="00AE07A3"/>
    <w:rsid w:val="00AE1F6B"/>
    <w:rsid w:val="00AE345C"/>
    <w:rsid w:val="00AE372A"/>
    <w:rsid w:val="00AF0C1E"/>
    <w:rsid w:val="00B01619"/>
    <w:rsid w:val="00B017CF"/>
    <w:rsid w:val="00B03D34"/>
    <w:rsid w:val="00B04A6C"/>
    <w:rsid w:val="00B04AFB"/>
    <w:rsid w:val="00B07407"/>
    <w:rsid w:val="00B123D7"/>
    <w:rsid w:val="00B14EAC"/>
    <w:rsid w:val="00B20C4D"/>
    <w:rsid w:val="00B21A84"/>
    <w:rsid w:val="00B237F2"/>
    <w:rsid w:val="00B26396"/>
    <w:rsid w:val="00B26846"/>
    <w:rsid w:val="00B275A9"/>
    <w:rsid w:val="00B3405F"/>
    <w:rsid w:val="00B35563"/>
    <w:rsid w:val="00B35F5D"/>
    <w:rsid w:val="00B36155"/>
    <w:rsid w:val="00B40DBF"/>
    <w:rsid w:val="00B44231"/>
    <w:rsid w:val="00B44D49"/>
    <w:rsid w:val="00B457C4"/>
    <w:rsid w:val="00B54060"/>
    <w:rsid w:val="00B54CA7"/>
    <w:rsid w:val="00B67D7D"/>
    <w:rsid w:val="00B707CB"/>
    <w:rsid w:val="00B71178"/>
    <w:rsid w:val="00B861E4"/>
    <w:rsid w:val="00B914A2"/>
    <w:rsid w:val="00B93044"/>
    <w:rsid w:val="00B9541E"/>
    <w:rsid w:val="00BA00D4"/>
    <w:rsid w:val="00BA4CDE"/>
    <w:rsid w:val="00BA5990"/>
    <w:rsid w:val="00BA613B"/>
    <w:rsid w:val="00BB0488"/>
    <w:rsid w:val="00BB3ED5"/>
    <w:rsid w:val="00BB4AB9"/>
    <w:rsid w:val="00BB5D06"/>
    <w:rsid w:val="00BB7128"/>
    <w:rsid w:val="00BB77EC"/>
    <w:rsid w:val="00BC07C0"/>
    <w:rsid w:val="00BD3CFF"/>
    <w:rsid w:val="00BE3813"/>
    <w:rsid w:val="00BE59BD"/>
    <w:rsid w:val="00BE5B81"/>
    <w:rsid w:val="00C0174A"/>
    <w:rsid w:val="00C05D23"/>
    <w:rsid w:val="00C05D9B"/>
    <w:rsid w:val="00C064A9"/>
    <w:rsid w:val="00C07436"/>
    <w:rsid w:val="00C12E19"/>
    <w:rsid w:val="00C1419B"/>
    <w:rsid w:val="00C15B49"/>
    <w:rsid w:val="00C17550"/>
    <w:rsid w:val="00C214BA"/>
    <w:rsid w:val="00C24432"/>
    <w:rsid w:val="00C2576E"/>
    <w:rsid w:val="00C26130"/>
    <w:rsid w:val="00C26795"/>
    <w:rsid w:val="00C26B28"/>
    <w:rsid w:val="00C315B6"/>
    <w:rsid w:val="00C31B32"/>
    <w:rsid w:val="00C376F3"/>
    <w:rsid w:val="00C407E8"/>
    <w:rsid w:val="00C4132F"/>
    <w:rsid w:val="00C463D2"/>
    <w:rsid w:val="00C62A44"/>
    <w:rsid w:val="00C7096D"/>
    <w:rsid w:val="00C73F77"/>
    <w:rsid w:val="00C755F9"/>
    <w:rsid w:val="00C804FF"/>
    <w:rsid w:val="00C80A39"/>
    <w:rsid w:val="00C81936"/>
    <w:rsid w:val="00C84C4C"/>
    <w:rsid w:val="00C851AE"/>
    <w:rsid w:val="00C9188B"/>
    <w:rsid w:val="00C95D2A"/>
    <w:rsid w:val="00C967AB"/>
    <w:rsid w:val="00C96C0B"/>
    <w:rsid w:val="00C973AE"/>
    <w:rsid w:val="00CA10BB"/>
    <w:rsid w:val="00CA1702"/>
    <w:rsid w:val="00CA5CC2"/>
    <w:rsid w:val="00CA7D78"/>
    <w:rsid w:val="00CB2E11"/>
    <w:rsid w:val="00CB4270"/>
    <w:rsid w:val="00CB631F"/>
    <w:rsid w:val="00CC0BFB"/>
    <w:rsid w:val="00CC228B"/>
    <w:rsid w:val="00CC42B6"/>
    <w:rsid w:val="00CC5314"/>
    <w:rsid w:val="00CC7B30"/>
    <w:rsid w:val="00CD5FCD"/>
    <w:rsid w:val="00CD7201"/>
    <w:rsid w:val="00CE371C"/>
    <w:rsid w:val="00CF5003"/>
    <w:rsid w:val="00CF5099"/>
    <w:rsid w:val="00D0019C"/>
    <w:rsid w:val="00D01C29"/>
    <w:rsid w:val="00D040AF"/>
    <w:rsid w:val="00D05737"/>
    <w:rsid w:val="00D0597A"/>
    <w:rsid w:val="00D0629F"/>
    <w:rsid w:val="00D07374"/>
    <w:rsid w:val="00D10EF4"/>
    <w:rsid w:val="00D112DD"/>
    <w:rsid w:val="00D15AB8"/>
    <w:rsid w:val="00D17F80"/>
    <w:rsid w:val="00D2563C"/>
    <w:rsid w:val="00D264D0"/>
    <w:rsid w:val="00D3182B"/>
    <w:rsid w:val="00D35F2A"/>
    <w:rsid w:val="00D417A0"/>
    <w:rsid w:val="00D45DE5"/>
    <w:rsid w:val="00D52AD6"/>
    <w:rsid w:val="00D559E4"/>
    <w:rsid w:val="00D64DC8"/>
    <w:rsid w:val="00D77592"/>
    <w:rsid w:val="00D848C7"/>
    <w:rsid w:val="00D85931"/>
    <w:rsid w:val="00D86181"/>
    <w:rsid w:val="00D861C1"/>
    <w:rsid w:val="00D86901"/>
    <w:rsid w:val="00D92835"/>
    <w:rsid w:val="00D93856"/>
    <w:rsid w:val="00D94424"/>
    <w:rsid w:val="00D948A8"/>
    <w:rsid w:val="00D96A88"/>
    <w:rsid w:val="00DA6DB6"/>
    <w:rsid w:val="00DB589A"/>
    <w:rsid w:val="00DC41C9"/>
    <w:rsid w:val="00DC5473"/>
    <w:rsid w:val="00DC5DD5"/>
    <w:rsid w:val="00DC6A3F"/>
    <w:rsid w:val="00DC7CAD"/>
    <w:rsid w:val="00DD1FAF"/>
    <w:rsid w:val="00DD2F76"/>
    <w:rsid w:val="00DD3996"/>
    <w:rsid w:val="00DE0C9C"/>
    <w:rsid w:val="00DE21BA"/>
    <w:rsid w:val="00DE4D5C"/>
    <w:rsid w:val="00DE55C5"/>
    <w:rsid w:val="00DE6610"/>
    <w:rsid w:val="00DE6FE8"/>
    <w:rsid w:val="00DE71BE"/>
    <w:rsid w:val="00E01E8B"/>
    <w:rsid w:val="00E114C5"/>
    <w:rsid w:val="00E13D93"/>
    <w:rsid w:val="00E162F5"/>
    <w:rsid w:val="00E1630C"/>
    <w:rsid w:val="00E1750C"/>
    <w:rsid w:val="00E218D0"/>
    <w:rsid w:val="00E23C8D"/>
    <w:rsid w:val="00E24F8E"/>
    <w:rsid w:val="00E253C3"/>
    <w:rsid w:val="00E27415"/>
    <w:rsid w:val="00E30069"/>
    <w:rsid w:val="00E307F3"/>
    <w:rsid w:val="00E31687"/>
    <w:rsid w:val="00E3230E"/>
    <w:rsid w:val="00E330C0"/>
    <w:rsid w:val="00E331AD"/>
    <w:rsid w:val="00E35775"/>
    <w:rsid w:val="00E42EAD"/>
    <w:rsid w:val="00E44BB2"/>
    <w:rsid w:val="00E46D63"/>
    <w:rsid w:val="00E6179C"/>
    <w:rsid w:val="00E66760"/>
    <w:rsid w:val="00E70114"/>
    <w:rsid w:val="00E768CE"/>
    <w:rsid w:val="00E826D1"/>
    <w:rsid w:val="00E9126A"/>
    <w:rsid w:val="00E91C99"/>
    <w:rsid w:val="00E95CF7"/>
    <w:rsid w:val="00E96542"/>
    <w:rsid w:val="00E96A07"/>
    <w:rsid w:val="00E97066"/>
    <w:rsid w:val="00E979B0"/>
    <w:rsid w:val="00EA0EEB"/>
    <w:rsid w:val="00EA228F"/>
    <w:rsid w:val="00EA22D0"/>
    <w:rsid w:val="00EA3985"/>
    <w:rsid w:val="00EA41D7"/>
    <w:rsid w:val="00EA7583"/>
    <w:rsid w:val="00EC5200"/>
    <w:rsid w:val="00EC6040"/>
    <w:rsid w:val="00ED1857"/>
    <w:rsid w:val="00ED2912"/>
    <w:rsid w:val="00ED2DCC"/>
    <w:rsid w:val="00ED5B61"/>
    <w:rsid w:val="00EE3828"/>
    <w:rsid w:val="00EE7987"/>
    <w:rsid w:val="00EF2BE5"/>
    <w:rsid w:val="00EF4293"/>
    <w:rsid w:val="00F042FA"/>
    <w:rsid w:val="00F05E28"/>
    <w:rsid w:val="00F13EC5"/>
    <w:rsid w:val="00F16374"/>
    <w:rsid w:val="00F174F4"/>
    <w:rsid w:val="00F22813"/>
    <w:rsid w:val="00F2284D"/>
    <w:rsid w:val="00F2289C"/>
    <w:rsid w:val="00F23CD7"/>
    <w:rsid w:val="00F2442A"/>
    <w:rsid w:val="00F32A29"/>
    <w:rsid w:val="00F33933"/>
    <w:rsid w:val="00F37BE1"/>
    <w:rsid w:val="00F4107A"/>
    <w:rsid w:val="00F44F18"/>
    <w:rsid w:val="00F4612A"/>
    <w:rsid w:val="00F51AFD"/>
    <w:rsid w:val="00F54326"/>
    <w:rsid w:val="00F54BBF"/>
    <w:rsid w:val="00F612FF"/>
    <w:rsid w:val="00F6493F"/>
    <w:rsid w:val="00F652F3"/>
    <w:rsid w:val="00F66C6A"/>
    <w:rsid w:val="00F670DA"/>
    <w:rsid w:val="00F70E4A"/>
    <w:rsid w:val="00F7223E"/>
    <w:rsid w:val="00F75663"/>
    <w:rsid w:val="00F811E7"/>
    <w:rsid w:val="00F81233"/>
    <w:rsid w:val="00F875C4"/>
    <w:rsid w:val="00F9056C"/>
    <w:rsid w:val="00F90ACD"/>
    <w:rsid w:val="00F92EF4"/>
    <w:rsid w:val="00FA2927"/>
    <w:rsid w:val="00FA3E64"/>
    <w:rsid w:val="00FA54E2"/>
    <w:rsid w:val="00FB03FB"/>
    <w:rsid w:val="00FB4891"/>
    <w:rsid w:val="00FB5AF8"/>
    <w:rsid w:val="00FB7783"/>
    <w:rsid w:val="00FC2163"/>
    <w:rsid w:val="00FC686F"/>
    <w:rsid w:val="00FC7FBE"/>
    <w:rsid w:val="00FD0EA2"/>
    <w:rsid w:val="00FD0F7F"/>
    <w:rsid w:val="00FD212D"/>
    <w:rsid w:val="00FD7FA4"/>
    <w:rsid w:val="00FE0378"/>
    <w:rsid w:val="00FE2347"/>
    <w:rsid w:val="00FE5975"/>
    <w:rsid w:val="00FE6678"/>
    <w:rsid w:val="00FE695A"/>
    <w:rsid w:val="00FE7ED6"/>
    <w:rsid w:val="00FF2EC8"/>
    <w:rsid w:val="00FF6139"/>
    <w:rsid w:val="0108573F"/>
    <w:rsid w:val="01380E0D"/>
    <w:rsid w:val="01862D37"/>
    <w:rsid w:val="01B3611D"/>
    <w:rsid w:val="021C09D4"/>
    <w:rsid w:val="022E4244"/>
    <w:rsid w:val="02393E31"/>
    <w:rsid w:val="0242A620"/>
    <w:rsid w:val="0248FAE7"/>
    <w:rsid w:val="025D66A9"/>
    <w:rsid w:val="02A77751"/>
    <w:rsid w:val="02C5AF62"/>
    <w:rsid w:val="02EC9972"/>
    <w:rsid w:val="0310445D"/>
    <w:rsid w:val="0320E893"/>
    <w:rsid w:val="036E92E0"/>
    <w:rsid w:val="038F54D0"/>
    <w:rsid w:val="03A6D560"/>
    <w:rsid w:val="03B11E53"/>
    <w:rsid w:val="03BDB306"/>
    <w:rsid w:val="04343FB2"/>
    <w:rsid w:val="04425877"/>
    <w:rsid w:val="044940D2"/>
    <w:rsid w:val="046740AC"/>
    <w:rsid w:val="047E3776"/>
    <w:rsid w:val="0488FCC5"/>
    <w:rsid w:val="04A160EE"/>
    <w:rsid w:val="04A3B71A"/>
    <w:rsid w:val="04B4193E"/>
    <w:rsid w:val="04CAA791"/>
    <w:rsid w:val="050470C0"/>
    <w:rsid w:val="0559758D"/>
    <w:rsid w:val="0593EFF8"/>
    <w:rsid w:val="059C415A"/>
    <w:rsid w:val="05FD4420"/>
    <w:rsid w:val="05FEC233"/>
    <w:rsid w:val="0617716B"/>
    <w:rsid w:val="061CFE3C"/>
    <w:rsid w:val="06D5A9AB"/>
    <w:rsid w:val="070ABD38"/>
    <w:rsid w:val="07387B2E"/>
    <w:rsid w:val="077A86D9"/>
    <w:rsid w:val="07FED8FB"/>
    <w:rsid w:val="0807312B"/>
    <w:rsid w:val="080C9E22"/>
    <w:rsid w:val="0813075A"/>
    <w:rsid w:val="081ABBD4"/>
    <w:rsid w:val="0865AFE9"/>
    <w:rsid w:val="08869209"/>
    <w:rsid w:val="08BB706B"/>
    <w:rsid w:val="0945FAE6"/>
    <w:rsid w:val="095C5510"/>
    <w:rsid w:val="09BE128A"/>
    <w:rsid w:val="0A2AF27C"/>
    <w:rsid w:val="0A41D408"/>
    <w:rsid w:val="0A45EE75"/>
    <w:rsid w:val="0A596F76"/>
    <w:rsid w:val="0A67F6EA"/>
    <w:rsid w:val="0A6DD017"/>
    <w:rsid w:val="0A78D26F"/>
    <w:rsid w:val="0AADD84A"/>
    <w:rsid w:val="0AAEBA0E"/>
    <w:rsid w:val="0AC93A0E"/>
    <w:rsid w:val="0B1F4724"/>
    <w:rsid w:val="0B6AAE90"/>
    <w:rsid w:val="0B84E95C"/>
    <w:rsid w:val="0B871A1D"/>
    <w:rsid w:val="0BDC5C7E"/>
    <w:rsid w:val="0C23FFE5"/>
    <w:rsid w:val="0C293DA8"/>
    <w:rsid w:val="0C3FA9F5"/>
    <w:rsid w:val="0C458FF6"/>
    <w:rsid w:val="0C495D1C"/>
    <w:rsid w:val="0C693818"/>
    <w:rsid w:val="0CA6D412"/>
    <w:rsid w:val="0CDA3741"/>
    <w:rsid w:val="0CE2D5DE"/>
    <w:rsid w:val="0D1D77E9"/>
    <w:rsid w:val="0D7D2786"/>
    <w:rsid w:val="0DA2D17C"/>
    <w:rsid w:val="0DBD1E67"/>
    <w:rsid w:val="0DC2798E"/>
    <w:rsid w:val="0DD48B47"/>
    <w:rsid w:val="0E111AAC"/>
    <w:rsid w:val="0E1E369A"/>
    <w:rsid w:val="0E326B90"/>
    <w:rsid w:val="0E47810E"/>
    <w:rsid w:val="0E4D287C"/>
    <w:rsid w:val="0EBC27EF"/>
    <w:rsid w:val="0EC74596"/>
    <w:rsid w:val="0ECC3B77"/>
    <w:rsid w:val="0F3A77CE"/>
    <w:rsid w:val="0F4FB330"/>
    <w:rsid w:val="0F727112"/>
    <w:rsid w:val="0F7681C7"/>
    <w:rsid w:val="0F77E904"/>
    <w:rsid w:val="0FED3AC3"/>
    <w:rsid w:val="1049E0A0"/>
    <w:rsid w:val="1061CFBF"/>
    <w:rsid w:val="10872ABD"/>
    <w:rsid w:val="1089B5BE"/>
    <w:rsid w:val="1094DCB2"/>
    <w:rsid w:val="109FC7F2"/>
    <w:rsid w:val="10C755A5"/>
    <w:rsid w:val="10F87510"/>
    <w:rsid w:val="110765B2"/>
    <w:rsid w:val="110DED91"/>
    <w:rsid w:val="11119713"/>
    <w:rsid w:val="1125253F"/>
    <w:rsid w:val="112C0366"/>
    <w:rsid w:val="116AE728"/>
    <w:rsid w:val="119B79A0"/>
    <w:rsid w:val="119D0652"/>
    <w:rsid w:val="11CDDCF4"/>
    <w:rsid w:val="1207E779"/>
    <w:rsid w:val="123E528E"/>
    <w:rsid w:val="124A4732"/>
    <w:rsid w:val="127E46EB"/>
    <w:rsid w:val="12C9B1C1"/>
    <w:rsid w:val="12DF5455"/>
    <w:rsid w:val="12F81675"/>
    <w:rsid w:val="13085D6A"/>
    <w:rsid w:val="132EE253"/>
    <w:rsid w:val="1337C1B0"/>
    <w:rsid w:val="135C1213"/>
    <w:rsid w:val="1369066A"/>
    <w:rsid w:val="136D3D13"/>
    <w:rsid w:val="136F8909"/>
    <w:rsid w:val="13977C38"/>
    <w:rsid w:val="13A0B7F2"/>
    <w:rsid w:val="13AC4C13"/>
    <w:rsid w:val="13C8317F"/>
    <w:rsid w:val="13CD4D8E"/>
    <w:rsid w:val="13ECEB3F"/>
    <w:rsid w:val="13F0F07B"/>
    <w:rsid w:val="13F52665"/>
    <w:rsid w:val="141549F7"/>
    <w:rsid w:val="143D6BFD"/>
    <w:rsid w:val="145A1F76"/>
    <w:rsid w:val="145C9CC8"/>
    <w:rsid w:val="146203CD"/>
    <w:rsid w:val="1470A048"/>
    <w:rsid w:val="147B79AC"/>
    <w:rsid w:val="1489D03D"/>
    <w:rsid w:val="14A81A89"/>
    <w:rsid w:val="14C7B3DB"/>
    <w:rsid w:val="14EEBC19"/>
    <w:rsid w:val="1509B216"/>
    <w:rsid w:val="15123E9E"/>
    <w:rsid w:val="151CC688"/>
    <w:rsid w:val="15203E52"/>
    <w:rsid w:val="15705A27"/>
    <w:rsid w:val="1575A367"/>
    <w:rsid w:val="158A193E"/>
    <w:rsid w:val="15914691"/>
    <w:rsid w:val="15ADEA1C"/>
    <w:rsid w:val="15C3D6DE"/>
    <w:rsid w:val="15C4A703"/>
    <w:rsid w:val="1625E22B"/>
    <w:rsid w:val="164D880F"/>
    <w:rsid w:val="164F9FA2"/>
    <w:rsid w:val="1656F720"/>
    <w:rsid w:val="167A2FD0"/>
    <w:rsid w:val="16999878"/>
    <w:rsid w:val="16AA72F1"/>
    <w:rsid w:val="16BFADF0"/>
    <w:rsid w:val="16E08E1B"/>
    <w:rsid w:val="16F879DD"/>
    <w:rsid w:val="17044605"/>
    <w:rsid w:val="17516945"/>
    <w:rsid w:val="1753DD9C"/>
    <w:rsid w:val="1754BB55"/>
    <w:rsid w:val="1763C5FF"/>
    <w:rsid w:val="1771CB44"/>
    <w:rsid w:val="177D6C03"/>
    <w:rsid w:val="1780CE8C"/>
    <w:rsid w:val="178A14B9"/>
    <w:rsid w:val="1795957C"/>
    <w:rsid w:val="17A6F98E"/>
    <w:rsid w:val="17AD0898"/>
    <w:rsid w:val="17B635A6"/>
    <w:rsid w:val="17D381FA"/>
    <w:rsid w:val="188710B8"/>
    <w:rsid w:val="1887980E"/>
    <w:rsid w:val="1895194E"/>
    <w:rsid w:val="18B5151D"/>
    <w:rsid w:val="18FF60DB"/>
    <w:rsid w:val="194B92D4"/>
    <w:rsid w:val="198DCDB5"/>
    <w:rsid w:val="199A09B7"/>
    <w:rsid w:val="19C2CEA3"/>
    <w:rsid w:val="19FCE15A"/>
    <w:rsid w:val="1A10E954"/>
    <w:rsid w:val="1A394EC2"/>
    <w:rsid w:val="1A892C87"/>
    <w:rsid w:val="1AB7C182"/>
    <w:rsid w:val="1AC69F0B"/>
    <w:rsid w:val="1AD6B4ED"/>
    <w:rsid w:val="1AEBFF82"/>
    <w:rsid w:val="1B299711"/>
    <w:rsid w:val="1B2FB659"/>
    <w:rsid w:val="1B464FA3"/>
    <w:rsid w:val="1BA0876C"/>
    <w:rsid w:val="1BA43CE3"/>
    <w:rsid w:val="1C2E34BD"/>
    <w:rsid w:val="1C4800E6"/>
    <w:rsid w:val="1C7D405F"/>
    <w:rsid w:val="1C7FCEF7"/>
    <w:rsid w:val="1CBA1988"/>
    <w:rsid w:val="1CC30CBC"/>
    <w:rsid w:val="1CEC8713"/>
    <w:rsid w:val="1D7B3F93"/>
    <w:rsid w:val="1D80B175"/>
    <w:rsid w:val="1DE1EB56"/>
    <w:rsid w:val="1E4BC681"/>
    <w:rsid w:val="1E5BA8C7"/>
    <w:rsid w:val="1E5BD01F"/>
    <w:rsid w:val="1E8F8267"/>
    <w:rsid w:val="1E9515C6"/>
    <w:rsid w:val="1EB0F4B2"/>
    <w:rsid w:val="1EC0F85A"/>
    <w:rsid w:val="1ECA456A"/>
    <w:rsid w:val="1F015EC0"/>
    <w:rsid w:val="1F02EC84"/>
    <w:rsid w:val="1F1E81F2"/>
    <w:rsid w:val="1F2152E9"/>
    <w:rsid w:val="1F2710FA"/>
    <w:rsid w:val="1F2AE585"/>
    <w:rsid w:val="1F543533"/>
    <w:rsid w:val="1F65F7EF"/>
    <w:rsid w:val="1F6D3937"/>
    <w:rsid w:val="1F79236D"/>
    <w:rsid w:val="1FC58729"/>
    <w:rsid w:val="1FF396BD"/>
    <w:rsid w:val="1FFC38D5"/>
    <w:rsid w:val="200AF754"/>
    <w:rsid w:val="2012B7D5"/>
    <w:rsid w:val="20295037"/>
    <w:rsid w:val="20443BE5"/>
    <w:rsid w:val="2056A785"/>
    <w:rsid w:val="205F8215"/>
    <w:rsid w:val="2060CE41"/>
    <w:rsid w:val="208954AD"/>
    <w:rsid w:val="2089D3ED"/>
    <w:rsid w:val="20C48694"/>
    <w:rsid w:val="20EBB8F7"/>
    <w:rsid w:val="211928C5"/>
    <w:rsid w:val="21387D30"/>
    <w:rsid w:val="215319D5"/>
    <w:rsid w:val="2163C9C0"/>
    <w:rsid w:val="21A656FD"/>
    <w:rsid w:val="21DABABE"/>
    <w:rsid w:val="22041589"/>
    <w:rsid w:val="221FA017"/>
    <w:rsid w:val="222AE3DA"/>
    <w:rsid w:val="2238F1E9"/>
    <w:rsid w:val="2245B56D"/>
    <w:rsid w:val="224C707C"/>
    <w:rsid w:val="22722519"/>
    <w:rsid w:val="22A76020"/>
    <w:rsid w:val="22BF4D6E"/>
    <w:rsid w:val="22E5AF68"/>
    <w:rsid w:val="22F1A088"/>
    <w:rsid w:val="236EC4A9"/>
    <w:rsid w:val="2389476A"/>
    <w:rsid w:val="239B222B"/>
    <w:rsid w:val="23B6AB43"/>
    <w:rsid w:val="23E1660F"/>
    <w:rsid w:val="23E5BB04"/>
    <w:rsid w:val="23F09B3D"/>
    <w:rsid w:val="240E68C9"/>
    <w:rsid w:val="24176567"/>
    <w:rsid w:val="242372E9"/>
    <w:rsid w:val="2444F748"/>
    <w:rsid w:val="2483492F"/>
    <w:rsid w:val="2498318C"/>
    <w:rsid w:val="24A59116"/>
    <w:rsid w:val="24AA7175"/>
    <w:rsid w:val="24B2D106"/>
    <w:rsid w:val="24B83F47"/>
    <w:rsid w:val="24D42E66"/>
    <w:rsid w:val="2508443E"/>
    <w:rsid w:val="25492B4A"/>
    <w:rsid w:val="2569262F"/>
    <w:rsid w:val="256A95A7"/>
    <w:rsid w:val="256D3F2C"/>
    <w:rsid w:val="2585649A"/>
    <w:rsid w:val="2586C78A"/>
    <w:rsid w:val="2588937D"/>
    <w:rsid w:val="258D87B4"/>
    <w:rsid w:val="25D5D5AA"/>
    <w:rsid w:val="2626EEA3"/>
    <w:rsid w:val="263EDED2"/>
    <w:rsid w:val="2640C363"/>
    <w:rsid w:val="264E27E5"/>
    <w:rsid w:val="2652F1D5"/>
    <w:rsid w:val="2656F8CD"/>
    <w:rsid w:val="265F348C"/>
    <w:rsid w:val="2682E7B0"/>
    <w:rsid w:val="26991338"/>
    <w:rsid w:val="26A8F64B"/>
    <w:rsid w:val="26BB8B64"/>
    <w:rsid w:val="26C145AC"/>
    <w:rsid w:val="26C26114"/>
    <w:rsid w:val="26C70394"/>
    <w:rsid w:val="26D32E9D"/>
    <w:rsid w:val="26D791CB"/>
    <w:rsid w:val="26DF40AB"/>
    <w:rsid w:val="27065708"/>
    <w:rsid w:val="270FA47E"/>
    <w:rsid w:val="2744C438"/>
    <w:rsid w:val="27553789"/>
    <w:rsid w:val="27588B45"/>
    <w:rsid w:val="276087CF"/>
    <w:rsid w:val="276EF6EA"/>
    <w:rsid w:val="277B953D"/>
    <w:rsid w:val="279C56DD"/>
    <w:rsid w:val="279F967D"/>
    <w:rsid w:val="27AF6232"/>
    <w:rsid w:val="27C187A3"/>
    <w:rsid w:val="27CDCEF7"/>
    <w:rsid w:val="27D2970E"/>
    <w:rsid w:val="27F00522"/>
    <w:rsid w:val="2814ED59"/>
    <w:rsid w:val="28168B66"/>
    <w:rsid w:val="281D3F2E"/>
    <w:rsid w:val="281F5123"/>
    <w:rsid w:val="283EEB03"/>
    <w:rsid w:val="285341EC"/>
    <w:rsid w:val="28D6AFF1"/>
    <w:rsid w:val="28FF427D"/>
    <w:rsid w:val="29150F49"/>
    <w:rsid w:val="29274BF2"/>
    <w:rsid w:val="294695F2"/>
    <w:rsid w:val="29A9F786"/>
    <w:rsid w:val="29B28DA6"/>
    <w:rsid w:val="29CFCF3A"/>
    <w:rsid w:val="2A13CD53"/>
    <w:rsid w:val="2A1C2E2D"/>
    <w:rsid w:val="2A3C3559"/>
    <w:rsid w:val="2A6961A9"/>
    <w:rsid w:val="2A82B4C0"/>
    <w:rsid w:val="2A94D0F1"/>
    <w:rsid w:val="2A9E0AFE"/>
    <w:rsid w:val="2A9F6FB2"/>
    <w:rsid w:val="2AA8FF9D"/>
    <w:rsid w:val="2AC23FE7"/>
    <w:rsid w:val="2AD5273C"/>
    <w:rsid w:val="2AE5E776"/>
    <w:rsid w:val="2B084264"/>
    <w:rsid w:val="2B30ACD9"/>
    <w:rsid w:val="2B32FEED"/>
    <w:rsid w:val="2B650B28"/>
    <w:rsid w:val="2BA423EB"/>
    <w:rsid w:val="2BB0196A"/>
    <w:rsid w:val="2BCA64B4"/>
    <w:rsid w:val="2BEFD649"/>
    <w:rsid w:val="2C038031"/>
    <w:rsid w:val="2C22F3B4"/>
    <w:rsid w:val="2C67AD9F"/>
    <w:rsid w:val="2C6955E4"/>
    <w:rsid w:val="2C6B760A"/>
    <w:rsid w:val="2C6D3C69"/>
    <w:rsid w:val="2C7BD37E"/>
    <w:rsid w:val="2C83A91F"/>
    <w:rsid w:val="2C9C3E46"/>
    <w:rsid w:val="2CAC4BE2"/>
    <w:rsid w:val="2CF5B0CE"/>
    <w:rsid w:val="2CFF7D36"/>
    <w:rsid w:val="2D740A8A"/>
    <w:rsid w:val="2D8FAF1A"/>
    <w:rsid w:val="2DA720C8"/>
    <w:rsid w:val="2DAFBC0C"/>
    <w:rsid w:val="2DEA21F7"/>
    <w:rsid w:val="2DEE3EC4"/>
    <w:rsid w:val="2DF65EDF"/>
    <w:rsid w:val="2E053A41"/>
    <w:rsid w:val="2E28E2D1"/>
    <w:rsid w:val="2E7BF9A8"/>
    <w:rsid w:val="2E86AADC"/>
    <w:rsid w:val="2E8CCFEE"/>
    <w:rsid w:val="2E946352"/>
    <w:rsid w:val="2EE590BD"/>
    <w:rsid w:val="2EF01F4C"/>
    <w:rsid w:val="2EF49A98"/>
    <w:rsid w:val="2F206FFE"/>
    <w:rsid w:val="2F239B93"/>
    <w:rsid w:val="2F32F333"/>
    <w:rsid w:val="2F388F77"/>
    <w:rsid w:val="2F38A077"/>
    <w:rsid w:val="2F47A414"/>
    <w:rsid w:val="2F55B4E2"/>
    <w:rsid w:val="2F5861CB"/>
    <w:rsid w:val="2F68AC04"/>
    <w:rsid w:val="2F6BA5A5"/>
    <w:rsid w:val="2F96DBE4"/>
    <w:rsid w:val="2FDE1E19"/>
    <w:rsid w:val="2FE9F027"/>
    <w:rsid w:val="301A059A"/>
    <w:rsid w:val="301FF16C"/>
    <w:rsid w:val="302E37B3"/>
    <w:rsid w:val="30A6F4A6"/>
    <w:rsid w:val="30A97A43"/>
    <w:rsid w:val="30BAE877"/>
    <w:rsid w:val="30CA0485"/>
    <w:rsid w:val="30F6D993"/>
    <w:rsid w:val="31134E85"/>
    <w:rsid w:val="311ED840"/>
    <w:rsid w:val="314E1BFC"/>
    <w:rsid w:val="31534B71"/>
    <w:rsid w:val="31598D31"/>
    <w:rsid w:val="31762F0C"/>
    <w:rsid w:val="3193C2CC"/>
    <w:rsid w:val="323CB91C"/>
    <w:rsid w:val="3241307D"/>
    <w:rsid w:val="324EEE24"/>
    <w:rsid w:val="326624DE"/>
    <w:rsid w:val="32830437"/>
    <w:rsid w:val="32A326F1"/>
    <w:rsid w:val="32DE3110"/>
    <w:rsid w:val="32FC7715"/>
    <w:rsid w:val="332BF66B"/>
    <w:rsid w:val="3351DF97"/>
    <w:rsid w:val="3354E3D8"/>
    <w:rsid w:val="3392596B"/>
    <w:rsid w:val="33A7E4E3"/>
    <w:rsid w:val="33D17B30"/>
    <w:rsid w:val="33D4C7F8"/>
    <w:rsid w:val="341AA13F"/>
    <w:rsid w:val="341F970C"/>
    <w:rsid w:val="3424100C"/>
    <w:rsid w:val="34263D27"/>
    <w:rsid w:val="3447683A"/>
    <w:rsid w:val="34623217"/>
    <w:rsid w:val="34C5B094"/>
    <w:rsid w:val="3506F671"/>
    <w:rsid w:val="35357397"/>
    <w:rsid w:val="3538DB90"/>
    <w:rsid w:val="356302F4"/>
    <w:rsid w:val="3572B26F"/>
    <w:rsid w:val="3591216D"/>
    <w:rsid w:val="35BB8976"/>
    <w:rsid w:val="35D5DA6E"/>
    <w:rsid w:val="35F7F20F"/>
    <w:rsid w:val="36436551"/>
    <w:rsid w:val="365214F7"/>
    <w:rsid w:val="3666A9F9"/>
    <w:rsid w:val="368B88BE"/>
    <w:rsid w:val="36A790F8"/>
    <w:rsid w:val="36E86953"/>
    <w:rsid w:val="37001A2A"/>
    <w:rsid w:val="37011D32"/>
    <w:rsid w:val="370F1C31"/>
    <w:rsid w:val="373468B7"/>
    <w:rsid w:val="37699575"/>
    <w:rsid w:val="37E24441"/>
    <w:rsid w:val="37E7249A"/>
    <w:rsid w:val="3852D0EB"/>
    <w:rsid w:val="3880FE30"/>
    <w:rsid w:val="38D148B3"/>
    <w:rsid w:val="38D8D760"/>
    <w:rsid w:val="38E09922"/>
    <w:rsid w:val="38F378BD"/>
    <w:rsid w:val="38F5DC8B"/>
    <w:rsid w:val="38F9C74B"/>
    <w:rsid w:val="39174E03"/>
    <w:rsid w:val="391977FF"/>
    <w:rsid w:val="399F26B7"/>
    <w:rsid w:val="39B2C886"/>
    <w:rsid w:val="39CD9A98"/>
    <w:rsid w:val="39D0F1B8"/>
    <w:rsid w:val="3A0CAB00"/>
    <w:rsid w:val="3A81552E"/>
    <w:rsid w:val="3A8C85ED"/>
    <w:rsid w:val="3AB3035A"/>
    <w:rsid w:val="3ADC15B3"/>
    <w:rsid w:val="3AEA15AC"/>
    <w:rsid w:val="3AEC78D0"/>
    <w:rsid w:val="3AFB6604"/>
    <w:rsid w:val="3B2E1A8D"/>
    <w:rsid w:val="3B623094"/>
    <w:rsid w:val="3B6704BC"/>
    <w:rsid w:val="3C1A9497"/>
    <w:rsid w:val="3C1DE254"/>
    <w:rsid w:val="3C28820D"/>
    <w:rsid w:val="3C2D78EA"/>
    <w:rsid w:val="3C344B52"/>
    <w:rsid w:val="3C415584"/>
    <w:rsid w:val="3C484F31"/>
    <w:rsid w:val="3C9065AE"/>
    <w:rsid w:val="3CE089FD"/>
    <w:rsid w:val="3CE3C0C5"/>
    <w:rsid w:val="3CEB71DE"/>
    <w:rsid w:val="3CF4EC09"/>
    <w:rsid w:val="3CFA9B32"/>
    <w:rsid w:val="3D056371"/>
    <w:rsid w:val="3D145E6A"/>
    <w:rsid w:val="3D1E3DD1"/>
    <w:rsid w:val="3D20DCB2"/>
    <w:rsid w:val="3D3256B8"/>
    <w:rsid w:val="3D3C1AA7"/>
    <w:rsid w:val="3D7D8274"/>
    <w:rsid w:val="3DACEFA1"/>
    <w:rsid w:val="3DC2A8D6"/>
    <w:rsid w:val="3DEB917B"/>
    <w:rsid w:val="3E0294AC"/>
    <w:rsid w:val="3E156628"/>
    <w:rsid w:val="3E16FBB8"/>
    <w:rsid w:val="3E2789D6"/>
    <w:rsid w:val="3E31080D"/>
    <w:rsid w:val="3E5497DB"/>
    <w:rsid w:val="3E57D362"/>
    <w:rsid w:val="3E6622B3"/>
    <w:rsid w:val="3E7B3C19"/>
    <w:rsid w:val="3E7E044A"/>
    <w:rsid w:val="3EA43890"/>
    <w:rsid w:val="3EACAD5D"/>
    <w:rsid w:val="3EBF7B9F"/>
    <w:rsid w:val="3EEF5569"/>
    <w:rsid w:val="3F02CA00"/>
    <w:rsid w:val="3F3EE5DF"/>
    <w:rsid w:val="3F436E4D"/>
    <w:rsid w:val="3F4EF130"/>
    <w:rsid w:val="3F634127"/>
    <w:rsid w:val="3F6BB3C3"/>
    <w:rsid w:val="3F8378E1"/>
    <w:rsid w:val="3F9ADB6B"/>
    <w:rsid w:val="3FB3C68E"/>
    <w:rsid w:val="3FBB0A8B"/>
    <w:rsid w:val="3FE1EDBE"/>
    <w:rsid w:val="3FEB6E52"/>
    <w:rsid w:val="400E2C7C"/>
    <w:rsid w:val="405BE6F6"/>
    <w:rsid w:val="40970C08"/>
    <w:rsid w:val="40A9BDE1"/>
    <w:rsid w:val="40B79B90"/>
    <w:rsid w:val="40B962A2"/>
    <w:rsid w:val="40BFF72B"/>
    <w:rsid w:val="40E84615"/>
    <w:rsid w:val="40EA9F81"/>
    <w:rsid w:val="416E6A1D"/>
    <w:rsid w:val="418042DF"/>
    <w:rsid w:val="41A0A1D1"/>
    <w:rsid w:val="41A7FA75"/>
    <w:rsid w:val="41AC6DFB"/>
    <w:rsid w:val="41CA9ECB"/>
    <w:rsid w:val="41D037D2"/>
    <w:rsid w:val="41EF7071"/>
    <w:rsid w:val="41F61BA3"/>
    <w:rsid w:val="41FC20A9"/>
    <w:rsid w:val="4235A14A"/>
    <w:rsid w:val="427AED47"/>
    <w:rsid w:val="42A11C65"/>
    <w:rsid w:val="42C57751"/>
    <w:rsid w:val="42F17CEA"/>
    <w:rsid w:val="42F57963"/>
    <w:rsid w:val="43088BA7"/>
    <w:rsid w:val="4368B1D6"/>
    <w:rsid w:val="43ECE71E"/>
    <w:rsid w:val="441A6443"/>
    <w:rsid w:val="4428ED9B"/>
    <w:rsid w:val="445DE222"/>
    <w:rsid w:val="4461EA03"/>
    <w:rsid w:val="44670272"/>
    <w:rsid w:val="448941A5"/>
    <w:rsid w:val="449DAA7D"/>
    <w:rsid w:val="44AED738"/>
    <w:rsid w:val="44E33E5B"/>
    <w:rsid w:val="450C167F"/>
    <w:rsid w:val="4514CFFA"/>
    <w:rsid w:val="45255442"/>
    <w:rsid w:val="4563D1D4"/>
    <w:rsid w:val="456C291D"/>
    <w:rsid w:val="458FFDEB"/>
    <w:rsid w:val="45A0AEC6"/>
    <w:rsid w:val="45A69881"/>
    <w:rsid w:val="45C7DE2B"/>
    <w:rsid w:val="45C96E29"/>
    <w:rsid w:val="45E070B7"/>
    <w:rsid w:val="45E2C530"/>
    <w:rsid w:val="45F4C189"/>
    <w:rsid w:val="461AAB45"/>
    <w:rsid w:val="4668EE6B"/>
    <w:rsid w:val="466B818D"/>
    <w:rsid w:val="468F6CF7"/>
    <w:rsid w:val="46A19424"/>
    <w:rsid w:val="46CF1CF1"/>
    <w:rsid w:val="46DFB0B3"/>
    <w:rsid w:val="47084139"/>
    <w:rsid w:val="471E347F"/>
    <w:rsid w:val="472E23F2"/>
    <w:rsid w:val="473FEA21"/>
    <w:rsid w:val="474996BE"/>
    <w:rsid w:val="474CAEC9"/>
    <w:rsid w:val="4768D331"/>
    <w:rsid w:val="476BA16C"/>
    <w:rsid w:val="479FA891"/>
    <w:rsid w:val="47ADF2CD"/>
    <w:rsid w:val="47AF57B3"/>
    <w:rsid w:val="47B74069"/>
    <w:rsid w:val="47D7B443"/>
    <w:rsid w:val="47E34BCC"/>
    <w:rsid w:val="4800780E"/>
    <w:rsid w:val="481D9855"/>
    <w:rsid w:val="48482427"/>
    <w:rsid w:val="485184CD"/>
    <w:rsid w:val="485A4984"/>
    <w:rsid w:val="48844DA4"/>
    <w:rsid w:val="48B16D72"/>
    <w:rsid w:val="48E25ECE"/>
    <w:rsid w:val="490876DA"/>
    <w:rsid w:val="49296404"/>
    <w:rsid w:val="494887DE"/>
    <w:rsid w:val="494C0556"/>
    <w:rsid w:val="4969F955"/>
    <w:rsid w:val="4999ABD5"/>
    <w:rsid w:val="49A9FDF7"/>
    <w:rsid w:val="49BB9F67"/>
    <w:rsid w:val="49E4DC97"/>
    <w:rsid w:val="49E9CF4C"/>
    <w:rsid w:val="4A16EB6E"/>
    <w:rsid w:val="4A22F1F0"/>
    <w:rsid w:val="4A28A113"/>
    <w:rsid w:val="4A49BBE6"/>
    <w:rsid w:val="4A65C129"/>
    <w:rsid w:val="4A6A83BB"/>
    <w:rsid w:val="4AA608B5"/>
    <w:rsid w:val="4ADC86D3"/>
    <w:rsid w:val="4AE383B0"/>
    <w:rsid w:val="4B108179"/>
    <w:rsid w:val="4B3C99D8"/>
    <w:rsid w:val="4B7FF1D9"/>
    <w:rsid w:val="4BD6AB0D"/>
    <w:rsid w:val="4C46F951"/>
    <w:rsid w:val="4C5C2910"/>
    <w:rsid w:val="4C7341C2"/>
    <w:rsid w:val="4CACE5E5"/>
    <w:rsid w:val="4CAEDC9E"/>
    <w:rsid w:val="4CE6FCEA"/>
    <w:rsid w:val="4D8A0615"/>
    <w:rsid w:val="4D946B15"/>
    <w:rsid w:val="4D9BF1AB"/>
    <w:rsid w:val="4DA741A8"/>
    <w:rsid w:val="4DB4A869"/>
    <w:rsid w:val="4DE4D45E"/>
    <w:rsid w:val="4DEEDFEB"/>
    <w:rsid w:val="4DF2FA39"/>
    <w:rsid w:val="4DF7E2B1"/>
    <w:rsid w:val="4DFC90F8"/>
    <w:rsid w:val="4E253193"/>
    <w:rsid w:val="4E720E60"/>
    <w:rsid w:val="4E78309D"/>
    <w:rsid w:val="4E89EDB5"/>
    <w:rsid w:val="4E920E75"/>
    <w:rsid w:val="4ED891E7"/>
    <w:rsid w:val="4F01CA92"/>
    <w:rsid w:val="4F066040"/>
    <w:rsid w:val="4F3345E2"/>
    <w:rsid w:val="4F4B66A2"/>
    <w:rsid w:val="4F56E590"/>
    <w:rsid w:val="4F76FF6C"/>
    <w:rsid w:val="4F9CF259"/>
    <w:rsid w:val="4FA00F8C"/>
    <w:rsid w:val="4FAAF630"/>
    <w:rsid w:val="501317F4"/>
    <w:rsid w:val="50276E3B"/>
    <w:rsid w:val="5059FAB6"/>
    <w:rsid w:val="50819F1A"/>
    <w:rsid w:val="5098BD11"/>
    <w:rsid w:val="50C4CD91"/>
    <w:rsid w:val="50C9B6BA"/>
    <w:rsid w:val="50FD0CED"/>
    <w:rsid w:val="5103A7DE"/>
    <w:rsid w:val="511DD75F"/>
    <w:rsid w:val="512133B5"/>
    <w:rsid w:val="5196A344"/>
    <w:rsid w:val="51A9046B"/>
    <w:rsid w:val="51D26479"/>
    <w:rsid w:val="51E897FB"/>
    <w:rsid w:val="520E3FAA"/>
    <w:rsid w:val="522FFED5"/>
    <w:rsid w:val="523B6F9C"/>
    <w:rsid w:val="5245CBA4"/>
    <w:rsid w:val="526CA542"/>
    <w:rsid w:val="528A3842"/>
    <w:rsid w:val="52BDFA6D"/>
    <w:rsid w:val="52EA1422"/>
    <w:rsid w:val="532E1EB2"/>
    <w:rsid w:val="53600FF7"/>
    <w:rsid w:val="536C38F0"/>
    <w:rsid w:val="53730F08"/>
    <w:rsid w:val="5396DAC3"/>
    <w:rsid w:val="53A61D8F"/>
    <w:rsid w:val="53F398CE"/>
    <w:rsid w:val="53FA6590"/>
    <w:rsid w:val="540F0529"/>
    <w:rsid w:val="541DFC57"/>
    <w:rsid w:val="5422FC30"/>
    <w:rsid w:val="54BFD4FC"/>
    <w:rsid w:val="54C80F74"/>
    <w:rsid w:val="5520EC82"/>
    <w:rsid w:val="5551BC9E"/>
    <w:rsid w:val="556D311B"/>
    <w:rsid w:val="55989991"/>
    <w:rsid w:val="55A01D54"/>
    <w:rsid w:val="55C2E2CE"/>
    <w:rsid w:val="55DF346F"/>
    <w:rsid w:val="56013C16"/>
    <w:rsid w:val="56100567"/>
    <w:rsid w:val="5610F877"/>
    <w:rsid w:val="561ADC74"/>
    <w:rsid w:val="562F667A"/>
    <w:rsid w:val="564577A8"/>
    <w:rsid w:val="56595DAE"/>
    <w:rsid w:val="565DBBF4"/>
    <w:rsid w:val="56641CC2"/>
    <w:rsid w:val="5665A9D7"/>
    <w:rsid w:val="56D48527"/>
    <w:rsid w:val="56EB82B6"/>
    <w:rsid w:val="56F42F0B"/>
    <w:rsid w:val="570A665D"/>
    <w:rsid w:val="575E4E39"/>
    <w:rsid w:val="5783FE34"/>
    <w:rsid w:val="57B27D1A"/>
    <w:rsid w:val="57BD6D37"/>
    <w:rsid w:val="57C60E09"/>
    <w:rsid w:val="5843A40E"/>
    <w:rsid w:val="588426D7"/>
    <w:rsid w:val="58A52443"/>
    <w:rsid w:val="5911954C"/>
    <w:rsid w:val="591F246D"/>
    <w:rsid w:val="592FCB17"/>
    <w:rsid w:val="5932F84D"/>
    <w:rsid w:val="5952F1EC"/>
    <w:rsid w:val="596F7C37"/>
    <w:rsid w:val="599EF9F5"/>
    <w:rsid w:val="59A226B1"/>
    <w:rsid w:val="59AF10C3"/>
    <w:rsid w:val="59ED4EC5"/>
    <w:rsid w:val="5ABC77FE"/>
    <w:rsid w:val="5AF28F85"/>
    <w:rsid w:val="5B1478CF"/>
    <w:rsid w:val="5B18069E"/>
    <w:rsid w:val="5B1EBA0A"/>
    <w:rsid w:val="5B9D369C"/>
    <w:rsid w:val="5BB93815"/>
    <w:rsid w:val="5BCD9D54"/>
    <w:rsid w:val="5BCE731D"/>
    <w:rsid w:val="5BE2E17C"/>
    <w:rsid w:val="5BF8C2CE"/>
    <w:rsid w:val="5C051377"/>
    <w:rsid w:val="5C2CDBC5"/>
    <w:rsid w:val="5C64AF2F"/>
    <w:rsid w:val="5CB0394D"/>
    <w:rsid w:val="5CC28F1E"/>
    <w:rsid w:val="5CC96D14"/>
    <w:rsid w:val="5CD8C281"/>
    <w:rsid w:val="5CDAD962"/>
    <w:rsid w:val="5CE615C3"/>
    <w:rsid w:val="5CEE480D"/>
    <w:rsid w:val="5CF84171"/>
    <w:rsid w:val="5D06CDBD"/>
    <w:rsid w:val="5D0911B0"/>
    <w:rsid w:val="5D0AA43C"/>
    <w:rsid w:val="5D1B9CE7"/>
    <w:rsid w:val="5D24A1EC"/>
    <w:rsid w:val="5D3D0D8B"/>
    <w:rsid w:val="5D5304EB"/>
    <w:rsid w:val="5D9512A6"/>
    <w:rsid w:val="5DA40CFB"/>
    <w:rsid w:val="5DAD2CA6"/>
    <w:rsid w:val="5DC75730"/>
    <w:rsid w:val="5DF086A7"/>
    <w:rsid w:val="5E1C6678"/>
    <w:rsid w:val="5E208488"/>
    <w:rsid w:val="5E36E18B"/>
    <w:rsid w:val="5E37904C"/>
    <w:rsid w:val="5E76E959"/>
    <w:rsid w:val="5E8F773E"/>
    <w:rsid w:val="5ED1E0E6"/>
    <w:rsid w:val="5ED52B95"/>
    <w:rsid w:val="5EE8F0B7"/>
    <w:rsid w:val="5EF71450"/>
    <w:rsid w:val="5EFCDFE6"/>
    <w:rsid w:val="5F0BF79D"/>
    <w:rsid w:val="5F13117F"/>
    <w:rsid w:val="5F294F47"/>
    <w:rsid w:val="5FCCC43E"/>
    <w:rsid w:val="6044853A"/>
    <w:rsid w:val="6048EFC1"/>
    <w:rsid w:val="605E2815"/>
    <w:rsid w:val="608F8F7E"/>
    <w:rsid w:val="616F033E"/>
    <w:rsid w:val="61750A41"/>
    <w:rsid w:val="617E898B"/>
    <w:rsid w:val="61A20979"/>
    <w:rsid w:val="61E35F89"/>
    <w:rsid w:val="62024E65"/>
    <w:rsid w:val="62212A55"/>
    <w:rsid w:val="627F3C9D"/>
    <w:rsid w:val="62ACA67C"/>
    <w:rsid w:val="62DB2176"/>
    <w:rsid w:val="630C03BF"/>
    <w:rsid w:val="6335BDCF"/>
    <w:rsid w:val="635A7C60"/>
    <w:rsid w:val="636AA7AA"/>
    <w:rsid w:val="636AE083"/>
    <w:rsid w:val="63723FBD"/>
    <w:rsid w:val="63787FA9"/>
    <w:rsid w:val="6383F1B6"/>
    <w:rsid w:val="63AA65B0"/>
    <w:rsid w:val="63AC8859"/>
    <w:rsid w:val="63C93C32"/>
    <w:rsid w:val="63DACD67"/>
    <w:rsid w:val="63EAB27F"/>
    <w:rsid w:val="6404D6FA"/>
    <w:rsid w:val="640632A8"/>
    <w:rsid w:val="6437FBBD"/>
    <w:rsid w:val="643BABB4"/>
    <w:rsid w:val="644CD1FA"/>
    <w:rsid w:val="644FAFE2"/>
    <w:rsid w:val="645D850B"/>
    <w:rsid w:val="6465FCCE"/>
    <w:rsid w:val="64711C71"/>
    <w:rsid w:val="64AD1087"/>
    <w:rsid w:val="64BB39E2"/>
    <w:rsid w:val="64C2AB8C"/>
    <w:rsid w:val="64E42835"/>
    <w:rsid w:val="651E7BD0"/>
    <w:rsid w:val="6521D893"/>
    <w:rsid w:val="65635795"/>
    <w:rsid w:val="65718790"/>
    <w:rsid w:val="65ABFE11"/>
    <w:rsid w:val="65AE67A8"/>
    <w:rsid w:val="65B0ACC0"/>
    <w:rsid w:val="65B85E87"/>
    <w:rsid w:val="65FC9475"/>
    <w:rsid w:val="660371C4"/>
    <w:rsid w:val="6629BBC2"/>
    <w:rsid w:val="664728F2"/>
    <w:rsid w:val="66A07BC3"/>
    <w:rsid w:val="66A2C02D"/>
    <w:rsid w:val="66A3E1C9"/>
    <w:rsid w:val="66E5E257"/>
    <w:rsid w:val="6722A239"/>
    <w:rsid w:val="67311B6D"/>
    <w:rsid w:val="67A24A32"/>
    <w:rsid w:val="67B58DAB"/>
    <w:rsid w:val="67CC5C47"/>
    <w:rsid w:val="67EB90A7"/>
    <w:rsid w:val="67F99639"/>
    <w:rsid w:val="6821C559"/>
    <w:rsid w:val="6853405D"/>
    <w:rsid w:val="6853714B"/>
    <w:rsid w:val="6867C519"/>
    <w:rsid w:val="68703FB1"/>
    <w:rsid w:val="687652AF"/>
    <w:rsid w:val="68842804"/>
    <w:rsid w:val="68CB1FFA"/>
    <w:rsid w:val="68CC5A91"/>
    <w:rsid w:val="68EC021E"/>
    <w:rsid w:val="691A46DA"/>
    <w:rsid w:val="69300DCE"/>
    <w:rsid w:val="6957ADE8"/>
    <w:rsid w:val="697649B9"/>
    <w:rsid w:val="698AEC5D"/>
    <w:rsid w:val="699A1980"/>
    <w:rsid w:val="69A91F9D"/>
    <w:rsid w:val="69B088E6"/>
    <w:rsid w:val="69BC966D"/>
    <w:rsid w:val="69CF0870"/>
    <w:rsid w:val="69D593F5"/>
    <w:rsid w:val="6A1564EB"/>
    <w:rsid w:val="6A40CD6E"/>
    <w:rsid w:val="6A44EC5A"/>
    <w:rsid w:val="6A4A5D5B"/>
    <w:rsid w:val="6A6E21BB"/>
    <w:rsid w:val="6A7E1CA7"/>
    <w:rsid w:val="6AE3DE10"/>
    <w:rsid w:val="6AF4C559"/>
    <w:rsid w:val="6AF74AC6"/>
    <w:rsid w:val="6B28DA35"/>
    <w:rsid w:val="6B4104AB"/>
    <w:rsid w:val="6B488983"/>
    <w:rsid w:val="6B4DF838"/>
    <w:rsid w:val="6B7DFFA2"/>
    <w:rsid w:val="6B93F85A"/>
    <w:rsid w:val="6BF2EDC0"/>
    <w:rsid w:val="6BFD0C93"/>
    <w:rsid w:val="6C15D8D4"/>
    <w:rsid w:val="6C8D839C"/>
    <w:rsid w:val="6CB62E9A"/>
    <w:rsid w:val="6CC80CAF"/>
    <w:rsid w:val="6CFBE05D"/>
    <w:rsid w:val="6D003CA7"/>
    <w:rsid w:val="6D26611E"/>
    <w:rsid w:val="6D2A876F"/>
    <w:rsid w:val="6D56DAED"/>
    <w:rsid w:val="6D74A70F"/>
    <w:rsid w:val="6DB56E00"/>
    <w:rsid w:val="6DD1366F"/>
    <w:rsid w:val="6DE41D80"/>
    <w:rsid w:val="6E47BAA0"/>
    <w:rsid w:val="6E49B285"/>
    <w:rsid w:val="6E567BDE"/>
    <w:rsid w:val="6E6EBE03"/>
    <w:rsid w:val="6E7E44CE"/>
    <w:rsid w:val="6E90F737"/>
    <w:rsid w:val="6E98B3DF"/>
    <w:rsid w:val="6EAD0741"/>
    <w:rsid w:val="6EB581D8"/>
    <w:rsid w:val="6EC88C56"/>
    <w:rsid w:val="6ED2C003"/>
    <w:rsid w:val="6EE27451"/>
    <w:rsid w:val="6EEF56C9"/>
    <w:rsid w:val="6EFFE417"/>
    <w:rsid w:val="6F2674B5"/>
    <w:rsid w:val="6F296089"/>
    <w:rsid w:val="6F2F23FF"/>
    <w:rsid w:val="6F396614"/>
    <w:rsid w:val="6F442DD0"/>
    <w:rsid w:val="6F4B0C76"/>
    <w:rsid w:val="6F70879A"/>
    <w:rsid w:val="6FDCAE98"/>
    <w:rsid w:val="6FFA271E"/>
    <w:rsid w:val="701DD92E"/>
    <w:rsid w:val="7024A4C4"/>
    <w:rsid w:val="7030FBAD"/>
    <w:rsid w:val="70637DFB"/>
    <w:rsid w:val="70735679"/>
    <w:rsid w:val="70D8AAA2"/>
    <w:rsid w:val="7113B323"/>
    <w:rsid w:val="7118F60A"/>
    <w:rsid w:val="711F7F1D"/>
    <w:rsid w:val="712AE55F"/>
    <w:rsid w:val="7130D4CB"/>
    <w:rsid w:val="713442F9"/>
    <w:rsid w:val="7166BB45"/>
    <w:rsid w:val="717D63C8"/>
    <w:rsid w:val="71C56D31"/>
    <w:rsid w:val="71D61E70"/>
    <w:rsid w:val="71E5A4FC"/>
    <w:rsid w:val="71E6E50E"/>
    <w:rsid w:val="72275663"/>
    <w:rsid w:val="72541516"/>
    <w:rsid w:val="727C5AD3"/>
    <w:rsid w:val="72C444C3"/>
    <w:rsid w:val="72D98DFF"/>
    <w:rsid w:val="72E4D8D6"/>
    <w:rsid w:val="72EE1BC3"/>
    <w:rsid w:val="730A9E76"/>
    <w:rsid w:val="7317A422"/>
    <w:rsid w:val="7318DE26"/>
    <w:rsid w:val="7320500C"/>
    <w:rsid w:val="7331111E"/>
    <w:rsid w:val="7346F39D"/>
    <w:rsid w:val="735465DF"/>
    <w:rsid w:val="735B7283"/>
    <w:rsid w:val="736A126A"/>
    <w:rsid w:val="73B74ADA"/>
    <w:rsid w:val="73EC4A3C"/>
    <w:rsid w:val="745549C5"/>
    <w:rsid w:val="745CC4BE"/>
    <w:rsid w:val="74769DE2"/>
    <w:rsid w:val="74788FEE"/>
    <w:rsid w:val="74954A6A"/>
    <w:rsid w:val="74A6FF9C"/>
    <w:rsid w:val="74AEEC2C"/>
    <w:rsid w:val="74F5A2F0"/>
    <w:rsid w:val="7512B6C6"/>
    <w:rsid w:val="75167FA3"/>
    <w:rsid w:val="752380BC"/>
    <w:rsid w:val="75325245"/>
    <w:rsid w:val="7553075E"/>
    <w:rsid w:val="75A6802B"/>
    <w:rsid w:val="75A7F10A"/>
    <w:rsid w:val="75AA1FB1"/>
    <w:rsid w:val="75C4DDC5"/>
    <w:rsid w:val="75C58195"/>
    <w:rsid w:val="75DA3B97"/>
    <w:rsid w:val="75E4BD62"/>
    <w:rsid w:val="75E5ED49"/>
    <w:rsid w:val="7608237F"/>
    <w:rsid w:val="76232615"/>
    <w:rsid w:val="762796C1"/>
    <w:rsid w:val="765265CC"/>
    <w:rsid w:val="7688CB8C"/>
    <w:rsid w:val="769A035A"/>
    <w:rsid w:val="76B32B01"/>
    <w:rsid w:val="76D84551"/>
    <w:rsid w:val="76F28D10"/>
    <w:rsid w:val="76F43E63"/>
    <w:rsid w:val="76F49532"/>
    <w:rsid w:val="7708A93F"/>
    <w:rsid w:val="77222CEC"/>
    <w:rsid w:val="77323A23"/>
    <w:rsid w:val="7769B504"/>
    <w:rsid w:val="7793D4F7"/>
    <w:rsid w:val="77C74952"/>
    <w:rsid w:val="77FEE3AF"/>
    <w:rsid w:val="78067A7B"/>
    <w:rsid w:val="780B4908"/>
    <w:rsid w:val="782B9FA4"/>
    <w:rsid w:val="782C3C3B"/>
    <w:rsid w:val="786D954A"/>
    <w:rsid w:val="786FACF1"/>
    <w:rsid w:val="78728C65"/>
    <w:rsid w:val="7873BBA0"/>
    <w:rsid w:val="7885FB6E"/>
    <w:rsid w:val="78B70B35"/>
    <w:rsid w:val="78C54CE2"/>
    <w:rsid w:val="78CC9EFE"/>
    <w:rsid w:val="78E3D53F"/>
    <w:rsid w:val="78F662C8"/>
    <w:rsid w:val="79062228"/>
    <w:rsid w:val="7923D1D6"/>
    <w:rsid w:val="794CCCF7"/>
    <w:rsid w:val="7958B8CE"/>
    <w:rsid w:val="79626405"/>
    <w:rsid w:val="79DFF96F"/>
    <w:rsid w:val="7A2F77D3"/>
    <w:rsid w:val="7A6EA907"/>
    <w:rsid w:val="7A7AF858"/>
    <w:rsid w:val="7AAD6177"/>
    <w:rsid w:val="7AB96CF4"/>
    <w:rsid w:val="7ABFEF48"/>
    <w:rsid w:val="7AC0BF87"/>
    <w:rsid w:val="7AE212B7"/>
    <w:rsid w:val="7B539A97"/>
    <w:rsid w:val="7B6B931F"/>
    <w:rsid w:val="7B8DFA4D"/>
    <w:rsid w:val="7BA6D2D0"/>
    <w:rsid w:val="7BBB9962"/>
    <w:rsid w:val="7BC483CF"/>
    <w:rsid w:val="7BD5DB30"/>
    <w:rsid w:val="7BD72291"/>
    <w:rsid w:val="7BEFEF8D"/>
    <w:rsid w:val="7C18EBED"/>
    <w:rsid w:val="7C2B919A"/>
    <w:rsid w:val="7C4475D3"/>
    <w:rsid w:val="7C88F3AB"/>
    <w:rsid w:val="7C9697BE"/>
    <w:rsid w:val="7CBBAC09"/>
    <w:rsid w:val="7CBFAD5E"/>
    <w:rsid w:val="7CDDECDB"/>
    <w:rsid w:val="7D29D261"/>
    <w:rsid w:val="7D7B19D7"/>
    <w:rsid w:val="7D88FD14"/>
    <w:rsid w:val="7DE4BA66"/>
    <w:rsid w:val="7DE954A0"/>
    <w:rsid w:val="7E0054A9"/>
    <w:rsid w:val="7E71F219"/>
    <w:rsid w:val="7E923F3F"/>
    <w:rsid w:val="7EB8D5DA"/>
    <w:rsid w:val="7F04B229"/>
    <w:rsid w:val="7F68B012"/>
    <w:rsid w:val="7F8AC135"/>
    <w:rsid w:val="7FA56962"/>
    <w:rsid w:val="7FAE0744"/>
    <w:rsid w:val="7FBAE5D5"/>
    <w:rsid w:val="7FBDF3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CE8CEBB1-3BDD-4B13-9FEB-396DB1E26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aliases w:val="4_G,Ref,de nota al pie,Footnote Reference Number"/>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qFormat/>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qFormat/>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paragraph" w:customStyle="1" w:styleId="Bullettext">
    <w:name w:val="Bullet text"/>
    <w:basedOn w:val="Normal"/>
    <w:link w:val="BullettextChar"/>
    <w:uiPriority w:val="1"/>
    <w:qFormat/>
    <w:rsid w:val="009404D2"/>
    <w:pPr>
      <w:tabs>
        <w:tab w:val="num" w:pos="720"/>
      </w:tabs>
      <w:spacing w:after="120" w:line="288" w:lineRule="auto"/>
      <w:ind w:left="720" w:hanging="360"/>
    </w:pPr>
    <w:rPr>
      <w:rFonts w:ascii="Arial" w:eastAsia="Arial" w:hAnsi="Arial" w:cs="Arial"/>
      <w:color w:val="000000" w:themeColor="text1"/>
      <w:lang w:eastAsia="en-US"/>
    </w:rPr>
  </w:style>
  <w:style w:type="character" w:customStyle="1" w:styleId="BullettextChar">
    <w:name w:val="Bullet text Char"/>
    <w:basedOn w:val="DefaultParagraphFont"/>
    <w:link w:val="Bullettext"/>
    <w:uiPriority w:val="1"/>
    <w:rsid w:val="009404D2"/>
    <w:rPr>
      <w:rFonts w:ascii="Arial" w:eastAsia="Arial" w:hAnsi="Arial" w:cs="Arial"/>
      <w:color w:val="000000" w:themeColor="text1"/>
      <w:lang w:eastAsia="en-US"/>
    </w:rPr>
  </w:style>
  <w:style w:type="character" w:styleId="UnresolvedMention">
    <w:name w:val="Unresolved Mention"/>
    <w:basedOn w:val="DefaultParagraphFont"/>
    <w:uiPriority w:val="99"/>
    <w:semiHidden/>
    <w:unhideWhenUsed/>
    <w:rsid w:val="00F32A29"/>
    <w:rPr>
      <w:color w:val="605E5C"/>
      <w:shd w:val="clear" w:color="auto" w:fill="E1DFDD"/>
    </w:rPr>
  </w:style>
  <w:style w:type="paragraph" w:customStyle="1" w:styleId="paragraph0">
    <w:name w:val="paragraph"/>
    <w:basedOn w:val="Normal"/>
    <w:rsid w:val="00715931"/>
    <w:pPr>
      <w:spacing w:before="100" w:beforeAutospacing="1" w:after="100" w:afterAutospacing="1"/>
    </w:pPr>
    <w:rPr>
      <w:kern w:val="0"/>
      <w:lang w:eastAsia="en-US"/>
    </w:rPr>
  </w:style>
  <w:style w:type="character" w:customStyle="1" w:styleId="eop">
    <w:name w:val="eop"/>
    <w:basedOn w:val="DefaultParagraphFont"/>
    <w:rsid w:val="00715931"/>
  </w:style>
  <w:style w:type="character" w:customStyle="1" w:styleId="superscript">
    <w:name w:val="superscript"/>
    <w:basedOn w:val="DefaultParagraphFont"/>
    <w:rsid w:val="00715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912241">
      <w:bodyDiv w:val="1"/>
      <w:marLeft w:val="0"/>
      <w:marRight w:val="0"/>
      <w:marTop w:val="0"/>
      <w:marBottom w:val="0"/>
      <w:divBdr>
        <w:top w:val="none" w:sz="0" w:space="0" w:color="auto"/>
        <w:left w:val="none" w:sz="0" w:space="0" w:color="auto"/>
        <w:bottom w:val="none" w:sz="0" w:space="0" w:color="auto"/>
        <w:right w:val="none" w:sz="0" w:space="0" w:color="auto"/>
      </w:divBdr>
    </w:div>
    <w:div w:id="333805961">
      <w:bodyDiv w:val="1"/>
      <w:marLeft w:val="0"/>
      <w:marRight w:val="0"/>
      <w:marTop w:val="0"/>
      <w:marBottom w:val="0"/>
      <w:divBdr>
        <w:top w:val="none" w:sz="0" w:space="0" w:color="auto"/>
        <w:left w:val="none" w:sz="0" w:space="0" w:color="auto"/>
        <w:bottom w:val="none" w:sz="0" w:space="0" w:color="auto"/>
        <w:right w:val="none" w:sz="0" w:space="0" w:color="auto"/>
      </w:divBdr>
    </w:div>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698164532">
      <w:bodyDiv w:val="1"/>
      <w:marLeft w:val="0"/>
      <w:marRight w:val="0"/>
      <w:marTop w:val="0"/>
      <w:marBottom w:val="0"/>
      <w:divBdr>
        <w:top w:val="none" w:sz="0" w:space="0" w:color="auto"/>
        <w:left w:val="none" w:sz="0" w:space="0" w:color="auto"/>
        <w:bottom w:val="none" w:sz="0" w:space="0" w:color="auto"/>
        <w:right w:val="none" w:sz="0" w:space="0" w:color="auto"/>
      </w:divBdr>
    </w:div>
    <w:div w:id="922908334">
      <w:bodyDiv w:val="1"/>
      <w:marLeft w:val="0"/>
      <w:marRight w:val="0"/>
      <w:marTop w:val="0"/>
      <w:marBottom w:val="0"/>
      <w:divBdr>
        <w:top w:val="none" w:sz="0" w:space="0" w:color="auto"/>
        <w:left w:val="none" w:sz="0" w:space="0" w:color="auto"/>
        <w:bottom w:val="none" w:sz="0" w:space="0" w:color="auto"/>
        <w:right w:val="none" w:sz="0" w:space="0" w:color="auto"/>
      </w:divBdr>
    </w:div>
    <w:div w:id="1114396726">
      <w:bodyDiv w:val="1"/>
      <w:marLeft w:val="0"/>
      <w:marRight w:val="0"/>
      <w:marTop w:val="0"/>
      <w:marBottom w:val="0"/>
      <w:divBdr>
        <w:top w:val="none" w:sz="0" w:space="0" w:color="auto"/>
        <w:left w:val="none" w:sz="0" w:space="0" w:color="auto"/>
        <w:bottom w:val="none" w:sz="0" w:space="0" w:color="auto"/>
        <w:right w:val="none" w:sz="0" w:space="0" w:color="auto"/>
      </w:divBdr>
      <w:divsChild>
        <w:div w:id="368258390">
          <w:marLeft w:val="0"/>
          <w:marRight w:val="0"/>
          <w:marTop w:val="0"/>
          <w:marBottom w:val="0"/>
          <w:divBdr>
            <w:top w:val="none" w:sz="0" w:space="0" w:color="auto"/>
            <w:left w:val="none" w:sz="0" w:space="0" w:color="auto"/>
            <w:bottom w:val="none" w:sz="0" w:space="0" w:color="auto"/>
            <w:right w:val="none" w:sz="0" w:space="0" w:color="auto"/>
          </w:divBdr>
        </w:div>
        <w:div w:id="1430855844">
          <w:marLeft w:val="0"/>
          <w:marRight w:val="0"/>
          <w:marTop w:val="0"/>
          <w:marBottom w:val="0"/>
          <w:divBdr>
            <w:top w:val="none" w:sz="0" w:space="0" w:color="auto"/>
            <w:left w:val="none" w:sz="0" w:space="0" w:color="auto"/>
            <w:bottom w:val="none" w:sz="0" w:space="0" w:color="auto"/>
            <w:right w:val="none" w:sz="0" w:space="0" w:color="auto"/>
          </w:divBdr>
        </w:div>
      </w:divsChild>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14851873">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01221247">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1093/jlb/lsad023" TargetMode="External"/><Relationship Id="rId3" Type="http://schemas.openxmlformats.org/officeDocument/2006/relationships/hyperlink" Target="https://www.dailysabah.com/turkey/2015/10/05/court-ruling-a-victory-for-maiden-name-usage-in-turkey" TargetMode="External"/><Relationship Id="rId7" Type="http://schemas.openxmlformats.org/officeDocument/2006/relationships/hyperlink" Target="https://doi.org/10.1093/jlb/lsad023" TargetMode="External"/><Relationship Id="rId2" Type="http://schemas.openxmlformats.org/officeDocument/2006/relationships/hyperlink" Target="https://en.tihv.org.tr/wp-content/uploads/2023/12/HRFT_Treatment_and_Rehabilitation_Centers_report_2022.pdf" TargetMode="External"/><Relationship Id="rId1" Type="http://schemas.openxmlformats.org/officeDocument/2006/relationships/hyperlink" Target="https://www.amnesty.org/en/wp-content/uploads/2021/07/EUR4442692021ENGLISH.pdf" TargetMode="External"/><Relationship Id="rId6" Type="http://schemas.openxmlformats.org/officeDocument/2006/relationships/hyperlink" Target="https://doi.org/10.1093/jlb/lsad023" TargetMode="External"/><Relationship Id="rId11" Type="http://schemas.openxmlformats.org/officeDocument/2006/relationships/hyperlink" Target="https://gender.khas.edu.tr/sites/gender.khas.edu.tr/files/inline-files/Abortion-Report-2020-ENG-new.pdf" TargetMode="External"/><Relationship Id="rId5" Type="http://schemas.openxmlformats.org/officeDocument/2006/relationships/hyperlink" Target="https://www.hurriyetdailynews.com/akp-submits-new-omnibus-bill-to-parliament-198119" TargetMode="External"/><Relationship Id="rId10" Type="http://schemas.openxmlformats.org/officeDocument/2006/relationships/hyperlink" Target="https://gender.khas.edu.tr/sites/gender.khas.edu.tr/files/inline-files/Abortion-Report-2020-ENG-new.pdf" TargetMode="External"/><Relationship Id="rId4" Type="http://schemas.openxmlformats.org/officeDocument/2006/relationships/hyperlink" Target="https://www.dailysabah.com/turkey/2015/10/05/court-ruling-a-victory-for-maiden-name-usage-in-turkey" TargetMode="External"/><Relationship Id="rId9" Type="http://schemas.openxmlformats.org/officeDocument/2006/relationships/hyperlink" Target="https://doi.org/10.1093/jlb/lsad02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2024-09-24T15:29:49+00:00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DE3E44-F393-47EA-8149-AE595556AE50}">
  <ds:schemaRefs>
    <ds:schemaRef ds:uri="http://purl.org/dc/elements/1.1/"/>
    <ds:schemaRef ds:uri="http://schemas.microsoft.com/office/2006/documentManagement/types"/>
    <ds:schemaRef ds:uri="http://purl.org/dc/terms/"/>
    <ds:schemaRef ds:uri="http://schemas.microsoft.com/office/infopath/2007/PartnerControls"/>
    <ds:schemaRef ds:uri="e968d4b9-9f0d-4b6f-81c6-222446f6098e"/>
    <ds:schemaRef ds:uri="http://purl.org/dc/dcmitype/"/>
    <ds:schemaRef ds:uri="42df7cb3-2fea-4ba3-b9bf-21660104d6dd"/>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5.xml><?xml version="1.0" encoding="utf-8"?>
<ds:datastoreItem xmlns:ds="http://schemas.openxmlformats.org/officeDocument/2006/customXml" ds:itemID="{9DE8D7CB-A3E2-4A29-85C8-7910493FA7C8}"/>
</file>

<file path=docProps/app.xml><?xml version="1.0" encoding="utf-8"?>
<Properties xmlns="http://schemas.openxmlformats.org/officeDocument/2006/extended-properties" xmlns:vt="http://schemas.openxmlformats.org/officeDocument/2006/docPropsVTypes">
  <Template>Normal</Template>
  <TotalTime>16</TotalTime>
  <Pages>15</Pages>
  <Words>4252</Words>
  <Characters>24108</Characters>
  <Application>Microsoft Office Word</Application>
  <DocSecurity>0</DocSecurity>
  <Lines>359</Lines>
  <Paragraphs>91</Paragraphs>
  <ScaleCrop>false</ScaleCrop>
  <Company>Minnesota Advocates for Human Rights</Company>
  <LinksUpToDate>false</LinksUpToDate>
  <CharactersWithSpaces>28269</CharactersWithSpaces>
  <SharedDoc>false</SharedDoc>
  <HLinks>
    <vt:vector size="66" baseType="variant">
      <vt:variant>
        <vt:i4>2555939</vt:i4>
      </vt:variant>
      <vt:variant>
        <vt:i4>30</vt:i4>
      </vt:variant>
      <vt:variant>
        <vt:i4>0</vt:i4>
      </vt:variant>
      <vt:variant>
        <vt:i4>5</vt:i4>
      </vt:variant>
      <vt:variant>
        <vt:lpwstr>https://gender.khas.edu.tr/sites/gender.khas.edu.tr/files/inline-files/Abortion-Report-2020-ENG-new.pdf</vt:lpwstr>
      </vt:variant>
      <vt:variant>
        <vt:lpwstr/>
      </vt:variant>
      <vt:variant>
        <vt:i4>2555939</vt:i4>
      </vt:variant>
      <vt:variant>
        <vt:i4>27</vt:i4>
      </vt:variant>
      <vt:variant>
        <vt:i4>0</vt:i4>
      </vt:variant>
      <vt:variant>
        <vt:i4>5</vt:i4>
      </vt:variant>
      <vt:variant>
        <vt:lpwstr>https://gender.khas.edu.tr/sites/gender.khas.edu.tr/files/inline-files/Abortion-Report-2020-ENG-new.pdf</vt:lpwstr>
      </vt:variant>
      <vt:variant>
        <vt:lpwstr/>
      </vt:variant>
      <vt:variant>
        <vt:i4>8126572</vt:i4>
      </vt:variant>
      <vt:variant>
        <vt:i4>24</vt:i4>
      </vt:variant>
      <vt:variant>
        <vt:i4>0</vt:i4>
      </vt:variant>
      <vt:variant>
        <vt:i4>5</vt:i4>
      </vt:variant>
      <vt:variant>
        <vt:lpwstr>https://doi.org/10.1093/jlb/lsad023</vt:lpwstr>
      </vt:variant>
      <vt:variant>
        <vt:lpwstr/>
      </vt:variant>
      <vt:variant>
        <vt:i4>8126572</vt:i4>
      </vt:variant>
      <vt:variant>
        <vt:i4>21</vt:i4>
      </vt:variant>
      <vt:variant>
        <vt:i4>0</vt:i4>
      </vt:variant>
      <vt:variant>
        <vt:i4>5</vt:i4>
      </vt:variant>
      <vt:variant>
        <vt:lpwstr>https://doi.org/10.1093/jlb/lsad023</vt:lpwstr>
      </vt:variant>
      <vt:variant>
        <vt:lpwstr/>
      </vt:variant>
      <vt:variant>
        <vt:i4>8126572</vt:i4>
      </vt:variant>
      <vt:variant>
        <vt:i4>18</vt:i4>
      </vt:variant>
      <vt:variant>
        <vt:i4>0</vt:i4>
      </vt:variant>
      <vt:variant>
        <vt:i4>5</vt:i4>
      </vt:variant>
      <vt:variant>
        <vt:lpwstr>https://doi.org/10.1093/jlb/lsad023</vt:lpwstr>
      </vt:variant>
      <vt:variant>
        <vt:lpwstr/>
      </vt:variant>
      <vt:variant>
        <vt:i4>8126572</vt:i4>
      </vt:variant>
      <vt:variant>
        <vt:i4>15</vt:i4>
      </vt:variant>
      <vt:variant>
        <vt:i4>0</vt:i4>
      </vt:variant>
      <vt:variant>
        <vt:i4>5</vt:i4>
      </vt:variant>
      <vt:variant>
        <vt:lpwstr>https://doi.org/10.1093/jlb/lsad023</vt:lpwstr>
      </vt:variant>
      <vt:variant>
        <vt:lpwstr/>
      </vt:variant>
      <vt:variant>
        <vt:i4>3276840</vt:i4>
      </vt:variant>
      <vt:variant>
        <vt:i4>12</vt:i4>
      </vt:variant>
      <vt:variant>
        <vt:i4>0</vt:i4>
      </vt:variant>
      <vt:variant>
        <vt:i4>5</vt:i4>
      </vt:variant>
      <vt:variant>
        <vt:lpwstr>https://www.hurriyetdailynews.com/akp-submits-new-omnibus-bill-to-parliament-198119</vt:lpwstr>
      </vt:variant>
      <vt:variant>
        <vt:lpwstr/>
      </vt:variant>
      <vt:variant>
        <vt:i4>3342432</vt:i4>
      </vt:variant>
      <vt:variant>
        <vt:i4>9</vt:i4>
      </vt:variant>
      <vt:variant>
        <vt:i4>0</vt:i4>
      </vt:variant>
      <vt:variant>
        <vt:i4>5</vt:i4>
      </vt:variant>
      <vt:variant>
        <vt:lpwstr>https://www.dailysabah.com/turkey/2015/10/05/court-ruling-a-victory-for-maiden-name-usage-in-turkey</vt:lpwstr>
      </vt:variant>
      <vt:variant>
        <vt:lpwstr/>
      </vt:variant>
      <vt:variant>
        <vt:i4>3342432</vt:i4>
      </vt:variant>
      <vt:variant>
        <vt:i4>6</vt:i4>
      </vt:variant>
      <vt:variant>
        <vt:i4>0</vt:i4>
      </vt:variant>
      <vt:variant>
        <vt:i4>5</vt:i4>
      </vt:variant>
      <vt:variant>
        <vt:lpwstr>https://www.dailysabah.com/turkey/2015/10/05/court-ruling-a-victory-for-maiden-name-usage-in-turkey</vt:lpwstr>
      </vt:variant>
      <vt:variant>
        <vt:lpwstr/>
      </vt:variant>
      <vt:variant>
        <vt:i4>7405622</vt:i4>
      </vt:variant>
      <vt:variant>
        <vt:i4>3</vt:i4>
      </vt:variant>
      <vt:variant>
        <vt:i4>0</vt:i4>
      </vt:variant>
      <vt:variant>
        <vt:i4>5</vt:i4>
      </vt:variant>
      <vt:variant>
        <vt:lpwstr>https://en.tihv.org.tr/wp-content/uploads/2023/12/HRFT_Treatment_and_Rehabilitation_Centers_report_2022.pdf</vt:lpwstr>
      </vt:variant>
      <vt:variant>
        <vt:lpwstr/>
      </vt:variant>
      <vt:variant>
        <vt:i4>3473514</vt:i4>
      </vt:variant>
      <vt:variant>
        <vt:i4>0</vt:i4>
      </vt:variant>
      <vt:variant>
        <vt:i4>0</vt:i4>
      </vt:variant>
      <vt:variant>
        <vt:i4>5</vt:i4>
      </vt:variant>
      <vt:variant>
        <vt:lpwstr>https://www.amnesty.org/en/wp-content/uploads/2021/07/EUR4442692021ENGLISH.pdf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Verónica Cadavid González</cp:lastModifiedBy>
  <cp:revision>5</cp:revision>
  <cp:lastPrinted>2011-09-16T20:52:00Z</cp:lastPrinted>
  <dcterms:created xsi:type="dcterms:W3CDTF">2024-09-23T22:12:00Z</dcterms:created>
  <dcterms:modified xsi:type="dcterms:W3CDTF">2024-09-23T22:28:00Z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