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BD02C0" w14:textId="01B299BB" w:rsidR="00CA1B93" w:rsidRPr="004A630D" w:rsidRDefault="00CA1B93" w:rsidP="004A630D">
      <w:pPr>
        <w:bidi w:val="0"/>
        <w:spacing w:before="100" w:beforeAutospacing="1" w:after="100" w:afterAutospacing="1" w:line="360" w:lineRule="auto"/>
        <w:jc w:val="center"/>
        <w:outlineLvl w:val="1"/>
        <w:rPr>
          <w:rFonts w:ascii="Times New Roman" w:eastAsia="Times New Roman" w:hAnsi="Times New Roman" w:cs="Times New Roman"/>
          <w:b/>
          <w:bCs/>
          <w:kern w:val="0"/>
          <w:sz w:val="36"/>
          <w:szCs w:val="36"/>
          <w:u w:val="single"/>
          <w14:ligatures w14:val="none"/>
        </w:rPr>
      </w:pPr>
      <w:r w:rsidRPr="004A630D">
        <w:rPr>
          <w:rFonts w:ascii="Times New Roman" w:eastAsia="Times New Roman" w:hAnsi="Times New Roman" w:cs="Times New Roman"/>
          <w:b/>
          <w:bCs/>
          <w:kern w:val="0"/>
          <w:sz w:val="36"/>
          <w:szCs w:val="36"/>
          <w:u w:val="single"/>
          <w14:ligatures w14:val="none"/>
        </w:rPr>
        <w:t>Human Rights Committee (CCPR) 145th Session (2–19 March 2026)</w:t>
      </w:r>
    </w:p>
    <w:p w14:paraId="001F5193" w14:textId="77777777" w:rsidR="00CA1B93" w:rsidRPr="004A630D" w:rsidRDefault="00CA1B93" w:rsidP="004A630D">
      <w:pPr>
        <w:bidi w:val="0"/>
        <w:spacing w:before="100" w:beforeAutospacing="1" w:after="100" w:afterAutospacing="1" w:line="360" w:lineRule="auto"/>
        <w:jc w:val="center"/>
        <w:outlineLvl w:val="1"/>
        <w:rPr>
          <w:rFonts w:ascii="Times New Roman" w:eastAsia="Times New Roman" w:hAnsi="Times New Roman" w:cs="Times New Roman"/>
          <w:b/>
          <w:bCs/>
          <w:kern w:val="0"/>
          <w:sz w:val="36"/>
          <w:szCs w:val="36"/>
          <w:u w:val="single"/>
          <w14:ligatures w14:val="none"/>
        </w:rPr>
      </w:pPr>
      <w:r w:rsidRPr="004A630D">
        <w:rPr>
          <w:rFonts w:ascii="Times New Roman" w:eastAsia="Times New Roman" w:hAnsi="Times New Roman" w:cs="Times New Roman"/>
          <w:b/>
          <w:bCs/>
          <w:kern w:val="0"/>
          <w:sz w:val="36"/>
          <w:szCs w:val="36"/>
          <w:u w:val="single"/>
          <w14:ligatures w14:val="none"/>
        </w:rPr>
        <w:t>Public NGO Submission on Chad under the ICCPR</w:t>
      </w:r>
    </w:p>
    <w:p w14:paraId="0A34F8CB" w14:textId="3BC04412" w:rsidR="00CA1B93" w:rsidRPr="004A630D" w:rsidRDefault="00CA1B93" w:rsidP="004A630D">
      <w:pPr>
        <w:bidi w:val="0"/>
        <w:spacing w:before="100" w:beforeAutospacing="1" w:after="100" w:afterAutospacing="1" w:line="360" w:lineRule="auto"/>
        <w:jc w:val="center"/>
        <w:rPr>
          <w:rFonts w:ascii="Times New Roman" w:eastAsia="Times New Roman" w:hAnsi="Times New Roman" w:cs="Times New Roman"/>
          <w:b/>
          <w:bCs/>
          <w:kern w:val="0"/>
          <w:u w:val="single"/>
          <w:lang w:val="fr-FR"/>
          <w14:ligatures w14:val="none"/>
        </w:rPr>
      </w:pPr>
      <w:r w:rsidRPr="004A630D">
        <w:rPr>
          <w:rFonts w:ascii="Times New Roman" w:eastAsia="Times New Roman" w:hAnsi="Times New Roman" w:cs="Times New Roman"/>
          <w:b/>
          <w:bCs/>
          <w:kern w:val="0"/>
          <w:u w:val="single"/>
          <w:lang w:val="fr-FR"/>
          <w14:ligatures w14:val="none"/>
        </w:rPr>
        <w:t>Submitted by:</w:t>
      </w:r>
    </w:p>
    <w:p w14:paraId="4B713B75" w14:textId="77777777" w:rsidR="004A630D" w:rsidRPr="004A630D" w:rsidRDefault="00CA1B93" w:rsidP="004A630D">
      <w:pPr>
        <w:bidi w:val="0"/>
        <w:spacing w:before="100" w:beforeAutospacing="1" w:after="100" w:afterAutospacing="1" w:line="360" w:lineRule="auto"/>
        <w:jc w:val="center"/>
        <w:rPr>
          <w:rFonts w:ascii="Times New Roman" w:eastAsia="Times New Roman" w:hAnsi="Times New Roman" w:cs="Times New Roman"/>
          <w:b/>
          <w:bCs/>
          <w:kern w:val="0"/>
          <w:sz w:val="32"/>
          <w:szCs w:val="32"/>
          <w:u w:val="single"/>
          <w:lang w:val="fr-FR"/>
          <w14:ligatures w14:val="none"/>
        </w:rPr>
      </w:pPr>
      <w:r w:rsidRPr="004A630D">
        <w:rPr>
          <w:rFonts w:ascii="Times New Roman" w:eastAsia="Times New Roman" w:hAnsi="Times New Roman" w:cs="Times New Roman"/>
          <w:b/>
          <w:bCs/>
          <w:kern w:val="0"/>
          <w:sz w:val="32"/>
          <w:szCs w:val="32"/>
          <w:u w:val="single"/>
          <w:lang w:val="fr-FR"/>
          <w14:ligatures w14:val="none"/>
        </w:rPr>
        <w:t>Alliance internationale pour la défense des droits et des libertés (AIDL)</w:t>
      </w:r>
    </w:p>
    <w:p w14:paraId="4C89355D" w14:textId="5A0035AA" w:rsidR="00CA1B93" w:rsidRDefault="004A630D" w:rsidP="004A630D">
      <w:pPr>
        <w:bidi w:val="0"/>
        <w:spacing w:before="100" w:beforeAutospacing="1" w:after="100" w:afterAutospacing="1" w:line="360" w:lineRule="auto"/>
        <w:jc w:val="center"/>
        <w:rPr>
          <w:rFonts w:ascii="Times New Roman" w:eastAsia="Times New Roman" w:hAnsi="Times New Roman" w:cs="Times New Roman"/>
          <w:b/>
          <w:bCs/>
          <w:kern w:val="0"/>
          <w:u w:val="single"/>
          <w14:ligatures w14:val="none"/>
        </w:rPr>
      </w:pPr>
      <w:hyperlink r:id="rId5" w:history="1">
        <w:r w:rsidRPr="004A630D">
          <w:rPr>
            <w:rStyle w:val="Hyperlink"/>
            <w:rFonts w:ascii="Times New Roman" w:eastAsia="Times New Roman" w:hAnsi="Times New Roman" w:cs="Times New Roman"/>
            <w:b/>
            <w:bCs/>
            <w:kern w:val="0"/>
            <w:lang w:bidi="ar-AE"/>
            <w14:ligatures w14:val="none"/>
          </w:rPr>
          <w:t>aidl@aidl.eu</w:t>
        </w:r>
      </w:hyperlink>
      <w:r w:rsidRPr="004A630D">
        <w:rPr>
          <w:rFonts w:ascii="Times New Roman" w:eastAsia="Times New Roman" w:hAnsi="Times New Roman" w:cs="Times New Roman"/>
          <w:b/>
          <w:bCs/>
          <w:kern w:val="0"/>
          <w:u w:val="single"/>
          <w:lang w:bidi="ar-AE"/>
          <w14:ligatures w14:val="none"/>
        </w:rPr>
        <w:t xml:space="preserve">  –   www.aidl.eu</w:t>
      </w:r>
      <w:r w:rsidR="00CA1B93" w:rsidRPr="004A630D">
        <w:rPr>
          <w:rFonts w:ascii="Times New Roman" w:eastAsia="Times New Roman" w:hAnsi="Times New Roman" w:cs="Times New Roman"/>
          <w:b/>
          <w:bCs/>
          <w:kern w:val="0"/>
          <w:u w:val="single"/>
          <w14:ligatures w14:val="none"/>
        </w:rPr>
        <w:br/>
        <w:t>Document type: Public (for online publication)</w:t>
      </w:r>
    </w:p>
    <w:p w14:paraId="7A9807E8" w14:textId="77777777" w:rsidR="004A630D" w:rsidRPr="004A630D" w:rsidRDefault="004A630D" w:rsidP="004A630D">
      <w:pPr>
        <w:bidi w:val="0"/>
        <w:spacing w:before="100" w:beforeAutospacing="1" w:after="100" w:afterAutospacing="1" w:line="360" w:lineRule="auto"/>
        <w:jc w:val="center"/>
        <w:rPr>
          <w:rFonts w:ascii="Times New Roman" w:eastAsia="Times New Roman" w:hAnsi="Times New Roman" w:cs="Times New Roman"/>
          <w:b/>
          <w:bCs/>
          <w:kern w:val="0"/>
          <w:u w:val="single"/>
          <w14:ligatures w14:val="none"/>
        </w:rPr>
      </w:pPr>
    </w:p>
    <w:p w14:paraId="46D11D22" w14:textId="77777777" w:rsidR="00CA1B93" w:rsidRPr="00CA1B93" w:rsidRDefault="00CA1B93" w:rsidP="00CA1B93">
      <w:pPr>
        <w:bidi w:val="0"/>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CA1B93">
        <w:rPr>
          <w:rFonts w:ascii="Times New Roman" w:eastAsia="Times New Roman" w:hAnsi="Times New Roman" w:cs="Times New Roman"/>
          <w:b/>
          <w:bCs/>
          <w:kern w:val="0"/>
          <w:sz w:val="27"/>
          <w:szCs w:val="27"/>
          <w14:ligatures w14:val="none"/>
        </w:rPr>
        <w:t>1. Submission purpose</w:t>
      </w:r>
    </w:p>
    <w:p w14:paraId="5F577C3D" w14:textId="38684414" w:rsidR="00CA1B93" w:rsidRPr="00CA1B93" w:rsidRDefault="00CA1B93" w:rsidP="00CA1B93">
      <w:pPr>
        <w:bidi w:val="0"/>
        <w:spacing w:before="100" w:beforeAutospacing="1" w:after="100" w:afterAutospacing="1" w:line="360" w:lineRule="auto"/>
        <w:jc w:val="both"/>
        <w:rPr>
          <w:rFonts w:ascii="Times New Roman" w:eastAsia="Times New Roman" w:hAnsi="Times New Roman" w:cs="Times New Roman"/>
          <w:kern w:val="0"/>
          <w14:ligatures w14:val="none"/>
        </w:rPr>
      </w:pPr>
      <w:r w:rsidRPr="00CA1B93">
        <w:rPr>
          <w:rFonts w:ascii="Times New Roman" w:eastAsia="Times New Roman" w:hAnsi="Times New Roman" w:cs="Times New Roman"/>
          <w:b/>
          <w:bCs/>
          <w:kern w:val="0"/>
          <w14:ligatures w14:val="none"/>
        </w:rPr>
        <w:t>1.1</w:t>
      </w:r>
      <w:r w:rsidRPr="00CA1B93">
        <w:rPr>
          <w:rFonts w:ascii="Times New Roman" w:eastAsia="Times New Roman" w:hAnsi="Times New Roman" w:cs="Times New Roman"/>
          <w:kern w:val="0"/>
          <w14:ligatures w14:val="none"/>
        </w:rPr>
        <w:t xml:space="preserve"> AIDL submits this Public report to inform the Human Rights Committee’s review of Chad during the 145th session (2–19 March 2026) and to support the Committee’s adoption of a rigorous List of Issues (LOI) that compels verifiable disclosure, accountability, and time bound compliance under the International Covenant on Civil and Political Rights (ICCPR). </w:t>
      </w:r>
      <w:r w:rsidRPr="00CA1B93">
        <w:rPr>
          <w:rFonts w:ascii="Times New Roman" w:eastAsia="Times New Roman" w:hAnsi="Times New Roman" w:cs="Times New Roman"/>
          <w:kern w:val="0"/>
          <w14:ligatures w14:val="none"/>
        </w:rPr>
        <w:br/>
      </w:r>
      <w:r w:rsidRPr="00CA1B93">
        <w:rPr>
          <w:rFonts w:ascii="Times New Roman" w:eastAsia="Times New Roman" w:hAnsi="Times New Roman" w:cs="Times New Roman"/>
          <w:b/>
          <w:bCs/>
          <w:kern w:val="0"/>
          <w14:ligatures w14:val="none"/>
        </w:rPr>
        <w:t>1.2</w:t>
      </w:r>
      <w:r w:rsidRPr="00CA1B93">
        <w:rPr>
          <w:rFonts w:ascii="Times New Roman" w:eastAsia="Times New Roman" w:hAnsi="Times New Roman" w:cs="Times New Roman"/>
          <w:kern w:val="0"/>
          <w14:ligatures w14:val="none"/>
        </w:rPr>
        <w:t xml:space="preserve"> This submission is deliberately framed to close the space for denial, delay, and impunity. It therefore prioritises evidence forcing questions, documentary production requests, chain of command clarity, and measurable benchmarks.</w:t>
      </w:r>
    </w:p>
    <w:p w14:paraId="3A4616AA" w14:textId="77777777" w:rsidR="00CA1B93" w:rsidRPr="00CA1B93" w:rsidRDefault="00CA1B93" w:rsidP="00CA1B93">
      <w:pPr>
        <w:bidi w:val="0"/>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CA1B93">
        <w:rPr>
          <w:rFonts w:ascii="Times New Roman" w:eastAsia="Times New Roman" w:hAnsi="Times New Roman" w:cs="Times New Roman"/>
          <w:b/>
          <w:bCs/>
          <w:kern w:val="0"/>
          <w:sz w:val="27"/>
          <w:szCs w:val="27"/>
          <w14:ligatures w14:val="none"/>
        </w:rPr>
        <w:t>2. Methodology and sources</w:t>
      </w:r>
    </w:p>
    <w:p w14:paraId="070B07F8" w14:textId="77777777" w:rsidR="004A630D" w:rsidRDefault="00CA1B93" w:rsidP="00CA1B93">
      <w:pPr>
        <w:bidi w:val="0"/>
        <w:spacing w:before="100" w:beforeAutospacing="1" w:after="100" w:afterAutospacing="1" w:line="360" w:lineRule="auto"/>
        <w:jc w:val="both"/>
        <w:rPr>
          <w:rFonts w:ascii="Times New Roman" w:eastAsia="Times New Roman" w:hAnsi="Times New Roman" w:cs="Times New Roman"/>
          <w:kern w:val="0"/>
          <w14:ligatures w14:val="none"/>
        </w:rPr>
      </w:pPr>
      <w:r w:rsidRPr="00CA1B93">
        <w:rPr>
          <w:rFonts w:ascii="Times New Roman" w:eastAsia="Times New Roman" w:hAnsi="Times New Roman" w:cs="Times New Roman"/>
          <w:b/>
          <w:bCs/>
          <w:kern w:val="0"/>
          <w14:ligatures w14:val="none"/>
        </w:rPr>
        <w:t>2.1</w:t>
      </w:r>
      <w:r w:rsidRPr="00CA1B93">
        <w:rPr>
          <w:rFonts w:ascii="Times New Roman" w:eastAsia="Times New Roman" w:hAnsi="Times New Roman" w:cs="Times New Roman"/>
          <w:kern w:val="0"/>
          <w14:ligatures w14:val="none"/>
        </w:rPr>
        <w:t xml:space="preserve"> This submission is based on an institutional review of credible public documentation from authoritative sources, including OHCHR procedural guidance and detailed investigations and reporting by Human Rights Watch (HRW), complemented by other reputable public records. </w:t>
      </w:r>
      <w:r w:rsidRPr="00CA1B93">
        <w:rPr>
          <w:rFonts w:ascii="Times New Roman" w:eastAsia="Times New Roman" w:hAnsi="Times New Roman" w:cs="Times New Roman"/>
          <w:kern w:val="0"/>
          <w14:ligatures w14:val="none"/>
        </w:rPr>
        <w:br/>
      </w:r>
      <w:r w:rsidRPr="00CA1B93">
        <w:rPr>
          <w:rFonts w:ascii="Times New Roman" w:eastAsia="Times New Roman" w:hAnsi="Times New Roman" w:cs="Times New Roman"/>
          <w:b/>
          <w:bCs/>
          <w:kern w:val="0"/>
          <w14:ligatures w14:val="none"/>
        </w:rPr>
        <w:t>2.2</w:t>
      </w:r>
      <w:r w:rsidRPr="00CA1B93">
        <w:rPr>
          <w:rFonts w:ascii="Times New Roman" w:eastAsia="Times New Roman" w:hAnsi="Times New Roman" w:cs="Times New Roman"/>
          <w:kern w:val="0"/>
          <w14:ligatures w14:val="none"/>
        </w:rPr>
        <w:t xml:space="preserve"> AIDL prioritises sources containing specific allegations, traceable factual claims, and patterns that are operationally convertible into LOI questions and follow up indicators.</w:t>
      </w:r>
      <w:r w:rsidRPr="00CA1B93">
        <w:rPr>
          <w:rFonts w:ascii="Times New Roman" w:eastAsia="Times New Roman" w:hAnsi="Times New Roman" w:cs="Times New Roman"/>
          <w:kern w:val="0"/>
          <w14:ligatures w14:val="none"/>
        </w:rPr>
        <w:br/>
      </w:r>
      <w:r w:rsidRPr="00CA1B93">
        <w:rPr>
          <w:rFonts w:ascii="Times New Roman" w:eastAsia="Times New Roman" w:hAnsi="Times New Roman" w:cs="Times New Roman"/>
          <w:b/>
          <w:bCs/>
          <w:kern w:val="0"/>
          <w14:ligatures w14:val="none"/>
        </w:rPr>
        <w:t>2.3</w:t>
      </w:r>
      <w:r w:rsidRPr="00CA1B93">
        <w:rPr>
          <w:rFonts w:ascii="Times New Roman" w:eastAsia="Times New Roman" w:hAnsi="Times New Roman" w:cs="Times New Roman"/>
          <w:kern w:val="0"/>
          <w14:ligatures w14:val="none"/>
        </w:rPr>
        <w:t xml:space="preserve"> Form and length are aligned with OHCHR guidance, written submissions should be concise and precise, and limited to a maximum of 10,000 words.</w:t>
      </w:r>
    </w:p>
    <w:p w14:paraId="0EB04E66" w14:textId="77777777" w:rsidR="00CA1B93" w:rsidRPr="00CA1B93" w:rsidRDefault="00CA1B93" w:rsidP="00CA1B93">
      <w:pPr>
        <w:bidi w:val="0"/>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CA1B93">
        <w:rPr>
          <w:rFonts w:ascii="Times New Roman" w:eastAsia="Times New Roman" w:hAnsi="Times New Roman" w:cs="Times New Roman"/>
          <w:b/>
          <w:bCs/>
          <w:kern w:val="0"/>
          <w:sz w:val="27"/>
          <w:szCs w:val="27"/>
          <w14:ligatures w14:val="none"/>
        </w:rPr>
        <w:lastRenderedPageBreak/>
        <w:t>3. Executive assessment (institutional finding)</w:t>
      </w:r>
    </w:p>
    <w:p w14:paraId="65AFBA19" w14:textId="77777777" w:rsidR="00CA1B93" w:rsidRDefault="00CA1B93" w:rsidP="00CA1B93">
      <w:pPr>
        <w:bidi w:val="0"/>
        <w:spacing w:before="100" w:beforeAutospacing="1" w:after="100" w:afterAutospacing="1" w:line="360" w:lineRule="auto"/>
        <w:rPr>
          <w:rFonts w:ascii="Times New Roman" w:eastAsia="Times New Roman" w:hAnsi="Times New Roman" w:cs="Times New Roman"/>
          <w:kern w:val="0"/>
          <w14:ligatures w14:val="none"/>
        </w:rPr>
      </w:pPr>
      <w:r w:rsidRPr="00CA1B93">
        <w:rPr>
          <w:rFonts w:ascii="Times New Roman" w:eastAsia="Times New Roman" w:hAnsi="Times New Roman" w:cs="Times New Roman"/>
          <w:b/>
          <w:bCs/>
          <w:kern w:val="0"/>
          <w14:ligatures w14:val="none"/>
        </w:rPr>
        <w:t>3.1</w:t>
      </w:r>
      <w:r w:rsidRPr="00CA1B93">
        <w:rPr>
          <w:rFonts w:ascii="Times New Roman" w:eastAsia="Times New Roman" w:hAnsi="Times New Roman" w:cs="Times New Roman"/>
          <w:kern w:val="0"/>
          <w14:ligatures w14:val="none"/>
        </w:rPr>
        <w:t xml:space="preserve"> AIDL’s assessment is that Chad is in a sustained and measurable state of ICCPR non compliance marked by a governance pattern that merges political control with coercive security practices. This is not a capacity gap. It is a compliance breakdown.</w:t>
      </w:r>
      <w:r w:rsidRPr="00CA1B93">
        <w:rPr>
          <w:rFonts w:ascii="Times New Roman" w:eastAsia="Times New Roman" w:hAnsi="Times New Roman" w:cs="Times New Roman"/>
          <w:kern w:val="0"/>
          <w14:ligatures w14:val="none"/>
        </w:rPr>
        <w:br/>
      </w:r>
      <w:r w:rsidRPr="00CA1B93">
        <w:rPr>
          <w:rFonts w:ascii="Times New Roman" w:eastAsia="Times New Roman" w:hAnsi="Times New Roman" w:cs="Times New Roman"/>
          <w:b/>
          <w:bCs/>
          <w:kern w:val="0"/>
          <w14:ligatures w14:val="none"/>
        </w:rPr>
        <w:t>3.2</w:t>
      </w:r>
      <w:r w:rsidRPr="00CA1B93">
        <w:rPr>
          <w:rFonts w:ascii="Times New Roman" w:eastAsia="Times New Roman" w:hAnsi="Times New Roman" w:cs="Times New Roman"/>
          <w:kern w:val="0"/>
          <w14:ligatures w14:val="none"/>
        </w:rPr>
        <w:t xml:space="preserve"> The pattern is characterised by the following:</w:t>
      </w:r>
      <w:r w:rsidRPr="00CA1B93">
        <w:rPr>
          <w:rFonts w:ascii="Times New Roman" w:eastAsia="Times New Roman" w:hAnsi="Times New Roman" w:cs="Times New Roman"/>
          <w:kern w:val="0"/>
          <w14:ligatures w14:val="none"/>
        </w:rPr>
        <w:br/>
        <w:t xml:space="preserve">(a) </w:t>
      </w:r>
      <w:r w:rsidRPr="00CA1B93">
        <w:rPr>
          <w:rFonts w:ascii="Times New Roman" w:eastAsia="Times New Roman" w:hAnsi="Times New Roman" w:cs="Times New Roman"/>
          <w:b/>
          <w:bCs/>
          <w:kern w:val="0"/>
          <w14:ligatures w14:val="none"/>
        </w:rPr>
        <w:t>Lethal and excessive force against demonstrators</w:t>
      </w:r>
      <w:r w:rsidRPr="00CA1B93">
        <w:rPr>
          <w:rFonts w:ascii="Times New Roman" w:eastAsia="Times New Roman" w:hAnsi="Times New Roman" w:cs="Times New Roman"/>
          <w:kern w:val="0"/>
          <w14:ligatures w14:val="none"/>
        </w:rPr>
        <w:t xml:space="preserve">, including the October 20, 2022 crackdown, followed by a persistent deficit of prompt, effective, independent criminal investigations and publicly credible justice. </w:t>
      </w:r>
      <w:r w:rsidRPr="00CA1B93">
        <w:rPr>
          <w:rFonts w:ascii="Times New Roman" w:eastAsia="Times New Roman" w:hAnsi="Times New Roman" w:cs="Times New Roman"/>
          <w:kern w:val="0"/>
          <w14:ligatures w14:val="none"/>
        </w:rPr>
        <w:br/>
        <w:t xml:space="preserve">(b) </w:t>
      </w:r>
      <w:r w:rsidRPr="00CA1B93">
        <w:rPr>
          <w:rFonts w:ascii="Times New Roman" w:eastAsia="Times New Roman" w:hAnsi="Times New Roman" w:cs="Times New Roman"/>
          <w:b/>
          <w:bCs/>
          <w:kern w:val="0"/>
          <w14:ligatures w14:val="none"/>
        </w:rPr>
        <w:t>Mass arrests and arbitrary detention linked to civic mobilisation and opposition activity</w:t>
      </w:r>
      <w:r w:rsidRPr="00CA1B93">
        <w:rPr>
          <w:rFonts w:ascii="Times New Roman" w:eastAsia="Times New Roman" w:hAnsi="Times New Roman" w:cs="Times New Roman"/>
          <w:kern w:val="0"/>
          <w14:ligatures w14:val="none"/>
        </w:rPr>
        <w:t xml:space="preserve">, including transfers to remote high security detention sites, with heightened risk of incommunicado detention and denial of counsel. </w:t>
      </w:r>
    </w:p>
    <w:p w14:paraId="01B6A610" w14:textId="4738B620" w:rsidR="00CA1B93" w:rsidRPr="00CA1B93" w:rsidRDefault="00CA1B93" w:rsidP="00CA1B93">
      <w:pPr>
        <w:bidi w:val="0"/>
        <w:spacing w:before="100" w:beforeAutospacing="1" w:after="100" w:afterAutospacing="1" w:line="360" w:lineRule="auto"/>
        <w:rPr>
          <w:rFonts w:ascii="Times New Roman" w:eastAsia="Times New Roman" w:hAnsi="Times New Roman" w:cs="Times New Roman"/>
          <w:kern w:val="0"/>
          <w14:ligatures w14:val="none"/>
        </w:rPr>
      </w:pPr>
      <w:r w:rsidRPr="00CA1B93">
        <w:rPr>
          <w:rFonts w:ascii="Times New Roman" w:eastAsia="Times New Roman" w:hAnsi="Times New Roman" w:cs="Times New Roman"/>
          <w:kern w:val="0"/>
          <w14:ligatures w14:val="none"/>
        </w:rPr>
        <w:t xml:space="preserve">(c) </w:t>
      </w:r>
      <w:r w:rsidRPr="00CA1B93">
        <w:rPr>
          <w:rFonts w:ascii="Times New Roman" w:eastAsia="Times New Roman" w:hAnsi="Times New Roman" w:cs="Times New Roman"/>
          <w:b/>
          <w:bCs/>
          <w:kern w:val="0"/>
          <w14:ligatures w14:val="none"/>
        </w:rPr>
        <w:t>Credible allegations of torture and other ill treatment, life threatening detention conditions, and deaths in custody</w:t>
      </w:r>
      <w:r w:rsidRPr="00CA1B93">
        <w:rPr>
          <w:rFonts w:ascii="Times New Roman" w:eastAsia="Times New Roman" w:hAnsi="Times New Roman" w:cs="Times New Roman"/>
          <w:kern w:val="0"/>
          <w14:ligatures w14:val="none"/>
        </w:rPr>
        <w:t xml:space="preserve">, including at and in connection with Koro Toro prison, as documented in detail by HRW. </w:t>
      </w:r>
      <w:r w:rsidRPr="00CA1B93">
        <w:rPr>
          <w:rFonts w:ascii="Times New Roman" w:eastAsia="Times New Roman" w:hAnsi="Times New Roman" w:cs="Times New Roman"/>
          <w:kern w:val="0"/>
          <w14:ligatures w14:val="none"/>
        </w:rPr>
        <w:br/>
        <w:t xml:space="preserve">(d) </w:t>
      </w:r>
      <w:r w:rsidRPr="00CA1B93">
        <w:rPr>
          <w:rFonts w:ascii="Times New Roman" w:eastAsia="Times New Roman" w:hAnsi="Times New Roman" w:cs="Times New Roman"/>
          <w:b/>
          <w:bCs/>
          <w:kern w:val="0"/>
          <w14:ligatures w14:val="none"/>
        </w:rPr>
        <w:t>Degradation of civic space</w:t>
      </w:r>
      <w:r w:rsidRPr="00CA1B93">
        <w:rPr>
          <w:rFonts w:ascii="Times New Roman" w:eastAsia="Times New Roman" w:hAnsi="Times New Roman" w:cs="Times New Roman"/>
          <w:kern w:val="0"/>
          <w14:ligatures w14:val="none"/>
        </w:rPr>
        <w:t xml:space="preserve">, through restrictions on freedom of expression and peaceful assembly, and intimidation, assault, or detention of journalists covering protests. </w:t>
      </w:r>
      <w:r w:rsidRPr="00CA1B93">
        <w:rPr>
          <w:rFonts w:ascii="Times New Roman" w:eastAsia="Times New Roman" w:hAnsi="Times New Roman" w:cs="Times New Roman"/>
          <w:kern w:val="0"/>
          <w14:ligatures w14:val="none"/>
        </w:rPr>
        <w:br/>
      </w:r>
      <w:r w:rsidRPr="00CA1B93">
        <w:rPr>
          <w:rFonts w:ascii="Times New Roman" w:eastAsia="Times New Roman" w:hAnsi="Times New Roman" w:cs="Times New Roman"/>
          <w:b/>
          <w:bCs/>
          <w:kern w:val="0"/>
          <w14:ligatures w14:val="none"/>
        </w:rPr>
        <w:t>3.3</w:t>
      </w:r>
      <w:r w:rsidRPr="00CA1B93">
        <w:rPr>
          <w:rFonts w:ascii="Times New Roman" w:eastAsia="Times New Roman" w:hAnsi="Times New Roman" w:cs="Times New Roman"/>
          <w:kern w:val="0"/>
          <w14:ligatures w14:val="none"/>
        </w:rPr>
        <w:t xml:space="preserve"> AIDL’s institutional conclusion is direct: these facts point to systemic violations of Articles 2, 6, 7, 9, 14, 19, 21, and 22 of the ICCPR. The Committee should treat Chad’s compliance as a governance integrity crisis, anchored in impunity, not as an incremental reform agenda.</w:t>
      </w:r>
    </w:p>
    <w:p w14:paraId="570D6231" w14:textId="77777777" w:rsidR="00CA1B93" w:rsidRPr="00CA1B93" w:rsidRDefault="00CA1B93" w:rsidP="00CA1B93">
      <w:pPr>
        <w:bidi w:val="0"/>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CA1B93">
        <w:rPr>
          <w:rFonts w:ascii="Times New Roman" w:eastAsia="Times New Roman" w:hAnsi="Times New Roman" w:cs="Times New Roman"/>
          <w:b/>
          <w:bCs/>
          <w:kern w:val="0"/>
          <w:sz w:val="36"/>
          <w:szCs w:val="36"/>
          <w14:ligatures w14:val="none"/>
        </w:rPr>
        <w:t>4. Priority concerns under the ICCPR and proposed List of Issues (LOI)</w:t>
      </w:r>
    </w:p>
    <w:p w14:paraId="377CDC5A" w14:textId="77777777" w:rsidR="00CA1B93" w:rsidRPr="00CA1B93" w:rsidRDefault="00CA1B93" w:rsidP="00CA1B93">
      <w:pPr>
        <w:bidi w:val="0"/>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CA1B93">
        <w:rPr>
          <w:rFonts w:ascii="Times New Roman" w:eastAsia="Times New Roman" w:hAnsi="Times New Roman" w:cs="Times New Roman"/>
          <w:b/>
          <w:bCs/>
          <w:kern w:val="0"/>
          <w:sz w:val="27"/>
          <w:szCs w:val="27"/>
          <w14:ligatures w14:val="none"/>
        </w:rPr>
        <w:t>A. Right to life, prohibition of arbitrary deprivation of life (Article 6)</w:t>
      </w:r>
    </w:p>
    <w:p w14:paraId="4C1E3E6A" w14:textId="3376EC98" w:rsidR="00CA1B93" w:rsidRPr="00CA1B93" w:rsidRDefault="00CA1B93" w:rsidP="00CA1B93">
      <w:pPr>
        <w:bidi w:val="0"/>
        <w:spacing w:before="100" w:beforeAutospacing="1" w:after="100" w:afterAutospacing="1" w:line="360" w:lineRule="auto"/>
        <w:rPr>
          <w:rFonts w:ascii="Times New Roman" w:eastAsia="Times New Roman" w:hAnsi="Times New Roman" w:cs="Times New Roman"/>
          <w:kern w:val="0"/>
          <w14:ligatures w14:val="none"/>
        </w:rPr>
      </w:pPr>
      <w:r w:rsidRPr="00CA1B93">
        <w:rPr>
          <w:rFonts w:ascii="Times New Roman" w:eastAsia="Times New Roman" w:hAnsi="Times New Roman" w:cs="Times New Roman"/>
          <w:b/>
          <w:bCs/>
          <w:kern w:val="0"/>
          <w14:ligatures w14:val="none"/>
        </w:rPr>
        <w:t>A.1 Concern.</w:t>
      </w:r>
      <w:r w:rsidRPr="00CA1B93">
        <w:rPr>
          <w:rFonts w:ascii="Times New Roman" w:eastAsia="Times New Roman" w:hAnsi="Times New Roman" w:cs="Times New Roman"/>
          <w:kern w:val="0"/>
          <w14:ligatures w14:val="none"/>
        </w:rPr>
        <w:t xml:space="preserve"> HRW reported that security forces used lethal force against demonstrators on October 20, 2022, with scores killed and wounded, in the context of a government ban on protests, and that accountability has remained deficient. </w:t>
      </w:r>
    </w:p>
    <w:p w14:paraId="0C58EF2F" w14:textId="77777777" w:rsidR="00CA1B93" w:rsidRDefault="00CA1B93" w:rsidP="00CA1B93">
      <w:pPr>
        <w:bidi w:val="0"/>
        <w:spacing w:before="100" w:beforeAutospacing="1" w:after="100" w:afterAutospacing="1" w:line="360" w:lineRule="auto"/>
        <w:rPr>
          <w:rFonts w:ascii="Times New Roman" w:eastAsia="Times New Roman" w:hAnsi="Times New Roman" w:cs="Times New Roman"/>
          <w:kern w:val="0"/>
          <w14:ligatures w14:val="none"/>
        </w:rPr>
      </w:pPr>
      <w:r w:rsidRPr="00CA1B93">
        <w:rPr>
          <w:rFonts w:ascii="Times New Roman" w:eastAsia="Times New Roman" w:hAnsi="Times New Roman" w:cs="Times New Roman"/>
          <w:b/>
          <w:bCs/>
          <w:kern w:val="0"/>
          <w14:ligatures w14:val="none"/>
        </w:rPr>
        <w:t>A.2 LOI questions (non evasive, evidence forcing):</w:t>
      </w:r>
      <w:r w:rsidRPr="00CA1B93">
        <w:rPr>
          <w:rFonts w:ascii="Times New Roman" w:eastAsia="Times New Roman" w:hAnsi="Times New Roman" w:cs="Times New Roman"/>
          <w:kern w:val="0"/>
          <w14:ligatures w14:val="none"/>
        </w:rPr>
        <w:br/>
      </w:r>
      <w:r w:rsidRPr="00CA1B93">
        <w:rPr>
          <w:rFonts w:ascii="Times New Roman" w:eastAsia="Times New Roman" w:hAnsi="Times New Roman" w:cs="Times New Roman"/>
          <w:b/>
          <w:bCs/>
          <w:kern w:val="0"/>
          <w14:ligatures w14:val="none"/>
        </w:rPr>
        <w:t>A1.</w:t>
      </w:r>
      <w:r w:rsidRPr="00CA1B93">
        <w:rPr>
          <w:rFonts w:ascii="Times New Roman" w:eastAsia="Times New Roman" w:hAnsi="Times New Roman" w:cs="Times New Roman"/>
          <w:kern w:val="0"/>
          <w14:ligatures w14:val="none"/>
        </w:rPr>
        <w:t xml:space="preserve"> Provide an official, complete incident register for all protest related deaths and serious </w:t>
      </w:r>
      <w:r w:rsidRPr="00CA1B93">
        <w:rPr>
          <w:rFonts w:ascii="Times New Roman" w:eastAsia="Times New Roman" w:hAnsi="Times New Roman" w:cs="Times New Roman"/>
          <w:kern w:val="0"/>
          <w14:ligatures w14:val="none"/>
        </w:rPr>
        <w:lastRenderedPageBreak/>
        <w:t xml:space="preserve">injuries since April 2021, disaggregated by date, location, security force branch and unit, type of force used (including firearms), victim profile (age, sex), and status of investigations and prosecutions. </w:t>
      </w:r>
      <w:r w:rsidRPr="00CA1B93">
        <w:rPr>
          <w:rFonts w:ascii="Times New Roman" w:eastAsia="Times New Roman" w:hAnsi="Times New Roman" w:cs="Times New Roman"/>
          <w:kern w:val="0"/>
          <w14:ligatures w14:val="none"/>
        </w:rPr>
        <w:br/>
      </w:r>
      <w:r w:rsidRPr="00CA1B93">
        <w:rPr>
          <w:rFonts w:ascii="Times New Roman" w:eastAsia="Times New Roman" w:hAnsi="Times New Roman" w:cs="Times New Roman"/>
          <w:b/>
          <w:bCs/>
          <w:kern w:val="0"/>
          <w14:ligatures w14:val="none"/>
        </w:rPr>
        <w:t>A2.</w:t>
      </w:r>
      <w:r w:rsidRPr="00CA1B93">
        <w:rPr>
          <w:rFonts w:ascii="Times New Roman" w:eastAsia="Times New Roman" w:hAnsi="Times New Roman" w:cs="Times New Roman"/>
          <w:kern w:val="0"/>
          <w14:ligatures w14:val="none"/>
        </w:rPr>
        <w:t xml:space="preserve"> For October 20, 2022 specifically, submit documentary annexes: operational deployment orders, rules of engagement applied, after action reports, ammunition issuance logs (including return and reconciliation records), and the chain of command responsible for authorisation of force. </w:t>
      </w:r>
    </w:p>
    <w:p w14:paraId="3F4D3A8E" w14:textId="4ADC8796" w:rsidR="00CA1B93" w:rsidRPr="00CA1B93" w:rsidRDefault="00CA1B93" w:rsidP="00CA1B93">
      <w:pPr>
        <w:bidi w:val="0"/>
        <w:spacing w:before="100" w:beforeAutospacing="1" w:after="100" w:afterAutospacing="1" w:line="360" w:lineRule="auto"/>
        <w:rPr>
          <w:rFonts w:ascii="Times New Roman" w:eastAsia="Times New Roman" w:hAnsi="Times New Roman" w:cs="Times New Roman"/>
          <w:kern w:val="0"/>
          <w14:ligatures w14:val="none"/>
        </w:rPr>
      </w:pPr>
      <w:r w:rsidRPr="00CA1B93">
        <w:rPr>
          <w:rFonts w:ascii="Times New Roman" w:eastAsia="Times New Roman" w:hAnsi="Times New Roman" w:cs="Times New Roman"/>
          <w:b/>
          <w:bCs/>
          <w:kern w:val="0"/>
          <w14:ligatures w14:val="none"/>
        </w:rPr>
        <w:t>A3.</w:t>
      </w:r>
      <w:r w:rsidRPr="00CA1B93">
        <w:rPr>
          <w:rFonts w:ascii="Times New Roman" w:eastAsia="Times New Roman" w:hAnsi="Times New Roman" w:cs="Times New Roman"/>
          <w:kern w:val="0"/>
          <w14:ligatures w14:val="none"/>
        </w:rPr>
        <w:t xml:space="preserve"> Provide the list of officers suspended, disciplined, prosecuted, or convicted for unlawful use of force in protest contexts since April 2021, and provide case numbers and outcomes.</w:t>
      </w:r>
      <w:r w:rsidRPr="00CA1B93">
        <w:rPr>
          <w:rFonts w:ascii="Times New Roman" w:eastAsia="Times New Roman" w:hAnsi="Times New Roman" w:cs="Times New Roman"/>
          <w:kern w:val="0"/>
          <w14:ligatures w14:val="none"/>
        </w:rPr>
        <w:br/>
      </w:r>
      <w:r w:rsidRPr="00CA1B93">
        <w:rPr>
          <w:rFonts w:ascii="Times New Roman" w:eastAsia="Times New Roman" w:hAnsi="Times New Roman" w:cs="Times New Roman"/>
          <w:b/>
          <w:bCs/>
          <w:kern w:val="0"/>
          <w14:ligatures w14:val="none"/>
        </w:rPr>
        <w:t>A4.</w:t>
      </w:r>
      <w:r w:rsidRPr="00CA1B93">
        <w:rPr>
          <w:rFonts w:ascii="Times New Roman" w:eastAsia="Times New Roman" w:hAnsi="Times New Roman" w:cs="Times New Roman"/>
          <w:kern w:val="0"/>
          <w14:ligatures w14:val="none"/>
        </w:rPr>
        <w:t xml:space="preserve"> Confirm whether an independent investigative mechanism meeting international standards was established for the October 20, 2022 killings, if so provide its legal basis, membership safeguards, investigative powers, witness protection measures, and the full public report. If no such mechanism exists, explain why, and identify the authority that decided against it. </w:t>
      </w:r>
      <w:r w:rsidRPr="00CA1B93">
        <w:rPr>
          <w:rFonts w:ascii="Times New Roman" w:eastAsia="Times New Roman" w:hAnsi="Times New Roman" w:cs="Times New Roman"/>
          <w:kern w:val="0"/>
          <w14:ligatures w14:val="none"/>
        </w:rPr>
        <w:br/>
      </w:r>
      <w:r w:rsidRPr="00CA1B93">
        <w:rPr>
          <w:rFonts w:ascii="Times New Roman" w:eastAsia="Times New Roman" w:hAnsi="Times New Roman" w:cs="Times New Roman"/>
          <w:b/>
          <w:bCs/>
          <w:kern w:val="0"/>
          <w14:ligatures w14:val="none"/>
        </w:rPr>
        <w:t>A5.</w:t>
      </w:r>
      <w:r w:rsidRPr="00CA1B93">
        <w:rPr>
          <w:rFonts w:ascii="Times New Roman" w:eastAsia="Times New Roman" w:hAnsi="Times New Roman" w:cs="Times New Roman"/>
          <w:kern w:val="0"/>
          <w14:ligatures w14:val="none"/>
        </w:rPr>
        <w:t xml:space="preserve"> Provide the legal basis and operational instructions governing firearms use in crowd control, and confirm whether Chad has banned the use of live ammunition for policing assemblies, including the date of adoption, dissemination to units, and enforcement measures. </w:t>
      </w:r>
    </w:p>
    <w:p w14:paraId="04455521" w14:textId="408B2BFA" w:rsidR="00CA1B93" w:rsidRPr="00CA1B93" w:rsidRDefault="00CA1B93" w:rsidP="00CA1B93">
      <w:pPr>
        <w:bidi w:val="0"/>
        <w:spacing w:before="100" w:beforeAutospacing="1" w:after="100" w:afterAutospacing="1" w:line="360" w:lineRule="auto"/>
        <w:rPr>
          <w:rFonts w:ascii="Times New Roman" w:eastAsia="Times New Roman" w:hAnsi="Times New Roman" w:cs="Times New Roman"/>
          <w:kern w:val="0"/>
          <w14:ligatures w14:val="none"/>
        </w:rPr>
      </w:pPr>
      <w:r w:rsidRPr="00CA1B93">
        <w:rPr>
          <w:rFonts w:ascii="Times New Roman" w:eastAsia="Times New Roman" w:hAnsi="Times New Roman" w:cs="Times New Roman"/>
          <w:b/>
          <w:bCs/>
          <w:kern w:val="0"/>
          <w14:ligatures w14:val="none"/>
        </w:rPr>
        <w:t>A.3 Required benchmark for concluding observations:</w:t>
      </w:r>
      <w:r w:rsidRPr="00CA1B93">
        <w:rPr>
          <w:rFonts w:ascii="Times New Roman" w:eastAsia="Times New Roman" w:hAnsi="Times New Roman" w:cs="Times New Roman"/>
          <w:kern w:val="0"/>
          <w14:ligatures w14:val="none"/>
        </w:rPr>
        <w:br/>
      </w:r>
      <w:r w:rsidRPr="00CA1B93">
        <w:rPr>
          <w:rFonts w:ascii="Times New Roman" w:eastAsia="Times New Roman" w:hAnsi="Times New Roman" w:cs="Times New Roman"/>
          <w:b/>
          <w:bCs/>
          <w:kern w:val="0"/>
          <w14:ligatures w14:val="none"/>
        </w:rPr>
        <w:t>A6.</w:t>
      </w:r>
      <w:r w:rsidRPr="00CA1B93">
        <w:rPr>
          <w:rFonts w:ascii="Times New Roman" w:eastAsia="Times New Roman" w:hAnsi="Times New Roman" w:cs="Times New Roman"/>
          <w:kern w:val="0"/>
          <w14:ligatures w14:val="none"/>
        </w:rPr>
        <w:t xml:space="preserve"> Adopt a public accountability roadmap with quarterly publication of indicators, including prosecutions, convictions, disciplinary action, reparations, and guarantees of non repetition, with independent oversight.</w:t>
      </w:r>
    </w:p>
    <w:p w14:paraId="72DF7A3F" w14:textId="77777777" w:rsidR="00CA1B93" w:rsidRPr="00CA1B93" w:rsidRDefault="00CA1B93" w:rsidP="00CA1B93">
      <w:pPr>
        <w:bidi w:val="0"/>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CA1B93">
        <w:rPr>
          <w:rFonts w:ascii="Times New Roman" w:eastAsia="Times New Roman" w:hAnsi="Times New Roman" w:cs="Times New Roman"/>
          <w:b/>
          <w:bCs/>
          <w:kern w:val="0"/>
          <w:sz w:val="27"/>
          <w:szCs w:val="27"/>
          <w14:ligatures w14:val="none"/>
        </w:rPr>
        <w:t>B. Prohibition of torture and cruel, inhuman or degrading treatment, and detention conditions (Article 7)</w:t>
      </w:r>
    </w:p>
    <w:p w14:paraId="0261C9FD" w14:textId="74694050" w:rsidR="00CA1B93" w:rsidRPr="00CA1B93" w:rsidRDefault="00CA1B93" w:rsidP="00CA1B93">
      <w:pPr>
        <w:bidi w:val="0"/>
        <w:spacing w:before="100" w:beforeAutospacing="1" w:after="100" w:afterAutospacing="1" w:line="360" w:lineRule="auto"/>
        <w:rPr>
          <w:rFonts w:ascii="Times New Roman" w:eastAsia="Times New Roman" w:hAnsi="Times New Roman" w:cs="Times New Roman"/>
          <w:kern w:val="0"/>
          <w14:ligatures w14:val="none"/>
        </w:rPr>
      </w:pPr>
      <w:r w:rsidRPr="00CA1B93">
        <w:rPr>
          <w:rFonts w:ascii="Times New Roman" w:eastAsia="Times New Roman" w:hAnsi="Times New Roman" w:cs="Times New Roman"/>
          <w:b/>
          <w:bCs/>
          <w:kern w:val="0"/>
          <w14:ligatures w14:val="none"/>
        </w:rPr>
        <w:t>B.1 Concern.</w:t>
      </w:r>
      <w:r w:rsidRPr="00CA1B93">
        <w:rPr>
          <w:rFonts w:ascii="Times New Roman" w:eastAsia="Times New Roman" w:hAnsi="Times New Roman" w:cs="Times New Roman"/>
          <w:kern w:val="0"/>
          <w14:ligatures w14:val="none"/>
        </w:rPr>
        <w:t xml:space="preserve"> HRW documented death and torture at Koro Toro prison, and detailed the detention of dozens of people there in connection with political events, including deaths in custody and severe abuses, and described the facility as overseen by military officials with impunity enabling abuses. </w:t>
      </w:r>
    </w:p>
    <w:p w14:paraId="11380214" w14:textId="245A1D0E" w:rsidR="00CA1B93" w:rsidRDefault="00CA1B93" w:rsidP="00CA1B93">
      <w:pPr>
        <w:bidi w:val="0"/>
        <w:spacing w:before="100" w:beforeAutospacing="1" w:after="100" w:afterAutospacing="1" w:line="360" w:lineRule="auto"/>
        <w:rPr>
          <w:rFonts w:ascii="Times New Roman" w:eastAsia="Times New Roman" w:hAnsi="Times New Roman" w:cs="Times New Roman"/>
          <w:kern w:val="0"/>
          <w14:ligatures w14:val="none"/>
        </w:rPr>
      </w:pPr>
      <w:r w:rsidRPr="00CA1B93">
        <w:rPr>
          <w:rFonts w:ascii="Times New Roman" w:eastAsia="Times New Roman" w:hAnsi="Times New Roman" w:cs="Times New Roman"/>
          <w:b/>
          <w:bCs/>
          <w:kern w:val="0"/>
          <w14:ligatures w14:val="none"/>
        </w:rPr>
        <w:t>B.2 LOI questions:</w:t>
      </w:r>
      <w:r w:rsidRPr="00CA1B93">
        <w:rPr>
          <w:rFonts w:ascii="Times New Roman" w:eastAsia="Times New Roman" w:hAnsi="Times New Roman" w:cs="Times New Roman"/>
          <w:kern w:val="0"/>
          <w14:ligatures w14:val="none"/>
        </w:rPr>
        <w:br/>
      </w:r>
      <w:r w:rsidRPr="00CA1B93">
        <w:rPr>
          <w:rFonts w:ascii="Times New Roman" w:eastAsia="Times New Roman" w:hAnsi="Times New Roman" w:cs="Times New Roman"/>
          <w:b/>
          <w:bCs/>
          <w:kern w:val="0"/>
          <w14:ligatures w14:val="none"/>
        </w:rPr>
        <w:t>B1.</w:t>
      </w:r>
      <w:r w:rsidRPr="00CA1B93">
        <w:rPr>
          <w:rFonts w:ascii="Times New Roman" w:eastAsia="Times New Roman" w:hAnsi="Times New Roman" w:cs="Times New Roman"/>
          <w:kern w:val="0"/>
          <w14:ligatures w14:val="none"/>
        </w:rPr>
        <w:t xml:space="preserve"> Provide the legal and operational framework governing transfers to Koro Toro, </w:t>
      </w:r>
      <w:r w:rsidRPr="00CA1B93">
        <w:rPr>
          <w:rFonts w:ascii="Times New Roman" w:eastAsia="Times New Roman" w:hAnsi="Times New Roman" w:cs="Times New Roman"/>
          <w:kern w:val="0"/>
          <w14:ligatures w14:val="none"/>
        </w:rPr>
        <w:lastRenderedPageBreak/>
        <w:t xml:space="preserve">including authorising authorities, judicial control mechanisms, criteria used to classify detainees for transfer, and any appeal or review mechanism available to detainees. </w:t>
      </w:r>
      <w:r w:rsidRPr="00CA1B93">
        <w:rPr>
          <w:rFonts w:ascii="Times New Roman" w:eastAsia="Times New Roman" w:hAnsi="Times New Roman" w:cs="Times New Roman"/>
          <w:kern w:val="0"/>
          <w14:ligatures w14:val="none"/>
        </w:rPr>
        <w:br/>
      </w:r>
      <w:r w:rsidRPr="00CA1B93">
        <w:rPr>
          <w:rFonts w:ascii="Times New Roman" w:eastAsia="Times New Roman" w:hAnsi="Times New Roman" w:cs="Times New Roman"/>
          <w:b/>
          <w:bCs/>
          <w:kern w:val="0"/>
          <w14:ligatures w14:val="none"/>
        </w:rPr>
        <w:t>B2.</w:t>
      </w:r>
      <w:r w:rsidRPr="00CA1B93">
        <w:rPr>
          <w:rFonts w:ascii="Times New Roman" w:eastAsia="Times New Roman" w:hAnsi="Times New Roman" w:cs="Times New Roman"/>
          <w:kern w:val="0"/>
          <w14:ligatures w14:val="none"/>
        </w:rPr>
        <w:t xml:space="preserve"> Submit a complete list, since October 2022, of all detainees transferred to Koro Toro in connection with protests or political activity, including date of transfer, legal status, access to counsel, access to family, and medical screening records at intake. </w:t>
      </w:r>
      <w:r w:rsidRPr="00CA1B93">
        <w:rPr>
          <w:rFonts w:ascii="Times New Roman" w:eastAsia="Times New Roman" w:hAnsi="Times New Roman" w:cs="Times New Roman"/>
          <w:kern w:val="0"/>
          <w14:ligatures w14:val="none"/>
        </w:rPr>
        <w:br/>
      </w:r>
      <w:r w:rsidRPr="00CA1B93">
        <w:rPr>
          <w:rFonts w:ascii="Times New Roman" w:eastAsia="Times New Roman" w:hAnsi="Times New Roman" w:cs="Times New Roman"/>
          <w:b/>
          <w:bCs/>
          <w:kern w:val="0"/>
          <w14:ligatures w14:val="none"/>
        </w:rPr>
        <w:t>B3.</w:t>
      </w:r>
      <w:r w:rsidRPr="00CA1B93">
        <w:rPr>
          <w:rFonts w:ascii="Times New Roman" w:eastAsia="Times New Roman" w:hAnsi="Times New Roman" w:cs="Times New Roman"/>
          <w:kern w:val="0"/>
          <w14:ligatures w14:val="none"/>
        </w:rPr>
        <w:t xml:space="preserve"> Provide comprehensive statistics for the last 4 years on allegations of torture or ill treatment in detention, by facility, including number of complaints, investigations opened, prosecutions initiated, convictions secured, sanctions imposed, and reparations paid, with Koro Toro as a separate category. </w:t>
      </w:r>
      <w:r w:rsidRPr="00CA1B93">
        <w:rPr>
          <w:rFonts w:ascii="Times New Roman" w:eastAsia="Times New Roman" w:hAnsi="Times New Roman" w:cs="Times New Roman"/>
          <w:kern w:val="0"/>
          <w14:ligatures w14:val="none"/>
        </w:rPr>
        <w:br/>
      </w:r>
      <w:r w:rsidRPr="00CA1B93">
        <w:rPr>
          <w:rFonts w:ascii="Times New Roman" w:eastAsia="Times New Roman" w:hAnsi="Times New Roman" w:cs="Times New Roman"/>
          <w:b/>
          <w:bCs/>
          <w:kern w:val="0"/>
          <w14:ligatures w14:val="none"/>
        </w:rPr>
        <w:t>B4.</w:t>
      </w:r>
      <w:r w:rsidRPr="00CA1B93">
        <w:rPr>
          <w:rFonts w:ascii="Times New Roman" w:eastAsia="Times New Roman" w:hAnsi="Times New Roman" w:cs="Times New Roman"/>
          <w:kern w:val="0"/>
          <w14:ligatures w14:val="none"/>
        </w:rPr>
        <w:t xml:space="preserve"> Provide the total number of deaths in custody and deaths during transfer to detention facilities since October 2022, disaggregated by facility and cause, and submit autopsy and investigative documentation where conducted, including reasons where no autopsy was performed. </w:t>
      </w:r>
    </w:p>
    <w:p w14:paraId="7C8E8F33" w14:textId="780450C6" w:rsidR="00CA1B93" w:rsidRPr="00CA1B93" w:rsidRDefault="00CA1B93" w:rsidP="00CA1B93">
      <w:pPr>
        <w:bidi w:val="0"/>
        <w:spacing w:before="100" w:beforeAutospacing="1" w:after="100" w:afterAutospacing="1" w:line="360" w:lineRule="auto"/>
        <w:rPr>
          <w:rFonts w:ascii="Times New Roman" w:eastAsia="Times New Roman" w:hAnsi="Times New Roman" w:cs="Times New Roman"/>
          <w:kern w:val="0"/>
          <w14:ligatures w14:val="none"/>
        </w:rPr>
      </w:pPr>
      <w:r w:rsidRPr="00CA1B93">
        <w:rPr>
          <w:rFonts w:ascii="Times New Roman" w:eastAsia="Times New Roman" w:hAnsi="Times New Roman" w:cs="Times New Roman"/>
          <w:b/>
          <w:bCs/>
          <w:kern w:val="0"/>
          <w14:ligatures w14:val="none"/>
        </w:rPr>
        <w:t>B5.</w:t>
      </w:r>
      <w:r w:rsidRPr="00CA1B93">
        <w:rPr>
          <w:rFonts w:ascii="Times New Roman" w:eastAsia="Times New Roman" w:hAnsi="Times New Roman" w:cs="Times New Roman"/>
          <w:kern w:val="0"/>
          <w14:ligatures w14:val="none"/>
        </w:rPr>
        <w:t xml:space="preserve"> Confirm whether Chad applies mandatory safeguards in law and practice: immediate access to a lawyer, prompt independent medical examination upon intake, confidential access to doctors, prohibition of incommunicado detention, preservation of evidence, and audiovisual recording of interrogations, and provide compliance rates. </w:t>
      </w:r>
      <w:r w:rsidRPr="00CA1B93">
        <w:rPr>
          <w:rFonts w:ascii="Times New Roman" w:eastAsia="Times New Roman" w:hAnsi="Times New Roman" w:cs="Times New Roman"/>
          <w:kern w:val="0"/>
          <w14:ligatures w14:val="none"/>
        </w:rPr>
        <w:br/>
      </w:r>
      <w:r w:rsidRPr="00CA1B93">
        <w:rPr>
          <w:rFonts w:ascii="Times New Roman" w:eastAsia="Times New Roman" w:hAnsi="Times New Roman" w:cs="Times New Roman"/>
          <w:b/>
          <w:bCs/>
          <w:kern w:val="0"/>
          <w14:ligatures w14:val="none"/>
        </w:rPr>
        <w:t>B6.</w:t>
      </w:r>
      <w:r w:rsidRPr="00CA1B93">
        <w:rPr>
          <w:rFonts w:ascii="Times New Roman" w:eastAsia="Times New Roman" w:hAnsi="Times New Roman" w:cs="Times New Roman"/>
          <w:kern w:val="0"/>
          <w14:ligatures w14:val="none"/>
        </w:rPr>
        <w:t xml:space="preserve"> Provide the list and dates of independent inspections of all places of detention, including Koro Toro, identify the inspecting body, and submit inspection findings, remedial orders issued, and proof of implementation. </w:t>
      </w:r>
    </w:p>
    <w:p w14:paraId="402856AC" w14:textId="724E9AB9" w:rsidR="00CA1B93" w:rsidRPr="00CA1B93" w:rsidRDefault="00CA1B93" w:rsidP="00CA1B93">
      <w:pPr>
        <w:bidi w:val="0"/>
        <w:spacing w:before="100" w:beforeAutospacing="1" w:after="100" w:afterAutospacing="1" w:line="360" w:lineRule="auto"/>
        <w:rPr>
          <w:rFonts w:ascii="Times New Roman" w:eastAsia="Times New Roman" w:hAnsi="Times New Roman" w:cs="Times New Roman"/>
          <w:kern w:val="0"/>
          <w14:ligatures w14:val="none"/>
        </w:rPr>
      </w:pPr>
      <w:r w:rsidRPr="00CA1B93">
        <w:rPr>
          <w:rFonts w:ascii="Times New Roman" w:eastAsia="Times New Roman" w:hAnsi="Times New Roman" w:cs="Times New Roman"/>
          <w:b/>
          <w:bCs/>
          <w:kern w:val="0"/>
          <w14:ligatures w14:val="none"/>
        </w:rPr>
        <w:t>B.3 Required benchmark:</w:t>
      </w:r>
      <w:r w:rsidRPr="00CA1B93">
        <w:rPr>
          <w:rFonts w:ascii="Times New Roman" w:eastAsia="Times New Roman" w:hAnsi="Times New Roman" w:cs="Times New Roman"/>
          <w:kern w:val="0"/>
          <w14:ligatures w14:val="none"/>
        </w:rPr>
        <w:br/>
      </w:r>
      <w:r w:rsidRPr="00CA1B93">
        <w:rPr>
          <w:rFonts w:ascii="Times New Roman" w:eastAsia="Times New Roman" w:hAnsi="Times New Roman" w:cs="Times New Roman"/>
          <w:b/>
          <w:bCs/>
          <w:kern w:val="0"/>
          <w14:ligatures w14:val="none"/>
        </w:rPr>
        <w:t>B7.</w:t>
      </w:r>
      <w:r w:rsidRPr="00CA1B93">
        <w:rPr>
          <w:rFonts w:ascii="Times New Roman" w:eastAsia="Times New Roman" w:hAnsi="Times New Roman" w:cs="Times New Roman"/>
          <w:kern w:val="0"/>
          <w14:ligatures w14:val="none"/>
        </w:rPr>
        <w:t xml:space="preserve"> Adopt and implement a verifiable “no torture compliance package” with measurable controls and public reporting, and ensure independent, unfettered access to all places of detention, including high security sites. </w:t>
      </w:r>
    </w:p>
    <w:p w14:paraId="6691E3CB" w14:textId="77777777" w:rsidR="00CA1B93" w:rsidRPr="00CA1B93" w:rsidRDefault="00CA1B93" w:rsidP="00CA1B93">
      <w:pPr>
        <w:bidi w:val="0"/>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CA1B93">
        <w:rPr>
          <w:rFonts w:ascii="Times New Roman" w:eastAsia="Times New Roman" w:hAnsi="Times New Roman" w:cs="Times New Roman"/>
          <w:b/>
          <w:bCs/>
          <w:kern w:val="0"/>
          <w:sz w:val="27"/>
          <w:szCs w:val="27"/>
          <w14:ligatures w14:val="none"/>
        </w:rPr>
        <w:t>C. Liberty and security of person, arbitrary arrest and detention (Article 9)</w:t>
      </w:r>
    </w:p>
    <w:p w14:paraId="05DCBE63" w14:textId="342FD86C" w:rsidR="00CA1B93" w:rsidRPr="00CA1B93" w:rsidRDefault="00CA1B93" w:rsidP="00CA1B93">
      <w:pPr>
        <w:bidi w:val="0"/>
        <w:spacing w:before="100" w:beforeAutospacing="1" w:after="100" w:afterAutospacing="1" w:line="360" w:lineRule="auto"/>
        <w:rPr>
          <w:rFonts w:ascii="Times New Roman" w:eastAsia="Times New Roman" w:hAnsi="Times New Roman" w:cs="Times New Roman"/>
          <w:kern w:val="0"/>
          <w14:ligatures w14:val="none"/>
        </w:rPr>
      </w:pPr>
      <w:r w:rsidRPr="00CA1B93">
        <w:rPr>
          <w:rFonts w:ascii="Times New Roman" w:eastAsia="Times New Roman" w:hAnsi="Times New Roman" w:cs="Times New Roman"/>
          <w:b/>
          <w:bCs/>
          <w:kern w:val="0"/>
          <w14:ligatures w14:val="none"/>
        </w:rPr>
        <w:t>C.1 Concern.</w:t>
      </w:r>
      <w:r w:rsidRPr="00CA1B93">
        <w:rPr>
          <w:rFonts w:ascii="Times New Roman" w:eastAsia="Times New Roman" w:hAnsi="Times New Roman" w:cs="Times New Roman"/>
          <w:kern w:val="0"/>
          <w14:ligatures w14:val="none"/>
        </w:rPr>
        <w:t xml:space="preserve"> Reporting indicates mass arrests and detention practices linked to protests and opposition activity, including denial of access to lawyers and family for detainees, and transfer practices that heighten arbitrariness and ill treatment risk. </w:t>
      </w:r>
    </w:p>
    <w:p w14:paraId="00809510" w14:textId="18E96E0B" w:rsidR="00CA1B93" w:rsidRPr="00CA1B93" w:rsidRDefault="00CA1B93" w:rsidP="00CA1B93">
      <w:pPr>
        <w:bidi w:val="0"/>
        <w:spacing w:before="100" w:beforeAutospacing="1" w:after="100" w:afterAutospacing="1" w:line="360" w:lineRule="auto"/>
        <w:rPr>
          <w:rFonts w:ascii="Times New Roman" w:eastAsia="Times New Roman" w:hAnsi="Times New Roman" w:cs="Times New Roman"/>
          <w:kern w:val="0"/>
          <w14:ligatures w14:val="none"/>
        </w:rPr>
      </w:pPr>
      <w:r w:rsidRPr="00CA1B93">
        <w:rPr>
          <w:rFonts w:ascii="Times New Roman" w:eastAsia="Times New Roman" w:hAnsi="Times New Roman" w:cs="Times New Roman"/>
          <w:b/>
          <w:bCs/>
          <w:kern w:val="0"/>
          <w14:ligatures w14:val="none"/>
        </w:rPr>
        <w:t>C.2 LOI questions:</w:t>
      </w:r>
      <w:r w:rsidRPr="00CA1B93">
        <w:rPr>
          <w:rFonts w:ascii="Times New Roman" w:eastAsia="Times New Roman" w:hAnsi="Times New Roman" w:cs="Times New Roman"/>
          <w:kern w:val="0"/>
          <w14:ligatures w14:val="none"/>
        </w:rPr>
        <w:br/>
      </w:r>
      <w:r w:rsidRPr="00CA1B93">
        <w:rPr>
          <w:rFonts w:ascii="Times New Roman" w:eastAsia="Times New Roman" w:hAnsi="Times New Roman" w:cs="Times New Roman"/>
          <w:b/>
          <w:bCs/>
          <w:kern w:val="0"/>
          <w14:ligatures w14:val="none"/>
        </w:rPr>
        <w:t>C1.</w:t>
      </w:r>
      <w:r w:rsidRPr="00CA1B93">
        <w:rPr>
          <w:rFonts w:ascii="Times New Roman" w:eastAsia="Times New Roman" w:hAnsi="Times New Roman" w:cs="Times New Roman"/>
          <w:kern w:val="0"/>
          <w14:ligatures w14:val="none"/>
        </w:rPr>
        <w:t xml:space="preserve"> State the maximum legal time limits for police custody and pre trial detention, and </w:t>
      </w:r>
      <w:r w:rsidRPr="00CA1B93">
        <w:rPr>
          <w:rFonts w:ascii="Times New Roman" w:eastAsia="Times New Roman" w:hAnsi="Times New Roman" w:cs="Times New Roman"/>
          <w:kern w:val="0"/>
          <w14:ligatures w14:val="none"/>
        </w:rPr>
        <w:lastRenderedPageBreak/>
        <w:t>provide compliance evidence: percentage of detainees brought before a judge within legal limits, disaggregated by offence category, region, and detention site.</w:t>
      </w:r>
      <w:r w:rsidRPr="00CA1B93">
        <w:rPr>
          <w:rFonts w:ascii="Times New Roman" w:eastAsia="Times New Roman" w:hAnsi="Times New Roman" w:cs="Times New Roman"/>
          <w:kern w:val="0"/>
          <w14:ligatures w14:val="none"/>
        </w:rPr>
        <w:br/>
      </w:r>
      <w:r w:rsidRPr="00CA1B93">
        <w:rPr>
          <w:rFonts w:ascii="Times New Roman" w:eastAsia="Times New Roman" w:hAnsi="Times New Roman" w:cs="Times New Roman"/>
          <w:b/>
          <w:bCs/>
          <w:kern w:val="0"/>
          <w14:ligatures w14:val="none"/>
        </w:rPr>
        <w:t>C2.</w:t>
      </w:r>
      <w:r w:rsidRPr="00CA1B93">
        <w:rPr>
          <w:rFonts w:ascii="Times New Roman" w:eastAsia="Times New Roman" w:hAnsi="Times New Roman" w:cs="Times New Roman"/>
          <w:kern w:val="0"/>
          <w14:ligatures w14:val="none"/>
        </w:rPr>
        <w:t xml:space="preserve"> Provide a complete list, since October 2022, of all persons detained for protest or political activity, including date of arrest, legal basis, place of detention, date and location of first judicial review, access to counsel, and outcome (release, charge, conviction). </w:t>
      </w:r>
      <w:r w:rsidRPr="00CA1B93">
        <w:rPr>
          <w:rFonts w:ascii="Times New Roman" w:eastAsia="Times New Roman" w:hAnsi="Times New Roman" w:cs="Times New Roman"/>
          <w:kern w:val="0"/>
          <w14:ligatures w14:val="none"/>
        </w:rPr>
        <w:br/>
      </w:r>
      <w:r w:rsidRPr="00CA1B93">
        <w:rPr>
          <w:rFonts w:ascii="Times New Roman" w:eastAsia="Times New Roman" w:hAnsi="Times New Roman" w:cs="Times New Roman"/>
          <w:b/>
          <w:bCs/>
          <w:kern w:val="0"/>
          <w14:ligatures w14:val="none"/>
        </w:rPr>
        <w:t>C3.</w:t>
      </w:r>
      <w:r w:rsidRPr="00CA1B93">
        <w:rPr>
          <w:rFonts w:ascii="Times New Roman" w:eastAsia="Times New Roman" w:hAnsi="Times New Roman" w:cs="Times New Roman"/>
          <w:kern w:val="0"/>
          <w14:ligatures w14:val="none"/>
        </w:rPr>
        <w:t xml:space="preserve"> Confirm whether any detainees were held incommunicado in practice, provide the legal basis and oversight for any restrictions, and submit the number and duration of such detentions, including reasons and authorising authorities.</w:t>
      </w:r>
      <w:r w:rsidRPr="00CA1B93">
        <w:rPr>
          <w:rFonts w:ascii="Times New Roman" w:eastAsia="Times New Roman" w:hAnsi="Times New Roman" w:cs="Times New Roman"/>
          <w:kern w:val="0"/>
          <w14:ligatures w14:val="none"/>
        </w:rPr>
        <w:br/>
      </w:r>
      <w:r w:rsidRPr="00CA1B93">
        <w:rPr>
          <w:rFonts w:ascii="Times New Roman" w:eastAsia="Times New Roman" w:hAnsi="Times New Roman" w:cs="Times New Roman"/>
          <w:b/>
          <w:bCs/>
          <w:kern w:val="0"/>
          <w14:ligatures w14:val="none"/>
        </w:rPr>
        <w:t>C4.</w:t>
      </w:r>
      <w:r w:rsidRPr="00CA1B93">
        <w:rPr>
          <w:rFonts w:ascii="Times New Roman" w:eastAsia="Times New Roman" w:hAnsi="Times New Roman" w:cs="Times New Roman"/>
          <w:kern w:val="0"/>
          <w14:ligatures w14:val="none"/>
        </w:rPr>
        <w:t xml:space="preserve"> Provide data on transfers of detainees far from their families and counsel, including to Koro Toro, and justify necessity and proportionality under the ICCPR, including the safeguards applied during transfer (transport conditions, medical oversight, deaths en route). </w:t>
      </w:r>
      <w:r w:rsidRPr="00CA1B93">
        <w:rPr>
          <w:rFonts w:ascii="Times New Roman" w:eastAsia="Times New Roman" w:hAnsi="Times New Roman" w:cs="Times New Roman"/>
          <w:kern w:val="0"/>
          <w14:ligatures w14:val="none"/>
        </w:rPr>
        <w:br/>
      </w:r>
      <w:r w:rsidRPr="00CA1B93">
        <w:rPr>
          <w:rFonts w:ascii="Times New Roman" w:eastAsia="Times New Roman" w:hAnsi="Times New Roman" w:cs="Times New Roman"/>
          <w:b/>
          <w:bCs/>
          <w:kern w:val="0"/>
          <w14:ligatures w14:val="none"/>
        </w:rPr>
        <w:t>C5.</w:t>
      </w:r>
      <w:r w:rsidRPr="00CA1B93">
        <w:rPr>
          <w:rFonts w:ascii="Times New Roman" w:eastAsia="Times New Roman" w:hAnsi="Times New Roman" w:cs="Times New Roman"/>
          <w:kern w:val="0"/>
          <w14:ligatures w14:val="none"/>
        </w:rPr>
        <w:t xml:space="preserve"> Provide statistics on habeas corpus type remedies or equivalent judicial review mechanisms used in practice, including number of petitions filed, average time to decision, outcomes, and reasons for rejection.</w:t>
      </w:r>
    </w:p>
    <w:p w14:paraId="2D9B9F66" w14:textId="307EFBA3" w:rsidR="00CA1B93" w:rsidRPr="00CA1B93" w:rsidRDefault="00CA1B93" w:rsidP="00CA1B93">
      <w:pPr>
        <w:bidi w:val="0"/>
        <w:spacing w:before="100" w:beforeAutospacing="1" w:after="100" w:afterAutospacing="1" w:line="360" w:lineRule="auto"/>
        <w:rPr>
          <w:rFonts w:ascii="Times New Roman" w:eastAsia="Times New Roman" w:hAnsi="Times New Roman" w:cs="Times New Roman"/>
          <w:kern w:val="0"/>
          <w14:ligatures w14:val="none"/>
        </w:rPr>
      </w:pPr>
      <w:r w:rsidRPr="00CA1B93">
        <w:rPr>
          <w:rFonts w:ascii="Times New Roman" w:eastAsia="Times New Roman" w:hAnsi="Times New Roman" w:cs="Times New Roman"/>
          <w:b/>
          <w:bCs/>
          <w:kern w:val="0"/>
          <w14:ligatures w14:val="none"/>
        </w:rPr>
        <w:t>C.3 Required benchmark:</w:t>
      </w:r>
      <w:r w:rsidRPr="00CA1B93">
        <w:rPr>
          <w:rFonts w:ascii="Times New Roman" w:eastAsia="Times New Roman" w:hAnsi="Times New Roman" w:cs="Times New Roman"/>
          <w:kern w:val="0"/>
          <w14:ligatures w14:val="none"/>
        </w:rPr>
        <w:br/>
      </w:r>
      <w:r w:rsidRPr="00CA1B93">
        <w:rPr>
          <w:rFonts w:ascii="Times New Roman" w:eastAsia="Times New Roman" w:hAnsi="Times New Roman" w:cs="Times New Roman"/>
          <w:b/>
          <w:bCs/>
          <w:kern w:val="0"/>
          <w14:ligatures w14:val="none"/>
        </w:rPr>
        <w:t>C6.</w:t>
      </w:r>
      <w:r w:rsidRPr="00CA1B93">
        <w:rPr>
          <w:rFonts w:ascii="Times New Roman" w:eastAsia="Times New Roman" w:hAnsi="Times New Roman" w:cs="Times New Roman"/>
          <w:kern w:val="0"/>
          <w14:ligatures w14:val="none"/>
        </w:rPr>
        <w:t xml:space="preserve"> Implement effective, rapid judicial control of detention in practice, supported by a publicly trackable detention registry and sanctions for unlawful detention.</w:t>
      </w:r>
    </w:p>
    <w:p w14:paraId="463EDB7B" w14:textId="77777777" w:rsidR="00CA1B93" w:rsidRPr="00CA1B93" w:rsidRDefault="00CA1B93" w:rsidP="00CA1B93">
      <w:pPr>
        <w:bidi w:val="0"/>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CA1B93">
        <w:rPr>
          <w:rFonts w:ascii="Times New Roman" w:eastAsia="Times New Roman" w:hAnsi="Times New Roman" w:cs="Times New Roman"/>
          <w:b/>
          <w:bCs/>
          <w:kern w:val="0"/>
          <w:sz w:val="27"/>
          <w:szCs w:val="27"/>
          <w14:ligatures w14:val="none"/>
        </w:rPr>
        <w:t>D. Fair trial guarantees and judicial independence (Article 14)</w:t>
      </w:r>
    </w:p>
    <w:p w14:paraId="7476C5D6" w14:textId="09F9F042" w:rsidR="00CA1B93" w:rsidRPr="00CA1B93" w:rsidRDefault="00CA1B93" w:rsidP="00CA1B93">
      <w:pPr>
        <w:bidi w:val="0"/>
        <w:spacing w:before="100" w:beforeAutospacing="1" w:after="100" w:afterAutospacing="1" w:line="360" w:lineRule="auto"/>
        <w:rPr>
          <w:rFonts w:ascii="Times New Roman" w:eastAsia="Times New Roman" w:hAnsi="Times New Roman" w:cs="Times New Roman"/>
          <w:kern w:val="0"/>
          <w14:ligatures w14:val="none"/>
        </w:rPr>
      </w:pPr>
      <w:r w:rsidRPr="00CA1B93">
        <w:rPr>
          <w:rFonts w:ascii="Times New Roman" w:eastAsia="Times New Roman" w:hAnsi="Times New Roman" w:cs="Times New Roman"/>
          <w:b/>
          <w:bCs/>
          <w:kern w:val="0"/>
          <w14:ligatures w14:val="none"/>
        </w:rPr>
        <w:t>D.1 Concern.</w:t>
      </w:r>
      <w:r w:rsidRPr="00CA1B93">
        <w:rPr>
          <w:rFonts w:ascii="Times New Roman" w:eastAsia="Times New Roman" w:hAnsi="Times New Roman" w:cs="Times New Roman"/>
          <w:kern w:val="0"/>
          <w14:ligatures w14:val="none"/>
        </w:rPr>
        <w:t xml:space="preserve"> Transfers to remote high security detention facilities combined with political arrests generate acute fair trial risks, including barriers to counsel, evidence integrity concerns, and coercion risks. </w:t>
      </w:r>
    </w:p>
    <w:p w14:paraId="0B909FE0" w14:textId="77777777" w:rsidR="00CA1B93" w:rsidRPr="00CA1B93" w:rsidRDefault="00CA1B93" w:rsidP="00CA1B93">
      <w:pPr>
        <w:bidi w:val="0"/>
        <w:spacing w:before="100" w:beforeAutospacing="1" w:after="100" w:afterAutospacing="1" w:line="360" w:lineRule="auto"/>
        <w:rPr>
          <w:rFonts w:ascii="Times New Roman" w:eastAsia="Times New Roman" w:hAnsi="Times New Roman" w:cs="Times New Roman"/>
          <w:kern w:val="0"/>
          <w14:ligatures w14:val="none"/>
        </w:rPr>
      </w:pPr>
      <w:r w:rsidRPr="00CA1B93">
        <w:rPr>
          <w:rFonts w:ascii="Times New Roman" w:eastAsia="Times New Roman" w:hAnsi="Times New Roman" w:cs="Times New Roman"/>
          <w:b/>
          <w:bCs/>
          <w:kern w:val="0"/>
          <w14:ligatures w14:val="none"/>
        </w:rPr>
        <w:t>D.2 LOI questions:</w:t>
      </w:r>
      <w:r w:rsidRPr="00CA1B93">
        <w:rPr>
          <w:rFonts w:ascii="Times New Roman" w:eastAsia="Times New Roman" w:hAnsi="Times New Roman" w:cs="Times New Roman"/>
          <w:kern w:val="0"/>
          <w14:ligatures w14:val="none"/>
        </w:rPr>
        <w:br/>
      </w:r>
      <w:r w:rsidRPr="00CA1B93">
        <w:rPr>
          <w:rFonts w:ascii="Times New Roman" w:eastAsia="Times New Roman" w:hAnsi="Times New Roman" w:cs="Times New Roman"/>
          <w:b/>
          <w:bCs/>
          <w:kern w:val="0"/>
          <w14:ligatures w14:val="none"/>
        </w:rPr>
        <w:t>D1.</w:t>
      </w:r>
      <w:r w:rsidRPr="00CA1B93">
        <w:rPr>
          <w:rFonts w:ascii="Times New Roman" w:eastAsia="Times New Roman" w:hAnsi="Times New Roman" w:cs="Times New Roman"/>
          <w:kern w:val="0"/>
          <w14:ligatures w14:val="none"/>
        </w:rPr>
        <w:t xml:space="preserve"> Confirm the legal rule and practical enforcement ensuring access to a lawyer from the first hours of detention, and provide the rate of compliance, including percentage with counsel present at first interrogation and time from arrest to first legal consultation.</w:t>
      </w:r>
      <w:r w:rsidRPr="00CA1B93">
        <w:rPr>
          <w:rFonts w:ascii="Times New Roman" w:eastAsia="Times New Roman" w:hAnsi="Times New Roman" w:cs="Times New Roman"/>
          <w:kern w:val="0"/>
          <w14:ligatures w14:val="none"/>
        </w:rPr>
        <w:br/>
      </w:r>
      <w:r w:rsidRPr="00CA1B93">
        <w:rPr>
          <w:rFonts w:ascii="Times New Roman" w:eastAsia="Times New Roman" w:hAnsi="Times New Roman" w:cs="Times New Roman"/>
          <w:b/>
          <w:bCs/>
          <w:kern w:val="0"/>
          <w14:ligatures w14:val="none"/>
        </w:rPr>
        <w:t>D2.</w:t>
      </w:r>
      <w:r w:rsidRPr="00CA1B93">
        <w:rPr>
          <w:rFonts w:ascii="Times New Roman" w:eastAsia="Times New Roman" w:hAnsi="Times New Roman" w:cs="Times New Roman"/>
          <w:kern w:val="0"/>
          <w14:ligatures w14:val="none"/>
        </w:rPr>
        <w:t xml:space="preserve"> Provide the number of cases since October 2022 where courts excluded statements due to coercion, ill treatment, or denial of counsel, and provide the legal standard applied and the evidentiary threshold used.</w:t>
      </w:r>
      <w:r w:rsidRPr="00CA1B93">
        <w:rPr>
          <w:rFonts w:ascii="Times New Roman" w:eastAsia="Times New Roman" w:hAnsi="Times New Roman" w:cs="Times New Roman"/>
          <w:kern w:val="0"/>
          <w14:ligatures w14:val="none"/>
        </w:rPr>
        <w:br/>
      </w:r>
      <w:r w:rsidRPr="00CA1B93">
        <w:rPr>
          <w:rFonts w:ascii="Times New Roman" w:eastAsia="Times New Roman" w:hAnsi="Times New Roman" w:cs="Times New Roman"/>
          <w:b/>
          <w:bCs/>
          <w:kern w:val="0"/>
          <w14:ligatures w14:val="none"/>
        </w:rPr>
        <w:t>D3.</w:t>
      </w:r>
      <w:r w:rsidRPr="00CA1B93">
        <w:rPr>
          <w:rFonts w:ascii="Times New Roman" w:eastAsia="Times New Roman" w:hAnsi="Times New Roman" w:cs="Times New Roman"/>
          <w:kern w:val="0"/>
          <w14:ligatures w14:val="none"/>
        </w:rPr>
        <w:t xml:space="preserve"> Provide data on pre trial detention lengths and alternatives, including bail decisions, and measures taken to reduce excessive pre trial detention, with time bound targets.</w:t>
      </w:r>
      <w:r w:rsidRPr="00CA1B93">
        <w:rPr>
          <w:rFonts w:ascii="Times New Roman" w:eastAsia="Times New Roman" w:hAnsi="Times New Roman" w:cs="Times New Roman"/>
          <w:kern w:val="0"/>
          <w14:ligatures w14:val="none"/>
        </w:rPr>
        <w:br/>
      </w:r>
      <w:r w:rsidRPr="00CA1B93">
        <w:rPr>
          <w:rFonts w:ascii="Times New Roman" w:eastAsia="Times New Roman" w:hAnsi="Times New Roman" w:cs="Times New Roman"/>
          <w:b/>
          <w:bCs/>
          <w:kern w:val="0"/>
          <w14:ligatures w14:val="none"/>
        </w:rPr>
        <w:t>D4.</w:t>
      </w:r>
      <w:r w:rsidRPr="00CA1B93">
        <w:rPr>
          <w:rFonts w:ascii="Times New Roman" w:eastAsia="Times New Roman" w:hAnsi="Times New Roman" w:cs="Times New Roman"/>
          <w:kern w:val="0"/>
          <w14:ligatures w14:val="none"/>
        </w:rPr>
        <w:t xml:space="preserve"> Describe institutional safeguards preventing executive or security interference in </w:t>
      </w:r>
      <w:r w:rsidRPr="00CA1B93">
        <w:rPr>
          <w:rFonts w:ascii="Times New Roman" w:eastAsia="Times New Roman" w:hAnsi="Times New Roman" w:cs="Times New Roman"/>
          <w:kern w:val="0"/>
          <w14:ligatures w14:val="none"/>
        </w:rPr>
        <w:lastRenderedPageBreak/>
        <w:t>prosecutorial decisions and judicial adjudication, including appointment safeguards, disciplinary independence, and protection against arbitrary removal.</w:t>
      </w:r>
      <w:r w:rsidRPr="00CA1B93">
        <w:rPr>
          <w:rFonts w:ascii="Times New Roman" w:eastAsia="Times New Roman" w:hAnsi="Times New Roman" w:cs="Times New Roman"/>
          <w:kern w:val="0"/>
          <w14:ligatures w14:val="none"/>
        </w:rPr>
        <w:br/>
      </w:r>
      <w:r w:rsidRPr="00CA1B93">
        <w:rPr>
          <w:rFonts w:ascii="Times New Roman" w:eastAsia="Times New Roman" w:hAnsi="Times New Roman" w:cs="Times New Roman"/>
          <w:b/>
          <w:bCs/>
          <w:kern w:val="0"/>
          <w14:ligatures w14:val="none"/>
        </w:rPr>
        <w:t>D5.</w:t>
      </w:r>
      <w:r w:rsidRPr="00CA1B93">
        <w:rPr>
          <w:rFonts w:ascii="Times New Roman" w:eastAsia="Times New Roman" w:hAnsi="Times New Roman" w:cs="Times New Roman"/>
          <w:kern w:val="0"/>
          <w14:ligatures w14:val="none"/>
        </w:rPr>
        <w:t xml:space="preserve"> Provide measures ensuring effective defence in remote detention contexts, including confidential lawyer access, transport facilitation, and remedies where access is obstructed.</w:t>
      </w:r>
    </w:p>
    <w:p w14:paraId="55FDF11B" w14:textId="14CA4F6E" w:rsidR="00CA1B93" w:rsidRPr="00CA1B93" w:rsidRDefault="00CA1B93" w:rsidP="00CA1B93">
      <w:pPr>
        <w:bidi w:val="0"/>
        <w:spacing w:before="100" w:beforeAutospacing="1" w:after="100" w:afterAutospacing="1" w:line="360" w:lineRule="auto"/>
        <w:rPr>
          <w:rFonts w:ascii="Times New Roman" w:eastAsia="Times New Roman" w:hAnsi="Times New Roman" w:cs="Times New Roman"/>
          <w:kern w:val="0"/>
          <w14:ligatures w14:val="none"/>
        </w:rPr>
      </w:pPr>
      <w:r w:rsidRPr="00CA1B93">
        <w:rPr>
          <w:rFonts w:ascii="Times New Roman" w:eastAsia="Times New Roman" w:hAnsi="Times New Roman" w:cs="Times New Roman"/>
          <w:b/>
          <w:bCs/>
          <w:kern w:val="0"/>
          <w14:ligatures w14:val="none"/>
        </w:rPr>
        <w:t>D.3 Required benchmark:</w:t>
      </w:r>
      <w:r w:rsidRPr="00CA1B93">
        <w:rPr>
          <w:rFonts w:ascii="Times New Roman" w:eastAsia="Times New Roman" w:hAnsi="Times New Roman" w:cs="Times New Roman"/>
          <w:kern w:val="0"/>
          <w14:ligatures w14:val="none"/>
        </w:rPr>
        <w:br/>
      </w:r>
      <w:r w:rsidRPr="00CA1B93">
        <w:rPr>
          <w:rFonts w:ascii="Times New Roman" w:eastAsia="Times New Roman" w:hAnsi="Times New Roman" w:cs="Times New Roman"/>
          <w:b/>
          <w:bCs/>
          <w:kern w:val="0"/>
          <w14:ligatures w14:val="none"/>
        </w:rPr>
        <w:t>D6.</w:t>
      </w:r>
      <w:r w:rsidRPr="00CA1B93">
        <w:rPr>
          <w:rFonts w:ascii="Times New Roman" w:eastAsia="Times New Roman" w:hAnsi="Times New Roman" w:cs="Times New Roman"/>
          <w:kern w:val="0"/>
          <w14:ligatures w14:val="none"/>
        </w:rPr>
        <w:t xml:space="preserve"> Establish measurable defence rights indicators and publish them at least biannually, including counsel access timing, interrogation safeguards, exclusion of coerced evidence, and pre trial detention compliance.</w:t>
      </w:r>
    </w:p>
    <w:p w14:paraId="0A1775CC" w14:textId="77777777" w:rsidR="00CA1B93" w:rsidRPr="00CA1B93" w:rsidRDefault="00CA1B93" w:rsidP="00CA1B93">
      <w:pPr>
        <w:bidi w:val="0"/>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CA1B93">
        <w:rPr>
          <w:rFonts w:ascii="Times New Roman" w:eastAsia="Times New Roman" w:hAnsi="Times New Roman" w:cs="Times New Roman"/>
          <w:b/>
          <w:bCs/>
          <w:kern w:val="0"/>
          <w:sz w:val="27"/>
          <w:szCs w:val="27"/>
          <w14:ligatures w14:val="none"/>
        </w:rPr>
        <w:t>E. Freedom of expression, peaceful assembly and association, and protection of journalists (Articles 19, 21, 22)</w:t>
      </w:r>
    </w:p>
    <w:p w14:paraId="410ED68C" w14:textId="3A7D840B" w:rsidR="00CA1B93" w:rsidRPr="00CA1B93" w:rsidRDefault="00CA1B93" w:rsidP="00CA1B93">
      <w:pPr>
        <w:bidi w:val="0"/>
        <w:spacing w:before="100" w:beforeAutospacing="1" w:after="100" w:afterAutospacing="1" w:line="360" w:lineRule="auto"/>
        <w:rPr>
          <w:rFonts w:ascii="Times New Roman" w:eastAsia="Times New Roman" w:hAnsi="Times New Roman" w:cs="Times New Roman"/>
          <w:kern w:val="0"/>
          <w14:ligatures w14:val="none"/>
        </w:rPr>
      </w:pPr>
      <w:r w:rsidRPr="00CA1B93">
        <w:rPr>
          <w:rFonts w:ascii="Times New Roman" w:eastAsia="Times New Roman" w:hAnsi="Times New Roman" w:cs="Times New Roman"/>
          <w:b/>
          <w:bCs/>
          <w:kern w:val="0"/>
          <w14:ligatures w14:val="none"/>
        </w:rPr>
        <w:t>E.1 Concern.</w:t>
      </w:r>
      <w:r w:rsidRPr="00CA1B93">
        <w:rPr>
          <w:rFonts w:ascii="Times New Roman" w:eastAsia="Times New Roman" w:hAnsi="Times New Roman" w:cs="Times New Roman"/>
          <w:kern w:val="0"/>
          <w14:ligatures w14:val="none"/>
        </w:rPr>
        <w:t xml:space="preserve"> HRW reported bans on demonstrations and violent security responses, and other reputable reporting documented lethal suppression of protests and harm to journalists, undermining civic oversight and nonviolent political participation. </w:t>
      </w:r>
    </w:p>
    <w:p w14:paraId="71497E9D" w14:textId="27307935" w:rsidR="00CA1B93" w:rsidRPr="00CA1B93" w:rsidRDefault="00CA1B93" w:rsidP="00CA1B93">
      <w:pPr>
        <w:bidi w:val="0"/>
        <w:spacing w:before="100" w:beforeAutospacing="1" w:after="100" w:afterAutospacing="1" w:line="360" w:lineRule="auto"/>
        <w:rPr>
          <w:rFonts w:ascii="Times New Roman" w:eastAsia="Times New Roman" w:hAnsi="Times New Roman" w:cs="Times New Roman"/>
          <w:kern w:val="0"/>
          <w14:ligatures w14:val="none"/>
        </w:rPr>
      </w:pPr>
      <w:r w:rsidRPr="00CA1B93">
        <w:rPr>
          <w:rFonts w:ascii="Times New Roman" w:eastAsia="Times New Roman" w:hAnsi="Times New Roman" w:cs="Times New Roman"/>
          <w:b/>
          <w:bCs/>
          <w:kern w:val="0"/>
          <w14:ligatures w14:val="none"/>
        </w:rPr>
        <w:t>E.2 LOI questions:</w:t>
      </w:r>
      <w:r w:rsidRPr="00CA1B93">
        <w:rPr>
          <w:rFonts w:ascii="Times New Roman" w:eastAsia="Times New Roman" w:hAnsi="Times New Roman" w:cs="Times New Roman"/>
          <w:kern w:val="0"/>
          <w14:ligatures w14:val="none"/>
        </w:rPr>
        <w:br/>
      </w:r>
      <w:r w:rsidRPr="00CA1B93">
        <w:rPr>
          <w:rFonts w:ascii="Times New Roman" w:eastAsia="Times New Roman" w:hAnsi="Times New Roman" w:cs="Times New Roman"/>
          <w:b/>
          <w:bCs/>
          <w:kern w:val="0"/>
          <w14:ligatures w14:val="none"/>
        </w:rPr>
        <w:t>E1.</w:t>
      </w:r>
      <w:r w:rsidRPr="00CA1B93">
        <w:rPr>
          <w:rFonts w:ascii="Times New Roman" w:eastAsia="Times New Roman" w:hAnsi="Times New Roman" w:cs="Times New Roman"/>
          <w:kern w:val="0"/>
          <w14:ligatures w14:val="none"/>
        </w:rPr>
        <w:t xml:space="preserve"> Provide the legal basis for bans or dispersals of demonstrations since April 2021, including the necessity and proportionality assessment applied in each case, and the availability and use of rapid judicial review. </w:t>
      </w:r>
      <w:r w:rsidRPr="00CA1B93">
        <w:rPr>
          <w:rFonts w:ascii="Times New Roman" w:eastAsia="Times New Roman" w:hAnsi="Times New Roman" w:cs="Times New Roman"/>
          <w:kern w:val="0"/>
          <w14:ligatures w14:val="none"/>
        </w:rPr>
        <w:br/>
      </w:r>
      <w:r w:rsidRPr="00CA1B93">
        <w:rPr>
          <w:rFonts w:ascii="Times New Roman" w:eastAsia="Times New Roman" w:hAnsi="Times New Roman" w:cs="Times New Roman"/>
          <w:b/>
          <w:bCs/>
          <w:kern w:val="0"/>
          <w14:ligatures w14:val="none"/>
        </w:rPr>
        <w:t>E2.</w:t>
      </w:r>
      <w:r w:rsidRPr="00CA1B93">
        <w:rPr>
          <w:rFonts w:ascii="Times New Roman" w:eastAsia="Times New Roman" w:hAnsi="Times New Roman" w:cs="Times New Roman"/>
          <w:kern w:val="0"/>
          <w14:ligatures w14:val="none"/>
        </w:rPr>
        <w:t xml:space="preserve"> Provide statistics since April 2021 on demonstrations notified, banned, dispersed, number of arrests, number of firearms deployments, number of deaths and serious injuries, and the number of officials disciplined or prosecuted for unlawful force, disaggregated by location and unit. </w:t>
      </w:r>
      <w:r w:rsidRPr="00CA1B93">
        <w:rPr>
          <w:rFonts w:ascii="Times New Roman" w:eastAsia="Times New Roman" w:hAnsi="Times New Roman" w:cs="Times New Roman"/>
          <w:kern w:val="0"/>
          <w14:ligatures w14:val="none"/>
        </w:rPr>
        <w:br/>
      </w:r>
      <w:r w:rsidRPr="00CA1B93">
        <w:rPr>
          <w:rFonts w:ascii="Times New Roman" w:eastAsia="Times New Roman" w:hAnsi="Times New Roman" w:cs="Times New Roman"/>
          <w:b/>
          <w:bCs/>
          <w:kern w:val="0"/>
          <w14:ligatures w14:val="none"/>
        </w:rPr>
        <w:t>E3.</w:t>
      </w:r>
      <w:r w:rsidRPr="00CA1B93">
        <w:rPr>
          <w:rFonts w:ascii="Times New Roman" w:eastAsia="Times New Roman" w:hAnsi="Times New Roman" w:cs="Times New Roman"/>
          <w:kern w:val="0"/>
          <w14:ligatures w14:val="none"/>
        </w:rPr>
        <w:t xml:space="preserve"> Provide the full list of journalists assaulted, threatened, detained, or prosecuted while covering demonstrations since April 2021, and the investigative and prosecutorial outcomes in each case, including command responsibility where security forces were implicated. </w:t>
      </w:r>
      <w:r w:rsidRPr="00CA1B93">
        <w:rPr>
          <w:rFonts w:ascii="Times New Roman" w:eastAsia="Times New Roman" w:hAnsi="Times New Roman" w:cs="Times New Roman"/>
          <w:kern w:val="0"/>
          <w14:ligatures w14:val="none"/>
        </w:rPr>
        <w:br/>
      </w:r>
      <w:r w:rsidRPr="00CA1B93">
        <w:rPr>
          <w:rFonts w:ascii="Times New Roman" w:eastAsia="Times New Roman" w:hAnsi="Times New Roman" w:cs="Times New Roman"/>
          <w:b/>
          <w:bCs/>
          <w:kern w:val="0"/>
          <w14:ligatures w14:val="none"/>
        </w:rPr>
        <w:t>E4.</w:t>
      </w:r>
      <w:r w:rsidRPr="00CA1B93">
        <w:rPr>
          <w:rFonts w:ascii="Times New Roman" w:eastAsia="Times New Roman" w:hAnsi="Times New Roman" w:cs="Times New Roman"/>
          <w:kern w:val="0"/>
          <w14:ligatures w14:val="none"/>
        </w:rPr>
        <w:t xml:space="preserve"> Provide the legal and administrative framework governing registration and operation of civil society organisations and political parties, including any suspension or restriction decisions since April 2021, with the stated reasons, legal basis, and judicial review outcomes.</w:t>
      </w:r>
      <w:r w:rsidRPr="00CA1B93">
        <w:rPr>
          <w:rFonts w:ascii="Times New Roman" w:eastAsia="Times New Roman" w:hAnsi="Times New Roman" w:cs="Times New Roman"/>
          <w:kern w:val="0"/>
          <w14:ligatures w14:val="none"/>
        </w:rPr>
        <w:br/>
      </w:r>
      <w:r w:rsidRPr="00CA1B93">
        <w:rPr>
          <w:rFonts w:ascii="Times New Roman" w:eastAsia="Times New Roman" w:hAnsi="Times New Roman" w:cs="Times New Roman"/>
          <w:b/>
          <w:bCs/>
          <w:kern w:val="0"/>
          <w14:ligatures w14:val="none"/>
        </w:rPr>
        <w:t>E5.</w:t>
      </w:r>
      <w:r w:rsidRPr="00CA1B93">
        <w:rPr>
          <w:rFonts w:ascii="Times New Roman" w:eastAsia="Times New Roman" w:hAnsi="Times New Roman" w:cs="Times New Roman"/>
          <w:kern w:val="0"/>
          <w14:ligatures w14:val="none"/>
        </w:rPr>
        <w:t xml:space="preserve"> Provide measures ensuring that restrictions on expression and assembly are not used as a political instrument, including oversight safeguards and remedies for victims of unlawful restrictions.</w:t>
      </w:r>
    </w:p>
    <w:p w14:paraId="1ABD07DF" w14:textId="6A7ACD3F" w:rsidR="00CA1B93" w:rsidRPr="00CA1B93" w:rsidRDefault="00CA1B93" w:rsidP="00CA1B93">
      <w:pPr>
        <w:bidi w:val="0"/>
        <w:spacing w:before="100" w:beforeAutospacing="1" w:after="100" w:afterAutospacing="1" w:line="360" w:lineRule="auto"/>
        <w:rPr>
          <w:rFonts w:ascii="Times New Roman" w:eastAsia="Times New Roman" w:hAnsi="Times New Roman" w:cs="Times New Roman"/>
          <w:kern w:val="0"/>
          <w14:ligatures w14:val="none"/>
        </w:rPr>
      </w:pPr>
      <w:r w:rsidRPr="00CA1B93">
        <w:rPr>
          <w:rFonts w:ascii="Times New Roman" w:eastAsia="Times New Roman" w:hAnsi="Times New Roman" w:cs="Times New Roman"/>
          <w:b/>
          <w:bCs/>
          <w:kern w:val="0"/>
          <w14:ligatures w14:val="none"/>
        </w:rPr>
        <w:lastRenderedPageBreak/>
        <w:t>E.3 Required benchmark:</w:t>
      </w:r>
      <w:r w:rsidRPr="00CA1B93">
        <w:rPr>
          <w:rFonts w:ascii="Times New Roman" w:eastAsia="Times New Roman" w:hAnsi="Times New Roman" w:cs="Times New Roman"/>
          <w:kern w:val="0"/>
          <w14:ligatures w14:val="none"/>
        </w:rPr>
        <w:br/>
      </w:r>
      <w:r w:rsidRPr="00CA1B93">
        <w:rPr>
          <w:rFonts w:ascii="Times New Roman" w:eastAsia="Times New Roman" w:hAnsi="Times New Roman" w:cs="Times New Roman"/>
          <w:b/>
          <w:bCs/>
          <w:kern w:val="0"/>
          <w14:ligatures w14:val="none"/>
        </w:rPr>
        <w:t>E6.</w:t>
      </w:r>
      <w:r w:rsidRPr="00CA1B93">
        <w:rPr>
          <w:rFonts w:ascii="Times New Roman" w:eastAsia="Times New Roman" w:hAnsi="Times New Roman" w:cs="Times New Roman"/>
          <w:kern w:val="0"/>
          <w14:ligatures w14:val="none"/>
        </w:rPr>
        <w:t xml:space="preserve"> End blanket bans, implement a strict necessity and proportionality test in law and practice, and ensure accountability for violence against demonstrators and journalists, with public reporting of outcomes.</w:t>
      </w:r>
    </w:p>
    <w:p w14:paraId="60E3BA7F" w14:textId="77777777" w:rsidR="00CA1B93" w:rsidRPr="00CA1B93" w:rsidRDefault="00CA1B93" w:rsidP="00CA1B93">
      <w:pPr>
        <w:bidi w:val="0"/>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CA1B93">
        <w:rPr>
          <w:rFonts w:ascii="Times New Roman" w:eastAsia="Times New Roman" w:hAnsi="Times New Roman" w:cs="Times New Roman"/>
          <w:b/>
          <w:bCs/>
          <w:kern w:val="0"/>
          <w:sz w:val="36"/>
          <w:szCs w:val="36"/>
          <w14:ligatures w14:val="none"/>
        </w:rPr>
        <w:t>5. Core compliance failures requiring explicit treatment in concluding observations</w:t>
      </w:r>
    </w:p>
    <w:p w14:paraId="2A68CE33" w14:textId="787762F0" w:rsidR="00CA1B93" w:rsidRPr="00CA1B93" w:rsidRDefault="00CA1B93" w:rsidP="00CA1B93">
      <w:pPr>
        <w:bidi w:val="0"/>
        <w:spacing w:before="100" w:beforeAutospacing="1" w:after="100" w:afterAutospacing="1" w:line="360" w:lineRule="auto"/>
        <w:rPr>
          <w:rFonts w:ascii="Times New Roman" w:eastAsia="Times New Roman" w:hAnsi="Times New Roman" w:cs="Times New Roman"/>
          <w:kern w:val="0"/>
          <w14:ligatures w14:val="none"/>
        </w:rPr>
      </w:pPr>
      <w:r w:rsidRPr="00CA1B93">
        <w:rPr>
          <w:rFonts w:ascii="Times New Roman" w:eastAsia="Times New Roman" w:hAnsi="Times New Roman" w:cs="Times New Roman"/>
          <w:b/>
          <w:bCs/>
          <w:kern w:val="0"/>
          <w14:ligatures w14:val="none"/>
        </w:rPr>
        <w:t>5.1</w:t>
      </w:r>
      <w:r w:rsidRPr="00CA1B93">
        <w:rPr>
          <w:rFonts w:ascii="Times New Roman" w:eastAsia="Times New Roman" w:hAnsi="Times New Roman" w:cs="Times New Roman"/>
          <w:kern w:val="0"/>
          <w14:ligatures w14:val="none"/>
        </w:rPr>
        <w:t xml:space="preserve"> AIDL flags the following as core compliance failures requiring explicit treatment and measurable follow up:</w:t>
      </w:r>
      <w:r w:rsidRPr="00CA1B93">
        <w:rPr>
          <w:rFonts w:ascii="Times New Roman" w:eastAsia="Times New Roman" w:hAnsi="Times New Roman" w:cs="Times New Roman"/>
          <w:kern w:val="0"/>
          <w14:ligatures w14:val="none"/>
        </w:rPr>
        <w:br/>
        <w:t xml:space="preserve">(a) </w:t>
      </w:r>
      <w:r w:rsidRPr="00CA1B93">
        <w:rPr>
          <w:rFonts w:ascii="Times New Roman" w:eastAsia="Times New Roman" w:hAnsi="Times New Roman" w:cs="Times New Roman"/>
          <w:b/>
          <w:bCs/>
          <w:kern w:val="0"/>
          <w14:ligatures w14:val="none"/>
        </w:rPr>
        <w:t>Failure to ensure credible justice</w:t>
      </w:r>
      <w:r w:rsidRPr="00CA1B93">
        <w:rPr>
          <w:rFonts w:ascii="Times New Roman" w:eastAsia="Times New Roman" w:hAnsi="Times New Roman" w:cs="Times New Roman"/>
          <w:kern w:val="0"/>
          <w14:ligatures w14:val="none"/>
        </w:rPr>
        <w:t xml:space="preserve"> for killings and abuses linked to major protest events, including October 2022, through prompt, effective, independent criminal investigations and prosecutions. </w:t>
      </w:r>
      <w:r w:rsidRPr="00CA1B93">
        <w:rPr>
          <w:rFonts w:ascii="Times New Roman" w:eastAsia="Times New Roman" w:hAnsi="Times New Roman" w:cs="Times New Roman"/>
          <w:kern w:val="0"/>
          <w14:ligatures w14:val="none"/>
        </w:rPr>
        <w:br/>
        <w:t xml:space="preserve">(b) </w:t>
      </w:r>
      <w:r w:rsidRPr="00CA1B93">
        <w:rPr>
          <w:rFonts w:ascii="Times New Roman" w:eastAsia="Times New Roman" w:hAnsi="Times New Roman" w:cs="Times New Roman"/>
          <w:b/>
          <w:bCs/>
          <w:kern w:val="0"/>
          <w14:ligatures w14:val="none"/>
        </w:rPr>
        <w:t>Use of high security detention and transfers, including Koro Toro, as a tool of political control</w:t>
      </w:r>
      <w:r w:rsidRPr="00CA1B93">
        <w:rPr>
          <w:rFonts w:ascii="Times New Roman" w:eastAsia="Times New Roman" w:hAnsi="Times New Roman" w:cs="Times New Roman"/>
          <w:kern w:val="0"/>
          <w14:ligatures w14:val="none"/>
        </w:rPr>
        <w:t xml:space="preserve">, with documented severe abuse risks and deaths in custody. (c) </w:t>
      </w:r>
      <w:r w:rsidRPr="00CA1B93">
        <w:rPr>
          <w:rFonts w:ascii="Times New Roman" w:eastAsia="Times New Roman" w:hAnsi="Times New Roman" w:cs="Times New Roman"/>
          <w:b/>
          <w:bCs/>
          <w:kern w:val="0"/>
          <w14:ligatures w14:val="none"/>
        </w:rPr>
        <w:t>Persistence of torture and ill treatment risks and deaths in custody</w:t>
      </w:r>
      <w:r w:rsidRPr="00CA1B93">
        <w:rPr>
          <w:rFonts w:ascii="Times New Roman" w:eastAsia="Times New Roman" w:hAnsi="Times New Roman" w:cs="Times New Roman"/>
          <w:kern w:val="0"/>
          <w14:ligatures w14:val="none"/>
        </w:rPr>
        <w:t xml:space="preserve"> with inadequate independent oversight and effective remedy. </w:t>
      </w:r>
      <w:r w:rsidRPr="00CA1B93">
        <w:rPr>
          <w:rFonts w:ascii="Times New Roman" w:eastAsia="Times New Roman" w:hAnsi="Times New Roman" w:cs="Times New Roman"/>
          <w:kern w:val="0"/>
          <w14:ligatures w14:val="none"/>
        </w:rPr>
        <w:br/>
        <w:t xml:space="preserve">(d) </w:t>
      </w:r>
      <w:r w:rsidRPr="00CA1B93">
        <w:rPr>
          <w:rFonts w:ascii="Times New Roman" w:eastAsia="Times New Roman" w:hAnsi="Times New Roman" w:cs="Times New Roman"/>
          <w:b/>
          <w:bCs/>
          <w:kern w:val="0"/>
          <w14:ligatures w14:val="none"/>
        </w:rPr>
        <w:t>Degradation of civic space</w:t>
      </w:r>
      <w:r w:rsidRPr="00CA1B93">
        <w:rPr>
          <w:rFonts w:ascii="Times New Roman" w:eastAsia="Times New Roman" w:hAnsi="Times New Roman" w:cs="Times New Roman"/>
          <w:kern w:val="0"/>
          <w14:ligatures w14:val="none"/>
        </w:rPr>
        <w:t xml:space="preserve"> through restrictions, force, and intimidation against demonstrators, opposition actors, and journalists. </w:t>
      </w:r>
      <w:r w:rsidRPr="00CA1B93">
        <w:rPr>
          <w:rFonts w:ascii="Times New Roman" w:eastAsia="Times New Roman" w:hAnsi="Times New Roman" w:cs="Times New Roman"/>
          <w:kern w:val="0"/>
          <w14:ligatures w14:val="none"/>
        </w:rPr>
        <w:br/>
        <w:t xml:space="preserve">(e) </w:t>
      </w:r>
      <w:r w:rsidRPr="00CA1B93">
        <w:rPr>
          <w:rFonts w:ascii="Times New Roman" w:eastAsia="Times New Roman" w:hAnsi="Times New Roman" w:cs="Times New Roman"/>
          <w:b/>
          <w:bCs/>
          <w:kern w:val="0"/>
          <w14:ligatures w14:val="none"/>
        </w:rPr>
        <w:t>Legislative or policy measures that entrench impunity</w:t>
      </w:r>
      <w:r w:rsidRPr="00CA1B93">
        <w:rPr>
          <w:rFonts w:ascii="Times New Roman" w:eastAsia="Times New Roman" w:hAnsi="Times New Roman" w:cs="Times New Roman"/>
          <w:kern w:val="0"/>
          <w14:ligatures w14:val="none"/>
        </w:rPr>
        <w:t xml:space="preserve">, including credible criticism that amnesty measures undermine victims’ rights to justice and reinforce non accountability. </w:t>
      </w:r>
    </w:p>
    <w:p w14:paraId="11BB5113" w14:textId="77777777" w:rsidR="00CA1B93" w:rsidRPr="00CA1B93" w:rsidRDefault="00CA1B93" w:rsidP="00CA1B93">
      <w:pPr>
        <w:bidi w:val="0"/>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CA1B93">
        <w:rPr>
          <w:rFonts w:ascii="Times New Roman" w:eastAsia="Times New Roman" w:hAnsi="Times New Roman" w:cs="Times New Roman"/>
          <w:b/>
          <w:bCs/>
          <w:kern w:val="0"/>
          <w:sz w:val="36"/>
          <w:szCs w:val="36"/>
          <w14:ligatures w14:val="none"/>
        </w:rPr>
        <w:t>6. Remedies and follow up requested from the Committee</w:t>
      </w:r>
    </w:p>
    <w:p w14:paraId="633AFD7D" w14:textId="154136B3" w:rsidR="00CA1B93" w:rsidRPr="00CA1B93" w:rsidRDefault="00CA1B93" w:rsidP="00CA1B93">
      <w:pPr>
        <w:bidi w:val="0"/>
        <w:spacing w:before="100" w:beforeAutospacing="1" w:after="100" w:afterAutospacing="1" w:line="360" w:lineRule="auto"/>
        <w:rPr>
          <w:rFonts w:ascii="Times New Roman" w:eastAsia="Times New Roman" w:hAnsi="Times New Roman" w:cs="Times New Roman"/>
          <w:kern w:val="0"/>
          <w14:ligatures w14:val="none"/>
        </w:rPr>
      </w:pPr>
      <w:r w:rsidRPr="00CA1B93">
        <w:rPr>
          <w:rFonts w:ascii="Times New Roman" w:eastAsia="Times New Roman" w:hAnsi="Times New Roman" w:cs="Times New Roman"/>
          <w:b/>
          <w:bCs/>
          <w:kern w:val="0"/>
          <w14:ligatures w14:val="none"/>
        </w:rPr>
        <w:t>6.1</w:t>
      </w:r>
      <w:r w:rsidRPr="00CA1B93">
        <w:rPr>
          <w:rFonts w:ascii="Times New Roman" w:eastAsia="Times New Roman" w:hAnsi="Times New Roman" w:cs="Times New Roman"/>
          <w:kern w:val="0"/>
          <w14:ligatures w14:val="none"/>
        </w:rPr>
        <w:t xml:space="preserve"> AIDL requests that the Committee:</w:t>
      </w:r>
      <w:r w:rsidRPr="00CA1B93">
        <w:rPr>
          <w:rFonts w:ascii="Times New Roman" w:eastAsia="Times New Roman" w:hAnsi="Times New Roman" w:cs="Times New Roman"/>
          <w:kern w:val="0"/>
          <w14:ligatures w14:val="none"/>
        </w:rPr>
        <w:br/>
      </w:r>
      <w:r w:rsidRPr="00CA1B93">
        <w:rPr>
          <w:rFonts w:ascii="Times New Roman" w:eastAsia="Times New Roman" w:hAnsi="Times New Roman" w:cs="Times New Roman"/>
          <w:b/>
          <w:bCs/>
          <w:kern w:val="0"/>
          <w14:ligatures w14:val="none"/>
        </w:rPr>
        <w:t>F1.</w:t>
      </w:r>
      <w:r w:rsidRPr="00CA1B93">
        <w:rPr>
          <w:rFonts w:ascii="Times New Roman" w:eastAsia="Times New Roman" w:hAnsi="Times New Roman" w:cs="Times New Roman"/>
          <w:kern w:val="0"/>
          <w14:ligatures w14:val="none"/>
        </w:rPr>
        <w:t xml:space="preserve"> Issue concluding observations requiring Chad to publish, within fixed deadlines, disaggregated data and documentary annexes responding to LOI items A1–A5, B1–B6, C1–C5, D1–D5, and E1–E5, including chain of command documentation and prosecutorial outcomes.</w:t>
      </w:r>
      <w:r w:rsidRPr="00CA1B93">
        <w:rPr>
          <w:rFonts w:ascii="Times New Roman" w:eastAsia="Times New Roman" w:hAnsi="Times New Roman" w:cs="Times New Roman"/>
          <w:kern w:val="0"/>
          <w14:ligatures w14:val="none"/>
        </w:rPr>
        <w:br/>
      </w:r>
      <w:r w:rsidRPr="00CA1B93">
        <w:rPr>
          <w:rFonts w:ascii="Times New Roman" w:eastAsia="Times New Roman" w:hAnsi="Times New Roman" w:cs="Times New Roman"/>
          <w:b/>
          <w:bCs/>
          <w:kern w:val="0"/>
          <w14:ligatures w14:val="none"/>
        </w:rPr>
        <w:t>F2.</w:t>
      </w:r>
      <w:r w:rsidRPr="00CA1B93">
        <w:rPr>
          <w:rFonts w:ascii="Times New Roman" w:eastAsia="Times New Roman" w:hAnsi="Times New Roman" w:cs="Times New Roman"/>
          <w:kern w:val="0"/>
          <w14:ligatures w14:val="none"/>
        </w:rPr>
        <w:t xml:space="preserve"> Require a focused follow up report on Articles 6, 7, 9, 14, 19, 21, and 22 within a strict timeline, with measurable indicators and verifiable evidence, including public disclosure of investigations, prosecutions, convictions, sanctions, and reparations.</w:t>
      </w:r>
      <w:r w:rsidRPr="00CA1B93">
        <w:rPr>
          <w:rFonts w:ascii="Times New Roman" w:eastAsia="Times New Roman" w:hAnsi="Times New Roman" w:cs="Times New Roman"/>
          <w:kern w:val="0"/>
          <w14:ligatures w14:val="none"/>
        </w:rPr>
        <w:br/>
      </w:r>
      <w:r w:rsidRPr="00CA1B93">
        <w:rPr>
          <w:rFonts w:ascii="Times New Roman" w:eastAsia="Times New Roman" w:hAnsi="Times New Roman" w:cs="Times New Roman"/>
          <w:b/>
          <w:bCs/>
          <w:kern w:val="0"/>
          <w14:ligatures w14:val="none"/>
        </w:rPr>
        <w:t>F3.</w:t>
      </w:r>
      <w:r w:rsidRPr="00CA1B93">
        <w:rPr>
          <w:rFonts w:ascii="Times New Roman" w:eastAsia="Times New Roman" w:hAnsi="Times New Roman" w:cs="Times New Roman"/>
          <w:kern w:val="0"/>
          <w14:ligatures w14:val="none"/>
        </w:rPr>
        <w:t xml:space="preserve"> Require independent investigation standards for protest related deaths and detention </w:t>
      </w:r>
      <w:r w:rsidRPr="00CA1B93">
        <w:rPr>
          <w:rFonts w:ascii="Times New Roman" w:eastAsia="Times New Roman" w:hAnsi="Times New Roman" w:cs="Times New Roman"/>
          <w:kern w:val="0"/>
          <w14:ligatures w14:val="none"/>
        </w:rPr>
        <w:lastRenderedPageBreak/>
        <w:t>abuses, including witness protection, public reporting, victim remedy, and guarantees of non repetition.</w:t>
      </w:r>
      <w:r w:rsidRPr="00CA1B93">
        <w:rPr>
          <w:rFonts w:ascii="Times New Roman" w:eastAsia="Times New Roman" w:hAnsi="Times New Roman" w:cs="Times New Roman"/>
          <w:kern w:val="0"/>
          <w14:ligatures w14:val="none"/>
        </w:rPr>
        <w:br/>
      </w:r>
      <w:r w:rsidRPr="00CA1B93">
        <w:rPr>
          <w:rFonts w:ascii="Times New Roman" w:eastAsia="Times New Roman" w:hAnsi="Times New Roman" w:cs="Times New Roman"/>
          <w:b/>
          <w:bCs/>
          <w:kern w:val="0"/>
          <w14:ligatures w14:val="none"/>
        </w:rPr>
        <w:t>F4.</w:t>
      </w:r>
      <w:r w:rsidRPr="00CA1B93">
        <w:rPr>
          <w:rFonts w:ascii="Times New Roman" w:eastAsia="Times New Roman" w:hAnsi="Times New Roman" w:cs="Times New Roman"/>
          <w:kern w:val="0"/>
          <w14:ligatures w14:val="none"/>
        </w:rPr>
        <w:t xml:space="preserve"> Require Chad to report on legal and practical measures to prevent the use of emergency style security practices to suppress lawful civic participation, including bans on live ammunition use in assemblies and enforceable sanctions for violations. </w:t>
      </w:r>
    </w:p>
    <w:p w14:paraId="691B8883" w14:textId="77777777" w:rsidR="00CA1B93" w:rsidRPr="00CA1B93" w:rsidRDefault="00CA1B93" w:rsidP="00CA1B93">
      <w:pPr>
        <w:bidi w:val="0"/>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CA1B93">
        <w:rPr>
          <w:rFonts w:ascii="Times New Roman" w:eastAsia="Times New Roman" w:hAnsi="Times New Roman" w:cs="Times New Roman"/>
          <w:b/>
          <w:bCs/>
          <w:kern w:val="0"/>
          <w:sz w:val="36"/>
          <w:szCs w:val="36"/>
          <w14:ligatures w14:val="none"/>
        </w:rPr>
        <w:t>7. Procedural compliance note (acceptance and publication)</w:t>
      </w:r>
    </w:p>
    <w:p w14:paraId="1E0E9826" w14:textId="76C74B24" w:rsidR="00CA1B93" w:rsidRPr="00CA1B93" w:rsidRDefault="00CA1B93" w:rsidP="00CA1B93">
      <w:pPr>
        <w:bidi w:val="0"/>
        <w:spacing w:before="100" w:beforeAutospacing="1" w:after="100" w:afterAutospacing="1" w:line="360" w:lineRule="auto"/>
        <w:rPr>
          <w:rFonts w:ascii="Times New Roman" w:eastAsia="Times New Roman" w:hAnsi="Times New Roman" w:cs="Times New Roman"/>
          <w:kern w:val="0"/>
          <w14:ligatures w14:val="none"/>
        </w:rPr>
      </w:pPr>
      <w:r w:rsidRPr="00CA1B93">
        <w:rPr>
          <w:rFonts w:ascii="Times New Roman" w:eastAsia="Times New Roman" w:hAnsi="Times New Roman" w:cs="Times New Roman"/>
          <w:b/>
          <w:bCs/>
          <w:kern w:val="0"/>
          <w14:ligatures w14:val="none"/>
        </w:rPr>
        <w:t>7.1</w:t>
      </w:r>
      <w:r w:rsidRPr="00CA1B93">
        <w:rPr>
          <w:rFonts w:ascii="Times New Roman" w:eastAsia="Times New Roman" w:hAnsi="Times New Roman" w:cs="Times New Roman"/>
          <w:kern w:val="0"/>
          <w14:ligatures w14:val="none"/>
        </w:rPr>
        <w:t xml:space="preserve"> OHCHR guidance for the Human Rights Committee provides that written submissions should be concise and precise, limited to 10,000 words, and submitted in English, French, or Spanish, within deadlines published before each session. </w:t>
      </w:r>
      <w:r w:rsidRPr="00CA1B93">
        <w:rPr>
          <w:rFonts w:ascii="Times New Roman" w:eastAsia="Times New Roman" w:hAnsi="Times New Roman" w:cs="Times New Roman"/>
          <w:kern w:val="0"/>
          <w14:ligatures w14:val="none"/>
        </w:rPr>
        <w:br/>
      </w:r>
      <w:r w:rsidRPr="00CA1B93">
        <w:rPr>
          <w:rFonts w:ascii="Times New Roman" w:eastAsia="Times New Roman" w:hAnsi="Times New Roman" w:cs="Times New Roman"/>
          <w:b/>
          <w:bCs/>
          <w:kern w:val="0"/>
          <w14:ligatures w14:val="none"/>
        </w:rPr>
        <w:t>7.2</w:t>
      </w:r>
      <w:r w:rsidRPr="00CA1B93">
        <w:rPr>
          <w:rFonts w:ascii="Times New Roman" w:eastAsia="Times New Roman" w:hAnsi="Times New Roman" w:cs="Times New Roman"/>
          <w:kern w:val="0"/>
          <w14:ligatures w14:val="none"/>
        </w:rPr>
        <w:t xml:space="preserve"> The CCPR 145th session details and documentation for Chad are published in the UN Treaty Body Database. </w:t>
      </w:r>
    </w:p>
    <w:p w14:paraId="30EF9EA1" w14:textId="77777777" w:rsidR="00CA1B93" w:rsidRPr="00CA1B93" w:rsidRDefault="00CA1B93" w:rsidP="00CA1B93">
      <w:pPr>
        <w:bidi w:val="0"/>
        <w:spacing w:before="100" w:beforeAutospacing="1" w:after="100" w:afterAutospacing="1" w:line="360" w:lineRule="auto"/>
        <w:outlineLvl w:val="1"/>
        <w:rPr>
          <w:rFonts w:ascii="Times New Roman" w:eastAsia="Times New Roman" w:hAnsi="Times New Roman" w:cs="Times New Roman"/>
          <w:b/>
          <w:bCs/>
          <w:kern w:val="0"/>
          <w:sz w:val="36"/>
          <w:szCs w:val="36"/>
          <w14:ligatures w14:val="none"/>
        </w:rPr>
      </w:pPr>
      <w:r w:rsidRPr="00CA1B93">
        <w:rPr>
          <w:rFonts w:ascii="Times New Roman" w:eastAsia="Times New Roman" w:hAnsi="Times New Roman" w:cs="Times New Roman"/>
          <w:b/>
          <w:bCs/>
          <w:kern w:val="0"/>
          <w:sz w:val="36"/>
          <w:szCs w:val="36"/>
          <w14:ligatures w14:val="none"/>
        </w:rPr>
        <w:t>Final institutional statement</w:t>
      </w:r>
    </w:p>
    <w:p w14:paraId="73A5627F" w14:textId="489C5F5A" w:rsidR="00CA1B93" w:rsidRPr="00CA1B93" w:rsidRDefault="00CA1B93" w:rsidP="00CA1B93">
      <w:pPr>
        <w:bidi w:val="0"/>
        <w:spacing w:before="100" w:beforeAutospacing="1" w:after="100" w:afterAutospacing="1" w:line="360" w:lineRule="auto"/>
        <w:rPr>
          <w:rFonts w:ascii="Times New Roman" w:eastAsia="Times New Roman" w:hAnsi="Times New Roman" w:cs="Times New Roman"/>
          <w:kern w:val="0"/>
          <w14:ligatures w14:val="none"/>
        </w:rPr>
      </w:pPr>
      <w:r w:rsidRPr="00CA1B93">
        <w:rPr>
          <w:rFonts w:ascii="Times New Roman" w:eastAsia="Times New Roman" w:hAnsi="Times New Roman" w:cs="Times New Roman"/>
          <w:b/>
          <w:bCs/>
          <w:kern w:val="0"/>
          <w14:ligatures w14:val="none"/>
        </w:rPr>
        <w:t>8.1</w:t>
      </w:r>
      <w:r w:rsidRPr="00CA1B93">
        <w:rPr>
          <w:rFonts w:ascii="Times New Roman" w:eastAsia="Times New Roman" w:hAnsi="Times New Roman" w:cs="Times New Roman"/>
          <w:kern w:val="0"/>
          <w14:ligatures w14:val="none"/>
        </w:rPr>
        <w:t xml:space="preserve"> AIDL stresses that Chad’s ICCPR breach profile is not a technical deficit. It is a governance choice reflected in the documented use of lethal force against demonstrators, patterns of arbitrary detention, transfers and abuses linked to Koro Toro, and intimidation of journalists and civic actors. </w:t>
      </w:r>
      <w:r w:rsidRPr="00CA1B93">
        <w:rPr>
          <w:rFonts w:ascii="Times New Roman" w:eastAsia="Times New Roman" w:hAnsi="Times New Roman" w:cs="Times New Roman"/>
          <w:kern w:val="0"/>
          <w14:ligatures w14:val="none"/>
        </w:rPr>
        <w:br/>
      </w:r>
      <w:r w:rsidRPr="00CA1B93">
        <w:rPr>
          <w:rFonts w:ascii="Times New Roman" w:eastAsia="Times New Roman" w:hAnsi="Times New Roman" w:cs="Times New Roman"/>
          <w:b/>
          <w:bCs/>
          <w:kern w:val="0"/>
          <w14:ligatures w14:val="none"/>
        </w:rPr>
        <w:t>8.2</w:t>
      </w:r>
      <w:r w:rsidRPr="00CA1B93">
        <w:rPr>
          <w:rFonts w:ascii="Times New Roman" w:eastAsia="Times New Roman" w:hAnsi="Times New Roman" w:cs="Times New Roman"/>
          <w:kern w:val="0"/>
          <w14:ligatures w14:val="none"/>
        </w:rPr>
        <w:t xml:space="preserve"> The Committee should respond with maximum institutional seriousness: not general language, not open ended recommendations, but enforceable, data bound obligations that compel disclosure, pierce impunity, and establish measurable compliance under the Covenant.</w:t>
      </w:r>
    </w:p>
    <w:p w14:paraId="4615E567" w14:textId="77777777" w:rsidR="00BC7E18" w:rsidRPr="00BC7E18" w:rsidRDefault="00BC7E18" w:rsidP="00CA1B93">
      <w:pPr>
        <w:bidi w:val="0"/>
        <w:spacing w:line="360" w:lineRule="auto"/>
      </w:pPr>
    </w:p>
    <w:sectPr w:rsidR="00BC7E18" w:rsidRPr="00BC7E18" w:rsidSect="00CA1B93">
      <w:pgSz w:w="11906" w:h="16838"/>
      <w:pgMar w:top="1440" w:right="1274" w:bottom="1440" w:left="1701"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D272D"/>
    <w:multiLevelType w:val="multilevel"/>
    <w:tmpl w:val="3A4E4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D7167B"/>
    <w:multiLevelType w:val="multilevel"/>
    <w:tmpl w:val="255C9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BF00FA"/>
    <w:multiLevelType w:val="multilevel"/>
    <w:tmpl w:val="68866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9141E2"/>
    <w:multiLevelType w:val="multilevel"/>
    <w:tmpl w:val="98F8D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0170212"/>
    <w:multiLevelType w:val="multilevel"/>
    <w:tmpl w:val="26B43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DD187F"/>
    <w:multiLevelType w:val="multilevel"/>
    <w:tmpl w:val="FE1AC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7BD6C2E"/>
    <w:multiLevelType w:val="multilevel"/>
    <w:tmpl w:val="F0B4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A794BB6"/>
    <w:multiLevelType w:val="multilevel"/>
    <w:tmpl w:val="7C402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3826976"/>
    <w:multiLevelType w:val="multilevel"/>
    <w:tmpl w:val="3F900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56B2313"/>
    <w:multiLevelType w:val="multilevel"/>
    <w:tmpl w:val="ADC2A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B96587E"/>
    <w:multiLevelType w:val="multilevel"/>
    <w:tmpl w:val="3D229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85E2633"/>
    <w:multiLevelType w:val="multilevel"/>
    <w:tmpl w:val="46324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E246E3"/>
    <w:multiLevelType w:val="multilevel"/>
    <w:tmpl w:val="2B76C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EE73188"/>
    <w:multiLevelType w:val="multilevel"/>
    <w:tmpl w:val="DFD0D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9289330">
    <w:abstractNumId w:val="12"/>
  </w:num>
  <w:num w:numId="2" w16cid:durableId="1494180610">
    <w:abstractNumId w:val="5"/>
  </w:num>
  <w:num w:numId="3" w16cid:durableId="1911385046">
    <w:abstractNumId w:val="13"/>
  </w:num>
  <w:num w:numId="4" w16cid:durableId="116418576">
    <w:abstractNumId w:val="7"/>
  </w:num>
  <w:num w:numId="5" w16cid:durableId="682123946">
    <w:abstractNumId w:val="11"/>
  </w:num>
  <w:num w:numId="6" w16cid:durableId="2110656799">
    <w:abstractNumId w:val="8"/>
  </w:num>
  <w:num w:numId="7" w16cid:durableId="859320934">
    <w:abstractNumId w:val="1"/>
  </w:num>
  <w:num w:numId="8" w16cid:durableId="1942489166">
    <w:abstractNumId w:val="3"/>
  </w:num>
  <w:num w:numId="9" w16cid:durableId="1546479548">
    <w:abstractNumId w:val="4"/>
  </w:num>
  <w:num w:numId="10" w16cid:durableId="14188382">
    <w:abstractNumId w:val="9"/>
  </w:num>
  <w:num w:numId="11" w16cid:durableId="1830246120">
    <w:abstractNumId w:val="0"/>
  </w:num>
  <w:num w:numId="12" w16cid:durableId="1024867823">
    <w:abstractNumId w:val="10"/>
  </w:num>
  <w:num w:numId="13" w16cid:durableId="1775859107">
    <w:abstractNumId w:val="2"/>
  </w:num>
  <w:num w:numId="14" w16cid:durableId="12720566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E18"/>
    <w:rsid w:val="00054965"/>
    <w:rsid w:val="00126143"/>
    <w:rsid w:val="004A630D"/>
    <w:rsid w:val="008D6B23"/>
    <w:rsid w:val="00BC7E18"/>
    <w:rsid w:val="00CA1B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43222"/>
  <w15:chartTrackingRefBased/>
  <w15:docId w15:val="{35DBC12B-5777-42B5-842A-BD4531546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BC7E1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BC7E1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BC7E18"/>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BC7E18"/>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BC7E18"/>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BC7E1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C7E1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C7E1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C7E1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C7E18"/>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BC7E18"/>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BC7E18"/>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BC7E18"/>
    <w:rPr>
      <w:rFonts w:eastAsiaTheme="majorEastAsia" w:cstheme="majorBidi"/>
      <w:i/>
      <w:iCs/>
      <w:color w:val="2F5496" w:themeColor="accent1" w:themeShade="BF"/>
    </w:rPr>
  </w:style>
  <w:style w:type="character" w:customStyle="1" w:styleId="5Char">
    <w:name w:val="عنوان 5 Char"/>
    <w:basedOn w:val="a0"/>
    <w:link w:val="5"/>
    <w:uiPriority w:val="9"/>
    <w:semiHidden/>
    <w:rsid w:val="00BC7E18"/>
    <w:rPr>
      <w:rFonts w:eastAsiaTheme="majorEastAsia" w:cstheme="majorBidi"/>
      <w:color w:val="2F5496" w:themeColor="accent1" w:themeShade="BF"/>
    </w:rPr>
  </w:style>
  <w:style w:type="character" w:customStyle="1" w:styleId="6Char">
    <w:name w:val="عنوان 6 Char"/>
    <w:basedOn w:val="a0"/>
    <w:link w:val="6"/>
    <w:uiPriority w:val="9"/>
    <w:semiHidden/>
    <w:rsid w:val="00BC7E18"/>
    <w:rPr>
      <w:rFonts w:eastAsiaTheme="majorEastAsia" w:cstheme="majorBidi"/>
      <w:i/>
      <w:iCs/>
      <w:color w:val="595959" w:themeColor="text1" w:themeTint="A6"/>
    </w:rPr>
  </w:style>
  <w:style w:type="character" w:customStyle="1" w:styleId="7Char">
    <w:name w:val="عنوان 7 Char"/>
    <w:basedOn w:val="a0"/>
    <w:link w:val="7"/>
    <w:uiPriority w:val="9"/>
    <w:semiHidden/>
    <w:rsid w:val="00BC7E18"/>
    <w:rPr>
      <w:rFonts w:eastAsiaTheme="majorEastAsia" w:cstheme="majorBidi"/>
      <w:color w:val="595959" w:themeColor="text1" w:themeTint="A6"/>
    </w:rPr>
  </w:style>
  <w:style w:type="character" w:customStyle="1" w:styleId="8Char">
    <w:name w:val="عنوان 8 Char"/>
    <w:basedOn w:val="a0"/>
    <w:link w:val="8"/>
    <w:uiPriority w:val="9"/>
    <w:semiHidden/>
    <w:rsid w:val="00BC7E18"/>
    <w:rPr>
      <w:rFonts w:eastAsiaTheme="majorEastAsia" w:cstheme="majorBidi"/>
      <w:i/>
      <w:iCs/>
      <w:color w:val="272727" w:themeColor="text1" w:themeTint="D8"/>
    </w:rPr>
  </w:style>
  <w:style w:type="character" w:customStyle="1" w:styleId="9Char">
    <w:name w:val="عنوان 9 Char"/>
    <w:basedOn w:val="a0"/>
    <w:link w:val="9"/>
    <w:uiPriority w:val="9"/>
    <w:semiHidden/>
    <w:rsid w:val="00BC7E18"/>
    <w:rPr>
      <w:rFonts w:eastAsiaTheme="majorEastAsia" w:cstheme="majorBidi"/>
      <w:color w:val="272727" w:themeColor="text1" w:themeTint="D8"/>
    </w:rPr>
  </w:style>
  <w:style w:type="paragraph" w:styleId="a3">
    <w:name w:val="Title"/>
    <w:basedOn w:val="a"/>
    <w:next w:val="a"/>
    <w:link w:val="Char"/>
    <w:uiPriority w:val="10"/>
    <w:qFormat/>
    <w:rsid w:val="00BC7E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C7E1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C7E1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C7E1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C7E18"/>
    <w:pPr>
      <w:spacing w:before="160"/>
      <w:jc w:val="center"/>
    </w:pPr>
    <w:rPr>
      <w:i/>
      <w:iCs/>
      <w:color w:val="404040" w:themeColor="text1" w:themeTint="BF"/>
    </w:rPr>
  </w:style>
  <w:style w:type="character" w:customStyle="1" w:styleId="Char1">
    <w:name w:val="اقتباس Char"/>
    <w:basedOn w:val="a0"/>
    <w:link w:val="a5"/>
    <w:uiPriority w:val="29"/>
    <w:rsid w:val="00BC7E18"/>
    <w:rPr>
      <w:i/>
      <w:iCs/>
      <w:color w:val="404040" w:themeColor="text1" w:themeTint="BF"/>
    </w:rPr>
  </w:style>
  <w:style w:type="paragraph" w:styleId="a6">
    <w:name w:val="List Paragraph"/>
    <w:basedOn w:val="a"/>
    <w:uiPriority w:val="34"/>
    <w:qFormat/>
    <w:rsid w:val="00BC7E18"/>
    <w:pPr>
      <w:ind w:left="720"/>
      <w:contextualSpacing/>
    </w:pPr>
  </w:style>
  <w:style w:type="character" w:styleId="a7">
    <w:name w:val="Intense Emphasis"/>
    <w:basedOn w:val="a0"/>
    <w:uiPriority w:val="21"/>
    <w:qFormat/>
    <w:rsid w:val="00BC7E18"/>
    <w:rPr>
      <w:i/>
      <w:iCs/>
      <w:color w:val="2F5496" w:themeColor="accent1" w:themeShade="BF"/>
    </w:rPr>
  </w:style>
  <w:style w:type="paragraph" w:styleId="a8">
    <w:name w:val="Intense Quote"/>
    <w:basedOn w:val="a"/>
    <w:next w:val="a"/>
    <w:link w:val="Char2"/>
    <w:uiPriority w:val="30"/>
    <w:qFormat/>
    <w:rsid w:val="00BC7E1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BC7E18"/>
    <w:rPr>
      <w:i/>
      <w:iCs/>
      <w:color w:val="2F5496" w:themeColor="accent1" w:themeShade="BF"/>
    </w:rPr>
  </w:style>
  <w:style w:type="character" w:styleId="a9">
    <w:name w:val="Intense Reference"/>
    <w:basedOn w:val="a0"/>
    <w:uiPriority w:val="32"/>
    <w:qFormat/>
    <w:rsid w:val="00BC7E18"/>
    <w:rPr>
      <w:b/>
      <w:bCs/>
      <w:smallCaps/>
      <w:color w:val="2F5496" w:themeColor="accent1" w:themeShade="BF"/>
      <w:spacing w:val="5"/>
    </w:rPr>
  </w:style>
  <w:style w:type="character" w:styleId="Hyperlink">
    <w:name w:val="Hyperlink"/>
    <w:basedOn w:val="a0"/>
    <w:uiPriority w:val="99"/>
    <w:unhideWhenUsed/>
    <w:rsid w:val="004A630D"/>
    <w:rPr>
      <w:color w:val="0563C1" w:themeColor="hyperlink"/>
      <w:u w:val="single"/>
    </w:rPr>
  </w:style>
  <w:style w:type="character" w:styleId="aa">
    <w:name w:val="Unresolved Mention"/>
    <w:basedOn w:val="a0"/>
    <w:uiPriority w:val="99"/>
    <w:semiHidden/>
    <w:unhideWhenUsed/>
    <w:rsid w:val="004A63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idl@aidl.eu" TargetMode="Externa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2356</Words>
  <Characters>13431</Characters>
  <Application>Microsoft Office Word</Application>
  <DocSecurity>0</DocSecurity>
  <Lines>111</Lines>
  <Paragraphs>31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ALLIANCE INTERNATIONALE AIDL</dc:creator>
  <cp:keywords/>
  <dc:description/>
  <cp:lastModifiedBy>ALLIANCE INTERNATIONALE AIDL</cp:lastModifiedBy>
  <cp:revision>2</cp:revision>
  <dcterms:created xsi:type="dcterms:W3CDTF">2026-01-20T17:56:00Z</dcterms:created>
  <dcterms:modified xsi:type="dcterms:W3CDTF">2026-01-20T18:20:00Z</dcterms:modified>
</cp:coreProperties>
</file>