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177" w:rsidRPr="00C40840" w:rsidRDefault="00324177" w:rsidP="009C5053">
      <w:pPr>
        <w:jc w:val="center"/>
        <w:rPr>
          <w:rFonts w:ascii="Century Gothic" w:hAnsi="Century Gothic"/>
          <w:b/>
          <w:sz w:val="28"/>
          <w:szCs w:val="28"/>
          <w:lang w:val="es-CO"/>
        </w:rPr>
      </w:pPr>
      <w:r w:rsidRPr="00C40840">
        <w:rPr>
          <w:rFonts w:ascii="Century Gothic" w:hAnsi="Century Gothic"/>
          <w:b/>
          <w:sz w:val="28"/>
          <w:szCs w:val="28"/>
          <w:lang w:val="es-CO"/>
        </w:rPr>
        <w:t>RESPUESTAS DEL ESTADO COLOMBIANO A LAS OPINIONES Y PREGUNTAS DE LOS EXPERTOS DEL COMITÉ CONTRA LA TORTURA DE NACIONES UNIDAS FORMULADAS EN LA SESION PLENARIA DEL COMITÉ EL DIA 10 DE NOVIEMBRE DE 2009, CON OCASIÓN DE LA SUSTENTACION DEL IV INFORME DE COLOMBIA SOBRE LA TORTURA.</w:t>
      </w:r>
    </w:p>
    <w:p w:rsidR="00324177" w:rsidRPr="00C40840" w:rsidRDefault="00324177" w:rsidP="009C5053">
      <w:pPr>
        <w:jc w:val="center"/>
        <w:rPr>
          <w:rFonts w:ascii="Century Gothic" w:hAnsi="Century Gothic"/>
          <w:b/>
          <w:sz w:val="28"/>
          <w:szCs w:val="28"/>
          <w:lang w:val="es-CO"/>
        </w:rPr>
      </w:pPr>
    </w:p>
    <w:p w:rsidR="00324177" w:rsidRPr="00C40840" w:rsidRDefault="00324177" w:rsidP="009C5053">
      <w:pPr>
        <w:jc w:val="both"/>
        <w:rPr>
          <w:rFonts w:ascii="Century Gothic" w:hAnsi="Century Gothic"/>
          <w:b/>
          <w:sz w:val="28"/>
          <w:szCs w:val="28"/>
          <w:lang w:val="es-CO"/>
        </w:rPr>
      </w:pPr>
    </w:p>
    <w:p w:rsidR="00324177" w:rsidRPr="00C40840" w:rsidRDefault="001E3B49" w:rsidP="001E3B49">
      <w:pPr>
        <w:ind w:left="567" w:hanging="567"/>
        <w:jc w:val="both"/>
        <w:rPr>
          <w:rFonts w:ascii="Century Gothic" w:hAnsi="Century Gothic"/>
          <w:sz w:val="28"/>
          <w:szCs w:val="28"/>
          <w:lang w:val="es-CO"/>
        </w:rPr>
      </w:pPr>
      <w:r w:rsidRPr="001E3B49">
        <w:rPr>
          <w:rFonts w:ascii="Century Gothic" w:hAnsi="Century Gothic"/>
          <w:b/>
          <w:sz w:val="28"/>
          <w:szCs w:val="28"/>
          <w:lang w:val="es-CO"/>
        </w:rPr>
        <w:t>1º.</w:t>
      </w:r>
      <w:r>
        <w:rPr>
          <w:rFonts w:ascii="Century Gothic" w:hAnsi="Century Gothic"/>
          <w:sz w:val="28"/>
          <w:szCs w:val="28"/>
          <w:lang w:val="es-CO"/>
        </w:rPr>
        <w:t xml:space="preserve"> </w:t>
      </w:r>
      <w:r w:rsidR="00324177" w:rsidRPr="00C40840">
        <w:rPr>
          <w:rFonts w:ascii="Century Gothic" w:hAnsi="Century Gothic"/>
          <w:sz w:val="28"/>
          <w:szCs w:val="28"/>
          <w:lang w:val="es-CO"/>
        </w:rPr>
        <w:t xml:space="preserve">La Rama Judicial del Poder Público colombiano es un organismo autónomo, por mandato constitucional, con una planta 4.454 jueces y magistrados y 18.441 funcionarios administrativos, que ingresa por concurso abierto y de méritos. El  nombramiento de los magistrados de las Altas Cortes está definido por la Constitución Política Nacional que permite que, en unos casos, lo haga el Poder Judicial y, en otros, el Congreso de la República.  </w:t>
      </w:r>
    </w:p>
    <w:p w:rsidR="00324177" w:rsidRPr="00C40840" w:rsidRDefault="00324177" w:rsidP="009C5053">
      <w:pPr>
        <w:jc w:val="both"/>
        <w:rPr>
          <w:rFonts w:ascii="Century Gothic" w:hAnsi="Century Gothic"/>
          <w:sz w:val="28"/>
          <w:szCs w:val="28"/>
          <w:lang w:val="es-CO"/>
        </w:rPr>
      </w:pPr>
    </w:p>
    <w:p w:rsidR="00324177" w:rsidRPr="00C40840" w:rsidRDefault="00324177" w:rsidP="00AB085B">
      <w:pPr>
        <w:ind w:left="567"/>
        <w:jc w:val="both"/>
        <w:rPr>
          <w:rFonts w:ascii="Century Gothic" w:hAnsi="Century Gothic"/>
          <w:sz w:val="28"/>
          <w:szCs w:val="28"/>
          <w:lang w:val="es-CO"/>
        </w:rPr>
      </w:pPr>
      <w:r w:rsidRPr="00C40840">
        <w:rPr>
          <w:rFonts w:ascii="Century Gothic" w:hAnsi="Century Gothic"/>
          <w:sz w:val="28"/>
          <w:szCs w:val="28"/>
          <w:lang w:val="es-CO"/>
        </w:rPr>
        <w:t>En tal sentido, el Poder Ejecutivo, para el caso de la Corte Constitucional y el Consejo Superior de la Judicatura, puede presentar ternas para la elección de, solo, tres magistrados.</w:t>
      </w:r>
    </w:p>
    <w:p w:rsidR="00324177" w:rsidRPr="00C40840" w:rsidRDefault="00324177" w:rsidP="00AB085B">
      <w:pPr>
        <w:ind w:left="567" w:hanging="567"/>
        <w:jc w:val="both"/>
        <w:rPr>
          <w:rFonts w:ascii="Century Gothic" w:hAnsi="Century Gothic"/>
          <w:sz w:val="28"/>
          <w:szCs w:val="28"/>
          <w:lang w:val="es-CO"/>
        </w:rPr>
      </w:pPr>
    </w:p>
    <w:p w:rsidR="00324177" w:rsidRPr="00C40840" w:rsidRDefault="00324177" w:rsidP="00AB085B">
      <w:pPr>
        <w:ind w:left="567"/>
        <w:jc w:val="both"/>
        <w:rPr>
          <w:rFonts w:ascii="Century Gothic" w:hAnsi="Century Gothic"/>
          <w:sz w:val="28"/>
          <w:szCs w:val="28"/>
          <w:lang w:val="es-CO"/>
        </w:rPr>
      </w:pPr>
      <w:r w:rsidRPr="00C40840">
        <w:rPr>
          <w:rFonts w:ascii="Century Gothic" w:hAnsi="Century Gothic"/>
          <w:sz w:val="28"/>
          <w:szCs w:val="28"/>
          <w:lang w:val="es-CO"/>
        </w:rPr>
        <w:t>El presupuesto de la Rama Judicial del Poder Público, aprobado por el Congreso de la República a iniciativa del Poder Ejecutivo, para el año 2009 es de 795 millones de dólares y, en el año 2002, era de 415 millones de dólares.</w:t>
      </w:r>
    </w:p>
    <w:p w:rsidR="00324177" w:rsidRPr="00C40840" w:rsidRDefault="00324177" w:rsidP="00AB085B">
      <w:pPr>
        <w:ind w:left="567" w:hanging="567"/>
        <w:jc w:val="both"/>
        <w:rPr>
          <w:rFonts w:ascii="Century Gothic" w:hAnsi="Century Gothic"/>
          <w:sz w:val="28"/>
          <w:szCs w:val="28"/>
          <w:lang w:val="es-CO"/>
        </w:rPr>
      </w:pPr>
    </w:p>
    <w:p w:rsidR="00324177" w:rsidRPr="00C40840" w:rsidRDefault="00324177" w:rsidP="00AB085B">
      <w:pPr>
        <w:ind w:left="567"/>
        <w:jc w:val="both"/>
        <w:rPr>
          <w:rFonts w:ascii="Century Gothic" w:hAnsi="Century Gothic"/>
          <w:sz w:val="28"/>
          <w:szCs w:val="28"/>
          <w:lang w:val="es-CO"/>
        </w:rPr>
      </w:pPr>
      <w:r w:rsidRPr="00C40840">
        <w:rPr>
          <w:rFonts w:ascii="Century Gothic" w:hAnsi="Century Gothic"/>
          <w:sz w:val="28"/>
          <w:szCs w:val="28"/>
          <w:lang w:val="es-CO"/>
        </w:rPr>
        <w:t>Los funcionarios administrativos, lo mismo que los jueces y magistrados, tienen derecho a la sindicalización.</w:t>
      </w:r>
    </w:p>
    <w:p w:rsidR="00324177" w:rsidRPr="00C40840" w:rsidRDefault="00324177" w:rsidP="009C5053">
      <w:pPr>
        <w:jc w:val="both"/>
        <w:rPr>
          <w:rFonts w:ascii="Century Gothic" w:hAnsi="Century Gothic"/>
          <w:sz w:val="28"/>
          <w:szCs w:val="28"/>
          <w:lang w:val="es-CO"/>
        </w:rPr>
      </w:pPr>
    </w:p>
    <w:p w:rsidR="00324177" w:rsidRPr="00C40840" w:rsidRDefault="00324177" w:rsidP="0089687B">
      <w:pPr>
        <w:ind w:left="567" w:hanging="567"/>
        <w:jc w:val="both"/>
        <w:rPr>
          <w:rFonts w:ascii="Century Gothic" w:hAnsi="Century Gothic"/>
          <w:sz w:val="28"/>
          <w:szCs w:val="28"/>
          <w:lang w:val="es-CO"/>
        </w:rPr>
      </w:pPr>
      <w:r w:rsidRPr="003258D7">
        <w:rPr>
          <w:rFonts w:ascii="Century Gothic" w:hAnsi="Century Gothic"/>
          <w:b/>
          <w:sz w:val="28"/>
          <w:szCs w:val="28"/>
          <w:lang w:val="es-CO"/>
        </w:rPr>
        <w:t>2ª.</w:t>
      </w:r>
      <w:r w:rsidRPr="00C40840">
        <w:rPr>
          <w:rFonts w:ascii="Century Gothic" w:hAnsi="Century Gothic"/>
          <w:sz w:val="28"/>
          <w:szCs w:val="28"/>
          <w:lang w:val="es-CO"/>
        </w:rPr>
        <w:t xml:space="preserve"> No existen jueces ordinarios funcionando o ejerciendo sus funciones en guarniciones militares o de policía. Salvo los Jueces y Fiscales de Instrucción penal militar, cuyas funciones están definidas y limitadas por la ley. </w:t>
      </w:r>
    </w:p>
    <w:p w:rsidR="00324177" w:rsidRPr="00C40840" w:rsidRDefault="00324177" w:rsidP="0078657A">
      <w:pPr>
        <w:jc w:val="both"/>
        <w:rPr>
          <w:rFonts w:ascii="Century Gothic" w:hAnsi="Century Gothic"/>
          <w:sz w:val="28"/>
          <w:szCs w:val="28"/>
          <w:lang w:val="es-CO"/>
        </w:rPr>
      </w:pPr>
    </w:p>
    <w:p w:rsidR="00324177" w:rsidRPr="00C40840" w:rsidRDefault="00324177" w:rsidP="0089687B">
      <w:pPr>
        <w:ind w:left="567" w:hanging="567"/>
        <w:jc w:val="both"/>
        <w:rPr>
          <w:rFonts w:ascii="Century Gothic" w:hAnsi="Century Gothic"/>
          <w:sz w:val="28"/>
          <w:szCs w:val="28"/>
          <w:lang w:val="es-CO"/>
        </w:rPr>
      </w:pPr>
      <w:r w:rsidRPr="003258D7">
        <w:rPr>
          <w:rFonts w:ascii="Century Gothic" w:hAnsi="Century Gothic"/>
          <w:b/>
          <w:sz w:val="28"/>
          <w:szCs w:val="28"/>
          <w:lang w:val="es-CO"/>
        </w:rPr>
        <w:t>3ª.</w:t>
      </w:r>
      <w:r w:rsidRPr="00C40840">
        <w:rPr>
          <w:rFonts w:ascii="Century Gothic" w:hAnsi="Century Gothic"/>
          <w:sz w:val="28"/>
          <w:szCs w:val="28"/>
          <w:lang w:val="es-CO"/>
        </w:rPr>
        <w:t xml:space="preserve"> A partir del año 2008, en Colombia, los jueces son los únicos que tienen la facultad legal de calificar la huelga y en el caso de la </w:t>
      </w:r>
      <w:r w:rsidR="003258D7">
        <w:rPr>
          <w:rFonts w:ascii="Century Gothic" w:hAnsi="Century Gothic"/>
          <w:sz w:val="28"/>
          <w:szCs w:val="28"/>
          <w:lang w:val="es-CO"/>
        </w:rPr>
        <w:t>huelga adelantada por los</w:t>
      </w:r>
      <w:r w:rsidRPr="00C40840">
        <w:rPr>
          <w:rFonts w:ascii="Century Gothic" w:hAnsi="Century Gothic"/>
          <w:sz w:val="28"/>
          <w:szCs w:val="28"/>
          <w:lang w:val="es-CO"/>
        </w:rPr>
        <w:t xml:space="preserve"> jueces y empleados de la rama judicial, en el mismo año,  fue por motivos de nivelación y reajustes salariales.</w:t>
      </w:r>
    </w:p>
    <w:p w:rsidR="00324177" w:rsidRPr="00C40840" w:rsidRDefault="00324177" w:rsidP="0078657A">
      <w:pPr>
        <w:jc w:val="both"/>
        <w:rPr>
          <w:rFonts w:ascii="Century Gothic" w:hAnsi="Century Gothic"/>
          <w:sz w:val="28"/>
          <w:szCs w:val="28"/>
          <w:lang w:val="es-CO"/>
        </w:rPr>
      </w:pPr>
    </w:p>
    <w:p w:rsidR="00324177" w:rsidRPr="00C40840" w:rsidRDefault="00324177" w:rsidP="00382B76">
      <w:pPr>
        <w:ind w:left="567" w:hanging="567"/>
        <w:jc w:val="both"/>
        <w:rPr>
          <w:rFonts w:ascii="Century Gothic" w:hAnsi="Century Gothic"/>
          <w:sz w:val="28"/>
          <w:szCs w:val="28"/>
          <w:lang w:val="es-CO"/>
        </w:rPr>
      </w:pPr>
      <w:r w:rsidRPr="00382B76">
        <w:rPr>
          <w:rFonts w:ascii="Century Gothic" w:hAnsi="Century Gothic"/>
          <w:b/>
          <w:sz w:val="28"/>
          <w:szCs w:val="28"/>
          <w:lang w:val="es-CO"/>
        </w:rPr>
        <w:t>4ª.</w:t>
      </w:r>
      <w:r w:rsidRPr="00C40840">
        <w:rPr>
          <w:rFonts w:ascii="Century Gothic" w:hAnsi="Century Gothic"/>
          <w:sz w:val="28"/>
          <w:szCs w:val="28"/>
          <w:lang w:val="es-CO"/>
        </w:rPr>
        <w:t xml:space="preserve"> La Corte Suprema de Justicia, ni ninguna de las otras altas Cortes, ha solicitado como institución medidas de protección al sistema de interamericano; lo han hecho a </w:t>
      </w:r>
      <w:r w:rsidR="00382B76" w:rsidRPr="00C40840">
        <w:rPr>
          <w:rFonts w:ascii="Century Gothic" w:hAnsi="Century Gothic"/>
          <w:sz w:val="28"/>
          <w:szCs w:val="28"/>
          <w:lang w:val="es-CO"/>
        </w:rPr>
        <w:t>título</w:t>
      </w:r>
      <w:r w:rsidRPr="00C40840">
        <w:rPr>
          <w:rFonts w:ascii="Century Gothic" w:hAnsi="Century Gothic"/>
          <w:sz w:val="28"/>
          <w:szCs w:val="28"/>
          <w:lang w:val="es-CO"/>
        </w:rPr>
        <w:t xml:space="preserve"> personal, dos magistrados y un auxiliar de la Corte Suprema de Justicia,  pero </w:t>
      </w:r>
      <w:r w:rsidR="00382B76">
        <w:rPr>
          <w:rFonts w:ascii="Century Gothic" w:hAnsi="Century Gothic"/>
          <w:sz w:val="28"/>
          <w:szCs w:val="28"/>
          <w:lang w:val="es-CO"/>
        </w:rPr>
        <w:t xml:space="preserve">el </w:t>
      </w:r>
      <w:r w:rsidRPr="00C40840">
        <w:rPr>
          <w:rFonts w:ascii="Century Gothic" w:hAnsi="Century Gothic"/>
          <w:sz w:val="28"/>
          <w:szCs w:val="28"/>
          <w:lang w:val="es-CO"/>
        </w:rPr>
        <w:t>Estado demostró que no se cumplían los requisitos de procedibilidad.</w:t>
      </w:r>
    </w:p>
    <w:p w:rsidR="00324177" w:rsidRPr="00C40840" w:rsidRDefault="00324177" w:rsidP="00D949A6">
      <w:pPr>
        <w:jc w:val="both"/>
        <w:rPr>
          <w:rFonts w:ascii="Century Gothic" w:hAnsi="Century Gothic"/>
          <w:sz w:val="28"/>
          <w:szCs w:val="28"/>
          <w:lang w:val="es-CO"/>
        </w:rPr>
      </w:pPr>
      <w:r w:rsidRPr="00C40840">
        <w:rPr>
          <w:rFonts w:ascii="Century Gothic" w:hAnsi="Century Gothic"/>
          <w:sz w:val="28"/>
          <w:szCs w:val="28"/>
          <w:lang w:val="es-CO"/>
        </w:rPr>
        <w:t xml:space="preserve"> </w:t>
      </w:r>
    </w:p>
    <w:p w:rsidR="00324177" w:rsidRPr="00C40840" w:rsidRDefault="00324177" w:rsidP="00382B76">
      <w:pPr>
        <w:ind w:left="567"/>
        <w:jc w:val="both"/>
        <w:rPr>
          <w:rFonts w:ascii="Century Gothic" w:hAnsi="Century Gothic"/>
          <w:sz w:val="28"/>
          <w:szCs w:val="28"/>
          <w:lang w:val="es-CO"/>
        </w:rPr>
      </w:pPr>
      <w:r w:rsidRPr="00C40840">
        <w:rPr>
          <w:rFonts w:ascii="Century Gothic" w:hAnsi="Century Gothic"/>
          <w:sz w:val="28"/>
          <w:szCs w:val="28"/>
          <w:lang w:val="es-CO"/>
        </w:rPr>
        <w:t>Además, el sistema judicial Colombiano tiene un sistema propio de seguridad operado de manera independiente, tanto administrativa como financieramente,  por el Consejo Superior de la Judicatura.</w:t>
      </w:r>
    </w:p>
    <w:p w:rsidR="00324177" w:rsidRPr="00C40840" w:rsidRDefault="00324177" w:rsidP="00D949A6">
      <w:pPr>
        <w:jc w:val="both"/>
        <w:rPr>
          <w:rFonts w:ascii="Century Gothic" w:hAnsi="Century Gothic"/>
          <w:sz w:val="28"/>
          <w:szCs w:val="28"/>
          <w:lang w:val="es-CO"/>
        </w:rPr>
      </w:pPr>
    </w:p>
    <w:p w:rsidR="00324177" w:rsidRPr="00C40840" w:rsidRDefault="00324177" w:rsidP="00382B76">
      <w:pPr>
        <w:ind w:left="567" w:hanging="567"/>
        <w:jc w:val="both"/>
        <w:rPr>
          <w:rFonts w:ascii="Century Gothic" w:hAnsi="Century Gothic"/>
          <w:sz w:val="28"/>
          <w:szCs w:val="28"/>
          <w:lang w:val="es-CO"/>
        </w:rPr>
      </w:pPr>
      <w:r w:rsidRPr="00382B76">
        <w:rPr>
          <w:rFonts w:ascii="Century Gothic" w:hAnsi="Century Gothic"/>
          <w:b/>
          <w:sz w:val="28"/>
          <w:szCs w:val="28"/>
          <w:lang w:val="es-CO"/>
        </w:rPr>
        <w:t>5ª.</w:t>
      </w:r>
      <w:r w:rsidRPr="00C40840">
        <w:rPr>
          <w:rFonts w:ascii="Century Gothic" w:hAnsi="Century Gothic"/>
          <w:sz w:val="28"/>
          <w:szCs w:val="28"/>
          <w:lang w:val="es-CO"/>
        </w:rPr>
        <w:t xml:space="preserve"> Es apenas natural que en todas las democracias surjan contradicciones entre la</w:t>
      </w:r>
      <w:r w:rsidR="00382B76">
        <w:rPr>
          <w:rFonts w:ascii="Century Gothic" w:hAnsi="Century Gothic"/>
          <w:sz w:val="28"/>
          <w:szCs w:val="28"/>
          <w:lang w:val="es-CO"/>
        </w:rPr>
        <w:t>s Ramas del poder por opiniones y</w:t>
      </w:r>
      <w:r w:rsidRPr="00C40840">
        <w:rPr>
          <w:rFonts w:ascii="Century Gothic" w:hAnsi="Century Gothic"/>
          <w:sz w:val="28"/>
          <w:szCs w:val="28"/>
          <w:lang w:val="es-CO"/>
        </w:rPr>
        <w:t xml:space="preserve"> decisiones que cada una de ellas toma autónomamente, pero como sucede en Colombia, lo importante a destacar es el acatamiento de las decisiones como ha ocurrido en los casos de investigaciones y decisiones contra integrantes del poder legislativo y del poder ejecutivo. A modo de ejemplo, podemos citar:</w:t>
      </w:r>
    </w:p>
    <w:p w:rsidR="00324177" w:rsidRPr="00C40840" w:rsidRDefault="00324177" w:rsidP="000D1815">
      <w:pPr>
        <w:jc w:val="both"/>
        <w:rPr>
          <w:rFonts w:ascii="Century Gothic" w:hAnsi="Century Gothic"/>
          <w:sz w:val="28"/>
          <w:szCs w:val="28"/>
          <w:lang w:val="es-CO"/>
        </w:rPr>
      </w:pPr>
    </w:p>
    <w:p w:rsidR="00324177" w:rsidRPr="00382B76" w:rsidRDefault="00324177" w:rsidP="00382B76">
      <w:pPr>
        <w:pStyle w:val="ListParagraph"/>
        <w:numPr>
          <w:ilvl w:val="1"/>
          <w:numId w:val="1"/>
        </w:numPr>
        <w:tabs>
          <w:tab w:val="clear" w:pos="1080"/>
        </w:tabs>
        <w:ind w:left="1134" w:hanging="567"/>
        <w:jc w:val="both"/>
        <w:rPr>
          <w:rFonts w:ascii="Century Gothic" w:hAnsi="Century Gothic"/>
          <w:sz w:val="28"/>
          <w:szCs w:val="28"/>
          <w:lang w:val="es-CO"/>
        </w:rPr>
      </w:pPr>
      <w:r w:rsidRPr="00382B76">
        <w:rPr>
          <w:rFonts w:ascii="Century Gothic" w:hAnsi="Century Gothic"/>
          <w:sz w:val="28"/>
          <w:szCs w:val="28"/>
          <w:lang w:val="es-CO"/>
        </w:rPr>
        <w:t>70  Parlamentarios ó Servidores Públicos de alto rango, actualmente investigados  o condenados.</w:t>
      </w:r>
    </w:p>
    <w:p w:rsidR="00324177" w:rsidRPr="00C40840" w:rsidRDefault="00324177" w:rsidP="00382B76">
      <w:pPr>
        <w:numPr>
          <w:ilvl w:val="1"/>
          <w:numId w:val="1"/>
        </w:numPr>
        <w:tabs>
          <w:tab w:val="clear" w:pos="1080"/>
        </w:tabs>
        <w:ind w:left="1134" w:hanging="567"/>
        <w:jc w:val="both"/>
        <w:rPr>
          <w:rFonts w:ascii="Century Gothic" w:hAnsi="Century Gothic"/>
          <w:sz w:val="28"/>
          <w:szCs w:val="28"/>
          <w:lang w:val="es-CO"/>
        </w:rPr>
      </w:pPr>
      <w:r w:rsidRPr="00C40840">
        <w:rPr>
          <w:rFonts w:ascii="Century Gothic" w:hAnsi="Century Gothic"/>
          <w:sz w:val="28"/>
          <w:szCs w:val="28"/>
          <w:lang w:val="es-CO"/>
        </w:rPr>
        <w:t xml:space="preserve"> 150 militares condenados, 300 en juicio y 800 actualmente en investigación por el presunto delito de homicidio en persona protegida (falsos positivos y ejecuciones extrajudiciales).</w:t>
      </w:r>
    </w:p>
    <w:p w:rsidR="00324177" w:rsidRPr="00C40840" w:rsidRDefault="00324177" w:rsidP="00797D31">
      <w:pPr>
        <w:jc w:val="both"/>
        <w:rPr>
          <w:rFonts w:ascii="Century Gothic" w:hAnsi="Century Gothic"/>
          <w:sz w:val="28"/>
          <w:szCs w:val="28"/>
          <w:lang w:val="es-CO"/>
        </w:rPr>
      </w:pPr>
    </w:p>
    <w:p w:rsidR="00324177" w:rsidRPr="00C40840" w:rsidRDefault="00324177" w:rsidP="00382B76">
      <w:pPr>
        <w:ind w:left="567" w:hanging="567"/>
        <w:jc w:val="both"/>
        <w:rPr>
          <w:rFonts w:ascii="Century Gothic" w:hAnsi="Century Gothic"/>
          <w:sz w:val="28"/>
          <w:szCs w:val="28"/>
          <w:lang w:val="es-CO"/>
        </w:rPr>
      </w:pPr>
      <w:r w:rsidRPr="00382B76">
        <w:rPr>
          <w:rFonts w:ascii="Century Gothic" w:hAnsi="Century Gothic"/>
          <w:b/>
          <w:sz w:val="28"/>
          <w:szCs w:val="28"/>
          <w:lang w:val="es-CO"/>
        </w:rPr>
        <w:t>6ª.</w:t>
      </w:r>
      <w:r w:rsidRPr="00C40840">
        <w:rPr>
          <w:rFonts w:ascii="Century Gothic" w:hAnsi="Century Gothic"/>
          <w:sz w:val="28"/>
          <w:szCs w:val="28"/>
          <w:lang w:val="es-CO"/>
        </w:rPr>
        <w:tab/>
        <w:t>En Colombia, por mandato constitucional toda extradición requiere estudio y aprobación previa de la Corte Suprema de Justicia. Durante el actual Gobierno, de las  1.467 solicitudes de extradición, 1088 han sido aprobadas y de ellas 1032 se han hecho efectivas; 958 con destino a los Estados Unidos, incluyendo la de los 18 jefes de los grupos de autodefensas ó paramilitares.</w:t>
      </w:r>
    </w:p>
    <w:p w:rsidR="00324177" w:rsidRPr="00C40840" w:rsidRDefault="00324177" w:rsidP="00797D31">
      <w:pPr>
        <w:jc w:val="both"/>
        <w:rPr>
          <w:rFonts w:ascii="Century Gothic" w:hAnsi="Century Gothic"/>
          <w:sz w:val="28"/>
          <w:szCs w:val="28"/>
          <w:lang w:val="es-CO"/>
        </w:rPr>
      </w:pPr>
    </w:p>
    <w:p w:rsidR="00324177" w:rsidRPr="00C40840" w:rsidRDefault="00324177" w:rsidP="00382B76">
      <w:pPr>
        <w:ind w:left="567" w:hanging="567"/>
        <w:jc w:val="both"/>
        <w:rPr>
          <w:rFonts w:ascii="Century Gothic" w:hAnsi="Century Gothic"/>
          <w:sz w:val="28"/>
          <w:szCs w:val="28"/>
          <w:lang w:val="es-CO"/>
        </w:rPr>
      </w:pPr>
      <w:r w:rsidRPr="00382B76">
        <w:rPr>
          <w:rFonts w:ascii="Century Gothic" w:hAnsi="Century Gothic"/>
          <w:b/>
          <w:sz w:val="28"/>
          <w:szCs w:val="28"/>
          <w:lang w:val="es-CO"/>
        </w:rPr>
        <w:t>7ª.</w:t>
      </w:r>
      <w:r w:rsidRPr="00C40840">
        <w:rPr>
          <w:rFonts w:ascii="Century Gothic" w:hAnsi="Century Gothic"/>
          <w:sz w:val="28"/>
          <w:szCs w:val="28"/>
          <w:lang w:val="es-CO"/>
        </w:rPr>
        <w:tab/>
        <w:t xml:space="preserve"> La Justicia Penal Militar tiene su propio procedimiento y parte sustantiva. No se ocupa de los delitos de violación de los derechos humanos, de los de lesa humanidad y delitos sexuales, así los causen el propio personal de la Fuerza Pública. Los conflictos de competencia los resuelve el Consejo superior de la Judicatura.</w:t>
      </w:r>
    </w:p>
    <w:p w:rsidR="00324177" w:rsidRPr="00C40840" w:rsidRDefault="00324177" w:rsidP="00382B76">
      <w:pPr>
        <w:ind w:left="567" w:hanging="567"/>
        <w:jc w:val="both"/>
        <w:rPr>
          <w:rFonts w:ascii="Century Gothic" w:hAnsi="Century Gothic"/>
          <w:sz w:val="28"/>
          <w:szCs w:val="28"/>
          <w:lang w:val="es-CO"/>
        </w:rPr>
      </w:pPr>
    </w:p>
    <w:p w:rsidR="00324177" w:rsidRPr="00C40840" w:rsidRDefault="00324177" w:rsidP="00382B76">
      <w:pPr>
        <w:ind w:left="567"/>
        <w:jc w:val="both"/>
        <w:rPr>
          <w:rFonts w:ascii="Century Gothic" w:hAnsi="Century Gothic"/>
          <w:sz w:val="28"/>
          <w:szCs w:val="28"/>
          <w:lang w:val="es-CO"/>
        </w:rPr>
      </w:pPr>
      <w:r w:rsidRPr="00C40840">
        <w:rPr>
          <w:rFonts w:ascii="Century Gothic" w:hAnsi="Century Gothic"/>
          <w:sz w:val="28"/>
          <w:szCs w:val="28"/>
          <w:lang w:val="es-CO"/>
        </w:rPr>
        <w:t>A iniciativa del ejecutivo no existe en tramite ningún proyecto de ley en el Congreso de la República que le de facultades de policía Judicial a los militares.</w:t>
      </w:r>
    </w:p>
    <w:p w:rsidR="00324177" w:rsidRPr="00C40840" w:rsidRDefault="00324177" w:rsidP="00AE0E1F">
      <w:pPr>
        <w:jc w:val="both"/>
        <w:rPr>
          <w:rFonts w:ascii="Century Gothic" w:hAnsi="Century Gothic"/>
          <w:sz w:val="28"/>
          <w:szCs w:val="28"/>
          <w:lang w:val="es-CO"/>
        </w:rPr>
      </w:pPr>
    </w:p>
    <w:p w:rsidR="00324177" w:rsidRPr="00C40840" w:rsidRDefault="00324177" w:rsidP="004C3F61">
      <w:pPr>
        <w:ind w:left="567" w:hanging="567"/>
        <w:jc w:val="both"/>
        <w:rPr>
          <w:rFonts w:ascii="Century Gothic" w:hAnsi="Century Gothic"/>
          <w:sz w:val="28"/>
          <w:szCs w:val="28"/>
          <w:lang w:val="es-CO"/>
        </w:rPr>
      </w:pPr>
      <w:r w:rsidRPr="004C3F61">
        <w:rPr>
          <w:rFonts w:ascii="Century Gothic" w:hAnsi="Century Gothic"/>
          <w:b/>
          <w:sz w:val="28"/>
          <w:szCs w:val="28"/>
          <w:lang w:val="es-CO"/>
        </w:rPr>
        <w:t>8ª.</w:t>
      </w:r>
      <w:r w:rsidRPr="00C40840">
        <w:rPr>
          <w:rFonts w:ascii="Century Gothic" w:hAnsi="Century Gothic"/>
          <w:sz w:val="28"/>
          <w:szCs w:val="28"/>
          <w:lang w:val="es-CO"/>
        </w:rPr>
        <w:t xml:space="preserve"> En Colombia no existen niños o niñas o menores de 18 años vinculados a las fuerzas militares o de policía. La ley colombiana prohíbe expresamente, la vinculación de menores de 18 años a la fuerza pública del estado; además, durante el presente año se aprobó la figura de objeción de conciencia para el servicio militar obligatorio. </w:t>
      </w:r>
    </w:p>
    <w:p w:rsidR="00324177" w:rsidRPr="00C40840" w:rsidRDefault="00324177" w:rsidP="00DB5505">
      <w:pPr>
        <w:jc w:val="both"/>
        <w:rPr>
          <w:rFonts w:ascii="Century Gothic" w:hAnsi="Century Gothic"/>
          <w:sz w:val="28"/>
          <w:szCs w:val="28"/>
          <w:lang w:val="es-CO"/>
        </w:rPr>
      </w:pPr>
    </w:p>
    <w:p w:rsidR="00324177" w:rsidRPr="00C40840" w:rsidRDefault="00324177" w:rsidP="004C3F61">
      <w:pPr>
        <w:ind w:left="567"/>
        <w:jc w:val="both"/>
        <w:rPr>
          <w:rFonts w:ascii="Century Gothic" w:hAnsi="Century Gothic"/>
          <w:sz w:val="28"/>
          <w:szCs w:val="28"/>
          <w:lang w:val="es-CO"/>
        </w:rPr>
      </w:pPr>
      <w:r w:rsidRPr="00C40840">
        <w:rPr>
          <w:rFonts w:ascii="Century Gothic" w:hAnsi="Century Gothic"/>
          <w:sz w:val="28"/>
          <w:szCs w:val="28"/>
          <w:lang w:val="es-CO"/>
        </w:rPr>
        <w:t xml:space="preserve">Paralelo a ello, el estado y la sociedad colombiana vienen desarrollando una lucha frontal contra el reclutamiento de menores por parte de los grupos armados ilegales. Con la cooperación de la comunidad internacional, hemos logrado la desvinculación de 3.800 niños y niñas </w:t>
      </w:r>
      <w:r w:rsidR="00D33980">
        <w:rPr>
          <w:rFonts w:ascii="Century Gothic" w:hAnsi="Century Gothic"/>
          <w:sz w:val="28"/>
          <w:szCs w:val="28"/>
          <w:lang w:val="es-CO"/>
        </w:rPr>
        <w:t>de los grupos armados ilegales los cuales han venido siendo atendidos por el Instituto Colombiano de Bienestar Familiar</w:t>
      </w:r>
      <w:r w:rsidR="00187B75">
        <w:rPr>
          <w:rFonts w:ascii="Century Gothic" w:hAnsi="Century Gothic"/>
          <w:sz w:val="28"/>
          <w:szCs w:val="28"/>
          <w:lang w:val="es-CO"/>
        </w:rPr>
        <w:t>.</w:t>
      </w:r>
    </w:p>
    <w:p w:rsidR="00324177" w:rsidRPr="00C40840" w:rsidRDefault="00324177" w:rsidP="004C3F61">
      <w:pPr>
        <w:ind w:left="567" w:hanging="567"/>
        <w:jc w:val="both"/>
        <w:rPr>
          <w:rFonts w:ascii="Century Gothic" w:hAnsi="Century Gothic"/>
          <w:sz w:val="28"/>
          <w:szCs w:val="28"/>
          <w:lang w:val="es-CO"/>
        </w:rPr>
      </w:pPr>
    </w:p>
    <w:p w:rsidR="00324177" w:rsidRPr="00C40840" w:rsidRDefault="00324177" w:rsidP="004C3F61">
      <w:pPr>
        <w:ind w:left="567"/>
        <w:jc w:val="both"/>
        <w:rPr>
          <w:rFonts w:ascii="Century Gothic" w:hAnsi="Century Gothic"/>
          <w:sz w:val="28"/>
          <w:szCs w:val="28"/>
          <w:lang w:val="es-CO"/>
        </w:rPr>
      </w:pPr>
      <w:r w:rsidRPr="00C40840">
        <w:rPr>
          <w:rFonts w:ascii="Century Gothic" w:hAnsi="Century Gothic"/>
          <w:sz w:val="28"/>
          <w:szCs w:val="28"/>
          <w:lang w:val="es-CO"/>
        </w:rPr>
        <w:t>En cumplimiento de los compromisos asumidos por Colombia en el marco del EPU, nos hemos acogido al mecanismo previsto en la Resolución 1612 del Consejo de Seguridad de Naciones Unidas, sobre niños en conflicto armado.</w:t>
      </w:r>
    </w:p>
    <w:p w:rsidR="00324177" w:rsidRPr="00C40840" w:rsidRDefault="00324177" w:rsidP="004C3F61">
      <w:pPr>
        <w:ind w:left="567" w:hanging="567"/>
        <w:jc w:val="both"/>
        <w:rPr>
          <w:rFonts w:ascii="Century Gothic" w:hAnsi="Century Gothic"/>
          <w:sz w:val="28"/>
          <w:szCs w:val="28"/>
          <w:lang w:val="es-CO"/>
        </w:rPr>
      </w:pPr>
    </w:p>
    <w:p w:rsidR="00324177" w:rsidRPr="00C40840" w:rsidRDefault="00324177" w:rsidP="004C3F61">
      <w:pPr>
        <w:ind w:left="567"/>
        <w:jc w:val="both"/>
        <w:rPr>
          <w:rFonts w:ascii="Century Gothic" w:hAnsi="Century Gothic"/>
          <w:sz w:val="28"/>
          <w:szCs w:val="28"/>
          <w:lang w:val="es-CO"/>
        </w:rPr>
      </w:pPr>
      <w:r w:rsidRPr="00C40840">
        <w:rPr>
          <w:rFonts w:ascii="Century Gothic" w:hAnsi="Century Gothic"/>
          <w:sz w:val="28"/>
          <w:szCs w:val="28"/>
          <w:lang w:val="es-CO"/>
        </w:rPr>
        <w:t>Por otra parte, el gobierno nacional, en  coordinación con los gobiernos locales y regionales de nuestro país ha venido implementando una política integral de prevención al reclutamiento de menores por parte de los grupos armados ilegales, haciendo énfasis en los temas de ampliación de cobertura y retención escolar.</w:t>
      </w:r>
    </w:p>
    <w:p w:rsidR="00324177" w:rsidRPr="00C40840" w:rsidRDefault="00324177" w:rsidP="00DB5505">
      <w:pPr>
        <w:jc w:val="both"/>
        <w:rPr>
          <w:rFonts w:ascii="Century Gothic" w:hAnsi="Century Gothic"/>
          <w:sz w:val="28"/>
          <w:szCs w:val="28"/>
          <w:lang w:val="es-CO"/>
        </w:rPr>
      </w:pPr>
    </w:p>
    <w:p w:rsidR="00324177" w:rsidRPr="00C40840" w:rsidRDefault="00324177" w:rsidP="00187B75">
      <w:pPr>
        <w:ind w:left="567" w:hanging="567"/>
        <w:jc w:val="both"/>
        <w:rPr>
          <w:rFonts w:ascii="Century Gothic" w:hAnsi="Century Gothic"/>
          <w:sz w:val="28"/>
          <w:szCs w:val="28"/>
          <w:lang w:val="es-CO"/>
        </w:rPr>
      </w:pPr>
      <w:r w:rsidRPr="00187B75">
        <w:rPr>
          <w:rFonts w:ascii="Century Gothic" w:hAnsi="Century Gothic"/>
          <w:b/>
          <w:sz w:val="28"/>
          <w:szCs w:val="28"/>
          <w:lang w:val="es-CO"/>
        </w:rPr>
        <w:t>9ª.</w:t>
      </w:r>
      <w:r w:rsidRPr="00C40840">
        <w:rPr>
          <w:rFonts w:ascii="Century Gothic" w:hAnsi="Century Gothic"/>
          <w:sz w:val="28"/>
          <w:szCs w:val="28"/>
          <w:lang w:val="es-CO"/>
        </w:rPr>
        <w:t xml:space="preserve"> La </w:t>
      </w:r>
      <w:r w:rsidR="00187B75" w:rsidRPr="00C40840">
        <w:rPr>
          <w:rFonts w:ascii="Century Gothic" w:hAnsi="Century Gothic"/>
          <w:sz w:val="28"/>
          <w:szCs w:val="28"/>
          <w:lang w:val="es-CO"/>
        </w:rPr>
        <w:t>Fiscalía</w:t>
      </w:r>
      <w:r w:rsidRPr="00C40840">
        <w:rPr>
          <w:rFonts w:ascii="Century Gothic" w:hAnsi="Century Gothic"/>
          <w:sz w:val="28"/>
          <w:szCs w:val="28"/>
          <w:lang w:val="es-CO"/>
        </w:rPr>
        <w:t xml:space="preserve"> General de la </w:t>
      </w:r>
      <w:r w:rsidR="00187B75" w:rsidRPr="00C40840">
        <w:rPr>
          <w:rFonts w:ascii="Century Gothic" w:hAnsi="Century Gothic"/>
          <w:sz w:val="28"/>
          <w:szCs w:val="28"/>
          <w:lang w:val="es-CO"/>
        </w:rPr>
        <w:t>Nación</w:t>
      </w:r>
      <w:r w:rsidRPr="00C40840">
        <w:rPr>
          <w:rFonts w:ascii="Century Gothic" w:hAnsi="Century Gothic"/>
          <w:sz w:val="28"/>
          <w:szCs w:val="28"/>
          <w:lang w:val="es-CO"/>
        </w:rPr>
        <w:t xml:space="preserve"> fue creada por mandato de la Constitución Política Nacional de 1991. El Fiscal General de la Nación es elegido por la Corte Suprema de Justicia de terna conformada y presentada por el Presidente de la República y su mandato es de 4 años.</w:t>
      </w:r>
    </w:p>
    <w:p w:rsidR="00324177" w:rsidRPr="00C40840" w:rsidRDefault="00324177" w:rsidP="00187B75">
      <w:pPr>
        <w:ind w:left="567" w:hanging="567"/>
        <w:jc w:val="both"/>
        <w:rPr>
          <w:rFonts w:ascii="Century Gothic" w:hAnsi="Century Gothic"/>
          <w:sz w:val="28"/>
          <w:szCs w:val="28"/>
          <w:lang w:val="es-CO"/>
        </w:rPr>
      </w:pPr>
    </w:p>
    <w:p w:rsidR="00324177" w:rsidRPr="00C40840" w:rsidRDefault="00324177" w:rsidP="00187B75">
      <w:pPr>
        <w:ind w:left="567"/>
        <w:jc w:val="both"/>
        <w:rPr>
          <w:rFonts w:ascii="Century Gothic" w:hAnsi="Century Gothic"/>
          <w:sz w:val="28"/>
          <w:szCs w:val="28"/>
          <w:lang w:val="es-CO"/>
        </w:rPr>
      </w:pPr>
      <w:r w:rsidRPr="00C40840">
        <w:rPr>
          <w:rFonts w:ascii="Century Gothic" w:hAnsi="Century Gothic"/>
          <w:sz w:val="28"/>
          <w:szCs w:val="28"/>
          <w:lang w:val="es-CO"/>
        </w:rPr>
        <w:t xml:space="preserve">Su Presupuesto  para el </w:t>
      </w:r>
      <w:r w:rsidR="00480AB9" w:rsidRPr="00C40840">
        <w:rPr>
          <w:rFonts w:ascii="Century Gothic" w:hAnsi="Century Gothic"/>
          <w:sz w:val="28"/>
          <w:szCs w:val="28"/>
          <w:lang w:val="es-CO"/>
        </w:rPr>
        <w:t>año</w:t>
      </w:r>
      <w:r w:rsidRPr="00C40840">
        <w:rPr>
          <w:rFonts w:ascii="Century Gothic" w:hAnsi="Century Gothic"/>
          <w:sz w:val="28"/>
          <w:szCs w:val="28"/>
          <w:lang w:val="es-CO"/>
        </w:rPr>
        <w:t xml:space="preserve"> 2009 es de 650 Millones de dólares y su planta de personal la conforman 3</w:t>
      </w:r>
      <w:r w:rsidR="00480AB9">
        <w:rPr>
          <w:rFonts w:ascii="Century Gothic" w:hAnsi="Century Gothic"/>
          <w:sz w:val="28"/>
          <w:szCs w:val="28"/>
          <w:lang w:val="es-CO"/>
        </w:rPr>
        <w:t>.</w:t>
      </w:r>
      <w:r w:rsidRPr="00C40840">
        <w:rPr>
          <w:rFonts w:ascii="Century Gothic" w:hAnsi="Century Gothic"/>
          <w:sz w:val="28"/>
          <w:szCs w:val="28"/>
          <w:lang w:val="es-CO"/>
        </w:rPr>
        <w:t>726 Fiscales y 2</w:t>
      </w:r>
      <w:r w:rsidR="00480AB9">
        <w:rPr>
          <w:rFonts w:ascii="Century Gothic" w:hAnsi="Century Gothic"/>
          <w:sz w:val="28"/>
          <w:szCs w:val="28"/>
          <w:lang w:val="es-CO"/>
        </w:rPr>
        <w:t>.</w:t>
      </w:r>
      <w:r w:rsidRPr="00C40840">
        <w:rPr>
          <w:rFonts w:ascii="Century Gothic" w:hAnsi="Century Gothic"/>
          <w:sz w:val="28"/>
          <w:szCs w:val="28"/>
          <w:lang w:val="es-CO"/>
        </w:rPr>
        <w:t xml:space="preserve">446 funcionarios administrativos. </w:t>
      </w:r>
    </w:p>
    <w:p w:rsidR="00324177" w:rsidRPr="00C40840" w:rsidRDefault="00324177" w:rsidP="00187B75">
      <w:pPr>
        <w:ind w:left="567" w:hanging="567"/>
        <w:jc w:val="both"/>
        <w:rPr>
          <w:rFonts w:ascii="Century Gothic" w:hAnsi="Century Gothic"/>
          <w:sz w:val="28"/>
          <w:szCs w:val="28"/>
          <w:lang w:val="es-CO"/>
        </w:rPr>
      </w:pPr>
    </w:p>
    <w:p w:rsidR="00324177" w:rsidRPr="00C40840" w:rsidRDefault="00324177" w:rsidP="00187B75">
      <w:pPr>
        <w:ind w:left="567" w:hanging="567"/>
        <w:jc w:val="both"/>
        <w:rPr>
          <w:rFonts w:ascii="Century Gothic" w:hAnsi="Century Gothic"/>
          <w:sz w:val="28"/>
          <w:szCs w:val="28"/>
          <w:lang w:val="es-CO"/>
        </w:rPr>
      </w:pPr>
      <w:r w:rsidRPr="00480AB9">
        <w:rPr>
          <w:rFonts w:ascii="Century Gothic" w:hAnsi="Century Gothic"/>
          <w:b/>
          <w:sz w:val="28"/>
          <w:szCs w:val="28"/>
          <w:lang w:val="es-CO"/>
        </w:rPr>
        <w:t>10ª</w:t>
      </w:r>
      <w:r w:rsidRPr="00C40840">
        <w:rPr>
          <w:rFonts w:ascii="Century Gothic" w:hAnsi="Century Gothic"/>
          <w:sz w:val="28"/>
          <w:szCs w:val="28"/>
          <w:lang w:val="es-CO"/>
        </w:rPr>
        <w:t>. Entre las unidades nacionales que desarrollan los trabajos de la Fiscalía General de la Nación se destacan por su pertinencia para la labor de este Comité la Unidad de Derechos Humanos y Derecho Internacional Humanitario, la Unidad de Derechos para Asuntos humanitarios y la Unidad de Justicia y Paz.</w:t>
      </w:r>
    </w:p>
    <w:p w:rsidR="00324177" w:rsidRPr="00C40840" w:rsidRDefault="00324177" w:rsidP="00187B75">
      <w:pPr>
        <w:ind w:left="567" w:hanging="567"/>
        <w:jc w:val="both"/>
        <w:rPr>
          <w:rFonts w:ascii="Century Gothic" w:hAnsi="Century Gothic"/>
          <w:sz w:val="28"/>
          <w:szCs w:val="28"/>
          <w:lang w:val="es-CO"/>
        </w:rPr>
      </w:pPr>
    </w:p>
    <w:p w:rsidR="00324177" w:rsidRPr="00C40840" w:rsidRDefault="00324177" w:rsidP="00480AB9">
      <w:pPr>
        <w:ind w:left="567"/>
        <w:jc w:val="both"/>
        <w:rPr>
          <w:rFonts w:ascii="Century Gothic" w:hAnsi="Century Gothic"/>
          <w:sz w:val="28"/>
          <w:szCs w:val="28"/>
          <w:lang w:val="es-CO"/>
        </w:rPr>
      </w:pPr>
      <w:r w:rsidRPr="00C40840">
        <w:rPr>
          <w:rFonts w:ascii="Century Gothic" w:hAnsi="Century Gothic"/>
          <w:sz w:val="28"/>
          <w:szCs w:val="28"/>
          <w:lang w:val="es-CO"/>
        </w:rPr>
        <w:t>En los temas relacionados con los trabajos de este Comité, adelantan actualmente las siguientes investigaciones:</w:t>
      </w:r>
    </w:p>
    <w:p w:rsidR="00324177" w:rsidRPr="00C40840" w:rsidRDefault="00324177" w:rsidP="00523EDF">
      <w:pPr>
        <w:jc w:val="both"/>
        <w:rPr>
          <w:rFonts w:ascii="Century Gothic" w:hAnsi="Century Gothic"/>
          <w:sz w:val="28"/>
          <w:szCs w:val="28"/>
          <w:lang w:val="es-CO"/>
        </w:rPr>
      </w:pPr>
    </w:p>
    <w:p w:rsidR="00324177" w:rsidRPr="00C40840" w:rsidRDefault="00324177" w:rsidP="00480AB9">
      <w:pPr>
        <w:numPr>
          <w:ilvl w:val="0"/>
          <w:numId w:val="18"/>
        </w:numPr>
        <w:tabs>
          <w:tab w:val="clear" w:pos="414"/>
        </w:tabs>
        <w:ind w:left="993" w:hanging="426"/>
        <w:jc w:val="both"/>
        <w:rPr>
          <w:rFonts w:ascii="Century Gothic" w:hAnsi="Century Gothic"/>
          <w:sz w:val="28"/>
          <w:szCs w:val="28"/>
          <w:lang w:val="es-CO"/>
        </w:rPr>
      </w:pPr>
      <w:r w:rsidRPr="00C40840">
        <w:rPr>
          <w:rFonts w:ascii="Century Gothic" w:hAnsi="Century Gothic"/>
          <w:sz w:val="28"/>
          <w:szCs w:val="28"/>
          <w:lang w:val="es-CO"/>
        </w:rPr>
        <w:t>Investigaciones por Ley 600 o sistema anterior</w:t>
      </w:r>
      <w:r w:rsidR="00730ED4">
        <w:rPr>
          <w:rFonts w:ascii="Century Gothic" w:hAnsi="Century Gothic"/>
          <w:sz w:val="28"/>
          <w:szCs w:val="28"/>
          <w:lang w:val="es-CO"/>
        </w:rPr>
        <w:t xml:space="preserve"> al actualmente vigente</w:t>
      </w:r>
      <w:r w:rsidRPr="00C40840">
        <w:rPr>
          <w:rFonts w:ascii="Century Gothic" w:hAnsi="Century Gothic"/>
          <w:sz w:val="28"/>
          <w:szCs w:val="28"/>
          <w:lang w:val="es-CO"/>
        </w:rPr>
        <w:t xml:space="preserve">: </w:t>
      </w:r>
    </w:p>
    <w:p w:rsidR="00324177" w:rsidRPr="00C40840" w:rsidRDefault="00324177" w:rsidP="00523EDF">
      <w:pPr>
        <w:jc w:val="both"/>
        <w:rPr>
          <w:rFonts w:ascii="Century Gothic" w:hAnsi="Century Gothic"/>
          <w:sz w:val="28"/>
          <w:szCs w:val="28"/>
          <w:lang w:val="es-CO"/>
        </w:rPr>
      </w:pPr>
    </w:p>
    <w:p w:rsidR="00324177" w:rsidRPr="00C40840" w:rsidRDefault="00324177" w:rsidP="00480AB9">
      <w:pPr>
        <w:ind w:left="567"/>
        <w:jc w:val="both"/>
        <w:rPr>
          <w:rFonts w:ascii="Century Gothic" w:hAnsi="Century Gothic"/>
          <w:sz w:val="28"/>
          <w:szCs w:val="28"/>
          <w:lang w:val="es-CO"/>
        </w:rPr>
      </w:pPr>
      <w:r w:rsidRPr="00C40840">
        <w:rPr>
          <w:rFonts w:ascii="Century Gothic" w:hAnsi="Century Gothic"/>
          <w:sz w:val="28"/>
          <w:szCs w:val="28"/>
          <w:lang w:val="es-CO"/>
        </w:rPr>
        <w:t>10.597 Investigaciones por presunto delito de tortura, de las cuales 6.088 están en preliminares, 442 estan en instrucción, es decir, con personal vinculado; 7 se encuentran en juicio y 4.060 han sido planteadas como denuncias frente a mecanismos nacionales o internacionales, y no han sido presentadas a la Fiscalia para iniciar su investigación. Se han proferido tres 3 sentencias anticipadas.</w:t>
      </w:r>
    </w:p>
    <w:p w:rsidR="00324177" w:rsidRPr="00C40840" w:rsidRDefault="00324177" w:rsidP="00523EDF">
      <w:pPr>
        <w:jc w:val="both"/>
        <w:rPr>
          <w:rFonts w:ascii="Century Gothic" w:hAnsi="Century Gothic"/>
          <w:sz w:val="28"/>
          <w:szCs w:val="28"/>
          <w:lang w:val="es-CO"/>
        </w:rPr>
      </w:pPr>
    </w:p>
    <w:p w:rsidR="00324177" w:rsidRDefault="00324177" w:rsidP="00A00B50">
      <w:pPr>
        <w:numPr>
          <w:ilvl w:val="0"/>
          <w:numId w:val="18"/>
        </w:numPr>
        <w:tabs>
          <w:tab w:val="clear" w:pos="414"/>
        </w:tabs>
        <w:ind w:left="993" w:hanging="426"/>
        <w:jc w:val="both"/>
        <w:rPr>
          <w:rFonts w:ascii="Century Gothic" w:hAnsi="Century Gothic"/>
          <w:sz w:val="28"/>
          <w:szCs w:val="28"/>
          <w:lang w:val="es-CO"/>
        </w:rPr>
      </w:pPr>
      <w:r w:rsidRPr="00C40840">
        <w:rPr>
          <w:rFonts w:ascii="Century Gothic" w:hAnsi="Century Gothic"/>
          <w:sz w:val="28"/>
          <w:szCs w:val="28"/>
          <w:lang w:val="es-CO"/>
        </w:rPr>
        <w:t>Investigaciones por Le</w:t>
      </w:r>
      <w:r w:rsidR="00361D30">
        <w:rPr>
          <w:rFonts w:ascii="Century Gothic" w:hAnsi="Century Gothic"/>
          <w:sz w:val="28"/>
          <w:szCs w:val="28"/>
          <w:lang w:val="es-CO"/>
        </w:rPr>
        <w:t>y 906, nuevo régimen acusatorio:</w:t>
      </w:r>
    </w:p>
    <w:p w:rsidR="00A00B50" w:rsidRPr="00C40840" w:rsidRDefault="00A00B50" w:rsidP="00A00B50">
      <w:pPr>
        <w:ind w:left="993"/>
        <w:jc w:val="both"/>
        <w:rPr>
          <w:rFonts w:ascii="Century Gothic" w:hAnsi="Century Gothic"/>
          <w:sz w:val="28"/>
          <w:szCs w:val="28"/>
          <w:lang w:val="es-CO"/>
        </w:rPr>
      </w:pPr>
    </w:p>
    <w:p w:rsidR="00324177" w:rsidRPr="00C40840" w:rsidRDefault="00324177" w:rsidP="00A00B50">
      <w:pPr>
        <w:ind w:left="567"/>
        <w:jc w:val="both"/>
        <w:rPr>
          <w:rFonts w:ascii="Century Gothic" w:hAnsi="Century Gothic"/>
          <w:sz w:val="28"/>
          <w:szCs w:val="28"/>
          <w:lang w:val="es-CO"/>
        </w:rPr>
      </w:pPr>
      <w:r w:rsidRPr="00C40840">
        <w:rPr>
          <w:rFonts w:ascii="Century Gothic" w:hAnsi="Century Gothic"/>
          <w:sz w:val="28"/>
          <w:szCs w:val="28"/>
          <w:lang w:val="es-CO"/>
        </w:rPr>
        <w:t>419 investigaciones por el presunto delito de tortura, de las cuales 382 estan en investigación preliminar, 8 en investigación con personas vinculadas,  21 en juicio y 8 con sentencia condenatoria.</w:t>
      </w:r>
    </w:p>
    <w:p w:rsidR="00324177" w:rsidRPr="00C40840" w:rsidRDefault="00324177" w:rsidP="00A4061D">
      <w:pPr>
        <w:tabs>
          <w:tab w:val="num" w:pos="2340"/>
        </w:tabs>
        <w:ind w:left="1080"/>
        <w:jc w:val="both"/>
        <w:rPr>
          <w:rFonts w:ascii="Century Gothic" w:hAnsi="Century Gothic"/>
          <w:sz w:val="28"/>
          <w:szCs w:val="28"/>
          <w:lang w:val="es-CO"/>
        </w:rPr>
      </w:pPr>
    </w:p>
    <w:p w:rsidR="00324177" w:rsidRPr="00C40840" w:rsidRDefault="00324177" w:rsidP="00361D30">
      <w:pPr>
        <w:ind w:left="567" w:hanging="567"/>
        <w:jc w:val="both"/>
        <w:rPr>
          <w:rFonts w:ascii="Century Gothic" w:hAnsi="Century Gothic"/>
          <w:sz w:val="28"/>
          <w:szCs w:val="28"/>
          <w:lang w:val="es-CO"/>
        </w:rPr>
      </w:pPr>
      <w:r w:rsidRPr="00361D30">
        <w:rPr>
          <w:rFonts w:ascii="Century Gothic" w:hAnsi="Century Gothic"/>
          <w:b/>
          <w:sz w:val="28"/>
          <w:szCs w:val="28"/>
          <w:lang w:val="es-CO"/>
        </w:rPr>
        <w:t>11ª.</w:t>
      </w:r>
      <w:r w:rsidRPr="00C40840">
        <w:rPr>
          <w:rFonts w:ascii="Century Gothic" w:hAnsi="Century Gothic"/>
          <w:sz w:val="28"/>
          <w:szCs w:val="28"/>
          <w:lang w:val="es-CO"/>
        </w:rPr>
        <w:t xml:space="preserve"> Ley de Justicia y Paz y desmovilización. A 31 de octubre de 2008 se han desmovilizad</w:t>
      </w:r>
      <w:r w:rsidR="00730ED4">
        <w:rPr>
          <w:rFonts w:ascii="Century Gothic" w:hAnsi="Century Gothic"/>
          <w:sz w:val="28"/>
          <w:szCs w:val="28"/>
          <w:lang w:val="es-CO"/>
        </w:rPr>
        <w:t>o 47.490 personas vinculadas a grupos armados ilegales,</w:t>
      </w:r>
      <w:r w:rsidRPr="00C40840">
        <w:rPr>
          <w:rFonts w:ascii="Century Gothic" w:hAnsi="Century Gothic"/>
          <w:sz w:val="28"/>
          <w:szCs w:val="28"/>
          <w:lang w:val="es-CO"/>
        </w:rPr>
        <w:t xml:space="preserve"> de los cuales, 31.671 corresponden a des</w:t>
      </w:r>
      <w:r w:rsidR="00730ED4">
        <w:rPr>
          <w:rFonts w:ascii="Century Gothic" w:hAnsi="Century Gothic"/>
          <w:sz w:val="28"/>
          <w:szCs w:val="28"/>
          <w:lang w:val="es-CO"/>
        </w:rPr>
        <w:t xml:space="preserve">movilización colectiva y 15.819 </w:t>
      </w:r>
      <w:r w:rsidRPr="00C40840">
        <w:rPr>
          <w:rFonts w:ascii="Century Gothic" w:hAnsi="Century Gothic"/>
          <w:sz w:val="28"/>
          <w:szCs w:val="28"/>
          <w:lang w:val="es-CO"/>
        </w:rPr>
        <w:t xml:space="preserve">a desmovilización individual.  </w:t>
      </w:r>
    </w:p>
    <w:p w:rsidR="00324177" w:rsidRDefault="00324177" w:rsidP="00B23B59">
      <w:pPr>
        <w:ind w:left="360"/>
        <w:jc w:val="both"/>
        <w:rPr>
          <w:rFonts w:ascii="Century Gothic" w:hAnsi="Century Gothic"/>
          <w:sz w:val="28"/>
          <w:szCs w:val="28"/>
          <w:lang w:val="es-CO"/>
        </w:rPr>
      </w:pPr>
    </w:p>
    <w:p w:rsidR="00CB2C01" w:rsidRDefault="00CB2C01" w:rsidP="00B23B59">
      <w:pPr>
        <w:ind w:left="360"/>
        <w:jc w:val="both"/>
        <w:rPr>
          <w:rFonts w:ascii="Century Gothic" w:hAnsi="Century Gothic"/>
          <w:sz w:val="28"/>
          <w:szCs w:val="28"/>
          <w:lang w:val="es-CO"/>
        </w:rPr>
      </w:pPr>
    </w:p>
    <w:p w:rsidR="00CB2C01" w:rsidRPr="00C40840" w:rsidRDefault="00CB2C01" w:rsidP="00B23B59">
      <w:pPr>
        <w:ind w:left="360"/>
        <w:jc w:val="both"/>
        <w:rPr>
          <w:rFonts w:ascii="Century Gothic" w:hAnsi="Century Gothic"/>
          <w:sz w:val="28"/>
          <w:szCs w:val="28"/>
          <w:lang w:val="es-CO"/>
        </w:rPr>
      </w:pPr>
    </w:p>
    <w:p w:rsidR="00324177" w:rsidRPr="00C40840" w:rsidRDefault="00324177" w:rsidP="00B23B59">
      <w:pPr>
        <w:ind w:left="360"/>
        <w:jc w:val="both"/>
        <w:rPr>
          <w:rFonts w:ascii="Century Gothic" w:hAnsi="Century Gothic"/>
          <w:sz w:val="28"/>
          <w:szCs w:val="28"/>
          <w:lang w:val="es-CO"/>
        </w:rPr>
      </w:pPr>
      <w:r w:rsidRPr="00C40840">
        <w:rPr>
          <w:rFonts w:ascii="Century Gothic" w:hAnsi="Century Gothic"/>
          <w:sz w:val="28"/>
          <w:szCs w:val="28"/>
          <w:lang w:val="es-CO"/>
        </w:rPr>
        <w:t xml:space="preserve">La Ley ha permitido: </w:t>
      </w:r>
    </w:p>
    <w:p w:rsidR="00324177" w:rsidRPr="00C40840" w:rsidRDefault="00324177" w:rsidP="00B23B59">
      <w:pPr>
        <w:ind w:left="360"/>
        <w:jc w:val="both"/>
        <w:rPr>
          <w:rFonts w:ascii="Century Gothic" w:hAnsi="Century Gothic"/>
          <w:sz w:val="28"/>
          <w:szCs w:val="28"/>
          <w:lang w:val="es-CO"/>
        </w:rPr>
      </w:pPr>
    </w:p>
    <w:p w:rsidR="00324177" w:rsidRPr="00C40840" w:rsidRDefault="00324177" w:rsidP="00153D80">
      <w:pPr>
        <w:numPr>
          <w:ilvl w:val="1"/>
          <w:numId w:val="18"/>
        </w:numPr>
        <w:jc w:val="both"/>
        <w:rPr>
          <w:rFonts w:ascii="Century Gothic" w:hAnsi="Century Gothic"/>
          <w:sz w:val="28"/>
          <w:szCs w:val="28"/>
          <w:lang w:val="es-CO"/>
        </w:rPr>
      </w:pPr>
      <w:r w:rsidRPr="00C40840">
        <w:rPr>
          <w:rFonts w:ascii="Century Gothic" w:hAnsi="Century Gothic"/>
          <w:sz w:val="28"/>
          <w:szCs w:val="28"/>
          <w:lang w:val="es-CO"/>
        </w:rPr>
        <w:t xml:space="preserve">Desmontar estructuras militares </w:t>
      </w:r>
      <w:r w:rsidR="007D5566">
        <w:rPr>
          <w:rFonts w:ascii="Century Gothic" w:hAnsi="Century Gothic"/>
          <w:sz w:val="28"/>
          <w:szCs w:val="28"/>
          <w:lang w:val="es-CO"/>
        </w:rPr>
        <w:t xml:space="preserve">ilegales </w:t>
      </w:r>
      <w:r w:rsidRPr="00C40840">
        <w:rPr>
          <w:rFonts w:ascii="Century Gothic" w:hAnsi="Century Gothic"/>
          <w:sz w:val="28"/>
          <w:szCs w:val="28"/>
          <w:lang w:val="es-CO"/>
        </w:rPr>
        <w:t>y criminales que ya existían en Colombia antes del 2002.</w:t>
      </w:r>
    </w:p>
    <w:p w:rsidR="00324177" w:rsidRPr="00C40840" w:rsidRDefault="00324177" w:rsidP="00153D80">
      <w:pPr>
        <w:numPr>
          <w:ilvl w:val="1"/>
          <w:numId w:val="18"/>
        </w:numPr>
        <w:jc w:val="both"/>
        <w:rPr>
          <w:rFonts w:ascii="Century Gothic" w:hAnsi="Century Gothic"/>
          <w:sz w:val="28"/>
          <w:szCs w:val="28"/>
          <w:lang w:val="es-CO"/>
        </w:rPr>
      </w:pPr>
      <w:r w:rsidRPr="00C40840">
        <w:rPr>
          <w:rFonts w:ascii="Century Gothic" w:hAnsi="Century Gothic"/>
          <w:sz w:val="28"/>
          <w:szCs w:val="28"/>
          <w:lang w:val="es-CO"/>
        </w:rPr>
        <w:t xml:space="preserve">A pesar del </w:t>
      </w:r>
      <w:r w:rsidR="007D5566">
        <w:rPr>
          <w:rFonts w:ascii="Century Gothic" w:hAnsi="Century Gothic"/>
          <w:sz w:val="28"/>
          <w:szCs w:val="28"/>
          <w:lang w:val="es-CO"/>
        </w:rPr>
        <w:t xml:space="preserve">doloroso trauma humano, </w:t>
      </w:r>
      <w:r w:rsidRPr="00C40840">
        <w:rPr>
          <w:rFonts w:ascii="Century Gothic" w:hAnsi="Century Gothic"/>
          <w:sz w:val="28"/>
          <w:szCs w:val="28"/>
          <w:lang w:val="es-CO"/>
        </w:rPr>
        <w:t xml:space="preserve">ha permitido conocer la verdad de la crueldad de la tragedia, visibilizar a las </w:t>
      </w:r>
      <w:r w:rsidR="007D5566" w:rsidRPr="00C40840">
        <w:rPr>
          <w:rFonts w:ascii="Century Gothic" w:hAnsi="Century Gothic"/>
          <w:sz w:val="28"/>
          <w:szCs w:val="28"/>
          <w:lang w:val="es-CO"/>
        </w:rPr>
        <w:t>víctimas</w:t>
      </w:r>
      <w:r w:rsidRPr="00C40840">
        <w:rPr>
          <w:rFonts w:ascii="Century Gothic" w:hAnsi="Century Gothic"/>
          <w:sz w:val="28"/>
          <w:szCs w:val="28"/>
          <w:lang w:val="es-CO"/>
        </w:rPr>
        <w:t xml:space="preserve">, iniciar los procesos </w:t>
      </w:r>
      <w:r w:rsidR="007D5566">
        <w:rPr>
          <w:rFonts w:ascii="Century Gothic" w:hAnsi="Century Gothic"/>
          <w:sz w:val="28"/>
          <w:szCs w:val="28"/>
          <w:lang w:val="es-CO"/>
        </w:rPr>
        <w:t xml:space="preserve">judiciales contra </w:t>
      </w:r>
      <w:r w:rsidRPr="00C40840">
        <w:rPr>
          <w:rFonts w:ascii="Century Gothic" w:hAnsi="Century Gothic"/>
          <w:sz w:val="28"/>
          <w:szCs w:val="28"/>
          <w:lang w:val="es-CO"/>
        </w:rPr>
        <w:t>hechos criminales que estaban en la impunidad, visibilizar vínculos de grupos similares al margen de la ley como los paramilitares con sectores muy diversos de la soci</w:t>
      </w:r>
      <w:r w:rsidR="00901329">
        <w:rPr>
          <w:rFonts w:ascii="Century Gothic" w:hAnsi="Century Gothic"/>
          <w:sz w:val="28"/>
          <w:szCs w:val="28"/>
          <w:lang w:val="es-CO"/>
        </w:rPr>
        <w:t>edad y con algunos agentes del E</w:t>
      </w:r>
      <w:r w:rsidRPr="00C40840">
        <w:rPr>
          <w:rFonts w:ascii="Century Gothic" w:hAnsi="Century Gothic"/>
          <w:sz w:val="28"/>
          <w:szCs w:val="28"/>
          <w:lang w:val="es-CO"/>
        </w:rPr>
        <w:t xml:space="preserve">stado, e iniciar un proceso de búsqueda de la verdad y </w:t>
      </w:r>
      <w:r w:rsidR="00901329">
        <w:rPr>
          <w:rFonts w:ascii="Century Gothic" w:hAnsi="Century Gothic"/>
          <w:sz w:val="28"/>
          <w:szCs w:val="28"/>
          <w:lang w:val="es-CO"/>
        </w:rPr>
        <w:t xml:space="preserve">de reparación a </w:t>
      </w:r>
      <w:r w:rsidRPr="00C40840">
        <w:rPr>
          <w:rFonts w:ascii="Century Gothic" w:hAnsi="Century Gothic"/>
          <w:sz w:val="28"/>
          <w:szCs w:val="28"/>
          <w:lang w:val="es-CO"/>
        </w:rPr>
        <w:t>las victimas.</w:t>
      </w:r>
    </w:p>
    <w:p w:rsidR="00324177" w:rsidRPr="00C40840" w:rsidRDefault="00324177" w:rsidP="00153D80">
      <w:pPr>
        <w:numPr>
          <w:ilvl w:val="1"/>
          <w:numId w:val="18"/>
        </w:numPr>
        <w:jc w:val="both"/>
        <w:rPr>
          <w:rFonts w:ascii="Century Gothic" w:hAnsi="Century Gothic"/>
          <w:sz w:val="28"/>
          <w:szCs w:val="28"/>
          <w:lang w:val="es-CO"/>
        </w:rPr>
      </w:pPr>
      <w:r w:rsidRPr="00C40840">
        <w:rPr>
          <w:rFonts w:ascii="Century Gothic" w:hAnsi="Century Gothic"/>
          <w:sz w:val="28"/>
          <w:szCs w:val="28"/>
          <w:lang w:val="es-CO"/>
        </w:rPr>
        <w:t xml:space="preserve">Ubicar fosas comunes con bases en declaraciones de desmovilizados y a la fecha se han ex exhumado 2778 cadáveres en 2267 fosas, se han identificado 758 cadáveres de los cuales 647  ya han sido entregados a los familiares. </w:t>
      </w:r>
    </w:p>
    <w:p w:rsidR="00324177" w:rsidRPr="00C40840" w:rsidRDefault="00324177" w:rsidP="00153D80">
      <w:pPr>
        <w:numPr>
          <w:ilvl w:val="1"/>
          <w:numId w:val="18"/>
        </w:numPr>
        <w:jc w:val="both"/>
        <w:rPr>
          <w:rFonts w:ascii="Century Gothic" w:hAnsi="Century Gothic"/>
          <w:sz w:val="28"/>
          <w:szCs w:val="28"/>
          <w:lang w:val="es-CO"/>
        </w:rPr>
      </w:pPr>
      <w:r w:rsidRPr="00C40840">
        <w:rPr>
          <w:rFonts w:ascii="Century Gothic" w:hAnsi="Century Gothic"/>
          <w:sz w:val="28"/>
          <w:szCs w:val="28"/>
          <w:lang w:val="es-CO"/>
        </w:rPr>
        <w:t>Para garantizar los derechos de las victimas se creó la Comisión nacional de Reparación  y Reconciliación, se dotó a la Fiscalía de soportes técnicos necesarios para la realización de audiencias virtuales con participación de las victimas en diversas partes y se creó un fondo de reparación  con un capital de más de 100 millones de dólares a partir del presente año, beneficiando inicialmente a 10 mil familiares de victimas en el año 2009.</w:t>
      </w:r>
    </w:p>
    <w:p w:rsidR="00324177" w:rsidRPr="00C40840" w:rsidRDefault="00324177" w:rsidP="00153D80">
      <w:pPr>
        <w:numPr>
          <w:ilvl w:val="1"/>
          <w:numId w:val="18"/>
        </w:numPr>
        <w:jc w:val="both"/>
        <w:rPr>
          <w:rFonts w:ascii="Century Gothic" w:hAnsi="Century Gothic"/>
          <w:sz w:val="28"/>
          <w:szCs w:val="28"/>
          <w:lang w:val="es-CO"/>
        </w:rPr>
      </w:pPr>
      <w:r w:rsidRPr="00C40840">
        <w:rPr>
          <w:rFonts w:ascii="Century Gothic" w:hAnsi="Century Gothic"/>
          <w:sz w:val="28"/>
          <w:szCs w:val="28"/>
          <w:lang w:val="es-CO"/>
        </w:rPr>
        <w:t xml:space="preserve">Los procesos de investigación por la Ley de justicia y paz están en curso y hasta el momento no han concluido las sentencias condenatorias. Estos procesos han permitido iniciar investigaciones en 4.763 casos contra personas particulares y servidores públicos. </w:t>
      </w:r>
    </w:p>
    <w:p w:rsidR="00324177" w:rsidRPr="00C40840" w:rsidRDefault="00324177" w:rsidP="00153D80">
      <w:pPr>
        <w:numPr>
          <w:ilvl w:val="1"/>
          <w:numId w:val="18"/>
        </w:numPr>
        <w:jc w:val="both"/>
        <w:rPr>
          <w:rFonts w:ascii="Century Gothic" w:hAnsi="Century Gothic"/>
          <w:sz w:val="28"/>
          <w:szCs w:val="28"/>
          <w:lang w:val="es-CO"/>
        </w:rPr>
      </w:pPr>
      <w:r w:rsidRPr="00C40840">
        <w:rPr>
          <w:rFonts w:ascii="Century Gothic" w:hAnsi="Century Gothic"/>
          <w:sz w:val="28"/>
          <w:szCs w:val="28"/>
          <w:lang w:val="es-CO"/>
        </w:rPr>
        <w:t xml:space="preserve">La creación en 2006 de la Subunidad de apoyo de Exhumación para la Justicia y la Paz, adscrita a la Unidad de Justicia y Paz de la Fiscalía General de la Nación. </w:t>
      </w:r>
    </w:p>
    <w:p w:rsidR="00324177" w:rsidRPr="00C40840" w:rsidRDefault="00324177" w:rsidP="00AF0802">
      <w:pPr>
        <w:ind w:left="1080"/>
        <w:jc w:val="both"/>
        <w:rPr>
          <w:rFonts w:ascii="Century Gothic" w:hAnsi="Century Gothic"/>
          <w:sz w:val="28"/>
          <w:szCs w:val="28"/>
          <w:lang w:val="es-CO"/>
        </w:rPr>
      </w:pPr>
    </w:p>
    <w:p w:rsidR="00324177" w:rsidRPr="00C40840" w:rsidRDefault="00324177" w:rsidP="00901329">
      <w:pPr>
        <w:ind w:left="851" w:hanging="491"/>
        <w:jc w:val="both"/>
        <w:rPr>
          <w:rFonts w:ascii="Century Gothic" w:hAnsi="Century Gothic"/>
          <w:sz w:val="28"/>
          <w:szCs w:val="28"/>
          <w:lang w:val="es-CO"/>
        </w:rPr>
      </w:pPr>
      <w:r w:rsidRPr="00901329">
        <w:rPr>
          <w:rFonts w:ascii="Century Gothic" w:hAnsi="Century Gothic"/>
          <w:b/>
          <w:sz w:val="28"/>
          <w:szCs w:val="28"/>
          <w:lang w:val="es-CO"/>
        </w:rPr>
        <w:t>12ª</w:t>
      </w:r>
      <w:r w:rsidRPr="00C40840">
        <w:rPr>
          <w:rFonts w:ascii="Century Gothic" w:hAnsi="Century Gothic"/>
          <w:sz w:val="28"/>
          <w:szCs w:val="28"/>
          <w:lang w:val="es-CO"/>
        </w:rPr>
        <w:t xml:space="preserve"> La razón para que algunos fiscales despachen desde guarniciones militares en regiones apartadas obedece a motivos estrictamente relacionados con su seguridad y de sus familias. Esta situación no implica ninguna intromisión de los militares en las decisiones de los fiscales, las cuales están sujetas a los mecanismos de revisión previstas en las normas legales. </w:t>
      </w:r>
    </w:p>
    <w:p w:rsidR="00324177" w:rsidRPr="00C40840" w:rsidRDefault="00324177" w:rsidP="00153D80">
      <w:pPr>
        <w:ind w:left="360"/>
        <w:jc w:val="both"/>
        <w:rPr>
          <w:rFonts w:ascii="Century Gothic" w:hAnsi="Century Gothic"/>
          <w:sz w:val="28"/>
          <w:szCs w:val="28"/>
          <w:lang w:val="es-CO"/>
        </w:rPr>
      </w:pPr>
    </w:p>
    <w:p w:rsidR="00324177" w:rsidRPr="00C40840" w:rsidRDefault="00324177" w:rsidP="00901329">
      <w:pPr>
        <w:ind w:left="851" w:hanging="491"/>
        <w:jc w:val="both"/>
        <w:rPr>
          <w:rFonts w:ascii="Century Gothic" w:hAnsi="Century Gothic"/>
          <w:sz w:val="28"/>
          <w:szCs w:val="28"/>
          <w:lang w:val="es-CO"/>
        </w:rPr>
      </w:pPr>
      <w:r w:rsidRPr="00901329">
        <w:rPr>
          <w:rFonts w:ascii="Century Gothic" w:hAnsi="Century Gothic"/>
          <w:b/>
          <w:sz w:val="28"/>
          <w:szCs w:val="28"/>
          <w:lang w:val="es-CO"/>
        </w:rPr>
        <w:t>13º</w:t>
      </w:r>
      <w:r w:rsidRPr="00C40840">
        <w:rPr>
          <w:rFonts w:ascii="Century Gothic" w:hAnsi="Century Gothic"/>
          <w:sz w:val="28"/>
          <w:szCs w:val="28"/>
          <w:lang w:val="es-CO"/>
        </w:rPr>
        <w:t xml:space="preserve"> Con relación al cumplimiento del Auto 092 del 2008 de la Corte Constitucional, la Fiscalía General de la Nación ha adoptado las siguientes acciones: </w:t>
      </w:r>
    </w:p>
    <w:p w:rsidR="00324177" w:rsidRPr="00C40840" w:rsidRDefault="00324177" w:rsidP="002243E3">
      <w:pPr>
        <w:ind w:left="360"/>
        <w:jc w:val="both"/>
        <w:rPr>
          <w:rFonts w:ascii="Century Gothic" w:hAnsi="Century Gothic"/>
          <w:sz w:val="28"/>
          <w:szCs w:val="28"/>
          <w:lang w:val="es-CO"/>
        </w:rPr>
      </w:pPr>
    </w:p>
    <w:p w:rsidR="00324177" w:rsidRPr="00C40840" w:rsidRDefault="00324177" w:rsidP="00901329">
      <w:pPr>
        <w:widowControl w:val="0"/>
        <w:numPr>
          <w:ilvl w:val="0"/>
          <w:numId w:val="21"/>
        </w:numPr>
        <w:tabs>
          <w:tab w:val="clear" w:pos="720"/>
        </w:tabs>
        <w:overflowPunct w:val="0"/>
        <w:autoSpaceDE w:val="0"/>
        <w:autoSpaceDN w:val="0"/>
        <w:adjustRightInd w:val="0"/>
        <w:ind w:left="1134" w:hanging="283"/>
        <w:jc w:val="both"/>
        <w:rPr>
          <w:rFonts w:ascii="Century Gothic" w:hAnsi="Century Gothic"/>
          <w:sz w:val="28"/>
          <w:szCs w:val="28"/>
          <w:lang w:val="es-CO"/>
        </w:rPr>
      </w:pPr>
      <w:r w:rsidRPr="00C40840">
        <w:rPr>
          <w:rFonts w:ascii="Century Gothic" w:hAnsi="Century Gothic"/>
          <w:sz w:val="28"/>
          <w:szCs w:val="28"/>
          <w:lang w:val="es-CO"/>
        </w:rPr>
        <w:t xml:space="preserve">Construcción de una base de datos exclusiva y diferencial para los casos de violencia sexual. </w:t>
      </w:r>
    </w:p>
    <w:p w:rsidR="00324177" w:rsidRPr="00C40840" w:rsidRDefault="00324177" w:rsidP="00901329">
      <w:pPr>
        <w:widowControl w:val="0"/>
        <w:numPr>
          <w:ilvl w:val="0"/>
          <w:numId w:val="21"/>
        </w:numPr>
        <w:tabs>
          <w:tab w:val="clear" w:pos="720"/>
        </w:tabs>
        <w:overflowPunct w:val="0"/>
        <w:autoSpaceDE w:val="0"/>
        <w:autoSpaceDN w:val="0"/>
        <w:adjustRightInd w:val="0"/>
        <w:ind w:left="1134" w:hanging="283"/>
        <w:jc w:val="both"/>
        <w:rPr>
          <w:rFonts w:ascii="Century Gothic" w:hAnsi="Century Gothic"/>
          <w:sz w:val="28"/>
          <w:szCs w:val="28"/>
          <w:lang w:val="es-CO"/>
        </w:rPr>
      </w:pPr>
      <w:r w:rsidRPr="00C40840">
        <w:rPr>
          <w:rFonts w:ascii="Century Gothic" w:hAnsi="Century Gothic"/>
          <w:sz w:val="28"/>
          <w:szCs w:val="28"/>
          <w:lang w:val="es-CO"/>
        </w:rPr>
        <w:t xml:space="preserve">Creación de Comités Técnico-Jurídicos de impulso de casos </w:t>
      </w:r>
    </w:p>
    <w:p w:rsidR="00324177" w:rsidRPr="00C40840" w:rsidRDefault="00324177" w:rsidP="00901329">
      <w:pPr>
        <w:widowControl w:val="0"/>
        <w:numPr>
          <w:ilvl w:val="0"/>
          <w:numId w:val="21"/>
        </w:numPr>
        <w:tabs>
          <w:tab w:val="clear" w:pos="720"/>
        </w:tabs>
        <w:overflowPunct w:val="0"/>
        <w:autoSpaceDE w:val="0"/>
        <w:autoSpaceDN w:val="0"/>
        <w:adjustRightInd w:val="0"/>
        <w:ind w:left="1134" w:hanging="283"/>
        <w:jc w:val="both"/>
        <w:rPr>
          <w:rFonts w:ascii="Century Gothic" w:hAnsi="Century Gothic"/>
          <w:sz w:val="28"/>
          <w:szCs w:val="28"/>
          <w:lang w:val="es-CO"/>
        </w:rPr>
      </w:pPr>
      <w:r w:rsidRPr="00C40840">
        <w:rPr>
          <w:rFonts w:ascii="Century Gothic" w:hAnsi="Century Gothic"/>
          <w:sz w:val="28"/>
          <w:szCs w:val="28"/>
          <w:lang w:val="es-CO"/>
        </w:rPr>
        <w:t>Abordaje diferencial de los casos con observancia del enfoque psicosocial</w:t>
      </w:r>
    </w:p>
    <w:p w:rsidR="00324177" w:rsidRPr="00C40840" w:rsidRDefault="00324177" w:rsidP="00901329">
      <w:pPr>
        <w:widowControl w:val="0"/>
        <w:numPr>
          <w:ilvl w:val="0"/>
          <w:numId w:val="21"/>
        </w:numPr>
        <w:tabs>
          <w:tab w:val="clear" w:pos="720"/>
        </w:tabs>
        <w:overflowPunct w:val="0"/>
        <w:autoSpaceDE w:val="0"/>
        <w:autoSpaceDN w:val="0"/>
        <w:adjustRightInd w:val="0"/>
        <w:ind w:left="1134" w:hanging="283"/>
        <w:jc w:val="both"/>
        <w:rPr>
          <w:rFonts w:ascii="Century Gothic" w:hAnsi="Century Gothic"/>
          <w:sz w:val="28"/>
          <w:szCs w:val="28"/>
          <w:lang w:val="es-CO"/>
        </w:rPr>
      </w:pPr>
      <w:r w:rsidRPr="00C40840">
        <w:rPr>
          <w:rFonts w:ascii="Century Gothic" w:hAnsi="Century Gothic"/>
          <w:sz w:val="28"/>
          <w:szCs w:val="28"/>
          <w:lang w:val="es-CO"/>
        </w:rPr>
        <w:t xml:space="preserve">Capacitación a los operadores jurídicos </w:t>
      </w:r>
    </w:p>
    <w:p w:rsidR="00324177" w:rsidRPr="00C40840" w:rsidRDefault="00324177" w:rsidP="00901329">
      <w:pPr>
        <w:widowControl w:val="0"/>
        <w:numPr>
          <w:ilvl w:val="0"/>
          <w:numId w:val="21"/>
        </w:numPr>
        <w:tabs>
          <w:tab w:val="clear" w:pos="720"/>
        </w:tabs>
        <w:overflowPunct w:val="0"/>
        <w:autoSpaceDE w:val="0"/>
        <w:autoSpaceDN w:val="0"/>
        <w:adjustRightInd w:val="0"/>
        <w:ind w:left="1134" w:hanging="283"/>
        <w:jc w:val="both"/>
        <w:rPr>
          <w:rFonts w:ascii="Century Gothic" w:hAnsi="Century Gothic"/>
          <w:sz w:val="28"/>
          <w:szCs w:val="28"/>
          <w:lang w:val="es-CO"/>
        </w:rPr>
      </w:pPr>
      <w:r w:rsidRPr="00C40840">
        <w:rPr>
          <w:rFonts w:ascii="Century Gothic" w:hAnsi="Century Gothic"/>
          <w:sz w:val="28"/>
          <w:szCs w:val="28"/>
          <w:lang w:val="es-CO"/>
        </w:rPr>
        <w:t xml:space="preserve">Creación de las Unidades de Fiscalías para atender los casos de violaciones a los DDHH e infracciones al DIH relacionadas con </w:t>
      </w:r>
      <w:r w:rsidRPr="00C40840">
        <w:rPr>
          <w:rFonts w:ascii="Century Gothic" w:hAnsi="Century Gothic"/>
          <w:i/>
          <w:sz w:val="28"/>
          <w:szCs w:val="28"/>
          <w:lang w:val="es-CO"/>
        </w:rPr>
        <w:t xml:space="preserve"> violencia sexual </w:t>
      </w:r>
    </w:p>
    <w:p w:rsidR="00324177" w:rsidRPr="00C40840" w:rsidRDefault="00324177" w:rsidP="00901329">
      <w:pPr>
        <w:widowControl w:val="0"/>
        <w:numPr>
          <w:ilvl w:val="0"/>
          <w:numId w:val="21"/>
        </w:numPr>
        <w:tabs>
          <w:tab w:val="clear" w:pos="720"/>
        </w:tabs>
        <w:overflowPunct w:val="0"/>
        <w:autoSpaceDE w:val="0"/>
        <w:autoSpaceDN w:val="0"/>
        <w:adjustRightInd w:val="0"/>
        <w:ind w:left="1134" w:hanging="283"/>
        <w:jc w:val="both"/>
        <w:rPr>
          <w:rFonts w:ascii="Century Gothic" w:hAnsi="Century Gothic"/>
          <w:sz w:val="28"/>
          <w:szCs w:val="28"/>
          <w:lang w:val="es-CO"/>
        </w:rPr>
      </w:pPr>
      <w:r w:rsidRPr="00C40840">
        <w:rPr>
          <w:rFonts w:ascii="Century Gothic" w:hAnsi="Century Gothic"/>
          <w:sz w:val="28"/>
          <w:szCs w:val="28"/>
          <w:lang w:val="es-CO"/>
        </w:rPr>
        <w:t>Coordinación Institucional y trabajo mancomunado en la defensa de los derechos de las mujeres víctimas de violencia sexual</w:t>
      </w:r>
    </w:p>
    <w:p w:rsidR="00324177" w:rsidRPr="00C40840" w:rsidRDefault="00324177" w:rsidP="00A97A96">
      <w:pPr>
        <w:widowControl w:val="0"/>
        <w:overflowPunct w:val="0"/>
        <w:autoSpaceDE w:val="0"/>
        <w:autoSpaceDN w:val="0"/>
        <w:adjustRightInd w:val="0"/>
        <w:jc w:val="both"/>
        <w:rPr>
          <w:rFonts w:ascii="Century Gothic" w:hAnsi="Century Gothic"/>
          <w:sz w:val="28"/>
          <w:szCs w:val="28"/>
          <w:lang w:val="es-CO"/>
        </w:rPr>
      </w:pPr>
    </w:p>
    <w:p w:rsidR="00324177" w:rsidRPr="00C40840" w:rsidRDefault="00324177" w:rsidP="00901329">
      <w:pPr>
        <w:pStyle w:val="FootnoteText"/>
        <w:ind w:left="709" w:hanging="709"/>
        <w:jc w:val="both"/>
        <w:rPr>
          <w:rFonts w:ascii="Century Gothic" w:hAnsi="Century Gothic"/>
          <w:sz w:val="28"/>
          <w:szCs w:val="28"/>
        </w:rPr>
      </w:pPr>
      <w:r w:rsidRPr="00901329">
        <w:rPr>
          <w:rFonts w:ascii="Century Gothic" w:hAnsi="Century Gothic"/>
          <w:b/>
          <w:sz w:val="28"/>
          <w:szCs w:val="28"/>
        </w:rPr>
        <w:t>14º.</w:t>
      </w:r>
      <w:r w:rsidRPr="00C40840">
        <w:rPr>
          <w:rFonts w:ascii="Century Gothic" w:hAnsi="Century Gothic"/>
          <w:sz w:val="28"/>
          <w:szCs w:val="28"/>
        </w:rPr>
        <w:t xml:space="preserve"> En materia de violencia basada en el género, es importante destacar como avances normativos la Ley 1142 de 2007 que aumentó la pe</w:t>
      </w:r>
      <w:r w:rsidRPr="00C40840">
        <w:rPr>
          <w:rFonts w:ascii="Century Gothic" w:hAnsi="Century Gothic" w:cs="Arial"/>
          <w:sz w:val="28"/>
          <w:szCs w:val="28"/>
          <w:lang w:val="es-MX"/>
        </w:rPr>
        <w:t>na del delito de violencia intrafamiliar, la Ley 1236 de 2008</w:t>
      </w:r>
      <w:r w:rsidRPr="00C40840">
        <w:rPr>
          <w:rFonts w:ascii="Century Gothic" w:hAnsi="Century Gothic"/>
          <w:sz w:val="28"/>
          <w:szCs w:val="28"/>
        </w:rPr>
        <w:t xml:space="preserve"> que m</w:t>
      </w:r>
      <w:r w:rsidRPr="00C40840">
        <w:rPr>
          <w:rFonts w:ascii="Century Gothic" w:hAnsi="Century Gothic" w:cs="Arial"/>
          <w:sz w:val="28"/>
          <w:szCs w:val="28"/>
          <w:lang w:val="es-MX"/>
        </w:rPr>
        <w:t xml:space="preserve">odificó </w:t>
      </w:r>
      <w:r w:rsidRPr="00C40840">
        <w:rPr>
          <w:rFonts w:ascii="Century Gothic" w:hAnsi="Century Gothic" w:cs="Arial"/>
          <w:sz w:val="28"/>
          <w:szCs w:val="28"/>
        </w:rPr>
        <w:t xml:space="preserve">artículos del Código Penal relativos a delitos de abuso </w:t>
      </w:r>
      <w:r w:rsidRPr="00C40840">
        <w:rPr>
          <w:rFonts w:ascii="Century Gothic" w:hAnsi="Century Gothic" w:cs="Arial"/>
          <w:sz w:val="28"/>
          <w:szCs w:val="28"/>
          <w:lang w:val="es-MX"/>
        </w:rPr>
        <w:t xml:space="preserve">sexual, y la Ley 1257 de 2008, que </w:t>
      </w:r>
      <w:r w:rsidRPr="00C40840">
        <w:rPr>
          <w:rFonts w:ascii="Century Gothic" w:hAnsi="Century Gothic" w:cs="Arial"/>
          <w:sz w:val="28"/>
          <w:szCs w:val="28"/>
        </w:rPr>
        <w:t>incorpora el concepto de violencia contra la mujer de acuerdo con lo estipulado en la Convención Belem do Para y en los planes de acción de las conferencias de Viena, Cairo y Beijing. Allí se estructura la tipificación del delito de acoso sexual, el agravamiento de penas para crímenes de lesiones personales y homicidio por razón de ser mujer, así como creación de medidas fiscales para facilitar alternativas económicas para las víctimas de la violencia de género.</w:t>
      </w:r>
    </w:p>
    <w:p w:rsidR="00324177" w:rsidRPr="00C40840" w:rsidRDefault="00324177" w:rsidP="00F61E1C">
      <w:pPr>
        <w:widowControl w:val="0"/>
        <w:overflowPunct w:val="0"/>
        <w:autoSpaceDE w:val="0"/>
        <w:autoSpaceDN w:val="0"/>
        <w:adjustRightInd w:val="0"/>
        <w:ind w:left="720"/>
        <w:jc w:val="both"/>
        <w:rPr>
          <w:rFonts w:ascii="Century Gothic" w:hAnsi="Century Gothic"/>
          <w:sz w:val="28"/>
          <w:szCs w:val="28"/>
          <w:lang w:val="es-CO"/>
        </w:rPr>
      </w:pPr>
    </w:p>
    <w:p w:rsidR="00324177" w:rsidRPr="00C40840" w:rsidRDefault="00324177" w:rsidP="00901329">
      <w:pPr>
        <w:ind w:left="709" w:right="-88" w:hanging="1"/>
        <w:jc w:val="both"/>
        <w:rPr>
          <w:rFonts w:ascii="Century Gothic" w:hAnsi="Century Gothic" w:cs="Arial"/>
          <w:sz w:val="28"/>
          <w:szCs w:val="28"/>
          <w:lang w:val="es-MX"/>
        </w:rPr>
      </w:pPr>
      <w:r w:rsidRPr="00C40840">
        <w:rPr>
          <w:rFonts w:ascii="Century Gothic" w:hAnsi="Century Gothic" w:cs="Arial"/>
          <w:sz w:val="28"/>
          <w:szCs w:val="28"/>
          <w:lang w:val="es-CO"/>
        </w:rPr>
        <w:t>En acciones del Estado s</w:t>
      </w:r>
      <w:r w:rsidRPr="00C40840">
        <w:rPr>
          <w:rFonts w:ascii="Century Gothic" w:hAnsi="Century Gothic" w:cs="Arial"/>
          <w:sz w:val="28"/>
          <w:szCs w:val="28"/>
          <w:lang w:val="es-MX"/>
        </w:rPr>
        <w:t xml:space="preserve">e destaca igualmente la Estrategia Integral de Lucha contra la Violencia Basada en Género 2008-2011, que incluye tres componentes: prevención, atención a víctimas y marco jurídico. Se destacan igualmente, la elaboración de planes departamentales, programas de capacitación a líderes y a funcionarios públicos y  la promoción y monitoreo de los derechos de las mujeres en el sistema de alertas tempranas. </w:t>
      </w:r>
      <w:r w:rsidR="00901329" w:rsidRPr="00C40840">
        <w:rPr>
          <w:rFonts w:ascii="Century Gothic" w:hAnsi="Century Gothic" w:cs="Arial"/>
          <w:sz w:val="28"/>
          <w:szCs w:val="28"/>
          <w:lang w:val="es-MX"/>
        </w:rPr>
        <w:t>Así</w:t>
      </w:r>
      <w:r w:rsidRPr="00C40840">
        <w:rPr>
          <w:rFonts w:ascii="Century Gothic" w:hAnsi="Century Gothic" w:cs="Arial"/>
          <w:sz w:val="28"/>
          <w:szCs w:val="28"/>
          <w:lang w:val="es-MX"/>
        </w:rPr>
        <w:t xml:space="preserve"> mismo, la creación del Observatorio de Asuntos de Género que realiza un seguimiento periódico de la información estadística producida por las  diferentes instituciones del Estado, frente a las diferentes formas de violencias contra las mujeres, entre ellas la violencia sexual. Este Obsevatorio ha sido reconocido como buena practica por la CEPAL. </w:t>
      </w:r>
    </w:p>
    <w:p w:rsidR="00324177" w:rsidRPr="00C40840" w:rsidRDefault="00324177" w:rsidP="00153D80">
      <w:pPr>
        <w:ind w:left="360"/>
        <w:jc w:val="both"/>
        <w:rPr>
          <w:rFonts w:ascii="Century Gothic" w:hAnsi="Century Gothic"/>
          <w:sz w:val="28"/>
          <w:szCs w:val="28"/>
          <w:lang w:val="es-MX"/>
        </w:rPr>
      </w:pPr>
    </w:p>
    <w:p w:rsidR="00324177" w:rsidRPr="00C40840" w:rsidRDefault="00324177" w:rsidP="00901329">
      <w:pPr>
        <w:ind w:left="709" w:hanging="709"/>
        <w:jc w:val="both"/>
        <w:rPr>
          <w:rFonts w:ascii="Century Gothic" w:hAnsi="Century Gothic"/>
          <w:sz w:val="28"/>
          <w:szCs w:val="28"/>
          <w:lang w:val="es-CO"/>
        </w:rPr>
      </w:pPr>
      <w:r w:rsidRPr="00901329">
        <w:rPr>
          <w:rFonts w:ascii="Century Gothic" w:hAnsi="Century Gothic"/>
          <w:b/>
          <w:sz w:val="28"/>
          <w:szCs w:val="28"/>
          <w:lang w:val="es-CO"/>
        </w:rPr>
        <w:t>15º.</w:t>
      </w:r>
      <w:r w:rsidRPr="00C40840">
        <w:rPr>
          <w:rFonts w:ascii="Century Gothic" w:hAnsi="Century Gothic"/>
          <w:sz w:val="28"/>
          <w:szCs w:val="28"/>
          <w:lang w:val="es-CO"/>
        </w:rPr>
        <w:t xml:space="preserve"> El Decreto 128 de 2003, utilizado para la desmovilización de los integrantes de las autodefensas establece claramente que no existe amnistía o indulto para los delitos de lesa humanidad y crimines de guerra. En tal sentido, la situación de 19 mil desmovilizados a quienes se les </w:t>
      </w:r>
      <w:r w:rsidR="00901329" w:rsidRPr="00C40840">
        <w:rPr>
          <w:rFonts w:ascii="Century Gothic" w:hAnsi="Century Gothic"/>
          <w:sz w:val="28"/>
          <w:szCs w:val="28"/>
          <w:lang w:val="es-CO"/>
        </w:rPr>
        <w:t>profirió</w:t>
      </w:r>
      <w:r w:rsidRPr="00C40840">
        <w:rPr>
          <w:rFonts w:ascii="Century Gothic" w:hAnsi="Century Gothic"/>
          <w:sz w:val="28"/>
          <w:szCs w:val="28"/>
          <w:lang w:val="es-CO"/>
        </w:rPr>
        <w:t xml:space="preserve"> auto inhibitorio de no investigación </w:t>
      </w:r>
      <w:r w:rsidR="00901329" w:rsidRPr="00C40840">
        <w:rPr>
          <w:rFonts w:ascii="Century Gothic" w:hAnsi="Century Gothic"/>
          <w:sz w:val="28"/>
          <w:szCs w:val="28"/>
          <w:lang w:val="es-CO"/>
        </w:rPr>
        <w:t>obedeció</w:t>
      </w:r>
      <w:r w:rsidRPr="00C40840">
        <w:rPr>
          <w:rFonts w:ascii="Century Gothic" w:hAnsi="Century Gothic"/>
          <w:sz w:val="28"/>
          <w:szCs w:val="28"/>
          <w:lang w:val="es-CO"/>
        </w:rPr>
        <w:t xml:space="preserve"> al hecho de que estas personas no </w:t>
      </w:r>
      <w:r w:rsidR="00901329" w:rsidRPr="00C40840">
        <w:rPr>
          <w:rFonts w:ascii="Century Gothic" w:hAnsi="Century Gothic"/>
          <w:sz w:val="28"/>
          <w:szCs w:val="28"/>
          <w:lang w:val="es-CO"/>
        </w:rPr>
        <w:t>tenían</w:t>
      </w:r>
      <w:r w:rsidRPr="00C40840">
        <w:rPr>
          <w:rFonts w:ascii="Century Gothic" w:hAnsi="Century Gothic"/>
          <w:sz w:val="28"/>
          <w:szCs w:val="28"/>
          <w:lang w:val="es-CO"/>
        </w:rPr>
        <w:t>, en es</w:t>
      </w:r>
      <w:r w:rsidR="00901329">
        <w:rPr>
          <w:rFonts w:ascii="Century Gothic" w:hAnsi="Century Gothic"/>
          <w:sz w:val="28"/>
          <w:szCs w:val="28"/>
          <w:lang w:val="es-CO"/>
        </w:rPr>
        <w:t>e</w:t>
      </w:r>
      <w:r w:rsidRPr="00C40840">
        <w:rPr>
          <w:rFonts w:ascii="Century Gothic" w:hAnsi="Century Gothic"/>
          <w:sz w:val="28"/>
          <w:szCs w:val="28"/>
          <w:lang w:val="es-CO"/>
        </w:rPr>
        <w:t xml:space="preserve"> momento, ningún proceso en su contra por crimen de guerra ó lesa humanidad.</w:t>
      </w:r>
    </w:p>
    <w:p w:rsidR="00324177" w:rsidRPr="00C40840" w:rsidRDefault="00324177" w:rsidP="00153D80">
      <w:pPr>
        <w:jc w:val="both"/>
        <w:rPr>
          <w:rFonts w:ascii="Century Gothic" w:hAnsi="Century Gothic"/>
          <w:sz w:val="28"/>
          <w:szCs w:val="28"/>
          <w:lang w:val="es-CO"/>
        </w:rPr>
      </w:pPr>
    </w:p>
    <w:p w:rsidR="00324177" w:rsidRPr="00C40840" w:rsidRDefault="00901329" w:rsidP="0043127E">
      <w:pPr>
        <w:jc w:val="both"/>
        <w:rPr>
          <w:rFonts w:ascii="Century Gothic" w:hAnsi="Century Gothic"/>
          <w:sz w:val="28"/>
          <w:szCs w:val="28"/>
          <w:lang w:val="es-CO"/>
        </w:rPr>
      </w:pPr>
      <w:r>
        <w:rPr>
          <w:rFonts w:ascii="Century Gothic" w:hAnsi="Century Gothic"/>
          <w:b/>
          <w:sz w:val="28"/>
          <w:szCs w:val="28"/>
          <w:lang w:val="es-CO"/>
        </w:rPr>
        <w:t xml:space="preserve">16º. </w:t>
      </w:r>
      <w:r w:rsidR="00324177" w:rsidRPr="00C40840">
        <w:rPr>
          <w:rFonts w:ascii="Century Gothic" w:hAnsi="Century Gothic"/>
          <w:sz w:val="28"/>
          <w:szCs w:val="28"/>
          <w:lang w:val="es-CO"/>
        </w:rPr>
        <w:t xml:space="preserve">En </w:t>
      </w:r>
      <w:r w:rsidRPr="00C40840">
        <w:rPr>
          <w:rFonts w:ascii="Century Gothic" w:hAnsi="Century Gothic"/>
          <w:sz w:val="28"/>
          <w:szCs w:val="28"/>
          <w:lang w:val="es-CO"/>
        </w:rPr>
        <w:t>relación</w:t>
      </w:r>
      <w:r w:rsidR="00324177" w:rsidRPr="00C40840">
        <w:rPr>
          <w:rFonts w:ascii="Century Gothic" w:hAnsi="Century Gothic"/>
          <w:sz w:val="28"/>
          <w:szCs w:val="28"/>
          <w:lang w:val="es-CO"/>
        </w:rPr>
        <w:t xml:space="preserve"> con los casos puntuales mencionados en la sala:</w:t>
      </w:r>
    </w:p>
    <w:p w:rsidR="00324177" w:rsidRPr="00C40840" w:rsidRDefault="00324177" w:rsidP="00153D80">
      <w:pPr>
        <w:jc w:val="both"/>
        <w:rPr>
          <w:rFonts w:ascii="Century Gothic" w:hAnsi="Century Gothic"/>
          <w:sz w:val="28"/>
          <w:szCs w:val="28"/>
          <w:lang w:val="es-CO"/>
        </w:rPr>
      </w:pPr>
    </w:p>
    <w:p w:rsidR="00901329" w:rsidRDefault="00324177" w:rsidP="00901329">
      <w:pPr>
        <w:pStyle w:val="ListParagraph"/>
        <w:numPr>
          <w:ilvl w:val="0"/>
          <w:numId w:val="22"/>
        </w:numPr>
        <w:jc w:val="both"/>
        <w:rPr>
          <w:rFonts w:ascii="Century Gothic" w:hAnsi="Century Gothic"/>
          <w:sz w:val="28"/>
          <w:szCs w:val="28"/>
          <w:lang w:val="es-CO"/>
        </w:rPr>
      </w:pPr>
      <w:r w:rsidRPr="00901329">
        <w:rPr>
          <w:rFonts w:ascii="Century Gothic" w:hAnsi="Century Gothic"/>
          <w:sz w:val="28"/>
          <w:szCs w:val="28"/>
          <w:lang w:val="es-CO"/>
        </w:rPr>
        <w:t xml:space="preserve">Guillermo Rivera, desapreció el 22 de abril de 2008, se activó el mecanismo de búsqueda urgente el 23 de abril en la Unidad de Derechos Humanos de la Fiscalía. El 24 de abril se encontró el cadáver en el municipio de Ibagué  y el 25 de abril se practico la necropsia sin que inicialmente se identificara, proceso que se </w:t>
      </w:r>
      <w:r w:rsidR="00197E23">
        <w:rPr>
          <w:rFonts w:ascii="Century Gothic" w:hAnsi="Century Gothic"/>
          <w:sz w:val="28"/>
          <w:szCs w:val="28"/>
          <w:lang w:val="es-CO"/>
        </w:rPr>
        <w:t>logró</w:t>
      </w:r>
      <w:r w:rsidRPr="00901329">
        <w:rPr>
          <w:rFonts w:ascii="Century Gothic" w:hAnsi="Century Gothic"/>
          <w:sz w:val="28"/>
          <w:szCs w:val="28"/>
          <w:lang w:val="es-CO"/>
        </w:rPr>
        <w:t xml:space="preserve"> en julio de 2008 mediante cotejo dactilar. Actualmente el caso sigue en proceso de investigación.</w:t>
      </w:r>
    </w:p>
    <w:p w:rsidR="00901329" w:rsidRDefault="00324177" w:rsidP="00901329">
      <w:pPr>
        <w:pStyle w:val="ListParagraph"/>
        <w:numPr>
          <w:ilvl w:val="0"/>
          <w:numId w:val="22"/>
        </w:numPr>
        <w:jc w:val="both"/>
        <w:rPr>
          <w:rFonts w:ascii="Century Gothic" w:hAnsi="Century Gothic"/>
          <w:sz w:val="28"/>
          <w:szCs w:val="28"/>
          <w:lang w:val="es-CO"/>
        </w:rPr>
      </w:pPr>
      <w:r w:rsidRPr="00901329">
        <w:rPr>
          <w:rFonts w:ascii="Century Gothic" w:hAnsi="Century Gothic"/>
          <w:sz w:val="28"/>
          <w:szCs w:val="28"/>
          <w:lang w:val="es-CO"/>
        </w:rPr>
        <w:t>En los hechos relacionados con Adan Culma Bustos y su familia, actualmente se adelanta la investigación por parte de la Fiscalía, en la Unidad de Fiscalías para Asuntos Humanitarios de Florencia, Caquetá. La investigación se encuentra en indagación preliminar.</w:t>
      </w:r>
    </w:p>
    <w:p w:rsidR="00324177" w:rsidRPr="00901329" w:rsidRDefault="00324177" w:rsidP="00901329">
      <w:pPr>
        <w:pStyle w:val="ListParagraph"/>
        <w:numPr>
          <w:ilvl w:val="0"/>
          <w:numId w:val="22"/>
        </w:numPr>
        <w:jc w:val="both"/>
        <w:rPr>
          <w:rFonts w:ascii="Century Gothic" w:hAnsi="Century Gothic"/>
          <w:sz w:val="28"/>
          <w:szCs w:val="28"/>
          <w:lang w:val="es-CO"/>
        </w:rPr>
      </w:pPr>
      <w:r w:rsidRPr="00901329">
        <w:rPr>
          <w:rFonts w:ascii="Century Gothic" w:hAnsi="Century Gothic"/>
          <w:sz w:val="28"/>
          <w:szCs w:val="28"/>
          <w:lang w:val="es-CO"/>
        </w:rPr>
        <w:t xml:space="preserve">En el caso de la menor indígena Belki Vanessa Cayetano Joaquin, perteneciente a la comunidad Tamaku de San Martin de Amacayacu, se adelanta la investigación contra un suboficial del </w:t>
      </w:r>
      <w:r w:rsidR="00197E23" w:rsidRPr="00901329">
        <w:rPr>
          <w:rFonts w:ascii="Century Gothic" w:hAnsi="Century Gothic"/>
          <w:sz w:val="28"/>
          <w:szCs w:val="28"/>
          <w:lang w:val="es-CO"/>
        </w:rPr>
        <w:t>Ejército</w:t>
      </w:r>
      <w:r w:rsidRPr="00901329">
        <w:rPr>
          <w:rFonts w:ascii="Century Gothic" w:hAnsi="Century Gothic"/>
          <w:sz w:val="28"/>
          <w:szCs w:val="28"/>
          <w:lang w:val="es-CO"/>
        </w:rPr>
        <w:t xml:space="preserve"> Nacional, por parte de la Fiscalía Nacional de Leticia, Amazonas, por el delito de acto sexuales con menor de 14 </w:t>
      </w:r>
      <w:r w:rsidR="00197E23" w:rsidRPr="00901329">
        <w:rPr>
          <w:rFonts w:ascii="Century Gothic" w:hAnsi="Century Gothic"/>
          <w:sz w:val="28"/>
          <w:szCs w:val="28"/>
          <w:lang w:val="es-CO"/>
        </w:rPr>
        <w:t>años</w:t>
      </w:r>
      <w:r w:rsidRPr="00901329">
        <w:rPr>
          <w:rFonts w:ascii="Century Gothic" w:hAnsi="Century Gothic"/>
          <w:sz w:val="28"/>
          <w:szCs w:val="28"/>
          <w:lang w:val="es-CO"/>
        </w:rPr>
        <w:t xml:space="preserve">. El Suboficial se encuentra actualmente detenido. </w:t>
      </w:r>
    </w:p>
    <w:p w:rsidR="00324177" w:rsidRPr="00C40840" w:rsidRDefault="00324177" w:rsidP="005D0CF5">
      <w:pPr>
        <w:jc w:val="both"/>
        <w:rPr>
          <w:rFonts w:ascii="Century Gothic" w:hAnsi="Century Gothic"/>
          <w:sz w:val="28"/>
          <w:szCs w:val="28"/>
          <w:lang w:val="es-CO"/>
        </w:rPr>
      </w:pPr>
    </w:p>
    <w:p w:rsidR="00324177" w:rsidRPr="00C40840" w:rsidRDefault="00E9344B" w:rsidP="00E9344B">
      <w:pPr>
        <w:ind w:left="709" w:hanging="709"/>
        <w:jc w:val="both"/>
        <w:rPr>
          <w:rFonts w:ascii="Century Gothic" w:hAnsi="Century Gothic"/>
          <w:sz w:val="28"/>
          <w:szCs w:val="28"/>
          <w:lang w:val="es-CO"/>
        </w:rPr>
      </w:pPr>
      <w:r>
        <w:rPr>
          <w:rFonts w:ascii="Century Gothic" w:hAnsi="Century Gothic"/>
          <w:b/>
          <w:sz w:val="28"/>
          <w:szCs w:val="28"/>
          <w:lang w:val="es-CO"/>
        </w:rPr>
        <w:t>17</w:t>
      </w:r>
      <w:r w:rsidR="00324177" w:rsidRPr="00E9344B">
        <w:rPr>
          <w:rFonts w:ascii="Century Gothic" w:hAnsi="Century Gothic"/>
          <w:b/>
          <w:sz w:val="28"/>
          <w:szCs w:val="28"/>
          <w:lang w:val="es-CO"/>
        </w:rPr>
        <w:t>º.</w:t>
      </w:r>
      <w:r w:rsidR="00324177" w:rsidRPr="00C40840">
        <w:rPr>
          <w:rFonts w:ascii="Century Gothic" w:hAnsi="Century Gothic"/>
          <w:sz w:val="28"/>
          <w:szCs w:val="28"/>
          <w:lang w:val="es-CO"/>
        </w:rPr>
        <w:t xml:space="preserve"> Constitucionalmente una persona puede ser retenida sin previa autorización judicial en casos de flagrancia, debiendo ser puesta a disposición de la autoridad judicial competente dentro del plazo máximo de 36 horas. En los casos </w:t>
      </w:r>
      <w:r>
        <w:rPr>
          <w:rFonts w:ascii="Century Gothic" w:hAnsi="Century Gothic"/>
          <w:sz w:val="28"/>
          <w:szCs w:val="28"/>
          <w:lang w:val="es-CO"/>
        </w:rPr>
        <w:t>mencionados</w:t>
      </w:r>
      <w:r w:rsidR="00324177" w:rsidRPr="00C40840">
        <w:rPr>
          <w:rFonts w:ascii="Century Gothic" w:hAnsi="Century Gothic"/>
          <w:sz w:val="28"/>
          <w:szCs w:val="28"/>
          <w:lang w:val="es-CO"/>
        </w:rPr>
        <w:t xml:space="preserve"> aquí sobre detenciones masivas se han hecho siempre previa orden judicial y la policía lo que ha hecho es limitarse a cumplir la orden judicial porque de lo contrario entra en desacato.</w:t>
      </w:r>
    </w:p>
    <w:p w:rsidR="00324177" w:rsidRPr="00C40840" w:rsidRDefault="00324177" w:rsidP="00153D80">
      <w:pPr>
        <w:ind w:left="360"/>
        <w:jc w:val="both"/>
        <w:rPr>
          <w:rFonts w:ascii="Century Gothic" w:hAnsi="Century Gothic"/>
          <w:sz w:val="28"/>
          <w:szCs w:val="28"/>
          <w:lang w:val="es-CO"/>
        </w:rPr>
      </w:pPr>
    </w:p>
    <w:p w:rsidR="00324177" w:rsidRPr="00C40840" w:rsidRDefault="00E9344B" w:rsidP="00E9344B">
      <w:pPr>
        <w:ind w:left="567" w:hanging="567"/>
        <w:jc w:val="both"/>
        <w:rPr>
          <w:rFonts w:ascii="Century Gothic" w:hAnsi="Century Gothic"/>
          <w:sz w:val="28"/>
          <w:szCs w:val="28"/>
          <w:lang w:val="es-CO"/>
        </w:rPr>
      </w:pPr>
      <w:r w:rsidRPr="00D44B3A">
        <w:rPr>
          <w:rFonts w:ascii="Century Gothic" w:hAnsi="Century Gothic"/>
          <w:b/>
          <w:sz w:val="28"/>
          <w:szCs w:val="28"/>
          <w:lang w:val="es-CO"/>
        </w:rPr>
        <w:t>18</w:t>
      </w:r>
      <w:r w:rsidR="00324177" w:rsidRPr="00D44B3A">
        <w:rPr>
          <w:rFonts w:ascii="Century Gothic" w:hAnsi="Century Gothic"/>
          <w:b/>
          <w:sz w:val="28"/>
          <w:szCs w:val="28"/>
          <w:lang w:val="es-CO"/>
        </w:rPr>
        <w:t>º.</w:t>
      </w:r>
      <w:r w:rsidR="00324177" w:rsidRPr="00C40840">
        <w:rPr>
          <w:rFonts w:ascii="Century Gothic" w:hAnsi="Century Gothic"/>
          <w:sz w:val="28"/>
          <w:szCs w:val="28"/>
          <w:lang w:val="es-CO"/>
        </w:rPr>
        <w:t xml:space="preserve"> En Colombia existe una jurisdicción especial en materia de justicia para los pueblos indígenas y el encargado de dirimir la colisión de competencias es el Consejo Superior de la Judicatura.</w:t>
      </w:r>
    </w:p>
    <w:p w:rsidR="00324177" w:rsidRPr="00C40840" w:rsidRDefault="00324177" w:rsidP="00E9344B">
      <w:pPr>
        <w:jc w:val="both"/>
        <w:rPr>
          <w:rFonts w:ascii="Century Gothic" w:hAnsi="Century Gothic"/>
          <w:sz w:val="28"/>
          <w:szCs w:val="28"/>
          <w:lang w:val="es-CO"/>
        </w:rPr>
      </w:pPr>
    </w:p>
    <w:p w:rsidR="00324177" w:rsidRPr="00C40840" w:rsidRDefault="00E9344B" w:rsidP="00D44B3A">
      <w:pPr>
        <w:ind w:left="567" w:hanging="567"/>
        <w:jc w:val="both"/>
        <w:rPr>
          <w:rFonts w:ascii="Century Gothic" w:hAnsi="Century Gothic"/>
          <w:sz w:val="28"/>
          <w:szCs w:val="28"/>
          <w:lang w:val="es-CO"/>
        </w:rPr>
      </w:pPr>
      <w:r w:rsidRPr="00D44B3A">
        <w:rPr>
          <w:rFonts w:ascii="Century Gothic" w:hAnsi="Century Gothic"/>
          <w:b/>
          <w:sz w:val="28"/>
          <w:szCs w:val="28"/>
          <w:lang w:val="es-CO"/>
        </w:rPr>
        <w:t>19</w:t>
      </w:r>
      <w:r w:rsidR="00324177" w:rsidRPr="00D44B3A">
        <w:rPr>
          <w:rFonts w:ascii="Century Gothic" w:hAnsi="Century Gothic"/>
          <w:b/>
          <w:sz w:val="28"/>
          <w:szCs w:val="28"/>
          <w:lang w:val="es-CO"/>
        </w:rPr>
        <w:t>º.</w:t>
      </w:r>
      <w:r w:rsidR="00324177" w:rsidRPr="00C40840">
        <w:rPr>
          <w:rFonts w:ascii="Century Gothic" w:hAnsi="Century Gothic"/>
          <w:sz w:val="28"/>
          <w:szCs w:val="28"/>
          <w:lang w:val="es-CO"/>
        </w:rPr>
        <w:t xml:space="preserve"> Sobre las interceptaciones no autorizadas por autoridad judicial, en la actualidad se encuentran detenidas personas que estaban vinculadas al DAS y otras, incluyendo a altos servidores de esa institución, están siendo investigados por la Fiscalía. </w:t>
      </w:r>
    </w:p>
    <w:p w:rsidR="00324177" w:rsidRPr="00C40840" w:rsidRDefault="00324177" w:rsidP="00D44B3A">
      <w:pPr>
        <w:ind w:left="567" w:hanging="567"/>
        <w:jc w:val="both"/>
        <w:rPr>
          <w:rFonts w:ascii="Century Gothic" w:hAnsi="Century Gothic"/>
          <w:sz w:val="28"/>
          <w:szCs w:val="28"/>
          <w:lang w:val="es-CO"/>
        </w:rPr>
      </w:pPr>
    </w:p>
    <w:p w:rsidR="00324177" w:rsidRPr="00C40840" w:rsidRDefault="00324177" w:rsidP="00D44B3A">
      <w:pPr>
        <w:ind w:left="567"/>
        <w:jc w:val="both"/>
        <w:rPr>
          <w:rFonts w:ascii="Century Gothic" w:hAnsi="Century Gothic"/>
          <w:sz w:val="28"/>
          <w:szCs w:val="28"/>
          <w:lang w:val="es-CO"/>
        </w:rPr>
      </w:pPr>
      <w:r w:rsidRPr="00C40840">
        <w:rPr>
          <w:rFonts w:ascii="Century Gothic" w:hAnsi="Century Gothic"/>
          <w:sz w:val="28"/>
          <w:szCs w:val="28"/>
          <w:lang w:val="es-CO"/>
        </w:rPr>
        <w:t>En el mismo sentido, el Señor Presidente de la Republica mediante Decreto 3600 del 21 de septiembre de 2009 ordenó la depuración de los archivos de inteligencia, para lo cual se ha solicitado el acompañamiento de la Oficina de la Alta Comisionada de Naciones Unidas para los Derechos Humanos.</w:t>
      </w:r>
    </w:p>
    <w:p w:rsidR="00324177" w:rsidRPr="00C40840" w:rsidRDefault="00324177" w:rsidP="00D84550">
      <w:pPr>
        <w:ind w:left="360"/>
        <w:jc w:val="both"/>
        <w:rPr>
          <w:rFonts w:ascii="Century Gothic" w:hAnsi="Century Gothic"/>
          <w:sz w:val="28"/>
          <w:szCs w:val="28"/>
          <w:lang w:val="es-CO"/>
        </w:rPr>
      </w:pPr>
    </w:p>
    <w:p w:rsidR="00324177" w:rsidRPr="00C40840" w:rsidRDefault="00D44B3A" w:rsidP="00D44B3A">
      <w:pPr>
        <w:ind w:left="567" w:hanging="567"/>
        <w:jc w:val="both"/>
        <w:rPr>
          <w:rFonts w:ascii="Century Gothic" w:hAnsi="Century Gothic"/>
          <w:sz w:val="28"/>
          <w:szCs w:val="28"/>
          <w:lang w:val="es-CO"/>
        </w:rPr>
      </w:pPr>
      <w:r w:rsidRPr="00D44B3A">
        <w:rPr>
          <w:rFonts w:ascii="Century Gothic" w:hAnsi="Century Gothic"/>
          <w:b/>
          <w:sz w:val="28"/>
          <w:szCs w:val="28"/>
          <w:lang w:val="es-CO"/>
        </w:rPr>
        <w:t>20</w:t>
      </w:r>
      <w:r w:rsidR="00324177" w:rsidRPr="00D44B3A">
        <w:rPr>
          <w:rFonts w:ascii="Century Gothic" w:hAnsi="Century Gothic"/>
          <w:b/>
          <w:sz w:val="28"/>
          <w:szCs w:val="28"/>
          <w:lang w:val="es-CO"/>
        </w:rPr>
        <w:t>º.</w:t>
      </w:r>
      <w:r>
        <w:rPr>
          <w:rFonts w:ascii="Century Gothic" w:hAnsi="Century Gothic"/>
          <w:sz w:val="28"/>
          <w:szCs w:val="28"/>
          <w:lang w:val="es-CO"/>
        </w:rPr>
        <w:t xml:space="preserve"> </w:t>
      </w:r>
      <w:r w:rsidR="00324177" w:rsidRPr="00C40840">
        <w:rPr>
          <w:rFonts w:ascii="Century Gothic" w:hAnsi="Century Gothic"/>
          <w:sz w:val="28"/>
          <w:szCs w:val="28"/>
          <w:lang w:val="es-CO"/>
        </w:rPr>
        <w:t xml:space="preserve">Con relación a las opiniones expresadas por algunos integrantes del Comité sobre la reciente visita a Colombia de los Relatores Especiales sobre de Ejecuciones Extrajudiciales y Defensores de Derechos Humanos, debemos recordar, que los mismos fueron a Colombia invitados por el Gobierno Nacional en cumplimiento de los compromisos del EPU y de la política gubernamental de apertura a la comunidad internacional y que en sus comunicados de prensa reconocieron los esfuerzos y avances del Estado Colombiano en la lucha contra las ejecuciones extrajudiciales, lo mismo que en las garantías y protección de los Defensores de Derechos Humanos. Así como también los retos y dificultades </w:t>
      </w:r>
      <w:r>
        <w:rPr>
          <w:rFonts w:ascii="Century Gothic" w:hAnsi="Century Gothic"/>
          <w:sz w:val="28"/>
          <w:szCs w:val="28"/>
          <w:lang w:val="es-CO"/>
        </w:rPr>
        <w:t xml:space="preserve">que, </w:t>
      </w:r>
      <w:r w:rsidR="00324177" w:rsidRPr="00C40840">
        <w:rPr>
          <w:rFonts w:ascii="Century Gothic" w:hAnsi="Century Gothic"/>
          <w:sz w:val="28"/>
          <w:szCs w:val="28"/>
          <w:lang w:val="es-CO"/>
        </w:rPr>
        <w:t>en ambas materias</w:t>
      </w:r>
      <w:r>
        <w:rPr>
          <w:rFonts w:ascii="Century Gothic" w:hAnsi="Century Gothic"/>
          <w:sz w:val="28"/>
          <w:szCs w:val="28"/>
          <w:lang w:val="es-CO"/>
        </w:rPr>
        <w:t>, aún tenemos en Colombia</w:t>
      </w:r>
      <w:r w:rsidR="00324177" w:rsidRPr="00C40840">
        <w:rPr>
          <w:rFonts w:ascii="Century Gothic" w:hAnsi="Century Gothic"/>
          <w:sz w:val="28"/>
          <w:szCs w:val="28"/>
          <w:lang w:val="es-CO"/>
        </w:rPr>
        <w:t>. Anotamos además que los informes de ambas visitas aun no se conocen y serán presentados al Consejo de Derechos Humanos en el 2010.</w:t>
      </w:r>
    </w:p>
    <w:p w:rsidR="00324177" w:rsidRPr="00C40840" w:rsidRDefault="00324177" w:rsidP="00943433">
      <w:pPr>
        <w:jc w:val="both"/>
        <w:rPr>
          <w:rFonts w:ascii="Century Gothic" w:hAnsi="Century Gothic"/>
          <w:sz w:val="28"/>
          <w:szCs w:val="28"/>
          <w:lang w:val="es-CO"/>
        </w:rPr>
      </w:pPr>
    </w:p>
    <w:p w:rsidR="00324177" w:rsidRPr="00C40840" w:rsidRDefault="005D10D3" w:rsidP="005D10D3">
      <w:pPr>
        <w:ind w:left="567" w:hanging="567"/>
        <w:jc w:val="both"/>
        <w:rPr>
          <w:rFonts w:ascii="Century Gothic" w:hAnsi="Century Gothic"/>
          <w:sz w:val="28"/>
          <w:szCs w:val="28"/>
          <w:lang w:val="es-CO"/>
        </w:rPr>
      </w:pPr>
      <w:r w:rsidRPr="005D10D3">
        <w:rPr>
          <w:rFonts w:ascii="Century Gothic" w:hAnsi="Century Gothic"/>
          <w:b/>
          <w:sz w:val="28"/>
          <w:szCs w:val="28"/>
          <w:lang w:val="es-CO"/>
        </w:rPr>
        <w:t>21</w:t>
      </w:r>
      <w:r w:rsidR="00324177" w:rsidRPr="005D10D3">
        <w:rPr>
          <w:rFonts w:ascii="Century Gothic" w:hAnsi="Century Gothic"/>
          <w:b/>
          <w:sz w:val="28"/>
          <w:szCs w:val="28"/>
          <w:lang w:val="es-CO"/>
        </w:rPr>
        <w:t>º.</w:t>
      </w:r>
      <w:r w:rsidR="00324177" w:rsidRPr="00C40840">
        <w:rPr>
          <w:rFonts w:ascii="Century Gothic" w:hAnsi="Century Gothic"/>
          <w:sz w:val="28"/>
          <w:szCs w:val="28"/>
          <w:lang w:val="es-CO"/>
        </w:rPr>
        <w:t xml:space="preserve"> El programa de protección a victimas y testigos del Ministerio de Interior y Justicia que viene operando desde diciembre de 2007 informa que hasta la fecha ninguna de las personas incluidas en ese programa  ha sido victima de homicidio. El programa incluye 112 mujeres y 79 hombres para aun total de 191 personas.</w:t>
      </w:r>
    </w:p>
    <w:p w:rsidR="00324177" w:rsidRPr="00C40840" w:rsidRDefault="00324177" w:rsidP="00943433">
      <w:pPr>
        <w:jc w:val="both"/>
        <w:rPr>
          <w:rFonts w:ascii="Century Gothic" w:hAnsi="Century Gothic"/>
          <w:sz w:val="28"/>
          <w:szCs w:val="28"/>
          <w:lang w:val="es-CO"/>
        </w:rPr>
      </w:pPr>
    </w:p>
    <w:p w:rsidR="00324177" w:rsidRPr="00C40840" w:rsidRDefault="005D10D3" w:rsidP="005D10D3">
      <w:pPr>
        <w:ind w:left="567" w:hanging="567"/>
        <w:jc w:val="both"/>
        <w:rPr>
          <w:rFonts w:ascii="Century Gothic" w:hAnsi="Century Gothic"/>
          <w:sz w:val="28"/>
          <w:szCs w:val="28"/>
          <w:lang w:val="es-CO"/>
        </w:rPr>
      </w:pPr>
      <w:r w:rsidRPr="005D10D3">
        <w:rPr>
          <w:rFonts w:ascii="Century Gothic" w:hAnsi="Century Gothic"/>
          <w:b/>
          <w:sz w:val="28"/>
          <w:szCs w:val="28"/>
          <w:lang w:val="es-CO"/>
        </w:rPr>
        <w:t>22</w:t>
      </w:r>
      <w:r w:rsidR="00324177" w:rsidRPr="005D10D3">
        <w:rPr>
          <w:rFonts w:ascii="Century Gothic" w:hAnsi="Century Gothic"/>
          <w:b/>
          <w:sz w:val="28"/>
          <w:szCs w:val="28"/>
          <w:lang w:val="es-CO"/>
        </w:rPr>
        <w:t>º.</w:t>
      </w:r>
      <w:r w:rsidR="00324177" w:rsidRPr="00C40840">
        <w:rPr>
          <w:rFonts w:ascii="Century Gothic" w:hAnsi="Century Gothic"/>
          <w:sz w:val="28"/>
          <w:szCs w:val="28"/>
          <w:lang w:val="es-CO"/>
        </w:rPr>
        <w:t xml:space="preserve"> Los ciudadanos extranjeros deportados o expulsados de Colombia tienen derecho a anteponer recursos por la via gubernativa ante la autoridad migratoria. </w:t>
      </w:r>
    </w:p>
    <w:p w:rsidR="00324177" w:rsidRPr="00C40840" w:rsidRDefault="00324177" w:rsidP="00B3745C">
      <w:pPr>
        <w:jc w:val="both"/>
        <w:rPr>
          <w:rFonts w:ascii="Century Gothic" w:hAnsi="Century Gothic"/>
          <w:sz w:val="28"/>
          <w:szCs w:val="28"/>
          <w:lang w:val="es-CO"/>
        </w:rPr>
      </w:pPr>
    </w:p>
    <w:p w:rsidR="00324177" w:rsidRPr="00C40840" w:rsidRDefault="005D10D3" w:rsidP="005D10D3">
      <w:pPr>
        <w:ind w:left="567" w:hanging="567"/>
        <w:jc w:val="both"/>
        <w:rPr>
          <w:rFonts w:ascii="Century Gothic" w:hAnsi="Century Gothic"/>
          <w:sz w:val="28"/>
          <w:szCs w:val="28"/>
          <w:lang w:val="es-CO"/>
        </w:rPr>
      </w:pPr>
      <w:r w:rsidRPr="005D10D3">
        <w:rPr>
          <w:rFonts w:ascii="Century Gothic" w:hAnsi="Century Gothic"/>
          <w:b/>
          <w:sz w:val="28"/>
          <w:szCs w:val="28"/>
          <w:lang w:val="es-CO"/>
        </w:rPr>
        <w:t>23</w:t>
      </w:r>
      <w:r w:rsidR="00324177" w:rsidRPr="005D10D3">
        <w:rPr>
          <w:rFonts w:ascii="Century Gothic" w:hAnsi="Century Gothic"/>
          <w:b/>
          <w:sz w:val="28"/>
          <w:szCs w:val="28"/>
          <w:lang w:val="es-CO"/>
        </w:rPr>
        <w:t>º.</w:t>
      </w:r>
      <w:r>
        <w:rPr>
          <w:rFonts w:ascii="Century Gothic" w:hAnsi="Century Gothic"/>
          <w:sz w:val="28"/>
          <w:szCs w:val="28"/>
          <w:lang w:val="es-CO"/>
        </w:rPr>
        <w:t xml:space="preserve"> En relación a l</w:t>
      </w:r>
      <w:r w:rsidR="00324177" w:rsidRPr="00C40840">
        <w:rPr>
          <w:rFonts w:ascii="Century Gothic" w:hAnsi="Century Gothic"/>
          <w:sz w:val="28"/>
          <w:szCs w:val="28"/>
          <w:lang w:val="es-CO"/>
        </w:rPr>
        <w:t xml:space="preserve">os </w:t>
      </w:r>
      <w:r>
        <w:rPr>
          <w:rFonts w:ascii="Century Gothic" w:hAnsi="Century Gothic"/>
          <w:sz w:val="28"/>
          <w:szCs w:val="28"/>
          <w:lang w:val="es-CO"/>
        </w:rPr>
        <w:t>c</w:t>
      </w:r>
      <w:r w:rsidR="00324177" w:rsidRPr="00C40840">
        <w:rPr>
          <w:rFonts w:ascii="Century Gothic" w:hAnsi="Century Gothic"/>
          <w:sz w:val="28"/>
          <w:szCs w:val="28"/>
          <w:lang w:val="es-CO"/>
        </w:rPr>
        <w:t>olombiano</w:t>
      </w:r>
      <w:r>
        <w:rPr>
          <w:rFonts w:ascii="Century Gothic" w:hAnsi="Century Gothic"/>
          <w:sz w:val="28"/>
          <w:szCs w:val="28"/>
          <w:lang w:val="es-CO"/>
        </w:rPr>
        <w:t>s y colombianas</w:t>
      </w:r>
      <w:r w:rsidR="00324177" w:rsidRPr="00C40840">
        <w:rPr>
          <w:rFonts w:ascii="Century Gothic" w:hAnsi="Century Gothic"/>
          <w:sz w:val="28"/>
          <w:szCs w:val="28"/>
          <w:lang w:val="es-CO"/>
        </w:rPr>
        <w:t xml:space="preserve"> que están en situación de refugio temporal o desplazamiento forzado en la frontera norte del Ecuador con Colombia, el Gobierno nacional le ha propuesto por escrito al Alto Comisionado para los Refugiados de Naciones Unidas (ACNUR) que promueva bajo el paraguas de  ACNUR , el desarrollo de un convenio o programa de cooperación conjunto entre Colombia y Ecuador a fin de adelantar programas de beneficio social y humanitarios para dicha población.</w:t>
      </w:r>
    </w:p>
    <w:p w:rsidR="00324177" w:rsidRPr="00C40840" w:rsidRDefault="00324177" w:rsidP="00447ADD">
      <w:pPr>
        <w:jc w:val="both"/>
        <w:rPr>
          <w:rFonts w:ascii="Century Gothic" w:hAnsi="Century Gothic"/>
          <w:sz w:val="28"/>
          <w:szCs w:val="28"/>
          <w:lang w:val="es-CO"/>
        </w:rPr>
      </w:pPr>
    </w:p>
    <w:p w:rsidR="00324177" w:rsidRPr="00C40840" w:rsidRDefault="005D10D3" w:rsidP="00112B9D">
      <w:pPr>
        <w:ind w:left="567" w:hanging="567"/>
        <w:jc w:val="both"/>
        <w:rPr>
          <w:rFonts w:ascii="Century Gothic" w:hAnsi="Century Gothic"/>
          <w:sz w:val="28"/>
          <w:szCs w:val="28"/>
          <w:lang w:val="es-CO"/>
        </w:rPr>
      </w:pPr>
      <w:r w:rsidRPr="005D10D3">
        <w:rPr>
          <w:rFonts w:ascii="Century Gothic" w:hAnsi="Century Gothic"/>
          <w:b/>
          <w:sz w:val="28"/>
          <w:szCs w:val="28"/>
          <w:lang w:val="es-CO"/>
        </w:rPr>
        <w:t>24</w:t>
      </w:r>
      <w:r w:rsidR="00324177" w:rsidRPr="005D10D3">
        <w:rPr>
          <w:rFonts w:ascii="Century Gothic" w:hAnsi="Century Gothic"/>
          <w:b/>
          <w:sz w:val="28"/>
          <w:szCs w:val="28"/>
          <w:lang w:val="es-CO"/>
        </w:rPr>
        <w:t>º.</w:t>
      </w:r>
      <w:r w:rsidR="00324177" w:rsidRPr="00C40840">
        <w:rPr>
          <w:rFonts w:ascii="Century Gothic" w:hAnsi="Century Gothic"/>
          <w:sz w:val="28"/>
          <w:szCs w:val="28"/>
          <w:lang w:val="es-CO"/>
        </w:rPr>
        <w:t xml:space="preserve"> Colombia con el acompañamiento del ACNUR viene desarrollando un programa de asistencia social a la población desplazada que incluye programas de retorno. La inversión del Gobierno Colombiano, en el año 2009, para atender a la población desplazada a través de Acción</w:t>
      </w:r>
      <w:r>
        <w:rPr>
          <w:rFonts w:ascii="Century Gothic" w:hAnsi="Century Gothic"/>
          <w:sz w:val="28"/>
          <w:szCs w:val="28"/>
          <w:lang w:val="es-CO"/>
        </w:rPr>
        <w:t xml:space="preserve"> Social es de aproximadamente</w:t>
      </w:r>
      <w:r w:rsidR="00324177" w:rsidRPr="00C40840">
        <w:rPr>
          <w:rFonts w:ascii="Century Gothic" w:hAnsi="Century Gothic"/>
          <w:sz w:val="28"/>
          <w:szCs w:val="28"/>
          <w:lang w:val="es-CO"/>
        </w:rPr>
        <w:t xml:space="preserve"> 1</w:t>
      </w:r>
      <w:r>
        <w:rPr>
          <w:rFonts w:ascii="Century Gothic" w:hAnsi="Century Gothic"/>
          <w:sz w:val="28"/>
          <w:szCs w:val="28"/>
          <w:lang w:val="es-CO"/>
        </w:rPr>
        <w:t>.</w:t>
      </w:r>
      <w:r w:rsidR="00324177" w:rsidRPr="00C40840">
        <w:rPr>
          <w:rFonts w:ascii="Century Gothic" w:hAnsi="Century Gothic"/>
          <w:sz w:val="28"/>
          <w:szCs w:val="28"/>
          <w:lang w:val="es-CO"/>
        </w:rPr>
        <w:t>00</w:t>
      </w:r>
      <w:r>
        <w:rPr>
          <w:rFonts w:ascii="Century Gothic" w:hAnsi="Century Gothic"/>
          <w:sz w:val="28"/>
          <w:szCs w:val="28"/>
          <w:lang w:val="es-CO"/>
        </w:rPr>
        <w:t xml:space="preserve">0 millones dólares y para el año </w:t>
      </w:r>
      <w:r w:rsidR="00324177" w:rsidRPr="00C40840">
        <w:rPr>
          <w:rFonts w:ascii="Century Gothic" w:hAnsi="Century Gothic"/>
          <w:sz w:val="28"/>
          <w:szCs w:val="28"/>
          <w:lang w:val="es-CO"/>
        </w:rPr>
        <w:t xml:space="preserve"> 2010 se tiene presupuestado la suma de 1</w:t>
      </w:r>
      <w:r>
        <w:rPr>
          <w:rFonts w:ascii="Century Gothic" w:hAnsi="Century Gothic"/>
          <w:sz w:val="28"/>
          <w:szCs w:val="28"/>
          <w:lang w:val="es-CO"/>
        </w:rPr>
        <w:t>.</w:t>
      </w:r>
      <w:r w:rsidR="00324177" w:rsidRPr="00C40840">
        <w:rPr>
          <w:rFonts w:ascii="Century Gothic" w:hAnsi="Century Gothic"/>
          <w:sz w:val="28"/>
          <w:szCs w:val="28"/>
          <w:lang w:val="es-CO"/>
        </w:rPr>
        <w:t xml:space="preserve">250 millones de dólares. </w:t>
      </w:r>
    </w:p>
    <w:p w:rsidR="00324177" w:rsidRPr="00C40840" w:rsidRDefault="00324177" w:rsidP="00447ADD">
      <w:pPr>
        <w:jc w:val="both"/>
        <w:rPr>
          <w:rFonts w:ascii="Century Gothic" w:hAnsi="Century Gothic"/>
          <w:sz w:val="28"/>
          <w:szCs w:val="28"/>
          <w:lang w:val="es-CO"/>
        </w:rPr>
      </w:pPr>
    </w:p>
    <w:p w:rsidR="00324177" w:rsidRPr="00C40840" w:rsidRDefault="00324177" w:rsidP="00112B9D">
      <w:pPr>
        <w:ind w:left="567"/>
        <w:jc w:val="both"/>
        <w:rPr>
          <w:rFonts w:ascii="Century Gothic" w:hAnsi="Century Gothic"/>
          <w:sz w:val="28"/>
          <w:szCs w:val="28"/>
          <w:lang w:val="es-CO"/>
        </w:rPr>
      </w:pPr>
      <w:r w:rsidRPr="00C40840">
        <w:rPr>
          <w:rFonts w:ascii="Century Gothic" w:hAnsi="Century Gothic"/>
          <w:sz w:val="28"/>
          <w:szCs w:val="28"/>
          <w:lang w:val="es-CO"/>
        </w:rPr>
        <w:t>Paralelo a ello, con la colaboración de la Agencia de Cooperación de los Estados Unidos, y con la participación de la Defensoría del Pueblo, se esta desarrollando actualmente el Programa de Alertas Tempranas, orientado a prevenir el desplazamiento forzado. Igualmente se acaba de firmar el convenio bianual de cooperación entre el Gobierno Colombiano y ACNUR.</w:t>
      </w:r>
    </w:p>
    <w:p w:rsidR="00324177" w:rsidRPr="00C40840" w:rsidRDefault="00324177" w:rsidP="007E4CDA">
      <w:pPr>
        <w:jc w:val="both"/>
        <w:rPr>
          <w:rFonts w:ascii="Century Gothic" w:hAnsi="Century Gothic"/>
          <w:sz w:val="28"/>
          <w:szCs w:val="28"/>
          <w:lang w:val="es-CO"/>
        </w:rPr>
      </w:pPr>
    </w:p>
    <w:p w:rsidR="00324177" w:rsidRPr="00C40840" w:rsidRDefault="0006746E" w:rsidP="0006746E">
      <w:pPr>
        <w:ind w:left="567" w:hanging="567"/>
        <w:jc w:val="both"/>
        <w:rPr>
          <w:rFonts w:ascii="Century Gothic" w:hAnsi="Century Gothic"/>
          <w:sz w:val="28"/>
          <w:szCs w:val="28"/>
          <w:lang w:val="es-CO"/>
        </w:rPr>
      </w:pPr>
      <w:r>
        <w:rPr>
          <w:rFonts w:ascii="Century Gothic" w:hAnsi="Century Gothic"/>
          <w:b/>
          <w:sz w:val="28"/>
          <w:szCs w:val="28"/>
          <w:lang w:val="es-CO"/>
        </w:rPr>
        <w:t>25</w:t>
      </w:r>
      <w:r w:rsidR="00324177" w:rsidRPr="0006746E">
        <w:rPr>
          <w:rFonts w:ascii="Century Gothic" w:hAnsi="Century Gothic"/>
          <w:b/>
          <w:sz w:val="28"/>
          <w:szCs w:val="28"/>
          <w:lang w:val="es-CO"/>
        </w:rPr>
        <w:t>º.</w:t>
      </w:r>
      <w:r w:rsidR="00324177" w:rsidRPr="00C40840">
        <w:rPr>
          <w:rFonts w:ascii="Century Gothic" w:hAnsi="Century Gothic"/>
          <w:sz w:val="28"/>
          <w:szCs w:val="28"/>
          <w:lang w:val="es-CO"/>
        </w:rPr>
        <w:t xml:space="preserve"> Entre el Gobierno Nacional y los Gobiernos locales y regionales se vienen desarrollando programas sociales en favor de población desplazada, lo mismo a favor de población vulnerable como mujeres, niños y niñas, minorías étnicas y  personas LGBTI. Es importante anotar que en </w:t>
      </w:r>
      <w:r>
        <w:rPr>
          <w:rFonts w:ascii="Century Gothic" w:hAnsi="Century Gothic"/>
          <w:sz w:val="28"/>
          <w:szCs w:val="28"/>
          <w:lang w:val="es-CO"/>
        </w:rPr>
        <w:t>Colombia los Gobiernos Locales y</w:t>
      </w:r>
      <w:r w:rsidR="00324177" w:rsidRPr="00C40840">
        <w:rPr>
          <w:rFonts w:ascii="Century Gothic" w:hAnsi="Century Gothic"/>
          <w:sz w:val="28"/>
          <w:szCs w:val="28"/>
          <w:lang w:val="es-CO"/>
        </w:rPr>
        <w:t xml:space="preserve"> Regionales son elegidos popularmente, y una buena parte de ellos pertenecen a partidos de oposición como es el caso de la ciudad de Bogotá. Entre estos Gobiernos y el Gobierno Nacional también se han venido desarrollando acciones contra todas las formas de discriminación  y violencia, incluyendo viole</w:t>
      </w:r>
      <w:r>
        <w:rPr>
          <w:rFonts w:ascii="Century Gothic" w:hAnsi="Century Gothic"/>
          <w:sz w:val="28"/>
          <w:szCs w:val="28"/>
          <w:lang w:val="es-CO"/>
        </w:rPr>
        <w:t xml:space="preserve">ncia sexual e intrafamiliar y </w:t>
      </w:r>
      <w:r w:rsidR="00324177" w:rsidRPr="00C40840">
        <w:rPr>
          <w:rFonts w:ascii="Century Gothic" w:hAnsi="Century Gothic"/>
          <w:sz w:val="28"/>
          <w:szCs w:val="28"/>
          <w:lang w:val="es-CO"/>
        </w:rPr>
        <w:t xml:space="preserve">discriminación en </w:t>
      </w:r>
      <w:r w:rsidRPr="00C40840">
        <w:rPr>
          <w:rFonts w:ascii="Century Gothic" w:hAnsi="Century Gothic"/>
          <w:sz w:val="28"/>
          <w:szCs w:val="28"/>
          <w:lang w:val="es-CO"/>
        </w:rPr>
        <w:t>razón</w:t>
      </w:r>
      <w:r w:rsidR="00324177" w:rsidRPr="00C40840">
        <w:rPr>
          <w:rFonts w:ascii="Century Gothic" w:hAnsi="Century Gothic"/>
          <w:sz w:val="28"/>
          <w:szCs w:val="28"/>
          <w:lang w:val="es-CO"/>
        </w:rPr>
        <w:t xml:space="preserve"> de la orientación sexual. </w:t>
      </w:r>
    </w:p>
    <w:p w:rsidR="00324177" w:rsidRPr="00C40840" w:rsidRDefault="00324177" w:rsidP="007E4CDA">
      <w:pPr>
        <w:jc w:val="both"/>
        <w:rPr>
          <w:rFonts w:ascii="Century Gothic" w:hAnsi="Century Gothic"/>
          <w:sz w:val="28"/>
          <w:szCs w:val="28"/>
          <w:lang w:val="es-CO"/>
        </w:rPr>
      </w:pPr>
      <w:r w:rsidRPr="00C40840">
        <w:rPr>
          <w:rFonts w:ascii="Century Gothic" w:hAnsi="Century Gothic"/>
          <w:sz w:val="28"/>
          <w:szCs w:val="28"/>
          <w:lang w:val="es-CO"/>
        </w:rPr>
        <w:t xml:space="preserve"> </w:t>
      </w:r>
    </w:p>
    <w:p w:rsidR="00324177" w:rsidRPr="00C40840" w:rsidRDefault="0006746E" w:rsidP="0006746E">
      <w:pPr>
        <w:ind w:left="567" w:hanging="567"/>
        <w:jc w:val="both"/>
        <w:rPr>
          <w:rFonts w:ascii="Century Gothic" w:hAnsi="Century Gothic"/>
          <w:sz w:val="28"/>
          <w:szCs w:val="28"/>
          <w:lang w:val="es-CO"/>
        </w:rPr>
      </w:pPr>
      <w:r w:rsidRPr="0006746E">
        <w:rPr>
          <w:rFonts w:ascii="Century Gothic" w:hAnsi="Century Gothic"/>
          <w:b/>
          <w:sz w:val="28"/>
          <w:szCs w:val="28"/>
          <w:lang w:val="es-CO"/>
        </w:rPr>
        <w:t>26</w:t>
      </w:r>
      <w:r w:rsidR="00324177" w:rsidRPr="0006746E">
        <w:rPr>
          <w:rFonts w:ascii="Century Gothic" w:hAnsi="Century Gothic"/>
          <w:b/>
          <w:sz w:val="28"/>
          <w:szCs w:val="28"/>
          <w:lang w:val="es-CO"/>
        </w:rPr>
        <w:t>º.</w:t>
      </w:r>
      <w:r w:rsidR="00324177" w:rsidRPr="00C40840">
        <w:rPr>
          <w:rFonts w:ascii="Century Gothic" w:hAnsi="Century Gothic"/>
          <w:sz w:val="28"/>
          <w:szCs w:val="28"/>
          <w:lang w:val="es-CO"/>
        </w:rPr>
        <w:t xml:space="preserve"> En la pregunta relacionada con los asesinatos a sindicalistas, el Gobierno Colombiano conjuntamente con los gremios emp</w:t>
      </w:r>
      <w:r>
        <w:rPr>
          <w:rFonts w:ascii="Century Gothic" w:hAnsi="Century Gothic"/>
          <w:sz w:val="28"/>
          <w:szCs w:val="28"/>
          <w:lang w:val="es-CO"/>
        </w:rPr>
        <w:t>resariales y</w:t>
      </w:r>
      <w:r w:rsidR="00324177" w:rsidRPr="00C40840">
        <w:rPr>
          <w:rFonts w:ascii="Century Gothic" w:hAnsi="Century Gothic"/>
          <w:sz w:val="28"/>
          <w:szCs w:val="28"/>
          <w:lang w:val="es-CO"/>
        </w:rPr>
        <w:t xml:space="preserve"> las centrales sindicales</w:t>
      </w:r>
      <w:r>
        <w:rPr>
          <w:rFonts w:ascii="Century Gothic" w:hAnsi="Century Gothic"/>
          <w:sz w:val="28"/>
          <w:szCs w:val="28"/>
          <w:lang w:val="es-CO"/>
        </w:rPr>
        <w:t>, a instancias de la OIT,</w:t>
      </w:r>
      <w:r w:rsidR="00324177" w:rsidRPr="00C40840">
        <w:rPr>
          <w:rFonts w:ascii="Century Gothic" w:hAnsi="Century Gothic"/>
          <w:sz w:val="28"/>
          <w:szCs w:val="28"/>
          <w:lang w:val="es-CO"/>
        </w:rPr>
        <w:t xml:space="preserve"> firmó el acuerdo de cooperación tripartito en el año 2006 y en el marco del mismo se ha venido desarrollando la política de dialogo social  y protección de sindicalistas. </w:t>
      </w:r>
    </w:p>
    <w:p w:rsidR="00324177" w:rsidRPr="00C40840" w:rsidRDefault="00324177" w:rsidP="006251BE">
      <w:pPr>
        <w:jc w:val="both"/>
        <w:rPr>
          <w:rFonts w:ascii="Century Gothic" w:hAnsi="Century Gothic"/>
          <w:sz w:val="28"/>
          <w:szCs w:val="28"/>
          <w:lang w:val="es-CO"/>
        </w:rPr>
      </w:pPr>
    </w:p>
    <w:p w:rsidR="00324177" w:rsidRPr="00C40840" w:rsidRDefault="00324177" w:rsidP="0006746E">
      <w:pPr>
        <w:ind w:left="567"/>
        <w:jc w:val="both"/>
        <w:rPr>
          <w:rFonts w:ascii="Century Gothic" w:hAnsi="Century Gothic"/>
          <w:sz w:val="28"/>
          <w:szCs w:val="28"/>
          <w:lang w:val="es-CO"/>
        </w:rPr>
      </w:pPr>
      <w:r w:rsidRPr="00C40840">
        <w:rPr>
          <w:rFonts w:ascii="Century Gothic" w:hAnsi="Century Gothic"/>
          <w:sz w:val="28"/>
          <w:szCs w:val="28"/>
          <w:lang w:val="es-CO"/>
        </w:rPr>
        <w:t xml:space="preserve">En ese sentido, nos es grato informar que en cumplimiento de las conclusiones de la Comisión de Normas de la OIT, del pasado 8 de junio las cuales fueron aprobadas por consenso  por los representantes de los trabajadores y empleadores y avalados  por el Gobierno Colombiano, la Señora Cleopatra Doumbian-Henry, Directora del Departamento de Normas de la OIT, por invitación del Gobierno Nacional, visitó nuestro país en octubre del presente año y se entrevistó con todos los actores sociales, y los diversos organismos del Estado. Las conclusiones presentadas por ella a los tres actores sociales fueron acogidas por consenso. </w:t>
      </w:r>
    </w:p>
    <w:p w:rsidR="00324177" w:rsidRPr="00C40840" w:rsidRDefault="00324177" w:rsidP="00153D80">
      <w:pPr>
        <w:jc w:val="both"/>
        <w:rPr>
          <w:rFonts w:ascii="Century Gothic" w:hAnsi="Century Gothic"/>
          <w:sz w:val="28"/>
          <w:szCs w:val="28"/>
          <w:lang w:val="es-CO"/>
        </w:rPr>
      </w:pPr>
    </w:p>
    <w:p w:rsidR="00324177" w:rsidRPr="00C40840" w:rsidRDefault="00212FE0" w:rsidP="00212FE0">
      <w:pPr>
        <w:ind w:left="426" w:hanging="426"/>
        <w:jc w:val="both"/>
        <w:rPr>
          <w:rFonts w:ascii="Century Gothic" w:hAnsi="Century Gothic"/>
          <w:sz w:val="28"/>
          <w:szCs w:val="28"/>
          <w:lang w:val="es-CO"/>
        </w:rPr>
      </w:pPr>
      <w:r>
        <w:rPr>
          <w:rFonts w:ascii="Century Gothic" w:hAnsi="Century Gothic"/>
          <w:b/>
          <w:sz w:val="28"/>
          <w:szCs w:val="28"/>
          <w:lang w:val="es-CO"/>
        </w:rPr>
        <w:t>27</w:t>
      </w:r>
      <w:r w:rsidR="00324177" w:rsidRPr="00212FE0">
        <w:rPr>
          <w:rFonts w:ascii="Century Gothic" w:hAnsi="Century Gothic"/>
          <w:b/>
          <w:sz w:val="28"/>
          <w:szCs w:val="28"/>
          <w:lang w:val="es-CO"/>
        </w:rPr>
        <w:t>.</w:t>
      </w:r>
      <w:r w:rsidR="00324177" w:rsidRPr="00C40840">
        <w:rPr>
          <w:rFonts w:ascii="Century Gothic" w:hAnsi="Century Gothic"/>
          <w:sz w:val="28"/>
          <w:szCs w:val="28"/>
          <w:lang w:val="es-CO"/>
        </w:rPr>
        <w:t xml:space="preserve"> El Instituto Nacional Penitenciario y Carcelario - INPEC – es un establecimiento público adscrito al Ministerio del Interior y de Justicia. Su presupuesto para el año 2009 fue de 360 millones de dólares. El presupuesto para </w:t>
      </w:r>
      <w:r>
        <w:rPr>
          <w:rFonts w:ascii="Century Gothic" w:hAnsi="Century Gothic"/>
          <w:sz w:val="28"/>
          <w:szCs w:val="28"/>
          <w:lang w:val="es-CO"/>
        </w:rPr>
        <w:t xml:space="preserve">el año </w:t>
      </w:r>
      <w:r w:rsidR="00324177" w:rsidRPr="00C40840">
        <w:rPr>
          <w:rFonts w:ascii="Century Gothic" w:hAnsi="Century Gothic"/>
          <w:sz w:val="28"/>
          <w:szCs w:val="28"/>
          <w:lang w:val="es-CO"/>
        </w:rPr>
        <w:t xml:space="preserve">2010 </w:t>
      </w:r>
      <w:r w:rsidRPr="00C40840">
        <w:rPr>
          <w:rFonts w:ascii="Century Gothic" w:hAnsi="Century Gothic"/>
          <w:sz w:val="28"/>
          <w:szCs w:val="28"/>
          <w:lang w:val="es-CO"/>
        </w:rPr>
        <w:t>será</w:t>
      </w:r>
      <w:r w:rsidR="00324177" w:rsidRPr="00C40840">
        <w:rPr>
          <w:rFonts w:ascii="Century Gothic" w:hAnsi="Century Gothic"/>
          <w:sz w:val="28"/>
          <w:szCs w:val="28"/>
          <w:lang w:val="es-CO"/>
        </w:rPr>
        <w:t xml:space="preserve"> de 500 millones de </w:t>
      </w:r>
      <w:r w:rsidRPr="00C40840">
        <w:rPr>
          <w:rFonts w:ascii="Century Gothic" w:hAnsi="Century Gothic"/>
          <w:sz w:val="28"/>
          <w:szCs w:val="28"/>
          <w:lang w:val="es-CO"/>
        </w:rPr>
        <w:t>dólares</w:t>
      </w:r>
      <w:r w:rsidR="00324177" w:rsidRPr="00C40840">
        <w:rPr>
          <w:rFonts w:ascii="Century Gothic" w:hAnsi="Century Gothic"/>
          <w:sz w:val="28"/>
          <w:szCs w:val="28"/>
          <w:lang w:val="es-CO"/>
        </w:rPr>
        <w:t xml:space="preserve">. Su planta de personal </w:t>
      </w:r>
      <w:r w:rsidRPr="00C40840">
        <w:rPr>
          <w:rFonts w:ascii="Century Gothic" w:hAnsi="Century Gothic"/>
          <w:sz w:val="28"/>
          <w:szCs w:val="28"/>
          <w:lang w:val="es-CO"/>
        </w:rPr>
        <w:t>está</w:t>
      </w:r>
      <w:r w:rsidR="00324177" w:rsidRPr="00C40840">
        <w:rPr>
          <w:rFonts w:ascii="Century Gothic" w:hAnsi="Century Gothic"/>
          <w:sz w:val="28"/>
          <w:szCs w:val="28"/>
          <w:lang w:val="es-CO"/>
        </w:rPr>
        <w:t xml:space="preserve"> conformada por 11.092 funcionarios del cuerp</w:t>
      </w:r>
      <w:r w:rsidR="00D01563">
        <w:rPr>
          <w:rFonts w:ascii="Century Gothic" w:hAnsi="Century Gothic"/>
          <w:sz w:val="28"/>
          <w:szCs w:val="28"/>
          <w:lang w:val="es-CO"/>
        </w:rPr>
        <w:t>o de custodia y vigilancia y 1.</w:t>
      </w:r>
      <w:r w:rsidR="00324177" w:rsidRPr="00C40840">
        <w:rPr>
          <w:rFonts w:ascii="Century Gothic" w:hAnsi="Century Gothic"/>
          <w:sz w:val="28"/>
          <w:szCs w:val="28"/>
          <w:lang w:val="es-CO"/>
        </w:rPr>
        <w:t xml:space="preserve">994 funcionarios administrativos. Es de anotar que los </w:t>
      </w:r>
      <w:r w:rsidR="00D01563">
        <w:rPr>
          <w:rFonts w:ascii="Century Gothic" w:hAnsi="Century Gothic"/>
          <w:sz w:val="28"/>
          <w:szCs w:val="28"/>
          <w:lang w:val="es-CO"/>
        </w:rPr>
        <w:t>funcionarios del INPEC</w:t>
      </w:r>
      <w:r w:rsidR="00324177" w:rsidRPr="00C40840">
        <w:rPr>
          <w:rFonts w:ascii="Century Gothic" w:hAnsi="Century Gothic"/>
          <w:sz w:val="28"/>
          <w:szCs w:val="28"/>
          <w:lang w:val="es-CO"/>
        </w:rPr>
        <w:t xml:space="preserve"> gozan del derecho sindicalización.</w:t>
      </w:r>
    </w:p>
    <w:p w:rsidR="00324177" w:rsidRPr="00C40840" w:rsidRDefault="00324177" w:rsidP="00012A06">
      <w:pPr>
        <w:jc w:val="both"/>
        <w:rPr>
          <w:rFonts w:ascii="Century Gothic" w:hAnsi="Century Gothic"/>
          <w:sz w:val="28"/>
          <w:szCs w:val="28"/>
          <w:lang w:val="es-CO"/>
        </w:rPr>
      </w:pPr>
    </w:p>
    <w:p w:rsidR="00324177" w:rsidRPr="00C40840" w:rsidRDefault="00D01563" w:rsidP="00D01563">
      <w:pPr>
        <w:ind w:left="426" w:hanging="426"/>
        <w:jc w:val="both"/>
        <w:rPr>
          <w:rFonts w:ascii="Century Gothic" w:hAnsi="Century Gothic"/>
          <w:sz w:val="28"/>
          <w:szCs w:val="28"/>
          <w:lang w:val="es-CO"/>
        </w:rPr>
      </w:pPr>
      <w:r w:rsidRPr="00D01563">
        <w:rPr>
          <w:rFonts w:ascii="Century Gothic" w:hAnsi="Century Gothic"/>
          <w:b/>
          <w:sz w:val="28"/>
          <w:szCs w:val="28"/>
          <w:lang w:val="es-CO"/>
        </w:rPr>
        <w:t>28</w:t>
      </w:r>
      <w:r w:rsidR="00324177" w:rsidRPr="00D01563">
        <w:rPr>
          <w:rFonts w:ascii="Century Gothic" w:hAnsi="Century Gothic"/>
          <w:b/>
          <w:sz w:val="28"/>
          <w:szCs w:val="28"/>
          <w:lang w:val="es-CO"/>
        </w:rPr>
        <w:t>º.</w:t>
      </w:r>
      <w:r w:rsidR="00324177" w:rsidRPr="00C40840">
        <w:rPr>
          <w:rFonts w:ascii="Century Gothic" w:hAnsi="Century Gothic"/>
          <w:sz w:val="28"/>
          <w:szCs w:val="28"/>
          <w:lang w:val="es-CO"/>
        </w:rPr>
        <w:t xml:space="preserve"> El INPEC tiene a su cargo 139 Cárceles del orden nacional sumadas a las Cárceles municipales que son 114. Para un total de 253 centros de reclusión en el país. En la actualidad se encuentran en construcción  11 nuevas cárceles con un total de 22.703 cupos más que permitirán continuar avanzando en la disminución de la situación de hacinamiento en el país. Estas Carceles entraran en funcionamiento a más tardar en agosto de 2010. </w:t>
      </w:r>
    </w:p>
    <w:p w:rsidR="00324177" w:rsidRPr="00C40840" w:rsidRDefault="00324177" w:rsidP="00012A06">
      <w:pPr>
        <w:jc w:val="both"/>
        <w:rPr>
          <w:rFonts w:ascii="Century Gothic" w:hAnsi="Century Gothic"/>
          <w:sz w:val="28"/>
          <w:szCs w:val="28"/>
          <w:lang w:val="es-CO"/>
        </w:rPr>
      </w:pPr>
    </w:p>
    <w:p w:rsidR="00324177" w:rsidRPr="00C40840" w:rsidRDefault="00324177" w:rsidP="00D01563">
      <w:pPr>
        <w:ind w:left="426"/>
        <w:jc w:val="both"/>
        <w:rPr>
          <w:rFonts w:ascii="Century Gothic" w:hAnsi="Century Gothic"/>
          <w:sz w:val="28"/>
          <w:szCs w:val="28"/>
          <w:lang w:val="es-CO"/>
        </w:rPr>
      </w:pPr>
      <w:r w:rsidRPr="00C40840">
        <w:rPr>
          <w:rFonts w:ascii="Century Gothic" w:hAnsi="Century Gothic"/>
          <w:sz w:val="28"/>
          <w:szCs w:val="28"/>
          <w:lang w:val="es-CO"/>
        </w:rPr>
        <w:t xml:space="preserve">En el mismo sentido, para avanzar en la reducción del índice de hacinamiento se implemento el sistema de vigilancia electrónica que consiste en poner una manilla o brazalete al beneficiario, quien es monitoreado por aparatos electrónicos, permitiendole permanecer en la casa con sus familias, y en otros casos, estudiar o trabajar. El Plan Piloto se ha iniciado con 4.900 dispositivos. </w:t>
      </w:r>
    </w:p>
    <w:p w:rsidR="00324177" w:rsidRPr="00C40840" w:rsidRDefault="00324177" w:rsidP="000A7291">
      <w:pPr>
        <w:tabs>
          <w:tab w:val="num" w:pos="900"/>
        </w:tabs>
        <w:jc w:val="both"/>
        <w:rPr>
          <w:rFonts w:ascii="Century Gothic" w:hAnsi="Century Gothic"/>
          <w:sz w:val="28"/>
          <w:szCs w:val="28"/>
          <w:lang w:val="es-CO"/>
        </w:rPr>
      </w:pPr>
    </w:p>
    <w:p w:rsidR="00324177" w:rsidRPr="00C40840" w:rsidRDefault="00D01563" w:rsidP="00D01563">
      <w:pPr>
        <w:ind w:left="426" w:hanging="426"/>
        <w:jc w:val="both"/>
        <w:rPr>
          <w:rFonts w:ascii="Century Gothic" w:hAnsi="Century Gothic"/>
          <w:sz w:val="28"/>
          <w:szCs w:val="28"/>
          <w:lang w:val="es-CO"/>
        </w:rPr>
      </w:pPr>
      <w:r w:rsidRPr="00D01563">
        <w:rPr>
          <w:rFonts w:ascii="Century Gothic" w:hAnsi="Century Gothic"/>
          <w:b/>
          <w:sz w:val="28"/>
          <w:szCs w:val="28"/>
          <w:lang w:val="es-CO"/>
        </w:rPr>
        <w:t>29</w:t>
      </w:r>
      <w:r w:rsidR="00324177" w:rsidRPr="00D01563">
        <w:rPr>
          <w:rFonts w:ascii="Century Gothic" w:hAnsi="Century Gothic"/>
          <w:b/>
          <w:sz w:val="28"/>
          <w:szCs w:val="28"/>
          <w:lang w:val="es-CO"/>
        </w:rPr>
        <w:t>º.</w:t>
      </w:r>
      <w:r w:rsidR="00324177" w:rsidRPr="00C40840">
        <w:rPr>
          <w:rFonts w:ascii="Century Gothic" w:hAnsi="Century Gothic"/>
          <w:sz w:val="28"/>
          <w:szCs w:val="28"/>
          <w:lang w:val="es-CO"/>
        </w:rPr>
        <w:t xml:space="preserve"> Los Internos o reclusos cuentan con los siguientes programas de beneficio social: alimentación; servicio básico de salud las 24 horas del día, cubrimiento de la prestación de servicios de salud mental, cáncer, sida, diálisis y enfermedades de alto riesgo que incluyen hospitalizaciones y medicamentos.</w:t>
      </w:r>
    </w:p>
    <w:p w:rsidR="00324177" w:rsidRPr="00C40840" w:rsidRDefault="00324177" w:rsidP="00012A06">
      <w:pPr>
        <w:jc w:val="both"/>
        <w:rPr>
          <w:rFonts w:ascii="Century Gothic" w:hAnsi="Century Gothic"/>
          <w:sz w:val="28"/>
          <w:szCs w:val="28"/>
          <w:lang w:val="es-CO"/>
        </w:rPr>
      </w:pPr>
    </w:p>
    <w:p w:rsidR="00324177" w:rsidRPr="00C40840" w:rsidRDefault="00324177" w:rsidP="00D01563">
      <w:pPr>
        <w:ind w:left="426"/>
        <w:jc w:val="both"/>
        <w:rPr>
          <w:rFonts w:ascii="Century Gothic" w:hAnsi="Century Gothic"/>
          <w:sz w:val="28"/>
          <w:szCs w:val="28"/>
          <w:lang w:val="es-CO"/>
        </w:rPr>
      </w:pPr>
      <w:r w:rsidRPr="00C40840">
        <w:rPr>
          <w:rFonts w:ascii="Century Gothic" w:hAnsi="Century Gothic"/>
          <w:sz w:val="28"/>
          <w:szCs w:val="28"/>
          <w:lang w:val="es-CO"/>
        </w:rPr>
        <w:t xml:space="preserve">Es de anotar que los enfermos mentales se encuentran ubicados en 3 unidades de salud mental, en las cárceles Modelo de Bogota, Medellín y Cali, que son atendidas por 5 médicos psiquiatras, 3 psicólogos clínicos, 5 terapeutas ocupacionales, 4 trabajadores sociales,  3 médicos generales, 3 odontólogos y 6 auxiliares de enfermería. </w:t>
      </w:r>
    </w:p>
    <w:p w:rsidR="00324177" w:rsidRDefault="00324177" w:rsidP="00D01563">
      <w:pPr>
        <w:tabs>
          <w:tab w:val="num" w:pos="2172"/>
        </w:tabs>
        <w:ind w:left="426" w:hanging="426"/>
        <w:jc w:val="both"/>
        <w:rPr>
          <w:rFonts w:ascii="Century Gothic" w:hAnsi="Century Gothic"/>
          <w:sz w:val="28"/>
          <w:szCs w:val="28"/>
          <w:lang w:val="es-CO"/>
        </w:rPr>
      </w:pPr>
    </w:p>
    <w:p w:rsidR="00D01563" w:rsidRDefault="00D01563" w:rsidP="00D01563">
      <w:pPr>
        <w:tabs>
          <w:tab w:val="num" w:pos="2172"/>
        </w:tabs>
        <w:ind w:left="426" w:hanging="426"/>
        <w:jc w:val="both"/>
        <w:rPr>
          <w:rFonts w:ascii="Century Gothic" w:hAnsi="Century Gothic"/>
          <w:sz w:val="28"/>
          <w:szCs w:val="28"/>
          <w:lang w:val="es-CO"/>
        </w:rPr>
      </w:pPr>
    </w:p>
    <w:p w:rsidR="00D01563" w:rsidRPr="00C40840" w:rsidRDefault="00D01563" w:rsidP="00D01563">
      <w:pPr>
        <w:tabs>
          <w:tab w:val="num" w:pos="2172"/>
        </w:tabs>
        <w:ind w:left="426" w:hanging="426"/>
        <w:jc w:val="both"/>
        <w:rPr>
          <w:rFonts w:ascii="Century Gothic" w:hAnsi="Century Gothic"/>
          <w:sz w:val="28"/>
          <w:szCs w:val="28"/>
          <w:lang w:val="es-CO"/>
        </w:rPr>
      </w:pPr>
    </w:p>
    <w:p w:rsidR="00324177" w:rsidRDefault="00D01563" w:rsidP="00D01563">
      <w:pPr>
        <w:tabs>
          <w:tab w:val="num" w:pos="2172"/>
        </w:tabs>
        <w:ind w:left="426" w:hanging="426"/>
        <w:jc w:val="both"/>
        <w:rPr>
          <w:rFonts w:ascii="Century Gothic" w:hAnsi="Century Gothic"/>
          <w:sz w:val="28"/>
          <w:szCs w:val="28"/>
          <w:lang w:val="es-CO"/>
        </w:rPr>
      </w:pPr>
      <w:r>
        <w:rPr>
          <w:rFonts w:ascii="Century Gothic" w:hAnsi="Century Gothic"/>
          <w:sz w:val="28"/>
          <w:szCs w:val="28"/>
          <w:lang w:val="es-CO"/>
        </w:rPr>
        <w:tab/>
      </w:r>
      <w:r w:rsidR="00DF0A30" w:rsidRPr="00C40840">
        <w:rPr>
          <w:rFonts w:ascii="Century Gothic" w:hAnsi="Century Gothic"/>
          <w:sz w:val="28"/>
          <w:szCs w:val="28"/>
          <w:lang w:val="es-CO"/>
        </w:rPr>
        <w:t>Además</w:t>
      </w:r>
      <w:r w:rsidR="00324177" w:rsidRPr="00C40840">
        <w:rPr>
          <w:rFonts w:ascii="Century Gothic" w:hAnsi="Century Gothic"/>
          <w:sz w:val="28"/>
          <w:szCs w:val="28"/>
          <w:lang w:val="es-CO"/>
        </w:rPr>
        <w:t xml:space="preserve"> de los anteriores derechos, cuentan con la posibilidad de visitas virtuales y con servicio de telefonía a excepción de telefonía celular por razones de seguridad, e igualmente con programas educativos, culturales y de recreación y deportes. </w:t>
      </w:r>
    </w:p>
    <w:p w:rsidR="00D01563" w:rsidRPr="00C40840" w:rsidRDefault="00D01563" w:rsidP="00D01563">
      <w:pPr>
        <w:tabs>
          <w:tab w:val="num" w:pos="2172"/>
        </w:tabs>
        <w:ind w:left="426" w:hanging="426"/>
        <w:jc w:val="both"/>
        <w:rPr>
          <w:rFonts w:ascii="Century Gothic" w:hAnsi="Century Gothic"/>
          <w:sz w:val="28"/>
          <w:szCs w:val="28"/>
          <w:lang w:val="es-CO"/>
        </w:rPr>
      </w:pPr>
    </w:p>
    <w:p w:rsidR="00324177" w:rsidRPr="00C40840" w:rsidRDefault="00D01563" w:rsidP="00D01563">
      <w:pPr>
        <w:tabs>
          <w:tab w:val="num" w:pos="2172"/>
        </w:tabs>
        <w:ind w:left="426" w:hanging="426"/>
        <w:jc w:val="both"/>
        <w:rPr>
          <w:rFonts w:ascii="Century Gothic" w:hAnsi="Century Gothic"/>
          <w:sz w:val="28"/>
          <w:szCs w:val="28"/>
          <w:lang w:val="es-CO"/>
        </w:rPr>
      </w:pPr>
      <w:r>
        <w:rPr>
          <w:rFonts w:ascii="Century Gothic" w:hAnsi="Century Gothic"/>
          <w:b/>
          <w:sz w:val="28"/>
          <w:szCs w:val="28"/>
          <w:lang w:val="es-CO"/>
        </w:rPr>
        <w:t>30</w:t>
      </w:r>
      <w:r w:rsidR="00324177" w:rsidRPr="00D01563">
        <w:rPr>
          <w:rFonts w:ascii="Century Gothic" w:hAnsi="Century Gothic"/>
          <w:b/>
          <w:sz w:val="28"/>
          <w:szCs w:val="28"/>
          <w:lang w:val="es-CO"/>
        </w:rPr>
        <w:t>º.</w:t>
      </w:r>
      <w:r w:rsidR="00324177" w:rsidRPr="00C40840">
        <w:rPr>
          <w:rFonts w:ascii="Century Gothic" w:hAnsi="Century Gothic"/>
          <w:sz w:val="28"/>
          <w:szCs w:val="28"/>
          <w:lang w:val="es-CO"/>
        </w:rPr>
        <w:t xml:space="preserve"> En los centros de reclusión existen Comités de Derechos Humanos, integrados por reclusos representantes de cada pabellón. Estos representantes son elegidos por los propios internos sin discriminación alguna.            </w:t>
      </w:r>
    </w:p>
    <w:p w:rsidR="00324177" w:rsidRPr="00C40840" w:rsidRDefault="00324177" w:rsidP="008C4653">
      <w:pPr>
        <w:tabs>
          <w:tab w:val="num" w:pos="2172"/>
        </w:tabs>
        <w:jc w:val="both"/>
        <w:rPr>
          <w:rFonts w:ascii="Century Gothic" w:hAnsi="Century Gothic"/>
          <w:sz w:val="28"/>
          <w:szCs w:val="28"/>
          <w:lang w:val="es-CO"/>
        </w:rPr>
      </w:pPr>
      <w:r w:rsidRPr="00C40840">
        <w:rPr>
          <w:rFonts w:ascii="Century Gothic" w:hAnsi="Century Gothic"/>
          <w:sz w:val="28"/>
          <w:szCs w:val="28"/>
          <w:lang w:val="es-CO"/>
        </w:rPr>
        <w:t xml:space="preserve">      </w:t>
      </w:r>
    </w:p>
    <w:p w:rsidR="00324177" w:rsidRPr="00C40840" w:rsidRDefault="00324177" w:rsidP="00DF0A30">
      <w:pPr>
        <w:ind w:left="426"/>
        <w:jc w:val="both"/>
        <w:rPr>
          <w:rFonts w:ascii="Century Gothic" w:hAnsi="Century Gothic"/>
          <w:sz w:val="28"/>
          <w:szCs w:val="28"/>
          <w:lang w:val="es-CO"/>
        </w:rPr>
      </w:pPr>
      <w:r w:rsidRPr="00C40840">
        <w:rPr>
          <w:rFonts w:ascii="Century Gothic" w:hAnsi="Century Gothic"/>
          <w:sz w:val="28"/>
          <w:szCs w:val="28"/>
          <w:lang w:val="es-CO"/>
        </w:rPr>
        <w:t>Los comités de Derechos humanos, cuentan con el acompañamiento de la Procuraduría General de la Nacion, la Defensoría del Pueblo y las Personerías Municipales. Asi mismo, cuentan con el acompañamiento permanente de la Oficina de la Alta Comisionada de Derechos Humanos.  Ademas, este año se dio inicio a  la conformación de observatorios de Derechos Humanos en cada una de las seis regionales del INPEC.</w:t>
      </w:r>
    </w:p>
    <w:p w:rsidR="00324177" w:rsidRPr="00C40840" w:rsidRDefault="00324177" w:rsidP="003E7096">
      <w:pPr>
        <w:tabs>
          <w:tab w:val="num" w:pos="2172"/>
        </w:tabs>
        <w:jc w:val="both"/>
        <w:rPr>
          <w:rFonts w:ascii="Century Gothic" w:hAnsi="Century Gothic"/>
          <w:sz w:val="28"/>
          <w:szCs w:val="28"/>
          <w:lang w:val="es-CO"/>
        </w:rPr>
      </w:pPr>
    </w:p>
    <w:p w:rsidR="00324177" w:rsidRPr="00C40840" w:rsidRDefault="00620835" w:rsidP="00620835">
      <w:pPr>
        <w:tabs>
          <w:tab w:val="num" w:pos="2172"/>
        </w:tabs>
        <w:ind w:left="426" w:hanging="426"/>
        <w:jc w:val="both"/>
        <w:rPr>
          <w:rFonts w:ascii="Century Gothic" w:hAnsi="Century Gothic"/>
          <w:sz w:val="28"/>
          <w:szCs w:val="28"/>
          <w:lang w:val="es-CO"/>
        </w:rPr>
      </w:pPr>
      <w:r w:rsidRPr="00620835">
        <w:rPr>
          <w:rFonts w:ascii="Century Gothic" w:hAnsi="Century Gothic"/>
          <w:b/>
          <w:sz w:val="28"/>
          <w:szCs w:val="28"/>
          <w:lang w:val="es-CO"/>
        </w:rPr>
        <w:t>31</w:t>
      </w:r>
      <w:r w:rsidR="00324177" w:rsidRPr="00620835">
        <w:rPr>
          <w:rFonts w:ascii="Century Gothic" w:hAnsi="Century Gothic"/>
          <w:b/>
          <w:sz w:val="28"/>
          <w:szCs w:val="28"/>
          <w:lang w:val="es-CO"/>
        </w:rPr>
        <w:t>º.</w:t>
      </w:r>
      <w:r w:rsidR="00324177" w:rsidRPr="00C40840">
        <w:rPr>
          <w:rFonts w:ascii="Century Gothic" w:hAnsi="Century Gothic"/>
          <w:sz w:val="28"/>
          <w:szCs w:val="28"/>
          <w:lang w:val="es-CO"/>
        </w:rPr>
        <w:t xml:space="preserve"> En todos los centros de reclusión existe un Cónsul de Derechos Humanos, que en la mayoría de los casos es un miembro del cuerpo de custodia y vigilancia, hombre ó mujer que sirve de enlace entre los internos y los órganos de control (procuraduría, defensoría del pueblo, personero municipal) y  el director del centro de reclusión. Esta figura no excluye el </w:t>
      </w:r>
      <w:r w:rsidRPr="00C40840">
        <w:rPr>
          <w:rFonts w:ascii="Century Gothic" w:hAnsi="Century Gothic"/>
          <w:sz w:val="28"/>
          <w:szCs w:val="28"/>
          <w:lang w:val="es-CO"/>
        </w:rPr>
        <w:t>diálogo</w:t>
      </w:r>
      <w:r w:rsidR="00324177" w:rsidRPr="00C40840">
        <w:rPr>
          <w:rFonts w:ascii="Century Gothic" w:hAnsi="Century Gothic"/>
          <w:sz w:val="28"/>
          <w:szCs w:val="28"/>
          <w:lang w:val="es-CO"/>
        </w:rPr>
        <w:t xml:space="preserve"> directo entre los voceros de los internos y el Director del centro de </w:t>
      </w:r>
      <w:r w:rsidRPr="00C40840">
        <w:rPr>
          <w:rFonts w:ascii="Century Gothic" w:hAnsi="Century Gothic"/>
          <w:sz w:val="28"/>
          <w:szCs w:val="28"/>
          <w:lang w:val="es-CO"/>
        </w:rPr>
        <w:t>reclusión</w:t>
      </w:r>
      <w:r w:rsidR="00324177" w:rsidRPr="00C40840">
        <w:rPr>
          <w:rFonts w:ascii="Century Gothic" w:hAnsi="Century Gothic"/>
          <w:sz w:val="28"/>
          <w:szCs w:val="28"/>
          <w:lang w:val="es-CO"/>
        </w:rPr>
        <w:t xml:space="preserve">. </w:t>
      </w:r>
    </w:p>
    <w:p w:rsidR="00324177" w:rsidRPr="00C40840" w:rsidRDefault="00324177" w:rsidP="003E7096">
      <w:pPr>
        <w:tabs>
          <w:tab w:val="num" w:pos="2172"/>
        </w:tabs>
        <w:jc w:val="both"/>
        <w:rPr>
          <w:rFonts w:ascii="Century Gothic" w:hAnsi="Century Gothic"/>
          <w:sz w:val="28"/>
          <w:szCs w:val="28"/>
          <w:lang w:val="es-CO"/>
        </w:rPr>
      </w:pPr>
    </w:p>
    <w:p w:rsidR="00324177" w:rsidRPr="00C40840" w:rsidRDefault="00620835" w:rsidP="00620835">
      <w:pPr>
        <w:tabs>
          <w:tab w:val="num" w:pos="2172"/>
        </w:tabs>
        <w:ind w:left="426" w:hanging="426"/>
        <w:jc w:val="both"/>
        <w:rPr>
          <w:rFonts w:ascii="Century Gothic" w:hAnsi="Century Gothic"/>
          <w:sz w:val="28"/>
          <w:szCs w:val="28"/>
          <w:lang w:val="es-CO"/>
        </w:rPr>
      </w:pPr>
      <w:r w:rsidRPr="00620835">
        <w:rPr>
          <w:rFonts w:ascii="Century Gothic" w:hAnsi="Century Gothic"/>
          <w:b/>
          <w:sz w:val="28"/>
          <w:szCs w:val="28"/>
          <w:lang w:val="es-CO"/>
        </w:rPr>
        <w:t>32</w:t>
      </w:r>
      <w:r w:rsidR="00324177" w:rsidRPr="00620835">
        <w:rPr>
          <w:rFonts w:ascii="Century Gothic" w:hAnsi="Century Gothic"/>
          <w:b/>
          <w:sz w:val="28"/>
          <w:szCs w:val="28"/>
          <w:lang w:val="es-CO"/>
        </w:rPr>
        <w:t>º.</w:t>
      </w:r>
      <w:r w:rsidR="00324177" w:rsidRPr="00C40840">
        <w:rPr>
          <w:rFonts w:ascii="Century Gothic" w:hAnsi="Century Gothic"/>
          <w:sz w:val="28"/>
          <w:szCs w:val="28"/>
          <w:lang w:val="es-CO"/>
        </w:rPr>
        <w:t xml:space="preserve"> Respecto a las unidades de tratamiento especial ó aislamiento, cuando se recluye allí a los internos que han cometido faltas graves, dichas faltas están definidas en la Ley (Código Penitenciario y Carcelario) que indica también el procedimiento a seguir. </w:t>
      </w:r>
    </w:p>
    <w:p w:rsidR="00324177" w:rsidRPr="00C40840" w:rsidRDefault="00324177" w:rsidP="00362F6F">
      <w:pPr>
        <w:tabs>
          <w:tab w:val="num" w:pos="2172"/>
        </w:tabs>
        <w:jc w:val="both"/>
        <w:rPr>
          <w:rFonts w:ascii="Century Gothic" w:hAnsi="Century Gothic"/>
          <w:sz w:val="28"/>
          <w:szCs w:val="28"/>
          <w:lang w:val="es-CO"/>
        </w:rPr>
      </w:pPr>
    </w:p>
    <w:p w:rsidR="00324177" w:rsidRPr="00C40840" w:rsidRDefault="00620835" w:rsidP="00620835">
      <w:pPr>
        <w:tabs>
          <w:tab w:val="num" w:pos="2172"/>
        </w:tabs>
        <w:ind w:left="426" w:hanging="426"/>
        <w:jc w:val="both"/>
        <w:rPr>
          <w:rFonts w:ascii="Century Gothic" w:hAnsi="Century Gothic"/>
          <w:sz w:val="28"/>
          <w:szCs w:val="28"/>
          <w:lang w:val="es-CO"/>
        </w:rPr>
      </w:pPr>
      <w:r>
        <w:rPr>
          <w:rFonts w:ascii="Century Gothic" w:hAnsi="Century Gothic"/>
          <w:sz w:val="28"/>
          <w:szCs w:val="28"/>
          <w:lang w:val="es-CO"/>
        </w:rPr>
        <w:tab/>
      </w:r>
      <w:r w:rsidR="00324177" w:rsidRPr="00C40840">
        <w:rPr>
          <w:rFonts w:ascii="Century Gothic" w:hAnsi="Century Gothic"/>
          <w:sz w:val="28"/>
          <w:szCs w:val="28"/>
          <w:lang w:val="es-CO"/>
        </w:rPr>
        <w:t xml:space="preserve">En las cárceles de alta seguridad se encuentran recluidos internos de alto riesgo, condenados a penas altas, y existen reclusos  sindicados de alto riesgo  y personal solicitado en extradición. Todos con situación jurídica resuelta. </w:t>
      </w:r>
    </w:p>
    <w:p w:rsidR="00324177" w:rsidRPr="00C40840" w:rsidRDefault="00324177" w:rsidP="00620835">
      <w:pPr>
        <w:tabs>
          <w:tab w:val="num" w:pos="2172"/>
        </w:tabs>
        <w:ind w:left="426" w:hanging="426"/>
        <w:jc w:val="both"/>
        <w:rPr>
          <w:rFonts w:ascii="Century Gothic" w:hAnsi="Century Gothic"/>
          <w:sz w:val="28"/>
          <w:szCs w:val="28"/>
          <w:lang w:val="es-CO"/>
        </w:rPr>
      </w:pPr>
    </w:p>
    <w:p w:rsidR="00324177" w:rsidRPr="00C40840" w:rsidRDefault="00620835" w:rsidP="00620835">
      <w:pPr>
        <w:tabs>
          <w:tab w:val="num" w:pos="2172"/>
        </w:tabs>
        <w:ind w:left="426" w:hanging="426"/>
        <w:jc w:val="both"/>
        <w:rPr>
          <w:rFonts w:ascii="Century Gothic" w:hAnsi="Century Gothic"/>
          <w:sz w:val="28"/>
          <w:szCs w:val="28"/>
          <w:lang w:val="es-CO"/>
        </w:rPr>
      </w:pPr>
      <w:r>
        <w:rPr>
          <w:rFonts w:ascii="Century Gothic" w:hAnsi="Century Gothic"/>
          <w:sz w:val="28"/>
          <w:szCs w:val="28"/>
          <w:lang w:val="es-CO"/>
        </w:rPr>
        <w:tab/>
      </w:r>
      <w:r w:rsidR="00324177" w:rsidRPr="00C40840">
        <w:rPr>
          <w:rFonts w:ascii="Century Gothic" w:hAnsi="Century Gothic"/>
          <w:sz w:val="28"/>
          <w:szCs w:val="28"/>
          <w:lang w:val="es-CO"/>
        </w:rPr>
        <w:t>La figura de “Jueces de vigilancia penitenciaria” no está contemplada en la Ley Colombiana.</w:t>
      </w:r>
    </w:p>
    <w:p w:rsidR="00324177" w:rsidRPr="00C40840" w:rsidRDefault="00324177" w:rsidP="00153D80">
      <w:pPr>
        <w:jc w:val="both"/>
        <w:rPr>
          <w:rFonts w:ascii="Century Gothic" w:hAnsi="Century Gothic"/>
          <w:sz w:val="28"/>
          <w:szCs w:val="28"/>
          <w:lang w:val="es-CO"/>
        </w:rPr>
      </w:pPr>
    </w:p>
    <w:p w:rsidR="007628C5" w:rsidRDefault="007628C5" w:rsidP="007628C5">
      <w:pPr>
        <w:tabs>
          <w:tab w:val="num" w:pos="2172"/>
        </w:tabs>
        <w:ind w:left="426" w:hanging="426"/>
        <w:jc w:val="both"/>
        <w:rPr>
          <w:rFonts w:ascii="Century Gothic" w:hAnsi="Century Gothic"/>
          <w:sz w:val="28"/>
          <w:szCs w:val="28"/>
          <w:lang w:val="es-CO"/>
        </w:rPr>
      </w:pPr>
      <w:r w:rsidRPr="007628C5">
        <w:rPr>
          <w:rFonts w:ascii="Century Gothic" w:hAnsi="Century Gothic"/>
          <w:b/>
          <w:sz w:val="28"/>
          <w:szCs w:val="28"/>
          <w:lang w:val="es-CO"/>
        </w:rPr>
        <w:t>33</w:t>
      </w:r>
      <w:r w:rsidR="00324177" w:rsidRPr="007628C5">
        <w:rPr>
          <w:rFonts w:ascii="Century Gothic" w:hAnsi="Century Gothic"/>
          <w:b/>
          <w:sz w:val="28"/>
          <w:szCs w:val="28"/>
          <w:lang w:val="es-CO"/>
        </w:rPr>
        <w:t>º.</w:t>
      </w:r>
      <w:r w:rsidR="00324177" w:rsidRPr="00C40840">
        <w:rPr>
          <w:rFonts w:ascii="Century Gothic" w:hAnsi="Century Gothic"/>
          <w:sz w:val="28"/>
          <w:szCs w:val="28"/>
          <w:lang w:val="es-CO"/>
        </w:rPr>
        <w:t xml:space="preserve"> El Instituto Nacional de Medicina Legal y Ciencias Forenses pertenece a la Rama Judicial y se encuentra adscrito a la Fiscalía General de la Nación, como establecimiento público del orden nacional, dotado de personería jurídica, patrimonio propio y autonomía administrativa. </w:t>
      </w:r>
    </w:p>
    <w:p w:rsidR="007628C5" w:rsidRDefault="007628C5" w:rsidP="007628C5">
      <w:pPr>
        <w:tabs>
          <w:tab w:val="num" w:pos="2172"/>
        </w:tabs>
        <w:ind w:left="426" w:hanging="426"/>
        <w:jc w:val="both"/>
        <w:rPr>
          <w:rFonts w:ascii="Century Gothic" w:hAnsi="Century Gothic"/>
          <w:sz w:val="28"/>
          <w:szCs w:val="28"/>
          <w:lang w:val="es-CO"/>
        </w:rPr>
      </w:pPr>
    </w:p>
    <w:p w:rsidR="00324177" w:rsidRPr="00C40840" w:rsidRDefault="007628C5" w:rsidP="007628C5">
      <w:pPr>
        <w:tabs>
          <w:tab w:val="num" w:pos="2172"/>
        </w:tabs>
        <w:ind w:left="426" w:hanging="426"/>
        <w:jc w:val="both"/>
        <w:rPr>
          <w:rFonts w:ascii="Century Gothic" w:hAnsi="Century Gothic"/>
          <w:sz w:val="28"/>
          <w:szCs w:val="28"/>
          <w:lang w:val="es-CO"/>
        </w:rPr>
      </w:pPr>
      <w:r>
        <w:rPr>
          <w:rFonts w:ascii="Century Gothic" w:hAnsi="Century Gothic"/>
          <w:sz w:val="28"/>
          <w:szCs w:val="28"/>
          <w:lang w:val="es-CO"/>
        </w:rPr>
        <w:tab/>
      </w:r>
      <w:r w:rsidR="00324177" w:rsidRPr="00C40840">
        <w:rPr>
          <w:rFonts w:ascii="Century Gothic" w:hAnsi="Century Gothic"/>
          <w:sz w:val="28"/>
          <w:szCs w:val="28"/>
          <w:lang w:val="es-CO"/>
        </w:rPr>
        <w:t>La misión fundamental del Instituto es prestar auxilio y soporte científico y técnico a la administración de justicia en todo el territorio nacional, en lo concerniente a medicina legal y las ciencias forenses.</w:t>
      </w:r>
    </w:p>
    <w:p w:rsidR="00324177" w:rsidRPr="00C40840" w:rsidRDefault="00324177" w:rsidP="00B61FAA">
      <w:pPr>
        <w:tabs>
          <w:tab w:val="num" w:pos="2172"/>
        </w:tabs>
        <w:jc w:val="both"/>
        <w:rPr>
          <w:rFonts w:ascii="Century Gothic" w:hAnsi="Century Gothic"/>
          <w:sz w:val="28"/>
          <w:szCs w:val="28"/>
          <w:lang w:val="es-CO"/>
        </w:rPr>
      </w:pPr>
    </w:p>
    <w:p w:rsidR="00324177" w:rsidRPr="00C40840" w:rsidRDefault="00324177" w:rsidP="007628C5">
      <w:pPr>
        <w:tabs>
          <w:tab w:val="num" w:pos="2172"/>
        </w:tabs>
        <w:ind w:left="426"/>
        <w:jc w:val="both"/>
        <w:rPr>
          <w:rFonts w:ascii="Century Gothic" w:hAnsi="Century Gothic"/>
          <w:sz w:val="28"/>
          <w:szCs w:val="28"/>
          <w:lang w:val="es-CO"/>
        </w:rPr>
      </w:pPr>
      <w:r w:rsidRPr="00C40840">
        <w:rPr>
          <w:rFonts w:ascii="Century Gothic" w:hAnsi="Century Gothic"/>
          <w:sz w:val="28"/>
          <w:szCs w:val="28"/>
          <w:lang w:val="es-CO"/>
        </w:rPr>
        <w:t xml:space="preserve">El Instituto cuenta con un presupuesto de 50 millones de </w:t>
      </w:r>
      <w:r w:rsidR="007628C5" w:rsidRPr="00C40840">
        <w:rPr>
          <w:rFonts w:ascii="Century Gothic" w:hAnsi="Century Gothic"/>
          <w:sz w:val="28"/>
          <w:szCs w:val="28"/>
          <w:lang w:val="es-CO"/>
        </w:rPr>
        <w:t>dólares</w:t>
      </w:r>
      <w:r w:rsidRPr="00C40840">
        <w:rPr>
          <w:rFonts w:ascii="Century Gothic" w:hAnsi="Century Gothic"/>
          <w:sz w:val="28"/>
          <w:szCs w:val="28"/>
          <w:lang w:val="es-CO"/>
        </w:rPr>
        <w:t xml:space="preserve"> para el </w:t>
      </w:r>
      <w:r w:rsidR="007628C5" w:rsidRPr="00C40840">
        <w:rPr>
          <w:rFonts w:ascii="Century Gothic" w:hAnsi="Century Gothic"/>
          <w:sz w:val="28"/>
          <w:szCs w:val="28"/>
          <w:lang w:val="es-CO"/>
        </w:rPr>
        <w:t>año</w:t>
      </w:r>
      <w:r w:rsidRPr="00C40840">
        <w:rPr>
          <w:rFonts w:ascii="Century Gothic" w:hAnsi="Century Gothic"/>
          <w:sz w:val="28"/>
          <w:szCs w:val="28"/>
          <w:lang w:val="es-CO"/>
        </w:rPr>
        <w:t xml:space="preserve"> 2009 y 60 millones </w:t>
      </w:r>
      <w:r w:rsidR="00472FD9">
        <w:rPr>
          <w:rFonts w:ascii="Century Gothic" w:hAnsi="Century Gothic"/>
          <w:sz w:val="28"/>
          <w:szCs w:val="28"/>
          <w:lang w:val="es-CO"/>
        </w:rPr>
        <w:t xml:space="preserve">de dólares </w:t>
      </w:r>
      <w:r w:rsidRPr="00C40840">
        <w:rPr>
          <w:rFonts w:ascii="Century Gothic" w:hAnsi="Century Gothic"/>
          <w:sz w:val="28"/>
          <w:szCs w:val="28"/>
          <w:lang w:val="es-CO"/>
        </w:rPr>
        <w:t xml:space="preserve">para el </w:t>
      </w:r>
      <w:r w:rsidR="007628C5" w:rsidRPr="00C40840">
        <w:rPr>
          <w:rFonts w:ascii="Century Gothic" w:hAnsi="Century Gothic"/>
          <w:sz w:val="28"/>
          <w:szCs w:val="28"/>
          <w:lang w:val="es-CO"/>
        </w:rPr>
        <w:t>año</w:t>
      </w:r>
      <w:r w:rsidRPr="00C40840">
        <w:rPr>
          <w:rFonts w:ascii="Century Gothic" w:hAnsi="Century Gothic"/>
          <w:sz w:val="28"/>
          <w:szCs w:val="28"/>
          <w:lang w:val="es-CO"/>
        </w:rPr>
        <w:t xml:space="preserve"> 2010. Su planta de personal </w:t>
      </w:r>
      <w:r w:rsidR="007628C5" w:rsidRPr="00C40840">
        <w:rPr>
          <w:rFonts w:ascii="Century Gothic" w:hAnsi="Century Gothic"/>
          <w:sz w:val="28"/>
          <w:szCs w:val="28"/>
          <w:lang w:val="es-CO"/>
        </w:rPr>
        <w:t>está</w:t>
      </w:r>
      <w:r w:rsidRPr="00C40840">
        <w:rPr>
          <w:rFonts w:ascii="Century Gothic" w:hAnsi="Century Gothic"/>
          <w:sz w:val="28"/>
          <w:szCs w:val="28"/>
          <w:lang w:val="es-CO"/>
        </w:rPr>
        <w:t xml:space="preserve"> conformada por 1776 funcionarios, entre </w:t>
      </w:r>
      <w:r w:rsidR="007628C5" w:rsidRPr="00C40840">
        <w:rPr>
          <w:rFonts w:ascii="Century Gothic" w:hAnsi="Century Gothic"/>
          <w:sz w:val="28"/>
          <w:szCs w:val="28"/>
          <w:lang w:val="es-CO"/>
        </w:rPr>
        <w:t>médicos</w:t>
      </w:r>
      <w:r w:rsidRPr="00C40840">
        <w:rPr>
          <w:rFonts w:ascii="Century Gothic" w:hAnsi="Century Gothic"/>
          <w:sz w:val="28"/>
          <w:szCs w:val="28"/>
          <w:lang w:val="es-CO"/>
        </w:rPr>
        <w:t xml:space="preserve">, psiquiatras, profesionales de laboratorio y de otras disciplinas forenses.  </w:t>
      </w:r>
    </w:p>
    <w:p w:rsidR="00324177" w:rsidRPr="00C40840" w:rsidRDefault="00324177" w:rsidP="00B61FAA">
      <w:pPr>
        <w:tabs>
          <w:tab w:val="num" w:pos="2172"/>
        </w:tabs>
        <w:jc w:val="both"/>
        <w:rPr>
          <w:rFonts w:ascii="Century Gothic" w:hAnsi="Century Gothic"/>
          <w:sz w:val="28"/>
          <w:szCs w:val="28"/>
          <w:lang w:val="es-CO"/>
        </w:rPr>
      </w:pPr>
    </w:p>
    <w:p w:rsidR="00324177" w:rsidRPr="00C40840" w:rsidRDefault="007628C5" w:rsidP="00472FD9">
      <w:pPr>
        <w:tabs>
          <w:tab w:val="num" w:pos="2172"/>
        </w:tabs>
        <w:ind w:left="426" w:hanging="426"/>
        <w:jc w:val="both"/>
        <w:rPr>
          <w:rFonts w:ascii="Century Gothic" w:hAnsi="Century Gothic"/>
          <w:sz w:val="28"/>
          <w:szCs w:val="28"/>
          <w:lang w:val="es-CO"/>
        </w:rPr>
      </w:pPr>
      <w:r w:rsidRPr="00472FD9">
        <w:rPr>
          <w:rFonts w:ascii="Century Gothic" w:hAnsi="Century Gothic"/>
          <w:b/>
          <w:sz w:val="28"/>
          <w:szCs w:val="28"/>
          <w:lang w:val="es-CO"/>
        </w:rPr>
        <w:t>34</w:t>
      </w:r>
      <w:r w:rsidR="00324177" w:rsidRPr="00472FD9">
        <w:rPr>
          <w:rFonts w:ascii="Century Gothic" w:hAnsi="Century Gothic"/>
          <w:b/>
          <w:sz w:val="28"/>
          <w:szCs w:val="28"/>
          <w:lang w:val="es-CO"/>
        </w:rPr>
        <w:t>º.</w:t>
      </w:r>
      <w:r w:rsidR="00324177" w:rsidRPr="00C40840">
        <w:rPr>
          <w:rFonts w:ascii="Century Gothic" w:hAnsi="Century Gothic"/>
          <w:sz w:val="28"/>
          <w:szCs w:val="28"/>
          <w:lang w:val="es-CO"/>
        </w:rPr>
        <w:t xml:space="preserve"> Una de las fortalezas del Instituto radica en sus sistemas de información que permiten la vigilancia epidemiológica de las lesiones de causa externa no fatales (Sivelce) y fatales en el Sistema de información red de desaparecidos y cadáveres (Sirdec). El Instituto esta posicionado como centro de referencia nacional e internacional en temas de violencia.  </w:t>
      </w:r>
    </w:p>
    <w:p w:rsidR="00324177" w:rsidRPr="00C40840" w:rsidRDefault="00324177" w:rsidP="00B61FAA">
      <w:pPr>
        <w:tabs>
          <w:tab w:val="num" w:pos="2172"/>
        </w:tabs>
        <w:jc w:val="both"/>
        <w:rPr>
          <w:rFonts w:ascii="Century Gothic" w:hAnsi="Century Gothic"/>
          <w:sz w:val="28"/>
          <w:szCs w:val="28"/>
          <w:lang w:val="es-CO"/>
        </w:rPr>
      </w:pPr>
    </w:p>
    <w:p w:rsidR="00324177" w:rsidRDefault="007628C5" w:rsidP="00472FD9">
      <w:pPr>
        <w:tabs>
          <w:tab w:val="num" w:pos="2172"/>
        </w:tabs>
        <w:ind w:left="426" w:hanging="426"/>
        <w:jc w:val="both"/>
        <w:rPr>
          <w:rFonts w:ascii="Century Gothic" w:hAnsi="Century Gothic"/>
          <w:sz w:val="28"/>
          <w:szCs w:val="28"/>
          <w:lang w:val="es-CO"/>
        </w:rPr>
      </w:pPr>
      <w:r w:rsidRPr="00472FD9">
        <w:rPr>
          <w:rFonts w:ascii="Century Gothic" w:hAnsi="Century Gothic"/>
          <w:b/>
          <w:sz w:val="28"/>
          <w:szCs w:val="28"/>
          <w:lang w:val="es-CO"/>
        </w:rPr>
        <w:t>35</w:t>
      </w:r>
      <w:r w:rsidR="00324177" w:rsidRPr="00472FD9">
        <w:rPr>
          <w:rFonts w:ascii="Century Gothic" w:hAnsi="Century Gothic"/>
          <w:b/>
          <w:sz w:val="28"/>
          <w:szCs w:val="28"/>
          <w:lang w:val="es-CO"/>
        </w:rPr>
        <w:t>º.</w:t>
      </w:r>
      <w:r w:rsidR="00324177" w:rsidRPr="00C40840">
        <w:rPr>
          <w:rFonts w:ascii="Century Gothic" w:hAnsi="Century Gothic"/>
          <w:sz w:val="28"/>
          <w:szCs w:val="28"/>
          <w:lang w:val="es-CO"/>
        </w:rPr>
        <w:t xml:space="preserve"> El Instituto adelanta los procesos de Certificación de sus profesionales forenses. En Patología Forense están actualmente certificados 15 patólogos y 12 se encuentran adelantando su proceso de certificación, con representación en todas las regionales del país. La Certificación en Clínica Forense se adelanta actualmente con 143 peritos de todo el país, que incluye 7 médicos externos; hasta  el momento se han certificado 34. En Odontología Forense, hay 24 odontólogos forenses certificados, de los cuales 15 son profesionales del Instituto y 09 son odontólogos externos. Todos los procesos de certificación hacen énfasis en la dimensión de derechos humanos. </w:t>
      </w:r>
    </w:p>
    <w:p w:rsidR="001E3B49" w:rsidRDefault="001E3B49" w:rsidP="00472FD9">
      <w:pPr>
        <w:tabs>
          <w:tab w:val="num" w:pos="2172"/>
        </w:tabs>
        <w:ind w:left="426" w:hanging="426"/>
        <w:jc w:val="both"/>
        <w:rPr>
          <w:rFonts w:ascii="Century Gothic" w:hAnsi="Century Gothic"/>
          <w:sz w:val="28"/>
          <w:szCs w:val="28"/>
          <w:lang w:val="es-CO"/>
        </w:rPr>
      </w:pPr>
    </w:p>
    <w:p w:rsidR="001E3B49" w:rsidRDefault="001E3B49" w:rsidP="00B61FAA">
      <w:pPr>
        <w:tabs>
          <w:tab w:val="num" w:pos="2172"/>
        </w:tabs>
        <w:jc w:val="both"/>
        <w:rPr>
          <w:rFonts w:ascii="Century Gothic" w:hAnsi="Century Gothic"/>
          <w:sz w:val="28"/>
          <w:szCs w:val="28"/>
          <w:lang w:val="es-CO"/>
        </w:rPr>
      </w:pPr>
    </w:p>
    <w:p w:rsidR="00472FD9" w:rsidRPr="00472FD9" w:rsidRDefault="00472FD9" w:rsidP="00B61FAA">
      <w:pPr>
        <w:tabs>
          <w:tab w:val="num" w:pos="2172"/>
        </w:tabs>
        <w:jc w:val="both"/>
        <w:rPr>
          <w:rFonts w:ascii="Century Gothic" w:hAnsi="Century Gothic"/>
          <w:b/>
          <w:sz w:val="28"/>
          <w:szCs w:val="28"/>
          <w:lang w:val="es-CO"/>
        </w:rPr>
      </w:pPr>
      <w:r w:rsidRPr="00472FD9">
        <w:rPr>
          <w:rFonts w:ascii="Century Gothic" w:hAnsi="Century Gothic"/>
          <w:b/>
          <w:sz w:val="28"/>
          <w:szCs w:val="28"/>
          <w:lang w:val="es-CO"/>
        </w:rPr>
        <w:t xml:space="preserve">Señor Presidente, Señores y Señoras integrantes del Comité, </w:t>
      </w:r>
    </w:p>
    <w:p w:rsidR="00472FD9" w:rsidRDefault="00472FD9" w:rsidP="00B61FAA">
      <w:pPr>
        <w:tabs>
          <w:tab w:val="num" w:pos="2172"/>
        </w:tabs>
        <w:jc w:val="both"/>
        <w:rPr>
          <w:rFonts w:ascii="Century Gothic" w:hAnsi="Century Gothic"/>
          <w:sz w:val="28"/>
          <w:szCs w:val="28"/>
          <w:lang w:val="es-CO"/>
        </w:rPr>
      </w:pPr>
    </w:p>
    <w:p w:rsidR="001E3B49" w:rsidRDefault="001E3B49" w:rsidP="00B61FAA">
      <w:pPr>
        <w:tabs>
          <w:tab w:val="num" w:pos="2172"/>
        </w:tabs>
        <w:jc w:val="both"/>
        <w:rPr>
          <w:rFonts w:ascii="Century Gothic" w:hAnsi="Century Gothic"/>
          <w:b/>
          <w:i/>
          <w:sz w:val="28"/>
          <w:szCs w:val="28"/>
          <w:lang w:val="es-CO"/>
        </w:rPr>
      </w:pPr>
      <w:r>
        <w:rPr>
          <w:rFonts w:ascii="Century Gothic" w:hAnsi="Century Gothic"/>
          <w:b/>
          <w:i/>
          <w:sz w:val="28"/>
          <w:szCs w:val="28"/>
          <w:lang w:val="es-CO"/>
        </w:rPr>
        <w:t xml:space="preserve">El Gobierno de Colombia y las otras entidades del Estado están </w:t>
      </w:r>
      <w:r w:rsidR="00472FD9">
        <w:rPr>
          <w:rFonts w:ascii="Century Gothic" w:hAnsi="Century Gothic"/>
          <w:b/>
          <w:i/>
          <w:sz w:val="28"/>
          <w:szCs w:val="28"/>
          <w:lang w:val="es-CO"/>
        </w:rPr>
        <w:t>abiertos</w:t>
      </w:r>
      <w:r>
        <w:rPr>
          <w:rFonts w:ascii="Century Gothic" w:hAnsi="Century Gothic"/>
          <w:b/>
          <w:i/>
          <w:sz w:val="28"/>
          <w:szCs w:val="28"/>
          <w:lang w:val="es-CO"/>
        </w:rPr>
        <w:t xml:space="preserve"> al acompañamiento y cooperación de todo el Sistema de Naciones Unidas para el mejoramiento de la situación de derecho humanos y el derecho internacional humanitario. </w:t>
      </w:r>
    </w:p>
    <w:p w:rsidR="001E3B49" w:rsidRDefault="001E3B49" w:rsidP="00B61FAA">
      <w:pPr>
        <w:tabs>
          <w:tab w:val="num" w:pos="2172"/>
        </w:tabs>
        <w:jc w:val="both"/>
        <w:rPr>
          <w:rFonts w:ascii="Century Gothic" w:hAnsi="Century Gothic"/>
          <w:b/>
          <w:i/>
          <w:sz w:val="28"/>
          <w:szCs w:val="28"/>
          <w:lang w:val="es-CO"/>
        </w:rPr>
      </w:pPr>
    </w:p>
    <w:p w:rsidR="00AB085B" w:rsidRDefault="00A83EBF" w:rsidP="00B61FAA">
      <w:pPr>
        <w:tabs>
          <w:tab w:val="num" w:pos="2172"/>
        </w:tabs>
        <w:jc w:val="both"/>
        <w:rPr>
          <w:rFonts w:ascii="Century Gothic" w:hAnsi="Century Gothic"/>
          <w:b/>
          <w:i/>
          <w:sz w:val="28"/>
          <w:szCs w:val="28"/>
          <w:lang w:val="es-CO"/>
        </w:rPr>
      </w:pPr>
      <w:r>
        <w:rPr>
          <w:rFonts w:ascii="Century Gothic" w:hAnsi="Century Gothic"/>
          <w:b/>
          <w:i/>
          <w:sz w:val="28"/>
          <w:szCs w:val="28"/>
          <w:lang w:val="es-CO"/>
        </w:rPr>
        <w:t>Esto explica,</w:t>
      </w:r>
      <w:r w:rsidR="001E3B49">
        <w:rPr>
          <w:rFonts w:ascii="Century Gothic" w:hAnsi="Century Gothic"/>
          <w:b/>
          <w:i/>
          <w:sz w:val="28"/>
          <w:szCs w:val="28"/>
          <w:lang w:val="es-CO"/>
        </w:rPr>
        <w:t xml:space="preserve"> no solo nuestro compromiso de cumplir con los mandatos de nuestro Examen Periódico Universal</w:t>
      </w:r>
      <w:r w:rsidR="00BB000F">
        <w:rPr>
          <w:rFonts w:ascii="Century Gothic" w:hAnsi="Century Gothic"/>
          <w:b/>
          <w:i/>
          <w:sz w:val="28"/>
          <w:szCs w:val="28"/>
          <w:lang w:val="es-CO"/>
        </w:rPr>
        <w:t>,</w:t>
      </w:r>
      <w:r w:rsidR="001E3B49">
        <w:rPr>
          <w:rFonts w:ascii="Century Gothic" w:hAnsi="Century Gothic"/>
          <w:b/>
          <w:i/>
          <w:sz w:val="28"/>
          <w:szCs w:val="28"/>
          <w:lang w:val="es-CO"/>
        </w:rPr>
        <w:t xml:space="preserve"> sino también la presencia activa </w:t>
      </w:r>
      <w:r w:rsidR="00BB000F">
        <w:rPr>
          <w:rFonts w:ascii="Century Gothic" w:hAnsi="Century Gothic"/>
          <w:b/>
          <w:i/>
          <w:sz w:val="28"/>
          <w:szCs w:val="28"/>
          <w:lang w:val="es-CO"/>
        </w:rPr>
        <w:t xml:space="preserve">en Colombia </w:t>
      </w:r>
      <w:r w:rsidR="001E3B49">
        <w:rPr>
          <w:rFonts w:ascii="Century Gothic" w:hAnsi="Century Gothic"/>
          <w:b/>
          <w:i/>
          <w:sz w:val="28"/>
          <w:szCs w:val="28"/>
          <w:lang w:val="es-CO"/>
        </w:rPr>
        <w:t>de diversos organismos e instituciones internacionale</w:t>
      </w:r>
      <w:r>
        <w:rPr>
          <w:rFonts w:ascii="Century Gothic" w:hAnsi="Century Gothic"/>
          <w:b/>
          <w:i/>
          <w:sz w:val="28"/>
          <w:szCs w:val="28"/>
          <w:lang w:val="es-CO"/>
        </w:rPr>
        <w:t>s</w:t>
      </w:r>
      <w:r w:rsidR="00BB000F">
        <w:rPr>
          <w:rFonts w:ascii="Century Gothic" w:hAnsi="Century Gothic"/>
          <w:b/>
          <w:i/>
          <w:sz w:val="28"/>
          <w:szCs w:val="28"/>
          <w:lang w:val="es-CO"/>
        </w:rPr>
        <w:t>, entre ellos, l</w:t>
      </w:r>
      <w:r w:rsidR="001E3B49">
        <w:rPr>
          <w:rFonts w:ascii="Century Gothic" w:hAnsi="Century Gothic"/>
          <w:b/>
          <w:i/>
          <w:sz w:val="28"/>
          <w:szCs w:val="28"/>
          <w:lang w:val="es-CO"/>
        </w:rPr>
        <w:t>a Oficina de la Alta Comisionada para los Derechos Humanos, el Comité Internacional de la Cruz Roja, el Alto Comisionado de las Naciones Unidas para los Refugiados</w:t>
      </w:r>
      <w:r w:rsidR="00BB000F">
        <w:rPr>
          <w:rFonts w:ascii="Century Gothic" w:hAnsi="Century Gothic"/>
          <w:b/>
          <w:i/>
          <w:sz w:val="28"/>
          <w:szCs w:val="28"/>
          <w:lang w:val="es-CO"/>
        </w:rPr>
        <w:t xml:space="preserve">, </w:t>
      </w:r>
      <w:r w:rsidR="001E3B49">
        <w:rPr>
          <w:rFonts w:ascii="Century Gothic" w:hAnsi="Century Gothic"/>
          <w:b/>
          <w:i/>
          <w:sz w:val="28"/>
          <w:szCs w:val="28"/>
          <w:lang w:val="es-CO"/>
        </w:rPr>
        <w:t>la Organización Internacional para las Migraciones</w:t>
      </w:r>
      <w:r>
        <w:rPr>
          <w:rFonts w:ascii="Century Gothic" w:hAnsi="Century Gothic"/>
          <w:b/>
          <w:i/>
          <w:sz w:val="28"/>
          <w:szCs w:val="28"/>
          <w:lang w:val="es-CO"/>
        </w:rPr>
        <w:t>, la UNI</w:t>
      </w:r>
      <w:r w:rsidR="001E3B49">
        <w:rPr>
          <w:rFonts w:ascii="Century Gothic" w:hAnsi="Century Gothic"/>
          <w:b/>
          <w:i/>
          <w:sz w:val="28"/>
          <w:szCs w:val="28"/>
          <w:lang w:val="es-CO"/>
        </w:rPr>
        <w:t>CEF, el P</w:t>
      </w:r>
      <w:r>
        <w:rPr>
          <w:rFonts w:ascii="Century Gothic" w:hAnsi="Century Gothic"/>
          <w:b/>
          <w:i/>
          <w:sz w:val="28"/>
          <w:szCs w:val="28"/>
          <w:lang w:val="es-CO"/>
        </w:rPr>
        <w:t xml:space="preserve">rograma de Naciones Unidas para el Desarrollo y la </w:t>
      </w:r>
      <w:r w:rsidR="00472FD9">
        <w:rPr>
          <w:rFonts w:ascii="Century Gothic" w:hAnsi="Century Gothic"/>
          <w:b/>
          <w:i/>
          <w:sz w:val="28"/>
          <w:szCs w:val="28"/>
          <w:lang w:val="es-CO"/>
        </w:rPr>
        <w:t>Organización</w:t>
      </w:r>
      <w:r>
        <w:rPr>
          <w:rFonts w:ascii="Century Gothic" w:hAnsi="Century Gothic"/>
          <w:b/>
          <w:i/>
          <w:sz w:val="28"/>
          <w:szCs w:val="28"/>
          <w:lang w:val="es-CO"/>
        </w:rPr>
        <w:t xml:space="preserve"> Internacional del Trabajo y la Organización Panamericana de la Salud</w:t>
      </w:r>
      <w:r w:rsidR="00BB000F">
        <w:rPr>
          <w:rFonts w:ascii="Century Gothic" w:hAnsi="Century Gothic"/>
          <w:b/>
          <w:i/>
          <w:sz w:val="28"/>
          <w:szCs w:val="28"/>
          <w:lang w:val="es-CO"/>
        </w:rPr>
        <w:t xml:space="preserve">. </w:t>
      </w:r>
      <w:r>
        <w:rPr>
          <w:rFonts w:ascii="Century Gothic" w:hAnsi="Century Gothic"/>
          <w:b/>
          <w:i/>
          <w:sz w:val="28"/>
          <w:szCs w:val="28"/>
          <w:lang w:val="es-CO"/>
        </w:rPr>
        <w:t xml:space="preserve">Todas estas organizaciones, </w:t>
      </w:r>
      <w:r w:rsidR="00BB000F">
        <w:rPr>
          <w:rFonts w:ascii="Century Gothic" w:hAnsi="Century Gothic"/>
          <w:b/>
          <w:i/>
          <w:sz w:val="28"/>
          <w:szCs w:val="28"/>
          <w:lang w:val="es-CO"/>
        </w:rPr>
        <w:t>con su presencia</w:t>
      </w:r>
      <w:r>
        <w:rPr>
          <w:rFonts w:ascii="Century Gothic" w:hAnsi="Century Gothic"/>
          <w:b/>
          <w:i/>
          <w:sz w:val="28"/>
          <w:szCs w:val="28"/>
          <w:lang w:val="es-CO"/>
        </w:rPr>
        <w:t xml:space="preserve">, </w:t>
      </w:r>
      <w:r w:rsidR="00BB000F">
        <w:rPr>
          <w:rFonts w:ascii="Century Gothic" w:hAnsi="Century Gothic"/>
          <w:b/>
          <w:i/>
          <w:sz w:val="28"/>
          <w:szCs w:val="28"/>
          <w:lang w:val="es-CO"/>
        </w:rPr>
        <w:t>y</w:t>
      </w:r>
      <w:r>
        <w:rPr>
          <w:rFonts w:ascii="Century Gothic" w:hAnsi="Century Gothic"/>
          <w:b/>
          <w:i/>
          <w:sz w:val="28"/>
          <w:szCs w:val="28"/>
          <w:lang w:val="es-CO"/>
        </w:rPr>
        <w:t xml:space="preserve"> con </w:t>
      </w:r>
      <w:r w:rsidR="00BB000F">
        <w:rPr>
          <w:rFonts w:ascii="Century Gothic" w:hAnsi="Century Gothic"/>
          <w:b/>
          <w:i/>
          <w:sz w:val="28"/>
          <w:szCs w:val="28"/>
          <w:lang w:val="es-CO"/>
        </w:rPr>
        <w:t xml:space="preserve"> los p</w:t>
      </w:r>
      <w:r>
        <w:rPr>
          <w:rFonts w:ascii="Century Gothic" w:hAnsi="Century Gothic"/>
          <w:b/>
          <w:i/>
          <w:sz w:val="28"/>
          <w:szCs w:val="28"/>
          <w:lang w:val="es-CO"/>
        </w:rPr>
        <w:t>rogramas que adelantan con el Gobierno N</w:t>
      </w:r>
      <w:r w:rsidR="00BB000F">
        <w:rPr>
          <w:rFonts w:ascii="Century Gothic" w:hAnsi="Century Gothic"/>
          <w:b/>
          <w:i/>
          <w:sz w:val="28"/>
          <w:szCs w:val="28"/>
          <w:lang w:val="es-CO"/>
        </w:rPr>
        <w:t xml:space="preserve">acional, los Gobiernos locales y regionales, otras instituciones del Estado y </w:t>
      </w:r>
      <w:r>
        <w:rPr>
          <w:rFonts w:ascii="Century Gothic" w:hAnsi="Century Gothic"/>
          <w:b/>
          <w:i/>
          <w:sz w:val="28"/>
          <w:szCs w:val="28"/>
          <w:lang w:val="es-CO"/>
        </w:rPr>
        <w:t xml:space="preserve">las </w:t>
      </w:r>
      <w:r w:rsidR="00BB000F">
        <w:rPr>
          <w:rFonts w:ascii="Century Gothic" w:hAnsi="Century Gothic"/>
          <w:b/>
          <w:i/>
          <w:sz w:val="28"/>
          <w:szCs w:val="28"/>
          <w:lang w:val="es-CO"/>
        </w:rPr>
        <w:t xml:space="preserve">organizaciones de la sociedad civil, han contribuido a mejorar de manera significativa la situación de derechos humanos </w:t>
      </w:r>
      <w:r>
        <w:rPr>
          <w:rFonts w:ascii="Century Gothic" w:hAnsi="Century Gothic"/>
          <w:b/>
          <w:i/>
          <w:sz w:val="28"/>
          <w:szCs w:val="28"/>
          <w:lang w:val="es-CO"/>
        </w:rPr>
        <w:t xml:space="preserve">en el país y son partícipes de nuestros logros en </w:t>
      </w:r>
      <w:r w:rsidR="00BB000F">
        <w:rPr>
          <w:rFonts w:ascii="Century Gothic" w:hAnsi="Century Gothic"/>
          <w:b/>
          <w:i/>
          <w:sz w:val="28"/>
          <w:szCs w:val="28"/>
          <w:lang w:val="es-CO"/>
        </w:rPr>
        <w:t>materia económica, social, cultural, ambiental y de seguridad</w:t>
      </w:r>
      <w:r>
        <w:rPr>
          <w:rFonts w:ascii="Century Gothic" w:hAnsi="Century Gothic"/>
          <w:b/>
          <w:i/>
          <w:sz w:val="28"/>
          <w:szCs w:val="28"/>
          <w:lang w:val="es-CO"/>
        </w:rPr>
        <w:t xml:space="preserve">. </w:t>
      </w:r>
    </w:p>
    <w:p w:rsidR="00AB085B" w:rsidRDefault="00AB085B" w:rsidP="00B61FAA">
      <w:pPr>
        <w:tabs>
          <w:tab w:val="num" w:pos="2172"/>
        </w:tabs>
        <w:jc w:val="both"/>
        <w:rPr>
          <w:rFonts w:ascii="Century Gothic" w:hAnsi="Century Gothic"/>
          <w:b/>
          <w:i/>
          <w:sz w:val="28"/>
          <w:szCs w:val="28"/>
          <w:lang w:val="es-CO"/>
        </w:rPr>
      </w:pPr>
    </w:p>
    <w:p w:rsidR="001E3B49" w:rsidRDefault="00A83EBF" w:rsidP="00B61FAA">
      <w:pPr>
        <w:tabs>
          <w:tab w:val="num" w:pos="2172"/>
        </w:tabs>
        <w:jc w:val="both"/>
        <w:rPr>
          <w:rFonts w:ascii="Century Gothic" w:hAnsi="Century Gothic"/>
          <w:b/>
          <w:i/>
          <w:sz w:val="28"/>
          <w:szCs w:val="28"/>
          <w:lang w:val="es-CO"/>
        </w:rPr>
      </w:pPr>
      <w:r>
        <w:rPr>
          <w:rFonts w:ascii="Century Gothic" w:hAnsi="Century Gothic"/>
          <w:b/>
          <w:i/>
          <w:sz w:val="28"/>
          <w:szCs w:val="28"/>
          <w:lang w:val="es-CO"/>
        </w:rPr>
        <w:t xml:space="preserve">Por todo lo anterior, sin </w:t>
      </w:r>
      <w:r w:rsidR="00BB000F">
        <w:rPr>
          <w:rFonts w:ascii="Century Gothic" w:hAnsi="Century Gothic"/>
          <w:b/>
          <w:i/>
          <w:sz w:val="28"/>
          <w:szCs w:val="28"/>
          <w:lang w:val="es-CO"/>
        </w:rPr>
        <w:t xml:space="preserve"> negar la situación de violencia y de criminalidad organizada que aun  padecemos, </w:t>
      </w:r>
      <w:r>
        <w:rPr>
          <w:rFonts w:ascii="Century Gothic" w:hAnsi="Century Gothic"/>
          <w:b/>
          <w:i/>
          <w:sz w:val="28"/>
          <w:szCs w:val="28"/>
          <w:lang w:val="es-CO"/>
        </w:rPr>
        <w:t xml:space="preserve">y que está </w:t>
      </w:r>
      <w:r w:rsidR="00BB000F">
        <w:rPr>
          <w:rFonts w:ascii="Century Gothic" w:hAnsi="Century Gothic"/>
          <w:b/>
          <w:i/>
          <w:sz w:val="28"/>
          <w:szCs w:val="28"/>
          <w:lang w:val="es-CO"/>
        </w:rPr>
        <w:t>íntimamente ligada a la actividad criminal del narcotráfico</w:t>
      </w:r>
      <w:r>
        <w:rPr>
          <w:rFonts w:ascii="Century Gothic" w:hAnsi="Century Gothic"/>
          <w:b/>
          <w:i/>
          <w:sz w:val="28"/>
          <w:szCs w:val="28"/>
          <w:lang w:val="es-CO"/>
        </w:rPr>
        <w:t xml:space="preserve">, definimos a Colombia como un </w:t>
      </w:r>
      <w:r w:rsidR="00472FD9">
        <w:rPr>
          <w:rFonts w:ascii="Century Gothic" w:hAnsi="Century Gothic"/>
          <w:b/>
          <w:i/>
          <w:sz w:val="28"/>
          <w:szCs w:val="28"/>
          <w:lang w:val="es-CO"/>
        </w:rPr>
        <w:t>país</w:t>
      </w:r>
      <w:r>
        <w:rPr>
          <w:rFonts w:ascii="Century Gothic" w:hAnsi="Century Gothic"/>
          <w:b/>
          <w:i/>
          <w:sz w:val="28"/>
          <w:szCs w:val="28"/>
          <w:lang w:val="es-CO"/>
        </w:rPr>
        <w:t xml:space="preserve"> en progreso y reiteramos nuestro compromiso por seguir avanzando.  </w:t>
      </w:r>
    </w:p>
    <w:p w:rsidR="00BB000F" w:rsidRDefault="00BB000F" w:rsidP="00B61FAA">
      <w:pPr>
        <w:tabs>
          <w:tab w:val="num" w:pos="2172"/>
        </w:tabs>
        <w:jc w:val="both"/>
        <w:rPr>
          <w:rFonts w:ascii="Century Gothic" w:hAnsi="Century Gothic"/>
          <w:b/>
          <w:i/>
          <w:sz w:val="28"/>
          <w:szCs w:val="28"/>
          <w:lang w:val="es-CO"/>
        </w:rPr>
      </w:pPr>
    </w:p>
    <w:p w:rsidR="00A83EBF" w:rsidRDefault="00A83EBF" w:rsidP="00B61FAA">
      <w:pPr>
        <w:tabs>
          <w:tab w:val="num" w:pos="2172"/>
        </w:tabs>
        <w:jc w:val="both"/>
        <w:rPr>
          <w:rFonts w:ascii="Century Gothic" w:hAnsi="Century Gothic"/>
          <w:b/>
          <w:i/>
          <w:sz w:val="28"/>
          <w:szCs w:val="28"/>
          <w:lang w:val="es-CO"/>
        </w:rPr>
      </w:pPr>
      <w:r>
        <w:rPr>
          <w:rFonts w:ascii="Century Gothic" w:hAnsi="Century Gothic"/>
          <w:b/>
          <w:i/>
          <w:sz w:val="28"/>
          <w:szCs w:val="28"/>
          <w:lang w:val="es-CO"/>
        </w:rPr>
        <w:t>Expresamos nuestro agradecimiento</w:t>
      </w:r>
      <w:r w:rsidR="00BB000F">
        <w:rPr>
          <w:rFonts w:ascii="Century Gothic" w:hAnsi="Century Gothic"/>
          <w:b/>
          <w:i/>
          <w:sz w:val="28"/>
          <w:szCs w:val="28"/>
          <w:lang w:val="es-CO"/>
        </w:rPr>
        <w:t xml:space="preserve"> al </w:t>
      </w:r>
      <w:r>
        <w:rPr>
          <w:rFonts w:ascii="Century Gothic" w:hAnsi="Century Gothic"/>
          <w:b/>
          <w:i/>
          <w:sz w:val="28"/>
          <w:szCs w:val="28"/>
          <w:lang w:val="es-CO"/>
        </w:rPr>
        <w:t xml:space="preserve">Señor Presidente, </w:t>
      </w:r>
      <w:r w:rsidR="00BB000F">
        <w:rPr>
          <w:rFonts w:ascii="Century Gothic" w:hAnsi="Century Gothic"/>
          <w:b/>
          <w:i/>
          <w:sz w:val="28"/>
          <w:szCs w:val="28"/>
          <w:lang w:val="es-CO"/>
        </w:rPr>
        <w:t>a</w:t>
      </w:r>
      <w:r>
        <w:rPr>
          <w:rFonts w:ascii="Century Gothic" w:hAnsi="Century Gothic"/>
          <w:b/>
          <w:i/>
          <w:sz w:val="28"/>
          <w:szCs w:val="28"/>
          <w:lang w:val="es-CO"/>
        </w:rPr>
        <w:t xml:space="preserve">sí como a </w:t>
      </w:r>
      <w:r w:rsidR="00BB000F">
        <w:rPr>
          <w:rFonts w:ascii="Century Gothic" w:hAnsi="Century Gothic"/>
          <w:b/>
          <w:i/>
          <w:sz w:val="28"/>
          <w:szCs w:val="28"/>
          <w:lang w:val="es-CO"/>
        </w:rPr>
        <w:t>los demás expertos del Comité Contra la Tortura de Naciones Unidas</w:t>
      </w:r>
      <w:r>
        <w:rPr>
          <w:rFonts w:ascii="Century Gothic" w:hAnsi="Century Gothic"/>
          <w:b/>
          <w:i/>
          <w:sz w:val="28"/>
          <w:szCs w:val="28"/>
          <w:lang w:val="es-CO"/>
        </w:rPr>
        <w:t>, por sus</w:t>
      </w:r>
      <w:r w:rsidR="00BB000F">
        <w:rPr>
          <w:rFonts w:ascii="Century Gothic" w:hAnsi="Century Gothic"/>
          <w:b/>
          <w:i/>
          <w:sz w:val="28"/>
          <w:szCs w:val="28"/>
          <w:lang w:val="es-CO"/>
        </w:rPr>
        <w:t xml:space="preserve"> preguntas, opiniones y recomendaciones</w:t>
      </w:r>
      <w:r>
        <w:rPr>
          <w:rFonts w:ascii="Century Gothic" w:hAnsi="Century Gothic"/>
          <w:b/>
          <w:i/>
          <w:sz w:val="28"/>
          <w:szCs w:val="28"/>
          <w:lang w:val="es-CO"/>
        </w:rPr>
        <w:t xml:space="preserve">. Expresamos igualmente nuestro reconocimiento por el </w:t>
      </w:r>
      <w:r w:rsidR="00BB000F">
        <w:rPr>
          <w:rFonts w:ascii="Century Gothic" w:hAnsi="Century Gothic"/>
          <w:b/>
          <w:i/>
          <w:sz w:val="28"/>
          <w:szCs w:val="28"/>
          <w:lang w:val="es-CO"/>
        </w:rPr>
        <w:t xml:space="preserve">diálogo abierto, franco y positivo que </w:t>
      </w:r>
      <w:r>
        <w:rPr>
          <w:rFonts w:ascii="Century Gothic" w:hAnsi="Century Gothic"/>
          <w:b/>
          <w:i/>
          <w:sz w:val="28"/>
          <w:szCs w:val="28"/>
          <w:lang w:val="es-CO"/>
        </w:rPr>
        <w:t xml:space="preserve">hemos sostenido y que, estamos convencidos, </w:t>
      </w:r>
      <w:r w:rsidR="00BB000F">
        <w:rPr>
          <w:rFonts w:ascii="Century Gothic" w:hAnsi="Century Gothic"/>
          <w:b/>
          <w:i/>
          <w:sz w:val="28"/>
          <w:szCs w:val="28"/>
          <w:lang w:val="es-CO"/>
        </w:rPr>
        <w:t xml:space="preserve">nos permitirá continuar en la ruta de mejorar la situación de derechos humanos y DIH </w:t>
      </w:r>
      <w:r w:rsidR="00472FD9">
        <w:rPr>
          <w:rFonts w:ascii="Century Gothic" w:hAnsi="Century Gothic"/>
          <w:b/>
          <w:i/>
          <w:sz w:val="28"/>
          <w:szCs w:val="28"/>
          <w:lang w:val="es-CO"/>
        </w:rPr>
        <w:t>en Colombia.</w:t>
      </w:r>
      <w:r>
        <w:rPr>
          <w:rFonts w:ascii="Century Gothic" w:hAnsi="Century Gothic"/>
          <w:b/>
          <w:i/>
          <w:sz w:val="28"/>
          <w:szCs w:val="28"/>
          <w:lang w:val="es-CO"/>
        </w:rPr>
        <w:t xml:space="preserve"> </w:t>
      </w:r>
    </w:p>
    <w:p w:rsidR="00A83EBF" w:rsidRDefault="00A83EBF" w:rsidP="00B61FAA">
      <w:pPr>
        <w:tabs>
          <w:tab w:val="num" w:pos="2172"/>
        </w:tabs>
        <w:jc w:val="both"/>
        <w:rPr>
          <w:rFonts w:ascii="Century Gothic" w:hAnsi="Century Gothic"/>
          <w:b/>
          <w:i/>
          <w:sz w:val="28"/>
          <w:szCs w:val="28"/>
          <w:lang w:val="es-CO"/>
        </w:rPr>
      </w:pPr>
    </w:p>
    <w:p w:rsidR="00324177" w:rsidRPr="00A83EBF" w:rsidRDefault="00A83EBF" w:rsidP="00B61FAA">
      <w:pPr>
        <w:tabs>
          <w:tab w:val="num" w:pos="2172"/>
        </w:tabs>
        <w:jc w:val="both"/>
        <w:rPr>
          <w:rFonts w:ascii="Century Gothic" w:hAnsi="Century Gothic"/>
          <w:b/>
          <w:i/>
          <w:sz w:val="28"/>
          <w:szCs w:val="28"/>
          <w:lang w:val="es-CO"/>
        </w:rPr>
      </w:pPr>
      <w:r>
        <w:rPr>
          <w:rFonts w:ascii="Century Gothic" w:hAnsi="Century Gothic"/>
          <w:b/>
          <w:i/>
          <w:sz w:val="28"/>
          <w:szCs w:val="28"/>
          <w:lang w:val="es-CO"/>
        </w:rPr>
        <w:t>Q</w:t>
      </w:r>
      <w:r w:rsidR="00BB000F">
        <w:rPr>
          <w:rFonts w:ascii="Century Gothic" w:hAnsi="Century Gothic"/>
          <w:b/>
          <w:i/>
          <w:sz w:val="28"/>
          <w:szCs w:val="28"/>
          <w:lang w:val="es-CO"/>
        </w:rPr>
        <w:t>ueremos igua</w:t>
      </w:r>
      <w:r>
        <w:rPr>
          <w:rFonts w:ascii="Century Gothic" w:hAnsi="Century Gothic"/>
          <w:b/>
          <w:i/>
          <w:sz w:val="28"/>
          <w:szCs w:val="28"/>
          <w:lang w:val="es-CO"/>
        </w:rPr>
        <w:t xml:space="preserve">lmente manifestar que, </w:t>
      </w:r>
      <w:r w:rsidR="00BB000F">
        <w:rPr>
          <w:rFonts w:ascii="Century Gothic" w:hAnsi="Century Gothic"/>
          <w:b/>
          <w:i/>
          <w:sz w:val="28"/>
          <w:szCs w:val="28"/>
          <w:lang w:val="es-CO"/>
        </w:rPr>
        <w:t xml:space="preserve">las respuestas escritas que entregamos </w:t>
      </w:r>
      <w:r w:rsidR="00472FD9">
        <w:rPr>
          <w:rFonts w:ascii="Century Gothic" w:hAnsi="Century Gothic"/>
          <w:b/>
          <w:i/>
          <w:sz w:val="28"/>
          <w:szCs w:val="28"/>
          <w:lang w:val="es-CO"/>
        </w:rPr>
        <w:t xml:space="preserve">previamente </w:t>
      </w:r>
      <w:r w:rsidR="00BB000F">
        <w:rPr>
          <w:rFonts w:ascii="Century Gothic" w:hAnsi="Century Gothic"/>
          <w:b/>
          <w:i/>
          <w:sz w:val="28"/>
          <w:szCs w:val="28"/>
          <w:lang w:val="es-CO"/>
        </w:rPr>
        <w:t xml:space="preserve">a los integrantes del Comité, lo mismo que la presentación que </w:t>
      </w:r>
      <w:r>
        <w:rPr>
          <w:rFonts w:ascii="Century Gothic" w:hAnsi="Century Gothic"/>
          <w:b/>
          <w:i/>
          <w:sz w:val="28"/>
          <w:szCs w:val="28"/>
          <w:lang w:val="es-CO"/>
        </w:rPr>
        <w:t>realizamos</w:t>
      </w:r>
      <w:r w:rsidR="00BB000F">
        <w:rPr>
          <w:rFonts w:ascii="Century Gothic" w:hAnsi="Century Gothic"/>
          <w:b/>
          <w:i/>
          <w:sz w:val="28"/>
          <w:szCs w:val="28"/>
          <w:lang w:val="es-CO"/>
        </w:rPr>
        <w:t xml:space="preserve"> en el </w:t>
      </w:r>
      <w:r>
        <w:rPr>
          <w:rFonts w:ascii="Century Gothic" w:hAnsi="Century Gothic"/>
          <w:b/>
          <w:i/>
          <w:sz w:val="28"/>
          <w:szCs w:val="28"/>
          <w:lang w:val="es-CO"/>
        </w:rPr>
        <w:t>día</w:t>
      </w:r>
      <w:r w:rsidR="00BB000F">
        <w:rPr>
          <w:rFonts w:ascii="Century Gothic" w:hAnsi="Century Gothic"/>
          <w:b/>
          <w:i/>
          <w:sz w:val="28"/>
          <w:szCs w:val="28"/>
          <w:lang w:val="es-CO"/>
        </w:rPr>
        <w:t xml:space="preserve"> de ayer, las </w:t>
      </w:r>
      <w:r>
        <w:rPr>
          <w:rFonts w:ascii="Century Gothic" w:hAnsi="Century Gothic"/>
          <w:b/>
          <w:i/>
          <w:sz w:val="28"/>
          <w:szCs w:val="28"/>
          <w:lang w:val="es-CO"/>
        </w:rPr>
        <w:t>entregaremos</w:t>
      </w:r>
      <w:r w:rsidR="00BB000F">
        <w:rPr>
          <w:rFonts w:ascii="Century Gothic" w:hAnsi="Century Gothic"/>
          <w:b/>
          <w:i/>
          <w:sz w:val="28"/>
          <w:szCs w:val="28"/>
          <w:lang w:val="es-CO"/>
        </w:rPr>
        <w:t xml:space="preserve"> también al </w:t>
      </w:r>
      <w:r>
        <w:rPr>
          <w:rFonts w:ascii="Century Gothic" w:hAnsi="Century Gothic"/>
          <w:b/>
          <w:i/>
          <w:sz w:val="28"/>
          <w:szCs w:val="28"/>
          <w:lang w:val="es-CO"/>
        </w:rPr>
        <w:t>Señor</w:t>
      </w:r>
      <w:r w:rsidR="00BB000F">
        <w:rPr>
          <w:rFonts w:ascii="Century Gothic" w:hAnsi="Century Gothic"/>
          <w:b/>
          <w:i/>
          <w:sz w:val="28"/>
          <w:szCs w:val="28"/>
          <w:lang w:val="es-CO"/>
        </w:rPr>
        <w:t xml:space="preserve"> Procurador General de la </w:t>
      </w:r>
      <w:r>
        <w:rPr>
          <w:rFonts w:ascii="Century Gothic" w:hAnsi="Century Gothic"/>
          <w:b/>
          <w:i/>
          <w:sz w:val="28"/>
          <w:szCs w:val="28"/>
          <w:lang w:val="es-CO"/>
        </w:rPr>
        <w:t>Nación</w:t>
      </w:r>
      <w:r w:rsidR="00BB000F">
        <w:rPr>
          <w:rFonts w:ascii="Century Gothic" w:hAnsi="Century Gothic"/>
          <w:b/>
          <w:i/>
          <w:sz w:val="28"/>
          <w:szCs w:val="28"/>
          <w:lang w:val="es-CO"/>
        </w:rPr>
        <w:t xml:space="preserve">, al </w:t>
      </w:r>
      <w:r>
        <w:rPr>
          <w:rFonts w:ascii="Century Gothic" w:hAnsi="Century Gothic"/>
          <w:b/>
          <w:i/>
          <w:sz w:val="28"/>
          <w:szCs w:val="28"/>
          <w:lang w:val="es-CO"/>
        </w:rPr>
        <w:t>Señor</w:t>
      </w:r>
      <w:r w:rsidR="00BB000F">
        <w:rPr>
          <w:rFonts w:ascii="Century Gothic" w:hAnsi="Century Gothic"/>
          <w:b/>
          <w:i/>
          <w:sz w:val="28"/>
          <w:szCs w:val="28"/>
          <w:lang w:val="es-CO"/>
        </w:rPr>
        <w:t xml:space="preserve"> Fiscal General, al </w:t>
      </w:r>
      <w:r>
        <w:rPr>
          <w:rFonts w:ascii="Century Gothic" w:hAnsi="Century Gothic"/>
          <w:b/>
          <w:i/>
          <w:sz w:val="28"/>
          <w:szCs w:val="28"/>
          <w:lang w:val="es-CO"/>
        </w:rPr>
        <w:t>Señor</w:t>
      </w:r>
      <w:r w:rsidR="00BB000F">
        <w:rPr>
          <w:rFonts w:ascii="Century Gothic" w:hAnsi="Century Gothic"/>
          <w:b/>
          <w:i/>
          <w:sz w:val="28"/>
          <w:szCs w:val="28"/>
          <w:lang w:val="es-CO"/>
        </w:rPr>
        <w:t xml:space="preserve"> Defensor del Pueblo, a los </w:t>
      </w:r>
      <w:r>
        <w:rPr>
          <w:rFonts w:ascii="Century Gothic" w:hAnsi="Century Gothic"/>
          <w:b/>
          <w:i/>
          <w:sz w:val="28"/>
          <w:szCs w:val="28"/>
          <w:lang w:val="es-CO"/>
        </w:rPr>
        <w:t>Señores</w:t>
      </w:r>
      <w:r w:rsidR="00BB000F">
        <w:rPr>
          <w:rFonts w:ascii="Century Gothic" w:hAnsi="Century Gothic"/>
          <w:b/>
          <w:i/>
          <w:sz w:val="28"/>
          <w:szCs w:val="28"/>
          <w:lang w:val="es-CO"/>
        </w:rPr>
        <w:t xml:space="preserve"> Presidentes de las Altas Cortes, </w:t>
      </w:r>
      <w:r w:rsidR="00472FD9">
        <w:rPr>
          <w:rFonts w:ascii="Century Gothic" w:hAnsi="Century Gothic"/>
          <w:b/>
          <w:i/>
          <w:sz w:val="28"/>
          <w:szCs w:val="28"/>
          <w:lang w:val="es-CO"/>
        </w:rPr>
        <w:t xml:space="preserve">al Señor Presidente del Congreso de la República, </w:t>
      </w:r>
      <w:r w:rsidR="00BB000F">
        <w:rPr>
          <w:rFonts w:ascii="Century Gothic" w:hAnsi="Century Gothic"/>
          <w:b/>
          <w:i/>
          <w:sz w:val="28"/>
          <w:szCs w:val="28"/>
          <w:lang w:val="es-CO"/>
        </w:rPr>
        <w:t xml:space="preserve">al </w:t>
      </w:r>
      <w:r>
        <w:rPr>
          <w:rFonts w:ascii="Century Gothic" w:hAnsi="Century Gothic"/>
          <w:b/>
          <w:i/>
          <w:sz w:val="28"/>
          <w:szCs w:val="28"/>
          <w:lang w:val="es-CO"/>
        </w:rPr>
        <w:t>Señor</w:t>
      </w:r>
      <w:r w:rsidR="00BB000F">
        <w:rPr>
          <w:rFonts w:ascii="Century Gothic" w:hAnsi="Century Gothic"/>
          <w:b/>
          <w:i/>
          <w:sz w:val="28"/>
          <w:szCs w:val="28"/>
          <w:lang w:val="es-CO"/>
        </w:rPr>
        <w:t xml:space="preserve"> Presidente de la</w:t>
      </w:r>
      <w:r>
        <w:rPr>
          <w:rFonts w:ascii="Century Gothic" w:hAnsi="Century Gothic"/>
          <w:b/>
          <w:i/>
          <w:sz w:val="28"/>
          <w:szCs w:val="28"/>
          <w:lang w:val="es-CO"/>
        </w:rPr>
        <w:t xml:space="preserve"> Republica, al Señor Canciller y a </w:t>
      </w:r>
      <w:r w:rsidR="00BB000F">
        <w:rPr>
          <w:rFonts w:ascii="Century Gothic" w:hAnsi="Century Gothic"/>
          <w:b/>
          <w:i/>
          <w:sz w:val="28"/>
          <w:szCs w:val="28"/>
          <w:lang w:val="es-CO"/>
        </w:rPr>
        <w:t xml:space="preserve">los demás Ministros del Despacho, para su información, pero fundamentalmente, para </w:t>
      </w:r>
      <w:r w:rsidR="00472FD9">
        <w:rPr>
          <w:rFonts w:ascii="Century Gothic" w:hAnsi="Century Gothic"/>
          <w:b/>
          <w:i/>
          <w:sz w:val="28"/>
          <w:szCs w:val="28"/>
          <w:lang w:val="es-CO"/>
        </w:rPr>
        <w:t xml:space="preserve">que </w:t>
      </w:r>
      <w:r w:rsidR="00BB000F">
        <w:rPr>
          <w:rFonts w:ascii="Century Gothic" w:hAnsi="Century Gothic"/>
          <w:b/>
          <w:i/>
          <w:sz w:val="28"/>
          <w:szCs w:val="28"/>
          <w:lang w:val="es-CO"/>
        </w:rPr>
        <w:t xml:space="preserve">sirvan de base para alimentar un dialogo positivo entre el Estado y la sociedad civil, que contribuya a la construcción de un país mejor; es decir, sin violencia, con bienestar social, y donde cada </w:t>
      </w:r>
      <w:r w:rsidR="00AB085B">
        <w:rPr>
          <w:rFonts w:ascii="Century Gothic" w:hAnsi="Century Gothic"/>
          <w:b/>
          <w:i/>
          <w:sz w:val="28"/>
          <w:szCs w:val="28"/>
          <w:lang w:val="es-CO"/>
        </w:rPr>
        <w:t>día</w:t>
      </w:r>
      <w:r w:rsidR="00BB000F">
        <w:rPr>
          <w:rFonts w:ascii="Century Gothic" w:hAnsi="Century Gothic"/>
          <w:b/>
          <w:i/>
          <w:sz w:val="28"/>
          <w:szCs w:val="28"/>
          <w:lang w:val="es-CO"/>
        </w:rPr>
        <w:t xml:space="preserve"> se respeten y se fortalezcan los derechos humanos de ciudadanos y ciudadanas.   </w:t>
      </w:r>
    </w:p>
    <w:sectPr w:rsidR="00324177" w:rsidRPr="00A83EBF" w:rsidSect="00370068">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B64" w:rsidRDefault="006E0B64">
      <w:r>
        <w:separator/>
      </w:r>
    </w:p>
  </w:endnote>
  <w:endnote w:type="continuationSeparator" w:id="0">
    <w:p w:rsidR="006E0B64" w:rsidRDefault="006E0B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127626"/>
      <w:docPartObj>
        <w:docPartGallery w:val="Page Numbers (Bottom of Page)"/>
        <w:docPartUnique/>
      </w:docPartObj>
    </w:sdtPr>
    <w:sdtContent>
      <w:p w:rsidR="00BB000F" w:rsidRDefault="00BB000F">
        <w:pPr>
          <w:pStyle w:val="Footer"/>
          <w:jc w:val="right"/>
        </w:pPr>
        <w:fldSimple w:instr=" PAGE   \* MERGEFORMAT ">
          <w:r w:rsidR="00CA31EB">
            <w:rPr>
              <w:noProof/>
            </w:rPr>
            <w:t>1</w:t>
          </w:r>
        </w:fldSimple>
      </w:p>
    </w:sdtContent>
  </w:sdt>
  <w:p w:rsidR="00BB000F" w:rsidRDefault="00BB00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B64" w:rsidRDefault="006E0B64">
      <w:r>
        <w:separator/>
      </w:r>
    </w:p>
  </w:footnote>
  <w:footnote w:type="continuationSeparator" w:id="0">
    <w:p w:rsidR="006E0B64" w:rsidRDefault="006E0B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28A3"/>
    <w:multiLevelType w:val="hybridMultilevel"/>
    <w:tmpl w:val="EB00E09A"/>
    <w:lvl w:ilvl="0" w:tplc="6DC47702">
      <w:start w:val="30"/>
      <w:numFmt w:val="decimal"/>
      <w:lvlText w:val="%1."/>
      <w:lvlJc w:val="left"/>
      <w:pPr>
        <w:tabs>
          <w:tab w:val="num" w:pos="765"/>
        </w:tabs>
        <w:ind w:left="765" w:hanging="40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15B2855"/>
    <w:multiLevelType w:val="hybridMultilevel"/>
    <w:tmpl w:val="38B602CA"/>
    <w:lvl w:ilvl="0" w:tplc="DEC4A206">
      <w:numFmt w:val="bullet"/>
      <w:lvlText w:val="-"/>
      <w:lvlJc w:val="left"/>
      <w:pPr>
        <w:tabs>
          <w:tab w:val="num" w:pos="720"/>
        </w:tabs>
        <w:ind w:left="720" w:hanging="360"/>
      </w:pPr>
      <w:rPr>
        <w:rFonts w:ascii="Century Gothic" w:eastAsia="Times New Roman" w:hAnsi="Century Gothic"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1F0DB8"/>
    <w:multiLevelType w:val="hybridMultilevel"/>
    <w:tmpl w:val="03D41870"/>
    <w:lvl w:ilvl="0" w:tplc="D5E41B64">
      <w:start w:val="1"/>
      <w:numFmt w:val="lowerLetter"/>
      <w:lvlText w:val="%1."/>
      <w:lvlJc w:val="left"/>
      <w:pPr>
        <w:tabs>
          <w:tab w:val="num" w:pos="1068"/>
        </w:tabs>
        <w:ind w:left="1068"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
    <w:nsid w:val="061F158A"/>
    <w:multiLevelType w:val="hybridMultilevel"/>
    <w:tmpl w:val="01705E02"/>
    <w:lvl w:ilvl="0" w:tplc="D5E41B64">
      <w:start w:val="1"/>
      <w:numFmt w:val="lowerLetter"/>
      <w:lvlText w:val="%1."/>
      <w:lvlJc w:val="left"/>
      <w:pPr>
        <w:tabs>
          <w:tab w:val="num" w:pos="360"/>
        </w:tabs>
        <w:ind w:left="360" w:hanging="360"/>
      </w:pPr>
      <w:rPr>
        <w:rFonts w:cs="Times New Roman" w:hint="default"/>
      </w:rPr>
    </w:lvl>
    <w:lvl w:ilvl="1" w:tplc="040C0019" w:tentative="1">
      <w:start w:val="1"/>
      <w:numFmt w:val="lowerLetter"/>
      <w:lvlText w:val="%2."/>
      <w:lvlJc w:val="left"/>
      <w:pPr>
        <w:tabs>
          <w:tab w:val="num" w:pos="732"/>
        </w:tabs>
        <w:ind w:left="732" w:hanging="360"/>
      </w:pPr>
      <w:rPr>
        <w:rFonts w:cs="Times New Roman"/>
      </w:rPr>
    </w:lvl>
    <w:lvl w:ilvl="2" w:tplc="040C001B" w:tentative="1">
      <w:start w:val="1"/>
      <w:numFmt w:val="lowerRoman"/>
      <w:lvlText w:val="%3."/>
      <w:lvlJc w:val="right"/>
      <w:pPr>
        <w:tabs>
          <w:tab w:val="num" w:pos="1452"/>
        </w:tabs>
        <w:ind w:left="1452" w:hanging="180"/>
      </w:pPr>
      <w:rPr>
        <w:rFonts w:cs="Times New Roman"/>
      </w:rPr>
    </w:lvl>
    <w:lvl w:ilvl="3" w:tplc="040C000F" w:tentative="1">
      <w:start w:val="1"/>
      <w:numFmt w:val="decimal"/>
      <w:lvlText w:val="%4."/>
      <w:lvlJc w:val="left"/>
      <w:pPr>
        <w:tabs>
          <w:tab w:val="num" w:pos="2172"/>
        </w:tabs>
        <w:ind w:left="2172" w:hanging="360"/>
      </w:pPr>
      <w:rPr>
        <w:rFonts w:cs="Times New Roman"/>
      </w:rPr>
    </w:lvl>
    <w:lvl w:ilvl="4" w:tplc="040C0019" w:tentative="1">
      <w:start w:val="1"/>
      <w:numFmt w:val="lowerLetter"/>
      <w:lvlText w:val="%5."/>
      <w:lvlJc w:val="left"/>
      <w:pPr>
        <w:tabs>
          <w:tab w:val="num" w:pos="2892"/>
        </w:tabs>
        <w:ind w:left="2892" w:hanging="360"/>
      </w:pPr>
      <w:rPr>
        <w:rFonts w:cs="Times New Roman"/>
      </w:rPr>
    </w:lvl>
    <w:lvl w:ilvl="5" w:tplc="040C001B" w:tentative="1">
      <w:start w:val="1"/>
      <w:numFmt w:val="lowerRoman"/>
      <w:lvlText w:val="%6."/>
      <w:lvlJc w:val="right"/>
      <w:pPr>
        <w:tabs>
          <w:tab w:val="num" w:pos="3612"/>
        </w:tabs>
        <w:ind w:left="3612" w:hanging="180"/>
      </w:pPr>
      <w:rPr>
        <w:rFonts w:cs="Times New Roman"/>
      </w:rPr>
    </w:lvl>
    <w:lvl w:ilvl="6" w:tplc="040C000F" w:tentative="1">
      <w:start w:val="1"/>
      <w:numFmt w:val="decimal"/>
      <w:lvlText w:val="%7."/>
      <w:lvlJc w:val="left"/>
      <w:pPr>
        <w:tabs>
          <w:tab w:val="num" w:pos="4332"/>
        </w:tabs>
        <w:ind w:left="4332" w:hanging="360"/>
      </w:pPr>
      <w:rPr>
        <w:rFonts w:cs="Times New Roman"/>
      </w:rPr>
    </w:lvl>
    <w:lvl w:ilvl="7" w:tplc="040C0019" w:tentative="1">
      <w:start w:val="1"/>
      <w:numFmt w:val="lowerLetter"/>
      <w:lvlText w:val="%8."/>
      <w:lvlJc w:val="left"/>
      <w:pPr>
        <w:tabs>
          <w:tab w:val="num" w:pos="5052"/>
        </w:tabs>
        <w:ind w:left="5052" w:hanging="360"/>
      </w:pPr>
      <w:rPr>
        <w:rFonts w:cs="Times New Roman"/>
      </w:rPr>
    </w:lvl>
    <w:lvl w:ilvl="8" w:tplc="040C001B" w:tentative="1">
      <w:start w:val="1"/>
      <w:numFmt w:val="lowerRoman"/>
      <w:lvlText w:val="%9."/>
      <w:lvlJc w:val="right"/>
      <w:pPr>
        <w:tabs>
          <w:tab w:val="num" w:pos="5772"/>
        </w:tabs>
        <w:ind w:left="5772" w:hanging="180"/>
      </w:pPr>
      <w:rPr>
        <w:rFonts w:cs="Times New Roman"/>
      </w:rPr>
    </w:lvl>
  </w:abstractNum>
  <w:abstractNum w:abstractNumId="4">
    <w:nsid w:val="0F0448F3"/>
    <w:multiLevelType w:val="hybridMultilevel"/>
    <w:tmpl w:val="C6681740"/>
    <w:lvl w:ilvl="0" w:tplc="040C000F">
      <w:start w:val="1"/>
      <w:numFmt w:val="decimal"/>
      <w:lvlText w:val="%1."/>
      <w:lvlJc w:val="left"/>
      <w:pPr>
        <w:tabs>
          <w:tab w:val="num" w:pos="1440"/>
        </w:tabs>
        <w:ind w:left="1440" w:hanging="360"/>
      </w:pPr>
      <w:rPr>
        <w:rFonts w:cs="Times New Roman"/>
      </w:rPr>
    </w:lvl>
    <w:lvl w:ilvl="1" w:tplc="040C0019" w:tentative="1">
      <w:start w:val="1"/>
      <w:numFmt w:val="lowerLetter"/>
      <w:lvlText w:val="%2."/>
      <w:lvlJc w:val="left"/>
      <w:pPr>
        <w:tabs>
          <w:tab w:val="num" w:pos="2160"/>
        </w:tabs>
        <w:ind w:left="2160" w:hanging="360"/>
      </w:pPr>
      <w:rPr>
        <w:rFonts w:cs="Times New Roman"/>
      </w:rPr>
    </w:lvl>
    <w:lvl w:ilvl="2" w:tplc="040C001B" w:tentative="1">
      <w:start w:val="1"/>
      <w:numFmt w:val="lowerRoman"/>
      <w:lvlText w:val="%3."/>
      <w:lvlJc w:val="right"/>
      <w:pPr>
        <w:tabs>
          <w:tab w:val="num" w:pos="2880"/>
        </w:tabs>
        <w:ind w:left="2880" w:hanging="180"/>
      </w:pPr>
      <w:rPr>
        <w:rFonts w:cs="Times New Roman"/>
      </w:rPr>
    </w:lvl>
    <w:lvl w:ilvl="3" w:tplc="040C000F" w:tentative="1">
      <w:start w:val="1"/>
      <w:numFmt w:val="decimal"/>
      <w:lvlText w:val="%4."/>
      <w:lvlJc w:val="left"/>
      <w:pPr>
        <w:tabs>
          <w:tab w:val="num" w:pos="3600"/>
        </w:tabs>
        <w:ind w:left="3600" w:hanging="360"/>
      </w:pPr>
      <w:rPr>
        <w:rFonts w:cs="Times New Roman"/>
      </w:rPr>
    </w:lvl>
    <w:lvl w:ilvl="4" w:tplc="040C0019" w:tentative="1">
      <w:start w:val="1"/>
      <w:numFmt w:val="lowerLetter"/>
      <w:lvlText w:val="%5."/>
      <w:lvlJc w:val="left"/>
      <w:pPr>
        <w:tabs>
          <w:tab w:val="num" w:pos="4320"/>
        </w:tabs>
        <w:ind w:left="4320" w:hanging="360"/>
      </w:pPr>
      <w:rPr>
        <w:rFonts w:cs="Times New Roman"/>
      </w:rPr>
    </w:lvl>
    <w:lvl w:ilvl="5" w:tplc="040C001B" w:tentative="1">
      <w:start w:val="1"/>
      <w:numFmt w:val="lowerRoman"/>
      <w:lvlText w:val="%6."/>
      <w:lvlJc w:val="right"/>
      <w:pPr>
        <w:tabs>
          <w:tab w:val="num" w:pos="5040"/>
        </w:tabs>
        <w:ind w:left="5040" w:hanging="180"/>
      </w:pPr>
      <w:rPr>
        <w:rFonts w:cs="Times New Roman"/>
      </w:rPr>
    </w:lvl>
    <w:lvl w:ilvl="6" w:tplc="040C000F" w:tentative="1">
      <w:start w:val="1"/>
      <w:numFmt w:val="decimal"/>
      <w:lvlText w:val="%7."/>
      <w:lvlJc w:val="left"/>
      <w:pPr>
        <w:tabs>
          <w:tab w:val="num" w:pos="5760"/>
        </w:tabs>
        <w:ind w:left="5760" w:hanging="360"/>
      </w:pPr>
      <w:rPr>
        <w:rFonts w:cs="Times New Roman"/>
      </w:rPr>
    </w:lvl>
    <w:lvl w:ilvl="7" w:tplc="040C0019" w:tentative="1">
      <w:start w:val="1"/>
      <w:numFmt w:val="lowerLetter"/>
      <w:lvlText w:val="%8."/>
      <w:lvlJc w:val="left"/>
      <w:pPr>
        <w:tabs>
          <w:tab w:val="num" w:pos="6480"/>
        </w:tabs>
        <w:ind w:left="6480" w:hanging="360"/>
      </w:pPr>
      <w:rPr>
        <w:rFonts w:cs="Times New Roman"/>
      </w:rPr>
    </w:lvl>
    <w:lvl w:ilvl="8" w:tplc="040C001B" w:tentative="1">
      <w:start w:val="1"/>
      <w:numFmt w:val="lowerRoman"/>
      <w:lvlText w:val="%9."/>
      <w:lvlJc w:val="right"/>
      <w:pPr>
        <w:tabs>
          <w:tab w:val="num" w:pos="7200"/>
        </w:tabs>
        <w:ind w:left="7200" w:hanging="180"/>
      </w:pPr>
      <w:rPr>
        <w:rFonts w:cs="Times New Roman"/>
      </w:rPr>
    </w:lvl>
  </w:abstractNum>
  <w:abstractNum w:abstractNumId="5">
    <w:nsid w:val="129F24BA"/>
    <w:multiLevelType w:val="hybridMultilevel"/>
    <w:tmpl w:val="3E94049C"/>
    <w:lvl w:ilvl="0" w:tplc="0C0A000D">
      <w:start w:val="1"/>
      <w:numFmt w:val="bullet"/>
      <w:lvlText w:val=""/>
      <w:lvlJc w:val="left"/>
      <w:pPr>
        <w:tabs>
          <w:tab w:val="num" w:pos="1080"/>
        </w:tabs>
        <w:ind w:left="1080" w:hanging="360"/>
      </w:pPr>
      <w:rPr>
        <w:rFonts w:ascii="Wingdings" w:hAnsi="Wingdings" w:hint="default"/>
        <w:b w:val="0"/>
        <w:sz w:val="24"/>
      </w:rPr>
    </w:lvl>
    <w:lvl w:ilvl="1" w:tplc="9B78F244">
      <w:start w:val="1"/>
      <w:numFmt w:val="bullet"/>
      <w:lvlText w:val=""/>
      <w:lvlJc w:val="left"/>
      <w:pPr>
        <w:tabs>
          <w:tab w:val="num" w:pos="1250"/>
        </w:tabs>
        <w:ind w:left="1250" w:hanging="17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3426C6C"/>
    <w:multiLevelType w:val="multilevel"/>
    <w:tmpl w:val="29C01460"/>
    <w:lvl w:ilvl="0">
      <w:start w:val="1"/>
      <w:numFmt w:val="decimal"/>
      <w:lvlText w:val="%1."/>
      <w:lvlJc w:val="left"/>
      <w:pPr>
        <w:tabs>
          <w:tab w:val="num" w:pos="720"/>
        </w:tabs>
        <w:ind w:left="720" w:hanging="360"/>
      </w:pPr>
      <w:rPr>
        <w:rFonts w:cs="Times New Roman" w:hint="default"/>
        <w:b/>
      </w:rPr>
    </w:lvl>
    <w:lvl w:ilvl="1">
      <w:start w:val="1"/>
      <w:numFmt w:val="decimal"/>
      <w:isLgl/>
      <w:lvlText w:val="%2.%2."/>
      <w:lvlJc w:val="left"/>
      <w:pPr>
        <w:tabs>
          <w:tab w:val="num" w:pos="1428"/>
        </w:tabs>
        <w:ind w:left="1428" w:hanging="720"/>
      </w:pPr>
      <w:rPr>
        <w:rFonts w:cs="Times New Roman" w:hint="default"/>
        <w:b w:val="0"/>
      </w:rPr>
    </w:lvl>
    <w:lvl w:ilvl="2">
      <w:start w:val="1"/>
      <w:numFmt w:val="decimal"/>
      <w:isLgl/>
      <w:lvlText w:val="%1.%2.%3."/>
      <w:lvlJc w:val="left"/>
      <w:pPr>
        <w:tabs>
          <w:tab w:val="num" w:pos="2136"/>
        </w:tabs>
        <w:ind w:left="2136" w:hanging="1080"/>
      </w:pPr>
      <w:rPr>
        <w:rFonts w:cs="Times New Roman" w:hint="default"/>
      </w:rPr>
    </w:lvl>
    <w:lvl w:ilvl="3">
      <w:start w:val="1"/>
      <w:numFmt w:val="decimal"/>
      <w:isLgl/>
      <w:lvlText w:val="%1.%2.%3.%4."/>
      <w:lvlJc w:val="left"/>
      <w:pPr>
        <w:tabs>
          <w:tab w:val="num" w:pos="2484"/>
        </w:tabs>
        <w:ind w:left="2484" w:hanging="1080"/>
      </w:pPr>
      <w:rPr>
        <w:rFonts w:cs="Times New Roman" w:hint="default"/>
      </w:rPr>
    </w:lvl>
    <w:lvl w:ilvl="4">
      <w:start w:val="1"/>
      <w:numFmt w:val="decimal"/>
      <w:isLgl/>
      <w:lvlText w:val="%1.%2.%3.%4.%5."/>
      <w:lvlJc w:val="left"/>
      <w:pPr>
        <w:tabs>
          <w:tab w:val="num" w:pos="3192"/>
        </w:tabs>
        <w:ind w:left="3192" w:hanging="1440"/>
      </w:pPr>
      <w:rPr>
        <w:rFonts w:cs="Times New Roman" w:hint="default"/>
      </w:rPr>
    </w:lvl>
    <w:lvl w:ilvl="5">
      <w:start w:val="1"/>
      <w:numFmt w:val="decimal"/>
      <w:isLgl/>
      <w:lvlText w:val="%1.%2.%3.%4.%5.%6."/>
      <w:lvlJc w:val="left"/>
      <w:pPr>
        <w:tabs>
          <w:tab w:val="num" w:pos="3900"/>
        </w:tabs>
        <w:ind w:left="3900" w:hanging="1800"/>
      </w:pPr>
      <w:rPr>
        <w:rFonts w:cs="Times New Roman" w:hint="default"/>
      </w:rPr>
    </w:lvl>
    <w:lvl w:ilvl="6">
      <w:start w:val="1"/>
      <w:numFmt w:val="decimal"/>
      <w:isLgl/>
      <w:lvlText w:val="%1.%2.%3.%4.%5.%6.%7."/>
      <w:lvlJc w:val="left"/>
      <w:pPr>
        <w:tabs>
          <w:tab w:val="num" w:pos="4248"/>
        </w:tabs>
        <w:ind w:left="4248" w:hanging="1800"/>
      </w:pPr>
      <w:rPr>
        <w:rFonts w:cs="Times New Roman" w:hint="default"/>
      </w:rPr>
    </w:lvl>
    <w:lvl w:ilvl="7">
      <w:start w:val="1"/>
      <w:numFmt w:val="decimal"/>
      <w:isLgl/>
      <w:lvlText w:val="%1.%2.%3.%4.%5.%6.%7.%8."/>
      <w:lvlJc w:val="left"/>
      <w:pPr>
        <w:tabs>
          <w:tab w:val="num" w:pos="4956"/>
        </w:tabs>
        <w:ind w:left="4956" w:hanging="2160"/>
      </w:pPr>
      <w:rPr>
        <w:rFonts w:cs="Times New Roman" w:hint="default"/>
      </w:rPr>
    </w:lvl>
    <w:lvl w:ilvl="8">
      <w:start w:val="1"/>
      <w:numFmt w:val="decimal"/>
      <w:isLgl/>
      <w:lvlText w:val="%1.%2.%3.%4.%5.%6.%7.%8.%9."/>
      <w:lvlJc w:val="left"/>
      <w:pPr>
        <w:tabs>
          <w:tab w:val="num" w:pos="5664"/>
        </w:tabs>
        <w:ind w:left="5664" w:hanging="2520"/>
      </w:pPr>
      <w:rPr>
        <w:rFonts w:cs="Times New Roman" w:hint="default"/>
      </w:rPr>
    </w:lvl>
  </w:abstractNum>
  <w:abstractNum w:abstractNumId="7">
    <w:nsid w:val="1F9E27B3"/>
    <w:multiLevelType w:val="hybridMultilevel"/>
    <w:tmpl w:val="7B001AE2"/>
    <w:lvl w:ilvl="0" w:tplc="04090019">
      <w:start w:val="1"/>
      <w:numFmt w:val="lowerLetter"/>
      <w:lvlText w:val="%1."/>
      <w:lvlJc w:val="left"/>
      <w:pPr>
        <w:tabs>
          <w:tab w:val="num" w:pos="928"/>
        </w:tabs>
        <w:ind w:left="928" w:hanging="360"/>
      </w:pPr>
      <w:rPr>
        <w:rFonts w:cs="Times New Roman"/>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8">
    <w:nsid w:val="27A111FC"/>
    <w:multiLevelType w:val="hybridMultilevel"/>
    <w:tmpl w:val="3BF8E3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202658"/>
    <w:multiLevelType w:val="hybridMultilevel"/>
    <w:tmpl w:val="DC5C71F0"/>
    <w:lvl w:ilvl="0" w:tplc="04090019">
      <w:start w:val="1"/>
      <w:numFmt w:val="lowerLetter"/>
      <w:lvlText w:val="%1."/>
      <w:lvlJc w:val="left"/>
      <w:pPr>
        <w:tabs>
          <w:tab w:val="num" w:pos="414"/>
        </w:tabs>
        <w:ind w:left="414" w:hanging="360"/>
      </w:pPr>
      <w:rPr>
        <w:rFonts w:cs="Times New Roman" w:hint="default"/>
      </w:rPr>
    </w:lvl>
    <w:lvl w:ilvl="1" w:tplc="04090019">
      <w:start w:val="1"/>
      <w:numFmt w:val="lowerLetter"/>
      <w:lvlText w:val="%2."/>
      <w:lvlJc w:val="left"/>
      <w:pPr>
        <w:tabs>
          <w:tab w:val="num" w:pos="1134"/>
        </w:tabs>
        <w:ind w:left="1134" w:hanging="360"/>
      </w:pPr>
      <w:rPr>
        <w:rFonts w:cs="Times New Roman"/>
      </w:rPr>
    </w:lvl>
    <w:lvl w:ilvl="2" w:tplc="0409001B">
      <w:start w:val="1"/>
      <w:numFmt w:val="lowerRoman"/>
      <w:lvlText w:val="%3."/>
      <w:lvlJc w:val="right"/>
      <w:pPr>
        <w:tabs>
          <w:tab w:val="num" w:pos="1854"/>
        </w:tabs>
        <w:ind w:left="1854" w:hanging="180"/>
      </w:pPr>
      <w:rPr>
        <w:rFonts w:cs="Times New Roman"/>
      </w:rPr>
    </w:lvl>
    <w:lvl w:ilvl="3" w:tplc="0409000F" w:tentative="1">
      <w:start w:val="1"/>
      <w:numFmt w:val="decimal"/>
      <w:lvlText w:val="%4."/>
      <w:lvlJc w:val="left"/>
      <w:pPr>
        <w:tabs>
          <w:tab w:val="num" w:pos="2574"/>
        </w:tabs>
        <w:ind w:left="2574" w:hanging="360"/>
      </w:pPr>
      <w:rPr>
        <w:rFonts w:cs="Times New Roman"/>
      </w:rPr>
    </w:lvl>
    <w:lvl w:ilvl="4" w:tplc="04090019" w:tentative="1">
      <w:start w:val="1"/>
      <w:numFmt w:val="lowerLetter"/>
      <w:lvlText w:val="%5."/>
      <w:lvlJc w:val="left"/>
      <w:pPr>
        <w:tabs>
          <w:tab w:val="num" w:pos="3294"/>
        </w:tabs>
        <w:ind w:left="3294" w:hanging="360"/>
      </w:pPr>
      <w:rPr>
        <w:rFonts w:cs="Times New Roman"/>
      </w:rPr>
    </w:lvl>
    <w:lvl w:ilvl="5" w:tplc="0409001B" w:tentative="1">
      <w:start w:val="1"/>
      <w:numFmt w:val="lowerRoman"/>
      <w:lvlText w:val="%6."/>
      <w:lvlJc w:val="right"/>
      <w:pPr>
        <w:tabs>
          <w:tab w:val="num" w:pos="4014"/>
        </w:tabs>
        <w:ind w:left="4014" w:hanging="180"/>
      </w:pPr>
      <w:rPr>
        <w:rFonts w:cs="Times New Roman"/>
      </w:rPr>
    </w:lvl>
    <w:lvl w:ilvl="6" w:tplc="0409000F" w:tentative="1">
      <w:start w:val="1"/>
      <w:numFmt w:val="decimal"/>
      <w:lvlText w:val="%7."/>
      <w:lvlJc w:val="left"/>
      <w:pPr>
        <w:tabs>
          <w:tab w:val="num" w:pos="4734"/>
        </w:tabs>
        <w:ind w:left="4734" w:hanging="360"/>
      </w:pPr>
      <w:rPr>
        <w:rFonts w:cs="Times New Roman"/>
      </w:rPr>
    </w:lvl>
    <w:lvl w:ilvl="7" w:tplc="04090019" w:tentative="1">
      <w:start w:val="1"/>
      <w:numFmt w:val="lowerLetter"/>
      <w:lvlText w:val="%8."/>
      <w:lvlJc w:val="left"/>
      <w:pPr>
        <w:tabs>
          <w:tab w:val="num" w:pos="5454"/>
        </w:tabs>
        <w:ind w:left="5454" w:hanging="360"/>
      </w:pPr>
      <w:rPr>
        <w:rFonts w:cs="Times New Roman"/>
      </w:rPr>
    </w:lvl>
    <w:lvl w:ilvl="8" w:tplc="0409001B" w:tentative="1">
      <w:start w:val="1"/>
      <w:numFmt w:val="lowerRoman"/>
      <w:lvlText w:val="%9."/>
      <w:lvlJc w:val="right"/>
      <w:pPr>
        <w:tabs>
          <w:tab w:val="num" w:pos="6174"/>
        </w:tabs>
        <w:ind w:left="6174" w:hanging="180"/>
      </w:pPr>
      <w:rPr>
        <w:rFonts w:cs="Times New Roman"/>
      </w:rPr>
    </w:lvl>
  </w:abstractNum>
  <w:abstractNum w:abstractNumId="10">
    <w:nsid w:val="2DF54832"/>
    <w:multiLevelType w:val="hybridMultilevel"/>
    <w:tmpl w:val="C8202600"/>
    <w:lvl w:ilvl="0" w:tplc="040C000F">
      <w:start w:val="1"/>
      <w:numFmt w:val="decimal"/>
      <w:lvlText w:val="%1."/>
      <w:lvlJc w:val="left"/>
      <w:pPr>
        <w:tabs>
          <w:tab w:val="num" w:pos="360"/>
        </w:tabs>
        <w:ind w:left="360" w:hanging="360"/>
      </w:pPr>
      <w:rPr>
        <w:rFonts w:cs="Times New Roman"/>
      </w:rPr>
    </w:lvl>
    <w:lvl w:ilvl="1" w:tplc="040C0019" w:tentative="1">
      <w:start w:val="1"/>
      <w:numFmt w:val="lowerLetter"/>
      <w:lvlText w:val="%2."/>
      <w:lvlJc w:val="left"/>
      <w:pPr>
        <w:tabs>
          <w:tab w:val="num" w:pos="1080"/>
        </w:tabs>
        <w:ind w:left="1080" w:hanging="360"/>
      </w:pPr>
      <w:rPr>
        <w:rFonts w:cs="Times New Roman"/>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abstractNum w:abstractNumId="11">
    <w:nsid w:val="30FA2973"/>
    <w:multiLevelType w:val="hybridMultilevel"/>
    <w:tmpl w:val="9F282ACA"/>
    <w:lvl w:ilvl="0" w:tplc="040C000F">
      <w:start w:val="1"/>
      <w:numFmt w:val="decimal"/>
      <w:lvlText w:val="%1."/>
      <w:lvlJc w:val="left"/>
      <w:pPr>
        <w:tabs>
          <w:tab w:val="num" w:pos="720"/>
        </w:tabs>
        <w:ind w:left="720" w:hanging="360"/>
      </w:pPr>
      <w:rPr>
        <w:rFonts w:cs="Times New Roman"/>
        <w:b/>
      </w:rPr>
    </w:lvl>
    <w:lvl w:ilvl="1" w:tplc="040C0015">
      <w:start w:val="1"/>
      <w:numFmt w:val="upperLetter"/>
      <w:lvlText w:val="%2."/>
      <w:lvlJc w:val="left"/>
      <w:pPr>
        <w:tabs>
          <w:tab w:val="num" w:pos="1440"/>
        </w:tabs>
        <w:ind w:left="1440" w:hanging="360"/>
      </w:pPr>
      <w:rPr>
        <w:rFonts w:cs="Times New Roman"/>
        <w:b/>
      </w:rPr>
    </w:lvl>
    <w:lvl w:ilvl="2" w:tplc="040C000F">
      <w:start w:val="1"/>
      <w:numFmt w:val="decimal"/>
      <w:lvlText w:val="%3."/>
      <w:lvlJc w:val="left"/>
      <w:pPr>
        <w:tabs>
          <w:tab w:val="num" w:pos="720"/>
        </w:tabs>
        <w:ind w:left="720" w:hanging="360"/>
      </w:pPr>
      <w:rPr>
        <w:rFonts w:cs="Times New Roman"/>
        <w:b/>
      </w:rPr>
    </w:lvl>
    <w:lvl w:ilvl="3" w:tplc="040C000F">
      <w:start w:val="1"/>
      <w:numFmt w:val="decimal"/>
      <w:lvlText w:val="%4."/>
      <w:lvlJc w:val="left"/>
      <w:pPr>
        <w:tabs>
          <w:tab w:val="num" w:pos="2880"/>
        </w:tabs>
        <w:ind w:left="2880" w:hanging="360"/>
      </w:pPr>
      <w:rPr>
        <w:rFonts w:cs="Times New Roman"/>
        <w:b/>
      </w:rPr>
    </w:lvl>
    <w:lvl w:ilvl="4" w:tplc="040C0019">
      <w:start w:val="1"/>
      <w:numFmt w:val="lowerLetter"/>
      <w:lvlText w:val="%5."/>
      <w:lvlJc w:val="left"/>
      <w:pPr>
        <w:tabs>
          <w:tab w:val="num" w:pos="3060"/>
        </w:tabs>
        <w:ind w:left="306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2">
    <w:nsid w:val="3A4F2C16"/>
    <w:multiLevelType w:val="hybridMultilevel"/>
    <w:tmpl w:val="EDBE4B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54A6ACB"/>
    <w:multiLevelType w:val="multilevel"/>
    <w:tmpl w:val="B434B332"/>
    <w:lvl w:ilvl="0">
      <w:start w:val="1"/>
      <w:numFmt w:val="lowerLetter"/>
      <w:lvlText w:val="%1."/>
      <w:lvlJc w:val="left"/>
      <w:pPr>
        <w:tabs>
          <w:tab w:val="num" w:pos="1980"/>
        </w:tabs>
        <w:ind w:left="1980" w:hanging="360"/>
      </w:pPr>
      <w:rPr>
        <w:rFonts w:cs="Times New Roman" w:hint="default"/>
      </w:rPr>
    </w:lvl>
    <w:lvl w:ilvl="1">
      <w:start w:val="1"/>
      <w:numFmt w:val="lowerLetter"/>
      <w:lvlText w:val="%2."/>
      <w:lvlJc w:val="left"/>
      <w:pPr>
        <w:tabs>
          <w:tab w:val="num" w:pos="2352"/>
        </w:tabs>
        <w:ind w:left="2352" w:hanging="360"/>
      </w:pPr>
      <w:rPr>
        <w:rFonts w:cs="Times New Roman"/>
      </w:rPr>
    </w:lvl>
    <w:lvl w:ilvl="2">
      <w:start w:val="1"/>
      <w:numFmt w:val="lowerRoman"/>
      <w:lvlText w:val="%3."/>
      <w:lvlJc w:val="right"/>
      <w:pPr>
        <w:tabs>
          <w:tab w:val="num" w:pos="3072"/>
        </w:tabs>
        <w:ind w:left="3072" w:hanging="180"/>
      </w:pPr>
      <w:rPr>
        <w:rFonts w:cs="Times New Roman"/>
      </w:rPr>
    </w:lvl>
    <w:lvl w:ilvl="3">
      <w:start w:val="1"/>
      <w:numFmt w:val="decimal"/>
      <w:lvlText w:val="%4."/>
      <w:lvlJc w:val="left"/>
      <w:pPr>
        <w:tabs>
          <w:tab w:val="num" w:pos="3792"/>
        </w:tabs>
        <w:ind w:left="3792" w:hanging="360"/>
      </w:pPr>
      <w:rPr>
        <w:rFonts w:cs="Times New Roman"/>
      </w:rPr>
    </w:lvl>
    <w:lvl w:ilvl="4">
      <w:start w:val="1"/>
      <w:numFmt w:val="lowerLetter"/>
      <w:lvlText w:val="%5."/>
      <w:lvlJc w:val="left"/>
      <w:pPr>
        <w:tabs>
          <w:tab w:val="num" w:pos="4512"/>
        </w:tabs>
        <w:ind w:left="4512" w:hanging="360"/>
      </w:pPr>
      <w:rPr>
        <w:rFonts w:cs="Times New Roman"/>
      </w:rPr>
    </w:lvl>
    <w:lvl w:ilvl="5">
      <w:start w:val="1"/>
      <w:numFmt w:val="lowerRoman"/>
      <w:lvlText w:val="%6."/>
      <w:lvlJc w:val="right"/>
      <w:pPr>
        <w:tabs>
          <w:tab w:val="num" w:pos="5232"/>
        </w:tabs>
        <w:ind w:left="5232" w:hanging="180"/>
      </w:pPr>
      <w:rPr>
        <w:rFonts w:cs="Times New Roman"/>
      </w:rPr>
    </w:lvl>
    <w:lvl w:ilvl="6">
      <w:start w:val="1"/>
      <w:numFmt w:val="decimal"/>
      <w:lvlText w:val="%7."/>
      <w:lvlJc w:val="left"/>
      <w:pPr>
        <w:tabs>
          <w:tab w:val="num" w:pos="5952"/>
        </w:tabs>
        <w:ind w:left="5952" w:hanging="360"/>
      </w:pPr>
      <w:rPr>
        <w:rFonts w:cs="Times New Roman"/>
      </w:rPr>
    </w:lvl>
    <w:lvl w:ilvl="7">
      <w:start w:val="1"/>
      <w:numFmt w:val="lowerLetter"/>
      <w:lvlText w:val="%8."/>
      <w:lvlJc w:val="left"/>
      <w:pPr>
        <w:tabs>
          <w:tab w:val="num" w:pos="6672"/>
        </w:tabs>
        <w:ind w:left="6672" w:hanging="360"/>
      </w:pPr>
      <w:rPr>
        <w:rFonts w:cs="Times New Roman"/>
      </w:rPr>
    </w:lvl>
    <w:lvl w:ilvl="8">
      <w:start w:val="1"/>
      <w:numFmt w:val="lowerRoman"/>
      <w:lvlText w:val="%9."/>
      <w:lvlJc w:val="right"/>
      <w:pPr>
        <w:tabs>
          <w:tab w:val="num" w:pos="7392"/>
        </w:tabs>
        <w:ind w:left="7392" w:hanging="180"/>
      </w:pPr>
      <w:rPr>
        <w:rFonts w:cs="Times New Roman"/>
      </w:rPr>
    </w:lvl>
  </w:abstractNum>
  <w:abstractNum w:abstractNumId="14">
    <w:nsid w:val="4BF35E26"/>
    <w:multiLevelType w:val="hybridMultilevel"/>
    <w:tmpl w:val="101098EC"/>
    <w:lvl w:ilvl="0" w:tplc="0C0A000B">
      <w:start w:val="1"/>
      <w:numFmt w:val="bullet"/>
      <w:lvlText w:val=""/>
      <w:lvlJc w:val="left"/>
      <w:pPr>
        <w:ind w:left="540" w:hanging="360"/>
      </w:pPr>
      <w:rPr>
        <w:rFonts w:ascii="Wingdings" w:hAnsi="Wingdings" w:hint="default"/>
      </w:rPr>
    </w:lvl>
    <w:lvl w:ilvl="1" w:tplc="0C0A0003" w:tentative="1">
      <w:start w:val="1"/>
      <w:numFmt w:val="bullet"/>
      <w:lvlText w:val="o"/>
      <w:lvlJc w:val="left"/>
      <w:pPr>
        <w:ind w:left="1260" w:hanging="360"/>
      </w:pPr>
      <w:rPr>
        <w:rFonts w:ascii="Courier New" w:hAnsi="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15">
    <w:nsid w:val="4D016839"/>
    <w:multiLevelType w:val="multilevel"/>
    <w:tmpl w:val="040C001F"/>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080"/>
        </w:tabs>
        <w:ind w:left="792" w:hanging="432"/>
      </w:pPr>
      <w:rPr>
        <w:rFonts w:cs="Times New Roman" w:hint="default"/>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nsid w:val="50DD051F"/>
    <w:multiLevelType w:val="hybridMultilevel"/>
    <w:tmpl w:val="503C988C"/>
    <w:lvl w:ilvl="0" w:tplc="D5E41B64">
      <w:start w:val="1"/>
      <w:numFmt w:val="lowerLetter"/>
      <w:lvlText w:val="%1."/>
      <w:lvlJc w:val="left"/>
      <w:pPr>
        <w:tabs>
          <w:tab w:val="num" w:pos="360"/>
        </w:tabs>
        <w:ind w:left="360" w:hanging="360"/>
      </w:pPr>
      <w:rPr>
        <w:rFonts w:cs="Times New Roman" w:hint="default"/>
      </w:rPr>
    </w:lvl>
    <w:lvl w:ilvl="1" w:tplc="040C0019" w:tentative="1">
      <w:start w:val="1"/>
      <w:numFmt w:val="lowerLetter"/>
      <w:lvlText w:val="%2."/>
      <w:lvlJc w:val="left"/>
      <w:pPr>
        <w:tabs>
          <w:tab w:val="num" w:pos="732"/>
        </w:tabs>
        <w:ind w:left="732" w:hanging="360"/>
      </w:pPr>
      <w:rPr>
        <w:rFonts w:cs="Times New Roman"/>
      </w:rPr>
    </w:lvl>
    <w:lvl w:ilvl="2" w:tplc="040C001B" w:tentative="1">
      <w:start w:val="1"/>
      <w:numFmt w:val="lowerRoman"/>
      <w:lvlText w:val="%3."/>
      <w:lvlJc w:val="right"/>
      <w:pPr>
        <w:tabs>
          <w:tab w:val="num" w:pos="1452"/>
        </w:tabs>
        <w:ind w:left="1452" w:hanging="180"/>
      </w:pPr>
      <w:rPr>
        <w:rFonts w:cs="Times New Roman"/>
      </w:rPr>
    </w:lvl>
    <w:lvl w:ilvl="3" w:tplc="040C000F" w:tentative="1">
      <w:start w:val="1"/>
      <w:numFmt w:val="decimal"/>
      <w:lvlText w:val="%4."/>
      <w:lvlJc w:val="left"/>
      <w:pPr>
        <w:tabs>
          <w:tab w:val="num" w:pos="2172"/>
        </w:tabs>
        <w:ind w:left="2172" w:hanging="360"/>
      </w:pPr>
      <w:rPr>
        <w:rFonts w:cs="Times New Roman"/>
      </w:rPr>
    </w:lvl>
    <w:lvl w:ilvl="4" w:tplc="040C0019" w:tentative="1">
      <w:start w:val="1"/>
      <w:numFmt w:val="lowerLetter"/>
      <w:lvlText w:val="%5."/>
      <w:lvlJc w:val="left"/>
      <w:pPr>
        <w:tabs>
          <w:tab w:val="num" w:pos="2892"/>
        </w:tabs>
        <w:ind w:left="2892" w:hanging="360"/>
      </w:pPr>
      <w:rPr>
        <w:rFonts w:cs="Times New Roman"/>
      </w:rPr>
    </w:lvl>
    <w:lvl w:ilvl="5" w:tplc="040C001B" w:tentative="1">
      <w:start w:val="1"/>
      <w:numFmt w:val="lowerRoman"/>
      <w:lvlText w:val="%6."/>
      <w:lvlJc w:val="right"/>
      <w:pPr>
        <w:tabs>
          <w:tab w:val="num" w:pos="3612"/>
        </w:tabs>
        <w:ind w:left="3612" w:hanging="180"/>
      </w:pPr>
      <w:rPr>
        <w:rFonts w:cs="Times New Roman"/>
      </w:rPr>
    </w:lvl>
    <w:lvl w:ilvl="6" w:tplc="040C000F" w:tentative="1">
      <w:start w:val="1"/>
      <w:numFmt w:val="decimal"/>
      <w:lvlText w:val="%7."/>
      <w:lvlJc w:val="left"/>
      <w:pPr>
        <w:tabs>
          <w:tab w:val="num" w:pos="4332"/>
        </w:tabs>
        <w:ind w:left="4332" w:hanging="360"/>
      </w:pPr>
      <w:rPr>
        <w:rFonts w:cs="Times New Roman"/>
      </w:rPr>
    </w:lvl>
    <w:lvl w:ilvl="7" w:tplc="040C0019" w:tentative="1">
      <w:start w:val="1"/>
      <w:numFmt w:val="lowerLetter"/>
      <w:lvlText w:val="%8."/>
      <w:lvlJc w:val="left"/>
      <w:pPr>
        <w:tabs>
          <w:tab w:val="num" w:pos="5052"/>
        </w:tabs>
        <w:ind w:left="5052" w:hanging="360"/>
      </w:pPr>
      <w:rPr>
        <w:rFonts w:cs="Times New Roman"/>
      </w:rPr>
    </w:lvl>
    <w:lvl w:ilvl="8" w:tplc="040C001B" w:tentative="1">
      <w:start w:val="1"/>
      <w:numFmt w:val="lowerRoman"/>
      <w:lvlText w:val="%9."/>
      <w:lvlJc w:val="right"/>
      <w:pPr>
        <w:tabs>
          <w:tab w:val="num" w:pos="5772"/>
        </w:tabs>
        <w:ind w:left="5772" w:hanging="180"/>
      </w:pPr>
      <w:rPr>
        <w:rFonts w:cs="Times New Roman"/>
      </w:rPr>
    </w:lvl>
  </w:abstractNum>
  <w:abstractNum w:abstractNumId="17">
    <w:nsid w:val="5B9F31DC"/>
    <w:multiLevelType w:val="hybridMultilevel"/>
    <w:tmpl w:val="635AE204"/>
    <w:lvl w:ilvl="0" w:tplc="4B4AD52A">
      <w:start w:val="3"/>
      <w:numFmt w:val="bullet"/>
      <w:lvlText w:val="-"/>
      <w:lvlJc w:val="left"/>
      <w:pPr>
        <w:ind w:left="720" w:hanging="360"/>
      </w:pPr>
      <w:rPr>
        <w:rFonts w:ascii="Calibri" w:eastAsia="Times New Roman" w:hAnsi="Calibri"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04A3B71"/>
    <w:multiLevelType w:val="multilevel"/>
    <w:tmpl w:val="156649C8"/>
    <w:lvl w:ilvl="0">
      <w:start w:val="1"/>
      <w:numFmt w:val="decimal"/>
      <w:lvlText w:val="%1."/>
      <w:lvlJc w:val="left"/>
      <w:pPr>
        <w:tabs>
          <w:tab w:val="num" w:pos="360"/>
        </w:tabs>
        <w:ind w:left="360" w:hanging="360"/>
      </w:pPr>
      <w:rPr>
        <w:rFonts w:cs="Times New Roman" w:hint="default"/>
        <w:b/>
      </w:rPr>
    </w:lvl>
    <w:lvl w:ilvl="1">
      <w:start w:val="1"/>
      <w:numFmt w:val="lowerLetter"/>
      <w:lvlText w:val="%2."/>
      <w:lvlJc w:val="left"/>
      <w:pPr>
        <w:tabs>
          <w:tab w:val="num" w:pos="1080"/>
        </w:tabs>
        <w:ind w:left="792" w:hanging="432"/>
      </w:pPr>
      <w:rPr>
        <w:rFonts w:ascii="Century Gothic" w:eastAsia="Times New Roman" w:hAnsi="Century Gothic" w:cs="Times New Roman"/>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nsid w:val="613736F4"/>
    <w:multiLevelType w:val="hybridMultilevel"/>
    <w:tmpl w:val="C38E9F1C"/>
    <w:lvl w:ilvl="0" w:tplc="040C000F">
      <w:start w:val="1"/>
      <w:numFmt w:val="decimal"/>
      <w:lvlText w:val="%1."/>
      <w:lvlJc w:val="left"/>
      <w:pPr>
        <w:tabs>
          <w:tab w:val="num" w:pos="720"/>
        </w:tabs>
        <w:ind w:left="720" w:hanging="360"/>
      </w:pPr>
      <w:rPr>
        <w:rFonts w:cs="Times New Roman" w:hint="default"/>
      </w:rPr>
    </w:lvl>
    <w:lvl w:ilvl="1" w:tplc="040C0019">
      <w:start w:val="1"/>
      <w:numFmt w:val="lowerLetter"/>
      <w:lvlText w:val="%2."/>
      <w:lvlJc w:val="left"/>
      <w:pPr>
        <w:tabs>
          <w:tab w:val="num" w:pos="2520"/>
        </w:tabs>
        <w:ind w:left="252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0">
    <w:nsid w:val="67CD7E44"/>
    <w:multiLevelType w:val="hybridMultilevel"/>
    <w:tmpl w:val="B434B332"/>
    <w:lvl w:ilvl="0" w:tplc="D5E41B64">
      <w:start w:val="1"/>
      <w:numFmt w:val="lowerLetter"/>
      <w:lvlText w:val="%1."/>
      <w:lvlJc w:val="left"/>
      <w:pPr>
        <w:tabs>
          <w:tab w:val="num" w:pos="1980"/>
        </w:tabs>
        <w:ind w:left="1980" w:hanging="360"/>
      </w:pPr>
      <w:rPr>
        <w:rFonts w:cs="Times New Roman" w:hint="default"/>
      </w:rPr>
    </w:lvl>
    <w:lvl w:ilvl="1" w:tplc="040C0019" w:tentative="1">
      <w:start w:val="1"/>
      <w:numFmt w:val="lowerLetter"/>
      <w:lvlText w:val="%2."/>
      <w:lvlJc w:val="left"/>
      <w:pPr>
        <w:tabs>
          <w:tab w:val="num" w:pos="2352"/>
        </w:tabs>
        <w:ind w:left="2352" w:hanging="360"/>
      </w:pPr>
      <w:rPr>
        <w:rFonts w:cs="Times New Roman"/>
      </w:rPr>
    </w:lvl>
    <w:lvl w:ilvl="2" w:tplc="040C001B" w:tentative="1">
      <w:start w:val="1"/>
      <w:numFmt w:val="lowerRoman"/>
      <w:lvlText w:val="%3."/>
      <w:lvlJc w:val="right"/>
      <w:pPr>
        <w:tabs>
          <w:tab w:val="num" w:pos="3072"/>
        </w:tabs>
        <w:ind w:left="3072" w:hanging="180"/>
      </w:pPr>
      <w:rPr>
        <w:rFonts w:cs="Times New Roman"/>
      </w:rPr>
    </w:lvl>
    <w:lvl w:ilvl="3" w:tplc="040C000F" w:tentative="1">
      <w:start w:val="1"/>
      <w:numFmt w:val="decimal"/>
      <w:lvlText w:val="%4."/>
      <w:lvlJc w:val="left"/>
      <w:pPr>
        <w:tabs>
          <w:tab w:val="num" w:pos="3792"/>
        </w:tabs>
        <w:ind w:left="3792" w:hanging="360"/>
      </w:pPr>
      <w:rPr>
        <w:rFonts w:cs="Times New Roman"/>
      </w:rPr>
    </w:lvl>
    <w:lvl w:ilvl="4" w:tplc="040C0019" w:tentative="1">
      <w:start w:val="1"/>
      <w:numFmt w:val="lowerLetter"/>
      <w:lvlText w:val="%5."/>
      <w:lvlJc w:val="left"/>
      <w:pPr>
        <w:tabs>
          <w:tab w:val="num" w:pos="4512"/>
        </w:tabs>
        <w:ind w:left="4512" w:hanging="360"/>
      </w:pPr>
      <w:rPr>
        <w:rFonts w:cs="Times New Roman"/>
      </w:rPr>
    </w:lvl>
    <w:lvl w:ilvl="5" w:tplc="040C001B" w:tentative="1">
      <w:start w:val="1"/>
      <w:numFmt w:val="lowerRoman"/>
      <w:lvlText w:val="%6."/>
      <w:lvlJc w:val="right"/>
      <w:pPr>
        <w:tabs>
          <w:tab w:val="num" w:pos="5232"/>
        </w:tabs>
        <w:ind w:left="5232" w:hanging="180"/>
      </w:pPr>
      <w:rPr>
        <w:rFonts w:cs="Times New Roman"/>
      </w:rPr>
    </w:lvl>
    <w:lvl w:ilvl="6" w:tplc="040C000F" w:tentative="1">
      <w:start w:val="1"/>
      <w:numFmt w:val="decimal"/>
      <w:lvlText w:val="%7."/>
      <w:lvlJc w:val="left"/>
      <w:pPr>
        <w:tabs>
          <w:tab w:val="num" w:pos="5952"/>
        </w:tabs>
        <w:ind w:left="5952" w:hanging="360"/>
      </w:pPr>
      <w:rPr>
        <w:rFonts w:cs="Times New Roman"/>
      </w:rPr>
    </w:lvl>
    <w:lvl w:ilvl="7" w:tplc="040C0019" w:tentative="1">
      <w:start w:val="1"/>
      <w:numFmt w:val="lowerLetter"/>
      <w:lvlText w:val="%8."/>
      <w:lvlJc w:val="left"/>
      <w:pPr>
        <w:tabs>
          <w:tab w:val="num" w:pos="6672"/>
        </w:tabs>
        <w:ind w:left="6672" w:hanging="360"/>
      </w:pPr>
      <w:rPr>
        <w:rFonts w:cs="Times New Roman"/>
      </w:rPr>
    </w:lvl>
    <w:lvl w:ilvl="8" w:tplc="040C001B" w:tentative="1">
      <w:start w:val="1"/>
      <w:numFmt w:val="lowerRoman"/>
      <w:lvlText w:val="%9."/>
      <w:lvlJc w:val="right"/>
      <w:pPr>
        <w:tabs>
          <w:tab w:val="num" w:pos="7392"/>
        </w:tabs>
        <w:ind w:left="7392" w:hanging="180"/>
      </w:pPr>
      <w:rPr>
        <w:rFonts w:cs="Times New Roman"/>
      </w:rPr>
    </w:lvl>
  </w:abstractNum>
  <w:abstractNum w:abstractNumId="21">
    <w:nsid w:val="682E0AFC"/>
    <w:multiLevelType w:val="hybridMultilevel"/>
    <w:tmpl w:val="3DD46E90"/>
    <w:lvl w:ilvl="0" w:tplc="D5E41B64">
      <w:start w:val="1"/>
      <w:numFmt w:val="lowerLetter"/>
      <w:lvlText w:val="%1."/>
      <w:lvlJc w:val="left"/>
      <w:pPr>
        <w:tabs>
          <w:tab w:val="num" w:pos="360"/>
        </w:tabs>
        <w:ind w:left="360" w:hanging="360"/>
      </w:pPr>
      <w:rPr>
        <w:rFonts w:cs="Times New Roman" w:hint="default"/>
      </w:rPr>
    </w:lvl>
    <w:lvl w:ilvl="1" w:tplc="040C0019" w:tentative="1">
      <w:start w:val="1"/>
      <w:numFmt w:val="lowerLetter"/>
      <w:lvlText w:val="%2."/>
      <w:lvlJc w:val="left"/>
      <w:pPr>
        <w:tabs>
          <w:tab w:val="num" w:pos="732"/>
        </w:tabs>
        <w:ind w:left="732" w:hanging="360"/>
      </w:pPr>
      <w:rPr>
        <w:rFonts w:cs="Times New Roman"/>
      </w:rPr>
    </w:lvl>
    <w:lvl w:ilvl="2" w:tplc="040C001B" w:tentative="1">
      <w:start w:val="1"/>
      <w:numFmt w:val="lowerRoman"/>
      <w:lvlText w:val="%3."/>
      <w:lvlJc w:val="right"/>
      <w:pPr>
        <w:tabs>
          <w:tab w:val="num" w:pos="1452"/>
        </w:tabs>
        <w:ind w:left="1452" w:hanging="180"/>
      </w:pPr>
      <w:rPr>
        <w:rFonts w:cs="Times New Roman"/>
      </w:rPr>
    </w:lvl>
    <w:lvl w:ilvl="3" w:tplc="040C000F" w:tentative="1">
      <w:start w:val="1"/>
      <w:numFmt w:val="decimal"/>
      <w:lvlText w:val="%4."/>
      <w:lvlJc w:val="left"/>
      <w:pPr>
        <w:tabs>
          <w:tab w:val="num" w:pos="2172"/>
        </w:tabs>
        <w:ind w:left="2172" w:hanging="360"/>
      </w:pPr>
      <w:rPr>
        <w:rFonts w:cs="Times New Roman"/>
      </w:rPr>
    </w:lvl>
    <w:lvl w:ilvl="4" w:tplc="040C0019" w:tentative="1">
      <w:start w:val="1"/>
      <w:numFmt w:val="lowerLetter"/>
      <w:lvlText w:val="%5."/>
      <w:lvlJc w:val="left"/>
      <w:pPr>
        <w:tabs>
          <w:tab w:val="num" w:pos="2892"/>
        </w:tabs>
        <w:ind w:left="2892" w:hanging="360"/>
      </w:pPr>
      <w:rPr>
        <w:rFonts w:cs="Times New Roman"/>
      </w:rPr>
    </w:lvl>
    <w:lvl w:ilvl="5" w:tplc="040C001B" w:tentative="1">
      <w:start w:val="1"/>
      <w:numFmt w:val="lowerRoman"/>
      <w:lvlText w:val="%6."/>
      <w:lvlJc w:val="right"/>
      <w:pPr>
        <w:tabs>
          <w:tab w:val="num" w:pos="3612"/>
        </w:tabs>
        <w:ind w:left="3612" w:hanging="180"/>
      </w:pPr>
      <w:rPr>
        <w:rFonts w:cs="Times New Roman"/>
      </w:rPr>
    </w:lvl>
    <w:lvl w:ilvl="6" w:tplc="040C000F" w:tentative="1">
      <w:start w:val="1"/>
      <w:numFmt w:val="decimal"/>
      <w:lvlText w:val="%7."/>
      <w:lvlJc w:val="left"/>
      <w:pPr>
        <w:tabs>
          <w:tab w:val="num" w:pos="4332"/>
        </w:tabs>
        <w:ind w:left="4332" w:hanging="360"/>
      </w:pPr>
      <w:rPr>
        <w:rFonts w:cs="Times New Roman"/>
      </w:rPr>
    </w:lvl>
    <w:lvl w:ilvl="7" w:tplc="040C0019" w:tentative="1">
      <w:start w:val="1"/>
      <w:numFmt w:val="lowerLetter"/>
      <w:lvlText w:val="%8."/>
      <w:lvlJc w:val="left"/>
      <w:pPr>
        <w:tabs>
          <w:tab w:val="num" w:pos="5052"/>
        </w:tabs>
        <w:ind w:left="5052" w:hanging="360"/>
      </w:pPr>
      <w:rPr>
        <w:rFonts w:cs="Times New Roman"/>
      </w:rPr>
    </w:lvl>
    <w:lvl w:ilvl="8" w:tplc="040C001B" w:tentative="1">
      <w:start w:val="1"/>
      <w:numFmt w:val="lowerRoman"/>
      <w:lvlText w:val="%9."/>
      <w:lvlJc w:val="right"/>
      <w:pPr>
        <w:tabs>
          <w:tab w:val="num" w:pos="5772"/>
        </w:tabs>
        <w:ind w:left="5772" w:hanging="180"/>
      </w:pPr>
      <w:rPr>
        <w:rFonts w:cs="Times New Roman"/>
      </w:rPr>
    </w:lvl>
  </w:abstractNum>
  <w:abstractNum w:abstractNumId="22">
    <w:nsid w:val="78106099"/>
    <w:multiLevelType w:val="hybridMultilevel"/>
    <w:tmpl w:val="A6DA804E"/>
    <w:lvl w:ilvl="0" w:tplc="D5E41B64">
      <w:start w:val="1"/>
      <w:numFmt w:val="lowerLetter"/>
      <w:lvlText w:val="%1."/>
      <w:lvlJc w:val="left"/>
      <w:pPr>
        <w:tabs>
          <w:tab w:val="num" w:pos="360"/>
        </w:tabs>
        <w:ind w:left="360" w:hanging="360"/>
      </w:pPr>
      <w:rPr>
        <w:rFonts w:cs="Times New Roman" w:hint="default"/>
      </w:rPr>
    </w:lvl>
    <w:lvl w:ilvl="1" w:tplc="040C0019" w:tentative="1">
      <w:start w:val="1"/>
      <w:numFmt w:val="lowerLetter"/>
      <w:lvlText w:val="%2."/>
      <w:lvlJc w:val="left"/>
      <w:pPr>
        <w:tabs>
          <w:tab w:val="num" w:pos="1080"/>
        </w:tabs>
        <w:ind w:left="1080" w:hanging="360"/>
      </w:pPr>
      <w:rPr>
        <w:rFonts w:cs="Times New Roman"/>
      </w:rPr>
    </w:lvl>
    <w:lvl w:ilvl="2" w:tplc="040C001B" w:tentative="1">
      <w:start w:val="1"/>
      <w:numFmt w:val="lowerRoman"/>
      <w:lvlText w:val="%3."/>
      <w:lvlJc w:val="right"/>
      <w:pPr>
        <w:tabs>
          <w:tab w:val="num" w:pos="1800"/>
        </w:tabs>
        <w:ind w:left="1800" w:hanging="180"/>
      </w:pPr>
      <w:rPr>
        <w:rFonts w:cs="Times New Roman"/>
      </w:rPr>
    </w:lvl>
    <w:lvl w:ilvl="3" w:tplc="040C000F" w:tentative="1">
      <w:start w:val="1"/>
      <w:numFmt w:val="decimal"/>
      <w:lvlText w:val="%4."/>
      <w:lvlJc w:val="left"/>
      <w:pPr>
        <w:tabs>
          <w:tab w:val="num" w:pos="2520"/>
        </w:tabs>
        <w:ind w:left="2520" w:hanging="360"/>
      </w:pPr>
      <w:rPr>
        <w:rFonts w:cs="Times New Roman"/>
      </w:rPr>
    </w:lvl>
    <w:lvl w:ilvl="4" w:tplc="040C0019" w:tentative="1">
      <w:start w:val="1"/>
      <w:numFmt w:val="lowerLetter"/>
      <w:lvlText w:val="%5."/>
      <w:lvlJc w:val="left"/>
      <w:pPr>
        <w:tabs>
          <w:tab w:val="num" w:pos="3240"/>
        </w:tabs>
        <w:ind w:left="3240" w:hanging="360"/>
      </w:pPr>
      <w:rPr>
        <w:rFonts w:cs="Times New Roman"/>
      </w:rPr>
    </w:lvl>
    <w:lvl w:ilvl="5" w:tplc="040C001B" w:tentative="1">
      <w:start w:val="1"/>
      <w:numFmt w:val="lowerRoman"/>
      <w:lvlText w:val="%6."/>
      <w:lvlJc w:val="right"/>
      <w:pPr>
        <w:tabs>
          <w:tab w:val="num" w:pos="3960"/>
        </w:tabs>
        <w:ind w:left="3960" w:hanging="180"/>
      </w:pPr>
      <w:rPr>
        <w:rFonts w:cs="Times New Roman"/>
      </w:rPr>
    </w:lvl>
    <w:lvl w:ilvl="6" w:tplc="040C000F" w:tentative="1">
      <w:start w:val="1"/>
      <w:numFmt w:val="decimal"/>
      <w:lvlText w:val="%7."/>
      <w:lvlJc w:val="left"/>
      <w:pPr>
        <w:tabs>
          <w:tab w:val="num" w:pos="4680"/>
        </w:tabs>
        <w:ind w:left="4680" w:hanging="360"/>
      </w:pPr>
      <w:rPr>
        <w:rFonts w:cs="Times New Roman"/>
      </w:rPr>
    </w:lvl>
    <w:lvl w:ilvl="7" w:tplc="040C0019" w:tentative="1">
      <w:start w:val="1"/>
      <w:numFmt w:val="lowerLetter"/>
      <w:lvlText w:val="%8."/>
      <w:lvlJc w:val="left"/>
      <w:pPr>
        <w:tabs>
          <w:tab w:val="num" w:pos="5400"/>
        </w:tabs>
        <w:ind w:left="5400" w:hanging="360"/>
      </w:pPr>
      <w:rPr>
        <w:rFonts w:cs="Times New Roman"/>
      </w:rPr>
    </w:lvl>
    <w:lvl w:ilvl="8" w:tplc="040C001B" w:tentative="1">
      <w:start w:val="1"/>
      <w:numFmt w:val="lowerRoman"/>
      <w:lvlText w:val="%9."/>
      <w:lvlJc w:val="right"/>
      <w:pPr>
        <w:tabs>
          <w:tab w:val="num" w:pos="6120"/>
        </w:tabs>
        <w:ind w:left="6120" w:hanging="180"/>
      </w:pPr>
      <w:rPr>
        <w:rFonts w:cs="Times New Roman"/>
      </w:rPr>
    </w:lvl>
  </w:abstractNum>
  <w:abstractNum w:abstractNumId="23">
    <w:nsid w:val="7B820A18"/>
    <w:multiLevelType w:val="hybridMultilevel"/>
    <w:tmpl w:val="C4B25810"/>
    <w:lvl w:ilvl="0" w:tplc="0C0A000D">
      <w:start w:val="1"/>
      <w:numFmt w:val="bullet"/>
      <w:lvlText w:val=""/>
      <w:lvlJc w:val="left"/>
      <w:pPr>
        <w:ind w:left="540" w:hanging="360"/>
      </w:pPr>
      <w:rPr>
        <w:rFonts w:ascii="Wingdings" w:hAnsi="Wingdings" w:hint="default"/>
      </w:rPr>
    </w:lvl>
    <w:lvl w:ilvl="1" w:tplc="0C0A0003" w:tentative="1">
      <w:start w:val="1"/>
      <w:numFmt w:val="bullet"/>
      <w:lvlText w:val="o"/>
      <w:lvlJc w:val="left"/>
      <w:pPr>
        <w:ind w:left="1260" w:hanging="360"/>
      </w:pPr>
      <w:rPr>
        <w:rFonts w:ascii="Courier New" w:hAnsi="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num w:numId="1">
    <w:abstractNumId w:val="18"/>
  </w:num>
  <w:num w:numId="2">
    <w:abstractNumId w:val="22"/>
  </w:num>
  <w:num w:numId="3">
    <w:abstractNumId w:val="16"/>
  </w:num>
  <w:num w:numId="4">
    <w:abstractNumId w:val="21"/>
  </w:num>
  <w:num w:numId="5">
    <w:abstractNumId w:val="3"/>
  </w:num>
  <w:num w:numId="6">
    <w:abstractNumId w:val="2"/>
  </w:num>
  <w:num w:numId="7">
    <w:abstractNumId w:val="20"/>
  </w:num>
  <w:num w:numId="8">
    <w:abstractNumId w:val="13"/>
  </w:num>
  <w:num w:numId="9">
    <w:abstractNumId w:val="10"/>
  </w:num>
  <w:num w:numId="10">
    <w:abstractNumId w:val="4"/>
  </w:num>
  <w:num w:numId="11">
    <w:abstractNumId w:val="6"/>
  </w:num>
  <w:num w:numId="12">
    <w:abstractNumId w:val="15"/>
  </w:num>
  <w:num w:numId="13">
    <w:abstractNumId w:val="19"/>
  </w:num>
  <w:num w:numId="14">
    <w:abstractNumId w:val="17"/>
  </w:num>
  <w:num w:numId="15">
    <w:abstractNumId w:val="23"/>
  </w:num>
  <w:num w:numId="16">
    <w:abstractNumId w:val="14"/>
  </w:num>
  <w:num w:numId="17">
    <w:abstractNumId w:val="5"/>
  </w:num>
  <w:num w:numId="18">
    <w:abstractNumId w:val="9"/>
  </w:num>
  <w:num w:numId="19">
    <w:abstractNumId w:val="12"/>
  </w:num>
  <w:num w:numId="20">
    <w:abstractNumId w:val="8"/>
  </w:num>
  <w:num w:numId="21">
    <w:abstractNumId w:val="1"/>
  </w:num>
  <w:num w:numId="22">
    <w:abstractNumId w:val="7"/>
  </w:num>
  <w:num w:numId="23">
    <w:abstractNumId w:val="11"/>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rsids>
    <w:rsidRoot w:val="00A2732D"/>
    <w:rsid w:val="00012A06"/>
    <w:rsid w:val="0003299A"/>
    <w:rsid w:val="00052BCF"/>
    <w:rsid w:val="00055695"/>
    <w:rsid w:val="0006274A"/>
    <w:rsid w:val="0006666C"/>
    <w:rsid w:val="0006746E"/>
    <w:rsid w:val="000A5864"/>
    <w:rsid w:val="000A7291"/>
    <w:rsid w:val="000D1815"/>
    <w:rsid w:val="000E7307"/>
    <w:rsid w:val="001024D7"/>
    <w:rsid w:val="00112B9D"/>
    <w:rsid w:val="001179AE"/>
    <w:rsid w:val="00153D80"/>
    <w:rsid w:val="00186A43"/>
    <w:rsid w:val="00187B75"/>
    <w:rsid w:val="00197E23"/>
    <w:rsid w:val="001E3B49"/>
    <w:rsid w:val="001F259B"/>
    <w:rsid w:val="001F3B73"/>
    <w:rsid w:val="001F7FA3"/>
    <w:rsid w:val="00212FE0"/>
    <w:rsid w:val="002243E3"/>
    <w:rsid w:val="0028776D"/>
    <w:rsid w:val="00291DEC"/>
    <w:rsid w:val="002A27F8"/>
    <w:rsid w:val="002B26A6"/>
    <w:rsid w:val="002D1A6E"/>
    <w:rsid w:val="003106A8"/>
    <w:rsid w:val="00324177"/>
    <w:rsid w:val="003258D7"/>
    <w:rsid w:val="00331BAB"/>
    <w:rsid w:val="00336177"/>
    <w:rsid w:val="00361D30"/>
    <w:rsid w:val="00362F6F"/>
    <w:rsid w:val="00370068"/>
    <w:rsid w:val="00382B76"/>
    <w:rsid w:val="003B76C9"/>
    <w:rsid w:val="003E7096"/>
    <w:rsid w:val="003F38BC"/>
    <w:rsid w:val="00410DF0"/>
    <w:rsid w:val="00411049"/>
    <w:rsid w:val="0043127E"/>
    <w:rsid w:val="00447ADD"/>
    <w:rsid w:val="00466D6E"/>
    <w:rsid w:val="00472FD9"/>
    <w:rsid w:val="00480AB9"/>
    <w:rsid w:val="004C3F61"/>
    <w:rsid w:val="00523EDF"/>
    <w:rsid w:val="005D0CF5"/>
    <w:rsid w:val="005D10D3"/>
    <w:rsid w:val="00620835"/>
    <w:rsid w:val="006251BE"/>
    <w:rsid w:val="00631A08"/>
    <w:rsid w:val="006804DC"/>
    <w:rsid w:val="006E0B64"/>
    <w:rsid w:val="006F6EFA"/>
    <w:rsid w:val="00712D16"/>
    <w:rsid w:val="00730ED4"/>
    <w:rsid w:val="007378B3"/>
    <w:rsid w:val="007628C5"/>
    <w:rsid w:val="00770E29"/>
    <w:rsid w:val="0078657A"/>
    <w:rsid w:val="00797D31"/>
    <w:rsid w:val="007D155B"/>
    <w:rsid w:val="007D5566"/>
    <w:rsid w:val="007E4CDA"/>
    <w:rsid w:val="007E59DC"/>
    <w:rsid w:val="008178B7"/>
    <w:rsid w:val="00853B9D"/>
    <w:rsid w:val="0086326C"/>
    <w:rsid w:val="0089687B"/>
    <w:rsid w:val="008C4653"/>
    <w:rsid w:val="00901329"/>
    <w:rsid w:val="00912F55"/>
    <w:rsid w:val="009411EA"/>
    <w:rsid w:val="00943433"/>
    <w:rsid w:val="00986B47"/>
    <w:rsid w:val="009C5053"/>
    <w:rsid w:val="009E72AA"/>
    <w:rsid w:val="00A00B50"/>
    <w:rsid w:val="00A038A7"/>
    <w:rsid w:val="00A233E3"/>
    <w:rsid w:val="00A2732D"/>
    <w:rsid w:val="00A273F1"/>
    <w:rsid w:val="00A4061D"/>
    <w:rsid w:val="00A43164"/>
    <w:rsid w:val="00A50FCE"/>
    <w:rsid w:val="00A83EBF"/>
    <w:rsid w:val="00A97A96"/>
    <w:rsid w:val="00AA7765"/>
    <w:rsid w:val="00AB085B"/>
    <w:rsid w:val="00AE0E1F"/>
    <w:rsid w:val="00AE749F"/>
    <w:rsid w:val="00AF0802"/>
    <w:rsid w:val="00AF2E71"/>
    <w:rsid w:val="00B02331"/>
    <w:rsid w:val="00B23B59"/>
    <w:rsid w:val="00B32A5F"/>
    <w:rsid w:val="00B3745C"/>
    <w:rsid w:val="00B61FAA"/>
    <w:rsid w:val="00B84E44"/>
    <w:rsid w:val="00BB000F"/>
    <w:rsid w:val="00BC0AFB"/>
    <w:rsid w:val="00C23562"/>
    <w:rsid w:val="00C40840"/>
    <w:rsid w:val="00C76A22"/>
    <w:rsid w:val="00CA31EB"/>
    <w:rsid w:val="00CB2C01"/>
    <w:rsid w:val="00CC6770"/>
    <w:rsid w:val="00D01563"/>
    <w:rsid w:val="00D33980"/>
    <w:rsid w:val="00D44B3A"/>
    <w:rsid w:val="00D4771C"/>
    <w:rsid w:val="00D84550"/>
    <w:rsid w:val="00D949A6"/>
    <w:rsid w:val="00DB5505"/>
    <w:rsid w:val="00DD3AB9"/>
    <w:rsid w:val="00DF0A30"/>
    <w:rsid w:val="00E7090D"/>
    <w:rsid w:val="00E9344B"/>
    <w:rsid w:val="00ED1D57"/>
    <w:rsid w:val="00EE0BFA"/>
    <w:rsid w:val="00EE6CEC"/>
    <w:rsid w:val="00EF1965"/>
    <w:rsid w:val="00EF7AC9"/>
    <w:rsid w:val="00F25745"/>
    <w:rsid w:val="00F61E1C"/>
    <w:rsid w:val="00FF74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068"/>
    <w:rPr>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referencia nota al pie,Texto de nota al pie,Footnotes refss"/>
    <w:basedOn w:val="DefaultParagraphFont"/>
    <w:uiPriority w:val="99"/>
    <w:semiHidden/>
    <w:rsid w:val="00153D80"/>
    <w:rPr>
      <w:rFonts w:cs="Times New Roman"/>
      <w:vertAlign w:val="superscript"/>
    </w:rPr>
  </w:style>
  <w:style w:type="paragraph" w:styleId="FootnoteText">
    <w:name w:val="footnote text"/>
    <w:aliases w:val="Footnote reference,FA Fu,Footnote Text Char Char Char Char Char,Footnote Text Char Char Char Char,Footnote Text Char Char Char,FA Fußnotentext,FA Fuﬂnotentext,texto de nota al pie,Car1,Texto nota pie Car1,Car1 Car2,ft"/>
    <w:basedOn w:val="Normal"/>
    <w:link w:val="FootnoteTextChar"/>
    <w:uiPriority w:val="99"/>
    <w:rsid w:val="00153D80"/>
    <w:rPr>
      <w:sz w:val="20"/>
      <w:szCs w:val="20"/>
      <w:lang w:val="es-ES" w:eastAsia="es-ES"/>
    </w:rPr>
  </w:style>
  <w:style w:type="character" w:customStyle="1" w:styleId="FootnoteTextChar">
    <w:name w:val="Footnote Text Char"/>
    <w:aliases w:val="Footnote reference Char,FA Fu Char,Footnote Text Char Char Char Char Char Char,Footnote Text Char Char Char Char Char1,Footnote Text Char Char Char Char1,FA Fußnotentext Char,FA Fuﬂnotentext Char,texto de nota al pie Char,Car1 Char"/>
    <w:basedOn w:val="DefaultParagraphFont"/>
    <w:link w:val="FootnoteText"/>
    <w:uiPriority w:val="99"/>
    <w:locked/>
    <w:rsid w:val="00153D80"/>
    <w:rPr>
      <w:rFonts w:cs="Times New Roman"/>
      <w:lang w:val="es-ES" w:eastAsia="es-ES" w:bidi="ar-SA"/>
    </w:rPr>
  </w:style>
  <w:style w:type="paragraph" w:styleId="NormalWeb">
    <w:name w:val="Normal (Web)"/>
    <w:basedOn w:val="Normal"/>
    <w:uiPriority w:val="99"/>
    <w:rsid w:val="00153D80"/>
    <w:pPr>
      <w:spacing w:before="100" w:beforeAutospacing="1" w:after="100" w:afterAutospacing="1"/>
    </w:pPr>
    <w:rPr>
      <w:lang w:val="es-ES" w:eastAsia="es-ES"/>
    </w:rPr>
  </w:style>
  <w:style w:type="paragraph" w:customStyle="1" w:styleId="Sansinterligne">
    <w:name w:val="Sans interligne"/>
    <w:uiPriority w:val="99"/>
    <w:rsid w:val="00153D80"/>
    <w:rPr>
      <w:rFonts w:ascii="Calibri" w:hAnsi="Calibri"/>
      <w:lang w:val="es-ES"/>
    </w:rPr>
  </w:style>
  <w:style w:type="paragraph" w:styleId="BodyText">
    <w:name w:val="Body Text"/>
    <w:basedOn w:val="Normal"/>
    <w:link w:val="BodyTextChar1"/>
    <w:uiPriority w:val="99"/>
    <w:rsid w:val="00B61FAA"/>
    <w:pPr>
      <w:jc w:val="both"/>
    </w:pPr>
    <w:rPr>
      <w:rFonts w:ascii="Arial" w:hAnsi="Arial" w:cs="Arial"/>
      <w:lang w:val="es-ES" w:eastAsia="es-ES"/>
    </w:rPr>
  </w:style>
  <w:style w:type="character" w:customStyle="1" w:styleId="BodyTextChar">
    <w:name w:val="Body Text Char"/>
    <w:basedOn w:val="DefaultParagraphFont"/>
    <w:link w:val="BodyText"/>
    <w:uiPriority w:val="99"/>
    <w:semiHidden/>
    <w:rsid w:val="00EE2D74"/>
    <w:rPr>
      <w:sz w:val="24"/>
      <w:szCs w:val="24"/>
      <w:lang w:val="fr-FR" w:eastAsia="fr-FR"/>
    </w:rPr>
  </w:style>
  <w:style w:type="character" w:customStyle="1" w:styleId="BodyTextChar1">
    <w:name w:val="Body Text Char1"/>
    <w:basedOn w:val="DefaultParagraphFont"/>
    <w:link w:val="BodyText"/>
    <w:uiPriority w:val="99"/>
    <w:locked/>
    <w:rsid w:val="00B61FAA"/>
    <w:rPr>
      <w:rFonts w:ascii="Arial" w:hAnsi="Arial" w:cs="Arial"/>
      <w:sz w:val="24"/>
      <w:szCs w:val="24"/>
      <w:lang w:val="es-ES" w:eastAsia="es-ES" w:bidi="ar-SA"/>
    </w:rPr>
  </w:style>
  <w:style w:type="paragraph" w:styleId="Footer">
    <w:name w:val="footer"/>
    <w:basedOn w:val="Normal"/>
    <w:link w:val="FooterChar1"/>
    <w:uiPriority w:val="99"/>
    <w:rsid w:val="00B61FAA"/>
    <w:pPr>
      <w:tabs>
        <w:tab w:val="center" w:pos="4252"/>
        <w:tab w:val="right" w:pos="8504"/>
      </w:tabs>
    </w:pPr>
    <w:rPr>
      <w:lang w:val="es-ES" w:eastAsia="es-ES"/>
    </w:rPr>
  </w:style>
  <w:style w:type="character" w:customStyle="1" w:styleId="FooterChar">
    <w:name w:val="Footer Char"/>
    <w:basedOn w:val="DefaultParagraphFont"/>
    <w:link w:val="Footer"/>
    <w:uiPriority w:val="99"/>
    <w:rsid w:val="00EE2D74"/>
    <w:rPr>
      <w:sz w:val="24"/>
      <w:szCs w:val="24"/>
      <w:lang w:val="fr-FR" w:eastAsia="fr-FR"/>
    </w:rPr>
  </w:style>
  <w:style w:type="character" w:customStyle="1" w:styleId="FooterChar1">
    <w:name w:val="Footer Char1"/>
    <w:basedOn w:val="DefaultParagraphFont"/>
    <w:link w:val="Footer"/>
    <w:uiPriority w:val="99"/>
    <w:locked/>
    <w:rsid w:val="00B61FAA"/>
    <w:rPr>
      <w:rFonts w:cs="Times New Roman"/>
      <w:sz w:val="24"/>
      <w:szCs w:val="24"/>
      <w:lang w:val="es-ES" w:eastAsia="es-ES" w:bidi="ar-SA"/>
    </w:rPr>
  </w:style>
  <w:style w:type="paragraph" w:styleId="Header">
    <w:name w:val="header"/>
    <w:basedOn w:val="Normal"/>
    <w:link w:val="HeaderChar"/>
    <w:uiPriority w:val="99"/>
    <w:semiHidden/>
    <w:unhideWhenUsed/>
    <w:rsid w:val="00C40840"/>
    <w:pPr>
      <w:tabs>
        <w:tab w:val="center" w:pos="4680"/>
        <w:tab w:val="right" w:pos="9360"/>
      </w:tabs>
    </w:pPr>
  </w:style>
  <w:style w:type="character" w:customStyle="1" w:styleId="HeaderChar">
    <w:name w:val="Header Char"/>
    <w:basedOn w:val="DefaultParagraphFont"/>
    <w:link w:val="Header"/>
    <w:uiPriority w:val="99"/>
    <w:semiHidden/>
    <w:rsid w:val="00C40840"/>
    <w:rPr>
      <w:sz w:val="24"/>
      <w:szCs w:val="24"/>
      <w:lang w:val="fr-FR" w:eastAsia="fr-FR"/>
    </w:rPr>
  </w:style>
  <w:style w:type="paragraph" w:styleId="ListParagraph">
    <w:name w:val="List Paragraph"/>
    <w:basedOn w:val="Normal"/>
    <w:uiPriority w:val="34"/>
    <w:qFormat/>
    <w:rsid w:val="00382B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4000</Words>
  <Characters>22804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PODER JUDICIAL</vt:lpstr>
    </vt:vector>
  </TitlesOfParts>
  <Company>Mision Colombia</Company>
  <LinksUpToDate>false</LinksUpToDate>
  <CharactersWithSpaces>26751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PODER JUDICIAL</dc:title>
  <dc:subject/>
  <dc:creator>Sergio Castellanos</dc:creator>
  <cp:keywords/>
  <dc:description/>
  <cp:lastModifiedBy> </cp:lastModifiedBy>
  <cp:revision>35</cp:revision>
  <cp:lastPrinted>2009-11-11T13:17:00Z</cp:lastPrinted>
  <dcterms:created xsi:type="dcterms:W3CDTF">2009-11-11T12:04:00Z</dcterms:created>
  <dcterms:modified xsi:type="dcterms:W3CDTF">2009-11-11T13:16:00Z</dcterms:modified>
</cp:coreProperties>
</file>