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pPr>
      <w:r>
        <w:rPr>
          <w:rFonts w:eastAsia="Times New Roman" w:cs="Arial" w:ascii="Arial" w:hAnsi="Arial"/>
          <w:b/>
          <w:bCs/>
          <w:color w:val="000000"/>
          <w:sz w:val="36"/>
          <w:szCs w:val="36"/>
          <w:lang w:eastAsia="es-ES"/>
        </w:rPr>
        <w:t>CONTRIBUCIÓN ESCRITA</w:t>
      </w:r>
    </w:p>
    <w:p>
      <w:pPr>
        <w:pStyle w:val="Normal"/>
        <w:spacing w:lineRule="auto" w:line="240" w:before="0" w:after="0"/>
        <w:jc w:val="center"/>
        <w:rPr>
          <w:rFonts w:ascii="Times New Roman" w:hAnsi="Times New Roman" w:eastAsia="Times New Roman" w:cs="Times New Roman"/>
          <w:sz w:val="32"/>
          <w:szCs w:val="32"/>
          <w:lang w:eastAsia="es-ES"/>
        </w:rPr>
      </w:pPr>
      <w:r>
        <w:rPr>
          <w:rFonts w:eastAsia="Times New Roman" w:cs="Times New Roman" w:ascii="Times New Roman" w:hAnsi="Times New Roman"/>
          <w:sz w:val="32"/>
          <w:szCs w:val="32"/>
          <w:lang w:eastAsia="es-ES"/>
        </w:rPr>
      </w:r>
    </w:p>
    <w:p>
      <w:pPr>
        <w:pStyle w:val="Normal"/>
        <w:spacing w:lineRule="auto" w:line="240" w:before="0" w:after="0"/>
        <w:rPr>
          <w:rFonts w:ascii="Times New Roman" w:hAnsi="Times New Roman" w:eastAsia="Times New Roman" w:cs="Times New Roman"/>
          <w:lang w:eastAsia="es-ES"/>
        </w:rPr>
      </w:pPr>
      <w:r>
        <w:rPr>
          <w:rFonts w:eastAsia="Times New Roman" w:cs="Times New Roman" w:ascii="Times New Roman" w:hAnsi="Times New Roman"/>
          <w:lang w:eastAsia="es-ES"/>
        </w:rPr>
      </w:r>
    </w:p>
    <w:p>
      <w:pPr>
        <w:pStyle w:val="Normal"/>
        <w:spacing w:lineRule="auto" w:line="240" w:before="0" w:after="0"/>
        <w:rPr>
          <w:rFonts w:ascii="Times New Roman" w:hAnsi="Times New Roman" w:eastAsia="Times New Roman" w:cs="Times New Roman"/>
          <w:lang w:eastAsia="es-ES"/>
        </w:rPr>
      </w:pPr>
      <w:r>
        <w:rPr>
          <w:rFonts w:eastAsia="Times New Roman" w:cs="Times New Roman" w:ascii="Times New Roman" w:hAnsi="Times New Roman"/>
          <w:lang w:eastAsia="es-ES"/>
        </w:rPr>
      </w:r>
    </w:p>
    <w:p>
      <w:pPr>
        <w:pStyle w:val="Normal"/>
        <w:spacing w:lineRule="auto" w:line="240" w:before="0" w:after="0"/>
        <w:rPr>
          <w:rFonts w:ascii="Times New Roman" w:hAnsi="Times New Roman" w:eastAsia="Times New Roman" w:cs="Times New Roman"/>
          <w:lang w:eastAsia="es-ES"/>
        </w:rPr>
      </w:pPr>
      <w:r>
        <w:rPr>
          <w:rFonts w:eastAsia="Times New Roman" w:cs="Times New Roman" w:ascii="Times New Roman" w:hAnsi="Times New Roman"/>
          <w:lang w:eastAsia="es-ES"/>
        </w:rPr>
      </w:r>
    </w:p>
    <w:p>
      <w:pPr>
        <w:pStyle w:val="Normal"/>
        <w:spacing w:lineRule="auto" w:line="240" w:before="0" w:after="0"/>
        <w:rPr>
          <w:rFonts w:ascii="Times New Roman" w:hAnsi="Times New Roman" w:eastAsia="Times New Roman" w:cs="Times New Roman"/>
          <w:lang w:eastAsia="es-ES"/>
        </w:rPr>
      </w:pPr>
      <w:r>
        <w:rPr>
          <w:rFonts w:eastAsia="Times New Roman" w:cs="Times New Roman" w:ascii="Times New Roman" w:hAnsi="Times New Roman"/>
          <w:lang w:eastAsia="es-ES"/>
        </w:rPr>
      </w:r>
    </w:p>
    <w:p>
      <w:pPr>
        <w:pStyle w:val="Normal"/>
        <w:spacing w:lineRule="auto" w:line="240" w:before="0" w:after="0"/>
        <w:rPr>
          <w:rFonts w:ascii="Times New Roman" w:hAnsi="Times New Roman" w:eastAsia="Times New Roman" w:cs="Times New Roman"/>
          <w:lang w:eastAsia="es-ES"/>
        </w:rPr>
      </w:pPr>
      <w:r>
        <w:rPr>
          <w:rFonts w:eastAsia="Times New Roman" w:cs="Times New Roman" w:ascii="Times New Roman" w:hAnsi="Times New Roman"/>
          <w:lang w:eastAsia="es-ES"/>
        </w:rPr>
      </w:r>
    </w:p>
    <w:p>
      <w:pPr>
        <w:pStyle w:val="Normal"/>
        <w:spacing w:lineRule="auto" w:line="240" w:before="0" w:after="0"/>
        <w:rPr>
          <w:rFonts w:ascii="Times New Roman" w:hAnsi="Times New Roman" w:eastAsia="Times New Roman" w:cs="Times New Roman"/>
          <w:lang w:eastAsia="es-ES"/>
        </w:rPr>
      </w:pPr>
      <w:r>
        <w:rPr>
          <w:rFonts w:eastAsia="Times New Roman" w:cs="Times New Roman" w:ascii="Times New Roman" w:hAnsi="Times New Roman"/>
          <w:lang w:eastAsia="es-ES"/>
        </w:rPr>
      </w:r>
    </w:p>
    <w:p>
      <w:pPr>
        <w:pStyle w:val="Normal"/>
        <w:spacing w:lineRule="auto" w:line="240" w:before="0" w:after="0"/>
        <w:jc w:val="center"/>
        <w:rPr/>
      </w:pPr>
      <w:r>
        <w:rPr>
          <w:rFonts w:eastAsia="Times New Roman" w:cs="Arial" w:ascii="Arial" w:hAnsi="Arial"/>
          <w:color w:val="000000"/>
          <w:sz w:val="32"/>
          <w:szCs w:val="32"/>
          <w:lang w:eastAsia="es-ES"/>
        </w:rPr>
        <w:t>Para la 127º sesión del Comité de Derechos Humanos de Naciones Unidas, respecto a la adopción de la lista de cuestiones previa a la presentación de informe (LoIPR) de España.</w:t>
      </w:r>
    </w:p>
    <w:p>
      <w:pPr>
        <w:pStyle w:val="Normal"/>
        <w:spacing w:lineRule="auto" w:line="240" w:before="0" w:after="0"/>
        <w:jc w:val="center"/>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center"/>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center"/>
        <w:rPr>
          <w:b/>
          <w:b/>
          <w:sz w:val="32"/>
          <w:szCs w:val="32"/>
        </w:rPr>
      </w:pPr>
      <w:r>
        <w:rPr>
          <w:b/>
          <w:sz w:val="32"/>
          <w:szCs w:val="32"/>
        </w:rPr>
      </w:r>
    </w:p>
    <w:p>
      <w:pPr>
        <w:pStyle w:val="Normal"/>
        <w:spacing w:lineRule="auto" w:line="240" w:before="0" w:after="0"/>
        <w:jc w:val="center"/>
        <w:rPr/>
      </w:pPr>
      <w:r>
        <w:rPr>
          <w:b/>
          <w:sz w:val="32"/>
          <w:szCs w:val="32"/>
        </w:rPr>
        <w:t xml:space="preserve">ELABORADO POR LA ORGANIZACIÓN  ÒMNIUM CULTURAL </w:t>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ind w:left="720" w:hanging="0"/>
        <w:jc w:val="center"/>
        <w:rPr>
          <w:sz w:val="32"/>
          <w:szCs w:val="32"/>
        </w:rPr>
      </w:pPr>
      <w:r>
        <w:rPr>
          <w:rFonts w:eastAsia="Times New Roman" w:cs="Times New Roman" w:ascii="Times New Roman" w:hAnsi="Times New Roman"/>
          <w:b/>
          <w:sz w:val="32"/>
          <w:szCs w:val="32"/>
        </w:rPr>
        <w:t>Òmnium Cultural</w:t>
      </w:r>
    </w:p>
    <w:p>
      <w:pPr>
        <w:pStyle w:val="Normal"/>
        <w:ind w:left="720" w:hanging="0"/>
        <w:jc w:val="center"/>
        <w:rPr>
          <w:sz w:val="32"/>
          <w:szCs w:val="32"/>
        </w:rPr>
      </w:pPr>
      <w:r>
        <w:rPr>
          <w:rFonts w:eastAsia="Times New Roman" w:cs="Times New Roman" w:ascii="Times New Roman" w:hAnsi="Times New Roman"/>
          <w:sz w:val="32"/>
          <w:szCs w:val="32"/>
        </w:rPr>
        <w:t>Diputació 276</w:t>
      </w:r>
    </w:p>
    <w:p>
      <w:pPr>
        <w:pStyle w:val="Normal"/>
        <w:ind w:left="720" w:hanging="0"/>
        <w:jc w:val="center"/>
        <w:rPr>
          <w:sz w:val="32"/>
          <w:szCs w:val="32"/>
        </w:rPr>
      </w:pPr>
      <w:r>
        <w:rPr>
          <w:rFonts w:eastAsia="Times New Roman" w:cs="Times New Roman" w:ascii="Times New Roman" w:hAnsi="Times New Roman"/>
          <w:sz w:val="32"/>
          <w:szCs w:val="32"/>
        </w:rPr>
        <w:t>08009 Barcelona</w:t>
      </w:r>
    </w:p>
    <w:p>
      <w:pPr>
        <w:pStyle w:val="Normal"/>
        <w:ind w:left="720" w:hanging="0"/>
        <w:jc w:val="center"/>
        <w:rPr>
          <w:sz w:val="32"/>
          <w:szCs w:val="32"/>
        </w:rPr>
      </w:pPr>
      <w:r>
        <w:rPr>
          <w:rFonts w:eastAsia="Times New Roman" w:cs="Times New Roman" w:ascii="Times New Roman" w:hAnsi="Times New Roman"/>
          <w:sz w:val="32"/>
          <w:szCs w:val="32"/>
        </w:rPr>
        <w:t>Téléphone: 0034 93 319 80 50</w:t>
      </w:r>
    </w:p>
    <w:p>
      <w:pPr>
        <w:pStyle w:val="Normal"/>
        <w:spacing w:lineRule="auto" w:line="240" w:before="0" w:after="0"/>
        <w:ind w:left="720" w:hanging="0"/>
        <w:jc w:val="center"/>
        <w:rPr>
          <w:b/>
          <w:b/>
          <w:sz w:val="32"/>
          <w:szCs w:val="32"/>
        </w:rPr>
      </w:pPr>
      <w:r>
        <w:rPr>
          <w:rFonts w:eastAsia="Times New Roman" w:cs="Times New Roman" w:ascii="Times New Roman" w:hAnsi="Times New Roman"/>
          <w:b/>
          <w:color w:val="0000FF"/>
          <w:sz w:val="32"/>
          <w:szCs w:val="32"/>
        </w:rPr>
        <w:t>info@omnium.cat</w:t>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jc w:val="center"/>
        <w:rPr>
          <w:b/>
          <w:b/>
        </w:rPr>
      </w:pPr>
      <w:r>
        <w:rPr>
          <w:b/>
        </w:rPr>
      </w:r>
    </w:p>
    <w:p>
      <w:pPr>
        <w:pStyle w:val="Normal"/>
        <w:spacing w:lineRule="auto" w:line="240" w:before="0" w:after="0"/>
        <w:rPr>
          <w:rFonts w:ascii="Times New Roman" w:hAnsi="Times New Roman" w:eastAsia="Times New Roman" w:cs="Times New Roman"/>
          <w:lang w:eastAsia="es-ES"/>
        </w:rPr>
      </w:pPr>
      <w:r>
        <w:rPr>
          <w:rFonts w:eastAsia="Times New Roman" w:cs="Times New Roman" w:ascii="Times New Roman" w:hAnsi="Times New Roman"/>
          <w:lang w:eastAsia="es-ES"/>
        </w:rPr>
      </w:r>
    </w:p>
    <w:p>
      <w:pPr>
        <w:pStyle w:val="Normal"/>
        <w:spacing w:lineRule="auto" w:line="240" w:before="0" w:after="0"/>
        <w:jc w:val="right"/>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right"/>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right"/>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right"/>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right"/>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right"/>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right"/>
        <w:rPr>
          <w:rFonts w:ascii="Arial" w:hAnsi="Arial" w:eastAsia="Times New Roman" w:cs="Arial"/>
          <w:color w:val="000000"/>
          <w:sz w:val="32"/>
          <w:szCs w:val="32"/>
          <w:lang w:eastAsia="es-ES"/>
        </w:rPr>
      </w:pPr>
      <w:r>
        <w:rPr>
          <w:rFonts w:eastAsia="Times New Roman" w:cs="Arial" w:ascii="Arial" w:hAnsi="Arial"/>
          <w:color w:val="000000"/>
          <w:sz w:val="32"/>
          <w:szCs w:val="32"/>
          <w:lang w:eastAsia="es-ES"/>
        </w:rPr>
      </w:r>
    </w:p>
    <w:p>
      <w:pPr>
        <w:pStyle w:val="Normal"/>
        <w:spacing w:lineRule="auto" w:line="240" w:before="0" w:after="0"/>
        <w:jc w:val="right"/>
        <w:rPr/>
      </w:pPr>
      <w:r>
        <w:rPr>
          <w:rFonts w:eastAsia="Times New Roman" w:cs="Arial" w:ascii="Arial" w:hAnsi="Arial"/>
          <w:color w:val="000000"/>
          <w:sz w:val="32"/>
          <w:szCs w:val="32"/>
          <w:lang w:eastAsia="es-ES"/>
        </w:rPr>
        <w:t>Agosto de 2019</w:t>
      </w:r>
      <w:r>
        <w:rPr>
          <w:rFonts w:eastAsia="Times New Roman" w:cs="Times New Roman" w:ascii="Times New Roman" w:hAnsi="Times New Roman"/>
          <w:color w:val="000000"/>
          <w:sz w:val="32"/>
          <w:szCs w:val="32"/>
          <w:lang w:eastAsia="es-ES"/>
        </w:rPr>
        <w:br/>
      </w:r>
    </w:p>
    <w:p>
      <w:pPr>
        <w:pStyle w:val="Normal"/>
        <w:spacing w:lineRule="auto" w:line="240" w:before="0" w:after="0"/>
        <w:jc w:val="right"/>
        <w:rPr>
          <w:rFonts w:ascii="Times New Roman" w:hAnsi="Times New Roman" w:eastAsia="Times New Roman" w:cs="Times New Roman"/>
          <w:color w:val="000000"/>
          <w:sz w:val="32"/>
          <w:szCs w:val="32"/>
          <w:lang w:eastAsia="es-ES"/>
        </w:rPr>
      </w:pPr>
      <w:r>
        <w:rPr>
          <w:rFonts w:eastAsia="Times New Roman" w:cs="Times New Roman" w:ascii="Times New Roman" w:hAnsi="Times New Roman"/>
          <w:color w:val="000000"/>
          <w:sz w:val="32"/>
          <w:szCs w:val="32"/>
          <w:lang w:eastAsia="es-ES"/>
        </w:rPr>
      </w:r>
    </w:p>
    <w:p>
      <w:pPr>
        <w:pStyle w:val="Normal"/>
        <w:jc w:val="both"/>
        <w:rPr/>
      </w:pPr>
      <w:r>
        <w:rPr>
          <w:rFonts w:eastAsia="Times New Roman" w:cs="Times New Roman" w:ascii="Times New Roman" w:hAnsi="Times New Roman"/>
          <w:b/>
          <w:bCs/>
          <w:sz w:val="28"/>
          <w:szCs w:val="28"/>
        </w:rPr>
        <w:t>A</w:t>
      </w:r>
      <w:r>
        <w:rPr>
          <w:rFonts w:eastAsia="Times New Roman" w:cs="Calibri"/>
          <w:b/>
          <w:bCs/>
          <w:sz w:val="28"/>
          <w:szCs w:val="28"/>
        </w:rPr>
        <w:t xml:space="preserve">. Introducción. </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 Òmnium Cultural es una entidad sin ánimo de lucro que tiene más de 173.000 socios y 58 años de historia. Nacida el 11 de julio de 1961, en el punto álgido de los 40 años de dictadura franquista, Òmnium Cultural surgió para combatir la censura y la persecución de cultura catalana y llenar el agujero dejado por las instituciones políticas y civiles de Cataluña prohibidas por la dictadura.</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2) Òmnium Cultural fue clausurada por el régimen franquista entre 1963 y 1967, pero continuó trabajando desde París y clandestinamente para defender y promover la lengua y la cultura del país. Con el paso de los años, Òmnium Cultural se ha convertido en una de las entidades de referencia de la sociedad civil catalana.</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3) Actualmente, Òmnium Cultural es una de las principales entidades sin ánimo de lucro del Estado español y una de las organizaciones culturales más relevantes a nivel europeo. En Cataluña, Òmnium es sin duda un pilar de la promoción de la cultura y la lengua y un actor clave en la defensa de los derechos humanos y civiles, con una creciente implicación a nivel europeo y mundial.</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4) El Presidente de la asociación es el empresario y activista Jordi Cuixart, en prisión provisional desde el 16 de octubre de 2017 por organizar una manifestación en favor de la celebración del referéndum de autodeterminación de Cataluña.</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b/>
          <w:b/>
          <w:bCs/>
          <w:sz w:val="28"/>
          <w:szCs w:val="28"/>
        </w:rPr>
      </w:pPr>
      <w:r>
        <w:rPr>
          <w:rFonts w:eastAsia="Times New Roman" w:cs="Calibri" w:ascii="Calibri" w:hAnsi="Calibri"/>
          <w:b/>
          <w:bCs/>
          <w:sz w:val="28"/>
          <w:szCs w:val="28"/>
        </w:rPr>
        <w:t xml:space="preserve">B. Descricpción de la situación de violación de la libertad de expresión y reunión pacífica de dos líderes de la sociedad civil encarcelados. </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5. El 20 de septiembre de 2017, en un intento por evitar la celebración del referéndum de autodeterminación catalán, la policía española arrestó a 14 personas y registró 41 edificios de la administración regional.</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6. En respuesta a esta operación, las principales organizaciones de la sociedad civil catalana, Òmnium Cultural y la Asamblea Nacional Catalana  convocaron una manifestación para "defender pacíficamente las instituciones a través de la no violencia".</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7. Entre 40,000 y 60,000 personas se reunieron frente al ministerio de economía regional, que también había sido registrado. El objetivo de la manifestación era protestar contra la represión y reclamar el derecho democrático a decidir sobre el futuro de Cataluña.</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8. Según un artículo publicado el mismo día en el periódico El País, "había una atmósfera pacífica y familiar frente a los ministerios, a pesar de que había una indignación considerable por lo que estaba sucediendo". A pesar del gran número de manifestantes, no hubo arrestos ni heridos. Por otro lado, a dos vehículos de la policía estacionados justo en el medio de la manifestación les pincharon los neumáticos, fueron cubiertos de pegatinas y dañados por la gran cantidad de personas (periodistas y manifestantes) que se subieron encima de ellos en el transcurso del día. A medianoche, Jordi Cuixart y el presidente de la Asamblea Nacional Catalana, Jordi Sánchez, suspendieron la manifestación.</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9. El 1 de octubre de 2017, miles de policías y guardias civiles (policía militar) españoles fueron desplegados en Cataluña para detener el referéndum. En docenas de mesas electorales, estos cuerpos de policía atacaron a las personas reunidas allí pacíficamente. Casi mil votantes resultaron heridos. A pesar de la brutalidad policial, más de dos millones de personas fueron a los colegios electorales para expresar su opinión sobre el futuro político de la región, con una abrumadora mayoría de votos a favor de la independencia.</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 xml:space="preserve">10. El 16 de octubre de 2017, la Audiencia Nacional, un tribunal nacional español, ordenó el encarcelamiento de </w:t>
      </w:r>
      <w:r>
        <w:rPr>
          <w:rFonts w:eastAsia="Times New Roman" w:cs="Calibri" w:ascii="Calibri" w:hAnsi="Calibri"/>
          <w:b/>
          <w:bCs/>
          <w:sz w:val="28"/>
          <w:szCs w:val="28"/>
        </w:rPr>
        <w:t>Jordi Cuixart y Jordi Sánchez</w:t>
      </w:r>
      <w:r>
        <w:rPr>
          <w:rFonts w:eastAsia="Times New Roman" w:cs="Calibri" w:ascii="Calibri" w:hAnsi="Calibri"/>
          <w:sz w:val="28"/>
          <w:szCs w:val="28"/>
        </w:rPr>
        <w:t xml:space="preserve"> por la acusación de "sedición" por su papel en la organización de la manifestación del 20 de septiembre de 2017.</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11. El arresto de estos líderes de la sociedad civil ha sido criticado por importantes organizacions internacionales como Amnistía Internacional, la Organización Mundial contra la Tortura, Front Line Defenders y muchas otras organizaciones con el argumento de que los hechos en cuestión eran claramente subsumibles dentro de los ámbitos de la libertad de expresión y reunión pacífica, pidiendo la libertad de los prisioneros para ser liberados y la retirada de los cargos penales.</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12. También se han presentado cargos contra varios líderes políticos, incluidos miembros del gobierno catalán, así como contra la presidenta del parlamento catalán,</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13. A partir del 12 de febrero de 2019, Jordi Cuixart, Jordi Sánchez y los políticos catalanes han sido juzgados por el Tribunal Supremo español. Además de la manifestación del 20 de septiembre, la acusación también los acusa de haber solicitado la participación en el referéndum del 1 de octubre de 2017. Los cargos se han agrabado al ser acusados ya en esta fase de haber cometido también el delito de "rebelión", lo que significa la organización de  una "insurrección violenta" con miras a provocar la secesión de parte del país. Las penas solicitadas por la Fiscalía General del Estado para Jordi Sánchez y Jordi Cuixart son de 17 años de prisión. El gobierno español, que participa en el juicio como demandante, a través del abogado del Estado, solicita  que sean condenados a ocho años de prisión.</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14. Los dos líderes de la sociedad civil catalana han sido encarcelados durante veinte meses por ejercer los derechos protegidos por el Pacto Internacional de Derechos Civiles y Políticos (Parte 3), en particular el derecho a la libertad de opinión y expresión (art. 19), libertad de reunión (art. 21) y libertad de asociación (art. 22). Estas acciones, por lo tanto, constituyen detención arbitraria y encarcelamiento en violación del art. 9.1 en la Parte 3.</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15. Además, organizar la manifestación del 20 de septiembre de 2017 y solicitar la participación en el referéndum de autodeterminación del 1 de octubre de 2017 son acciones en ejercicio de la libertad de expresión (art. 19) y de reunión (art. 21) y que, por lo tanto, no pueden justificar sentencias de prisión. Las peticiones tanto de la Fiscalía como del gobierno español en el juicio en Madrid son, por lo tanto, violaciones graves de los derechos fundamentales del acusado.</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16. La detención y el juicio de los presidentes de las principales organizaciones de la sociedad civil catalana constituyen intimidación, con un efecto coactivo (chilling effect) sobre las acciones de la sociedad civil en su conjunto en España, y sirve para mandar un mensaje amenazante a todos los defensores de los derechos humanos que pretenden organizar manifestaciones en términos comparables.</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 xml:space="preserve">17. Estas posiciones son compartidas por el Grupo de Trabajo de la ONU sobre Detención Arbitraria, que, en su </w:t>
      </w:r>
      <w:r>
        <w:rPr>
          <w:rFonts w:eastAsia="Times New Roman" w:cs="Calibri" w:ascii="Calibri" w:hAnsi="Calibri"/>
          <w:b/>
          <w:bCs/>
          <w:sz w:val="28"/>
          <w:szCs w:val="28"/>
        </w:rPr>
        <w:t>Dictamen 6/2019 emitido el 27 de mayo de 2019</w:t>
      </w:r>
      <w:r>
        <w:rPr>
          <w:rFonts w:eastAsia="Times New Roman" w:cs="Calibri" w:ascii="Calibri" w:hAnsi="Calibri"/>
          <w:sz w:val="28"/>
          <w:szCs w:val="28"/>
        </w:rPr>
        <w:t>, consideró que el encarcelamiento de 20 meses de Jordi Sànchez, Jordi Cuixart y Oriol Junqueras es de hecho arbitrario, y es resultado de su ejercicio legítimo de sus derechos fundamentales de libertad de expresión, opinión y manifestación pacífica.</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18. El Dictamen del GTDA señala expresamente en sus puntos 118 y 119 que «un proceso penal como el del presente caso se vuelve inverosímil si se analiza con el momento político convulso en el que se presenta la acusación y en fechas cercanas a laposible celebración de un  referéndum, cuando los Sres. Cuixart, Sánchez y Junqueras llevan años de trayectoria política impulsando la independencia de Cataluña. A ello se adicionan las declaraciones de altos funcionarios del Gobierno  que hablan de descabezar a los líderes del movimiento independentista y pretender calificar la conducta de los Sres. Cuixart, Sánchez y Junqueras de violenta ante</w:t>
      </w:r>
    </w:p>
    <w:p>
      <w:pPr>
        <w:pStyle w:val="Normal"/>
        <w:jc w:val="both"/>
        <w:rPr>
          <w:rFonts w:ascii="Calibri" w:hAnsi="Calibri" w:eastAsia="Times New Roman" w:cs="Calibri"/>
          <w:sz w:val="28"/>
          <w:szCs w:val="28"/>
        </w:rPr>
      </w:pPr>
      <w:r>
        <w:rPr>
          <w:rFonts w:eastAsia="Times New Roman" w:cs="Calibri" w:ascii="Calibri" w:hAnsi="Calibri"/>
          <w:sz w:val="28"/>
          <w:szCs w:val="28"/>
        </w:rPr>
        <w:t>una protesta social. (...) La inexistencia del elemento de violencia y la ausencia de información convincente sobre hechos atribuibles a los Sres. Cuixart, Sánchez y Junqueras, que los involucren en conductas constitutivas de los delitos imputados, han generado la convicción en el Grupo de Trabajo de que las acusaciones penales en su contra tienen por objeto coaccionarlos por sus opiniones políticas en torno a la independencia de Cataluña e inhibirlos de continuar con esa pretensión en el ámbito político.</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 xml:space="preserve">19. El Grupo de Trabajo de Naciones Unidas también expresa su convicción que la presunción de inocencia ha sido vulnernada cuando señala que «las injerencias públicas que condenan abiertamente a los acusados, antes de la sentencia, vulneran la presunción de inocencia y constituyen una injerencia indebida que afecta a la independencia y la imparcialidad del tribunal» (punto 123 del dictamen). </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b/>
          <w:b/>
          <w:bCs/>
          <w:sz w:val="28"/>
          <w:szCs w:val="28"/>
        </w:rPr>
      </w:pPr>
      <w:r>
        <w:rPr>
          <w:rFonts w:eastAsia="Times New Roman" w:cs="Calibri" w:ascii="Calibri" w:hAnsi="Calibri"/>
          <w:b/>
          <w:bCs/>
          <w:sz w:val="28"/>
          <w:szCs w:val="28"/>
        </w:rPr>
        <w:t>C. PROPUESTAS DE PREGUNTAS</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1 ¿Qué medidas ha adoptado España, tal como le demandó el GTDA,  para remediar la situación de los Sres. Cuixart y Sánchez, incluyendo su libertad immediata,  y en conformidad con las normas internacionales pertinentes, incluidas las dispuestas en la Declaración Universal de Derechos Humanos y el Pacto?</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2. ¿Ha llevado España, tal como le demandó el GTDA,  una investigación</w:t>
      </w:r>
    </w:p>
    <w:p>
      <w:pPr>
        <w:pStyle w:val="Normal"/>
        <w:jc w:val="both"/>
        <w:rPr>
          <w:rFonts w:ascii="Calibri" w:hAnsi="Calibri" w:eastAsia="Times New Roman" w:cs="Calibri"/>
          <w:sz w:val="28"/>
          <w:szCs w:val="28"/>
        </w:rPr>
      </w:pPr>
      <w:r>
        <w:rPr>
          <w:rFonts w:eastAsia="Times New Roman" w:cs="Calibri" w:ascii="Calibri" w:hAnsi="Calibri"/>
          <w:sz w:val="28"/>
          <w:szCs w:val="28"/>
        </w:rPr>
        <w:t>exhaustiva e independiente de las circunstancias en torno a la privación arbitraria de</w:t>
      </w:r>
    </w:p>
    <w:p>
      <w:pPr>
        <w:pStyle w:val="Normal"/>
        <w:jc w:val="both"/>
        <w:rPr>
          <w:rFonts w:ascii="Calibri" w:hAnsi="Calibri" w:eastAsia="Times New Roman" w:cs="Calibri"/>
          <w:sz w:val="28"/>
          <w:szCs w:val="28"/>
        </w:rPr>
      </w:pPr>
      <w:r>
        <w:rPr>
          <w:rFonts w:eastAsia="Times New Roman" w:cs="Calibri" w:ascii="Calibri" w:hAnsi="Calibri"/>
          <w:sz w:val="28"/>
          <w:szCs w:val="28"/>
        </w:rPr>
        <w:t>libertad de los Sres. Cuixart, Sánchez y ha adoptado las medidas pertinentes contra</w:t>
      </w:r>
    </w:p>
    <w:p>
      <w:pPr>
        <w:pStyle w:val="Normal"/>
        <w:jc w:val="both"/>
        <w:rPr>
          <w:rFonts w:ascii="Calibri" w:hAnsi="Calibri" w:eastAsia="Times New Roman" w:cs="Calibri"/>
          <w:sz w:val="28"/>
          <w:szCs w:val="28"/>
        </w:rPr>
      </w:pPr>
      <w:r>
        <w:rPr>
          <w:rFonts w:eastAsia="Times New Roman" w:cs="Calibri" w:ascii="Calibri" w:hAnsi="Calibri"/>
          <w:sz w:val="28"/>
          <w:szCs w:val="28"/>
        </w:rPr>
        <w:t>los responsables de la violación de sus derechos?</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b/>
          <w:b/>
          <w:bCs/>
          <w:sz w:val="28"/>
          <w:szCs w:val="28"/>
        </w:rPr>
      </w:pPr>
      <w:r>
        <w:rPr>
          <w:rFonts w:eastAsia="Times New Roman" w:cs="Calibri" w:ascii="Calibri" w:hAnsi="Calibri"/>
          <w:b/>
          <w:bCs/>
          <w:sz w:val="28"/>
          <w:szCs w:val="28"/>
        </w:rPr>
        <w:t>D. SOLICITUDES AL COMITÉ</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 xml:space="preserve">Òmnium cultural solicita respetuosamente al Comité de Derechos Humanos que </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Primero: Admita esta contribución escrita y la ponga en consideración de todas las personas integrantes del Comité</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 xml:space="preserve">Segundo: tome en consideración la información contenida en este escrito a fin de evaluar la vulneración de drechos humanos en relación a los señores Cuixart y Sànchez. </w:t>
      </w:r>
    </w:p>
    <w:p>
      <w:pPr>
        <w:pStyle w:val="Normal"/>
        <w:jc w:val="both"/>
        <w:rPr>
          <w:rFonts w:ascii="Calibri" w:hAnsi="Calibri" w:eastAsia="Times New Roman" w:cs="Calibri"/>
          <w:sz w:val="28"/>
          <w:szCs w:val="28"/>
        </w:rPr>
      </w:pPr>
      <w:r>
        <w:rPr>
          <w:rFonts w:eastAsia="Times New Roman" w:cs="Calibri" w:ascii="Calibri" w:hAnsi="Calibri"/>
          <w:sz w:val="28"/>
          <w:szCs w:val="28"/>
        </w:rPr>
      </w:r>
    </w:p>
    <w:p>
      <w:pPr>
        <w:pStyle w:val="Normal"/>
        <w:jc w:val="both"/>
        <w:rPr>
          <w:rFonts w:ascii="Calibri" w:hAnsi="Calibri" w:eastAsia="Times New Roman" w:cs="Calibri"/>
          <w:sz w:val="28"/>
          <w:szCs w:val="28"/>
        </w:rPr>
      </w:pPr>
      <w:r>
        <w:rPr>
          <w:rFonts w:eastAsia="Times New Roman" w:cs="Calibri" w:ascii="Calibri" w:hAnsi="Calibri"/>
          <w:sz w:val="28"/>
          <w:szCs w:val="28"/>
        </w:rPr>
        <w:t xml:space="preserve">Tercero: tome nota de las propuestas de preguntas formuladas en este escrito a fin de que le puedan ser planteadas al España durante la evaluación a la que debe ser sometida por el Comité. </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Cs w:val="24"/>
        <w:lang w:val="ca-ES" w:eastAsia="zh-CN" w:bidi="hi-IN"/>
      </w:rPr>
    </w:rPrDefault>
    <w:pPrDefault>
      <w:pPr/>
    </w:pPrDefault>
  </w:docDefaults>
  <w:style w:type="paragraph" w:styleId="Normal">
    <w:name w:val="Normal"/>
    <w:qFormat/>
    <w:pPr>
      <w:widowControl/>
      <w:bidi w:val="0"/>
      <w:jc w:val="left"/>
    </w:pPr>
    <w:rPr>
      <w:rFonts w:ascii="Liberation Serif" w:hAnsi="Liberation Serif" w:eastAsia="SimSun" w:cs="Arial"/>
      <w:color w:val="auto"/>
      <w:kern w:val="2"/>
      <w:sz w:val="24"/>
      <w:szCs w:val="24"/>
      <w:lang w:val="ca-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Onormal">
    <w:name w:val="LO-normal"/>
    <w:qFormat/>
    <w:pPr>
      <w:widowControl/>
      <w:bidi w:val="0"/>
      <w:jc w:val="left"/>
    </w:pPr>
    <w:rPr>
      <w:rFonts w:ascii="Calibri" w:hAnsi="Calibri" w:eastAsia="Calibri" w:cs="Calibri"/>
      <w:color w:val="auto"/>
      <w:kern w:val="0"/>
      <w:sz w:val="24"/>
      <w:szCs w:val="24"/>
      <w:lang w:val="en-GB" w:eastAsia="zh-CN" w:bidi="hi-IN"/>
    </w:rPr>
  </w:style>
  <w:style w:type="paragraph" w:styleId="ListParagraph">
    <w:name w:val="List Paragraph"/>
    <w:basedOn w:val="LOnormal"/>
    <w:qFormat/>
    <w:pPr>
      <w:spacing w:before="0" w:after="0"/>
      <w:ind w:left="720" w:hanging="0"/>
      <w:contextualSpacing/>
    </w:pPr>
    <w:rPr/>
  </w:style>
</w:style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ustomXml" Target="../customXml/item3.xml"/><Relationship Id="rId5" Type="http://schemas.openxmlformats.org/officeDocument/2006/relationships/customXml" Target="../customXml/item2.xml"/><Relationship Id="rId4"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B9710C-B3FF-43D9-ACCF-AB1757395EB2}"/>
</file>

<file path=customXml/itemProps2.xml><?xml version="1.0" encoding="utf-8"?>
<ds:datastoreItem xmlns:ds="http://schemas.openxmlformats.org/officeDocument/2006/customXml" ds:itemID="{A24C683F-CFE4-4CCC-A1CD-DCABE06B5714}"/>
</file>

<file path=customXml/itemProps3.xml><?xml version="1.0" encoding="utf-8"?>
<ds:datastoreItem xmlns:ds="http://schemas.openxmlformats.org/officeDocument/2006/customXml" ds:itemID="{8703ECF3-3AA2-45FC-8C69-6D5C4B4C7EE5}"/>
</file>

<file path=docProps/app.xml><?xml version="1.0" encoding="utf-8"?>
<Properties xmlns="http://schemas.openxmlformats.org/officeDocument/2006/extended-properties" xmlns:vt="http://schemas.openxmlformats.org/officeDocument/2006/docPropsVTypes">
  <Template/>
  <TotalTime>55</TotalTime>
  <Application>LibreOffice/6.0.5.2$Windows_X86_64 LibreOffice_project/54c8cbb85f300ac59db32fe8a675ff7683cd5a16</Application>
  <Pages>5</Pages>
  <Words>1600</Words>
  <Characters>8389</Characters>
  <CharactersWithSpaces>9964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2</cp:revision>
  <cp:lastPrinted>2019-08-30T15:26:34Z</cp:lastPrinted>
  <dcterms:created xsi:type="dcterms:W3CDTF">2019-08-30T09:26:50Z</dcterms:created>
  <dcterms:modified xsi:type="dcterms:W3CDTF">2019-08-30T14:45:05Z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