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4053" w:rsidRPr="00A2742C" w:rsidRDefault="004B4053" w:rsidP="004B4053">
      <w:pPr>
        <w:pStyle w:val="Sinespaciado"/>
        <w:pBdr>
          <w:top w:val="single" w:sz="4" w:space="1" w:color="7F7F7F" w:themeColor="text1" w:themeTint="80"/>
          <w:left w:val="single" w:sz="4" w:space="4" w:color="7F7F7F" w:themeColor="text1" w:themeTint="80"/>
          <w:bottom w:val="single" w:sz="4" w:space="1" w:color="7F7F7F" w:themeColor="text1" w:themeTint="80"/>
          <w:right w:val="single" w:sz="4" w:space="4" w:color="7F7F7F" w:themeColor="text1" w:themeTint="80"/>
        </w:pBdr>
        <w:shd w:val="clear" w:color="auto" w:fill="D9D9D9" w:themeFill="background1" w:themeFillShade="D9"/>
        <w:jc w:val="center"/>
        <w:rPr>
          <w:rFonts w:ascii="Arial" w:eastAsia="Times New Roman" w:hAnsi="Arial" w:cs="Arial"/>
          <w:b/>
          <w:color w:val="000000"/>
          <w:lang w:val="es-ES"/>
        </w:rPr>
      </w:pPr>
      <w:r w:rsidRPr="00A2742C">
        <w:rPr>
          <w:rFonts w:ascii="Arial" w:eastAsia="Times New Roman" w:hAnsi="Arial" w:cs="Arial"/>
          <w:b/>
          <w:color w:val="000000"/>
          <w:lang w:val="es-ES"/>
        </w:rPr>
        <w:t xml:space="preserve">ANEXO </w:t>
      </w:r>
      <w:r w:rsidR="00176E6B" w:rsidRPr="00A2742C">
        <w:rPr>
          <w:rFonts w:ascii="Arial" w:eastAsia="Times New Roman" w:hAnsi="Arial" w:cs="Arial"/>
          <w:b/>
          <w:color w:val="000000"/>
          <w:lang w:val="es-ES"/>
        </w:rPr>
        <w:t>6</w:t>
      </w:r>
    </w:p>
    <w:p w:rsidR="004B4053" w:rsidRPr="00A2742C" w:rsidRDefault="004B4053" w:rsidP="004B4053">
      <w:pPr>
        <w:pStyle w:val="Sinespaciado"/>
        <w:pBdr>
          <w:top w:val="single" w:sz="4" w:space="1" w:color="7F7F7F" w:themeColor="text1" w:themeTint="80"/>
          <w:left w:val="single" w:sz="4" w:space="4" w:color="7F7F7F" w:themeColor="text1" w:themeTint="80"/>
          <w:bottom w:val="single" w:sz="4" w:space="1" w:color="7F7F7F" w:themeColor="text1" w:themeTint="80"/>
          <w:right w:val="single" w:sz="4" w:space="4" w:color="7F7F7F" w:themeColor="text1" w:themeTint="80"/>
        </w:pBdr>
        <w:shd w:val="clear" w:color="auto" w:fill="D9D9D9" w:themeFill="background1" w:themeFillShade="D9"/>
        <w:jc w:val="center"/>
        <w:rPr>
          <w:rFonts w:ascii="Arial" w:eastAsia="Times New Roman" w:hAnsi="Arial" w:cs="Arial"/>
          <w:b/>
          <w:color w:val="000000"/>
          <w:lang w:val="es-ES"/>
        </w:rPr>
      </w:pPr>
      <w:r w:rsidRPr="00A2742C">
        <w:rPr>
          <w:rFonts w:ascii="Arial" w:eastAsia="Times New Roman" w:hAnsi="Arial" w:cs="Arial"/>
          <w:b/>
          <w:color w:val="000000"/>
          <w:lang w:val="es-ES"/>
        </w:rPr>
        <w:t>IMPLEMENTACIÓN DEL PROGRAMA NACIONAL PARA LA IGUALDAD DE OPORTUNIDADES Y NO DISCRIMINACIÓN CONTRA LAS MUJERES 2013-2018</w:t>
      </w:r>
    </w:p>
    <w:p w:rsidR="005B012B" w:rsidRPr="00A2742C" w:rsidRDefault="005B012B">
      <w:pPr>
        <w:rPr>
          <w:rFonts w:ascii="Arial" w:hAnsi="Arial" w:cs="Arial"/>
        </w:rPr>
      </w:pPr>
    </w:p>
    <w:p w:rsidR="008E46F0" w:rsidRDefault="004B4053" w:rsidP="007875ED">
      <w:pPr>
        <w:pStyle w:val="Prrafodelista"/>
        <w:numPr>
          <w:ilvl w:val="0"/>
          <w:numId w:val="3"/>
        </w:numPr>
        <w:ind w:left="426"/>
        <w:jc w:val="both"/>
        <w:rPr>
          <w:rFonts w:ascii="Arial" w:hAnsi="Arial" w:cs="Arial"/>
          <w:sz w:val="22"/>
          <w:szCs w:val="22"/>
        </w:rPr>
      </w:pPr>
      <w:r w:rsidRPr="00A2742C">
        <w:rPr>
          <w:rFonts w:ascii="Arial" w:hAnsi="Arial" w:cs="Arial"/>
          <w:sz w:val="22"/>
          <w:szCs w:val="22"/>
        </w:rPr>
        <w:t xml:space="preserve">El Programa Nacional de Igualdad de Oportunidades y no Discriminación contra las Mujeres </w:t>
      </w:r>
      <w:r w:rsidR="00291EF0" w:rsidRPr="00A2742C">
        <w:rPr>
          <w:rFonts w:ascii="Arial" w:hAnsi="Arial" w:cs="Arial"/>
          <w:sz w:val="22"/>
          <w:szCs w:val="22"/>
        </w:rPr>
        <w:t xml:space="preserve">2013-2018 </w:t>
      </w:r>
      <w:r w:rsidRPr="00A2742C">
        <w:rPr>
          <w:rFonts w:ascii="Arial" w:hAnsi="Arial" w:cs="Arial"/>
          <w:sz w:val="22"/>
          <w:szCs w:val="22"/>
        </w:rPr>
        <w:t xml:space="preserve">(PROIGUALDAD) es de cumplimiento obligatorio y en él participan los tres poderes de la Unión, los tres órdenes de gobierno y los organismos autónomos del Estado mexicano, entre otros. </w:t>
      </w:r>
    </w:p>
    <w:p w:rsidR="004B4053" w:rsidRPr="00A2742C" w:rsidRDefault="004B4053" w:rsidP="007875ED">
      <w:pPr>
        <w:pStyle w:val="Prrafodelista"/>
        <w:numPr>
          <w:ilvl w:val="0"/>
          <w:numId w:val="3"/>
        </w:numPr>
        <w:ind w:left="426"/>
        <w:jc w:val="both"/>
        <w:rPr>
          <w:rFonts w:ascii="Arial" w:hAnsi="Arial" w:cs="Arial"/>
          <w:sz w:val="22"/>
          <w:szCs w:val="22"/>
        </w:rPr>
      </w:pPr>
      <w:r w:rsidRPr="00A2742C">
        <w:rPr>
          <w:rFonts w:ascii="Arial" w:hAnsi="Arial" w:cs="Arial"/>
          <w:sz w:val="22"/>
          <w:szCs w:val="22"/>
        </w:rPr>
        <w:t>Tiene seis objetivos estratégicos, 36 estrategias y 314 líneas de acción, a las que se les da puntual seguimiento, ya que anualmente las dependencias, entidades y organismos autónomos reportan los avances alcanzados en cada una de las líneas que tienen asignadas.</w:t>
      </w:r>
    </w:p>
    <w:p w:rsidR="00FD434B" w:rsidRDefault="004B4053" w:rsidP="007875ED">
      <w:pPr>
        <w:pStyle w:val="Prrafodelista"/>
        <w:numPr>
          <w:ilvl w:val="0"/>
          <w:numId w:val="3"/>
        </w:numPr>
        <w:ind w:left="426"/>
        <w:jc w:val="both"/>
        <w:rPr>
          <w:rFonts w:ascii="Arial" w:hAnsi="Arial" w:cs="Arial"/>
          <w:sz w:val="22"/>
          <w:szCs w:val="22"/>
        </w:rPr>
      </w:pPr>
      <w:r w:rsidRPr="00A2742C">
        <w:rPr>
          <w:rFonts w:ascii="Arial" w:hAnsi="Arial" w:cs="Arial"/>
          <w:sz w:val="22"/>
          <w:szCs w:val="22"/>
        </w:rPr>
        <w:t xml:space="preserve">Con el objeto de lograr la coordinación con los tres poderes de la Unión y la concertación con los gobiernos federal, estatales y municipales, se cuenta con diversos instrumentos y mecanismos de coordinación: </w:t>
      </w:r>
    </w:p>
    <w:p w:rsidR="00AA4C59" w:rsidRDefault="00AA4C59" w:rsidP="007875ED">
      <w:pPr>
        <w:pStyle w:val="Prrafodelista"/>
        <w:numPr>
          <w:ilvl w:val="1"/>
          <w:numId w:val="3"/>
        </w:numPr>
        <w:ind w:left="851"/>
        <w:jc w:val="both"/>
        <w:rPr>
          <w:rFonts w:ascii="Arial" w:hAnsi="Arial" w:cs="Arial"/>
          <w:sz w:val="22"/>
          <w:szCs w:val="22"/>
        </w:rPr>
      </w:pPr>
      <w:bookmarkStart w:id="0" w:name="_GoBack"/>
      <w:r>
        <w:rPr>
          <w:rFonts w:ascii="Arial" w:hAnsi="Arial" w:cs="Arial"/>
          <w:sz w:val="22"/>
          <w:szCs w:val="22"/>
        </w:rPr>
        <w:t>32</w:t>
      </w:r>
      <w:r w:rsidR="004B4053" w:rsidRPr="00A2742C">
        <w:rPr>
          <w:rFonts w:ascii="Arial" w:hAnsi="Arial" w:cs="Arial"/>
          <w:sz w:val="22"/>
          <w:szCs w:val="22"/>
        </w:rPr>
        <w:t xml:space="preserve"> </w:t>
      </w:r>
      <w:r w:rsidR="004B4053" w:rsidRPr="008E46F0">
        <w:rPr>
          <w:rFonts w:ascii="Arial" w:hAnsi="Arial" w:cs="Arial"/>
          <w:b/>
          <w:sz w:val="22"/>
          <w:szCs w:val="22"/>
        </w:rPr>
        <w:t>mecanismos para el adelanto de las mujeres (MAM)</w:t>
      </w:r>
      <w:r w:rsidR="004B4053" w:rsidRPr="00A2742C">
        <w:rPr>
          <w:rFonts w:ascii="Arial" w:hAnsi="Arial" w:cs="Arial"/>
          <w:sz w:val="22"/>
          <w:szCs w:val="22"/>
        </w:rPr>
        <w:t xml:space="preserve"> </w:t>
      </w:r>
      <w:r>
        <w:rPr>
          <w:rFonts w:ascii="Arial" w:hAnsi="Arial" w:cs="Arial"/>
          <w:sz w:val="22"/>
          <w:szCs w:val="22"/>
        </w:rPr>
        <w:t xml:space="preserve">uno </w:t>
      </w:r>
      <w:r w:rsidR="004B4053" w:rsidRPr="00A2742C">
        <w:rPr>
          <w:rFonts w:ascii="Arial" w:hAnsi="Arial" w:cs="Arial"/>
          <w:sz w:val="22"/>
          <w:szCs w:val="22"/>
        </w:rPr>
        <w:t>en cada entidad federativa</w:t>
      </w:r>
      <w:r>
        <w:rPr>
          <w:rFonts w:ascii="Arial" w:hAnsi="Arial" w:cs="Arial"/>
          <w:sz w:val="22"/>
          <w:szCs w:val="22"/>
        </w:rPr>
        <w:t>.</w:t>
      </w:r>
    </w:p>
    <w:p w:rsidR="00FD434B" w:rsidRDefault="00AA4C59" w:rsidP="007875ED">
      <w:pPr>
        <w:pStyle w:val="Prrafodelista"/>
        <w:numPr>
          <w:ilvl w:val="1"/>
          <w:numId w:val="3"/>
        </w:numPr>
        <w:ind w:left="851"/>
        <w:jc w:val="both"/>
        <w:rPr>
          <w:rFonts w:ascii="Arial" w:hAnsi="Arial" w:cs="Arial"/>
          <w:sz w:val="22"/>
          <w:szCs w:val="22"/>
        </w:rPr>
      </w:pPr>
      <w:r>
        <w:rPr>
          <w:rFonts w:ascii="Arial" w:hAnsi="Arial" w:cs="Arial"/>
          <w:sz w:val="22"/>
          <w:szCs w:val="22"/>
        </w:rPr>
        <w:t xml:space="preserve">los institutos municipales de las mujeres </w:t>
      </w:r>
      <w:r w:rsidR="004B4053" w:rsidRPr="00A2742C">
        <w:rPr>
          <w:rFonts w:ascii="Arial" w:hAnsi="Arial" w:cs="Arial"/>
          <w:sz w:val="22"/>
          <w:szCs w:val="22"/>
        </w:rPr>
        <w:t xml:space="preserve">en 1970 de </w:t>
      </w:r>
      <w:r w:rsidR="009B5ACE">
        <w:rPr>
          <w:rFonts w:ascii="Arial" w:hAnsi="Arial" w:cs="Arial"/>
          <w:sz w:val="22"/>
          <w:szCs w:val="22"/>
        </w:rPr>
        <w:t>los municipios del país (80.6%)</w:t>
      </w:r>
      <w:r>
        <w:rPr>
          <w:rFonts w:ascii="Arial" w:hAnsi="Arial" w:cs="Arial"/>
          <w:sz w:val="22"/>
          <w:szCs w:val="22"/>
        </w:rPr>
        <w:t>.</w:t>
      </w:r>
    </w:p>
    <w:p w:rsidR="00AA4C59" w:rsidRDefault="004B4053" w:rsidP="007875ED">
      <w:pPr>
        <w:pStyle w:val="Prrafodelista"/>
        <w:numPr>
          <w:ilvl w:val="1"/>
          <w:numId w:val="3"/>
        </w:numPr>
        <w:ind w:left="851"/>
        <w:jc w:val="both"/>
        <w:rPr>
          <w:rFonts w:ascii="Arial" w:hAnsi="Arial" w:cs="Arial"/>
          <w:sz w:val="22"/>
          <w:szCs w:val="22"/>
        </w:rPr>
      </w:pPr>
      <w:r w:rsidRPr="00A2742C">
        <w:rPr>
          <w:rFonts w:ascii="Arial" w:hAnsi="Arial" w:cs="Arial"/>
          <w:sz w:val="22"/>
          <w:szCs w:val="22"/>
        </w:rPr>
        <w:t>350 Centros pa</w:t>
      </w:r>
      <w:r w:rsidR="009B5ACE">
        <w:rPr>
          <w:rFonts w:ascii="Arial" w:hAnsi="Arial" w:cs="Arial"/>
          <w:sz w:val="22"/>
          <w:szCs w:val="22"/>
        </w:rPr>
        <w:t>ra el Desarrollo de las Mujeres</w:t>
      </w:r>
      <w:r w:rsidR="00AA4C59">
        <w:rPr>
          <w:rFonts w:ascii="Arial" w:hAnsi="Arial" w:cs="Arial"/>
          <w:sz w:val="22"/>
          <w:szCs w:val="22"/>
        </w:rPr>
        <w:t>.</w:t>
      </w:r>
    </w:p>
    <w:p w:rsidR="00FD434B" w:rsidRPr="00AA4C59" w:rsidRDefault="00AA4C59" w:rsidP="007875ED">
      <w:pPr>
        <w:pStyle w:val="Prrafodelista"/>
        <w:numPr>
          <w:ilvl w:val="1"/>
          <w:numId w:val="3"/>
        </w:numPr>
        <w:ind w:left="851"/>
        <w:jc w:val="both"/>
        <w:rPr>
          <w:rFonts w:ascii="Arial" w:hAnsi="Arial" w:cs="Arial"/>
          <w:sz w:val="22"/>
          <w:szCs w:val="22"/>
        </w:rPr>
      </w:pPr>
      <w:r w:rsidRPr="00AA4C59">
        <w:rPr>
          <w:rFonts w:ascii="Arial" w:hAnsi="Arial" w:cs="Arial"/>
          <w:sz w:val="22"/>
          <w:szCs w:val="22"/>
        </w:rPr>
        <w:t xml:space="preserve">Destaca </w:t>
      </w:r>
      <w:r w:rsidR="004B4053" w:rsidRPr="00AA4C59">
        <w:rPr>
          <w:rFonts w:ascii="Arial" w:hAnsi="Arial" w:cs="Arial"/>
          <w:sz w:val="22"/>
          <w:szCs w:val="22"/>
        </w:rPr>
        <w:t>la firma de los convenios de colaboración suscritos para la igualdad y la no violencia contra las mujeres con las 32 entidades federativas (durante 2016 y hasta junio de 2017 se ratificaron 16 convenios en estados que tuvieron cambios de administración), cuyos resultados son monitoreados en la</w:t>
      </w:r>
      <w:r w:rsidR="00FD434B" w:rsidRPr="00AA4C59">
        <w:rPr>
          <w:rFonts w:ascii="Arial" w:hAnsi="Arial" w:cs="Arial"/>
          <w:sz w:val="22"/>
          <w:szCs w:val="22"/>
        </w:rPr>
        <w:t xml:space="preserve"> Plataforma Rumbo a la Igualdad, la cual contempla la armonización legislativa en materia de programación y </w:t>
      </w:r>
      <w:proofErr w:type="spellStart"/>
      <w:r w:rsidR="00FD434B" w:rsidRPr="00AA4C59">
        <w:rPr>
          <w:rFonts w:ascii="Arial" w:hAnsi="Arial" w:cs="Arial"/>
          <w:sz w:val="22"/>
          <w:szCs w:val="22"/>
        </w:rPr>
        <w:t>presupuestación</w:t>
      </w:r>
      <w:proofErr w:type="spellEnd"/>
      <w:r w:rsidR="00FD434B" w:rsidRPr="00AA4C59">
        <w:rPr>
          <w:rFonts w:ascii="Arial" w:hAnsi="Arial" w:cs="Arial"/>
          <w:sz w:val="22"/>
          <w:szCs w:val="22"/>
        </w:rPr>
        <w:t xml:space="preserve"> en las entidades federativas. También monitorea la armonización en los mecanismos de gobernanza, como son la estructura y organización de los MAM; y se da seguimiento a la armonización legislativa en códigos penales, civiles y familiares estatales. </w:t>
      </w:r>
    </w:p>
    <w:p w:rsidR="004B4053" w:rsidRPr="00A2742C" w:rsidRDefault="00FD434B" w:rsidP="007875ED">
      <w:pPr>
        <w:pStyle w:val="Prrafodelista"/>
        <w:numPr>
          <w:ilvl w:val="1"/>
          <w:numId w:val="3"/>
        </w:numPr>
        <w:ind w:left="851"/>
        <w:jc w:val="both"/>
        <w:rPr>
          <w:rFonts w:ascii="Arial" w:hAnsi="Arial" w:cs="Arial"/>
          <w:sz w:val="22"/>
          <w:szCs w:val="22"/>
        </w:rPr>
      </w:pPr>
      <w:r>
        <w:rPr>
          <w:rFonts w:ascii="Arial" w:hAnsi="Arial" w:cs="Arial"/>
          <w:sz w:val="22"/>
          <w:szCs w:val="22"/>
        </w:rPr>
        <w:t xml:space="preserve">El Gobierno Federal </w:t>
      </w:r>
      <w:r w:rsidR="004B4053" w:rsidRPr="00A2742C">
        <w:rPr>
          <w:rFonts w:ascii="Arial" w:hAnsi="Arial" w:cs="Arial"/>
          <w:sz w:val="22"/>
          <w:szCs w:val="22"/>
        </w:rPr>
        <w:t>destina recursos técnicos y financieros, para fortalecer a las instancias estatale</w:t>
      </w:r>
      <w:r w:rsidR="00AA4C59">
        <w:rPr>
          <w:rFonts w:ascii="Arial" w:hAnsi="Arial" w:cs="Arial"/>
          <w:sz w:val="22"/>
          <w:szCs w:val="22"/>
        </w:rPr>
        <w:t>s y municipales de las mujeres.</w:t>
      </w:r>
    </w:p>
    <w:p w:rsidR="004B4053" w:rsidRPr="00A2742C" w:rsidRDefault="009B5ACE" w:rsidP="007875ED">
      <w:pPr>
        <w:pStyle w:val="Prrafodelista"/>
        <w:numPr>
          <w:ilvl w:val="1"/>
          <w:numId w:val="3"/>
        </w:numPr>
        <w:ind w:left="851"/>
        <w:jc w:val="both"/>
        <w:rPr>
          <w:rFonts w:ascii="Arial" w:hAnsi="Arial" w:cs="Arial"/>
          <w:sz w:val="22"/>
          <w:szCs w:val="22"/>
        </w:rPr>
      </w:pPr>
      <w:r>
        <w:rPr>
          <w:rFonts w:ascii="Arial" w:hAnsi="Arial" w:cs="Arial"/>
          <w:sz w:val="22"/>
          <w:szCs w:val="22"/>
        </w:rPr>
        <w:t>Las Entidades Federativas c</w:t>
      </w:r>
      <w:r w:rsidR="004B4053" w:rsidRPr="00A2742C">
        <w:rPr>
          <w:rFonts w:ascii="Arial" w:hAnsi="Arial" w:cs="Arial"/>
          <w:sz w:val="22"/>
          <w:szCs w:val="22"/>
        </w:rPr>
        <w:t>uenta</w:t>
      </w:r>
      <w:r>
        <w:rPr>
          <w:rFonts w:ascii="Arial" w:hAnsi="Arial" w:cs="Arial"/>
          <w:sz w:val="22"/>
          <w:szCs w:val="22"/>
        </w:rPr>
        <w:t>n</w:t>
      </w:r>
      <w:r w:rsidR="004B4053" w:rsidRPr="00A2742C">
        <w:rPr>
          <w:rFonts w:ascii="Arial" w:hAnsi="Arial" w:cs="Arial"/>
          <w:sz w:val="22"/>
          <w:szCs w:val="22"/>
        </w:rPr>
        <w:t xml:space="preserve"> con la </w:t>
      </w:r>
      <w:r w:rsidR="004B4053" w:rsidRPr="008E46F0">
        <w:rPr>
          <w:rFonts w:ascii="Arial" w:hAnsi="Arial" w:cs="Arial"/>
          <w:b/>
          <w:sz w:val="22"/>
          <w:szCs w:val="22"/>
        </w:rPr>
        <w:t>Comisión para la Igualdad entre Mujeres y Hombres de la CONAGO que junto con los MAM impulsan la agenda de género</w:t>
      </w:r>
      <w:r>
        <w:rPr>
          <w:rFonts w:ascii="Arial" w:hAnsi="Arial" w:cs="Arial"/>
          <w:b/>
          <w:sz w:val="22"/>
          <w:szCs w:val="22"/>
        </w:rPr>
        <w:t xml:space="preserve"> </w:t>
      </w:r>
      <w:r>
        <w:rPr>
          <w:rFonts w:ascii="Arial" w:hAnsi="Arial" w:cs="Arial"/>
          <w:sz w:val="22"/>
          <w:szCs w:val="22"/>
        </w:rPr>
        <w:t>en los Estados</w:t>
      </w:r>
      <w:r w:rsidR="00AA4C59">
        <w:rPr>
          <w:rFonts w:ascii="Arial" w:hAnsi="Arial" w:cs="Arial"/>
          <w:sz w:val="22"/>
          <w:szCs w:val="22"/>
        </w:rPr>
        <w:t>; con</w:t>
      </w:r>
      <w:r w:rsidR="004B4053" w:rsidRPr="00A2742C">
        <w:rPr>
          <w:rFonts w:ascii="Arial" w:hAnsi="Arial" w:cs="Arial"/>
          <w:sz w:val="22"/>
          <w:szCs w:val="22"/>
        </w:rPr>
        <w:t xml:space="preserve"> la Unidad de Derechos Humanos e Igualdad de Género dentro de la Comisión Nacional de Tribunales Superiores de Justicia de los Estados Unidos Mexicano</w:t>
      </w:r>
      <w:r w:rsidR="007C55E1">
        <w:rPr>
          <w:rFonts w:ascii="Arial" w:hAnsi="Arial" w:cs="Arial"/>
          <w:sz w:val="22"/>
          <w:szCs w:val="22"/>
        </w:rPr>
        <w:t>s</w:t>
      </w:r>
      <w:r w:rsidR="004B4053" w:rsidRPr="00A2742C">
        <w:rPr>
          <w:rFonts w:ascii="Arial" w:hAnsi="Arial" w:cs="Arial"/>
          <w:sz w:val="22"/>
          <w:szCs w:val="22"/>
        </w:rPr>
        <w:t xml:space="preserve"> que coordina a las y los enlaces de género en las 32 entidades federativas, así como la Unidad General de Igualdad de Género de la SCJN. Adicionalmente, las dependencias y entidades de la APF cuentan con sus unidades, enlaces o comisiones de género</w:t>
      </w:r>
      <w:bookmarkEnd w:id="0"/>
      <w:r w:rsidR="004B4053" w:rsidRPr="00A2742C">
        <w:rPr>
          <w:rFonts w:ascii="Arial" w:hAnsi="Arial" w:cs="Arial"/>
          <w:sz w:val="22"/>
          <w:szCs w:val="22"/>
        </w:rPr>
        <w:t>.</w:t>
      </w:r>
    </w:p>
    <w:p w:rsidR="004B4053" w:rsidRPr="00A2742C" w:rsidRDefault="004B4053" w:rsidP="007875ED">
      <w:pPr>
        <w:pStyle w:val="Prrafodelista"/>
        <w:numPr>
          <w:ilvl w:val="0"/>
          <w:numId w:val="3"/>
        </w:numPr>
        <w:ind w:left="426"/>
        <w:jc w:val="both"/>
        <w:rPr>
          <w:rFonts w:ascii="Arial" w:hAnsi="Arial" w:cs="Arial"/>
          <w:strike/>
          <w:sz w:val="22"/>
          <w:szCs w:val="22"/>
        </w:rPr>
      </w:pPr>
      <w:r w:rsidRPr="00A2742C">
        <w:rPr>
          <w:rFonts w:ascii="Arial" w:hAnsi="Arial" w:cs="Arial"/>
          <w:sz w:val="22"/>
          <w:szCs w:val="22"/>
        </w:rPr>
        <w:t xml:space="preserve">Entre los principales logros del PROIGUALDAD se tienen los </w:t>
      </w:r>
      <w:r w:rsidRPr="008E46F0">
        <w:rPr>
          <w:rFonts w:ascii="Arial" w:hAnsi="Arial" w:cs="Arial"/>
          <w:b/>
          <w:sz w:val="22"/>
          <w:szCs w:val="22"/>
        </w:rPr>
        <w:t>avances en la armonización legislativa con el objeto de garantizar los derechos humanos de las mujeres.</w:t>
      </w:r>
      <w:r w:rsidRPr="00A2742C">
        <w:rPr>
          <w:rFonts w:ascii="Arial" w:hAnsi="Arial" w:cs="Arial"/>
          <w:sz w:val="22"/>
          <w:szCs w:val="22"/>
        </w:rPr>
        <w:t xml:space="preserve"> Los congresos locales han reformado, adicionado o derogado 189 normas en sus códigos penales y 97 en sus códigos civiles y familiares, armonizándolos con el marco federal y con los instrumentos internacionales. Actualmente </w:t>
      </w:r>
      <w:r w:rsidR="009B5ACE">
        <w:rPr>
          <w:rFonts w:ascii="Arial" w:hAnsi="Arial" w:cs="Arial"/>
          <w:sz w:val="22"/>
          <w:szCs w:val="22"/>
        </w:rPr>
        <w:t>once</w:t>
      </w:r>
      <w:r w:rsidRPr="00A2742C">
        <w:rPr>
          <w:rFonts w:ascii="Arial" w:hAnsi="Arial" w:cs="Arial"/>
          <w:sz w:val="22"/>
          <w:szCs w:val="22"/>
        </w:rPr>
        <w:t xml:space="preserve"> entidades federativas han incluido la perspectiva de género en sus presupuestos públicos</w:t>
      </w:r>
      <w:r w:rsidR="009B5ACE">
        <w:rPr>
          <w:rFonts w:ascii="Arial" w:hAnsi="Arial" w:cs="Arial"/>
          <w:sz w:val="22"/>
          <w:szCs w:val="22"/>
        </w:rPr>
        <w:t>;</w:t>
      </w:r>
      <w:r w:rsidRPr="00A2742C">
        <w:rPr>
          <w:rFonts w:ascii="Arial" w:hAnsi="Arial" w:cs="Arial"/>
          <w:sz w:val="22"/>
          <w:szCs w:val="22"/>
        </w:rPr>
        <w:t xml:space="preserve"> el Anexo de Erogaciones para la Igualdad entre Mujeres y Hombres del Presupuesto Federal, ha incrementado año con año los recursos. </w:t>
      </w:r>
    </w:p>
    <w:p w:rsidR="00291EF0" w:rsidRPr="00A2742C" w:rsidRDefault="004B4053" w:rsidP="007875ED">
      <w:pPr>
        <w:pStyle w:val="Prrafodelista"/>
        <w:numPr>
          <w:ilvl w:val="0"/>
          <w:numId w:val="3"/>
        </w:numPr>
        <w:ind w:left="426"/>
        <w:jc w:val="both"/>
        <w:rPr>
          <w:rFonts w:ascii="Arial" w:hAnsi="Arial" w:cs="Arial"/>
          <w:strike/>
          <w:sz w:val="22"/>
          <w:szCs w:val="22"/>
        </w:rPr>
      </w:pPr>
      <w:r w:rsidRPr="00A2742C">
        <w:rPr>
          <w:rFonts w:ascii="Arial" w:hAnsi="Arial" w:cs="Arial"/>
          <w:sz w:val="22"/>
          <w:szCs w:val="22"/>
        </w:rPr>
        <w:lastRenderedPageBreak/>
        <w:t xml:space="preserve">En 2016 se realizó la </w:t>
      </w:r>
      <w:r w:rsidR="009B5ACE" w:rsidRPr="009B5ACE">
        <w:rPr>
          <w:rFonts w:ascii="Arial" w:hAnsi="Arial" w:cs="Arial"/>
          <w:b/>
          <w:sz w:val="22"/>
          <w:szCs w:val="22"/>
        </w:rPr>
        <w:t>Primera</w:t>
      </w:r>
      <w:r w:rsidR="009B5ACE">
        <w:rPr>
          <w:rFonts w:ascii="Arial" w:hAnsi="Arial" w:cs="Arial"/>
          <w:sz w:val="22"/>
          <w:szCs w:val="22"/>
        </w:rPr>
        <w:t xml:space="preserve"> </w:t>
      </w:r>
      <w:r w:rsidRPr="008E46F0">
        <w:rPr>
          <w:rFonts w:ascii="Arial" w:hAnsi="Arial" w:cs="Arial"/>
          <w:b/>
          <w:sz w:val="22"/>
          <w:szCs w:val="22"/>
        </w:rPr>
        <w:t>Sesión Abierta del Sistema Nacional para la Igualdad entre Mujeres y Hombres (SNIMH)</w:t>
      </w:r>
      <w:r w:rsidRPr="00A2742C">
        <w:rPr>
          <w:rFonts w:ascii="Arial" w:hAnsi="Arial" w:cs="Arial"/>
          <w:sz w:val="22"/>
          <w:szCs w:val="22"/>
        </w:rPr>
        <w:t xml:space="preserve"> </w:t>
      </w:r>
      <w:r w:rsidR="009B5ACE">
        <w:rPr>
          <w:rFonts w:ascii="Arial" w:hAnsi="Arial" w:cs="Arial"/>
          <w:sz w:val="22"/>
          <w:szCs w:val="22"/>
        </w:rPr>
        <w:t xml:space="preserve">encabezada por </w:t>
      </w:r>
      <w:r w:rsidRPr="00A2742C">
        <w:rPr>
          <w:rFonts w:ascii="Arial" w:hAnsi="Arial" w:cs="Arial"/>
          <w:sz w:val="22"/>
          <w:szCs w:val="22"/>
        </w:rPr>
        <w:t xml:space="preserve">el Presidente de la República </w:t>
      </w:r>
      <w:r w:rsidR="009B5ACE">
        <w:rPr>
          <w:rFonts w:ascii="Arial" w:hAnsi="Arial" w:cs="Arial"/>
          <w:sz w:val="22"/>
          <w:szCs w:val="22"/>
        </w:rPr>
        <w:t xml:space="preserve">y su gabinete </w:t>
      </w:r>
      <w:r w:rsidRPr="00A2742C">
        <w:rPr>
          <w:rFonts w:ascii="Arial" w:hAnsi="Arial" w:cs="Arial"/>
          <w:sz w:val="22"/>
          <w:szCs w:val="22"/>
        </w:rPr>
        <w:t xml:space="preserve">que instruyó a las dependencias y entidades de la Administración Pública Federal (APF) a: </w:t>
      </w:r>
    </w:p>
    <w:p w:rsidR="00291EF0" w:rsidRPr="00A2742C" w:rsidRDefault="00291EF0" w:rsidP="00291EF0">
      <w:pPr>
        <w:pStyle w:val="Prrafodelista"/>
        <w:numPr>
          <w:ilvl w:val="1"/>
          <w:numId w:val="3"/>
        </w:numPr>
        <w:jc w:val="both"/>
        <w:rPr>
          <w:rFonts w:ascii="Arial" w:hAnsi="Arial" w:cs="Arial"/>
          <w:strike/>
          <w:sz w:val="22"/>
          <w:szCs w:val="22"/>
        </w:rPr>
      </w:pPr>
      <w:r w:rsidRPr="00A2742C">
        <w:rPr>
          <w:rFonts w:ascii="Arial" w:hAnsi="Arial" w:cs="Arial"/>
          <w:sz w:val="22"/>
          <w:szCs w:val="22"/>
        </w:rPr>
        <w:t>C</w:t>
      </w:r>
      <w:r w:rsidR="004B4053" w:rsidRPr="00A2742C">
        <w:rPr>
          <w:rFonts w:ascii="Arial" w:hAnsi="Arial" w:cs="Arial"/>
          <w:sz w:val="22"/>
          <w:szCs w:val="22"/>
        </w:rPr>
        <w:t xml:space="preserve">ertificarse en la Norma Mexicana NMX-R-025-SCFI-2015 para la Igualdad Laboral y No Discriminación; </w:t>
      </w:r>
    </w:p>
    <w:p w:rsidR="00291EF0" w:rsidRPr="00A2742C" w:rsidRDefault="00291EF0" w:rsidP="00291EF0">
      <w:pPr>
        <w:pStyle w:val="Prrafodelista"/>
        <w:numPr>
          <w:ilvl w:val="1"/>
          <w:numId w:val="3"/>
        </w:numPr>
        <w:jc w:val="both"/>
        <w:rPr>
          <w:rFonts w:ascii="Arial" w:hAnsi="Arial" w:cs="Arial"/>
          <w:strike/>
          <w:sz w:val="22"/>
          <w:szCs w:val="22"/>
        </w:rPr>
      </w:pPr>
      <w:r w:rsidRPr="00A2742C">
        <w:rPr>
          <w:rFonts w:ascii="Arial" w:hAnsi="Arial" w:cs="Arial"/>
          <w:sz w:val="22"/>
          <w:szCs w:val="22"/>
        </w:rPr>
        <w:t>I</w:t>
      </w:r>
      <w:r w:rsidR="004B4053" w:rsidRPr="00A2742C">
        <w:rPr>
          <w:rFonts w:ascii="Arial" w:hAnsi="Arial" w:cs="Arial"/>
          <w:sz w:val="22"/>
          <w:szCs w:val="22"/>
        </w:rPr>
        <w:t>ncluir la perspectiva de género en las Reglas de Operación de todos los programas presupuestarios</w:t>
      </w:r>
      <w:r w:rsidR="002C3AF2">
        <w:rPr>
          <w:rFonts w:ascii="Arial" w:hAnsi="Arial" w:cs="Arial"/>
          <w:sz w:val="22"/>
          <w:szCs w:val="22"/>
        </w:rPr>
        <w:t xml:space="preserve">, a partir de la publicación, en 2016, de </w:t>
      </w:r>
      <w:r w:rsidR="004B4053" w:rsidRPr="00A2742C">
        <w:rPr>
          <w:rFonts w:ascii="Arial" w:hAnsi="Arial" w:cs="Arial"/>
          <w:sz w:val="22"/>
          <w:szCs w:val="22"/>
        </w:rPr>
        <w:t>los "</w:t>
      </w:r>
      <w:r w:rsidR="004B4053" w:rsidRPr="00A2742C">
        <w:rPr>
          <w:rFonts w:ascii="Arial" w:hAnsi="Arial" w:cs="Arial"/>
          <w:i/>
          <w:sz w:val="22"/>
          <w:szCs w:val="22"/>
        </w:rPr>
        <w:t>Lineamientos para Incorporar la Perspectiva de Género en las Reglas de Operación de los Programas Presupuestarios Federales</w:t>
      </w:r>
      <w:r w:rsidR="002C3AF2">
        <w:rPr>
          <w:rFonts w:ascii="Arial" w:hAnsi="Arial" w:cs="Arial"/>
          <w:sz w:val="22"/>
          <w:szCs w:val="22"/>
        </w:rPr>
        <w:t>;</w:t>
      </w:r>
      <w:r w:rsidR="004B4053" w:rsidRPr="00A2742C">
        <w:rPr>
          <w:rFonts w:ascii="Arial" w:hAnsi="Arial" w:cs="Arial"/>
          <w:sz w:val="22"/>
          <w:szCs w:val="22"/>
        </w:rPr>
        <w:t xml:space="preserve"> </w:t>
      </w:r>
    </w:p>
    <w:p w:rsidR="00291EF0" w:rsidRPr="00A2742C" w:rsidRDefault="00291EF0" w:rsidP="00291EF0">
      <w:pPr>
        <w:pStyle w:val="Prrafodelista"/>
        <w:numPr>
          <w:ilvl w:val="1"/>
          <w:numId w:val="3"/>
        </w:numPr>
        <w:jc w:val="both"/>
        <w:rPr>
          <w:rFonts w:ascii="Arial" w:hAnsi="Arial" w:cs="Arial"/>
          <w:strike/>
          <w:sz w:val="22"/>
          <w:szCs w:val="22"/>
        </w:rPr>
      </w:pPr>
      <w:r w:rsidRPr="00A2742C">
        <w:rPr>
          <w:rFonts w:ascii="Arial" w:hAnsi="Arial" w:cs="Arial"/>
          <w:sz w:val="22"/>
          <w:szCs w:val="22"/>
        </w:rPr>
        <w:t>D</w:t>
      </w:r>
      <w:r w:rsidR="004B4053" w:rsidRPr="00A2742C">
        <w:rPr>
          <w:rFonts w:ascii="Arial" w:hAnsi="Arial" w:cs="Arial"/>
          <w:sz w:val="22"/>
          <w:szCs w:val="22"/>
        </w:rPr>
        <w:t xml:space="preserve">iseñar acciones afirmativas para acelerar el cambio </w:t>
      </w:r>
      <w:r w:rsidR="00AA4C59">
        <w:rPr>
          <w:rFonts w:ascii="Arial" w:hAnsi="Arial" w:cs="Arial"/>
          <w:sz w:val="22"/>
          <w:szCs w:val="22"/>
        </w:rPr>
        <w:t>y reducir</w:t>
      </w:r>
      <w:r w:rsidR="004B4053" w:rsidRPr="00A2742C">
        <w:rPr>
          <w:rFonts w:ascii="Arial" w:hAnsi="Arial" w:cs="Arial"/>
          <w:sz w:val="22"/>
          <w:szCs w:val="22"/>
        </w:rPr>
        <w:t xml:space="preserve"> </w:t>
      </w:r>
      <w:r w:rsidR="00AA4C59">
        <w:rPr>
          <w:rFonts w:ascii="Arial" w:hAnsi="Arial" w:cs="Arial"/>
          <w:sz w:val="22"/>
          <w:szCs w:val="22"/>
        </w:rPr>
        <w:t xml:space="preserve">la </w:t>
      </w:r>
      <w:r w:rsidR="004B4053" w:rsidRPr="00A2742C">
        <w:rPr>
          <w:rFonts w:ascii="Arial" w:hAnsi="Arial" w:cs="Arial"/>
          <w:sz w:val="22"/>
          <w:szCs w:val="22"/>
        </w:rPr>
        <w:t xml:space="preserve">desventaja histórica de las niñas y las mujeres en México; e </w:t>
      </w:r>
    </w:p>
    <w:p w:rsidR="004B4053" w:rsidRPr="00A2742C" w:rsidRDefault="00291EF0" w:rsidP="00291EF0">
      <w:pPr>
        <w:pStyle w:val="Prrafodelista"/>
        <w:numPr>
          <w:ilvl w:val="1"/>
          <w:numId w:val="3"/>
        </w:numPr>
        <w:jc w:val="both"/>
        <w:rPr>
          <w:rFonts w:ascii="Arial" w:hAnsi="Arial" w:cs="Arial"/>
          <w:strike/>
          <w:sz w:val="22"/>
          <w:szCs w:val="22"/>
        </w:rPr>
      </w:pPr>
      <w:r w:rsidRPr="00A2742C">
        <w:rPr>
          <w:rFonts w:ascii="Arial" w:hAnsi="Arial" w:cs="Arial"/>
          <w:sz w:val="22"/>
          <w:szCs w:val="22"/>
        </w:rPr>
        <w:t>I</w:t>
      </w:r>
      <w:r w:rsidR="004B4053" w:rsidRPr="00A2742C">
        <w:rPr>
          <w:rFonts w:ascii="Arial" w:hAnsi="Arial" w:cs="Arial"/>
          <w:sz w:val="22"/>
          <w:szCs w:val="22"/>
        </w:rPr>
        <w:t xml:space="preserve">nstrumentar el Protocolo Único de Prevención, Atención y Sanción del Hostigamiento Sexual y Acoso Sexual de la </w:t>
      </w:r>
      <w:r w:rsidR="00E9579E">
        <w:rPr>
          <w:rFonts w:ascii="Arial" w:hAnsi="Arial" w:cs="Arial"/>
          <w:sz w:val="22"/>
          <w:szCs w:val="22"/>
        </w:rPr>
        <w:t>APF</w:t>
      </w:r>
      <w:r w:rsidR="004B4053" w:rsidRPr="00A2742C">
        <w:rPr>
          <w:rFonts w:ascii="Arial" w:hAnsi="Arial" w:cs="Arial"/>
          <w:sz w:val="22"/>
          <w:szCs w:val="22"/>
        </w:rPr>
        <w:t>. A la fecha</w:t>
      </w:r>
      <w:r w:rsidR="00E9579E">
        <w:rPr>
          <w:rFonts w:ascii="Arial" w:hAnsi="Arial" w:cs="Arial"/>
          <w:sz w:val="22"/>
          <w:szCs w:val="22"/>
        </w:rPr>
        <w:t>,</w:t>
      </w:r>
      <w:r w:rsidR="004B4053" w:rsidRPr="00A2742C">
        <w:rPr>
          <w:rFonts w:ascii="Arial" w:hAnsi="Arial" w:cs="Arial"/>
          <w:sz w:val="22"/>
          <w:szCs w:val="22"/>
        </w:rPr>
        <w:t xml:space="preserve"> 167 </w:t>
      </w:r>
      <w:r w:rsidR="009B5ACE">
        <w:rPr>
          <w:rFonts w:ascii="Arial" w:hAnsi="Arial" w:cs="Arial"/>
          <w:sz w:val="22"/>
          <w:szCs w:val="22"/>
        </w:rPr>
        <w:t xml:space="preserve">dependencias e </w:t>
      </w:r>
      <w:r w:rsidR="004B4053" w:rsidRPr="00A2742C">
        <w:rPr>
          <w:rFonts w:ascii="Arial" w:hAnsi="Arial" w:cs="Arial"/>
          <w:sz w:val="22"/>
          <w:szCs w:val="22"/>
        </w:rPr>
        <w:t xml:space="preserve">instituciones </w:t>
      </w:r>
      <w:r w:rsidR="009B5ACE">
        <w:rPr>
          <w:rFonts w:ascii="Arial" w:hAnsi="Arial" w:cs="Arial"/>
          <w:sz w:val="22"/>
          <w:szCs w:val="22"/>
        </w:rPr>
        <w:t xml:space="preserve">de la APF </w:t>
      </w:r>
      <w:r w:rsidR="004B4053" w:rsidRPr="00A2742C">
        <w:rPr>
          <w:rFonts w:ascii="Arial" w:hAnsi="Arial" w:cs="Arial"/>
          <w:sz w:val="22"/>
          <w:szCs w:val="22"/>
        </w:rPr>
        <w:t>utilizan este Protocolo.</w:t>
      </w:r>
    </w:p>
    <w:p w:rsidR="004B4053" w:rsidRPr="00A2742C" w:rsidRDefault="004B4053" w:rsidP="007875ED">
      <w:pPr>
        <w:pStyle w:val="Prrafodelista"/>
        <w:numPr>
          <w:ilvl w:val="0"/>
          <w:numId w:val="3"/>
        </w:numPr>
        <w:ind w:left="426"/>
        <w:jc w:val="both"/>
        <w:rPr>
          <w:rFonts w:ascii="Arial" w:hAnsi="Arial" w:cs="Arial"/>
          <w:sz w:val="22"/>
          <w:szCs w:val="22"/>
        </w:rPr>
      </w:pPr>
      <w:r w:rsidRPr="008E46F0">
        <w:rPr>
          <w:rFonts w:ascii="Arial" w:hAnsi="Arial" w:cs="Arial"/>
          <w:b/>
          <w:sz w:val="22"/>
          <w:szCs w:val="22"/>
        </w:rPr>
        <w:t xml:space="preserve">La </w:t>
      </w:r>
      <w:r w:rsidRPr="008E46F0">
        <w:rPr>
          <w:rFonts w:ascii="Arial" w:hAnsi="Arial" w:cs="Arial"/>
          <w:b/>
          <w:i/>
          <w:sz w:val="22"/>
          <w:szCs w:val="22"/>
        </w:rPr>
        <w:t>Alerta de Violencia de Género contra las Mujeres</w:t>
      </w:r>
      <w:r w:rsidRPr="008E46F0">
        <w:rPr>
          <w:rFonts w:ascii="Arial" w:hAnsi="Arial" w:cs="Arial"/>
          <w:b/>
          <w:sz w:val="22"/>
          <w:szCs w:val="22"/>
        </w:rPr>
        <w:t xml:space="preserve"> (AVGM</w:t>
      </w:r>
      <w:r w:rsidRPr="00A2742C">
        <w:rPr>
          <w:rFonts w:ascii="Arial" w:hAnsi="Arial" w:cs="Arial"/>
          <w:sz w:val="22"/>
          <w:szCs w:val="22"/>
        </w:rPr>
        <w:t xml:space="preserve">) es el conjunto de acciones gubernamentales de emergencia para enfrentar y erradicar la violencia </w:t>
      </w:r>
      <w:proofErr w:type="spellStart"/>
      <w:r w:rsidRPr="00A2742C">
        <w:rPr>
          <w:rFonts w:ascii="Arial" w:hAnsi="Arial" w:cs="Arial"/>
          <w:sz w:val="22"/>
          <w:szCs w:val="22"/>
        </w:rPr>
        <w:t>feminicida</w:t>
      </w:r>
      <w:proofErr w:type="spellEnd"/>
      <w:r w:rsidRPr="00A2742C">
        <w:rPr>
          <w:rFonts w:ascii="Arial" w:hAnsi="Arial" w:cs="Arial"/>
          <w:sz w:val="22"/>
          <w:szCs w:val="22"/>
        </w:rPr>
        <w:t xml:space="preserve"> en un territorio determinado. Hasta 2017 se ha dado seguimiento a las AVGM declaradas en 10 entidades federativas y a 16 procedimientos de solicitud de AVGM en trámite. </w:t>
      </w:r>
    </w:p>
    <w:p w:rsidR="00291EF0" w:rsidRPr="00A2742C" w:rsidRDefault="004B4053" w:rsidP="007875ED">
      <w:pPr>
        <w:pStyle w:val="Prrafodelista"/>
        <w:numPr>
          <w:ilvl w:val="0"/>
          <w:numId w:val="3"/>
        </w:numPr>
        <w:ind w:left="426"/>
        <w:jc w:val="both"/>
        <w:rPr>
          <w:rFonts w:ascii="Arial" w:hAnsi="Arial" w:cs="Arial"/>
          <w:sz w:val="22"/>
          <w:szCs w:val="22"/>
        </w:rPr>
      </w:pPr>
      <w:r w:rsidRPr="00A2742C">
        <w:rPr>
          <w:rFonts w:ascii="Arial" w:hAnsi="Arial" w:cs="Arial"/>
          <w:sz w:val="22"/>
          <w:szCs w:val="22"/>
        </w:rPr>
        <w:t xml:space="preserve">Con el objeto de promover la participación política de las mujeres en México, en 2014, la Reforma Político Electoral al Artículo 41 Constitucional, incluyó el principio de paridad en el registro de candidaturas a los congresos federal y estatales. Esto permitió un </w:t>
      </w:r>
      <w:r w:rsidRPr="008E46F0">
        <w:rPr>
          <w:rFonts w:ascii="Arial" w:hAnsi="Arial" w:cs="Arial"/>
          <w:b/>
          <w:sz w:val="22"/>
          <w:szCs w:val="22"/>
        </w:rPr>
        <w:t xml:space="preserve">incremento significativo en el número de mujeres en la Cámara de Diputadas y Diputados (42.4%) </w:t>
      </w:r>
      <w:r w:rsidRPr="00A2742C">
        <w:rPr>
          <w:rFonts w:ascii="Arial" w:hAnsi="Arial" w:cs="Arial"/>
          <w:sz w:val="22"/>
          <w:szCs w:val="22"/>
        </w:rPr>
        <w:t xml:space="preserve">a nivel federal y en </w:t>
      </w:r>
      <w:r w:rsidR="00AA4C59">
        <w:rPr>
          <w:rFonts w:ascii="Arial" w:hAnsi="Arial" w:cs="Arial"/>
          <w:sz w:val="22"/>
          <w:szCs w:val="22"/>
        </w:rPr>
        <w:t xml:space="preserve">varios </w:t>
      </w:r>
      <w:r w:rsidRPr="00A2742C">
        <w:rPr>
          <w:rFonts w:ascii="Arial" w:hAnsi="Arial" w:cs="Arial"/>
          <w:sz w:val="22"/>
          <w:szCs w:val="22"/>
        </w:rPr>
        <w:t xml:space="preserve">de los congresos locales, </w:t>
      </w:r>
      <w:r w:rsidR="00AA4C59">
        <w:rPr>
          <w:rFonts w:ascii="Arial" w:hAnsi="Arial" w:cs="Arial"/>
          <w:sz w:val="22"/>
          <w:szCs w:val="22"/>
        </w:rPr>
        <w:t>e</w:t>
      </w:r>
      <w:r w:rsidRPr="00A2742C">
        <w:rPr>
          <w:rFonts w:ascii="Arial" w:hAnsi="Arial" w:cs="Arial"/>
          <w:sz w:val="22"/>
          <w:szCs w:val="22"/>
        </w:rPr>
        <w:t xml:space="preserve">n promedio </w:t>
      </w:r>
      <w:r w:rsidR="00E9579E">
        <w:rPr>
          <w:rFonts w:ascii="Arial" w:hAnsi="Arial" w:cs="Arial"/>
          <w:sz w:val="22"/>
          <w:szCs w:val="22"/>
        </w:rPr>
        <w:t>e</w:t>
      </w:r>
      <w:r w:rsidR="00AA4C59">
        <w:rPr>
          <w:rFonts w:ascii="Arial" w:hAnsi="Arial" w:cs="Arial"/>
          <w:sz w:val="22"/>
          <w:szCs w:val="22"/>
        </w:rPr>
        <w:t xml:space="preserve">stos registran un </w:t>
      </w:r>
      <w:r w:rsidRPr="00A2742C">
        <w:rPr>
          <w:rFonts w:ascii="Arial" w:hAnsi="Arial" w:cs="Arial"/>
          <w:sz w:val="22"/>
          <w:szCs w:val="22"/>
        </w:rPr>
        <w:t xml:space="preserve">42.2% de diputadas. </w:t>
      </w:r>
      <w:r w:rsidR="00AA4C59">
        <w:rPr>
          <w:rFonts w:ascii="Arial" w:hAnsi="Arial" w:cs="Arial"/>
          <w:sz w:val="22"/>
          <w:szCs w:val="22"/>
        </w:rPr>
        <w:t>Cabe señalar que 13 entidades federativas reportan entre 40 y 49%</w:t>
      </w:r>
      <w:r w:rsidR="005474DA">
        <w:rPr>
          <w:rFonts w:ascii="Arial" w:hAnsi="Arial" w:cs="Arial"/>
          <w:sz w:val="22"/>
          <w:szCs w:val="22"/>
        </w:rPr>
        <w:t xml:space="preserve"> de mujeres en sus congresos, y en cinco entidades la proporción supera </w:t>
      </w:r>
      <w:r w:rsidR="000A1CFA">
        <w:rPr>
          <w:rFonts w:ascii="Arial" w:hAnsi="Arial" w:cs="Arial"/>
          <w:sz w:val="22"/>
          <w:szCs w:val="22"/>
        </w:rPr>
        <w:t>e</w:t>
      </w:r>
      <w:r w:rsidR="005474DA">
        <w:rPr>
          <w:rFonts w:ascii="Arial" w:hAnsi="Arial" w:cs="Arial"/>
          <w:sz w:val="22"/>
          <w:szCs w:val="22"/>
        </w:rPr>
        <w:t>l 50%.</w:t>
      </w:r>
      <w:r w:rsidR="005474DA">
        <w:rPr>
          <w:rStyle w:val="Refdenotaalpie"/>
          <w:rFonts w:ascii="Arial" w:hAnsi="Arial" w:cs="Arial"/>
          <w:sz w:val="22"/>
          <w:szCs w:val="22"/>
        </w:rPr>
        <w:footnoteReference w:id="1"/>
      </w:r>
    </w:p>
    <w:p w:rsidR="004B4053" w:rsidRPr="00A2742C" w:rsidRDefault="004B4053" w:rsidP="007875ED">
      <w:pPr>
        <w:pStyle w:val="Prrafodelista"/>
        <w:numPr>
          <w:ilvl w:val="0"/>
          <w:numId w:val="3"/>
        </w:numPr>
        <w:ind w:left="426"/>
        <w:jc w:val="both"/>
        <w:rPr>
          <w:rFonts w:ascii="Arial" w:hAnsi="Arial" w:cs="Arial"/>
          <w:sz w:val="22"/>
          <w:szCs w:val="22"/>
        </w:rPr>
      </w:pPr>
      <w:r w:rsidRPr="00A2742C">
        <w:rPr>
          <w:rFonts w:ascii="Arial" w:hAnsi="Arial" w:cs="Arial"/>
          <w:sz w:val="22"/>
          <w:szCs w:val="22"/>
        </w:rPr>
        <w:t xml:space="preserve">El </w:t>
      </w:r>
      <w:r w:rsidRPr="008E46F0">
        <w:rPr>
          <w:rFonts w:ascii="Arial" w:hAnsi="Arial" w:cs="Arial"/>
          <w:b/>
          <w:i/>
          <w:sz w:val="22"/>
          <w:szCs w:val="22"/>
        </w:rPr>
        <w:t>Observatorio de Participación Política de las Mujeres en México</w:t>
      </w:r>
      <w:r w:rsidRPr="00A2742C">
        <w:rPr>
          <w:rFonts w:ascii="Arial" w:hAnsi="Arial" w:cs="Arial"/>
          <w:sz w:val="22"/>
          <w:szCs w:val="22"/>
        </w:rPr>
        <w:t xml:space="preserve"> ha demostrado ser un mecanismo de coordinación, acción y aprendizaje para todo el país; a junio de 2017, se cuenta con 2</w:t>
      </w:r>
      <w:r w:rsidR="00BE7313">
        <w:rPr>
          <w:rFonts w:ascii="Arial" w:hAnsi="Arial" w:cs="Arial"/>
          <w:sz w:val="22"/>
          <w:szCs w:val="22"/>
        </w:rPr>
        <w:t>0</w:t>
      </w:r>
      <w:r w:rsidRPr="00A2742C">
        <w:rPr>
          <w:rFonts w:ascii="Arial" w:hAnsi="Arial" w:cs="Arial"/>
          <w:sz w:val="22"/>
          <w:szCs w:val="22"/>
        </w:rPr>
        <w:t xml:space="preserve"> observatorios locales </w:t>
      </w:r>
      <w:r w:rsidR="00BE7313">
        <w:rPr>
          <w:rFonts w:ascii="Arial" w:hAnsi="Arial" w:cs="Arial"/>
          <w:sz w:val="22"/>
          <w:szCs w:val="22"/>
        </w:rPr>
        <w:t>c</w:t>
      </w:r>
      <w:r w:rsidRPr="00A2742C">
        <w:rPr>
          <w:rFonts w:ascii="Arial" w:hAnsi="Arial" w:cs="Arial"/>
          <w:sz w:val="22"/>
          <w:szCs w:val="22"/>
        </w:rPr>
        <w:t>on el propósito de promover y fortalecer las habilidades y liderazgos políticos de las mujeres, y lograr su incorporación a los espacios de toma de decisiones</w:t>
      </w:r>
      <w:r w:rsidR="00E9579E">
        <w:rPr>
          <w:rFonts w:ascii="Arial" w:hAnsi="Arial" w:cs="Arial"/>
          <w:sz w:val="22"/>
          <w:szCs w:val="22"/>
        </w:rPr>
        <w:t>;</w:t>
      </w:r>
      <w:r w:rsidRPr="00A2742C">
        <w:rPr>
          <w:rFonts w:ascii="Arial" w:hAnsi="Arial" w:cs="Arial"/>
          <w:sz w:val="22"/>
          <w:szCs w:val="22"/>
        </w:rPr>
        <w:t xml:space="preserve"> se creó la plataforma gratuita, en línea, de </w:t>
      </w:r>
      <w:r w:rsidRPr="00A2742C">
        <w:rPr>
          <w:rFonts w:ascii="Arial" w:hAnsi="Arial" w:cs="Arial"/>
          <w:i/>
          <w:sz w:val="22"/>
          <w:szCs w:val="22"/>
        </w:rPr>
        <w:t>Política y Políticas Públicas con Perspectiva de Género</w:t>
      </w:r>
      <w:r w:rsidR="00291EF0" w:rsidRPr="00A2742C">
        <w:rPr>
          <w:rFonts w:ascii="Arial" w:hAnsi="Arial" w:cs="Arial"/>
          <w:sz w:val="22"/>
          <w:szCs w:val="22"/>
        </w:rPr>
        <w:t xml:space="preserve"> y</w:t>
      </w:r>
      <w:r w:rsidRPr="00A2742C">
        <w:rPr>
          <w:rFonts w:ascii="Arial" w:hAnsi="Arial" w:cs="Arial"/>
          <w:sz w:val="22"/>
          <w:szCs w:val="22"/>
        </w:rPr>
        <w:t xml:space="preserve"> se cuenta con el Protocolo para Atender la Violencia Política contra las Mujeres.</w:t>
      </w:r>
    </w:p>
    <w:p w:rsidR="004B4053" w:rsidRPr="00A2742C" w:rsidRDefault="004B4053" w:rsidP="007875ED">
      <w:pPr>
        <w:pStyle w:val="Prrafodelista"/>
        <w:numPr>
          <w:ilvl w:val="0"/>
          <w:numId w:val="3"/>
        </w:numPr>
        <w:ind w:left="426"/>
        <w:jc w:val="both"/>
        <w:rPr>
          <w:rFonts w:ascii="Arial" w:hAnsi="Arial" w:cs="Arial"/>
          <w:sz w:val="22"/>
          <w:szCs w:val="22"/>
        </w:rPr>
      </w:pPr>
      <w:r w:rsidRPr="00A2742C">
        <w:rPr>
          <w:rFonts w:ascii="Arial" w:hAnsi="Arial" w:cs="Arial"/>
          <w:sz w:val="22"/>
          <w:szCs w:val="22"/>
        </w:rPr>
        <w:t>En el ámbito local</w:t>
      </w:r>
      <w:r w:rsidR="00E9579E">
        <w:rPr>
          <w:rFonts w:ascii="Arial" w:hAnsi="Arial" w:cs="Arial"/>
          <w:sz w:val="22"/>
          <w:szCs w:val="22"/>
        </w:rPr>
        <w:t>,</w:t>
      </w:r>
      <w:r w:rsidRPr="00A2742C">
        <w:rPr>
          <w:rFonts w:ascii="Arial" w:hAnsi="Arial" w:cs="Arial"/>
          <w:sz w:val="22"/>
          <w:szCs w:val="22"/>
        </w:rPr>
        <w:t xml:space="preserve"> mediante el </w:t>
      </w:r>
      <w:r w:rsidRPr="008E46F0">
        <w:rPr>
          <w:rFonts w:ascii="Arial" w:hAnsi="Arial" w:cs="Arial"/>
          <w:b/>
          <w:i/>
          <w:sz w:val="22"/>
          <w:szCs w:val="22"/>
        </w:rPr>
        <w:t>Programa de Fortalecimiento a la Transversalidad de la Perspectiva de Género</w:t>
      </w:r>
      <w:r w:rsidRPr="008E46F0">
        <w:rPr>
          <w:rFonts w:ascii="Arial" w:hAnsi="Arial" w:cs="Arial"/>
          <w:b/>
          <w:sz w:val="22"/>
          <w:szCs w:val="22"/>
        </w:rPr>
        <w:t xml:space="preserve"> (PFTPG</w:t>
      </w:r>
      <w:r w:rsidRPr="00A2742C">
        <w:rPr>
          <w:rFonts w:ascii="Arial" w:hAnsi="Arial" w:cs="Arial"/>
          <w:sz w:val="22"/>
          <w:szCs w:val="22"/>
        </w:rPr>
        <w:t xml:space="preserve">), de 2013 a junio de 2017, </w:t>
      </w:r>
      <w:r w:rsidR="00291EF0" w:rsidRPr="00A2742C">
        <w:rPr>
          <w:rFonts w:ascii="Arial" w:hAnsi="Arial" w:cs="Arial"/>
          <w:sz w:val="22"/>
          <w:szCs w:val="22"/>
        </w:rPr>
        <w:t xml:space="preserve">se </w:t>
      </w:r>
      <w:r w:rsidRPr="00A2742C">
        <w:rPr>
          <w:rFonts w:ascii="Arial" w:hAnsi="Arial" w:cs="Arial"/>
          <w:sz w:val="22"/>
          <w:szCs w:val="22"/>
        </w:rPr>
        <w:t>apoyó</w:t>
      </w:r>
      <w:r w:rsidR="003E37A9">
        <w:rPr>
          <w:rFonts w:ascii="Arial" w:hAnsi="Arial" w:cs="Arial"/>
          <w:sz w:val="22"/>
          <w:szCs w:val="22"/>
        </w:rPr>
        <w:t>,</w:t>
      </w:r>
      <w:r w:rsidRPr="00A2742C">
        <w:rPr>
          <w:rFonts w:ascii="Arial" w:hAnsi="Arial" w:cs="Arial"/>
          <w:sz w:val="22"/>
          <w:szCs w:val="22"/>
        </w:rPr>
        <w:t xml:space="preserve"> anualmente</w:t>
      </w:r>
      <w:r w:rsidR="003E37A9">
        <w:rPr>
          <w:rFonts w:ascii="Arial" w:hAnsi="Arial" w:cs="Arial"/>
          <w:sz w:val="22"/>
          <w:szCs w:val="22"/>
        </w:rPr>
        <w:t>,</w:t>
      </w:r>
      <w:r w:rsidRPr="00A2742C">
        <w:rPr>
          <w:rFonts w:ascii="Arial" w:hAnsi="Arial" w:cs="Arial"/>
          <w:sz w:val="22"/>
          <w:szCs w:val="22"/>
        </w:rPr>
        <w:t xml:space="preserve"> a las 32 Instancias de las Mujeres en las Entidades Federativas (IMEF) y a 1,060 Instancias Municipales de las Mujeres (IMM). También se crearon o fortalecieron 350 Centros para el </w:t>
      </w:r>
      <w:r w:rsidR="00BE7313">
        <w:rPr>
          <w:rFonts w:ascii="Arial" w:hAnsi="Arial" w:cs="Arial"/>
          <w:sz w:val="22"/>
          <w:szCs w:val="22"/>
        </w:rPr>
        <w:t>Desarrollo de las Mujeres (CDM),</w:t>
      </w:r>
      <w:r w:rsidRPr="00A2742C">
        <w:rPr>
          <w:rFonts w:ascii="Arial" w:hAnsi="Arial" w:cs="Arial"/>
          <w:sz w:val="22"/>
          <w:szCs w:val="22"/>
        </w:rPr>
        <w:t xml:space="preserve"> </w:t>
      </w:r>
      <w:r w:rsidR="00E9579E">
        <w:rPr>
          <w:rFonts w:ascii="Arial" w:hAnsi="Arial" w:cs="Arial"/>
          <w:sz w:val="22"/>
          <w:szCs w:val="22"/>
        </w:rPr>
        <w:t>cuya</w:t>
      </w:r>
      <w:r w:rsidRPr="00A2742C">
        <w:rPr>
          <w:rFonts w:ascii="Arial" w:hAnsi="Arial" w:cs="Arial"/>
          <w:sz w:val="22"/>
          <w:szCs w:val="22"/>
        </w:rPr>
        <w:t xml:space="preserve"> cobertura abarca las 32 entidades federativas</w:t>
      </w:r>
    </w:p>
    <w:p w:rsidR="004B4053" w:rsidRPr="00A2742C" w:rsidRDefault="00BE7313" w:rsidP="007875ED">
      <w:pPr>
        <w:pStyle w:val="Prrafodelista"/>
        <w:numPr>
          <w:ilvl w:val="0"/>
          <w:numId w:val="3"/>
        </w:numPr>
        <w:ind w:left="426"/>
        <w:jc w:val="both"/>
        <w:rPr>
          <w:rFonts w:ascii="Arial" w:hAnsi="Arial" w:cs="Arial"/>
          <w:sz w:val="22"/>
          <w:szCs w:val="22"/>
        </w:rPr>
      </w:pPr>
      <w:r>
        <w:rPr>
          <w:rFonts w:ascii="Arial" w:hAnsi="Arial" w:cs="Arial"/>
          <w:sz w:val="22"/>
          <w:szCs w:val="22"/>
        </w:rPr>
        <w:t>M</w:t>
      </w:r>
      <w:r w:rsidR="004B4053" w:rsidRPr="00A2742C">
        <w:rPr>
          <w:rFonts w:ascii="Arial" w:hAnsi="Arial" w:cs="Arial"/>
          <w:sz w:val="22"/>
          <w:szCs w:val="22"/>
        </w:rPr>
        <w:t xml:space="preserve">ediante el </w:t>
      </w:r>
      <w:r w:rsidR="004B4053" w:rsidRPr="008E46F0">
        <w:rPr>
          <w:rFonts w:ascii="Arial" w:hAnsi="Arial" w:cs="Arial"/>
          <w:b/>
          <w:sz w:val="22"/>
          <w:szCs w:val="22"/>
        </w:rPr>
        <w:t>Programa PROEQUIDAD</w:t>
      </w:r>
      <w:r w:rsidR="00E9579E">
        <w:rPr>
          <w:rFonts w:ascii="Arial" w:hAnsi="Arial" w:cs="Arial"/>
          <w:sz w:val="22"/>
          <w:szCs w:val="22"/>
        </w:rPr>
        <w:t>,</w:t>
      </w:r>
      <w:r w:rsidR="004B4053" w:rsidRPr="00A2742C">
        <w:rPr>
          <w:rFonts w:ascii="Arial" w:hAnsi="Arial" w:cs="Arial"/>
          <w:sz w:val="22"/>
          <w:szCs w:val="22"/>
        </w:rPr>
        <w:t xml:space="preserve"> el INMUJERES financia proyectos desarrollados por Organizaciones d</w:t>
      </w:r>
      <w:r>
        <w:rPr>
          <w:rFonts w:ascii="Arial" w:hAnsi="Arial" w:cs="Arial"/>
          <w:sz w:val="22"/>
          <w:szCs w:val="22"/>
        </w:rPr>
        <w:t>e la Sociedad Civil (OSC), e</w:t>
      </w:r>
      <w:r w:rsidR="004B4053" w:rsidRPr="00A2742C">
        <w:rPr>
          <w:rFonts w:ascii="Arial" w:hAnsi="Arial" w:cs="Arial"/>
          <w:sz w:val="22"/>
          <w:szCs w:val="22"/>
        </w:rPr>
        <w:t>n los últimos cinco años se han apoyado a 614 OSC.</w:t>
      </w:r>
    </w:p>
    <w:p w:rsidR="004B4053" w:rsidRPr="00A2742C" w:rsidRDefault="004B4053" w:rsidP="007875ED">
      <w:pPr>
        <w:pStyle w:val="Prrafodelista"/>
        <w:numPr>
          <w:ilvl w:val="0"/>
          <w:numId w:val="3"/>
        </w:numPr>
        <w:ind w:left="426"/>
        <w:jc w:val="both"/>
        <w:rPr>
          <w:rFonts w:ascii="Arial" w:hAnsi="Arial" w:cs="Arial"/>
          <w:sz w:val="22"/>
          <w:szCs w:val="22"/>
        </w:rPr>
      </w:pPr>
      <w:r w:rsidRPr="00A2742C">
        <w:rPr>
          <w:rFonts w:ascii="Arial" w:hAnsi="Arial" w:cs="Arial"/>
          <w:sz w:val="22"/>
          <w:szCs w:val="22"/>
        </w:rPr>
        <w:t xml:space="preserve">El INMUJERES tiene un papel </w:t>
      </w:r>
      <w:r w:rsidR="008E46F0">
        <w:rPr>
          <w:rFonts w:ascii="Arial" w:hAnsi="Arial" w:cs="Arial"/>
          <w:sz w:val="22"/>
          <w:szCs w:val="22"/>
        </w:rPr>
        <w:t>central</w:t>
      </w:r>
      <w:r w:rsidRPr="00A2742C">
        <w:rPr>
          <w:rFonts w:ascii="Arial" w:hAnsi="Arial" w:cs="Arial"/>
          <w:sz w:val="22"/>
          <w:szCs w:val="22"/>
        </w:rPr>
        <w:t xml:space="preserve"> en el impulso a la generación, </w:t>
      </w:r>
      <w:r w:rsidRPr="008E46F0">
        <w:rPr>
          <w:rFonts w:ascii="Arial" w:hAnsi="Arial" w:cs="Arial"/>
          <w:b/>
          <w:sz w:val="22"/>
          <w:szCs w:val="22"/>
        </w:rPr>
        <w:t>uso y difusión de estadísticas con perspectiva de género que contribuyan a la planeación</w:t>
      </w:r>
      <w:r w:rsidRPr="00A2742C">
        <w:rPr>
          <w:rFonts w:ascii="Arial" w:hAnsi="Arial" w:cs="Arial"/>
          <w:sz w:val="22"/>
          <w:szCs w:val="22"/>
        </w:rPr>
        <w:t xml:space="preserve">, </w:t>
      </w:r>
      <w:r w:rsidRPr="005113B9">
        <w:rPr>
          <w:rFonts w:ascii="Arial" w:hAnsi="Arial" w:cs="Arial"/>
          <w:b/>
          <w:sz w:val="22"/>
          <w:szCs w:val="22"/>
        </w:rPr>
        <w:lastRenderedPageBreak/>
        <w:t>seguimiento y evaluación</w:t>
      </w:r>
      <w:r w:rsidRPr="00A2742C">
        <w:rPr>
          <w:rFonts w:ascii="Arial" w:hAnsi="Arial" w:cs="Arial"/>
          <w:sz w:val="22"/>
          <w:szCs w:val="22"/>
        </w:rPr>
        <w:t xml:space="preserve"> de la </w:t>
      </w:r>
      <w:r w:rsidRPr="00A2742C">
        <w:rPr>
          <w:rFonts w:ascii="Arial" w:hAnsi="Arial" w:cs="Arial"/>
          <w:i/>
          <w:sz w:val="22"/>
          <w:szCs w:val="22"/>
        </w:rPr>
        <w:t>Política Nacional en Materia de Igualdad entre Mujeres y Hombres</w:t>
      </w:r>
      <w:r w:rsidRPr="00A2742C">
        <w:rPr>
          <w:rFonts w:ascii="Arial" w:hAnsi="Arial" w:cs="Arial"/>
          <w:sz w:val="22"/>
          <w:szCs w:val="22"/>
        </w:rPr>
        <w:t xml:space="preserve">, </w:t>
      </w:r>
      <w:r w:rsidR="00E9579E">
        <w:rPr>
          <w:rFonts w:ascii="Arial" w:hAnsi="Arial" w:cs="Arial"/>
          <w:sz w:val="22"/>
          <w:szCs w:val="22"/>
        </w:rPr>
        <w:t xml:space="preserve">y </w:t>
      </w:r>
      <w:r w:rsidRPr="00A2742C">
        <w:rPr>
          <w:rFonts w:ascii="Arial" w:hAnsi="Arial" w:cs="Arial"/>
          <w:sz w:val="22"/>
          <w:szCs w:val="22"/>
        </w:rPr>
        <w:t xml:space="preserve">preside el </w:t>
      </w:r>
      <w:r w:rsidRPr="00A2742C">
        <w:rPr>
          <w:rFonts w:ascii="Arial" w:hAnsi="Arial" w:cs="Arial"/>
          <w:i/>
          <w:sz w:val="22"/>
          <w:szCs w:val="22"/>
        </w:rPr>
        <w:t>Comité Técnico Especializado de Información con Perspectiva de Género</w:t>
      </w:r>
      <w:r w:rsidRPr="00A2742C">
        <w:rPr>
          <w:rFonts w:ascii="Arial" w:hAnsi="Arial" w:cs="Arial"/>
          <w:sz w:val="22"/>
          <w:szCs w:val="22"/>
        </w:rPr>
        <w:t xml:space="preserve"> (CTEIPG) del </w:t>
      </w:r>
      <w:r w:rsidRPr="005113B9">
        <w:rPr>
          <w:rFonts w:ascii="Arial" w:hAnsi="Arial" w:cs="Arial"/>
          <w:sz w:val="22"/>
          <w:szCs w:val="22"/>
        </w:rPr>
        <w:t>Sistema Nacional de Información Estadística y Geográfica (SNIEG)</w:t>
      </w:r>
      <w:r w:rsidRPr="00A2742C">
        <w:rPr>
          <w:rFonts w:ascii="Arial" w:hAnsi="Arial" w:cs="Arial"/>
          <w:sz w:val="22"/>
          <w:szCs w:val="22"/>
        </w:rPr>
        <w:t>, que cuenta con</w:t>
      </w:r>
      <w:r w:rsidR="005113B9">
        <w:rPr>
          <w:rFonts w:ascii="Arial" w:hAnsi="Arial" w:cs="Arial"/>
          <w:sz w:val="22"/>
          <w:szCs w:val="22"/>
        </w:rPr>
        <w:t xml:space="preserve"> los</w:t>
      </w:r>
      <w:r w:rsidRPr="00A2742C">
        <w:rPr>
          <w:rFonts w:ascii="Arial" w:hAnsi="Arial" w:cs="Arial"/>
          <w:sz w:val="22"/>
          <w:szCs w:val="22"/>
        </w:rPr>
        <w:t xml:space="preserve"> “</w:t>
      </w:r>
      <w:r w:rsidRPr="00A2742C">
        <w:rPr>
          <w:rFonts w:ascii="Arial" w:hAnsi="Arial" w:cs="Arial"/>
          <w:i/>
          <w:sz w:val="22"/>
          <w:szCs w:val="22"/>
        </w:rPr>
        <w:t>Lineamientos para Incorporar la Perspectiva de Género en el Sistema Nacional de Información Estadística y Geográfica</w:t>
      </w:r>
      <w:r w:rsidRPr="00A2742C">
        <w:rPr>
          <w:rFonts w:ascii="Arial" w:hAnsi="Arial" w:cs="Arial"/>
          <w:sz w:val="22"/>
          <w:szCs w:val="22"/>
        </w:rPr>
        <w:t xml:space="preserve">.” En 2015, el CTEIPG logró que la Encuesta Nacional sobre la Dinámica de las Relaciones en los Hogares (violencia contra las mujeres), fuera considerada </w:t>
      </w:r>
      <w:r w:rsidR="005113B9" w:rsidRPr="00A2742C">
        <w:rPr>
          <w:rFonts w:ascii="Arial" w:hAnsi="Arial" w:cs="Arial"/>
          <w:sz w:val="22"/>
          <w:szCs w:val="22"/>
        </w:rPr>
        <w:t>información de interés nacional</w:t>
      </w:r>
      <w:r w:rsidRPr="00A2742C">
        <w:rPr>
          <w:rFonts w:ascii="Arial" w:hAnsi="Arial" w:cs="Arial"/>
          <w:sz w:val="22"/>
          <w:szCs w:val="22"/>
        </w:rPr>
        <w:t>.</w:t>
      </w:r>
    </w:p>
    <w:p w:rsidR="00AA4C59" w:rsidRPr="008E46F0" w:rsidRDefault="00AA4C59" w:rsidP="007875ED">
      <w:pPr>
        <w:pStyle w:val="Prrafodelista"/>
        <w:numPr>
          <w:ilvl w:val="0"/>
          <w:numId w:val="3"/>
        </w:numPr>
        <w:shd w:val="clear" w:color="auto" w:fill="BFBFBF" w:themeFill="background1" w:themeFillShade="BF"/>
        <w:ind w:left="426"/>
        <w:jc w:val="both"/>
        <w:rPr>
          <w:rFonts w:ascii="Arial" w:hAnsi="Arial" w:cs="Arial"/>
          <w:b/>
          <w:sz w:val="22"/>
          <w:szCs w:val="22"/>
        </w:rPr>
      </w:pPr>
      <w:bookmarkStart w:id="1" w:name="_Hlk487658461"/>
      <w:r w:rsidRPr="008E46F0">
        <w:rPr>
          <w:rFonts w:ascii="Arial" w:hAnsi="Arial" w:cs="Arial"/>
          <w:b/>
          <w:sz w:val="22"/>
          <w:szCs w:val="22"/>
        </w:rPr>
        <w:t xml:space="preserve">Al cierre del 2016 se calculó que el PROIGUALDAD tenía </w:t>
      </w:r>
      <w:r>
        <w:rPr>
          <w:rFonts w:ascii="Arial" w:hAnsi="Arial" w:cs="Arial"/>
          <w:b/>
          <w:sz w:val="22"/>
          <w:szCs w:val="22"/>
        </w:rPr>
        <w:t xml:space="preserve">el 9.1% de sus líneas de acción cumplidas, y se reportaron avances en el 76.6% de </w:t>
      </w:r>
      <w:r w:rsidR="00E9579E">
        <w:rPr>
          <w:rFonts w:ascii="Arial" w:hAnsi="Arial" w:cs="Arial"/>
          <w:b/>
          <w:sz w:val="22"/>
          <w:szCs w:val="22"/>
        </w:rPr>
        <w:t>éstas</w:t>
      </w:r>
      <w:r>
        <w:rPr>
          <w:rFonts w:ascii="Arial" w:hAnsi="Arial" w:cs="Arial"/>
          <w:b/>
          <w:sz w:val="22"/>
          <w:szCs w:val="22"/>
        </w:rPr>
        <w:t xml:space="preserve">. Se </w:t>
      </w:r>
      <w:r w:rsidRPr="008E46F0">
        <w:rPr>
          <w:rFonts w:ascii="Arial" w:hAnsi="Arial" w:cs="Arial"/>
          <w:b/>
          <w:sz w:val="22"/>
          <w:szCs w:val="22"/>
        </w:rPr>
        <w:t xml:space="preserve">estima que, a </w:t>
      </w:r>
      <w:r>
        <w:rPr>
          <w:rFonts w:ascii="Arial" w:hAnsi="Arial" w:cs="Arial"/>
          <w:b/>
          <w:sz w:val="22"/>
          <w:szCs w:val="22"/>
        </w:rPr>
        <w:t>finales</w:t>
      </w:r>
      <w:r w:rsidRPr="008E46F0">
        <w:rPr>
          <w:rFonts w:ascii="Arial" w:hAnsi="Arial" w:cs="Arial"/>
          <w:b/>
          <w:sz w:val="22"/>
          <w:szCs w:val="22"/>
        </w:rPr>
        <w:t xml:space="preserve"> de 2018, con los ajustes realizados después de la revisión que mandata la Ley General para la Igualdad entre Mujeres y Hombres</w:t>
      </w:r>
      <w:r>
        <w:rPr>
          <w:rFonts w:ascii="Arial" w:hAnsi="Arial" w:cs="Arial"/>
          <w:b/>
          <w:sz w:val="22"/>
          <w:szCs w:val="22"/>
        </w:rPr>
        <w:t>,</w:t>
      </w:r>
      <w:r w:rsidRPr="008E46F0">
        <w:rPr>
          <w:rFonts w:ascii="Arial" w:hAnsi="Arial" w:cs="Arial"/>
          <w:b/>
          <w:sz w:val="22"/>
          <w:szCs w:val="22"/>
        </w:rPr>
        <w:t xml:space="preserve"> tendr</w:t>
      </w:r>
      <w:r>
        <w:rPr>
          <w:rFonts w:ascii="Arial" w:hAnsi="Arial" w:cs="Arial"/>
          <w:b/>
          <w:sz w:val="22"/>
          <w:szCs w:val="22"/>
        </w:rPr>
        <w:t>á un cumplimiento superior al 90</w:t>
      </w:r>
      <w:r w:rsidR="00E9579E">
        <w:rPr>
          <w:rFonts w:ascii="Arial" w:hAnsi="Arial" w:cs="Arial"/>
          <w:b/>
          <w:sz w:val="22"/>
          <w:szCs w:val="22"/>
        </w:rPr>
        <w:t xml:space="preserve"> por ciento</w:t>
      </w:r>
      <w:r w:rsidRPr="008E46F0">
        <w:rPr>
          <w:rFonts w:ascii="Arial" w:hAnsi="Arial" w:cs="Arial"/>
          <w:b/>
          <w:sz w:val="22"/>
          <w:szCs w:val="22"/>
        </w:rPr>
        <w:t>.</w:t>
      </w:r>
    </w:p>
    <w:bookmarkEnd w:id="1"/>
    <w:p w:rsidR="004B4053" w:rsidRPr="00A2742C" w:rsidRDefault="004B4053">
      <w:pPr>
        <w:rPr>
          <w:rFonts w:ascii="Arial" w:hAnsi="Arial" w:cs="Arial"/>
        </w:rPr>
      </w:pPr>
    </w:p>
    <w:sectPr w:rsidR="004B4053" w:rsidRPr="00A2742C" w:rsidSect="00A2742C">
      <w:headerReference w:type="default" r:id="rId8"/>
      <w:footerReference w:type="default" r:id="rId9"/>
      <w:pgSz w:w="12240" w:h="15840"/>
      <w:pgMar w:top="709"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5FE" w:rsidRDefault="00B645FE" w:rsidP="00373FD2">
      <w:r>
        <w:separator/>
      </w:r>
    </w:p>
  </w:endnote>
  <w:endnote w:type="continuationSeparator" w:id="0">
    <w:p w:rsidR="00B645FE" w:rsidRDefault="00B645FE" w:rsidP="00373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2763678"/>
      <w:docPartObj>
        <w:docPartGallery w:val="Page Numbers (Bottom of Page)"/>
        <w:docPartUnique/>
      </w:docPartObj>
    </w:sdtPr>
    <w:sdtEndPr/>
    <w:sdtContent>
      <w:p w:rsidR="007C55E1" w:rsidRDefault="007C55E1">
        <w:pPr>
          <w:pStyle w:val="Piedepgina"/>
          <w:jc w:val="right"/>
        </w:pPr>
        <w:r>
          <w:fldChar w:fldCharType="begin"/>
        </w:r>
        <w:r>
          <w:instrText>PAGE   \* MERGEFORMAT</w:instrText>
        </w:r>
        <w:r>
          <w:fldChar w:fldCharType="separate"/>
        </w:r>
        <w:r w:rsidR="007875ED">
          <w:rPr>
            <w:noProof/>
          </w:rPr>
          <w:t>2</w:t>
        </w:r>
        <w:r>
          <w:fldChar w:fldCharType="end"/>
        </w:r>
      </w:p>
    </w:sdtContent>
  </w:sdt>
  <w:p w:rsidR="007C55E1" w:rsidRDefault="007C55E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5FE" w:rsidRDefault="00B645FE" w:rsidP="00373FD2">
      <w:r>
        <w:separator/>
      </w:r>
    </w:p>
  </w:footnote>
  <w:footnote w:type="continuationSeparator" w:id="0">
    <w:p w:rsidR="00B645FE" w:rsidRDefault="00B645FE" w:rsidP="00373FD2">
      <w:r>
        <w:continuationSeparator/>
      </w:r>
    </w:p>
  </w:footnote>
  <w:footnote w:id="1">
    <w:p w:rsidR="007C55E1" w:rsidRPr="007875ED" w:rsidRDefault="007C55E1">
      <w:pPr>
        <w:pStyle w:val="Textonotapie"/>
        <w:rPr>
          <w:rFonts w:ascii="Arial" w:hAnsi="Arial" w:cs="Arial"/>
          <w:lang w:val="es-MX"/>
        </w:rPr>
      </w:pPr>
      <w:r w:rsidRPr="007875ED">
        <w:rPr>
          <w:rStyle w:val="Refdenotaalpie"/>
          <w:rFonts w:ascii="Arial" w:hAnsi="Arial" w:cs="Arial"/>
        </w:rPr>
        <w:footnoteRef/>
      </w:r>
      <w:r w:rsidRPr="007875ED">
        <w:rPr>
          <w:rFonts w:ascii="Arial" w:hAnsi="Arial" w:cs="Arial"/>
        </w:rPr>
        <w:t xml:space="preserve"> </w:t>
      </w:r>
      <w:r w:rsidRPr="007875ED">
        <w:rPr>
          <w:rFonts w:ascii="Arial" w:hAnsi="Arial" w:cs="Arial"/>
          <w:lang w:val="es-MX"/>
        </w:rPr>
        <w:t>Campeche, Chiapas, Chihuahua, Querétaro y Zacatecas.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5E1" w:rsidRPr="00890E1F" w:rsidRDefault="007C55E1" w:rsidP="00373FD2">
    <w:pPr>
      <w:pStyle w:val="Sinespaciado"/>
      <w:ind w:left="2552"/>
      <w:jc w:val="right"/>
      <w:rPr>
        <w:rFonts w:ascii="Arial" w:eastAsia="Calibri" w:hAnsi="Arial" w:cs="Arial"/>
        <w:smallCaps/>
        <w:sz w:val="20"/>
        <w:szCs w:val="20"/>
        <w:lang w:val="es-MX" w:eastAsia="es-MX"/>
      </w:rPr>
    </w:pPr>
    <w:r w:rsidRPr="00890E1F">
      <w:rPr>
        <w:rFonts w:ascii="Arial" w:eastAsia="Calibri" w:hAnsi="Arial" w:cs="Arial"/>
        <w:smallCaps/>
        <w:sz w:val="20"/>
        <w:szCs w:val="20"/>
        <w:lang w:val="es-MX" w:eastAsia="es-MX"/>
      </w:rPr>
      <w:t xml:space="preserve">Respuesta Del Estado Mexicano </w:t>
    </w:r>
  </w:p>
  <w:p w:rsidR="007C55E1" w:rsidRPr="00373FD2" w:rsidRDefault="007C55E1" w:rsidP="00E9579E">
    <w:pPr>
      <w:pStyle w:val="Sinespaciado"/>
      <w:ind w:left="2552"/>
      <w:jc w:val="right"/>
      <w:rPr>
        <w:lang w:val="es-MX"/>
      </w:rPr>
    </w:pPr>
    <w:r w:rsidRPr="00890E1F">
      <w:rPr>
        <w:rFonts w:ascii="Arial" w:eastAsia="Calibri" w:hAnsi="Arial" w:cs="Arial"/>
        <w:smallCaps/>
        <w:sz w:val="20"/>
        <w:szCs w:val="20"/>
        <w:lang w:val="es-MX" w:eastAsia="es-MX"/>
      </w:rPr>
      <w:t>Lista de Cuestiones Relativa  a los Informes Periódicos Quinto y Sexto Combinados sobre el Cumplimiento del Pacto Internacional de Derechos Económicos, Sociales y Culturales</w:t>
    </w:r>
  </w:p>
  <w:p w:rsidR="007C55E1" w:rsidRDefault="007C55E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D70DE6"/>
    <w:multiLevelType w:val="hybridMultilevel"/>
    <w:tmpl w:val="E03277F4"/>
    <w:lvl w:ilvl="0" w:tplc="080A000F">
      <w:start w:val="1"/>
      <w:numFmt w:val="decimal"/>
      <w:lvlText w:val="%1."/>
      <w:lvlJc w:val="left"/>
      <w:pPr>
        <w:ind w:left="360" w:hanging="360"/>
      </w:pPr>
      <w:rPr>
        <w:rFonts w:hint="default"/>
      </w:rPr>
    </w:lvl>
    <w:lvl w:ilvl="1" w:tplc="1E9A445A">
      <w:start w:val="1"/>
      <w:numFmt w:val="bullet"/>
      <w:lvlText w:val="-"/>
      <w:lvlJc w:val="left"/>
      <w:pPr>
        <w:ind w:left="1080" w:hanging="360"/>
      </w:pPr>
      <w:rPr>
        <w:rFonts w:ascii="Sylfaen" w:hAnsi="Sylfaen"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nsid w:val="2D072C7E"/>
    <w:multiLevelType w:val="hybridMultilevel"/>
    <w:tmpl w:val="4F061610"/>
    <w:lvl w:ilvl="0" w:tplc="080A0001">
      <w:start w:val="1"/>
      <w:numFmt w:val="bullet"/>
      <w:lvlText w:val=""/>
      <w:lvlJc w:val="left"/>
      <w:pPr>
        <w:ind w:left="720" w:hanging="360"/>
      </w:pPr>
      <w:rPr>
        <w:rFonts w:ascii="Symbol" w:hAnsi="Symbol" w:hint="default"/>
      </w:rPr>
    </w:lvl>
    <w:lvl w:ilvl="1" w:tplc="1E9A445A">
      <w:start w:val="1"/>
      <w:numFmt w:val="bullet"/>
      <w:lvlText w:val="-"/>
      <w:lvlJc w:val="left"/>
      <w:pPr>
        <w:ind w:left="1440" w:hanging="360"/>
      </w:pPr>
      <w:rPr>
        <w:rFonts w:ascii="Sylfaen" w:hAnsi="Sylfaen"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5E342FB5"/>
    <w:multiLevelType w:val="hybridMultilevel"/>
    <w:tmpl w:val="DB9446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053"/>
    <w:rsid w:val="00031729"/>
    <w:rsid w:val="000A1CFA"/>
    <w:rsid w:val="00176E6B"/>
    <w:rsid w:val="001F4B3C"/>
    <w:rsid w:val="00291EF0"/>
    <w:rsid w:val="002C3AF2"/>
    <w:rsid w:val="00373FD2"/>
    <w:rsid w:val="003E37A9"/>
    <w:rsid w:val="004B4053"/>
    <w:rsid w:val="004D7C0A"/>
    <w:rsid w:val="005113B9"/>
    <w:rsid w:val="005474DA"/>
    <w:rsid w:val="005B012B"/>
    <w:rsid w:val="00752771"/>
    <w:rsid w:val="007875ED"/>
    <w:rsid w:val="0079069A"/>
    <w:rsid w:val="007C55E1"/>
    <w:rsid w:val="00857530"/>
    <w:rsid w:val="008E46F0"/>
    <w:rsid w:val="009B5ACE"/>
    <w:rsid w:val="00A058F0"/>
    <w:rsid w:val="00A2742C"/>
    <w:rsid w:val="00A83332"/>
    <w:rsid w:val="00AA4C59"/>
    <w:rsid w:val="00B645FE"/>
    <w:rsid w:val="00BE7313"/>
    <w:rsid w:val="00DF40CD"/>
    <w:rsid w:val="00E9579E"/>
    <w:rsid w:val="00FD434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D96485-D81E-4840-890B-D8F63F228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05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4B4053"/>
    <w:pPr>
      <w:spacing w:after="0" w:line="240" w:lineRule="auto"/>
    </w:pPr>
    <w:rPr>
      <w:rFonts w:ascii="Times New Roman" w:eastAsia="PMingLiU" w:hAnsi="Times New Roman" w:cs="Times New Roman"/>
      <w:lang w:val="en-US"/>
    </w:rPr>
  </w:style>
  <w:style w:type="paragraph" w:styleId="Prrafodelista">
    <w:name w:val="List Paragraph"/>
    <w:aliases w:val="Dot pt,No Spacing1,List Paragraph Char Char Char,Indicator Text,List Paragraph1,Numbered Para 1,Colorful List - Accent 11,Bullet 1,F5 List Paragraph,Bullet Points,viñetas,lp1,List Paragraph2,MAIN CONTENT,Normal numbered,3,Normal Fv,DH1"/>
    <w:basedOn w:val="Normal"/>
    <w:link w:val="PrrafodelistaCar"/>
    <w:uiPriority w:val="34"/>
    <w:qFormat/>
    <w:rsid w:val="004B4053"/>
    <w:pPr>
      <w:ind w:left="720"/>
      <w:contextualSpacing/>
    </w:pPr>
  </w:style>
  <w:style w:type="character" w:styleId="Refdecomentario">
    <w:name w:val="annotation reference"/>
    <w:basedOn w:val="Fuentedeprrafopredeter"/>
    <w:uiPriority w:val="99"/>
    <w:semiHidden/>
    <w:unhideWhenUsed/>
    <w:rsid w:val="004B4053"/>
    <w:rPr>
      <w:sz w:val="16"/>
      <w:szCs w:val="16"/>
    </w:rPr>
  </w:style>
  <w:style w:type="paragraph" w:styleId="Textocomentario">
    <w:name w:val="annotation text"/>
    <w:basedOn w:val="Normal"/>
    <w:link w:val="TextocomentarioCar"/>
    <w:uiPriority w:val="99"/>
    <w:unhideWhenUsed/>
    <w:rsid w:val="004B4053"/>
    <w:rPr>
      <w:sz w:val="20"/>
      <w:szCs w:val="20"/>
    </w:rPr>
  </w:style>
  <w:style w:type="character" w:customStyle="1" w:styleId="TextocomentarioCar">
    <w:name w:val="Texto comentario Car"/>
    <w:basedOn w:val="Fuentedeprrafopredeter"/>
    <w:link w:val="Textocomentario"/>
    <w:uiPriority w:val="99"/>
    <w:rsid w:val="004B4053"/>
    <w:rPr>
      <w:rFonts w:ascii="Times New Roman" w:eastAsia="Times New Roman" w:hAnsi="Times New Roman" w:cs="Times New Roman"/>
      <w:sz w:val="20"/>
      <w:szCs w:val="20"/>
      <w:lang w:val="es-ES" w:eastAsia="es-ES"/>
    </w:rPr>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viñetas Car,lp1 Car,3 Car"/>
    <w:link w:val="Prrafodelista"/>
    <w:uiPriority w:val="34"/>
    <w:qFormat/>
    <w:locked/>
    <w:rsid w:val="004B405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B405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4053"/>
    <w:rPr>
      <w:rFonts w:ascii="Segoe UI" w:eastAsia="Times New Roman" w:hAnsi="Segoe UI" w:cs="Segoe UI"/>
      <w:sz w:val="18"/>
      <w:szCs w:val="18"/>
      <w:lang w:val="es-ES" w:eastAsia="es-ES"/>
    </w:rPr>
  </w:style>
  <w:style w:type="paragraph" w:styleId="Encabezado">
    <w:name w:val="header"/>
    <w:basedOn w:val="Normal"/>
    <w:link w:val="EncabezadoCar"/>
    <w:uiPriority w:val="99"/>
    <w:unhideWhenUsed/>
    <w:rsid w:val="00373FD2"/>
    <w:pPr>
      <w:tabs>
        <w:tab w:val="center" w:pos="4419"/>
        <w:tab w:val="right" w:pos="8838"/>
      </w:tabs>
    </w:pPr>
  </w:style>
  <w:style w:type="character" w:customStyle="1" w:styleId="EncabezadoCar">
    <w:name w:val="Encabezado Car"/>
    <w:basedOn w:val="Fuentedeprrafopredeter"/>
    <w:link w:val="Encabezado"/>
    <w:uiPriority w:val="99"/>
    <w:rsid w:val="00373FD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73FD2"/>
    <w:pPr>
      <w:tabs>
        <w:tab w:val="center" w:pos="4419"/>
        <w:tab w:val="right" w:pos="8838"/>
      </w:tabs>
    </w:pPr>
  </w:style>
  <w:style w:type="character" w:customStyle="1" w:styleId="PiedepginaCar">
    <w:name w:val="Pie de página Car"/>
    <w:basedOn w:val="Fuentedeprrafopredeter"/>
    <w:link w:val="Piedepgina"/>
    <w:uiPriority w:val="99"/>
    <w:rsid w:val="00373FD2"/>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semiHidden/>
    <w:unhideWhenUsed/>
    <w:rsid w:val="005474DA"/>
    <w:rPr>
      <w:sz w:val="20"/>
      <w:szCs w:val="20"/>
    </w:rPr>
  </w:style>
  <w:style w:type="character" w:customStyle="1" w:styleId="TextonotapieCar">
    <w:name w:val="Texto nota pie Car"/>
    <w:basedOn w:val="Fuentedeprrafopredeter"/>
    <w:link w:val="Textonotapie"/>
    <w:uiPriority w:val="99"/>
    <w:semiHidden/>
    <w:rsid w:val="005474DA"/>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474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98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6906E3-238C-41EB-B96B-360B4074BE31}"/>
</file>

<file path=customXml/itemProps2.xml><?xml version="1.0" encoding="utf-8"?>
<ds:datastoreItem xmlns:ds="http://schemas.openxmlformats.org/officeDocument/2006/customXml" ds:itemID="{6270157A-A420-49D1-B36F-FCC278C93581}"/>
</file>

<file path=customXml/itemProps3.xml><?xml version="1.0" encoding="utf-8"?>
<ds:datastoreItem xmlns:ds="http://schemas.openxmlformats.org/officeDocument/2006/customXml" ds:itemID="{069A845E-600A-4344-A7EC-3F42402A6F64}"/>
</file>

<file path=customXml/itemProps4.xml><?xml version="1.0" encoding="utf-8"?>
<ds:datastoreItem xmlns:ds="http://schemas.openxmlformats.org/officeDocument/2006/customXml" ds:itemID="{5356E696-0196-4B6F-81B4-95A70B59B8EE}"/>
</file>

<file path=docProps/app.xml><?xml version="1.0" encoding="utf-8"?>
<Properties xmlns="http://schemas.openxmlformats.org/officeDocument/2006/extended-properties" xmlns:vt="http://schemas.openxmlformats.org/officeDocument/2006/docPropsVTypes">
  <Template>Normal.dotm</Template>
  <TotalTime>2</TotalTime>
  <Pages>3</Pages>
  <Words>1117</Words>
  <Characters>6149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Lozano Rubello, Alejandra Beatriz</dc:creator>
  <cp:keywords/>
  <dc:description/>
  <cp:lastModifiedBy>Mendoza Carlos, Alondra Lisette</cp:lastModifiedBy>
  <cp:revision>3</cp:revision>
  <cp:lastPrinted>2017-07-13T02:33:00Z</cp:lastPrinted>
  <dcterms:created xsi:type="dcterms:W3CDTF">2017-07-14T00:08:00Z</dcterms:created>
  <dcterms:modified xsi:type="dcterms:W3CDTF">2017-07-14T00:09:00Z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