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24182"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0"/>
          <w:szCs w:val="20"/>
          <w:lang w:val="en-GB"/>
        </w:rPr>
      </w:pPr>
      <w:r w:rsidRPr="001A67AC">
        <w:rPr>
          <w:rFonts w:ascii="Times New Roman" w:eastAsia="Times New Roman" w:hAnsi="Times New Roman" w:cs="Times New Roman"/>
          <w:b/>
          <w:noProof/>
          <w:color w:val="000000"/>
          <w:sz w:val="20"/>
          <w:szCs w:val="20"/>
          <w:lang w:val="en-GB" w:eastAsia="en-GB"/>
        </w:rPr>
        <w:drawing>
          <wp:anchor distT="0" distB="0" distL="114300" distR="114300" simplePos="0" relativeHeight="251659264" behindDoc="1" locked="0" layoutInCell="1" allowOverlap="1" wp14:anchorId="1F2C3D55" wp14:editId="7F39B3BA">
            <wp:simplePos x="0" y="0"/>
            <wp:positionH relativeFrom="margin">
              <wp:posOffset>2529840</wp:posOffset>
            </wp:positionH>
            <wp:positionV relativeFrom="paragraph">
              <wp:posOffset>13335</wp:posOffset>
            </wp:positionV>
            <wp:extent cx="956945" cy="774700"/>
            <wp:effectExtent l="0" t="0" r="0" b="6350"/>
            <wp:wrapTight wrapText="bothSides">
              <wp:wrapPolygon edited="0">
                <wp:start x="0" y="0"/>
                <wp:lineTo x="0" y="21246"/>
                <wp:lineTo x="21070" y="21246"/>
                <wp:lineTo x="210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moirie 2010.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56945" cy="774700"/>
                    </a:xfrm>
                    <a:prstGeom prst="rect">
                      <a:avLst/>
                    </a:prstGeom>
                  </pic:spPr>
                </pic:pic>
              </a:graphicData>
            </a:graphic>
          </wp:anchor>
        </w:drawing>
      </w:r>
    </w:p>
    <w:p w14:paraId="0507F2BE"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0"/>
          <w:szCs w:val="20"/>
          <w:lang w:val="en-GB"/>
        </w:rPr>
      </w:pPr>
    </w:p>
    <w:p w14:paraId="1CF826B0"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0"/>
          <w:szCs w:val="20"/>
          <w:lang w:val="en-GB"/>
        </w:rPr>
      </w:pPr>
    </w:p>
    <w:p w14:paraId="76F0E23C"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0"/>
          <w:szCs w:val="20"/>
          <w:lang w:val="en-GB"/>
        </w:rPr>
      </w:pPr>
    </w:p>
    <w:p w14:paraId="12240FC3"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0"/>
          <w:szCs w:val="20"/>
          <w:lang w:val="en-GB"/>
        </w:rPr>
      </w:pPr>
    </w:p>
    <w:p w14:paraId="0C7D57FA" w14:textId="77777777" w:rsidR="001471AC" w:rsidRPr="001A67AC" w:rsidRDefault="001471AC" w:rsidP="001471AC">
      <w:pPr>
        <w:widowControl w:val="0"/>
        <w:autoSpaceDE w:val="0"/>
        <w:autoSpaceDN w:val="0"/>
        <w:spacing w:before="90" w:after="0" w:line="240" w:lineRule="auto"/>
        <w:jc w:val="center"/>
        <w:rPr>
          <w:rFonts w:ascii="Times New Roman" w:eastAsia="Times New Roman" w:hAnsi="Times New Roman" w:cs="Times New Roman"/>
          <w:b/>
          <w:sz w:val="24"/>
          <w:szCs w:val="24"/>
          <w:lang w:val="en-GB"/>
        </w:rPr>
      </w:pPr>
      <w:r w:rsidRPr="001A67AC">
        <w:rPr>
          <w:rFonts w:ascii="Times New Roman" w:eastAsia="Times New Roman" w:hAnsi="Times New Roman" w:cs="Times New Roman"/>
          <w:b/>
          <w:sz w:val="24"/>
          <w:szCs w:val="24"/>
          <w:lang w:val="en-GB"/>
        </w:rPr>
        <w:t xml:space="preserve">Convention Against Torture and Other Cruel, Inhuman or Degrading Treatment or Punishment </w:t>
      </w:r>
    </w:p>
    <w:p w14:paraId="3FA4C4C6" w14:textId="77777777" w:rsidR="001471AC" w:rsidRPr="001A67AC" w:rsidRDefault="001471AC" w:rsidP="00E70C8B">
      <w:pPr>
        <w:widowControl w:val="0"/>
        <w:tabs>
          <w:tab w:val="left" w:pos="4111"/>
          <w:tab w:val="left" w:pos="4253"/>
        </w:tabs>
        <w:autoSpaceDE w:val="0"/>
        <w:autoSpaceDN w:val="0"/>
        <w:spacing w:before="90" w:after="0" w:line="240" w:lineRule="auto"/>
        <w:jc w:val="center"/>
        <w:rPr>
          <w:rFonts w:ascii="Times New Roman" w:eastAsia="Times New Roman" w:hAnsi="Times New Roman" w:cs="Times New Roman"/>
          <w:b/>
          <w:sz w:val="24"/>
          <w:szCs w:val="24"/>
          <w:lang w:val="en-GB"/>
        </w:rPr>
      </w:pPr>
      <w:r w:rsidRPr="001A67AC">
        <w:rPr>
          <w:rFonts w:ascii="Times New Roman" w:eastAsia="Times New Roman" w:hAnsi="Times New Roman" w:cs="Times New Roman"/>
          <w:b/>
          <w:sz w:val="24"/>
          <w:szCs w:val="24"/>
          <w:lang w:val="en-GB"/>
        </w:rPr>
        <w:t>(CAT)</w:t>
      </w:r>
    </w:p>
    <w:p w14:paraId="2F1DA730" w14:textId="77777777" w:rsidR="001471AC" w:rsidRPr="001A67AC" w:rsidRDefault="001471AC" w:rsidP="001471AC">
      <w:pPr>
        <w:widowControl w:val="0"/>
        <w:autoSpaceDE w:val="0"/>
        <w:autoSpaceDN w:val="0"/>
        <w:spacing w:before="90" w:after="0" w:line="240" w:lineRule="auto"/>
        <w:ind w:left="132"/>
        <w:jc w:val="center"/>
        <w:rPr>
          <w:rFonts w:ascii="Times New Roman" w:eastAsia="Times New Roman" w:hAnsi="Times New Roman" w:cs="Times New Roman"/>
          <w:b/>
          <w:sz w:val="24"/>
          <w:szCs w:val="24"/>
          <w:lang w:val="en-GB"/>
        </w:rPr>
      </w:pPr>
    </w:p>
    <w:p w14:paraId="1FA3AC50" w14:textId="77777777" w:rsidR="001471AC" w:rsidRPr="001A67AC" w:rsidRDefault="001471AC" w:rsidP="001471AC">
      <w:pPr>
        <w:widowControl w:val="0"/>
        <w:autoSpaceDE w:val="0"/>
        <w:autoSpaceDN w:val="0"/>
        <w:spacing w:before="90" w:after="0" w:line="240" w:lineRule="auto"/>
        <w:rPr>
          <w:rFonts w:ascii="Times New Roman" w:eastAsia="Times New Roman" w:hAnsi="Times New Roman" w:cs="Times New Roman"/>
          <w:b/>
          <w:sz w:val="24"/>
          <w:szCs w:val="24"/>
          <w:lang w:val="en-GB"/>
        </w:rPr>
      </w:pPr>
    </w:p>
    <w:p w14:paraId="651644AA" w14:textId="77777777" w:rsidR="001471AC" w:rsidRPr="001A67AC" w:rsidRDefault="001471AC" w:rsidP="00E70C8B">
      <w:pPr>
        <w:widowControl w:val="0"/>
        <w:autoSpaceDE w:val="0"/>
        <w:autoSpaceDN w:val="0"/>
        <w:spacing w:before="7" w:after="0" w:line="240" w:lineRule="auto"/>
        <w:ind w:hanging="709"/>
        <w:jc w:val="center"/>
        <w:rPr>
          <w:rFonts w:ascii="Times New Roman" w:eastAsia="Times New Roman" w:hAnsi="Times New Roman" w:cs="Times New Roman"/>
          <w:b/>
          <w:sz w:val="24"/>
          <w:szCs w:val="24"/>
          <w:lang w:val="en-GB"/>
        </w:rPr>
      </w:pPr>
    </w:p>
    <w:p w14:paraId="2255122A" w14:textId="5A77BCEC" w:rsidR="001471AC" w:rsidRPr="001A67AC" w:rsidRDefault="001471AC" w:rsidP="00E70C8B">
      <w:pPr>
        <w:widowControl w:val="0"/>
        <w:autoSpaceDE w:val="0"/>
        <w:autoSpaceDN w:val="0"/>
        <w:spacing w:after="0" w:line="240" w:lineRule="auto"/>
        <w:ind w:left="851" w:hanging="709"/>
        <w:jc w:val="center"/>
        <w:rPr>
          <w:rFonts w:ascii="Times New Roman" w:eastAsia="Times New Roman" w:hAnsi="Times New Roman" w:cs="Times New Roman"/>
          <w:b/>
          <w:sz w:val="24"/>
          <w:szCs w:val="24"/>
          <w:lang w:val="en-GB"/>
        </w:rPr>
      </w:pPr>
      <w:r w:rsidRPr="001A67AC">
        <w:rPr>
          <w:rFonts w:ascii="Times New Roman" w:eastAsia="Times New Roman" w:hAnsi="Times New Roman" w:cs="Times New Roman"/>
          <w:b/>
          <w:sz w:val="24"/>
          <w:szCs w:val="24"/>
          <w:lang w:val="en-GB"/>
        </w:rPr>
        <w:t>Follow-up to the Concluding Observations on the Fifth Periodic Report of Mauritius on the Convention Against Torture and Other Cruel, Inhuman or Degrading Treatment or Punishment</w:t>
      </w:r>
    </w:p>
    <w:p w14:paraId="34A69805" w14:textId="77777777" w:rsidR="001471AC" w:rsidRPr="001A67AC" w:rsidRDefault="001471AC" w:rsidP="00E70C8B">
      <w:pPr>
        <w:widowControl w:val="0"/>
        <w:autoSpaceDE w:val="0"/>
        <w:autoSpaceDN w:val="0"/>
        <w:spacing w:after="0" w:line="240" w:lineRule="auto"/>
        <w:ind w:left="851" w:hanging="709"/>
        <w:jc w:val="center"/>
        <w:rPr>
          <w:rFonts w:ascii="Times New Roman" w:eastAsia="Times New Roman" w:hAnsi="Times New Roman" w:cs="Times New Roman"/>
          <w:b/>
          <w:sz w:val="24"/>
          <w:szCs w:val="24"/>
          <w:lang w:val="en-GB"/>
        </w:rPr>
      </w:pPr>
      <w:r w:rsidRPr="001A67AC">
        <w:rPr>
          <w:rFonts w:ascii="Times New Roman" w:eastAsia="Times New Roman" w:hAnsi="Times New Roman" w:cs="Times New Roman"/>
          <w:b/>
          <w:sz w:val="24"/>
          <w:szCs w:val="24"/>
          <w:lang w:val="en-GB"/>
        </w:rPr>
        <w:t>(CAT)</w:t>
      </w:r>
    </w:p>
    <w:p w14:paraId="7622CB95" w14:textId="77777777" w:rsidR="001471AC" w:rsidRPr="001A67AC" w:rsidRDefault="001471AC" w:rsidP="001471AC">
      <w:pPr>
        <w:widowControl w:val="0"/>
        <w:autoSpaceDE w:val="0"/>
        <w:autoSpaceDN w:val="0"/>
        <w:spacing w:after="0" w:line="240" w:lineRule="auto"/>
        <w:ind w:left="720"/>
        <w:jc w:val="center"/>
        <w:rPr>
          <w:rFonts w:ascii="Times New Roman" w:eastAsia="Times New Roman" w:hAnsi="Times New Roman" w:cs="Times New Roman"/>
          <w:b/>
          <w:sz w:val="24"/>
          <w:szCs w:val="24"/>
          <w:lang w:val="en-GB"/>
        </w:rPr>
      </w:pPr>
    </w:p>
    <w:p w14:paraId="2FE9162E" w14:textId="77777777" w:rsidR="001471AC" w:rsidRPr="001A67AC" w:rsidRDefault="001471AC" w:rsidP="001471AC">
      <w:pPr>
        <w:widowControl w:val="0"/>
        <w:autoSpaceDE w:val="0"/>
        <w:autoSpaceDN w:val="0"/>
        <w:spacing w:after="0" w:line="240" w:lineRule="auto"/>
        <w:ind w:left="720"/>
        <w:jc w:val="center"/>
        <w:rPr>
          <w:rFonts w:ascii="Times New Roman" w:eastAsia="Times New Roman" w:hAnsi="Times New Roman" w:cs="Times New Roman"/>
          <w:b/>
          <w:sz w:val="24"/>
          <w:szCs w:val="24"/>
          <w:lang w:val="en-GB"/>
        </w:rPr>
      </w:pPr>
    </w:p>
    <w:p w14:paraId="7AFC1353" w14:textId="35B5C1C1" w:rsidR="001471AC" w:rsidRPr="001A67AC" w:rsidRDefault="001471AC" w:rsidP="00E70C8B">
      <w:pPr>
        <w:widowControl w:val="0"/>
        <w:autoSpaceDE w:val="0"/>
        <w:autoSpaceDN w:val="0"/>
        <w:spacing w:after="0" w:line="240" w:lineRule="auto"/>
        <w:jc w:val="center"/>
        <w:rPr>
          <w:rFonts w:ascii="Times New Roman" w:eastAsia="Times New Roman" w:hAnsi="Times New Roman" w:cs="Times New Roman"/>
          <w:b/>
          <w:sz w:val="24"/>
          <w:szCs w:val="24"/>
          <w:lang w:val="en-GB"/>
        </w:rPr>
      </w:pPr>
      <w:r w:rsidRPr="001A67AC">
        <w:rPr>
          <w:rFonts w:ascii="Times New Roman" w:eastAsia="Times New Roman" w:hAnsi="Times New Roman" w:cs="Times New Roman"/>
          <w:b/>
          <w:sz w:val="24"/>
          <w:szCs w:val="24"/>
          <w:lang w:val="en-GB"/>
        </w:rPr>
        <w:t>Republic of Mauritius</w:t>
      </w:r>
    </w:p>
    <w:p w14:paraId="337E55DB" w14:textId="77777777" w:rsidR="001471AC" w:rsidRPr="001A67AC" w:rsidRDefault="001471AC" w:rsidP="001471AC">
      <w:pPr>
        <w:widowControl w:val="0"/>
        <w:autoSpaceDE w:val="0"/>
        <w:autoSpaceDN w:val="0"/>
        <w:spacing w:before="11" w:after="0" w:line="240" w:lineRule="auto"/>
        <w:ind w:left="720"/>
        <w:jc w:val="center"/>
        <w:rPr>
          <w:rFonts w:ascii="Times New Roman" w:eastAsia="Times New Roman" w:hAnsi="Times New Roman" w:cs="Times New Roman"/>
          <w:b/>
          <w:sz w:val="24"/>
          <w:szCs w:val="24"/>
          <w:lang w:val="en-GB"/>
        </w:rPr>
      </w:pPr>
    </w:p>
    <w:p w14:paraId="10B09265" w14:textId="77777777" w:rsidR="001471AC" w:rsidRPr="001A67AC" w:rsidRDefault="001471AC" w:rsidP="001471AC">
      <w:pPr>
        <w:widowControl w:val="0"/>
        <w:autoSpaceDE w:val="0"/>
        <w:autoSpaceDN w:val="0"/>
        <w:spacing w:before="11" w:after="0" w:line="240" w:lineRule="auto"/>
        <w:jc w:val="center"/>
        <w:rPr>
          <w:rFonts w:ascii="Times New Roman" w:eastAsia="Times New Roman" w:hAnsi="Times New Roman" w:cs="Times New Roman"/>
          <w:b/>
          <w:sz w:val="24"/>
          <w:szCs w:val="24"/>
          <w:lang w:val="en-GB"/>
        </w:rPr>
      </w:pPr>
    </w:p>
    <w:p w14:paraId="0E791A36" w14:textId="77777777" w:rsidR="00E70C8B" w:rsidRPr="001A67AC" w:rsidRDefault="00E70C8B" w:rsidP="00E70C8B">
      <w:pPr>
        <w:widowControl w:val="0"/>
        <w:autoSpaceDE w:val="0"/>
        <w:autoSpaceDN w:val="0"/>
        <w:spacing w:after="0" w:line="240" w:lineRule="auto"/>
        <w:rPr>
          <w:rFonts w:ascii="Times New Roman" w:eastAsia="Times New Roman" w:hAnsi="Times New Roman" w:cs="Times New Roman"/>
          <w:b/>
          <w:sz w:val="24"/>
          <w:szCs w:val="24"/>
          <w:lang w:val="en-GB"/>
        </w:rPr>
      </w:pPr>
    </w:p>
    <w:p w14:paraId="7C352E36" w14:textId="33A099F4" w:rsidR="001471AC" w:rsidRPr="001A67AC" w:rsidRDefault="006E31B5" w:rsidP="00E70C8B">
      <w:pPr>
        <w:widowControl w:val="0"/>
        <w:autoSpaceDE w:val="0"/>
        <w:autoSpaceDN w:val="0"/>
        <w:spacing w:after="0" w:line="240" w:lineRule="auto"/>
        <w:jc w:val="center"/>
        <w:rPr>
          <w:rFonts w:ascii="Times New Roman" w:eastAsia="Times New Roman" w:hAnsi="Times New Roman" w:cs="Times New Roman"/>
          <w:b/>
          <w:bCs/>
          <w:sz w:val="24"/>
          <w:szCs w:val="24"/>
          <w:lang w:val="en-GB"/>
        </w:rPr>
      </w:pPr>
      <w:r w:rsidRPr="001A67AC">
        <w:rPr>
          <w:rFonts w:ascii="Times New Roman" w:eastAsia="Times New Roman" w:hAnsi="Times New Roman" w:cs="Times New Roman"/>
          <w:b/>
          <w:bCs/>
          <w:sz w:val="24"/>
          <w:szCs w:val="24"/>
          <w:lang w:val="en-GB"/>
        </w:rPr>
        <w:t>June</w:t>
      </w:r>
      <w:r w:rsidR="001471AC" w:rsidRPr="001A67AC">
        <w:rPr>
          <w:rFonts w:ascii="Times New Roman" w:eastAsia="Times New Roman" w:hAnsi="Times New Roman" w:cs="Times New Roman"/>
          <w:b/>
          <w:bCs/>
          <w:sz w:val="24"/>
          <w:szCs w:val="24"/>
          <w:lang w:val="en-GB"/>
        </w:rPr>
        <w:t xml:space="preserve"> 2026</w:t>
      </w:r>
    </w:p>
    <w:p w14:paraId="1F3AB9D1" w14:textId="77777777" w:rsidR="001471AC" w:rsidRPr="001A67AC" w:rsidRDefault="001471AC" w:rsidP="001471AC">
      <w:pPr>
        <w:widowControl w:val="0"/>
        <w:autoSpaceDE w:val="0"/>
        <w:autoSpaceDN w:val="0"/>
        <w:spacing w:after="0" w:line="240" w:lineRule="auto"/>
        <w:jc w:val="center"/>
        <w:rPr>
          <w:rFonts w:ascii="Times New Roman" w:eastAsia="Times New Roman" w:hAnsi="Times New Roman" w:cs="Times New Roman"/>
          <w:sz w:val="24"/>
          <w:szCs w:val="24"/>
          <w:lang w:val="en-GB"/>
        </w:rPr>
      </w:pPr>
    </w:p>
    <w:p w14:paraId="2AF7457E" w14:textId="77777777" w:rsidR="001471AC" w:rsidRPr="001A67AC" w:rsidRDefault="001471AC" w:rsidP="001471AC">
      <w:pPr>
        <w:widowControl w:val="0"/>
        <w:autoSpaceDE w:val="0"/>
        <w:autoSpaceDN w:val="0"/>
        <w:spacing w:after="0" w:line="240" w:lineRule="auto"/>
        <w:jc w:val="center"/>
        <w:rPr>
          <w:rFonts w:ascii="Times New Roman" w:eastAsia="Times New Roman" w:hAnsi="Times New Roman" w:cs="Times New Roman"/>
          <w:sz w:val="20"/>
          <w:szCs w:val="20"/>
          <w:lang w:val="en-GB"/>
        </w:rPr>
      </w:pPr>
    </w:p>
    <w:p w14:paraId="6B31BFF3" w14:textId="77777777" w:rsidR="001471AC" w:rsidRPr="001A67AC" w:rsidRDefault="001471AC" w:rsidP="001471AC">
      <w:pPr>
        <w:widowControl w:val="0"/>
        <w:autoSpaceDE w:val="0"/>
        <w:autoSpaceDN w:val="0"/>
        <w:spacing w:after="0" w:line="240" w:lineRule="auto"/>
        <w:jc w:val="center"/>
        <w:rPr>
          <w:rFonts w:ascii="Times New Roman" w:eastAsia="Times New Roman" w:hAnsi="Times New Roman" w:cs="Times New Roman"/>
          <w:sz w:val="20"/>
          <w:szCs w:val="20"/>
          <w:lang w:val="en-GB"/>
        </w:rPr>
      </w:pPr>
    </w:p>
    <w:p w14:paraId="6E9DAA90" w14:textId="77777777" w:rsidR="001471AC" w:rsidRPr="001A67AC" w:rsidRDefault="001471AC" w:rsidP="001471AC">
      <w:pPr>
        <w:widowControl w:val="0"/>
        <w:autoSpaceDE w:val="0"/>
        <w:autoSpaceDN w:val="0"/>
        <w:spacing w:after="0" w:line="240" w:lineRule="auto"/>
        <w:jc w:val="center"/>
        <w:rPr>
          <w:rFonts w:ascii="Times New Roman" w:eastAsia="Times New Roman" w:hAnsi="Times New Roman" w:cs="Times New Roman"/>
          <w:sz w:val="20"/>
          <w:szCs w:val="20"/>
          <w:lang w:val="en-GB"/>
        </w:rPr>
      </w:pPr>
    </w:p>
    <w:p w14:paraId="558AA246" w14:textId="77777777" w:rsidR="001471AC" w:rsidRDefault="001471AC" w:rsidP="001471AC">
      <w:pPr>
        <w:tabs>
          <w:tab w:val="left" w:pos="900"/>
        </w:tabs>
        <w:rPr>
          <w:rFonts w:ascii="Times New Roman" w:eastAsia="Times New Roman" w:hAnsi="Times New Roman" w:cs="Times New Roman"/>
          <w:sz w:val="20"/>
          <w:szCs w:val="20"/>
          <w:lang w:val="en-GB"/>
        </w:rPr>
      </w:pPr>
    </w:p>
    <w:p w14:paraId="298C9F1B" w14:textId="77777777" w:rsidR="0058062F" w:rsidRDefault="0058062F" w:rsidP="001471AC">
      <w:pPr>
        <w:tabs>
          <w:tab w:val="left" w:pos="900"/>
        </w:tabs>
        <w:rPr>
          <w:rFonts w:ascii="Times New Roman" w:eastAsia="Times New Roman" w:hAnsi="Times New Roman" w:cs="Times New Roman"/>
          <w:sz w:val="20"/>
          <w:szCs w:val="20"/>
          <w:lang w:val="en-GB"/>
        </w:rPr>
      </w:pPr>
    </w:p>
    <w:p w14:paraId="02E4E78F" w14:textId="77777777" w:rsidR="0058062F" w:rsidRDefault="0058062F" w:rsidP="001471AC">
      <w:pPr>
        <w:tabs>
          <w:tab w:val="left" w:pos="900"/>
        </w:tabs>
        <w:rPr>
          <w:rFonts w:ascii="Times New Roman" w:eastAsia="Times New Roman" w:hAnsi="Times New Roman" w:cs="Times New Roman"/>
          <w:sz w:val="20"/>
          <w:szCs w:val="20"/>
          <w:lang w:val="en-GB"/>
        </w:rPr>
      </w:pPr>
    </w:p>
    <w:p w14:paraId="50E625E0" w14:textId="77777777" w:rsidR="0058062F" w:rsidRDefault="0058062F" w:rsidP="001471AC">
      <w:pPr>
        <w:tabs>
          <w:tab w:val="left" w:pos="900"/>
        </w:tabs>
        <w:rPr>
          <w:rFonts w:ascii="Times New Roman" w:eastAsia="Times New Roman" w:hAnsi="Times New Roman" w:cs="Times New Roman"/>
          <w:sz w:val="20"/>
          <w:szCs w:val="20"/>
          <w:lang w:val="en-GB"/>
        </w:rPr>
      </w:pPr>
    </w:p>
    <w:p w14:paraId="2847ED86" w14:textId="77777777" w:rsidR="0058062F" w:rsidRDefault="0058062F" w:rsidP="001471AC">
      <w:pPr>
        <w:tabs>
          <w:tab w:val="left" w:pos="900"/>
        </w:tabs>
        <w:rPr>
          <w:rFonts w:ascii="Times New Roman" w:eastAsia="Times New Roman" w:hAnsi="Times New Roman" w:cs="Times New Roman"/>
          <w:sz w:val="20"/>
          <w:szCs w:val="20"/>
          <w:lang w:val="en-GB"/>
        </w:rPr>
      </w:pPr>
    </w:p>
    <w:p w14:paraId="6A6FFDC7" w14:textId="77777777" w:rsidR="0058062F" w:rsidRPr="0058062F" w:rsidRDefault="0058062F" w:rsidP="001471AC">
      <w:pPr>
        <w:tabs>
          <w:tab w:val="left" w:pos="900"/>
        </w:tabs>
        <w:rPr>
          <w:rFonts w:ascii="Times New Roman" w:eastAsia="Times New Roman" w:hAnsi="Times New Roman" w:cs="Times New Roman"/>
          <w:b/>
          <w:sz w:val="20"/>
          <w:szCs w:val="20"/>
          <w:lang w:val="en-GB"/>
        </w:rPr>
      </w:pPr>
    </w:p>
    <w:p w14:paraId="4DE705CE" w14:textId="7AD6FA67" w:rsidR="0058062F" w:rsidRPr="0058062F" w:rsidRDefault="0058062F" w:rsidP="000870C2">
      <w:pPr>
        <w:widowControl w:val="0"/>
        <w:tabs>
          <w:tab w:val="left" w:pos="6300"/>
        </w:tabs>
        <w:autoSpaceDE w:val="0"/>
        <w:autoSpaceDN w:val="0"/>
        <w:spacing w:before="90" w:after="0" w:line="240" w:lineRule="auto"/>
        <w:rPr>
          <w:rFonts w:ascii="Times New Roman" w:eastAsia="Times New Roman" w:hAnsi="Times New Roman" w:cs="Times New Roman"/>
          <w:b/>
          <w:sz w:val="24"/>
          <w:szCs w:val="24"/>
          <w:lang w:val="en-GB"/>
        </w:rPr>
      </w:pPr>
      <w:r w:rsidRPr="0058062F">
        <w:rPr>
          <w:rFonts w:ascii="Times New Roman" w:eastAsia="Times New Roman" w:hAnsi="Times New Roman" w:cs="Times New Roman"/>
          <w:b/>
          <w:sz w:val="24"/>
          <w:szCs w:val="24"/>
          <w:lang w:val="en-GB"/>
        </w:rPr>
        <w:tab/>
      </w:r>
    </w:p>
    <w:p w14:paraId="32D68CAC" w14:textId="77777777" w:rsidR="0058062F" w:rsidRDefault="0058062F" w:rsidP="001471AC">
      <w:pPr>
        <w:tabs>
          <w:tab w:val="left" w:pos="900"/>
        </w:tabs>
        <w:rPr>
          <w:rFonts w:ascii="Times New Roman" w:eastAsia="Times New Roman" w:hAnsi="Times New Roman" w:cs="Times New Roman"/>
          <w:sz w:val="20"/>
          <w:szCs w:val="20"/>
          <w:lang w:val="en-GB"/>
        </w:rPr>
      </w:pPr>
    </w:p>
    <w:p w14:paraId="77FEEA54" w14:textId="77777777" w:rsidR="0058062F" w:rsidRDefault="0058062F" w:rsidP="001471AC">
      <w:pPr>
        <w:tabs>
          <w:tab w:val="left" w:pos="900"/>
        </w:tabs>
        <w:rPr>
          <w:rFonts w:ascii="Times New Roman" w:eastAsia="Times New Roman" w:hAnsi="Times New Roman" w:cs="Times New Roman"/>
          <w:sz w:val="20"/>
          <w:szCs w:val="20"/>
          <w:lang w:val="en-GB"/>
        </w:rPr>
      </w:pPr>
    </w:p>
    <w:p w14:paraId="09709C2B" w14:textId="77777777" w:rsidR="0058062F" w:rsidRDefault="0058062F" w:rsidP="001471AC">
      <w:pPr>
        <w:tabs>
          <w:tab w:val="left" w:pos="900"/>
        </w:tabs>
        <w:rPr>
          <w:rFonts w:ascii="Times New Roman" w:eastAsia="Times New Roman" w:hAnsi="Times New Roman" w:cs="Times New Roman"/>
          <w:sz w:val="20"/>
          <w:szCs w:val="20"/>
          <w:lang w:val="en-GB"/>
        </w:rPr>
      </w:pPr>
    </w:p>
    <w:p w14:paraId="4023D6A4" w14:textId="77777777" w:rsidR="0058062F" w:rsidRPr="001A67AC" w:rsidRDefault="0058062F" w:rsidP="001471AC">
      <w:pPr>
        <w:tabs>
          <w:tab w:val="left" w:pos="900"/>
        </w:tabs>
        <w:rPr>
          <w:rFonts w:ascii="Times New Roman" w:eastAsia="Times New Roman" w:hAnsi="Times New Roman" w:cs="Times New Roman"/>
          <w:sz w:val="20"/>
          <w:szCs w:val="20"/>
          <w:lang w:val="en-GB"/>
        </w:rPr>
        <w:sectPr w:rsidR="0058062F" w:rsidRPr="001A67AC" w:rsidSect="001471AC">
          <w:footerReference w:type="default" r:id="rId12"/>
          <w:pgSz w:w="11906" w:h="16838"/>
          <w:pgMar w:top="1440" w:right="1440" w:bottom="1440" w:left="1440" w:header="708" w:footer="708" w:gutter="0"/>
          <w:cols w:space="708"/>
          <w:docGrid w:linePitch="360"/>
        </w:sectPr>
      </w:pPr>
    </w:p>
    <w:p w14:paraId="42803D42" w14:textId="77777777" w:rsidR="001471AC" w:rsidRPr="001A67AC" w:rsidRDefault="001471AC" w:rsidP="001471AC">
      <w:pPr>
        <w:tabs>
          <w:tab w:val="left" w:pos="900"/>
        </w:tabs>
        <w:rPr>
          <w:rFonts w:ascii="Times New Roman" w:eastAsia="Times New Roman" w:hAnsi="Times New Roman" w:cs="Times New Roman"/>
          <w:sz w:val="20"/>
          <w:szCs w:val="20"/>
          <w:lang w:val="en-GB"/>
        </w:rPr>
      </w:pPr>
    </w:p>
    <w:p w14:paraId="4CBAE10C" w14:textId="77777777" w:rsidR="001471AC" w:rsidRPr="001A67AC" w:rsidRDefault="001471AC" w:rsidP="001471AC">
      <w:pPr>
        <w:tabs>
          <w:tab w:val="left" w:pos="900"/>
        </w:tabs>
        <w:spacing w:line="240" w:lineRule="auto"/>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t>Introduction</w:t>
      </w:r>
    </w:p>
    <w:p w14:paraId="38585B8E" w14:textId="77777777"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Republic of Mauritius wishes to thank the Committee against Torture for the comprehensive work and observations made on the fifth periodic report of the Republic of Mauritius, adopted by the Committee at its 82nd session in 2025 (CAT/C/MUS/CO/5).</w:t>
      </w:r>
    </w:p>
    <w:p w14:paraId="30BD3A64"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54080EEA" w14:textId="044062C7" w:rsidR="001471AC" w:rsidRPr="001A67AC" w:rsidRDefault="001471AC" w:rsidP="003320C6">
      <w:pPr>
        <w:pStyle w:val="ListParagraph"/>
        <w:numPr>
          <w:ilvl w:val="0"/>
          <w:numId w:val="1"/>
        </w:numPr>
        <w:tabs>
          <w:tab w:val="left" w:pos="900"/>
        </w:tabs>
        <w:spacing w:after="240" w:line="240" w:lineRule="auto"/>
        <w:ind w:left="0" w:firstLine="0"/>
        <w:contextualSpacing w:val="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Republic of Mauritius herewith submits the follow-up information as requested in paragraph (46) of the Committee’s concluding observations.</w:t>
      </w:r>
    </w:p>
    <w:p w14:paraId="543100B2" w14:textId="68425CA2" w:rsidR="001471AC" w:rsidRPr="001A67AC" w:rsidRDefault="001471AC" w:rsidP="001471AC">
      <w:pPr>
        <w:tabs>
          <w:tab w:val="left" w:pos="900"/>
        </w:tabs>
        <w:spacing w:line="240" w:lineRule="auto"/>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t>Reply to Paragraph 9 (a)</w:t>
      </w:r>
    </w:p>
    <w:p w14:paraId="76F496C2" w14:textId="77777777"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Constitution of Mauritius has been amended by way of Constitution (Amendment) Act No 10 of 2025, by repealing section 7 (2) of the Constitution so as to provide an absolute ban to torture, inhuman and degrading treatment, henceforth, in Mauritius.</w:t>
      </w:r>
    </w:p>
    <w:p w14:paraId="61CC5C62"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2C0E2C4" w14:textId="77777777"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In the same vein, by virtue of The Criminal Code (Amendment) Act 2025, section 242 of the Criminal Code has been purely and simply repealed and the previous section 245 of the Criminal Code has been repealed and replaced by a new section 245 which reads as follows:</w:t>
      </w:r>
    </w:p>
    <w:p w14:paraId="727594F7"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53F285C8" w14:textId="304B58BE" w:rsidR="001471AC" w:rsidRPr="001A67AC" w:rsidRDefault="00F26D3F" w:rsidP="001471AC">
      <w:pPr>
        <w:pStyle w:val="ListParagraph"/>
        <w:tabs>
          <w:tab w:val="left" w:pos="900"/>
        </w:tabs>
        <w:spacing w:line="240" w:lineRule="auto"/>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ab/>
      </w:r>
      <w:r w:rsidR="001471AC" w:rsidRPr="001A67AC">
        <w:rPr>
          <w:rFonts w:ascii="Times New Roman" w:eastAsia="Times New Roman" w:hAnsi="Times New Roman" w:cs="Times New Roman"/>
          <w:sz w:val="20"/>
          <w:szCs w:val="20"/>
          <w:lang w:val="en-GB"/>
        </w:rPr>
        <w:t>“245.  Homicide and wounds and blows under lawful authority.</w:t>
      </w:r>
    </w:p>
    <w:p w14:paraId="4F4BC8A5" w14:textId="77777777" w:rsidR="00F26D3F" w:rsidRPr="001A67AC" w:rsidRDefault="00F26D3F" w:rsidP="001471AC">
      <w:pPr>
        <w:pStyle w:val="ListParagraph"/>
        <w:tabs>
          <w:tab w:val="left" w:pos="900"/>
        </w:tabs>
        <w:spacing w:line="240" w:lineRule="auto"/>
        <w:jc w:val="both"/>
        <w:rPr>
          <w:rFonts w:ascii="Times New Roman" w:eastAsia="Times New Roman" w:hAnsi="Times New Roman" w:cs="Times New Roman"/>
          <w:sz w:val="20"/>
          <w:szCs w:val="20"/>
          <w:lang w:val="en-GB"/>
        </w:rPr>
      </w:pPr>
    </w:p>
    <w:p w14:paraId="20489879" w14:textId="66B21B2F"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There is neither crime, nor misdemeanour, where homicide is, or wounds or blows are, committed as a result of the use, to such extent and in such circumstances as are permitted by law, of such force as is reasonably justifiable – (a) for the defence of any person from violence or for the defence of property; (b) in order to effect a lawful arrest or to prevent the escape of a person lawfully detained; (c) for the purpose of suppressing a riot, insurrection or mutiny; or (d) in order to prevent the commission by that person of a criminal offence or if he dies as the result of a lawful act of war.”</w:t>
      </w:r>
    </w:p>
    <w:p w14:paraId="44E5C9E3" w14:textId="53F73407" w:rsidR="00E00129" w:rsidRPr="001A67AC" w:rsidRDefault="00E00129" w:rsidP="00E00129">
      <w:pPr>
        <w:jc w:val="both"/>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t>Reply to Paragraph 19 (b)</w:t>
      </w:r>
    </w:p>
    <w:p w14:paraId="0B561550" w14:textId="2F1C9280"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 For the Financial Year 2025-2026, three Investigators who were appointed on a month-to-month basis, resigned from their posts in August 2025. The recruitment exercise was ongoing at that same period of time.</w:t>
      </w:r>
    </w:p>
    <w:p w14:paraId="5A093652"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007C501E" w14:textId="77777777"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Six Investigators were then recruited by the IPCC from 08 September 2025 (first one) to 06 October 2025 (sixth one). </w:t>
      </w:r>
    </w:p>
    <w:p w14:paraId="7AF03CD9"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1983AB9A" w14:textId="1CF386E6" w:rsidR="001471AC" w:rsidRPr="001A67AC" w:rsidRDefault="001471AC"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As at date, there are nine investigating Officers employed on contract at the IPCC. Details are as follows:</w:t>
      </w:r>
    </w:p>
    <w:p w14:paraId="585F984E" w14:textId="77777777" w:rsidR="001471AC" w:rsidRPr="001A67AC" w:rsidRDefault="001471AC" w:rsidP="003320C6">
      <w:pPr>
        <w:pStyle w:val="ListParagraph"/>
        <w:numPr>
          <w:ilvl w:val="0"/>
          <w:numId w:val="7"/>
        </w:numPr>
        <w:tabs>
          <w:tab w:val="left" w:pos="900"/>
        </w:tabs>
        <w:spacing w:line="240" w:lineRule="auto"/>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One Senior Investigator;</w:t>
      </w:r>
    </w:p>
    <w:p w14:paraId="6662BAE8" w14:textId="77777777" w:rsidR="001471AC" w:rsidRPr="001A67AC" w:rsidRDefault="001471AC" w:rsidP="003320C6">
      <w:pPr>
        <w:pStyle w:val="ListParagraph"/>
        <w:numPr>
          <w:ilvl w:val="0"/>
          <w:numId w:val="7"/>
        </w:numPr>
        <w:tabs>
          <w:tab w:val="left" w:pos="900"/>
        </w:tabs>
        <w:spacing w:line="240" w:lineRule="auto"/>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Six Investigators; and</w:t>
      </w:r>
    </w:p>
    <w:p w14:paraId="74A93690" w14:textId="6291C941" w:rsidR="001471AC" w:rsidRPr="001A67AC" w:rsidRDefault="001471AC" w:rsidP="003320C6">
      <w:pPr>
        <w:pStyle w:val="ListParagraph"/>
        <w:numPr>
          <w:ilvl w:val="0"/>
          <w:numId w:val="7"/>
        </w:numPr>
        <w:tabs>
          <w:tab w:val="left" w:pos="900"/>
        </w:tabs>
        <w:spacing w:line="240" w:lineRule="auto"/>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Two Inquiring Officers/Senior Inquiring Officers</w:t>
      </w:r>
      <w:r w:rsidR="003320C6" w:rsidRPr="001A67AC">
        <w:rPr>
          <w:rFonts w:ascii="Times New Roman" w:eastAsia="Times New Roman" w:hAnsi="Times New Roman" w:cs="Times New Roman"/>
          <w:sz w:val="20"/>
          <w:szCs w:val="20"/>
          <w:lang w:val="en-GB"/>
        </w:rPr>
        <w:t>.</w:t>
      </w:r>
    </w:p>
    <w:p w14:paraId="3CEA7344" w14:textId="77777777"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C8ECB47" w14:textId="6562EEB7" w:rsidR="001471AC" w:rsidRPr="001A67AC" w:rsidRDefault="009E449E"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Furthermore, </w:t>
      </w:r>
      <w:r w:rsidR="001471AC" w:rsidRPr="001A67AC">
        <w:rPr>
          <w:rFonts w:ascii="Times New Roman" w:eastAsia="Times New Roman" w:hAnsi="Times New Roman" w:cs="Times New Roman"/>
          <w:sz w:val="20"/>
          <w:szCs w:val="20"/>
          <w:lang w:val="en-GB"/>
        </w:rPr>
        <w:t xml:space="preserve">Section 12 of the Independent Police Complaints Commission (IPCC) Act </w:t>
      </w:r>
      <w:r w:rsidR="001A3AA7" w:rsidRPr="001A67AC">
        <w:rPr>
          <w:rFonts w:ascii="Times New Roman" w:eastAsia="Times New Roman" w:hAnsi="Times New Roman" w:cs="Times New Roman"/>
          <w:sz w:val="20"/>
          <w:szCs w:val="20"/>
          <w:lang w:val="en-GB"/>
        </w:rPr>
        <w:t>already provides</w:t>
      </w:r>
      <w:r w:rsidR="001471AC" w:rsidRPr="001A67AC">
        <w:rPr>
          <w:rFonts w:ascii="Times New Roman" w:eastAsia="Times New Roman" w:hAnsi="Times New Roman" w:cs="Times New Roman"/>
          <w:sz w:val="20"/>
          <w:szCs w:val="20"/>
          <w:lang w:val="en-GB"/>
        </w:rPr>
        <w:t xml:space="preserve"> that an investigator may:</w:t>
      </w:r>
    </w:p>
    <w:p w14:paraId="12CC2992" w14:textId="77777777" w:rsidR="00F26D3F" w:rsidRPr="001A67AC" w:rsidRDefault="00F26D3F" w:rsidP="00F26D3F">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7BF7A2C6"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a)</w:t>
      </w:r>
      <w:r w:rsidRPr="001A67AC">
        <w:rPr>
          <w:rFonts w:ascii="Times New Roman" w:eastAsia="Times New Roman" w:hAnsi="Times New Roman" w:cs="Times New Roman"/>
          <w:sz w:val="20"/>
          <w:szCs w:val="20"/>
          <w:lang w:val="en-GB"/>
        </w:rPr>
        <w:tab/>
        <w:t>take all lawful measures which a police officer may take under the Police Act or any other enactment for the detection of an offence, except arrest a person;</w:t>
      </w:r>
    </w:p>
    <w:p w14:paraId="662C76FF"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b)</w:t>
      </w:r>
      <w:r w:rsidRPr="001A67AC">
        <w:rPr>
          <w:rFonts w:ascii="Times New Roman" w:eastAsia="Times New Roman" w:hAnsi="Times New Roman" w:cs="Times New Roman"/>
          <w:sz w:val="20"/>
          <w:szCs w:val="20"/>
          <w:lang w:val="en-GB"/>
        </w:rPr>
        <w:tab/>
        <w:t>record a statement under warning from any person;</w:t>
      </w:r>
    </w:p>
    <w:p w14:paraId="52DDF239"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c)</w:t>
      </w:r>
      <w:r w:rsidRPr="001A67AC">
        <w:rPr>
          <w:rFonts w:ascii="Times New Roman" w:eastAsia="Times New Roman" w:hAnsi="Times New Roman" w:cs="Times New Roman"/>
          <w:sz w:val="20"/>
          <w:szCs w:val="20"/>
          <w:lang w:val="en-GB"/>
        </w:rPr>
        <w:tab/>
        <w:t>enter and search any premises occupied or used by the Police Force or any other public body in that capacity;</w:t>
      </w:r>
    </w:p>
    <w:p w14:paraId="27A24987"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d)</w:t>
      </w:r>
      <w:r w:rsidRPr="001A67AC">
        <w:rPr>
          <w:rFonts w:ascii="Times New Roman" w:eastAsia="Times New Roman" w:hAnsi="Times New Roman" w:cs="Times New Roman"/>
          <w:sz w:val="20"/>
          <w:szCs w:val="20"/>
          <w:lang w:val="en-GB"/>
        </w:rPr>
        <w:tab/>
        <w:t>inspect any document or other thing on the premises;</w:t>
      </w:r>
    </w:p>
    <w:p w14:paraId="17EB8B33"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e)</w:t>
      </w:r>
      <w:r w:rsidRPr="001A67AC">
        <w:rPr>
          <w:rFonts w:ascii="Times New Roman" w:eastAsia="Times New Roman" w:hAnsi="Times New Roman" w:cs="Times New Roman"/>
          <w:sz w:val="20"/>
          <w:szCs w:val="20"/>
          <w:lang w:val="en-GB"/>
        </w:rPr>
        <w:tab/>
        <w:t>take copies of any document on the premises;</w:t>
      </w:r>
    </w:p>
    <w:p w14:paraId="4247DE1F"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f)</w:t>
      </w:r>
      <w:r w:rsidRPr="001A67AC">
        <w:rPr>
          <w:rFonts w:ascii="Times New Roman" w:eastAsia="Times New Roman" w:hAnsi="Times New Roman" w:cs="Times New Roman"/>
          <w:sz w:val="20"/>
          <w:szCs w:val="20"/>
          <w:lang w:val="en-GB"/>
        </w:rPr>
        <w:tab/>
        <w:t xml:space="preserve">apply to a District Magistrate for a search warrant, setting out the nature of the investigation and the purpose of entering the premises; and </w:t>
      </w:r>
    </w:p>
    <w:p w14:paraId="5A2126BF" w14:textId="77777777" w:rsidR="00F26D3F"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g)</w:t>
      </w:r>
      <w:r w:rsidRPr="001A67AC">
        <w:rPr>
          <w:rFonts w:ascii="Times New Roman" w:eastAsia="Times New Roman" w:hAnsi="Times New Roman" w:cs="Times New Roman"/>
          <w:sz w:val="20"/>
          <w:szCs w:val="20"/>
          <w:lang w:val="en-GB"/>
        </w:rPr>
        <w:tab/>
        <w:t>the Supreme Court may, on an application made by the Commission in connection with an investigation, make such order, issue such writs and give such directions as it considers appropriate for the purpose of enforcing this Act.</w:t>
      </w:r>
    </w:p>
    <w:p w14:paraId="13EF6195" w14:textId="76BDA2E7" w:rsidR="001471AC" w:rsidRPr="001A67AC" w:rsidRDefault="00F26D3F" w:rsidP="00F26D3F">
      <w:pPr>
        <w:pStyle w:val="ListParagraph"/>
        <w:tabs>
          <w:tab w:val="left" w:pos="900"/>
        </w:tabs>
        <w:spacing w:line="240" w:lineRule="auto"/>
        <w:ind w:left="90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h)</w:t>
      </w:r>
      <w:r w:rsidRPr="001A67AC">
        <w:rPr>
          <w:rFonts w:ascii="Times New Roman" w:eastAsia="Times New Roman" w:hAnsi="Times New Roman" w:cs="Times New Roman"/>
          <w:sz w:val="20"/>
          <w:szCs w:val="20"/>
          <w:lang w:val="en-GB"/>
        </w:rPr>
        <w:tab/>
        <w:t>the Police Force and every other public body shall make available to an investigator such facilities as may be necessary to enable the Commission to exercise its powers under this Act.</w:t>
      </w:r>
    </w:p>
    <w:p w14:paraId="432A9CB4" w14:textId="6559F9E6" w:rsidR="001471AC" w:rsidRPr="001A67AC" w:rsidRDefault="00F26D3F" w:rsidP="001471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lastRenderedPageBreak/>
        <w:t>As matters stand, the investigation is carried out impartially and effectively and it is even an offence under section 24 (g) of the Act to any person who obstructs or interferes with any member of the Commission in the exercise of his functions.</w:t>
      </w:r>
    </w:p>
    <w:p w14:paraId="0B00A04A" w14:textId="77777777" w:rsidR="00F26D3F" w:rsidRPr="001A67AC" w:rsidRDefault="00F26D3F" w:rsidP="00F26D3F">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2BEC1E0" w14:textId="67F0F84A" w:rsidR="00F26D3F" w:rsidRPr="001A67AC" w:rsidRDefault="00F26D3F" w:rsidP="00F26D3F">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Concerning cases of alleged torture, the IPCC has received five (5) complaints of alleged torture in the year 2022. The five complaints were reclassified and referred to the Office of the Director of Public Prosecutions (ODPP) after completion of investigation, with recommendation to prosecute the incriminated police officers for the offence of assault with aggravating circumstances for one</w:t>
      </w:r>
      <w:r w:rsidR="009E449E" w:rsidRPr="001A67AC">
        <w:rPr>
          <w:rFonts w:ascii="Times New Roman" w:eastAsia="Times New Roman" w:hAnsi="Times New Roman" w:cs="Times New Roman"/>
          <w:sz w:val="20"/>
          <w:szCs w:val="20"/>
          <w:lang w:val="en-GB"/>
        </w:rPr>
        <w:t xml:space="preserve"> of the</w:t>
      </w:r>
      <w:r w:rsidRPr="001A67AC">
        <w:rPr>
          <w:rFonts w:ascii="Times New Roman" w:eastAsia="Times New Roman" w:hAnsi="Times New Roman" w:cs="Times New Roman"/>
          <w:sz w:val="20"/>
          <w:szCs w:val="20"/>
          <w:lang w:val="en-GB"/>
        </w:rPr>
        <w:t xml:space="preserve"> case</w:t>
      </w:r>
      <w:r w:rsidR="009E449E" w:rsidRPr="001A67AC">
        <w:rPr>
          <w:rFonts w:ascii="Times New Roman" w:eastAsia="Times New Roman" w:hAnsi="Times New Roman" w:cs="Times New Roman"/>
          <w:sz w:val="20"/>
          <w:szCs w:val="20"/>
          <w:lang w:val="en-GB"/>
        </w:rPr>
        <w:t>s</w:t>
      </w:r>
      <w:r w:rsidRPr="001A67AC">
        <w:rPr>
          <w:rFonts w:ascii="Times New Roman" w:eastAsia="Times New Roman" w:hAnsi="Times New Roman" w:cs="Times New Roman"/>
          <w:sz w:val="20"/>
          <w:szCs w:val="20"/>
          <w:lang w:val="en-GB"/>
        </w:rPr>
        <w:t xml:space="preserve"> and with recommendation to prosecute the incriminated police officers for the offence of Assault for the</w:t>
      </w:r>
      <w:r w:rsidR="009E449E" w:rsidRPr="001A67AC">
        <w:rPr>
          <w:rFonts w:ascii="Times New Roman" w:eastAsia="Times New Roman" w:hAnsi="Times New Roman" w:cs="Times New Roman"/>
          <w:sz w:val="20"/>
          <w:szCs w:val="20"/>
          <w:lang w:val="en-GB"/>
        </w:rPr>
        <w:t xml:space="preserve"> remaining</w:t>
      </w:r>
      <w:r w:rsidRPr="001A67AC">
        <w:rPr>
          <w:rFonts w:ascii="Times New Roman" w:eastAsia="Times New Roman" w:hAnsi="Times New Roman" w:cs="Times New Roman"/>
          <w:sz w:val="20"/>
          <w:szCs w:val="20"/>
          <w:lang w:val="en-GB"/>
        </w:rPr>
        <w:t xml:space="preserve"> other four cases </w:t>
      </w:r>
      <w:r w:rsidR="009E449E" w:rsidRPr="001A67AC">
        <w:rPr>
          <w:rFonts w:ascii="Times New Roman" w:eastAsia="Times New Roman" w:hAnsi="Times New Roman" w:cs="Times New Roman"/>
          <w:sz w:val="20"/>
          <w:szCs w:val="20"/>
          <w:lang w:val="en-GB"/>
        </w:rPr>
        <w:t xml:space="preserve">in light of </w:t>
      </w:r>
      <w:r w:rsidRPr="001A67AC">
        <w:rPr>
          <w:rFonts w:ascii="Times New Roman" w:eastAsia="Times New Roman" w:hAnsi="Times New Roman" w:cs="Times New Roman"/>
          <w:sz w:val="20"/>
          <w:szCs w:val="20"/>
          <w:lang w:val="en-GB"/>
        </w:rPr>
        <w:t xml:space="preserve"> Section 78 of the Criminal Code Act.</w:t>
      </w:r>
    </w:p>
    <w:p w14:paraId="11A0CEB2" w14:textId="77777777" w:rsidR="00F26D3F" w:rsidRPr="001A67AC" w:rsidRDefault="00F26D3F" w:rsidP="00F26D3F">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13E7AB98" w14:textId="16BE4C53" w:rsidR="00E00129" w:rsidRPr="001A67AC" w:rsidRDefault="00F26D3F" w:rsidP="00E0012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Out of the</w:t>
      </w:r>
      <w:r w:rsidR="009E449E" w:rsidRPr="001A67AC">
        <w:rPr>
          <w:rFonts w:ascii="Times New Roman" w:eastAsia="Times New Roman" w:hAnsi="Times New Roman" w:cs="Times New Roman"/>
          <w:sz w:val="20"/>
          <w:szCs w:val="20"/>
          <w:lang w:val="en-GB"/>
        </w:rPr>
        <w:t>se</w:t>
      </w:r>
      <w:r w:rsidRPr="001A67AC">
        <w:rPr>
          <w:rFonts w:ascii="Times New Roman" w:eastAsia="Times New Roman" w:hAnsi="Times New Roman" w:cs="Times New Roman"/>
          <w:sz w:val="20"/>
          <w:szCs w:val="20"/>
          <w:lang w:val="en-GB"/>
        </w:rPr>
        <w:t xml:space="preserve"> five (5) cases, three (3) have already been lodged before Court</w:t>
      </w:r>
      <w:r w:rsidR="009E449E" w:rsidRPr="001A67AC">
        <w:rPr>
          <w:rFonts w:ascii="Times New Roman" w:eastAsia="Times New Roman" w:hAnsi="Times New Roman" w:cs="Times New Roman"/>
          <w:sz w:val="20"/>
          <w:szCs w:val="20"/>
          <w:lang w:val="en-GB"/>
        </w:rPr>
        <w:t xml:space="preserve"> and is still ongoing</w:t>
      </w:r>
      <w:r w:rsidRPr="001A67AC">
        <w:rPr>
          <w:rFonts w:ascii="Times New Roman" w:eastAsia="Times New Roman" w:hAnsi="Times New Roman" w:cs="Times New Roman"/>
          <w:sz w:val="20"/>
          <w:szCs w:val="20"/>
          <w:lang w:val="en-GB"/>
        </w:rPr>
        <w:t>.  In one (1) of the three (3) cases lodged before the court, the Commission has</w:t>
      </w:r>
      <w:r w:rsidR="009E449E" w:rsidRPr="001A67AC">
        <w:rPr>
          <w:rFonts w:ascii="Times New Roman" w:eastAsia="Times New Roman" w:hAnsi="Times New Roman" w:cs="Times New Roman"/>
          <w:sz w:val="20"/>
          <w:szCs w:val="20"/>
          <w:lang w:val="en-GB"/>
        </w:rPr>
        <w:t xml:space="preserve"> even</w:t>
      </w:r>
      <w:r w:rsidRPr="001A67AC">
        <w:rPr>
          <w:rFonts w:ascii="Times New Roman" w:eastAsia="Times New Roman" w:hAnsi="Times New Roman" w:cs="Times New Roman"/>
          <w:sz w:val="20"/>
          <w:szCs w:val="20"/>
          <w:lang w:val="en-GB"/>
        </w:rPr>
        <w:t xml:space="preserve"> filed a “Prohibition Order to leave the Country” against </w:t>
      </w:r>
      <w:r w:rsidR="009E449E" w:rsidRPr="001A67AC">
        <w:rPr>
          <w:rFonts w:ascii="Times New Roman" w:eastAsia="Times New Roman" w:hAnsi="Times New Roman" w:cs="Times New Roman"/>
          <w:sz w:val="20"/>
          <w:szCs w:val="20"/>
          <w:lang w:val="en-GB"/>
        </w:rPr>
        <w:t xml:space="preserve">the </w:t>
      </w:r>
      <w:r w:rsidRPr="001A67AC">
        <w:rPr>
          <w:rFonts w:ascii="Times New Roman" w:eastAsia="Times New Roman" w:hAnsi="Times New Roman" w:cs="Times New Roman"/>
          <w:sz w:val="20"/>
          <w:szCs w:val="20"/>
          <w:lang w:val="en-GB"/>
        </w:rPr>
        <w:t>four accused parties.</w:t>
      </w:r>
      <w:r w:rsidR="00E00129" w:rsidRPr="001A67AC">
        <w:rPr>
          <w:rFonts w:ascii="Times New Roman" w:eastAsia="Times New Roman" w:hAnsi="Times New Roman" w:cs="Times New Roman"/>
          <w:sz w:val="20"/>
          <w:szCs w:val="20"/>
          <w:lang w:val="en-GB"/>
        </w:rPr>
        <w:t xml:space="preserve"> Details on the above-mentioned cases are at </w:t>
      </w:r>
      <w:r w:rsidR="00E00129" w:rsidRPr="001A67AC">
        <w:rPr>
          <w:rFonts w:ascii="Times New Roman" w:eastAsia="Times New Roman" w:hAnsi="Times New Roman" w:cs="Times New Roman"/>
          <w:b/>
          <w:bCs/>
          <w:sz w:val="20"/>
          <w:szCs w:val="20"/>
          <w:lang w:val="en-GB"/>
        </w:rPr>
        <w:t>Annex 1</w:t>
      </w:r>
      <w:r w:rsidR="00E00129" w:rsidRPr="001A67AC">
        <w:rPr>
          <w:rFonts w:ascii="Times New Roman" w:eastAsia="Times New Roman" w:hAnsi="Times New Roman" w:cs="Times New Roman"/>
          <w:sz w:val="20"/>
          <w:szCs w:val="20"/>
          <w:lang w:val="en-GB"/>
        </w:rPr>
        <w:t>.</w:t>
      </w:r>
      <w:r w:rsidR="009E449E" w:rsidRPr="001A67AC">
        <w:rPr>
          <w:rFonts w:ascii="Times New Roman" w:eastAsia="Times New Roman" w:hAnsi="Times New Roman" w:cs="Times New Roman"/>
          <w:sz w:val="20"/>
          <w:szCs w:val="20"/>
          <w:lang w:val="en-GB"/>
        </w:rPr>
        <w:t xml:space="preserve"> The remaining two are still awaited to be lodged, after further enquiry is attended to and information vetted by the ODPP.</w:t>
      </w:r>
    </w:p>
    <w:p w14:paraId="7411382A" w14:textId="1EDD60F4" w:rsidR="00E00129" w:rsidRPr="001A67AC" w:rsidRDefault="00E00129" w:rsidP="00E00129">
      <w:pPr>
        <w:jc w:val="both"/>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t>Reply to Paragraph 19 (c)</w:t>
      </w:r>
    </w:p>
    <w:p w14:paraId="44C25152" w14:textId="77777777" w:rsidR="00E00129" w:rsidRPr="001A67AC" w:rsidRDefault="00E00129" w:rsidP="00E0012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As per Section 16 (1) (b) (ii) of the IPCC Act 2016, the IPCC is already empowered to recommend suspension of Police Officers against whom complaints of alleged torture and ill-treatment have been reported and also to initiate disciplinary proceedings. </w:t>
      </w:r>
    </w:p>
    <w:p w14:paraId="6DB69126" w14:textId="77777777" w:rsidR="00E00129" w:rsidRPr="001A67AC" w:rsidRDefault="00E00129" w:rsidP="00E0012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0FEB6142" w14:textId="0C0302F8" w:rsidR="00E00129" w:rsidRPr="001A67AC" w:rsidRDefault="00E00129" w:rsidP="00E0012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During the course of investigation, a provisional charge was also lodged by Police against Six (6) Police Officers</w:t>
      </w:r>
      <w:r w:rsidR="009E449E" w:rsidRPr="001A67AC">
        <w:rPr>
          <w:rFonts w:ascii="Times New Roman" w:eastAsia="Times New Roman" w:hAnsi="Times New Roman" w:cs="Times New Roman"/>
          <w:sz w:val="20"/>
          <w:szCs w:val="20"/>
          <w:lang w:val="en-GB"/>
        </w:rPr>
        <w:t xml:space="preserve"> pending determination of enquiry</w:t>
      </w:r>
      <w:r w:rsidRPr="001A67AC">
        <w:rPr>
          <w:rFonts w:ascii="Times New Roman" w:eastAsia="Times New Roman" w:hAnsi="Times New Roman" w:cs="Times New Roman"/>
          <w:sz w:val="20"/>
          <w:szCs w:val="20"/>
          <w:lang w:val="en-GB"/>
        </w:rPr>
        <w:t xml:space="preserve"> and they were interdicted</w:t>
      </w:r>
      <w:r w:rsidR="009E449E" w:rsidRPr="001A67AC">
        <w:rPr>
          <w:rFonts w:ascii="Times New Roman" w:eastAsia="Times New Roman" w:hAnsi="Times New Roman" w:cs="Times New Roman"/>
          <w:sz w:val="20"/>
          <w:szCs w:val="20"/>
          <w:lang w:val="en-GB"/>
        </w:rPr>
        <w:t>, with immediate effect,</w:t>
      </w:r>
      <w:r w:rsidRPr="001A67AC">
        <w:rPr>
          <w:rFonts w:ascii="Times New Roman" w:eastAsia="Times New Roman" w:hAnsi="Times New Roman" w:cs="Times New Roman"/>
          <w:sz w:val="20"/>
          <w:szCs w:val="20"/>
          <w:lang w:val="en-GB"/>
        </w:rPr>
        <w:t xml:space="preserve"> from their duties. </w:t>
      </w:r>
    </w:p>
    <w:p w14:paraId="592DC95D" w14:textId="01F7D858" w:rsidR="000121A1" w:rsidRPr="001A67AC"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7691321" w14:textId="513690C4" w:rsidR="000121A1" w:rsidRPr="001A67AC" w:rsidRDefault="000121A1" w:rsidP="003320C6">
      <w:pPr>
        <w:pStyle w:val="ListParagraph"/>
        <w:tabs>
          <w:tab w:val="left" w:pos="720"/>
        </w:tabs>
        <w:spacing w:line="240" w:lineRule="auto"/>
        <w:ind w:left="0"/>
        <w:jc w:val="both"/>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t>Reply to Paragraph 27 (f)</w:t>
      </w:r>
    </w:p>
    <w:p w14:paraId="2D1D949A" w14:textId="77777777" w:rsidR="00E00129" w:rsidRPr="001A67AC" w:rsidRDefault="00E00129" w:rsidP="00E0012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C5D9860" w14:textId="1709A8C7" w:rsidR="000121A1" w:rsidRPr="001A67AC"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All cases of death in police custody are recorded in the occurrence book and a police enquiry is triggered outright to ascertain the cause of death.  </w:t>
      </w:r>
      <w:r w:rsidR="00593239" w:rsidRPr="001A67AC">
        <w:rPr>
          <w:rFonts w:ascii="Times New Roman" w:eastAsia="Times New Roman" w:hAnsi="Times New Roman" w:cs="Times New Roman"/>
          <w:sz w:val="20"/>
          <w:szCs w:val="20"/>
          <w:lang w:val="en-GB"/>
        </w:rPr>
        <w:t>All necessary measures and precautions are taken by the police including but not limited to t</w:t>
      </w:r>
      <w:r w:rsidRPr="001A67AC">
        <w:rPr>
          <w:rFonts w:ascii="Times New Roman" w:eastAsia="Times New Roman" w:hAnsi="Times New Roman" w:cs="Times New Roman"/>
          <w:sz w:val="20"/>
          <w:szCs w:val="20"/>
          <w:lang w:val="en-GB"/>
        </w:rPr>
        <w:t xml:space="preserve">he scene of crime </w:t>
      </w:r>
      <w:r w:rsidR="00593239" w:rsidRPr="001A67AC">
        <w:rPr>
          <w:rFonts w:ascii="Times New Roman" w:eastAsia="Times New Roman" w:hAnsi="Times New Roman" w:cs="Times New Roman"/>
          <w:sz w:val="20"/>
          <w:szCs w:val="20"/>
          <w:lang w:val="en-GB"/>
        </w:rPr>
        <w:t xml:space="preserve">being </w:t>
      </w:r>
      <w:r w:rsidRPr="001A67AC">
        <w:rPr>
          <w:rFonts w:ascii="Times New Roman" w:eastAsia="Times New Roman" w:hAnsi="Times New Roman" w:cs="Times New Roman"/>
          <w:sz w:val="20"/>
          <w:szCs w:val="20"/>
          <w:lang w:val="en-GB"/>
        </w:rPr>
        <w:t xml:space="preserve">secured to ensure preservation of evidence including scientific evidence and the dead </w:t>
      </w:r>
      <w:r w:rsidR="001A3AA7" w:rsidRPr="001A67AC">
        <w:rPr>
          <w:rFonts w:ascii="Times New Roman" w:eastAsia="Times New Roman" w:hAnsi="Times New Roman" w:cs="Times New Roman"/>
          <w:sz w:val="20"/>
          <w:szCs w:val="20"/>
          <w:lang w:val="en-GB"/>
        </w:rPr>
        <w:t>body being</w:t>
      </w:r>
      <w:r w:rsidRPr="001A67AC">
        <w:rPr>
          <w:rFonts w:ascii="Times New Roman" w:eastAsia="Times New Roman" w:hAnsi="Times New Roman" w:cs="Times New Roman"/>
          <w:sz w:val="20"/>
          <w:szCs w:val="20"/>
          <w:lang w:val="en-GB"/>
        </w:rPr>
        <w:t xml:space="preserve"> examined by a Police medical officer</w:t>
      </w:r>
      <w:r w:rsidR="00593239" w:rsidRPr="001A67AC">
        <w:rPr>
          <w:rFonts w:ascii="Times New Roman" w:eastAsia="Times New Roman" w:hAnsi="Times New Roman" w:cs="Times New Roman"/>
          <w:sz w:val="20"/>
          <w:szCs w:val="20"/>
          <w:lang w:val="en-GB"/>
        </w:rPr>
        <w:t xml:space="preserve"> at the Police Mortuary</w:t>
      </w:r>
      <w:r w:rsidR="008B41E4" w:rsidRPr="001A67AC">
        <w:rPr>
          <w:rFonts w:ascii="Times New Roman" w:eastAsia="Times New Roman" w:hAnsi="Times New Roman" w:cs="Times New Roman"/>
          <w:sz w:val="20"/>
          <w:szCs w:val="20"/>
          <w:lang w:val="en-GB"/>
        </w:rPr>
        <w:t>.</w:t>
      </w:r>
    </w:p>
    <w:p w14:paraId="338118E3" w14:textId="77777777" w:rsidR="000121A1" w:rsidRPr="001A67AC"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316D29D3" w14:textId="28F109F8" w:rsidR="000121A1" w:rsidRPr="001A67AC"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All cases of deaths in </w:t>
      </w:r>
      <w:r w:rsidR="00593239" w:rsidRPr="001A67AC">
        <w:rPr>
          <w:rFonts w:ascii="Times New Roman" w:eastAsia="Times New Roman" w:hAnsi="Times New Roman" w:cs="Times New Roman"/>
          <w:sz w:val="20"/>
          <w:szCs w:val="20"/>
          <w:lang w:val="en-GB"/>
        </w:rPr>
        <w:t xml:space="preserve">police </w:t>
      </w:r>
      <w:r w:rsidRPr="001A67AC">
        <w:rPr>
          <w:rFonts w:ascii="Times New Roman" w:eastAsia="Times New Roman" w:hAnsi="Times New Roman" w:cs="Times New Roman"/>
          <w:sz w:val="20"/>
          <w:szCs w:val="20"/>
          <w:lang w:val="en-GB"/>
        </w:rPr>
        <w:t xml:space="preserve">custody or as a result of police action are referred to the Independent Police Complaints Commission (IPCC) for prompt and impartial investigation. The number of cases investigated are at </w:t>
      </w:r>
      <w:r w:rsidRPr="001A67AC">
        <w:rPr>
          <w:rFonts w:ascii="Times New Roman" w:eastAsia="Times New Roman" w:hAnsi="Times New Roman" w:cs="Times New Roman"/>
          <w:b/>
          <w:bCs/>
          <w:sz w:val="20"/>
          <w:szCs w:val="20"/>
          <w:lang w:val="en-GB"/>
        </w:rPr>
        <w:t>Annex 2</w:t>
      </w:r>
      <w:r w:rsidRPr="001A67AC">
        <w:rPr>
          <w:rFonts w:ascii="Times New Roman" w:eastAsia="Times New Roman" w:hAnsi="Times New Roman" w:cs="Times New Roman"/>
          <w:sz w:val="20"/>
          <w:szCs w:val="20"/>
          <w:lang w:val="en-GB"/>
        </w:rPr>
        <w:t>.</w:t>
      </w:r>
    </w:p>
    <w:p w14:paraId="2E825104" w14:textId="77777777" w:rsidR="00593239" w:rsidRPr="001A67AC" w:rsidRDefault="00593239" w:rsidP="008B41E4">
      <w:pPr>
        <w:pStyle w:val="ListParagraph"/>
        <w:rPr>
          <w:rFonts w:ascii="Times New Roman" w:eastAsia="Times New Roman" w:hAnsi="Times New Roman" w:cs="Times New Roman"/>
          <w:sz w:val="20"/>
          <w:szCs w:val="20"/>
          <w:lang w:val="en-GB"/>
        </w:rPr>
      </w:pPr>
    </w:p>
    <w:p w14:paraId="7A51C869" w14:textId="2113DF4D" w:rsidR="00593239" w:rsidRPr="001A67AC" w:rsidRDefault="00593239"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It has to be pointed out that the enquiry is carried out with all seriousness</w:t>
      </w:r>
      <w:r w:rsidR="0010404C" w:rsidRPr="001A67AC">
        <w:rPr>
          <w:rFonts w:ascii="Times New Roman" w:eastAsia="Times New Roman" w:hAnsi="Times New Roman" w:cs="Times New Roman"/>
          <w:sz w:val="20"/>
          <w:szCs w:val="20"/>
          <w:lang w:val="en-GB"/>
        </w:rPr>
        <w:t>, independence and impartiality and transparency</w:t>
      </w:r>
      <w:r w:rsidRPr="001A67AC">
        <w:rPr>
          <w:rFonts w:ascii="Times New Roman" w:eastAsia="Times New Roman" w:hAnsi="Times New Roman" w:cs="Times New Roman"/>
          <w:sz w:val="20"/>
          <w:szCs w:val="20"/>
          <w:lang w:val="en-GB"/>
        </w:rPr>
        <w:t xml:space="preserve"> by the IPCC and in case any suspect is arrested, after </w:t>
      </w:r>
      <w:r w:rsidR="00016651" w:rsidRPr="001A67AC">
        <w:rPr>
          <w:rFonts w:ascii="Times New Roman" w:eastAsia="Times New Roman" w:hAnsi="Times New Roman" w:cs="Times New Roman"/>
          <w:sz w:val="20"/>
          <w:szCs w:val="20"/>
          <w:lang w:val="en-GB"/>
        </w:rPr>
        <w:t>advice</w:t>
      </w:r>
      <w:r w:rsidRPr="001A67AC">
        <w:rPr>
          <w:rFonts w:ascii="Times New Roman" w:eastAsia="Times New Roman" w:hAnsi="Times New Roman" w:cs="Times New Roman"/>
          <w:sz w:val="20"/>
          <w:szCs w:val="20"/>
          <w:lang w:val="en-GB"/>
        </w:rPr>
        <w:t xml:space="preserve"> sought from the DPP, he is suspended and once an enquiry is completed, the matter is sent to the DPP who ultimately decides on prosecution</w:t>
      </w:r>
      <w:r w:rsidR="0010404C" w:rsidRPr="001A67AC">
        <w:rPr>
          <w:rFonts w:ascii="Times New Roman" w:eastAsia="Times New Roman" w:hAnsi="Times New Roman" w:cs="Times New Roman"/>
          <w:sz w:val="20"/>
          <w:szCs w:val="20"/>
          <w:lang w:val="en-GB"/>
        </w:rPr>
        <w:t>, in light of evidence available. The interviewing of family members, police witnesses and even suspects take place while all the necessary safeguards and rights are protected.</w:t>
      </w:r>
    </w:p>
    <w:p w14:paraId="41EE76F0" w14:textId="77777777" w:rsidR="000121A1" w:rsidRPr="001A67AC"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3EA436B" w14:textId="2DC00CE4" w:rsidR="000121A1" w:rsidRPr="001A67AC"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During an investigation, the IPCC</w:t>
      </w:r>
      <w:r w:rsidR="00593239" w:rsidRPr="001A67AC">
        <w:rPr>
          <w:rFonts w:ascii="Times New Roman" w:eastAsia="Times New Roman" w:hAnsi="Times New Roman" w:cs="Times New Roman"/>
          <w:sz w:val="20"/>
          <w:szCs w:val="20"/>
          <w:lang w:val="en-GB"/>
        </w:rPr>
        <w:t xml:space="preserve"> has recourse to the services of the </w:t>
      </w:r>
      <w:r w:rsidR="004F35A9" w:rsidRPr="001A67AC">
        <w:rPr>
          <w:rFonts w:ascii="Times New Roman" w:eastAsia="Times New Roman" w:hAnsi="Times New Roman" w:cs="Times New Roman"/>
          <w:sz w:val="20"/>
          <w:szCs w:val="20"/>
          <w:lang w:val="en-GB"/>
        </w:rPr>
        <w:t>Forensic Science Laboratory (</w:t>
      </w:r>
      <w:r w:rsidR="00593239" w:rsidRPr="001A67AC">
        <w:rPr>
          <w:rFonts w:ascii="Times New Roman" w:eastAsia="Times New Roman" w:hAnsi="Times New Roman" w:cs="Times New Roman"/>
          <w:sz w:val="20"/>
          <w:szCs w:val="20"/>
          <w:lang w:val="en-GB"/>
        </w:rPr>
        <w:t>FSL</w:t>
      </w:r>
      <w:r w:rsidR="004F35A9" w:rsidRPr="001A67AC">
        <w:rPr>
          <w:rFonts w:ascii="Times New Roman" w:eastAsia="Times New Roman" w:hAnsi="Times New Roman" w:cs="Times New Roman"/>
          <w:sz w:val="20"/>
          <w:szCs w:val="20"/>
          <w:lang w:val="en-GB"/>
        </w:rPr>
        <w:t>)</w:t>
      </w:r>
      <w:r w:rsidRPr="001A67AC">
        <w:rPr>
          <w:rFonts w:ascii="Times New Roman" w:eastAsia="Times New Roman" w:hAnsi="Times New Roman" w:cs="Times New Roman"/>
          <w:sz w:val="20"/>
          <w:szCs w:val="20"/>
          <w:lang w:val="en-GB"/>
        </w:rPr>
        <w:t xml:space="preserve">. Although operating under the aegis of the Prime Minister’s Office, Rodrigues and Outer Islands Division, the FSL is an autonomous laboratory which is the sole provider of forensic and advisory services to law enforcement agencies in Mauritius.  The FSL is accredited by The Mauritius Accreditation Service (MAURITAS) and meets all requirements of ISO/IEC 17025:2017 demonstrating the impartiality, technical competence and operation of a laboratory Quality Management System (QMS). </w:t>
      </w:r>
    </w:p>
    <w:p w14:paraId="13EC6AF4" w14:textId="77777777" w:rsidR="000121A1" w:rsidRPr="001A67AC"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7C01E5C2" w14:textId="0B93E663" w:rsidR="000121A1" w:rsidRPr="000E4FC9"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National Human Rights Commission (NHRC) exercises its powers without prejudice to the powers of the Court and the powers of the Office of the Director of Public Prosecution</w:t>
      </w:r>
      <w:r w:rsidR="0053044C" w:rsidRPr="001A67AC">
        <w:rPr>
          <w:rFonts w:ascii="Times New Roman" w:eastAsia="Times New Roman" w:hAnsi="Times New Roman" w:cs="Times New Roman"/>
          <w:sz w:val="20"/>
          <w:szCs w:val="20"/>
          <w:lang w:val="en-GB"/>
        </w:rPr>
        <w:t>s</w:t>
      </w:r>
      <w:r w:rsidRPr="001A67AC">
        <w:rPr>
          <w:rFonts w:ascii="Times New Roman" w:eastAsia="Times New Roman" w:hAnsi="Times New Roman" w:cs="Times New Roman"/>
          <w:sz w:val="20"/>
          <w:szCs w:val="20"/>
          <w:lang w:val="en-GB"/>
        </w:rPr>
        <w:t xml:space="preserve"> (DPP) (Section 4 (1) of </w:t>
      </w:r>
      <w:r w:rsidRPr="000E4FC9">
        <w:rPr>
          <w:rFonts w:ascii="Times New Roman" w:eastAsia="Times New Roman" w:hAnsi="Times New Roman" w:cs="Times New Roman"/>
          <w:sz w:val="20"/>
          <w:szCs w:val="20"/>
          <w:lang w:val="en-GB"/>
        </w:rPr>
        <w:t xml:space="preserve">the Protection of Human Rights Act 1998 and Section 4 (b) of the National Preventive Mechanism Act 2012).  As such, the NHRC may conduct an investigation into cases of deaths in custody: both in prison and police cell. </w:t>
      </w:r>
    </w:p>
    <w:p w14:paraId="359685E4" w14:textId="77777777" w:rsidR="000121A1" w:rsidRPr="000E4FC9"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57EE0D45" w14:textId="42668825" w:rsidR="000121A1" w:rsidRPr="001A67AC"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The NHRC of Mauritius, through its </w:t>
      </w:r>
      <w:r w:rsidR="0053044C" w:rsidRPr="001A67AC">
        <w:rPr>
          <w:rFonts w:ascii="Times New Roman" w:eastAsia="Times New Roman" w:hAnsi="Times New Roman" w:cs="Times New Roman"/>
          <w:sz w:val="20"/>
          <w:szCs w:val="20"/>
          <w:lang w:val="en-GB"/>
        </w:rPr>
        <w:t>National Preventive Mechanism Division (</w:t>
      </w:r>
      <w:r w:rsidRPr="001A67AC">
        <w:rPr>
          <w:rFonts w:ascii="Times New Roman" w:eastAsia="Times New Roman" w:hAnsi="Times New Roman" w:cs="Times New Roman"/>
          <w:sz w:val="20"/>
          <w:szCs w:val="20"/>
          <w:lang w:val="en-GB"/>
        </w:rPr>
        <w:t>NPMD</w:t>
      </w:r>
      <w:r w:rsidR="0053044C" w:rsidRPr="001A67AC">
        <w:rPr>
          <w:rFonts w:ascii="Times New Roman" w:eastAsia="Times New Roman" w:hAnsi="Times New Roman" w:cs="Times New Roman"/>
          <w:sz w:val="20"/>
          <w:szCs w:val="20"/>
          <w:lang w:val="en-GB"/>
        </w:rPr>
        <w:t>)</w:t>
      </w:r>
      <w:r w:rsidRPr="001A67AC">
        <w:rPr>
          <w:rFonts w:ascii="Times New Roman" w:eastAsia="Times New Roman" w:hAnsi="Times New Roman" w:cs="Times New Roman"/>
          <w:sz w:val="20"/>
          <w:szCs w:val="20"/>
          <w:lang w:val="en-GB"/>
        </w:rPr>
        <w:t xml:space="preserve">, exercises its mandate pursuant to the Optional Protocol to the Convention Against Torture and Other Cruel, Inhuman or Degrading Treatment or Punishment (OPCAT), to which Mauritius is a State Party. In accordance with section 4(b) of the </w:t>
      </w:r>
      <w:r w:rsidR="00B13471" w:rsidRPr="001A67AC">
        <w:rPr>
          <w:rFonts w:ascii="Times New Roman" w:eastAsia="Times New Roman" w:hAnsi="Times New Roman" w:cs="Times New Roman"/>
          <w:sz w:val="20"/>
          <w:szCs w:val="20"/>
          <w:lang w:val="en-GB"/>
        </w:rPr>
        <w:t>National Preventive Mechanism (</w:t>
      </w:r>
      <w:r w:rsidRPr="001A67AC">
        <w:rPr>
          <w:rFonts w:ascii="Times New Roman" w:eastAsia="Times New Roman" w:hAnsi="Times New Roman" w:cs="Times New Roman"/>
          <w:sz w:val="20"/>
          <w:szCs w:val="20"/>
          <w:lang w:val="en-GB"/>
        </w:rPr>
        <w:t>NPM</w:t>
      </w:r>
      <w:r w:rsidR="00B13471" w:rsidRPr="001A67AC">
        <w:rPr>
          <w:rFonts w:ascii="Times New Roman" w:eastAsia="Times New Roman" w:hAnsi="Times New Roman" w:cs="Times New Roman"/>
          <w:sz w:val="20"/>
          <w:szCs w:val="20"/>
          <w:lang w:val="en-GB"/>
        </w:rPr>
        <w:t>)</w:t>
      </w:r>
      <w:r w:rsidRPr="001A67AC">
        <w:rPr>
          <w:rFonts w:ascii="Times New Roman" w:eastAsia="Times New Roman" w:hAnsi="Times New Roman" w:cs="Times New Roman"/>
          <w:sz w:val="20"/>
          <w:szCs w:val="20"/>
          <w:lang w:val="en-GB"/>
        </w:rPr>
        <w:t xml:space="preserve"> Act, the NPMD is empowered to investigate complaints relating to the treatment and conditions of detention of persons deprived of their liberty.</w:t>
      </w:r>
    </w:p>
    <w:p w14:paraId="2E5E0E85" w14:textId="77777777" w:rsidR="000121A1" w:rsidRPr="001A67AC" w:rsidRDefault="000121A1" w:rsidP="000121A1">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5F62C4C8" w14:textId="77777777" w:rsidR="000121A1" w:rsidRPr="001A67AC" w:rsidRDefault="000121A1" w:rsidP="000121A1">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lastRenderedPageBreak/>
        <w:t xml:space="preserve">The NPMD's investigative function is preventive in nature: it seeks to examine the systemic conditions and institutional practices surrounding a death in custody - including the treatment afforded to the detainee prior to death, the adequacy of care, and the circumstances in which the death occurred - with a view to identifying structural failures and vulnerabilities within the detention environment. </w:t>
      </w:r>
    </w:p>
    <w:p w14:paraId="5A3CDCD8"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0FA3DB8" w14:textId="25ED6AE0" w:rsidR="000121A1"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Findings are translated into concrete recommendations directed at the relevant authorities (as per Section 4(c)</w:t>
      </w:r>
      <w:r w:rsidR="00827E5E" w:rsidRPr="001A67AC">
        <w:rPr>
          <w:rFonts w:ascii="Times New Roman" w:eastAsia="Times New Roman" w:hAnsi="Times New Roman" w:cs="Times New Roman"/>
          <w:sz w:val="20"/>
          <w:szCs w:val="20"/>
          <w:lang w:val="en-GB"/>
        </w:rPr>
        <w:t xml:space="preserve"> </w:t>
      </w:r>
      <w:r w:rsidRPr="001A67AC">
        <w:rPr>
          <w:rFonts w:ascii="Times New Roman" w:eastAsia="Times New Roman" w:hAnsi="Times New Roman" w:cs="Times New Roman"/>
          <w:sz w:val="20"/>
          <w:szCs w:val="20"/>
          <w:lang w:val="en-GB"/>
        </w:rPr>
        <w:t>and</w:t>
      </w:r>
      <w:r w:rsidR="00827E5E" w:rsidRPr="001A67AC">
        <w:rPr>
          <w:rFonts w:ascii="Times New Roman" w:eastAsia="Times New Roman" w:hAnsi="Times New Roman" w:cs="Times New Roman"/>
          <w:sz w:val="20"/>
          <w:szCs w:val="20"/>
          <w:lang w:val="en-GB"/>
        </w:rPr>
        <w:t xml:space="preserve"> 4</w:t>
      </w:r>
      <w:r w:rsidRPr="001A67AC">
        <w:rPr>
          <w:rFonts w:ascii="Times New Roman" w:eastAsia="Times New Roman" w:hAnsi="Times New Roman" w:cs="Times New Roman"/>
          <w:sz w:val="20"/>
          <w:szCs w:val="20"/>
          <w:lang w:val="en-GB"/>
        </w:rPr>
        <w:t>(d) of the NPM Act), with the overarching objective of ensuring that similar incidents do not recur and that the rights and dignity of all persons deprived of their liberty are effectively safeguarded.</w:t>
      </w:r>
    </w:p>
    <w:p w14:paraId="2029D7B4" w14:textId="6B31402F" w:rsidR="00E1393D" w:rsidRDefault="00E1393D" w:rsidP="00E1393D">
      <w:pPr>
        <w:pStyle w:val="ListParagraph"/>
        <w:tabs>
          <w:tab w:val="left" w:pos="900"/>
        </w:tabs>
        <w:spacing w:line="240" w:lineRule="auto"/>
        <w:ind w:left="0"/>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 xml:space="preserve"> </w:t>
      </w:r>
    </w:p>
    <w:p w14:paraId="5B782EB1" w14:textId="5EC55334" w:rsidR="00E1393D" w:rsidRPr="00941A0F" w:rsidRDefault="00E1393D" w:rsidP="00941A0F">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941A0F">
        <w:rPr>
          <w:rFonts w:ascii="Times New Roman" w:eastAsia="Times New Roman" w:hAnsi="Times New Roman" w:cs="Times New Roman"/>
          <w:sz w:val="20"/>
          <w:szCs w:val="20"/>
          <w:lang w:val="en-GB"/>
        </w:rPr>
        <w:t>Two complaints of death at Central Prison Beau Bassin were received by the NPMD on 30 April 2026 and 05 May 2026 regarding detainees, Jeff Alex Perrine and Dyan Sawmy, respectively. Investigations were carried out and the findings of the NPMD together with the observations and recommendations are imminent.</w:t>
      </w:r>
    </w:p>
    <w:p w14:paraId="49705AAC" w14:textId="77777777" w:rsidR="006E2C8C" w:rsidRPr="001A67AC" w:rsidRDefault="006E2C8C" w:rsidP="006E2C8C">
      <w:pPr>
        <w:pStyle w:val="ListParagraph"/>
        <w:rPr>
          <w:rFonts w:ascii="Times New Roman" w:eastAsia="Times New Roman" w:hAnsi="Times New Roman" w:cs="Times New Roman"/>
          <w:sz w:val="20"/>
          <w:szCs w:val="20"/>
          <w:lang w:val="en-GB"/>
        </w:rPr>
      </w:pPr>
    </w:p>
    <w:p w14:paraId="1C56CFD8" w14:textId="081B84C2" w:rsidR="006E2C8C" w:rsidRPr="001A67AC" w:rsidRDefault="006E2C8C"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All deaths </w:t>
      </w:r>
      <w:r w:rsidR="001A67AC" w:rsidRPr="001A67AC">
        <w:rPr>
          <w:rFonts w:ascii="Times New Roman" w:eastAsia="Times New Roman" w:hAnsi="Times New Roman" w:cs="Times New Roman"/>
          <w:sz w:val="20"/>
          <w:szCs w:val="20"/>
          <w:lang w:val="en-GB"/>
        </w:rPr>
        <w:t xml:space="preserve">of convicted and non-convicted detainees </w:t>
      </w:r>
      <w:r w:rsidRPr="001A67AC">
        <w:rPr>
          <w:rFonts w:ascii="Times New Roman" w:eastAsia="Times New Roman" w:hAnsi="Times New Roman" w:cs="Times New Roman"/>
          <w:sz w:val="20"/>
          <w:szCs w:val="20"/>
          <w:lang w:val="en-GB"/>
        </w:rPr>
        <w:t xml:space="preserve">in prison are investigated by the police, as </w:t>
      </w:r>
      <w:r w:rsidR="001A67AC" w:rsidRPr="001A67AC">
        <w:rPr>
          <w:rFonts w:ascii="Times New Roman" w:eastAsia="Times New Roman" w:hAnsi="Times New Roman" w:cs="Times New Roman"/>
          <w:sz w:val="20"/>
          <w:szCs w:val="20"/>
          <w:lang w:val="en-GB"/>
        </w:rPr>
        <w:t>per</w:t>
      </w:r>
      <w:r w:rsidRPr="001A67AC">
        <w:rPr>
          <w:rFonts w:ascii="Times New Roman" w:eastAsia="Times New Roman" w:hAnsi="Times New Roman" w:cs="Times New Roman"/>
          <w:sz w:val="20"/>
          <w:szCs w:val="20"/>
          <w:lang w:val="en-GB"/>
        </w:rPr>
        <w:t xml:space="preserve"> </w:t>
      </w:r>
      <w:r w:rsidRPr="000E4FC9">
        <w:rPr>
          <w:rFonts w:ascii="Times New Roman" w:eastAsia="Times New Roman" w:hAnsi="Times New Roman" w:cs="Times New Roman"/>
          <w:b/>
          <w:bCs/>
          <w:sz w:val="20"/>
          <w:szCs w:val="20"/>
          <w:lang w:val="en-GB"/>
        </w:rPr>
        <w:t>Annex 3</w:t>
      </w:r>
      <w:r w:rsidRPr="001A67AC">
        <w:rPr>
          <w:rFonts w:ascii="Times New Roman" w:eastAsia="Times New Roman" w:hAnsi="Times New Roman" w:cs="Times New Roman"/>
          <w:sz w:val="20"/>
          <w:szCs w:val="20"/>
          <w:lang w:val="en-GB"/>
        </w:rPr>
        <w:t xml:space="preserve">.  </w:t>
      </w:r>
    </w:p>
    <w:p w14:paraId="0845E8D1" w14:textId="77777777" w:rsidR="006E2C8C" w:rsidRPr="001A67AC" w:rsidRDefault="006E2C8C" w:rsidP="006E2C8C">
      <w:pPr>
        <w:pStyle w:val="ListParagraph"/>
        <w:rPr>
          <w:rFonts w:ascii="Times New Roman" w:eastAsia="Times New Roman" w:hAnsi="Times New Roman" w:cs="Times New Roman"/>
          <w:sz w:val="20"/>
          <w:szCs w:val="20"/>
          <w:lang w:val="en-GB"/>
        </w:rPr>
      </w:pPr>
    </w:p>
    <w:p w14:paraId="7D8F94A1" w14:textId="559F4357" w:rsidR="006E2C8C" w:rsidRPr="001A67AC" w:rsidRDefault="006E2C8C"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Director of Public Prosecutions may, under section 64 of the District and Intermediate Court (Criminal Jurisdiction) Act 1888, require</w:t>
      </w:r>
      <w:r w:rsidR="0096779C" w:rsidRPr="001A67AC">
        <w:rPr>
          <w:rFonts w:ascii="Times New Roman" w:eastAsia="Times New Roman" w:hAnsi="Times New Roman" w:cs="Times New Roman"/>
          <w:sz w:val="20"/>
          <w:szCs w:val="20"/>
          <w:lang w:val="en-GB"/>
        </w:rPr>
        <w:t xml:space="preserve"> a Magistrate to proceed to inquiry and examination of any offence, and</w:t>
      </w:r>
      <w:r w:rsidR="001A67AC" w:rsidRPr="001A67AC">
        <w:rPr>
          <w:rFonts w:ascii="Times New Roman" w:eastAsia="Times New Roman" w:hAnsi="Times New Roman" w:cs="Times New Roman"/>
          <w:sz w:val="20"/>
          <w:szCs w:val="20"/>
          <w:lang w:val="en-GB"/>
        </w:rPr>
        <w:t>,</w:t>
      </w:r>
      <w:r w:rsidR="0096779C" w:rsidRPr="001A67AC">
        <w:rPr>
          <w:rFonts w:ascii="Times New Roman" w:eastAsia="Times New Roman" w:hAnsi="Times New Roman" w:cs="Times New Roman"/>
          <w:sz w:val="20"/>
          <w:szCs w:val="20"/>
          <w:lang w:val="en-GB"/>
        </w:rPr>
        <w:t xml:space="preserve"> on such requisition</w:t>
      </w:r>
      <w:r w:rsidR="001A67AC" w:rsidRPr="001A67AC">
        <w:rPr>
          <w:rFonts w:ascii="Times New Roman" w:eastAsia="Times New Roman" w:hAnsi="Times New Roman" w:cs="Times New Roman"/>
          <w:sz w:val="20"/>
          <w:szCs w:val="20"/>
          <w:lang w:val="en-GB"/>
        </w:rPr>
        <w:t>,</w:t>
      </w:r>
      <w:r w:rsidR="0096779C" w:rsidRPr="001A67AC">
        <w:rPr>
          <w:rFonts w:ascii="Times New Roman" w:eastAsia="Times New Roman" w:hAnsi="Times New Roman" w:cs="Times New Roman"/>
          <w:sz w:val="20"/>
          <w:szCs w:val="20"/>
          <w:lang w:val="en-GB"/>
        </w:rPr>
        <w:t xml:space="preserve"> the Magistrate shall proceed with such inquiry.</w:t>
      </w:r>
    </w:p>
    <w:p w14:paraId="47029243" w14:textId="77777777" w:rsidR="0096779C" w:rsidRPr="001A67AC" w:rsidRDefault="0096779C" w:rsidP="0096779C">
      <w:pPr>
        <w:pStyle w:val="ListParagraph"/>
        <w:rPr>
          <w:rFonts w:ascii="Times New Roman" w:eastAsia="Times New Roman" w:hAnsi="Times New Roman" w:cs="Times New Roman"/>
          <w:sz w:val="20"/>
          <w:szCs w:val="20"/>
          <w:lang w:val="en-GB"/>
        </w:rPr>
      </w:pPr>
    </w:p>
    <w:p w14:paraId="6F8B7AE3" w14:textId="10D38765" w:rsidR="004E7694" w:rsidRPr="00B153FC" w:rsidRDefault="0096779C" w:rsidP="004E7694">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Similarly, where a Magistrate is informed that a person has died</w:t>
      </w:r>
      <w:r w:rsidR="004E7694" w:rsidRPr="001A67AC">
        <w:rPr>
          <w:rFonts w:ascii="Times New Roman" w:eastAsia="Times New Roman" w:hAnsi="Times New Roman" w:cs="Times New Roman"/>
          <w:sz w:val="20"/>
          <w:szCs w:val="20"/>
          <w:lang w:val="en-GB"/>
        </w:rPr>
        <w:t xml:space="preserve"> in prison</w:t>
      </w:r>
      <w:r w:rsidRPr="001A67AC">
        <w:rPr>
          <w:rFonts w:ascii="Times New Roman" w:eastAsia="Times New Roman" w:hAnsi="Times New Roman" w:cs="Times New Roman"/>
          <w:sz w:val="20"/>
          <w:szCs w:val="20"/>
          <w:lang w:val="en-GB"/>
        </w:rPr>
        <w:t xml:space="preserve"> or while in police custody or has committed suicide or has died under circumstances raising reasonable suspicion that some person has committed an offence, he shall proceed or order an officer to proceed to the examination of the body and an investigation of the matter with the assistance of a medical practitioner</w:t>
      </w:r>
      <w:r w:rsidR="004E7694" w:rsidRPr="001A67AC">
        <w:rPr>
          <w:rFonts w:ascii="Times New Roman" w:eastAsia="Times New Roman" w:hAnsi="Times New Roman" w:cs="Times New Roman"/>
          <w:sz w:val="20"/>
          <w:szCs w:val="20"/>
          <w:lang w:val="en-GB"/>
        </w:rPr>
        <w:t>.</w:t>
      </w:r>
    </w:p>
    <w:p w14:paraId="1194F21B" w14:textId="4EF9F837" w:rsidR="008472E9" w:rsidRPr="001A67AC" w:rsidRDefault="008472E9" w:rsidP="001A67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55F2A82" w14:textId="0C5C849F" w:rsidR="001A67AC" w:rsidRDefault="001A67AC" w:rsidP="001A67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 xml:space="preserve">Another mechanism for investigation includes a Commission of Inquiry. </w:t>
      </w:r>
      <w:r w:rsidRPr="001A67AC">
        <w:rPr>
          <w:rFonts w:ascii="Times New Roman" w:eastAsia="Times New Roman" w:hAnsi="Times New Roman" w:cs="Times New Roman"/>
          <w:sz w:val="20"/>
          <w:szCs w:val="20"/>
          <w:lang w:val="en-GB"/>
        </w:rPr>
        <w:t xml:space="preserve">The Public Inquiries Act of 2025 repealed and replaced the Commission of Inquiry Act 1944 and the former came into force in January 2026. This new piece of legislation was enacted to create more transparent and legally robust framework for conducting public inquiries into matters of significant public concern.  Thus, under that particular law, the Honourable Prime Minister may set up a Board of Inquiry if an event  has caused public concern or if there is concern that a specific event may have occurred, provided it is in the public interest or general welfare. </w:t>
      </w:r>
    </w:p>
    <w:p w14:paraId="54587F0F" w14:textId="77777777" w:rsidR="000E4FC9" w:rsidRPr="001A67AC" w:rsidRDefault="000E4FC9" w:rsidP="000E4FC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00407F35" w14:textId="43CE42B4" w:rsidR="001A67AC" w:rsidRDefault="001A67AC" w:rsidP="001A67AC">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The Commission, held its first </w:t>
      </w:r>
      <w:r w:rsidR="000E4FC9">
        <w:rPr>
          <w:rFonts w:ascii="Times New Roman" w:eastAsia="Times New Roman" w:hAnsi="Times New Roman" w:cs="Times New Roman"/>
          <w:sz w:val="20"/>
          <w:szCs w:val="20"/>
          <w:lang w:val="en-GB"/>
        </w:rPr>
        <w:t xml:space="preserve">inquiry and </w:t>
      </w:r>
      <w:r w:rsidRPr="001A67AC">
        <w:rPr>
          <w:rFonts w:ascii="Times New Roman" w:eastAsia="Times New Roman" w:hAnsi="Times New Roman" w:cs="Times New Roman"/>
          <w:sz w:val="20"/>
          <w:szCs w:val="20"/>
          <w:lang w:val="en-GB"/>
        </w:rPr>
        <w:t>hearing on 23 February</w:t>
      </w:r>
      <w:r w:rsidR="000E4FC9">
        <w:rPr>
          <w:rFonts w:ascii="Times New Roman" w:eastAsia="Times New Roman" w:hAnsi="Times New Roman" w:cs="Times New Roman"/>
          <w:sz w:val="20"/>
          <w:szCs w:val="20"/>
          <w:lang w:val="en-GB"/>
        </w:rPr>
        <w:t xml:space="preserve"> 2026 in relation to the death of detainee Andy Selmour at Melrose Prison. The circumstances and actions taken are tailed in </w:t>
      </w:r>
      <w:r w:rsidR="000E4FC9" w:rsidRPr="000E4FC9">
        <w:rPr>
          <w:rFonts w:ascii="Times New Roman" w:eastAsia="Times New Roman" w:hAnsi="Times New Roman" w:cs="Times New Roman"/>
          <w:b/>
          <w:bCs/>
          <w:sz w:val="20"/>
          <w:szCs w:val="20"/>
          <w:lang w:val="en-GB"/>
        </w:rPr>
        <w:t>Annex 4</w:t>
      </w:r>
      <w:r w:rsidRPr="001A67AC">
        <w:rPr>
          <w:rFonts w:ascii="Times New Roman" w:eastAsia="Times New Roman" w:hAnsi="Times New Roman" w:cs="Times New Roman"/>
          <w:sz w:val="20"/>
          <w:szCs w:val="20"/>
          <w:lang w:val="en-GB"/>
        </w:rPr>
        <w:t>.</w:t>
      </w:r>
    </w:p>
    <w:p w14:paraId="145B779E" w14:textId="77777777" w:rsidR="001A67AC" w:rsidRDefault="001A67AC" w:rsidP="000E4FC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2E203E5" w14:textId="455CCE19"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The Mauritius Prison Service remains committed to abide by the provisions of the Convention against Torture within all prison establishments and to addressing the committee’s recommendation in a progressive and effective manner.</w:t>
      </w:r>
      <w:r w:rsidR="006E2C8C" w:rsidRPr="001A67AC">
        <w:rPr>
          <w:rFonts w:ascii="Times New Roman" w:eastAsia="Times New Roman" w:hAnsi="Times New Roman" w:cs="Times New Roman"/>
          <w:sz w:val="20"/>
          <w:szCs w:val="20"/>
          <w:lang w:val="en-GB"/>
        </w:rPr>
        <w:t xml:space="preserve"> </w:t>
      </w:r>
    </w:p>
    <w:p w14:paraId="4C17CB91"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3AFB5F06" w14:textId="77777777"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Clear internal procedures are in place to ensure that all allegations of services misconduct including torture or ill-treatment in prisons are promptly referred to competent independent authorities.</w:t>
      </w:r>
    </w:p>
    <w:p w14:paraId="5C7C268B"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3DC5373B" w14:textId="77777777"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Medical assessments are conducted by medical personnel attached to the prisons, in line with professional ethics.  Any signs of abuse or ill-treatment are reported through established reporting channels.</w:t>
      </w:r>
    </w:p>
    <w:p w14:paraId="566A3411"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E0ABB95" w14:textId="77777777"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Independent forensic examinations and judicial inquiries are facilitated in cases involving serious injury or death in custody.</w:t>
      </w:r>
    </w:p>
    <w:p w14:paraId="2895F92F"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67B2E14C" w14:textId="77777777"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Transparency and accountability are maintained through systematic records of complaints, referrals and follow-up actions.</w:t>
      </w:r>
    </w:p>
    <w:p w14:paraId="74BB3ACE"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414E7D06" w14:textId="4245D166" w:rsidR="00EB76C6" w:rsidRPr="00583FEF"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Detainees can also avail themselves of welfare services, including psychological and social support as part of rehabilitation and redress measures within the prison system.</w:t>
      </w:r>
    </w:p>
    <w:p w14:paraId="63D9D261" w14:textId="77777777" w:rsidR="00B153FC" w:rsidRDefault="00B153FC"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23A8CBCE"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06C25BED"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5215640B"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7035470D"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0B29B421"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6B1D6F94" w14:textId="77777777" w:rsidR="00583FEF" w:rsidRDefault="00583FEF"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p>
    <w:p w14:paraId="5F776D15" w14:textId="59F019DF"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b/>
          <w:bCs/>
          <w:sz w:val="20"/>
          <w:szCs w:val="20"/>
          <w:lang w:val="en-GB"/>
        </w:rPr>
      </w:pPr>
      <w:r w:rsidRPr="001A67AC">
        <w:rPr>
          <w:rFonts w:ascii="Times New Roman" w:eastAsia="Times New Roman" w:hAnsi="Times New Roman" w:cs="Times New Roman"/>
          <w:b/>
          <w:bCs/>
          <w:sz w:val="20"/>
          <w:szCs w:val="20"/>
          <w:lang w:val="en-GB"/>
        </w:rPr>
        <w:lastRenderedPageBreak/>
        <w:t>Conclusion</w:t>
      </w:r>
    </w:p>
    <w:p w14:paraId="1D584ACA" w14:textId="77777777" w:rsidR="008472E9" w:rsidRPr="001A67AC" w:rsidRDefault="008472E9"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2A17E430" w14:textId="77777777" w:rsidR="000121A1" w:rsidRPr="001A67AC" w:rsidRDefault="000121A1" w:rsidP="008472E9">
      <w:pPr>
        <w:pStyle w:val="ListParagraph"/>
        <w:numPr>
          <w:ilvl w:val="0"/>
          <w:numId w:val="1"/>
        </w:numPr>
        <w:tabs>
          <w:tab w:val="left" w:pos="900"/>
        </w:tabs>
        <w:spacing w:line="240" w:lineRule="auto"/>
        <w:ind w:left="0" w:firstLine="0"/>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 xml:space="preserve">The Republic of Mauritius will prepare its sixth periodic report taking into account the points raised in the Committee’s concluding observations and provide information through consultations to be held with all stakeholders, including civil society representatives in more detail in its replies to the list of issues to be transmitted by the Committee in line with the schedule foreseen in the Committee’s concluding observations. </w:t>
      </w:r>
    </w:p>
    <w:p w14:paraId="7199DBE7" w14:textId="77777777" w:rsidR="000121A1" w:rsidRPr="001A67AC" w:rsidRDefault="000121A1" w:rsidP="008472E9">
      <w:pPr>
        <w:pStyle w:val="ListParagraph"/>
        <w:tabs>
          <w:tab w:val="left" w:pos="900"/>
        </w:tabs>
        <w:spacing w:line="240" w:lineRule="auto"/>
        <w:jc w:val="both"/>
        <w:rPr>
          <w:rFonts w:ascii="Times New Roman" w:eastAsia="Times New Roman" w:hAnsi="Times New Roman" w:cs="Times New Roman"/>
          <w:sz w:val="20"/>
          <w:szCs w:val="20"/>
          <w:lang w:val="en-GB"/>
        </w:rPr>
      </w:pPr>
    </w:p>
    <w:p w14:paraId="7BABA8C9" w14:textId="77777777" w:rsidR="00F26D3F" w:rsidRPr="001A67AC" w:rsidRDefault="00F26D3F" w:rsidP="008472E9">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1C0E2783" w14:textId="2D62511C" w:rsidR="001471AC" w:rsidRPr="001A67AC" w:rsidRDefault="001471AC"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0BCBE456" w14:textId="77777777" w:rsidR="008472E9" w:rsidRPr="001A67AC" w:rsidRDefault="008472E9"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p>
    <w:p w14:paraId="258C6D3E" w14:textId="62BE2CA5" w:rsidR="008472E9" w:rsidRPr="001A67AC" w:rsidRDefault="008472E9" w:rsidP="001471AC">
      <w:pPr>
        <w:pStyle w:val="ListParagraph"/>
        <w:tabs>
          <w:tab w:val="left" w:pos="900"/>
        </w:tabs>
        <w:spacing w:line="240" w:lineRule="auto"/>
        <w:ind w:left="0"/>
        <w:jc w:val="both"/>
        <w:rPr>
          <w:rFonts w:ascii="Times New Roman" w:eastAsia="Times New Roman" w:hAnsi="Times New Roman" w:cs="Times New Roman"/>
          <w:sz w:val="20"/>
          <w:szCs w:val="20"/>
          <w:lang w:val="en-GB"/>
        </w:rPr>
      </w:pPr>
      <w:r w:rsidRPr="001A67AC">
        <w:rPr>
          <w:rFonts w:ascii="Times New Roman" w:hAnsi="Times New Roman" w:cs="Times New Roman"/>
          <w:noProof/>
          <w:sz w:val="20"/>
          <w:szCs w:val="20"/>
          <w:lang w:val="en-GB" w:eastAsia="en-GB"/>
        </w:rPr>
        <mc:AlternateContent>
          <mc:Choice Requires="wps">
            <w:drawing>
              <wp:anchor distT="0" distB="0" distL="114300" distR="114300" simplePos="0" relativeHeight="251661312" behindDoc="0" locked="0" layoutInCell="1" allowOverlap="1" wp14:anchorId="76A928D7" wp14:editId="5EEBC37E">
                <wp:simplePos x="0" y="0"/>
                <wp:positionH relativeFrom="column">
                  <wp:posOffset>0</wp:posOffset>
                </wp:positionH>
                <wp:positionV relativeFrom="paragraph">
                  <wp:posOffset>114935</wp:posOffset>
                </wp:positionV>
                <wp:extent cx="5880100" cy="31750"/>
                <wp:effectExtent l="0" t="0" r="25400" b="25400"/>
                <wp:wrapNone/>
                <wp:docPr id="541500526" name="Straight Connector 2"/>
                <wp:cNvGraphicFramePr/>
                <a:graphic xmlns:a="http://schemas.openxmlformats.org/drawingml/2006/main">
                  <a:graphicData uri="http://schemas.microsoft.com/office/word/2010/wordprocessingShape">
                    <wps:wsp>
                      <wps:cNvCnPr/>
                      <wps:spPr>
                        <a:xfrm flipV="1">
                          <a:off x="0" y="0"/>
                          <a:ext cx="5880100" cy="317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BB130D"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9.05pt" to="463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" strokecolor="#4472c4" strokeweight=".5pt">
                <v:stroke joinstyle="miter"/>
              </v:line>
            </w:pict>
          </mc:Fallback>
        </mc:AlternateContent>
      </w:r>
    </w:p>
    <w:p w14:paraId="33C5C6A7" w14:textId="0E155081" w:rsidR="008472E9" w:rsidRPr="001A67AC" w:rsidRDefault="008472E9" w:rsidP="008472E9">
      <w:pPr>
        <w:pStyle w:val="ListParagraph"/>
        <w:tabs>
          <w:tab w:val="left" w:pos="900"/>
        </w:tabs>
        <w:spacing w:line="240" w:lineRule="auto"/>
        <w:ind w:left="0"/>
        <w:jc w:val="center"/>
        <w:rPr>
          <w:rFonts w:ascii="Times New Roman" w:eastAsia="Times New Roman" w:hAnsi="Times New Roman" w:cs="Times New Roman"/>
          <w:sz w:val="20"/>
          <w:szCs w:val="20"/>
          <w:lang w:val="en-GB"/>
        </w:rPr>
      </w:pPr>
    </w:p>
    <w:p w14:paraId="5550FDFA" w14:textId="14EF079A" w:rsidR="001471AC" w:rsidRPr="001A67AC" w:rsidRDefault="001471AC" w:rsidP="001471AC">
      <w:pPr>
        <w:tabs>
          <w:tab w:val="left" w:pos="900"/>
        </w:tabs>
        <w:spacing w:line="240" w:lineRule="auto"/>
        <w:jc w:val="both"/>
        <w:rPr>
          <w:rFonts w:ascii="Times New Roman" w:eastAsia="Times New Roman" w:hAnsi="Times New Roman" w:cs="Times New Roman"/>
          <w:sz w:val="20"/>
          <w:szCs w:val="20"/>
          <w:lang w:val="en-GB"/>
        </w:rPr>
      </w:pPr>
      <w:r w:rsidRPr="001A67AC">
        <w:rPr>
          <w:rFonts w:ascii="Times New Roman" w:eastAsia="Times New Roman" w:hAnsi="Times New Roman" w:cs="Times New Roman"/>
          <w:sz w:val="20"/>
          <w:szCs w:val="20"/>
          <w:lang w:val="en-GB"/>
        </w:rPr>
        <w:tab/>
      </w:r>
    </w:p>
    <w:sectPr w:rsidR="001471AC" w:rsidRPr="001A67AC" w:rsidSect="0034408C">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78F5E" w14:textId="77777777" w:rsidR="008C2F90" w:rsidRDefault="008C2F90" w:rsidP="0034408C">
      <w:pPr>
        <w:spacing w:after="0" w:line="240" w:lineRule="auto"/>
      </w:pPr>
      <w:r>
        <w:separator/>
      </w:r>
    </w:p>
  </w:endnote>
  <w:endnote w:type="continuationSeparator" w:id="0">
    <w:p w14:paraId="622C097B" w14:textId="77777777" w:rsidR="008C2F90" w:rsidRDefault="008C2F90" w:rsidP="00344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130C" w14:textId="1B9E0EA1" w:rsidR="0034408C" w:rsidRDefault="0034408C">
    <w:pPr>
      <w:pStyle w:val="Footer"/>
      <w:jc w:val="right"/>
    </w:pPr>
  </w:p>
  <w:p w14:paraId="6C10FED5" w14:textId="77777777" w:rsidR="0034408C" w:rsidRDefault="003440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503090"/>
      <w:docPartObj>
        <w:docPartGallery w:val="Page Numbers (Bottom of Page)"/>
        <w:docPartUnique/>
      </w:docPartObj>
    </w:sdtPr>
    <w:sdtEndPr>
      <w:rPr>
        <w:noProof/>
      </w:rPr>
    </w:sdtEndPr>
    <w:sdtContent>
      <w:p w14:paraId="09E640F7" w14:textId="77777777" w:rsidR="0034408C" w:rsidRDefault="0034408C">
        <w:pPr>
          <w:pStyle w:val="Footer"/>
          <w:jc w:val="right"/>
        </w:pPr>
        <w:r>
          <w:fldChar w:fldCharType="begin"/>
        </w:r>
        <w:r>
          <w:instrText xml:space="preserve"> PAGE   \* MERGEFORMAT </w:instrText>
        </w:r>
        <w:r>
          <w:fldChar w:fldCharType="separate"/>
        </w:r>
        <w:r w:rsidR="0058062F">
          <w:rPr>
            <w:noProof/>
          </w:rPr>
          <w:t>4</w:t>
        </w:r>
        <w:r>
          <w:rPr>
            <w:noProof/>
          </w:rPr>
          <w:fldChar w:fldCharType="end"/>
        </w:r>
      </w:p>
    </w:sdtContent>
  </w:sdt>
  <w:p w14:paraId="6157048B" w14:textId="77777777" w:rsidR="0034408C" w:rsidRDefault="003440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E424" w14:textId="77777777" w:rsidR="008C2F90" w:rsidRDefault="008C2F90" w:rsidP="0034408C">
      <w:pPr>
        <w:spacing w:after="0" w:line="240" w:lineRule="auto"/>
      </w:pPr>
      <w:r>
        <w:separator/>
      </w:r>
    </w:p>
  </w:footnote>
  <w:footnote w:type="continuationSeparator" w:id="0">
    <w:p w14:paraId="4D766AA3" w14:textId="77777777" w:rsidR="008C2F90" w:rsidRDefault="008C2F90" w:rsidP="00344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34A0C"/>
    <w:multiLevelType w:val="hybridMultilevel"/>
    <w:tmpl w:val="DD3E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422DB5"/>
    <w:multiLevelType w:val="hybridMultilevel"/>
    <w:tmpl w:val="8D8E1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17C2D"/>
    <w:multiLevelType w:val="hybridMultilevel"/>
    <w:tmpl w:val="39B64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FA3697"/>
    <w:multiLevelType w:val="hybridMultilevel"/>
    <w:tmpl w:val="9794976A"/>
    <w:lvl w:ilvl="0" w:tplc="3B4C2134">
      <w:start w:val="1"/>
      <w:numFmt w:val="decimal"/>
      <w:lvlText w:val="%1."/>
      <w:lvlJc w:val="left"/>
      <w:pPr>
        <w:ind w:left="720" w:hanging="360"/>
      </w:pPr>
      <w:rPr>
        <w:color w:val="auto"/>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3FFA09D2"/>
    <w:multiLevelType w:val="hybridMultilevel"/>
    <w:tmpl w:val="C5722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345D4"/>
    <w:multiLevelType w:val="hybridMultilevel"/>
    <w:tmpl w:val="38404490"/>
    <w:lvl w:ilvl="0" w:tplc="83A27AE6">
      <w:start w:val="1"/>
      <w:numFmt w:val="lowerRoman"/>
      <w:lvlText w:val="(%1)"/>
      <w:lvlJc w:val="left"/>
      <w:pPr>
        <w:ind w:left="1260" w:hanging="360"/>
      </w:pPr>
      <w:rPr>
        <w:rFonts w:hint="default"/>
        <w:b w:val="0"/>
        <w:bCs w:val="0"/>
        <w:i w:val="0"/>
        <w:iCs w:val="0"/>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abstractNum w:abstractNumId="6" w15:restartNumberingAfterBreak="0">
    <w:nsid w:val="6E0867CD"/>
    <w:multiLevelType w:val="hybridMultilevel"/>
    <w:tmpl w:val="C51AF064"/>
    <w:lvl w:ilvl="0" w:tplc="20000001">
      <w:start w:val="1"/>
      <w:numFmt w:val="bullet"/>
      <w:lvlText w:val=""/>
      <w:lvlJc w:val="left"/>
      <w:pPr>
        <w:ind w:left="1260" w:hanging="360"/>
      </w:pPr>
      <w:rPr>
        <w:rFonts w:ascii="Symbol" w:hAnsi="Symbol" w:hint="default"/>
      </w:rPr>
    </w:lvl>
    <w:lvl w:ilvl="1" w:tplc="20000003" w:tentative="1">
      <w:start w:val="1"/>
      <w:numFmt w:val="bullet"/>
      <w:lvlText w:val="o"/>
      <w:lvlJc w:val="left"/>
      <w:pPr>
        <w:ind w:left="1980" w:hanging="360"/>
      </w:pPr>
      <w:rPr>
        <w:rFonts w:ascii="Courier New" w:hAnsi="Courier New" w:cs="Courier New" w:hint="default"/>
      </w:rPr>
    </w:lvl>
    <w:lvl w:ilvl="2" w:tplc="20000005" w:tentative="1">
      <w:start w:val="1"/>
      <w:numFmt w:val="bullet"/>
      <w:lvlText w:val=""/>
      <w:lvlJc w:val="left"/>
      <w:pPr>
        <w:ind w:left="2700" w:hanging="360"/>
      </w:pPr>
      <w:rPr>
        <w:rFonts w:ascii="Wingdings" w:hAnsi="Wingdings" w:hint="default"/>
      </w:rPr>
    </w:lvl>
    <w:lvl w:ilvl="3" w:tplc="20000001" w:tentative="1">
      <w:start w:val="1"/>
      <w:numFmt w:val="bullet"/>
      <w:lvlText w:val=""/>
      <w:lvlJc w:val="left"/>
      <w:pPr>
        <w:ind w:left="3420" w:hanging="360"/>
      </w:pPr>
      <w:rPr>
        <w:rFonts w:ascii="Symbol" w:hAnsi="Symbol" w:hint="default"/>
      </w:rPr>
    </w:lvl>
    <w:lvl w:ilvl="4" w:tplc="20000003" w:tentative="1">
      <w:start w:val="1"/>
      <w:numFmt w:val="bullet"/>
      <w:lvlText w:val="o"/>
      <w:lvlJc w:val="left"/>
      <w:pPr>
        <w:ind w:left="4140" w:hanging="360"/>
      </w:pPr>
      <w:rPr>
        <w:rFonts w:ascii="Courier New" w:hAnsi="Courier New" w:cs="Courier New" w:hint="default"/>
      </w:rPr>
    </w:lvl>
    <w:lvl w:ilvl="5" w:tplc="20000005" w:tentative="1">
      <w:start w:val="1"/>
      <w:numFmt w:val="bullet"/>
      <w:lvlText w:val=""/>
      <w:lvlJc w:val="left"/>
      <w:pPr>
        <w:ind w:left="4860" w:hanging="360"/>
      </w:pPr>
      <w:rPr>
        <w:rFonts w:ascii="Wingdings" w:hAnsi="Wingdings" w:hint="default"/>
      </w:rPr>
    </w:lvl>
    <w:lvl w:ilvl="6" w:tplc="20000001" w:tentative="1">
      <w:start w:val="1"/>
      <w:numFmt w:val="bullet"/>
      <w:lvlText w:val=""/>
      <w:lvlJc w:val="left"/>
      <w:pPr>
        <w:ind w:left="5580" w:hanging="360"/>
      </w:pPr>
      <w:rPr>
        <w:rFonts w:ascii="Symbol" w:hAnsi="Symbol" w:hint="default"/>
      </w:rPr>
    </w:lvl>
    <w:lvl w:ilvl="7" w:tplc="20000003" w:tentative="1">
      <w:start w:val="1"/>
      <w:numFmt w:val="bullet"/>
      <w:lvlText w:val="o"/>
      <w:lvlJc w:val="left"/>
      <w:pPr>
        <w:ind w:left="6300" w:hanging="360"/>
      </w:pPr>
      <w:rPr>
        <w:rFonts w:ascii="Courier New" w:hAnsi="Courier New" w:cs="Courier New" w:hint="default"/>
      </w:rPr>
    </w:lvl>
    <w:lvl w:ilvl="8" w:tplc="20000005" w:tentative="1">
      <w:start w:val="1"/>
      <w:numFmt w:val="bullet"/>
      <w:lvlText w:val=""/>
      <w:lvlJc w:val="left"/>
      <w:pPr>
        <w:ind w:left="7020" w:hanging="360"/>
      </w:pPr>
      <w:rPr>
        <w:rFonts w:ascii="Wingdings" w:hAnsi="Wingdings" w:hint="default"/>
      </w:rPr>
    </w:lvl>
  </w:abstractNum>
  <w:num w:numId="1" w16cid:durableId="1337926890">
    <w:abstractNumId w:val="3"/>
  </w:num>
  <w:num w:numId="2" w16cid:durableId="1220165801">
    <w:abstractNumId w:val="0"/>
  </w:num>
  <w:num w:numId="3" w16cid:durableId="945313259">
    <w:abstractNumId w:val="6"/>
  </w:num>
  <w:num w:numId="4" w16cid:durableId="317350290">
    <w:abstractNumId w:val="4"/>
  </w:num>
  <w:num w:numId="5" w16cid:durableId="436603865">
    <w:abstractNumId w:val="2"/>
  </w:num>
  <w:num w:numId="6" w16cid:durableId="1379939980">
    <w:abstractNumId w:val="1"/>
  </w:num>
  <w:num w:numId="7" w16cid:durableId="17596432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AC"/>
    <w:rsid w:val="000121A1"/>
    <w:rsid w:val="00016651"/>
    <w:rsid w:val="000870C2"/>
    <w:rsid w:val="000E4FC9"/>
    <w:rsid w:val="0010404C"/>
    <w:rsid w:val="001471AC"/>
    <w:rsid w:val="001A3AA7"/>
    <w:rsid w:val="001A67AC"/>
    <w:rsid w:val="002022A7"/>
    <w:rsid w:val="002457FC"/>
    <w:rsid w:val="00246F92"/>
    <w:rsid w:val="0026315A"/>
    <w:rsid w:val="00307143"/>
    <w:rsid w:val="003320C6"/>
    <w:rsid w:val="0034408C"/>
    <w:rsid w:val="003B4ACE"/>
    <w:rsid w:val="004D5731"/>
    <w:rsid w:val="004E1BA2"/>
    <w:rsid w:val="004E7694"/>
    <w:rsid w:val="004F35A9"/>
    <w:rsid w:val="0053044C"/>
    <w:rsid w:val="0058062F"/>
    <w:rsid w:val="00583FEF"/>
    <w:rsid w:val="00593239"/>
    <w:rsid w:val="00600B73"/>
    <w:rsid w:val="006050AF"/>
    <w:rsid w:val="006453F5"/>
    <w:rsid w:val="00646BB6"/>
    <w:rsid w:val="006614D4"/>
    <w:rsid w:val="006861D6"/>
    <w:rsid w:val="006A7564"/>
    <w:rsid w:val="006E07CE"/>
    <w:rsid w:val="006E2C8C"/>
    <w:rsid w:val="006E31B5"/>
    <w:rsid w:val="00827E5E"/>
    <w:rsid w:val="00833E25"/>
    <w:rsid w:val="00840823"/>
    <w:rsid w:val="008472E9"/>
    <w:rsid w:val="008B41E4"/>
    <w:rsid w:val="008C2F90"/>
    <w:rsid w:val="00902002"/>
    <w:rsid w:val="00914A73"/>
    <w:rsid w:val="00941A0F"/>
    <w:rsid w:val="00943F1C"/>
    <w:rsid w:val="00951EF2"/>
    <w:rsid w:val="0096779C"/>
    <w:rsid w:val="00995ED3"/>
    <w:rsid w:val="009C730A"/>
    <w:rsid w:val="009E449E"/>
    <w:rsid w:val="00A0737A"/>
    <w:rsid w:val="00B13471"/>
    <w:rsid w:val="00B153FC"/>
    <w:rsid w:val="00C03EA9"/>
    <w:rsid w:val="00C167FA"/>
    <w:rsid w:val="00C30365"/>
    <w:rsid w:val="00CB0909"/>
    <w:rsid w:val="00D6453A"/>
    <w:rsid w:val="00DA602E"/>
    <w:rsid w:val="00DB26EB"/>
    <w:rsid w:val="00DE49A2"/>
    <w:rsid w:val="00E00129"/>
    <w:rsid w:val="00E1393D"/>
    <w:rsid w:val="00E22E42"/>
    <w:rsid w:val="00E70C8B"/>
    <w:rsid w:val="00E8478E"/>
    <w:rsid w:val="00EB76C6"/>
    <w:rsid w:val="00F26D3F"/>
    <w:rsid w:val="00F534E4"/>
    <w:rsid w:val="00FC3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FA1D8"/>
  <w15:docId w15:val="{94884E33-50C0-447B-9CFC-03193A00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1AC"/>
    <w:rPr>
      <w:kern w:val="0"/>
      <w:lang w:val="en-US"/>
      <w14:ligatures w14:val="none"/>
    </w:rPr>
  </w:style>
  <w:style w:type="paragraph" w:styleId="Heading1">
    <w:name w:val="heading 1"/>
    <w:basedOn w:val="Normal"/>
    <w:next w:val="Normal"/>
    <w:link w:val="Heading1Char"/>
    <w:uiPriority w:val="9"/>
    <w:qFormat/>
    <w:rsid w:val="001471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1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1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1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1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1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1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1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1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1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1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1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1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1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1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1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1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1AC"/>
    <w:rPr>
      <w:rFonts w:eastAsiaTheme="majorEastAsia" w:cstheme="majorBidi"/>
      <w:color w:val="272727" w:themeColor="text1" w:themeTint="D8"/>
    </w:rPr>
  </w:style>
  <w:style w:type="paragraph" w:styleId="Title">
    <w:name w:val="Title"/>
    <w:basedOn w:val="Normal"/>
    <w:next w:val="Normal"/>
    <w:link w:val="TitleChar"/>
    <w:uiPriority w:val="10"/>
    <w:qFormat/>
    <w:rsid w:val="001471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1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1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1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1AC"/>
    <w:pPr>
      <w:spacing w:before="160"/>
      <w:jc w:val="center"/>
    </w:pPr>
    <w:rPr>
      <w:i/>
      <w:iCs/>
      <w:color w:val="404040" w:themeColor="text1" w:themeTint="BF"/>
    </w:rPr>
  </w:style>
  <w:style w:type="character" w:customStyle="1" w:styleId="QuoteChar">
    <w:name w:val="Quote Char"/>
    <w:basedOn w:val="DefaultParagraphFont"/>
    <w:link w:val="Quote"/>
    <w:uiPriority w:val="29"/>
    <w:rsid w:val="001471AC"/>
    <w:rPr>
      <w:i/>
      <w:iCs/>
      <w:color w:val="404040" w:themeColor="text1" w:themeTint="BF"/>
    </w:rPr>
  </w:style>
  <w:style w:type="paragraph" w:styleId="ListParagraph">
    <w:name w:val="List Paragraph"/>
    <w:basedOn w:val="Normal"/>
    <w:uiPriority w:val="34"/>
    <w:qFormat/>
    <w:rsid w:val="001471AC"/>
    <w:pPr>
      <w:ind w:left="720"/>
      <w:contextualSpacing/>
    </w:pPr>
  </w:style>
  <w:style w:type="character" w:styleId="IntenseEmphasis">
    <w:name w:val="Intense Emphasis"/>
    <w:basedOn w:val="DefaultParagraphFont"/>
    <w:uiPriority w:val="21"/>
    <w:qFormat/>
    <w:rsid w:val="001471AC"/>
    <w:rPr>
      <w:i/>
      <w:iCs/>
      <w:color w:val="2F5496" w:themeColor="accent1" w:themeShade="BF"/>
    </w:rPr>
  </w:style>
  <w:style w:type="paragraph" w:styleId="IntenseQuote">
    <w:name w:val="Intense Quote"/>
    <w:basedOn w:val="Normal"/>
    <w:next w:val="Normal"/>
    <w:link w:val="IntenseQuoteChar"/>
    <w:uiPriority w:val="30"/>
    <w:qFormat/>
    <w:rsid w:val="001471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1AC"/>
    <w:rPr>
      <w:i/>
      <w:iCs/>
      <w:color w:val="2F5496" w:themeColor="accent1" w:themeShade="BF"/>
    </w:rPr>
  </w:style>
  <w:style w:type="character" w:styleId="IntenseReference">
    <w:name w:val="Intense Reference"/>
    <w:basedOn w:val="DefaultParagraphFont"/>
    <w:uiPriority w:val="32"/>
    <w:qFormat/>
    <w:rsid w:val="001471AC"/>
    <w:rPr>
      <w:b/>
      <w:bCs/>
      <w:smallCaps/>
      <w:color w:val="2F5496" w:themeColor="accent1" w:themeShade="BF"/>
      <w:spacing w:val="5"/>
    </w:rPr>
  </w:style>
  <w:style w:type="paragraph" w:styleId="CommentText">
    <w:name w:val="annotation text"/>
    <w:basedOn w:val="Normal"/>
    <w:link w:val="CommentTextChar"/>
    <w:uiPriority w:val="99"/>
    <w:unhideWhenUsed/>
    <w:rsid w:val="001471AC"/>
    <w:pPr>
      <w:spacing w:line="240" w:lineRule="auto"/>
    </w:pPr>
    <w:rPr>
      <w:sz w:val="20"/>
      <w:szCs w:val="20"/>
    </w:rPr>
  </w:style>
  <w:style w:type="character" w:customStyle="1" w:styleId="CommentTextChar">
    <w:name w:val="Comment Text Char"/>
    <w:basedOn w:val="DefaultParagraphFont"/>
    <w:link w:val="CommentText"/>
    <w:uiPriority w:val="99"/>
    <w:rsid w:val="001471AC"/>
    <w:rPr>
      <w:kern w:val="0"/>
      <w:sz w:val="20"/>
      <w:szCs w:val="20"/>
      <w:lang w:val="en-US"/>
      <w14:ligatures w14:val="none"/>
    </w:rPr>
  </w:style>
  <w:style w:type="table" w:styleId="TableGrid">
    <w:name w:val="Table Grid"/>
    <w:basedOn w:val="TableNormal"/>
    <w:uiPriority w:val="39"/>
    <w:rsid w:val="00847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4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08C"/>
    <w:rPr>
      <w:kern w:val="0"/>
      <w:lang w:val="en-US"/>
      <w14:ligatures w14:val="none"/>
    </w:rPr>
  </w:style>
  <w:style w:type="paragraph" w:styleId="Footer">
    <w:name w:val="footer"/>
    <w:basedOn w:val="Normal"/>
    <w:link w:val="FooterChar"/>
    <w:uiPriority w:val="99"/>
    <w:unhideWhenUsed/>
    <w:rsid w:val="00344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08C"/>
    <w:rPr>
      <w:kern w:val="0"/>
      <w:lang w:val="en-US"/>
      <w14:ligatures w14:val="none"/>
    </w:rPr>
  </w:style>
  <w:style w:type="paragraph" w:styleId="Revision">
    <w:name w:val="Revision"/>
    <w:hidden/>
    <w:uiPriority w:val="99"/>
    <w:semiHidden/>
    <w:rsid w:val="009E449E"/>
    <w:pPr>
      <w:spacing w:after="0" w:line="240" w:lineRule="auto"/>
    </w:pPr>
    <w:rPr>
      <w:kern w:val="0"/>
      <w:lang w:val="en-US"/>
      <w14:ligatures w14:val="none"/>
    </w:rPr>
  </w:style>
  <w:style w:type="paragraph" w:customStyle="1" w:styleId="SingleTxtG">
    <w:name w:val="_ Single Txt_G"/>
    <w:basedOn w:val="Normal"/>
    <w:link w:val="SingleTxtGChar"/>
    <w:qFormat/>
    <w:rsid w:val="003320C6"/>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qFormat/>
    <w:locked/>
    <w:rsid w:val="003320C6"/>
    <w:rPr>
      <w:rFonts w:ascii="Times New Roman" w:eastAsia="SimSun" w:hAnsi="Times New Roman" w:cs="Times New Roman"/>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78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84D82-332D-4E28-9800-8BE9AF767FA0}">
  <ds:schemaRefs>
    <ds:schemaRef ds:uri="http://schemas.microsoft.com/sharepoint/v3/contenttype/forms"/>
  </ds:schemaRefs>
</ds:datastoreItem>
</file>

<file path=customXml/itemProps2.xml><?xml version="1.0" encoding="utf-8"?>
<ds:datastoreItem xmlns:ds="http://schemas.openxmlformats.org/officeDocument/2006/customXml" ds:itemID="{70B6AF2F-0FBD-421C-89A5-FBDAEF8B13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D753ACD-796F-4380-B6C3-766E47FF2E1A}">
  <ds:schemaRefs>
    <ds:schemaRef ds:uri="http://schemas.openxmlformats.org/officeDocument/2006/bibliography"/>
  </ds:schemaRefs>
</ds:datastoreItem>
</file>

<file path=customXml/itemProps4.xml><?xml version="1.0" encoding="utf-8"?>
<ds:datastoreItem xmlns:ds="http://schemas.openxmlformats.org/officeDocument/2006/customXml" ds:itemID="{F8853C08-1C67-4F7F-A7B3-E3141FCBDB14}">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1837</Words>
  <Characters>10475</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 MARU</dc:creator>
  <cp:lastModifiedBy>Javier Leoz Invernon</cp:lastModifiedBy>
  <cp:revision>2</cp:revision>
  <cp:lastPrinted>2026-07-06T12:12:00Z</cp:lastPrinted>
  <dcterms:created xsi:type="dcterms:W3CDTF">2026-08-09T17:02:00Z</dcterms:created>
  <dcterms:modified xsi:type="dcterms:W3CDTF">2026-08-09T17:02:00Z</dcterms:modified>
</cp:coreProperties>
</file>