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B58D2C" w14:textId="77777777" w:rsidR="001C62AA" w:rsidRDefault="001C62AA" w:rsidP="00C9095C">
      <w:pPr>
        <w:spacing w:line="360" w:lineRule="auto"/>
        <w:ind w:left="-360" w:right="-360"/>
        <w:jc w:val="center"/>
        <w:rPr>
          <w:rFonts w:ascii="Garamond" w:hAnsi="Garamond"/>
          <w:b/>
          <w:bCs/>
        </w:rPr>
      </w:pPr>
    </w:p>
    <w:p w14:paraId="7D57492E" w14:textId="70A7780D" w:rsidR="00B91414" w:rsidRPr="00003CF5" w:rsidRDefault="00B91414" w:rsidP="00C9095C">
      <w:pPr>
        <w:spacing w:line="360" w:lineRule="auto"/>
        <w:ind w:left="-360" w:right="-360"/>
        <w:jc w:val="center"/>
        <w:rPr>
          <w:rFonts w:ascii="Garamond" w:hAnsi="Garamond"/>
          <w:b/>
          <w:bCs/>
        </w:rPr>
      </w:pPr>
      <w:r w:rsidRPr="00003CF5">
        <w:rPr>
          <w:rFonts w:ascii="Garamond" w:hAnsi="Garamond"/>
          <w:b/>
          <w:bCs/>
        </w:rPr>
        <w:t xml:space="preserve">NGO </w:t>
      </w:r>
      <w:r w:rsidR="00982145" w:rsidRPr="00003CF5">
        <w:rPr>
          <w:rFonts w:ascii="Garamond" w:hAnsi="Garamond"/>
          <w:b/>
          <w:bCs/>
        </w:rPr>
        <w:t xml:space="preserve">Joint </w:t>
      </w:r>
      <w:r w:rsidR="00623666">
        <w:rPr>
          <w:rFonts w:ascii="Garamond" w:hAnsi="Garamond"/>
          <w:b/>
          <w:bCs/>
        </w:rPr>
        <w:t>Supplemental</w:t>
      </w:r>
      <w:r w:rsidRPr="00003CF5">
        <w:rPr>
          <w:rFonts w:ascii="Garamond" w:hAnsi="Garamond"/>
          <w:b/>
          <w:bCs/>
        </w:rPr>
        <w:t xml:space="preserve"> Report on the Government of Malawi’s </w:t>
      </w:r>
    </w:p>
    <w:p w14:paraId="189F7827" w14:textId="77777777" w:rsidR="00B91414" w:rsidRPr="00003CF5" w:rsidRDefault="00B91414" w:rsidP="00C9095C">
      <w:pPr>
        <w:spacing w:line="360" w:lineRule="auto"/>
        <w:ind w:left="-360" w:right="-360"/>
        <w:jc w:val="center"/>
        <w:rPr>
          <w:rFonts w:ascii="Garamond" w:hAnsi="Garamond"/>
          <w:b/>
          <w:bCs/>
        </w:rPr>
      </w:pPr>
      <w:r w:rsidRPr="00003CF5">
        <w:rPr>
          <w:rFonts w:ascii="Garamond" w:hAnsi="Garamond"/>
          <w:b/>
          <w:bCs/>
        </w:rPr>
        <w:t xml:space="preserve">First Report on the Implementation of the </w:t>
      </w:r>
    </w:p>
    <w:p w14:paraId="38D12F2F" w14:textId="77777777" w:rsidR="00B91414" w:rsidRPr="00003CF5" w:rsidRDefault="00B91414" w:rsidP="00C9095C">
      <w:pPr>
        <w:spacing w:line="360" w:lineRule="auto"/>
        <w:ind w:left="-360" w:right="-360"/>
        <w:jc w:val="center"/>
        <w:rPr>
          <w:rFonts w:ascii="Garamond" w:hAnsi="Garamond"/>
          <w:b/>
          <w:bCs/>
        </w:rPr>
      </w:pPr>
      <w:r w:rsidRPr="00003CF5">
        <w:rPr>
          <w:rFonts w:ascii="Garamond" w:hAnsi="Garamond"/>
          <w:b/>
          <w:bCs/>
        </w:rPr>
        <w:t>International Covenant on Economic, Social and Cultural Rights</w:t>
      </w:r>
    </w:p>
    <w:p w14:paraId="4C0BEEB2" w14:textId="77777777" w:rsidR="00B91414" w:rsidRPr="00003CF5" w:rsidRDefault="00B91414" w:rsidP="00C9095C">
      <w:pPr>
        <w:spacing w:line="360" w:lineRule="auto"/>
        <w:ind w:left="-360" w:right="-360"/>
        <w:jc w:val="center"/>
        <w:rPr>
          <w:rFonts w:ascii="Garamond" w:hAnsi="Garamond"/>
        </w:rPr>
      </w:pPr>
      <w:r w:rsidRPr="00003CF5">
        <w:rPr>
          <w:rFonts w:ascii="Garamond" w:hAnsi="Garamond"/>
        </w:rPr>
        <w:t>-----------------------</w:t>
      </w:r>
    </w:p>
    <w:p w14:paraId="00D10D97" w14:textId="77777777" w:rsidR="00B91414" w:rsidRPr="00003CF5" w:rsidRDefault="00B91414" w:rsidP="00C9095C">
      <w:pPr>
        <w:spacing w:line="360" w:lineRule="auto"/>
        <w:ind w:left="-360" w:right="-360"/>
        <w:jc w:val="center"/>
        <w:rPr>
          <w:rFonts w:ascii="Garamond" w:hAnsi="Garamond"/>
          <w:i/>
          <w:iCs/>
        </w:rPr>
      </w:pPr>
      <w:r w:rsidRPr="00003CF5">
        <w:rPr>
          <w:rFonts w:ascii="Garamond" w:hAnsi="Garamond"/>
          <w:i/>
          <w:iCs/>
        </w:rPr>
        <w:t>Submitted to the</w:t>
      </w:r>
    </w:p>
    <w:p w14:paraId="6F03150C" w14:textId="77777777" w:rsidR="00B91414" w:rsidRPr="00003CF5" w:rsidRDefault="00B91414" w:rsidP="00C9095C">
      <w:pPr>
        <w:spacing w:line="360" w:lineRule="auto"/>
        <w:ind w:left="-360" w:right="-360"/>
        <w:jc w:val="center"/>
        <w:rPr>
          <w:rFonts w:ascii="Garamond" w:hAnsi="Garamond"/>
          <w:i/>
          <w:iCs/>
        </w:rPr>
      </w:pPr>
      <w:r w:rsidRPr="00003CF5">
        <w:rPr>
          <w:rFonts w:ascii="Garamond" w:hAnsi="Garamond"/>
          <w:i/>
          <w:iCs/>
        </w:rPr>
        <w:t>UN Committee on Economic, Social and Cultural Rights</w:t>
      </w:r>
    </w:p>
    <w:p w14:paraId="037A3FEE" w14:textId="77777777" w:rsidR="00623666" w:rsidRDefault="00982145" w:rsidP="00623666">
      <w:pPr>
        <w:spacing w:line="360" w:lineRule="auto"/>
        <w:ind w:left="-360" w:right="-360"/>
        <w:jc w:val="center"/>
        <w:rPr>
          <w:rFonts w:ascii="Garamond" w:hAnsi="Garamond"/>
          <w:i/>
          <w:iCs/>
        </w:rPr>
      </w:pPr>
      <w:r w:rsidRPr="00003CF5">
        <w:rPr>
          <w:rFonts w:ascii="Garamond" w:hAnsi="Garamond"/>
          <w:i/>
          <w:iCs/>
        </w:rPr>
        <w:t>f</w:t>
      </w:r>
      <w:r w:rsidR="00B91414" w:rsidRPr="00003CF5">
        <w:rPr>
          <w:rFonts w:ascii="Garamond" w:hAnsi="Garamond"/>
          <w:i/>
          <w:iCs/>
        </w:rPr>
        <w:t xml:space="preserve">or consideration in the </w:t>
      </w:r>
      <w:r w:rsidR="00623666">
        <w:rPr>
          <w:rFonts w:ascii="Garamond" w:hAnsi="Garamond"/>
          <w:i/>
          <w:iCs/>
        </w:rPr>
        <w:t>Consideration of State Reports</w:t>
      </w:r>
    </w:p>
    <w:p w14:paraId="39D16BF7" w14:textId="5B3170CE" w:rsidR="00B91414" w:rsidRPr="00003CF5" w:rsidRDefault="00B91414" w:rsidP="00623666">
      <w:pPr>
        <w:spacing w:line="360" w:lineRule="auto"/>
        <w:ind w:left="-360" w:right="-360"/>
        <w:jc w:val="center"/>
        <w:rPr>
          <w:rFonts w:ascii="Garamond" w:hAnsi="Garamond"/>
          <w:i/>
          <w:iCs/>
        </w:rPr>
      </w:pPr>
      <w:r w:rsidRPr="00003CF5">
        <w:rPr>
          <w:rFonts w:ascii="Garamond" w:hAnsi="Garamond"/>
          <w:i/>
          <w:iCs/>
        </w:rPr>
        <w:t>during the</w:t>
      </w:r>
      <w:r w:rsidR="00623666">
        <w:rPr>
          <w:rFonts w:ascii="Garamond" w:hAnsi="Garamond"/>
          <w:i/>
          <w:iCs/>
        </w:rPr>
        <w:t xml:space="preserve"> 76th</w:t>
      </w:r>
      <w:r w:rsidRPr="00003CF5">
        <w:rPr>
          <w:rFonts w:ascii="Garamond" w:hAnsi="Garamond"/>
          <w:i/>
          <w:iCs/>
        </w:rPr>
        <w:t xml:space="preserve"> </w:t>
      </w:r>
      <w:r w:rsidR="00623666">
        <w:rPr>
          <w:rFonts w:ascii="Garamond" w:hAnsi="Garamond"/>
          <w:i/>
          <w:iCs/>
        </w:rPr>
        <w:t>Session</w:t>
      </w:r>
      <w:r w:rsidRPr="00003CF5">
        <w:rPr>
          <w:rFonts w:ascii="Garamond" w:hAnsi="Garamond"/>
          <w:i/>
          <w:iCs/>
        </w:rPr>
        <w:t xml:space="preserve"> (</w:t>
      </w:r>
      <w:r w:rsidR="00623666">
        <w:rPr>
          <w:rFonts w:ascii="Garamond" w:hAnsi="Garamond"/>
          <w:i/>
          <w:iCs/>
        </w:rPr>
        <w:t>18-19</w:t>
      </w:r>
      <w:r w:rsidRPr="00003CF5">
        <w:rPr>
          <w:rFonts w:ascii="Garamond" w:hAnsi="Garamond"/>
          <w:i/>
          <w:iCs/>
        </w:rPr>
        <w:t xml:space="preserve"> </w:t>
      </w:r>
      <w:r w:rsidR="0043271D">
        <w:rPr>
          <w:rFonts w:ascii="Garamond" w:hAnsi="Garamond"/>
          <w:i/>
          <w:iCs/>
        </w:rPr>
        <w:t>September</w:t>
      </w:r>
      <w:r w:rsidRPr="00003CF5">
        <w:rPr>
          <w:rFonts w:ascii="Garamond" w:hAnsi="Garamond"/>
          <w:i/>
          <w:iCs/>
        </w:rPr>
        <w:t xml:space="preserve"> 202</w:t>
      </w:r>
      <w:r w:rsidR="00623666">
        <w:rPr>
          <w:rFonts w:ascii="Garamond" w:hAnsi="Garamond"/>
          <w:i/>
          <w:iCs/>
        </w:rPr>
        <w:t>4</w:t>
      </w:r>
      <w:r w:rsidR="001E1A81">
        <w:rPr>
          <w:rFonts w:ascii="Garamond" w:hAnsi="Garamond"/>
          <w:i/>
          <w:iCs/>
        </w:rPr>
        <w:t xml:space="preserve">) </w:t>
      </w:r>
    </w:p>
    <w:p w14:paraId="38A82827" w14:textId="3C808324" w:rsidR="00B91414" w:rsidRPr="00003CF5" w:rsidRDefault="00B91414" w:rsidP="00C9095C">
      <w:pPr>
        <w:spacing w:line="360" w:lineRule="auto"/>
        <w:ind w:left="-360" w:right="-360"/>
        <w:jc w:val="center"/>
        <w:rPr>
          <w:rFonts w:ascii="Garamond" w:hAnsi="Garamond"/>
        </w:rPr>
      </w:pPr>
      <w:r w:rsidRPr="00003CF5">
        <w:rPr>
          <w:rFonts w:ascii="Garamond" w:hAnsi="Garamond"/>
        </w:rPr>
        <w:t>by:</w:t>
      </w:r>
    </w:p>
    <w:p w14:paraId="2619337D" w14:textId="77777777" w:rsidR="00B91414" w:rsidRPr="00003CF5" w:rsidRDefault="00B91414" w:rsidP="00C9095C">
      <w:pPr>
        <w:spacing w:line="360" w:lineRule="auto"/>
        <w:ind w:left="-360" w:right="-360"/>
        <w:jc w:val="center"/>
        <w:rPr>
          <w:rFonts w:ascii="Garamond" w:hAnsi="Garamond"/>
        </w:rPr>
      </w:pPr>
    </w:p>
    <w:p w14:paraId="2FD91BA7" w14:textId="77777777" w:rsidR="00B91414" w:rsidRPr="00003CF5" w:rsidRDefault="00B91414" w:rsidP="00C9095C">
      <w:pPr>
        <w:spacing w:line="360" w:lineRule="auto"/>
        <w:ind w:left="-360" w:right="-360"/>
        <w:jc w:val="center"/>
        <w:rPr>
          <w:rFonts w:ascii="Garamond" w:hAnsi="Garamond"/>
          <w:i/>
          <w:iCs/>
        </w:rPr>
        <w:sectPr w:rsidR="00B91414" w:rsidRPr="00003CF5" w:rsidSect="00C9095C">
          <w:footerReference w:type="default" r:id="rId11"/>
          <w:pgSz w:w="12240" w:h="15840"/>
          <w:pgMar w:top="720" w:right="720" w:bottom="720" w:left="720" w:header="720" w:footer="720" w:gutter="0"/>
          <w:cols w:space="720"/>
          <w:docGrid w:linePitch="360"/>
        </w:sectPr>
      </w:pPr>
    </w:p>
    <w:p w14:paraId="370695F5" w14:textId="77777777" w:rsidR="00B91414" w:rsidRPr="00003CF5" w:rsidRDefault="00B91414" w:rsidP="00C9095C">
      <w:pPr>
        <w:ind w:left="-360" w:right="-360"/>
        <w:jc w:val="center"/>
        <w:rPr>
          <w:rFonts w:ascii="Garamond" w:hAnsi="Garamond"/>
          <w:i/>
          <w:iCs/>
        </w:rPr>
      </w:pPr>
      <w:r w:rsidRPr="00003CF5">
        <w:rPr>
          <w:rFonts w:ascii="Garamond" w:hAnsi="Garamond"/>
          <w:i/>
          <w:iCs/>
        </w:rPr>
        <w:t>International Human Rights Center</w:t>
      </w:r>
    </w:p>
    <w:p w14:paraId="12B3AC00" w14:textId="77777777" w:rsidR="00B91414" w:rsidRPr="00003CF5" w:rsidRDefault="00B91414" w:rsidP="00C9095C">
      <w:pPr>
        <w:ind w:left="-360" w:right="-360"/>
        <w:jc w:val="center"/>
        <w:rPr>
          <w:rFonts w:ascii="Garamond" w:hAnsi="Garamond"/>
          <w:i/>
          <w:iCs/>
        </w:rPr>
      </w:pPr>
      <w:r w:rsidRPr="00003CF5">
        <w:rPr>
          <w:rFonts w:ascii="Garamond" w:hAnsi="Garamond"/>
          <w:i/>
          <w:iCs/>
        </w:rPr>
        <w:t>Loyola Law School, Los Angeles</w:t>
      </w:r>
    </w:p>
    <w:p w14:paraId="11DA473B" w14:textId="77777777" w:rsidR="00B91414" w:rsidRPr="00003CF5" w:rsidRDefault="00B91414" w:rsidP="00C9095C">
      <w:pPr>
        <w:ind w:left="-360" w:right="-360"/>
        <w:jc w:val="center"/>
        <w:rPr>
          <w:rFonts w:ascii="Garamond" w:hAnsi="Garamond"/>
          <w:i/>
          <w:iCs/>
        </w:rPr>
      </w:pPr>
    </w:p>
    <w:p w14:paraId="7DEB63FE" w14:textId="77777777" w:rsidR="00B91414" w:rsidRPr="00003CF5" w:rsidRDefault="00B91414" w:rsidP="00C9095C">
      <w:pPr>
        <w:ind w:left="-360" w:right="-360"/>
        <w:jc w:val="center"/>
        <w:rPr>
          <w:rFonts w:ascii="Garamond" w:hAnsi="Garamond"/>
        </w:rPr>
      </w:pPr>
      <w:r w:rsidRPr="00003CF5">
        <w:rPr>
          <w:rFonts w:ascii="Garamond" w:hAnsi="Garamond"/>
        </w:rPr>
        <w:t>919 Albany Street</w:t>
      </w:r>
    </w:p>
    <w:p w14:paraId="4A680501" w14:textId="77777777" w:rsidR="00B91414" w:rsidRPr="00466421" w:rsidRDefault="00B91414" w:rsidP="00C9095C">
      <w:pPr>
        <w:ind w:left="-360" w:right="-360"/>
        <w:jc w:val="center"/>
        <w:rPr>
          <w:rFonts w:ascii="Garamond" w:hAnsi="Garamond"/>
        </w:rPr>
      </w:pPr>
      <w:r w:rsidRPr="00466421">
        <w:rPr>
          <w:rFonts w:ascii="Garamond" w:hAnsi="Garamond"/>
        </w:rPr>
        <w:t>90015, Los Angeles, CA, USA</w:t>
      </w:r>
    </w:p>
    <w:p w14:paraId="1394C96A" w14:textId="77777777" w:rsidR="00B91414" w:rsidRPr="00466421" w:rsidRDefault="00B91414" w:rsidP="00C9095C">
      <w:pPr>
        <w:ind w:left="-360" w:right="-360"/>
        <w:jc w:val="center"/>
        <w:rPr>
          <w:rFonts w:ascii="Garamond" w:hAnsi="Garamond"/>
        </w:rPr>
      </w:pPr>
    </w:p>
    <w:p w14:paraId="4DFF9703" w14:textId="77777777" w:rsidR="00B91414" w:rsidRPr="00466421" w:rsidRDefault="00B91414" w:rsidP="00C9095C">
      <w:pPr>
        <w:ind w:left="-360" w:right="-360"/>
        <w:jc w:val="center"/>
        <w:rPr>
          <w:rFonts w:ascii="Garamond" w:hAnsi="Garamond"/>
        </w:rPr>
      </w:pPr>
      <w:r w:rsidRPr="00466421">
        <w:rPr>
          <w:rFonts w:ascii="Garamond" w:hAnsi="Garamond"/>
        </w:rPr>
        <w:t>Contact: Prof. Cesare Romano</w:t>
      </w:r>
    </w:p>
    <w:p w14:paraId="61512E12" w14:textId="77777777" w:rsidR="00B91414" w:rsidRPr="00003CF5" w:rsidRDefault="00000000" w:rsidP="00C9095C">
      <w:pPr>
        <w:ind w:left="-360" w:right="-360"/>
        <w:jc w:val="center"/>
        <w:rPr>
          <w:rFonts w:ascii="Garamond" w:hAnsi="Garamond"/>
        </w:rPr>
      </w:pPr>
      <w:hyperlink r:id="rId12" w:history="1">
        <w:r w:rsidR="00B91414" w:rsidRPr="00003CF5">
          <w:rPr>
            <w:rStyle w:val="Hyperlink"/>
            <w:rFonts w:ascii="Garamond" w:hAnsi="Garamond"/>
            <w:color w:val="auto"/>
          </w:rPr>
          <w:t>cesare.romano@lls.edu</w:t>
        </w:r>
      </w:hyperlink>
    </w:p>
    <w:p w14:paraId="02615C88" w14:textId="77777777" w:rsidR="00B91414" w:rsidRPr="00003CF5" w:rsidRDefault="00B91414" w:rsidP="00C9095C">
      <w:pPr>
        <w:spacing w:line="360" w:lineRule="auto"/>
        <w:ind w:left="-360" w:right="-360"/>
        <w:jc w:val="center"/>
        <w:rPr>
          <w:rFonts w:ascii="Garamond" w:hAnsi="Garamond"/>
        </w:rPr>
      </w:pPr>
    </w:p>
    <w:p w14:paraId="4390A3E1" w14:textId="1CDEA4D1" w:rsidR="00B91414" w:rsidRPr="00003CF5" w:rsidRDefault="00D54494" w:rsidP="00C9095C">
      <w:pPr>
        <w:ind w:left="-360" w:right="-360"/>
        <w:jc w:val="center"/>
        <w:rPr>
          <w:rFonts w:ascii="Garamond" w:hAnsi="Garamond"/>
          <w:i/>
          <w:iCs/>
        </w:rPr>
      </w:pPr>
      <w:r>
        <w:rPr>
          <w:rFonts w:ascii="Garamond" w:hAnsi="Garamond"/>
          <w:i/>
          <w:iCs/>
        </w:rPr>
        <w:t>Science for Democracy</w:t>
      </w:r>
    </w:p>
    <w:p w14:paraId="1EEBBD57" w14:textId="77777777" w:rsidR="00B91414" w:rsidRPr="00003CF5" w:rsidRDefault="00B91414" w:rsidP="00C9095C">
      <w:pPr>
        <w:ind w:left="-360" w:right="-360"/>
        <w:rPr>
          <w:rFonts w:ascii="Garamond" w:hAnsi="Garamond"/>
        </w:rPr>
      </w:pPr>
    </w:p>
    <w:p w14:paraId="75C8C1C4" w14:textId="77777777" w:rsidR="00D54494" w:rsidRPr="00D54494" w:rsidRDefault="00D54494" w:rsidP="00D54494">
      <w:pPr>
        <w:ind w:left="-360" w:right="-360"/>
        <w:jc w:val="center"/>
        <w:rPr>
          <w:rFonts w:ascii="Garamond" w:hAnsi="Garamond"/>
        </w:rPr>
      </w:pPr>
      <w:r w:rsidRPr="00D54494">
        <w:rPr>
          <w:rFonts w:ascii="Garamond" w:hAnsi="Garamond"/>
        </w:rPr>
        <w:t xml:space="preserve">Rue Ducale 41, </w:t>
      </w:r>
    </w:p>
    <w:p w14:paraId="31BE6F72" w14:textId="77777777" w:rsidR="00D54494" w:rsidRPr="00D54494" w:rsidRDefault="00D54494" w:rsidP="00D54494">
      <w:pPr>
        <w:ind w:left="-360" w:right="-360"/>
        <w:jc w:val="center"/>
        <w:rPr>
          <w:rFonts w:ascii="Garamond" w:hAnsi="Garamond"/>
        </w:rPr>
      </w:pPr>
      <w:r w:rsidRPr="00D54494">
        <w:rPr>
          <w:rFonts w:ascii="Garamond" w:hAnsi="Garamond"/>
        </w:rPr>
        <w:t xml:space="preserve">1000 </w:t>
      </w:r>
      <w:proofErr w:type="spellStart"/>
      <w:r w:rsidRPr="00D54494">
        <w:rPr>
          <w:rFonts w:ascii="Garamond" w:hAnsi="Garamond"/>
        </w:rPr>
        <w:t>Bruxelles</w:t>
      </w:r>
      <w:proofErr w:type="spellEnd"/>
      <w:r w:rsidRPr="00D54494">
        <w:rPr>
          <w:rFonts w:ascii="Garamond" w:hAnsi="Garamond"/>
        </w:rPr>
        <w:t>, Belgium</w:t>
      </w:r>
    </w:p>
    <w:p w14:paraId="16C86A2E" w14:textId="77777777" w:rsidR="00B91414" w:rsidRPr="00003CF5" w:rsidRDefault="00B91414" w:rsidP="00C9095C">
      <w:pPr>
        <w:ind w:left="-360" w:right="-360"/>
        <w:jc w:val="center"/>
        <w:rPr>
          <w:rFonts w:ascii="Garamond" w:hAnsi="Garamond"/>
        </w:rPr>
      </w:pPr>
    </w:p>
    <w:p w14:paraId="219E2222" w14:textId="77014EE6" w:rsidR="00B91414" w:rsidRPr="00003CF5" w:rsidRDefault="00B91414" w:rsidP="00C9095C">
      <w:pPr>
        <w:ind w:left="-360" w:right="-360"/>
        <w:jc w:val="center"/>
        <w:rPr>
          <w:rFonts w:ascii="Garamond" w:hAnsi="Garamond"/>
        </w:rPr>
      </w:pPr>
      <w:r w:rsidRPr="00003CF5">
        <w:rPr>
          <w:rFonts w:ascii="Garamond" w:hAnsi="Garamond"/>
        </w:rPr>
        <w:t xml:space="preserve">Contact: </w:t>
      </w:r>
      <w:r w:rsidR="00D54494">
        <w:rPr>
          <w:rFonts w:ascii="Garamond" w:hAnsi="Garamond"/>
        </w:rPr>
        <w:t>Dr. Laura Convertino</w:t>
      </w:r>
    </w:p>
    <w:p w14:paraId="304FB0B5" w14:textId="77777777" w:rsidR="00D54494" w:rsidRPr="00D54494" w:rsidRDefault="00000000" w:rsidP="00D54494">
      <w:pPr>
        <w:spacing w:line="360" w:lineRule="auto"/>
        <w:ind w:left="-360" w:right="-360"/>
        <w:jc w:val="center"/>
        <w:rPr>
          <w:rFonts w:ascii="Garamond" w:hAnsi="Garamond"/>
        </w:rPr>
      </w:pPr>
      <w:hyperlink r:id="rId13" w:history="1">
        <w:r w:rsidR="00D54494" w:rsidRPr="00D54494">
          <w:rPr>
            <w:rStyle w:val="Hyperlink"/>
            <w:rFonts w:ascii="Garamond" w:hAnsi="Garamond"/>
            <w:color w:val="auto"/>
          </w:rPr>
          <w:t>laura.errans@gmail.com</w:t>
        </w:r>
      </w:hyperlink>
    </w:p>
    <w:p w14:paraId="174464F9" w14:textId="77777777" w:rsidR="00B91414" w:rsidRPr="00003CF5" w:rsidRDefault="00B91414" w:rsidP="00C9095C">
      <w:pPr>
        <w:spacing w:line="360" w:lineRule="auto"/>
        <w:ind w:left="-360" w:right="-360"/>
        <w:jc w:val="center"/>
        <w:rPr>
          <w:rFonts w:ascii="Garamond" w:hAnsi="Garamond"/>
        </w:rPr>
        <w:sectPr w:rsidR="00B91414" w:rsidRPr="00003CF5" w:rsidSect="006658BC">
          <w:type w:val="continuous"/>
          <w:pgSz w:w="12240" w:h="15840"/>
          <w:pgMar w:top="1440" w:right="1440" w:bottom="1440" w:left="1440" w:header="720" w:footer="720" w:gutter="0"/>
          <w:cols w:num="2" w:space="720"/>
          <w:docGrid w:linePitch="360"/>
        </w:sectPr>
      </w:pPr>
    </w:p>
    <w:p w14:paraId="35E27408" w14:textId="77777777" w:rsidR="00B91414" w:rsidRPr="00003CF5" w:rsidRDefault="00B91414" w:rsidP="00C9095C">
      <w:pPr>
        <w:spacing w:line="360" w:lineRule="auto"/>
        <w:ind w:left="-360" w:right="-360"/>
        <w:jc w:val="center"/>
        <w:rPr>
          <w:rFonts w:ascii="Garamond" w:hAnsi="Garamond"/>
        </w:rPr>
      </w:pPr>
    </w:p>
    <w:p w14:paraId="4B8A2D00" w14:textId="5C12FB5C" w:rsidR="00B91414" w:rsidRPr="00003CF5" w:rsidRDefault="00C9095C" w:rsidP="00C9095C">
      <w:pPr>
        <w:spacing w:line="360" w:lineRule="auto"/>
        <w:ind w:left="-360" w:right="-360"/>
        <w:jc w:val="center"/>
        <w:rPr>
          <w:rFonts w:ascii="Garamond" w:hAnsi="Garamond"/>
        </w:rPr>
      </w:pPr>
      <w:r>
        <w:rPr>
          <w:rFonts w:ascii="Garamond" w:hAnsi="Garamond"/>
        </w:rPr>
        <w:t>a</w:t>
      </w:r>
      <w:r w:rsidRPr="00003CF5">
        <w:rPr>
          <w:rFonts w:ascii="Garamond" w:hAnsi="Garamond"/>
        </w:rPr>
        <w:t>nd</w:t>
      </w:r>
    </w:p>
    <w:p w14:paraId="0EED2787" w14:textId="77777777" w:rsidR="00B91414" w:rsidRPr="00003CF5" w:rsidRDefault="00B91414" w:rsidP="00C9095C">
      <w:pPr>
        <w:spacing w:line="360" w:lineRule="auto"/>
        <w:ind w:left="-360" w:right="-360"/>
        <w:jc w:val="center"/>
        <w:rPr>
          <w:rFonts w:ascii="Garamond" w:hAnsi="Garamond"/>
        </w:rPr>
      </w:pPr>
    </w:p>
    <w:p w14:paraId="3B12274E" w14:textId="77777777" w:rsidR="00B91414" w:rsidRPr="00003CF5" w:rsidRDefault="00B91414" w:rsidP="00C9095C">
      <w:pPr>
        <w:ind w:left="-360" w:right="-360"/>
        <w:jc w:val="center"/>
        <w:rPr>
          <w:rFonts w:ascii="Garamond" w:hAnsi="Garamond"/>
          <w:i/>
          <w:iCs/>
        </w:rPr>
        <w:sectPr w:rsidR="00B91414" w:rsidRPr="00003CF5" w:rsidSect="006658BC">
          <w:type w:val="continuous"/>
          <w:pgSz w:w="12240" w:h="15840"/>
          <w:pgMar w:top="1440" w:right="1440" w:bottom="1440" w:left="1440" w:header="720" w:footer="720" w:gutter="0"/>
          <w:cols w:space="720"/>
          <w:docGrid w:linePitch="360"/>
        </w:sectPr>
      </w:pPr>
    </w:p>
    <w:p w14:paraId="427ABD31" w14:textId="77777777" w:rsidR="00B91414" w:rsidRPr="00003CF5" w:rsidRDefault="00B91414" w:rsidP="00C9095C">
      <w:pPr>
        <w:ind w:left="-360" w:right="-360"/>
        <w:jc w:val="center"/>
        <w:rPr>
          <w:rFonts w:ascii="Garamond" w:hAnsi="Garamond"/>
          <w:i/>
          <w:iCs/>
        </w:rPr>
      </w:pPr>
      <w:r w:rsidRPr="00003CF5">
        <w:rPr>
          <w:rFonts w:ascii="Garamond" w:hAnsi="Garamond"/>
          <w:i/>
          <w:iCs/>
        </w:rPr>
        <w:t>Young Women’s Consortium</w:t>
      </w:r>
    </w:p>
    <w:p w14:paraId="79B8E32E" w14:textId="77777777" w:rsidR="00B91414" w:rsidRPr="00003CF5" w:rsidRDefault="00B91414" w:rsidP="00C9095C">
      <w:pPr>
        <w:ind w:left="-360" w:right="-360"/>
        <w:jc w:val="center"/>
        <w:rPr>
          <w:rFonts w:ascii="Garamond" w:hAnsi="Garamond"/>
          <w:i/>
          <w:iCs/>
        </w:rPr>
      </w:pPr>
    </w:p>
    <w:p w14:paraId="44F04882" w14:textId="77777777" w:rsidR="00B91414" w:rsidRPr="00003CF5" w:rsidRDefault="00B91414" w:rsidP="00C9095C">
      <w:pPr>
        <w:ind w:left="-360" w:right="-360"/>
        <w:jc w:val="center"/>
        <w:rPr>
          <w:rFonts w:ascii="Garamond" w:eastAsia="Garamond" w:hAnsi="Garamond" w:cs="Garamond"/>
        </w:rPr>
      </w:pPr>
      <w:r w:rsidRPr="00003CF5">
        <w:rPr>
          <w:rFonts w:ascii="Garamond" w:eastAsia="Garamond" w:hAnsi="Garamond" w:cs="Garamond"/>
        </w:rPr>
        <w:t xml:space="preserve">P.O. Box </w:t>
      </w:r>
    </w:p>
    <w:p w14:paraId="511A732D" w14:textId="77777777" w:rsidR="00B91414" w:rsidRPr="00003CF5" w:rsidRDefault="00B91414" w:rsidP="00C9095C">
      <w:pPr>
        <w:ind w:left="-360" w:right="-360"/>
        <w:jc w:val="center"/>
        <w:rPr>
          <w:rFonts w:ascii="Garamond" w:eastAsia="Garamond" w:hAnsi="Garamond" w:cs="Garamond"/>
          <w:highlight w:val="yellow"/>
        </w:rPr>
      </w:pPr>
      <w:r w:rsidRPr="00003CF5">
        <w:rPr>
          <w:rFonts w:ascii="Garamond" w:eastAsia="Garamond" w:hAnsi="Garamond" w:cs="Garamond"/>
        </w:rPr>
        <w:t>31489. Lilongwe 3</w:t>
      </w:r>
    </w:p>
    <w:p w14:paraId="7EC157EA" w14:textId="77777777" w:rsidR="00B91414" w:rsidRPr="00003CF5" w:rsidRDefault="00B91414" w:rsidP="00C9095C">
      <w:pPr>
        <w:ind w:left="-360" w:right="-360"/>
        <w:jc w:val="center"/>
        <w:rPr>
          <w:rFonts w:ascii="Garamond" w:eastAsia="Garamond" w:hAnsi="Garamond" w:cs="Garamond"/>
          <w:highlight w:val="yellow"/>
        </w:rPr>
      </w:pPr>
      <w:r w:rsidRPr="00003CF5">
        <w:rPr>
          <w:rFonts w:ascii="Garamond" w:eastAsia="Garamond" w:hAnsi="Garamond" w:cs="Garamond"/>
        </w:rPr>
        <w:t xml:space="preserve">Umodzi Park. </w:t>
      </w:r>
      <w:proofErr w:type="spellStart"/>
      <w:r w:rsidRPr="00003CF5">
        <w:rPr>
          <w:rFonts w:ascii="Garamond" w:eastAsia="Garamond" w:hAnsi="Garamond" w:cs="Garamond"/>
        </w:rPr>
        <w:t>Chilembwe</w:t>
      </w:r>
      <w:proofErr w:type="spellEnd"/>
      <w:r w:rsidRPr="00003CF5">
        <w:rPr>
          <w:rFonts w:ascii="Garamond" w:eastAsia="Garamond" w:hAnsi="Garamond" w:cs="Garamond"/>
        </w:rPr>
        <w:t xml:space="preserve"> Road</w:t>
      </w:r>
    </w:p>
    <w:p w14:paraId="5A56B2A7" w14:textId="77777777" w:rsidR="00B91414" w:rsidRPr="00003CF5" w:rsidRDefault="00B91414" w:rsidP="00C9095C">
      <w:pPr>
        <w:ind w:left="-360" w:right="-360"/>
        <w:jc w:val="center"/>
        <w:rPr>
          <w:rFonts w:ascii="Garamond" w:hAnsi="Garamond"/>
        </w:rPr>
      </w:pPr>
    </w:p>
    <w:p w14:paraId="4B109A3E" w14:textId="77777777" w:rsidR="00B91414" w:rsidRPr="00003CF5" w:rsidRDefault="00B91414" w:rsidP="00C9095C">
      <w:pPr>
        <w:ind w:left="-360" w:right="-360"/>
        <w:jc w:val="center"/>
        <w:rPr>
          <w:rFonts w:ascii="Garamond" w:hAnsi="Garamond"/>
        </w:rPr>
      </w:pPr>
      <w:r w:rsidRPr="00003CF5">
        <w:rPr>
          <w:rFonts w:ascii="Garamond" w:hAnsi="Garamond"/>
        </w:rPr>
        <w:t xml:space="preserve">Contact: Chimwemwe Mlombwa </w:t>
      </w:r>
    </w:p>
    <w:p w14:paraId="52D423FC" w14:textId="41DF84E3" w:rsidR="00B91414" w:rsidRPr="00003CF5" w:rsidRDefault="00000000" w:rsidP="00C9095C">
      <w:pPr>
        <w:ind w:left="-360" w:right="-360"/>
        <w:jc w:val="center"/>
        <w:rPr>
          <w:rFonts w:ascii="Garamond" w:hAnsi="Garamond"/>
        </w:rPr>
      </w:pPr>
      <w:hyperlink r:id="rId14" w:history="1">
        <w:r w:rsidR="00B91414" w:rsidRPr="00003CF5">
          <w:rPr>
            <w:rStyle w:val="Hyperlink"/>
            <w:rFonts w:ascii="Garamond" w:hAnsi="Garamond"/>
            <w:color w:val="auto"/>
          </w:rPr>
          <w:t>chimz.m@gmail.com</w:t>
        </w:r>
      </w:hyperlink>
      <w:r w:rsidR="00B91414" w:rsidRPr="00003CF5">
        <w:rPr>
          <w:rFonts w:ascii="Garamond" w:hAnsi="Garamond"/>
        </w:rPr>
        <w:t xml:space="preserve"> </w:t>
      </w:r>
    </w:p>
    <w:p w14:paraId="2F754AB9" w14:textId="41361121" w:rsidR="00B91414" w:rsidRPr="00003CF5" w:rsidRDefault="005650DA" w:rsidP="00C9095C">
      <w:pPr>
        <w:ind w:left="-360" w:right="-360"/>
        <w:jc w:val="center"/>
        <w:rPr>
          <w:rFonts w:ascii="Garamond" w:hAnsi="Garamond"/>
          <w:i/>
          <w:iCs/>
        </w:rPr>
      </w:pPr>
      <w:r>
        <w:rPr>
          <w:rFonts w:ascii="Garamond" w:hAnsi="Garamond"/>
          <w:i/>
          <w:iCs/>
        </w:rPr>
        <w:t>Nyale Institute</w:t>
      </w:r>
    </w:p>
    <w:p w14:paraId="41C05C52" w14:textId="77777777" w:rsidR="00B91414" w:rsidRPr="00003CF5" w:rsidRDefault="00B91414" w:rsidP="00C9095C">
      <w:pPr>
        <w:ind w:left="-360" w:right="-360"/>
        <w:jc w:val="center"/>
        <w:rPr>
          <w:rFonts w:ascii="Garamond" w:hAnsi="Garamond"/>
          <w:i/>
          <w:iCs/>
        </w:rPr>
      </w:pPr>
    </w:p>
    <w:p w14:paraId="0BA289B6" w14:textId="77777777" w:rsidR="00B91414" w:rsidRPr="00003CF5" w:rsidRDefault="00B91414" w:rsidP="00C9095C">
      <w:pPr>
        <w:ind w:left="-360" w:right="-360"/>
        <w:jc w:val="center"/>
        <w:rPr>
          <w:rFonts w:ascii="Garamond" w:hAnsi="Garamond"/>
        </w:rPr>
      </w:pPr>
      <w:r w:rsidRPr="00003CF5">
        <w:rPr>
          <w:rFonts w:ascii="Garamond" w:hAnsi="Garamond"/>
        </w:rPr>
        <w:t>P.O. Box 30860</w:t>
      </w:r>
    </w:p>
    <w:p w14:paraId="7589CF60" w14:textId="77777777" w:rsidR="00B91414" w:rsidRPr="00003CF5" w:rsidRDefault="00B91414" w:rsidP="00C9095C">
      <w:pPr>
        <w:ind w:left="-360" w:right="-360"/>
        <w:jc w:val="center"/>
        <w:rPr>
          <w:rFonts w:ascii="Garamond" w:hAnsi="Garamond"/>
        </w:rPr>
      </w:pPr>
      <w:r w:rsidRPr="00003CF5">
        <w:rPr>
          <w:rFonts w:ascii="Garamond" w:hAnsi="Garamond"/>
        </w:rPr>
        <w:t>Chichiri,</w:t>
      </w:r>
    </w:p>
    <w:p w14:paraId="42E581EC" w14:textId="77777777" w:rsidR="00B91414" w:rsidRPr="00003CF5" w:rsidRDefault="00B91414" w:rsidP="00C9095C">
      <w:pPr>
        <w:ind w:left="-360" w:right="-360"/>
        <w:jc w:val="center"/>
        <w:rPr>
          <w:rFonts w:ascii="Garamond" w:hAnsi="Garamond"/>
        </w:rPr>
      </w:pPr>
      <w:r w:rsidRPr="00003CF5">
        <w:rPr>
          <w:rFonts w:ascii="Garamond" w:hAnsi="Garamond"/>
        </w:rPr>
        <w:t>Blantyre 3, Malawi</w:t>
      </w:r>
    </w:p>
    <w:p w14:paraId="79B611DF" w14:textId="77777777" w:rsidR="00B91414" w:rsidRPr="00003CF5" w:rsidRDefault="00B91414" w:rsidP="00C9095C">
      <w:pPr>
        <w:ind w:left="-360" w:right="-360"/>
        <w:jc w:val="center"/>
        <w:rPr>
          <w:rFonts w:ascii="Garamond" w:hAnsi="Garamond"/>
        </w:rPr>
      </w:pPr>
    </w:p>
    <w:p w14:paraId="58D8A1BB" w14:textId="0E21C959" w:rsidR="00B91414" w:rsidRPr="00003CF5" w:rsidRDefault="00B91414" w:rsidP="00C9095C">
      <w:pPr>
        <w:ind w:left="-360" w:right="-360"/>
        <w:jc w:val="center"/>
        <w:rPr>
          <w:rFonts w:ascii="Garamond" w:hAnsi="Garamond"/>
        </w:rPr>
      </w:pPr>
      <w:r w:rsidRPr="00003CF5">
        <w:rPr>
          <w:rFonts w:ascii="Garamond" w:hAnsi="Garamond"/>
        </w:rPr>
        <w:t xml:space="preserve">Contact: </w:t>
      </w:r>
      <w:r w:rsidR="005650DA">
        <w:rPr>
          <w:rFonts w:ascii="Garamond" w:hAnsi="Garamond"/>
        </w:rPr>
        <w:t xml:space="preserve">Dr. </w:t>
      </w:r>
      <w:r w:rsidRPr="00003CF5">
        <w:rPr>
          <w:rFonts w:ascii="Garamond" w:hAnsi="Garamond"/>
        </w:rPr>
        <w:t xml:space="preserve">Godfrey </w:t>
      </w:r>
      <w:r w:rsidR="005650DA" w:rsidRPr="00003CF5">
        <w:rPr>
          <w:rFonts w:ascii="Garamond" w:hAnsi="Garamond"/>
        </w:rPr>
        <w:t>Kangaude</w:t>
      </w:r>
    </w:p>
    <w:p w14:paraId="09C15762" w14:textId="77777777" w:rsidR="00B91414" w:rsidRPr="00003CF5" w:rsidRDefault="00000000" w:rsidP="00C9095C">
      <w:pPr>
        <w:ind w:left="-360" w:right="-360"/>
        <w:jc w:val="center"/>
        <w:rPr>
          <w:rFonts w:ascii="Garamond" w:hAnsi="Garamond"/>
          <w:iCs/>
        </w:rPr>
      </w:pPr>
      <w:hyperlink r:id="rId15" w:history="1">
        <w:r w:rsidR="00B91414" w:rsidRPr="00003CF5">
          <w:rPr>
            <w:rStyle w:val="Hyperlink"/>
            <w:rFonts w:ascii="Garamond" w:hAnsi="Garamond"/>
            <w:iCs/>
            <w:color w:val="auto"/>
          </w:rPr>
          <w:t>kangaude2013@lawnet.ucla.edu</w:t>
        </w:r>
      </w:hyperlink>
      <w:r w:rsidR="00B91414" w:rsidRPr="00003CF5">
        <w:rPr>
          <w:rFonts w:ascii="Garamond" w:hAnsi="Garamond"/>
          <w:iCs/>
        </w:rPr>
        <w:t xml:space="preserve"> </w:t>
      </w:r>
    </w:p>
    <w:p w14:paraId="5941F2E9" w14:textId="77777777" w:rsidR="00B91414" w:rsidRPr="00003CF5" w:rsidRDefault="00B91414" w:rsidP="00184D12">
      <w:pPr>
        <w:pStyle w:val="Heading1"/>
        <w:sectPr w:rsidR="00B91414" w:rsidRPr="00003CF5" w:rsidSect="006658BC">
          <w:type w:val="continuous"/>
          <w:pgSz w:w="12240" w:h="15840"/>
          <w:pgMar w:top="1440" w:right="1440" w:bottom="1440" w:left="1440" w:header="720" w:footer="720" w:gutter="0"/>
          <w:cols w:num="2" w:space="720"/>
          <w:docGrid w:linePitch="360"/>
        </w:sectPr>
      </w:pPr>
    </w:p>
    <w:p w14:paraId="5210CA35" w14:textId="77777777" w:rsidR="00B91414" w:rsidRPr="00003CF5" w:rsidRDefault="00B91414" w:rsidP="00C9095C">
      <w:pPr>
        <w:ind w:left="-360" w:right="-360"/>
        <w:rPr>
          <w:rFonts w:ascii="Garamond" w:hAnsi="Garamond"/>
          <w:sz w:val="22"/>
          <w:szCs w:val="22"/>
        </w:rPr>
      </w:pPr>
      <w:r w:rsidRPr="00003CF5">
        <w:rPr>
          <w:rFonts w:ascii="Garamond" w:hAnsi="Garamond"/>
          <w:sz w:val="22"/>
          <w:szCs w:val="22"/>
        </w:rPr>
        <w:br w:type="page"/>
      </w:r>
    </w:p>
    <w:p w14:paraId="299333EF" w14:textId="01836F5B" w:rsidR="009275AF" w:rsidRPr="009275AF" w:rsidRDefault="00C9095C">
      <w:pPr>
        <w:pStyle w:val="TOC1"/>
        <w:tabs>
          <w:tab w:val="right" w:leader="dot" w:pos="9350"/>
        </w:tabs>
        <w:rPr>
          <w:rFonts w:ascii="Garamond" w:eastAsiaTheme="minorEastAsia" w:hAnsi="Garamond" w:cstheme="minorBidi"/>
          <w:noProof/>
          <w:kern w:val="2"/>
          <w:sz w:val="22"/>
          <w:szCs w:val="22"/>
          <w14:ligatures w14:val="standardContextual"/>
        </w:rPr>
      </w:pPr>
      <w:r w:rsidRPr="009275AF">
        <w:rPr>
          <w:rFonts w:ascii="Garamond" w:hAnsi="Garamond"/>
          <w:sz w:val="22"/>
          <w:szCs w:val="22"/>
        </w:rPr>
        <w:lastRenderedPageBreak/>
        <w:fldChar w:fldCharType="begin"/>
      </w:r>
      <w:r w:rsidRPr="009275AF">
        <w:rPr>
          <w:rFonts w:ascii="Garamond" w:hAnsi="Garamond"/>
          <w:sz w:val="22"/>
          <w:szCs w:val="22"/>
        </w:rPr>
        <w:instrText xml:space="preserve"> TOC \o "1-3" \h \z \u </w:instrText>
      </w:r>
      <w:r w:rsidRPr="009275AF">
        <w:rPr>
          <w:rFonts w:ascii="Garamond" w:hAnsi="Garamond"/>
          <w:sz w:val="22"/>
          <w:szCs w:val="22"/>
        </w:rPr>
        <w:fldChar w:fldCharType="separate"/>
      </w:r>
      <w:hyperlink w:anchor="_Toc173323639" w:history="1">
        <w:r w:rsidR="009275AF" w:rsidRPr="009275AF">
          <w:rPr>
            <w:rStyle w:val="Hyperlink"/>
            <w:rFonts w:ascii="Garamond" w:hAnsi="Garamond"/>
            <w:noProof/>
            <w:sz w:val="22"/>
            <w:szCs w:val="22"/>
          </w:rPr>
          <w:t>PURPOSE OF THIS SUPPLEMENTAL REPORT</w:t>
        </w:r>
        <w:r w:rsidR="009275AF" w:rsidRPr="009275AF">
          <w:rPr>
            <w:rFonts w:ascii="Garamond" w:hAnsi="Garamond"/>
            <w:noProof/>
            <w:webHidden/>
            <w:sz w:val="22"/>
            <w:szCs w:val="22"/>
          </w:rPr>
          <w:tab/>
        </w:r>
        <w:r w:rsidR="009275AF" w:rsidRPr="009275AF">
          <w:rPr>
            <w:rFonts w:ascii="Garamond" w:hAnsi="Garamond"/>
            <w:noProof/>
            <w:webHidden/>
            <w:sz w:val="22"/>
            <w:szCs w:val="22"/>
          </w:rPr>
          <w:fldChar w:fldCharType="begin"/>
        </w:r>
        <w:r w:rsidR="009275AF" w:rsidRPr="009275AF">
          <w:rPr>
            <w:rFonts w:ascii="Garamond" w:hAnsi="Garamond"/>
            <w:noProof/>
            <w:webHidden/>
            <w:sz w:val="22"/>
            <w:szCs w:val="22"/>
          </w:rPr>
          <w:instrText xml:space="preserve"> PAGEREF _Toc173323639 \h </w:instrText>
        </w:r>
        <w:r w:rsidR="009275AF" w:rsidRPr="009275AF">
          <w:rPr>
            <w:rFonts w:ascii="Garamond" w:hAnsi="Garamond"/>
            <w:noProof/>
            <w:webHidden/>
            <w:sz w:val="22"/>
            <w:szCs w:val="22"/>
          </w:rPr>
        </w:r>
        <w:r w:rsidR="009275AF" w:rsidRPr="009275AF">
          <w:rPr>
            <w:rFonts w:ascii="Garamond" w:hAnsi="Garamond"/>
            <w:noProof/>
            <w:webHidden/>
            <w:sz w:val="22"/>
            <w:szCs w:val="22"/>
          </w:rPr>
          <w:fldChar w:fldCharType="separate"/>
        </w:r>
        <w:r w:rsidR="00A12764">
          <w:rPr>
            <w:rFonts w:ascii="Garamond" w:hAnsi="Garamond"/>
            <w:noProof/>
            <w:webHidden/>
            <w:sz w:val="22"/>
            <w:szCs w:val="22"/>
          </w:rPr>
          <w:t>2</w:t>
        </w:r>
        <w:r w:rsidR="009275AF" w:rsidRPr="009275AF">
          <w:rPr>
            <w:rFonts w:ascii="Garamond" w:hAnsi="Garamond"/>
            <w:noProof/>
            <w:webHidden/>
            <w:sz w:val="22"/>
            <w:szCs w:val="22"/>
          </w:rPr>
          <w:fldChar w:fldCharType="end"/>
        </w:r>
      </w:hyperlink>
    </w:p>
    <w:p w14:paraId="0F3C18CA" w14:textId="7941246A" w:rsidR="009275AF" w:rsidRPr="009275AF" w:rsidRDefault="00000000">
      <w:pPr>
        <w:pStyle w:val="TOC1"/>
        <w:tabs>
          <w:tab w:val="right" w:leader="dot" w:pos="9350"/>
        </w:tabs>
        <w:rPr>
          <w:rFonts w:ascii="Garamond" w:eastAsiaTheme="minorEastAsia" w:hAnsi="Garamond" w:cstheme="minorBidi"/>
          <w:noProof/>
          <w:kern w:val="2"/>
          <w:sz w:val="22"/>
          <w:szCs w:val="22"/>
          <w14:ligatures w14:val="standardContextual"/>
        </w:rPr>
      </w:pPr>
      <w:hyperlink w:anchor="_Toc173323640" w:history="1">
        <w:r w:rsidR="009275AF" w:rsidRPr="009275AF">
          <w:rPr>
            <w:rStyle w:val="Hyperlink"/>
            <w:rFonts w:ascii="Garamond" w:hAnsi="Garamond"/>
            <w:noProof/>
            <w:sz w:val="22"/>
            <w:szCs w:val="22"/>
          </w:rPr>
          <w:t>ABOUT THE AUTHORS OF THIS REPORT AND SOURCES</w:t>
        </w:r>
        <w:r w:rsidR="009275AF" w:rsidRPr="009275AF">
          <w:rPr>
            <w:rFonts w:ascii="Garamond" w:hAnsi="Garamond"/>
            <w:noProof/>
            <w:webHidden/>
            <w:sz w:val="22"/>
            <w:szCs w:val="22"/>
          </w:rPr>
          <w:tab/>
        </w:r>
        <w:r w:rsidR="009275AF" w:rsidRPr="009275AF">
          <w:rPr>
            <w:rFonts w:ascii="Garamond" w:hAnsi="Garamond"/>
            <w:noProof/>
            <w:webHidden/>
            <w:sz w:val="22"/>
            <w:szCs w:val="22"/>
          </w:rPr>
          <w:fldChar w:fldCharType="begin"/>
        </w:r>
        <w:r w:rsidR="009275AF" w:rsidRPr="009275AF">
          <w:rPr>
            <w:rFonts w:ascii="Garamond" w:hAnsi="Garamond"/>
            <w:noProof/>
            <w:webHidden/>
            <w:sz w:val="22"/>
            <w:szCs w:val="22"/>
          </w:rPr>
          <w:instrText xml:space="preserve"> PAGEREF _Toc173323640 \h </w:instrText>
        </w:r>
        <w:r w:rsidR="009275AF" w:rsidRPr="009275AF">
          <w:rPr>
            <w:rFonts w:ascii="Garamond" w:hAnsi="Garamond"/>
            <w:noProof/>
            <w:webHidden/>
            <w:sz w:val="22"/>
            <w:szCs w:val="22"/>
          </w:rPr>
        </w:r>
        <w:r w:rsidR="009275AF" w:rsidRPr="009275AF">
          <w:rPr>
            <w:rFonts w:ascii="Garamond" w:hAnsi="Garamond"/>
            <w:noProof/>
            <w:webHidden/>
            <w:sz w:val="22"/>
            <w:szCs w:val="22"/>
          </w:rPr>
          <w:fldChar w:fldCharType="separate"/>
        </w:r>
        <w:r w:rsidR="00A12764">
          <w:rPr>
            <w:rFonts w:ascii="Garamond" w:hAnsi="Garamond"/>
            <w:noProof/>
            <w:webHidden/>
            <w:sz w:val="22"/>
            <w:szCs w:val="22"/>
          </w:rPr>
          <w:t>3</w:t>
        </w:r>
        <w:r w:rsidR="009275AF" w:rsidRPr="009275AF">
          <w:rPr>
            <w:rFonts w:ascii="Garamond" w:hAnsi="Garamond"/>
            <w:noProof/>
            <w:webHidden/>
            <w:sz w:val="22"/>
            <w:szCs w:val="22"/>
          </w:rPr>
          <w:fldChar w:fldCharType="end"/>
        </w:r>
      </w:hyperlink>
    </w:p>
    <w:p w14:paraId="0F8FC35E" w14:textId="2EC0A238" w:rsidR="009275AF" w:rsidRPr="009275AF" w:rsidRDefault="00000000">
      <w:pPr>
        <w:pStyle w:val="TOC1"/>
        <w:tabs>
          <w:tab w:val="right" w:leader="dot" w:pos="9350"/>
        </w:tabs>
        <w:rPr>
          <w:rFonts w:ascii="Garamond" w:eastAsiaTheme="minorEastAsia" w:hAnsi="Garamond" w:cstheme="minorBidi"/>
          <w:noProof/>
          <w:kern w:val="2"/>
          <w:sz w:val="22"/>
          <w:szCs w:val="22"/>
          <w14:ligatures w14:val="standardContextual"/>
        </w:rPr>
      </w:pPr>
      <w:hyperlink w:anchor="_Toc173323641" w:history="1">
        <w:r w:rsidR="009275AF" w:rsidRPr="009275AF">
          <w:rPr>
            <w:rStyle w:val="Hyperlink"/>
            <w:rFonts w:ascii="Garamond" w:hAnsi="Garamond"/>
            <w:noProof/>
            <w:sz w:val="22"/>
            <w:szCs w:val="22"/>
          </w:rPr>
          <w:t>OUR OBSERVATIONS ON MALAWI’S REPLIES TO THE LIST OF ISSUES</w:t>
        </w:r>
        <w:r w:rsidR="009275AF" w:rsidRPr="009275AF">
          <w:rPr>
            <w:rFonts w:ascii="Garamond" w:hAnsi="Garamond"/>
            <w:noProof/>
            <w:webHidden/>
            <w:sz w:val="22"/>
            <w:szCs w:val="22"/>
          </w:rPr>
          <w:tab/>
        </w:r>
        <w:r w:rsidR="009275AF" w:rsidRPr="009275AF">
          <w:rPr>
            <w:rFonts w:ascii="Garamond" w:hAnsi="Garamond"/>
            <w:noProof/>
            <w:webHidden/>
            <w:sz w:val="22"/>
            <w:szCs w:val="22"/>
          </w:rPr>
          <w:fldChar w:fldCharType="begin"/>
        </w:r>
        <w:r w:rsidR="009275AF" w:rsidRPr="009275AF">
          <w:rPr>
            <w:rFonts w:ascii="Garamond" w:hAnsi="Garamond"/>
            <w:noProof/>
            <w:webHidden/>
            <w:sz w:val="22"/>
            <w:szCs w:val="22"/>
          </w:rPr>
          <w:instrText xml:space="preserve"> PAGEREF _Toc173323641 \h </w:instrText>
        </w:r>
        <w:r w:rsidR="009275AF" w:rsidRPr="009275AF">
          <w:rPr>
            <w:rFonts w:ascii="Garamond" w:hAnsi="Garamond"/>
            <w:noProof/>
            <w:webHidden/>
            <w:sz w:val="22"/>
            <w:szCs w:val="22"/>
          </w:rPr>
        </w:r>
        <w:r w:rsidR="009275AF" w:rsidRPr="009275AF">
          <w:rPr>
            <w:rFonts w:ascii="Garamond" w:hAnsi="Garamond"/>
            <w:noProof/>
            <w:webHidden/>
            <w:sz w:val="22"/>
            <w:szCs w:val="22"/>
          </w:rPr>
          <w:fldChar w:fldCharType="separate"/>
        </w:r>
        <w:r w:rsidR="00A12764">
          <w:rPr>
            <w:rFonts w:ascii="Garamond" w:hAnsi="Garamond"/>
            <w:noProof/>
            <w:webHidden/>
            <w:sz w:val="22"/>
            <w:szCs w:val="22"/>
          </w:rPr>
          <w:t>4</w:t>
        </w:r>
        <w:r w:rsidR="009275AF" w:rsidRPr="009275AF">
          <w:rPr>
            <w:rFonts w:ascii="Garamond" w:hAnsi="Garamond"/>
            <w:noProof/>
            <w:webHidden/>
            <w:sz w:val="22"/>
            <w:szCs w:val="22"/>
          </w:rPr>
          <w:fldChar w:fldCharType="end"/>
        </w:r>
      </w:hyperlink>
    </w:p>
    <w:p w14:paraId="1946B9A7" w14:textId="7FE5D82F" w:rsidR="009275AF" w:rsidRPr="009275AF" w:rsidRDefault="00000000">
      <w:pPr>
        <w:pStyle w:val="TOC2"/>
        <w:tabs>
          <w:tab w:val="left" w:pos="720"/>
          <w:tab w:val="right" w:leader="dot" w:pos="9350"/>
        </w:tabs>
        <w:rPr>
          <w:rFonts w:ascii="Garamond" w:eastAsiaTheme="minorEastAsia" w:hAnsi="Garamond" w:cstheme="minorBidi"/>
          <w:noProof/>
          <w:kern w:val="2"/>
          <w:sz w:val="22"/>
          <w:szCs w:val="22"/>
          <w14:ligatures w14:val="standardContextual"/>
        </w:rPr>
      </w:pPr>
      <w:hyperlink w:anchor="_Toc173323642" w:history="1">
        <w:r w:rsidR="009275AF" w:rsidRPr="009275AF">
          <w:rPr>
            <w:rStyle w:val="Hyperlink"/>
            <w:rFonts w:ascii="Garamond" w:hAnsi="Garamond"/>
            <w:noProof/>
            <w:sz w:val="22"/>
            <w:szCs w:val="22"/>
          </w:rPr>
          <w:t>I.</w:t>
        </w:r>
        <w:r w:rsidR="009275AF" w:rsidRPr="009275AF">
          <w:rPr>
            <w:rFonts w:ascii="Garamond" w:eastAsiaTheme="minorEastAsia" w:hAnsi="Garamond" w:cstheme="minorBidi"/>
            <w:noProof/>
            <w:kern w:val="2"/>
            <w:sz w:val="22"/>
            <w:szCs w:val="22"/>
            <w14:ligatures w14:val="standardContextual"/>
          </w:rPr>
          <w:tab/>
        </w:r>
        <w:r w:rsidR="009275AF" w:rsidRPr="009275AF">
          <w:rPr>
            <w:rStyle w:val="Hyperlink"/>
            <w:rFonts w:ascii="Garamond" w:hAnsi="Garamond"/>
            <w:noProof/>
            <w:sz w:val="22"/>
            <w:szCs w:val="22"/>
          </w:rPr>
          <w:t>While Malawi claims progress in sexual and reproductive health, it does not provide data to substantiate its claim</w:t>
        </w:r>
        <w:r w:rsidR="009275AF" w:rsidRPr="009275AF">
          <w:rPr>
            <w:rFonts w:ascii="Garamond" w:hAnsi="Garamond"/>
            <w:noProof/>
            <w:webHidden/>
            <w:sz w:val="22"/>
            <w:szCs w:val="22"/>
          </w:rPr>
          <w:tab/>
        </w:r>
        <w:r w:rsidR="009275AF" w:rsidRPr="009275AF">
          <w:rPr>
            <w:rFonts w:ascii="Garamond" w:hAnsi="Garamond"/>
            <w:noProof/>
            <w:webHidden/>
            <w:sz w:val="22"/>
            <w:szCs w:val="22"/>
          </w:rPr>
          <w:fldChar w:fldCharType="begin"/>
        </w:r>
        <w:r w:rsidR="009275AF" w:rsidRPr="009275AF">
          <w:rPr>
            <w:rFonts w:ascii="Garamond" w:hAnsi="Garamond"/>
            <w:noProof/>
            <w:webHidden/>
            <w:sz w:val="22"/>
            <w:szCs w:val="22"/>
          </w:rPr>
          <w:instrText xml:space="preserve"> PAGEREF _Toc173323642 \h </w:instrText>
        </w:r>
        <w:r w:rsidR="009275AF" w:rsidRPr="009275AF">
          <w:rPr>
            <w:rFonts w:ascii="Garamond" w:hAnsi="Garamond"/>
            <w:noProof/>
            <w:webHidden/>
            <w:sz w:val="22"/>
            <w:szCs w:val="22"/>
          </w:rPr>
        </w:r>
        <w:r w:rsidR="009275AF" w:rsidRPr="009275AF">
          <w:rPr>
            <w:rFonts w:ascii="Garamond" w:hAnsi="Garamond"/>
            <w:noProof/>
            <w:webHidden/>
            <w:sz w:val="22"/>
            <w:szCs w:val="22"/>
          </w:rPr>
          <w:fldChar w:fldCharType="separate"/>
        </w:r>
        <w:r w:rsidR="00A12764">
          <w:rPr>
            <w:rFonts w:ascii="Garamond" w:hAnsi="Garamond"/>
            <w:noProof/>
            <w:webHidden/>
            <w:sz w:val="22"/>
            <w:szCs w:val="22"/>
          </w:rPr>
          <w:t>4</w:t>
        </w:r>
        <w:r w:rsidR="009275AF" w:rsidRPr="009275AF">
          <w:rPr>
            <w:rFonts w:ascii="Garamond" w:hAnsi="Garamond"/>
            <w:noProof/>
            <w:webHidden/>
            <w:sz w:val="22"/>
            <w:szCs w:val="22"/>
          </w:rPr>
          <w:fldChar w:fldCharType="end"/>
        </w:r>
      </w:hyperlink>
    </w:p>
    <w:p w14:paraId="494D009A" w14:textId="0E1EDAF6" w:rsidR="009275AF" w:rsidRPr="009275AF" w:rsidRDefault="00000000">
      <w:pPr>
        <w:pStyle w:val="TOC2"/>
        <w:tabs>
          <w:tab w:val="left" w:pos="720"/>
          <w:tab w:val="right" w:leader="dot" w:pos="9350"/>
        </w:tabs>
        <w:rPr>
          <w:rFonts w:ascii="Garamond" w:eastAsiaTheme="minorEastAsia" w:hAnsi="Garamond" w:cstheme="minorBidi"/>
          <w:noProof/>
          <w:kern w:val="2"/>
          <w:sz w:val="22"/>
          <w:szCs w:val="22"/>
          <w14:ligatures w14:val="standardContextual"/>
        </w:rPr>
      </w:pPr>
      <w:hyperlink w:anchor="_Toc173323643" w:history="1">
        <w:r w:rsidR="009275AF" w:rsidRPr="009275AF">
          <w:rPr>
            <w:rStyle w:val="Hyperlink"/>
            <w:rFonts w:ascii="Garamond" w:hAnsi="Garamond"/>
            <w:noProof/>
            <w:sz w:val="22"/>
            <w:szCs w:val="22"/>
          </w:rPr>
          <w:t>II.</w:t>
        </w:r>
        <w:r w:rsidR="009275AF" w:rsidRPr="009275AF">
          <w:rPr>
            <w:rFonts w:ascii="Garamond" w:eastAsiaTheme="minorEastAsia" w:hAnsi="Garamond" w:cstheme="minorBidi"/>
            <w:noProof/>
            <w:kern w:val="2"/>
            <w:sz w:val="22"/>
            <w:szCs w:val="22"/>
            <w14:ligatures w14:val="standardContextual"/>
          </w:rPr>
          <w:tab/>
        </w:r>
        <w:r w:rsidR="009275AF" w:rsidRPr="009275AF">
          <w:rPr>
            <w:rStyle w:val="Hyperlink"/>
            <w:rFonts w:ascii="Garamond" w:hAnsi="Garamond"/>
            <w:noProof/>
            <w:sz w:val="22"/>
            <w:szCs w:val="22"/>
          </w:rPr>
          <w:t>Abortion in Malawi remains a crime</w:t>
        </w:r>
        <w:r w:rsidR="009275AF" w:rsidRPr="009275AF">
          <w:rPr>
            <w:rFonts w:ascii="Garamond" w:hAnsi="Garamond"/>
            <w:noProof/>
            <w:webHidden/>
            <w:sz w:val="22"/>
            <w:szCs w:val="22"/>
          </w:rPr>
          <w:tab/>
        </w:r>
        <w:r w:rsidR="009275AF" w:rsidRPr="009275AF">
          <w:rPr>
            <w:rFonts w:ascii="Garamond" w:hAnsi="Garamond"/>
            <w:noProof/>
            <w:webHidden/>
            <w:sz w:val="22"/>
            <w:szCs w:val="22"/>
          </w:rPr>
          <w:fldChar w:fldCharType="begin"/>
        </w:r>
        <w:r w:rsidR="009275AF" w:rsidRPr="009275AF">
          <w:rPr>
            <w:rFonts w:ascii="Garamond" w:hAnsi="Garamond"/>
            <w:noProof/>
            <w:webHidden/>
            <w:sz w:val="22"/>
            <w:szCs w:val="22"/>
          </w:rPr>
          <w:instrText xml:space="preserve"> PAGEREF _Toc173323643 \h </w:instrText>
        </w:r>
        <w:r w:rsidR="009275AF" w:rsidRPr="009275AF">
          <w:rPr>
            <w:rFonts w:ascii="Garamond" w:hAnsi="Garamond"/>
            <w:noProof/>
            <w:webHidden/>
            <w:sz w:val="22"/>
            <w:szCs w:val="22"/>
          </w:rPr>
        </w:r>
        <w:r w:rsidR="009275AF" w:rsidRPr="009275AF">
          <w:rPr>
            <w:rFonts w:ascii="Garamond" w:hAnsi="Garamond"/>
            <w:noProof/>
            <w:webHidden/>
            <w:sz w:val="22"/>
            <w:szCs w:val="22"/>
          </w:rPr>
          <w:fldChar w:fldCharType="separate"/>
        </w:r>
        <w:r w:rsidR="00A12764">
          <w:rPr>
            <w:rFonts w:ascii="Garamond" w:hAnsi="Garamond"/>
            <w:noProof/>
            <w:webHidden/>
            <w:sz w:val="22"/>
            <w:szCs w:val="22"/>
          </w:rPr>
          <w:t>5</w:t>
        </w:r>
        <w:r w:rsidR="009275AF" w:rsidRPr="009275AF">
          <w:rPr>
            <w:rFonts w:ascii="Garamond" w:hAnsi="Garamond"/>
            <w:noProof/>
            <w:webHidden/>
            <w:sz w:val="22"/>
            <w:szCs w:val="22"/>
          </w:rPr>
          <w:fldChar w:fldCharType="end"/>
        </w:r>
      </w:hyperlink>
    </w:p>
    <w:p w14:paraId="2A1CF1FB" w14:textId="63FE1388" w:rsidR="009275AF" w:rsidRPr="009275AF" w:rsidRDefault="00000000">
      <w:pPr>
        <w:pStyle w:val="TOC2"/>
        <w:tabs>
          <w:tab w:val="left" w:pos="960"/>
          <w:tab w:val="right" w:leader="dot" w:pos="9350"/>
        </w:tabs>
        <w:rPr>
          <w:rFonts w:ascii="Garamond" w:eastAsiaTheme="minorEastAsia" w:hAnsi="Garamond" w:cstheme="minorBidi"/>
          <w:noProof/>
          <w:kern w:val="2"/>
          <w:sz w:val="22"/>
          <w:szCs w:val="22"/>
          <w14:ligatures w14:val="standardContextual"/>
        </w:rPr>
      </w:pPr>
      <w:hyperlink w:anchor="_Toc173323644" w:history="1">
        <w:r w:rsidR="009275AF" w:rsidRPr="009275AF">
          <w:rPr>
            <w:rStyle w:val="Hyperlink"/>
            <w:rFonts w:ascii="Garamond" w:hAnsi="Garamond"/>
            <w:noProof/>
            <w:sz w:val="22"/>
            <w:szCs w:val="22"/>
          </w:rPr>
          <w:t>III.</w:t>
        </w:r>
        <w:r w:rsidR="009275AF" w:rsidRPr="009275AF">
          <w:rPr>
            <w:rFonts w:ascii="Garamond" w:eastAsiaTheme="minorEastAsia" w:hAnsi="Garamond" w:cstheme="minorBidi"/>
            <w:noProof/>
            <w:kern w:val="2"/>
            <w:sz w:val="22"/>
            <w:szCs w:val="22"/>
            <w14:ligatures w14:val="standardContextual"/>
          </w:rPr>
          <w:tab/>
        </w:r>
        <w:r w:rsidR="009275AF" w:rsidRPr="009275AF">
          <w:rPr>
            <w:rStyle w:val="Hyperlink"/>
            <w:rFonts w:ascii="Garamond" w:hAnsi="Garamond"/>
            <w:noProof/>
            <w:sz w:val="22"/>
            <w:szCs w:val="22"/>
          </w:rPr>
          <w:t>The circumstances in which abortion is not a crime remain excessively narrow and ill-defined.</w:t>
        </w:r>
        <w:r w:rsidR="009275AF" w:rsidRPr="009275AF">
          <w:rPr>
            <w:rFonts w:ascii="Garamond" w:hAnsi="Garamond"/>
            <w:noProof/>
            <w:webHidden/>
            <w:sz w:val="22"/>
            <w:szCs w:val="22"/>
          </w:rPr>
          <w:tab/>
        </w:r>
        <w:r w:rsidR="009275AF" w:rsidRPr="009275AF">
          <w:rPr>
            <w:rFonts w:ascii="Garamond" w:hAnsi="Garamond"/>
            <w:noProof/>
            <w:webHidden/>
            <w:sz w:val="22"/>
            <w:szCs w:val="22"/>
          </w:rPr>
          <w:fldChar w:fldCharType="begin"/>
        </w:r>
        <w:r w:rsidR="009275AF" w:rsidRPr="009275AF">
          <w:rPr>
            <w:rFonts w:ascii="Garamond" w:hAnsi="Garamond"/>
            <w:noProof/>
            <w:webHidden/>
            <w:sz w:val="22"/>
            <w:szCs w:val="22"/>
          </w:rPr>
          <w:instrText xml:space="preserve"> PAGEREF _Toc173323644 \h </w:instrText>
        </w:r>
        <w:r w:rsidR="009275AF" w:rsidRPr="009275AF">
          <w:rPr>
            <w:rFonts w:ascii="Garamond" w:hAnsi="Garamond"/>
            <w:noProof/>
            <w:webHidden/>
            <w:sz w:val="22"/>
            <w:szCs w:val="22"/>
          </w:rPr>
        </w:r>
        <w:r w:rsidR="009275AF" w:rsidRPr="009275AF">
          <w:rPr>
            <w:rFonts w:ascii="Garamond" w:hAnsi="Garamond"/>
            <w:noProof/>
            <w:webHidden/>
            <w:sz w:val="22"/>
            <w:szCs w:val="22"/>
          </w:rPr>
          <w:fldChar w:fldCharType="separate"/>
        </w:r>
        <w:r w:rsidR="00A12764">
          <w:rPr>
            <w:rFonts w:ascii="Garamond" w:hAnsi="Garamond"/>
            <w:noProof/>
            <w:webHidden/>
            <w:sz w:val="22"/>
            <w:szCs w:val="22"/>
          </w:rPr>
          <w:t>9</w:t>
        </w:r>
        <w:r w:rsidR="009275AF" w:rsidRPr="009275AF">
          <w:rPr>
            <w:rFonts w:ascii="Garamond" w:hAnsi="Garamond"/>
            <w:noProof/>
            <w:webHidden/>
            <w:sz w:val="22"/>
            <w:szCs w:val="22"/>
          </w:rPr>
          <w:fldChar w:fldCharType="end"/>
        </w:r>
      </w:hyperlink>
    </w:p>
    <w:p w14:paraId="337C0273" w14:textId="0124E083" w:rsidR="009275AF" w:rsidRPr="009275AF" w:rsidRDefault="00000000">
      <w:pPr>
        <w:pStyle w:val="TOC2"/>
        <w:tabs>
          <w:tab w:val="left" w:pos="960"/>
          <w:tab w:val="right" w:leader="dot" w:pos="9350"/>
        </w:tabs>
        <w:rPr>
          <w:rFonts w:ascii="Garamond" w:eastAsiaTheme="minorEastAsia" w:hAnsi="Garamond" w:cstheme="minorBidi"/>
          <w:noProof/>
          <w:kern w:val="2"/>
          <w:sz w:val="22"/>
          <w:szCs w:val="22"/>
          <w14:ligatures w14:val="standardContextual"/>
        </w:rPr>
      </w:pPr>
      <w:hyperlink w:anchor="_Toc173323645" w:history="1">
        <w:r w:rsidR="009275AF" w:rsidRPr="009275AF">
          <w:rPr>
            <w:rStyle w:val="Hyperlink"/>
            <w:rFonts w:ascii="Garamond" w:hAnsi="Garamond"/>
            <w:noProof/>
            <w:sz w:val="22"/>
            <w:szCs w:val="22"/>
          </w:rPr>
          <w:t>IV.</w:t>
        </w:r>
        <w:r w:rsidR="009275AF" w:rsidRPr="009275AF">
          <w:rPr>
            <w:rFonts w:ascii="Garamond" w:eastAsiaTheme="minorEastAsia" w:hAnsi="Garamond" w:cstheme="minorBidi"/>
            <w:noProof/>
            <w:kern w:val="2"/>
            <w:sz w:val="22"/>
            <w:szCs w:val="22"/>
            <w14:ligatures w14:val="standardContextual"/>
          </w:rPr>
          <w:tab/>
        </w:r>
        <w:r w:rsidR="009275AF" w:rsidRPr="009275AF">
          <w:rPr>
            <w:rStyle w:val="Hyperlink"/>
            <w:rFonts w:ascii="Garamond" w:hAnsi="Garamond"/>
            <w:noProof/>
            <w:sz w:val="22"/>
            <w:szCs w:val="22"/>
          </w:rPr>
          <w:t>The 2021 High Court Ruling is a step forward but not sufficient.</w:t>
        </w:r>
        <w:r w:rsidR="009275AF" w:rsidRPr="009275AF">
          <w:rPr>
            <w:rFonts w:ascii="Garamond" w:hAnsi="Garamond"/>
            <w:noProof/>
            <w:webHidden/>
            <w:sz w:val="22"/>
            <w:szCs w:val="22"/>
          </w:rPr>
          <w:tab/>
        </w:r>
        <w:r w:rsidR="009275AF" w:rsidRPr="009275AF">
          <w:rPr>
            <w:rFonts w:ascii="Garamond" w:hAnsi="Garamond"/>
            <w:noProof/>
            <w:webHidden/>
            <w:sz w:val="22"/>
            <w:szCs w:val="22"/>
          </w:rPr>
          <w:fldChar w:fldCharType="begin"/>
        </w:r>
        <w:r w:rsidR="009275AF" w:rsidRPr="009275AF">
          <w:rPr>
            <w:rFonts w:ascii="Garamond" w:hAnsi="Garamond"/>
            <w:noProof/>
            <w:webHidden/>
            <w:sz w:val="22"/>
            <w:szCs w:val="22"/>
          </w:rPr>
          <w:instrText xml:space="preserve"> PAGEREF _Toc173323645 \h </w:instrText>
        </w:r>
        <w:r w:rsidR="009275AF" w:rsidRPr="009275AF">
          <w:rPr>
            <w:rFonts w:ascii="Garamond" w:hAnsi="Garamond"/>
            <w:noProof/>
            <w:webHidden/>
            <w:sz w:val="22"/>
            <w:szCs w:val="22"/>
          </w:rPr>
        </w:r>
        <w:r w:rsidR="009275AF" w:rsidRPr="009275AF">
          <w:rPr>
            <w:rFonts w:ascii="Garamond" w:hAnsi="Garamond"/>
            <w:noProof/>
            <w:webHidden/>
            <w:sz w:val="22"/>
            <w:szCs w:val="22"/>
          </w:rPr>
          <w:fldChar w:fldCharType="separate"/>
        </w:r>
        <w:r w:rsidR="00A12764">
          <w:rPr>
            <w:rFonts w:ascii="Garamond" w:hAnsi="Garamond"/>
            <w:noProof/>
            <w:webHidden/>
            <w:sz w:val="22"/>
            <w:szCs w:val="22"/>
          </w:rPr>
          <w:t>10</w:t>
        </w:r>
        <w:r w:rsidR="009275AF" w:rsidRPr="009275AF">
          <w:rPr>
            <w:rFonts w:ascii="Garamond" w:hAnsi="Garamond"/>
            <w:noProof/>
            <w:webHidden/>
            <w:sz w:val="22"/>
            <w:szCs w:val="22"/>
          </w:rPr>
          <w:fldChar w:fldCharType="end"/>
        </w:r>
      </w:hyperlink>
    </w:p>
    <w:p w14:paraId="3776CE91" w14:textId="410277B1" w:rsidR="009275AF" w:rsidRPr="009275AF" w:rsidRDefault="00000000">
      <w:pPr>
        <w:pStyle w:val="TOC1"/>
        <w:tabs>
          <w:tab w:val="right" w:leader="dot" w:pos="9350"/>
        </w:tabs>
        <w:rPr>
          <w:rFonts w:ascii="Garamond" w:eastAsiaTheme="minorEastAsia" w:hAnsi="Garamond" w:cstheme="minorBidi"/>
          <w:noProof/>
          <w:kern w:val="2"/>
          <w:sz w:val="22"/>
          <w:szCs w:val="22"/>
          <w14:ligatures w14:val="standardContextual"/>
        </w:rPr>
      </w:pPr>
      <w:hyperlink w:anchor="_Toc173323646" w:history="1">
        <w:r w:rsidR="009275AF" w:rsidRPr="009275AF">
          <w:rPr>
            <w:rStyle w:val="Hyperlink"/>
            <w:rFonts w:ascii="Garamond" w:hAnsi="Garamond"/>
            <w:noProof/>
            <w:sz w:val="22"/>
            <w:szCs w:val="22"/>
          </w:rPr>
          <w:t>RECOMMENDATIONS</w:t>
        </w:r>
        <w:r w:rsidR="009275AF" w:rsidRPr="009275AF">
          <w:rPr>
            <w:rFonts w:ascii="Garamond" w:hAnsi="Garamond"/>
            <w:noProof/>
            <w:webHidden/>
            <w:sz w:val="22"/>
            <w:szCs w:val="22"/>
          </w:rPr>
          <w:tab/>
        </w:r>
        <w:r w:rsidR="009275AF" w:rsidRPr="009275AF">
          <w:rPr>
            <w:rFonts w:ascii="Garamond" w:hAnsi="Garamond"/>
            <w:noProof/>
            <w:webHidden/>
            <w:sz w:val="22"/>
            <w:szCs w:val="22"/>
          </w:rPr>
          <w:fldChar w:fldCharType="begin"/>
        </w:r>
        <w:r w:rsidR="009275AF" w:rsidRPr="009275AF">
          <w:rPr>
            <w:rFonts w:ascii="Garamond" w:hAnsi="Garamond"/>
            <w:noProof/>
            <w:webHidden/>
            <w:sz w:val="22"/>
            <w:szCs w:val="22"/>
          </w:rPr>
          <w:instrText xml:space="preserve"> PAGEREF _Toc173323646 \h </w:instrText>
        </w:r>
        <w:r w:rsidR="009275AF" w:rsidRPr="009275AF">
          <w:rPr>
            <w:rFonts w:ascii="Garamond" w:hAnsi="Garamond"/>
            <w:noProof/>
            <w:webHidden/>
            <w:sz w:val="22"/>
            <w:szCs w:val="22"/>
          </w:rPr>
        </w:r>
        <w:r w:rsidR="009275AF" w:rsidRPr="009275AF">
          <w:rPr>
            <w:rFonts w:ascii="Garamond" w:hAnsi="Garamond"/>
            <w:noProof/>
            <w:webHidden/>
            <w:sz w:val="22"/>
            <w:szCs w:val="22"/>
          </w:rPr>
          <w:fldChar w:fldCharType="separate"/>
        </w:r>
        <w:r w:rsidR="00A12764">
          <w:rPr>
            <w:rFonts w:ascii="Garamond" w:hAnsi="Garamond"/>
            <w:noProof/>
            <w:webHidden/>
            <w:sz w:val="22"/>
            <w:szCs w:val="22"/>
          </w:rPr>
          <w:t>12</w:t>
        </w:r>
        <w:r w:rsidR="009275AF" w:rsidRPr="009275AF">
          <w:rPr>
            <w:rFonts w:ascii="Garamond" w:hAnsi="Garamond"/>
            <w:noProof/>
            <w:webHidden/>
            <w:sz w:val="22"/>
            <w:szCs w:val="22"/>
          </w:rPr>
          <w:fldChar w:fldCharType="end"/>
        </w:r>
      </w:hyperlink>
    </w:p>
    <w:p w14:paraId="68E1C476" w14:textId="22380E83" w:rsidR="00F76F85" w:rsidRPr="008A6DDE" w:rsidRDefault="00C9095C" w:rsidP="00310FBE">
      <w:pPr>
        <w:tabs>
          <w:tab w:val="right" w:leader="dot" w:pos="9270"/>
        </w:tabs>
        <w:rPr>
          <w:rFonts w:ascii="Garamond" w:hAnsi="Garamond"/>
          <w:sz w:val="22"/>
          <w:szCs w:val="22"/>
        </w:rPr>
      </w:pPr>
      <w:r w:rsidRPr="009275AF">
        <w:rPr>
          <w:rFonts w:ascii="Garamond" w:hAnsi="Garamond"/>
          <w:sz w:val="22"/>
          <w:szCs w:val="22"/>
        </w:rPr>
        <w:fldChar w:fldCharType="end"/>
      </w:r>
    </w:p>
    <w:p w14:paraId="692A2CDE" w14:textId="4FEE840D" w:rsidR="00B91414" w:rsidRPr="00003CF5" w:rsidRDefault="00B91414" w:rsidP="004617D4">
      <w:pPr>
        <w:pStyle w:val="Heading1"/>
      </w:pPr>
      <w:bookmarkStart w:id="0" w:name="_Toc173323639"/>
      <w:r w:rsidRPr="00003CF5">
        <w:t xml:space="preserve">PURPOSE OF THIS </w:t>
      </w:r>
      <w:r w:rsidR="006D50E2">
        <w:t>SUPPLEMENTAL</w:t>
      </w:r>
      <w:r w:rsidRPr="00003CF5">
        <w:t xml:space="preserve"> REPORT</w:t>
      </w:r>
      <w:bookmarkEnd w:id="0"/>
    </w:p>
    <w:p w14:paraId="120823C8" w14:textId="41E0DC29" w:rsidR="00B91414" w:rsidRPr="00C915E1" w:rsidRDefault="00C915E1" w:rsidP="00C915E1">
      <w:pPr>
        <w:pStyle w:val="NormalWeb"/>
        <w:widowControl w:val="0"/>
        <w:tabs>
          <w:tab w:val="right" w:leader="dot" w:pos="9270"/>
        </w:tabs>
        <w:spacing w:before="0" w:beforeAutospacing="0" w:after="0" w:afterAutospacing="0" w:line="360" w:lineRule="auto"/>
        <w:ind w:left="-360" w:right="-274" w:firstLine="547"/>
        <w:jc w:val="both"/>
        <w:rPr>
          <w:rFonts w:ascii="Garamond" w:hAnsi="Garamond"/>
          <w:sz w:val="22"/>
          <w:szCs w:val="22"/>
        </w:rPr>
      </w:pPr>
      <w:r>
        <w:rPr>
          <w:rFonts w:ascii="Garamond" w:hAnsi="Garamond"/>
          <w:sz w:val="22"/>
          <w:szCs w:val="22"/>
        </w:rPr>
        <w:t>(</w:t>
      </w:r>
      <w:r w:rsidR="00A069BA">
        <w:rPr>
          <w:rFonts w:ascii="Garamond" w:hAnsi="Garamond"/>
          <w:sz w:val="22"/>
          <w:szCs w:val="22"/>
        </w:rPr>
        <w:t>1</w:t>
      </w:r>
      <w:r>
        <w:rPr>
          <w:rFonts w:ascii="Garamond" w:hAnsi="Garamond"/>
          <w:sz w:val="22"/>
          <w:szCs w:val="22"/>
        </w:rPr>
        <w:t xml:space="preserve">) </w:t>
      </w:r>
      <w:r w:rsidR="00B91414" w:rsidRPr="00003CF5">
        <w:rPr>
          <w:rFonts w:ascii="Garamond" w:hAnsi="Garamond"/>
          <w:sz w:val="22"/>
          <w:szCs w:val="22"/>
        </w:rPr>
        <w:t xml:space="preserve">The purpose of this </w:t>
      </w:r>
      <w:r w:rsidR="00D21467">
        <w:rPr>
          <w:rFonts w:ascii="Garamond" w:hAnsi="Garamond"/>
          <w:sz w:val="22"/>
          <w:szCs w:val="22"/>
        </w:rPr>
        <w:t>supplemental</w:t>
      </w:r>
      <w:r w:rsidR="00B91414" w:rsidRPr="00003CF5">
        <w:rPr>
          <w:rFonts w:ascii="Garamond" w:hAnsi="Garamond"/>
          <w:sz w:val="22"/>
          <w:szCs w:val="22"/>
        </w:rPr>
        <w:t xml:space="preserve"> report is to assist the Committee on Economic, Social and Cultural Rights (the Committee</w:t>
      </w:r>
      <w:r w:rsidR="001E1A81">
        <w:rPr>
          <w:rFonts w:ascii="Garamond" w:hAnsi="Garamond"/>
          <w:sz w:val="22"/>
          <w:szCs w:val="22"/>
        </w:rPr>
        <w:t xml:space="preserve">) </w:t>
      </w:r>
      <w:r w:rsidR="00B91414" w:rsidRPr="00003CF5">
        <w:rPr>
          <w:rFonts w:ascii="Garamond" w:hAnsi="Garamond"/>
          <w:sz w:val="22"/>
          <w:szCs w:val="22"/>
        </w:rPr>
        <w:t xml:space="preserve">in the </w:t>
      </w:r>
      <w:r w:rsidR="006D50E2">
        <w:rPr>
          <w:rFonts w:ascii="Garamond" w:hAnsi="Garamond"/>
          <w:sz w:val="22"/>
          <w:szCs w:val="22"/>
        </w:rPr>
        <w:t>consideration of state reports</w:t>
      </w:r>
      <w:r w:rsidR="00B91414" w:rsidRPr="00003CF5">
        <w:rPr>
          <w:rFonts w:ascii="Garamond" w:hAnsi="Garamond"/>
          <w:sz w:val="22"/>
          <w:szCs w:val="22"/>
        </w:rPr>
        <w:t xml:space="preserve"> during the </w:t>
      </w:r>
      <w:r w:rsidR="006D50E2">
        <w:rPr>
          <w:rFonts w:ascii="Garamond" w:hAnsi="Garamond"/>
          <w:sz w:val="22"/>
          <w:szCs w:val="22"/>
        </w:rPr>
        <w:t>76th</w:t>
      </w:r>
      <w:r w:rsidR="00B91414" w:rsidRPr="00003CF5">
        <w:rPr>
          <w:rFonts w:ascii="Garamond" w:hAnsi="Garamond"/>
          <w:sz w:val="22"/>
          <w:szCs w:val="22"/>
        </w:rPr>
        <w:t xml:space="preserve"> </w:t>
      </w:r>
      <w:r w:rsidR="006D50E2">
        <w:rPr>
          <w:rFonts w:ascii="Garamond" w:hAnsi="Garamond"/>
          <w:sz w:val="22"/>
          <w:szCs w:val="22"/>
        </w:rPr>
        <w:t>Session</w:t>
      </w:r>
      <w:r w:rsidR="00B91414" w:rsidRPr="00003CF5">
        <w:rPr>
          <w:rFonts w:ascii="Garamond" w:hAnsi="Garamond"/>
          <w:sz w:val="22"/>
          <w:szCs w:val="22"/>
        </w:rPr>
        <w:t xml:space="preserve"> (</w:t>
      </w:r>
      <w:r w:rsidR="006D50E2">
        <w:rPr>
          <w:rFonts w:ascii="Garamond" w:hAnsi="Garamond"/>
          <w:sz w:val="22"/>
          <w:szCs w:val="22"/>
        </w:rPr>
        <w:t>9-27</w:t>
      </w:r>
      <w:r w:rsidR="00B91414" w:rsidRPr="00003CF5">
        <w:rPr>
          <w:rFonts w:ascii="Garamond" w:hAnsi="Garamond"/>
          <w:sz w:val="22"/>
          <w:szCs w:val="22"/>
        </w:rPr>
        <w:t xml:space="preserve"> </w:t>
      </w:r>
      <w:r w:rsidR="006D50E2">
        <w:rPr>
          <w:rFonts w:ascii="Garamond" w:hAnsi="Garamond"/>
          <w:sz w:val="22"/>
          <w:szCs w:val="22"/>
        </w:rPr>
        <w:t>September</w:t>
      </w:r>
      <w:r w:rsidR="00B91414" w:rsidRPr="00003CF5">
        <w:rPr>
          <w:rFonts w:ascii="Garamond" w:hAnsi="Garamond"/>
          <w:sz w:val="22"/>
          <w:szCs w:val="22"/>
        </w:rPr>
        <w:t xml:space="preserve"> 202</w:t>
      </w:r>
      <w:r w:rsidR="006D50E2">
        <w:rPr>
          <w:rFonts w:ascii="Garamond" w:hAnsi="Garamond"/>
          <w:sz w:val="22"/>
          <w:szCs w:val="22"/>
        </w:rPr>
        <w:t>4</w:t>
      </w:r>
      <w:r w:rsidR="001E1A81">
        <w:rPr>
          <w:rFonts w:ascii="Garamond" w:hAnsi="Garamond"/>
          <w:sz w:val="22"/>
          <w:szCs w:val="22"/>
        </w:rPr>
        <w:t>)</w:t>
      </w:r>
      <w:r w:rsidR="00B91414" w:rsidRPr="00003CF5">
        <w:rPr>
          <w:rFonts w:ascii="Garamond" w:hAnsi="Garamond"/>
          <w:sz w:val="22"/>
          <w:szCs w:val="22"/>
        </w:rPr>
        <w:t xml:space="preserve">, leading to the discussion of the Government of Malawi’s </w:t>
      </w:r>
      <w:r w:rsidR="005F11AA">
        <w:rPr>
          <w:rFonts w:ascii="Garamond" w:hAnsi="Garamond"/>
          <w:sz w:val="22"/>
          <w:szCs w:val="22"/>
        </w:rPr>
        <w:t>initial report</w:t>
      </w:r>
      <w:r w:rsidR="00B91414" w:rsidRPr="00003CF5">
        <w:rPr>
          <w:rFonts w:ascii="Garamond" w:hAnsi="Garamond"/>
          <w:sz w:val="22"/>
          <w:szCs w:val="22"/>
        </w:rPr>
        <w:t xml:space="preserve"> on t</w:t>
      </w:r>
      <w:r>
        <w:rPr>
          <w:rFonts w:ascii="Garamond" w:hAnsi="Garamond"/>
          <w:sz w:val="22"/>
          <w:szCs w:val="22"/>
        </w:rPr>
        <w:t>h</w:t>
      </w:r>
      <w:r w:rsidR="00B91414" w:rsidRPr="00C915E1">
        <w:rPr>
          <w:rFonts w:ascii="Garamond" w:hAnsi="Garamond"/>
          <w:sz w:val="22"/>
          <w:szCs w:val="22"/>
        </w:rPr>
        <w:t>e implementation of the Covenant on Economic, Social and Cultural Rights (“CESCR” or “Covenant”</w:t>
      </w:r>
      <w:r w:rsidR="001E1A81" w:rsidRPr="00C915E1">
        <w:rPr>
          <w:rFonts w:ascii="Garamond" w:hAnsi="Garamond"/>
          <w:sz w:val="22"/>
          <w:szCs w:val="22"/>
        </w:rPr>
        <w:t>)</w:t>
      </w:r>
      <w:r w:rsidR="00B91414" w:rsidRPr="00C915E1">
        <w:rPr>
          <w:rFonts w:ascii="Garamond" w:hAnsi="Garamond"/>
          <w:sz w:val="22"/>
          <w:szCs w:val="22"/>
        </w:rPr>
        <w:t>. Malawi acceded to the Covenant on 22 December 1993</w:t>
      </w:r>
      <w:r w:rsidR="00B91414" w:rsidRPr="00C915E1">
        <w:rPr>
          <w:rFonts w:ascii="Garamond" w:hAnsi="Garamond"/>
          <w:sz w:val="22"/>
          <w:szCs w:val="22"/>
          <w:highlight w:val="white"/>
        </w:rPr>
        <w:t>.</w:t>
      </w:r>
      <w:r w:rsidR="00B91414" w:rsidRPr="00003CF5">
        <w:rPr>
          <w:rStyle w:val="FootnoteReference"/>
          <w:rFonts w:ascii="Garamond" w:hAnsi="Garamond"/>
          <w:sz w:val="22"/>
          <w:szCs w:val="22"/>
          <w:highlight w:val="white"/>
        </w:rPr>
        <w:footnoteReference w:id="1"/>
      </w:r>
    </w:p>
    <w:p w14:paraId="1A88B3A6" w14:textId="1FD0A199" w:rsidR="00225A8E" w:rsidRDefault="00B91414" w:rsidP="00C915E1">
      <w:pPr>
        <w:pStyle w:val="NormalWeb"/>
        <w:widowControl w:val="0"/>
        <w:tabs>
          <w:tab w:val="right" w:leader="dot" w:pos="9270"/>
        </w:tabs>
        <w:spacing w:before="0" w:beforeAutospacing="0" w:after="0" w:afterAutospacing="0" w:line="360" w:lineRule="auto"/>
        <w:ind w:left="-360" w:right="-274" w:firstLine="547"/>
        <w:jc w:val="both"/>
        <w:rPr>
          <w:rFonts w:ascii="Garamond" w:hAnsi="Garamond"/>
          <w:sz w:val="22"/>
          <w:szCs w:val="22"/>
        </w:rPr>
      </w:pPr>
      <w:r w:rsidRPr="00003CF5">
        <w:rPr>
          <w:rFonts w:ascii="Garamond" w:hAnsi="Garamond"/>
          <w:sz w:val="22"/>
          <w:szCs w:val="22"/>
        </w:rPr>
        <w:t>(</w:t>
      </w:r>
      <w:r w:rsidR="00A069BA">
        <w:rPr>
          <w:rFonts w:ascii="Garamond" w:hAnsi="Garamond"/>
          <w:sz w:val="22"/>
          <w:szCs w:val="22"/>
        </w:rPr>
        <w:t>2</w:t>
      </w:r>
      <w:r w:rsidR="001E1A81">
        <w:rPr>
          <w:rFonts w:ascii="Garamond" w:hAnsi="Garamond"/>
          <w:sz w:val="22"/>
          <w:szCs w:val="22"/>
        </w:rPr>
        <w:t xml:space="preserve">) </w:t>
      </w:r>
      <w:r w:rsidRPr="00003CF5">
        <w:rPr>
          <w:rFonts w:ascii="Garamond" w:hAnsi="Garamond"/>
          <w:sz w:val="22"/>
          <w:szCs w:val="22"/>
        </w:rPr>
        <w:tab/>
        <w:t>This report focuses on access to abortion care in Malawi, which come under the purview of the Covenant (Articles 3, 10, 12 and 15</w:t>
      </w:r>
      <w:r w:rsidR="001E1A81">
        <w:rPr>
          <w:rFonts w:ascii="Garamond" w:hAnsi="Garamond"/>
          <w:sz w:val="22"/>
          <w:szCs w:val="22"/>
        </w:rPr>
        <w:t>)</w:t>
      </w:r>
      <w:r w:rsidR="00BD6D94">
        <w:rPr>
          <w:rFonts w:ascii="Garamond" w:hAnsi="Garamond"/>
          <w:sz w:val="22"/>
          <w:szCs w:val="22"/>
        </w:rPr>
        <w:t>,</w:t>
      </w:r>
      <w:r w:rsidR="00225A8E">
        <w:rPr>
          <w:rFonts w:ascii="Garamond" w:hAnsi="Garamond"/>
          <w:sz w:val="22"/>
          <w:szCs w:val="22"/>
        </w:rPr>
        <w:t xml:space="preserve"> and address</w:t>
      </w:r>
      <w:r w:rsidR="00BD6D94">
        <w:rPr>
          <w:rFonts w:ascii="Garamond" w:hAnsi="Garamond"/>
          <w:sz w:val="22"/>
          <w:szCs w:val="22"/>
        </w:rPr>
        <w:t>es</w:t>
      </w:r>
      <w:r w:rsidR="00225A8E">
        <w:rPr>
          <w:rFonts w:ascii="Garamond" w:hAnsi="Garamond"/>
          <w:sz w:val="22"/>
          <w:szCs w:val="22"/>
        </w:rPr>
        <w:t xml:space="preserve"> the government of Malawi’s Replies to the List of Issues in relation to its initial </w:t>
      </w:r>
      <w:r w:rsidR="00225A8E" w:rsidRPr="00BD6D94">
        <w:rPr>
          <w:rFonts w:ascii="Garamond" w:hAnsi="Garamond"/>
          <w:sz w:val="22"/>
          <w:szCs w:val="22"/>
        </w:rPr>
        <w:t>report</w:t>
      </w:r>
      <w:r w:rsidR="00BD6D94" w:rsidRPr="00BD6D94">
        <w:rPr>
          <w:rFonts w:ascii="Garamond" w:hAnsi="Garamond"/>
          <w:sz w:val="22"/>
          <w:szCs w:val="22"/>
        </w:rPr>
        <w:t xml:space="preserve"> of </w:t>
      </w:r>
      <w:r w:rsidR="00BD6D94" w:rsidRPr="004617D4">
        <w:rPr>
          <w:rFonts w:ascii="Garamond" w:hAnsi="Garamond"/>
          <w:sz w:val="22"/>
          <w:szCs w:val="22"/>
        </w:rPr>
        <w:t>5 April 2024</w:t>
      </w:r>
      <w:r w:rsidR="00225A8E">
        <w:rPr>
          <w:rFonts w:ascii="Garamond" w:hAnsi="Garamond"/>
          <w:sz w:val="22"/>
          <w:szCs w:val="22"/>
        </w:rPr>
        <w:t>.</w:t>
      </w:r>
      <w:r w:rsidR="00225A8E">
        <w:rPr>
          <w:rStyle w:val="FootnoteReference"/>
          <w:rFonts w:ascii="Garamond" w:hAnsi="Garamond"/>
          <w:sz w:val="22"/>
          <w:szCs w:val="22"/>
        </w:rPr>
        <w:footnoteReference w:id="2"/>
      </w:r>
    </w:p>
    <w:p w14:paraId="651A93EE" w14:textId="61193C8D" w:rsidR="008506E4" w:rsidRDefault="008506E4" w:rsidP="008506E4">
      <w:pPr>
        <w:widowControl w:val="0"/>
        <w:tabs>
          <w:tab w:val="right" w:leader="dot" w:pos="9270"/>
        </w:tabs>
        <w:spacing w:line="360" w:lineRule="auto"/>
        <w:ind w:left="-360" w:right="-270" w:firstLine="540"/>
        <w:jc w:val="both"/>
        <w:rPr>
          <w:rFonts w:ascii="Garamond" w:hAnsi="Garamond"/>
          <w:sz w:val="22"/>
          <w:szCs w:val="22"/>
          <w:highlight w:val="white"/>
        </w:rPr>
      </w:pPr>
      <w:r w:rsidRPr="00003CF5">
        <w:rPr>
          <w:rFonts w:ascii="Garamond" w:hAnsi="Garamond"/>
          <w:sz w:val="22"/>
          <w:szCs w:val="22"/>
          <w:highlight w:val="white"/>
        </w:rPr>
        <w:t>(</w:t>
      </w:r>
      <w:r w:rsidR="00A069BA">
        <w:rPr>
          <w:rFonts w:ascii="Garamond" w:hAnsi="Garamond"/>
          <w:sz w:val="22"/>
          <w:szCs w:val="22"/>
          <w:highlight w:val="white"/>
        </w:rPr>
        <w:t>3</w:t>
      </w:r>
      <w:r>
        <w:rPr>
          <w:rFonts w:ascii="Garamond" w:hAnsi="Garamond"/>
          <w:sz w:val="22"/>
          <w:szCs w:val="22"/>
          <w:highlight w:val="white"/>
        </w:rPr>
        <w:t xml:space="preserve">) </w:t>
      </w:r>
      <w:r w:rsidRPr="00003CF5">
        <w:rPr>
          <w:rFonts w:ascii="Garamond" w:hAnsi="Garamond"/>
          <w:sz w:val="22"/>
          <w:szCs w:val="22"/>
          <w:highlight w:val="white"/>
        </w:rPr>
        <w:tab/>
      </w:r>
      <w:r>
        <w:rPr>
          <w:rFonts w:ascii="Garamond" w:hAnsi="Garamond"/>
          <w:sz w:val="22"/>
          <w:szCs w:val="22"/>
          <w:highlight w:val="white"/>
        </w:rPr>
        <w:t>T</w:t>
      </w:r>
      <w:r w:rsidRPr="00003CF5">
        <w:rPr>
          <w:rFonts w:ascii="Garamond" w:hAnsi="Garamond"/>
          <w:sz w:val="22"/>
          <w:szCs w:val="22"/>
          <w:highlight w:val="white"/>
        </w:rPr>
        <w:t xml:space="preserve">he provisions of Malawi’s Penal Code criminalizing abortion </w:t>
      </w:r>
      <w:r>
        <w:rPr>
          <w:rFonts w:ascii="Garamond" w:hAnsi="Garamond"/>
          <w:sz w:val="22"/>
          <w:szCs w:val="22"/>
          <w:highlight w:val="white"/>
        </w:rPr>
        <w:t>conflict</w:t>
      </w:r>
      <w:r w:rsidRPr="00003CF5">
        <w:rPr>
          <w:rFonts w:ascii="Garamond" w:hAnsi="Garamond"/>
          <w:sz w:val="22"/>
          <w:szCs w:val="22"/>
          <w:highlight w:val="white"/>
        </w:rPr>
        <w:t xml:space="preserve"> with the duties Malawi </w:t>
      </w:r>
      <w:proofErr w:type="gramStart"/>
      <w:r w:rsidRPr="00003CF5">
        <w:rPr>
          <w:rFonts w:ascii="Garamond" w:hAnsi="Garamond"/>
          <w:sz w:val="22"/>
          <w:szCs w:val="22"/>
          <w:highlight w:val="white"/>
        </w:rPr>
        <w:t>has</w:t>
      </w:r>
      <w:proofErr w:type="gramEnd"/>
      <w:r w:rsidRPr="00003CF5">
        <w:rPr>
          <w:rFonts w:ascii="Garamond" w:hAnsi="Garamond"/>
          <w:sz w:val="22"/>
          <w:szCs w:val="22"/>
          <w:highlight w:val="white"/>
        </w:rPr>
        <w:t xml:space="preserve"> under the treaties it has ratified, including the Covenant. </w:t>
      </w:r>
      <w:r>
        <w:rPr>
          <w:rFonts w:ascii="Garamond" w:hAnsi="Garamond"/>
          <w:sz w:val="22"/>
          <w:szCs w:val="22"/>
          <w:highlight w:val="white"/>
        </w:rPr>
        <w:t xml:space="preserve">This Committee, among other human rights treaty bodies, have provided standards and recommendations to ensure sexual and reproductive health and rights are protected and promoted within states, and Malawi should be encouraged to use this information to guide improvements to its laws and policies. </w:t>
      </w:r>
    </w:p>
    <w:p w14:paraId="1C2F4E44" w14:textId="26A56161" w:rsidR="008506E4" w:rsidRPr="008506E4" w:rsidRDefault="008506E4" w:rsidP="00F578C9">
      <w:pPr>
        <w:widowControl w:val="0"/>
        <w:tabs>
          <w:tab w:val="right" w:leader="dot" w:pos="9270"/>
        </w:tabs>
        <w:spacing w:line="360" w:lineRule="auto"/>
        <w:ind w:left="-360" w:right="-270" w:firstLine="540"/>
        <w:jc w:val="both"/>
        <w:rPr>
          <w:rFonts w:ascii="Garamond" w:hAnsi="Garamond"/>
          <w:sz w:val="22"/>
          <w:szCs w:val="22"/>
          <w:highlight w:val="white"/>
        </w:rPr>
      </w:pPr>
      <w:r>
        <w:rPr>
          <w:rFonts w:ascii="Garamond" w:hAnsi="Garamond"/>
          <w:sz w:val="22"/>
          <w:szCs w:val="22"/>
          <w:highlight w:val="white"/>
        </w:rPr>
        <w:t>(</w:t>
      </w:r>
      <w:r w:rsidR="00A069BA">
        <w:rPr>
          <w:rFonts w:ascii="Garamond" w:hAnsi="Garamond"/>
          <w:sz w:val="22"/>
          <w:szCs w:val="22"/>
          <w:highlight w:val="white"/>
        </w:rPr>
        <w:t>4</w:t>
      </w:r>
      <w:r>
        <w:rPr>
          <w:rFonts w:ascii="Garamond" w:hAnsi="Garamond"/>
          <w:sz w:val="22"/>
          <w:szCs w:val="22"/>
          <w:highlight w:val="white"/>
        </w:rPr>
        <w:t xml:space="preserve">) </w:t>
      </w:r>
      <w:r w:rsidR="00A57F66">
        <w:rPr>
          <w:rFonts w:ascii="Garamond" w:hAnsi="Garamond"/>
          <w:sz w:val="22"/>
          <w:szCs w:val="22"/>
          <w:highlight w:val="white"/>
        </w:rPr>
        <w:t>I</w:t>
      </w:r>
      <w:r w:rsidR="00F578C9" w:rsidRPr="00F578C9">
        <w:rPr>
          <w:rFonts w:ascii="Garamond" w:hAnsi="Garamond"/>
          <w:sz w:val="22"/>
          <w:szCs w:val="22"/>
          <w:highlight w:val="white"/>
        </w:rPr>
        <w:t xml:space="preserve">n 2013, </w:t>
      </w:r>
      <w:r w:rsidR="00A57F66">
        <w:rPr>
          <w:rFonts w:ascii="Garamond" w:hAnsi="Garamond"/>
          <w:sz w:val="22"/>
          <w:szCs w:val="22"/>
          <w:highlight w:val="white"/>
        </w:rPr>
        <w:t xml:space="preserve">Malawi’s </w:t>
      </w:r>
      <w:r w:rsidR="005F11AA">
        <w:rPr>
          <w:rFonts w:ascii="Garamond" w:hAnsi="Garamond"/>
          <w:sz w:val="22"/>
          <w:szCs w:val="22"/>
          <w:highlight w:val="white"/>
        </w:rPr>
        <w:t>Parliament</w:t>
      </w:r>
      <w:r w:rsidR="00F578C9" w:rsidRPr="00F578C9">
        <w:rPr>
          <w:rFonts w:ascii="Garamond" w:hAnsi="Garamond"/>
          <w:sz w:val="22"/>
          <w:szCs w:val="22"/>
          <w:highlight w:val="white"/>
        </w:rPr>
        <w:t xml:space="preserve"> enacted the </w:t>
      </w:r>
      <w:r w:rsidR="00F578C9" w:rsidRPr="00F578C9">
        <w:rPr>
          <w:rFonts w:ascii="Garamond" w:hAnsi="Garamond"/>
          <w:i/>
          <w:sz w:val="22"/>
          <w:szCs w:val="22"/>
          <w:highlight w:val="white"/>
        </w:rPr>
        <w:t>Gender Equality Act</w:t>
      </w:r>
      <w:r w:rsidR="00F578C9" w:rsidRPr="00F578C9">
        <w:rPr>
          <w:rFonts w:ascii="Garamond" w:hAnsi="Garamond"/>
          <w:sz w:val="22"/>
          <w:szCs w:val="22"/>
          <w:highlight w:val="white"/>
        </w:rPr>
        <w:t xml:space="preserve"> (GEA), which specifically provides for the right to adequate sexual and reproductive health of girls and women.</w:t>
      </w:r>
      <w:r w:rsidR="00F578C9" w:rsidRPr="00F578C9">
        <w:rPr>
          <w:rFonts w:ascii="Garamond" w:hAnsi="Garamond"/>
          <w:sz w:val="22"/>
          <w:szCs w:val="22"/>
          <w:highlight w:val="white"/>
          <w:vertAlign w:val="superscript"/>
        </w:rPr>
        <w:footnoteReference w:id="3"/>
      </w:r>
      <w:r w:rsidR="00F578C9" w:rsidRPr="00F578C9">
        <w:rPr>
          <w:rFonts w:ascii="Garamond" w:hAnsi="Garamond"/>
          <w:sz w:val="22"/>
          <w:szCs w:val="22"/>
          <w:highlight w:val="white"/>
        </w:rPr>
        <w:t xml:space="preserve"> </w:t>
      </w:r>
      <w:r w:rsidR="00C92341" w:rsidRPr="00C92341">
        <w:rPr>
          <w:rFonts w:ascii="Garamond" w:hAnsi="Garamond"/>
          <w:sz w:val="22"/>
          <w:szCs w:val="22"/>
        </w:rPr>
        <w:t xml:space="preserve">While we commend Malawi for passing the GEA, if the state is to </w:t>
      </w:r>
      <w:r w:rsidR="00C92341">
        <w:rPr>
          <w:rFonts w:ascii="Garamond" w:hAnsi="Garamond"/>
          <w:sz w:val="22"/>
          <w:szCs w:val="22"/>
        </w:rPr>
        <w:t>honor</w:t>
      </w:r>
      <w:r w:rsidR="00C92341" w:rsidRPr="00C92341">
        <w:rPr>
          <w:rFonts w:ascii="Garamond" w:hAnsi="Garamond"/>
          <w:sz w:val="22"/>
          <w:szCs w:val="22"/>
        </w:rPr>
        <w:t xml:space="preserve"> the protections and commitments of </w:t>
      </w:r>
      <w:r w:rsidR="00C92341">
        <w:rPr>
          <w:rFonts w:ascii="Garamond" w:hAnsi="Garamond"/>
          <w:sz w:val="22"/>
          <w:szCs w:val="22"/>
        </w:rPr>
        <w:t>its</w:t>
      </w:r>
      <w:r w:rsidR="00C92341" w:rsidRPr="00C92341">
        <w:rPr>
          <w:rFonts w:ascii="Garamond" w:hAnsi="Garamond"/>
          <w:sz w:val="22"/>
          <w:szCs w:val="22"/>
        </w:rPr>
        <w:t xml:space="preserve"> </w:t>
      </w:r>
      <w:r w:rsidR="00C92341">
        <w:rPr>
          <w:rFonts w:ascii="Garamond" w:hAnsi="Garamond"/>
          <w:sz w:val="22"/>
          <w:szCs w:val="22"/>
        </w:rPr>
        <w:t>own A</w:t>
      </w:r>
      <w:r w:rsidR="00C92341" w:rsidRPr="00C92341">
        <w:rPr>
          <w:rFonts w:ascii="Garamond" w:hAnsi="Garamond"/>
          <w:sz w:val="22"/>
          <w:szCs w:val="22"/>
        </w:rPr>
        <w:t>ct</w:t>
      </w:r>
      <w:r w:rsidR="00C92341">
        <w:rPr>
          <w:rFonts w:ascii="Garamond" w:hAnsi="Garamond"/>
          <w:sz w:val="22"/>
          <w:szCs w:val="22"/>
        </w:rPr>
        <w:t xml:space="preserve"> </w:t>
      </w:r>
      <w:proofErr w:type="gramStart"/>
      <w:r w:rsidR="00C92341">
        <w:rPr>
          <w:rFonts w:ascii="Garamond" w:hAnsi="Garamond"/>
          <w:sz w:val="22"/>
          <w:szCs w:val="22"/>
        </w:rPr>
        <w:t>and also</w:t>
      </w:r>
      <w:proofErr w:type="gramEnd"/>
      <w:r w:rsidR="00C92341">
        <w:rPr>
          <w:rFonts w:ascii="Garamond" w:hAnsi="Garamond"/>
          <w:sz w:val="22"/>
          <w:szCs w:val="22"/>
        </w:rPr>
        <w:t xml:space="preserve"> align with its international human rights obligations</w:t>
      </w:r>
      <w:r w:rsidR="00C92341" w:rsidRPr="00C92341">
        <w:rPr>
          <w:rFonts w:ascii="Garamond" w:hAnsi="Garamond"/>
          <w:sz w:val="22"/>
          <w:szCs w:val="22"/>
        </w:rPr>
        <w:t>, it must provide abortion as of right.</w:t>
      </w:r>
    </w:p>
    <w:p w14:paraId="3E9A69E7" w14:textId="5139D2D2" w:rsidR="007D1819" w:rsidRDefault="00942147" w:rsidP="007D1819">
      <w:pPr>
        <w:pStyle w:val="NormalWeb"/>
        <w:widowControl w:val="0"/>
        <w:tabs>
          <w:tab w:val="right" w:leader="dot" w:pos="9270"/>
        </w:tabs>
        <w:spacing w:before="0" w:beforeAutospacing="0" w:after="0" w:afterAutospacing="0" w:line="360" w:lineRule="auto"/>
        <w:ind w:left="-360" w:right="-270" w:firstLine="540"/>
        <w:jc w:val="both"/>
        <w:rPr>
          <w:rFonts w:ascii="Garamond" w:hAnsi="Garamond"/>
          <w:sz w:val="22"/>
          <w:szCs w:val="22"/>
        </w:rPr>
      </w:pPr>
      <w:r w:rsidRPr="00003CF5">
        <w:rPr>
          <w:rFonts w:ascii="Garamond" w:hAnsi="Garamond"/>
          <w:sz w:val="22"/>
          <w:szCs w:val="22"/>
          <w:highlight w:val="white"/>
        </w:rPr>
        <w:t>(</w:t>
      </w:r>
      <w:r w:rsidR="00A069BA">
        <w:rPr>
          <w:rFonts w:ascii="Garamond" w:hAnsi="Garamond"/>
          <w:sz w:val="22"/>
          <w:szCs w:val="22"/>
          <w:highlight w:val="white"/>
        </w:rPr>
        <w:t>5</w:t>
      </w:r>
      <w:r w:rsidR="000B0F4A">
        <w:rPr>
          <w:rFonts w:ascii="Garamond" w:hAnsi="Garamond"/>
          <w:sz w:val="22"/>
          <w:szCs w:val="22"/>
          <w:highlight w:val="white"/>
        </w:rPr>
        <w:t>)</w:t>
      </w:r>
      <w:r>
        <w:rPr>
          <w:rFonts w:ascii="Garamond" w:hAnsi="Garamond"/>
          <w:sz w:val="22"/>
          <w:szCs w:val="22"/>
          <w:highlight w:val="white"/>
        </w:rPr>
        <w:t xml:space="preserve"> </w:t>
      </w:r>
      <w:r w:rsidRPr="00003CF5">
        <w:rPr>
          <w:rFonts w:ascii="Garamond" w:hAnsi="Garamond"/>
          <w:sz w:val="22"/>
          <w:szCs w:val="22"/>
          <w:highlight w:val="white"/>
        </w:rPr>
        <w:t xml:space="preserve">Malawi’s first periodic report, submitted in April 2022, </w:t>
      </w:r>
      <w:r>
        <w:rPr>
          <w:rFonts w:ascii="Garamond" w:hAnsi="Garamond"/>
          <w:sz w:val="22"/>
          <w:szCs w:val="22"/>
          <w:highlight w:val="white"/>
        </w:rPr>
        <w:t>did</w:t>
      </w:r>
      <w:r w:rsidRPr="00003CF5">
        <w:rPr>
          <w:rFonts w:ascii="Garamond" w:hAnsi="Garamond"/>
          <w:sz w:val="22"/>
          <w:szCs w:val="22"/>
          <w:highlight w:val="white"/>
        </w:rPr>
        <w:t xml:space="preserve"> not acknowledge that its </w:t>
      </w:r>
      <w:r w:rsidR="00851E90">
        <w:rPr>
          <w:rFonts w:ascii="Garamond" w:hAnsi="Garamond"/>
          <w:sz w:val="22"/>
          <w:szCs w:val="22"/>
          <w:highlight w:val="white"/>
        </w:rPr>
        <w:t xml:space="preserve">maternal </w:t>
      </w:r>
      <w:r w:rsidRPr="00003CF5">
        <w:rPr>
          <w:rFonts w:ascii="Garamond" w:hAnsi="Garamond"/>
          <w:sz w:val="22"/>
          <w:szCs w:val="22"/>
          <w:highlight w:val="white"/>
        </w:rPr>
        <w:t>mortality rate is higher than most countries, or the impact its abortion laws have on this rate.</w:t>
      </w:r>
      <w:r w:rsidRPr="00003CF5">
        <w:rPr>
          <w:rStyle w:val="FootnoteReference"/>
          <w:rFonts w:ascii="Garamond" w:hAnsi="Garamond"/>
          <w:sz w:val="22"/>
          <w:szCs w:val="22"/>
          <w:highlight w:val="white"/>
        </w:rPr>
        <w:footnoteReference w:id="4"/>
      </w:r>
      <w:r w:rsidRPr="00003CF5">
        <w:rPr>
          <w:rFonts w:ascii="Garamond" w:hAnsi="Garamond"/>
          <w:sz w:val="22"/>
          <w:szCs w:val="22"/>
          <w:highlight w:val="white"/>
        </w:rPr>
        <w:t xml:space="preserve"> At the same time, Malawi </w:t>
      </w:r>
      <w:r w:rsidR="00830404">
        <w:rPr>
          <w:rFonts w:ascii="Garamond" w:hAnsi="Garamond"/>
          <w:sz w:val="22"/>
          <w:szCs w:val="22"/>
          <w:highlight w:val="white"/>
        </w:rPr>
        <w:t>did</w:t>
      </w:r>
      <w:r w:rsidRPr="00003CF5">
        <w:rPr>
          <w:rFonts w:ascii="Garamond" w:hAnsi="Garamond"/>
          <w:sz w:val="22"/>
          <w:szCs w:val="22"/>
          <w:highlight w:val="white"/>
        </w:rPr>
        <w:t xml:space="preserve"> state </w:t>
      </w:r>
      <w:r>
        <w:rPr>
          <w:rFonts w:ascii="Garamond" w:hAnsi="Garamond"/>
          <w:sz w:val="22"/>
          <w:szCs w:val="22"/>
          <w:highlight w:val="white"/>
        </w:rPr>
        <w:lastRenderedPageBreak/>
        <w:t xml:space="preserve">that </w:t>
      </w:r>
      <w:r w:rsidRPr="00003CF5">
        <w:rPr>
          <w:rFonts w:ascii="Garamond" w:hAnsi="Garamond"/>
          <w:sz w:val="22"/>
          <w:szCs w:val="22"/>
          <w:highlight w:val="white"/>
        </w:rPr>
        <w:t xml:space="preserve">it intends to reduce </w:t>
      </w:r>
      <w:r>
        <w:rPr>
          <w:rFonts w:ascii="Garamond" w:hAnsi="Garamond"/>
          <w:sz w:val="22"/>
          <w:szCs w:val="22"/>
          <w:highlight w:val="white"/>
        </w:rPr>
        <w:t xml:space="preserve">the </w:t>
      </w:r>
      <w:r w:rsidRPr="00003CF5">
        <w:rPr>
          <w:rFonts w:ascii="Garamond" w:hAnsi="Garamond"/>
          <w:sz w:val="22"/>
          <w:szCs w:val="22"/>
          <w:highlight w:val="white"/>
        </w:rPr>
        <w:t>maternal mortality rate by 20%.</w:t>
      </w:r>
      <w:r w:rsidRPr="00003CF5">
        <w:rPr>
          <w:rStyle w:val="FootnoteReference"/>
          <w:rFonts w:ascii="Garamond" w:hAnsi="Garamond"/>
          <w:sz w:val="22"/>
          <w:szCs w:val="22"/>
          <w:highlight w:val="white"/>
        </w:rPr>
        <w:footnoteReference w:id="5"/>
      </w:r>
      <w:r w:rsidRPr="00003CF5">
        <w:rPr>
          <w:rFonts w:ascii="Garamond" w:hAnsi="Garamond"/>
          <w:sz w:val="22"/>
          <w:szCs w:val="22"/>
          <w:highlight w:val="white"/>
        </w:rPr>
        <w:t xml:space="preserve"> </w:t>
      </w:r>
      <w:r w:rsidRPr="00003CF5">
        <w:rPr>
          <w:rFonts w:ascii="Garamond" w:hAnsi="Garamond"/>
          <w:sz w:val="22"/>
          <w:szCs w:val="22"/>
        </w:rPr>
        <w:t>Although t</w:t>
      </w:r>
      <w:r w:rsidRPr="00003CF5">
        <w:rPr>
          <w:rFonts w:ascii="Garamond" w:hAnsi="Garamond"/>
          <w:sz w:val="22"/>
          <w:szCs w:val="22"/>
          <w:highlight w:val="white"/>
        </w:rPr>
        <w:t xml:space="preserve">he report </w:t>
      </w:r>
      <w:r w:rsidR="00830404">
        <w:rPr>
          <w:rFonts w:ascii="Garamond" w:hAnsi="Garamond"/>
          <w:sz w:val="22"/>
          <w:szCs w:val="22"/>
          <w:highlight w:val="white"/>
        </w:rPr>
        <w:t>brought</w:t>
      </w:r>
      <w:r w:rsidRPr="00003CF5">
        <w:rPr>
          <w:rFonts w:ascii="Garamond" w:hAnsi="Garamond"/>
          <w:sz w:val="22"/>
          <w:szCs w:val="22"/>
          <w:highlight w:val="white"/>
        </w:rPr>
        <w:t xml:space="preserve"> attention to the need to ensure gender equality in health services and sexual </w:t>
      </w:r>
      <w:r w:rsidR="00567046">
        <w:rPr>
          <w:rFonts w:ascii="Garamond" w:hAnsi="Garamond"/>
          <w:sz w:val="22"/>
          <w:szCs w:val="22"/>
          <w:highlight w:val="white"/>
        </w:rPr>
        <w:t xml:space="preserve">and </w:t>
      </w:r>
      <w:r w:rsidRPr="00003CF5">
        <w:rPr>
          <w:rFonts w:ascii="Garamond" w:hAnsi="Garamond"/>
          <w:sz w:val="22"/>
          <w:szCs w:val="22"/>
          <w:highlight w:val="white"/>
        </w:rPr>
        <w:t xml:space="preserve">reproductive health rights, it </w:t>
      </w:r>
      <w:r w:rsidR="00F1366E">
        <w:rPr>
          <w:rFonts w:ascii="Garamond" w:hAnsi="Garamond"/>
          <w:sz w:val="22"/>
          <w:szCs w:val="22"/>
          <w:highlight w:val="white"/>
        </w:rPr>
        <w:t>did</w:t>
      </w:r>
      <w:r>
        <w:rPr>
          <w:rFonts w:ascii="Garamond" w:hAnsi="Garamond"/>
          <w:sz w:val="22"/>
          <w:szCs w:val="22"/>
          <w:highlight w:val="white"/>
        </w:rPr>
        <w:t xml:space="preserve"> not mention</w:t>
      </w:r>
      <w:r w:rsidRPr="00003CF5">
        <w:rPr>
          <w:rFonts w:ascii="Garamond" w:hAnsi="Garamond"/>
          <w:sz w:val="22"/>
          <w:szCs w:val="22"/>
          <w:highlight w:val="white"/>
        </w:rPr>
        <w:t xml:space="preserve"> abortion or post-abortion care.</w:t>
      </w:r>
      <w:r w:rsidRPr="00003CF5">
        <w:rPr>
          <w:rStyle w:val="FootnoteReference"/>
          <w:rFonts w:ascii="Garamond" w:hAnsi="Garamond"/>
          <w:sz w:val="22"/>
          <w:szCs w:val="22"/>
          <w:highlight w:val="white"/>
        </w:rPr>
        <w:footnoteReference w:id="6"/>
      </w:r>
      <w:r w:rsidRPr="00003CF5">
        <w:rPr>
          <w:rFonts w:ascii="Garamond" w:hAnsi="Garamond"/>
          <w:sz w:val="22"/>
          <w:szCs w:val="22"/>
        </w:rPr>
        <w:t xml:space="preserve"> </w:t>
      </w:r>
    </w:p>
    <w:p w14:paraId="2A3FEC57" w14:textId="338AE6DE" w:rsidR="00382C6C" w:rsidRDefault="00382C6C" w:rsidP="00AA470E">
      <w:pPr>
        <w:pStyle w:val="NormalWeb"/>
        <w:widowControl w:val="0"/>
        <w:tabs>
          <w:tab w:val="right" w:leader="dot" w:pos="9270"/>
        </w:tabs>
        <w:spacing w:before="0" w:beforeAutospacing="0" w:after="0" w:afterAutospacing="0" w:line="360" w:lineRule="auto"/>
        <w:ind w:left="-360" w:right="-270" w:firstLine="540"/>
        <w:jc w:val="both"/>
        <w:rPr>
          <w:rFonts w:ascii="Garamond" w:hAnsi="Garamond"/>
          <w:sz w:val="22"/>
          <w:szCs w:val="22"/>
        </w:rPr>
      </w:pPr>
      <w:r>
        <w:rPr>
          <w:rFonts w:ascii="Garamond" w:hAnsi="Garamond"/>
          <w:sz w:val="22"/>
          <w:szCs w:val="22"/>
        </w:rPr>
        <w:t>(</w:t>
      </w:r>
      <w:r w:rsidR="00A069BA">
        <w:rPr>
          <w:rFonts w:ascii="Garamond" w:hAnsi="Garamond"/>
          <w:sz w:val="22"/>
          <w:szCs w:val="22"/>
        </w:rPr>
        <w:t>6</w:t>
      </w:r>
      <w:r>
        <w:rPr>
          <w:rFonts w:ascii="Garamond" w:hAnsi="Garamond"/>
          <w:sz w:val="22"/>
          <w:szCs w:val="22"/>
        </w:rPr>
        <w:t xml:space="preserve">) This Committee asked the government of Malawi in the </w:t>
      </w:r>
      <w:r w:rsidR="00A76B3C">
        <w:rPr>
          <w:rFonts w:ascii="Garamond" w:hAnsi="Garamond"/>
          <w:sz w:val="22"/>
          <w:szCs w:val="22"/>
        </w:rPr>
        <w:t>l</w:t>
      </w:r>
      <w:r>
        <w:rPr>
          <w:rFonts w:ascii="Garamond" w:hAnsi="Garamond"/>
          <w:sz w:val="22"/>
          <w:szCs w:val="22"/>
        </w:rPr>
        <w:t xml:space="preserve">ist of </w:t>
      </w:r>
      <w:r w:rsidR="00A76B3C">
        <w:rPr>
          <w:rFonts w:ascii="Garamond" w:hAnsi="Garamond"/>
          <w:sz w:val="22"/>
          <w:szCs w:val="22"/>
        </w:rPr>
        <w:t>i</w:t>
      </w:r>
      <w:r>
        <w:rPr>
          <w:rFonts w:ascii="Garamond" w:hAnsi="Garamond"/>
          <w:sz w:val="22"/>
          <w:szCs w:val="22"/>
        </w:rPr>
        <w:t>ssues to “</w:t>
      </w:r>
      <w:r w:rsidRPr="00CE6BF6">
        <w:rPr>
          <w:rFonts w:ascii="Garamond" w:hAnsi="Garamond"/>
          <w:sz w:val="22"/>
          <w:szCs w:val="22"/>
        </w:rPr>
        <w:t>outline the impact of measures taken to increase access to basic services in the area of sexual and reproductive health</w:t>
      </w:r>
      <w:r>
        <w:rPr>
          <w:rFonts w:ascii="Garamond" w:hAnsi="Garamond"/>
          <w:sz w:val="22"/>
          <w:szCs w:val="22"/>
        </w:rPr>
        <w:t xml:space="preserve">… [and] </w:t>
      </w:r>
      <w:r w:rsidRPr="003E5058">
        <w:rPr>
          <w:rFonts w:ascii="Garamond" w:hAnsi="Garamond"/>
          <w:sz w:val="22"/>
          <w:szCs w:val="22"/>
        </w:rPr>
        <w:t>provide information on any development regarding decriminalization of abortion</w:t>
      </w:r>
      <w:r>
        <w:rPr>
          <w:rFonts w:ascii="Garamond" w:hAnsi="Garamond"/>
          <w:sz w:val="22"/>
          <w:szCs w:val="22"/>
        </w:rPr>
        <w:t>.”</w:t>
      </w:r>
      <w:r>
        <w:rPr>
          <w:rStyle w:val="FootnoteReference"/>
          <w:rFonts w:ascii="Garamond" w:hAnsi="Garamond"/>
          <w:sz w:val="22"/>
          <w:szCs w:val="22"/>
        </w:rPr>
        <w:footnoteReference w:id="7"/>
      </w:r>
      <w:r>
        <w:rPr>
          <w:rFonts w:ascii="Garamond" w:hAnsi="Garamond"/>
          <w:sz w:val="22"/>
          <w:szCs w:val="22"/>
        </w:rPr>
        <w:t xml:space="preserve"> In response, Malawi </w:t>
      </w:r>
      <w:r w:rsidR="002F6BAC">
        <w:rPr>
          <w:rFonts w:ascii="Garamond" w:hAnsi="Garamond"/>
          <w:sz w:val="22"/>
          <w:szCs w:val="22"/>
        </w:rPr>
        <w:t xml:space="preserve">provided information about the current legal status of abortion and the hurdles to </w:t>
      </w:r>
      <w:r w:rsidR="00AA470E">
        <w:rPr>
          <w:rFonts w:ascii="Garamond" w:hAnsi="Garamond"/>
          <w:sz w:val="22"/>
          <w:szCs w:val="22"/>
        </w:rPr>
        <w:t xml:space="preserve">decriminalize </w:t>
      </w:r>
      <w:r w:rsidR="00724DC5">
        <w:rPr>
          <w:rFonts w:ascii="Garamond" w:hAnsi="Garamond"/>
          <w:sz w:val="22"/>
          <w:szCs w:val="22"/>
        </w:rPr>
        <w:t>abortion</w:t>
      </w:r>
      <w:r w:rsidR="00A3293C">
        <w:rPr>
          <w:rFonts w:ascii="Garamond" w:hAnsi="Garamond"/>
          <w:sz w:val="22"/>
          <w:szCs w:val="22"/>
        </w:rPr>
        <w:t>.</w:t>
      </w:r>
      <w:r>
        <w:rPr>
          <w:rFonts w:ascii="Garamond" w:hAnsi="Garamond"/>
          <w:sz w:val="22"/>
          <w:szCs w:val="22"/>
        </w:rPr>
        <w:t xml:space="preserve"> This report will </w:t>
      </w:r>
      <w:r w:rsidR="00B05A00">
        <w:rPr>
          <w:rFonts w:ascii="Garamond" w:hAnsi="Garamond"/>
          <w:sz w:val="22"/>
          <w:szCs w:val="22"/>
        </w:rPr>
        <w:t>address</w:t>
      </w:r>
      <w:r w:rsidR="00C80836">
        <w:rPr>
          <w:rFonts w:ascii="Garamond" w:hAnsi="Garamond"/>
          <w:sz w:val="22"/>
          <w:szCs w:val="22"/>
        </w:rPr>
        <w:t xml:space="preserve"> </w:t>
      </w:r>
      <w:r>
        <w:rPr>
          <w:rFonts w:ascii="Garamond" w:hAnsi="Garamond"/>
          <w:sz w:val="22"/>
          <w:szCs w:val="22"/>
        </w:rPr>
        <w:t xml:space="preserve">each response </w:t>
      </w:r>
      <w:r w:rsidR="00C80836">
        <w:rPr>
          <w:rFonts w:ascii="Garamond" w:hAnsi="Garamond"/>
          <w:sz w:val="22"/>
          <w:szCs w:val="22"/>
        </w:rPr>
        <w:t xml:space="preserve">from the government </w:t>
      </w:r>
      <w:r>
        <w:rPr>
          <w:rFonts w:ascii="Garamond" w:hAnsi="Garamond"/>
          <w:sz w:val="22"/>
          <w:szCs w:val="22"/>
        </w:rPr>
        <w:t xml:space="preserve">and fill in gaps of what was not included in the government’s replies to </w:t>
      </w:r>
      <w:r w:rsidR="00294269">
        <w:rPr>
          <w:rFonts w:ascii="Garamond" w:hAnsi="Garamond"/>
          <w:sz w:val="22"/>
          <w:szCs w:val="22"/>
        </w:rPr>
        <w:t xml:space="preserve">the </w:t>
      </w:r>
      <w:r>
        <w:rPr>
          <w:rFonts w:ascii="Garamond" w:hAnsi="Garamond"/>
          <w:sz w:val="22"/>
          <w:szCs w:val="22"/>
        </w:rPr>
        <w:t xml:space="preserve">list of </w:t>
      </w:r>
      <w:r w:rsidR="00E32F80">
        <w:rPr>
          <w:rFonts w:ascii="Garamond" w:hAnsi="Garamond"/>
          <w:sz w:val="22"/>
          <w:szCs w:val="22"/>
        </w:rPr>
        <w:t>issues but</w:t>
      </w:r>
      <w:r w:rsidR="00C80836">
        <w:rPr>
          <w:rFonts w:ascii="Garamond" w:hAnsi="Garamond"/>
          <w:sz w:val="22"/>
          <w:szCs w:val="22"/>
        </w:rPr>
        <w:t xml:space="preserve"> are important to include in the conversation.</w:t>
      </w:r>
    </w:p>
    <w:p w14:paraId="7DA90AC7" w14:textId="77777777" w:rsidR="00000DCA" w:rsidRPr="00003CF5" w:rsidRDefault="00000DCA">
      <w:pPr>
        <w:pStyle w:val="Heading1"/>
      </w:pPr>
      <w:bookmarkStart w:id="1" w:name="_Toc173323640"/>
      <w:r w:rsidRPr="00003CF5">
        <w:t>ABOUT THE AUTHORS OF THIS REPORT AND SOURCES</w:t>
      </w:r>
      <w:bookmarkEnd w:id="1"/>
    </w:p>
    <w:p w14:paraId="590F7026" w14:textId="6F5F5E08" w:rsidR="00000DCA" w:rsidRPr="00003CF5" w:rsidRDefault="00000DCA" w:rsidP="00000DCA">
      <w:pPr>
        <w:pStyle w:val="NormalWeb"/>
        <w:widowControl w:val="0"/>
        <w:tabs>
          <w:tab w:val="right" w:leader="dot" w:pos="9270"/>
        </w:tabs>
        <w:spacing w:before="0" w:beforeAutospacing="0" w:after="0" w:afterAutospacing="0" w:line="360" w:lineRule="auto"/>
        <w:ind w:left="-360" w:right="-270" w:firstLine="540"/>
        <w:jc w:val="both"/>
        <w:rPr>
          <w:rFonts w:ascii="Garamond" w:hAnsi="Garamond"/>
          <w:sz w:val="22"/>
          <w:szCs w:val="22"/>
        </w:rPr>
      </w:pPr>
      <w:r w:rsidRPr="00003CF5">
        <w:rPr>
          <w:rFonts w:ascii="Garamond" w:hAnsi="Garamond"/>
          <w:sz w:val="22"/>
          <w:szCs w:val="22"/>
        </w:rPr>
        <w:t>(</w:t>
      </w:r>
      <w:r w:rsidR="00A069BA">
        <w:rPr>
          <w:rFonts w:ascii="Garamond" w:hAnsi="Garamond"/>
          <w:sz w:val="22"/>
          <w:szCs w:val="22"/>
        </w:rPr>
        <w:t>7</w:t>
      </w:r>
      <w:r>
        <w:rPr>
          <w:rFonts w:ascii="Garamond" w:hAnsi="Garamond"/>
          <w:sz w:val="22"/>
          <w:szCs w:val="22"/>
        </w:rPr>
        <w:t xml:space="preserve">) </w:t>
      </w:r>
      <w:r w:rsidRPr="00003CF5">
        <w:rPr>
          <w:rStyle w:val="apple-tab-span"/>
          <w:rFonts w:ascii="Garamond" w:hAnsi="Garamond"/>
          <w:sz w:val="22"/>
          <w:szCs w:val="22"/>
        </w:rPr>
        <w:tab/>
      </w:r>
      <w:r w:rsidRPr="00003CF5">
        <w:rPr>
          <w:rFonts w:ascii="Garamond" w:hAnsi="Garamond"/>
          <w:sz w:val="22"/>
          <w:szCs w:val="22"/>
        </w:rPr>
        <w:t>This report has been prepared by Megan Mars, JD 2023</w:t>
      </w:r>
      <w:r>
        <w:rPr>
          <w:rFonts w:ascii="Garamond" w:hAnsi="Garamond"/>
          <w:sz w:val="22"/>
          <w:szCs w:val="22"/>
        </w:rPr>
        <w:t xml:space="preserve"> of Science for Democracy</w:t>
      </w:r>
      <w:r w:rsidRPr="00003CF5">
        <w:rPr>
          <w:rFonts w:ascii="Garamond" w:hAnsi="Garamond"/>
          <w:sz w:val="22"/>
          <w:szCs w:val="22"/>
        </w:rPr>
        <w:t>, Cailin Ruff, JD 2024, and Stavroula Kyriazis, JD 2024, of the International Human Rights Center of Loyola Law School, Los Angeles, under the supervision of Professor Cesare Romano</w:t>
      </w:r>
      <w:r w:rsidR="00AA470E">
        <w:rPr>
          <w:rFonts w:ascii="Garamond" w:hAnsi="Garamond"/>
          <w:sz w:val="22"/>
          <w:szCs w:val="22"/>
        </w:rPr>
        <w:t xml:space="preserve">, </w:t>
      </w:r>
      <w:proofErr w:type="gramStart"/>
      <w:r w:rsidR="00AA470E">
        <w:rPr>
          <w:rFonts w:ascii="Garamond" w:hAnsi="Garamond"/>
          <w:sz w:val="22"/>
          <w:szCs w:val="22"/>
        </w:rPr>
        <w:t>and</w:t>
      </w:r>
      <w:r>
        <w:rPr>
          <w:rFonts w:ascii="Garamond" w:hAnsi="Garamond"/>
          <w:sz w:val="22"/>
          <w:szCs w:val="22"/>
        </w:rPr>
        <w:t xml:space="preserve"> </w:t>
      </w:r>
      <w:r w:rsidR="00AA470E">
        <w:rPr>
          <w:rFonts w:ascii="Garamond" w:hAnsi="Garamond"/>
          <w:sz w:val="22"/>
          <w:szCs w:val="22"/>
        </w:rPr>
        <w:t xml:space="preserve"> </w:t>
      </w:r>
      <w:r>
        <w:rPr>
          <w:rFonts w:ascii="Garamond" w:hAnsi="Garamond"/>
          <w:sz w:val="22"/>
          <w:szCs w:val="22"/>
        </w:rPr>
        <w:t>in</w:t>
      </w:r>
      <w:proofErr w:type="gramEnd"/>
      <w:r>
        <w:rPr>
          <w:rFonts w:ascii="Garamond" w:hAnsi="Garamond"/>
          <w:sz w:val="22"/>
          <w:szCs w:val="22"/>
        </w:rPr>
        <w:t xml:space="preserve"> collaboration with Chimwemwe Mlombwa, of the </w:t>
      </w:r>
      <w:r w:rsidRPr="00003CF5">
        <w:rPr>
          <w:rFonts w:ascii="Garamond" w:eastAsia="Garamond" w:hAnsi="Garamond" w:cs="Garamond"/>
          <w:sz w:val="22"/>
          <w:szCs w:val="22"/>
        </w:rPr>
        <w:t>Young Women’s Consortium (YOWCO</w:t>
      </w:r>
      <w:r>
        <w:rPr>
          <w:rFonts w:ascii="Garamond" w:eastAsia="Garamond" w:hAnsi="Garamond" w:cs="Garamond"/>
          <w:sz w:val="22"/>
          <w:szCs w:val="22"/>
        </w:rPr>
        <w:t>)</w:t>
      </w:r>
      <w:r w:rsidR="00CE59FA">
        <w:rPr>
          <w:rFonts w:ascii="Garamond" w:eastAsia="Garamond" w:hAnsi="Garamond" w:cs="Garamond"/>
          <w:sz w:val="22"/>
          <w:szCs w:val="22"/>
        </w:rPr>
        <w:t xml:space="preserve"> </w:t>
      </w:r>
      <w:r>
        <w:rPr>
          <w:rFonts w:ascii="Garamond" w:hAnsi="Garamond"/>
          <w:sz w:val="22"/>
          <w:szCs w:val="22"/>
        </w:rPr>
        <w:t>and Dr. Godfrey Kangaude, of Nyale Institute</w:t>
      </w:r>
      <w:r w:rsidR="009E545C">
        <w:rPr>
          <w:rFonts w:ascii="Garamond" w:hAnsi="Garamond"/>
          <w:sz w:val="22"/>
          <w:szCs w:val="22"/>
        </w:rPr>
        <w:t xml:space="preserve"> for Sexual and Reproductive Health Governance (Nyale Institute)</w:t>
      </w:r>
      <w:r>
        <w:rPr>
          <w:rFonts w:ascii="Garamond" w:hAnsi="Garamond"/>
          <w:sz w:val="22"/>
          <w:szCs w:val="22"/>
        </w:rPr>
        <w:t>.</w:t>
      </w:r>
    </w:p>
    <w:p w14:paraId="404E4562" w14:textId="03918146" w:rsidR="00000DCA" w:rsidRDefault="00000DCA" w:rsidP="00000DCA">
      <w:pPr>
        <w:pStyle w:val="NormalWeb"/>
        <w:widowControl w:val="0"/>
        <w:tabs>
          <w:tab w:val="right" w:leader="dot" w:pos="9270"/>
        </w:tabs>
        <w:spacing w:before="0" w:beforeAutospacing="0" w:after="0" w:afterAutospacing="0" w:line="360" w:lineRule="auto"/>
        <w:ind w:left="-360" w:right="-270" w:firstLine="540"/>
        <w:jc w:val="both"/>
        <w:rPr>
          <w:rFonts w:ascii="Garamond" w:hAnsi="Garamond"/>
          <w:sz w:val="22"/>
          <w:szCs w:val="22"/>
        </w:rPr>
      </w:pPr>
      <w:r w:rsidRPr="00003CF5">
        <w:rPr>
          <w:rFonts w:ascii="Garamond" w:hAnsi="Garamond"/>
          <w:sz w:val="22"/>
          <w:szCs w:val="22"/>
        </w:rPr>
        <w:t>(</w:t>
      </w:r>
      <w:r w:rsidR="00A069BA">
        <w:rPr>
          <w:rFonts w:ascii="Garamond" w:hAnsi="Garamond"/>
          <w:sz w:val="22"/>
          <w:szCs w:val="22"/>
        </w:rPr>
        <w:t>8</w:t>
      </w:r>
      <w:r>
        <w:rPr>
          <w:rFonts w:ascii="Garamond" w:hAnsi="Garamond"/>
          <w:sz w:val="22"/>
          <w:szCs w:val="22"/>
        </w:rPr>
        <w:t xml:space="preserve">) </w:t>
      </w:r>
      <w:r w:rsidRPr="00003CF5">
        <w:rPr>
          <w:rStyle w:val="apple-tab-span"/>
          <w:rFonts w:ascii="Garamond" w:hAnsi="Garamond"/>
          <w:sz w:val="22"/>
          <w:szCs w:val="22"/>
        </w:rPr>
        <w:tab/>
      </w:r>
      <w:r w:rsidR="007F5926" w:rsidRPr="007F5926">
        <w:rPr>
          <w:rFonts w:ascii="Garamond" w:hAnsi="Garamond"/>
          <w:sz w:val="22"/>
          <w:szCs w:val="22"/>
        </w:rPr>
        <w:t>The International Human Rights Center of Loyola Law School, Los Angeles is committed to achieving the full exercise of human rights by all persons and seeks to maximize the use of international and regional political, judicial, and quasi-judicial bodies through litigation, advocacy, and capacity-building.</w:t>
      </w:r>
      <w:r w:rsidR="007F5926">
        <w:rPr>
          <w:rStyle w:val="FootnoteReference"/>
          <w:rFonts w:ascii="Garamond" w:hAnsi="Garamond"/>
          <w:sz w:val="22"/>
          <w:szCs w:val="22"/>
        </w:rPr>
        <w:footnoteReference w:id="8"/>
      </w:r>
      <w:r w:rsidR="007F5926" w:rsidRPr="007F5926">
        <w:rPr>
          <w:rFonts w:ascii="Garamond" w:hAnsi="Garamond"/>
          <w:sz w:val="22"/>
          <w:szCs w:val="22"/>
        </w:rPr>
        <w:t xml:space="preserve">  Loyola Law School, Los Angeles is the school of law of Loyola Marymount University, a Jesuit university.</w:t>
      </w:r>
    </w:p>
    <w:p w14:paraId="33D6AEAC" w14:textId="5A6883C6" w:rsidR="006C0E8C" w:rsidRPr="00003CF5" w:rsidRDefault="006C0E8C" w:rsidP="00000DCA">
      <w:pPr>
        <w:pStyle w:val="NormalWeb"/>
        <w:widowControl w:val="0"/>
        <w:tabs>
          <w:tab w:val="right" w:leader="dot" w:pos="9270"/>
        </w:tabs>
        <w:spacing w:before="0" w:beforeAutospacing="0" w:after="0" w:afterAutospacing="0" w:line="360" w:lineRule="auto"/>
        <w:ind w:left="-360" w:right="-270" w:firstLine="540"/>
        <w:jc w:val="both"/>
        <w:rPr>
          <w:rFonts w:ascii="Garamond" w:hAnsi="Garamond"/>
          <w:sz w:val="22"/>
          <w:szCs w:val="22"/>
        </w:rPr>
      </w:pPr>
      <w:r>
        <w:rPr>
          <w:rFonts w:ascii="Garamond" w:hAnsi="Garamond"/>
          <w:sz w:val="22"/>
          <w:szCs w:val="22"/>
        </w:rPr>
        <w:t>(</w:t>
      </w:r>
      <w:r w:rsidR="00A069BA">
        <w:rPr>
          <w:rFonts w:ascii="Garamond" w:hAnsi="Garamond"/>
          <w:sz w:val="22"/>
          <w:szCs w:val="22"/>
        </w:rPr>
        <w:t>9</w:t>
      </w:r>
      <w:r>
        <w:rPr>
          <w:rFonts w:ascii="Garamond" w:hAnsi="Garamond"/>
          <w:sz w:val="22"/>
          <w:szCs w:val="22"/>
        </w:rPr>
        <w:t xml:space="preserve">) </w:t>
      </w:r>
      <w:r w:rsidRPr="006C0E8C">
        <w:rPr>
          <w:rFonts w:ascii="Garamond" w:hAnsi="Garamond"/>
          <w:sz w:val="22"/>
          <w:szCs w:val="22"/>
        </w:rPr>
        <w:t>Science for Democracy is a Brussels-based NGO that promotes the right to science as a structural component of liberal democracies through dialogue between the scientific community and decision-makers all over the world.</w:t>
      </w:r>
      <w:r w:rsidRPr="006C0E8C">
        <w:rPr>
          <w:rFonts w:ascii="Garamond" w:hAnsi="Garamond"/>
          <w:sz w:val="22"/>
          <w:szCs w:val="22"/>
          <w:vertAlign w:val="superscript"/>
        </w:rPr>
        <w:footnoteReference w:id="9"/>
      </w:r>
    </w:p>
    <w:p w14:paraId="15C8A9CE" w14:textId="1144B73D" w:rsidR="00000DCA" w:rsidRPr="00003CF5" w:rsidRDefault="00000DCA" w:rsidP="00000DCA">
      <w:pPr>
        <w:pStyle w:val="NormalWeb"/>
        <w:widowControl w:val="0"/>
        <w:tabs>
          <w:tab w:val="right" w:leader="dot" w:pos="9270"/>
        </w:tabs>
        <w:spacing w:before="0" w:beforeAutospacing="0" w:after="0" w:afterAutospacing="0" w:line="360" w:lineRule="auto"/>
        <w:ind w:left="-360" w:right="-270" w:firstLine="540"/>
        <w:jc w:val="both"/>
        <w:rPr>
          <w:rFonts w:ascii="Garamond" w:eastAsia="Garamond" w:hAnsi="Garamond" w:cs="Garamond"/>
          <w:sz w:val="22"/>
          <w:szCs w:val="22"/>
        </w:rPr>
      </w:pPr>
      <w:r w:rsidRPr="00003CF5">
        <w:rPr>
          <w:rFonts w:ascii="Garamond" w:hAnsi="Garamond"/>
          <w:sz w:val="22"/>
          <w:szCs w:val="22"/>
        </w:rPr>
        <w:t>(</w:t>
      </w:r>
      <w:r w:rsidR="00A069BA">
        <w:rPr>
          <w:rFonts w:ascii="Garamond" w:hAnsi="Garamond"/>
          <w:sz w:val="22"/>
          <w:szCs w:val="22"/>
        </w:rPr>
        <w:t>10</w:t>
      </w:r>
      <w:r>
        <w:rPr>
          <w:rFonts w:ascii="Garamond" w:hAnsi="Garamond"/>
          <w:sz w:val="22"/>
          <w:szCs w:val="22"/>
        </w:rPr>
        <w:t xml:space="preserve">) </w:t>
      </w:r>
      <w:r w:rsidRPr="00003CF5">
        <w:rPr>
          <w:rStyle w:val="apple-tab-span"/>
          <w:rFonts w:ascii="Garamond" w:hAnsi="Garamond"/>
          <w:sz w:val="22"/>
          <w:szCs w:val="22"/>
        </w:rPr>
        <w:tab/>
      </w:r>
      <w:r w:rsidRPr="00003CF5">
        <w:rPr>
          <w:rFonts w:ascii="Garamond" w:eastAsia="Garamond" w:hAnsi="Garamond" w:cs="Garamond"/>
          <w:sz w:val="22"/>
          <w:szCs w:val="22"/>
        </w:rPr>
        <w:t>YOWCO</w:t>
      </w:r>
      <w:r>
        <w:rPr>
          <w:rFonts w:ascii="Garamond" w:eastAsia="Garamond" w:hAnsi="Garamond" w:cs="Garamond"/>
          <w:sz w:val="22"/>
          <w:szCs w:val="22"/>
        </w:rPr>
        <w:t xml:space="preserve"> </w:t>
      </w:r>
      <w:r w:rsidRPr="00003CF5">
        <w:rPr>
          <w:rFonts w:ascii="Garamond" w:eastAsia="Garamond" w:hAnsi="Garamond" w:cs="Garamond"/>
          <w:sz w:val="22"/>
          <w:szCs w:val="22"/>
        </w:rPr>
        <w:t xml:space="preserve">is a young feminist movement committed to advocating for reproductive justice of young women in Malawi led by young women in Malawi. </w:t>
      </w:r>
    </w:p>
    <w:p w14:paraId="71CFEDCD" w14:textId="3812962E" w:rsidR="00000DCA" w:rsidRPr="00000DCA" w:rsidRDefault="00000DCA" w:rsidP="00000DCA">
      <w:pPr>
        <w:pStyle w:val="NormalWeb"/>
        <w:widowControl w:val="0"/>
        <w:tabs>
          <w:tab w:val="right" w:leader="dot" w:pos="9270"/>
        </w:tabs>
        <w:spacing w:before="0" w:beforeAutospacing="0" w:after="0" w:afterAutospacing="0" w:line="360" w:lineRule="auto"/>
        <w:ind w:left="-360" w:right="-270" w:firstLine="540"/>
        <w:jc w:val="both"/>
        <w:rPr>
          <w:rFonts w:ascii="Garamond" w:eastAsia="Garamond" w:hAnsi="Garamond" w:cs="Garamond"/>
          <w:sz w:val="22"/>
          <w:szCs w:val="22"/>
        </w:rPr>
      </w:pPr>
      <w:r w:rsidRPr="00003CF5">
        <w:rPr>
          <w:rFonts w:ascii="Garamond" w:hAnsi="Garamond"/>
          <w:sz w:val="22"/>
          <w:szCs w:val="22"/>
        </w:rPr>
        <w:t>(</w:t>
      </w:r>
      <w:r w:rsidR="00A069BA">
        <w:rPr>
          <w:rFonts w:ascii="Garamond" w:hAnsi="Garamond"/>
          <w:sz w:val="22"/>
          <w:szCs w:val="22"/>
        </w:rPr>
        <w:t>11</w:t>
      </w:r>
      <w:r>
        <w:rPr>
          <w:rFonts w:ascii="Garamond" w:hAnsi="Garamond"/>
          <w:sz w:val="22"/>
          <w:szCs w:val="22"/>
        </w:rPr>
        <w:t xml:space="preserve">) </w:t>
      </w:r>
      <w:r w:rsidRPr="00003CF5">
        <w:rPr>
          <w:rFonts w:ascii="Garamond" w:hAnsi="Garamond"/>
          <w:sz w:val="22"/>
          <w:szCs w:val="22"/>
        </w:rPr>
        <w:tab/>
      </w:r>
      <w:r>
        <w:rPr>
          <w:rFonts w:ascii="Garamond" w:eastAsia="Garamond" w:hAnsi="Garamond" w:cs="Garamond"/>
          <w:sz w:val="22"/>
          <w:szCs w:val="22"/>
        </w:rPr>
        <w:t>Nyale Institute</w:t>
      </w:r>
      <w:r w:rsidRPr="00003CF5">
        <w:rPr>
          <w:rFonts w:ascii="Garamond" w:eastAsia="Garamond" w:hAnsi="Garamond" w:cs="Garamond"/>
          <w:sz w:val="22"/>
          <w:szCs w:val="22"/>
        </w:rPr>
        <w:t xml:space="preserve"> is a </w:t>
      </w:r>
      <w:r>
        <w:rPr>
          <w:rFonts w:ascii="Garamond" w:eastAsia="Garamond" w:hAnsi="Garamond" w:cs="Garamond"/>
          <w:sz w:val="22"/>
          <w:szCs w:val="22"/>
        </w:rPr>
        <w:t>non-governmental organization</w:t>
      </w:r>
      <w:r w:rsidRPr="00003CF5">
        <w:rPr>
          <w:rFonts w:ascii="Garamond" w:eastAsia="Garamond" w:hAnsi="Garamond" w:cs="Garamond"/>
          <w:sz w:val="22"/>
          <w:szCs w:val="22"/>
        </w:rPr>
        <w:t xml:space="preserve"> </w:t>
      </w:r>
      <w:r>
        <w:rPr>
          <w:rFonts w:ascii="Garamond" w:eastAsia="Garamond" w:hAnsi="Garamond" w:cs="Garamond"/>
          <w:sz w:val="22"/>
          <w:szCs w:val="22"/>
        </w:rPr>
        <w:t>in</w:t>
      </w:r>
      <w:r w:rsidRPr="00003CF5">
        <w:rPr>
          <w:rFonts w:ascii="Garamond" w:eastAsia="Garamond" w:hAnsi="Garamond" w:cs="Garamond"/>
          <w:sz w:val="22"/>
          <w:szCs w:val="22"/>
        </w:rPr>
        <w:t xml:space="preserve"> Malawi dedicated to </w:t>
      </w:r>
      <w:r>
        <w:rPr>
          <w:rFonts w:ascii="Garamond" w:eastAsia="Garamond" w:hAnsi="Garamond" w:cs="Garamond"/>
          <w:sz w:val="22"/>
          <w:szCs w:val="22"/>
        </w:rPr>
        <w:t>advancing sexual and reproductive justice.</w:t>
      </w:r>
    </w:p>
    <w:p w14:paraId="271A1C77" w14:textId="1F4757C5" w:rsidR="00000DCA" w:rsidRDefault="005B2E91">
      <w:pPr>
        <w:pStyle w:val="Heading1"/>
      </w:pPr>
      <w:bookmarkStart w:id="2" w:name="_Toc173323641"/>
      <w:r>
        <w:lastRenderedPageBreak/>
        <w:t>OUR OBSERVATIONS ON MALAWI’S</w:t>
      </w:r>
      <w:r w:rsidR="00000DCA">
        <w:t xml:space="preserve"> REPLIES TO </w:t>
      </w:r>
      <w:r>
        <w:t xml:space="preserve">THE </w:t>
      </w:r>
      <w:r w:rsidR="00000DCA">
        <w:t>LIST OF ISSUES</w:t>
      </w:r>
      <w:bookmarkEnd w:id="2"/>
    </w:p>
    <w:p w14:paraId="734A585E" w14:textId="0867C074" w:rsidR="00ED582D" w:rsidRDefault="00AB2DAF" w:rsidP="008113AB">
      <w:pPr>
        <w:pStyle w:val="NormalWeb"/>
        <w:widowControl w:val="0"/>
        <w:numPr>
          <w:ilvl w:val="0"/>
          <w:numId w:val="9"/>
        </w:numPr>
        <w:tabs>
          <w:tab w:val="right" w:leader="dot" w:pos="9270"/>
        </w:tabs>
        <w:spacing w:before="0" w:beforeAutospacing="0" w:after="0" w:afterAutospacing="0" w:line="360" w:lineRule="auto"/>
        <w:ind w:left="907" w:right="-274"/>
        <w:outlineLvl w:val="1"/>
        <w:rPr>
          <w:rFonts w:ascii="Garamond" w:hAnsi="Garamond"/>
          <w:i/>
          <w:iCs/>
          <w:sz w:val="22"/>
          <w:szCs w:val="22"/>
        </w:rPr>
      </w:pPr>
      <w:bookmarkStart w:id="3" w:name="_Toc173323642"/>
      <w:r>
        <w:rPr>
          <w:rFonts w:ascii="Garamond" w:hAnsi="Garamond"/>
          <w:i/>
          <w:iCs/>
          <w:sz w:val="22"/>
          <w:szCs w:val="22"/>
        </w:rPr>
        <w:t>While Malawi claims progress in sexual and reproductive health, it does not provide data to substantiate its claim</w:t>
      </w:r>
      <w:bookmarkEnd w:id="3"/>
    </w:p>
    <w:p w14:paraId="02298641" w14:textId="77777777" w:rsidR="00184674" w:rsidRPr="00184674" w:rsidRDefault="00184674" w:rsidP="00184674">
      <w:pPr>
        <w:pStyle w:val="NormalWeb"/>
        <w:widowControl w:val="0"/>
        <w:tabs>
          <w:tab w:val="right" w:leader="dot" w:pos="9270"/>
        </w:tabs>
        <w:spacing w:before="0" w:beforeAutospacing="0" w:after="0" w:afterAutospacing="0" w:line="360" w:lineRule="auto"/>
        <w:ind w:left="900" w:right="-270"/>
        <w:jc w:val="both"/>
        <w:rPr>
          <w:rFonts w:ascii="Garamond" w:hAnsi="Garamond"/>
          <w:i/>
          <w:iCs/>
          <w:sz w:val="22"/>
          <w:szCs w:val="22"/>
        </w:rPr>
      </w:pPr>
    </w:p>
    <w:p w14:paraId="62842EC8" w14:textId="7B83B960" w:rsidR="005B2E91" w:rsidRDefault="00944392" w:rsidP="005B2E91">
      <w:pPr>
        <w:pStyle w:val="NormalWeb"/>
        <w:widowControl w:val="0"/>
        <w:tabs>
          <w:tab w:val="right" w:leader="dot" w:pos="9270"/>
        </w:tabs>
        <w:spacing w:before="0" w:beforeAutospacing="0" w:after="0" w:afterAutospacing="0" w:line="360" w:lineRule="auto"/>
        <w:ind w:left="-360" w:right="-274" w:firstLine="547"/>
        <w:jc w:val="both"/>
        <w:rPr>
          <w:rFonts w:ascii="Garamond" w:hAnsi="Garamond"/>
          <w:sz w:val="22"/>
          <w:szCs w:val="22"/>
        </w:rPr>
      </w:pPr>
      <w:r>
        <w:rPr>
          <w:rFonts w:ascii="Garamond" w:hAnsi="Garamond"/>
          <w:sz w:val="22"/>
          <w:szCs w:val="22"/>
        </w:rPr>
        <w:t>(</w:t>
      </w:r>
      <w:r w:rsidR="00A069BA">
        <w:rPr>
          <w:rFonts w:ascii="Garamond" w:hAnsi="Garamond"/>
          <w:sz w:val="22"/>
          <w:szCs w:val="22"/>
        </w:rPr>
        <w:t>12</w:t>
      </w:r>
      <w:r>
        <w:rPr>
          <w:rFonts w:ascii="Garamond" w:hAnsi="Garamond"/>
          <w:sz w:val="22"/>
          <w:szCs w:val="22"/>
        </w:rPr>
        <w:t xml:space="preserve">) </w:t>
      </w:r>
      <w:r w:rsidR="00FD166D">
        <w:rPr>
          <w:rFonts w:ascii="Garamond" w:hAnsi="Garamond"/>
          <w:sz w:val="22"/>
          <w:szCs w:val="22"/>
        </w:rPr>
        <w:t>I</w:t>
      </w:r>
      <w:r w:rsidR="00F04EE1">
        <w:rPr>
          <w:rFonts w:ascii="Garamond" w:hAnsi="Garamond"/>
          <w:sz w:val="22"/>
          <w:szCs w:val="22"/>
        </w:rPr>
        <w:t xml:space="preserve">n </w:t>
      </w:r>
      <w:r w:rsidR="00942147">
        <w:rPr>
          <w:rFonts w:ascii="Garamond" w:hAnsi="Garamond"/>
          <w:sz w:val="22"/>
          <w:szCs w:val="22"/>
        </w:rPr>
        <w:t xml:space="preserve">paragraph 95 of the Replies to the </w:t>
      </w:r>
      <w:r w:rsidR="005B2E91">
        <w:rPr>
          <w:rFonts w:ascii="Garamond" w:hAnsi="Garamond"/>
          <w:sz w:val="22"/>
          <w:szCs w:val="22"/>
        </w:rPr>
        <w:t>L</w:t>
      </w:r>
      <w:r w:rsidR="00942147">
        <w:rPr>
          <w:rFonts w:ascii="Garamond" w:hAnsi="Garamond"/>
          <w:sz w:val="22"/>
          <w:szCs w:val="22"/>
        </w:rPr>
        <w:t xml:space="preserve">ist of </w:t>
      </w:r>
      <w:r w:rsidR="005B2E91">
        <w:rPr>
          <w:rFonts w:ascii="Garamond" w:hAnsi="Garamond"/>
          <w:sz w:val="22"/>
          <w:szCs w:val="22"/>
        </w:rPr>
        <w:t>I</w:t>
      </w:r>
      <w:r w:rsidR="00942147">
        <w:rPr>
          <w:rFonts w:ascii="Garamond" w:hAnsi="Garamond"/>
          <w:sz w:val="22"/>
          <w:szCs w:val="22"/>
        </w:rPr>
        <w:t xml:space="preserve">ssues, Malawi </w:t>
      </w:r>
      <w:r w:rsidR="00284BCB">
        <w:rPr>
          <w:rFonts w:ascii="Garamond" w:hAnsi="Garamond"/>
          <w:sz w:val="22"/>
          <w:szCs w:val="22"/>
        </w:rPr>
        <w:t>asserts</w:t>
      </w:r>
      <w:r w:rsidR="00942147">
        <w:rPr>
          <w:rFonts w:ascii="Garamond" w:hAnsi="Garamond"/>
          <w:sz w:val="22"/>
          <w:szCs w:val="22"/>
        </w:rPr>
        <w:t xml:space="preserve"> that “</w:t>
      </w:r>
      <w:r w:rsidR="00F04EE1">
        <w:rPr>
          <w:rFonts w:ascii="Garamond" w:hAnsi="Garamond"/>
          <w:sz w:val="22"/>
          <w:szCs w:val="22"/>
        </w:rPr>
        <w:t>[e]</w:t>
      </w:r>
      <w:proofErr w:type="spellStart"/>
      <w:r w:rsidR="00942147" w:rsidRPr="00942147">
        <w:rPr>
          <w:rFonts w:ascii="Garamond" w:hAnsi="Garamond"/>
          <w:sz w:val="22"/>
          <w:szCs w:val="22"/>
        </w:rPr>
        <w:t>fforts</w:t>
      </w:r>
      <w:proofErr w:type="spellEnd"/>
      <w:r w:rsidR="00942147" w:rsidRPr="00942147">
        <w:rPr>
          <w:rFonts w:ascii="Garamond" w:hAnsi="Garamond"/>
          <w:sz w:val="22"/>
          <w:szCs w:val="22"/>
        </w:rPr>
        <w:t xml:space="preserve"> to improve sexual and reproductive health in Malawi have led to significant benefits. These include lower maternal mortality rates</w:t>
      </w:r>
      <w:r w:rsidR="00942147">
        <w:rPr>
          <w:rFonts w:ascii="Garamond" w:hAnsi="Garamond"/>
          <w:sz w:val="22"/>
          <w:szCs w:val="22"/>
        </w:rPr>
        <w:t>… and increased contraceptive use.”</w:t>
      </w:r>
      <w:r w:rsidR="00B96E88">
        <w:rPr>
          <w:rStyle w:val="FootnoteReference"/>
          <w:rFonts w:ascii="Garamond" w:hAnsi="Garamond"/>
          <w:sz w:val="22"/>
          <w:szCs w:val="22"/>
        </w:rPr>
        <w:footnoteReference w:id="10"/>
      </w:r>
      <w:r w:rsidR="00B96E88">
        <w:rPr>
          <w:rFonts w:ascii="Garamond" w:hAnsi="Garamond"/>
          <w:sz w:val="22"/>
          <w:szCs w:val="22"/>
        </w:rPr>
        <w:t xml:space="preserve"> </w:t>
      </w:r>
      <w:r w:rsidR="005B2E91">
        <w:rPr>
          <w:rFonts w:ascii="Garamond" w:hAnsi="Garamond"/>
          <w:sz w:val="22"/>
          <w:szCs w:val="22"/>
        </w:rPr>
        <w:t xml:space="preserve"> </w:t>
      </w:r>
      <w:r w:rsidR="00B96E88">
        <w:rPr>
          <w:rFonts w:ascii="Garamond" w:hAnsi="Garamond"/>
          <w:sz w:val="22"/>
          <w:szCs w:val="22"/>
        </w:rPr>
        <w:t>W</w:t>
      </w:r>
      <w:r w:rsidR="005E4A80">
        <w:rPr>
          <w:rFonts w:ascii="Garamond" w:hAnsi="Garamond"/>
          <w:sz w:val="22"/>
          <w:szCs w:val="22"/>
        </w:rPr>
        <w:t>hile w</w:t>
      </w:r>
      <w:r w:rsidR="00B96E88">
        <w:rPr>
          <w:rFonts w:ascii="Garamond" w:hAnsi="Garamond"/>
          <w:sz w:val="22"/>
          <w:szCs w:val="22"/>
        </w:rPr>
        <w:t xml:space="preserve">e </w:t>
      </w:r>
      <w:r w:rsidR="00BA5EBA">
        <w:rPr>
          <w:rFonts w:ascii="Garamond" w:hAnsi="Garamond"/>
          <w:sz w:val="22"/>
          <w:szCs w:val="22"/>
        </w:rPr>
        <w:t>appreciate</w:t>
      </w:r>
      <w:r w:rsidR="00B96E88">
        <w:rPr>
          <w:rFonts w:ascii="Garamond" w:hAnsi="Garamond"/>
          <w:sz w:val="22"/>
          <w:szCs w:val="22"/>
        </w:rPr>
        <w:t xml:space="preserve"> the government’s explicit interest in the broader aspects of reproductive health and that it recognizes these issues as </w:t>
      </w:r>
      <w:proofErr w:type="spellStart"/>
      <w:proofErr w:type="gramStart"/>
      <w:r w:rsidR="00B96E88">
        <w:rPr>
          <w:rFonts w:ascii="Garamond" w:hAnsi="Garamond"/>
          <w:sz w:val="22"/>
          <w:szCs w:val="22"/>
        </w:rPr>
        <w:t>important</w:t>
      </w:r>
      <w:r w:rsidR="005E4A80">
        <w:rPr>
          <w:rFonts w:ascii="Garamond" w:hAnsi="Garamond"/>
          <w:sz w:val="22"/>
          <w:szCs w:val="22"/>
        </w:rPr>
        <w:t>,</w:t>
      </w:r>
      <w:r w:rsidR="005B2E91">
        <w:rPr>
          <w:rFonts w:ascii="Garamond" w:hAnsi="Garamond"/>
          <w:sz w:val="22"/>
          <w:szCs w:val="22"/>
        </w:rPr>
        <w:t>we</w:t>
      </w:r>
      <w:proofErr w:type="spellEnd"/>
      <w:proofErr w:type="gramEnd"/>
      <w:r w:rsidR="005B2E91">
        <w:rPr>
          <w:rFonts w:ascii="Garamond" w:hAnsi="Garamond"/>
          <w:sz w:val="22"/>
          <w:szCs w:val="22"/>
        </w:rPr>
        <w:t xml:space="preserve"> find Malawi’s answer excessively vague.</w:t>
      </w:r>
    </w:p>
    <w:p w14:paraId="24166037" w14:textId="79E13A8F" w:rsidR="0050768C" w:rsidRPr="000A7F93" w:rsidRDefault="005B2E91" w:rsidP="000A7F93">
      <w:pPr>
        <w:pStyle w:val="NormalWeb"/>
        <w:widowControl w:val="0"/>
        <w:tabs>
          <w:tab w:val="right" w:leader="dot" w:pos="9270"/>
        </w:tabs>
        <w:spacing w:before="0" w:beforeAutospacing="0" w:after="0" w:afterAutospacing="0" w:line="360" w:lineRule="auto"/>
        <w:ind w:left="-360" w:right="-274" w:firstLine="547"/>
        <w:jc w:val="both"/>
        <w:rPr>
          <w:rFonts w:ascii="Garamond" w:hAnsi="Garamond"/>
          <w:sz w:val="22"/>
          <w:szCs w:val="22"/>
        </w:rPr>
      </w:pPr>
      <w:r>
        <w:rPr>
          <w:rFonts w:ascii="Garamond" w:hAnsi="Garamond"/>
          <w:sz w:val="22"/>
          <w:szCs w:val="22"/>
        </w:rPr>
        <w:t>(</w:t>
      </w:r>
      <w:r w:rsidR="00A069BA">
        <w:rPr>
          <w:rFonts w:ascii="Garamond" w:hAnsi="Garamond"/>
          <w:sz w:val="22"/>
          <w:szCs w:val="22"/>
        </w:rPr>
        <w:t>13</w:t>
      </w:r>
      <w:r>
        <w:rPr>
          <w:rFonts w:ascii="Garamond" w:hAnsi="Garamond"/>
          <w:sz w:val="22"/>
          <w:szCs w:val="22"/>
        </w:rPr>
        <w:t>)</w:t>
      </w:r>
      <w:r w:rsidR="00A069BA">
        <w:rPr>
          <w:rFonts w:ascii="Garamond" w:hAnsi="Garamond"/>
          <w:sz w:val="22"/>
          <w:szCs w:val="22"/>
        </w:rPr>
        <w:t xml:space="preserve"> </w:t>
      </w:r>
      <w:r>
        <w:rPr>
          <w:rFonts w:ascii="Garamond" w:hAnsi="Garamond"/>
          <w:sz w:val="22"/>
          <w:szCs w:val="22"/>
        </w:rPr>
        <w:t>First, Malawi does not provide any data to quantify the</w:t>
      </w:r>
      <w:r w:rsidR="00B96E88" w:rsidRPr="00942147">
        <w:rPr>
          <w:rFonts w:ascii="Garamond" w:hAnsi="Garamond"/>
          <w:sz w:val="22"/>
          <w:szCs w:val="22"/>
        </w:rPr>
        <w:t xml:space="preserve"> </w:t>
      </w:r>
      <w:r w:rsidR="003B41D1">
        <w:rPr>
          <w:rFonts w:ascii="Garamond" w:hAnsi="Garamond"/>
          <w:sz w:val="22"/>
          <w:szCs w:val="22"/>
        </w:rPr>
        <w:t>“</w:t>
      </w:r>
      <w:r w:rsidR="00B96E88" w:rsidRPr="00942147">
        <w:rPr>
          <w:rFonts w:ascii="Garamond" w:hAnsi="Garamond"/>
          <w:sz w:val="22"/>
          <w:szCs w:val="22"/>
        </w:rPr>
        <w:t>significant benefits</w:t>
      </w:r>
      <w:r w:rsidR="003B41D1">
        <w:rPr>
          <w:rFonts w:ascii="Garamond" w:hAnsi="Garamond"/>
          <w:sz w:val="22"/>
          <w:szCs w:val="22"/>
        </w:rPr>
        <w:t>”</w:t>
      </w:r>
      <w:r>
        <w:rPr>
          <w:rFonts w:ascii="Garamond" w:hAnsi="Garamond"/>
          <w:sz w:val="22"/>
          <w:szCs w:val="22"/>
        </w:rPr>
        <w:t xml:space="preserve"> deriving from the unspecified “[e]</w:t>
      </w:r>
      <w:proofErr w:type="spellStart"/>
      <w:r w:rsidRPr="00942147">
        <w:rPr>
          <w:rFonts w:ascii="Garamond" w:hAnsi="Garamond"/>
          <w:sz w:val="22"/>
          <w:szCs w:val="22"/>
        </w:rPr>
        <w:t>fforts</w:t>
      </w:r>
      <w:proofErr w:type="spellEnd"/>
      <w:r w:rsidRPr="00942147">
        <w:rPr>
          <w:rFonts w:ascii="Garamond" w:hAnsi="Garamond"/>
          <w:sz w:val="22"/>
          <w:szCs w:val="22"/>
        </w:rPr>
        <w:t xml:space="preserve"> to improve sexual and reproductive health in Malawi</w:t>
      </w:r>
      <w:r>
        <w:rPr>
          <w:rFonts w:ascii="Garamond" w:hAnsi="Garamond"/>
          <w:sz w:val="22"/>
          <w:szCs w:val="22"/>
        </w:rPr>
        <w:t>”.</w:t>
      </w:r>
      <w:r w:rsidR="00B96E88" w:rsidRPr="00942147">
        <w:rPr>
          <w:rFonts w:ascii="Garamond" w:hAnsi="Garamond"/>
          <w:sz w:val="22"/>
          <w:szCs w:val="22"/>
        </w:rPr>
        <w:t xml:space="preserve"> </w:t>
      </w:r>
      <w:r>
        <w:rPr>
          <w:rFonts w:ascii="Garamond" w:hAnsi="Garamond"/>
          <w:sz w:val="22"/>
          <w:szCs w:val="22"/>
        </w:rPr>
        <w:t xml:space="preserve">Unfortunately, </w:t>
      </w:r>
      <w:r>
        <w:rPr>
          <w:rFonts w:ascii="Garamond" w:hAnsi="Garamond"/>
          <w:sz w:val="22"/>
          <w:szCs w:val="22"/>
          <w:highlight w:val="white"/>
        </w:rPr>
        <w:t>s</w:t>
      </w:r>
      <w:r w:rsidR="0050768C" w:rsidRPr="007D1819">
        <w:rPr>
          <w:rFonts w:ascii="Garamond" w:hAnsi="Garamond"/>
          <w:sz w:val="22"/>
          <w:szCs w:val="22"/>
          <w:highlight w:val="white"/>
        </w:rPr>
        <w:t xml:space="preserve">tatistics on abortion in Malawi </w:t>
      </w:r>
      <w:r w:rsidR="00AB2DAF">
        <w:rPr>
          <w:rFonts w:ascii="Garamond" w:hAnsi="Garamond"/>
          <w:sz w:val="22"/>
          <w:szCs w:val="22"/>
          <w:highlight w:val="white"/>
        </w:rPr>
        <w:t>are outdated and</w:t>
      </w:r>
      <w:r w:rsidR="0050768C" w:rsidRPr="007D1819">
        <w:rPr>
          <w:rFonts w:ascii="Garamond" w:hAnsi="Garamond"/>
          <w:sz w:val="22"/>
          <w:szCs w:val="22"/>
          <w:highlight w:val="white"/>
        </w:rPr>
        <w:t xml:space="preserve"> scarce</w:t>
      </w:r>
      <w:r w:rsidR="00AB2DAF">
        <w:rPr>
          <w:rFonts w:ascii="Garamond" w:hAnsi="Garamond"/>
          <w:sz w:val="22"/>
          <w:szCs w:val="22"/>
          <w:highlight w:val="white"/>
        </w:rPr>
        <w:t>, and the information available suggests that Malawi’s situation remains sadly dire</w:t>
      </w:r>
      <w:r w:rsidR="0050768C" w:rsidRPr="007D1819">
        <w:rPr>
          <w:rFonts w:ascii="Garamond" w:hAnsi="Garamond"/>
          <w:sz w:val="22"/>
          <w:szCs w:val="22"/>
          <w:highlight w:val="white"/>
        </w:rPr>
        <w:t xml:space="preserve">. </w:t>
      </w:r>
      <w:r w:rsidR="00AA470E">
        <w:rPr>
          <w:rFonts w:ascii="Garamond" w:hAnsi="Garamond"/>
          <w:sz w:val="22"/>
          <w:szCs w:val="22"/>
          <w:highlight w:val="white"/>
        </w:rPr>
        <w:t>T</w:t>
      </w:r>
      <w:r w:rsidR="00D47F64">
        <w:rPr>
          <w:rFonts w:ascii="Garamond" w:hAnsi="Garamond"/>
          <w:sz w:val="22"/>
          <w:szCs w:val="22"/>
          <w:highlight w:val="white"/>
        </w:rPr>
        <w:t xml:space="preserve">he most comprehensive </w:t>
      </w:r>
      <w:r w:rsidR="0050768C" w:rsidRPr="007D1819">
        <w:rPr>
          <w:rFonts w:ascii="Garamond" w:hAnsi="Garamond"/>
          <w:sz w:val="22"/>
          <w:szCs w:val="22"/>
          <w:highlight w:val="white"/>
        </w:rPr>
        <w:t xml:space="preserve">survey </w:t>
      </w:r>
      <w:r w:rsidR="00D47F64">
        <w:rPr>
          <w:rFonts w:ascii="Garamond" w:hAnsi="Garamond"/>
          <w:sz w:val="22"/>
          <w:szCs w:val="22"/>
          <w:highlight w:val="white"/>
        </w:rPr>
        <w:t xml:space="preserve">available provided </w:t>
      </w:r>
      <w:r w:rsidR="0050768C" w:rsidRPr="007D1819">
        <w:rPr>
          <w:rFonts w:ascii="Garamond" w:hAnsi="Garamond"/>
          <w:sz w:val="22"/>
          <w:szCs w:val="22"/>
          <w:highlight w:val="white"/>
        </w:rPr>
        <w:t xml:space="preserve">by </w:t>
      </w:r>
      <w:r w:rsidR="0050768C" w:rsidRPr="007D1819">
        <w:rPr>
          <w:rFonts w:ascii="Garamond" w:hAnsi="Garamond"/>
          <w:sz w:val="22"/>
          <w:szCs w:val="22"/>
        </w:rPr>
        <w:t>the Guttmacher Institute</w:t>
      </w:r>
      <w:r w:rsidR="00D47F64">
        <w:rPr>
          <w:rFonts w:ascii="Garamond" w:hAnsi="Garamond"/>
          <w:sz w:val="22"/>
          <w:szCs w:val="22"/>
        </w:rPr>
        <w:t>,</w:t>
      </w:r>
      <w:r w:rsidR="0050768C" w:rsidRPr="007D1819">
        <w:rPr>
          <w:rFonts w:ascii="Garamond" w:hAnsi="Garamond"/>
          <w:sz w:val="22"/>
          <w:szCs w:val="22"/>
        </w:rPr>
        <w:t xml:space="preserve"> </w:t>
      </w:r>
      <w:proofErr w:type="gramStart"/>
      <w:r w:rsidR="00AA470E">
        <w:rPr>
          <w:rFonts w:ascii="Garamond" w:hAnsi="Garamond"/>
          <w:sz w:val="22"/>
          <w:szCs w:val="22"/>
        </w:rPr>
        <w:t>dates back to</w:t>
      </w:r>
      <w:proofErr w:type="gramEnd"/>
      <w:r w:rsidR="00AA470E">
        <w:rPr>
          <w:rFonts w:ascii="Garamond" w:hAnsi="Garamond"/>
          <w:sz w:val="22"/>
          <w:szCs w:val="22"/>
        </w:rPr>
        <w:t xml:space="preserve"> 2017 and </w:t>
      </w:r>
      <w:r w:rsidR="0050768C" w:rsidRPr="007D1819">
        <w:rPr>
          <w:rFonts w:ascii="Garamond" w:hAnsi="Garamond"/>
          <w:sz w:val="22"/>
          <w:szCs w:val="22"/>
        </w:rPr>
        <w:t xml:space="preserve">reported </w:t>
      </w:r>
      <w:r w:rsidR="0050768C" w:rsidRPr="007D1819">
        <w:rPr>
          <w:rFonts w:ascii="Garamond" w:hAnsi="Garamond"/>
          <w:sz w:val="22"/>
          <w:szCs w:val="22"/>
          <w:highlight w:val="white"/>
        </w:rPr>
        <w:t>141,000 abortions in 2015.</w:t>
      </w:r>
      <w:r w:rsidR="0050768C" w:rsidRPr="00BE1540">
        <w:rPr>
          <w:rFonts w:ascii="Garamond" w:hAnsi="Garamond"/>
          <w:highlight w:val="white"/>
          <w:vertAlign w:val="superscript"/>
        </w:rPr>
        <w:footnoteReference w:id="11"/>
      </w:r>
      <w:r w:rsidR="0050768C" w:rsidRPr="00BE1540">
        <w:rPr>
          <w:rFonts w:ascii="Garamond" w:hAnsi="Garamond"/>
          <w:sz w:val="22"/>
          <w:szCs w:val="22"/>
          <w:highlight w:val="white"/>
          <w:vertAlign w:val="superscript"/>
        </w:rPr>
        <w:t xml:space="preserve"> </w:t>
      </w:r>
      <w:r w:rsidR="0050768C">
        <w:rPr>
          <w:rFonts w:ascii="Garamond" w:hAnsi="Garamond"/>
          <w:sz w:val="22"/>
          <w:szCs w:val="22"/>
          <w:highlight w:val="white"/>
        </w:rPr>
        <w:t xml:space="preserve">That is a </w:t>
      </w:r>
      <w:r w:rsidR="0050768C" w:rsidRPr="007D1819">
        <w:rPr>
          <w:rFonts w:ascii="Garamond" w:hAnsi="Garamond"/>
          <w:sz w:val="22"/>
          <w:szCs w:val="22"/>
          <w:highlight w:val="white"/>
        </w:rPr>
        <w:t>rate of 38 abortions per 1,000 women of reproductive age, indicat</w:t>
      </w:r>
      <w:r w:rsidR="0050768C">
        <w:rPr>
          <w:rFonts w:ascii="Garamond" w:hAnsi="Garamond"/>
          <w:sz w:val="22"/>
          <w:szCs w:val="22"/>
          <w:highlight w:val="white"/>
        </w:rPr>
        <w:t>ing</w:t>
      </w:r>
      <w:r w:rsidR="0050768C" w:rsidRPr="007D1819">
        <w:rPr>
          <w:rFonts w:ascii="Garamond" w:hAnsi="Garamond"/>
          <w:sz w:val="22"/>
          <w:szCs w:val="22"/>
          <w:highlight w:val="white"/>
        </w:rPr>
        <w:t xml:space="preserve"> that abortion is common in Malaw</w:t>
      </w:r>
      <w:r w:rsidR="0050768C">
        <w:rPr>
          <w:rFonts w:ascii="Garamond" w:hAnsi="Garamond"/>
          <w:sz w:val="22"/>
          <w:szCs w:val="22"/>
          <w:highlight w:val="white"/>
        </w:rPr>
        <w:t>i</w:t>
      </w:r>
      <w:r w:rsidR="0050768C" w:rsidRPr="007D1819">
        <w:rPr>
          <w:rFonts w:ascii="Garamond" w:hAnsi="Garamond"/>
          <w:sz w:val="22"/>
          <w:szCs w:val="22"/>
          <w:highlight w:val="white"/>
        </w:rPr>
        <w:t xml:space="preserve">. </w:t>
      </w:r>
      <w:r w:rsidR="00AB2DAF">
        <w:rPr>
          <w:rFonts w:ascii="Garamond" w:hAnsi="Garamond"/>
          <w:sz w:val="22"/>
          <w:szCs w:val="22"/>
          <w:highlight w:val="white"/>
        </w:rPr>
        <w:t>Moreover</w:t>
      </w:r>
      <w:r w:rsidR="0050768C" w:rsidRPr="007D1819">
        <w:rPr>
          <w:rFonts w:ascii="Garamond" w:hAnsi="Garamond"/>
          <w:sz w:val="22"/>
          <w:szCs w:val="22"/>
          <w:highlight w:val="white"/>
        </w:rPr>
        <w:t xml:space="preserve">, because abortion is criminalized, many </w:t>
      </w:r>
      <w:r w:rsidR="00AA470E">
        <w:rPr>
          <w:rFonts w:ascii="Garamond" w:hAnsi="Garamond"/>
          <w:sz w:val="22"/>
          <w:szCs w:val="22"/>
          <w:highlight w:val="white"/>
        </w:rPr>
        <w:t>more procedures go underreported</w:t>
      </w:r>
      <w:r w:rsidR="00AB2DAF">
        <w:rPr>
          <w:rFonts w:ascii="Garamond" w:hAnsi="Garamond"/>
          <w:sz w:val="22"/>
          <w:szCs w:val="22"/>
          <w:highlight w:val="white"/>
        </w:rPr>
        <w:t>.</w:t>
      </w:r>
    </w:p>
    <w:p w14:paraId="0CE1C5E6" w14:textId="5B0F7B96" w:rsidR="00620B01" w:rsidRDefault="00620B01" w:rsidP="00620B01">
      <w:pPr>
        <w:pStyle w:val="NormalWeb"/>
        <w:widowControl w:val="0"/>
        <w:tabs>
          <w:tab w:val="right" w:leader="dot" w:pos="9270"/>
        </w:tabs>
        <w:spacing w:before="0" w:beforeAutospacing="0" w:after="0" w:afterAutospacing="0" w:line="360" w:lineRule="auto"/>
        <w:ind w:left="-360" w:right="-274" w:firstLine="547"/>
        <w:jc w:val="both"/>
        <w:rPr>
          <w:rFonts w:ascii="Garamond" w:hAnsi="Garamond"/>
          <w:sz w:val="22"/>
          <w:szCs w:val="22"/>
        </w:rPr>
      </w:pPr>
      <w:r>
        <w:rPr>
          <w:rFonts w:ascii="Garamond" w:hAnsi="Garamond"/>
          <w:sz w:val="22"/>
          <w:szCs w:val="22"/>
        </w:rPr>
        <w:t>(</w:t>
      </w:r>
      <w:r w:rsidR="00A069BA">
        <w:rPr>
          <w:rFonts w:ascii="Garamond" w:hAnsi="Garamond"/>
          <w:sz w:val="22"/>
          <w:szCs w:val="22"/>
        </w:rPr>
        <w:t>14</w:t>
      </w:r>
      <w:r>
        <w:rPr>
          <w:rFonts w:ascii="Garamond" w:hAnsi="Garamond"/>
          <w:sz w:val="22"/>
          <w:szCs w:val="22"/>
        </w:rPr>
        <w:t xml:space="preserve">) </w:t>
      </w:r>
      <w:r w:rsidR="00AB2DAF">
        <w:rPr>
          <w:rFonts w:ascii="Garamond" w:hAnsi="Garamond"/>
          <w:sz w:val="22"/>
          <w:szCs w:val="22"/>
        </w:rPr>
        <w:t xml:space="preserve">Because abortion in Malawi is still a crime, many procedures </w:t>
      </w:r>
      <w:r w:rsidR="00AB2DAF">
        <w:rPr>
          <w:rFonts w:ascii="Garamond" w:hAnsi="Garamond"/>
          <w:sz w:val="22"/>
          <w:szCs w:val="22"/>
          <w:highlight w:val="white"/>
        </w:rPr>
        <w:t>a</w:t>
      </w:r>
      <w:r w:rsidR="00AB2DAF" w:rsidRPr="007D1819">
        <w:rPr>
          <w:rFonts w:ascii="Garamond" w:hAnsi="Garamond"/>
          <w:sz w:val="22"/>
          <w:szCs w:val="22"/>
          <w:highlight w:val="white"/>
        </w:rPr>
        <w:t>re performed secretly by untrained practitioners and in unsafe conditions</w:t>
      </w:r>
      <w:r w:rsidR="00AB2DAF">
        <w:rPr>
          <w:rFonts w:ascii="Garamond" w:hAnsi="Garamond"/>
          <w:sz w:val="22"/>
          <w:szCs w:val="22"/>
          <w:highlight w:val="white"/>
        </w:rPr>
        <w:t>, causing excessive and unnecessary maternal mortality and morbidity</w:t>
      </w:r>
      <w:r w:rsidR="00AB2DAF" w:rsidRPr="007D1819">
        <w:rPr>
          <w:rFonts w:ascii="Garamond" w:hAnsi="Garamond"/>
          <w:sz w:val="22"/>
          <w:szCs w:val="22"/>
          <w:highlight w:val="white"/>
        </w:rPr>
        <w:t>.</w:t>
      </w:r>
      <w:r w:rsidR="00AB2DAF" w:rsidRPr="00BE1540">
        <w:rPr>
          <w:rFonts w:ascii="Garamond" w:hAnsi="Garamond"/>
          <w:highlight w:val="white"/>
          <w:vertAlign w:val="superscript"/>
        </w:rPr>
        <w:footnoteReference w:id="12"/>
      </w:r>
      <w:r w:rsidR="00AB2DAF" w:rsidRPr="00BE1540">
        <w:rPr>
          <w:rFonts w:ascii="Garamond" w:hAnsi="Garamond"/>
          <w:sz w:val="22"/>
          <w:szCs w:val="22"/>
        </w:rPr>
        <w:t xml:space="preserve"> </w:t>
      </w:r>
      <w:r w:rsidR="00AB2DAF">
        <w:rPr>
          <w:rFonts w:ascii="Garamond" w:hAnsi="Garamond"/>
          <w:sz w:val="22"/>
          <w:szCs w:val="22"/>
        </w:rPr>
        <w:t>The direct correlation between restrictive abortion laws and high rates of maternal mortality and morbidity cannot be overlooked.</w:t>
      </w:r>
      <w:r w:rsidR="00AB2DAF">
        <w:rPr>
          <w:rStyle w:val="FootnoteReference"/>
          <w:rFonts w:ascii="Garamond" w:hAnsi="Garamond"/>
          <w:sz w:val="22"/>
          <w:szCs w:val="22"/>
        </w:rPr>
        <w:footnoteReference w:id="13"/>
      </w:r>
      <w:r w:rsidR="00AB2DAF">
        <w:rPr>
          <w:rFonts w:ascii="Garamond" w:hAnsi="Garamond"/>
          <w:sz w:val="22"/>
          <w:szCs w:val="22"/>
        </w:rPr>
        <w:t xml:space="preserve">  </w:t>
      </w:r>
      <w:r>
        <w:rPr>
          <w:rFonts w:ascii="Garamond" w:hAnsi="Garamond"/>
          <w:sz w:val="22"/>
          <w:szCs w:val="22"/>
        </w:rPr>
        <w:t>Regretfully, i</w:t>
      </w:r>
      <w:r w:rsidRPr="008013F3">
        <w:rPr>
          <w:rFonts w:ascii="Garamond" w:hAnsi="Garamond"/>
          <w:sz w:val="22"/>
          <w:szCs w:val="22"/>
        </w:rPr>
        <w:t xml:space="preserve">n Malawi, </w:t>
      </w:r>
      <w:r w:rsidR="004D11AD">
        <w:rPr>
          <w:rFonts w:ascii="Garamond" w:hAnsi="Garamond"/>
          <w:sz w:val="22"/>
          <w:szCs w:val="22"/>
        </w:rPr>
        <w:t xml:space="preserve">there </w:t>
      </w:r>
      <w:r w:rsidR="00AA470E">
        <w:rPr>
          <w:rFonts w:ascii="Garamond" w:hAnsi="Garamond"/>
          <w:sz w:val="22"/>
          <w:szCs w:val="22"/>
        </w:rPr>
        <w:t xml:space="preserve">is </w:t>
      </w:r>
      <w:r w:rsidR="004D11AD">
        <w:rPr>
          <w:rFonts w:ascii="Garamond" w:hAnsi="Garamond"/>
          <w:sz w:val="22"/>
          <w:szCs w:val="22"/>
        </w:rPr>
        <w:t>evidence of unsafe abortions in 27% of abortion-related maternal deaths</w:t>
      </w:r>
      <w:r w:rsidR="00BF1989">
        <w:rPr>
          <w:rFonts w:ascii="Garamond" w:hAnsi="Garamond"/>
          <w:sz w:val="22"/>
          <w:szCs w:val="22"/>
        </w:rPr>
        <w:t>.</w:t>
      </w:r>
      <w:r w:rsidR="004D11AD">
        <w:rPr>
          <w:rStyle w:val="FootnoteReference"/>
          <w:rFonts w:ascii="Garamond" w:hAnsi="Garamond"/>
          <w:sz w:val="22"/>
          <w:szCs w:val="22"/>
        </w:rPr>
        <w:footnoteReference w:id="14"/>
      </w:r>
      <w:r w:rsidR="00BF1989">
        <w:rPr>
          <w:rFonts w:ascii="Garamond" w:hAnsi="Garamond"/>
          <w:sz w:val="22"/>
          <w:szCs w:val="22"/>
        </w:rPr>
        <w:t xml:space="preserve"> </w:t>
      </w:r>
      <w:r w:rsidR="00610FA6">
        <w:rPr>
          <w:rFonts w:ascii="Garamond" w:hAnsi="Garamond"/>
          <w:sz w:val="22"/>
          <w:szCs w:val="22"/>
        </w:rPr>
        <w:t xml:space="preserve">Importantly, it is very likely that the number of </w:t>
      </w:r>
      <w:r w:rsidR="003D27A8">
        <w:rPr>
          <w:rFonts w:ascii="Garamond" w:hAnsi="Garamond"/>
          <w:sz w:val="22"/>
          <w:szCs w:val="22"/>
        </w:rPr>
        <w:t xml:space="preserve">abortions </w:t>
      </w:r>
      <w:r w:rsidR="00B54BB5">
        <w:rPr>
          <w:rFonts w:ascii="Garamond" w:hAnsi="Garamond"/>
          <w:sz w:val="22"/>
          <w:szCs w:val="22"/>
        </w:rPr>
        <w:t xml:space="preserve">and abortion-related deaths </w:t>
      </w:r>
      <w:r w:rsidR="003D27A8">
        <w:rPr>
          <w:rFonts w:ascii="Garamond" w:hAnsi="Garamond"/>
          <w:sz w:val="22"/>
          <w:szCs w:val="22"/>
        </w:rPr>
        <w:t xml:space="preserve">reflected </w:t>
      </w:r>
      <w:r w:rsidR="00684853">
        <w:rPr>
          <w:rFonts w:ascii="Garamond" w:hAnsi="Garamond"/>
          <w:sz w:val="22"/>
          <w:szCs w:val="22"/>
        </w:rPr>
        <w:t xml:space="preserve">in </w:t>
      </w:r>
      <w:r w:rsidR="00236861">
        <w:rPr>
          <w:rFonts w:ascii="Garamond" w:hAnsi="Garamond"/>
          <w:sz w:val="22"/>
          <w:szCs w:val="22"/>
        </w:rPr>
        <w:t>available</w:t>
      </w:r>
      <w:r w:rsidR="003D27A8">
        <w:rPr>
          <w:rFonts w:ascii="Garamond" w:hAnsi="Garamond"/>
          <w:sz w:val="22"/>
          <w:szCs w:val="22"/>
        </w:rPr>
        <w:t xml:space="preserve"> data is </w:t>
      </w:r>
      <w:r w:rsidR="004617D4">
        <w:rPr>
          <w:rFonts w:ascii="Garamond" w:hAnsi="Garamond"/>
          <w:sz w:val="22"/>
          <w:szCs w:val="22"/>
        </w:rPr>
        <w:t xml:space="preserve">higher </w:t>
      </w:r>
      <w:r w:rsidR="003D27A8">
        <w:rPr>
          <w:rFonts w:ascii="Garamond" w:hAnsi="Garamond"/>
          <w:sz w:val="22"/>
          <w:szCs w:val="22"/>
        </w:rPr>
        <w:t xml:space="preserve">than the actual number of induced abortions </w:t>
      </w:r>
      <w:r w:rsidR="00DF7CA3">
        <w:rPr>
          <w:rFonts w:ascii="Garamond" w:hAnsi="Garamond"/>
          <w:sz w:val="22"/>
          <w:szCs w:val="22"/>
        </w:rPr>
        <w:t>due to</w:t>
      </w:r>
      <w:r w:rsidR="003D27A8">
        <w:rPr>
          <w:rFonts w:ascii="Garamond" w:hAnsi="Garamond"/>
          <w:sz w:val="22"/>
          <w:szCs w:val="22"/>
        </w:rPr>
        <w:t xml:space="preserve"> cultural</w:t>
      </w:r>
      <w:r w:rsidR="00684853">
        <w:rPr>
          <w:rFonts w:ascii="Garamond" w:hAnsi="Garamond"/>
          <w:sz w:val="22"/>
          <w:szCs w:val="22"/>
        </w:rPr>
        <w:t xml:space="preserve"> </w:t>
      </w:r>
      <w:proofErr w:type="spellStart"/>
      <w:r w:rsidR="00684853">
        <w:rPr>
          <w:rFonts w:ascii="Garamond" w:hAnsi="Garamond"/>
          <w:sz w:val="22"/>
          <w:szCs w:val="22"/>
        </w:rPr>
        <w:t>stygma</w:t>
      </w:r>
      <w:proofErr w:type="spellEnd"/>
      <w:r w:rsidR="003D27A8">
        <w:rPr>
          <w:rFonts w:ascii="Garamond" w:hAnsi="Garamond"/>
          <w:sz w:val="22"/>
          <w:szCs w:val="22"/>
        </w:rPr>
        <w:t xml:space="preserve"> and </w:t>
      </w:r>
      <w:r w:rsidR="00684853">
        <w:rPr>
          <w:rFonts w:ascii="Garamond" w:hAnsi="Garamond"/>
          <w:sz w:val="22"/>
          <w:szCs w:val="22"/>
        </w:rPr>
        <w:t>criminalization</w:t>
      </w:r>
      <w:r w:rsidR="003D27A8">
        <w:rPr>
          <w:rFonts w:ascii="Garamond" w:hAnsi="Garamond"/>
          <w:sz w:val="22"/>
          <w:szCs w:val="22"/>
        </w:rPr>
        <w:t>.</w:t>
      </w:r>
      <w:r w:rsidR="003D27A8">
        <w:rPr>
          <w:rStyle w:val="FootnoteReference"/>
          <w:rFonts w:ascii="Garamond" w:hAnsi="Garamond"/>
          <w:sz w:val="22"/>
          <w:szCs w:val="22"/>
        </w:rPr>
        <w:footnoteReference w:id="15"/>
      </w:r>
      <w:r w:rsidR="003D27A8">
        <w:rPr>
          <w:rFonts w:ascii="Garamond" w:hAnsi="Garamond"/>
          <w:sz w:val="22"/>
          <w:szCs w:val="22"/>
        </w:rPr>
        <w:t xml:space="preserve"> </w:t>
      </w:r>
      <w:r w:rsidR="00727EB5">
        <w:rPr>
          <w:rFonts w:ascii="Garamond" w:hAnsi="Garamond"/>
          <w:sz w:val="22"/>
          <w:szCs w:val="22"/>
        </w:rPr>
        <w:t xml:space="preserve">Of the women who died following abortion/miscarriage complications, 35.1% died </w:t>
      </w:r>
      <w:r w:rsidR="000108B6">
        <w:rPr>
          <w:rFonts w:ascii="Garamond" w:hAnsi="Garamond"/>
          <w:sz w:val="22"/>
          <w:szCs w:val="22"/>
        </w:rPr>
        <w:t>of infection</w:t>
      </w:r>
      <w:r w:rsidR="00727EB5">
        <w:rPr>
          <w:rFonts w:ascii="Garamond" w:hAnsi="Garamond"/>
          <w:sz w:val="22"/>
          <w:szCs w:val="22"/>
        </w:rPr>
        <w:t xml:space="preserve"> </w:t>
      </w:r>
      <w:r w:rsidR="000108B6">
        <w:rPr>
          <w:rFonts w:ascii="Garamond" w:hAnsi="Garamond"/>
          <w:sz w:val="22"/>
          <w:szCs w:val="22"/>
        </w:rPr>
        <w:t>(</w:t>
      </w:r>
      <w:r w:rsidR="00727EB5">
        <w:rPr>
          <w:rFonts w:ascii="Garamond" w:hAnsi="Garamond"/>
          <w:sz w:val="22"/>
          <w:szCs w:val="22"/>
        </w:rPr>
        <w:t>septic abortion/miscarriage</w:t>
      </w:r>
      <w:r w:rsidR="000108B6">
        <w:rPr>
          <w:rFonts w:ascii="Garamond" w:hAnsi="Garamond"/>
          <w:sz w:val="22"/>
          <w:szCs w:val="22"/>
        </w:rPr>
        <w:t>)</w:t>
      </w:r>
      <w:r w:rsidR="00727EB5">
        <w:rPr>
          <w:rFonts w:ascii="Garamond" w:hAnsi="Garamond"/>
          <w:sz w:val="22"/>
          <w:szCs w:val="22"/>
        </w:rPr>
        <w:t>.</w:t>
      </w:r>
      <w:r w:rsidR="00BF1989">
        <w:rPr>
          <w:rStyle w:val="FootnoteReference"/>
          <w:rFonts w:ascii="Garamond" w:hAnsi="Garamond"/>
          <w:sz w:val="22"/>
          <w:szCs w:val="22"/>
        </w:rPr>
        <w:footnoteReference w:id="16"/>
      </w:r>
      <w:r w:rsidR="00343663">
        <w:rPr>
          <w:rFonts w:ascii="Garamond" w:hAnsi="Garamond"/>
          <w:sz w:val="22"/>
          <w:szCs w:val="22"/>
        </w:rPr>
        <w:t xml:space="preserve"> Infection is the leading cause of maternal death in </w:t>
      </w:r>
      <w:r w:rsidR="00684853">
        <w:rPr>
          <w:rFonts w:ascii="Garamond" w:hAnsi="Garamond"/>
          <w:sz w:val="22"/>
          <w:szCs w:val="22"/>
        </w:rPr>
        <w:t>Malawi</w:t>
      </w:r>
      <w:r w:rsidR="00343663">
        <w:rPr>
          <w:rFonts w:ascii="Garamond" w:hAnsi="Garamond"/>
          <w:sz w:val="22"/>
          <w:szCs w:val="22"/>
        </w:rPr>
        <w:t>.</w:t>
      </w:r>
      <w:r w:rsidR="00343663">
        <w:rPr>
          <w:rStyle w:val="FootnoteReference"/>
          <w:rFonts w:ascii="Garamond" w:hAnsi="Garamond"/>
          <w:sz w:val="22"/>
          <w:szCs w:val="22"/>
        </w:rPr>
        <w:footnoteReference w:id="17"/>
      </w:r>
      <w:r w:rsidR="00AB45F5">
        <w:rPr>
          <w:rFonts w:ascii="Garamond" w:hAnsi="Garamond"/>
          <w:sz w:val="22"/>
          <w:szCs w:val="22"/>
        </w:rPr>
        <w:t xml:space="preserve"> </w:t>
      </w:r>
      <w:r w:rsidR="00AB2DAF">
        <w:rPr>
          <w:rFonts w:ascii="Garamond" w:hAnsi="Garamond"/>
          <w:sz w:val="22"/>
          <w:szCs w:val="22"/>
        </w:rPr>
        <w:t>Complications from abortions persist and should be acknowledged and addressed by the government.</w:t>
      </w:r>
    </w:p>
    <w:p w14:paraId="6C817672" w14:textId="222648D5" w:rsidR="00F77BA1" w:rsidRDefault="009C7F4E" w:rsidP="00AB2DAF">
      <w:pPr>
        <w:pStyle w:val="NormalWeb"/>
        <w:widowControl w:val="0"/>
        <w:tabs>
          <w:tab w:val="right" w:leader="dot" w:pos="9270"/>
        </w:tabs>
        <w:spacing w:before="0" w:beforeAutospacing="0" w:after="0" w:afterAutospacing="0" w:line="360" w:lineRule="auto"/>
        <w:ind w:left="-360" w:right="-274" w:firstLine="547"/>
        <w:jc w:val="both"/>
        <w:rPr>
          <w:rFonts w:ascii="Garamond" w:hAnsi="Garamond"/>
          <w:sz w:val="22"/>
          <w:szCs w:val="22"/>
        </w:rPr>
      </w:pPr>
      <w:r>
        <w:rPr>
          <w:rFonts w:ascii="Garamond" w:hAnsi="Garamond"/>
          <w:sz w:val="22"/>
          <w:szCs w:val="22"/>
        </w:rPr>
        <w:t>(</w:t>
      </w:r>
      <w:r w:rsidR="00A069BA">
        <w:rPr>
          <w:rFonts w:ascii="Garamond" w:hAnsi="Garamond"/>
          <w:sz w:val="22"/>
          <w:szCs w:val="22"/>
        </w:rPr>
        <w:t>15</w:t>
      </w:r>
      <w:r>
        <w:rPr>
          <w:rFonts w:ascii="Garamond" w:hAnsi="Garamond"/>
          <w:sz w:val="22"/>
          <w:szCs w:val="22"/>
        </w:rPr>
        <w:t>) The Sustainable Development Goal (SDG) target 3 aims to reduce maternal mortality to 70 per 100,000 live births by 2030.</w:t>
      </w:r>
      <w:r>
        <w:rPr>
          <w:rStyle w:val="FootnoteReference"/>
          <w:rFonts w:ascii="Garamond" w:hAnsi="Garamond"/>
          <w:sz w:val="22"/>
          <w:szCs w:val="22"/>
        </w:rPr>
        <w:footnoteReference w:id="18"/>
      </w:r>
      <w:r w:rsidR="001D02F6">
        <w:rPr>
          <w:rFonts w:ascii="Garamond" w:hAnsi="Garamond"/>
          <w:sz w:val="22"/>
          <w:szCs w:val="22"/>
        </w:rPr>
        <w:t xml:space="preserve"> The latest data available</w:t>
      </w:r>
      <w:r w:rsidR="000C3153">
        <w:rPr>
          <w:rFonts w:ascii="Garamond" w:hAnsi="Garamond"/>
          <w:sz w:val="22"/>
          <w:szCs w:val="22"/>
        </w:rPr>
        <w:t xml:space="preserve"> </w:t>
      </w:r>
      <w:r w:rsidR="00AF29FA">
        <w:rPr>
          <w:rFonts w:ascii="Garamond" w:hAnsi="Garamond"/>
          <w:sz w:val="22"/>
          <w:szCs w:val="22"/>
        </w:rPr>
        <w:t xml:space="preserve">in Malawi </w:t>
      </w:r>
      <w:r w:rsidR="007A3579">
        <w:rPr>
          <w:rFonts w:ascii="Garamond" w:hAnsi="Garamond"/>
          <w:sz w:val="22"/>
          <w:szCs w:val="22"/>
        </w:rPr>
        <w:t xml:space="preserve">is from </w:t>
      </w:r>
      <w:r w:rsidR="00DA5F37">
        <w:rPr>
          <w:rFonts w:ascii="Garamond" w:hAnsi="Garamond"/>
          <w:sz w:val="22"/>
          <w:szCs w:val="22"/>
        </w:rPr>
        <w:t>2020</w:t>
      </w:r>
      <w:r w:rsidR="008D41B0">
        <w:rPr>
          <w:rFonts w:ascii="Garamond" w:hAnsi="Garamond"/>
          <w:sz w:val="22"/>
          <w:szCs w:val="22"/>
        </w:rPr>
        <w:t xml:space="preserve">, </w:t>
      </w:r>
      <w:r w:rsidR="000C3153">
        <w:rPr>
          <w:rFonts w:ascii="Garamond" w:hAnsi="Garamond"/>
          <w:sz w:val="22"/>
          <w:szCs w:val="22"/>
        </w:rPr>
        <w:t xml:space="preserve">at which time </w:t>
      </w:r>
      <w:r w:rsidR="000C3153" w:rsidRPr="000C3153">
        <w:rPr>
          <w:rFonts w:ascii="Garamond" w:hAnsi="Garamond"/>
          <w:sz w:val="22"/>
          <w:szCs w:val="22"/>
        </w:rPr>
        <w:t xml:space="preserve">the rate </w:t>
      </w:r>
      <w:r w:rsidR="000C3153">
        <w:rPr>
          <w:rFonts w:ascii="Garamond" w:hAnsi="Garamond"/>
          <w:sz w:val="22"/>
          <w:szCs w:val="22"/>
        </w:rPr>
        <w:t>was</w:t>
      </w:r>
      <w:r w:rsidR="000C3153" w:rsidRPr="000C3153">
        <w:rPr>
          <w:rFonts w:ascii="Garamond" w:hAnsi="Garamond"/>
          <w:sz w:val="22"/>
          <w:szCs w:val="22"/>
        </w:rPr>
        <w:t xml:space="preserve"> </w:t>
      </w:r>
      <w:r w:rsidR="00DA5F37">
        <w:rPr>
          <w:rFonts w:ascii="Garamond" w:hAnsi="Garamond"/>
          <w:sz w:val="22"/>
          <w:szCs w:val="22"/>
        </w:rPr>
        <w:t>381</w:t>
      </w:r>
      <w:r w:rsidR="000C3153" w:rsidRPr="000C3153">
        <w:rPr>
          <w:rFonts w:ascii="Garamond" w:hAnsi="Garamond"/>
          <w:sz w:val="22"/>
          <w:szCs w:val="22"/>
        </w:rPr>
        <w:t xml:space="preserve"> per 100,000 live </w:t>
      </w:r>
      <w:r w:rsidR="000C3153" w:rsidRPr="000C3153">
        <w:rPr>
          <w:rFonts w:ascii="Garamond" w:hAnsi="Garamond"/>
          <w:sz w:val="22"/>
          <w:szCs w:val="22"/>
        </w:rPr>
        <w:lastRenderedPageBreak/>
        <w:t>births</w:t>
      </w:r>
      <w:r w:rsidR="007A3579">
        <w:rPr>
          <w:rFonts w:ascii="Garamond" w:hAnsi="Garamond"/>
          <w:sz w:val="22"/>
          <w:szCs w:val="22"/>
        </w:rPr>
        <w:t>.</w:t>
      </w:r>
      <w:r w:rsidR="000C3153">
        <w:rPr>
          <w:rStyle w:val="FootnoteReference"/>
          <w:rFonts w:ascii="Garamond" w:hAnsi="Garamond"/>
          <w:sz w:val="22"/>
          <w:szCs w:val="22"/>
        </w:rPr>
        <w:footnoteReference w:id="19"/>
      </w:r>
      <w:r w:rsidR="007A3579">
        <w:rPr>
          <w:rFonts w:ascii="Garamond" w:hAnsi="Garamond"/>
          <w:sz w:val="22"/>
          <w:szCs w:val="22"/>
        </w:rPr>
        <w:t xml:space="preserve"> </w:t>
      </w:r>
      <w:r w:rsidR="00684853">
        <w:rPr>
          <w:rFonts w:ascii="Garamond" w:hAnsi="Garamond"/>
          <w:sz w:val="22"/>
          <w:szCs w:val="22"/>
        </w:rPr>
        <w:t>Malawi has still a long way to go.</w:t>
      </w:r>
    </w:p>
    <w:p w14:paraId="265CBB36" w14:textId="77777777" w:rsidR="00E00526" w:rsidRDefault="00E00526" w:rsidP="00AB2DAF">
      <w:pPr>
        <w:pStyle w:val="NormalWeb"/>
        <w:widowControl w:val="0"/>
        <w:tabs>
          <w:tab w:val="right" w:leader="dot" w:pos="9270"/>
        </w:tabs>
        <w:spacing w:before="0" w:beforeAutospacing="0" w:after="0" w:afterAutospacing="0" w:line="360" w:lineRule="auto"/>
        <w:ind w:left="-360" w:right="-274" w:firstLine="547"/>
        <w:jc w:val="both"/>
        <w:rPr>
          <w:rFonts w:ascii="Garamond" w:hAnsi="Garamond"/>
          <w:sz w:val="22"/>
          <w:szCs w:val="22"/>
        </w:rPr>
      </w:pPr>
    </w:p>
    <w:p w14:paraId="15BFF3D1" w14:textId="63269FB0" w:rsidR="00F77BA1" w:rsidRDefault="00F77BA1" w:rsidP="000200DF">
      <w:pPr>
        <w:pStyle w:val="Heading2"/>
      </w:pPr>
      <w:bookmarkStart w:id="4" w:name="_Toc173323643"/>
      <w:r>
        <w:t>Abortion in Malawi remains a crime</w:t>
      </w:r>
      <w:bookmarkEnd w:id="4"/>
      <w:r>
        <w:t xml:space="preserve"> </w:t>
      </w:r>
    </w:p>
    <w:p w14:paraId="5362AC94" w14:textId="77777777" w:rsidR="00F77BA1" w:rsidRDefault="00F77BA1" w:rsidP="00F77BA1"/>
    <w:p w14:paraId="341957AE" w14:textId="03C339C0" w:rsidR="00F77BA1" w:rsidRPr="008E3E27" w:rsidRDefault="00F77BA1" w:rsidP="00F77BA1">
      <w:pPr>
        <w:pStyle w:val="NormalWeb"/>
        <w:widowControl w:val="0"/>
        <w:tabs>
          <w:tab w:val="right" w:leader="dot" w:pos="9270"/>
        </w:tabs>
        <w:spacing w:before="0" w:beforeAutospacing="0" w:after="0" w:afterAutospacing="0" w:line="360" w:lineRule="auto"/>
        <w:ind w:left="-360" w:right="-274" w:firstLine="547"/>
        <w:jc w:val="both"/>
        <w:rPr>
          <w:rFonts w:ascii="Garamond" w:hAnsi="Garamond"/>
          <w:sz w:val="22"/>
          <w:szCs w:val="22"/>
          <w:highlight w:val="white"/>
          <w:lang w:val="fr-CH"/>
        </w:rPr>
      </w:pPr>
      <w:r w:rsidRPr="008E3E27">
        <w:rPr>
          <w:rFonts w:ascii="Garamond" w:hAnsi="Garamond"/>
          <w:sz w:val="22"/>
          <w:szCs w:val="22"/>
          <w:highlight w:val="white"/>
          <w:lang w:val="fr-CH"/>
        </w:rPr>
        <w:t>(</w:t>
      </w:r>
      <w:r w:rsidR="00A069BA">
        <w:rPr>
          <w:rFonts w:ascii="Garamond" w:hAnsi="Garamond"/>
          <w:sz w:val="22"/>
          <w:szCs w:val="22"/>
          <w:highlight w:val="white"/>
          <w:lang w:val="fr-CH"/>
        </w:rPr>
        <w:t>16</w:t>
      </w:r>
      <w:r w:rsidRPr="008E3E27">
        <w:rPr>
          <w:rFonts w:ascii="Garamond" w:hAnsi="Garamond"/>
          <w:sz w:val="22"/>
          <w:szCs w:val="22"/>
          <w:highlight w:val="white"/>
          <w:lang w:val="fr-CH"/>
        </w:rPr>
        <w:t xml:space="preserve">) </w:t>
      </w:r>
      <w:r>
        <w:rPr>
          <w:rFonts w:ascii="Garamond" w:hAnsi="Garamond"/>
          <w:sz w:val="22"/>
          <w:szCs w:val="22"/>
          <w:highlight w:val="white"/>
          <w:lang w:val="fr-CH"/>
        </w:rPr>
        <w:t xml:space="preserve">As </w:t>
      </w:r>
      <w:proofErr w:type="spellStart"/>
      <w:r>
        <w:rPr>
          <w:rFonts w:ascii="Garamond" w:hAnsi="Garamond"/>
          <w:sz w:val="22"/>
          <w:szCs w:val="22"/>
          <w:highlight w:val="white"/>
          <w:lang w:val="fr-CH"/>
        </w:rPr>
        <w:t>it</w:t>
      </w:r>
      <w:proofErr w:type="spellEnd"/>
      <w:r>
        <w:rPr>
          <w:rFonts w:ascii="Garamond" w:hAnsi="Garamond"/>
          <w:sz w:val="22"/>
          <w:szCs w:val="22"/>
          <w:highlight w:val="white"/>
          <w:lang w:val="fr-CH"/>
        </w:rPr>
        <w:t xml:space="preserve"> </w:t>
      </w:r>
      <w:proofErr w:type="spellStart"/>
      <w:r>
        <w:rPr>
          <w:rFonts w:ascii="Garamond" w:hAnsi="Garamond"/>
          <w:sz w:val="22"/>
          <w:szCs w:val="22"/>
          <w:highlight w:val="white"/>
          <w:lang w:val="fr-CH"/>
        </w:rPr>
        <w:t>will</w:t>
      </w:r>
      <w:proofErr w:type="spellEnd"/>
      <w:r>
        <w:rPr>
          <w:rFonts w:ascii="Garamond" w:hAnsi="Garamond"/>
          <w:sz w:val="22"/>
          <w:szCs w:val="22"/>
          <w:highlight w:val="white"/>
          <w:lang w:val="fr-CH"/>
        </w:rPr>
        <w:t xml:space="preserve"> </w:t>
      </w:r>
      <w:proofErr w:type="spellStart"/>
      <w:r>
        <w:rPr>
          <w:rFonts w:ascii="Garamond" w:hAnsi="Garamond"/>
          <w:sz w:val="22"/>
          <w:szCs w:val="22"/>
          <w:highlight w:val="white"/>
          <w:lang w:val="fr-CH"/>
        </w:rPr>
        <w:t>be</w:t>
      </w:r>
      <w:proofErr w:type="spellEnd"/>
      <w:r>
        <w:rPr>
          <w:rFonts w:ascii="Garamond" w:hAnsi="Garamond"/>
          <w:sz w:val="22"/>
          <w:szCs w:val="22"/>
          <w:highlight w:val="white"/>
          <w:lang w:val="fr-CH"/>
        </w:rPr>
        <w:t xml:space="preserve"> </w:t>
      </w:r>
      <w:proofErr w:type="spellStart"/>
      <w:r>
        <w:rPr>
          <w:rFonts w:ascii="Garamond" w:hAnsi="Garamond"/>
          <w:sz w:val="22"/>
          <w:szCs w:val="22"/>
          <w:highlight w:val="white"/>
          <w:lang w:val="fr-CH"/>
        </w:rPr>
        <w:t>recalled</w:t>
      </w:r>
      <w:proofErr w:type="spellEnd"/>
      <w:r>
        <w:rPr>
          <w:rFonts w:ascii="Garamond" w:hAnsi="Garamond"/>
          <w:sz w:val="22"/>
          <w:szCs w:val="22"/>
          <w:highlight w:val="white"/>
          <w:lang w:val="fr-CH"/>
        </w:rPr>
        <w:t xml:space="preserve">, </w:t>
      </w:r>
      <w:proofErr w:type="spellStart"/>
      <w:r w:rsidRPr="008E3E27">
        <w:rPr>
          <w:rFonts w:ascii="Garamond" w:hAnsi="Garamond"/>
          <w:sz w:val="22"/>
          <w:szCs w:val="22"/>
          <w:highlight w:val="white"/>
          <w:lang w:val="fr-CH"/>
        </w:rPr>
        <w:t>Malawi’s</w:t>
      </w:r>
      <w:proofErr w:type="spellEnd"/>
      <w:r w:rsidRPr="008E3E27">
        <w:rPr>
          <w:rFonts w:ascii="Garamond" w:hAnsi="Garamond"/>
          <w:sz w:val="22"/>
          <w:szCs w:val="22"/>
          <w:highlight w:val="white"/>
          <w:lang w:val="fr-CH"/>
        </w:rPr>
        <w:t xml:space="preserve"> </w:t>
      </w:r>
      <w:proofErr w:type="spellStart"/>
      <w:r w:rsidRPr="008E3E27">
        <w:rPr>
          <w:rFonts w:ascii="Garamond" w:hAnsi="Garamond"/>
          <w:sz w:val="22"/>
          <w:szCs w:val="22"/>
          <w:highlight w:val="white"/>
          <w:lang w:val="fr-CH"/>
        </w:rPr>
        <w:t>Penal</w:t>
      </w:r>
      <w:proofErr w:type="spellEnd"/>
      <w:r w:rsidRPr="008E3E27">
        <w:rPr>
          <w:rFonts w:ascii="Garamond" w:hAnsi="Garamond"/>
          <w:sz w:val="22"/>
          <w:szCs w:val="22"/>
          <w:highlight w:val="white"/>
          <w:lang w:val="fr-CH"/>
        </w:rPr>
        <w:t xml:space="preserve"> Code </w:t>
      </w:r>
      <w:proofErr w:type="spellStart"/>
      <w:r w:rsidRPr="008E3E27">
        <w:rPr>
          <w:rFonts w:ascii="Garamond" w:hAnsi="Garamond"/>
          <w:sz w:val="22"/>
          <w:szCs w:val="22"/>
          <w:highlight w:val="white"/>
          <w:lang w:val="fr-CH"/>
        </w:rPr>
        <w:t>criminalizes</w:t>
      </w:r>
      <w:proofErr w:type="spellEnd"/>
      <w:r w:rsidRPr="008E3E27">
        <w:rPr>
          <w:rFonts w:ascii="Garamond" w:hAnsi="Garamond"/>
          <w:sz w:val="22"/>
          <w:szCs w:val="22"/>
          <w:highlight w:val="white"/>
          <w:lang w:val="fr-CH"/>
        </w:rPr>
        <w:t xml:space="preserve"> abortion</w:t>
      </w:r>
      <w:r>
        <w:rPr>
          <w:rFonts w:ascii="Garamond" w:hAnsi="Garamond"/>
          <w:sz w:val="22"/>
          <w:szCs w:val="22"/>
          <w:highlight w:val="white"/>
          <w:lang w:val="fr-CH"/>
        </w:rPr>
        <w:t xml:space="preserve"> </w:t>
      </w:r>
      <w:proofErr w:type="spellStart"/>
      <w:r>
        <w:rPr>
          <w:rFonts w:ascii="Garamond" w:hAnsi="Garamond"/>
          <w:sz w:val="22"/>
          <w:szCs w:val="22"/>
          <w:highlight w:val="white"/>
          <w:lang w:val="fr-CH"/>
        </w:rPr>
        <w:t>under</w:t>
      </w:r>
      <w:proofErr w:type="spellEnd"/>
      <w:r>
        <w:rPr>
          <w:rFonts w:ascii="Garamond" w:hAnsi="Garamond"/>
          <w:sz w:val="22"/>
          <w:szCs w:val="22"/>
          <w:highlight w:val="white"/>
          <w:lang w:val="fr-CH"/>
        </w:rPr>
        <w:t xml:space="preserve"> Section 149, 150 &amp; 151</w:t>
      </w:r>
      <w:r w:rsidRPr="008E3E27">
        <w:rPr>
          <w:rFonts w:ascii="Garamond" w:hAnsi="Garamond"/>
          <w:sz w:val="22"/>
          <w:szCs w:val="22"/>
          <w:highlight w:val="white"/>
          <w:lang w:val="fr-CH"/>
        </w:rPr>
        <w:t>.</w:t>
      </w:r>
    </w:p>
    <w:p w14:paraId="4B459024" w14:textId="77777777" w:rsidR="00F77BA1" w:rsidRPr="008E3E27" w:rsidRDefault="00F77BA1" w:rsidP="00F77BA1">
      <w:pPr>
        <w:pStyle w:val="ListParagraph"/>
        <w:widowControl w:val="0"/>
        <w:tabs>
          <w:tab w:val="right" w:leader="dot" w:pos="9270"/>
        </w:tabs>
        <w:spacing w:line="360" w:lineRule="auto"/>
        <w:ind w:left="-360" w:right="-274" w:firstLine="547"/>
        <w:jc w:val="both"/>
        <w:rPr>
          <w:rFonts w:ascii="Garamond" w:hAnsi="Garamond"/>
          <w:sz w:val="22"/>
          <w:szCs w:val="22"/>
          <w:highlight w:val="white"/>
        </w:rPr>
      </w:pPr>
      <w:r>
        <w:rPr>
          <w:rFonts w:ascii="Garamond" w:hAnsi="Garamond"/>
          <w:sz w:val="22"/>
          <w:szCs w:val="22"/>
          <w:highlight w:val="white"/>
        </w:rPr>
        <w:t>§</w:t>
      </w:r>
      <w:r w:rsidRPr="008E3E27">
        <w:rPr>
          <w:rFonts w:ascii="Garamond" w:hAnsi="Garamond"/>
          <w:sz w:val="22"/>
          <w:szCs w:val="22"/>
          <w:highlight w:val="white"/>
        </w:rPr>
        <w:t xml:space="preserve"> 149: “</w:t>
      </w:r>
      <w:r w:rsidRPr="008E3E27">
        <w:rPr>
          <w:rFonts w:ascii="Garamond" w:hAnsi="Garamond"/>
          <w:i/>
          <w:sz w:val="22"/>
          <w:szCs w:val="22"/>
          <w:highlight w:val="white"/>
        </w:rPr>
        <w:t>Any person who, with intent to procure a miscarriage of a woman, whether she is or is not with child, unlawfully administers to her or causes her to take any poison or other noxious thing, or uses any force of any kind, or uses any other means whatever, shall be guilty of a felony and shall be liable to imprisonment for fourteen years</w:t>
      </w:r>
      <w:r w:rsidRPr="008E3E27">
        <w:rPr>
          <w:rFonts w:ascii="Garamond" w:hAnsi="Garamond"/>
          <w:sz w:val="22"/>
          <w:szCs w:val="22"/>
          <w:highlight w:val="white"/>
        </w:rPr>
        <w:t>.”</w:t>
      </w:r>
      <w:r w:rsidRPr="00003CF5">
        <w:rPr>
          <w:rStyle w:val="FootnoteReference"/>
          <w:rFonts w:ascii="Garamond" w:hAnsi="Garamond"/>
          <w:sz w:val="22"/>
          <w:szCs w:val="22"/>
          <w:highlight w:val="white"/>
        </w:rPr>
        <w:footnoteReference w:id="20"/>
      </w:r>
    </w:p>
    <w:p w14:paraId="46B79E6D" w14:textId="77777777" w:rsidR="00F77BA1" w:rsidRPr="008E3E27" w:rsidRDefault="00F77BA1" w:rsidP="00F77BA1">
      <w:pPr>
        <w:pStyle w:val="ListParagraph"/>
        <w:widowControl w:val="0"/>
        <w:tabs>
          <w:tab w:val="right" w:leader="dot" w:pos="9270"/>
        </w:tabs>
        <w:spacing w:line="360" w:lineRule="auto"/>
        <w:ind w:left="-360" w:right="-274" w:firstLine="547"/>
        <w:jc w:val="both"/>
        <w:rPr>
          <w:rFonts w:ascii="Garamond" w:hAnsi="Garamond"/>
          <w:sz w:val="22"/>
          <w:szCs w:val="22"/>
          <w:highlight w:val="white"/>
        </w:rPr>
      </w:pPr>
      <w:r>
        <w:rPr>
          <w:rFonts w:ascii="Garamond" w:hAnsi="Garamond"/>
          <w:sz w:val="22"/>
          <w:szCs w:val="22"/>
          <w:highlight w:val="white"/>
        </w:rPr>
        <w:t>§</w:t>
      </w:r>
      <w:r w:rsidRPr="008E3E27">
        <w:rPr>
          <w:rFonts w:ascii="Garamond" w:hAnsi="Garamond"/>
          <w:sz w:val="22"/>
          <w:szCs w:val="22"/>
          <w:highlight w:val="white"/>
        </w:rPr>
        <w:t xml:space="preserve"> 150: “</w:t>
      </w:r>
      <w:r w:rsidRPr="008E3E27">
        <w:rPr>
          <w:rFonts w:ascii="Garamond" w:hAnsi="Garamond"/>
          <w:i/>
          <w:sz w:val="22"/>
          <w:szCs w:val="22"/>
          <w:highlight w:val="white"/>
        </w:rPr>
        <w:t>Any woman who, being with child, with intent to procure her own miscarriage, unlawfully administers to herself any poison or other noxious thing, or uses any force of any kind, or uses any other means whatever, or permits any such thing or means to be administered or used to her, shall be guilty of a felony, and shall be liable to imprisonment for seven years</w:t>
      </w:r>
      <w:r w:rsidRPr="008E3E27">
        <w:rPr>
          <w:rFonts w:ascii="Garamond" w:hAnsi="Garamond"/>
          <w:sz w:val="22"/>
          <w:szCs w:val="22"/>
          <w:highlight w:val="white"/>
        </w:rPr>
        <w:t>.”</w:t>
      </w:r>
      <w:r w:rsidRPr="00003CF5">
        <w:rPr>
          <w:rStyle w:val="FootnoteReference"/>
          <w:rFonts w:ascii="Garamond" w:hAnsi="Garamond"/>
          <w:sz w:val="22"/>
          <w:szCs w:val="22"/>
          <w:highlight w:val="white"/>
        </w:rPr>
        <w:footnoteReference w:id="21"/>
      </w:r>
    </w:p>
    <w:p w14:paraId="0D45A447" w14:textId="77777777" w:rsidR="00F77BA1" w:rsidRDefault="00F77BA1" w:rsidP="00F77BA1">
      <w:pPr>
        <w:pStyle w:val="ListParagraph"/>
        <w:widowControl w:val="0"/>
        <w:tabs>
          <w:tab w:val="right" w:leader="dot" w:pos="9270"/>
        </w:tabs>
        <w:spacing w:line="360" w:lineRule="auto"/>
        <w:ind w:left="-360" w:right="-274" w:firstLine="547"/>
        <w:jc w:val="both"/>
        <w:rPr>
          <w:rFonts w:ascii="Garamond" w:hAnsi="Garamond"/>
          <w:sz w:val="22"/>
          <w:szCs w:val="22"/>
        </w:rPr>
      </w:pPr>
      <w:r>
        <w:rPr>
          <w:rFonts w:ascii="Garamond" w:hAnsi="Garamond"/>
          <w:sz w:val="22"/>
          <w:szCs w:val="22"/>
          <w:highlight w:val="white"/>
        </w:rPr>
        <w:t>§</w:t>
      </w:r>
      <w:r w:rsidRPr="008E3E27">
        <w:rPr>
          <w:rFonts w:ascii="Garamond" w:hAnsi="Garamond"/>
          <w:sz w:val="22"/>
          <w:szCs w:val="22"/>
          <w:highlight w:val="white"/>
        </w:rPr>
        <w:t xml:space="preserve"> 151: </w:t>
      </w:r>
      <w:r w:rsidRPr="008E3E27">
        <w:rPr>
          <w:rFonts w:ascii="Garamond" w:hAnsi="Garamond"/>
          <w:sz w:val="22"/>
          <w:szCs w:val="22"/>
        </w:rPr>
        <w:t>“</w:t>
      </w:r>
      <w:r w:rsidRPr="008E3E27">
        <w:rPr>
          <w:rFonts w:ascii="Garamond" w:hAnsi="Garamond"/>
          <w:i/>
          <w:iCs/>
          <w:sz w:val="22"/>
          <w:szCs w:val="22"/>
        </w:rPr>
        <w:t xml:space="preserve">Any person who unlawfully supplies to or procures for any person </w:t>
      </w:r>
      <w:proofErr w:type="spellStart"/>
      <w:r w:rsidRPr="008E3E27">
        <w:rPr>
          <w:rFonts w:ascii="Garamond" w:hAnsi="Garamond"/>
          <w:i/>
          <w:iCs/>
          <w:sz w:val="22"/>
          <w:szCs w:val="22"/>
        </w:rPr>
        <w:t>any thing</w:t>
      </w:r>
      <w:proofErr w:type="spellEnd"/>
      <w:r w:rsidRPr="008E3E27">
        <w:rPr>
          <w:rFonts w:ascii="Garamond" w:hAnsi="Garamond"/>
          <w:i/>
          <w:iCs/>
          <w:sz w:val="22"/>
          <w:szCs w:val="22"/>
        </w:rPr>
        <w:t xml:space="preserve"> whatever, knowing that it is intended to be unlawfully used to procure the miscarriage of a woman, whether she is or is not with child, shall be guilty of a felony and shall be liable to imprisonment for three years.”</w:t>
      </w:r>
      <w:r w:rsidRPr="00003CF5">
        <w:rPr>
          <w:rStyle w:val="FootnoteReference"/>
          <w:rFonts w:ascii="Garamond" w:hAnsi="Garamond"/>
          <w:i/>
          <w:iCs/>
          <w:sz w:val="22"/>
          <w:szCs w:val="22"/>
        </w:rPr>
        <w:footnoteReference w:id="22"/>
      </w:r>
    </w:p>
    <w:p w14:paraId="43BBE1C1" w14:textId="1601D920" w:rsidR="00F77BA1" w:rsidRDefault="00F77BA1" w:rsidP="00F77BA1">
      <w:pPr>
        <w:pStyle w:val="NormalWeb"/>
        <w:widowControl w:val="0"/>
        <w:tabs>
          <w:tab w:val="right" w:leader="dot" w:pos="9270"/>
        </w:tabs>
        <w:spacing w:before="0" w:beforeAutospacing="0" w:after="0" w:afterAutospacing="0" w:line="360" w:lineRule="auto"/>
        <w:ind w:left="-360" w:right="-274" w:firstLine="547"/>
        <w:jc w:val="both"/>
        <w:rPr>
          <w:rFonts w:ascii="Garamond" w:hAnsi="Garamond"/>
          <w:sz w:val="22"/>
          <w:szCs w:val="22"/>
        </w:rPr>
      </w:pPr>
      <w:r>
        <w:rPr>
          <w:rFonts w:ascii="Garamond" w:hAnsi="Garamond"/>
          <w:sz w:val="22"/>
          <w:szCs w:val="22"/>
        </w:rPr>
        <w:t>(</w:t>
      </w:r>
      <w:r w:rsidR="00A069BA">
        <w:rPr>
          <w:rFonts w:ascii="Garamond" w:hAnsi="Garamond"/>
          <w:sz w:val="22"/>
          <w:szCs w:val="22"/>
        </w:rPr>
        <w:t>17</w:t>
      </w:r>
      <w:r>
        <w:rPr>
          <w:rFonts w:ascii="Garamond" w:hAnsi="Garamond"/>
          <w:sz w:val="22"/>
          <w:szCs w:val="22"/>
        </w:rPr>
        <w:t>) Section  243 provides for a defense to a charge under Sections 149-151 but</w:t>
      </w:r>
      <w:r w:rsidRPr="00003CF5">
        <w:rPr>
          <w:rFonts w:ascii="Garamond" w:hAnsi="Garamond"/>
          <w:sz w:val="22"/>
          <w:szCs w:val="22"/>
        </w:rPr>
        <w:t xml:space="preserve"> only in very limited circumstance</w:t>
      </w:r>
      <w:r>
        <w:rPr>
          <w:rFonts w:ascii="Garamond" w:hAnsi="Garamond"/>
          <w:sz w:val="22"/>
          <w:szCs w:val="22"/>
        </w:rPr>
        <w:t>s</w:t>
      </w:r>
      <w:r w:rsidRPr="00003CF5">
        <w:rPr>
          <w:rFonts w:ascii="Garamond" w:hAnsi="Garamond"/>
          <w:sz w:val="22"/>
          <w:szCs w:val="22"/>
        </w:rPr>
        <w:t xml:space="preserve">, </w:t>
      </w:r>
      <w:r>
        <w:rPr>
          <w:rFonts w:ascii="Garamond" w:hAnsi="Garamond"/>
          <w:sz w:val="22"/>
          <w:szCs w:val="22"/>
        </w:rPr>
        <w:t xml:space="preserve">namely </w:t>
      </w:r>
      <w:r w:rsidRPr="00003CF5">
        <w:rPr>
          <w:rFonts w:ascii="Garamond" w:hAnsi="Garamond"/>
          <w:sz w:val="22"/>
          <w:szCs w:val="22"/>
        </w:rPr>
        <w:t xml:space="preserve">when it is </w:t>
      </w:r>
      <w:r w:rsidRPr="00C9095C">
        <w:rPr>
          <w:rFonts w:ascii="Garamond" w:hAnsi="Garamond"/>
          <w:sz w:val="22"/>
          <w:szCs w:val="22"/>
          <w:highlight w:val="white"/>
        </w:rPr>
        <w:t>performed</w:t>
      </w:r>
      <w:r w:rsidRPr="00003CF5">
        <w:rPr>
          <w:rFonts w:ascii="Garamond" w:hAnsi="Garamond"/>
          <w:i/>
          <w:sz w:val="22"/>
          <w:szCs w:val="22"/>
          <w:highlight w:val="white"/>
        </w:rPr>
        <w:t xml:space="preserve"> “in good faith and with reasonable care and skill a surgical operation upon any person for his benefit, or upon an unborn child for the preservation of the mother’s life, if the performance of the operation is reasonable, having regard to the patient’s state at the time, and to all the circumstances of the case</w:t>
      </w:r>
      <w:r w:rsidRPr="00003CF5">
        <w:rPr>
          <w:rFonts w:ascii="Garamond" w:hAnsi="Garamond"/>
          <w:sz w:val="22"/>
          <w:szCs w:val="22"/>
          <w:highlight w:val="white"/>
        </w:rPr>
        <w:t>.”</w:t>
      </w:r>
      <w:r w:rsidRPr="00003CF5">
        <w:rPr>
          <w:rStyle w:val="FootnoteReference"/>
          <w:rFonts w:ascii="Garamond" w:hAnsi="Garamond"/>
          <w:sz w:val="22"/>
          <w:szCs w:val="22"/>
          <w:highlight w:val="white"/>
        </w:rPr>
        <w:footnoteReference w:id="23"/>
      </w:r>
      <w:r w:rsidRPr="00003CF5">
        <w:rPr>
          <w:rFonts w:ascii="Garamond" w:hAnsi="Garamond"/>
          <w:sz w:val="22"/>
          <w:szCs w:val="22"/>
        </w:rPr>
        <w:t xml:space="preserve"> </w:t>
      </w:r>
    </w:p>
    <w:p w14:paraId="32031839" w14:textId="3F354AB8" w:rsidR="00264F05" w:rsidRDefault="00264F05" w:rsidP="00264F05">
      <w:pPr>
        <w:pStyle w:val="NormalWeb"/>
        <w:widowControl w:val="0"/>
        <w:tabs>
          <w:tab w:val="right" w:leader="dot" w:pos="9270"/>
        </w:tabs>
        <w:spacing w:before="0" w:beforeAutospacing="0" w:after="0" w:afterAutospacing="0" w:line="360" w:lineRule="auto"/>
        <w:ind w:left="-360" w:right="-274" w:firstLine="547"/>
        <w:jc w:val="both"/>
        <w:rPr>
          <w:rFonts w:ascii="Garamond" w:hAnsi="Garamond"/>
          <w:sz w:val="22"/>
          <w:szCs w:val="22"/>
        </w:rPr>
      </w:pPr>
      <w:r>
        <w:rPr>
          <w:rFonts w:ascii="Garamond" w:hAnsi="Garamond"/>
          <w:sz w:val="22"/>
          <w:szCs w:val="22"/>
        </w:rPr>
        <w:t>(</w:t>
      </w:r>
      <w:r w:rsidR="00A069BA">
        <w:rPr>
          <w:rFonts w:ascii="Garamond" w:hAnsi="Garamond"/>
          <w:sz w:val="22"/>
          <w:szCs w:val="22"/>
        </w:rPr>
        <w:t>18</w:t>
      </w:r>
      <w:r>
        <w:rPr>
          <w:rFonts w:ascii="Garamond" w:hAnsi="Garamond"/>
          <w:sz w:val="22"/>
          <w:szCs w:val="22"/>
        </w:rPr>
        <w:t>) In paragraph 99 of the Replies to the List of Issues, the government of Malawi declared: “</w:t>
      </w:r>
      <w:r w:rsidRPr="00DA1FAE">
        <w:rPr>
          <w:rFonts w:ascii="Garamond" w:hAnsi="Garamond"/>
          <w:sz w:val="22"/>
          <w:szCs w:val="22"/>
        </w:rPr>
        <w:t>Decriminalizing abortion entirely requires citizen consensus on amending the law.</w:t>
      </w:r>
      <w:r>
        <w:rPr>
          <w:rFonts w:ascii="Garamond" w:hAnsi="Garamond"/>
          <w:sz w:val="22"/>
          <w:szCs w:val="22"/>
        </w:rPr>
        <w:t>”</w:t>
      </w:r>
      <w:r>
        <w:rPr>
          <w:rStyle w:val="FootnoteReference"/>
          <w:rFonts w:ascii="Garamond" w:hAnsi="Garamond"/>
          <w:sz w:val="22"/>
          <w:szCs w:val="22"/>
        </w:rPr>
        <w:footnoteReference w:id="24"/>
      </w:r>
      <w:r>
        <w:rPr>
          <w:rFonts w:ascii="Garamond" w:hAnsi="Garamond"/>
          <w:sz w:val="22"/>
          <w:szCs w:val="22"/>
        </w:rPr>
        <w:t xml:space="preserve"> We beg to differ. Decriminalizing abortion requires political will on the part of the government and legislature. They are the law makers. It does not require </w:t>
      </w:r>
      <w:r w:rsidRPr="00DA1FAE">
        <w:rPr>
          <w:rFonts w:ascii="Garamond" w:hAnsi="Garamond"/>
          <w:sz w:val="22"/>
          <w:szCs w:val="22"/>
        </w:rPr>
        <w:t>citizen consensus</w:t>
      </w:r>
      <w:r>
        <w:rPr>
          <w:rFonts w:ascii="Garamond" w:hAnsi="Garamond"/>
          <w:sz w:val="22"/>
          <w:szCs w:val="22"/>
        </w:rPr>
        <w:t xml:space="preserve">, a national referendum, or modifying the constitution. It requires politicians who are committed to the idea of the rule of law and want to ensure Malawi’s legal framework is both internally consistent and in line with international human </w:t>
      </w:r>
      <w:proofErr w:type="spellStart"/>
      <w:r>
        <w:rPr>
          <w:rFonts w:ascii="Garamond" w:hAnsi="Garamond"/>
          <w:sz w:val="22"/>
          <w:szCs w:val="22"/>
        </w:rPr>
        <w:t>righst</w:t>
      </w:r>
      <w:proofErr w:type="spellEnd"/>
      <w:r>
        <w:rPr>
          <w:rFonts w:ascii="Garamond" w:hAnsi="Garamond"/>
          <w:sz w:val="22"/>
          <w:szCs w:val="22"/>
        </w:rPr>
        <w:t xml:space="preserve"> standards. </w:t>
      </w:r>
    </w:p>
    <w:p w14:paraId="318FA356" w14:textId="60216B7D" w:rsidR="00264F05" w:rsidRDefault="00BD6D94" w:rsidP="00BD6D94">
      <w:pPr>
        <w:pStyle w:val="NormalWeb"/>
        <w:widowControl w:val="0"/>
        <w:tabs>
          <w:tab w:val="right" w:leader="dot" w:pos="9270"/>
        </w:tabs>
        <w:spacing w:before="0" w:beforeAutospacing="0" w:after="0" w:afterAutospacing="0" w:line="360" w:lineRule="auto"/>
        <w:ind w:left="-360" w:right="-274" w:firstLine="547"/>
        <w:jc w:val="both"/>
        <w:rPr>
          <w:rFonts w:ascii="Garamond" w:hAnsi="Garamond"/>
          <w:sz w:val="22"/>
          <w:szCs w:val="22"/>
        </w:rPr>
      </w:pPr>
      <w:r>
        <w:rPr>
          <w:rFonts w:ascii="Garamond" w:hAnsi="Garamond"/>
          <w:sz w:val="22"/>
          <w:szCs w:val="22"/>
        </w:rPr>
        <w:t>(</w:t>
      </w:r>
      <w:r w:rsidR="00A069BA">
        <w:rPr>
          <w:rFonts w:ascii="Garamond" w:hAnsi="Garamond"/>
          <w:sz w:val="22"/>
          <w:szCs w:val="22"/>
        </w:rPr>
        <w:t>19</w:t>
      </w:r>
      <w:r>
        <w:rPr>
          <w:rFonts w:ascii="Garamond" w:hAnsi="Garamond"/>
          <w:sz w:val="22"/>
          <w:szCs w:val="22"/>
        </w:rPr>
        <w:t xml:space="preserve">) First, Malawi’s legal framework is internally inconsistent regarding abortion. On the one hand, the Penal Code criminalizes it. On the </w:t>
      </w:r>
      <w:proofErr w:type="gramStart"/>
      <w:r>
        <w:rPr>
          <w:rFonts w:ascii="Garamond" w:hAnsi="Garamond"/>
          <w:sz w:val="22"/>
          <w:szCs w:val="22"/>
        </w:rPr>
        <w:t>other,  hand</w:t>
      </w:r>
      <w:proofErr w:type="gramEnd"/>
      <w:r>
        <w:rPr>
          <w:rFonts w:ascii="Garamond" w:hAnsi="Garamond"/>
          <w:sz w:val="22"/>
          <w:szCs w:val="22"/>
        </w:rPr>
        <w:t xml:space="preserve">, the </w:t>
      </w:r>
      <w:r w:rsidR="00264F05">
        <w:rPr>
          <w:rFonts w:ascii="Garamond" w:hAnsi="Garamond"/>
          <w:sz w:val="22"/>
          <w:szCs w:val="22"/>
        </w:rPr>
        <w:t>(</w:t>
      </w:r>
      <w:r w:rsidR="00264F05" w:rsidRPr="00F578C9">
        <w:rPr>
          <w:rFonts w:ascii="Garamond" w:hAnsi="Garamond"/>
          <w:i/>
          <w:sz w:val="22"/>
          <w:szCs w:val="22"/>
          <w:highlight w:val="white"/>
        </w:rPr>
        <w:t>Gender Equality Act</w:t>
      </w:r>
      <w:r>
        <w:rPr>
          <w:rFonts w:ascii="Garamond" w:hAnsi="Garamond"/>
          <w:i/>
          <w:sz w:val="22"/>
          <w:szCs w:val="22"/>
        </w:rPr>
        <w:t xml:space="preserve"> (GEA)</w:t>
      </w:r>
      <w:r w:rsidR="006A4DC0">
        <w:rPr>
          <w:rFonts w:ascii="Garamond" w:hAnsi="Garamond"/>
          <w:i/>
          <w:sz w:val="22"/>
          <w:szCs w:val="22"/>
        </w:rPr>
        <w:t xml:space="preserve"> </w:t>
      </w:r>
      <w:r w:rsidR="00264F05">
        <w:rPr>
          <w:rFonts w:ascii="Garamond" w:hAnsi="Garamond"/>
          <w:sz w:val="22"/>
          <w:szCs w:val="22"/>
        </w:rPr>
        <w:t>provides abortion access as a right</w:t>
      </w:r>
      <w:r>
        <w:rPr>
          <w:rFonts w:ascii="Garamond" w:hAnsi="Garamond"/>
          <w:sz w:val="22"/>
          <w:szCs w:val="22"/>
        </w:rPr>
        <w:t>,</w:t>
      </w:r>
      <w:r>
        <w:rPr>
          <w:rStyle w:val="FootnoteReference"/>
          <w:rFonts w:ascii="Garamond" w:hAnsi="Garamond"/>
          <w:sz w:val="22"/>
          <w:szCs w:val="22"/>
        </w:rPr>
        <w:footnoteReference w:id="25"/>
      </w:r>
      <w:r>
        <w:rPr>
          <w:rFonts w:ascii="Garamond" w:hAnsi="Garamond"/>
          <w:sz w:val="22"/>
          <w:szCs w:val="22"/>
        </w:rPr>
        <w:t xml:space="preserve"> and the </w:t>
      </w:r>
      <w:r>
        <w:rPr>
          <w:rFonts w:ascii="Garamond" w:hAnsi="Garamond" w:cs="Calibri"/>
          <w:sz w:val="22"/>
          <w:szCs w:val="22"/>
        </w:rPr>
        <w:t>Standards and Guidelines for Comprehensive Abortion Care 2020</w:t>
      </w:r>
      <w:r>
        <w:rPr>
          <w:rStyle w:val="FootnoteReference"/>
          <w:rFonts w:ascii="Garamond" w:hAnsi="Garamond" w:cs="Calibri"/>
          <w:sz w:val="22"/>
          <w:szCs w:val="22"/>
        </w:rPr>
        <w:footnoteReference w:id="26"/>
      </w:r>
      <w:r>
        <w:rPr>
          <w:rFonts w:ascii="Garamond" w:hAnsi="Garamond" w:cs="Calibri"/>
          <w:sz w:val="22"/>
          <w:szCs w:val="22"/>
        </w:rPr>
        <w:t xml:space="preserve"> purportedly intend to create a clear and safe framework within which abortion can be carried out.</w:t>
      </w:r>
      <w:r w:rsidR="00264F05">
        <w:rPr>
          <w:rFonts w:ascii="Garamond" w:hAnsi="Garamond"/>
          <w:sz w:val="22"/>
          <w:szCs w:val="22"/>
        </w:rPr>
        <w:t xml:space="preserve"> Section 19 (1) of the GEA guarantees the right to adequate sexual </w:t>
      </w:r>
      <w:r w:rsidR="00264F05">
        <w:rPr>
          <w:rFonts w:ascii="Garamond" w:hAnsi="Garamond"/>
          <w:sz w:val="22"/>
          <w:szCs w:val="22"/>
        </w:rPr>
        <w:lastRenderedPageBreak/>
        <w:t>and reproductive health, including related services such as safe and legal abortion care.</w:t>
      </w:r>
      <w:r w:rsidR="00264F05">
        <w:rPr>
          <w:rStyle w:val="FootnoteReference"/>
          <w:rFonts w:ascii="Garamond" w:hAnsi="Garamond"/>
          <w:sz w:val="22"/>
          <w:szCs w:val="22"/>
        </w:rPr>
        <w:footnoteReference w:id="27"/>
      </w:r>
      <w:r w:rsidR="00264F05">
        <w:rPr>
          <w:rFonts w:ascii="Garamond" w:hAnsi="Garamond"/>
          <w:sz w:val="22"/>
          <w:szCs w:val="22"/>
        </w:rPr>
        <w:t xml:space="preserve"> Section 19 (2) provides every person the right to decide whether or not to have children and requires healthcare workers to provide the information necessary to be able to choose whether to have sexual and reproductive health procedures and services.</w:t>
      </w:r>
      <w:r w:rsidR="00264F05">
        <w:rPr>
          <w:rStyle w:val="FootnoteReference"/>
          <w:rFonts w:ascii="Garamond" w:hAnsi="Garamond"/>
          <w:sz w:val="22"/>
          <w:szCs w:val="22"/>
        </w:rPr>
        <w:footnoteReference w:id="28"/>
      </w:r>
    </w:p>
    <w:p w14:paraId="34F78174" w14:textId="1ED95A22" w:rsidR="006912DA" w:rsidRDefault="00CA3E8D" w:rsidP="006912DA">
      <w:pPr>
        <w:pStyle w:val="NormalWeb"/>
        <w:widowControl w:val="0"/>
        <w:tabs>
          <w:tab w:val="right" w:leader="dot" w:pos="9270"/>
        </w:tabs>
        <w:spacing w:before="0" w:beforeAutospacing="0" w:after="0" w:afterAutospacing="0" w:line="360" w:lineRule="auto"/>
        <w:ind w:left="-360" w:right="-274" w:firstLine="547"/>
        <w:jc w:val="both"/>
        <w:rPr>
          <w:rFonts w:ascii="Garamond" w:hAnsi="Garamond"/>
          <w:sz w:val="22"/>
          <w:szCs w:val="22"/>
        </w:rPr>
      </w:pPr>
      <w:r>
        <w:rPr>
          <w:rFonts w:ascii="Garamond" w:hAnsi="Garamond"/>
          <w:sz w:val="22"/>
          <w:szCs w:val="22"/>
        </w:rPr>
        <w:t>(</w:t>
      </w:r>
      <w:r w:rsidR="00A069BA">
        <w:rPr>
          <w:rFonts w:ascii="Garamond" w:hAnsi="Garamond"/>
          <w:sz w:val="22"/>
          <w:szCs w:val="22"/>
        </w:rPr>
        <w:t>20</w:t>
      </w:r>
      <w:r>
        <w:rPr>
          <w:rFonts w:ascii="Garamond" w:hAnsi="Garamond"/>
          <w:sz w:val="22"/>
          <w:szCs w:val="22"/>
        </w:rPr>
        <w:t xml:space="preserve">) </w:t>
      </w:r>
      <w:r w:rsidR="00BD6D94">
        <w:rPr>
          <w:rFonts w:ascii="Garamond" w:hAnsi="Garamond"/>
          <w:sz w:val="22"/>
          <w:szCs w:val="22"/>
        </w:rPr>
        <w:t xml:space="preserve">Second, </w:t>
      </w:r>
      <w:r>
        <w:rPr>
          <w:rFonts w:ascii="Garamond" w:hAnsi="Garamond"/>
          <w:sz w:val="22"/>
          <w:szCs w:val="22"/>
        </w:rPr>
        <w:t>Malawi's criminalization of abortion is inconsistent with its obligations under the Covenant,</w:t>
      </w:r>
      <w:r w:rsidR="006912DA">
        <w:rPr>
          <w:rFonts w:ascii="Garamond" w:hAnsi="Garamond"/>
          <w:sz w:val="22"/>
          <w:szCs w:val="22"/>
        </w:rPr>
        <w:t xml:space="preserve"> and in particular articles 12, 15.1.b and 3,</w:t>
      </w:r>
      <w:r>
        <w:rPr>
          <w:rFonts w:ascii="Garamond" w:hAnsi="Garamond"/>
          <w:sz w:val="22"/>
          <w:szCs w:val="22"/>
        </w:rPr>
        <w:t xml:space="preserve"> as interpreted by this Committee.</w:t>
      </w:r>
      <w:r w:rsidR="00BD6D94">
        <w:rPr>
          <w:rFonts w:ascii="Garamond" w:hAnsi="Garamond"/>
          <w:sz w:val="22"/>
          <w:szCs w:val="22"/>
        </w:rPr>
        <w:t xml:space="preserve"> </w:t>
      </w:r>
      <w:r w:rsidR="00BD6D94" w:rsidRPr="00003CF5">
        <w:rPr>
          <w:rFonts w:ascii="Garamond" w:hAnsi="Garamond"/>
          <w:sz w:val="22"/>
          <w:szCs w:val="22"/>
        </w:rPr>
        <w:t xml:space="preserve">Article 12 of the CESCR recognizes </w:t>
      </w:r>
      <w:r w:rsidR="00BD6D94">
        <w:rPr>
          <w:rFonts w:ascii="Garamond" w:hAnsi="Garamond"/>
          <w:sz w:val="22"/>
          <w:szCs w:val="22"/>
        </w:rPr>
        <w:t>“</w:t>
      </w:r>
      <w:r w:rsidR="00BD6D94" w:rsidRPr="00003CF5">
        <w:rPr>
          <w:rFonts w:ascii="Garamond" w:hAnsi="Garamond"/>
          <w:sz w:val="22"/>
          <w:szCs w:val="22"/>
        </w:rPr>
        <w:t>the right of everyone to the enjoyment of the highest attainable standard of physical and mental health.</w:t>
      </w:r>
      <w:r w:rsidR="00BD6D94">
        <w:rPr>
          <w:rFonts w:ascii="Garamond" w:hAnsi="Garamond"/>
          <w:sz w:val="22"/>
          <w:szCs w:val="22"/>
        </w:rPr>
        <w:t>”</w:t>
      </w:r>
      <w:r w:rsidR="00BD6D94">
        <w:rPr>
          <w:rStyle w:val="FootnoteReference"/>
          <w:rFonts w:ascii="Garamond" w:hAnsi="Garamond"/>
          <w:sz w:val="22"/>
          <w:szCs w:val="22"/>
        </w:rPr>
        <w:footnoteReference w:id="29"/>
      </w:r>
      <w:r w:rsidR="00BD6D94" w:rsidRPr="00003CF5">
        <w:rPr>
          <w:rFonts w:ascii="Garamond" w:hAnsi="Garamond"/>
          <w:sz w:val="22"/>
          <w:szCs w:val="22"/>
        </w:rPr>
        <w:t xml:space="preserve"> </w:t>
      </w:r>
      <w:r w:rsidR="00EA56FE" w:rsidRPr="001A77CB">
        <w:rPr>
          <w:rFonts w:ascii="Garamond" w:hAnsi="Garamond"/>
          <w:sz w:val="22"/>
          <w:szCs w:val="22"/>
        </w:rPr>
        <w:t xml:space="preserve">Article 15.1.b recognizes </w:t>
      </w:r>
      <w:r w:rsidR="00EA56FE">
        <w:rPr>
          <w:rFonts w:ascii="Garamond" w:hAnsi="Garamond"/>
          <w:sz w:val="22"/>
          <w:szCs w:val="22"/>
        </w:rPr>
        <w:t>“</w:t>
      </w:r>
      <w:r w:rsidR="00EA56FE" w:rsidRPr="001A77CB">
        <w:rPr>
          <w:rFonts w:ascii="Garamond" w:hAnsi="Garamond"/>
          <w:sz w:val="22"/>
          <w:szCs w:val="22"/>
        </w:rPr>
        <w:t>the right of everyone to enjoy the benefits of scientific progress and its applications.</w:t>
      </w:r>
      <w:r w:rsidR="00EA56FE">
        <w:rPr>
          <w:rFonts w:ascii="Garamond" w:hAnsi="Garamond"/>
          <w:sz w:val="22"/>
          <w:szCs w:val="22"/>
        </w:rPr>
        <w:t>”</w:t>
      </w:r>
      <w:r w:rsidR="00EA56FE">
        <w:rPr>
          <w:rStyle w:val="FootnoteReference"/>
          <w:rFonts w:ascii="Garamond" w:hAnsi="Garamond"/>
          <w:sz w:val="22"/>
          <w:szCs w:val="22"/>
        </w:rPr>
        <w:footnoteReference w:id="30"/>
      </w:r>
      <w:r w:rsidR="00EA56FE" w:rsidRPr="001A77CB">
        <w:rPr>
          <w:rFonts w:ascii="Garamond" w:hAnsi="Garamond"/>
          <w:sz w:val="22"/>
          <w:szCs w:val="22"/>
        </w:rPr>
        <w:t xml:space="preserve"> Deterring women from seeking abortion</w:t>
      </w:r>
      <w:r w:rsidR="00EA56FE">
        <w:rPr>
          <w:rFonts w:ascii="Garamond" w:hAnsi="Garamond"/>
          <w:sz w:val="22"/>
          <w:szCs w:val="22"/>
        </w:rPr>
        <w:t>s</w:t>
      </w:r>
      <w:r w:rsidR="00EA56FE" w:rsidRPr="001A77CB">
        <w:rPr>
          <w:rFonts w:ascii="Garamond" w:hAnsi="Garamond"/>
          <w:sz w:val="22"/>
          <w:szCs w:val="22"/>
        </w:rPr>
        <w:t xml:space="preserve"> that would be medically safe when performed legally, under safe conditions, is a denial of the enjoyment of the scientific progress in the field of reproductive health.</w:t>
      </w:r>
    </w:p>
    <w:p w14:paraId="12F922D5" w14:textId="33344057" w:rsidR="00CA3E8D" w:rsidRDefault="00A069BA" w:rsidP="006912DA">
      <w:pPr>
        <w:pStyle w:val="NormalWeb"/>
        <w:widowControl w:val="0"/>
        <w:tabs>
          <w:tab w:val="right" w:leader="dot" w:pos="9270"/>
        </w:tabs>
        <w:spacing w:before="0" w:beforeAutospacing="0" w:after="0" w:afterAutospacing="0" w:line="360" w:lineRule="auto"/>
        <w:ind w:left="-360" w:right="-274" w:firstLine="547"/>
        <w:jc w:val="both"/>
        <w:rPr>
          <w:rFonts w:ascii="Garamond" w:hAnsi="Garamond"/>
          <w:sz w:val="22"/>
          <w:szCs w:val="22"/>
        </w:rPr>
      </w:pPr>
      <w:r>
        <w:rPr>
          <w:rFonts w:ascii="Garamond" w:hAnsi="Garamond"/>
          <w:sz w:val="22"/>
          <w:szCs w:val="22"/>
        </w:rPr>
        <w:t xml:space="preserve">(21) </w:t>
      </w:r>
      <w:r w:rsidR="00BD6D94" w:rsidRPr="00003CF5">
        <w:rPr>
          <w:rFonts w:ascii="Garamond" w:hAnsi="Garamond"/>
          <w:sz w:val="22"/>
          <w:szCs w:val="22"/>
        </w:rPr>
        <w:t>The right to health includes a right to sexual health</w:t>
      </w:r>
      <w:r w:rsidR="00BD6D94">
        <w:rPr>
          <w:rFonts w:ascii="Garamond" w:hAnsi="Garamond"/>
          <w:sz w:val="22"/>
          <w:szCs w:val="22"/>
        </w:rPr>
        <w:t xml:space="preserve">. </w:t>
      </w:r>
      <w:r w:rsidR="00BD6D94" w:rsidRPr="00003CF5">
        <w:rPr>
          <w:rFonts w:ascii="Garamond" w:hAnsi="Garamond"/>
          <w:sz w:val="22"/>
          <w:szCs w:val="22"/>
        </w:rPr>
        <w:t>In General Comment 22, this Committee noted that access to reproductive health must not be denied or limited by the State through laws criminalizing reproductive health services.</w:t>
      </w:r>
      <w:r w:rsidR="00BD6D94" w:rsidRPr="00003CF5">
        <w:rPr>
          <w:rStyle w:val="FootnoteReference"/>
          <w:rFonts w:ascii="Garamond" w:hAnsi="Garamond"/>
          <w:sz w:val="22"/>
          <w:szCs w:val="22"/>
        </w:rPr>
        <w:footnoteReference w:id="31"/>
      </w:r>
      <w:r w:rsidR="006912DA">
        <w:rPr>
          <w:rFonts w:ascii="Garamond" w:hAnsi="Garamond"/>
          <w:sz w:val="22"/>
          <w:szCs w:val="22"/>
        </w:rPr>
        <w:t xml:space="preserve"> </w:t>
      </w:r>
      <w:r w:rsidR="00CA3E8D">
        <w:rPr>
          <w:rFonts w:ascii="Garamond" w:hAnsi="Garamond"/>
          <w:sz w:val="22"/>
          <w:szCs w:val="22"/>
        </w:rPr>
        <w:t>In the concluding observations on Bolivia’s third periodic report, this Committee addressed the criminalization of abortion by acknowledging the regretful “persistence of unsafe abortions due to the criminalization of abortion and the obstacles women face in obtaining access to safe abortions…”</w:t>
      </w:r>
      <w:r w:rsidR="00CA3E8D">
        <w:rPr>
          <w:rStyle w:val="FootnoteReference"/>
          <w:rFonts w:ascii="Garamond" w:hAnsi="Garamond"/>
          <w:sz w:val="22"/>
          <w:szCs w:val="22"/>
        </w:rPr>
        <w:footnoteReference w:id="32"/>
      </w:r>
      <w:r w:rsidR="00CA3E8D">
        <w:rPr>
          <w:rFonts w:ascii="Garamond" w:hAnsi="Garamond"/>
          <w:sz w:val="22"/>
          <w:szCs w:val="22"/>
        </w:rPr>
        <w:t xml:space="preserve"> This Committee urged Bolivia to “ensure that women who seek abortions are not held criminally responsible…” and recognized that criminal legislation that prohibits abortion is incompatible with “women’s rights, including the right to life and to physical and mental health.”</w:t>
      </w:r>
      <w:r w:rsidR="00CA3E8D">
        <w:rPr>
          <w:rStyle w:val="FootnoteReference"/>
          <w:rFonts w:ascii="Garamond" w:hAnsi="Garamond"/>
          <w:sz w:val="22"/>
          <w:szCs w:val="22"/>
        </w:rPr>
        <w:footnoteReference w:id="33"/>
      </w:r>
    </w:p>
    <w:p w14:paraId="69281679" w14:textId="6C07FB54" w:rsidR="00CA3E8D" w:rsidRDefault="00CA3E8D" w:rsidP="00CA3E8D">
      <w:pPr>
        <w:pStyle w:val="NormalWeb"/>
        <w:widowControl w:val="0"/>
        <w:tabs>
          <w:tab w:val="right" w:leader="dot" w:pos="9270"/>
        </w:tabs>
        <w:spacing w:before="0" w:beforeAutospacing="0" w:after="0" w:afterAutospacing="0" w:line="360" w:lineRule="auto"/>
        <w:ind w:left="-360" w:right="-274" w:firstLine="547"/>
        <w:jc w:val="both"/>
        <w:rPr>
          <w:rFonts w:ascii="Garamond" w:hAnsi="Garamond"/>
          <w:sz w:val="22"/>
          <w:szCs w:val="22"/>
        </w:rPr>
      </w:pPr>
      <w:r>
        <w:rPr>
          <w:rFonts w:ascii="Garamond" w:hAnsi="Garamond"/>
          <w:sz w:val="22"/>
          <w:szCs w:val="22"/>
        </w:rPr>
        <w:t>(</w:t>
      </w:r>
      <w:r w:rsidR="00A069BA">
        <w:rPr>
          <w:rFonts w:ascii="Garamond" w:hAnsi="Garamond"/>
          <w:sz w:val="22"/>
          <w:szCs w:val="22"/>
        </w:rPr>
        <w:t>22</w:t>
      </w:r>
      <w:r>
        <w:rPr>
          <w:rFonts w:ascii="Garamond" w:hAnsi="Garamond"/>
          <w:sz w:val="22"/>
          <w:szCs w:val="22"/>
        </w:rPr>
        <w:t>) In the concluding observations on Panama’s third periodic report, this Committee again highlighted the connection between criminalization of abortion and unsafe abortions and asked the state to “revise the current prohibition” and specifically acknowledged the misalignment with the right to health and the right to life and dignity that abortion restrictions produce.</w:t>
      </w:r>
      <w:r>
        <w:rPr>
          <w:rStyle w:val="FootnoteReference"/>
          <w:rFonts w:ascii="Garamond" w:hAnsi="Garamond"/>
          <w:sz w:val="22"/>
          <w:szCs w:val="22"/>
        </w:rPr>
        <w:footnoteReference w:id="34"/>
      </w:r>
    </w:p>
    <w:p w14:paraId="24899134" w14:textId="4A28BBBF" w:rsidR="00EA56FE" w:rsidRDefault="00EA56FE" w:rsidP="006912DA">
      <w:pPr>
        <w:pStyle w:val="NormalWeb"/>
        <w:widowControl w:val="0"/>
        <w:tabs>
          <w:tab w:val="right" w:leader="dot" w:pos="9270"/>
        </w:tabs>
        <w:spacing w:before="0" w:beforeAutospacing="0" w:after="0" w:afterAutospacing="0" w:line="360" w:lineRule="auto"/>
        <w:ind w:left="-360" w:right="-274" w:firstLine="547"/>
        <w:jc w:val="both"/>
        <w:rPr>
          <w:rFonts w:ascii="Garamond" w:hAnsi="Garamond"/>
          <w:sz w:val="22"/>
          <w:szCs w:val="22"/>
        </w:rPr>
      </w:pPr>
      <w:r>
        <w:rPr>
          <w:rFonts w:ascii="Garamond" w:hAnsi="Garamond"/>
          <w:sz w:val="22"/>
          <w:szCs w:val="22"/>
        </w:rPr>
        <w:t>(</w:t>
      </w:r>
      <w:r w:rsidR="00A069BA">
        <w:rPr>
          <w:rFonts w:ascii="Garamond" w:hAnsi="Garamond"/>
          <w:sz w:val="22"/>
          <w:szCs w:val="22"/>
        </w:rPr>
        <w:t>23</w:t>
      </w:r>
      <w:r>
        <w:rPr>
          <w:rFonts w:ascii="Garamond" w:hAnsi="Garamond"/>
          <w:sz w:val="22"/>
          <w:szCs w:val="22"/>
        </w:rPr>
        <w:t xml:space="preserve">) </w:t>
      </w:r>
      <w:r w:rsidRPr="00003CF5">
        <w:rPr>
          <w:rFonts w:ascii="Garamond" w:hAnsi="Garamond"/>
          <w:sz w:val="22"/>
          <w:szCs w:val="22"/>
        </w:rPr>
        <w:t xml:space="preserve">This Committee acknowledged that the denial of abortion services often leads to </w:t>
      </w:r>
      <w:r>
        <w:rPr>
          <w:rFonts w:ascii="Garamond" w:hAnsi="Garamond"/>
          <w:sz w:val="22"/>
          <w:szCs w:val="22"/>
        </w:rPr>
        <w:t xml:space="preserve">higher </w:t>
      </w:r>
      <w:r w:rsidRPr="00003CF5">
        <w:rPr>
          <w:rFonts w:ascii="Garamond" w:hAnsi="Garamond"/>
          <w:sz w:val="22"/>
          <w:szCs w:val="22"/>
        </w:rPr>
        <w:t>maternal mortality and morbidity and recognized the role that unsafe abortion plays in contributing to these medical conditions.</w:t>
      </w:r>
      <w:r w:rsidRPr="00003CF5">
        <w:rPr>
          <w:rStyle w:val="FootnoteReference"/>
          <w:rFonts w:ascii="Garamond" w:hAnsi="Garamond"/>
          <w:sz w:val="22"/>
          <w:szCs w:val="22"/>
        </w:rPr>
        <w:footnoteReference w:id="35"/>
      </w:r>
      <w:r>
        <w:rPr>
          <w:rFonts w:ascii="Garamond" w:hAnsi="Garamond"/>
          <w:sz w:val="22"/>
          <w:szCs w:val="22"/>
        </w:rPr>
        <w:t xml:space="preserve"> When abortion is restricted and/or vaguely regulated, women risk their physical health.</w:t>
      </w:r>
      <w:r>
        <w:rPr>
          <w:rStyle w:val="FootnoteReference"/>
          <w:rFonts w:ascii="Garamond" w:hAnsi="Garamond"/>
          <w:sz w:val="22"/>
          <w:szCs w:val="22"/>
        </w:rPr>
        <w:footnoteReference w:id="36"/>
      </w:r>
      <w:r>
        <w:rPr>
          <w:rFonts w:ascii="Garamond" w:hAnsi="Garamond"/>
          <w:sz w:val="22"/>
          <w:szCs w:val="22"/>
        </w:rPr>
        <w:t xml:space="preserve"> Understandably, m</w:t>
      </w:r>
      <w:r w:rsidRPr="00003CF5">
        <w:rPr>
          <w:rFonts w:ascii="Garamond" w:hAnsi="Garamond"/>
          <w:sz w:val="22"/>
          <w:szCs w:val="22"/>
        </w:rPr>
        <w:t xml:space="preserve">ost women </w:t>
      </w:r>
      <w:r>
        <w:rPr>
          <w:rFonts w:ascii="Garamond" w:hAnsi="Garamond"/>
          <w:sz w:val="22"/>
          <w:szCs w:val="22"/>
        </w:rPr>
        <w:t xml:space="preserve">will </w:t>
      </w:r>
      <w:r w:rsidRPr="00003CF5">
        <w:rPr>
          <w:rFonts w:ascii="Garamond" w:hAnsi="Garamond"/>
          <w:sz w:val="22"/>
          <w:szCs w:val="22"/>
        </w:rPr>
        <w:t>resort to less safe abortion methods from unskilled providers, traditional healers or self-induced</w:t>
      </w:r>
      <w:r>
        <w:rPr>
          <w:rFonts w:ascii="Garamond" w:hAnsi="Garamond"/>
          <w:sz w:val="22"/>
          <w:szCs w:val="22"/>
        </w:rPr>
        <w:t xml:space="preserve"> approaches</w:t>
      </w:r>
      <w:r w:rsidRPr="00003CF5">
        <w:rPr>
          <w:rFonts w:ascii="Garamond" w:hAnsi="Garamond"/>
          <w:sz w:val="22"/>
          <w:szCs w:val="22"/>
        </w:rPr>
        <w:t xml:space="preserve">, </w:t>
      </w:r>
      <w:r>
        <w:rPr>
          <w:rFonts w:ascii="Garamond" w:hAnsi="Garamond"/>
          <w:sz w:val="22"/>
          <w:szCs w:val="22"/>
        </w:rPr>
        <w:t xml:space="preserve">often </w:t>
      </w:r>
      <w:r w:rsidRPr="00003CF5">
        <w:rPr>
          <w:rFonts w:ascii="Garamond" w:hAnsi="Garamond"/>
          <w:sz w:val="22"/>
          <w:szCs w:val="22"/>
        </w:rPr>
        <w:lastRenderedPageBreak/>
        <w:t>based on the advice of friends and family.</w:t>
      </w:r>
      <w:r w:rsidRPr="00003CF5">
        <w:rPr>
          <w:rStyle w:val="FootnoteReference"/>
          <w:rFonts w:ascii="Garamond" w:hAnsi="Garamond"/>
          <w:sz w:val="22"/>
          <w:szCs w:val="22"/>
        </w:rPr>
        <w:footnoteReference w:id="37"/>
      </w:r>
      <w:r w:rsidRPr="00003CF5">
        <w:rPr>
          <w:rFonts w:ascii="Garamond" w:hAnsi="Garamond"/>
          <w:sz w:val="22"/>
          <w:szCs w:val="22"/>
        </w:rPr>
        <w:t xml:space="preserve"> T</w:t>
      </w:r>
      <w:r>
        <w:rPr>
          <w:rFonts w:ascii="Garamond" w:hAnsi="Garamond"/>
          <w:sz w:val="22"/>
          <w:szCs w:val="22"/>
        </w:rPr>
        <w:t>raditional</w:t>
      </w:r>
      <w:r w:rsidRPr="00003CF5">
        <w:rPr>
          <w:rFonts w:ascii="Garamond" w:hAnsi="Garamond"/>
          <w:sz w:val="22"/>
          <w:szCs w:val="22"/>
        </w:rPr>
        <w:t xml:space="preserve"> methods include</w:t>
      </w:r>
      <w:r>
        <w:rPr>
          <w:rFonts w:ascii="Garamond" w:hAnsi="Garamond"/>
          <w:sz w:val="22"/>
          <w:szCs w:val="22"/>
        </w:rPr>
        <w:t xml:space="preserve"> herbal concoctions and inserting sharp objects into the uterus.</w:t>
      </w:r>
      <w:r>
        <w:rPr>
          <w:rStyle w:val="FootnoteReference"/>
          <w:rFonts w:ascii="Garamond" w:hAnsi="Garamond"/>
          <w:sz w:val="22"/>
          <w:szCs w:val="22"/>
        </w:rPr>
        <w:footnoteReference w:id="38"/>
      </w:r>
      <w:r w:rsidRPr="00003CF5">
        <w:rPr>
          <w:rFonts w:ascii="Garamond" w:hAnsi="Garamond"/>
          <w:sz w:val="22"/>
          <w:szCs w:val="22"/>
        </w:rPr>
        <w:t xml:space="preserve"> When not causing death, these methods can lead to permanent infertility and trauma to internal organs.</w:t>
      </w:r>
      <w:r w:rsidRPr="00003CF5">
        <w:rPr>
          <w:rStyle w:val="FootnoteReference"/>
          <w:rFonts w:ascii="Garamond" w:hAnsi="Garamond"/>
          <w:sz w:val="22"/>
          <w:szCs w:val="22"/>
        </w:rPr>
        <w:footnoteReference w:id="39"/>
      </w:r>
      <w:r w:rsidR="006912DA">
        <w:rPr>
          <w:rFonts w:ascii="Garamond" w:hAnsi="Garamond"/>
          <w:sz w:val="22"/>
          <w:szCs w:val="22"/>
        </w:rPr>
        <w:t xml:space="preserve"> Criminalization of abortion</w:t>
      </w:r>
      <w:r>
        <w:rPr>
          <w:rFonts w:ascii="Garamond" w:hAnsi="Garamond"/>
          <w:sz w:val="22"/>
          <w:szCs w:val="22"/>
        </w:rPr>
        <w:t xml:space="preserve"> </w:t>
      </w:r>
      <w:r w:rsidR="006912DA">
        <w:rPr>
          <w:rFonts w:ascii="Garamond" w:hAnsi="Garamond"/>
          <w:sz w:val="22"/>
          <w:szCs w:val="22"/>
        </w:rPr>
        <w:t xml:space="preserve">also </w:t>
      </w:r>
      <w:r>
        <w:rPr>
          <w:rFonts w:ascii="Garamond" w:hAnsi="Garamond"/>
          <w:sz w:val="22"/>
          <w:szCs w:val="22"/>
        </w:rPr>
        <w:t>deter</w:t>
      </w:r>
      <w:r w:rsidR="006912DA">
        <w:rPr>
          <w:rFonts w:ascii="Garamond" w:hAnsi="Garamond"/>
          <w:sz w:val="22"/>
          <w:szCs w:val="22"/>
        </w:rPr>
        <w:t>s</w:t>
      </w:r>
      <w:r>
        <w:rPr>
          <w:rFonts w:ascii="Garamond" w:hAnsi="Garamond"/>
          <w:sz w:val="22"/>
          <w:szCs w:val="22"/>
        </w:rPr>
        <w:t xml:space="preserve"> women from seeking medical treatment following an unsafe abortion.</w:t>
      </w:r>
      <w:r>
        <w:rPr>
          <w:rStyle w:val="FootnoteReference"/>
          <w:rFonts w:ascii="Garamond" w:hAnsi="Garamond"/>
          <w:sz w:val="22"/>
          <w:szCs w:val="22"/>
        </w:rPr>
        <w:footnoteReference w:id="40"/>
      </w:r>
      <w:r>
        <w:rPr>
          <w:rFonts w:ascii="Garamond" w:hAnsi="Garamond"/>
          <w:sz w:val="22"/>
          <w:szCs w:val="22"/>
        </w:rPr>
        <w:t xml:space="preserve"> An estimated 22% of women do not treat their complications, which threatens their life, well-being and the potential to have children in the future.</w:t>
      </w:r>
      <w:r>
        <w:rPr>
          <w:rStyle w:val="FootnoteReference"/>
          <w:rFonts w:ascii="Garamond" w:hAnsi="Garamond"/>
          <w:sz w:val="22"/>
          <w:szCs w:val="22"/>
        </w:rPr>
        <w:footnoteReference w:id="41"/>
      </w:r>
      <w:r>
        <w:rPr>
          <w:rFonts w:ascii="Garamond" w:hAnsi="Garamond"/>
          <w:sz w:val="22"/>
          <w:szCs w:val="22"/>
        </w:rPr>
        <w:t xml:space="preserve"> </w:t>
      </w:r>
    </w:p>
    <w:p w14:paraId="33D86BAD" w14:textId="57B4AFC1" w:rsidR="00EA56FE" w:rsidRDefault="00C72135" w:rsidP="00EA56FE">
      <w:pPr>
        <w:pStyle w:val="NormalWeb"/>
        <w:widowControl w:val="0"/>
        <w:tabs>
          <w:tab w:val="right" w:leader="dot" w:pos="9270"/>
        </w:tabs>
        <w:spacing w:before="0" w:beforeAutospacing="0" w:after="0" w:afterAutospacing="0" w:line="360" w:lineRule="auto"/>
        <w:ind w:left="-360" w:right="-274" w:firstLine="547"/>
        <w:jc w:val="both"/>
        <w:rPr>
          <w:rFonts w:ascii="Garamond" w:hAnsi="Garamond"/>
          <w:sz w:val="22"/>
          <w:szCs w:val="22"/>
        </w:rPr>
      </w:pPr>
      <w:r>
        <w:rPr>
          <w:rFonts w:ascii="Garamond" w:hAnsi="Garamond"/>
          <w:sz w:val="22"/>
          <w:szCs w:val="22"/>
        </w:rPr>
        <w:t>(</w:t>
      </w:r>
      <w:r w:rsidR="00A069BA">
        <w:rPr>
          <w:rFonts w:ascii="Garamond" w:hAnsi="Garamond"/>
          <w:sz w:val="22"/>
          <w:szCs w:val="22"/>
        </w:rPr>
        <w:t>24</w:t>
      </w:r>
      <w:r>
        <w:rPr>
          <w:rFonts w:ascii="Garamond" w:hAnsi="Garamond"/>
          <w:sz w:val="22"/>
          <w:szCs w:val="22"/>
        </w:rPr>
        <w:t xml:space="preserve">) </w:t>
      </w:r>
      <w:r w:rsidR="00EA56FE">
        <w:rPr>
          <w:rFonts w:ascii="Garamond" w:hAnsi="Garamond"/>
          <w:sz w:val="22"/>
          <w:szCs w:val="22"/>
        </w:rPr>
        <w:t>Criminalization of abortion affects also women’s mental health.</w:t>
      </w:r>
      <w:r w:rsidR="00EA56FE">
        <w:rPr>
          <w:rStyle w:val="FootnoteReference"/>
          <w:rFonts w:ascii="Garamond" w:hAnsi="Garamond"/>
          <w:sz w:val="22"/>
          <w:szCs w:val="22"/>
        </w:rPr>
        <w:footnoteReference w:id="42"/>
      </w:r>
      <w:r w:rsidR="00EA56FE">
        <w:rPr>
          <w:rFonts w:ascii="Garamond" w:hAnsi="Garamond"/>
          <w:sz w:val="22"/>
          <w:szCs w:val="22"/>
        </w:rPr>
        <w:t xml:space="preserve"> </w:t>
      </w:r>
      <w:r w:rsidR="00EA56FE" w:rsidRPr="00003CF5">
        <w:rPr>
          <w:rFonts w:ascii="Garamond" w:hAnsi="Garamond"/>
          <w:sz w:val="22"/>
          <w:szCs w:val="22"/>
        </w:rPr>
        <w:t xml:space="preserve">International human rights law protects mental health as much as physical health. </w:t>
      </w:r>
      <w:r w:rsidR="00EA56FE">
        <w:rPr>
          <w:rFonts w:ascii="Garamond" w:hAnsi="Garamond"/>
          <w:sz w:val="22"/>
          <w:szCs w:val="22"/>
        </w:rPr>
        <w:t>T</w:t>
      </w:r>
      <w:r w:rsidR="00EA56FE" w:rsidRPr="00003CF5">
        <w:rPr>
          <w:rFonts w:ascii="Garamond" w:hAnsi="Garamond"/>
          <w:sz w:val="22"/>
          <w:szCs w:val="22"/>
        </w:rPr>
        <w:t xml:space="preserve">he World Health Organization </w:t>
      </w:r>
      <w:r w:rsidR="00EA56FE">
        <w:rPr>
          <w:rFonts w:ascii="Garamond" w:hAnsi="Garamond"/>
          <w:sz w:val="22"/>
          <w:szCs w:val="22"/>
        </w:rPr>
        <w:t xml:space="preserve">(WHO) </w:t>
      </w:r>
      <w:r w:rsidR="00EA56FE" w:rsidRPr="00003CF5">
        <w:rPr>
          <w:rFonts w:ascii="Garamond" w:hAnsi="Garamond"/>
          <w:sz w:val="22"/>
          <w:szCs w:val="22"/>
        </w:rPr>
        <w:t xml:space="preserve">defines sexual health as “a state of physical, emotional, </w:t>
      </w:r>
      <w:r w:rsidR="00EA56FE" w:rsidRPr="00003CF5">
        <w:rPr>
          <w:rFonts w:ascii="Garamond" w:hAnsi="Garamond"/>
          <w:i/>
          <w:iCs/>
          <w:sz w:val="22"/>
          <w:szCs w:val="22"/>
        </w:rPr>
        <w:t>mental</w:t>
      </w:r>
      <w:r w:rsidR="00EA56FE" w:rsidRPr="00003CF5">
        <w:rPr>
          <w:rFonts w:ascii="Garamond" w:hAnsi="Garamond"/>
          <w:sz w:val="22"/>
          <w:szCs w:val="22"/>
        </w:rPr>
        <w:t xml:space="preserve"> and social well-being in relation to sexuality.”</w:t>
      </w:r>
      <w:r w:rsidR="00EA56FE" w:rsidRPr="00003CF5">
        <w:rPr>
          <w:rStyle w:val="FootnoteReference"/>
          <w:rFonts w:ascii="Garamond" w:hAnsi="Garamond"/>
          <w:sz w:val="22"/>
          <w:szCs w:val="22"/>
        </w:rPr>
        <w:footnoteReference w:id="43"/>
      </w:r>
    </w:p>
    <w:p w14:paraId="4F961960" w14:textId="34CA0608" w:rsidR="006912DA" w:rsidRDefault="00EA56FE" w:rsidP="006912DA">
      <w:pPr>
        <w:pStyle w:val="NormalWeb"/>
        <w:widowControl w:val="0"/>
        <w:tabs>
          <w:tab w:val="right" w:leader="dot" w:pos="9270"/>
        </w:tabs>
        <w:spacing w:before="0" w:beforeAutospacing="0" w:after="0" w:afterAutospacing="0" w:line="360" w:lineRule="auto"/>
        <w:ind w:left="-360" w:right="-274" w:firstLine="547"/>
        <w:jc w:val="both"/>
        <w:rPr>
          <w:rFonts w:ascii="Garamond" w:hAnsi="Garamond"/>
          <w:sz w:val="22"/>
          <w:szCs w:val="22"/>
        </w:rPr>
      </w:pPr>
      <w:r>
        <w:rPr>
          <w:rFonts w:ascii="Garamond" w:hAnsi="Garamond"/>
          <w:sz w:val="22"/>
          <w:szCs w:val="22"/>
        </w:rPr>
        <w:t>(</w:t>
      </w:r>
      <w:r w:rsidR="00A069BA">
        <w:rPr>
          <w:rFonts w:ascii="Garamond" w:hAnsi="Garamond"/>
          <w:sz w:val="22"/>
          <w:szCs w:val="22"/>
        </w:rPr>
        <w:t>25</w:t>
      </w:r>
      <w:r>
        <w:rPr>
          <w:rFonts w:ascii="Garamond" w:hAnsi="Garamond"/>
          <w:sz w:val="22"/>
          <w:szCs w:val="22"/>
        </w:rPr>
        <w:t xml:space="preserve">) </w:t>
      </w:r>
      <w:r w:rsidR="006912DA">
        <w:rPr>
          <w:rFonts w:ascii="Garamond" w:hAnsi="Garamond"/>
          <w:sz w:val="22"/>
          <w:szCs w:val="22"/>
        </w:rPr>
        <w:t>C</w:t>
      </w:r>
      <w:r>
        <w:rPr>
          <w:rFonts w:ascii="Garamond" w:hAnsi="Garamond"/>
          <w:sz w:val="22"/>
          <w:szCs w:val="22"/>
        </w:rPr>
        <w:t>riminalization of abortion directly contributes to abortion stigma which can be detrimental to women’s mental health.</w:t>
      </w:r>
      <w:r>
        <w:rPr>
          <w:rStyle w:val="FootnoteReference"/>
          <w:rFonts w:ascii="Garamond" w:hAnsi="Garamond"/>
          <w:sz w:val="22"/>
          <w:szCs w:val="22"/>
        </w:rPr>
        <w:footnoteReference w:id="44"/>
      </w:r>
      <w:r>
        <w:rPr>
          <w:rFonts w:ascii="Garamond" w:hAnsi="Garamond"/>
          <w:sz w:val="22"/>
          <w:szCs w:val="22"/>
        </w:rPr>
        <w:t xml:space="preserve"> </w:t>
      </w:r>
      <w:r w:rsidRPr="00AB2DAF">
        <w:rPr>
          <w:rFonts w:ascii="Garamond" w:hAnsi="Garamond"/>
          <w:sz w:val="22"/>
          <w:szCs w:val="22"/>
        </w:rPr>
        <w:t xml:space="preserve">As the </w:t>
      </w:r>
      <w:r w:rsidRPr="00FE217B">
        <w:rPr>
          <w:rFonts w:ascii="Garamond" w:hAnsi="Garamond"/>
          <w:sz w:val="22"/>
          <w:szCs w:val="22"/>
        </w:rPr>
        <w:t>Special Rapporteur on the Right of Everyone to the Enjoyment of the Highest Attainable Standard of Physical and Mental Health recognized in a 2011 report,</w:t>
      </w:r>
      <w:r w:rsidRPr="00AB2DAF">
        <w:rPr>
          <w:rFonts w:ascii="Garamond" w:hAnsi="Garamond"/>
          <w:sz w:val="22"/>
          <w:szCs w:val="22"/>
        </w:rPr>
        <w:t>“[</w:t>
      </w:r>
      <w:proofErr w:type="spellStart"/>
      <w:r w:rsidRPr="00AB2DAF">
        <w:rPr>
          <w:rFonts w:ascii="Garamond" w:hAnsi="Garamond"/>
          <w:sz w:val="22"/>
          <w:szCs w:val="22"/>
        </w:rPr>
        <w:t>i</w:t>
      </w:r>
      <w:proofErr w:type="spellEnd"/>
      <w:r w:rsidRPr="00AB2DAF">
        <w:rPr>
          <w:rFonts w:ascii="Garamond" w:hAnsi="Garamond"/>
          <w:sz w:val="22"/>
          <w:szCs w:val="22"/>
        </w:rPr>
        <w:t xml:space="preserve">]n </w:t>
      </w:r>
      <w:r w:rsidRPr="00864A60">
        <w:rPr>
          <w:rFonts w:ascii="Garamond" w:hAnsi="Garamond"/>
          <w:sz w:val="22"/>
          <w:szCs w:val="22"/>
        </w:rPr>
        <w:t>some cases, women have committed suicide because of accumulated pressures and stigma related to abortion</w:t>
      </w:r>
      <w:r>
        <w:rPr>
          <w:rFonts w:ascii="Garamond" w:hAnsi="Garamond"/>
          <w:sz w:val="22"/>
          <w:szCs w:val="22"/>
        </w:rPr>
        <w:t>.”</w:t>
      </w:r>
      <w:r>
        <w:rPr>
          <w:rStyle w:val="FootnoteReference"/>
          <w:rFonts w:ascii="Garamond" w:hAnsi="Garamond"/>
          <w:sz w:val="22"/>
          <w:szCs w:val="22"/>
        </w:rPr>
        <w:footnoteReference w:id="45"/>
      </w:r>
      <w:r w:rsidR="006912DA">
        <w:rPr>
          <w:rFonts w:ascii="Garamond" w:hAnsi="Garamond"/>
          <w:sz w:val="22"/>
          <w:szCs w:val="22"/>
        </w:rPr>
        <w:t xml:space="preserve"> A recent incident</w:t>
      </w:r>
      <w:r w:rsidR="006912DA" w:rsidRPr="007D1819">
        <w:rPr>
          <w:rFonts w:ascii="Garamond" w:hAnsi="Garamond"/>
          <w:sz w:val="22"/>
          <w:szCs w:val="22"/>
        </w:rPr>
        <w:t xml:space="preserve"> </w:t>
      </w:r>
      <w:r w:rsidR="006912DA">
        <w:rPr>
          <w:rFonts w:ascii="Garamond" w:hAnsi="Garamond"/>
          <w:sz w:val="22"/>
          <w:szCs w:val="22"/>
        </w:rPr>
        <w:t>in Malawi involves a young</w:t>
      </w:r>
      <w:r w:rsidR="006912DA" w:rsidRPr="007D1819">
        <w:rPr>
          <w:rFonts w:ascii="Garamond" w:hAnsi="Garamond"/>
          <w:sz w:val="22"/>
          <w:szCs w:val="22"/>
        </w:rPr>
        <w:t xml:space="preserve"> girl </w:t>
      </w:r>
      <w:r w:rsidR="006912DA">
        <w:rPr>
          <w:rFonts w:ascii="Garamond" w:hAnsi="Garamond"/>
          <w:sz w:val="22"/>
          <w:szCs w:val="22"/>
        </w:rPr>
        <w:t xml:space="preserve">who </w:t>
      </w:r>
      <w:r w:rsidR="006912DA" w:rsidRPr="007D1819">
        <w:rPr>
          <w:rFonts w:ascii="Garamond" w:hAnsi="Garamond"/>
          <w:sz w:val="22"/>
          <w:szCs w:val="22"/>
        </w:rPr>
        <w:t xml:space="preserve">attempted suicide </w:t>
      </w:r>
      <w:r w:rsidR="006912DA">
        <w:rPr>
          <w:rFonts w:ascii="Garamond" w:hAnsi="Garamond"/>
          <w:sz w:val="22"/>
          <w:szCs w:val="22"/>
        </w:rPr>
        <w:t>because she was</w:t>
      </w:r>
      <w:r w:rsidR="006912DA" w:rsidRPr="007D1819">
        <w:rPr>
          <w:rFonts w:ascii="Garamond" w:hAnsi="Garamond"/>
          <w:sz w:val="22"/>
          <w:szCs w:val="22"/>
        </w:rPr>
        <w:t xml:space="preserve"> raped and </w:t>
      </w:r>
      <w:r w:rsidR="006912DA">
        <w:rPr>
          <w:rFonts w:ascii="Garamond" w:hAnsi="Garamond"/>
          <w:sz w:val="22"/>
          <w:szCs w:val="22"/>
        </w:rPr>
        <w:t xml:space="preserve">was </w:t>
      </w:r>
      <w:r w:rsidR="006912DA" w:rsidRPr="007D1819">
        <w:rPr>
          <w:rFonts w:ascii="Garamond" w:hAnsi="Garamond"/>
          <w:sz w:val="22"/>
          <w:szCs w:val="22"/>
        </w:rPr>
        <w:t xml:space="preserve">refused </w:t>
      </w:r>
      <w:r w:rsidR="006912DA">
        <w:rPr>
          <w:rFonts w:ascii="Garamond" w:hAnsi="Garamond"/>
          <w:sz w:val="22"/>
          <w:szCs w:val="22"/>
        </w:rPr>
        <w:t>access to abortion</w:t>
      </w:r>
      <w:r w:rsidR="006912DA" w:rsidRPr="007D1819">
        <w:rPr>
          <w:rFonts w:ascii="Garamond" w:hAnsi="Garamond"/>
          <w:sz w:val="22"/>
          <w:szCs w:val="22"/>
        </w:rPr>
        <w:t>.</w:t>
      </w:r>
      <w:r w:rsidR="006912DA">
        <w:rPr>
          <w:rStyle w:val="FootnoteReference"/>
          <w:rFonts w:ascii="Garamond" w:hAnsi="Garamond"/>
          <w:sz w:val="22"/>
          <w:szCs w:val="22"/>
        </w:rPr>
        <w:footnoteReference w:id="46"/>
      </w:r>
      <w:r w:rsidR="006912DA" w:rsidRPr="007D1819">
        <w:rPr>
          <w:rFonts w:ascii="Garamond" w:hAnsi="Garamond"/>
          <w:sz w:val="22"/>
          <w:szCs w:val="22"/>
        </w:rPr>
        <w:t xml:space="preserve"> </w:t>
      </w:r>
    </w:p>
    <w:p w14:paraId="51745E60" w14:textId="3511E698" w:rsidR="006912DA" w:rsidRDefault="006912DA" w:rsidP="006912DA">
      <w:pPr>
        <w:pStyle w:val="NormalWeb"/>
        <w:widowControl w:val="0"/>
        <w:tabs>
          <w:tab w:val="right" w:leader="dot" w:pos="9270"/>
        </w:tabs>
        <w:spacing w:before="0" w:beforeAutospacing="0" w:after="0" w:afterAutospacing="0" w:line="360" w:lineRule="auto"/>
        <w:ind w:left="-360" w:right="-274" w:firstLine="547"/>
        <w:jc w:val="both"/>
        <w:rPr>
          <w:rFonts w:ascii="Garamond" w:hAnsi="Garamond"/>
          <w:sz w:val="22"/>
          <w:szCs w:val="22"/>
        </w:rPr>
      </w:pPr>
      <w:r>
        <w:rPr>
          <w:rFonts w:ascii="Garamond" w:hAnsi="Garamond"/>
          <w:sz w:val="22"/>
          <w:szCs w:val="22"/>
        </w:rPr>
        <w:t>(</w:t>
      </w:r>
      <w:r w:rsidR="00A069BA">
        <w:rPr>
          <w:rFonts w:ascii="Garamond" w:hAnsi="Garamond"/>
          <w:sz w:val="22"/>
          <w:szCs w:val="22"/>
        </w:rPr>
        <w:t>26</w:t>
      </w:r>
      <w:r>
        <w:rPr>
          <w:rFonts w:ascii="Garamond" w:hAnsi="Garamond"/>
          <w:sz w:val="22"/>
          <w:szCs w:val="22"/>
        </w:rPr>
        <w:t xml:space="preserve">) </w:t>
      </w:r>
      <w:r w:rsidRPr="008472CB">
        <w:rPr>
          <w:rFonts w:ascii="Garamond" w:hAnsi="Garamond"/>
          <w:sz w:val="22"/>
          <w:szCs w:val="22"/>
        </w:rPr>
        <w:t xml:space="preserve">Criminalization </w:t>
      </w:r>
      <w:r>
        <w:rPr>
          <w:rFonts w:ascii="Garamond" w:hAnsi="Garamond"/>
          <w:sz w:val="22"/>
          <w:szCs w:val="22"/>
        </w:rPr>
        <w:t xml:space="preserve">of abortion discriminates against women. </w:t>
      </w:r>
      <w:r w:rsidRPr="00003CF5">
        <w:rPr>
          <w:rFonts w:ascii="Garamond" w:hAnsi="Garamond"/>
          <w:sz w:val="22"/>
          <w:szCs w:val="22"/>
        </w:rPr>
        <w:t>Article 3 of the Covenant requires States part</w:t>
      </w:r>
      <w:r>
        <w:rPr>
          <w:rFonts w:ascii="Garamond" w:hAnsi="Garamond"/>
          <w:sz w:val="22"/>
          <w:szCs w:val="22"/>
        </w:rPr>
        <w:t>ies</w:t>
      </w:r>
      <w:r w:rsidRPr="00003CF5">
        <w:rPr>
          <w:rFonts w:ascii="Garamond" w:hAnsi="Garamond"/>
          <w:sz w:val="22"/>
          <w:szCs w:val="22"/>
        </w:rPr>
        <w:t xml:space="preserve"> to ensure “the equal right of men and women to the enjoyment of all economic, social and cultural rights</w:t>
      </w:r>
      <w:r>
        <w:rPr>
          <w:rFonts w:ascii="Garamond" w:hAnsi="Garamond"/>
          <w:sz w:val="22"/>
          <w:szCs w:val="22"/>
        </w:rPr>
        <w:t>.</w:t>
      </w:r>
      <w:r w:rsidRPr="00003CF5">
        <w:rPr>
          <w:rFonts w:ascii="Garamond" w:hAnsi="Garamond"/>
          <w:sz w:val="22"/>
          <w:szCs w:val="22"/>
        </w:rPr>
        <w:t>”</w:t>
      </w:r>
      <w:r w:rsidRPr="00003CF5">
        <w:rPr>
          <w:rStyle w:val="FootnoteReference"/>
          <w:rFonts w:ascii="Garamond" w:hAnsi="Garamond"/>
          <w:sz w:val="22"/>
          <w:szCs w:val="22"/>
        </w:rPr>
        <w:footnoteReference w:id="47"/>
      </w:r>
      <w:r>
        <w:rPr>
          <w:rFonts w:ascii="Garamond" w:hAnsi="Garamond"/>
          <w:sz w:val="22"/>
          <w:szCs w:val="22"/>
        </w:rPr>
        <w:t xml:space="preserve"> </w:t>
      </w:r>
      <w:r w:rsidRPr="008472CB">
        <w:rPr>
          <w:rFonts w:ascii="Garamond" w:hAnsi="Garamond"/>
          <w:sz w:val="22"/>
          <w:szCs w:val="22"/>
        </w:rPr>
        <w:t xml:space="preserve">Criminalization </w:t>
      </w:r>
      <w:r>
        <w:rPr>
          <w:rFonts w:ascii="Garamond" w:hAnsi="Garamond"/>
          <w:sz w:val="22"/>
          <w:szCs w:val="22"/>
        </w:rPr>
        <w:t>of abortion particularly</w:t>
      </w:r>
      <w:r w:rsidRPr="008472CB">
        <w:rPr>
          <w:rFonts w:ascii="Garamond" w:hAnsi="Garamond"/>
          <w:sz w:val="22"/>
          <w:szCs w:val="22"/>
        </w:rPr>
        <w:t xml:space="preserve"> impacts women by perpetuating stigma surrounding abortion</w:t>
      </w:r>
      <w:r>
        <w:rPr>
          <w:rFonts w:ascii="Garamond" w:hAnsi="Garamond"/>
          <w:sz w:val="22"/>
          <w:szCs w:val="22"/>
        </w:rPr>
        <w:t xml:space="preserve"> care and women who seek abortions</w:t>
      </w:r>
      <w:r w:rsidRPr="008472CB">
        <w:rPr>
          <w:rFonts w:ascii="Garamond" w:hAnsi="Garamond"/>
          <w:sz w:val="22"/>
          <w:szCs w:val="22"/>
        </w:rPr>
        <w:t xml:space="preserve"> while </w:t>
      </w:r>
      <w:r>
        <w:rPr>
          <w:rFonts w:ascii="Garamond" w:hAnsi="Garamond"/>
          <w:sz w:val="22"/>
          <w:szCs w:val="22"/>
        </w:rPr>
        <w:t xml:space="preserve">simultaneously </w:t>
      </w:r>
      <w:r w:rsidRPr="008472CB">
        <w:rPr>
          <w:rFonts w:ascii="Garamond" w:hAnsi="Garamond"/>
          <w:sz w:val="22"/>
          <w:szCs w:val="22"/>
        </w:rPr>
        <w:t>depriving them of their privacy</w:t>
      </w:r>
      <w:r>
        <w:rPr>
          <w:rFonts w:ascii="Garamond" w:hAnsi="Garamond"/>
          <w:sz w:val="22"/>
          <w:szCs w:val="22"/>
        </w:rPr>
        <w:t>, autonomy and decision-making</w:t>
      </w:r>
      <w:r w:rsidRPr="008472CB">
        <w:rPr>
          <w:rFonts w:ascii="Garamond" w:hAnsi="Garamond"/>
          <w:sz w:val="22"/>
          <w:szCs w:val="22"/>
        </w:rPr>
        <w:t xml:space="preserve">. </w:t>
      </w:r>
      <w:r w:rsidRPr="00003CF5">
        <w:rPr>
          <w:rFonts w:ascii="Garamond" w:hAnsi="Garamond"/>
          <w:sz w:val="22"/>
          <w:szCs w:val="22"/>
        </w:rPr>
        <w:t xml:space="preserve">UN treaty bodies have repeatedly affirmed that ensuring access to abortion in accordance with human rights standards is part of </w:t>
      </w:r>
      <w:r>
        <w:rPr>
          <w:rFonts w:ascii="Garamond" w:hAnsi="Garamond"/>
          <w:sz w:val="22"/>
          <w:szCs w:val="22"/>
        </w:rPr>
        <w:t xml:space="preserve">the </w:t>
      </w:r>
      <w:r w:rsidRPr="00003CF5">
        <w:rPr>
          <w:rFonts w:ascii="Garamond" w:hAnsi="Garamond"/>
          <w:sz w:val="22"/>
          <w:szCs w:val="22"/>
        </w:rPr>
        <w:t>State obligation to eliminate discrimination against women and to ensure women’s right</w:t>
      </w:r>
      <w:r>
        <w:rPr>
          <w:rFonts w:ascii="Garamond" w:hAnsi="Garamond"/>
          <w:sz w:val="22"/>
          <w:szCs w:val="22"/>
        </w:rPr>
        <w:t>s</w:t>
      </w:r>
      <w:r w:rsidRPr="00003CF5">
        <w:rPr>
          <w:rFonts w:ascii="Garamond" w:hAnsi="Garamond"/>
          <w:sz w:val="22"/>
          <w:szCs w:val="22"/>
        </w:rPr>
        <w:t xml:space="preserve"> to health as well as other </w:t>
      </w:r>
      <w:r w:rsidRPr="00003CF5">
        <w:rPr>
          <w:rFonts w:ascii="Garamond" w:hAnsi="Garamond"/>
          <w:sz w:val="22"/>
          <w:szCs w:val="22"/>
        </w:rPr>
        <w:lastRenderedPageBreak/>
        <w:t>fundamental human rights.</w:t>
      </w:r>
      <w:r w:rsidRPr="00003CF5">
        <w:rPr>
          <w:rStyle w:val="FootnoteReference"/>
          <w:rFonts w:ascii="Garamond" w:hAnsi="Garamond"/>
          <w:sz w:val="22"/>
          <w:szCs w:val="22"/>
        </w:rPr>
        <w:footnoteReference w:id="48"/>
      </w:r>
    </w:p>
    <w:p w14:paraId="78556B2E" w14:textId="6D17DF6F" w:rsidR="006912DA" w:rsidRDefault="006912DA" w:rsidP="006912DA">
      <w:pPr>
        <w:widowControl w:val="0"/>
        <w:tabs>
          <w:tab w:val="right" w:leader="dot" w:pos="9270"/>
        </w:tabs>
        <w:spacing w:line="360" w:lineRule="auto"/>
        <w:ind w:left="-360" w:right="-274" w:firstLine="547"/>
        <w:jc w:val="both"/>
        <w:rPr>
          <w:rFonts w:ascii="Garamond" w:hAnsi="Garamond"/>
          <w:sz w:val="22"/>
          <w:szCs w:val="22"/>
        </w:rPr>
      </w:pPr>
      <w:r>
        <w:rPr>
          <w:rFonts w:ascii="Garamond" w:hAnsi="Garamond"/>
          <w:sz w:val="22"/>
          <w:szCs w:val="22"/>
        </w:rPr>
        <w:t>(</w:t>
      </w:r>
      <w:r w:rsidR="00A069BA">
        <w:rPr>
          <w:rFonts w:ascii="Garamond" w:hAnsi="Garamond"/>
          <w:sz w:val="22"/>
          <w:szCs w:val="22"/>
        </w:rPr>
        <w:t>27</w:t>
      </w:r>
      <w:r>
        <w:rPr>
          <w:rFonts w:ascii="Garamond" w:hAnsi="Garamond"/>
          <w:sz w:val="22"/>
          <w:szCs w:val="22"/>
        </w:rPr>
        <w:t>) This Committee has recognized that c</w:t>
      </w:r>
      <w:r w:rsidRPr="00003CF5">
        <w:rPr>
          <w:rFonts w:ascii="Garamond" w:hAnsi="Garamond"/>
          <w:sz w:val="22"/>
          <w:szCs w:val="22"/>
        </w:rPr>
        <w:t>riminalization or restrictive abortion laws “undermine autonomy” and impedes the full enjoyment of the right to sexual and reproductive health.</w:t>
      </w:r>
      <w:r w:rsidRPr="00003CF5">
        <w:rPr>
          <w:rStyle w:val="FootnoteReference"/>
          <w:rFonts w:ascii="Garamond" w:hAnsi="Garamond"/>
          <w:sz w:val="22"/>
          <w:szCs w:val="22"/>
        </w:rPr>
        <w:footnoteReference w:id="49"/>
      </w:r>
      <w:r>
        <w:rPr>
          <w:rFonts w:ascii="Garamond" w:hAnsi="Garamond"/>
          <w:sz w:val="22"/>
          <w:szCs w:val="22"/>
        </w:rPr>
        <w:t xml:space="preserve"> The right to equality in the highest standard of healthcare and the right to non-discrimination in access to healthcare services related to sexual and reproductive health and family planning are both implicated when abortion is restricted.</w:t>
      </w:r>
      <w:r>
        <w:rPr>
          <w:rStyle w:val="FootnoteReference"/>
          <w:rFonts w:ascii="Garamond" w:hAnsi="Garamond"/>
          <w:sz w:val="22"/>
          <w:szCs w:val="22"/>
        </w:rPr>
        <w:footnoteReference w:id="50"/>
      </w:r>
      <w:r>
        <w:rPr>
          <w:rFonts w:ascii="Garamond" w:hAnsi="Garamond"/>
          <w:sz w:val="22"/>
          <w:szCs w:val="22"/>
        </w:rPr>
        <w:t xml:space="preserve"> As the Working Group on the issue of discrimination against women in law and in practice stated, these rights “require specific protection.”</w:t>
      </w:r>
      <w:r>
        <w:rPr>
          <w:rStyle w:val="FootnoteReference"/>
          <w:rFonts w:ascii="Garamond" w:hAnsi="Garamond"/>
          <w:sz w:val="22"/>
          <w:szCs w:val="22"/>
        </w:rPr>
        <w:footnoteReference w:id="51"/>
      </w:r>
    </w:p>
    <w:p w14:paraId="7FFDA989" w14:textId="50D38975" w:rsidR="006912DA" w:rsidRDefault="006912DA" w:rsidP="006912DA">
      <w:pPr>
        <w:pStyle w:val="NormalWeb"/>
        <w:widowControl w:val="0"/>
        <w:tabs>
          <w:tab w:val="right" w:leader="dot" w:pos="9270"/>
        </w:tabs>
        <w:spacing w:before="0" w:beforeAutospacing="0" w:after="0" w:afterAutospacing="0" w:line="360" w:lineRule="auto"/>
        <w:ind w:left="-360" w:right="-274" w:firstLine="547"/>
        <w:jc w:val="both"/>
        <w:rPr>
          <w:rFonts w:ascii="Garamond" w:hAnsi="Garamond"/>
          <w:sz w:val="22"/>
          <w:szCs w:val="22"/>
        </w:rPr>
      </w:pPr>
      <w:r>
        <w:rPr>
          <w:rFonts w:ascii="Garamond" w:hAnsi="Garamond"/>
          <w:sz w:val="22"/>
          <w:szCs w:val="22"/>
        </w:rPr>
        <w:t>(</w:t>
      </w:r>
      <w:r w:rsidR="00A069BA">
        <w:rPr>
          <w:rFonts w:ascii="Garamond" w:hAnsi="Garamond"/>
          <w:sz w:val="22"/>
          <w:szCs w:val="22"/>
        </w:rPr>
        <w:t>28</w:t>
      </w:r>
      <w:r>
        <w:rPr>
          <w:rFonts w:ascii="Garamond" w:hAnsi="Garamond"/>
          <w:sz w:val="22"/>
          <w:szCs w:val="22"/>
        </w:rPr>
        <w:t>) Women without economic resources and young girls are most likely to be affected by criminal restrictions on abortions and thus, more likely to suffer the consequences of seeking clandestine abortions.</w:t>
      </w:r>
      <w:r>
        <w:rPr>
          <w:rStyle w:val="FootnoteReference"/>
          <w:rFonts w:ascii="Garamond" w:hAnsi="Garamond"/>
          <w:sz w:val="22"/>
          <w:szCs w:val="22"/>
        </w:rPr>
        <w:footnoteReference w:id="52"/>
      </w:r>
      <w:r>
        <w:rPr>
          <w:rFonts w:ascii="Garamond" w:hAnsi="Garamond"/>
          <w:sz w:val="22"/>
          <w:szCs w:val="22"/>
        </w:rPr>
        <w:t xml:space="preserve"> The adolescent birth rate in Malawi is 135.6 per 1,000 women 15-19 years of age.</w:t>
      </w:r>
      <w:r>
        <w:rPr>
          <w:rStyle w:val="FootnoteReference"/>
          <w:rFonts w:ascii="Garamond" w:hAnsi="Garamond"/>
          <w:sz w:val="22"/>
          <w:szCs w:val="22"/>
        </w:rPr>
        <w:footnoteReference w:id="53"/>
      </w:r>
      <w:r>
        <w:rPr>
          <w:rFonts w:ascii="Garamond" w:hAnsi="Garamond"/>
          <w:sz w:val="22"/>
          <w:szCs w:val="22"/>
        </w:rPr>
        <w:t xml:space="preserve"> According to Guttmacher, t</w:t>
      </w:r>
      <w:r w:rsidRPr="007A3579">
        <w:rPr>
          <w:rFonts w:ascii="Garamond" w:hAnsi="Garamond"/>
          <w:sz w:val="22"/>
          <w:szCs w:val="22"/>
        </w:rPr>
        <w:t>here is a one in 29 chance that a 15-year-old girl in Malawi will eventually die from a pregnancy-related condition</w:t>
      </w:r>
      <w:r>
        <w:rPr>
          <w:rFonts w:ascii="Garamond" w:hAnsi="Garamond"/>
          <w:sz w:val="22"/>
          <w:szCs w:val="22"/>
        </w:rPr>
        <w:t>.</w:t>
      </w:r>
      <w:r>
        <w:rPr>
          <w:rStyle w:val="FootnoteReference"/>
          <w:rFonts w:ascii="Garamond" w:hAnsi="Garamond"/>
          <w:sz w:val="22"/>
          <w:szCs w:val="22"/>
        </w:rPr>
        <w:footnoteReference w:id="54"/>
      </w:r>
    </w:p>
    <w:p w14:paraId="415DE747" w14:textId="7C9DC608" w:rsidR="006912DA" w:rsidRDefault="006912DA" w:rsidP="006912DA">
      <w:pPr>
        <w:pStyle w:val="NormalWeb"/>
        <w:widowControl w:val="0"/>
        <w:tabs>
          <w:tab w:val="right" w:leader="dot" w:pos="9270"/>
        </w:tabs>
        <w:spacing w:before="0" w:beforeAutospacing="0" w:after="0" w:afterAutospacing="0" w:line="360" w:lineRule="auto"/>
        <w:ind w:left="-360" w:right="-274" w:firstLine="547"/>
        <w:jc w:val="both"/>
        <w:rPr>
          <w:rFonts w:ascii="Garamond" w:hAnsi="Garamond" w:cs="Calibri"/>
          <w:sz w:val="22"/>
          <w:szCs w:val="22"/>
        </w:rPr>
      </w:pPr>
      <w:r>
        <w:rPr>
          <w:rFonts w:ascii="Garamond" w:hAnsi="Garamond"/>
          <w:sz w:val="22"/>
          <w:szCs w:val="22"/>
        </w:rPr>
        <w:t>(</w:t>
      </w:r>
      <w:r w:rsidR="00A069BA">
        <w:rPr>
          <w:rFonts w:ascii="Garamond" w:hAnsi="Garamond"/>
          <w:sz w:val="22"/>
          <w:szCs w:val="22"/>
        </w:rPr>
        <w:t>29</w:t>
      </w:r>
      <w:r>
        <w:rPr>
          <w:rFonts w:ascii="Garamond" w:hAnsi="Garamond"/>
          <w:sz w:val="22"/>
          <w:szCs w:val="22"/>
        </w:rPr>
        <w:t xml:space="preserve">) </w:t>
      </w:r>
      <w:r>
        <w:rPr>
          <w:rFonts w:ascii="Garamond" w:hAnsi="Garamond" w:cs="Calibri"/>
          <w:sz w:val="22"/>
          <w:szCs w:val="22"/>
        </w:rPr>
        <w:t xml:space="preserve">  Young women have the same right to access abortion as mature women. The Committee on the Rights of the Child has reaffirmed that minors should have access to sexual and reproductive health services, including safe abortion.</w:t>
      </w:r>
      <w:r>
        <w:rPr>
          <w:rStyle w:val="FootnoteReference"/>
          <w:rFonts w:ascii="Garamond" w:hAnsi="Garamond" w:cs="Calibri"/>
          <w:sz w:val="22"/>
          <w:szCs w:val="22"/>
        </w:rPr>
        <w:footnoteReference w:id="55"/>
      </w:r>
      <w:r>
        <w:rPr>
          <w:rFonts w:ascii="Garamond" w:hAnsi="Garamond" w:cs="Calibri"/>
          <w:sz w:val="22"/>
          <w:szCs w:val="22"/>
        </w:rPr>
        <w:t xml:space="preserve"> As this honorable Committee noted in General Comment 22, barriers to accessing sexual and reproductive health should be removed and states must guarantee “girls access to safe abortion services” to prevent unsafe abortions.</w:t>
      </w:r>
      <w:r>
        <w:rPr>
          <w:rStyle w:val="FootnoteReference"/>
          <w:rFonts w:ascii="Garamond" w:hAnsi="Garamond" w:cs="Calibri"/>
          <w:sz w:val="22"/>
          <w:szCs w:val="22"/>
        </w:rPr>
        <w:footnoteReference w:id="56"/>
      </w:r>
      <w:r>
        <w:rPr>
          <w:rFonts w:ascii="Garamond" w:hAnsi="Garamond" w:cs="Calibri"/>
          <w:sz w:val="22"/>
          <w:szCs w:val="22"/>
        </w:rPr>
        <w:t xml:space="preserve"> The protection of a minor’s bodily autonomy is crucial for the protection of the minor’s rights to health.</w:t>
      </w:r>
    </w:p>
    <w:p w14:paraId="3447DC63" w14:textId="3170241E" w:rsidR="00EA56FE" w:rsidRPr="006912DA" w:rsidRDefault="006912DA" w:rsidP="006912DA">
      <w:pPr>
        <w:pStyle w:val="NormalWeb"/>
        <w:widowControl w:val="0"/>
        <w:tabs>
          <w:tab w:val="right" w:leader="dot" w:pos="9270"/>
        </w:tabs>
        <w:spacing w:before="0" w:beforeAutospacing="0" w:after="0" w:afterAutospacing="0" w:line="360" w:lineRule="auto"/>
        <w:ind w:left="-360" w:right="-274" w:firstLine="547"/>
        <w:jc w:val="both"/>
        <w:rPr>
          <w:rFonts w:ascii="Garamond" w:hAnsi="Garamond" w:cs="Calibri"/>
          <w:sz w:val="22"/>
          <w:szCs w:val="22"/>
        </w:rPr>
      </w:pPr>
      <w:r>
        <w:rPr>
          <w:rFonts w:ascii="Garamond" w:hAnsi="Garamond" w:cs="Calibri"/>
          <w:sz w:val="22"/>
          <w:szCs w:val="22"/>
        </w:rPr>
        <w:t>(</w:t>
      </w:r>
      <w:r w:rsidR="00A069BA">
        <w:rPr>
          <w:rFonts w:ascii="Garamond" w:hAnsi="Garamond" w:cs="Calibri"/>
          <w:sz w:val="22"/>
          <w:szCs w:val="22"/>
        </w:rPr>
        <w:t>30</w:t>
      </w:r>
      <w:r>
        <w:rPr>
          <w:rFonts w:ascii="Garamond" w:hAnsi="Garamond" w:cs="Calibri"/>
          <w:sz w:val="22"/>
          <w:szCs w:val="22"/>
        </w:rPr>
        <w:t>) Pregnancy poses higher risks to young girls’ health and life than pregnancy in adulthood.</w:t>
      </w:r>
      <w:r>
        <w:rPr>
          <w:rStyle w:val="FootnoteReference"/>
          <w:rFonts w:ascii="Garamond" w:hAnsi="Garamond" w:cs="Calibri"/>
          <w:sz w:val="22"/>
          <w:szCs w:val="22"/>
        </w:rPr>
        <w:footnoteReference w:id="57"/>
      </w:r>
      <w:r>
        <w:rPr>
          <w:rFonts w:ascii="Garamond" w:hAnsi="Garamond" w:cs="Calibri"/>
          <w:sz w:val="22"/>
          <w:szCs w:val="22"/>
        </w:rPr>
        <w:t xml:space="preserve"> Unfortunately, Malawi’s Standards and Guidelines for Comprehensive Abortion Care 2020 do not recognize this reality and no explicit protections or guidance for young girls exist.</w:t>
      </w:r>
    </w:p>
    <w:p w14:paraId="029208E5" w14:textId="309A3F4D" w:rsidR="00CA3E8D" w:rsidRDefault="00CA3E8D" w:rsidP="00523C96">
      <w:pPr>
        <w:pStyle w:val="NormalWeb"/>
        <w:widowControl w:val="0"/>
        <w:tabs>
          <w:tab w:val="right" w:leader="dot" w:pos="9270"/>
        </w:tabs>
        <w:spacing w:before="0" w:beforeAutospacing="0" w:after="0" w:afterAutospacing="0" w:line="360" w:lineRule="auto"/>
        <w:ind w:left="-360" w:right="-274" w:firstLine="547"/>
        <w:jc w:val="both"/>
        <w:rPr>
          <w:rFonts w:ascii="Garamond" w:hAnsi="Garamond"/>
          <w:sz w:val="22"/>
          <w:szCs w:val="22"/>
        </w:rPr>
      </w:pPr>
      <w:r>
        <w:rPr>
          <w:rFonts w:ascii="Garamond" w:hAnsi="Garamond"/>
          <w:sz w:val="22"/>
          <w:szCs w:val="22"/>
        </w:rPr>
        <w:t>(</w:t>
      </w:r>
      <w:r w:rsidR="00A069BA">
        <w:rPr>
          <w:rFonts w:ascii="Garamond" w:hAnsi="Garamond"/>
          <w:sz w:val="22"/>
          <w:szCs w:val="22"/>
        </w:rPr>
        <w:t>31</w:t>
      </w:r>
      <w:r>
        <w:rPr>
          <w:rFonts w:ascii="Garamond" w:hAnsi="Garamond"/>
          <w:sz w:val="22"/>
          <w:szCs w:val="22"/>
        </w:rPr>
        <w:t xml:space="preserve">) </w:t>
      </w:r>
      <w:r w:rsidR="006912DA">
        <w:rPr>
          <w:rFonts w:ascii="Garamond" w:hAnsi="Garamond"/>
          <w:sz w:val="22"/>
          <w:szCs w:val="22"/>
        </w:rPr>
        <w:t>In sum, we</w:t>
      </w:r>
      <w:r>
        <w:rPr>
          <w:rFonts w:ascii="Garamond" w:hAnsi="Garamond"/>
          <w:sz w:val="22"/>
          <w:szCs w:val="22"/>
        </w:rPr>
        <w:t xml:space="preserve"> ask this Committee to remain consistent with its position on abortion and to invite Malawi to decriminalize abortion. If decriminalizing abortion is politically excessively arduous, the government, which has the task to prosecute violations of the criminal code, can</w:t>
      </w:r>
      <w:r w:rsidR="00264F05">
        <w:rPr>
          <w:rFonts w:ascii="Garamond" w:hAnsi="Garamond"/>
          <w:sz w:val="22"/>
          <w:szCs w:val="22"/>
        </w:rPr>
        <w:t xml:space="preserve"> </w:t>
      </w:r>
      <w:r>
        <w:rPr>
          <w:rFonts w:ascii="Garamond" w:hAnsi="Garamond"/>
          <w:sz w:val="22"/>
          <w:szCs w:val="22"/>
        </w:rPr>
        <w:t>either decide not to prosecute or</w:t>
      </w:r>
      <w:r w:rsidR="00264F05">
        <w:rPr>
          <w:rFonts w:ascii="Garamond" w:hAnsi="Garamond"/>
          <w:sz w:val="22"/>
          <w:szCs w:val="22"/>
        </w:rPr>
        <w:t xml:space="preserve"> rule out the possibility of imprisonment.</w:t>
      </w:r>
      <w:r w:rsidR="00264F05">
        <w:rPr>
          <w:rStyle w:val="FootnoteReference"/>
          <w:rFonts w:ascii="Garamond" w:hAnsi="Garamond"/>
          <w:sz w:val="22"/>
          <w:szCs w:val="22"/>
        </w:rPr>
        <w:footnoteReference w:id="58"/>
      </w:r>
      <w:r w:rsidR="00264F05">
        <w:rPr>
          <w:rFonts w:ascii="Garamond" w:hAnsi="Garamond"/>
          <w:sz w:val="22"/>
          <w:szCs w:val="22"/>
        </w:rPr>
        <w:t xml:space="preserve"> </w:t>
      </w:r>
    </w:p>
    <w:p w14:paraId="7173A7E6" w14:textId="56808213" w:rsidR="00CA3E8D" w:rsidRDefault="00CC3883" w:rsidP="000200DF">
      <w:pPr>
        <w:pStyle w:val="Heading2"/>
      </w:pPr>
      <w:bookmarkStart w:id="5" w:name="_Toc173323644"/>
      <w:r>
        <w:lastRenderedPageBreak/>
        <w:t xml:space="preserve">The </w:t>
      </w:r>
      <w:r w:rsidR="000200DF">
        <w:t>c</w:t>
      </w:r>
      <w:r>
        <w:t xml:space="preserve">ircumstances in which </w:t>
      </w:r>
      <w:r w:rsidR="000200DF">
        <w:t>a</w:t>
      </w:r>
      <w:r>
        <w:t xml:space="preserve">bortion is </w:t>
      </w:r>
      <w:r w:rsidR="000200DF">
        <w:t>n</w:t>
      </w:r>
      <w:r>
        <w:t xml:space="preserve">ot a </w:t>
      </w:r>
      <w:r w:rsidR="000200DF">
        <w:t>c</w:t>
      </w:r>
      <w:r>
        <w:t xml:space="preserve">rime </w:t>
      </w:r>
      <w:r w:rsidR="000200DF">
        <w:t>r</w:t>
      </w:r>
      <w:r>
        <w:t xml:space="preserve">emain </w:t>
      </w:r>
      <w:r w:rsidR="000200DF">
        <w:t>excessively narrow and i</w:t>
      </w:r>
      <w:r>
        <w:t>ll-defined.</w:t>
      </w:r>
      <w:bookmarkEnd w:id="5"/>
      <w:r w:rsidR="00CA3E8D">
        <w:t xml:space="preserve"> </w:t>
      </w:r>
    </w:p>
    <w:p w14:paraId="5026A5FD" w14:textId="77777777" w:rsidR="00CA3E8D" w:rsidRDefault="00CA3E8D" w:rsidP="00264F05">
      <w:pPr>
        <w:pStyle w:val="NormalWeb"/>
        <w:widowControl w:val="0"/>
        <w:tabs>
          <w:tab w:val="right" w:leader="dot" w:pos="9270"/>
        </w:tabs>
        <w:spacing w:before="0" w:beforeAutospacing="0" w:after="0" w:afterAutospacing="0" w:line="360" w:lineRule="auto"/>
        <w:ind w:left="-360" w:right="-274" w:firstLine="547"/>
        <w:jc w:val="both"/>
        <w:rPr>
          <w:rFonts w:ascii="Garamond" w:hAnsi="Garamond"/>
          <w:sz w:val="22"/>
          <w:szCs w:val="22"/>
        </w:rPr>
      </w:pPr>
    </w:p>
    <w:p w14:paraId="5CB4E899" w14:textId="281AB8B0" w:rsidR="00CC3883" w:rsidRDefault="00CA3E8D" w:rsidP="00CC3883">
      <w:pPr>
        <w:pStyle w:val="NormalWeb"/>
        <w:widowControl w:val="0"/>
        <w:tabs>
          <w:tab w:val="right" w:leader="dot" w:pos="9270"/>
        </w:tabs>
        <w:spacing w:before="0" w:beforeAutospacing="0" w:after="0" w:afterAutospacing="0" w:line="360" w:lineRule="auto"/>
        <w:ind w:left="-360" w:right="-274" w:firstLine="547"/>
        <w:jc w:val="both"/>
        <w:rPr>
          <w:rFonts w:ascii="Garamond" w:hAnsi="Garamond"/>
          <w:sz w:val="22"/>
          <w:szCs w:val="22"/>
        </w:rPr>
      </w:pPr>
      <w:r>
        <w:rPr>
          <w:rFonts w:ascii="Garamond" w:hAnsi="Garamond"/>
          <w:sz w:val="22"/>
          <w:szCs w:val="22"/>
        </w:rPr>
        <w:t>(</w:t>
      </w:r>
      <w:r w:rsidR="00A069BA">
        <w:rPr>
          <w:rFonts w:ascii="Garamond" w:hAnsi="Garamond"/>
          <w:sz w:val="22"/>
          <w:szCs w:val="22"/>
        </w:rPr>
        <w:t>32</w:t>
      </w:r>
      <w:r>
        <w:rPr>
          <w:rFonts w:ascii="Garamond" w:hAnsi="Garamond"/>
          <w:sz w:val="22"/>
          <w:szCs w:val="22"/>
        </w:rPr>
        <w:t xml:space="preserve">) If Malawi insists in not decriminalizing abortion, it certainly </w:t>
      </w:r>
      <w:r w:rsidR="00CC3883">
        <w:rPr>
          <w:rFonts w:ascii="Garamond" w:hAnsi="Garamond"/>
          <w:sz w:val="22"/>
          <w:szCs w:val="22"/>
        </w:rPr>
        <w:t>can</w:t>
      </w:r>
      <w:r>
        <w:rPr>
          <w:rFonts w:ascii="Garamond" w:hAnsi="Garamond"/>
          <w:sz w:val="22"/>
          <w:szCs w:val="22"/>
        </w:rPr>
        <w:t xml:space="preserve"> </w:t>
      </w:r>
      <w:r w:rsidR="00C72135">
        <w:rPr>
          <w:rFonts w:ascii="Garamond" w:hAnsi="Garamond"/>
          <w:sz w:val="22"/>
          <w:szCs w:val="22"/>
        </w:rPr>
        <w:t xml:space="preserve">better </w:t>
      </w:r>
      <w:r>
        <w:rPr>
          <w:rFonts w:ascii="Garamond" w:hAnsi="Garamond"/>
          <w:sz w:val="22"/>
          <w:szCs w:val="22"/>
        </w:rPr>
        <w:t>define the narrow circumstances in which it can be carried out</w:t>
      </w:r>
      <w:r w:rsidR="00CC3883">
        <w:rPr>
          <w:rFonts w:ascii="Garamond" w:hAnsi="Garamond"/>
          <w:sz w:val="22"/>
          <w:szCs w:val="22"/>
        </w:rPr>
        <w:t xml:space="preserve"> </w:t>
      </w:r>
      <w:r>
        <w:rPr>
          <w:rFonts w:ascii="Garamond" w:hAnsi="Garamond"/>
          <w:sz w:val="22"/>
          <w:szCs w:val="22"/>
        </w:rPr>
        <w:t>and must ensure all healthcare providers and the population is aware o</w:t>
      </w:r>
      <w:r w:rsidR="00CC3883">
        <w:rPr>
          <w:rFonts w:ascii="Garamond" w:hAnsi="Garamond"/>
          <w:sz w:val="22"/>
          <w:szCs w:val="22"/>
        </w:rPr>
        <w:t xml:space="preserve">f them. Under Section  243 of the Penal Code, an abortion is not a criminal act when it is performed </w:t>
      </w:r>
      <w:r w:rsidR="00CC3883" w:rsidRPr="00003CF5">
        <w:rPr>
          <w:rFonts w:ascii="Garamond" w:hAnsi="Garamond"/>
          <w:i/>
          <w:sz w:val="22"/>
          <w:szCs w:val="22"/>
          <w:highlight w:val="white"/>
        </w:rPr>
        <w:t>“in good faith and with reasonable care and skill a surgical operation upon any person for his benefit, or upon an unborn child for the preservation of the mother’s life, if the performance of the operation is reasonable, having regard to the patient’s state at the time, and to all the circumstances of the case</w:t>
      </w:r>
      <w:r w:rsidR="00CC3883" w:rsidRPr="00003CF5">
        <w:rPr>
          <w:rFonts w:ascii="Garamond" w:hAnsi="Garamond"/>
          <w:sz w:val="22"/>
          <w:szCs w:val="22"/>
          <w:highlight w:val="white"/>
        </w:rPr>
        <w:t>.”</w:t>
      </w:r>
      <w:r w:rsidR="00CC3883" w:rsidRPr="00003CF5">
        <w:rPr>
          <w:rStyle w:val="FootnoteReference"/>
          <w:rFonts w:ascii="Garamond" w:hAnsi="Garamond"/>
          <w:sz w:val="22"/>
          <w:szCs w:val="22"/>
          <w:highlight w:val="white"/>
        </w:rPr>
        <w:footnoteReference w:id="59"/>
      </w:r>
    </w:p>
    <w:p w14:paraId="234C0D2D" w14:textId="1D666753" w:rsidR="00CC3883" w:rsidRDefault="00CC3883" w:rsidP="00CC3883">
      <w:pPr>
        <w:pStyle w:val="NormalWeb"/>
        <w:widowControl w:val="0"/>
        <w:tabs>
          <w:tab w:val="right" w:leader="dot" w:pos="9270"/>
        </w:tabs>
        <w:spacing w:before="0" w:beforeAutospacing="0" w:after="0" w:afterAutospacing="0" w:line="360" w:lineRule="auto"/>
        <w:ind w:left="-360" w:right="-274" w:firstLine="547"/>
        <w:jc w:val="both"/>
        <w:rPr>
          <w:rFonts w:ascii="Garamond" w:hAnsi="Garamond"/>
          <w:sz w:val="22"/>
          <w:szCs w:val="22"/>
        </w:rPr>
      </w:pPr>
      <w:r>
        <w:rPr>
          <w:rFonts w:ascii="Garamond" w:hAnsi="Garamond"/>
          <w:sz w:val="22"/>
          <w:szCs w:val="22"/>
        </w:rPr>
        <w:t>(</w:t>
      </w:r>
      <w:r w:rsidR="00A069BA">
        <w:rPr>
          <w:rFonts w:ascii="Garamond" w:hAnsi="Garamond"/>
          <w:sz w:val="22"/>
          <w:szCs w:val="22"/>
        </w:rPr>
        <w:t>33</w:t>
      </w:r>
      <w:r>
        <w:rPr>
          <w:rFonts w:ascii="Garamond" w:hAnsi="Garamond"/>
          <w:sz w:val="22"/>
          <w:szCs w:val="22"/>
        </w:rPr>
        <w:t xml:space="preserve">) </w:t>
      </w:r>
      <w:r w:rsidR="000200DF">
        <w:rPr>
          <w:rFonts w:ascii="Garamond" w:hAnsi="Garamond"/>
          <w:sz w:val="22"/>
          <w:szCs w:val="22"/>
        </w:rPr>
        <w:t xml:space="preserve">First, </w:t>
      </w:r>
      <w:r>
        <w:rPr>
          <w:rFonts w:ascii="Garamond" w:hAnsi="Garamond"/>
          <w:sz w:val="22"/>
          <w:szCs w:val="22"/>
        </w:rPr>
        <w:t>“</w:t>
      </w:r>
      <w:r w:rsidR="000200DF">
        <w:rPr>
          <w:rFonts w:ascii="Garamond" w:hAnsi="Garamond"/>
          <w:sz w:val="22"/>
          <w:szCs w:val="22"/>
        </w:rPr>
        <w:t>g</w:t>
      </w:r>
      <w:r>
        <w:rPr>
          <w:rFonts w:ascii="Garamond" w:hAnsi="Garamond"/>
          <w:sz w:val="22"/>
          <w:szCs w:val="22"/>
        </w:rPr>
        <w:t>ood faith” standards are a barrier to abortion care because such a vague standard can have a chilling effect on health providers willing to perform the procedure and women willing to seek them out. Access to abortion is a key component of reducing maternal mortality and morbidity and ensuring women’s health.</w:t>
      </w:r>
      <w:r>
        <w:rPr>
          <w:rStyle w:val="FootnoteReference"/>
          <w:rFonts w:ascii="Garamond" w:hAnsi="Garamond"/>
          <w:sz w:val="22"/>
          <w:szCs w:val="22"/>
        </w:rPr>
        <w:footnoteReference w:id="60"/>
      </w:r>
      <w:r>
        <w:rPr>
          <w:rFonts w:ascii="Garamond" w:hAnsi="Garamond"/>
          <w:sz w:val="22"/>
          <w:szCs w:val="22"/>
        </w:rPr>
        <w:t xml:space="preserve"> Thus, good faith standards in abortion laws are incompatible with the obligations under the Covenant with respect to Article 12. </w:t>
      </w:r>
    </w:p>
    <w:p w14:paraId="3B13AD4A" w14:textId="1D82F441" w:rsidR="000200DF" w:rsidRDefault="00CC3883" w:rsidP="000200DF">
      <w:pPr>
        <w:pStyle w:val="NormalWeb"/>
        <w:widowControl w:val="0"/>
        <w:tabs>
          <w:tab w:val="right" w:leader="dot" w:pos="9270"/>
        </w:tabs>
        <w:spacing w:before="0" w:beforeAutospacing="0" w:after="0" w:afterAutospacing="0" w:line="360" w:lineRule="auto"/>
        <w:ind w:left="-360" w:right="-274" w:firstLine="547"/>
        <w:jc w:val="both"/>
        <w:rPr>
          <w:rFonts w:ascii="Garamond" w:hAnsi="Garamond"/>
          <w:sz w:val="22"/>
          <w:szCs w:val="22"/>
        </w:rPr>
      </w:pPr>
      <w:r>
        <w:rPr>
          <w:rFonts w:ascii="Garamond" w:hAnsi="Garamond"/>
          <w:sz w:val="22"/>
          <w:szCs w:val="22"/>
        </w:rPr>
        <w:t>(</w:t>
      </w:r>
      <w:r w:rsidR="00A069BA">
        <w:rPr>
          <w:rFonts w:ascii="Garamond" w:hAnsi="Garamond"/>
          <w:sz w:val="22"/>
          <w:szCs w:val="22"/>
        </w:rPr>
        <w:t>34</w:t>
      </w:r>
      <w:r>
        <w:rPr>
          <w:rFonts w:ascii="Garamond" w:hAnsi="Garamond"/>
          <w:sz w:val="22"/>
          <w:szCs w:val="22"/>
        </w:rPr>
        <w:t xml:space="preserve">) As we pointed out in our original parallel report, </w:t>
      </w:r>
      <w:r w:rsidRPr="00003CF5">
        <w:rPr>
          <w:rFonts w:ascii="Garamond" w:hAnsi="Garamond"/>
          <w:sz w:val="22"/>
          <w:szCs w:val="22"/>
        </w:rPr>
        <w:t xml:space="preserve">in </w:t>
      </w:r>
      <w:r>
        <w:rPr>
          <w:rFonts w:ascii="Garamond" w:hAnsi="Garamond"/>
          <w:sz w:val="22"/>
          <w:szCs w:val="22"/>
        </w:rPr>
        <w:t>many</w:t>
      </w:r>
      <w:r w:rsidRPr="00003CF5">
        <w:rPr>
          <w:rFonts w:ascii="Garamond" w:hAnsi="Garamond"/>
          <w:sz w:val="22"/>
          <w:szCs w:val="22"/>
        </w:rPr>
        <w:t xml:space="preserve"> cases, the only guidance </w:t>
      </w:r>
      <w:r>
        <w:rPr>
          <w:rFonts w:ascii="Garamond" w:hAnsi="Garamond"/>
          <w:sz w:val="22"/>
          <w:szCs w:val="22"/>
        </w:rPr>
        <w:t>health providers</w:t>
      </w:r>
      <w:r w:rsidRPr="00003CF5">
        <w:rPr>
          <w:rFonts w:ascii="Garamond" w:hAnsi="Garamond"/>
          <w:sz w:val="22"/>
          <w:szCs w:val="22"/>
        </w:rPr>
        <w:t xml:space="preserve"> have </w:t>
      </w:r>
      <w:r>
        <w:rPr>
          <w:rFonts w:ascii="Garamond" w:hAnsi="Garamond"/>
          <w:sz w:val="22"/>
          <w:szCs w:val="22"/>
        </w:rPr>
        <w:t>when determining</w:t>
      </w:r>
      <w:r w:rsidRPr="00003CF5">
        <w:rPr>
          <w:rFonts w:ascii="Garamond" w:hAnsi="Garamond"/>
          <w:sz w:val="22"/>
          <w:szCs w:val="22"/>
        </w:rPr>
        <w:t xml:space="preserve"> </w:t>
      </w:r>
      <w:r>
        <w:rPr>
          <w:rFonts w:ascii="Garamond" w:hAnsi="Garamond"/>
          <w:sz w:val="22"/>
          <w:szCs w:val="22"/>
        </w:rPr>
        <w:t xml:space="preserve">whether an abortion is legal under the exception is </w:t>
      </w:r>
      <w:r w:rsidRPr="00003CF5">
        <w:rPr>
          <w:rFonts w:ascii="Garamond" w:hAnsi="Garamond"/>
          <w:sz w:val="22"/>
          <w:szCs w:val="22"/>
        </w:rPr>
        <w:t>to use “clinical judgement of what is life-threatening for a particular woman.”</w:t>
      </w:r>
      <w:r w:rsidRPr="00003CF5">
        <w:rPr>
          <w:rStyle w:val="FootnoteReference"/>
          <w:rFonts w:ascii="Garamond" w:hAnsi="Garamond"/>
          <w:sz w:val="22"/>
          <w:szCs w:val="22"/>
        </w:rPr>
        <w:footnoteReference w:id="61"/>
      </w:r>
      <w:r w:rsidRPr="00003CF5">
        <w:rPr>
          <w:rFonts w:ascii="Garamond" w:hAnsi="Garamond"/>
          <w:sz w:val="22"/>
          <w:szCs w:val="22"/>
        </w:rPr>
        <w:t xml:space="preserve"> They are required to make that determination in good faith, but good faith is an exceedingly vague standard, particularly when one risks stiff criminal sanctions. Unsurprisingly, for fear of being proven wrong, </w:t>
      </w:r>
      <w:r w:rsidRPr="00C9095C">
        <w:rPr>
          <w:rFonts w:ascii="Garamond" w:hAnsi="Garamond"/>
          <w:i/>
          <w:sz w:val="22"/>
          <w:szCs w:val="22"/>
        </w:rPr>
        <w:t>ex post</w:t>
      </w:r>
      <w:r w:rsidRPr="00003CF5">
        <w:rPr>
          <w:rFonts w:ascii="Garamond" w:hAnsi="Garamond"/>
          <w:sz w:val="22"/>
          <w:szCs w:val="22"/>
        </w:rPr>
        <w:t xml:space="preserve">, in court, </w:t>
      </w:r>
      <w:r>
        <w:rPr>
          <w:rFonts w:ascii="Garamond" w:hAnsi="Garamond"/>
          <w:sz w:val="22"/>
          <w:szCs w:val="22"/>
        </w:rPr>
        <w:t>health providers</w:t>
      </w:r>
      <w:r w:rsidRPr="00003CF5">
        <w:rPr>
          <w:rFonts w:ascii="Garamond" w:hAnsi="Garamond"/>
          <w:sz w:val="22"/>
          <w:szCs w:val="22"/>
        </w:rPr>
        <w:t xml:space="preserve"> refuse to </w:t>
      </w:r>
      <w:r>
        <w:rPr>
          <w:rFonts w:ascii="Garamond" w:hAnsi="Garamond"/>
          <w:sz w:val="22"/>
          <w:szCs w:val="22"/>
        </w:rPr>
        <w:t>provide</w:t>
      </w:r>
      <w:r w:rsidRPr="00003CF5">
        <w:rPr>
          <w:rFonts w:ascii="Garamond" w:hAnsi="Garamond"/>
          <w:sz w:val="22"/>
          <w:szCs w:val="22"/>
        </w:rPr>
        <w:t xml:space="preserve"> an abortion.</w:t>
      </w:r>
      <w:r w:rsidRPr="00003CF5">
        <w:rPr>
          <w:rStyle w:val="FootnoteReference"/>
          <w:rFonts w:ascii="Garamond" w:hAnsi="Garamond"/>
          <w:sz w:val="22"/>
          <w:szCs w:val="22"/>
        </w:rPr>
        <w:footnoteReference w:id="62"/>
      </w:r>
      <w:r w:rsidRPr="00003CF5">
        <w:rPr>
          <w:rFonts w:ascii="Garamond" w:hAnsi="Garamond"/>
          <w:sz w:val="22"/>
          <w:szCs w:val="22"/>
        </w:rPr>
        <w:t xml:space="preserve"> That pushes many women in Malawi to undergo unsafe abortions without professional assistance.</w:t>
      </w:r>
      <w:r w:rsidRPr="00003CF5">
        <w:rPr>
          <w:rStyle w:val="FootnoteReference"/>
          <w:rFonts w:ascii="Garamond" w:hAnsi="Garamond"/>
          <w:sz w:val="22"/>
          <w:szCs w:val="22"/>
        </w:rPr>
        <w:t xml:space="preserve"> </w:t>
      </w:r>
      <w:r w:rsidRPr="00003CF5">
        <w:rPr>
          <w:rStyle w:val="FootnoteReference"/>
          <w:rFonts w:ascii="Garamond" w:hAnsi="Garamond"/>
          <w:sz w:val="22"/>
          <w:szCs w:val="22"/>
        </w:rPr>
        <w:footnoteReference w:id="63"/>
      </w:r>
    </w:p>
    <w:p w14:paraId="050EF4AB" w14:textId="00B987BE" w:rsidR="00484F6C" w:rsidRDefault="000200DF" w:rsidP="00484F6C">
      <w:pPr>
        <w:pStyle w:val="NormalWeb"/>
        <w:widowControl w:val="0"/>
        <w:tabs>
          <w:tab w:val="right" w:leader="dot" w:pos="9270"/>
        </w:tabs>
        <w:spacing w:before="0" w:beforeAutospacing="0" w:after="0" w:afterAutospacing="0" w:line="360" w:lineRule="auto"/>
        <w:ind w:left="-360" w:right="-274" w:firstLine="547"/>
        <w:jc w:val="both"/>
        <w:rPr>
          <w:rFonts w:ascii="Garamond" w:hAnsi="Garamond" w:cs="Calibri"/>
          <w:sz w:val="22"/>
          <w:szCs w:val="22"/>
        </w:rPr>
      </w:pPr>
      <w:r>
        <w:rPr>
          <w:rFonts w:ascii="Garamond" w:hAnsi="Garamond"/>
          <w:sz w:val="22"/>
          <w:szCs w:val="22"/>
        </w:rPr>
        <w:t>(</w:t>
      </w:r>
      <w:r w:rsidR="00A069BA">
        <w:rPr>
          <w:rFonts w:ascii="Garamond" w:hAnsi="Garamond"/>
          <w:sz w:val="22"/>
          <w:szCs w:val="22"/>
        </w:rPr>
        <w:t>35</w:t>
      </w:r>
      <w:r>
        <w:rPr>
          <w:rFonts w:ascii="Garamond" w:hAnsi="Garamond"/>
          <w:sz w:val="22"/>
          <w:szCs w:val="22"/>
        </w:rPr>
        <w:t xml:space="preserve">) Second, </w:t>
      </w:r>
      <w:r w:rsidR="005E4A80">
        <w:rPr>
          <w:rFonts w:ascii="Garamond" w:hAnsi="Garamond"/>
          <w:sz w:val="22"/>
          <w:szCs w:val="22"/>
        </w:rPr>
        <w:t>M</w:t>
      </w:r>
      <w:r>
        <w:rPr>
          <w:rFonts w:ascii="Garamond" w:hAnsi="Garamond"/>
          <w:sz w:val="22"/>
          <w:szCs w:val="22"/>
        </w:rPr>
        <w:t xml:space="preserve">alawi’s Penal Code fails to include important exceptions, including pregnancy following rape, incest and defilement. </w:t>
      </w:r>
      <w:r w:rsidR="00484F6C">
        <w:rPr>
          <w:rFonts w:ascii="Garamond" w:hAnsi="Garamond"/>
          <w:sz w:val="22"/>
          <w:szCs w:val="22"/>
        </w:rPr>
        <w:t>Unfort</w:t>
      </w:r>
      <w:r w:rsidR="005E4A80">
        <w:rPr>
          <w:rFonts w:ascii="Garamond" w:hAnsi="Garamond"/>
          <w:sz w:val="22"/>
          <w:szCs w:val="22"/>
        </w:rPr>
        <w:t>u</w:t>
      </w:r>
      <w:r w:rsidR="00484F6C">
        <w:rPr>
          <w:rFonts w:ascii="Garamond" w:hAnsi="Garamond"/>
          <w:sz w:val="22"/>
          <w:szCs w:val="22"/>
        </w:rPr>
        <w:t xml:space="preserve">nately, UNICEF reports that </w:t>
      </w:r>
      <w:r w:rsidR="00484F6C">
        <w:rPr>
          <w:rFonts w:ascii="Garamond" w:hAnsi="Garamond" w:cs="Calibri"/>
          <w:sz w:val="22"/>
          <w:szCs w:val="22"/>
        </w:rPr>
        <w:t>sexual violence against minors is not uncommon in Malawi.</w:t>
      </w:r>
      <w:r w:rsidR="00484F6C">
        <w:rPr>
          <w:rStyle w:val="FootnoteReference"/>
          <w:rFonts w:ascii="Garamond" w:hAnsi="Garamond" w:cs="Calibri"/>
          <w:sz w:val="22"/>
          <w:szCs w:val="22"/>
        </w:rPr>
        <w:footnoteReference w:id="64"/>
      </w:r>
      <w:r w:rsidR="00484F6C">
        <w:rPr>
          <w:rFonts w:ascii="Garamond" w:hAnsi="Garamond" w:cs="Calibri"/>
          <w:sz w:val="22"/>
          <w:szCs w:val="22"/>
        </w:rPr>
        <w:t xml:space="preserve"> In Malawi, 33-38% of women between the ages of 15 and 49 have experienced sexual violence.</w:t>
      </w:r>
      <w:r w:rsidR="00484F6C">
        <w:rPr>
          <w:rStyle w:val="FootnoteReference"/>
          <w:rFonts w:ascii="Garamond" w:hAnsi="Garamond" w:cs="Calibri"/>
          <w:sz w:val="22"/>
          <w:szCs w:val="22"/>
        </w:rPr>
        <w:footnoteReference w:id="65"/>
      </w:r>
    </w:p>
    <w:p w14:paraId="0E103D68" w14:textId="2F8332C8" w:rsidR="005E4A80" w:rsidRPr="006912DA" w:rsidRDefault="005E4A80" w:rsidP="006912DA">
      <w:pPr>
        <w:pStyle w:val="NormalWeb"/>
        <w:widowControl w:val="0"/>
        <w:tabs>
          <w:tab w:val="right" w:leader="dot" w:pos="9270"/>
        </w:tabs>
        <w:spacing w:before="0" w:beforeAutospacing="0" w:after="0" w:afterAutospacing="0" w:line="360" w:lineRule="auto"/>
        <w:ind w:left="-360" w:right="-274" w:firstLine="547"/>
        <w:jc w:val="both"/>
        <w:rPr>
          <w:rFonts w:ascii="Garamond" w:hAnsi="Garamond"/>
          <w:sz w:val="22"/>
          <w:szCs w:val="22"/>
        </w:rPr>
      </w:pPr>
      <w:r>
        <w:rPr>
          <w:rFonts w:ascii="Garamond" w:hAnsi="Garamond" w:cs="Calibri"/>
          <w:sz w:val="22"/>
          <w:szCs w:val="22"/>
        </w:rPr>
        <w:lastRenderedPageBreak/>
        <w:t>(</w:t>
      </w:r>
      <w:r w:rsidR="00A069BA">
        <w:rPr>
          <w:rFonts w:ascii="Garamond" w:hAnsi="Garamond" w:cs="Calibri"/>
          <w:sz w:val="22"/>
          <w:szCs w:val="22"/>
        </w:rPr>
        <w:t>36</w:t>
      </w:r>
      <w:r>
        <w:rPr>
          <w:rFonts w:ascii="Garamond" w:hAnsi="Garamond" w:cs="Calibri"/>
          <w:sz w:val="22"/>
          <w:szCs w:val="22"/>
        </w:rPr>
        <w:t>) When young girls become pregnant because of sexual assault, they face a myriad of health risks, including eclampsia, puerperal endometritis, systemic infections, unsafe abortion, maternal mortality, and mental health challenges, including depression and suicidal ideations.</w:t>
      </w:r>
      <w:r>
        <w:rPr>
          <w:rStyle w:val="FootnoteReference"/>
          <w:rFonts w:ascii="Garamond" w:hAnsi="Garamond" w:cs="Calibri"/>
          <w:sz w:val="22"/>
          <w:szCs w:val="22"/>
        </w:rPr>
        <w:footnoteReference w:id="66"/>
      </w:r>
      <w:r>
        <w:rPr>
          <w:rFonts w:ascii="Garamond" w:hAnsi="Garamond" w:cs="Calibri"/>
          <w:sz w:val="22"/>
          <w:szCs w:val="22"/>
        </w:rPr>
        <w:t xml:space="preserve"> In addition to health risks, there are also social consequences that young girls face by not having access to abortion including dropping out of school and being abandoned by family and friends.</w:t>
      </w:r>
      <w:r>
        <w:rPr>
          <w:rStyle w:val="FootnoteReference"/>
          <w:rFonts w:ascii="Garamond" w:hAnsi="Garamond" w:cs="Calibri"/>
          <w:sz w:val="22"/>
          <w:szCs w:val="22"/>
        </w:rPr>
        <w:footnoteReference w:id="67"/>
      </w:r>
      <w:r>
        <w:rPr>
          <w:rFonts w:ascii="Garamond" w:hAnsi="Garamond" w:cs="Calibri"/>
          <w:sz w:val="22"/>
          <w:szCs w:val="22"/>
        </w:rPr>
        <w:t xml:space="preserve"> </w:t>
      </w:r>
      <w:r>
        <w:rPr>
          <w:rFonts w:ascii="Garamond" w:hAnsi="Garamond"/>
          <w:sz w:val="22"/>
          <w:szCs w:val="22"/>
        </w:rPr>
        <w:t>In Malawi, there is a range of understanding among adolescent girls about how or where to get an abortion, especially when the pregnancy is the result of rape, and many girls do not know what steps to take.</w:t>
      </w:r>
      <w:r>
        <w:rPr>
          <w:rStyle w:val="FootnoteReference"/>
          <w:rFonts w:ascii="Garamond" w:hAnsi="Garamond"/>
          <w:sz w:val="22"/>
          <w:szCs w:val="22"/>
        </w:rPr>
        <w:footnoteReference w:id="68"/>
      </w:r>
      <w:r>
        <w:rPr>
          <w:rFonts w:ascii="Garamond" w:hAnsi="Garamond"/>
          <w:sz w:val="22"/>
          <w:szCs w:val="22"/>
        </w:rPr>
        <w:t xml:space="preserve"> </w:t>
      </w:r>
    </w:p>
    <w:p w14:paraId="781E9E76" w14:textId="07E30AF0" w:rsidR="00484F6C" w:rsidRDefault="00484F6C" w:rsidP="00484F6C">
      <w:pPr>
        <w:pStyle w:val="NormalWeb"/>
        <w:widowControl w:val="0"/>
        <w:tabs>
          <w:tab w:val="right" w:leader="dot" w:pos="9270"/>
        </w:tabs>
        <w:spacing w:before="0" w:beforeAutospacing="0" w:after="0" w:afterAutospacing="0" w:line="360" w:lineRule="auto"/>
        <w:ind w:left="-360" w:right="-274" w:firstLine="547"/>
        <w:jc w:val="both"/>
        <w:rPr>
          <w:rFonts w:ascii="Garamond" w:hAnsi="Garamond" w:cs="Calibri"/>
          <w:sz w:val="22"/>
          <w:szCs w:val="22"/>
        </w:rPr>
      </w:pPr>
      <w:r>
        <w:rPr>
          <w:rFonts w:ascii="Garamond" w:hAnsi="Garamond"/>
          <w:sz w:val="22"/>
          <w:szCs w:val="22"/>
        </w:rPr>
        <w:t>(</w:t>
      </w:r>
      <w:proofErr w:type="gramStart"/>
      <w:r w:rsidR="00A069BA">
        <w:rPr>
          <w:rFonts w:ascii="Garamond" w:hAnsi="Garamond"/>
          <w:sz w:val="22"/>
          <w:szCs w:val="22"/>
        </w:rPr>
        <w:t>37</w:t>
      </w:r>
      <w:r>
        <w:rPr>
          <w:rFonts w:ascii="Garamond" w:hAnsi="Garamond"/>
          <w:sz w:val="22"/>
          <w:szCs w:val="22"/>
        </w:rPr>
        <w:t>)</w:t>
      </w:r>
      <w:r>
        <w:rPr>
          <w:rFonts w:ascii="Garamond" w:hAnsi="Garamond" w:cs="Calibri"/>
          <w:sz w:val="22"/>
          <w:szCs w:val="22"/>
        </w:rPr>
        <w:t>The</w:t>
      </w:r>
      <w:proofErr w:type="gramEnd"/>
      <w:r>
        <w:rPr>
          <w:rFonts w:ascii="Garamond" w:hAnsi="Garamond" w:cs="Calibri"/>
          <w:sz w:val="22"/>
          <w:szCs w:val="22"/>
        </w:rPr>
        <w:t xml:space="preserve"> Human Rights Committee has stated that limiting access to abortion for women who have been raped or sexually abused violates their right to life and further, this Committee has repeatedly recommended states include rape and incest as exceptions in abortion laws.</w:t>
      </w:r>
      <w:r>
        <w:rPr>
          <w:rStyle w:val="FootnoteReference"/>
          <w:rFonts w:ascii="Garamond" w:hAnsi="Garamond" w:cs="Calibri"/>
          <w:sz w:val="22"/>
          <w:szCs w:val="22"/>
        </w:rPr>
        <w:footnoteReference w:id="69"/>
      </w:r>
      <w:r>
        <w:rPr>
          <w:rFonts w:ascii="Garamond" w:hAnsi="Garamond" w:cs="Calibri"/>
          <w:sz w:val="22"/>
          <w:szCs w:val="22"/>
        </w:rPr>
        <w:t xml:space="preserve"> </w:t>
      </w:r>
    </w:p>
    <w:p w14:paraId="7CEBD568" w14:textId="30BD8C05" w:rsidR="000200DF" w:rsidRDefault="00484F6C" w:rsidP="006912DA">
      <w:pPr>
        <w:pStyle w:val="NormalWeb"/>
        <w:widowControl w:val="0"/>
        <w:tabs>
          <w:tab w:val="right" w:leader="dot" w:pos="9270"/>
        </w:tabs>
        <w:spacing w:before="0" w:beforeAutospacing="0" w:after="0" w:afterAutospacing="0" w:line="360" w:lineRule="auto"/>
        <w:ind w:left="-360" w:right="-274" w:firstLine="547"/>
        <w:jc w:val="both"/>
        <w:rPr>
          <w:rFonts w:ascii="Garamond" w:hAnsi="Garamond"/>
          <w:sz w:val="22"/>
          <w:szCs w:val="22"/>
        </w:rPr>
      </w:pPr>
      <w:r>
        <w:rPr>
          <w:rFonts w:ascii="Garamond" w:hAnsi="Garamond"/>
          <w:sz w:val="22"/>
          <w:szCs w:val="22"/>
        </w:rPr>
        <w:t>(</w:t>
      </w:r>
      <w:r w:rsidR="00A069BA">
        <w:rPr>
          <w:rFonts w:ascii="Garamond" w:hAnsi="Garamond"/>
          <w:sz w:val="22"/>
          <w:szCs w:val="22"/>
        </w:rPr>
        <w:t>38</w:t>
      </w:r>
      <w:r>
        <w:rPr>
          <w:rFonts w:ascii="Garamond" w:hAnsi="Garamond"/>
          <w:sz w:val="22"/>
          <w:szCs w:val="22"/>
        </w:rPr>
        <w:t>) This Committee expressed concerned about the lack of exceptions available to women in Guatemala when seeking abortions.</w:t>
      </w:r>
      <w:r>
        <w:rPr>
          <w:rStyle w:val="FootnoteReference"/>
          <w:rFonts w:ascii="Garamond" w:hAnsi="Garamond"/>
          <w:sz w:val="22"/>
          <w:szCs w:val="22"/>
        </w:rPr>
        <w:footnoteReference w:id="70"/>
      </w:r>
      <w:r>
        <w:rPr>
          <w:rFonts w:ascii="Garamond" w:hAnsi="Garamond"/>
          <w:sz w:val="22"/>
          <w:szCs w:val="22"/>
        </w:rPr>
        <w:t xml:space="preserve"> Women can only seek legal, therapeutic abortions for the purpose of protecting the mother’s life, a similar restriction to the abortion code in Malawi.</w:t>
      </w:r>
      <w:r>
        <w:rPr>
          <w:rStyle w:val="FootnoteReference"/>
          <w:rFonts w:ascii="Garamond" w:hAnsi="Garamond"/>
          <w:sz w:val="22"/>
          <w:szCs w:val="22"/>
        </w:rPr>
        <w:footnoteReference w:id="71"/>
      </w:r>
      <w:r>
        <w:rPr>
          <w:rFonts w:ascii="Garamond" w:hAnsi="Garamond"/>
          <w:sz w:val="22"/>
          <w:szCs w:val="22"/>
        </w:rPr>
        <w:t xml:space="preserve"> This Committee recommended that Guatemala “take the legislative and administrative measures necessary to prevent maternal mortality and morbidity…”</w:t>
      </w:r>
      <w:r>
        <w:rPr>
          <w:rStyle w:val="FootnoteReference"/>
          <w:rFonts w:ascii="Garamond" w:hAnsi="Garamond"/>
          <w:sz w:val="22"/>
          <w:szCs w:val="22"/>
        </w:rPr>
        <w:footnoteReference w:id="72"/>
      </w:r>
      <w:r>
        <w:rPr>
          <w:rFonts w:ascii="Garamond" w:hAnsi="Garamond"/>
          <w:sz w:val="22"/>
          <w:szCs w:val="22"/>
        </w:rPr>
        <w:t xml:space="preserve"> Malawi should be compelled to do the same, especially recognizing the unique risks that young girls face as well as survivors of rape, incest or defilement.</w:t>
      </w:r>
    </w:p>
    <w:p w14:paraId="3B4D4F3C" w14:textId="77777777" w:rsidR="00741C18" w:rsidRDefault="00741C18" w:rsidP="006912DA">
      <w:pPr>
        <w:pStyle w:val="NormalWeb"/>
        <w:widowControl w:val="0"/>
        <w:tabs>
          <w:tab w:val="right" w:leader="dot" w:pos="9270"/>
        </w:tabs>
        <w:spacing w:before="0" w:beforeAutospacing="0" w:after="0" w:afterAutospacing="0" w:line="360" w:lineRule="auto"/>
        <w:ind w:left="-360" w:right="-274" w:firstLine="547"/>
        <w:jc w:val="both"/>
        <w:rPr>
          <w:rFonts w:ascii="Garamond" w:hAnsi="Garamond"/>
          <w:sz w:val="22"/>
          <w:szCs w:val="22"/>
        </w:rPr>
      </w:pPr>
    </w:p>
    <w:p w14:paraId="7E66FBB3" w14:textId="55204629" w:rsidR="000200DF" w:rsidRDefault="000200DF" w:rsidP="000200DF">
      <w:pPr>
        <w:pStyle w:val="Heading2"/>
      </w:pPr>
      <w:bookmarkStart w:id="6" w:name="_Toc173323645"/>
      <w:r>
        <w:t>The 2021 High Court Ruling is a step forward but not sufficient.</w:t>
      </w:r>
      <w:bookmarkEnd w:id="6"/>
    </w:p>
    <w:p w14:paraId="3C9CA072" w14:textId="77777777" w:rsidR="000200DF" w:rsidRDefault="000200DF" w:rsidP="000200DF"/>
    <w:p w14:paraId="1B609BC9" w14:textId="05A81B3C" w:rsidR="000200DF" w:rsidRDefault="000200DF" w:rsidP="000200DF">
      <w:pPr>
        <w:pStyle w:val="NormalWeb"/>
        <w:widowControl w:val="0"/>
        <w:tabs>
          <w:tab w:val="right" w:leader="dot" w:pos="9270"/>
        </w:tabs>
        <w:spacing w:before="0" w:beforeAutospacing="0" w:after="0" w:afterAutospacing="0" w:line="360" w:lineRule="auto"/>
        <w:ind w:left="-360" w:right="-274" w:firstLine="547"/>
        <w:jc w:val="both"/>
        <w:rPr>
          <w:rFonts w:ascii="Garamond" w:hAnsi="Garamond"/>
          <w:sz w:val="22"/>
          <w:szCs w:val="22"/>
        </w:rPr>
      </w:pPr>
      <w:r>
        <w:rPr>
          <w:rFonts w:ascii="Garamond" w:hAnsi="Garamond"/>
          <w:sz w:val="22"/>
          <w:szCs w:val="22"/>
        </w:rPr>
        <w:t>(</w:t>
      </w:r>
      <w:r w:rsidR="00A069BA">
        <w:rPr>
          <w:rFonts w:ascii="Garamond" w:hAnsi="Garamond"/>
          <w:sz w:val="22"/>
          <w:szCs w:val="22"/>
        </w:rPr>
        <w:t>39</w:t>
      </w:r>
      <w:r>
        <w:rPr>
          <w:rFonts w:ascii="Garamond" w:hAnsi="Garamond"/>
          <w:sz w:val="22"/>
          <w:szCs w:val="22"/>
        </w:rPr>
        <w:t xml:space="preserve">) In Paragraph 98 of the replies to the List of Issues, Malawi called the Committee’s attention to the </w:t>
      </w:r>
      <w:proofErr w:type="gramStart"/>
      <w:r>
        <w:rPr>
          <w:rFonts w:ascii="Garamond" w:hAnsi="Garamond"/>
          <w:sz w:val="22"/>
          <w:szCs w:val="22"/>
        </w:rPr>
        <w:t>fact  that</w:t>
      </w:r>
      <w:proofErr w:type="gramEnd"/>
      <w:r>
        <w:rPr>
          <w:rFonts w:ascii="Garamond" w:hAnsi="Garamond"/>
          <w:sz w:val="22"/>
          <w:szCs w:val="22"/>
        </w:rPr>
        <w:t xml:space="preserve"> in 2021 a High Court ruling in </w:t>
      </w:r>
      <w:r w:rsidRPr="005F11AA">
        <w:rPr>
          <w:rFonts w:ascii="Garamond" w:hAnsi="Garamond"/>
          <w:i/>
          <w:iCs/>
          <w:sz w:val="22"/>
          <w:szCs w:val="22"/>
        </w:rPr>
        <w:t>CM v. The Hospital Director of Queen Elizabeth Central Hospital &amp; The Minister of Health</w:t>
      </w:r>
      <w:r w:rsidRPr="00942147">
        <w:rPr>
          <w:rFonts w:ascii="Garamond" w:hAnsi="Garamond"/>
          <w:sz w:val="22"/>
          <w:szCs w:val="22"/>
        </w:rPr>
        <w:t xml:space="preserve"> </w:t>
      </w:r>
      <w:r>
        <w:rPr>
          <w:rFonts w:ascii="Garamond" w:hAnsi="Garamond"/>
          <w:sz w:val="22"/>
          <w:szCs w:val="22"/>
        </w:rPr>
        <w:t xml:space="preserve">upheld the </w:t>
      </w:r>
      <w:r w:rsidR="00484F6C">
        <w:rPr>
          <w:rFonts w:ascii="Garamond" w:hAnsi="Garamond"/>
          <w:sz w:val="22"/>
          <w:szCs w:val="22"/>
        </w:rPr>
        <w:t xml:space="preserve">exception to </w:t>
      </w:r>
      <w:proofErr w:type="spellStart"/>
      <w:r w:rsidR="00484F6C">
        <w:rPr>
          <w:rFonts w:ascii="Garamond" w:hAnsi="Garamond"/>
          <w:sz w:val="22"/>
          <w:szCs w:val="22"/>
        </w:rPr>
        <w:t>crminlaization</w:t>
      </w:r>
      <w:proofErr w:type="spellEnd"/>
      <w:r w:rsidR="00484F6C">
        <w:rPr>
          <w:rFonts w:ascii="Garamond" w:hAnsi="Garamond"/>
          <w:sz w:val="22"/>
          <w:szCs w:val="22"/>
        </w:rPr>
        <w:t xml:space="preserve"> of abortion contained in S</w:t>
      </w:r>
      <w:r w:rsidR="00484F6C" w:rsidRPr="00942147">
        <w:rPr>
          <w:rFonts w:ascii="Garamond" w:hAnsi="Garamond"/>
          <w:sz w:val="22"/>
          <w:szCs w:val="22"/>
        </w:rPr>
        <w:t>ection 243</w:t>
      </w:r>
      <w:r w:rsidR="00484F6C">
        <w:rPr>
          <w:rFonts w:ascii="Garamond" w:hAnsi="Garamond"/>
          <w:sz w:val="22"/>
          <w:szCs w:val="22"/>
        </w:rPr>
        <w:t xml:space="preserve"> of the Penal Code, “</w:t>
      </w:r>
      <w:r w:rsidR="00484F6C" w:rsidRPr="00942147">
        <w:rPr>
          <w:rFonts w:ascii="Garamond" w:hAnsi="Garamond"/>
          <w:sz w:val="22"/>
          <w:szCs w:val="22"/>
        </w:rPr>
        <w:t>requiring women seeking an abortion to consult a doctor and explain the threat to their life or health</w:t>
      </w:r>
      <w:r w:rsidR="00484F6C">
        <w:rPr>
          <w:rFonts w:ascii="Garamond" w:hAnsi="Garamond"/>
          <w:sz w:val="22"/>
          <w:szCs w:val="22"/>
        </w:rPr>
        <w:t>”,</w:t>
      </w:r>
      <w:r w:rsidR="00484F6C">
        <w:rPr>
          <w:rStyle w:val="FootnoteReference"/>
          <w:rFonts w:ascii="Garamond" w:hAnsi="Garamond"/>
          <w:sz w:val="22"/>
          <w:szCs w:val="22"/>
        </w:rPr>
        <w:footnoteReference w:id="73"/>
      </w:r>
      <w:r w:rsidR="00484F6C">
        <w:rPr>
          <w:rFonts w:ascii="Garamond" w:hAnsi="Garamond"/>
          <w:sz w:val="22"/>
          <w:szCs w:val="22"/>
        </w:rPr>
        <w:t xml:space="preserve"> and that</w:t>
      </w:r>
      <w:r w:rsidR="00484F6C" w:rsidRPr="00942147">
        <w:rPr>
          <w:rFonts w:ascii="Garamond" w:hAnsi="Garamond"/>
          <w:sz w:val="22"/>
          <w:szCs w:val="22"/>
        </w:rPr>
        <w:t xml:space="preserve"> </w:t>
      </w:r>
      <w:r w:rsidR="00484F6C">
        <w:rPr>
          <w:rFonts w:ascii="Garamond" w:hAnsi="Garamond"/>
          <w:sz w:val="22"/>
          <w:szCs w:val="22"/>
        </w:rPr>
        <w:t>t</w:t>
      </w:r>
      <w:r w:rsidR="00484F6C" w:rsidRPr="00942147">
        <w:rPr>
          <w:rFonts w:ascii="Garamond" w:hAnsi="Garamond"/>
          <w:sz w:val="22"/>
          <w:szCs w:val="22"/>
        </w:rPr>
        <w:t xml:space="preserve">he Court emphasized that </w:t>
      </w:r>
      <w:r w:rsidR="00484F6C">
        <w:rPr>
          <w:rFonts w:ascii="Garamond" w:hAnsi="Garamond"/>
          <w:sz w:val="22"/>
          <w:szCs w:val="22"/>
        </w:rPr>
        <w:t>“</w:t>
      </w:r>
      <w:r w:rsidR="00484F6C" w:rsidRPr="00942147">
        <w:rPr>
          <w:rFonts w:ascii="Garamond" w:hAnsi="Garamond"/>
          <w:sz w:val="22"/>
          <w:szCs w:val="22"/>
        </w:rPr>
        <w:t>safeguarding mental and physical health is part of preserving life.</w:t>
      </w:r>
      <w:r w:rsidR="00484F6C">
        <w:rPr>
          <w:rFonts w:ascii="Garamond" w:hAnsi="Garamond"/>
          <w:sz w:val="22"/>
          <w:szCs w:val="22"/>
        </w:rPr>
        <w:t>”</w:t>
      </w:r>
      <w:r w:rsidR="00484F6C">
        <w:rPr>
          <w:rStyle w:val="FootnoteReference"/>
          <w:rFonts w:ascii="Garamond" w:hAnsi="Garamond"/>
          <w:sz w:val="22"/>
          <w:szCs w:val="22"/>
        </w:rPr>
        <w:footnoteReference w:id="74"/>
      </w:r>
      <w:r w:rsidR="00484F6C">
        <w:rPr>
          <w:rFonts w:ascii="Garamond" w:hAnsi="Garamond"/>
          <w:sz w:val="22"/>
          <w:szCs w:val="22"/>
        </w:rPr>
        <w:t xml:space="preserve"> </w:t>
      </w:r>
      <w:r w:rsidR="00484F6C" w:rsidRPr="00942147">
        <w:rPr>
          <w:rFonts w:ascii="Garamond" w:hAnsi="Garamond"/>
          <w:sz w:val="22"/>
          <w:szCs w:val="22"/>
        </w:rPr>
        <w:t xml:space="preserve"> </w:t>
      </w:r>
      <w:r>
        <w:rPr>
          <w:rFonts w:ascii="Garamond" w:hAnsi="Garamond"/>
          <w:sz w:val="22"/>
          <w:szCs w:val="22"/>
        </w:rPr>
        <w:t xml:space="preserve"> </w:t>
      </w:r>
    </w:p>
    <w:p w14:paraId="7510AA91" w14:textId="39C7D704" w:rsidR="00484F6C" w:rsidRDefault="000200DF" w:rsidP="00484F6C">
      <w:pPr>
        <w:pStyle w:val="NormalWeb"/>
        <w:widowControl w:val="0"/>
        <w:tabs>
          <w:tab w:val="right" w:leader="dot" w:pos="9270"/>
        </w:tabs>
        <w:spacing w:before="0" w:beforeAutospacing="0" w:after="0" w:afterAutospacing="0" w:line="360" w:lineRule="auto"/>
        <w:ind w:left="-360" w:right="-274" w:firstLine="547"/>
        <w:jc w:val="both"/>
        <w:rPr>
          <w:rFonts w:ascii="Garamond" w:hAnsi="Garamond"/>
          <w:sz w:val="22"/>
          <w:szCs w:val="22"/>
        </w:rPr>
      </w:pPr>
      <w:r>
        <w:rPr>
          <w:rFonts w:ascii="Garamond" w:hAnsi="Garamond"/>
          <w:sz w:val="22"/>
          <w:szCs w:val="22"/>
        </w:rPr>
        <w:t>(</w:t>
      </w:r>
      <w:r w:rsidR="00A069BA">
        <w:rPr>
          <w:rFonts w:ascii="Garamond" w:hAnsi="Garamond"/>
          <w:sz w:val="22"/>
          <w:szCs w:val="22"/>
        </w:rPr>
        <w:t>40</w:t>
      </w:r>
      <w:r>
        <w:rPr>
          <w:rFonts w:ascii="Garamond" w:hAnsi="Garamond"/>
          <w:sz w:val="22"/>
          <w:szCs w:val="22"/>
        </w:rPr>
        <w:t>) We applaud the</w:t>
      </w:r>
      <w:r w:rsidR="00484F6C">
        <w:rPr>
          <w:rFonts w:ascii="Garamond" w:hAnsi="Garamond"/>
          <w:sz w:val="22"/>
          <w:szCs w:val="22"/>
        </w:rPr>
        <w:t xml:space="preserve"> High Court’s</w:t>
      </w:r>
      <w:r>
        <w:rPr>
          <w:rFonts w:ascii="Garamond" w:hAnsi="Garamond"/>
          <w:sz w:val="22"/>
          <w:szCs w:val="22"/>
        </w:rPr>
        <w:t xml:space="preserve"> inclusion of mental and physical health within the preservation of life </w:t>
      </w:r>
      <w:r>
        <w:rPr>
          <w:rFonts w:ascii="Garamond" w:hAnsi="Garamond"/>
          <w:sz w:val="22"/>
          <w:szCs w:val="22"/>
        </w:rPr>
        <w:lastRenderedPageBreak/>
        <w:t xml:space="preserve">exception to the abortion law </w:t>
      </w:r>
      <w:r w:rsidR="00484F6C">
        <w:rPr>
          <w:rFonts w:ascii="Garamond" w:hAnsi="Garamond"/>
          <w:sz w:val="22"/>
          <w:szCs w:val="22"/>
        </w:rPr>
        <w:t xml:space="preserve">and positively note the </w:t>
      </w:r>
      <w:proofErr w:type="spellStart"/>
      <w:r w:rsidR="00484F6C">
        <w:rPr>
          <w:rFonts w:ascii="Garamond" w:hAnsi="Garamond"/>
          <w:sz w:val="22"/>
          <w:szCs w:val="22"/>
        </w:rPr>
        <w:t>Giovernment</w:t>
      </w:r>
      <w:proofErr w:type="spellEnd"/>
      <w:r w:rsidR="00484F6C">
        <w:rPr>
          <w:rFonts w:ascii="Garamond" w:hAnsi="Garamond"/>
          <w:sz w:val="22"/>
          <w:szCs w:val="22"/>
        </w:rPr>
        <w:t xml:space="preserve"> of Malawi’s welcoming of this decision</w:t>
      </w:r>
      <w:r>
        <w:rPr>
          <w:rFonts w:ascii="Garamond" w:hAnsi="Garamond"/>
          <w:sz w:val="22"/>
          <w:szCs w:val="22"/>
        </w:rPr>
        <w:t xml:space="preserve">. </w:t>
      </w:r>
      <w:r w:rsidRPr="00EB64D4">
        <w:rPr>
          <w:rFonts w:ascii="Garamond" w:hAnsi="Garamond"/>
          <w:sz w:val="22"/>
          <w:szCs w:val="22"/>
        </w:rPr>
        <w:t>However,</w:t>
      </w:r>
      <w:r>
        <w:rPr>
          <w:rFonts w:ascii="Garamond" w:hAnsi="Garamond"/>
          <w:sz w:val="22"/>
          <w:szCs w:val="22"/>
        </w:rPr>
        <w:t xml:space="preserve"> </w:t>
      </w:r>
      <w:r w:rsidR="00484F6C">
        <w:rPr>
          <w:rFonts w:ascii="Garamond" w:hAnsi="Garamond"/>
          <w:sz w:val="22"/>
          <w:szCs w:val="22"/>
        </w:rPr>
        <w:t xml:space="preserve">Malawi’s </w:t>
      </w:r>
      <w:r>
        <w:rPr>
          <w:rFonts w:ascii="Garamond" w:hAnsi="Garamond"/>
          <w:sz w:val="22"/>
          <w:szCs w:val="22"/>
        </w:rPr>
        <w:t xml:space="preserve">health providers and the public </w:t>
      </w:r>
      <w:r w:rsidR="00484F6C">
        <w:rPr>
          <w:rFonts w:ascii="Garamond" w:hAnsi="Garamond"/>
          <w:sz w:val="22"/>
          <w:szCs w:val="22"/>
        </w:rPr>
        <w:t xml:space="preserve">remain </w:t>
      </w:r>
      <w:r w:rsidR="00761A4A">
        <w:rPr>
          <w:rFonts w:ascii="Garamond" w:hAnsi="Garamond"/>
          <w:sz w:val="22"/>
          <w:szCs w:val="22"/>
        </w:rPr>
        <w:t>un</w:t>
      </w:r>
      <w:r>
        <w:rPr>
          <w:rFonts w:ascii="Garamond" w:hAnsi="Garamond"/>
          <w:sz w:val="22"/>
          <w:szCs w:val="22"/>
        </w:rPr>
        <w:t xml:space="preserve">aware of the High Court ruling. </w:t>
      </w:r>
      <w:r w:rsidR="00484F6C">
        <w:rPr>
          <w:rFonts w:ascii="Garamond" w:hAnsi="Garamond"/>
          <w:sz w:val="22"/>
          <w:szCs w:val="22"/>
        </w:rPr>
        <w:t>H</w:t>
      </w:r>
      <w:r>
        <w:rPr>
          <w:rFonts w:ascii="Garamond" w:hAnsi="Garamond"/>
          <w:sz w:val="22"/>
          <w:szCs w:val="22"/>
        </w:rPr>
        <w:t>ealthcare providers</w:t>
      </w:r>
      <w:r w:rsidRPr="007B6F07">
        <w:rPr>
          <w:rFonts w:ascii="Garamond" w:hAnsi="Garamond"/>
          <w:sz w:val="22"/>
          <w:szCs w:val="22"/>
        </w:rPr>
        <w:t xml:space="preserve"> </w:t>
      </w:r>
      <w:r w:rsidR="00484F6C">
        <w:rPr>
          <w:rFonts w:ascii="Garamond" w:hAnsi="Garamond"/>
          <w:sz w:val="22"/>
          <w:szCs w:val="22"/>
        </w:rPr>
        <w:t xml:space="preserve">continue </w:t>
      </w:r>
      <w:r w:rsidR="008C6AB5">
        <w:rPr>
          <w:rFonts w:ascii="Garamond" w:hAnsi="Garamond"/>
          <w:sz w:val="22"/>
          <w:szCs w:val="22"/>
        </w:rPr>
        <w:t xml:space="preserve">to </w:t>
      </w:r>
      <w:r w:rsidR="00484F6C">
        <w:rPr>
          <w:rFonts w:ascii="Garamond" w:hAnsi="Garamond"/>
          <w:sz w:val="22"/>
          <w:szCs w:val="22"/>
        </w:rPr>
        <w:t xml:space="preserve">not </w:t>
      </w:r>
      <w:r>
        <w:rPr>
          <w:rFonts w:ascii="Garamond" w:hAnsi="Garamond"/>
          <w:sz w:val="22"/>
          <w:szCs w:val="22"/>
        </w:rPr>
        <w:t>hav</w:t>
      </w:r>
      <w:r w:rsidR="008C6AB5">
        <w:rPr>
          <w:rFonts w:ascii="Garamond" w:hAnsi="Garamond"/>
          <w:sz w:val="22"/>
          <w:szCs w:val="22"/>
        </w:rPr>
        <w:t>e</w:t>
      </w:r>
      <w:r w:rsidRPr="007B6F07">
        <w:rPr>
          <w:rFonts w:ascii="Garamond" w:hAnsi="Garamond"/>
          <w:sz w:val="22"/>
          <w:szCs w:val="22"/>
        </w:rPr>
        <w:t xml:space="preserve"> clear instruction as to when they can legally perform abortions</w:t>
      </w:r>
      <w:r w:rsidR="00484F6C">
        <w:rPr>
          <w:rFonts w:ascii="Garamond" w:hAnsi="Garamond"/>
          <w:sz w:val="22"/>
          <w:szCs w:val="22"/>
        </w:rPr>
        <w:t>.</w:t>
      </w:r>
      <w:r w:rsidRPr="007B6F07">
        <w:rPr>
          <w:rFonts w:ascii="Garamond" w:hAnsi="Garamond"/>
          <w:sz w:val="22"/>
          <w:szCs w:val="22"/>
        </w:rPr>
        <w:t xml:space="preserve"> </w:t>
      </w:r>
      <w:r>
        <w:rPr>
          <w:rFonts w:ascii="Garamond" w:hAnsi="Garamond"/>
          <w:sz w:val="22"/>
          <w:szCs w:val="22"/>
        </w:rPr>
        <w:t xml:space="preserve">The 2021 </w:t>
      </w:r>
      <w:r w:rsidRPr="007B6F07">
        <w:rPr>
          <w:rFonts w:ascii="Garamond" w:hAnsi="Garamond"/>
          <w:sz w:val="22"/>
          <w:szCs w:val="22"/>
        </w:rPr>
        <w:t xml:space="preserve">High Court </w:t>
      </w:r>
      <w:r>
        <w:rPr>
          <w:rFonts w:ascii="Garamond" w:hAnsi="Garamond"/>
          <w:sz w:val="22"/>
          <w:szCs w:val="22"/>
        </w:rPr>
        <w:t>r</w:t>
      </w:r>
      <w:r w:rsidRPr="007B6F07">
        <w:rPr>
          <w:rFonts w:ascii="Garamond" w:hAnsi="Garamond"/>
          <w:sz w:val="22"/>
          <w:szCs w:val="22"/>
        </w:rPr>
        <w:t>uling</w:t>
      </w:r>
      <w:r>
        <w:rPr>
          <w:rFonts w:ascii="Garamond" w:hAnsi="Garamond"/>
          <w:sz w:val="22"/>
          <w:szCs w:val="22"/>
        </w:rPr>
        <w:t xml:space="preserve"> can </w:t>
      </w:r>
      <w:r w:rsidR="00484F6C">
        <w:rPr>
          <w:rFonts w:ascii="Garamond" w:hAnsi="Garamond"/>
          <w:sz w:val="22"/>
          <w:szCs w:val="22"/>
        </w:rPr>
        <w:t xml:space="preserve">improve the </w:t>
      </w:r>
      <w:proofErr w:type="spellStart"/>
      <w:r w:rsidR="00484F6C">
        <w:rPr>
          <w:rFonts w:ascii="Garamond" w:hAnsi="Garamond"/>
          <w:sz w:val="22"/>
          <w:szCs w:val="22"/>
        </w:rPr>
        <w:t>sitiuation</w:t>
      </w:r>
      <w:proofErr w:type="spellEnd"/>
      <w:r>
        <w:rPr>
          <w:rFonts w:ascii="Garamond" w:hAnsi="Garamond"/>
          <w:sz w:val="22"/>
          <w:szCs w:val="22"/>
        </w:rPr>
        <w:t xml:space="preserve"> only as long as it </w:t>
      </w:r>
      <w:r w:rsidRPr="007B6F07">
        <w:rPr>
          <w:rFonts w:ascii="Garamond" w:hAnsi="Garamond"/>
          <w:sz w:val="22"/>
          <w:szCs w:val="22"/>
        </w:rPr>
        <w:t>is widely shared.</w:t>
      </w:r>
    </w:p>
    <w:p w14:paraId="07DA9CA4" w14:textId="644314B9" w:rsidR="000200DF" w:rsidRDefault="00A069BA" w:rsidP="00484F6C">
      <w:pPr>
        <w:pStyle w:val="NormalWeb"/>
        <w:widowControl w:val="0"/>
        <w:tabs>
          <w:tab w:val="right" w:leader="dot" w:pos="9270"/>
        </w:tabs>
        <w:spacing w:before="0" w:beforeAutospacing="0" w:after="0" w:afterAutospacing="0" w:line="360" w:lineRule="auto"/>
        <w:ind w:left="-360" w:right="-274" w:firstLine="547"/>
        <w:jc w:val="both"/>
        <w:rPr>
          <w:rFonts w:ascii="Garamond" w:hAnsi="Garamond"/>
          <w:sz w:val="22"/>
          <w:szCs w:val="22"/>
        </w:rPr>
      </w:pPr>
      <w:r>
        <w:rPr>
          <w:rFonts w:ascii="Garamond" w:hAnsi="Garamond"/>
          <w:sz w:val="22"/>
          <w:szCs w:val="22"/>
        </w:rPr>
        <w:t xml:space="preserve">(41) </w:t>
      </w:r>
      <w:r w:rsidR="000200DF" w:rsidRPr="007B6F07">
        <w:rPr>
          <w:rFonts w:ascii="Garamond" w:hAnsi="Garamond"/>
          <w:sz w:val="22"/>
          <w:szCs w:val="22"/>
        </w:rPr>
        <w:t xml:space="preserve">Because </w:t>
      </w:r>
      <w:r w:rsidR="000200DF">
        <w:rPr>
          <w:rFonts w:ascii="Garamond" w:hAnsi="Garamond"/>
          <w:sz w:val="22"/>
          <w:szCs w:val="22"/>
        </w:rPr>
        <w:t>Malawi</w:t>
      </w:r>
      <w:r w:rsidR="00484F6C">
        <w:rPr>
          <w:rFonts w:ascii="Garamond" w:hAnsi="Garamond"/>
          <w:sz w:val="22"/>
          <w:szCs w:val="22"/>
        </w:rPr>
        <w:t xml:space="preserve"> continues criminalizing abortion and</w:t>
      </w:r>
      <w:r w:rsidR="000200DF">
        <w:rPr>
          <w:rFonts w:ascii="Garamond" w:hAnsi="Garamond"/>
          <w:sz w:val="22"/>
          <w:szCs w:val="22"/>
        </w:rPr>
        <w:t xml:space="preserve"> lacks</w:t>
      </w:r>
      <w:r w:rsidR="000200DF" w:rsidRPr="007B6F07">
        <w:rPr>
          <w:rFonts w:ascii="Garamond" w:hAnsi="Garamond"/>
          <w:sz w:val="22"/>
          <w:szCs w:val="22"/>
        </w:rPr>
        <w:t xml:space="preserve"> </w:t>
      </w:r>
      <w:r w:rsidR="000200DF">
        <w:rPr>
          <w:rFonts w:ascii="Garamond" w:hAnsi="Garamond"/>
          <w:sz w:val="22"/>
          <w:szCs w:val="22"/>
        </w:rPr>
        <w:t xml:space="preserve">a </w:t>
      </w:r>
      <w:r w:rsidR="000200DF" w:rsidRPr="007B6F07">
        <w:rPr>
          <w:rFonts w:ascii="Garamond" w:hAnsi="Garamond"/>
          <w:sz w:val="22"/>
          <w:szCs w:val="22"/>
        </w:rPr>
        <w:t>comprehensive l</w:t>
      </w:r>
      <w:r w:rsidR="00484F6C">
        <w:rPr>
          <w:rFonts w:ascii="Garamond" w:hAnsi="Garamond"/>
          <w:sz w:val="22"/>
          <w:szCs w:val="22"/>
        </w:rPr>
        <w:t>egal framework clearly enabling it</w:t>
      </w:r>
      <w:r w:rsidR="000200DF" w:rsidRPr="007B6F07">
        <w:rPr>
          <w:rFonts w:ascii="Garamond" w:hAnsi="Garamond"/>
          <w:sz w:val="22"/>
          <w:szCs w:val="22"/>
        </w:rPr>
        <w:t>, health</w:t>
      </w:r>
      <w:r w:rsidR="000200DF">
        <w:rPr>
          <w:rFonts w:ascii="Garamond" w:hAnsi="Garamond"/>
          <w:sz w:val="22"/>
          <w:szCs w:val="22"/>
        </w:rPr>
        <w:t>care</w:t>
      </w:r>
      <w:r w:rsidR="000200DF" w:rsidRPr="007B6F07">
        <w:rPr>
          <w:rFonts w:ascii="Garamond" w:hAnsi="Garamond"/>
          <w:sz w:val="22"/>
          <w:szCs w:val="22"/>
        </w:rPr>
        <w:t xml:space="preserve"> providers </w:t>
      </w:r>
      <w:r w:rsidR="000200DF">
        <w:rPr>
          <w:rFonts w:ascii="Garamond" w:hAnsi="Garamond"/>
          <w:sz w:val="22"/>
          <w:szCs w:val="22"/>
        </w:rPr>
        <w:t xml:space="preserve">end up having </w:t>
      </w:r>
      <w:r w:rsidR="000200DF" w:rsidRPr="007B6F07">
        <w:rPr>
          <w:rFonts w:ascii="Garamond" w:hAnsi="Garamond"/>
          <w:sz w:val="22"/>
          <w:szCs w:val="22"/>
        </w:rPr>
        <w:t xml:space="preserve">to interpret the </w:t>
      </w:r>
      <w:r w:rsidR="00263DF7">
        <w:rPr>
          <w:rFonts w:ascii="Garamond" w:hAnsi="Garamond"/>
          <w:sz w:val="22"/>
          <w:szCs w:val="22"/>
        </w:rPr>
        <w:t>P</w:t>
      </w:r>
      <w:r w:rsidR="000200DF" w:rsidRPr="007B6F07">
        <w:rPr>
          <w:rFonts w:ascii="Garamond" w:hAnsi="Garamond"/>
          <w:sz w:val="22"/>
          <w:szCs w:val="22"/>
        </w:rPr>
        <w:t xml:space="preserve">enal </w:t>
      </w:r>
      <w:r w:rsidR="00263DF7">
        <w:rPr>
          <w:rFonts w:ascii="Garamond" w:hAnsi="Garamond"/>
          <w:sz w:val="22"/>
          <w:szCs w:val="22"/>
        </w:rPr>
        <w:t>C</w:t>
      </w:r>
      <w:r w:rsidR="000200DF" w:rsidRPr="007B6F07">
        <w:rPr>
          <w:rFonts w:ascii="Garamond" w:hAnsi="Garamond"/>
          <w:sz w:val="22"/>
          <w:szCs w:val="22"/>
        </w:rPr>
        <w:t xml:space="preserve">ode </w:t>
      </w:r>
      <w:r w:rsidR="00484F6C">
        <w:rPr>
          <w:rFonts w:ascii="Garamond" w:hAnsi="Garamond"/>
          <w:sz w:val="22"/>
          <w:szCs w:val="22"/>
        </w:rPr>
        <w:t>on their own</w:t>
      </w:r>
      <w:r w:rsidR="000200DF">
        <w:rPr>
          <w:rFonts w:ascii="Garamond" w:hAnsi="Garamond"/>
          <w:sz w:val="22"/>
          <w:szCs w:val="22"/>
        </w:rPr>
        <w:t>. U</w:t>
      </w:r>
      <w:r w:rsidR="000200DF" w:rsidRPr="007B6F07">
        <w:rPr>
          <w:rFonts w:ascii="Garamond" w:hAnsi="Garamond"/>
          <w:sz w:val="22"/>
          <w:szCs w:val="22"/>
        </w:rPr>
        <w:t>nderstandably</w:t>
      </w:r>
      <w:r w:rsidR="000200DF">
        <w:rPr>
          <w:rFonts w:ascii="Garamond" w:hAnsi="Garamond"/>
          <w:sz w:val="22"/>
          <w:szCs w:val="22"/>
        </w:rPr>
        <w:t>, they</w:t>
      </w:r>
      <w:r w:rsidR="000200DF" w:rsidRPr="007B6F07">
        <w:rPr>
          <w:rFonts w:ascii="Garamond" w:hAnsi="Garamond"/>
          <w:sz w:val="22"/>
          <w:szCs w:val="22"/>
        </w:rPr>
        <w:t xml:space="preserve"> end up </w:t>
      </w:r>
      <w:r w:rsidR="00484F6C">
        <w:rPr>
          <w:rFonts w:ascii="Garamond" w:hAnsi="Garamond"/>
          <w:sz w:val="22"/>
          <w:szCs w:val="22"/>
        </w:rPr>
        <w:t>reading</w:t>
      </w:r>
      <w:r w:rsidR="000200DF" w:rsidRPr="007B6F07">
        <w:rPr>
          <w:rFonts w:ascii="Garamond" w:hAnsi="Garamond"/>
          <w:sz w:val="22"/>
          <w:szCs w:val="22"/>
        </w:rPr>
        <w:t xml:space="preserve"> the law conservatively for fear of prosecution.</w:t>
      </w:r>
      <w:r w:rsidR="000200DF" w:rsidRPr="00C62C75">
        <w:rPr>
          <w:rFonts w:ascii="Garamond" w:hAnsi="Garamond"/>
          <w:vertAlign w:val="superscript"/>
        </w:rPr>
        <w:footnoteReference w:id="75"/>
      </w:r>
    </w:p>
    <w:p w14:paraId="1CBD0C28" w14:textId="438B8849" w:rsidR="005E4A80" w:rsidRDefault="004624A8" w:rsidP="006912DA">
      <w:pPr>
        <w:pStyle w:val="NormalWeb"/>
        <w:tabs>
          <w:tab w:val="right" w:leader="dot" w:pos="9270"/>
        </w:tabs>
        <w:spacing w:before="0" w:beforeAutospacing="0" w:after="0" w:afterAutospacing="0" w:line="360" w:lineRule="auto"/>
        <w:ind w:left="-360" w:right="-274" w:firstLine="547"/>
        <w:jc w:val="both"/>
        <w:rPr>
          <w:rFonts w:ascii="Garamond" w:hAnsi="Garamond"/>
          <w:sz w:val="22"/>
          <w:szCs w:val="22"/>
        </w:rPr>
      </w:pPr>
      <w:r>
        <w:rPr>
          <w:rFonts w:ascii="Garamond" w:hAnsi="Garamond"/>
          <w:sz w:val="22"/>
          <w:szCs w:val="22"/>
        </w:rPr>
        <w:t>(</w:t>
      </w:r>
      <w:r w:rsidR="00A069BA">
        <w:rPr>
          <w:rFonts w:ascii="Garamond" w:hAnsi="Garamond"/>
          <w:sz w:val="22"/>
          <w:szCs w:val="22"/>
        </w:rPr>
        <w:t>42</w:t>
      </w:r>
      <w:r>
        <w:rPr>
          <w:rFonts w:ascii="Garamond" w:hAnsi="Garamond"/>
          <w:sz w:val="22"/>
          <w:szCs w:val="22"/>
        </w:rPr>
        <w:t xml:space="preserve">) </w:t>
      </w:r>
      <w:r w:rsidR="00684853">
        <w:rPr>
          <w:rFonts w:ascii="Garamond" w:hAnsi="Garamond"/>
          <w:sz w:val="22"/>
          <w:szCs w:val="22"/>
        </w:rPr>
        <w:t>Also, t</w:t>
      </w:r>
      <w:r w:rsidR="003D20C1">
        <w:rPr>
          <w:rFonts w:ascii="Garamond" w:hAnsi="Garamond"/>
          <w:sz w:val="22"/>
          <w:szCs w:val="22"/>
        </w:rPr>
        <w:t xml:space="preserve">he public </w:t>
      </w:r>
      <w:r w:rsidR="00684853">
        <w:rPr>
          <w:rFonts w:ascii="Garamond" w:hAnsi="Garamond"/>
          <w:sz w:val="22"/>
          <w:szCs w:val="22"/>
        </w:rPr>
        <w:t>remains woefully</w:t>
      </w:r>
      <w:r w:rsidR="003D20C1">
        <w:rPr>
          <w:rFonts w:ascii="Garamond" w:hAnsi="Garamond"/>
          <w:sz w:val="22"/>
          <w:szCs w:val="22"/>
        </w:rPr>
        <w:t xml:space="preserve"> </w:t>
      </w:r>
      <w:r w:rsidR="000137C7">
        <w:rPr>
          <w:rFonts w:ascii="Garamond" w:hAnsi="Garamond"/>
          <w:sz w:val="22"/>
          <w:szCs w:val="22"/>
        </w:rPr>
        <w:t>uninformed</w:t>
      </w:r>
      <w:r w:rsidR="003D20C1">
        <w:rPr>
          <w:rFonts w:ascii="Garamond" w:hAnsi="Garamond"/>
          <w:sz w:val="22"/>
          <w:szCs w:val="22"/>
        </w:rPr>
        <w:t xml:space="preserve"> </w:t>
      </w:r>
      <w:r w:rsidR="0030107E">
        <w:rPr>
          <w:rFonts w:ascii="Garamond" w:hAnsi="Garamond"/>
          <w:sz w:val="22"/>
          <w:szCs w:val="22"/>
        </w:rPr>
        <w:t>about</w:t>
      </w:r>
      <w:r w:rsidR="003D20C1">
        <w:rPr>
          <w:rFonts w:ascii="Garamond" w:hAnsi="Garamond"/>
          <w:sz w:val="22"/>
          <w:szCs w:val="22"/>
        </w:rPr>
        <w:t xml:space="preserve"> the process to obtain approval for an abortion</w:t>
      </w:r>
      <w:r w:rsidR="00684853">
        <w:rPr>
          <w:rFonts w:ascii="Garamond" w:hAnsi="Garamond"/>
          <w:sz w:val="22"/>
          <w:szCs w:val="22"/>
        </w:rPr>
        <w:t>. This</w:t>
      </w:r>
      <w:r w:rsidR="003D20C1">
        <w:rPr>
          <w:rFonts w:ascii="Garamond" w:hAnsi="Garamond"/>
          <w:sz w:val="22"/>
          <w:szCs w:val="22"/>
        </w:rPr>
        <w:t xml:space="preserve"> information </w:t>
      </w:r>
      <w:r w:rsidR="00684853">
        <w:rPr>
          <w:rFonts w:ascii="Garamond" w:hAnsi="Garamond"/>
          <w:sz w:val="22"/>
          <w:szCs w:val="22"/>
        </w:rPr>
        <w:t xml:space="preserve">is critical </w:t>
      </w:r>
      <w:r w:rsidR="00A333C5">
        <w:rPr>
          <w:rFonts w:ascii="Garamond" w:hAnsi="Garamond"/>
          <w:sz w:val="22"/>
          <w:szCs w:val="22"/>
        </w:rPr>
        <w:t>to</w:t>
      </w:r>
      <w:r w:rsidR="003D20C1">
        <w:rPr>
          <w:rFonts w:ascii="Garamond" w:hAnsi="Garamond"/>
          <w:sz w:val="22"/>
          <w:szCs w:val="22"/>
        </w:rPr>
        <w:t xml:space="preserve"> ensur</w:t>
      </w:r>
      <w:r w:rsidR="00A333C5">
        <w:rPr>
          <w:rFonts w:ascii="Garamond" w:hAnsi="Garamond"/>
          <w:sz w:val="22"/>
          <w:szCs w:val="22"/>
        </w:rPr>
        <w:t>e</w:t>
      </w:r>
      <w:r w:rsidR="003D20C1">
        <w:rPr>
          <w:rFonts w:ascii="Garamond" w:hAnsi="Garamond"/>
          <w:sz w:val="22"/>
          <w:szCs w:val="22"/>
        </w:rPr>
        <w:t xml:space="preserve"> </w:t>
      </w:r>
      <w:r w:rsidR="00422D7C">
        <w:rPr>
          <w:rFonts w:ascii="Garamond" w:hAnsi="Garamond"/>
          <w:sz w:val="22"/>
          <w:szCs w:val="22"/>
        </w:rPr>
        <w:t xml:space="preserve">abortion is </w:t>
      </w:r>
      <w:r w:rsidR="003D20C1">
        <w:rPr>
          <w:rFonts w:ascii="Garamond" w:hAnsi="Garamond"/>
          <w:sz w:val="22"/>
          <w:szCs w:val="22"/>
        </w:rPr>
        <w:t>access</w:t>
      </w:r>
      <w:r w:rsidR="00422D7C">
        <w:rPr>
          <w:rFonts w:ascii="Garamond" w:hAnsi="Garamond"/>
          <w:sz w:val="22"/>
          <w:szCs w:val="22"/>
        </w:rPr>
        <w:t>ible</w:t>
      </w:r>
      <w:r w:rsidR="003D20C1">
        <w:rPr>
          <w:rFonts w:ascii="Garamond" w:hAnsi="Garamond"/>
          <w:sz w:val="22"/>
          <w:szCs w:val="22"/>
        </w:rPr>
        <w:t xml:space="preserve">. </w:t>
      </w:r>
      <w:r w:rsidR="00684853">
        <w:rPr>
          <w:rFonts w:ascii="Garamond" w:hAnsi="Garamond"/>
          <w:sz w:val="22"/>
          <w:szCs w:val="22"/>
        </w:rPr>
        <w:t>As this stand, p</w:t>
      </w:r>
      <w:r w:rsidR="003D20C1">
        <w:rPr>
          <w:rFonts w:ascii="Garamond" w:hAnsi="Garamond"/>
          <w:sz w:val="22"/>
          <w:szCs w:val="22"/>
        </w:rPr>
        <w:t xml:space="preserve">regnant women and girls must convince healthcare providers that </w:t>
      </w:r>
      <w:r w:rsidR="00684853">
        <w:rPr>
          <w:rFonts w:ascii="Garamond" w:hAnsi="Garamond"/>
          <w:sz w:val="22"/>
          <w:szCs w:val="22"/>
        </w:rPr>
        <w:t xml:space="preserve">their </w:t>
      </w:r>
      <w:r w:rsidR="003D20C1">
        <w:rPr>
          <w:rFonts w:ascii="Garamond" w:hAnsi="Garamond"/>
          <w:sz w:val="22"/>
          <w:szCs w:val="22"/>
        </w:rPr>
        <w:t xml:space="preserve">pregnancy is a risk to their health and/or life </w:t>
      </w:r>
      <w:r w:rsidR="00684853">
        <w:rPr>
          <w:rFonts w:ascii="Garamond" w:hAnsi="Garamond"/>
          <w:sz w:val="22"/>
          <w:szCs w:val="22"/>
        </w:rPr>
        <w:t xml:space="preserve">and </w:t>
      </w:r>
      <w:r w:rsidR="003D20C1">
        <w:rPr>
          <w:rFonts w:ascii="Garamond" w:hAnsi="Garamond"/>
          <w:sz w:val="22"/>
          <w:szCs w:val="22"/>
        </w:rPr>
        <w:t>expressly request an abortion within the exception</w:t>
      </w:r>
      <w:r w:rsidR="00684853">
        <w:rPr>
          <w:rFonts w:ascii="Garamond" w:hAnsi="Garamond"/>
          <w:sz w:val="22"/>
          <w:szCs w:val="22"/>
        </w:rPr>
        <w:t>. Ultimately, the</w:t>
      </w:r>
      <w:r w:rsidR="003D20C1">
        <w:rPr>
          <w:rFonts w:ascii="Garamond" w:hAnsi="Garamond"/>
          <w:sz w:val="22"/>
          <w:szCs w:val="22"/>
        </w:rPr>
        <w:t xml:space="preserve"> </w:t>
      </w:r>
      <w:r w:rsidR="00431733">
        <w:rPr>
          <w:rFonts w:ascii="Garamond" w:hAnsi="Garamond"/>
          <w:sz w:val="22"/>
          <w:szCs w:val="22"/>
        </w:rPr>
        <w:t>health</w:t>
      </w:r>
      <w:r w:rsidR="00684853">
        <w:rPr>
          <w:rFonts w:ascii="Garamond" w:hAnsi="Garamond"/>
          <w:sz w:val="22"/>
          <w:szCs w:val="22"/>
        </w:rPr>
        <w:t>care</w:t>
      </w:r>
      <w:r w:rsidR="00431733">
        <w:rPr>
          <w:rFonts w:ascii="Garamond" w:hAnsi="Garamond"/>
          <w:sz w:val="22"/>
          <w:szCs w:val="22"/>
        </w:rPr>
        <w:t xml:space="preserve"> provider</w:t>
      </w:r>
      <w:r w:rsidR="003D20C1">
        <w:rPr>
          <w:rFonts w:ascii="Garamond" w:hAnsi="Garamond"/>
          <w:sz w:val="22"/>
          <w:szCs w:val="22"/>
        </w:rPr>
        <w:t xml:space="preserve"> will decide </w:t>
      </w:r>
      <w:r w:rsidR="00C72113">
        <w:rPr>
          <w:rFonts w:ascii="Garamond" w:hAnsi="Garamond"/>
          <w:sz w:val="22"/>
          <w:szCs w:val="22"/>
        </w:rPr>
        <w:t>whether</w:t>
      </w:r>
      <w:r w:rsidR="003D20C1">
        <w:rPr>
          <w:rFonts w:ascii="Garamond" w:hAnsi="Garamond"/>
          <w:sz w:val="22"/>
          <w:szCs w:val="22"/>
        </w:rPr>
        <w:t xml:space="preserve"> to grant the request.</w:t>
      </w:r>
      <w:r w:rsidR="003D20C1">
        <w:rPr>
          <w:rStyle w:val="FootnoteReference"/>
          <w:rFonts w:ascii="Garamond" w:hAnsi="Garamond"/>
          <w:sz w:val="22"/>
          <w:szCs w:val="22"/>
        </w:rPr>
        <w:footnoteReference w:id="76"/>
      </w:r>
      <w:r w:rsidR="003D20C1">
        <w:rPr>
          <w:rFonts w:ascii="Garamond" w:hAnsi="Garamond"/>
          <w:sz w:val="22"/>
          <w:szCs w:val="22"/>
        </w:rPr>
        <w:t xml:space="preserve"> </w:t>
      </w:r>
      <w:proofErr w:type="spellStart"/>
      <w:r w:rsidR="00955C17">
        <w:rPr>
          <w:rFonts w:ascii="Garamond" w:hAnsi="Garamond"/>
          <w:sz w:val="22"/>
          <w:szCs w:val="22"/>
        </w:rPr>
        <w:t>Conscentious</w:t>
      </w:r>
      <w:proofErr w:type="spellEnd"/>
      <w:r w:rsidR="00955C17">
        <w:rPr>
          <w:rFonts w:ascii="Garamond" w:hAnsi="Garamond"/>
          <w:sz w:val="22"/>
          <w:szCs w:val="22"/>
        </w:rPr>
        <w:t xml:space="preserve"> objection by the healthcare provider cannot be challenged.</w:t>
      </w:r>
    </w:p>
    <w:p w14:paraId="16AF725E" w14:textId="55C814E0" w:rsidR="005175F7" w:rsidRDefault="005175F7" w:rsidP="005175F7">
      <w:pPr>
        <w:widowControl w:val="0"/>
        <w:tabs>
          <w:tab w:val="right" w:leader="dot" w:pos="9270"/>
        </w:tabs>
        <w:spacing w:line="360" w:lineRule="auto"/>
        <w:ind w:left="-360" w:right="-274" w:firstLine="547"/>
        <w:jc w:val="both"/>
        <w:rPr>
          <w:rFonts w:ascii="Garamond" w:hAnsi="Garamond"/>
          <w:sz w:val="22"/>
          <w:szCs w:val="22"/>
        </w:rPr>
      </w:pPr>
      <w:r>
        <w:rPr>
          <w:rFonts w:ascii="Garamond" w:hAnsi="Garamond"/>
          <w:sz w:val="22"/>
          <w:szCs w:val="22"/>
        </w:rPr>
        <w:t>(</w:t>
      </w:r>
      <w:r w:rsidR="00A069BA">
        <w:rPr>
          <w:rFonts w:ascii="Garamond" w:hAnsi="Garamond"/>
          <w:sz w:val="22"/>
          <w:szCs w:val="22"/>
        </w:rPr>
        <w:t>43</w:t>
      </w:r>
      <w:r>
        <w:rPr>
          <w:rFonts w:ascii="Garamond" w:hAnsi="Garamond"/>
          <w:sz w:val="22"/>
          <w:szCs w:val="22"/>
        </w:rPr>
        <w:t xml:space="preserve">) </w:t>
      </w:r>
      <w:r w:rsidRPr="00C43B52">
        <w:rPr>
          <w:rFonts w:ascii="Garamond" w:hAnsi="Garamond"/>
          <w:sz w:val="22"/>
          <w:szCs w:val="22"/>
        </w:rPr>
        <w:t>This Committee recommended to Bolivia “that good quality sexual and reproductive health information… are made available for all women and adolescent girls…”</w:t>
      </w:r>
      <w:r>
        <w:rPr>
          <w:rStyle w:val="FootnoteReference"/>
          <w:rFonts w:ascii="Garamond" w:hAnsi="Garamond"/>
          <w:sz w:val="22"/>
          <w:szCs w:val="22"/>
        </w:rPr>
        <w:footnoteReference w:id="77"/>
      </w:r>
      <w:r w:rsidRPr="00C43B52">
        <w:rPr>
          <w:rFonts w:ascii="Garamond" w:hAnsi="Garamond"/>
          <w:sz w:val="22"/>
          <w:szCs w:val="22"/>
        </w:rPr>
        <w:t xml:space="preserve"> Malawi should be pressed to do the same</w:t>
      </w:r>
      <w:r w:rsidR="00955C17">
        <w:rPr>
          <w:rFonts w:ascii="Garamond" w:hAnsi="Garamond"/>
          <w:sz w:val="22"/>
          <w:szCs w:val="22"/>
        </w:rPr>
        <w:t>. The Committee should request Malawi to ensure the population is ade</w:t>
      </w:r>
      <w:r w:rsidR="000200DF">
        <w:rPr>
          <w:rFonts w:ascii="Garamond" w:hAnsi="Garamond"/>
          <w:sz w:val="22"/>
          <w:szCs w:val="22"/>
        </w:rPr>
        <w:t>q</w:t>
      </w:r>
      <w:r w:rsidR="00955C17">
        <w:rPr>
          <w:rFonts w:ascii="Garamond" w:hAnsi="Garamond"/>
          <w:sz w:val="22"/>
          <w:szCs w:val="22"/>
        </w:rPr>
        <w:t>uately informed about the 2021</w:t>
      </w:r>
      <w:r w:rsidRPr="00C43B52">
        <w:rPr>
          <w:rFonts w:ascii="Garamond" w:hAnsi="Garamond"/>
          <w:sz w:val="22"/>
          <w:szCs w:val="22"/>
        </w:rPr>
        <w:t xml:space="preserve"> High Court ruling. </w:t>
      </w:r>
      <w:r>
        <w:rPr>
          <w:rFonts w:ascii="Garamond" w:hAnsi="Garamond"/>
          <w:sz w:val="22"/>
          <w:szCs w:val="22"/>
        </w:rPr>
        <w:t xml:space="preserve">Failure to amend the </w:t>
      </w:r>
      <w:r w:rsidR="00263DF7">
        <w:rPr>
          <w:rFonts w:ascii="Garamond" w:hAnsi="Garamond"/>
          <w:sz w:val="22"/>
          <w:szCs w:val="22"/>
        </w:rPr>
        <w:t>P</w:t>
      </w:r>
      <w:r>
        <w:rPr>
          <w:rFonts w:ascii="Garamond" w:hAnsi="Garamond"/>
          <w:sz w:val="22"/>
          <w:szCs w:val="22"/>
        </w:rPr>
        <w:t xml:space="preserve">enal </w:t>
      </w:r>
      <w:r w:rsidR="00263DF7">
        <w:rPr>
          <w:rFonts w:ascii="Garamond" w:hAnsi="Garamond"/>
          <w:sz w:val="22"/>
          <w:szCs w:val="22"/>
        </w:rPr>
        <w:t>C</w:t>
      </w:r>
      <w:r>
        <w:rPr>
          <w:rFonts w:ascii="Garamond" w:hAnsi="Garamond"/>
          <w:sz w:val="22"/>
          <w:szCs w:val="22"/>
        </w:rPr>
        <w:t>ode to expressly include physical and mental health or</w:t>
      </w:r>
      <w:r w:rsidR="00741942">
        <w:rPr>
          <w:rFonts w:ascii="Garamond" w:hAnsi="Garamond"/>
          <w:sz w:val="22"/>
          <w:szCs w:val="22"/>
        </w:rPr>
        <w:t>,</w:t>
      </w:r>
      <w:r>
        <w:rPr>
          <w:rFonts w:ascii="Garamond" w:hAnsi="Garamond"/>
          <w:sz w:val="22"/>
          <w:szCs w:val="22"/>
        </w:rPr>
        <w:t xml:space="preserve"> </w:t>
      </w:r>
      <w:r w:rsidR="00741942">
        <w:rPr>
          <w:rFonts w:ascii="Garamond" w:hAnsi="Garamond"/>
          <w:sz w:val="22"/>
          <w:szCs w:val="22"/>
        </w:rPr>
        <w:t>at the very</w:t>
      </w:r>
      <w:r>
        <w:rPr>
          <w:rFonts w:ascii="Garamond" w:hAnsi="Garamond"/>
          <w:sz w:val="22"/>
          <w:szCs w:val="22"/>
        </w:rPr>
        <w:t xml:space="preserve"> least, share the information with the public, results in a lack of a clear regulatory framework and undermines women seeking abortions because </w:t>
      </w:r>
      <w:r w:rsidR="00387C87">
        <w:rPr>
          <w:rFonts w:ascii="Garamond" w:hAnsi="Garamond"/>
          <w:sz w:val="22"/>
          <w:szCs w:val="22"/>
        </w:rPr>
        <w:t>health providers</w:t>
      </w:r>
      <w:r>
        <w:rPr>
          <w:rFonts w:ascii="Garamond" w:hAnsi="Garamond"/>
          <w:sz w:val="22"/>
          <w:szCs w:val="22"/>
        </w:rPr>
        <w:t xml:space="preserve"> and women must navigate unclear exceptions and provisions. This can have </w:t>
      </w:r>
      <w:r w:rsidR="0003579D">
        <w:rPr>
          <w:rFonts w:ascii="Garamond" w:hAnsi="Garamond"/>
          <w:sz w:val="22"/>
          <w:szCs w:val="22"/>
        </w:rPr>
        <w:t xml:space="preserve">a </w:t>
      </w:r>
      <w:r>
        <w:rPr>
          <w:rFonts w:ascii="Garamond" w:hAnsi="Garamond"/>
          <w:sz w:val="22"/>
          <w:szCs w:val="22"/>
        </w:rPr>
        <w:t>chilling effect on both receiving and seeking care.</w:t>
      </w:r>
    </w:p>
    <w:p w14:paraId="36A867B9" w14:textId="3BDBBD45" w:rsidR="00716F2D" w:rsidRDefault="003D20C1" w:rsidP="00716F2D">
      <w:pPr>
        <w:pStyle w:val="NormalWeb"/>
        <w:widowControl w:val="0"/>
        <w:tabs>
          <w:tab w:val="right" w:leader="dot" w:pos="9270"/>
        </w:tabs>
        <w:spacing w:before="0" w:beforeAutospacing="0" w:after="0" w:afterAutospacing="0" w:line="360" w:lineRule="auto"/>
        <w:ind w:left="-360" w:right="-274" w:firstLine="547"/>
        <w:jc w:val="both"/>
        <w:rPr>
          <w:rFonts w:ascii="Garamond" w:hAnsi="Garamond"/>
          <w:sz w:val="22"/>
          <w:szCs w:val="22"/>
        </w:rPr>
      </w:pPr>
      <w:r w:rsidRPr="00CC066E">
        <w:rPr>
          <w:rFonts w:ascii="Garamond" w:hAnsi="Garamond"/>
          <w:sz w:val="22"/>
          <w:szCs w:val="22"/>
        </w:rPr>
        <w:t>(</w:t>
      </w:r>
      <w:r w:rsidR="00A069BA">
        <w:rPr>
          <w:rFonts w:ascii="Garamond" w:hAnsi="Garamond"/>
          <w:sz w:val="22"/>
          <w:szCs w:val="22"/>
        </w:rPr>
        <w:t>44</w:t>
      </w:r>
      <w:r w:rsidRPr="00CC066E">
        <w:rPr>
          <w:rFonts w:ascii="Garamond" w:hAnsi="Garamond"/>
          <w:sz w:val="22"/>
          <w:szCs w:val="22"/>
        </w:rPr>
        <w:t xml:space="preserve">) </w:t>
      </w:r>
      <w:r w:rsidRPr="00CC066E">
        <w:rPr>
          <w:rFonts w:ascii="Garamond" w:hAnsi="Garamond"/>
          <w:sz w:val="22"/>
          <w:szCs w:val="22"/>
        </w:rPr>
        <w:tab/>
        <w:t>As this Committee explained in General Comment 25, the right to “benefit” from science includes “the right of having scientific knowledge disseminated” and the duty of States to “form critical and responsible citizens who are able to participate fully in a democratic society.”</w:t>
      </w:r>
      <w:r w:rsidRPr="00003CF5">
        <w:rPr>
          <w:rStyle w:val="FootnoteReference"/>
          <w:rFonts w:ascii="Garamond" w:hAnsi="Garamond"/>
          <w:sz w:val="22"/>
          <w:szCs w:val="22"/>
        </w:rPr>
        <w:footnoteReference w:id="78"/>
      </w:r>
      <w:r w:rsidRPr="00CC066E">
        <w:rPr>
          <w:rFonts w:ascii="Garamond" w:hAnsi="Garamond"/>
          <w:sz w:val="22"/>
          <w:szCs w:val="22"/>
        </w:rPr>
        <w:t xml:space="preserve"> The Committee also indicated that “States have to ensure the appropriate training of doctors and other medical personnel.”</w:t>
      </w:r>
      <w:r w:rsidRPr="000B2B6D">
        <w:rPr>
          <w:rFonts w:ascii="Garamond" w:hAnsi="Garamond"/>
          <w:vertAlign w:val="superscript"/>
        </w:rPr>
        <w:footnoteReference w:id="79"/>
      </w:r>
    </w:p>
    <w:p w14:paraId="63890846" w14:textId="514A1F5E" w:rsidR="003D20C1" w:rsidRDefault="003D20C1" w:rsidP="003D20C1">
      <w:pPr>
        <w:widowControl w:val="0"/>
        <w:tabs>
          <w:tab w:val="right" w:leader="dot" w:pos="9270"/>
        </w:tabs>
        <w:spacing w:line="360" w:lineRule="auto"/>
        <w:ind w:left="-360" w:right="-274" w:firstLine="547"/>
        <w:jc w:val="both"/>
        <w:rPr>
          <w:rFonts w:ascii="Garamond" w:hAnsi="Garamond"/>
          <w:sz w:val="22"/>
          <w:szCs w:val="22"/>
        </w:rPr>
      </w:pPr>
      <w:r>
        <w:rPr>
          <w:rFonts w:ascii="Garamond" w:hAnsi="Garamond"/>
          <w:sz w:val="22"/>
          <w:szCs w:val="22"/>
        </w:rPr>
        <w:t>(</w:t>
      </w:r>
      <w:r w:rsidR="00A069BA">
        <w:rPr>
          <w:rFonts w:ascii="Garamond" w:hAnsi="Garamond"/>
          <w:sz w:val="22"/>
          <w:szCs w:val="22"/>
        </w:rPr>
        <w:t>45</w:t>
      </w:r>
      <w:r>
        <w:rPr>
          <w:rFonts w:ascii="Garamond" w:hAnsi="Garamond"/>
          <w:sz w:val="22"/>
          <w:szCs w:val="22"/>
        </w:rPr>
        <w:t xml:space="preserve">) </w:t>
      </w:r>
      <w:r w:rsidRPr="007B6F07">
        <w:rPr>
          <w:rFonts w:ascii="Garamond" w:hAnsi="Garamond"/>
          <w:sz w:val="22"/>
          <w:szCs w:val="22"/>
        </w:rPr>
        <w:t xml:space="preserve">Arguably, Article 15 of the Covenant requires that information about abortion care and instances in which abortion is legal be provided to the general population, not just to </w:t>
      </w:r>
      <w:r w:rsidR="00387C87">
        <w:rPr>
          <w:rFonts w:ascii="Garamond" w:hAnsi="Garamond"/>
          <w:sz w:val="22"/>
          <w:szCs w:val="22"/>
        </w:rPr>
        <w:t>health</w:t>
      </w:r>
      <w:r w:rsidR="00955C17">
        <w:rPr>
          <w:rFonts w:ascii="Garamond" w:hAnsi="Garamond"/>
          <w:sz w:val="22"/>
          <w:szCs w:val="22"/>
        </w:rPr>
        <w:t>care</w:t>
      </w:r>
      <w:r w:rsidR="00387C87">
        <w:rPr>
          <w:rFonts w:ascii="Garamond" w:hAnsi="Garamond"/>
          <w:sz w:val="22"/>
          <w:szCs w:val="22"/>
        </w:rPr>
        <w:t xml:space="preserve"> providers</w:t>
      </w:r>
      <w:r w:rsidRPr="007B6F07">
        <w:rPr>
          <w:rFonts w:ascii="Garamond" w:hAnsi="Garamond"/>
          <w:sz w:val="22"/>
          <w:szCs w:val="22"/>
        </w:rPr>
        <w:t>.</w:t>
      </w:r>
      <w:r w:rsidR="00527C18">
        <w:rPr>
          <w:rStyle w:val="FootnoteReference"/>
          <w:rFonts w:ascii="Garamond" w:hAnsi="Garamond"/>
          <w:sz w:val="22"/>
          <w:szCs w:val="22"/>
        </w:rPr>
        <w:footnoteReference w:id="80"/>
      </w:r>
      <w:r w:rsidRPr="007B6F07">
        <w:rPr>
          <w:rFonts w:ascii="Garamond" w:hAnsi="Garamond"/>
          <w:sz w:val="22"/>
          <w:szCs w:val="22"/>
        </w:rPr>
        <w:t xml:space="preserve"> If women are to enjoy the benefits of scientific research</w:t>
      </w:r>
      <w:r w:rsidR="00955C17">
        <w:rPr>
          <w:rFonts w:ascii="Garamond" w:hAnsi="Garamond"/>
          <w:sz w:val="22"/>
          <w:szCs w:val="22"/>
        </w:rPr>
        <w:t>,</w:t>
      </w:r>
      <w:r w:rsidRPr="00003CF5">
        <w:rPr>
          <w:rStyle w:val="FootnoteReference"/>
          <w:rFonts w:ascii="Garamond" w:hAnsi="Garamond"/>
          <w:sz w:val="22"/>
          <w:szCs w:val="22"/>
        </w:rPr>
        <w:footnoteReference w:id="81"/>
      </w:r>
      <w:r w:rsidRPr="007B6F07">
        <w:rPr>
          <w:rFonts w:ascii="Garamond" w:hAnsi="Garamond"/>
          <w:sz w:val="22"/>
          <w:szCs w:val="22"/>
        </w:rPr>
        <w:t xml:space="preserve"> they </w:t>
      </w:r>
      <w:r w:rsidR="00955C17">
        <w:rPr>
          <w:rFonts w:ascii="Garamond" w:hAnsi="Garamond"/>
          <w:sz w:val="22"/>
          <w:szCs w:val="22"/>
        </w:rPr>
        <w:t>need to know</w:t>
      </w:r>
      <w:r w:rsidRPr="007B6F07">
        <w:rPr>
          <w:rFonts w:ascii="Garamond" w:hAnsi="Garamond"/>
          <w:sz w:val="22"/>
          <w:szCs w:val="22"/>
        </w:rPr>
        <w:t xml:space="preserve"> under what conditions they can seek a safe and legal abortion.</w:t>
      </w:r>
    </w:p>
    <w:p w14:paraId="7DFBEE19" w14:textId="2AA03114" w:rsidR="00065E79" w:rsidRDefault="00263C2D" w:rsidP="00B8264D">
      <w:pPr>
        <w:pStyle w:val="NormalWeb"/>
        <w:widowControl w:val="0"/>
        <w:tabs>
          <w:tab w:val="right" w:leader="dot" w:pos="9270"/>
        </w:tabs>
        <w:spacing w:before="0" w:beforeAutospacing="0" w:after="0" w:afterAutospacing="0" w:line="360" w:lineRule="auto"/>
        <w:ind w:left="-360" w:right="-274" w:firstLine="547"/>
        <w:jc w:val="both"/>
        <w:rPr>
          <w:rFonts w:ascii="Garamond" w:hAnsi="Garamond"/>
          <w:sz w:val="22"/>
          <w:szCs w:val="22"/>
        </w:rPr>
      </w:pPr>
      <w:r>
        <w:rPr>
          <w:rFonts w:ascii="Garamond" w:hAnsi="Garamond"/>
          <w:sz w:val="22"/>
          <w:szCs w:val="22"/>
        </w:rPr>
        <w:lastRenderedPageBreak/>
        <w:t>(</w:t>
      </w:r>
      <w:r w:rsidR="00A069BA">
        <w:rPr>
          <w:rFonts w:ascii="Garamond" w:hAnsi="Garamond"/>
          <w:sz w:val="22"/>
          <w:szCs w:val="22"/>
        </w:rPr>
        <w:t>46</w:t>
      </w:r>
      <w:r>
        <w:rPr>
          <w:rFonts w:ascii="Garamond" w:hAnsi="Garamond"/>
          <w:sz w:val="22"/>
          <w:szCs w:val="22"/>
        </w:rPr>
        <w:t xml:space="preserve">) </w:t>
      </w:r>
      <w:r w:rsidR="006466D9">
        <w:rPr>
          <w:rFonts w:ascii="Garamond" w:hAnsi="Garamond"/>
          <w:sz w:val="22"/>
          <w:szCs w:val="22"/>
        </w:rPr>
        <w:t>One</w:t>
      </w:r>
      <w:r>
        <w:rPr>
          <w:rFonts w:ascii="Garamond" w:hAnsi="Garamond"/>
          <w:sz w:val="22"/>
          <w:szCs w:val="22"/>
        </w:rPr>
        <w:t xml:space="preserve"> danger of failing to disseminate information about the </w:t>
      </w:r>
      <w:r w:rsidR="00955C17">
        <w:rPr>
          <w:rFonts w:ascii="Garamond" w:hAnsi="Garamond"/>
          <w:sz w:val="22"/>
          <w:szCs w:val="22"/>
        </w:rPr>
        <w:t xml:space="preserve">2021 </w:t>
      </w:r>
      <w:r w:rsidR="004F0701">
        <w:rPr>
          <w:rFonts w:ascii="Garamond" w:hAnsi="Garamond"/>
          <w:sz w:val="22"/>
          <w:szCs w:val="22"/>
        </w:rPr>
        <w:t>High Court ruling</w:t>
      </w:r>
      <w:r>
        <w:rPr>
          <w:rFonts w:ascii="Garamond" w:hAnsi="Garamond"/>
          <w:sz w:val="22"/>
          <w:szCs w:val="22"/>
        </w:rPr>
        <w:t xml:space="preserve"> is that w</w:t>
      </w:r>
      <w:r w:rsidR="00065E79">
        <w:rPr>
          <w:rFonts w:ascii="Garamond" w:hAnsi="Garamond"/>
          <w:sz w:val="22"/>
          <w:szCs w:val="22"/>
        </w:rPr>
        <w:t xml:space="preserve">omen and girls can face delays in receiving care </w:t>
      </w:r>
      <w:r>
        <w:rPr>
          <w:rFonts w:ascii="Garamond" w:hAnsi="Garamond"/>
          <w:sz w:val="22"/>
          <w:szCs w:val="22"/>
        </w:rPr>
        <w:t>due</w:t>
      </w:r>
      <w:r w:rsidR="00065E79">
        <w:rPr>
          <w:rFonts w:ascii="Garamond" w:hAnsi="Garamond"/>
          <w:sz w:val="22"/>
          <w:szCs w:val="22"/>
        </w:rPr>
        <w:t xml:space="preserve"> </w:t>
      </w:r>
      <w:r>
        <w:rPr>
          <w:rFonts w:ascii="Garamond" w:hAnsi="Garamond"/>
          <w:sz w:val="22"/>
          <w:szCs w:val="22"/>
        </w:rPr>
        <w:t>to</w:t>
      </w:r>
      <w:r w:rsidR="00065E79">
        <w:rPr>
          <w:rFonts w:ascii="Garamond" w:hAnsi="Garamond"/>
          <w:sz w:val="22"/>
          <w:szCs w:val="22"/>
        </w:rPr>
        <w:t xml:space="preserve"> misunderstanding</w:t>
      </w:r>
      <w:r>
        <w:rPr>
          <w:rFonts w:ascii="Garamond" w:hAnsi="Garamond"/>
          <w:sz w:val="22"/>
          <w:szCs w:val="22"/>
        </w:rPr>
        <w:t>s</w:t>
      </w:r>
      <w:r w:rsidR="00065E79">
        <w:rPr>
          <w:rFonts w:ascii="Garamond" w:hAnsi="Garamond"/>
          <w:sz w:val="22"/>
          <w:szCs w:val="22"/>
        </w:rPr>
        <w:t xml:space="preserve"> of the legal exception and lack of information about their legal rights.</w:t>
      </w:r>
      <w:r>
        <w:rPr>
          <w:rFonts w:ascii="Garamond" w:hAnsi="Garamond"/>
          <w:sz w:val="22"/>
          <w:szCs w:val="22"/>
        </w:rPr>
        <w:t xml:space="preserve"> </w:t>
      </w:r>
      <w:r w:rsidRPr="004624A8">
        <w:rPr>
          <w:rFonts w:ascii="Garamond" w:hAnsi="Garamond"/>
          <w:sz w:val="22"/>
          <w:szCs w:val="22"/>
        </w:rPr>
        <w:t xml:space="preserve">This impacts the realization of </w:t>
      </w:r>
      <w:r w:rsidR="004624A8">
        <w:rPr>
          <w:rFonts w:ascii="Garamond" w:hAnsi="Garamond"/>
          <w:sz w:val="22"/>
          <w:szCs w:val="22"/>
        </w:rPr>
        <w:t>women’s</w:t>
      </w:r>
      <w:r w:rsidRPr="004624A8">
        <w:rPr>
          <w:rFonts w:ascii="Garamond" w:hAnsi="Garamond"/>
          <w:sz w:val="22"/>
          <w:szCs w:val="22"/>
        </w:rPr>
        <w:t xml:space="preserve"> rights under the Covenant</w:t>
      </w:r>
      <w:r w:rsidR="000D3FD4">
        <w:rPr>
          <w:rFonts w:ascii="Garamond" w:hAnsi="Garamond"/>
          <w:sz w:val="22"/>
          <w:szCs w:val="22"/>
        </w:rPr>
        <w:t xml:space="preserve"> and puts their health </w:t>
      </w:r>
      <w:r w:rsidR="00C62C75">
        <w:rPr>
          <w:rFonts w:ascii="Garamond" w:hAnsi="Garamond"/>
          <w:sz w:val="22"/>
          <w:szCs w:val="22"/>
        </w:rPr>
        <w:t xml:space="preserve">and autonomy </w:t>
      </w:r>
      <w:r w:rsidR="000D3FD4">
        <w:rPr>
          <w:rFonts w:ascii="Garamond" w:hAnsi="Garamond"/>
          <w:sz w:val="22"/>
          <w:szCs w:val="22"/>
        </w:rPr>
        <w:t>at risk.</w:t>
      </w:r>
    </w:p>
    <w:p w14:paraId="029A444E" w14:textId="59308EBE" w:rsidR="000200DF" w:rsidRDefault="005046B8" w:rsidP="004624A8">
      <w:pPr>
        <w:pStyle w:val="NormalWeb"/>
        <w:widowControl w:val="0"/>
        <w:tabs>
          <w:tab w:val="right" w:leader="dot" w:pos="9270"/>
        </w:tabs>
        <w:spacing w:before="0" w:beforeAutospacing="0" w:after="0" w:afterAutospacing="0" w:line="360" w:lineRule="auto"/>
        <w:ind w:left="-360" w:right="-274" w:firstLine="547"/>
        <w:jc w:val="both"/>
        <w:rPr>
          <w:rFonts w:ascii="Garamond" w:hAnsi="Garamond"/>
          <w:sz w:val="22"/>
          <w:szCs w:val="22"/>
        </w:rPr>
      </w:pPr>
      <w:r>
        <w:rPr>
          <w:rFonts w:ascii="Garamond" w:hAnsi="Garamond"/>
          <w:sz w:val="22"/>
          <w:szCs w:val="22"/>
        </w:rPr>
        <w:t>(</w:t>
      </w:r>
      <w:r w:rsidR="00A069BA">
        <w:rPr>
          <w:rFonts w:ascii="Garamond" w:hAnsi="Garamond"/>
          <w:sz w:val="22"/>
          <w:szCs w:val="22"/>
        </w:rPr>
        <w:t>47</w:t>
      </w:r>
      <w:r>
        <w:rPr>
          <w:rFonts w:ascii="Garamond" w:hAnsi="Garamond"/>
          <w:sz w:val="22"/>
          <w:szCs w:val="22"/>
        </w:rPr>
        <w:t xml:space="preserve">) </w:t>
      </w:r>
      <w:r w:rsidR="00955C17">
        <w:rPr>
          <w:rFonts w:ascii="Garamond" w:hAnsi="Garamond"/>
          <w:sz w:val="22"/>
          <w:szCs w:val="22"/>
        </w:rPr>
        <w:t>Too many w</w:t>
      </w:r>
      <w:r>
        <w:rPr>
          <w:rFonts w:ascii="Garamond" w:hAnsi="Garamond"/>
          <w:sz w:val="22"/>
          <w:szCs w:val="22"/>
        </w:rPr>
        <w:t xml:space="preserve">omen resort to unsafe abortions when they are not aware that a legal abortion </w:t>
      </w:r>
      <w:r w:rsidR="00955C17">
        <w:rPr>
          <w:rFonts w:ascii="Garamond" w:hAnsi="Garamond"/>
          <w:sz w:val="22"/>
          <w:szCs w:val="22"/>
        </w:rPr>
        <w:t xml:space="preserve">is </w:t>
      </w:r>
      <w:r>
        <w:rPr>
          <w:rFonts w:ascii="Garamond" w:hAnsi="Garamond"/>
          <w:sz w:val="22"/>
          <w:szCs w:val="22"/>
        </w:rPr>
        <w:t>available to them</w:t>
      </w:r>
      <w:r w:rsidR="004F0701">
        <w:rPr>
          <w:rFonts w:ascii="Garamond" w:hAnsi="Garamond"/>
          <w:sz w:val="22"/>
          <w:szCs w:val="22"/>
        </w:rPr>
        <w:t xml:space="preserve"> or if </w:t>
      </w:r>
      <w:r w:rsidR="005F11AA">
        <w:rPr>
          <w:rFonts w:ascii="Garamond" w:hAnsi="Garamond"/>
          <w:sz w:val="22"/>
          <w:szCs w:val="22"/>
        </w:rPr>
        <w:t>health</w:t>
      </w:r>
      <w:r w:rsidR="00955C17">
        <w:rPr>
          <w:rFonts w:ascii="Garamond" w:hAnsi="Garamond"/>
          <w:sz w:val="22"/>
          <w:szCs w:val="22"/>
        </w:rPr>
        <w:t>care</w:t>
      </w:r>
      <w:r w:rsidR="005F11AA">
        <w:rPr>
          <w:rFonts w:ascii="Garamond" w:hAnsi="Garamond"/>
          <w:sz w:val="22"/>
          <w:szCs w:val="22"/>
        </w:rPr>
        <w:t xml:space="preserve"> providers</w:t>
      </w:r>
      <w:r w:rsidR="004F0701">
        <w:rPr>
          <w:rFonts w:ascii="Garamond" w:hAnsi="Garamond"/>
          <w:sz w:val="22"/>
          <w:szCs w:val="22"/>
        </w:rPr>
        <w:t xml:space="preserve"> deny them abortion care</w:t>
      </w:r>
      <w:r>
        <w:rPr>
          <w:rFonts w:ascii="Garamond" w:hAnsi="Garamond"/>
          <w:sz w:val="22"/>
          <w:szCs w:val="22"/>
        </w:rPr>
        <w:t xml:space="preserve">. </w:t>
      </w:r>
    </w:p>
    <w:p w14:paraId="799DE40E" w14:textId="77777777" w:rsidR="00653F8E" w:rsidRPr="00003CF5" w:rsidRDefault="00653F8E">
      <w:pPr>
        <w:pStyle w:val="Heading1"/>
      </w:pPr>
      <w:bookmarkStart w:id="7" w:name="_Toc173323646"/>
      <w:r w:rsidRPr="00003CF5">
        <w:t>RECOMMENDATIONS</w:t>
      </w:r>
      <w:bookmarkEnd w:id="7"/>
    </w:p>
    <w:p w14:paraId="3942DC5B" w14:textId="721C9CCA" w:rsidR="00653F8E" w:rsidRDefault="00653F8E" w:rsidP="00653F8E">
      <w:pPr>
        <w:pStyle w:val="NormalWeb"/>
        <w:widowControl w:val="0"/>
        <w:tabs>
          <w:tab w:val="right" w:leader="dot" w:pos="9270"/>
        </w:tabs>
        <w:spacing w:before="0" w:beforeAutospacing="0" w:after="0" w:afterAutospacing="0" w:line="360" w:lineRule="auto"/>
        <w:ind w:left="-360" w:right="-270" w:firstLine="540"/>
        <w:jc w:val="both"/>
        <w:rPr>
          <w:rFonts w:ascii="Garamond" w:hAnsi="Garamond"/>
          <w:sz w:val="22"/>
          <w:szCs w:val="22"/>
        </w:rPr>
      </w:pPr>
      <w:r w:rsidRPr="00003CF5">
        <w:rPr>
          <w:rFonts w:ascii="Garamond" w:hAnsi="Garamond"/>
          <w:sz w:val="22"/>
          <w:szCs w:val="22"/>
        </w:rPr>
        <w:t>(</w:t>
      </w:r>
      <w:r w:rsidR="00A069BA">
        <w:rPr>
          <w:rFonts w:ascii="Garamond" w:hAnsi="Garamond"/>
          <w:sz w:val="22"/>
          <w:szCs w:val="22"/>
        </w:rPr>
        <w:t>48</w:t>
      </w:r>
      <w:r>
        <w:rPr>
          <w:rFonts w:ascii="Garamond" w:hAnsi="Garamond"/>
          <w:sz w:val="22"/>
          <w:szCs w:val="22"/>
        </w:rPr>
        <w:t xml:space="preserve">) </w:t>
      </w:r>
      <w:r w:rsidRPr="00003CF5">
        <w:rPr>
          <w:rStyle w:val="apple-tab-span"/>
          <w:rFonts w:ascii="Garamond" w:hAnsi="Garamond"/>
          <w:sz w:val="22"/>
          <w:szCs w:val="22"/>
        </w:rPr>
        <w:tab/>
      </w:r>
      <w:r w:rsidRPr="00003CF5">
        <w:rPr>
          <w:rFonts w:ascii="Garamond" w:hAnsi="Garamond"/>
          <w:sz w:val="22"/>
          <w:szCs w:val="22"/>
        </w:rPr>
        <w:t xml:space="preserve">We respectfully recommend this Honorable Committee include at least one of the following </w:t>
      </w:r>
      <w:r>
        <w:rPr>
          <w:rFonts w:ascii="Garamond" w:hAnsi="Garamond"/>
          <w:sz w:val="22"/>
          <w:szCs w:val="22"/>
        </w:rPr>
        <w:t>recommendations in the Concluding Observations</w:t>
      </w:r>
      <w:r w:rsidRPr="00003CF5">
        <w:rPr>
          <w:rFonts w:ascii="Garamond" w:hAnsi="Garamond"/>
          <w:sz w:val="22"/>
          <w:szCs w:val="22"/>
        </w:rPr>
        <w:t xml:space="preserve"> it will prepare for Malawi.</w:t>
      </w:r>
    </w:p>
    <w:p w14:paraId="00BA8BD0" w14:textId="36255ADC" w:rsidR="006912DA" w:rsidRDefault="006912DA" w:rsidP="00653F8E">
      <w:pPr>
        <w:pStyle w:val="NormalWeb"/>
        <w:widowControl w:val="0"/>
        <w:tabs>
          <w:tab w:val="right" w:leader="dot" w:pos="9270"/>
        </w:tabs>
        <w:spacing w:before="0" w:beforeAutospacing="0" w:after="0" w:afterAutospacing="0" w:line="360" w:lineRule="auto"/>
        <w:ind w:left="-360" w:right="-270" w:firstLine="540"/>
        <w:jc w:val="both"/>
        <w:rPr>
          <w:rFonts w:ascii="Garamond" w:hAnsi="Garamond"/>
          <w:b/>
          <w:i/>
          <w:sz w:val="22"/>
          <w:szCs w:val="22"/>
        </w:rPr>
      </w:pPr>
      <w:r>
        <w:rPr>
          <w:rFonts w:ascii="Garamond" w:hAnsi="Garamond"/>
          <w:b/>
          <w:i/>
          <w:sz w:val="22"/>
          <w:szCs w:val="22"/>
        </w:rPr>
        <w:t xml:space="preserve">1. </w:t>
      </w:r>
      <w:r w:rsidR="00A8691B">
        <w:rPr>
          <w:rFonts w:ascii="Garamond" w:hAnsi="Garamond"/>
          <w:b/>
          <w:i/>
          <w:sz w:val="22"/>
          <w:szCs w:val="22"/>
        </w:rPr>
        <w:t>R</w:t>
      </w:r>
      <w:r>
        <w:rPr>
          <w:rFonts w:ascii="Garamond" w:hAnsi="Garamond"/>
          <w:b/>
          <w:i/>
          <w:sz w:val="22"/>
          <w:szCs w:val="22"/>
        </w:rPr>
        <w:t>epeal</w:t>
      </w:r>
      <w:r w:rsidRPr="00D0100D">
        <w:rPr>
          <w:rFonts w:ascii="Garamond" w:hAnsi="Garamond"/>
          <w:b/>
          <w:i/>
          <w:sz w:val="22"/>
          <w:szCs w:val="22"/>
        </w:rPr>
        <w:t xml:space="preserve"> </w:t>
      </w:r>
      <w:r w:rsidRPr="00D0100D">
        <w:rPr>
          <w:rFonts w:ascii="Garamond" w:eastAsia="Times New Roman" w:hAnsi="Garamond"/>
          <w:b/>
          <w:i/>
          <w:sz w:val="22"/>
          <w:szCs w:val="22"/>
        </w:rPr>
        <w:t>Articles 149</w:t>
      </w:r>
      <w:r w:rsidRPr="00D0100D">
        <w:rPr>
          <w:rFonts w:ascii="Garamond" w:hAnsi="Garamond"/>
          <w:b/>
          <w:i/>
          <w:sz w:val="22"/>
          <w:szCs w:val="22"/>
        </w:rPr>
        <w:t xml:space="preserve">, 150 &amp; </w:t>
      </w:r>
      <w:r w:rsidRPr="00D0100D">
        <w:rPr>
          <w:rFonts w:ascii="Garamond" w:eastAsia="Times New Roman" w:hAnsi="Garamond"/>
          <w:b/>
          <w:i/>
          <w:sz w:val="22"/>
          <w:szCs w:val="22"/>
        </w:rPr>
        <w:t>15</w:t>
      </w:r>
      <w:r w:rsidRPr="00D0100D">
        <w:rPr>
          <w:rFonts w:ascii="Garamond" w:hAnsi="Garamond"/>
          <w:b/>
          <w:i/>
          <w:sz w:val="22"/>
          <w:szCs w:val="22"/>
        </w:rPr>
        <w:t>1 of the Penal Code</w:t>
      </w:r>
      <w:r>
        <w:rPr>
          <w:rFonts w:ascii="Garamond" w:hAnsi="Garamond"/>
          <w:b/>
          <w:i/>
          <w:sz w:val="22"/>
          <w:szCs w:val="22"/>
        </w:rPr>
        <w:t>.</w:t>
      </w:r>
    </w:p>
    <w:p w14:paraId="5ECFFC2E" w14:textId="77777777" w:rsidR="00A8691B" w:rsidRDefault="00A8691B" w:rsidP="00653F8E">
      <w:pPr>
        <w:pStyle w:val="NormalWeb"/>
        <w:widowControl w:val="0"/>
        <w:tabs>
          <w:tab w:val="right" w:leader="dot" w:pos="9270"/>
        </w:tabs>
        <w:spacing w:before="0" w:beforeAutospacing="0" w:after="0" w:afterAutospacing="0" w:line="360" w:lineRule="auto"/>
        <w:ind w:left="-360" w:right="-270" w:firstLine="540"/>
        <w:jc w:val="both"/>
        <w:rPr>
          <w:rFonts w:ascii="Garamond" w:hAnsi="Garamond"/>
          <w:b/>
          <w:i/>
          <w:sz w:val="22"/>
          <w:szCs w:val="22"/>
        </w:rPr>
      </w:pPr>
      <w:r>
        <w:rPr>
          <w:rFonts w:ascii="Garamond" w:hAnsi="Garamond"/>
          <w:b/>
          <w:i/>
          <w:sz w:val="22"/>
          <w:szCs w:val="22"/>
        </w:rPr>
        <w:t>2. While the government works to achieve the goal of decriminalizing abortion:</w:t>
      </w:r>
    </w:p>
    <w:p w14:paraId="296428E4" w14:textId="088E1C3E" w:rsidR="00A8691B" w:rsidRDefault="00A8691B" w:rsidP="00653F8E">
      <w:pPr>
        <w:pStyle w:val="NormalWeb"/>
        <w:widowControl w:val="0"/>
        <w:tabs>
          <w:tab w:val="right" w:leader="dot" w:pos="9270"/>
        </w:tabs>
        <w:spacing w:before="0" w:beforeAutospacing="0" w:after="0" w:afterAutospacing="0" w:line="360" w:lineRule="auto"/>
        <w:ind w:left="-360" w:right="-270" w:firstLine="540"/>
        <w:jc w:val="both"/>
        <w:rPr>
          <w:rFonts w:ascii="Garamond" w:hAnsi="Garamond"/>
          <w:b/>
          <w:i/>
          <w:sz w:val="22"/>
          <w:szCs w:val="22"/>
        </w:rPr>
      </w:pPr>
      <w:proofErr w:type="spellStart"/>
      <w:r>
        <w:rPr>
          <w:rFonts w:ascii="Garamond" w:hAnsi="Garamond"/>
          <w:b/>
          <w:i/>
          <w:sz w:val="22"/>
          <w:szCs w:val="22"/>
        </w:rPr>
        <w:t>i</w:t>
      </w:r>
      <w:proofErr w:type="spellEnd"/>
      <w:r>
        <w:rPr>
          <w:rFonts w:ascii="Garamond" w:hAnsi="Garamond"/>
          <w:b/>
          <w:i/>
          <w:sz w:val="22"/>
          <w:szCs w:val="22"/>
        </w:rPr>
        <w:t>) amend Article 243 of the Penal Code to explicitly include rape, incest, and defilement.</w:t>
      </w:r>
    </w:p>
    <w:p w14:paraId="412CF6E8" w14:textId="084671CC" w:rsidR="00A8691B" w:rsidRDefault="00A8691B" w:rsidP="00653F8E">
      <w:pPr>
        <w:pStyle w:val="NormalWeb"/>
        <w:widowControl w:val="0"/>
        <w:tabs>
          <w:tab w:val="right" w:leader="dot" w:pos="9270"/>
        </w:tabs>
        <w:spacing w:before="0" w:beforeAutospacing="0" w:after="0" w:afterAutospacing="0" w:line="360" w:lineRule="auto"/>
        <w:ind w:left="-360" w:right="-270" w:firstLine="540"/>
        <w:jc w:val="both"/>
        <w:rPr>
          <w:rFonts w:ascii="Garamond" w:hAnsi="Garamond"/>
          <w:b/>
          <w:i/>
          <w:sz w:val="22"/>
          <w:szCs w:val="22"/>
        </w:rPr>
      </w:pPr>
      <w:r>
        <w:rPr>
          <w:rFonts w:ascii="Garamond" w:hAnsi="Garamond"/>
          <w:b/>
          <w:i/>
          <w:sz w:val="22"/>
          <w:szCs w:val="22"/>
        </w:rPr>
        <w:t xml:space="preserve">ii) Establish a moratorium of prosecutions for violations of </w:t>
      </w:r>
      <w:r w:rsidRPr="00D0100D">
        <w:rPr>
          <w:rFonts w:ascii="Garamond" w:eastAsia="Times New Roman" w:hAnsi="Garamond"/>
          <w:b/>
          <w:i/>
          <w:sz w:val="22"/>
          <w:szCs w:val="22"/>
        </w:rPr>
        <w:t>Articles 149</w:t>
      </w:r>
      <w:r w:rsidRPr="00D0100D">
        <w:rPr>
          <w:rFonts w:ascii="Garamond" w:hAnsi="Garamond"/>
          <w:b/>
          <w:i/>
          <w:sz w:val="22"/>
          <w:szCs w:val="22"/>
        </w:rPr>
        <w:t xml:space="preserve">, 150 &amp; </w:t>
      </w:r>
      <w:r w:rsidRPr="00D0100D">
        <w:rPr>
          <w:rFonts w:ascii="Garamond" w:eastAsia="Times New Roman" w:hAnsi="Garamond"/>
          <w:b/>
          <w:i/>
          <w:sz w:val="22"/>
          <w:szCs w:val="22"/>
        </w:rPr>
        <w:t>15</w:t>
      </w:r>
      <w:r w:rsidRPr="00D0100D">
        <w:rPr>
          <w:rFonts w:ascii="Garamond" w:hAnsi="Garamond"/>
          <w:b/>
          <w:i/>
          <w:sz w:val="22"/>
          <w:szCs w:val="22"/>
        </w:rPr>
        <w:t>1 of the Penal Code</w:t>
      </w:r>
      <w:r>
        <w:rPr>
          <w:rFonts w:ascii="Garamond" w:hAnsi="Garamond"/>
          <w:b/>
          <w:i/>
          <w:sz w:val="22"/>
          <w:szCs w:val="22"/>
        </w:rPr>
        <w:t xml:space="preserve"> or rule out imprisonment for violations.</w:t>
      </w:r>
    </w:p>
    <w:p w14:paraId="7049DEE9" w14:textId="0395B8DA" w:rsidR="00A8691B" w:rsidRDefault="00A8691B" w:rsidP="00653F8E">
      <w:pPr>
        <w:pStyle w:val="NormalWeb"/>
        <w:widowControl w:val="0"/>
        <w:tabs>
          <w:tab w:val="right" w:leader="dot" w:pos="9270"/>
        </w:tabs>
        <w:spacing w:before="0" w:beforeAutospacing="0" w:after="0" w:afterAutospacing="0" w:line="360" w:lineRule="auto"/>
        <w:ind w:left="-360" w:right="-270" w:firstLine="540"/>
        <w:jc w:val="both"/>
        <w:rPr>
          <w:rFonts w:ascii="Garamond" w:hAnsi="Garamond"/>
          <w:b/>
          <w:i/>
          <w:sz w:val="22"/>
          <w:szCs w:val="22"/>
        </w:rPr>
      </w:pPr>
      <w:r>
        <w:rPr>
          <w:rFonts w:ascii="Garamond" w:hAnsi="Garamond"/>
          <w:b/>
          <w:i/>
          <w:sz w:val="22"/>
          <w:szCs w:val="22"/>
        </w:rPr>
        <w:t>iii)</w:t>
      </w:r>
      <w:r w:rsidRPr="00D0100D">
        <w:rPr>
          <w:rFonts w:ascii="Garamond" w:hAnsi="Garamond"/>
          <w:b/>
          <w:i/>
          <w:sz w:val="22"/>
          <w:szCs w:val="22"/>
        </w:rPr>
        <w:t xml:space="preserve"> </w:t>
      </w:r>
      <w:r>
        <w:rPr>
          <w:rFonts w:ascii="Garamond" w:hAnsi="Garamond"/>
          <w:b/>
          <w:i/>
          <w:sz w:val="22"/>
          <w:szCs w:val="22"/>
        </w:rPr>
        <w:t>Disseminate wid</w:t>
      </w:r>
      <w:r w:rsidR="00D87FF4">
        <w:rPr>
          <w:rFonts w:ascii="Garamond" w:hAnsi="Garamond"/>
          <w:b/>
          <w:i/>
          <w:sz w:val="22"/>
          <w:szCs w:val="22"/>
        </w:rPr>
        <w:t>e</w:t>
      </w:r>
      <w:r>
        <w:rPr>
          <w:rFonts w:ascii="Garamond" w:hAnsi="Garamond"/>
          <w:b/>
          <w:i/>
          <w:sz w:val="22"/>
          <w:szCs w:val="22"/>
        </w:rPr>
        <w:t xml:space="preserve">ly clear information on </w:t>
      </w:r>
      <w:r w:rsidRPr="00D0100D">
        <w:rPr>
          <w:rFonts w:ascii="Garamond" w:hAnsi="Garamond"/>
          <w:b/>
          <w:i/>
          <w:sz w:val="22"/>
          <w:szCs w:val="22"/>
        </w:rPr>
        <w:t>the circumstances under which abortion can lawfully take place</w:t>
      </w:r>
      <w:r>
        <w:rPr>
          <w:rFonts w:ascii="Garamond" w:hAnsi="Garamond"/>
          <w:b/>
          <w:i/>
          <w:sz w:val="22"/>
          <w:szCs w:val="22"/>
        </w:rPr>
        <w:t>, including the recent 2021 High Court ruling.</w:t>
      </w:r>
    </w:p>
    <w:p w14:paraId="06D1E908" w14:textId="639CF1C4" w:rsidR="002E6BA9" w:rsidRDefault="00A8691B" w:rsidP="00B867CC">
      <w:pPr>
        <w:pStyle w:val="NormalWeb"/>
        <w:widowControl w:val="0"/>
        <w:tabs>
          <w:tab w:val="right" w:leader="dot" w:pos="9270"/>
        </w:tabs>
        <w:spacing w:before="0" w:beforeAutospacing="0" w:after="0" w:afterAutospacing="0" w:line="360" w:lineRule="auto"/>
        <w:ind w:left="-360" w:right="-270" w:firstLine="540"/>
        <w:jc w:val="both"/>
        <w:rPr>
          <w:rFonts w:ascii="Garamond" w:hAnsi="Garamond"/>
          <w:b/>
          <w:i/>
          <w:sz w:val="22"/>
          <w:szCs w:val="22"/>
        </w:rPr>
      </w:pPr>
      <w:r>
        <w:rPr>
          <w:rFonts w:ascii="Garamond" w:hAnsi="Garamond"/>
          <w:b/>
          <w:i/>
          <w:sz w:val="22"/>
          <w:szCs w:val="22"/>
        </w:rPr>
        <w:t>iv) P</w:t>
      </w:r>
      <w:r w:rsidR="002E6BA9">
        <w:rPr>
          <w:rFonts w:ascii="Garamond" w:hAnsi="Garamond"/>
          <w:b/>
          <w:i/>
          <w:sz w:val="22"/>
          <w:szCs w:val="22"/>
        </w:rPr>
        <w:t>rovide comprehensive counseling services to pregnant girls who are sexually assaulted</w:t>
      </w:r>
      <w:r w:rsidR="00F978F1">
        <w:rPr>
          <w:rFonts w:ascii="Garamond" w:hAnsi="Garamond"/>
          <w:b/>
          <w:i/>
          <w:sz w:val="22"/>
          <w:szCs w:val="22"/>
        </w:rPr>
        <w:t xml:space="preserve">, including mental health services and information about abortion services. </w:t>
      </w:r>
    </w:p>
    <w:p w14:paraId="7E786009" w14:textId="19DBDC15" w:rsidR="0018445C" w:rsidRPr="007D356F" w:rsidRDefault="0018445C" w:rsidP="00B867CC">
      <w:pPr>
        <w:pStyle w:val="NormalWeb"/>
        <w:widowControl w:val="0"/>
        <w:tabs>
          <w:tab w:val="right" w:leader="dot" w:pos="9270"/>
        </w:tabs>
        <w:spacing w:before="0" w:beforeAutospacing="0" w:after="0" w:afterAutospacing="0" w:line="360" w:lineRule="auto"/>
        <w:ind w:left="-360" w:right="-270" w:firstLine="540"/>
        <w:jc w:val="both"/>
        <w:rPr>
          <w:rFonts w:ascii="Garamond" w:hAnsi="Garamond"/>
          <w:bCs/>
          <w:iCs/>
          <w:sz w:val="22"/>
          <w:szCs w:val="22"/>
        </w:rPr>
      </w:pPr>
    </w:p>
    <w:sectPr w:rsidR="0018445C" w:rsidRPr="007D356F" w:rsidSect="006658BC">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53FDEC" w14:textId="77777777" w:rsidR="004171AC" w:rsidRDefault="004171AC" w:rsidP="00B91414">
      <w:r>
        <w:separator/>
      </w:r>
    </w:p>
  </w:endnote>
  <w:endnote w:type="continuationSeparator" w:id="0">
    <w:p w14:paraId="7C35EAFE" w14:textId="77777777" w:rsidR="004171AC" w:rsidRDefault="004171AC" w:rsidP="00B914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2" w:usb2="00000000" w:usb3="00000000" w:csb0="0000009F" w:csb1="00000000"/>
  </w:font>
  <w:font w:name="Calibri">
    <w:panose1 w:val="020F0502020204030204"/>
    <w:charset w:val="00"/>
    <w:family w:val="swiss"/>
    <w:pitch w:val="variable"/>
    <w:sig w:usb0="E0002AFF" w:usb1="C000ACFF"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Segoe UI">
    <w:panose1 w:val="020B0604020202020204"/>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6061711"/>
      <w:docPartObj>
        <w:docPartGallery w:val="Page Numbers (Bottom of Page)"/>
        <w:docPartUnique/>
      </w:docPartObj>
    </w:sdtPr>
    <w:sdtEndPr>
      <w:rPr>
        <w:noProof/>
      </w:rPr>
    </w:sdtEndPr>
    <w:sdtContent>
      <w:p w14:paraId="28367D71" w14:textId="4BA40BF4" w:rsidR="00C4441B" w:rsidRDefault="00C4441B" w:rsidP="006658BC">
        <w:pPr>
          <w:pStyle w:val="Footer"/>
          <w:jc w:val="center"/>
        </w:pPr>
        <w:r>
          <w:fldChar w:fldCharType="begin"/>
        </w:r>
        <w:r>
          <w:instrText xml:space="preserve"> PAGE   \* MERGEFORMAT </w:instrText>
        </w:r>
        <w:r>
          <w:fldChar w:fldCharType="separate"/>
        </w:r>
        <w:r>
          <w:rPr>
            <w:noProof/>
          </w:rPr>
          <w:t>16</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26C58A" w14:textId="77777777" w:rsidR="004171AC" w:rsidRDefault="004171AC" w:rsidP="00B91414">
      <w:r>
        <w:separator/>
      </w:r>
    </w:p>
  </w:footnote>
  <w:footnote w:type="continuationSeparator" w:id="0">
    <w:p w14:paraId="55D6D8FB" w14:textId="77777777" w:rsidR="004171AC" w:rsidRDefault="004171AC" w:rsidP="00B91414">
      <w:r>
        <w:continuationSeparator/>
      </w:r>
    </w:p>
  </w:footnote>
  <w:footnote w:id="1">
    <w:p w14:paraId="468243B3" w14:textId="1B64F19E" w:rsidR="00C4441B" w:rsidRPr="00007E3F" w:rsidRDefault="00C4441B" w:rsidP="00DF0C2A">
      <w:pPr>
        <w:pStyle w:val="FootnoteText"/>
        <w:snapToGrid w:val="0"/>
        <w:ind w:left="-360" w:right="-274"/>
        <w:contextualSpacing/>
        <w:rPr>
          <w:rFonts w:ascii="Garamond" w:hAnsi="Garamond"/>
        </w:rPr>
      </w:pPr>
      <w:r w:rsidRPr="00007E3F">
        <w:rPr>
          <w:rStyle w:val="FootnoteReference"/>
          <w:rFonts w:ascii="Garamond" w:hAnsi="Garamond"/>
        </w:rPr>
        <w:footnoteRef/>
      </w:r>
      <w:r w:rsidRPr="00007E3F">
        <w:rPr>
          <w:rFonts w:ascii="Garamond" w:hAnsi="Garamond"/>
        </w:rPr>
        <w:t xml:space="preserve"> International Covenant on Economic, Social and Cultural Rights, </w:t>
      </w:r>
      <w:hyperlink r:id="rId1" w:history="1">
        <w:r w:rsidRPr="00007E3F">
          <w:rPr>
            <w:rStyle w:val="Hyperlink"/>
            <w:rFonts w:ascii="Garamond" w:hAnsi="Garamond"/>
          </w:rPr>
          <w:t>https://treaties.un.org/Pages/ViewDetails.aspx?src=IND&amp;mtdsg_no=IV-3&amp;chapter=4</w:t>
        </w:r>
      </w:hyperlink>
      <w:r w:rsidRPr="00007E3F">
        <w:rPr>
          <w:rFonts w:ascii="Garamond" w:hAnsi="Garamond"/>
        </w:rPr>
        <w:t xml:space="preserve"> [accessed 19 </w:t>
      </w:r>
      <w:r w:rsidR="00504439" w:rsidRPr="00007E3F">
        <w:rPr>
          <w:rFonts w:ascii="Garamond" w:hAnsi="Garamond"/>
        </w:rPr>
        <w:t>July</w:t>
      </w:r>
      <w:r w:rsidRPr="00007E3F">
        <w:rPr>
          <w:rFonts w:ascii="Garamond" w:hAnsi="Garamond"/>
        </w:rPr>
        <w:t xml:space="preserve"> 202</w:t>
      </w:r>
      <w:r w:rsidR="00504439" w:rsidRPr="00007E3F">
        <w:rPr>
          <w:rFonts w:ascii="Garamond" w:hAnsi="Garamond"/>
        </w:rPr>
        <w:t>4</w:t>
      </w:r>
      <w:r w:rsidRPr="00007E3F">
        <w:rPr>
          <w:rFonts w:ascii="Garamond" w:hAnsi="Garamond"/>
        </w:rPr>
        <w:t>].</w:t>
      </w:r>
    </w:p>
  </w:footnote>
  <w:footnote w:id="2">
    <w:p w14:paraId="2CA3D8FA" w14:textId="1D42FC56" w:rsidR="00225A8E" w:rsidRPr="00007E3F" w:rsidRDefault="00225A8E" w:rsidP="00DF0C2A">
      <w:pPr>
        <w:pStyle w:val="FootnoteText"/>
        <w:snapToGrid w:val="0"/>
        <w:ind w:left="-360" w:right="-274"/>
        <w:contextualSpacing/>
        <w:rPr>
          <w:rFonts w:ascii="Garamond" w:hAnsi="Garamond"/>
        </w:rPr>
      </w:pPr>
      <w:r w:rsidRPr="00007E3F">
        <w:rPr>
          <w:rStyle w:val="FootnoteReference"/>
          <w:rFonts w:ascii="Garamond" w:hAnsi="Garamond"/>
        </w:rPr>
        <w:footnoteRef/>
      </w:r>
      <w:r w:rsidRPr="00007E3F">
        <w:rPr>
          <w:rFonts w:ascii="Garamond" w:hAnsi="Garamond"/>
        </w:rPr>
        <w:t xml:space="preserve"> </w:t>
      </w:r>
      <w:r w:rsidR="00567046" w:rsidRPr="00007E3F">
        <w:rPr>
          <w:rFonts w:ascii="Garamond" w:hAnsi="Garamond"/>
        </w:rPr>
        <w:t xml:space="preserve">CESCR, </w:t>
      </w:r>
      <w:r w:rsidR="00567046" w:rsidRPr="00007E3F">
        <w:rPr>
          <w:rFonts w:ascii="Garamond" w:hAnsi="Garamond"/>
          <w:i/>
          <w:iCs/>
        </w:rPr>
        <w:t>Replies of Malawi to the list of issues in relation to its initial report,</w:t>
      </w:r>
      <w:r w:rsidR="00567046" w:rsidRPr="00007E3F">
        <w:rPr>
          <w:rFonts w:ascii="Garamond" w:hAnsi="Garamond"/>
        </w:rPr>
        <w:t xml:space="preserve"> 5 April 2024, </w:t>
      </w:r>
      <w:r w:rsidRPr="00007E3F">
        <w:rPr>
          <w:rFonts w:ascii="Garamond" w:hAnsi="Garamond"/>
        </w:rPr>
        <w:t>E/C.12/MWI/RQ/1</w:t>
      </w:r>
      <w:r w:rsidR="00567046" w:rsidRPr="00007E3F">
        <w:rPr>
          <w:rFonts w:ascii="Garamond" w:hAnsi="Garamond"/>
        </w:rPr>
        <w:t>.</w:t>
      </w:r>
    </w:p>
  </w:footnote>
  <w:footnote w:id="3">
    <w:p w14:paraId="6C5635EF" w14:textId="25FBC627" w:rsidR="00F578C9" w:rsidRPr="00007E3F" w:rsidRDefault="00F578C9" w:rsidP="00DF0C2A">
      <w:pPr>
        <w:snapToGrid w:val="0"/>
        <w:ind w:left="-360" w:right="-274"/>
        <w:contextualSpacing/>
        <w:rPr>
          <w:rFonts w:ascii="Garamond" w:hAnsi="Garamond"/>
          <w:sz w:val="20"/>
          <w:szCs w:val="20"/>
        </w:rPr>
      </w:pPr>
      <w:r w:rsidRPr="00007E3F">
        <w:rPr>
          <w:rFonts w:ascii="Garamond" w:hAnsi="Garamond"/>
          <w:sz w:val="20"/>
          <w:szCs w:val="20"/>
          <w:vertAlign w:val="superscript"/>
        </w:rPr>
        <w:footnoteRef/>
      </w:r>
      <w:r w:rsidRPr="00007E3F">
        <w:rPr>
          <w:rFonts w:ascii="Garamond" w:hAnsi="Garamond"/>
          <w:sz w:val="20"/>
          <w:szCs w:val="20"/>
        </w:rPr>
        <w:t xml:space="preserve"> Malawi Gender Equality Act, Chapter 25.06 (Commenced on 1 Apr. 2014), </w:t>
      </w:r>
      <w:hyperlink r:id="rId2" w:history="1">
        <w:r w:rsidRPr="00007E3F">
          <w:rPr>
            <w:rStyle w:val="Hyperlink"/>
            <w:rFonts w:ascii="Garamond" w:hAnsi="Garamond"/>
            <w:sz w:val="20"/>
            <w:szCs w:val="20"/>
          </w:rPr>
          <w:t>https://www.malawilii.org/akn/mw/act/2013/3/eng%402014-12-31</w:t>
        </w:r>
      </w:hyperlink>
      <w:r w:rsidRPr="00007E3F">
        <w:rPr>
          <w:rFonts w:ascii="Garamond" w:hAnsi="Garamond"/>
          <w:sz w:val="20"/>
          <w:szCs w:val="20"/>
        </w:rPr>
        <w:t xml:space="preserve"> [accessed </w:t>
      </w:r>
      <w:r w:rsidR="00AF21F6" w:rsidRPr="00007E3F">
        <w:rPr>
          <w:rFonts w:ascii="Garamond" w:hAnsi="Garamond"/>
          <w:sz w:val="20"/>
          <w:szCs w:val="20"/>
        </w:rPr>
        <w:t>24</w:t>
      </w:r>
      <w:r w:rsidRPr="00007E3F">
        <w:rPr>
          <w:rFonts w:ascii="Garamond" w:hAnsi="Garamond"/>
          <w:sz w:val="20"/>
          <w:szCs w:val="20"/>
        </w:rPr>
        <w:t xml:space="preserve"> </w:t>
      </w:r>
      <w:r w:rsidR="00AF21F6" w:rsidRPr="00007E3F">
        <w:rPr>
          <w:rFonts w:ascii="Garamond" w:hAnsi="Garamond"/>
          <w:sz w:val="20"/>
          <w:szCs w:val="20"/>
        </w:rPr>
        <w:t>June</w:t>
      </w:r>
      <w:r w:rsidRPr="00007E3F">
        <w:rPr>
          <w:rFonts w:ascii="Garamond" w:hAnsi="Garamond"/>
          <w:sz w:val="20"/>
          <w:szCs w:val="20"/>
        </w:rPr>
        <w:t xml:space="preserve"> 202</w:t>
      </w:r>
      <w:r w:rsidR="00AF21F6" w:rsidRPr="00007E3F">
        <w:rPr>
          <w:rFonts w:ascii="Garamond" w:hAnsi="Garamond"/>
          <w:sz w:val="20"/>
          <w:szCs w:val="20"/>
        </w:rPr>
        <w:t>4</w:t>
      </w:r>
      <w:r w:rsidRPr="00007E3F">
        <w:rPr>
          <w:rFonts w:ascii="Garamond" w:hAnsi="Garamond"/>
          <w:sz w:val="20"/>
          <w:szCs w:val="20"/>
        </w:rPr>
        <w:t>].</w:t>
      </w:r>
    </w:p>
  </w:footnote>
  <w:footnote w:id="4">
    <w:p w14:paraId="6906B8FC" w14:textId="0A647483" w:rsidR="00942147" w:rsidRPr="00007E3F" w:rsidRDefault="00942147" w:rsidP="00DF0C2A">
      <w:pPr>
        <w:pStyle w:val="FootnoteText"/>
        <w:snapToGrid w:val="0"/>
        <w:ind w:left="-360" w:right="-274"/>
        <w:contextualSpacing/>
        <w:rPr>
          <w:rFonts w:ascii="Garamond" w:hAnsi="Garamond"/>
        </w:rPr>
      </w:pPr>
      <w:r w:rsidRPr="00007E3F">
        <w:rPr>
          <w:rStyle w:val="FootnoteReference"/>
          <w:rFonts w:ascii="Garamond" w:hAnsi="Garamond"/>
        </w:rPr>
        <w:footnoteRef/>
      </w:r>
      <w:r w:rsidRPr="00007E3F">
        <w:rPr>
          <w:rFonts w:ascii="Garamond" w:hAnsi="Garamond"/>
        </w:rPr>
        <w:t xml:space="preserve"> CESCR Committee, </w:t>
      </w:r>
      <w:r w:rsidRPr="00007E3F">
        <w:rPr>
          <w:rFonts w:ascii="Garamond" w:hAnsi="Garamond"/>
          <w:i/>
          <w:iCs/>
        </w:rPr>
        <w:t>Initial report submitted by Malawi under articles 16 and 17 of the Covenant, due in 1996</w:t>
      </w:r>
      <w:r w:rsidRPr="00007E3F">
        <w:rPr>
          <w:rFonts w:ascii="Garamond" w:hAnsi="Garamond"/>
        </w:rPr>
        <w:t>,</w:t>
      </w:r>
      <w:r w:rsidR="00AF21F6" w:rsidRPr="00007E3F">
        <w:rPr>
          <w:rFonts w:ascii="Garamond" w:hAnsi="Garamond"/>
        </w:rPr>
        <w:t xml:space="preserve"> </w:t>
      </w:r>
      <w:r w:rsidRPr="00007E3F">
        <w:rPr>
          <w:rFonts w:ascii="Garamond" w:hAnsi="Garamond"/>
        </w:rPr>
        <w:t>CESCR/E/C.12/MWI/1</w:t>
      </w:r>
      <w:r w:rsidR="00AF21F6" w:rsidRPr="00007E3F">
        <w:rPr>
          <w:rFonts w:ascii="Garamond" w:hAnsi="Garamond"/>
        </w:rPr>
        <w:t xml:space="preserve">, </w:t>
      </w:r>
      <w:r w:rsidRPr="00007E3F">
        <w:rPr>
          <w:rFonts w:ascii="Garamond" w:hAnsi="Garamond"/>
        </w:rPr>
        <w:t>2022</w:t>
      </w:r>
      <w:r w:rsidR="00AF21F6" w:rsidRPr="00007E3F">
        <w:rPr>
          <w:rFonts w:ascii="Garamond" w:hAnsi="Garamond"/>
        </w:rPr>
        <w:t>, para. 17 &amp; 129</w:t>
      </w:r>
      <w:r w:rsidRPr="00007E3F">
        <w:rPr>
          <w:rFonts w:ascii="Garamond" w:hAnsi="Garamond"/>
        </w:rPr>
        <w:t>.</w:t>
      </w:r>
    </w:p>
  </w:footnote>
  <w:footnote w:id="5">
    <w:p w14:paraId="41F395C1" w14:textId="7D0F6A45" w:rsidR="00942147" w:rsidRPr="00007E3F" w:rsidRDefault="00942147" w:rsidP="00DF0C2A">
      <w:pPr>
        <w:pStyle w:val="FootnoteText"/>
        <w:snapToGrid w:val="0"/>
        <w:ind w:left="-360" w:right="-274"/>
        <w:contextualSpacing/>
        <w:rPr>
          <w:rFonts w:ascii="Garamond" w:hAnsi="Garamond"/>
          <w:i/>
          <w:iCs/>
        </w:rPr>
      </w:pPr>
      <w:r w:rsidRPr="00007E3F">
        <w:rPr>
          <w:rStyle w:val="FootnoteReference"/>
          <w:rFonts w:ascii="Garamond" w:hAnsi="Garamond"/>
        </w:rPr>
        <w:footnoteRef/>
      </w:r>
      <w:r w:rsidRPr="00007E3F">
        <w:rPr>
          <w:rFonts w:ascii="Garamond" w:hAnsi="Garamond"/>
        </w:rPr>
        <w:t xml:space="preserve"> </w:t>
      </w:r>
      <w:r w:rsidRPr="00007E3F">
        <w:rPr>
          <w:rFonts w:ascii="Garamond" w:hAnsi="Garamond"/>
          <w:bCs/>
          <w:i/>
          <w:iCs/>
        </w:rPr>
        <w:t>Id</w:t>
      </w:r>
      <w:r w:rsidR="006E6833">
        <w:rPr>
          <w:rFonts w:ascii="Garamond" w:hAnsi="Garamond"/>
          <w:bCs/>
          <w:i/>
          <w:iCs/>
        </w:rPr>
        <w:t>.</w:t>
      </w:r>
      <w:r w:rsidR="00806847">
        <w:rPr>
          <w:rFonts w:ascii="Garamond" w:hAnsi="Garamond"/>
          <w:bCs/>
          <w:i/>
          <w:iCs/>
        </w:rPr>
        <w:t xml:space="preserve"> </w:t>
      </w:r>
      <w:r w:rsidR="00806847">
        <w:rPr>
          <w:rFonts w:ascii="Garamond" w:hAnsi="Garamond"/>
          <w:bCs/>
        </w:rPr>
        <w:t>at para. 132</w:t>
      </w:r>
      <w:r w:rsidRPr="00007E3F">
        <w:rPr>
          <w:rFonts w:ascii="Garamond" w:hAnsi="Garamond"/>
          <w:bCs/>
          <w:i/>
          <w:iCs/>
        </w:rPr>
        <w:t>.</w:t>
      </w:r>
      <w:r w:rsidRPr="00007E3F">
        <w:rPr>
          <w:rFonts w:ascii="Garamond" w:hAnsi="Garamond"/>
          <w:bCs/>
        </w:rPr>
        <w:t xml:space="preserve">; </w:t>
      </w:r>
      <w:r w:rsidRPr="00007E3F">
        <w:rPr>
          <w:rFonts w:ascii="Garamond" w:hAnsi="Garamond"/>
        </w:rPr>
        <w:t xml:space="preserve">The Ministry of Health Malawi has acknowledged that women and girls terminate unwanted pregnancies through unsafe abortions which contributes to 18% of the high maternal mortality rate, which is one of the highest in the regions. Malawi Ministry of Health, </w:t>
      </w:r>
      <w:r w:rsidRPr="00007E3F">
        <w:rPr>
          <w:rFonts w:ascii="Garamond" w:hAnsi="Garamond"/>
          <w:i/>
          <w:iCs/>
        </w:rPr>
        <w:t>Standards and Guidelines for Comprehensive Abortion Care</w:t>
      </w:r>
      <w:r w:rsidRPr="00007E3F">
        <w:rPr>
          <w:rFonts w:ascii="Garamond" w:hAnsi="Garamond"/>
        </w:rPr>
        <w:t xml:space="preserve"> (2020); Women and girls who want an abortion often to turn to unsafe abortions due to fear of criminalization. WLSA and Georgetown Law,</w:t>
      </w:r>
      <w:r w:rsidRPr="00007E3F">
        <w:rPr>
          <w:rFonts w:ascii="Garamond" w:hAnsi="Garamond"/>
          <w:i/>
          <w:iCs/>
        </w:rPr>
        <w:t xml:space="preserve"> Through Her Eyes: The Harms of Abortion Criminalization and the Need for Reform</w:t>
      </w:r>
      <w:r w:rsidRPr="00007E3F">
        <w:rPr>
          <w:rFonts w:ascii="Garamond" w:hAnsi="Garamond"/>
        </w:rPr>
        <w:t xml:space="preserve">, p. 6-7, </w:t>
      </w:r>
      <w:hyperlink r:id="rId3" w:history="1">
        <w:r w:rsidRPr="00007E3F">
          <w:rPr>
            <w:rStyle w:val="Hyperlink"/>
            <w:rFonts w:ascii="Garamond" w:hAnsi="Garamond"/>
          </w:rPr>
          <w:t>https://www.law.georgetown.edu/wp-content/uploads/2020/10/Through-Her-Eyes-The-Harms-of-Abortion-Criminalisation-and-the-Need-for-Reform.pdf</w:t>
        </w:r>
      </w:hyperlink>
      <w:r w:rsidRPr="00007E3F">
        <w:rPr>
          <w:rStyle w:val="Hyperlink"/>
          <w:rFonts w:ascii="Garamond" w:hAnsi="Garamond"/>
          <w:u w:val="none"/>
        </w:rPr>
        <w:t xml:space="preserve"> </w:t>
      </w:r>
      <w:r w:rsidRPr="00007E3F">
        <w:rPr>
          <w:rFonts w:ascii="Garamond" w:hAnsi="Garamond"/>
          <w:color w:val="000000" w:themeColor="text1"/>
        </w:rPr>
        <w:t xml:space="preserve">[accessed 28 </w:t>
      </w:r>
      <w:r w:rsidR="00D76E7B" w:rsidRPr="00007E3F">
        <w:rPr>
          <w:rFonts w:ascii="Garamond" w:hAnsi="Garamond"/>
          <w:color w:val="000000" w:themeColor="text1"/>
        </w:rPr>
        <w:t>June</w:t>
      </w:r>
      <w:r w:rsidRPr="00007E3F">
        <w:rPr>
          <w:rFonts w:ascii="Garamond" w:hAnsi="Garamond"/>
          <w:color w:val="000000" w:themeColor="text1"/>
        </w:rPr>
        <w:t xml:space="preserve"> 202</w:t>
      </w:r>
      <w:r w:rsidR="00D76E7B" w:rsidRPr="00007E3F">
        <w:rPr>
          <w:rFonts w:ascii="Garamond" w:hAnsi="Garamond"/>
          <w:color w:val="000000" w:themeColor="text1"/>
        </w:rPr>
        <w:t>4</w:t>
      </w:r>
      <w:r w:rsidRPr="00007E3F">
        <w:rPr>
          <w:rFonts w:ascii="Garamond" w:hAnsi="Garamond"/>
          <w:color w:val="000000" w:themeColor="text1"/>
        </w:rPr>
        <w:t>]</w:t>
      </w:r>
      <w:r w:rsidRPr="00007E3F">
        <w:rPr>
          <w:rFonts w:ascii="Garamond" w:hAnsi="Garamond"/>
        </w:rPr>
        <w:t>.</w:t>
      </w:r>
    </w:p>
  </w:footnote>
  <w:footnote w:id="6">
    <w:p w14:paraId="38C4F0C5" w14:textId="4B6D2ED3" w:rsidR="00942147" w:rsidRPr="00007E3F" w:rsidRDefault="00942147" w:rsidP="00DF0C2A">
      <w:pPr>
        <w:pStyle w:val="FootnoteText"/>
        <w:snapToGrid w:val="0"/>
        <w:ind w:left="-360" w:right="-274"/>
        <w:contextualSpacing/>
        <w:rPr>
          <w:rFonts w:ascii="Garamond" w:hAnsi="Garamond"/>
        </w:rPr>
      </w:pPr>
      <w:r w:rsidRPr="00007E3F">
        <w:rPr>
          <w:rStyle w:val="FootnoteReference"/>
          <w:rFonts w:ascii="Garamond" w:hAnsi="Garamond"/>
        </w:rPr>
        <w:footnoteRef/>
      </w:r>
      <w:r w:rsidRPr="00007E3F">
        <w:rPr>
          <w:rFonts w:ascii="Garamond" w:hAnsi="Garamond"/>
        </w:rPr>
        <w:t xml:space="preserve"> CESCR Committee, </w:t>
      </w:r>
      <w:r w:rsidRPr="00007E3F">
        <w:rPr>
          <w:rFonts w:ascii="Garamond" w:hAnsi="Garamond"/>
          <w:i/>
          <w:iCs/>
        </w:rPr>
        <w:t>Initial report submitted by Malawi under articles 16 and 17 of the Covenant</w:t>
      </w:r>
      <w:r w:rsidRPr="00007E3F">
        <w:rPr>
          <w:rFonts w:ascii="Garamond" w:hAnsi="Garamond"/>
        </w:rPr>
        <w:t>,</w:t>
      </w:r>
      <w:r w:rsidRPr="00007E3F">
        <w:rPr>
          <w:rFonts w:ascii="Garamond" w:hAnsi="Garamond"/>
          <w:i/>
          <w:iCs/>
        </w:rPr>
        <w:t xml:space="preserve"> supra </w:t>
      </w:r>
      <w:r w:rsidRPr="00007E3F">
        <w:rPr>
          <w:rFonts w:ascii="Garamond" w:hAnsi="Garamond"/>
        </w:rPr>
        <w:t xml:space="preserve">note </w:t>
      </w:r>
      <w:r w:rsidR="0087072B">
        <w:rPr>
          <w:rFonts w:ascii="Garamond" w:hAnsi="Garamond"/>
        </w:rPr>
        <w:t>4</w:t>
      </w:r>
      <w:r w:rsidRPr="00007E3F">
        <w:rPr>
          <w:rFonts w:ascii="Garamond" w:hAnsi="Garamond"/>
        </w:rPr>
        <w:t>.</w:t>
      </w:r>
    </w:p>
  </w:footnote>
  <w:footnote w:id="7">
    <w:p w14:paraId="61723680" w14:textId="57984104" w:rsidR="00382C6C" w:rsidRPr="00007E3F" w:rsidRDefault="00382C6C" w:rsidP="00DF0C2A">
      <w:pPr>
        <w:pStyle w:val="FootnoteText"/>
        <w:snapToGrid w:val="0"/>
        <w:ind w:left="-360" w:right="-274"/>
        <w:contextualSpacing/>
        <w:rPr>
          <w:rFonts w:ascii="Garamond" w:hAnsi="Garamond"/>
        </w:rPr>
      </w:pPr>
      <w:r w:rsidRPr="00007E3F">
        <w:rPr>
          <w:rStyle w:val="FootnoteReference"/>
          <w:rFonts w:ascii="Garamond" w:hAnsi="Garamond"/>
        </w:rPr>
        <w:footnoteRef/>
      </w:r>
      <w:r w:rsidRPr="00007E3F">
        <w:rPr>
          <w:rFonts w:ascii="Garamond" w:hAnsi="Garamond"/>
        </w:rPr>
        <w:t xml:space="preserve"> </w:t>
      </w:r>
      <w:r w:rsidR="00097655" w:rsidRPr="00007E3F">
        <w:rPr>
          <w:rFonts w:ascii="Garamond" w:hAnsi="Garamond"/>
        </w:rPr>
        <w:t xml:space="preserve">CESCR, </w:t>
      </w:r>
      <w:r w:rsidR="00097655" w:rsidRPr="00007E3F">
        <w:rPr>
          <w:rFonts w:ascii="Garamond" w:hAnsi="Garamond"/>
          <w:i/>
          <w:iCs/>
        </w:rPr>
        <w:t>List of issues in relation to the initial report of Malawi,</w:t>
      </w:r>
      <w:r w:rsidR="00097655" w:rsidRPr="00007E3F">
        <w:rPr>
          <w:rFonts w:ascii="Garamond" w:hAnsi="Garamond"/>
        </w:rPr>
        <w:t xml:space="preserve"> </w:t>
      </w:r>
      <w:r w:rsidR="00097655" w:rsidRPr="007F1745">
        <w:rPr>
          <w:rFonts w:ascii="Garamond" w:hAnsi="Garamond"/>
          <w:i/>
          <w:iCs/>
        </w:rPr>
        <w:t>22 March 2023, E/C.12/MWI/Q/1,</w:t>
      </w:r>
      <w:r w:rsidR="00097655" w:rsidRPr="00007E3F">
        <w:rPr>
          <w:rFonts w:ascii="Garamond" w:hAnsi="Garamond"/>
        </w:rPr>
        <w:t xml:space="preserve"> para. 24.</w:t>
      </w:r>
    </w:p>
  </w:footnote>
  <w:footnote w:id="8">
    <w:p w14:paraId="68D0E609" w14:textId="65A2ACCA" w:rsidR="007F5926" w:rsidRPr="00007E3F" w:rsidRDefault="007F5926" w:rsidP="00DF0C2A">
      <w:pPr>
        <w:pStyle w:val="FootnoteText"/>
        <w:snapToGrid w:val="0"/>
        <w:ind w:left="-360" w:right="-274"/>
        <w:contextualSpacing/>
        <w:rPr>
          <w:rFonts w:ascii="Garamond" w:hAnsi="Garamond"/>
        </w:rPr>
      </w:pPr>
      <w:r w:rsidRPr="00007E3F">
        <w:rPr>
          <w:rStyle w:val="FootnoteReference"/>
          <w:rFonts w:ascii="Garamond" w:hAnsi="Garamond"/>
        </w:rPr>
        <w:footnoteRef/>
      </w:r>
      <w:r w:rsidRPr="00007E3F">
        <w:rPr>
          <w:rFonts w:ascii="Garamond" w:hAnsi="Garamond"/>
        </w:rPr>
        <w:t xml:space="preserve"> </w:t>
      </w:r>
      <w:hyperlink r:id="rId4" w:history="1">
        <w:r w:rsidRPr="00007E3F">
          <w:rPr>
            <w:rStyle w:val="Hyperlink"/>
            <w:rFonts w:ascii="Garamond" w:hAnsi="Garamond"/>
          </w:rPr>
          <w:t>https://www.lls.edu/academics/centers/internationalhumanrightscenter/</w:t>
        </w:r>
      </w:hyperlink>
      <w:r w:rsidRPr="00007E3F">
        <w:rPr>
          <w:rFonts w:ascii="Garamond" w:hAnsi="Garamond"/>
        </w:rPr>
        <w:t xml:space="preserve"> [last accessed 17 </w:t>
      </w:r>
      <w:r w:rsidR="007C75E8">
        <w:rPr>
          <w:rFonts w:ascii="Garamond" w:hAnsi="Garamond"/>
        </w:rPr>
        <w:t>June</w:t>
      </w:r>
      <w:r w:rsidRPr="00007E3F">
        <w:rPr>
          <w:rFonts w:ascii="Garamond" w:hAnsi="Garamond"/>
        </w:rPr>
        <w:t xml:space="preserve"> 202</w:t>
      </w:r>
      <w:r w:rsidR="007C75E8">
        <w:rPr>
          <w:rFonts w:ascii="Garamond" w:hAnsi="Garamond"/>
        </w:rPr>
        <w:t>4</w:t>
      </w:r>
      <w:r w:rsidRPr="00007E3F">
        <w:rPr>
          <w:rFonts w:ascii="Garamond" w:hAnsi="Garamond"/>
        </w:rPr>
        <w:t>].</w:t>
      </w:r>
    </w:p>
  </w:footnote>
  <w:footnote w:id="9">
    <w:p w14:paraId="7B84BAC1" w14:textId="2CCB9F1F" w:rsidR="006C0E8C" w:rsidRPr="00007E3F" w:rsidRDefault="006C0E8C" w:rsidP="00DF0C2A">
      <w:pPr>
        <w:pStyle w:val="FootnoteText"/>
        <w:snapToGrid w:val="0"/>
        <w:ind w:left="-360" w:right="-274"/>
        <w:contextualSpacing/>
        <w:rPr>
          <w:rFonts w:ascii="Garamond" w:hAnsi="Garamond"/>
        </w:rPr>
      </w:pPr>
      <w:r w:rsidRPr="00007E3F">
        <w:rPr>
          <w:rStyle w:val="FootnoteReference"/>
          <w:rFonts w:ascii="Garamond" w:hAnsi="Garamond"/>
        </w:rPr>
        <w:footnoteRef/>
      </w:r>
      <w:r w:rsidRPr="00007E3F">
        <w:rPr>
          <w:rFonts w:ascii="Garamond" w:hAnsi="Garamond"/>
        </w:rPr>
        <w:t xml:space="preserve"> </w:t>
      </w:r>
      <w:hyperlink r:id="rId5" w:history="1">
        <w:r w:rsidRPr="00007E3F">
          <w:rPr>
            <w:rStyle w:val="Hyperlink"/>
            <w:rFonts w:ascii="Garamond" w:hAnsi="Garamond"/>
          </w:rPr>
          <w:t>https://sciencefordemocracy.org/</w:t>
        </w:r>
      </w:hyperlink>
      <w:r w:rsidRPr="00007E3F">
        <w:rPr>
          <w:rFonts w:ascii="Garamond" w:hAnsi="Garamond"/>
        </w:rPr>
        <w:t xml:space="preserve"> [last accessed 17 </w:t>
      </w:r>
      <w:r w:rsidR="007C75E8">
        <w:rPr>
          <w:rFonts w:ascii="Garamond" w:hAnsi="Garamond"/>
        </w:rPr>
        <w:t>June</w:t>
      </w:r>
      <w:r w:rsidRPr="00007E3F">
        <w:rPr>
          <w:rFonts w:ascii="Garamond" w:hAnsi="Garamond"/>
        </w:rPr>
        <w:t xml:space="preserve"> 2024].</w:t>
      </w:r>
    </w:p>
  </w:footnote>
  <w:footnote w:id="10">
    <w:p w14:paraId="6212C146" w14:textId="5B4B26FF" w:rsidR="00B96E88" w:rsidRPr="00007E3F" w:rsidRDefault="00B96E88" w:rsidP="005428E4">
      <w:pPr>
        <w:pStyle w:val="FootnoteText"/>
        <w:snapToGrid w:val="0"/>
        <w:ind w:left="-360" w:right="-274"/>
        <w:contextualSpacing/>
        <w:rPr>
          <w:rFonts w:ascii="Garamond" w:hAnsi="Garamond"/>
        </w:rPr>
      </w:pPr>
      <w:r w:rsidRPr="00007E3F">
        <w:rPr>
          <w:rStyle w:val="FootnoteReference"/>
          <w:rFonts w:ascii="Garamond" w:hAnsi="Garamond"/>
        </w:rPr>
        <w:footnoteRef/>
      </w:r>
      <w:r w:rsidRPr="00007E3F">
        <w:rPr>
          <w:rFonts w:ascii="Garamond" w:hAnsi="Garamond"/>
        </w:rPr>
        <w:t xml:space="preserve"> </w:t>
      </w:r>
      <w:r w:rsidR="005428E4" w:rsidRPr="00007E3F">
        <w:rPr>
          <w:rFonts w:ascii="Garamond" w:hAnsi="Garamond"/>
        </w:rPr>
        <w:t xml:space="preserve">CESCR, </w:t>
      </w:r>
      <w:r w:rsidR="005428E4" w:rsidRPr="00007E3F">
        <w:rPr>
          <w:rFonts w:ascii="Garamond" w:hAnsi="Garamond"/>
          <w:i/>
          <w:iCs/>
        </w:rPr>
        <w:t>Replies of Malawi to the list of issues in relation to its initial report,</w:t>
      </w:r>
      <w:r w:rsidR="005428E4" w:rsidRPr="00007E3F">
        <w:rPr>
          <w:rFonts w:ascii="Garamond" w:hAnsi="Garamond"/>
        </w:rPr>
        <w:t xml:space="preserve"> </w:t>
      </w:r>
      <w:r w:rsidR="00512997">
        <w:rPr>
          <w:rFonts w:ascii="Garamond" w:hAnsi="Garamond"/>
          <w:i/>
          <w:iCs/>
        </w:rPr>
        <w:t xml:space="preserve">supra </w:t>
      </w:r>
      <w:r w:rsidR="00512997">
        <w:rPr>
          <w:rFonts w:ascii="Garamond" w:hAnsi="Garamond"/>
        </w:rPr>
        <w:t>note 2 at</w:t>
      </w:r>
      <w:r w:rsidR="005428E4" w:rsidRPr="00007E3F">
        <w:rPr>
          <w:rFonts w:ascii="Garamond" w:hAnsi="Garamond"/>
        </w:rPr>
        <w:t xml:space="preserve"> para. 95. </w:t>
      </w:r>
    </w:p>
  </w:footnote>
  <w:footnote w:id="11">
    <w:p w14:paraId="3BA27612" w14:textId="563C4833" w:rsidR="0050768C" w:rsidRPr="00007E3F" w:rsidRDefault="0050768C" w:rsidP="00DF0C2A">
      <w:pPr>
        <w:snapToGrid w:val="0"/>
        <w:ind w:left="-360" w:right="-274"/>
        <w:contextualSpacing/>
        <w:rPr>
          <w:rFonts w:ascii="Garamond" w:hAnsi="Garamond"/>
          <w:sz w:val="20"/>
          <w:szCs w:val="20"/>
        </w:rPr>
      </w:pPr>
      <w:r w:rsidRPr="00007E3F">
        <w:rPr>
          <w:rFonts w:ascii="Garamond" w:hAnsi="Garamond"/>
          <w:sz w:val="20"/>
          <w:szCs w:val="20"/>
          <w:vertAlign w:val="superscript"/>
        </w:rPr>
        <w:footnoteRef/>
      </w:r>
      <w:r w:rsidRPr="00007E3F">
        <w:rPr>
          <w:rFonts w:ascii="Garamond" w:hAnsi="Garamond"/>
          <w:sz w:val="20"/>
          <w:szCs w:val="20"/>
        </w:rPr>
        <w:t xml:space="preserve"> Guttmacher Institute,</w:t>
      </w:r>
      <w:r w:rsidRPr="00007E3F">
        <w:rPr>
          <w:rFonts w:ascii="Garamond" w:hAnsi="Garamond"/>
          <w:i/>
          <w:iCs/>
          <w:sz w:val="20"/>
          <w:szCs w:val="20"/>
        </w:rPr>
        <w:t xml:space="preserve"> Clandestine and Unsafe Abortion Common in Malawi</w:t>
      </w:r>
      <w:r w:rsidRPr="00007E3F">
        <w:rPr>
          <w:rFonts w:ascii="Garamond" w:hAnsi="Garamond"/>
          <w:sz w:val="20"/>
          <w:szCs w:val="20"/>
        </w:rPr>
        <w:t xml:space="preserve">, News Release (April 4, 2017), </w:t>
      </w:r>
      <w:hyperlink r:id="rId6" w:history="1">
        <w:r w:rsidRPr="00007E3F">
          <w:rPr>
            <w:rStyle w:val="Hyperlink"/>
            <w:rFonts w:ascii="Garamond" w:hAnsi="Garamond"/>
            <w:sz w:val="20"/>
            <w:szCs w:val="20"/>
          </w:rPr>
          <w:t>https://www.guttmacher.org/news-release/2017/clandestine-and-unsafe-abortion-common-malawi</w:t>
        </w:r>
      </w:hyperlink>
      <w:r w:rsidRPr="00007E3F">
        <w:rPr>
          <w:rStyle w:val="Hyperlink"/>
          <w:rFonts w:ascii="Garamond" w:hAnsi="Garamond"/>
          <w:sz w:val="20"/>
          <w:szCs w:val="20"/>
          <w:u w:val="none"/>
        </w:rPr>
        <w:t xml:space="preserve"> </w:t>
      </w:r>
      <w:r w:rsidRPr="00007E3F">
        <w:rPr>
          <w:rFonts w:ascii="Garamond" w:hAnsi="Garamond"/>
          <w:color w:val="000000" w:themeColor="text1"/>
          <w:sz w:val="20"/>
          <w:szCs w:val="20"/>
        </w:rPr>
        <w:t xml:space="preserve">[accessed </w:t>
      </w:r>
      <w:r w:rsidR="005428E4" w:rsidRPr="00007E3F">
        <w:rPr>
          <w:rFonts w:ascii="Garamond" w:hAnsi="Garamond"/>
          <w:color w:val="000000" w:themeColor="text1"/>
          <w:sz w:val="20"/>
          <w:szCs w:val="20"/>
        </w:rPr>
        <w:t>24</w:t>
      </w:r>
      <w:r w:rsidRPr="00007E3F">
        <w:rPr>
          <w:rFonts w:ascii="Garamond" w:hAnsi="Garamond"/>
          <w:color w:val="000000" w:themeColor="text1"/>
          <w:sz w:val="20"/>
          <w:szCs w:val="20"/>
        </w:rPr>
        <w:t xml:space="preserve"> </w:t>
      </w:r>
      <w:r w:rsidR="005428E4" w:rsidRPr="00007E3F">
        <w:rPr>
          <w:rFonts w:ascii="Garamond" w:hAnsi="Garamond"/>
          <w:color w:val="000000" w:themeColor="text1"/>
          <w:sz w:val="20"/>
          <w:szCs w:val="20"/>
        </w:rPr>
        <w:t>July</w:t>
      </w:r>
      <w:r w:rsidRPr="00007E3F">
        <w:rPr>
          <w:rFonts w:ascii="Garamond" w:hAnsi="Garamond"/>
          <w:color w:val="000000" w:themeColor="text1"/>
          <w:sz w:val="20"/>
          <w:szCs w:val="20"/>
        </w:rPr>
        <w:t xml:space="preserve"> 202</w:t>
      </w:r>
      <w:r w:rsidR="005428E4" w:rsidRPr="00007E3F">
        <w:rPr>
          <w:rFonts w:ascii="Garamond" w:hAnsi="Garamond"/>
          <w:color w:val="000000" w:themeColor="text1"/>
          <w:sz w:val="20"/>
          <w:szCs w:val="20"/>
        </w:rPr>
        <w:t>4</w:t>
      </w:r>
      <w:r w:rsidRPr="00007E3F">
        <w:rPr>
          <w:rFonts w:ascii="Garamond" w:hAnsi="Garamond"/>
          <w:color w:val="000000" w:themeColor="text1"/>
          <w:sz w:val="20"/>
          <w:szCs w:val="20"/>
        </w:rPr>
        <w:t>].</w:t>
      </w:r>
      <w:r w:rsidRPr="00007E3F">
        <w:rPr>
          <w:rFonts w:ascii="Garamond" w:hAnsi="Garamond"/>
          <w:sz w:val="20"/>
          <w:szCs w:val="20"/>
        </w:rPr>
        <w:t xml:space="preserve"> </w:t>
      </w:r>
    </w:p>
  </w:footnote>
  <w:footnote w:id="12">
    <w:p w14:paraId="354823EC" w14:textId="77777777" w:rsidR="00AB2DAF" w:rsidRPr="00007E3F" w:rsidRDefault="00AB2DAF" w:rsidP="00AB2DAF">
      <w:pPr>
        <w:snapToGrid w:val="0"/>
        <w:ind w:left="-360" w:right="-274"/>
        <w:contextualSpacing/>
        <w:rPr>
          <w:rFonts w:ascii="Garamond" w:hAnsi="Garamond"/>
          <w:sz w:val="20"/>
          <w:szCs w:val="20"/>
        </w:rPr>
      </w:pPr>
      <w:r w:rsidRPr="00007E3F">
        <w:rPr>
          <w:rFonts w:ascii="Garamond" w:hAnsi="Garamond"/>
          <w:sz w:val="20"/>
          <w:szCs w:val="20"/>
          <w:vertAlign w:val="superscript"/>
        </w:rPr>
        <w:footnoteRef/>
      </w:r>
      <w:r w:rsidRPr="00007E3F">
        <w:rPr>
          <w:rFonts w:ascii="Garamond" w:hAnsi="Garamond"/>
          <w:sz w:val="20"/>
          <w:szCs w:val="20"/>
        </w:rPr>
        <w:t xml:space="preserve"> </w:t>
      </w:r>
      <w:r w:rsidRPr="00007E3F">
        <w:rPr>
          <w:rFonts w:ascii="Garamond" w:hAnsi="Garamond"/>
          <w:i/>
          <w:iCs/>
          <w:sz w:val="20"/>
          <w:szCs w:val="20"/>
        </w:rPr>
        <w:t>Id.</w:t>
      </w:r>
      <w:r w:rsidRPr="00007E3F">
        <w:rPr>
          <w:rFonts w:ascii="Garamond" w:hAnsi="Garamond"/>
          <w:sz w:val="20"/>
          <w:szCs w:val="20"/>
        </w:rPr>
        <w:t xml:space="preserve"> </w:t>
      </w:r>
    </w:p>
  </w:footnote>
  <w:footnote w:id="13">
    <w:p w14:paraId="2F14E2F9" w14:textId="77777777" w:rsidR="00AB2DAF" w:rsidRPr="00007E3F" w:rsidRDefault="00AB2DAF" w:rsidP="00AB2DAF">
      <w:pPr>
        <w:pStyle w:val="FootnoteText"/>
        <w:snapToGrid w:val="0"/>
        <w:ind w:left="-360" w:right="-274"/>
        <w:contextualSpacing/>
        <w:rPr>
          <w:rFonts w:ascii="Garamond" w:hAnsi="Garamond"/>
        </w:rPr>
      </w:pPr>
      <w:r w:rsidRPr="00007E3F">
        <w:rPr>
          <w:rStyle w:val="FootnoteReference"/>
          <w:rFonts w:ascii="Garamond" w:hAnsi="Garamond"/>
        </w:rPr>
        <w:footnoteRef/>
      </w:r>
      <w:r w:rsidRPr="00007E3F">
        <w:rPr>
          <w:rFonts w:ascii="Garamond" w:hAnsi="Garamond"/>
        </w:rPr>
        <w:t xml:space="preserve"> WHO, </w:t>
      </w:r>
      <w:r w:rsidRPr="00007E3F">
        <w:rPr>
          <w:rFonts w:ascii="Garamond" w:hAnsi="Garamond"/>
          <w:i/>
          <w:iCs/>
        </w:rPr>
        <w:t>Abortion,</w:t>
      </w:r>
      <w:r w:rsidRPr="00007E3F">
        <w:rPr>
          <w:rFonts w:ascii="Garamond" w:hAnsi="Garamond"/>
        </w:rPr>
        <w:t xml:space="preserve"> 17 May 2024, </w:t>
      </w:r>
      <w:hyperlink r:id="rId7" w:history="1">
        <w:r w:rsidRPr="00007E3F">
          <w:rPr>
            <w:rStyle w:val="Hyperlink"/>
            <w:rFonts w:ascii="Garamond" w:hAnsi="Garamond"/>
          </w:rPr>
          <w:t>https://www.who.int/news-room/fact-sheets/detail/abortion</w:t>
        </w:r>
      </w:hyperlink>
      <w:r w:rsidRPr="00007E3F">
        <w:rPr>
          <w:rFonts w:ascii="Garamond" w:hAnsi="Garamond"/>
        </w:rPr>
        <w:t xml:space="preserve"> [last accessed 24 July 2024].</w:t>
      </w:r>
    </w:p>
  </w:footnote>
  <w:footnote w:id="14">
    <w:p w14:paraId="0A791C14" w14:textId="5F098B50" w:rsidR="004D11AD" w:rsidRPr="00007E3F" w:rsidRDefault="004D11AD" w:rsidP="00DF0C2A">
      <w:pPr>
        <w:pStyle w:val="FootnoteText"/>
        <w:ind w:left="-360" w:right="-274"/>
        <w:rPr>
          <w:rFonts w:ascii="Garamond" w:hAnsi="Garamond"/>
        </w:rPr>
      </w:pPr>
      <w:r w:rsidRPr="00007E3F">
        <w:rPr>
          <w:rStyle w:val="FootnoteReference"/>
          <w:rFonts w:ascii="Garamond" w:hAnsi="Garamond"/>
        </w:rPr>
        <w:footnoteRef/>
      </w:r>
      <w:r w:rsidRPr="00007E3F">
        <w:rPr>
          <w:rFonts w:ascii="Garamond" w:hAnsi="Garamond"/>
        </w:rPr>
        <w:t xml:space="preserve"> Jennifer Riches, Ministry of Health of Malawi, Report on the Confidential Enquiry into Maternal Deaths in Malawi (Aug. 2020- Dec. 2022), 2023, p. xiii, </w:t>
      </w:r>
      <w:hyperlink r:id="rId8" w:history="1">
        <w:r w:rsidRPr="00007E3F">
          <w:rPr>
            <w:rStyle w:val="Hyperlink"/>
            <w:rFonts w:ascii="Garamond" w:hAnsi="Garamond"/>
          </w:rPr>
          <w:t>https://www.mdmalawi.net/_files/ugd/313ce3_8b1fd3b75adf42cbb7ca149e6a431995.pdf?index=true</w:t>
        </w:r>
      </w:hyperlink>
      <w:r w:rsidRPr="00007E3F">
        <w:rPr>
          <w:rFonts w:ascii="Garamond" w:hAnsi="Garamond"/>
        </w:rPr>
        <w:t xml:space="preserve"> [last accessed 24 July 2024].</w:t>
      </w:r>
    </w:p>
  </w:footnote>
  <w:footnote w:id="15">
    <w:p w14:paraId="182B0003" w14:textId="2D2BA97A" w:rsidR="003D27A8" w:rsidRPr="00007E3F" w:rsidRDefault="003D27A8" w:rsidP="00DF0C2A">
      <w:pPr>
        <w:pStyle w:val="FootnoteText"/>
        <w:ind w:left="-360" w:right="-274"/>
        <w:rPr>
          <w:rFonts w:ascii="Garamond" w:hAnsi="Garamond"/>
        </w:rPr>
      </w:pPr>
      <w:r w:rsidRPr="00007E3F">
        <w:rPr>
          <w:rStyle w:val="FootnoteReference"/>
          <w:rFonts w:ascii="Garamond" w:hAnsi="Garamond"/>
        </w:rPr>
        <w:footnoteRef/>
      </w:r>
      <w:r w:rsidRPr="00007E3F">
        <w:rPr>
          <w:rFonts w:ascii="Garamond" w:hAnsi="Garamond"/>
        </w:rPr>
        <w:t xml:space="preserve"> </w:t>
      </w:r>
      <w:r w:rsidR="00DD2E7A">
        <w:rPr>
          <w:rFonts w:ascii="Garamond" w:hAnsi="Garamond"/>
          <w:i/>
          <w:iCs/>
        </w:rPr>
        <w:t>Id</w:t>
      </w:r>
      <w:r w:rsidR="006E6833">
        <w:rPr>
          <w:rFonts w:ascii="Garamond" w:hAnsi="Garamond"/>
          <w:i/>
          <w:iCs/>
        </w:rPr>
        <w:t>.</w:t>
      </w:r>
      <w:r w:rsidR="00DD2E7A">
        <w:rPr>
          <w:rFonts w:ascii="Garamond" w:hAnsi="Garamond"/>
        </w:rPr>
        <w:t xml:space="preserve"> at</w:t>
      </w:r>
      <w:r w:rsidRPr="00007E3F">
        <w:rPr>
          <w:rFonts w:ascii="Garamond" w:hAnsi="Garamond"/>
        </w:rPr>
        <w:t xml:space="preserve"> p. xiii</w:t>
      </w:r>
      <w:r w:rsidR="00291E09" w:rsidRPr="00007E3F">
        <w:rPr>
          <w:rFonts w:ascii="Garamond" w:hAnsi="Garamond"/>
        </w:rPr>
        <w:t xml:space="preserve"> &amp; 47</w:t>
      </w:r>
      <w:r w:rsidRPr="00007E3F">
        <w:rPr>
          <w:rFonts w:ascii="Garamond" w:hAnsi="Garamond"/>
        </w:rPr>
        <w:t>.</w:t>
      </w:r>
    </w:p>
  </w:footnote>
  <w:footnote w:id="16">
    <w:p w14:paraId="033EC63A" w14:textId="7F117B78" w:rsidR="00BF1989" w:rsidRPr="00007E3F" w:rsidRDefault="00BF1989" w:rsidP="00DF0C2A">
      <w:pPr>
        <w:pStyle w:val="FootnoteText"/>
        <w:ind w:left="-360" w:right="-274"/>
        <w:rPr>
          <w:rFonts w:ascii="Garamond" w:hAnsi="Garamond"/>
        </w:rPr>
      </w:pPr>
      <w:r w:rsidRPr="00007E3F">
        <w:rPr>
          <w:rStyle w:val="FootnoteReference"/>
          <w:rFonts w:ascii="Garamond" w:hAnsi="Garamond"/>
        </w:rPr>
        <w:footnoteRef/>
      </w:r>
      <w:r w:rsidRPr="00007E3F">
        <w:rPr>
          <w:rFonts w:ascii="Garamond" w:hAnsi="Garamond"/>
        </w:rPr>
        <w:t xml:space="preserve"> </w:t>
      </w:r>
      <w:r w:rsidR="006E6833">
        <w:rPr>
          <w:rFonts w:ascii="Garamond" w:hAnsi="Garamond"/>
          <w:i/>
          <w:iCs/>
        </w:rPr>
        <w:t>Id.</w:t>
      </w:r>
      <w:r w:rsidR="006E6833">
        <w:rPr>
          <w:rFonts w:ascii="Garamond" w:hAnsi="Garamond"/>
        </w:rPr>
        <w:t xml:space="preserve"> at</w:t>
      </w:r>
      <w:r w:rsidRPr="00007E3F">
        <w:rPr>
          <w:rFonts w:ascii="Garamond" w:hAnsi="Garamond"/>
        </w:rPr>
        <w:t xml:space="preserve"> p. 30-31</w:t>
      </w:r>
      <w:r w:rsidR="006E6833">
        <w:rPr>
          <w:rFonts w:ascii="Garamond" w:hAnsi="Garamond"/>
        </w:rPr>
        <w:t>.</w:t>
      </w:r>
    </w:p>
  </w:footnote>
  <w:footnote w:id="17">
    <w:p w14:paraId="24437443" w14:textId="5CBA95BD" w:rsidR="00343663" w:rsidRPr="00007E3F" w:rsidRDefault="00343663" w:rsidP="00DF0C2A">
      <w:pPr>
        <w:pStyle w:val="FootnoteText"/>
        <w:ind w:left="-360" w:right="-274"/>
        <w:rPr>
          <w:rFonts w:ascii="Garamond" w:hAnsi="Garamond"/>
        </w:rPr>
      </w:pPr>
      <w:r w:rsidRPr="00007E3F">
        <w:rPr>
          <w:rStyle w:val="FootnoteReference"/>
          <w:rFonts w:ascii="Garamond" w:hAnsi="Garamond"/>
        </w:rPr>
        <w:footnoteRef/>
      </w:r>
      <w:r w:rsidRPr="00007E3F">
        <w:rPr>
          <w:rFonts w:ascii="Garamond" w:hAnsi="Garamond"/>
        </w:rPr>
        <w:t xml:space="preserve"> </w:t>
      </w:r>
      <w:r w:rsidR="006E6833">
        <w:rPr>
          <w:rFonts w:ascii="Garamond" w:hAnsi="Garamond"/>
          <w:i/>
          <w:iCs/>
        </w:rPr>
        <w:t>Id.</w:t>
      </w:r>
      <w:r w:rsidR="006E6833">
        <w:rPr>
          <w:rFonts w:ascii="Garamond" w:hAnsi="Garamond"/>
        </w:rPr>
        <w:t xml:space="preserve"> at</w:t>
      </w:r>
      <w:r w:rsidRPr="00007E3F">
        <w:rPr>
          <w:rFonts w:ascii="Garamond" w:hAnsi="Garamond"/>
        </w:rPr>
        <w:t xml:space="preserve"> p. 30</w:t>
      </w:r>
      <w:r w:rsidR="006E6833">
        <w:rPr>
          <w:rFonts w:ascii="Garamond" w:hAnsi="Garamond"/>
        </w:rPr>
        <w:t>.</w:t>
      </w:r>
    </w:p>
  </w:footnote>
  <w:footnote w:id="18">
    <w:p w14:paraId="52E5B5DC" w14:textId="77777777" w:rsidR="009C7F4E" w:rsidRPr="00007E3F" w:rsidRDefault="009C7F4E" w:rsidP="00DF0C2A">
      <w:pPr>
        <w:pStyle w:val="FootnoteText"/>
        <w:snapToGrid w:val="0"/>
        <w:ind w:left="-360" w:right="-274"/>
        <w:contextualSpacing/>
        <w:rPr>
          <w:rFonts w:ascii="Garamond" w:hAnsi="Garamond"/>
        </w:rPr>
      </w:pPr>
      <w:r w:rsidRPr="00007E3F">
        <w:rPr>
          <w:rStyle w:val="FootnoteReference"/>
          <w:rFonts w:ascii="Garamond" w:hAnsi="Garamond"/>
        </w:rPr>
        <w:footnoteRef/>
      </w:r>
      <w:r w:rsidRPr="00007E3F">
        <w:rPr>
          <w:rFonts w:ascii="Garamond" w:hAnsi="Garamond"/>
        </w:rPr>
        <w:t xml:space="preserve"> The Global Goals, </w:t>
      </w:r>
      <w:r w:rsidRPr="00007E3F">
        <w:rPr>
          <w:rFonts w:ascii="Garamond" w:hAnsi="Garamond"/>
          <w:i/>
          <w:iCs/>
        </w:rPr>
        <w:t>3: Good Health and Well-being</w:t>
      </w:r>
      <w:r w:rsidRPr="00007E3F">
        <w:rPr>
          <w:rFonts w:ascii="Garamond" w:hAnsi="Garamond"/>
        </w:rPr>
        <w:t xml:space="preserve">, </w:t>
      </w:r>
      <w:hyperlink r:id="rId9" w:history="1">
        <w:r w:rsidRPr="00007E3F">
          <w:rPr>
            <w:rStyle w:val="Hyperlink"/>
            <w:rFonts w:ascii="Garamond" w:hAnsi="Garamond"/>
          </w:rPr>
          <w:t>https://www.globalgoals.org/goals/3-good-health-and-well-being/</w:t>
        </w:r>
      </w:hyperlink>
      <w:r w:rsidRPr="00007E3F">
        <w:rPr>
          <w:rFonts w:ascii="Garamond" w:hAnsi="Garamond"/>
        </w:rPr>
        <w:t xml:space="preserve"> [last accessed 10 June 2024].</w:t>
      </w:r>
    </w:p>
  </w:footnote>
  <w:footnote w:id="19">
    <w:p w14:paraId="7151E45E" w14:textId="15EEB166" w:rsidR="000C3153" w:rsidRPr="00007E3F" w:rsidRDefault="000C3153" w:rsidP="00DF0C2A">
      <w:pPr>
        <w:pStyle w:val="FootnoteText"/>
        <w:snapToGrid w:val="0"/>
        <w:ind w:left="-360" w:right="-274"/>
        <w:contextualSpacing/>
        <w:rPr>
          <w:rFonts w:ascii="Garamond" w:hAnsi="Garamond"/>
        </w:rPr>
      </w:pPr>
      <w:r w:rsidRPr="00007E3F">
        <w:rPr>
          <w:rStyle w:val="FootnoteReference"/>
          <w:rFonts w:ascii="Garamond" w:hAnsi="Garamond"/>
        </w:rPr>
        <w:footnoteRef/>
      </w:r>
      <w:r w:rsidRPr="00007E3F">
        <w:rPr>
          <w:rFonts w:ascii="Garamond" w:hAnsi="Garamond"/>
        </w:rPr>
        <w:t xml:space="preserve"> </w:t>
      </w:r>
      <w:r w:rsidR="00716AF8" w:rsidRPr="00007E3F">
        <w:rPr>
          <w:rFonts w:ascii="Garamond" w:hAnsi="Garamond"/>
        </w:rPr>
        <w:t xml:space="preserve">UNFPA, World Population Dashboard: Malawi, </w:t>
      </w:r>
      <w:hyperlink r:id="rId10" w:history="1">
        <w:r w:rsidR="00716AF8" w:rsidRPr="00007E3F">
          <w:rPr>
            <w:rStyle w:val="Hyperlink"/>
            <w:rFonts w:ascii="Garamond" w:hAnsi="Garamond"/>
          </w:rPr>
          <w:t>https://www.unfpa.org/data/world-population/MW</w:t>
        </w:r>
      </w:hyperlink>
      <w:r w:rsidR="00DA5F37" w:rsidRPr="00007E3F">
        <w:rPr>
          <w:rFonts w:ascii="Garamond" w:hAnsi="Garamond"/>
        </w:rPr>
        <w:t xml:space="preserve"> </w:t>
      </w:r>
      <w:r w:rsidR="00716AF8" w:rsidRPr="00007E3F">
        <w:rPr>
          <w:rFonts w:ascii="Garamond" w:hAnsi="Garamond"/>
        </w:rPr>
        <w:t>[last accessed 18 July 2024].</w:t>
      </w:r>
    </w:p>
  </w:footnote>
  <w:footnote w:id="20">
    <w:p w14:paraId="6D9EAEEF" w14:textId="77777777" w:rsidR="00F77BA1" w:rsidRPr="00007E3F" w:rsidRDefault="00F77BA1" w:rsidP="00F77BA1">
      <w:pPr>
        <w:pStyle w:val="FootnoteText"/>
        <w:snapToGrid w:val="0"/>
        <w:ind w:left="-360" w:right="-274"/>
        <w:contextualSpacing/>
        <w:rPr>
          <w:rFonts w:ascii="Garamond" w:hAnsi="Garamond"/>
        </w:rPr>
      </w:pPr>
      <w:r w:rsidRPr="00007E3F">
        <w:rPr>
          <w:rStyle w:val="FootnoteReference"/>
          <w:rFonts w:ascii="Garamond" w:hAnsi="Garamond"/>
        </w:rPr>
        <w:footnoteRef/>
      </w:r>
      <w:r w:rsidRPr="00007E3F">
        <w:rPr>
          <w:rFonts w:ascii="Garamond" w:hAnsi="Garamond"/>
        </w:rPr>
        <w:t xml:space="preserve"> Malawi Penal Code Chapter 7:01, Art. 149 Attempts to procure abortion, Chapter VX Offences against morality, </w:t>
      </w:r>
      <w:hyperlink r:id="rId11" w:history="1">
        <w:r w:rsidRPr="00007E3F">
          <w:rPr>
            <w:rStyle w:val="Hyperlink"/>
            <w:rFonts w:ascii="Garamond" w:hAnsi="Garamond"/>
          </w:rPr>
          <w:t>https://www.malawilii.org/akn/mw/act/1929/22/eng%402014-12-31</w:t>
        </w:r>
      </w:hyperlink>
      <w:r w:rsidRPr="00007E3F">
        <w:rPr>
          <w:rFonts w:ascii="Garamond" w:hAnsi="Garamond"/>
        </w:rPr>
        <w:t xml:space="preserve"> [accessed 28 </w:t>
      </w:r>
      <w:r>
        <w:rPr>
          <w:rFonts w:ascii="Garamond" w:hAnsi="Garamond"/>
        </w:rPr>
        <w:t>June</w:t>
      </w:r>
      <w:r w:rsidRPr="00007E3F">
        <w:rPr>
          <w:rFonts w:ascii="Garamond" w:hAnsi="Garamond"/>
        </w:rPr>
        <w:t xml:space="preserve"> 202</w:t>
      </w:r>
      <w:r>
        <w:rPr>
          <w:rFonts w:ascii="Garamond" w:hAnsi="Garamond"/>
        </w:rPr>
        <w:t>4</w:t>
      </w:r>
      <w:r w:rsidRPr="00007E3F">
        <w:rPr>
          <w:rFonts w:ascii="Garamond" w:hAnsi="Garamond"/>
        </w:rPr>
        <w:t xml:space="preserve">]. </w:t>
      </w:r>
    </w:p>
  </w:footnote>
  <w:footnote w:id="21">
    <w:p w14:paraId="7BA9F231" w14:textId="77777777" w:rsidR="00F77BA1" w:rsidRPr="00007E3F" w:rsidRDefault="00F77BA1" w:rsidP="00F77BA1">
      <w:pPr>
        <w:pStyle w:val="FootnoteText"/>
        <w:snapToGrid w:val="0"/>
        <w:ind w:left="-360" w:right="-274"/>
        <w:contextualSpacing/>
        <w:rPr>
          <w:rFonts w:ascii="Garamond" w:hAnsi="Garamond"/>
        </w:rPr>
      </w:pPr>
      <w:r w:rsidRPr="00007E3F">
        <w:rPr>
          <w:rStyle w:val="FootnoteReference"/>
          <w:rFonts w:ascii="Garamond" w:hAnsi="Garamond"/>
        </w:rPr>
        <w:footnoteRef/>
      </w:r>
      <w:r w:rsidRPr="00007E3F">
        <w:rPr>
          <w:rFonts w:ascii="Garamond" w:hAnsi="Garamond"/>
        </w:rPr>
        <w:t xml:space="preserve"> </w:t>
      </w:r>
      <w:r w:rsidRPr="00007E3F">
        <w:rPr>
          <w:rFonts w:ascii="Garamond" w:hAnsi="Garamond"/>
          <w:i/>
          <w:iCs/>
        </w:rPr>
        <w:t>Id.</w:t>
      </w:r>
      <w:r w:rsidRPr="00007E3F">
        <w:rPr>
          <w:rFonts w:ascii="Garamond" w:hAnsi="Garamond"/>
        </w:rPr>
        <w:t xml:space="preserve"> at Art. 150 The like by woman with child.</w:t>
      </w:r>
    </w:p>
  </w:footnote>
  <w:footnote w:id="22">
    <w:p w14:paraId="41BD4D3E" w14:textId="77777777" w:rsidR="00F77BA1" w:rsidRPr="00007E3F" w:rsidRDefault="00F77BA1" w:rsidP="00F77BA1">
      <w:pPr>
        <w:pStyle w:val="FootnoteText"/>
        <w:snapToGrid w:val="0"/>
        <w:ind w:left="-360" w:right="-274"/>
        <w:contextualSpacing/>
        <w:rPr>
          <w:rFonts w:ascii="Garamond" w:hAnsi="Garamond"/>
        </w:rPr>
      </w:pPr>
      <w:r w:rsidRPr="00007E3F">
        <w:rPr>
          <w:rStyle w:val="FootnoteReference"/>
          <w:rFonts w:ascii="Garamond" w:hAnsi="Garamond"/>
        </w:rPr>
        <w:footnoteRef/>
      </w:r>
      <w:r w:rsidRPr="00007E3F">
        <w:rPr>
          <w:rFonts w:ascii="Garamond" w:hAnsi="Garamond"/>
        </w:rPr>
        <w:t xml:space="preserve"> </w:t>
      </w:r>
      <w:r w:rsidRPr="00007E3F">
        <w:rPr>
          <w:rFonts w:ascii="Garamond" w:hAnsi="Garamond"/>
          <w:i/>
          <w:iCs/>
        </w:rPr>
        <w:t>Id.</w:t>
      </w:r>
      <w:r w:rsidRPr="00007E3F">
        <w:rPr>
          <w:rFonts w:ascii="Garamond" w:hAnsi="Garamond"/>
        </w:rPr>
        <w:t xml:space="preserve"> at Art. 151 Supplying drugs or instruments to procure abortion.</w:t>
      </w:r>
    </w:p>
  </w:footnote>
  <w:footnote w:id="23">
    <w:p w14:paraId="16491EB7" w14:textId="4ED5EF57" w:rsidR="00F77BA1" w:rsidRPr="00007E3F" w:rsidRDefault="00F77BA1" w:rsidP="00F77BA1">
      <w:pPr>
        <w:pStyle w:val="FootnoteText"/>
        <w:snapToGrid w:val="0"/>
        <w:ind w:left="-360" w:right="-274"/>
        <w:contextualSpacing/>
        <w:rPr>
          <w:rFonts w:ascii="Garamond" w:hAnsi="Garamond"/>
        </w:rPr>
      </w:pPr>
      <w:r w:rsidRPr="00007E3F">
        <w:rPr>
          <w:rStyle w:val="FootnoteReference"/>
          <w:rFonts w:ascii="Garamond" w:hAnsi="Garamond"/>
        </w:rPr>
        <w:footnoteRef/>
      </w:r>
      <w:r w:rsidRPr="00007E3F">
        <w:rPr>
          <w:rFonts w:ascii="Garamond" w:hAnsi="Garamond"/>
        </w:rPr>
        <w:t xml:space="preserve"> </w:t>
      </w:r>
      <w:r w:rsidR="00037534">
        <w:rPr>
          <w:rFonts w:ascii="Garamond" w:hAnsi="Garamond"/>
          <w:i/>
          <w:iCs/>
        </w:rPr>
        <w:t>Id.</w:t>
      </w:r>
      <w:r w:rsidR="00037534">
        <w:rPr>
          <w:rFonts w:ascii="Garamond" w:hAnsi="Garamond"/>
        </w:rPr>
        <w:t xml:space="preserve"> at</w:t>
      </w:r>
      <w:r w:rsidRPr="00007E3F">
        <w:rPr>
          <w:rFonts w:ascii="Garamond" w:hAnsi="Garamond"/>
        </w:rPr>
        <w:t xml:space="preserve"> Art. 243 Surgical Operation.</w:t>
      </w:r>
    </w:p>
  </w:footnote>
  <w:footnote w:id="24">
    <w:p w14:paraId="21E5B272" w14:textId="159F7C64" w:rsidR="00264F05" w:rsidRPr="00007E3F" w:rsidRDefault="00264F05" w:rsidP="00264F05">
      <w:pPr>
        <w:pStyle w:val="FootnoteText"/>
        <w:snapToGrid w:val="0"/>
        <w:ind w:left="-360" w:right="-274"/>
        <w:contextualSpacing/>
        <w:rPr>
          <w:rFonts w:ascii="Garamond" w:hAnsi="Garamond"/>
        </w:rPr>
      </w:pPr>
      <w:r w:rsidRPr="00007E3F">
        <w:rPr>
          <w:rStyle w:val="FootnoteReference"/>
          <w:rFonts w:ascii="Garamond" w:hAnsi="Garamond"/>
        </w:rPr>
        <w:footnoteRef/>
      </w:r>
      <w:r w:rsidRPr="00007E3F">
        <w:rPr>
          <w:rFonts w:ascii="Garamond" w:hAnsi="Garamond"/>
        </w:rPr>
        <w:t xml:space="preserve"> CESCR, </w:t>
      </w:r>
      <w:r w:rsidRPr="00007E3F">
        <w:rPr>
          <w:rFonts w:ascii="Garamond" w:hAnsi="Garamond"/>
          <w:i/>
          <w:iCs/>
        </w:rPr>
        <w:t>Replies of Malawi to the list of issues in relation to its initial report,</w:t>
      </w:r>
      <w:r w:rsidRPr="00007E3F">
        <w:rPr>
          <w:rFonts w:ascii="Garamond" w:hAnsi="Garamond"/>
        </w:rPr>
        <w:t xml:space="preserve"> </w:t>
      </w:r>
      <w:r w:rsidR="00037534">
        <w:rPr>
          <w:rFonts w:ascii="Garamond" w:hAnsi="Garamond"/>
          <w:i/>
          <w:iCs/>
        </w:rPr>
        <w:t xml:space="preserve">supra </w:t>
      </w:r>
      <w:r w:rsidR="00037534">
        <w:rPr>
          <w:rFonts w:ascii="Garamond" w:hAnsi="Garamond"/>
        </w:rPr>
        <w:t>note 2 at</w:t>
      </w:r>
      <w:r w:rsidRPr="00007E3F">
        <w:rPr>
          <w:rFonts w:ascii="Garamond" w:hAnsi="Garamond"/>
        </w:rPr>
        <w:t xml:space="preserve"> para. 9</w:t>
      </w:r>
      <w:r>
        <w:rPr>
          <w:rFonts w:ascii="Garamond" w:hAnsi="Garamond"/>
        </w:rPr>
        <w:t>9</w:t>
      </w:r>
      <w:r w:rsidRPr="00007E3F">
        <w:rPr>
          <w:rFonts w:ascii="Garamond" w:hAnsi="Garamond"/>
        </w:rPr>
        <w:t>.</w:t>
      </w:r>
    </w:p>
  </w:footnote>
  <w:footnote w:id="25">
    <w:p w14:paraId="312FFCD9" w14:textId="77777777" w:rsidR="00BD6D94" w:rsidRPr="00007E3F" w:rsidRDefault="00BD6D94" w:rsidP="00BD6D94">
      <w:pPr>
        <w:pStyle w:val="FootnoteText"/>
        <w:ind w:left="-360" w:right="-274"/>
        <w:rPr>
          <w:rFonts w:ascii="Garamond" w:hAnsi="Garamond"/>
        </w:rPr>
      </w:pPr>
      <w:r w:rsidRPr="00007E3F">
        <w:rPr>
          <w:rStyle w:val="FootnoteReference"/>
          <w:rFonts w:ascii="Garamond" w:hAnsi="Garamond"/>
        </w:rPr>
        <w:footnoteRef/>
      </w:r>
      <w:r w:rsidRPr="00007E3F">
        <w:rPr>
          <w:rFonts w:ascii="Garamond" w:hAnsi="Garamond"/>
        </w:rPr>
        <w:t xml:space="preserve"> Gender Equality Act §19(1).</w:t>
      </w:r>
    </w:p>
  </w:footnote>
  <w:footnote w:id="26">
    <w:p w14:paraId="2DF73E3B" w14:textId="597DBC5D" w:rsidR="00BD6D94" w:rsidRPr="00F60646" w:rsidRDefault="00BD6D94" w:rsidP="00F60646">
      <w:pPr>
        <w:pStyle w:val="FootnoteText"/>
        <w:ind w:left="-360" w:right="-274"/>
        <w:contextualSpacing/>
        <w:rPr>
          <w:rFonts w:ascii="Garamond" w:hAnsi="Garamond"/>
        </w:rPr>
      </w:pPr>
      <w:r w:rsidRPr="00F60646">
        <w:rPr>
          <w:rStyle w:val="FootnoteReference"/>
          <w:rFonts w:ascii="Garamond" w:hAnsi="Garamond"/>
        </w:rPr>
        <w:footnoteRef/>
      </w:r>
      <w:r w:rsidRPr="00F60646">
        <w:rPr>
          <w:rFonts w:ascii="Garamond" w:hAnsi="Garamond"/>
        </w:rPr>
        <w:t xml:space="preserve"> </w:t>
      </w:r>
      <w:r w:rsidR="00F60646">
        <w:rPr>
          <w:rFonts w:ascii="Garamond" w:hAnsi="Garamond"/>
        </w:rPr>
        <w:t xml:space="preserve">Malawi Ministry of Health, </w:t>
      </w:r>
      <w:r w:rsidR="00F60646" w:rsidRPr="00F60646">
        <w:rPr>
          <w:rFonts w:ascii="Garamond" w:hAnsi="Garamond"/>
          <w:i/>
          <w:iCs/>
        </w:rPr>
        <w:t>Standards and Guidelines for Comprehensive Abortion Care (2020).</w:t>
      </w:r>
    </w:p>
  </w:footnote>
  <w:footnote w:id="27">
    <w:p w14:paraId="541A8364" w14:textId="77777777" w:rsidR="00264F05" w:rsidRPr="00007E3F" w:rsidRDefault="00264F05" w:rsidP="00264F05">
      <w:pPr>
        <w:pStyle w:val="FootnoteText"/>
        <w:ind w:left="-360" w:right="-274"/>
        <w:contextualSpacing/>
        <w:rPr>
          <w:rFonts w:ascii="Garamond" w:hAnsi="Garamond"/>
        </w:rPr>
      </w:pPr>
      <w:r w:rsidRPr="00007E3F">
        <w:rPr>
          <w:rStyle w:val="FootnoteReference"/>
          <w:rFonts w:ascii="Garamond" w:hAnsi="Garamond"/>
        </w:rPr>
        <w:footnoteRef/>
      </w:r>
      <w:r w:rsidRPr="00007E3F">
        <w:rPr>
          <w:rFonts w:ascii="Garamond" w:hAnsi="Garamond"/>
        </w:rPr>
        <w:t xml:space="preserve"> Gender Equality Act §19(1).</w:t>
      </w:r>
    </w:p>
  </w:footnote>
  <w:footnote w:id="28">
    <w:p w14:paraId="182F7842" w14:textId="77777777" w:rsidR="00264F05" w:rsidRPr="00007E3F" w:rsidRDefault="00264F05" w:rsidP="00264F05">
      <w:pPr>
        <w:pStyle w:val="FootnoteText"/>
        <w:ind w:left="-360" w:right="-274"/>
        <w:rPr>
          <w:rFonts w:ascii="Garamond" w:hAnsi="Garamond"/>
        </w:rPr>
      </w:pPr>
      <w:r w:rsidRPr="00007E3F">
        <w:rPr>
          <w:rStyle w:val="FootnoteReference"/>
          <w:rFonts w:ascii="Garamond" w:hAnsi="Garamond"/>
        </w:rPr>
        <w:footnoteRef/>
      </w:r>
      <w:r w:rsidRPr="00007E3F">
        <w:rPr>
          <w:rFonts w:ascii="Garamond" w:hAnsi="Garamond"/>
        </w:rPr>
        <w:t xml:space="preserve"> Gender Equality Act §§19(2) &amp; 20(1)(d).</w:t>
      </w:r>
    </w:p>
  </w:footnote>
  <w:footnote w:id="29">
    <w:p w14:paraId="02FDA02E" w14:textId="77777777" w:rsidR="00BD6D94" w:rsidRPr="00007E3F" w:rsidRDefault="00BD6D94" w:rsidP="00BD6D94">
      <w:pPr>
        <w:pStyle w:val="FootnoteText"/>
        <w:snapToGrid w:val="0"/>
        <w:ind w:left="-360" w:right="-274"/>
        <w:contextualSpacing/>
        <w:rPr>
          <w:rFonts w:ascii="Garamond" w:hAnsi="Garamond"/>
        </w:rPr>
      </w:pPr>
      <w:r w:rsidRPr="00007E3F">
        <w:rPr>
          <w:rStyle w:val="FootnoteReference"/>
          <w:rFonts w:ascii="Garamond" w:hAnsi="Garamond"/>
        </w:rPr>
        <w:footnoteRef/>
      </w:r>
      <w:r w:rsidRPr="00007E3F">
        <w:rPr>
          <w:rFonts w:ascii="Garamond" w:hAnsi="Garamond"/>
        </w:rPr>
        <w:t xml:space="preserve"> </w:t>
      </w:r>
      <w:r>
        <w:rPr>
          <w:rFonts w:ascii="Garamond" w:hAnsi="Garamond"/>
        </w:rPr>
        <w:t>CESCR</w:t>
      </w:r>
      <w:r w:rsidRPr="00007E3F">
        <w:rPr>
          <w:rFonts w:ascii="Garamond" w:hAnsi="Garamond"/>
        </w:rPr>
        <w:t>, Art. 12.</w:t>
      </w:r>
    </w:p>
  </w:footnote>
  <w:footnote w:id="30">
    <w:p w14:paraId="7D37469A" w14:textId="77777777" w:rsidR="00EA56FE" w:rsidRPr="00007E3F" w:rsidRDefault="00EA56FE" w:rsidP="00EA56FE">
      <w:pPr>
        <w:pStyle w:val="FootnoteText"/>
        <w:snapToGrid w:val="0"/>
        <w:ind w:left="-360" w:right="-274"/>
        <w:contextualSpacing/>
        <w:rPr>
          <w:rFonts w:ascii="Garamond" w:hAnsi="Garamond"/>
        </w:rPr>
      </w:pPr>
      <w:r w:rsidRPr="00007E3F">
        <w:rPr>
          <w:rStyle w:val="FootnoteReference"/>
          <w:rFonts w:ascii="Garamond" w:hAnsi="Garamond"/>
        </w:rPr>
        <w:footnoteRef/>
      </w:r>
      <w:r w:rsidRPr="00007E3F">
        <w:rPr>
          <w:rFonts w:ascii="Garamond" w:hAnsi="Garamond"/>
        </w:rPr>
        <w:t xml:space="preserve"> </w:t>
      </w:r>
      <w:r>
        <w:rPr>
          <w:rFonts w:ascii="Garamond" w:hAnsi="Garamond"/>
        </w:rPr>
        <w:t>CESCR</w:t>
      </w:r>
      <w:r w:rsidRPr="00007E3F">
        <w:rPr>
          <w:rFonts w:ascii="Garamond" w:hAnsi="Garamond"/>
        </w:rPr>
        <w:t>, Art. 15.1.b.</w:t>
      </w:r>
    </w:p>
  </w:footnote>
  <w:footnote w:id="31">
    <w:p w14:paraId="3C6CAA74" w14:textId="77777777" w:rsidR="00BD6D94" w:rsidRPr="00007E3F" w:rsidRDefault="00BD6D94" w:rsidP="00BD6D94">
      <w:pPr>
        <w:pStyle w:val="NormalWeb"/>
        <w:snapToGrid w:val="0"/>
        <w:spacing w:before="0" w:beforeAutospacing="0" w:after="0" w:afterAutospacing="0"/>
        <w:ind w:left="-360" w:right="-274"/>
        <w:contextualSpacing/>
        <w:rPr>
          <w:rFonts w:ascii="Garamond" w:eastAsia="Times New Roman" w:hAnsi="Garamond" w:cs="Calibri"/>
          <w:sz w:val="20"/>
          <w:szCs w:val="20"/>
        </w:rPr>
      </w:pPr>
      <w:r w:rsidRPr="00007E3F">
        <w:rPr>
          <w:rStyle w:val="FootnoteReference"/>
          <w:rFonts w:ascii="Garamond" w:hAnsi="Garamond"/>
          <w:sz w:val="20"/>
          <w:szCs w:val="20"/>
        </w:rPr>
        <w:footnoteRef/>
      </w:r>
      <w:r w:rsidRPr="00007E3F">
        <w:rPr>
          <w:rFonts w:ascii="Garamond" w:hAnsi="Garamond"/>
          <w:sz w:val="20"/>
          <w:szCs w:val="20"/>
        </w:rPr>
        <w:t xml:space="preserve"> </w:t>
      </w:r>
      <w:r w:rsidRPr="00007E3F">
        <w:rPr>
          <w:rFonts w:ascii="Garamond" w:eastAsia="Times New Roman" w:hAnsi="Garamond" w:cs="Calibri"/>
          <w:sz w:val="20"/>
          <w:szCs w:val="20"/>
        </w:rPr>
        <w:t xml:space="preserve">CESCR, </w:t>
      </w:r>
      <w:r w:rsidRPr="00007E3F">
        <w:rPr>
          <w:rFonts w:ascii="Garamond" w:eastAsia="Times New Roman" w:hAnsi="Garamond" w:cs="Calibri"/>
          <w:i/>
          <w:iCs/>
          <w:sz w:val="20"/>
          <w:szCs w:val="20"/>
        </w:rPr>
        <w:t>General Comment No. 22: on the right to sexual and reproductive health</w:t>
      </w:r>
      <w:r w:rsidRPr="00007E3F">
        <w:rPr>
          <w:rFonts w:ascii="Garamond" w:eastAsia="Times New Roman" w:hAnsi="Garamond" w:cs="Calibri"/>
          <w:sz w:val="20"/>
          <w:szCs w:val="20"/>
        </w:rPr>
        <w:t xml:space="preserve"> (Art. 12), para. 38, 40, E/C.12/GC/22 (2 May 2016).</w:t>
      </w:r>
    </w:p>
  </w:footnote>
  <w:footnote w:id="32">
    <w:p w14:paraId="2761F3DA" w14:textId="77777777" w:rsidR="00CA3E8D" w:rsidRPr="00007E3F" w:rsidRDefault="00CA3E8D" w:rsidP="00CA3E8D">
      <w:pPr>
        <w:pStyle w:val="FootnoteText"/>
        <w:snapToGrid w:val="0"/>
        <w:ind w:left="-360" w:right="-274"/>
        <w:contextualSpacing/>
        <w:rPr>
          <w:rFonts w:ascii="Garamond" w:hAnsi="Garamond"/>
        </w:rPr>
      </w:pPr>
      <w:r w:rsidRPr="00007E3F">
        <w:rPr>
          <w:rStyle w:val="FootnoteReference"/>
          <w:rFonts w:ascii="Garamond" w:hAnsi="Garamond"/>
        </w:rPr>
        <w:footnoteRef/>
      </w:r>
      <w:r w:rsidRPr="00007E3F">
        <w:rPr>
          <w:rFonts w:ascii="Garamond" w:hAnsi="Garamond"/>
        </w:rPr>
        <w:t xml:space="preserve"> CESCR, </w:t>
      </w:r>
      <w:r w:rsidRPr="00007E3F">
        <w:rPr>
          <w:rFonts w:ascii="Garamond" w:hAnsi="Garamond"/>
          <w:i/>
          <w:iCs/>
        </w:rPr>
        <w:t>Concluding observations on the third periodic report of the Plurinational State of Bolivia</w:t>
      </w:r>
      <w:r w:rsidRPr="00007E3F">
        <w:rPr>
          <w:rFonts w:ascii="Garamond" w:hAnsi="Garamond"/>
        </w:rPr>
        <w:t xml:space="preserve">, E/C.12/BOL/CO/3, 5 Nov. 2021, para. 54-55. </w:t>
      </w:r>
    </w:p>
  </w:footnote>
  <w:footnote w:id="33">
    <w:p w14:paraId="795220D4" w14:textId="2A575680" w:rsidR="00CA3E8D" w:rsidRPr="00007E3F" w:rsidRDefault="00CA3E8D" w:rsidP="00CA3E8D">
      <w:pPr>
        <w:pStyle w:val="FootnoteText"/>
        <w:snapToGrid w:val="0"/>
        <w:ind w:left="-360" w:right="-274"/>
        <w:contextualSpacing/>
        <w:rPr>
          <w:rFonts w:ascii="Garamond" w:hAnsi="Garamond"/>
        </w:rPr>
      </w:pPr>
      <w:r w:rsidRPr="00007E3F">
        <w:rPr>
          <w:rStyle w:val="FootnoteReference"/>
          <w:rFonts w:ascii="Garamond" w:hAnsi="Garamond"/>
        </w:rPr>
        <w:footnoteRef/>
      </w:r>
      <w:r w:rsidRPr="00007E3F">
        <w:rPr>
          <w:rFonts w:ascii="Garamond" w:hAnsi="Garamond"/>
        </w:rPr>
        <w:t xml:space="preserve"> </w:t>
      </w:r>
      <w:r w:rsidR="00A53331">
        <w:rPr>
          <w:rFonts w:ascii="Garamond" w:hAnsi="Garamond"/>
          <w:i/>
          <w:iCs/>
        </w:rPr>
        <w:t xml:space="preserve">Id. </w:t>
      </w:r>
      <w:r w:rsidR="001D680F">
        <w:rPr>
          <w:rFonts w:ascii="Garamond" w:hAnsi="Garamond"/>
        </w:rPr>
        <w:t>at</w:t>
      </w:r>
      <w:r w:rsidRPr="00007E3F">
        <w:rPr>
          <w:rFonts w:ascii="Garamond" w:hAnsi="Garamond"/>
        </w:rPr>
        <w:t xml:space="preserve"> para. 55(a).</w:t>
      </w:r>
    </w:p>
  </w:footnote>
  <w:footnote w:id="34">
    <w:p w14:paraId="73D4C1C4" w14:textId="77777777" w:rsidR="00CA3E8D" w:rsidRPr="00007E3F" w:rsidRDefault="00CA3E8D" w:rsidP="00CA3E8D">
      <w:pPr>
        <w:pStyle w:val="FootnoteText"/>
        <w:snapToGrid w:val="0"/>
        <w:ind w:left="-360" w:right="-274"/>
        <w:contextualSpacing/>
        <w:rPr>
          <w:rFonts w:ascii="Garamond" w:hAnsi="Garamond"/>
        </w:rPr>
      </w:pPr>
      <w:r w:rsidRPr="00007E3F">
        <w:rPr>
          <w:rStyle w:val="FootnoteReference"/>
          <w:rFonts w:ascii="Garamond" w:hAnsi="Garamond"/>
        </w:rPr>
        <w:footnoteRef/>
      </w:r>
      <w:r w:rsidRPr="00007E3F">
        <w:rPr>
          <w:rFonts w:ascii="Garamond" w:hAnsi="Garamond"/>
        </w:rPr>
        <w:t xml:space="preserve"> CESCR, </w:t>
      </w:r>
      <w:r w:rsidRPr="00007E3F">
        <w:rPr>
          <w:rFonts w:ascii="Garamond" w:hAnsi="Garamond"/>
          <w:i/>
          <w:iCs/>
        </w:rPr>
        <w:t>Concluding observations on the third periodic report of Panama</w:t>
      </w:r>
      <w:r w:rsidRPr="00007E3F">
        <w:rPr>
          <w:rFonts w:ascii="Garamond" w:hAnsi="Garamond"/>
        </w:rPr>
        <w:t>, E/C.12/PAN/CO/3, 31 March 2023, para. 48-49.</w:t>
      </w:r>
    </w:p>
  </w:footnote>
  <w:footnote w:id="35">
    <w:p w14:paraId="6EFF45ED" w14:textId="25A0DC6A" w:rsidR="00EA56FE" w:rsidRPr="00007E3F" w:rsidRDefault="00EA56FE" w:rsidP="00EA56FE">
      <w:pPr>
        <w:pStyle w:val="FootnoteText"/>
        <w:snapToGrid w:val="0"/>
        <w:ind w:left="-360" w:right="-274"/>
        <w:contextualSpacing/>
        <w:rPr>
          <w:rFonts w:ascii="Garamond" w:hAnsi="Garamond"/>
        </w:rPr>
      </w:pPr>
      <w:r w:rsidRPr="00007E3F">
        <w:rPr>
          <w:rStyle w:val="FootnoteReference"/>
          <w:rFonts w:ascii="Garamond" w:hAnsi="Garamond"/>
        </w:rPr>
        <w:footnoteRef/>
      </w:r>
      <w:r w:rsidRPr="00007E3F">
        <w:rPr>
          <w:rFonts w:ascii="Garamond" w:hAnsi="Garamond"/>
        </w:rPr>
        <w:t xml:space="preserve"> </w:t>
      </w:r>
      <w:r w:rsidRPr="009C6229">
        <w:rPr>
          <w:rFonts w:ascii="Garamond" w:hAnsi="Garamond"/>
        </w:rPr>
        <w:t xml:space="preserve">CESCR, </w:t>
      </w:r>
      <w:r w:rsidRPr="009C6229">
        <w:rPr>
          <w:rFonts w:ascii="Garamond" w:hAnsi="Garamond"/>
          <w:i/>
          <w:iCs/>
        </w:rPr>
        <w:t>General Comment No. 22: on the right to sexual and reproductive health</w:t>
      </w:r>
      <w:r w:rsidRPr="009C6229">
        <w:rPr>
          <w:rFonts w:ascii="Garamond" w:hAnsi="Garamond"/>
        </w:rPr>
        <w:t xml:space="preserve"> (Art. 12), </w:t>
      </w:r>
      <w:r w:rsidR="008D08FB">
        <w:rPr>
          <w:rFonts w:ascii="Garamond" w:hAnsi="Garamond"/>
          <w:i/>
          <w:iCs/>
        </w:rPr>
        <w:t xml:space="preserve">supra </w:t>
      </w:r>
      <w:r w:rsidR="008D08FB">
        <w:rPr>
          <w:rFonts w:ascii="Garamond" w:hAnsi="Garamond"/>
        </w:rPr>
        <w:t>note 31</w:t>
      </w:r>
      <w:r w:rsidRPr="009C6229">
        <w:rPr>
          <w:rFonts w:ascii="Garamond" w:hAnsi="Garamond"/>
        </w:rPr>
        <w:t>, para. 10 &amp; 28</w:t>
      </w:r>
      <w:r>
        <w:rPr>
          <w:rFonts w:ascii="Garamond" w:hAnsi="Garamond"/>
        </w:rPr>
        <w:t>.</w:t>
      </w:r>
    </w:p>
  </w:footnote>
  <w:footnote w:id="36">
    <w:p w14:paraId="522A7D2C" w14:textId="77777777" w:rsidR="00EA56FE" w:rsidRPr="00007E3F" w:rsidRDefault="00EA56FE" w:rsidP="00EA56FE">
      <w:pPr>
        <w:pStyle w:val="FootnoteText"/>
        <w:snapToGrid w:val="0"/>
        <w:ind w:left="-360" w:right="-274"/>
        <w:contextualSpacing/>
        <w:rPr>
          <w:rFonts w:ascii="Garamond" w:hAnsi="Garamond"/>
        </w:rPr>
      </w:pPr>
      <w:r w:rsidRPr="00007E3F">
        <w:rPr>
          <w:rStyle w:val="FootnoteReference"/>
          <w:rFonts w:ascii="Garamond" w:hAnsi="Garamond"/>
        </w:rPr>
        <w:footnoteRef/>
      </w:r>
      <w:r w:rsidRPr="00007E3F">
        <w:rPr>
          <w:rFonts w:ascii="Garamond" w:hAnsi="Garamond"/>
        </w:rPr>
        <w:t xml:space="preserve"> </w:t>
      </w:r>
      <w:r w:rsidRPr="00007E3F">
        <w:rPr>
          <w:rFonts w:ascii="Garamond" w:hAnsi="Garamond"/>
        </w:rPr>
        <w:t xml:space="preserve">Bearak J et al., </w:t>
      </w:r>
      <w:r w:rsidRPr="00007E3F">
        <w:rPr>
          <w:rFonts w:ascii="Garamond" w:hAnsi="Garamond"/>
          <w:i/>
          <w:iCs/>
        </w:rPr>
        <w:t>Unintended pregnancy and abortion by income, region, and the legal status of abortion: estimates from a comprehensive model for 1990–2019</w:t>
      </w:r>
      <w:r w:rsidRPr="00007E3F">
        <w:rPr>
          <w:rFonts w:ascii="Garamond" w:hAnsi="Garamond"/>
        </w:rPr>
        <w:t>, Lancet Global Health, 2020, 8(9):e1152–e1161, </w:t>
      </w:r>
      <w:hyperlink r:id="rId12" w:history="1">
        <w:r w:rsidRPr="00007E3F">
          <w:rPr>
            <w:rStyle w:val="Hyperlink"/>
            <w:rFonts w:ascii="Garamond" w:hAnsi="Garamond"/>
          </w:rPr>
          <w:t>https://doi.org/10.1016/S2214-109X(20)30315-6</w:t>
        </w:r>
      </w:hyperlink>
      <w:r w:rsidRPr="00007E3F">
        <w:rPr>
          <w:rFonts w:ascii="Garamond" w:hAnsi="Garamond"/>
        </w:rPr>
        <w:t xml:space="preserve"> [last accessed 21 June 2024].</w:t>
      </w:r>
    </w:p>
  </w:footnote>
  <w:footnote w:id="37">
    <w:p w14:paraId="4310E65D" w14:textId="77777777" w:rsidR="00EA56FE" w:rsidRPr="00007E3F" w:rsidRDefault="00EA56FE" w:rsidP="00EA56FE">
      <w:pPr>
        <w:pStyle w:val="FootnoteText"/>
        <w:snapToGrid w:val="0"/>
        <w:ind w:left="-360" w:right="-274"/>
        <w:contextualSpacing/>
        <w:rPr>
          <w:rFonts w:ascii="Garamond" w:hAnsi="Garamond"/>
        </w:rPr>
      </w:pPr>
      <w:r w:rsidRPr="00007E3F">
        <w:rPr>
          <w:rStyle w:val="FootnoteReference"/>
          <w:rFonts w:ascii="Garamond" w:hAnsi="Garamond"/>
        </w:rPr>
        <w:footnoteRef/>
      </w:r>
      <w:r w:rsidRPr="00007E3F">
        <w:rPr>
          <w:rFonts w:ascii="Garamond" w:hAnsi="Garamond"/>
        </w:rPr>
        <w:t xml:space="preserve"> WLSA and Georgetown Law,</w:t>
      </w:r>
      <w:r w:rsidRPr="00007E3F">
        <w:rPr>
          <w:rFonts w:ascii="Garamond" w:hAnsi="Garamond"/>
          <w:i/>
          <w:iCs/>
        </w:rPr>
        <w:t xml:space="preserve"> Through Her Eyes: The Harms of Abortion Criminalization and the Need for Reform</w:t>
      </w:r>
      <w:r w:rsidRPr="00007E3F">
        <w:rPr>
          <w:rFonts w:ascii="Garamond" w:hAnsi="Garamond"/>
        </w:rPr>
        <w:t xml:space="preserve">, p. </w:t>
      </w:r>
      <w:r>
        <w:rPr>
          <w:rFonts w:ascii="Garamond" w:hAnsi="Garamond"/>
        </w:rPr>
        <w:t>6 &amp; 10</w:t>
      </w:r>
      <w:r w:rsidRPr="00007E3F">
        <w:rPr>
          <w:rFonts w:ascii="Garamond" w:hAnsi="Garamond"/>
        </w:rPr>
        <w:t xml:space="preserve">, </w:t>
      </w:r>
      <w:hyperlink r:id="rId13" w:history="1">
        <w:r w:rsidRPr="00007E3F">
          <w:rPr>
            <w:rStyle w:val="Hyperlink"/>
            <w:rFonts w:ascii="Garamond" w:hAnsi="Garamond"/>
          </w:rPr>
          <w:t>https://www.law.georgetown.edu/wp-content/uploads/2020/10/Through-Her-Eyes-The-Harms-of-Abortion-Criminalisation-and-the-Need-for-Reform.pdf</w:t>
        </w:r>
      </w:hyperlink>
      <w:r w:rsidRPr="00007E3F">
        <w:rPr>
          <w:rStyle w:val="Hyperlink"/>
          <w:rFonts w:ascii="Garamond" w:hAnsi="Garamond"/>
          <w:u w:val="none"/>
        </w:rPr>
        <w:t xml:space="preserve"> </w:t>
      </w:r>
      <w:r w:rsidRPr="00007E3F">
        <w:rPr>
          <w:rFonts w:ascii="Garamond" w:hAnsi="Garamond"/>
          <w:color w:val="000000" w:themeColor="text1"/>
        </w:rPr>
        <w:t>[accessed 28 June 2024]</w:t>
      </w:r>
      <w:r w:rsidRPr="00007E3F">
        <w:rPr>
          <w:rFonts w:ascii="Garamond" w:hAnsi="Garamond"/>
        </w:rPr>
        <w:t>.</w:t>
      </w:r>
    </w:p>
  </w:footnote>
  <w:footnote w:id="38">
    <w:p w14:paraId="7A624E68" w14:textId="4310AFF4" w:rsidR="00EA56FE" w:rsidRPr="00ED05A3" w:rsidRDefault="00EA56FE" w:rsidP="00EA56FE">
      <w:pPr>
        <w:pStyle w:val="FootnoteText"/>
        <w:snapToGrid w:val="0"/>
        <w:ind w:left="-360" w:right="-274"/>
        <w:contextualSpacing/>
        <w:rPr>
          <w:rFonts w:ascii="Garamond" w:hAnsi="Garamond"/>
        </w:rPr>
      </w:pPr>
      <w:r w:rsidRPr="00007E3F">
        <w:rPr>
          <w:rStyle w:val="FootnoteReference"/>
          <w:rFonts w:ascii="Garamond" w:hAnsi="Garamond"/>
        </w:rPr>
        <w:footnoteRef/>
      </w:r>
      <w:r w:rsidRPr="00007E3F">
        <w:rPr>
          <w:rFonts w:ascii="Garamond" w:hAnsi="Garamond"/>
        </w:rPr>
        <w:t xml:space="preserve"> </w:t>
      </w:r>
      <w:r w:rsidR="00ED05A3">
        <w:rPr>
          <w:rFonts w:ascii="Garamond" w:hAnsi="Garamond"/>
        </w:rPr>
        <w:t xml:space="preserve">Rutgers, </w:t>
      </w:r>
      <w:r w:rsidR="00ED05A3">
        <w:rPr>
          <w:rFonts w:ascii="Garamond" w:hAnsi="Garamond"/>
          <w:i/>
          <w:iCs/>
        </w:rPr>
        <w:t>Jenipher’s story, Malawi</w:t>
      </w:r>
      <w:r w:rsidR="00ED05A3">
        <w:rPr>
          <w:rFonts w:ascii="Garamond" w:hAnsi="Garamond"/>
        </w:rPr>
        <w:t xml:space="preserve">, </w:t>
      </w:r>
      <w:hyperlink r:id="rId14" w:history="1">
        <w:r w:rsidR="00ED05A3" w:rsidRPr="001574E3">
          <w:rPr>
            <w:rStyle w:val="Hyperlink"/>
            <w:rFonts w:ascii="Garamond" w:hAnsi="Garamond"/>
          </w:rPr>
          <w:t>https://rutgers.international/stories/jeniphers-story-malawi/</w:t>
        </w:r>
      </w:hyperlink>
      <w:r w:rsidR="00ED05A3">
        <w:rPr>
          <w:rFonts w:ascii="Garamond" w:hAnsi="Garamond"/>
        </w:rPr>
        <w:t xml:space="preserve"> [last accessed 31 July 2024]; </w:t>
      </w:r>
      <w:r w:rsidR="00ED05A3" w:rsidRPr="00007E3F">
        <w:rPr>
          <w:rFonts w:ascii="Garamond" w:hAnsi="Garamond"/>
        </w:rPr>
        <w:t>WLSA and Georgetown Law,</w:t>
      </w:r>
      <w:r w:rsidR="00ED05A3" w:rsidRPr="00007E3F">
        <w:rPr>
          <w:rFonts w:ascii="Garamond" w:hAnsi="Garamond"/>
          <w:i/>
          <w:iCs/>
        </w:rPr>
        <w:t xml:space="preserve"> Through Her Eyes: The Harms of Abortion Criminalization and the Need for Reform</w:t>
      </w:r>
      <w:r w:rsidR="00ED05A3">
        <w:rPr>
          <w:rFonts w:ascii="Garamond" w:hAnsi="Garamond"/>
          <w:i/>
          <w:iCs/>
        </w:rPr>
        <w:t xml:space="preserve">, supra </w:t>
      </w:r>
      <w:r w:rsidR="00ED05A3">
        <w:rPr>
          <w:rFonts w:ascii="Garamond" w:hAnsi="Garamond"/>
        </w:rPr>
        <w:t>note 37 at p. 10.</w:t>
      </w:r>
    </w:p>
  </w:footnote>
  <w:footnote w:id="39">
    <w:p w14:paraId="2866D6B5" w14:textId="17274EEB" w:rsidR="00EA56FE" w:rsidRPr="00007E3F" w:rsidRDefault="00EA56FE" w:rsidP="00EA56FE">
      <w:pPr>
        <w:pStyle w:val="FootnoteText"/>
        <w:snapToGrid w:val="0"/>
        <w:ind w:left="-360" w:right="-274"/>
        <w:contextualSpacing/>
        <w:rPr>
          <w:rFonts w:ascii="Garamond" w:hAnsi="Garamond"/>
        </w:rPr>
      </w:pPr>
      <w:r w:rsidRPr="00007E3F">
        <w:rPr>
          <w:rStyle w:val="FootnoteReference"/>
          <w:rFonts w:ascii="Garamond" w:hAnsi="Garamond"/>
        </w:rPr>
        <w:footnoteRef/>
      </w:r>
      <w:r w:rsidRPr="00007E3F">
        <w:rPr>
          <w:rFonts w:ascii="Garamond" w:hAnsi="Garamond"/>
        </w:rPr>
        <w:t xml:space="preserve"> WLSA and Georgetown Law,</w:t>
      </w:r>
      <w:r w:rsidRPr="00007E3F">
        <w:rPr>
          <w:rFonts w:ascii="Garamond" w:hAnsi="Garamond"/>
          <w:i/>
          <w:iCs/>
        </w:rPr>
        <w:t xml:space="preserve"> Through Her Eyes: The Harms of Abortion Criminalization and the Need for Reform</w:t>
      </w:r>
      <w:r w:rsidRPr="00007E3F">
        <w:rPr>
          <w:rFonts w:ascii="Garamond" w:hAnsi="Garamond"/>
        </w:rPr>
        <w:t xml:space="preserve">, </w:t>
      </w:r>
      <w:r w:rsidR="00ED05A3">
        <w:rPr>
          <w:rFonts w:ascii="Garamond" w:hAnsi="Garamond"/>
          <w:i/>
          <w:iCs/>
        </w:rPr>
        <w:t xml:space="preserve">supra </w:t>
      </w:r>
      <w:r w:rsidR="00ED05A3">
        <w:rPr>
          <w:rFonts w:ascii="Garamond" w:hAnsi="Garamond"/>
        </w:rPr>
        <w:t xml:space="preserve">note 37 at </w:t>
      </w:r>
      <w:r w:rsidRPr="00007E3F">
        <w:rPr>
          <w:rFonts w:ascii="Garamond" w:hAnsi="Garamond"/>
        </w:rPr>
        <w:t xml:space="preserve">p. </w:t>
      </w:r>
      <w:r>
        <w:rPr>
          <w:rFonts w:ascii="Garamond" w:hAnsi="Garamond"/>
        </w:rPr>
        <w:t>10</w:t>
      </w:r>
      <w:r w:rsidR="00ED05A3">
        <w:rPr>
          <w:rFonts w:ascii="Garamond" w:hAnsi="Garamond"/>
        </w:rPr>
        <w:t>.</w:t>
      </w:r>
    </w:p>
  </w:footnote>
  <w:footnote w:id="40">
    <w:p w14:paraId="2A84E40C" w14:textId="77777777" w:rsidR="00EA56FE" w:rsidRDefault="00EA56FE" w:rsidP="00EA56FE">
      <w:pPr>
        <w:pStyle w:val="FootnoteText"/>
        <w:ind w:left="-360" w:right="-274"/>
      </w:pPr>
      <w:r>
        <w:rPr>
          <w:rStyle w:val="FootnoteReference"/>
        </w:rPr>
        <w:footnoteRef/>
      </w:r>
      <w:r>
        <w:t xml:space="preserve"> </w:t>
      </w:r>
      <w:r>
        <w:rPr>
          <w:rFonts w:ascii="Garamond" w:hAnsi="Garamond"/>
        </w:rPr>
        <w:t xml:space="preserve">Jennifer </w:t>
      </w:r>
      <w:r>
        <w:rPr>
          <w:rFonts w:ascii="Garamond" w:hAnsi="Garamond"/>
        </w:rPr>
        <w:t xml:space="preserve">Draganchuk, Stellah Ashley Lungu, Tulsi Patel &amp; Mtisunge Chang’ombe, </w:t>
      </w:r>
      <w:r>
        <w:rPr>
          <w:rFonts w:ascii="Garamond" w:hAnsi="Garamond"/>
          <w:i/>
          <w:iCs/>
        </w:rPr>
        <w:t xml:space="preserve">Clandestine abortion resulting in uterine perforation and a retained foreign body led to generalized peritonitis: a case report from Lilongwe, </w:t>
      </w:r>
      <w:r w:rsidRPr="00320064">
        <w:rPr>
          <w:rFonts w:ascii="Garamond" w:hAnsi="Garamond"/>
          <w:i/>
          <w:iCs/>
        </w:rPr>
        <w:t>Malawi</w:t>
      </w:r>
      <w:r>
        <w:rPr>
          <w:rFonts w:ascii="Garamond" w:hAnsi="Garamond"/>
        </w:rPr>
        <w:t xml:space="preserve">, AJOG Glob. Rep., </w:t>
      </w:r>
      <w:r w:rsidRPr="00320064">
        <w:rPr>
          <w:rFonts w:ascii="Garamond" w:hAnsi="Garamond"/>
        </w:rPr>
        <w:t>23</w:t>
      </w:r>
      <w:r>
        <w:rPr>
          <w:rFonts w:ascii="Garamond" w:hAnsi="Garamond"/>
        </w:rPr>
        <w:t xml:space="preserve"> Feb. 2024, </w:t>
      </w:r>
      <w:hyperlink r:id="rId15" w:history="1">
        <w:r w:rsidRPr="001574E3">
          <w:rPr>
            <w:rStyle w:val="Hyperlink"/>
            <w:rFonts w:ascii="Garamond" w:hAnsi="Garamond"/>
          </w:rPr>
          <w:t>https://www.ncbi.nlm.nih.gov/pmc/articles/PMC10994963/</w:t>
        </w:r>
      </w:hyperlink>
      <w:r w:rsidRPr="00007E3F">
        <w:rPr>
          <w:rFonts w:ascii="Garamond" w:hAnsi="Garamond"/>
        </w:rPr>
        <w:t xml:space="preserve"> </w:t>
      </w:r>
      <w:r>
        <w:rPr>
          <w:rFonts w:ascii="Garamond" w:hAnsi="Garamond"/>
        </w:rPr>
        <w:t>[last accessed 25 July 2024].</w:t>
      </w:r>
    </w:p>
  </w:footnote>
  <w:footnote w:id="41">
    <w:p w14:paraId="472D721B" w14:textId="77777777" w:rsidR="00EA56FE" w:rsidRPr="00007E3F" w:rsidRDefault="00EA56FE" w:rsidP="00EA56FE">
      <w:pPr>
        <w:pStyle w:val="FootnoteText"/>
        <w:snapToGrid w:val="0"/>
        <w:ind w:left="-360" w:right="-274"/>
        <w:contextualSpacing/>
        <w:rPr>
          <w:rFonts w:ascii="Garamond" w:hAnsi="Garamond"/>
        </w:rPr>
      </w:pPr>
      <w:r w:rsidRPr="00007E3F">
        <w:rPr>
          <w:rStyle w:val="FootnoteReference"/>
          <w:rFonts w:ascii="Garamond" w:hAnsi="Garamond"/>
        </w:rPr>
        <w:footnoteRef/>
      </w:r>
      <w:r w:rsidRPr="00007E3F">
        <w:rPr>
          <w:rFonts w:ascii="Garamond" w:hAnsi="Garamond"/>
        </w:rPr>
        <w:t xml:space="preserve"> Effie Chipeta PhD &amp; Patani Mhango MSc, </w:t>
      </w:r>
      <w:r w:rsidRPr="00007E3F">
        <w:rPr>
          <w:rFonts w:ascii="Garamond" w:hAnsi="Garamond"/>
          <w:i/>
          <w:iCs/>
        </w:rPr>
        <w:t>Exploring the experience of sexually assaulted young women and girls who sought sexual and reproductive health services</w:t>
      </w:r>
      <w:r w:rsidRPr="00007E3F">
        <w:rPr>
          <w:rFonts w:ascii="Garamond" w:hAnsi="Garamond"/>
        </w:rPr>
        <w:t>,</w:t>
      </w:r>
      <w:r w:rsidRPr="00007E3F">
        <w:rPr>
          <w:rFonts w:ascii="Garamond" w:hAnsi="Garamond"/>
          <w:color w:val="000000"/>
        </w:rPr>
        <w:t xml:space="preserve"> </w:t>
      </w:r>
      <w:r w:rsidRPr="00007E3F">
        <w:rPr>
          <w:rFonts w:ascii="Garamond" w:hAnsi="Garamond"/>
        </w:rPr>
        <w:t xml:space="preserve">Options Consultancy Services Limited (UK aid funded Women’s </w:t>
      </w:r>
      <w:r w:rsidRPr="00007E3F">
        <w:rPr>
          <w:rFonts w:ascii="Garamond" w:hAnsi="Garamond"/>
        </w:rPr>
        <w:t>Intergated Sexual Health (WISH) programme), p. 5.</w:t>
      </w:r>
    </w:p>
  </w:footnote>
  <w:footnote w:id="42">
    <w:p w14:paraId="5B8178A2" w14:textId="77777777" w:rsidR="00EA56FE" w:rsidRPr="00007E3F" w:rsidRDefault="00EA56FE" w:rsidP="00EA56FE">
      <w:pPr>
        <w:pStyle w:val="FootnoteText"/>
        <w:snapToGrid w:val="0"/>
        <w:ind w:left="-360" w:right="-274"/>
        <w:contextualSpacing/>
        <w:rPr>
          <w:rFonts w:ascii="Garamond" w:hAnsi="Garamond"/>
        </w:rPr>
      </w:pPr>
      <w:r w:rsidRPr="00007E3F">
        <w:rPr>
          <w:rStyle w:val="FootnoteReference"/>
          <w:rFonts w:ascii="Garamond" w:hAnsi="Garamond"/>
        </w:rPr>
        <w:footnoteRef/>
      </w:r>
      <w:r w:rsidRPr="00007E3F">
        <w:rPr>
          <w:rFonts w:ascii="Garamond" w:hAnsi="Garamond"/>
        </w:rPr>
        <w:t xml:space="preserve"> U.N. General Assembly, </w:t>
      </w:r>
      <w:r w:rsidRPr="00007E3F">
        <w:rPr>
          <w:rFonts w:ascii="Garamond" w:hAnsi="Garamond"/>
          <w:i/>
          <w:iCs/>
        </w:rPr>
        <w:t>Interim report of the Special Rapporteur on the right of everyone to the enjoyment of the highest attainable standard of physical and mental health</w:t>
      </w:r>
      <w:r w:rsidRPr="00007E3F">
        <w:rPr>
          <w:rFonts w:ascii="Garamond" w:hAnsi="Garamond"/>
        </w:rPr>
        <w:t>, A/66/254, 3 Aug. 2011, para. 36.</w:t>
      </w:r>
    </w:p>
  </w:footnote>
  <w:footnote w:id="43">
    <w:p w14:paraId="7D3059F8" w14:textId="77777777" w:rsidR="00EA56FE" w:rsidRPr="00007E3F" w:rsidRDefault="00EA56FE" w:rsidP="00EA56FE">
      <w:pPr>
        <w:pStyle w:val="FootnoteText"/>
        <w:snapToGrid w:val="0"/>
        <w:ind w:left="-360" w:right="-274"/>
        <w:contextualSpacing/>
        <w:rPr>
          <w:rFonts w:ascii="Garamond" w:hAnsi="Garamond"/>
        </w:rPr>
      </w:pPr>
      <w:r w:rsidRPr="00007E3F">
        <w:rPr>
          <w:rStyle w:val="FootnoteReference"/>
          <w:rFonts w:ascii="Garamond" w:hAnsi="Garamond"/>
        </w:rPr>
        <w:footnoteRef/>
      </w:r>
      <w:r w:rsidRPr="00007E3F">
        <w:rPr>
          <w:rFonts w:ascii="Garamond" w:hAnsi="Garamond"/>
        </w:rPr>
        <w:t xml:space="preserve"> World Health Organization, </w:t>
      </w:r>
      <w:r w:rsidRPr="00007E3F">
        <w:rPr>
          <w:rFonts w:ascii="Garamond" w:hAnsi="Garamond"/>
          <w:i/>
          <w:iCs/>
        </w:rPr>
        <w:t>Sexual Health definition</w:t>
      </w:r>
      <w:r w:rsidRPr="00007E3F">
        <w:rPr>
          <w:rFonts w:ascii="Garamond" w:hAnsi="Garamond"/>
        </w:rPr>
        <w:t xml:space="preserve">, (WHO, 2006a) (emphasis added), </w:t>
      </w:r>
      <w:hyperlink r:id="rId16" w:history="1">
        <w:r w:rsidRPr="00007E3F">
          <w:rPr>
            <w:rStyle w:val="Hyperlink"/>
            <w:rFonts w:ascii="Garamond" w:hAnsi="Garamond"/>
          </w:rPr>
          <w:t>https://www.who.int/teams/sexual-and-reproductive-health-and-research-(srh)/areas-of-work/sexual-health</w:t>
        </w:r>
      </w:hyperlink>
      <w:r w:rsidRPr="00007E3F">
        <w:rPr>
          <w:rFonts w:ascii="Garamond" w:hAnsi="Garamond"/>
          <w:color w:val="0070C0"/>
        </w:rPr>
        <w:t xml:space="preserve"> </w:t>
      </w:r>
      <w:r w:rsidRPr="00007E3F">
        <w:rPr>
          <w:rFonts w:ascii="Garamond" w:hAnsi="Garamond"/>
        </w:rPr>
        <w:t xml:space="preserve">[accessed 29 </w:t>
      </w:r>
      <w:r>
        <w:rPr>
          <w:rFonts w:ascii="Garamond" w:hAnsi="Garamond"/>
        </w:rPr>
        <w:t>June</w:t>
      </w:r>
      <w:r w:rsidRPr="00007E3F">
        <w:rPr>
          <w:rFonts w:ascii="Garamond" w:hAnsi="Garamond"/>
        </w:rPr>
        <w:t xml:space="preserve"> 202</w:t>
      </w:r>
      <w:r>
        <w:rPr>
          <w:rFonts w:ascii="Garamond" w:hAnsi="Garamond"/>
        </w:rPr>
        <w:t>4</w:t>
      </w:r>
      <w:r w:rsidRPr="00007E3F">
        <w:rPr>
          <w:rFonts w:ascii="Garamond" w:hAnsi="Garamond"/>
        </w:rPr>
        <w:t>]</w:t>
      </w:r>
      <w:r w:rsidRPr="00007E3F">
        <w:rPr>
          <w:rFonts w:ascii="Garamond" w:hAnsi="Garamond"/>
          <w:color w:val="0070C0"/>
        </w:rPr>
        <w:t xml:space="preserve">; </w:t>
      </w:r>
      <w:r w:rsidRPr="00007E3F">
        <w:rPr>
          <w:rFonts w:ascii="Garamond" w:hAnsi="Garamond"/>
          <w:i/>
          <w:iCs/>
        </w:rPr>
        <w:t>See also</w:t>
      </w:r>
      <w:r w:rsidRPr="00007E3F">
        <w:rPr>
          <w:rFonts w:ascii="Garamond" w:hAnsi="Garamond"/>
        </w:rPr>
        <w:t xml:space="preserve">, </w:t>
      </w:r>
      <w:r w:rsidRPr="00007E3F">
        <w:rPr>
          <w:rFonts w:ascii="Garamond" w:eastAsia="Times New Roman" w:hAnsi="Garamond" w:cs="Calibri"/>
        </w:rPr>
        <w:t xml:space="preserve">CESCR, </w:t>
      </w:r>
      <w:r w:rsidRPr="00007E3F">
        <w:rPr>
          <w:rFonts w:ascii="Garamond" w:eastAsia="Times New Roman" w:hAnsi="Garamond" w:cs="Calibri"/>
          <w:i/>
          <w:iCs/>
        </w:rPr>
        <w:t>General Comment No. 22</w:t>
      </w:r>
      <w:r w:rsidRPr="00007E3F">
        <w:rPr>
          <w:rFonts w:ascii="Garamond" w:eastAsia="Times New Roman" w:hAnsi="Garamond" w:cs="Calibri"/>
        </w:rPr>
        <w:t xml:space="preserve">, </w:t>
      </w:r>
      <w:r w:rsidRPr="00007E3F">
        <w:rPr>
          <w:rFonts w:ascii="Garamond" w:eastAsia="Times New Roman" w:hAnsi="Garamond" w:cs="Calibri"/>
          <w:i/>
          <w:iCs/>
        </w:rPr>
        <w:t xml:space="preserve">supra </w:t>
      </w:r>
      <w:r w:rsidRPr="00007E3F">
        <w:rPr>
          <w:rFonts w:ascii="Garamond" w:eastAsia="Times New Roman" w:hAnsi="Garamond" w:cs="Calibri"/>
        </w:rPr>
        <w:t xml:space="preserve">note 33 at </w:t>
      </w:r>
      <w:r w:rsidRPr="00007E3F">
        <w:rPr>
          <w:rFonts w:ascii="Garamond" w:eastAsia="Times New Roman" w:hAnsi="Garamond"/>
        </w:rPr>
        <w:t xml:space="preserve">para. 5-6. </w:t>
      </w:r>
    </w:p>
  </w:footnote>
  <w:footnote w:id="44">
    <w:p w14:paraId="5212FA1D" w14:textId="4E5E21BE" w:rsidR="00EA56FE" w:rsidRPr="00F37C5C" w:rsidRDefault="00EA56FE" w:rsidP="00EA56FE">
      <w:pPr>
        <w:pStyle w:val="FootnoteText"/>
        <w:snapToGrid w:val="0"/>
        <w:ind w:left="-360" w:right="-274"/>
        <w:contextualSpacing/>
        <w:rPr>
          <w:rFonts w:ascii="Garamond" w:hAnsi="Garamond"/>
        </w:rPr>
      </w:pPr>
      <w:r w:rsidRPr="00007E3F">
        <w:rPr>
          <w:rStyle w:val="FootnoteReference"/>
          <w:rFonts w:ascii="Garamond" w:hAnsi="Garamond"/>
        </w:rPr>
        <w:footnoteRef/>
      </w:r>
      <w:r w:rsidRPr="00007E3F">
        <w:rPr>
          <w:rFonts w:ascii="Garamond" w:hAnsi="Garamond"/>
        </w:rPr>
        <w:t xml:space="preserve"> U.N. General Assembly, </w:t>
      </w:r>
      <w:r w:rsidRPr="00007E3F">
        <w:rPr>
          <w:rFonts w:ascii="Garamond" w:hAnsi="Garamond"/>
          <w:i/>
          <w:iCs/>
        </w:rPr>
        <w:t>Interim report of the Special Rapporteur on the right of everyone to the enjoyment of the highest attainable standard of physical and mental health</w:t>
      </w:r>
      <w:r w:rsidRPr="00007E3F">
        <w:rPr>
          <w:rFonts w:ascii="Garamond" w:hAnsi="Garamond"/>
        </w:rPr>
        <w:t xml:space="preserve">, </w:t>
      </w:r>
      <w:r w:rsidR="00F37C5C">
        <w:rPr>
          <w:rFonts w:ascii="Garamond" w:hAnsi="Garamond"/>
          <w:i/>
          <w:iCs/>
        </w:rPr>
        <w:t xml:space="preserve">supra </w:t>
      </w:r>
      <w:r w:rsidR="00F37C5C">
        <w:rPr>
          <w:rFonts w:ascii="Garamond" w:hAnsi="Garamond"/>
        </w:rPr>
        <w:t>note 42.</w:t>
      </w:r>
    </w:p>
  </w:footnote>
  <w:footnote w:id="45">
    <w:p w14:paraId="3D11FAB5" w14:textId="7E564727" w:rsidR="00EA56FE" w:rsidRPr="00007E3F" w:rsidRDefault="00EA56FE" w:rsidP="00EA56FE">
      <w:pPr>
        <w:pStyle w:val="FootnoteText"/>
        <w:snapToGrid w:val="0"/>
        <w:ind w:left="-360" w:right="-274"/>
        <w:contextualSpacing/>
        <w:rPr>
          <w:rFonts w:ascii="Garamond" w:hAnsi="Garamond"/>
        </w:rPr>
      </w:pPr>
      <w:r w:rsidRPr="00007E3F">
        <w:rPr>
          <w:rStyle w:val="FootnoteReference"/>
          <w:rFonts w:ascii="Garamond" w:hAnsi="Garamond"/>
        </w:rPr>
        <w:footnoteRef/>
      </w:r>
      <w:r w:rsidRPr="00007E3F">
        <w:rPr>
          <w:rFonts w:ascii="Garamond" w:hAnsi="Garamond"/>
        </w:rPr>
        <w:t xml:space="preserve"> U.N. General Assembly, </w:t>
      </w:r>
      <w:r w:rsidRPr="00007E3F">
        <w:rPr>
          <w:rFonts w:ascii="Garamond" w:hAnsi="Garamond"/>
          <w:i/>
          <w:iCs/>
        </w:rPr>
        <w:t>Interim report of the Special Rapporteur on the right of everyone to the enjoyment of the highest attainable standard of physical and mental health</w:t>
      </w:r>
      <w:r w:rsidRPr="00007E3F">
        <w:rPr>
          <w:rFonts w:ascii="Garamond" w:hAnsi="Garamond"/>
        </w:rPr>
        <w:t xml:space="preserve">, </w:t>
      </w:r>
      <w:r w:rsidR="00F37C5C">
        <w:rPr>
          <w:rFonts w:ascii="Garamond" w:hAnsi="Garamond"/>
          <w:i/>
          <w:iCs/>
        </w:rPr>
        <w:t xml:space="preserve">supra </w:t>
      </w:r>
      <w:r w:rsidR="00F37C5C">
        <w:rPr>
          <w:rFonts w:ascii="Garamond" w:hAnsi="Garamond"/>
        </w:rPr>
        <w:t>note 42.</w:t>
      </w:r>
    </w:p>
  </w:footnote>
  <w:footnote w:id="46">
    <w:p w14:paraId="38F4A403" w14:textId="77777777" w:rsidR="006912DA" w:rsidRPr="00007E3F" w:rsidRDefault="006912DA" w:rsidP="006912DA">
      <w:pPr>
        <w:pStyle w:val="FootnoteText"/>
        <w:ind w:left="-360" w:right="-274"/>
        <w:rPr>
          <w:rFonts w:ascii="Garamond" w:hAnsi="Garamond"/>
        </w:rPr>
      </w:pPr>
      <w:r w:rsidRPr="00007E3F">
        <w:rPr>
          <w:rStyle w:val="FootnoteReference"/>
          <w:rFonts w:ascii="Garamond" w:hAnsi="Garamond"/>
        </w:rPr>
        <w:footnoteRef/>
      </w:r>
      <w:r w:rsidRPr="00007E3F">
        <w:rPr>
          <w:rFonts w:ascii="Garamond" w:hAnsi="Garamond"/>
        </w:rPr>
        <w:t xml:space="preserve"> Interview with abortion rights advocate in Malawi, May 2024.</w:t>
      </w:r>
    </w:p>
  </w:footnote>
  <w:footnote w:id="47">
    <w:p w14:paraId="6E69E18E" w14:textId="77777777" w:rsidR="006912DA" w:rsidRPr="00007E3F" w:rsidRDefault="006912DA" w:rsidP="006912DA">
      <w:pPr>
        <w:pStyle w:val="FootnoteText"/>
        <w:snapToGrid w:val="0"/>
        <w:ind w:left="-360" w:right="-274"/>
        <w:contextualSpacing/>
        <w:rPr>
          <w:rFonts w:ascii="Garamond" w:hAnsi="Garamond"/>
        </w:rPr>
      </w:pPr>
      <w:r w:rsidRPr="00007E3F">
        <w:rPr>
          <w:rStyle w:val="FootnoteReference"/>
          <w:rFonts w:ascii="Garamond" w:hAnsi="Garamond"/>
        </w:rPr>
        <w:footnoteRef/>
      </w:r>
      <w:r w:rsidRPr="00007E3F">
        <w:rPr>
          <w:rFonts w:ascii="Garamond" w:hAnsi="Garamond"/>
        </w:rPr>
        <w:t xml:space="preserve"> </w:t>
      </w:r>
      <w:r>
        <w:rPr>
          <w:rFonts w:ascii="Garamond" w:hAnsi="Garamond"/>
        </w:rPr>
        <w:t>CESCR</w:t>
      </w:r>
      <w:r w:rsidRPr="00007E3F">
        <w:rPr>
          <w:rFonts w:ascii="Garamond" w:hAnsi="Garamond"/>
        </w:rPr>
        <w:t>, Article 3.</w:t>
      </w:r>
    </w:p>
  </w:footnote>
  <w:footnote w:id="48">
    <w:p w14:paraId="6EFEFEF1" w14:textId="77777777" w:rsidR="006912DA" w:rsidRPr="00007E3F" w:rsidRDefault="006912DA" w:rsidP="006912DA">
      <w:pPr>
        <w:pStyle w:val="FootnoteText"/>
        <w:snapToGrid w:val="0"/>
        <w:ind w:left="-360" w:right="-274"/>
        <w:contextualSpacing/>
        <w:rPr>
          <w:rFonts w:ascii="Garamond" w:hAnsi="Garamond"/>
        </w:rPr>
      </w:pPr>
      <w:r w:rsidRPr="00007E3F">
        <w:rPr>
          <w:rStyle w:val="FootnoteReference"/>
          <w:rFonts w:ascii="Garamond" w:hAnsi="Garamond"/>
        </w:rPr>
        <w:footnoteRef/>
      </w:r>
      <w:r w:rsidRPr="00007E3F">
        <w:rPr>
          <w:rFonts w:ascii="Garamond" w:hAnsi="Garamond"/>
        </w:rPr>
        <w:t xml:space="preserve"> OHCHR</w:t>
      </w:r>
      <w:r w:rsidRPr="00007E3F">
        <w:rPr>
          <w:rFonts w:ascii="Garamond" w:hAnsi="Garamond"/>
          <w:i/>
          <w:iCs/>
        </w:rPr>
        <w:t xml:space="preserve">, Information Series on Sexual and Reproductive Health and Rights </w:t>
      </w:r>
      <w:r w:rsidRPr="00007E3F">
        <w:rPr>
          <w:rFonts w:ascii="Garamond" w:hAnsi="Garamond"/>
        </w:rPr>
        <w:t xml:space="preserve">(updated 2020), </w:t>
      </w:r>
      <w:hyperlink r:id="rId17" w:history="1">
        <w:r w:rsidRPr="00007E3F">
          <w:rPr>
            <w:rStyle w:val="Hyperlink"/>
            <w:rFonts w:ascii="Garamond" w:hAnsi="Garamond"/>
          </w:rPr>
          <w:t>https://www.ohchr.org/sites/default/files/Documents/Issues/Women/WRGS/SexualHealth/INFO_Abortion_WEB.pdf</w:t>
        </w:r>
      </w:hyperlink>
      <w:r w:rsidRPr="00007E3F">
        <w:rPr>
          <w:rFonts w:ascii="Garamond" w:hAnsi="Garamond"/>
        </w:rPr>
        <w:t xml:space="preserve"> [accessed 27 </w:t>
      </w:r>
      <w:r>
        <w:rPr>
          <w:rFonts w:ascii="Garamond" w:hAnsi="Garamond"/>
        </w:rPr>
        <w:t>June</w:t>
      </w:r>
      <w:r w:rsidRPr="00007E3F">
        <w:rPr>
          <w:rFonts w:ascii="Garamond" w:hAnsi="Garamond"/>
        </w:rPr>
        <w:t xml:space="preserve"> 202</w:t>
      </w:r>
      <w:r>
        <w:rPr>
          <w:rFonts w:ascii="Garamond" w:hAnsi="Garamond"/>
        </w:rPr>
        <w:t>4</w:t>
      </w:r>
      <w:r w:rsidRPr="00007E3F">
        <w:rPr>
          <w:rFonts w:ascii="Garamond" w:hAnsi="Garamond"/>
        </w:rPr>
        <w:t>].</w:t>
      </w:r>
    </w:p>
  </w:footnote>
  <w:footnote w:id="49">
    <w:p w14:paraId="47875538" w14:textId="7EDC0D6B" w:rsidR="006912DA" w:rsidRPr="00007E3F" w:rsidRDefault="006912DA" w:rsidP="006912DA">
      <w:pPr>
        <w:pStyle w:val="FootnoteText"/>
        <w:snapToGrid w:val="0"/>
        <w:ind w:left="-360" w:right="-274"/>
        <w:contextualSpacing/>
        <w:rPr>
          <w:rFonts w:ascii="Garamond" w:hAnsi="Garamond"/>
        </w:rPr>
      </w:pPr>
      <w:r w:rsidRPr="00007E3F">
        <w:rPr>
          <w:rStyle w:val="FootnoteReference"/>
          <w:rFonts w:ascii="Garamond" w:hAnsi="Garamond"/>
        </w:rPr>
        <w:footnoteRef/>
      </w:r>
      <w:r w:rsidRPr="00007E3F">
        <w:rPr>
          <w:rFonts w:ascii="Garamond" w:hAnsi="Garamond"/>
        </w:rPr>
        <w:t xml:space="preserve"> </w:t>
      </w:r>
      <w:r w:rsidRPr="00007E3F">
        <w:rPr>
          <w:rFonts w:ascii="Garamond" w:eastAsia="Times New Roman" w:hAnsi="Garamond" w:cs="Calibri"/>
        </w:rPr>
        <w:t xml:space="preserve">CESCR, </w:t>
      </w:r>
      <w:r w:rsidRPr="00007E3F">
        <w:rPr>
          <w:rFonts w:ascii="Garamond" w:eastAsia="Times New Roman" w:hAnsi="Garamond" w:cs="Calibri"/>
          <w:i/>
          <w:iCs/>
        </w:rPr>
        <w:t>General Comment No. 22: on the right to sexual and reproductive health</w:t>
      </w:r>
      <w:r w:rsidRPr="00007E3F">
        <w:rPr>
          <w:rFonts w:ascii="Garamond" w:eastAsia="Times New Roman" w:hAnsi="Garamond" w:cs="Calibri"/>
        </w:rPr>
        <w:t xml:space="preserve"> (Art. 12), </w:t>
      </w:r>
      <w:r w:rsidR="00031528">
        <w:rPr>
          <w:rFonts w:ascii="Garamond" w:eastAsia="Times New Roman" w:hAnsi="Garamond" w:cs="Calibri"/>
          <w:i/>
          <w:iCs/>
        </w:rPr>
        <w:t xml:space="preserve">supra </w:t>
      </w:r>
      <w:r w:rsidR="00031528">
        <w:rPr>
          <w:rFonts w:ascii="Garamond" w:eastAsia="Times New Roman" w:hAnsi="Garamond" w:cs="Calibri"/>
        </w:rPr>
        <w:t xml:space="preserve">note 31 at </w:t>
      </w:r>
      <w:r w:rsidRPr="00007E3F">
        <w:rPr>
          <w:rFonts w:ascii="Garamond" w:eastAsia="Times New Roman" w:hAnsi="Garamond" w:cs="Calibri"/>
        </w:rPr>
        <w:t>para. 34</w:t>
      </w:r>
      <w:r w:rsidR="00031528">
        <w:rPr>
          <w:rFonts w:ascii="Garamond" w:eastAsia="Times New Roman" w:hAnsi="Garamond" w:cs="Calibri"/>
        </w:rPr>
        <w:t xml:space="preserve"> &amp;</w:t>
      </w:r>
      <w:r w:rsidRPr="00007E3F">
        <w:rPr>
          <w:rFonts w:ascii="Garamond" w:eastAsia="Times New Roman" w:hAnsi="Garamond" w:cs="Calibri"/>
        </w:rPr>
        <w:t xml:space="preserve"> 40.</w:t>
      </w:r>
    </w:p>
  </w:footnote>
  <w:footnote w:id="50">
    <w:p w14:paraId="2DDD0DF3" w14:textId="77777777" w:rsidR="006912DA" w:rsidRPr="00007E3F" w:rsidRDefault="006912DA" w:rsidP="006912DA">
      <w:pPr>
        <w:pStyle w:val="FootnoteText"/>
        <w:snapToGrid w:val="0"/>
        <w:ind w:left="-360" w:right="-274"/>
        <w:contextualSpacing/>
        <w:rPr>
          <w:rFonts w:ascii="Garamond" w:hAnsi="Garamond"/>
        </w:rPr>
      </w:pPr>
      <w:r w:rsidRPr="00007E3F">
        <w:rPr>
          <w:rStyle w:val="FootnoteReference"/>
          <w:rFonts w:ascii="Garamond" w:hAnsi="Garamond"/>
        </w:rPr>
        <w:footnoteRef/>
      </w:r>
      <w:r w:rsidRPr="00007E3F">
        <w:rPr>
          <w:rFonts w:ascii="Garamond" w:hAnsi="Garamond"/>
        </w:rPr>
        <w:t xml:space="preserve"> United Nations Human Rights Special Procedures: Working Group on the issue of discrimination against women in law and practice, </w:t>
      </w:r>
      <w:r w:rsidRPr="00007E3F">
        <w:rPr>
          <w:rFonts w:ascii="Garamond" w:hAnsi="Garamond"/>
          <w:i/>
          <w:iCs/>
        </w:rPr>
        <w:t>Women's Autonomy, Equality and Reproductive Health in International Human Rights: Between Recognition, Backlash and Regressive Trends</w:t>
      </w:r>
      <w:r w:rsidRPr="00007E3F">
        <w:rPr>
          <w:rFonts w:ascii="Garamond" w:hAnsi="Garamond"/>
        </w:rPr>
        <w:t>, October 2017</w:t>
      </w:r>
      <w:r>
        <w:rPr>
          <w:rFonts w:ascii="Garamond" w:hAnsi="Garamond"/>
        </w:rPr>
        <w:t>.</w:t>
      </w:r>
    </w:p>
  </w:footnote>
  <w:footnote w:id="51">
    <w:p w14:paraId="146CFD7E" w14:textId="77777777" w:rsidR="006912DA" w:rsidRPr="00007E3F" w:rsidRDefault="006912DA" w:rsidP="006912DA">
      <w:pPr>
        <w:pStyle w:val="FootnoteText"/>
        <w:snapToGrid w:val="0"/>
        <w:ind w:left="-360" w:right="-274"/>
        <w:contextualSpacing/>
        <w:rPr>
          <w:rFonts w:ascii="Garamond" w:hAnsi="Garamond"/>
        </w:rPr>
      </w:pPr>
      <w:r w:rsidRPr="00007E3F">
        <w:rPr>
          <w:rStyle w:val="FootnoteReference"/>
          <w:rFonts w:ascii="Garamond" w:hAnsi="Garamond"/>
        </w:rPr>
        <w:footnoteRef/>
      </w:r>
      <w:r w:rsidRPr="00007E3F">
        <w:rPr>
          <w:rFonts w:ascii="Garamond" w:hAnsi="Garamond"/>
        </w:rPr>
        <w:t xml:space="preserve"> United Nations Human Rights Special Procedures: Working Group on the issue of discrimination against women in law and practice, </w:t>
      </w:r>
      <w:r w:rsidRPr="00007E3F">
        <w:rPr>
          <w:rFonts w:ascii="Garamond" w:hAnsi="Garamond"/>
          <w:i/>
          <w:iCs/>
        </w:rPr>
        <w:t>Women's Autonomy, Equality and Reproductive Health in International Human Rights: Between Recognition, Backlash and Regressive Trends</w:t>
      </w:r>
      <w:r w:rsidRPr="00007E3F">
        <w:rPr>
          <w:rFonts w:ascii="Garamond" w:hAnsi="Garamond"/>
        </w:rPr>
        <w:t>, October 2017</w:t>
      </w:r>
      <w:r>
        <w:rPr>
          <w:rFonts w:ascii="Garamond" w:hAnsi="Garamond"/>
        </w:rPr>
        <w:t>.</w:t>
      </w:r>
    </w:p>
  </w:footnote>
  <w:footnote w:id="52">
    <w:p w14:paraId="344598ED" w14:textId="4B1F4E90" w:rsidR="006912DA" w:rsidRPr="00566F3B" w:rsidRDefault="006912DA" w:rsidP="006912DA">
      <w:pPr>
        <w:pStyle w:val="FootnoteText"/>
        <w:snapToGrid w:val="0"/>
        <w:ind w:left="-360" w:right="-274"/>
        <w:contextualSpacing/>
        <w:rPr>
          <w:rFonts w:ascii="Garamond" w:hAnsi="Garamond"/>
        </w:rPr>
      </w:pPr>
      <w:r w:rsidRPr="00007E3F">
        <w:rPr>
          <w:rStyle w:val="FootnoteReference"/>
          <w:rFonts w:ascii="Garamond" w:hAnsi="Garamond"/>
        </w:rPr>
        <w:footnoteRef/>
      </w:r>
      <w:r w:rsidRPr="00007E3F">
        <w:rPr>
          <w:rFonts w:ascii="Garamond" w:hAnsi="Garamond"/>
        </w:rPr>
        <w:t xml:space="preserve"> </w:t>
      </w:r>
      <w:r w:rsidR="00566F3B" w:rsidRPr="00007E3F">
        <w:rPr>
          <w:rFonts w:ascii="Garamond" w:hAnsi="Garamond"/>
        </w:rPr>
        <w:t xml:space="preserve">WHO, </w:t>
      </w:r>
      <w:r w:rsidR="00566F3B" w:rsidRPr="00007E3F">
        <w:rPr>
          <w:rFonts w:ascii="Garamond" w:hAnsi="Garamond"/>
          <w:i/>
          <w:iCs/>
        </w:rPr>
        <w:t>Abortion,</w:t>
      </w:r>
      <w:r w:rsidR="00566F3B">
        <w:rPr>
          <w:rFonts w:ascii="Garamond" w:hAnsi="Garamond"/>
          <w:i/>
          <w:iCs/>
        </w:rPr>
        <w:t xml:space="preserve"> supra </w:t>
      </w:r>
      <w:r w:rsidR="00566F3B">
        <w:rPr>
          <w:rFonts w:ascii="Garamond" w:hAnsi="Garamond"/>
        </w:rPr>
        <w:t>note 13.</w:t>
      </w:r>
    </w:p>
  </w:footnote>
  <w:footnote w:id="53">
    <w:p w14:paraId="6D0880E1" w14:textId="32A86853" w:rsidR="006912DA" w:rsidRPr="00007E3F" w:rsidRDefault="006912DA" w:rsidP="006912DA">
      <w:pPr>
        <w:pStyle w:val="FootnoteText"/>
        <w:snapToGrid w:val="0"/>
        <w:ind w:left="-360" w:right="-274"/>
        <w:contextualSpacing/>
        <w:rPr>
          <w:rFonts w:ascii="Garamond" w:hAnsi="Garamond"/>
        </w:rPr>
      </w:pPr>
      <w:r w:rsidRPr="00007E3F">
        <w:rPr>
          <w:rStyle w:val="FootnoteReference"/>
          <w:rFonts w:ascii="Garamond" w:hAnsi="Garamond"/>
        </w:rPr>
        <w:footnoteRef/>
      </w:r>
      <w:r w:rsidRPr="00007E3F">
        <w:rPr>
          <w:rFonts w:ascii="Garamond" w:hAnsi="Garamond"/>
        </w:rPr>
        <w:t xml:space="preserve"> </w:t>
      </w:r>
      <w:r w:rsidR="002F22B8">
        <w:rPr>
          <w:rFonts w:ascii="Garamond" w:hAnsi="Garamond"/>
        </w:rPr>
        <w:t>WHO</w:t>
      </w:r>
      <w:r w:rsidRPr="00007E3F">
        <w:rPr>
          <w:rFonts w:ascii="Garamond" w:hAnsi="Garamond"/>
        </w:rPr>
        <w:t xml:space="preserve">, </w:t>
      </w:r>
      <w:r w:rsidRPr="00007E3F">
        <w:rPr>
          <w:rFonts w:ascii="Garamond" w:hAnsi="Garamond"/>
          <w:i/>
          <w:iCs/>
        </w:rPr>
        <w:t>World Health Statistics 2023: Monitoring health for the SDGs</w:t>
      </w:r>
      <w:r w:rsidRPr="00007E3F">
        <w:rPr>
          <w:rFonts w:ascii="Garamond" w:hAnsi="Garamond"/>
        </w:rPr>
        <w:t>, p. 94.</w:t>
      </w:r>
    </w:p>
  </w:footnote>
  <w:footnote w:id="54">
    <w:p w14:paraId="7A452E32" w14:textId="038AFD4D" w:rsidR="006912DA" w:rsidRPr="002F22B8" w:rsidRDefault="006912DA" w:rsidP="006912DA">
      <w:pPr>
        <w:pStyle w:val="FootnoteText"/>
        <w:snapToGrid w:val="0"/>
        <w:ind w:left="-360" w:right="-274"/>
        <w:contextualSpacing/>
        <w:rPr>
          <w:rFonts w:ascii="Garamond" w:hAnsi="Garamond"/>
        </w:rPr>
      </w:pPr>
      <w:r w:rsidRPr="00007E3F">
        <w:rPr>
          <w:rStyle w:val="FootnoteReference"/>
          <w:rFonts w:ascii="Garamond" w:hAnsi="Garamond"/>
        </w:rPr>
        <w:footnoteRef/>
      </w:r>
      <w:r w:rsidRPr="00007E3F">
        <w:rPr>
          <w:rFonts w:ascii="Garamond" w:hAnsi="Garamond"/>
        </w:rPr>
        <w:t xml:space="preserve"> Guttmacher, </w:t>
      </w:r>
      <w:r w:rsidRPr="00007E3F">
        <w:rPr>
          <w:rFonts w:ascii="Garamond" w:hAnsi="Garamond"/>
          <w:i/>
          <w:iCs/>
        </w:rPr>
        <w:t>Clandestine and Unsafe Abortion Common in Malawi</w:t>
      </w:r>
      <w:r w:rsidRPr="00007E3F">
        <w:rPr>
          <w:rFonts w:ascii="Garamond" w:hAnsi="Garamond"/>
        </w:rPr>
        <w:t xml:space="preserve">, </w:t>
      </w:r>
      <w:r w:rsidR="002F22B8">
        <w:rPr>
          <w:rFonts w:ascii="Garamond" w:hAnsi="Garamond"/>
          <w:i/>
          <w:iCs/>
        </w:rPr>
        <w:t xml:space="preserve">supra </w:t>
      </w:r>
      <w:r w:rsidR="002F22B8">
        <w:rPr>
          <w:rFonts w:ascii="Garamond" w:hAnsi="Garamond"/>
        </w:rPr>
        <w:t xml:space="preserve">note 11. </w:t>
      </w:r>
    </w:p>
  </w:footnote>
  <w:footnote w:id="55">
    <w:p w14:paraId="4B0A3B1C" w14:textId="77777777" w:rsidR="006912DA" w:rsidRPr="00007E3F" w:rsidRDefault="006912DA" w:rsidP="006912DA">
      <w:pPr>
        <w:pStyle w:val="FootnoteText"/>
        <w:snapToGrid w:val="0"/>
        <w:ind w:left="-360" w:right="-274"/>
        <w:contextualSpacing/>
        <w:rPr>
          <w:rFonts w:ascii="Garamond" w:hAnsi="Garamond"/>
        </w:rPr>
      </w:pPr>
      <w:r w:rsidRPr="00007E3F">
        <w:rPr>
          <w:rStyle w:val="FootnoteReference"/>
          <w:rFonts w:ascii="Garamond" w:hAnsi="Garamond"/>
        </w:rPr>
        <w:footnoteRef/>
      </w:r>
      <w:r w:rsidRPr="00007E3F">
        <w:rPr>
          <w:rFonts w:ascii="Garamond" w:hAnsi="Garamond"/>
        </w:rPr>
        <w:t xml:space="preserve"> </w:t>
      </w:r>
      <w:r w:rsidRPr="00007E3F">
        <w:rPr>
          <w:rFonts w:ascii="Garamond" w:hAnsi="Garamond" w:cs="Calibri"/>
        </w:rPr>
        <w:t xml:space="preserve">Committee on the Rights of the Child, </w:t>
      </w:r>
      <w:r w:rsidRPr="00007E3F">
        <w:rPr>
          <w:rFonts w:ascii="Garamond" w:hAnsi="Garamond" w:cs="Calibri"/>
          <w:i/>
          <w:iCs/>
        </w:rPr>
        <w:t>General Comment No. 4</w:t>
      </w:r>
      <w:r>
        <w:rPr>
          <w:rFonts w:ascii="Garamond" w:hAnsi="Garamond" w:cs="Calibri"/>
          <w:i/>
          <w:iCs/>
        </w:rPr>
        <w:t xml:space="preserve"> (</w:t>
      </w:r>
      <w:r w:rsidRPr="00007E3F">
        <w:rPr>
          <w:rFonts w:ascii="Garamond" w:hAnsi="Garamond" w:cs="Calibri"/>
          <w:i/>
          <w:iCs/>
        </w:rPr>
        <w:t>2003) on Adolescent Health and Development in the Context of the Convention on the Rights of the Child</w:t>
      </w:r>
      <w:r w:rsidRPr="00007E3F">
        <w:rPr>
          <w:rFonts w:ascii="Garamond" w:hAnsi="Garamond" w:cs="Calibri"/>
        </w:rPr>
        <w:t>, para. 27, CRC/GC/2003/4</w:t>
      </w:r>
      <w:r>
        <w:rPr>
          <w:rFonts w:ascii="Garamond" w:hAnsi="Garamond" w:cs="Calibri"/>
        </w:rPr>
        <w:t xml:space="preserve">, </w:t>
      </w:r>
      <w:r w:rsidRPr="00007E3F">
        <w:rPr>
          <w:rFonts w:ascii="Garamond" w:hAnsi="Garamond" w:cs="Calibri"/>
        </w:rPr>
        <w:t xml:space="preserve">1 July </w:t>
      </w:r>
      <w:r w:rsidRPr="00007E3F">
        <w:rPr>
          <w:rFonts w:ascii="Garamond" w:hAnsi="Garamond" w:cs="Calibri"/>
        </w:rPr>
        <w:t>2003</w:t>
      </w:r>
      <w:r>
        <w:rPr>
          <w:rFonts w:ascii="Garamond" w:hAnsi="Garamond" w:cs="Calibri"/>
        </w:rPr>
        <w:t>,</w:t>
      </w:r>
      <w:r w:rsidRPr="00007E3F">
        <w:rPr>
          <w:rFonts w:ascii="Garamond" w:hAnsi="Garamond" w:cs="Calibri"/>
        </w:rPr>
        <w:t>; Malawi ratified the Convention on the Right of the Child on January 2, 1991.</w:t>
      </w:r>
    </w:p>
  </w:footnote>
  <w:footnote w:id="56">
    <w:p w14:paraId="628A8041" w14:textId="4975D213" w:rsidR="006912DA" w:rsidRPr="00007E3F" w:rsidRDefault="006912DA" w:rsidP="006912DA">
      <w:pPr>
        <w:pStyle w:val="FootnoteText"/>
        <w:snapToGrid w:val="0"/>
        <w:ind w:left="-360" w:right="-274"/>
        <w:contextualSpacing/>
        <w:rPr>
          <w:rFonts w:ascii="Garamond" w:hAnsi="Garamond"/>
        </w:rPr>
      </w:pPr>
      <w:r w:rsidRPr="00007E3F">
        <w:rPr>
          <w:rStyle w:val="FootnoteReference"/>
          <w:rFonts w:ascii="Garamond" w:hAnsi="Garamond"/>
        </w:rPr>
        <w:footnoteRef/>
      </w:r>
      <w:r w:rsidRPr="00007E3F">
        <w:rPr>
          <w:rFonts w:ascii="Garamond" w:hAnsi="Garamond"/>
        </w:rPr>
        <w:t xml:space="preserve"> </w:t>
      </w:r>
      <w:r w:rsidRPr="00007E3F">
        <w:rPr>
          <w:rFonts w:ascii="Garamond" w:hAnsi="Garamond" w:cs="Calibri"/>
        </w:rPr>
        <w:t xml:space="preserve">CESCR, </w:t>
      </w:r>
      <w:r w:rsidRPr="00007E3F">
        <w:rPr>
          <w:rFonts w:ascii="Garamond" w:hAnsi="Garamond" w:cs="Calibri"/>
          <w:i/>
          <w:iCs/>
        </w:rPr>
        <w:t>General Comment No. 22</w:t>
      </w:r>
      <w:r w:rsidRPr="00007E3F">
        <w:rPr>
          <w:rFonts w:ascii="Garamond" w:hAnsi="Garamond" w:cs="Calibri"/>
        </w:rPr>
        <w:t xml:space="preserve">, </w:t>
      </w:r>
      <w:r w:rsidRPr="00007E3F">
        <w:rPr>
          <w:rFonts w:ascii="Garamond" w:hAnsi="Garamond" w:cs="Calibri"/>
          <w:i/>
          <w:iCs/>
        </w:rPr>
        <w:t xml:space="preserve">supra </w:t>
      </w:r>
      <w:r w:rsidRPr="00007E3F">
        <w:rPr>
          <w:rFonts w:ascii="Garamond" w:hAnsi="Garamond" w:cs="Calibri"/>
        </w:rPr>
        <w:t xml:space="preserve">note </w:t>
      </w:r>
      <w:r w:rsidR="00031528">
        <w:rPr>
          <w:rFonts w:ascii="Garamond" w:hAnsi="Garamond" w:cs="Calibri"/>
        </w:rPr>
        <w:t>31</w:t>
      </w:r>
      <w:r w:rsidRPr="00007E3F">
        <w:rPr>
          <w:rFonts w:ascii="Garamond" w:hAnsi="Garamond" w:cs="Calibri"/>
        </w:rPr>
        <w:t xml:space="preserve"> at para. 28.</w:t>
      </w:r>
    </w:p>
  </w:footnote>
  <w:footnote w:id="57">
    <w:p w14:paraId="76672AB5" w14:textId="1A08151C" w:rsidR="006912DA" w:rsidRPr="00007E3F" w:rsidRDefault="006912DA" w:rsidP="006912DA">
      <w:pPr>
        <w:pStyle w:val="FootnoteText"/>
        <w:snapToGrid w:val="0"/>
        <w:ind w:left="-360" w:right="-274"/>
        <w:contextualSpacing/>
        <w:rPr>
          <w:rFonts w:ascii="Garamond" w:hAnsi="Garamond"/>
        </w:rPr>
      </w:pPr>
      <w:r w:rsidRPr="00007E3F">
        <w:rPr>
          <w:rStyle w:val="FootnoteReference"/>
          <w:rFonts w:ascii="Garamond" w:hAnsi="Garamond"/>
        </w:rPr>
        <w:footnoteRef/>
      </w:r>
      <w:r w:rsidRPr="00007E3F">
        <w:rPr>
          <w:rFonts w:ascii="Garamond" w:hAnsi="Garamond"/>
        </w:rPr>
        <w:t xml:space="preserve"> Effie Chipeta PhD &amp; Patani Mhango MSc, </w:t>
      </w:r>
      <w:r w:rsidRPr="00007E3F">
        <w:rPr>
          <w:rFonts w:ascii="Garamond" w:hAnsi="Garamond"/>
          <w:i/>
          <w:iCs/>
        </w:rPr>
        <w:t>Exploring the experience of sexually assaulted young women and girls who sought sexual and reproductive health services</w:t>
      </w:r>
      <w:r w:rsidRPr="00007E3F">
        <w:rPr>
          <w:rFonts w:ascii="Garamond" w:hAnsi="Garamond"/>
        </w:rPr>
        <w:t>,</w:t>
      </w:r>
      <w:r w:rsidRPr="00007E3F">
        <w:rPr>
          <w:rFonts w:ascii="Garamond" w:hAnsi="Garamond"/>
          <w:color w:val="000000"/>
        </w:rPr>
        <w:t xml:space="preserve"> </w:t>
      </w:r>
      <w:r w:rsidR="0023160F">
        <w:rPr>
          <w:rFonts w:ascii="Garamond" w:hAnsi="Garamond"/>
          <w:i/>
          <w:iCs/>
        </w:rPr>
        <w:t xml:space="preserve">supra </w:t>
      </w:r>
      <w:r w:rsidR="0023160F">
        <w:rPr>
          <w:rFonts w:ascii="Garamond" w:hAnsi="Garamond"/>
        </w:rPr>
        <w:t xml:space="preserve">note 41 at </w:t>
      </w:r>
      <w:r w:rsidRPr="00007E3F">
        <w:rPr>
          <w:rFonts w:ascii="Garamond" w:hAnsi="Garamond"/>
        </w:rPr>
        <w:t>p. 6.</w:t>
      </w:r>
    </w:p>
  </w:footnote>
  <w:footnote w:id="58">
    <w:p w14:paraId="03FB90CA" w14:textId="76B548BE" w:rsidR="00264F05" w:rsidRPr="00007E3F" w:rsidRDefault="00264F05" w:rsidP="00264F05">
      <w:pPr>
        <w:pStyle w:val="FootnoteText"/>
        <w:snapToGrid w:val="0"/>
        <w:ind w:left="-360" w:right="-274"/>
        <w:contextualSpacing/>
        <w:rPr>
          <w:rFonts w:ascii="Garamond" w:hAnsi="Garamond"/>
        </w:rPr>
      </w:pPr>
      <w:r w:rsidRPr="00007E3F">
        <w:rPr>
          <w:rStyle w:val="FootnoteReference"/>
          <w:rFonts w:ascii="Garamond" w:hAnsi="Garamond"/>
        </w:rPr>
        <w:footnoteRef/>
      </w:r>
      <w:r w:rsidRPr="00007E3F">
        <w:rPr>
          <w:rFonts w:ascii="Garamond" w:hAnsi="Garamond"/>
        </w:rPr>
        <w:t xml:space="preserve"> CESCR, </w:t>
      </w:r>
      <w:r w:rsidRPr="00007E3F">
        <w:rPr>
          <w:rFonts w:ascii="Garamond" w:hAnsi="Garamond"/>
          <w:i/>
          <w:iCs/>
        </w:rPr>
        <w:t>Replies of Malawi to the list of issues in relation to its initial report,</w:t>
      </w:r>
      <w:r w:rsidRPr="00007E3F">
        <w:rPr>
          <w:rFonts w:ascii="Garamond" w:hAnsi="Garamond"/>
        </w:rPr>
        <w:t xml:space="preserve"> </w:t>
      </w:r>
      <w:r w:rsidR="001F4883">
        <w:rPr>
          <w:rFonts w:ascii="Garamond" w:hAnsi="Garamond"/>
          <w:i/>
          <w:iCs/>
        </w:rPr>
        <w:t xml:space="preserve">supra </w:t>
      </w:r>
      <w:r w:rsidR="001F4883">
        <w:rPr>
          <w:rFonts w:ascii="Garamond" w:hAnsi="Garamond"/>
        </w:rPr>
        <w:t xml:space="preserve">note </w:t>
      </w:r>
      <w:r w:rsidR="00F53D1E">
        <w:rPr>
          <w:rFonts w:ascii="Garamond" w:hAnsi="Garamond"/>
        </w:rPr>
        <w:t>2</w:t>
      </w:r>
      <w:r w:rsidR="001F4883">
        <w:rPr>
          <w:rFonts w:ascii="Garamond" w:hAnsi="Garamond"/>
        </w:rPr>
        <w:t xml:space="preserve"> at</w:t>
      </w:r>
      <w:r w:rsidRPr="00007E3F">
        <w:rPr>
          <w:rFonts w:ascii="Garamond" w:hAnsi="Garamond"/>
        </w:rPr>
        <w:t xml:space="preserve"> para. 9</w:t>
      </w:r>
      <w:r>
        <w:rPr>
          <w:rFonts w:ascii="Garamond" w:hAnsi="Garamond"/>
        </w:rPr>
        <w:t>9</w:t>
      </w:r>
      <w:r w:rsidRPr="00007E3F">
        <w:rPr>
          <w:rFonts w:ascii="Garamond" w:hAnsi="Garamond"/>
        </w:rPr>
        <w:t>.</w:t>
      </w:r>
    </w:p>
  </w:footnote>
  <w:footnote w:id="59">
    <w:p w14:paraId="55C882A0" w14:textId="669F0C71" w:rsidR="00CC3883" w:rsidRPr="005C56E0" w:rsidRDefault="00CC3883" w:rsidP="00CC3883">
      <w:pPr>
        <w:pStyle w:val="FootnoteText"/>
        <w:snapToGrid w:val="0"/>
        <w:ind w:left="-360" w:right="-274"/>
        <w:contextualSpacing/>
        <w:rPr>
          <w:rFonts w:ascii="Garamond" w:hAnsi="Garamond"/>
        </w:rPr>
      </w:pPr>
      <w:r w:rsidRPr="00007E3F">
        <w:rPr>
          <w:rStyle w:val="FootnoteReference"/>
          <w:rFonts w:ascii="Garamond" w:hAnsi="Garamond"/>
        </w:rPr>
        <w:footnoteRef/>
      </w:r>
      <w:r w:rsidRPr="00007E3F">
        <w:rPr>
          <w:rFonts w:ascii="Garamond" w:hAnsi="Garamond"/>
        </w:rPr>
        <w:t xml:space="preserve"> Malawi Penal Code Chapter 7:01, Art. 243 Surgical Operation, </w:t>
      </w:r>
      <w:r w:rsidR="005C56E0">
        <w:rPr>
          <w:rFonts w:ascii="Garamond" w:hAnsi="Garamond"/>
          <w:i/>
          <w:iCs/>
        </w:rPr>
        <w:t xml:space="preserve">supra </w:t>
      </w:r>
      <w:r w:rsidR="005C56E0">
        <w:rPr>
          <w:rFonts w:ascii="Garamond" w:hAnsi="Garamond"/>
        </w:rPr>
        <w:t>note 20.</w:t>
      </w:r>
    </w:p>
  </w:footnote>
  <w:footnote w:id="60">
    <w:p w14:paraId="08481CCE" w14:textId="77777777" w:rsidR="00CC3883" w:rsidRPr="00007E3F" w:rsidRDefault="00CC3883" w:rsidP="00CC3883">
      <w:pPr>
        <w:pStyle w:val="FootnoteText"/>
        <w:snapToGrid w:val="0"/>
        <w:ind w:left="-360" w:right="-274"/>
        <w:contextualSpacing/>
        <w:rPr>
          <w:rFonts w:ascii="Garamond" w:hAnsi="Garamond"/>
        </w:rPr>
      </w:pPr>
      <w:r w:rsidRPr="00007E3F">
        <w:rPr>
          <w:rStyle w:val="FootnoteReference"/>
          <w:rFonts w:ascii="Garamond" w:hAnsi="Garamond"/>
        </w:rPr>
        <w:footnoteRef/>
      </w:r>
      <w:r w:rsidRPr="00007E3F">
        <w:rPr>
          <w:rFonts w:ascii="Garamond" w:hAnsi="Garamond"/>
        </w:rPr>
        <w:t xml:space="preserve"> Human Rights Watch, </w:t>
      </w:r>
      <w:r w:rsidRPr="00007E3F">
        <w:rPr>
          <w:rFonts w:ascii="Garamond" w:hAnsi="Garamond"/>
          <w:i/>
          <w:iCs/>
        </w:rPr>
        <w:t>Q&amp;A: Access to Abortion is a Human Right</w:t>
      </w:r>
      <w:r w:rsidRPr="00007E3F">
        <w:rPr>
          <w:rFonts w:ascii="Garamond" w:hAnsi="Garamond"/>
        </w:rPr>
        <w:t xml:space="preserve">, 24 June 2022, </w:t>
      </w:r>
      <w:hyperlink r:id="rId18" w:history="1">
        <w:r w:rsidRPr="00007E3F">
          <w:rPr>
            <w:rStyle w:val="Hyperlink"/>
            <w:rFonts w:ascii="Garamond" w:hAnsi="Garamond"/>
          </w:rPr>
          <w:t>https://www.hrw.org/news/2022/06/24/qa-access-abortion-human-right</w:t>
        </w:r>
      </w:hyperlink>
      <w:r w:rsidRPr="00007E3F">
        <w:rPr>
          <w:rFonts w:ascii="Garamond" w:hAnsi="Garamond"/>
        </w:rPr>
        <w:t xml:space="preserve"> [last accessed 21 June 2024].</w:t>
      </w:r>
    </w:p>
  </w:footnote>
  <w:footnote w:id="61">
    <w:p w14:paraId="5185B4CC" w14:textId="74E54B56" w:rsidR="00CC3883" w:rsidRPr="00007E3F" w:rsidRDefault="00CC3883" w:rsidP="00CC3883">
      <w:pPr>
        <w:pStyle w:val="FootnoteText"/>
        <w:snapToGrid w:val="0"/>
        <w:ind w:left="-360" w:right="-274"/>
        <w:contextualSpacing/>
        <w:rPr>
          <w:rFonts w:ascii="Garamond" w:hAnsi="Garamond"/>
        </w:rPr>
      </w:pPr>
      <w:r w:rsidRPr="00007E3F">
        <w:rPr>
          <w:rStyle w:val="FootnoteReference"/>
          <w:rFonts w:ascii="Garamond" w:hAnsi="Garamond"/>
        </w:rPr>
        <w:footnoteRef/>
      </w:r>
      <w:r w:rsidRPr="00007E3F">
        <w:rPr>
          <w:rFonts w:ascii="Garamond" w:hAnsi="Garamond"/>
        </w:rPr>
        <w:t xml:space="preserve"> Malawi Ministry of Health, </w:t>
      </w:r>
      <w:r w:rsidRPr="00007E3F">
        <w:rPr>
          <w:rFonts w:ascii="Garamond" w:hAnsi="Garamond"/>
          <w:i/>
          <w:iCs/>
        </w:rPr>
        <w:t>Standards and Guidelines for Post Abortion Care</w:t>
      </w:r>
      <w:r w:rsidRPr="00007E3F">
        <w:rPr>
          <w:rFonts w:ascii="Garamond" w:hAnsi="Garamond"/>
        </w:rPr>
        <w:t>,</w:t>
      </w:r>
      <w:r w:rsidRPr="00007E3F">
        <w:rPr>
          <w:rFonts w:ascii="Garamond" w:hAnsi="Garamond"/>
          <w:i/>
          <w:iCs/>
        </w:rPr>
        <w:t xml:space="preserve"> supra </w:t>
      </w:r>
      <w:r w:rsidRPr="00007E3F">
        <w:rPr>
          <w:rFonts w:ascii="Garamond" w:hAnsi="Garamond"/>
        </w:rPr>
        <w:t>note 2</w:t>
      </w:r>
      <w:r w:rsidR="00180431">
        <w:rPr>
          <w:rFonts w:ascii="Garamond" w:hAnsi="Garamond"/>
        </w:rPr>
        <w:t>6</w:t>
      </w:r>
      <w:r w:rsidRPr="00007E3F">
        <w:rPr>
          <w:rFonts w:ascii="Garamond" w:hAnsi="Garamond"/>
        </w:rPr>
        <w:t xml:space="preserve"> at Section 1.2.; Under the Malawi’s Ministry of Health </w:t>
      </w:r>
      <w:r w:rsidRPr="00007E3F">
        <w:rPr>
          <w:rFonts w:ascii="Garamond" w:hAnsi="Garamond"/>
          <w:i/>
        </w:rPr>
        <w:t>Standards and Guidelines for Post Abortion Care</w:t>
      </w:r>
      <w:r w:rsidRPr="00007E3F">
        <w:rPr>
          <w:rFonts w:ascii="Garamond" w:hAnsi="Garamond"/>
        </w:rPr>
        <w:t>, in Malawi health providers are instructed to perform safe abortion care in case of obstetric and gynecological conditions, heart and vascular diseases, kidney diseases, cancers, blood diseases, and other conditions.</w:t>
      </w:r>
    </w:p>
  </w:footnote>
  <w:footnote w:id="62">
    <w:p w14:paraId="1175C529" w14:textId="77777777" w:rsidR="00CC3883" w:rsidRPr="00007E3F" w:rsidRDefault="00CC3883" w:rsidP="00CC3883">
      <w:pPr>
        <w:pStyle w:val="FootnoteText"/>
        <w:snapToGrid w:val="0"/>
        <w:ind w:left="-360" w:right="-274"/>
        <w:contextualSpacing/>
        <w:rPr>
          <w:rFonts w:ascii="Garamond" w:hAnsi="Garamond"/>
        </w:rPr>
      </w:pPr>
      <w:r w:rsidRPr="00007E3F">
        <w:rPr>
          <w:rStyle w:val="FootnoteReference"/>
          <w:rFonts w:ascii="Garamond" w:hAnsi="Garamond"/>
        </w:rPr>
        <w:footnoteRef/>
      </w:r>
      <w:r w:rsidRPr="00007E3F">
        <w:rPr>
          <w:rFonts w:ascii="Garamond" w:hAnsi="Garamond"/>
        </w:rPr>
        <w:t xml:space="preserve"> Emily Jackson, et al., </w:t>
      </w:r>
      <w:r w:rsidRPr="00007E3F">
        <w:rPr>
          <w:rFonts w:ascii="Garamond" w:hAnsi="Garamond"/>
          <w:i/>
          <w:iCs/>
        </w:rPr>
        <w:t>A strategic assessment of unsafe abortion in Malawi</w:t>
      </w:r>
      <w:r w:rsidRPr="00007E3F">
        <w:rPr>
          <w:rFonts w:ascii="Garamond" w:hAnsi="Garamond"/>
        </w:rPr>
        <w:t xml:space="preserve">, Reproductive Health Matters, 19(37):133–143, 136, 2011, </w:t>
      </w:r>
      <w:hyperlink r:id="rId19" w:history="1">
        <w:r w:rsidRPr="00007E3F">
          <w:rPr>
            <w:rStyle w:val="Hyperlink"/>
            <w:rFonts w:ascii="Garamond" w:hAnsi="Garamond"/>
          </w:rPr>
          <w:t>https://pubmed.ncbi.nlm.nih.gov/21555094/</w:t>
        </w:r>
      </w:hyperlink>
      <w:r w:rsidRPr="00007E3F">
        <w:rPr>
          <w:rFonts w:ascii="Garamond" w:hAnsi="Garamond"/>
        </w:rPr>
        <w:t xml:space="preserve"> [accessed 27 </w:t>
      </w:r>
      <w:r>
        <w:rPr>
          <w:rFonts w:ascii="Garamond" w:hAnsi="Garamond"/>
        </w:rPr>
        <w:t>June</w:t>
      </w:r>
      <w:r w:rsidRPr="00007E3F">
        <w:rPr>
          <w:rFonts w:ascii="Garamond" w:hAnsi="Garamond"/>
        </w:rPr>
        <w:t xml:space="preserve"> 202</w:t>
      </w:r>
      <w:r>
        <w:rPr>
          <w:rFonts w:ascii="Garamond" w:hAnsi="Garamond"/>
        </w:rPr>
        <w:t>4</w:t>
      </w:r>
      <w:r w:rsidRPr="00007E3F">
        <w:rPr>
          <w:rFonts w:ascii="Garamond" w:hAnsi="Garamond"/>
        </w:rPr>
        <w:t>].</w:t>
      </w:r>
    </w:p>
  </w:footnote>
  <w:footnote w:id="63">
    <w:p w14:paraId="6E198192" w14:textId="77777777" w:rsidR="00CC3883" w:rsidRPr="00007E3F" w:rsidRDefault="00CC3883" w:rsidP="00CC3883">
      <w:pPr>
        <w:pStyle w:val="FootnoteText"/>
        <w:snapToGrid w:val="0"/>
        <w:ind w:left="-360" w:right="-274"/>
        <w:contextualSpacing/>
        <w:rPr>
          <w:rFonts w:ascii="Garamond" w:hAnsi="Garamond"/>
        </w:rPr>
      </w:pPr>
      <w:r w:rsidRPr="00007E3F">
        <w:rPr>
          <w:rStyle w:val="FootnoteReference"/>
          <w:rFonts w:ascii="Garamond" w:hAnsi="Garamond"/>
        </w:rPr>
        <w:footnoteRef/>
      </w:r>
      <w:r w:rsidRPr="00007E3F">
        <w:rPr>
          <w:rFonts w:ascii="Garamond" w:hAnsi="Garamond"/>
        </w:rPr>
        <w:t xml:space="preserve"> “Unsafe abortion, performed by an unlicensed medical provider, in unhygienic conditions, or both, can result in serious medical complications, including death.” Brooke A. </w:t>
      </w:r>
      <w:r w:rsidRPr="00007E3F">
        <w:rPr>
          <w:rFonts w:ascii="Garamond" w:hAnsi="Garamond"/>
        </w:rPr>
        <w:t xml:space="preserve">Levandowski, Linda Kalilani-Phiri, Fannie Kachale, Paschal Awah, Godfrey Kangaude, Chisale Mhango, </w:t>
      </w:r>
      <w:r w:rsidRPr="00007E3F">
        <w:rPr>
          <w:rFonts w:ascii="Garamond" w:hAnsi="Garamond"/>
          <w:i/>
          <w:iCs/>
        </w:rPr>
        <w:t>Investigating social consequences of unwanted pregnancy and unsafe abortion in Malawi: The role of stigma</w:t>
      </w:r>
      <w:r w:rsidRPr="00007E3F">
        <w:rPr>
          <w:rFonts w:ascii="Garamond" w:hAnsi="Garamond"/>
        </w:rPr>
        <w:t xml:space="preserve">, </w:t>
      </w:r>
      <w:r w:rsidRPr="00007E3F">
        <w:rPr>
          <w:rFonts w:ascii="Garamond" w:hAnsi="Garamond"/>
          <w:shd w:val="clear" w:color="auto" w:fill="FFFFFF"/>
        </w:rPr>
        <w:t xml:space="preserve">Int. J. of Gynecological Obstetrics, 118 Supplement 2 (2012), </w:t>
      </w:r>
      <w:hyperlink r:id="rId20" w:history="1">
        <w:r w:rsidRPr="00007E3F">
          <w:rPr>
            <w:rStyle w:val="Hyperlink"/>
            <w:rFonts w:ascii="Garamond" w:hAnsi="Garamond"/>
            <w:shd w:val="clear" w:color="auto" w:fill="FFFFFF"/>
          </w:rPr>
          <w:t>https://pubmed.ncbi.nlm.nih.gov/22920622/</w:t>
        </w:r>
      </w:hyperlink>
      <w:r w:rsidRPr="00007E3F">
        <w:rPr>
          <w:rFonts w:ascii="Garamond" w:hAnsi="Garamond"/>
          <w:shd w:val="clear" w:color="auto" w:fill="FFFFFF"/>
        </w:rPr>
        <w:t xml:space="preserve"> </w:t>
      </w:r>
      <w:r w:rsidRPr="00007E3F">
        <w:rPr>
          <w:rFonts w:ascii="Garamond" w:hAnsi="Garamond"/>
        </w:rPr>
        <w:t xml:space="preserve">[accessed 17 </w:t>
      </w:r>
      <w:r>
        <w:rPr>
          <w:rFonts w:ascii="Garamond" w:hAnsi="Garamond"/>
        </w:rPr>
        <w:t>May</w:t>
      </w:r>
      <w:r w:rsidRPr="00007E3F">
        <w:rPr>
          <w:rFonts w:ascii="Garamond" w:hAnsi="Garamond"/>
        </w:rPr>
        <w:t xml:space="preserve"> 202</w:t>
      </w:r>
      <w:r>
        <w:rPr>
          <w:rFonts w:ascii="Garamond" w:hAnsi="Garamond"/>
        </w:rPr>
        <w:t>4</w:t>
      </w:r>
      <w:r w:rsidRPr="00007E3F">
        <w:rPr>
          <w:rFonts w:ascii="Garamond" w:hAnsi="Garamond"/>
        </w:rPr>
        <w:t>].</w:t>
      </w:r>
    </w:p>
  </w:footnote>
  <w:footnote w:id="64">
    <w:p w14:paraId="329E7817" w14:textId="77777777" w:rsidR="00484F6C" w:rsidRPr="00007E3F" w:rsidRDefault="00484F6C" w:rsidP="00484F6C">
      <w:pPr>
        <w:pStyle w:val="FootnoteText"/>
        <w:snapToGrid w:val="0"/>
        <w:ind w:left="-360" w:right="-274"/>
        <w:contextualSpacing/>
        <w:rPr>
          <w:rFonts w:ascii="Garamond" w:hAnsi="Garamond"/>
        </w:rPr>
      </w:pPr>
      <w:r w:rsidRPr="00007E3F">
        <w:rPr>
          <w:rStyle w:val="FootnoteReference"/>
          <w:rFonts w:ascii="Garamond" w:hAnsi="Garamond"/>
        </w:rPr>
        <w:footnoteRef/>
      </w:r>
      <w:r w:rsidRPr="00007E3F">
        <w:rPr>
          <w:rFonts w:ascii="Garamond" w:hAnsi="Garamond"/>
        </w:rPr>
        <w:t xml:space="preserve"> </w:t>
      </w:r>
      <w:r w:rsidRPr="00007E3F">
        <w:rPr>
          <w:rFonts w:ascii="Garamond" w:hAnsi="Garamond" w:cs="Calibri"/>
        </w:rPr>
        <w:t xml:space="preserve">UNICEF Malawi, </w:t>
      </w:r>
      <w:r w:rsidRPr="00007E3F">
        <w:rPr>
          <w:rFonts w:ascii="Garamond" w:hAnsi="Garamond" w:cs="Calibri"/>
          <w:i/>
          <w:iCs/>
        </w:rPr>
        <w:t>Protecting children from violence is everyone’s responsibility</w:t>
      </w:r>
      <w:r w:rsidRPr="00007E3F">
        <w:rPr>
          <w:rFonts w:ascii="Garamond" w:hAnsi="Garamond" w:cs="Calibri"/>
        </w:rPr>
        <w:t xml:space="preserve">, </w:t>
      </w:r>
      <w:hyperlink r:id="rId21" w:history="1">
        <w:r w:rsidRPr="00007E3F">
          <w:rPr>
            <w:rStyle w:val="Hyperlink"/>
            <w:rFonts w:ascii="Garamond" w:hAnsi="Garamond" w:cs="Calibri"/>
          </w:rPr>
          <w:t>https://www.unicef.org/malawi/protecting-children-violence-everyones-responsibility</w:t>
        </w:r>
      </w:hyperlink>
      <w:r w:rsidRPr="00007E3F">
        <w:rPr>
          <w:rFonts w:ascii="Garamond" w:hAnsi="Garamond" w:cs="Calibri"/>
        </w:rPr>
        <w:t xml:space="preserve"> [accessed 28 </w:t>
      </w:r>
      <w:r>
        <w:rPr>
          <w:rFonts w:ascii="Garamond" w:hAnsi="Garamond" w:cs="Calibri"/>
        </w:rPr>
        <w:t>June</w:t>
      </w:r>
      <w:r w:rsidRPr="00007E3F">
        <w:rPr>
          <w:rFonts w:ascii="Garamond" w:hAnsi="Garamond" w:cs="Calibri"/>
        </w:rPr>
        <w:t xml:space="preserve"> 202</w:t>
      </w:r>
      <w:r>
        <w:rPr>
          <w:rFonts w:ascii="Garamond" w:hAnsi="Garamond" w:cs="Calibri"/>
        </w:rPr>
        <w:t>4</w:t>
      </w:r>
      <w:r w:rsidRPr="00007E3F">
        <w:rPr>
          <w:rFonts w:ascii="Garamond" w:hAnsi="Garamond" w:cs="Calibri"/>
        </w:rPr>
        <w:t xml:space="preserve">]; </w:t>
      </w:r>
      <w:r w:rsidRPr="00007E3F">
        <w:rPr>
          <w:rFonts w:ascii="Garamond" w:hAnsi="Garamond" w:cs="Calibri"/>
          <w:i/>
          <w:iCs/>
        </w:rPr>
        <w:t>See also</w:t>
      </w:r>
      <w:r w:rsidRPr="00007E3F">
        <w:rPr>
          <w:rFonts w:ascii="Garamond" w:hAnsi="Garamond" w:cs="Calibri"/>
        </w:rPr>
        <w:t xml:space="preserve">, </w:t>
      </w:r>
      <w:r w:rsidRPr="00007E3F">
        <w:rPr>
          <w:rFonts w:ascii="Garamond" w:hAnsi="Garamond" w:cs="Calibri"/>
          <w:i/>
          <w:iCs/>
        </w:rPr>
        <w:t>Malawi 2021 Human Rights Report</w:t>
      </w:r>
      <w:r w:rsidRPr="00007E3F">
        <w:rPr>
          <w:rFonts w:ascii="Garamond" w:hAnsi="Garamond" w:cs="Calibri"/>
        </w:rPr>
        <w:t xml:space="preserve">, United States Department of State Bureau of Democracy, Human Rights and Labor (2021) </w:t>
      </w:r>
      <w:hyperlink r:id="rId22" w:history="1">
        <w:r w:rsidRPr="00007E3F">
          <w:rPr>
            <w:rStyle w:val="Hyperlink"/>
            <w:rFonts w:ascii="Garamond" w:hAnsi="Garamond" w:cs="Calibri"/>
          </w:rPr>
          <w:t>https://www.state.gov/wp-content/uploads/2022/02/313615_MALAWI-2021-HUMAN-RIGHTS-REPORT.pdf</w:t>
        </w:r>
      </w:hyperlink>
      <w:r w:rsidRPr="00007E3F">
        <w:rPr>
          <w:rFonts w:ascii="Garamond" w:hAnsi="Garamond" w:cs="Calibri"/>
        </w:rPr>
        <w:t xml:space="preserve"> [accessed 29 </w:t>
      </w:r>
      <w:r>
        <w:rPr>
          <w:rFonts w:ascii="Garamond" w:hAnsi="Garamond" w:cs="Calibri"/>
        </w:rPr>
        <w:t>May</w:t>
      </w:r>
      <w:r w:rsidRPr="00007E3F">
        <w:rPr>
          <w:rFonts w:ascii="Garamond" w:hAnsi="Garamond" w:cs="Calibri"/>
        </w:rPr>
        <w:t xml:space="preserve"> 202</w:t>
      </w:r>
      <w:r>
        <w:rPr>
          <w:rFonts w:ascii="Garamond" w:hAnsi="Garamond" w:cs="Calibri"/>
        </w:rPr>
        <w:t>4</w:t>
      </w:r>
      <w:r w:rsidRPr="00007E3F">
        <w:rPr>
          <w:rFonts w:ascii="Garamond" w:hAnsi="Garamond" w:cs="Calibri"/>
        </w:rPr>
        <w:t>].</w:t>
      </w:r>
    </w:p>
  </w:footnote>
  <w:footnote w:id="65">
    <w:p w14:paraId="1EED739E" w14:textId="72C5A0F7" w:rsidR="00484F6C" w:rsidRPr="00007E3F" w:rsidRDefault="00484F6C" w:rsidP="00484F6C">
      <w:pPr>
        <w:pStyle w:val="FootnoteText"/>
        <w:snapToGrid w:val="0"/>
        <w:ind w:left="-360" w:right="-274"/>
        <w:contextualSpacing/>
        <w:rPr>
          <w:rFonts w:ascii="Garamond" w:hAnsi="Garamond"/>
        </w:rPr>
      </w:pPr>
      <w:r w:rsidRPr="00007E3F">
        <w:rPr>
          <w:rStyle w:val="FootnoteReference"/>
          <w:rFonts w:ascii="Garamond" w:hAnsi="Garamond"/>
        </w:rPr>
        <w:footnoteRef/>
      </w:r>
      <w:r w:rsidRPr="00007E3F">
        <w:rPr>
          <w:rFonts w:ascii="Garamond" w:hAnsi="Garamond"/>
        </w:rPr>
        <w:t xml:space="preserve"> Spotlight Initiative,</w:t>
      </w:r>
      <w:r w:rsidRPr="00007E3F">
        <w:rPr>
          <w:rFonts w:ascii="Garamond" w:hAnsi="Garamond"/>
          <w:i/>
          <w:iCs/>
        </w:rPr>
        <w:t xml:space="preserve"> Ending Violence against women and girls in Malawi</w:t>
      </w:r>
      <w:r w:rsidRPr="00007E3F">
        <w:rPr>
          <w:rFonts w:ascii="Garamond" w:hAnsi="Garamond"/>
        </w:rPr>
        <w:t>, 13 fig. 2, 2020,</w:t>
      </w:r>
      <w:r w:rsidR="00151D49">
        <w:rPr>
          <w:rFonts w:ascii="Garamond" w:hAnsi="Garamond"/>
        </w:rPr>
        <w:t xml:space="preserve"> </w:t>
      </w:r>
      <w:hyperlink r:id="rId23" w:history="1">
        <w:r w:rsidR="00EE4901" w:rsidRPr="001574E3">
          <w:rPr>
            <w:rStyle w:val="Hyperlink"/>
            <w:rFonts w:ascii="Garamond" w:hAnsi="Garamond"/>
          </w:rPr>
          <w:t>https://www.unicef.org/malawi/sites/unicef.org.malawi/files/2020-07/Spotlight_Ending_Violence_Against_Women_andGirls_v2_15062020_WEB_0.pdf</w:t>
        </w:r>
      </w:hyperlink>
      <w:r w:rsidRPr="00007E3F">
        <w:rPr>
          <w:rFonts w:ascii="Garamond" w:hAnsi="Garamond"/>
        </w:rPr>
        <w:t xml:space="preserve"> [accessed 29 </w:t>
      </w:r>
      <w:r>
        <w:rPr>
          <w:rFonts w:ascii="Garamond" w:hAnsi="Garamond"/>
        </w:rPr>
        <w:t>May</w:t>
      </w:r>
      <w:r w:rsidRPr="00007E3F">
        <w:rPr>
          <w:rFonts w:ascii="Garamond" w:hAnsi="Garamond"/>
        </w:rPr>
        <w:t xml:space="preserve"> 202</w:t>
      </w:r>
      <w:r>
        <w:rPr>
          <w:rFonts w:ascii="Garamond" w:hAnsi="Garamond"/>
        </w:rPr>
        <w:t>4</w:t>
      </w:r>
      <w:r w:rsidRPr="00007E3F">
        <w:rPr>
          <w:rFonts w:ascii="Garamond" w:hAnsi="Garamond"/>
        </w:rPr>
        <w:t xml:space="preserve">]; </w:t>
      </w:r>
      <w:r w:rsidRPr="00007E3F">
        <w:rPr>
          <w:rFonts w:ascii="Garamond" w:hAnsi="Garamond"/>
          <w:i/>
          <w:iCs/>
        </w:rPr>
        <w:t>See</w:t>
      </w:r>
      <w:r w:rsidRPr="00007E3F">
        <w:rPr>
          <w:rFonts w:ascii="Garamond" w:hAnsi="Garamond"/>
        </w:rPr>
        <w:t xml:space="preserve">, Charles </w:t>
      </w:r>
      <w:r w:rsidRPr="00007E3F">
        <w:rPr>
          <w:rFonts w:ascii="Garamond" w:hAnsi="Garamond"/>
        </w:rPr>
        <w:t xml:space="preserve">Pensulo, </w:t>
      </w:r>
      <w:r w:rsidRPr="00007E3F">
        <w:rPr>
          <w:rFonts w:ascii="Garamond" w:hAnsi="Garamond"/>
          <w:i/>
          <w:iCs/>
        </w:rPr>
        <w:t>Malawian Protesters Demand Tougher Penalties for Rape</w:t>
      </w:r>
      <w:r w:rsidRPr="00007E3F">
        <w:rPr>
          <w:rFonts w:ascii="Garamond" w:hAnsi="Garamond"/>
        </w:rPr>
        <w:t>, Thomas Reuters Foundation</w:t>
      </w:r>
      <w:r>
        <w:rPr>
          <w:rFonts w:ascii="Garamond" w:hAnsi="Garamond"/>
        </w:rPr>
        <w:t xml:space="preserve">, </w:t>
      </w:r>
      <w:r w:rsidRPr="00007E3F">
        <w:rPr>
          <w:rFonts w:ascii="Garamond" w:hAnsi="Garamond"/>
        </w:rPr>
        <w:t xml:space="preserve">16 November 2020, </w:t>
      </w:r>
      <w:hyperlink r:id="rId24" w:anchor=":~:text=About%2038%25%20of%20Malawian%20women,according%20to%20the%20United%20Nations" w:history="1">
        <w:r w:rsidRPr="00007E3F">
          <w:rPr>
            <w:rStyle w:val="Hyperlink"/>
            <w:rFonts w:ascii="Garamond" w:hAnsi="Garamond"/>
          </w:rPr>
          <w:t>https://news.trust.org/item/20201116165739-y9xew#:~:text=About%2038%25%20of%20Malawian%20women,according%20to%20the%20United%20Nations</w:t>
        </w:r>
      </w:hyperlink>
      <w:r w:rsidRPr="00007E3F">
        <w:rPr>
          <w:rFonts w:ascii="Garamond" w:hAnsi="Garamond"/>
        </w:rPr>
        <w:t xml:space="preserve"> [accessed 29 </w:t>
      </w:r>
      <w:r>
        <w:rPr>
          <w:rFonts w:ascii="Garamond" w:hAnsi="Garamond"/>
        </w:rPr>
        <w:t>May</w:t>
      </w:r>
      <w:r w:rsidRPr="00007E3F">
        <w:rPr>
          <w:rFonts w:ascii="Garamond" w:hAnsi="Garamond"/>
        </w:rPr>
        <w:t xml:space="preserve"> 202</w:t>
      </w:r>
      <w:r>
        <w:rPr>
          <w:rFonts w:ascii="Garamond" w:hAnsi="Garamond"/>
        </w:rPr>
        <w:t>4</w:t>
      </w:r>
      <w:r w:rsidRPr="00007E3F">
        <w:rPr>
          <w:rFonts w:ascii="Garamond" w:hAnsi="Garamond"/>
        </w:rPr>
        <w:t>].</w:t>
      </w:r>
    </w:p>
  </w:footnote>
  <w:footnote w:id="66">
    <w:p w14:paraId="3B262B39" w14:textId="049C8C78" w:rsidR="005E4A80" w:rsidRPr="00007E3F" w:rsidRDefault="005E4A80" w:rsidP="00151D49">
      <w:pPr>
        <w:pStyle w:val="FootnoteText"/>
        <w:snapToGrid w:val="0"/>
        <w:ind w:left="-360" w:right="-274"/>
        <w:contextualSpacing/>
        <w:rPr>
          <w:rFonts w:ascii="Garamond" w:hAnsi="Garamond"/>
        </w:rPr>
      </w:pPr>
      <w:r w:rsidRPr="00007E3F">
        <w:rPr>
          <w:rStyle w:val="FootnoteReference"/>
          <w:rFonts w:ascii="Garamond" w:hAnsi="Garamond"/>
        </w:rPr>
        <w:footnoteRef/>
      </w:r>
      <w:r w:rsidRPr="00007E3F">
        <w:rPr>
          <w:rFonts w:ascii="Garamond" w:hAnsi="Garamond"/>
        </w:rPr>
        <w:t xml:space="preserve"> Effie Chipeta PhD &amp; Patani Mhango MSc, </w:t>
      </w:r>
      <w:r w:rsidRPr="00007E3F">
        <w:rPr>
          <w:rFonts w:ascii="Garamond" w:hAnsi="Garamond"/>
          <w:i/>
          <w:iCs/>
        </w:rPr>
        <w:t>Exploring the experience of sexually assaulted young women and girls who sought sexual and reproductive health services</w:t>
      </w:r>
      <w:r w:rsidRPr="00007E3F">
        <w:rPr>
          <w:rFonts w:ascii="Garamond" w:hAnsi="Garamond"/>
        </w:rPr>
        <w:t>,</w:t>
      </w:r>
      <w:r w:rsidRPr="00007E3F">
        <w:rPr>
          <w:rFonts w:ascii="Garamond" w:hAnsi="Garamond"/>
          <w:color w:val="000000"/>
        </w:rPr>
        <w:t xml:space="preserve"> </w:t>
      </w:r>
      <w:r w:rsidR="00151D49">
        <w:rPr>
          <w:rFonts w:ascii="Garamond" w:hAnsi="Garamond"/>
          <w:i/>
          <w:iCs/>
        </w:rPr>
        <w:t xml:space="preserve">supra </w:t>
      </w:r>
      <w:r w:rsidR="00151D49">
        <w:rPr>
          <w:rFonts w:ascii="Garamond" w:hAnsi="Garamond"/>
        </w:rPr>
        <w:t xml:space="preserve">note 41 at </w:t>
      </w:r>
      <w:r w:rsidRPr="00007E3F">
        <w:rPr>
          <w:rFonts w:ascii="Garamond" w:hAnsi="Garamond"/>
        </w:rPr>
        <w:t xml:space="preserve">p. 5 &amp; 10; </w:t>
      </w:r>
      <w:r w:rsidRPr="00007E3F">
        <w:rPr>
          <w:rFonts w:ascii="Garamond" w:hAnsi="Garamond"/>
        </w:rPr>
        <w:t xml:space="preserve">Ahinkorah BO, Seidu, A, Appiah, F et al, </w:t>
      </w:r>
      <w:r w:rsidRPr="00007E3F">
        <w:rPr>
          <w:rFonts w:ascii="Garamond" w:hAnsi="Garamond"/>
          <w:i/>
          <w:iCs/>
        </w:rPr>
        <w:t>Effects of sexual violence on planned, mistimed and unwanted pregnancies among</w:t>
      </w:r>
      <w:r w:rsidR="00151D49">
        <w:rPr>
          <w:rFonts w:ascii="Garamond" w:hAnsi="Garamond"/>
        </w:rPr>
        <w:t xml:space="preserve"> </w:t>
      </w:r>
      <w:r w:rsidRPr="00007E3F">
        <w:rPr>
          <w:rFonts w:ascii="Garamond" w:hAnsi="Garamond"/>
          <w:i/>
          <w:iCs/>
        </w:rPr>
        <w:t>women of reproductive age in sub-Saharan Africa: A multi-country analysis of demographic health surveys</w:t>
      </w:r>
      <w:r w:rsidRPr="00007E3F">
        <w:rPr>
          <w:rFonts w:ascii="Garamond" w:hAnsi="Garamond"/>
        </w:rPr>
        <w:t>, 2020,</w:t>
      </w:r>
      <w:r w:rsidR="00151D49">
        <w:rPr>
          <w:rFonts w:ascii="Garamond" w:hAnsi="Garamond"/>
        </w:rPr>
        <w:t xml:space="preserve"> </w:t>
      </w:r>
      <w:hyperlink r:id="rId25" w:history="1">
        <w:r w:rsidR="00151D49" w:rsidRPr="001574E3">
          <w:rPr>
            <w:rStyle w:val="Hyperlink"/>
            <w:rFonts w:ascii="Garamond" w:hAnsi="Garamond"/>
          </w:rPr>
          <w:t>https://www.sciencedirect.com/science/article/pii/S235282732030238X</w:t>
        </w:r>
      </w:hyperlink>
      <w:r w:rsidRPr="00007E3F">
        <w:rPr>
          <w:rFonts w:ascii="Garamond" w:hAnsi="Garamond"/>
        </w:rPr>
        <w:t xml:space="preserve"> [last accessed 13 July 2024].</w:t>
      </w:r>
    </w:p>
  </w:footnote>
  <w:footnote w:id="67">
    <w:p w14:paraId="42550139" w14:textId="6609E013" w:rsidR="005E4A80" w:rsidRPr="00007E3F" w:rsidRDefault="005E4A80" w:rsidP="005E4A80">
      <w:pPr>
        <w:pStyle w:val="FootnoteText"/>
        <w:snapToGrid w:val="0"/>
        <w:ind w:left="-360" w:right="-274"/>
        <w:contextualSpacing/>
        <w:rPr>
          <w:rFonts w:ascii="Garamond" w:hAnsi="Garamond"/>
        </w:rPr>
      </w:pPr>
      <w:r w:rsidRPr="00007E3F">
        <w:rPr>
          <w:rStyle w:val="FootnoteReference"/>
          <w:rFonts w:ascii="Garamond" w:hAnsi="Garamond"/>
        </w:rPr>
        <w:footnoteRef/>
      </w:r>
      <w:r w:rsidRPr="00007E3F">
        <w:rPr>
          <w:rFonts w:ascii="Garamond" w:hAnsi="Garamond"/>
        </w:rPr>
        <w:t xml:space="preserve"> Effie Chipeta PhD &amp; Patani Mhango MSc, </w:t>
      </w:r>
      <w:r w:rsidRPr="00007E3F">
        <w:rPr>
          <w:rFonts w:ascii="Garamond" w:hAnsi="Garamond"/>
          <w:i/>
          <w:iCs/>
        </w:rPr>
        <w:t>Exploring the experience of sexually assaulted young women and girls who sought sexual and reproductive health services</w:t>
      </w:r>
      <w:r w:rsidRPr="00007E3F">
        <w:rPr>
          <w:rFonts w:ascii="Garamond" w:hAnsi="Garamond"/>
        </w:rPr>
        <w:t>,</w:t>
      </w:r>
      <w:r w:rsidRPr="00007E3F">
        <w:rPr>
          <w:rFonts w:ascii="Garamond" w:hAnsi="Garamond"/>
          <w:color w:val="000000"/>
        </w:rPr>
        <w:t xml:space="preserve"> </w:t>
      </w:r>
      <w:r w:rsidR="00EE4901">
        <w:rPr>
          <w:rFonts w:ascii="Garamond" w:hAnsi="Garamond"/>
          <w:i/>
          <w:iCs/>
        </w:rPr>
        <w:t xml:space="preserve">supra </w:t>
      </w:r>
      <w:r w:rsidR="00EE4901">
        <w:rPr>
          <w:rFonts w:ascii="Garamond" w:hAnsi="Garamond"/>
        </w:rPr>
        <w:t xml:space="preserve">note 41 at </w:t>
      </w:r>
      <w:r w:rsidRPr="00007E3F">
        <w:rPr>
          <w:rFonts w:ascii="Garamond" w:hAnsi="Garamond"/>
        </w:rPr>
        <w:t>p. 9.</w:t>
      </w:r>
    </w:p>
  </w:footnote>
  <w:footnote w:id="68">
    <w:p w14:paraId="521CC78A" w14:textId="3723463C" w:rsidR="005E4A80" w:rsidRPr="00007E3F" w:rsidRDefault="005E4A80" w:rsidP="005E4A80">
      <w:pPr>
        <w:pStyle w:val="FootnoteText"/>
        <w:snapToGrid w:val="0"/>
        <w:ind w:left="-360" w:right="-274"/>
        <w:contextualSpacing/>
        <w:rPr>
          <w:rFonts w:ascii="Garamond" w:hAnsi="Garamond"/>
        </w:rPr>
      </w:pPr>
      <w:r w:rsidRPr="00007E3F">
        <w:rPr>
          <w:rStyle w:val="FootnoteReference"/>
          <w:rFonts w:ascii="Garamond" w:hAnsi="Garamond"/>
        </w:rPr>
        <w:footnoteRef/>
      </w:r>
      <w:r w:rsidRPr="00007E3F">
        <w:rPr>
          <w:rFonts w:ascii="Garamond" w:hAnsi="Garamond"/>
        </w:rPr>
        <w:t xml:space="preserve"> </w:t>
      </w:r>
      <w:r w:rsidR="00EE4901">
        <w:rPr>
          <w:rFonts w:ascii="Garamond" w:hAnsi="Garamond"/>
          <w:i/>
          <w:iCs/>
        </w:rPr>
        <w:t xml:space="preserve">Id. </w:t>
      </w:r>
      <w:r w:rsidR="00EE4901">
        <w:rPr>
          <w:rFonts w:ascii="Garamond" w:hAnsi="Garamond"/>
        </w:rPr>
        <w:t xml:space="preserve">at </w:t>
      </w:r>
      <w:r w:rsidRPr="00007E3F">
        <w:rPr>
          <w:rFonts w:ascii="Garamond" w:hAnsi="Garamond"/>
        </w:rPr>
        <w:t>p. 9.</w:t>
      </w:r>
    </w:p>
  </w:footnote>
  <w:footnote w:id="69">
    <w:p w14:paraId="16792B79" w14:textId="04EC77BD" w:rsidR="00484F6C" w:rsidRPr="00007E3F" w:rsidRDefault="00484F6C" w:rsidP="00484F6C">
      <w:pPr>
        <w:pStyle w:val="FootnoteText"/>
        <w:snapToGrid w:val="0"/>
        <w:ind w:left="-360" w:right="-274"/>
        <w:contextualSpacing/>
        <w:rPr>
          <w:rFonts w:ascii="Garamond" w:hAnsi="Garamond"/>
        </w:rPr>
      </w:pPr>
      <w:r w:rsidRPr="00007E3F">
        <w:rPr>
          <w:rStyle w:val="FootnoteReference"/>
          <w:rFonts w:ascii="Garamond" w:hAnsi="Garamond"/>
        </w:rPr>
        <w:footnoteRef/>
      </w:r>
      <w:r w:rsidRPr="00007E3F">
        <w:rPr>
          <w:rFonts w:ascii="Garamond" w:hAnsi="Garamond"/>
        </w:rPr>
        <w:t xml:space="preserve"> </w:t>
      </w:r>
      <w:r w:rsidRPr="00007E3F">
        <w:rPr>
          <w:rFonts w:ascii="Garamond" w:hAnsi="Garamond" w:cs="Calibri"/>
        </w:rPr>
        <w:t xml:space="preserve">Human Rights Committee, </w:t>
      </w:r>
      <w:r w:rsidRPr="00007E3F">
        <w:rPr>
          <w:rFonts w:ascii="Garamond" w:hAnsi="Garamond" w:cs="Calibri"/>
          <w:i/>
          <w:iCs/>
        </w:rPr>
        <w:t>General Comment No. 3</w:t>
      </w:r>
      <w:r w:rsidR="00C13002">
        <w:rPr>
          <w:rFonts w:ascii="Garamond" w:hAnsi="Garamond" w:cs="Calibri"/>
          <w:i/>
          <w:iCs/>
        </w:rPr>
        <w:t>6: The Right to Life (Art. 6)</w:t>
      </w:r>
      <w:r w:rsidRPr="00007E3F">
        <w:rPr>
          <w:rFonts w:ascii="Garamond" w:hAnsi="Garamond" w:cs="Calibri"/>
          <w:i/>
          <w:iCs/>
        </w:rPr>
        <w:t xml:space="preserve">, </w:t>
      </w:r>
      <w:r w:rsidR="00C13002">
        <w:rPr>
          <w:rFonts w:ascii="Garamond" w:hAnsi="Garamond" w:cs="Calibri"/>
        </w:rPr>
        <w:t xml:space="preserve">CCPR/C/GC/36, 3 Sept. 2019, </w:t>
      </w:r>
      <w:r w:rsidRPr="00007E3F">
        <w:rPr>
          <w:rFonts w:ascii="Garamond" w:hAnsi="Garamond" w:cs="Calibri"/>
        </w:rPr>
        <w:t xml:space="preserve">at para. 8; </w:t>
      </w:r>
      <w:r w:rsidR="00C13002">
        <w:rPr>
          <w:rFonts w:ascii="Garamond" w:hAnsi="Garamond" w:cs="Calibri"/>
          <w:color w:val="000000"/>
        </w:rPr>
        <w:t xml:space="preserve">CESCR Committee, </w:t>
      </w:r>
      <w:r w:rsidR="00C13002">
        <w:rPr>
          <w:rFonts w:ascii="Garamond" w:hAnsi="Garamond" w:cs="Calibri"/>
          <w:i/>
          <w:iCs/>
          <w:color w:val="000000"/>
        </w:rPr>
        <w:t>Concluding Observations: Bahrain</w:t>
      </w:r>
      <w:r w:rsidR="00C13002">
        <w:rPr>
          <w:rFonts w:ascii="Garamond" w:hAnsi="Garamond" w:cs="Calibri"/>
          <w:color w:val="000000"/>
        </w:rPr>
        <w:t>, E/C.12/BHR/CO/1, 2022, para. 44-45.</w:t>
      </w:r>
    </w:p>
  </w:footnote>
  <w:footnote w:id="70">
    <w:p w14:paraId="418587D7" w14:textId="77777777" w:rsidR="00484F6C" w:rsidRPr="00007E3F" w:rsidRDefault="00484F6C" w:rsidP="00484F6C">
      <w:pPr>
        <w:pStyle w:val="FootnoteText"/>
        <w:snapToGrid w:val="0"/>
        <w:ind w:left="-360" w:right="-274"/>
        <w:contextualSpacing/>
        <w:rPr>
          <w:rFonts w:ascii="Garamond" w:hAnsi="Garamond"/>
        </w:rPr>
      </w:pPr>
      <w:r w:rsidRPr="00007E3F">
        <w:rPr>
          <w:rStyle w:val="FootnoteReference"/>
          <w:rFonts w:ascii="Garamond" w:hAnsi="Garamond"/>
        </w:rPr>
        <w:footnoteRef/>
      </w:r>
      <w:r w:rsidRPr="00007E3F">
        <w:rPr>
          <w:rFonts w:ascii="Garamond" w:hAnsi="Garamond"/>
        </w:rPr>
        <w:t xml:space="preserve"> CESCR, </w:t>
      </w:r>
      <w:r w:rsidRPr="00007E3F">
        <w:rPr>
          <w:rFonts w:ascii="Garamond" w:hAnsi="Garamond"/>
          <w:i/>
          <w:iCs/>
        </w:rPr>
        <w:t>Concluding observations on the fourth periodic report of Guatemala</w:t>
      </w:r>
      <w:r w:rsidRPr="00007E3F">
        <w:rPr>
          <w:rFonts w:ascii="Garamond" w:hAnsi="Garamond"/>
        </w:rPr>
        <w:t>, E/C.12/GTM/CO/4, 11 Nov. 2022, para. 46-47.</w:t>
      </w:r>
    </w:p>
  </w:footnote>
  <w:footnote w:id="71">
    <w:p w14:paraId="3AB91680" w14:textId="106869CC" w:rsidR="00484F6C" w:rsidRPr="00007E3F" w:rsidRDefault="00484F6C" w:rsidP="00484F6C">
      <w:pPr>
        <w:pStyle w:val="FootnoteText"/>
        <w:snapToGrid w:val="0"/>
        <w:ind w:left="-360" w:right="-274"/>
        <w:contextualSpacing/>
        <w:rPr>
          <w:rFonts w:ascii="Garamond" w:hAnsi="Garamond"/>
        </w:rPr>
      </w:pPr>
      <w:r w:rsidRPr="00007E3F">
        <w:rPr>
          <w:rStyle w:val="FootnoteReference"/>
          <w:rFonts w:ascii="Garamond" w:hAnsi="Garamond"/>
        </w:rPr>
        <w:footnoteRef/>
      </w:r>
      <w:r w:rsidRPr="00007E3F">
        <w:rPr>
          <w:rFonts w:ascii="Garamond" w:hAnsi="Garamond"/>
        </w:rPr>
        <w:t xml:space="preserve"> </w:t>
      </w:r>
      <w:r w:rsidR="00DA06DC">
        <w:rPr>
          <w:rFonts w:ascii="Garamond" w:hAnsi="Garamond"/>
          <w:i/>
          <w:iCs/>
        </w:rPr>
        <w:t>Id.</w:t>
      </w:r>
    </w:p>
  </w:footnote>
  <w:footnote w:id="72">
    <w:p w14:paraId="69A10CB5" w14:textId="60E98FD2" w:rsidR="00484F6C" w:rsidRPr="00007E3F" w:rsidRDefault="00484F6C" w:rsidP="00484F6C">
      <w:pPr>
        <w:pStyle w:val="FootnoteText"/>
        <w:snapToGrid w:val="0"/>
        <w:ind w:left="-360" w:right="-274"/>
        <w:contextualSpacing/>
        <w:rPr>
          <w:rFonts w:ascii="Garamond" w:hAnsi="Garamond"/>
        </w:rPr>
      </w:pPr>
      <w:r w:rsidRPr="00007E3F">
        <w:rPr>
          <w:rStyle w:val="FootnoteReference"/>
          <w:rFonts w:ascii="Garamond" w:hAnsi="Garamond"/>
        </w:rPr>
        <w:footnoteRef/>
      </w:r>
      <w:r w:rsidRPr="00007E3F">
        <w:rPr>
          <w:rFonts w:ascii="Garamond" w:hAnsi="Garamond"/>
        </w:rPr>
        <w:t xml:space="preserve"> </w:t>
      </w:r>
      <w:r w:rsidR="00DA06DC">
        <w:rPr>
          <w:rFonts w:ascii="Garamond" w:hAnsi="Garamond"/>
          <w:i/>
          <w:iCs/>
        </w:rPr>
        <w:t xml:space="preserve">Id. </w:t>
      </w:r>
      <w:r w:rsidR="00DA06DC">
        <w:rPr>
          <w:rFonts w:ascii="Garamond" w:hAnsi="Garamond"/>
        </w:rPr>
        <w:t xml:space="preserve">at </w:t>
      </w:r>
      <w:r w:rsidRPr="00007E3F">
        <w:rPr>
          <w:rFonts w:ascii="Garamond" w:hAnsi="Garamond"/>
        </w:rPr>
        <w:t>para. 47.</w:t>
      </w:r>
    </w:p>
  </w:footnote>
  <w:footnote w:id="73">
    <w:p w14:paraId="43C8205D" w14:textId="1DAA4A75" w:rsidR="00484F6C" w:rsidRPr="00007E3F" w:rsidRDefault="00484F6C" w:rsidP="00484F6C">
      <w:pPr>
        <w:pStyle w:val="FootnoteText"/>
        <w:snapToGrid w:val="0"/>
        <w:ind w:left="-360" w:right="-274"/>
        <w:contextualSpacing/>
        <w:rPr>
          <w:rFonts w:ascii="Garamond" w:hAnsi="Garamond"/>
        </w:rPr>
      </w:pPr>
      <w:r w:rsidRPr="00007E3F">
        <w:rPr>
          <w:rStyle w:val="FootnoteReference"/>
          <w:rFonts w:ascii="Garamond" w:hAnsi="Garamond"/>
        </w:rPr>
        <w:footnoteRef/>
      </w:r>
      <w:r w:rsidRPr="00007E3F">
        <w:rPr>
          <w:rFonts w:ascii="Garamond" w:hAnsi="Garamond"/>
        </w:rPr>
        <w:t xml:space="preserve"> CESCR, </w:t>
      </w:r>
      <w:r w:rsidRPr="00007E3F">
        <w:rPr>
          <w:rFonts w:ascii="Garamond" w:hAnsi="Garamond"/>
          <w:i/>
          <w:iCs/>
        </w:rPr>
        <w:t>Replies of Malawi to the list of issues in relation to its initial report,</w:t>
      </w:r>
      <w:r w:rsidRPr="00007E3F">
        <w:rPr>
          <w:rFonts w:ascii="Garamond" w:hAnsi="Garamond"/>
        </w:rPr>
        <w:t xml:space="preserve"> </w:t>
      </w:r>
      <w:r w:rsidR="00EE0886">
        <w:rPr>
          <w:rFonts w:ascii="Garamond" w:hAnsi="Garamond"/>
          <w:i/>
          <w:iCs/>
        </w:rPr>
        <w:t xml:space="preserve">supra </w:t>
      </w:r>
      <w:r w:rsidR="00EE0886">
        <w:rPr>
          <w:rFonts w:ascii="Garamond" w:hAnsi="Garamond"/>
        </w:rPr>
        <w:t xml:space="preserve">note 2 at </w:t>
      </w:r>
      <w:r w:rsidRPr="00007E3F">
        <w:rPr>
          <w:rFonts w:ascii="Garamond" w:hAnsi="Garamond"/>
        </w:rPr>
        <w:t>para. 98.</w:t>
      </w:r>
    </w:p>
  </w:footnote>
  <w:footnote w:id="74">
    <w:p w14:paraId="22887716" w14:textId="54F6E316" w:rsidR="00484F6C" w:rsidRPr="00EE0886" w:rsidRDefault="00484F6C" w:rsidP="00484F6C">
      <w:pPr>
        <w:pStyle w:val="FootnoteText"/>
        <w:snapToGrid w:val="0"/>
        <w:ind w:left="-360" w:right="-274"/>
        <w:contextualSpacing/>
        <w:rPr>
          <w:rFonts w:ascii="Garamond" w:hAnsi="Garamond"/>
        </w:rPr>
      </w:pPr>
      <w:r w:rsidRPr="00007E3F">
        <w:rPr>
          <w:rStyle w:val="FootnoteReference"/>
          <w:rFonts w:ascii="Garamond" w:hAnsi="Garamond"/>
        </w:rPr>
        <w:footnoteRef/>
      </w:r>
      <w:r w:rsidRPr="00007E3F">
        <w:rPr>
          <w:rFonts w:ascii="Garamond" w:hAnsi="Garamond"/>
        </w:rPr>
        <w:t xml:space="preserve"> </w:t>
      </w:r>
      <w:r w:rsidR="00EE0886">
        <w:rPr>
          <w:rFonts w:ascii="Garamond" w:hAnsi="Garamond"/>
          <w:i/>
          <w:iCs/>
        </w:rPr>
        <w:t>Id.</w:t>
      </w:r>
    </w:p>
  </w:footnote>
  <w:footnote w:id="75">
    <w:p w14:paraId="68B7F4B3" w14:textId="5AF560FD" w:rsidR="000200DF" w:rsidRPr="00C358EB" w:rsidRDefault="000200DF" w:rsidP="000200DF">
      <w:pPr>
        <w:pStyle w:val="FootnoteText"/>
        <w:snapToGrid w:val="0"/>
        <w:ind w:left="-360" w:right="-274"/>
        <w:contextualSpacing/>
        <w:rPr>
          <w:rFonts w:ascii="Garamond" w:hAnsi="Garamond"/>
          <w:i/>
          <w:iCs/>
        </w:rPr>
      </w:pPr>
      <w:r w:rsidRPr="00007E3F">
        <w:rPr>
          <w:rFonts w:ascii="Garamond" w:hAnsi="Garamond"/>
          <w:vertAlign w:val="superscript"/>
        </w:rPr>
        <w:footnoteRef/>
      </w:r>
      <w:r w:rsidRPr="00007E3F">
        <w:rPr>
          <w:rFonts w:ascii="Garamond" w:hAnsi="Garamond"/>
        </w:rPr>
        <w:t xml:space="preserve"> WLSA and Georgetown Law,</w:t>
      </w:r>
      <w:r w:rsidRPr="00007E3F">
        <w:rPr>
          <w:rFonts w:ascii="Garamond" w:hAnsi="Garamond"/>
          <w:i/>
          <w:iCs/>
        </w:rPr>
        <w:t xml:space="preserve"> Through Her Eyes: The Harms of Abortion Criminalization and the Need for Reform</w:t>
      </w:r>
      <w:r w:rsidRPr="00007E3F">
        <w:rPr>
          <w:rFonts w:ascii="Garamond" w:hAnsi="Garamond"/>
        </w:rPr>
        <w:t>,</w:t>
      </w:r>
      <w:r w:rsidR="00C86AF5">
        <w:rPr>
          <w:rFonts w:ascii="Garamond" w:hAnsi="Garamond"/>
        </w:rPr>
        <w:t xml:space="preserve"> </w:t>
      </w:r>
      <w:r w:rsidR="00C86AF5">
        <w:rPr>
          <w:rFonts w:ascii="Garamond" w:hAnsi="Garamond"/>
          <w:i/>
          <w:iCs/>
        </w:rPr>
        <w:t xml:space="preserve">supra </w:t>
      </w:r>
      <w:r w:rsidR="00C86AF5">
        <w:rPr>
          <w:rFonts w:ascii="Garamond" w:hAnsi="Garamond"/>
        </w:rPr>
        <w:t>note 37 at</w:t>
      </w:r>
      <w:r w:rsidRPr="00007E3F">
        <w:rPr>
          <w:rFonts w:ascii="Garamond" w:hAnsi="Garamond"/>
        </w:rPr>
        <w:t xml:space="preserve"> p. </w:t>
      </w:r>
      <w:r>
        <w:rPr>
          <w:rFonts w:ascii="Garamond" w:hAnsi="Garamond"/>
        </w:rPr>
        <w:t>23</w:t>
      </w:r>
      <w:r w:rsidRPr="00007E3F">
        <w:rPr>
          <w:rFonts w:ascii="Garamond" w:hAnsi="Garamond"/>
        </w:rPr>
        <w:t>.</w:t>
      </w:r>
    </w:p>
  </w:footnote>
  <w:footnote w:id="76">
    <w:p w14:paraId="12096439" w14:textId="4B516EE6" w:rsidR="003D20C1" w:rsidRPr="00007E3F" w:rsidRDefault="003D20C1" w:rsidP="00DF0C2A">
      <w:pPr>
        <w:pStyle w:val="FootnoteText"/>
        <w:snapToGrid w:val="0"/>
        <w:ind w:left="-360" w:right="-274"/>
        <w:contextualSpacing/>
        <w:rPr>
          <w:rFonts w:ascii="Garamond" w:hAnsi="Garamond"/>
        </w:rPr>
      </w:pPr>
      <w:r w:rsidRPr="00007E3F">
        <w:rPr>
          <w:rStyle w:val="FootnoteReference"/>
          <w:rFonts w:ascii="Garamond" w:hAnsi="Garamond"/>
        </w:rPr>
        <w:footnoteRef/>
      </w:r>
      <w:r w:rsidRPr="00007E3F">
        <w:rPr>
          <w:rFonts w:ascii="Garamond" w:hAnsi="Garamond"/>
        </w:rPr>
        <w:t xml:space="preserve"> Center for Reproductive Rights, </w:t>
      </w:r>
      <w:r w:rsidRPr="00007E3F">
        <w:rPr>
          <w:rFonts w:ascii="Garamond" w:hAnsi="Garamond"/>
          <w:i/>
          <w:iCs/>
        </w:rPr>
        <w:t xml:space="preserve">CM v. The Hospital Director of Queen Elizabeth Central Hospital &amp; the Minister of </w:t>
      </w:r>
      <w:r w:rsidRPr="00007E3F">
        <w:rPr>
          <w:rFonts w:ascii="Garamond" w:hAnsi="Garamond"/>
        </w:rPr>
        <w:t xml:space="preserve">Health, 28 June 2021, </w:t>
      </w:r>
      <w:hyperlink r:id="rId26" w:anchor=":~:text=High%20Court%20of%20Malawi%20Clarifies%20Law%20on%20Abortion&amp;text=2021)%20On%20June%2015%202021,statutory%20protections%20for%20legal%20abortion" w:history="1">
        <w:r w:rsidRPr="00007E3F">
          <w:rPr>
            <w:rStyle w:val="Hyperlink"/>
            <w:rFonts w:ascii="Garamond" w:hAnsi="Garamond"/>
          </w:rPr>
          <w:t>https://reproductiverights.org/case/cm-v-the-hospital-director-of-queen-elizabeth-central-hospital-the-minister-of-health-high-court-of-malawi/#:~:text=High%20Court%20of%20Malawi%20Clarifies%20Law%20on%20Abortion&amp;text=2021)%20On%20June%2015%202021,statutory%20protections%20for%20legal%20abortion</w:t>
        </w:r>
      </w:hyperlink>
      <w:r w:rsidR="00371617">
        <w:rPr>
          <w:rFonts w:ascii="Garamond" w:hAnsi="Garamond"/>
        </w:rPr>
        <w:t xml:space="preserve"> [last accessed 25 June 2024].</w:t>
      </w:r>
    </w:p>
  </w:footnote>
  <w:footnote w:id="77">
    <w:p w14:paraId="51D9FBB8" w14:textId="5F1036F6" w:rsidR="005175F7" w:rsidRPr="00007E3F" w:rsidRDefault="005175F7" w:rsidP="00DF0C2A">
      <w:pPr>
        <w:pStyle w:val="FootnoteText"/>
        <w:snapToGrid w:val="0"/>
        <w:ind w:left="-360" w:right="-274"/>
        <w:contextualSpacing/>
        <w:rPr>
          <w:rFonts w:ascii="Garamond" w:hAnsi="Garamond"/>
        </w:rPr>
      </w:pPr>
      <w:r w:rsidRPr="00007E3F">
        <w:rPr>
          <w:rStyle w:val="FootnoteReference"/>
          <w:rFonts w:ascii="Garamond" w:hAnsi="Garamond"/>
        </w:rPr>
        <w:footnoteRef/>
      </w:r>
      <w:r w:rsidRPr="00007E3F">
        <w:rPr>
          <w:rFonts w:ascii="Garamond" w:hAnsi="Garamond"/>
        </w:rPr>
        <w:t xml:space="preserve"> CESCR, </w:t>
      </w:r>
      <w:r w:rsidRPr="00007E3F">
        <w:rPr>
          <w:rFonts w:ascii="Garamond" w:hAnsi="Garamond"/>
          <w:i/>
          <w:iCs/>
        </w:rPr>
        <w:t>Concluding observations on the third periodic report of the Plurinational State of Bolivia</w:t>
      </w:r>
      <w:r w:rsidRPr="00007E3F">
        <w:rPr>
          <w:rFonts w:ascii="Garamond" w:hAnsi="Garamond"/>
        </w:rPr>
        <w:t xml:space="preserve">, </w:t>
      </w:r>
      <w:r w:rsidR="00A92C3B">
        <w:rPr>
          <w:rFonts w:ascii="Garamond" w:hAnsi="Garamond"/>
          <w:i/>
          <w:iCs/>
        </w:rPr>
        <w:t xml:space="preserve">supra </w:t>
      </w:r>
      <w:r w:rsidR="00A92C3B">
        <w:rPr>
          <w:rFonts w:ascii="Garamond" w:hAnsi="Garamond"/>
        </w:rPr>
        <w:t xml:space="preserve">note 32 at </w:t>
      </w:r>
      <w:r w:rsidRPr="00007E3F">
        <w:rPr>
          <w:rFonts w:ascii="Garamond" w:hAnsi="Garamond"/>
        </w:rPr>
        <w:t>para. 55(a).</w:t>
      </w:r>
    </w:p>
  </w:footnote>
  <w:footnote w:id="78">
    <w:p w14:paraId="0D568C91" w14:textId="1985A0D5" w:rsidR="003D20C1" w:rsidRPr="00007E3F" w:rsidRDefault="003D20C1" w:rsidP="00DF0C2A">
      <w:pPr>
        <w:pStyle w:val="FootnoteText"/>
        <w:snapToGrid w:val="0"/>
        <w:ind w:left="-360" w:right="-274"/>
        <w:contextualSpacing/>
        <w:rPr>
          <w:rFonts w:ascii="Garamond" w:hAnsi="Garamond"/>
        </w:rPr>
      </w:pPr>
      <w:r w:rsidRPr="00007E3F">
        <w:rPr>
          <w:rStyle w:val="FootnoteReference"/>
          <w:rFonts w:ascii="Garamond" w:hAnsi="Garamond"/>
        </w:rPr>
        <w:footnoteRef/>
      </w:r>
      <w:r w:rsidRPr="00007E3F">
        <w:rPr>
          <w:rFonts w:ascii="Garamond" w:hAnsi="Garamond"/>
        </w:rPr>
        <w:t xml:space="preserve"> CESCR, </w:t>
      </w:r>
      <w:r w:rsidRPr="00007E3F">
        <w:rPr>
          <w:rFonts w:ascii="Garamond" w:eastAsia="Times New Roman" w:hAnsi="Garamond"/>
          <w:i/>
          <w:iCs/>
        </w:rPr>
        <w:t>General Comment No. 25 (2020) on science and economic, social and cultural rights (article 15 (1) (b), (2</w:t>
      </w:r>
      <w:r w:rsidRPr="00007E3F">
        <w:rPr>
          <w:rFonts w:ascii="Garamond" w:eastAsia="Times New Roman" w:hAnsi="Garamond"/>
          <w:i/>
          <w:iCs/>
        </w:rPr>
        <w:t>) , (3) and (4) of the International Covenant on Economic, Social and Cultural Rights)</w:t>
      </w:r>
      <w:r w:rsidRPr="00007E3F">
        <w:rPr>
          <w:rFonts w:ascii="Garamond" w:eastAsia="Times New Roman" w:hAnsi="Garamond"/>
        </w:rPr>
        <w:t xml:space="preserve">, </w:t>
      </w:r>
      <w:r w:rsidR="00BB50DE" w:rsidRPr="00007E3F">
        <w:rPr>
          <w:rFonts w:ascii="Garamond" w:eastAsia="Times New Roman" w:hAnsi="Garamond"/>
        </w:rPr>
        <w:t>E/C.12/GC/25</w:t>
      </w:r>
      <w:r w:rsidR="00BB50DE">
        <w:rPr>
          <w:rFonts w:ascii="Garamond" w:eastAsia="Times New Roman" w:hAnsi="Garamond"/>
        </w:rPr>
        <w:t xml:space="preserve">, </w:t>
      </w:r>
      <w:r w:rsidR="00BB50DE" w:rsidRPr="00007E3F">
        <w:rPr>
          <w:rFonts w:ascii="Garamond" w:eastAsia="Times New Roman" w:hAnsi="Garamond"/>
        </w:rPr>
        <w:t>30 April 2020</w:t>
      </w:r>
      <w:r w:rsidR="00BB50DE">
        <w:rPr>
          <w:rFonts w:ascii="Garamond" w:eastAsia="Times New Roman" w:hAnsi="Garamond"/>
        </w:rPr>
        <w:t xml:space="preserve">, </w:t>
      </w:r>
      <w:r w:rsidRPr="00007E3F">
        <w:rPr>
          <w:rFonts w:ascii="Garamond" w:eastAsia="Times New Roman" w:hAnsi="Garamond"/>
        </w:rPr>
        <w:t>para 8.</w:t>
      </w:r>
    </w:p>
  </w:footnote>
  <w:footnote w:id="79">
    <w:p w14:paraId="4C5B5072" w14:textId="58B5EBF3" w:rsidR="003D20C1" w:rsidRPr="00007E3F" w:rsidRDefault="003D20C1" w:rsidP="00DF0C2A">
      <w:pPr>
        <w:snapToGrid w:val="0"/>
        <w:ind w:left="-360" w:right="-274"/>
        <w:contextualSpacing/>
        <w:rPr>
          <w:rFonts w:ascii="Garamond" w:hAnsi="Garamond"/>
          <w:sz w:val="20"/>
          <w:szCs w:val="20"/>
        </w:rPr>
      </w:pPr>
      <w:r w:rsidRPr="00007E3F">
        <w:rPr>
          <w:rFonts w:ascii="Garamond" w:hAnsi="Garamond"/>
          <w:sz w:val="20"/>
          <w:szCs w:val="20"/>
          <w:vertAlign w:val="superscript"/>
        </w:rPr>
        <w:footnoteRef/>
      </w:r>
      <w:r w:rsidRPr="00007E3F">
        <w:rPr>
          <w:rFonts w:ascii="Garamond" w:hAnsi="Garamond"/>
          <w:sz w:val="20"/>
          <w:szCs w:val="20"/>
        </w:rPr>
        <w:t xml:space="preserve"> </w:t>
      </w:r>
      <w:r w:rsidRPr="00007E3F">
        <w:rPr>
          <w:rFonts w:ascii="Garamond" w:hAnsi="Garamond"/>
          <w:i/>
          <w:sz w:val="20"/>
          <w:szCs w:val="20"/>
        </w:rPr>
        <w:t>Id.</w:t>
      </w:r>
      <w:r w:rsidR="002457F7">
        <w:rPr>
          <w:rFonts w:ascii="Garamond" w:hAnsi="Garamond"/>
          <w:sz w:val="20"/>
          <w:szCs w:val="20"/>
        </w:rPr>
        <w:t xml:space="preserve"> at </w:t>
      </w:r>
      <w:r w:rsidRPr="00007E3F">
        <w:rPr>
          <w:rFonts w:ascii="Garamond" w:hAnsi="Garamond"/>
          <w:sz w:val="20"/>
          <w:szCs w:val="20"/>
        </w:rPr>
        <w:t>para. 26.</w:t>
      </w:r>
    </w:p>
  </w:footnote>
  <w:footnote w:id="80">
    <w:p w14:paraId="3EE5D519" w14:textId="5D0F8D01" w:rsidR="00527C18" w:rsidRDefault="00527C18" w:rsidP="00527C18">
      <w:pPr>
        <w:pStyle w:val="FootnoteText"/>
        <w:ind w:left="-360" w:right="-274"/>
      </w:pPr>
      <w:r>
        <w:rPr>
          <w:rStyle w:val="FootnoteReference"/>
        </w:rPr>
        <w:footnoteRef/>
      </w:r>
      <w:r>
        <w:t xml:space="preserve"> </w:t>
      </w:r>
      <w:r w:rsidR="00833EC2">
        <w:rPr>
          <w:rFonts w:ascii="Garamond" w:hAnsi="Garamond"/>
          <w:i/>
          <w:iCs/>
        </w:rPr>
        <w:t xml:space="preserve">Id. </w:t>
      </w:r>
      <w:r w:rsidRPr="00007E3F">
        <w:rPr>
          <w:rFonts w:ascii="Garamond" w:eastAsia="Times New Roman" w:hAnsi="Garamond"/>
        </w:rPr>
        <w:t xml:space="preserve">at para </w:t>
      </w:r>
      <w:r w:rsidR="008B4A5E">
        <w:rPr>
          <w:rFonts w:ascii="Garamond" w:eastAsia="Times New Roman" w:hAnsi="Garamond"/>
        </w:rPr>
        <w:t>8.</w:t>
      </w:r>
    </w:p>
  </w:footnote>
  <w:footnote w:id="81">
    <w:p w14:paraId="2D137765" w14:textId="1C55CEFA" w:rsidR="003D20C1" w:rsidRPr="00007E3F" w:rsidRDefault="003D20C1" w:rsidP="00DF0C2A">
      <w:pPr>
        <w:pStyle w:val="FootnoteText"/>
        <w:snapToGrid w:val="0"/>
        <w:ind w:left="-360" w:right="-274"/>
        <w:contextualSpacing/>
        <w:rPr>
          <w:rFonts w:ascii="Garamond" w:hAnsi="Garamond"/>
        </w:rPr>
      </w:pPr>
      <w:r w:rsidRPr="00007E3F">
        <w:rPr>
          <w:rStyle w:val="FootnoteReference"/>
          <w:rFonts w:ascii="Garamond" w:hAnsi="Garamond"/>
        </w:rPr>
        <w:footnoteRef/>
      </w:r>
      <w:r w:rsidRPr="00007E3F">
        <w:rPr>
          <w:rFonts w:ascii="Garamond" w:hAnsi="Garamond"/>
        </w:rPr>
        <w:t xml:space="preserve"> </w:t>
      </w:r>
      <w:r w:rsidR="00833EC2">
        <w:rPr>
          <w:rFonts w:ascii="Garamond" w:hAnsi="Garamond"/>
          <w:i/>
          <w:iCs/>
        </w:rPr>
        <w:t>Id.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8D24FF"/>
    <w:multiLevelType w:val="hybridMultilevel"/>
    <w:tmpl w:val="849E2214"/>
    <w:lvl w:ilvl="0" w:tplc="ADB6CE56">
      <w:start w:val="1"/>
      <w:numFmt w:val="upperRoman"/>
      <w:pStyle w:val="Heading2"/>
      <w:lvlText w:val="%1."/>
      <w:lvlJc w:val="left"/>
      <w:pPr>
        <w:ind w:left="900" w:hanging="720"/>
      </w:pPr>
      <w:rPr>
        <w:rFonts w:hint="default"/>
        <w:i/>
        <w:iCs w:val="0"/>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 w15:restartNumberingAfterBreak="0">
    <w:nsid w:val="0E15654B"/>
    <w:multiLevelType w:val="hybridMultilevel"/>
    <w:tmpl w:val="04128B76"/>
    <w:lvl w:ilvl="0" w:tplc="135CFC62">
      <w:start w:val="95"/>
      <w:numFmt w:val="bullet"/>
      <w:lvlText w:val="-"/>
      <w:lvlJc w:val="left"/>
      <w:pPr>
        <w:ind w:left="540" w:hanging="360"/>
      </w:pPr>
      <w:rPr>
        <w:rFonts w:ascii="Garamond" w:eastAsiaTheme="minorHAnsi" w:hAnsi="Garamond" w:cs="Times New Roman" w:hint="default"/>
      </w:rPr>
    </w:lvl>
    <w:lvl w:ilvl="1" w:tplc="04090003" w:tentative="1">
      <w:start w:val="1"/>
      <w:numFmt w:val="bullet"/>
      <w:lvlText w:val="o"/>
      <w:lvlJc w:val="left"/>
      <w:pPr>
        <w:ind w:left="1260" w:hanging="360"/>
      </w:pPr>
      <w:rPr>
        <w:rFonts w:ascii="Courier New" w:hAnsi="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2" w15:restartNumberingAfterBreak="0">
    <w:nsid w:val="21D0698A"/>
    <w:multiLevelType w:val="hybridMultilevel"/>
    <w:tmpl w:val="0F883CFC"/>
    <w:lvl w:ilvl="0" w:tplc="D6E804CA">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4E6545A"/>
    <w:multiLevelType w:val="hybridMultilevel"/>
    <w:tmpl w:val="67AEECAA"/>
    <w:lvl w:ilvl="0" w:tplc="38A215DE">
      <w:start w:val="10"/>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2091C29"/>
    <w:multiLevelType w:val="multilevel"/>
    <w:tmpl w:val="0D085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6ED2ED7"/>
    <w:multiLevelType w:val="multilevel"/>
    <w:tmpl w:val="69348B8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 w15:restartNumberingAfterBreak="0">
    <w:nsid w:val="5B614F22"/>
    <w:multiLevelType w:val="hybridMultilevel"/>
    <w:tmpl w:val="4B96335E"/>
    <w:lvl w:ilvl="0" w:tplc="9A40F25C">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7" w15:restartNumberingAfterBreak="0">
    <w:nsid w:val="5C4C24E6"/>
    <w:multiLevelType w:val="hybridMultilevel"/>
    <w:tmpl w:val="41860EC6"/>
    <w:lvl w:ilvl="0" w:tplc="72660F3E">
      <w:start w:val="10"/>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EDB47D2"/>
    <w:multiLevelType w:val="multilevel"/>
    <w:tmpl w:val="2B62DD68"/>
    <w:styleLink w:val="CurrentList1"/>
    <w:lvl w:ilvl="0">
      <w:start w:val="1"/>
      <w:numFmt w:val="upperRoman"/>
      <w:lvlText w:val="%1."/>
      <w:lvlJc w:val="left"/>
      <w:pPr>
        <w:ind w:left="900" w:hanging="720"/>
      </w:pPr>
      <w:rPr>
        <w:rFonts w:hint="default"/>
        <w:i/>
        <w:iCs w:val="0"/>
      </w:rPr>
    </w:lvl>
    <w:lvl w:ilvl="1">
      <w:start w:val="1"/>
      <w:numFmt w:val="lowerLetter"/>
      <w:lvlText w:val="%2."/>
      <w:lvlJc w:val="left"/>
      <w:pPr>
        <w:ind w:left="1260" w:hanging="360"/>
      </w:pPr>
    </w:lvl>
    <w:lvl w:ilvl="2">
      <w:start w:val="1"/>
      <w:numFmt w:val="lowerRoman"/>
      <w:lvlText w:val="%3."/>
      <w:lvlJc w:val="right"/>
      <w:pPr>
        <w:ind w:left="1980" w:hanging="180"/>
      </w:pPr>
    </w:lvl>
    <w:lvl w:ilvl="3">
      <w:start w:val="1"/>
      <w:numFmt w:val="decimal"/>
      <w:lvlText w:val="%4."/>
      <w:lvlJc w:val="left"/>
      <w:pPr>
        <w:ind w:left="2700" w:hanging="360"/>
      </w:pPr>
    </w:lvl>
    <w:lvl w:ilvl="4">
      <w:start w:val="1"/>
      <w:numFmt w:val="lowerLetter"/>
      <w:lvlText w:val="%5."/>
      <w:lvlJc w:val="left"/>
      <w:pPr>
        <w:ind w:left="3420" w:hanging="360"/>
      </w:pPr>
    </w:lvl>
    <w:lvl w:ilvl="5">
      <w:start w:val="1"/>
      <w:numFmt w:val="lowerRoman"/>
      <w:lvlText w:val="%6."/>
      <w:lvlJc w:val="right"/>
      <w:pPr>
        <w:ind w:left="4140" w:hanging="180"/>
      </w:pPr>
    </w:lvl>
    <w:lvl w:ilvl="6">
      <w:start w:val="1"/>
      <w:numFmt w:val="decimal"/>
      <w:lvlText w:val="%7."/>
      <w:lvlJc w:val="left"/>
      <w:pPr>
        <w:ind w:left="4860" w:hanging="360"/>
      </w:pPr>
    </w:lvl>
    <w:lvl w:ilvl="7">
      <w:start w:val="1"/>
      <w:numFmt w:val="lowerLetter"/>
      <w:lvlText w:val="%8."/>
      <w:lvlJc w:val="left"/>
      <w:pPr>
        <w:ind w:left="5580" w:hanging="360"/>
      </w:pPr>
    </w:lvl>
    <w:lvl w:ilvl="8">
      <w:start w:val="1"/>
      <w:numFmt w:val="lowerRoman"/>
      <w:lvlText w:val="%9."/>
      <w:lvlJc w:val="right"/>
      <w:pPr>
        <w:ind w:left="6300" w:hanging="180"/>
      </w:pPr>
    </w:lvl>
  </w:abstractNum>
  <w:abstractNum w:abstractNumId="9" w15:restartNumberingAfterBreak="0">
    <w:nsid w:val="7D6F5D65"/>
    <w:multiLevelType w:val="multilevel"/>
    <w:tmpl w:val="888A78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35615695">
    <w:abstractNumId w:val="2"/>
  </w:num>
  <w:num w:numId="2" w16cid:durableId="2147240614">
    <w:abstractNumId w:val="5"/>
  </w:num>
  <w:num w:numId="3" w16cid:durableId="338428229">
    <w:abstractNumId w:val="9"/>
  </w:num>
  <w:num w:numId="4" w16cid:durableId="1544292949">
    <w:abstractNumId w:val="1"/>
  </w:num>
  <w:num w:numId="5" w16cid:durableId="260728401">
    <w:abstractNumId w:val="4"/>
  </w:num>
  <w:num w:numId="6" w16cid:durableId="904025588">
    <w:abstractNumId w:val="7"/>
  </w:num>
  <w:num w:numId="7" w16cid:durableId="1975141027">
    <w:abstractNumId w:val="3"/>
  </w:num>
  <w:num w:numId="8" w16cid:durableId="98914374">
    <w:abstractNumId w:val="6"/>
  </w:num>
  <w:num w:numId="9" w16cid:durableId="65424571">
    <w:abstractNumId w:val="0"/>
  </w:num>
  <w:num w:numId="10" w16cid:durableId="23620982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7"/>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LMwMTE3NjYxMzQ1N7ZQ0lEKTi0uzszPAykwqQUAm+VkPCwAAAA="/>
  </w:docVars>
  <w:rsids>
    <w:rsidRoot w:val="00B91414"/>
    <w:rsid w:val="00000DCA"/>
    <w:rsid w:val="00003CF5"/>
    <w:rsid w:val="00003D49"/>
    <w:rsid w:val="00003DE0"/>
    <w:rsid w:val="00007E3F"/>
    <w:rsid w:val="000108B6"/>
    <w:rsid w:val="00012973"/>
    <w:rsid w:val="000137C7"/>
    <w:rsid w:val="00013AA7"/>
    <w:rsid w:val="000200DF"/>
    <w:rsid w:val="000213A0"/>
    <w:rsid w:val="00021564"/>
    <w:rsid w:val="000218EC"/>
    <w:rsid w:val="0002278B"/>
    <w:rsid w:val="00023E40"/>
    <w:rsid w:val="000256A8"/>
    <w:rsid w:val="00031528"/>
    <w:rsid w:val="0003167E"/>
    <w:rsid w:val="0003244A"/>
    <w:rsid w:val="0003579D"/>
    <w:rsid w:val="00036CBD"/>
    <w:rsid w:val="00037534"/>
    <w:rsid w:val="00055A3F"/>
    <w:rsid w:val="00055BE2"/>
    <w:rsid w:val="00060CC6"/>
    <w:rsid w:val="00061533"/>
    <w:rsid w:val="000615EA"/>
    <w:rsid w:val="00063A8D"/>
    <w:rsid w:val="00065E79"/>
    <w:rsid w:val="00067916"/>
    <w:rsid w:val="00071A35"/>
    <w:rsid w:val="000732DA"/>
    <w:rsid w:val="00085837"/>
    <w:rsid w:val="0009070C"/>
    <w:rsid w:val="000935A7"/>
    <w:rsid w:val="00093A7C"/>
    <w:rsid w:val="00096CE2"/>
    <w:rsid w:val="00097655"/>
    <w:rsid w:val="000977B8"/>
    <w:rsid w:val="000A471F"/>
    <w:rsid w:val="000A528A"/>
    <w:rsid w:val="000A7D46"/>
    <w:rsid w:val="000A7F93"/>
    <w:rsid w:val="000B0F4A"/>
    <w:rsid w:val="000B2B6D"/>
    <w:rsid w:val="000B4023"/>
    <w:rsid w:val="000B5D9C"/>
    <w:rsid w:val="000C03C0"/>
    <w:rsid w:val="000C24A5"/>
    <w:rsid w:val="000C3153"/>
    <w:rsid w:val="000D066C"/>
    <w:rsid w:val="000D0C00"/>
    <w:rsid w:val="000D3FD4"/>
    <w:rsid w:val="000D4044"/>
    <w:rsid w:val="000D658E"/>
    <w:rsid w:val="000D75EC"/>
    <w:rsid w:val="000E000E"/>
    <w:rsid w:val="000E3882"/>
    <w:rsid w:val="000E7082"/>
    <w:rsid w:val="000F07B4"/>
    <w:rsid w:val="00101C37"/>
    <w:rsid w:val="00101FE5"/>
    <w:rsid w:val="00104A41"/>
    <w:rsid w:val="00106388"/>
    <w:rsid w:val="001071C4"/>
    <w:rsid w:val="00107EE4"/>
    <w:rsid w:val="00110597"/>
    <w:rsid w:val="001133E7"/>
    <w:rsid w:val="001221D1"/>
    <w:rsid w:val="00125448"/>
    <w:rsid w:val="00125B9A"/>
    <w:rsid w:val="00126CE1"/>
    <w:rsid w:val="00132442"/>
    <w:rsid w:val="00132838"/>
    <w:rsid w:val="00151D49"/>
    <w:rsid w:val="001535A1"/>
    <w:rsid w:val="001607A9"/>
    <w:rsid w:val="00162521"/>
    <w:rsid w:val="0016437C"/>
    <w:rsid w:val="001643BA"/>
    <w:rsid w:val="00167EE8"/>
    <w:rsid w:val="00177D8B"/>
    <w:rsid w:val="00180431"/>
    <w:rsid w:val="00183226"/>
    <w:rsid w:val="00184118"/>
    <w:rsid w:val="0018445C"/>
    <w:rsid w:val="00184674"/>
    <w:rsid w:val="00184D12"/>
    <w:rsid w:val="001858DB"/>
    <w:rsid w:val="001946E9"/>
    <w:rsid w:val="00197464"/>
    <w:rsid w:val="001A1BE4"/>
    <w:rsid w:val="001A3911"/>
    <w:rsid w:val="001A427C"/>
    <w:rsid w:val="001A77CB"/>
    <w:rsid w:val="001B0D8D"/>
    <w:rsid w:val="001B1EDA"/>
    <w:rsid w:val="001B2710"/>
    <w:rsid w:val="001B3A1D"/>
    <w:rsid w:val="001B5DC0"/>
    <w:rsid w:val="001B7FBE"/>
    <w:rsid w:val="001C0122"/>
    <w:rsid w:val="001C0FE0"/>
    <w:rsid w:val="001C5F6C"/>
    <w:rsid w:val="001C62AA"/>
    <w:rsid w:val="001C6ACE"/>
    <w:rsid w:val="001C6B1A"/>
    <w:rsid w:val="001C7F75"/>
    <w:rsid w:val="001D02F6"/>
    <w:rsid w:val="001D0A5C"/>
    <w:rsid w:val="001D15C1"/>
    <w:rsid w:val="001D1750"/>
    <w:rsid w:val="001D680F"/>
    <w:rsid w:val="001E0341"/>
    <w:rsid w:val="001E1A81"/>
    <w:rsid w:val="001E40DB"/>
    <w:rsid w:val="001F0351"/>
    <w:rsid w:val="001F05AC"/>
    <w:rsid w:val="001F1196"/>
    <w:rsid w:val="001F4883"/>
    <w:rsid w:val="001F51B2"/>
    <w:rsid w:val="001F5F07"/>
    <w:rsid w:val="0020042C"/>
    <w:rsid w:val="00213735"/>
    <w:rsid w:val="002147D7"/>
    <w:rsid w:val="00215658"/>
    <w:rsid w:val="002164EF"/>
    <w:rsid w:val="00217E34"/>
    <w:rsid w:val="00220CA6"/>
    <w:rsid w:val="00223C8F"/>
    <w:rsid w:val="00224817"/>
    <w:rsid w:val="00225A8E"/>
    <w:rsid w:val="0022623A"/>
    <w:rsid w:val="0023160F"/>
    <w:rsid w:val="00236861"/>
    <w:rsid w:val="00237204"/>
    <w:rsid w:val="002401A3"/>
    <w:rsid w:val="00241793"/>
    <w:rsid w:val="002457F7"/>
    <w:rsid w:val="002502D9"/>
    <w:rsid w:val="0025135C"/>
    <w:rsid w:val="002522F6"/>
    <w:rsid w:val="00253A78"/>
    <w:rsid w:val="00254F9F"/>
    <w:rsid w:val="00262471"/>
    <w:rsid w:val="00263482"/>
    <w:rsid w:val="00263C2D"/>
    <w:rsid w:val="00263C9B"/>
    <w:rsid w:val="00263DF7"/>
    <w:rsid w:val="00264F05"/>
    <w:rsid w:val="00265D41"/>
    <w:rsid w:val="002660AF"/>
    <w:rsid w:val="00267743"/>
    <w:rsid w:val="00272E6A"/>
    <w:rsid w:val="00274E85"/>
    <w:rsid w:val="0027502E"/>
    <w:rsid w:val="00275AED"/>
    <w:rsid w:val="00282706"/>
    <w:rsid w:val="00282D78"/>
    <w:rsid w:val="00283609"/>
    <w:rsid w:val="00283A3B"/>
    <w:rsid w:val="00284BCB"/>
    <w:rsid w:val="002858B6"/>
    <w:rsid w:val="002866C4"/>
    <w:rsid w:val="0029030D"/>
    <w:rsid w:val="00291E09"/>
    <w:rsid w:val="00294269"/>
    <w:rsid w:val="002966F3"/>
    <w:rsid w:val="002977B7"/>
    <w:rsid w:val="002A1818"/>
    <w:rsid w:val="002A54D7"/>
    <w:rsid w:val="002A5BB0"/>
    <w:rsid w:val="002A60A4"/>
    <w:rsid w:val="002B089F"/>
    <w:rsid w:val="002B18C7"/>
    <w:rsid w:val="002B3301"/>
    <w:rsid w:val="002C305E"/>
    <w:rsid w:val="002C3E65"/>
    <w:rsid w:val="002C571A"/>
    <w:rsid w:val="002D100A"/>
    <w:rsid w:val="002D6343"/>
    <w:rsid w:val="002D6CFC"/>
    <w:rsid w:val="002E219D"/>
    <w:rsid w:val="002E3EB2"/>
    <w:rsid w:val="002E4820"/>
    <w:rsid w:val="002E6052"/>
    <w:rsid w:val="002E6BA9"/>
    <w:rsid w:val="002E7419"/>
    <w:rsid w:val="002F0D83"/>
    <w:rsid w:val="002F22B8"/>
    <w:rsid w:val="002F36A1"/>
    <w:rsid w:val="002F4A34"/>
    <w:rsid w:val="002F5D48"/>
    <w:rsid w:val="002F6BAC"/>
    <w:rsid w:val="0030107E"/>
    <w:rsid w:val="00302021"/>
    <w:rsid w:val="00304EBB"/>
    <w:rsid w:val="00310FBE"/>
    <w:rsid w:val="003156B8"/>
    <w:rsid w:val="00320064"/>
    <w:rsid w:val="00327AD0"/>
    <w:rsid w:val="00330B89"/>
    <w:rsid w:val="00343663"/>
    <w:rsid w:val="00346C18"/>
    <w:rsid w:val="0034776D"/>
    <w:rsid w:val="00350C8B"/>
    <w:rsid w:val="00351383"/>
    <w:rsid w:val="00351BF9"/>
    <w:rsid w:val="00352B8C"/>
    <w:rsid w:val="00356419"/>
    <w:rsid w:val="003570E2"/>
    <w:rsid w:val="00360B7E"/>
    <w:rsid w:val="0036211E"/>
    <w:rsid w:val="003668AF"/>
    <w:rsid w:val="00366DEE"/>
    <w:rsid w:val="00370B60"/>
    <w:rsid w:val="00371617"/>
    <w:rsid w:val="00382C6C"/>
    <w:rsid w:val="003836B6"/>
    <w:rsid w:val="00387C87"/>
    <w:rsid w:val="0039666E"/>
    <w:rsid w:val="003A0321"/>
    <w:rsid w:val="003A14BF"/>
    <w:rsid w:val="003A244A"/>
    <w:rsid w:val="003A2564"/>
    <w:rsid w:val="003A49AC"/>
    <w:rsid w:val="003B1C72"/>
    <w:rsid w:val="003B4104"/>
    <w:rsid w:val="003B41D1"/>
    <w:rsid w:val="003B519F"/>
    <w:rsid w:val="003B5B92"/>
    <w:rsid w:val="003B6595"/>
    <w:rsid w:val="003C7CBE"/>
    <w:rsid w:val="003D20C1"/>
    <w:rsid w:val="003D23A8"/>
    <w:rsid w:val="003D27A8"/>
    <w:rsid w:val="003D4E2E"/>
    <w:rsid w:val="003D5F33"/>
    <w:rsid w:val="003D63DE"/>
    <w:rsid w:val="003D67A4"/>
    <w:rsid w:val="003E06A6"/>
    <w:rsid w:val="003E215A"/>
    <w:rsid w:val="003E3FD5"/>
    <w:rsid w:val="003E5058"/>
    <w:rsid w:val="003E5244"/>
    <w:rsid w:val="003E52CE"/>
    <w:rsid w:val="003E5B51"/>
    <w:rsid w:val="003E6542"/>
    <w:rsid w:val="003E750C"/>
    <w:rsid w:val="003F0B65"/>
    <w:rsid w:val="003F0D12"/>
    <w:rsid w:val="003F5EEC"/>
    <w:rsid w:val="004135DD"/>
    <w:rsid w:val="00413D5D"/>
    <w:rsid w:val="004171AC"/>
    <w:rsid w:val="00422D7C"/>
    <w:rsid w:val="004240E4"/>
    <w:rsid w:val="00425C3F"/>
    <w:rsid w:val="00430AFD"/>
    <w:rsid w:val="00431582"/>
    <w:rsid w:val="00431733"/>
    <w:rsid w:val="0043271D"/>
    <w:rsid w:val="00434033"/>
    <w:rsid w:val="00434D0B"/>
    <w:rsid w:val="004370A4"/>
    <w:rsid w:val="004377DF"/>
    <w:rsid w:val="004377FB"/>
    <w:rsid w:val="004464F1"/>
    <w:rsid w:val="00451013"/>
    <w:rsid w:val="004617D4"/>
    <w:rsid w:val="004624A8"/>
    <w:rsid w:val="00466421"/>
    <w:rsid w:val="00466BCC"/>
    <w:rsid w:val="004678F3"/>
    <w:rsid w:val="004738AB"/>
    <w:rsid w:val="00477831"/>
    <w:rsid w:val="0048325F"/>
    <w:rsid w:val="00484AD4"/>
    <w:rsid w:val="00484F6C"/>
    <w:rsid w:val="00485D3F"/>
    <w:rsid w:val="00491E2C"/>
    <w:rsid w:val="00494C9F"/>
    <w:rsid w:val="0049562A"/>
    <w:rsid w:val="00496470"/>
    <w:rsid w:val="004976F9"/>
    <w:rsid w:val="00497D74"/>
    <w:rsid w:val="004A3743"/>
    <w:rsid w:val="004C035D"/>
    <w:rsid w:val="004C64B2"/>
    <w:rsid w:val="004C6E27"/>
    <w:rsid w:val="004D11AD"/>
    <w:rsid w:val="004E1B43"/>
    <w:rsid w:val="004E3ACF"/>
    <w:rsid w:val="004F0701"/>
    <w:rsid w:val="004F3429"/>
    <w:rsid w:val="00503518"/>
    <w:rsid w:val="00504439"/>
    <w:rsid w:val="005046B8"/>
    <w:rsid w:val="0050609C"/>
    <w:rsid w:val="0050768C"/>
    <w:rsid w:val="00510843"/>
    <w:rsid w:val="00510997"/>
    <w:rsid w:val="00512997"/>
    <w:rsid w:val="00513584"/>
    <w:rsid w:val="005175F7"/>
    <w:rsid w:val="00521318"/>
    <w:rsid w:val="00521578"/>
    <w:rsid w:val="00523C96"/>
    <w:rsid w:val="00524191"/>
    <w:rsid w:val="00527C18"/>
    <w:rsid w:val="00532EFE"/>
    <w:rsid w:val="00537B66"/>
    <w:rsid w:val="00540CAA"/>
    <w:rsid w:val="005428E4"/>
    <w:rsid w:val="00542941"/>
    <w:rsid w:val="00545572"/>
    <w:rsid w:val="00547118"/>
    <w:rsid w:val="00550131"/>
    <w:rsid w:val="00552D91"/>
    <w:rsid w:val="00560C2E"/>
    <w:rsid w:val="005621CD"/>
    <w:rsid w:val="00563727"/>
    <w:rsid w:val="005650DA"/>
    <w:rsid w:val="00566F3B"/>
    <w:rsid w:val="00567046"/>
    <w:rsid w:val="00581DAD"/>
    <w:rsid w:val="0058439A"/>
    <w:rsid w:val="00586905"/>
    <w:rsid w:val="00591FC1"/>
    <w:rsid w:val="005950CA"/>
    <w:rsid w:val="005B2E91"/>
    <w:rsid w:val="005B4B10"/>
    <w:rsid w:val="005B5071"/>
    <w:rsid w:val="005C1C2B"/>
    <w:rsid w:val="005C56E0"/>
    <w:rsid w:val="005D0063"/>
    <w:rsid w:val="005D27F4"/>
    <w:rsid w:val="005D4F81"/>
    <w:rsid w:val="005E4A80"/>
    <w:rsid w:val="005E4AEF"/>
    <w:rsid w:val="005E60DA"/>
    <w:rsid w:val="005E7562"/>
    <w:rsid w:val="005F11AA"/>
    <w:rsid w:val="005F223B"/>
    <w:rsid w:val="005F4DA2"/>
    <w:rsid w:val="005F6D88"/>
    <w:rsid w:val="00600967"/>
    <w:rsid w:val="00605CA5"/>
    <w:rsid w:val="00607C87"/>
    <w:rsid w:val="00610FA6"/>
    <w:rsid w:val="006113E6"/>
    <w:rsid w:val="006121B5"/>
    <w:rsid w:val="006133EB"/>
    <w:rsid w:val="00614556"/>
    <w:rsid w:val="00614F33"/>
    <w:rsid w:val="00616D64"/>
    <w:rsid w:val="00620072"/>
    <w:rsid w:val="00620831"/>
    <w:rsid w:val="00620B01"/>
    <w:rsid w:val="0062160C"/>
    <w:rsid w:val="006224BD"/>
    <w:rsid w:val="00623666"/>
    <w:rsid w:val="00623C7C"/>
    <w:rsid w:val="0062499A"/>
    <w:rsid w:val="006252A1"/>
    <w:rsid w:val="00627518"/>
    <w:rsid w:val="006350A5"/>
    <w:rsid w:val="00642B9C"/>
    <w:rsid w:val="006466D9"/>
    <w:rsid w:val="006472A8"/>
    <w:rsid w:val="00653F8E"/>
    <w:rsid w:val="00654E11"/>
    <w:rsid w:val="0065613D"/>
    <w:rsid w:val="006568C0"/>
    <w:rsid w:val="00662327"/>
    <w:rsid w:val="00663B30"/>
    <w:rsid w:val="006658BC"/>
    <w:rsid w:val="00667077"/>
    <w:rsid w:val="00676A11"/>
    <w:rsid w:val="006774FD"/>
    <w:rsid w:val="006800F2"/>
    <w:rsid w:val="006822A3"/>
    <w:rsid w:val="00684311"/>
    <w:rsid w:val="00684853"/>
    <w:rsid w:val="006901C8"/>
    <w:rsid w:val="006912DA"/>
    <w:rsid w:val="006940A8"/>
    <w:rsid w:val="006945D3"/>
    <w:rsid w:val="006954E8"/>
    <w:rsid w:val="0069695E"/>
    <w:rsid w:val="006A4752"/>
    <w:rsid w:val="006A4DC0"/>
    <w:rsid w:val="006B289E"/>
    <w:rsid w:val="006B6D0C"/>
    <w:rsid w:val="006B7597"/>
    <w:rsid w:val="006B7928"/>
    <w:rsid w:val="006C0E8C"/>
    <w:rsid w:val="006C32A4"/>
    <w:rsid w:val="006D1B65"/>
    <w:rsid w:val="006D50E2"/>
    <w:rsid w:val="006D5331"/>
    <w:rsid w:val="006D6E13"/>
    <w:rsid w:val="006E3919"/>
    <w:rsid w:val="006E6833"/>
    <w:rsid w:val="006E70D4"/>
    <w:rsid w:val="006F0AB4"/>
    <w:rsid w:val="006F31F4"/>
    <w:rsid w:val="006F4A1A"/>
    <w:rsid w:val="006F4A32"/>
    <w:rsid w:val="006F7DD8"/>
    <w:rsid w:val="00704941"/>
    <w:rsid w:val="00704C25"/>
    <w:rsid w:val="007054DD"/>
    <w:rsid w:val="00705B01"/>
    <w:rsid w:val="00712B74"/>
    <w:rsid w:val="00714084"/>
    <w:rsid w:val="00716AF8"/>
    <w:rsid w:val="00716F2D"/>
    <w:rsid w:val="007176C1"/>
    <w:rsid w:val="007216BE"/>
    <w:rsid w:val="007228A8"/>
    <w:rsid w:val="00723C3E"/>
    <w:rsid w:val="00724DC5"/>
    <w:rsid w:val="00727EB5"/>
    <w:rsid w:val="00730E93"/>
    <w:rsid w:val="0073272F"/>
    <w:rsid w:val="007360E7"/>
    <w:rsid w:val="0073636F"/>
    <w:rsid w:val="00736CF4"/>
    <w:rsid w:val="00737A33"/>
    <w:rsid w:val="00741942"/>
    <w:rsid w:val="00741C18"/>
    <w:rsid w:val="00743892"/>
    <w:rsid w:val="00746133"/>
    <w:rsid w:val="00746180"/>
    <w:rsid w:val="00746837"/>
    <w:rsid w:val="00746851"/>
    <w:rsid w:val="00752216"/>
    <w:rsid w:val="0075299E"/>
    <w:rsid w:val="00754109"/>
    <w:rsid w:val="00757C86"/>
    <w:rsid w:val="00761A4A"/>
    <w:rsid w:val="00770C27"/>
    <w:rsid w:val="007774C0"/>
    <w:rsid w:val="00787E08"/>
    <w:rsid w:val="00791894"/>
    <w:rsid w:val="00793DE3"/>
    <w:rsid w:val="00794B07"/>
    <w:rsid w:val="00796C5A"/>
    <w:rsid w:val="00797A31"/>
    <w:rsid w:val="007A3579"/>
    <w:rsid w:val="007A4623"/>
    <w:rsid w:val="007A5090"/>
    <w:rsid w:val="007B03EF"/>
    <w:rsid w:val="007B0F11"/>
    <w:rsid w:val="007B0FB4"/>
    <w:rsid w:val="007B4277"/>
    <w:rsid w:val="007B4E39"/>
    <w:rsid w:val="007B5DB5"/>
    <w:rsid w:val="007B6F07"/>
    <w:rsid w:val="007B762E"/>
    <w:rsid w:val="007C1D6F"/>
    <w:rsid w:val="007C2CB1"/>
    <w:rsid w:val="007C75E8"/>
    <w:rsid w:val="007D1819"/>
    <w:rsid w:val="007D356F"/>
    <w:rsid w:val="007D505E"/>
    <w:rsid w:val="007D526F"/>
    <w:rsid w:val="007D5696"/>
    <w:rsid w:val="007E2DB9"/>
    <w:rsid w:val="007E35B7"/>
    <w:rsid w:val="007E4DD1"/>
    <w:rsid w:val="007F0F99"/>
    <w:rsid w:val="007F1745"/>
    <w:rsid w:val="007F4023"/>
    <w:rsid w:val="007F41F8"/>
    <w:rsid w:val="007F5926"/>
    <w:rsid w:val="007F59BD"/>
    <w:rsid w:val="007F6143"/>
    <w:rsid w:val="00800CE8"/>
    <w:rsid w:val="008013F3"/>
    <w:rsid w:val="0080151B"/>
    <w:rsid w:val="00803CA0"/>
    <w:rsid w:val="0080410D"/>
    <w:rsid w:val="0080557D"/>
    <w:rsid w:val="0080564D"/>
    <w:rsid w:val="00806847"/>
    <w:rsid w:val="008113AB"/>
    <w:rsid w:val="0081372A"/>
    <w:rsid w:val="0082163C"/>
    <w:rsid w:val="00826C74"/>
    <w:rsid w:val="00830404"/>
    <w:rsid w:val="008309DF"/>
    <w:rsid w:val="008309F3"/>
    <w:rsid w:val="00832428"/>
    <w:rsid w:val="00833387"/>
    <w:rsid w:val="00833EC2"/>
    <w:rsid w:val="0083638D"/>
    <w:rsid w:val="00841769"/>
    <w:rsid w:val="00842517"/>
    <w:rsid w:val="008436C9"/>
    <w:rsid w:val="008459C9"/>
    <w:rsid w:val="008472CB"/>
    <w:rsid w:val="008506E4"/>
    <w:rsid w:val="00851E90"/>
    <w:rsid w:val="008520AD"/>
    <w:rsid w:val="00853178"/>
    <w:rsid w:val="00861C22"/>
    <w:rsid w:val="00862F2C"/>
    <w:rsid w:val="00863513"/>
    <w:rsid w:val="00864A60"/>
    <w:rsid w:val="0087072B"/>
    <w:rsid w:val="00871019"/>
    <w:rsid w:val="0088160B"/>
    <w:rsid w:val="008868E7"/>
    <w:rsid w:val="00890319"/>
    <w:rsid w:val="00890D52"/>
    <w:rsid w:val="00894A20"/>
    <w:rsid w:val="00895C40"/>
    <w:rsid w:val="0089765F"/>
    <w:rsid w:val="008A6DDE"/>
    <w:rsid w:val="008B11C4"/>
    <w:rsid w:val="008B4A5E"/>
    <w:rsid w:val="008C0135"/>
    <w:rsid w:val="008C50C1"/>
    <w:rsid w:val="008C63E1"/>
    <w:rsid w:val="008C6592"/>
    <w:rsid w:val="008C6AB5"/>
    <w:rsid w:val="008C7AC4"/>
    <w:rsid w:val="008D003F"/>
    <w:rsid w:val="008D08FB"/>
    <w:rsid w:val="008D09AF"/>
    <w:rsid w:val="008D1EC0"/>
    <w:rsid w:val="008D3EAD"/>
    <w:rsid w:val="008D41B0"/>
    <w:rsid w:val="008E3E27"/>
    <w:rsid w:val="008E3FC3"/>
    <w:rsid w:val="008F32C1"/>
    <w:rsid w:val="008F472E"/>
    <w:rsid w:val="008F6D10"/>
    <w:rsid w:val="00912D80"/>
    <w:rsid w:val="00913B49"/>
    <w:rsid w:val="0091479A"/>
    <w:rsid w:val="00917127"/>
    <w:rsid w:val="00917888"/>
    <w:rsid w:val="00922FAF"/>
    <w:rsid w:val="00926216"/>
    <w:rsid w:val="00926356"/>
    <w:rsid w:val="009275AF"/>
    <w:rsid w:val="009278E5"/>
    <w:rsid w:val="009361E7"/>
    <w:rsid w:val="009375E6"/>
    <w:rsid w:val="00942147"/>
    <w:rsid w:val="00944392"/>
    <w:rsid w:val="00944D33"/>
    <w:rsid w:val="00950091"/>
    <w:rsid w:val="00952D84"/>
    <w:rsid w:val="00955C17"/>
    <w:rsid w:val="00960406"/>
    <w:rsid w:val="00961ABA"/>
    <w:rsid w:val="009620A2"/>
    <w:rsid w:val="00962441"/>
    <w:rsid w:val="00963094"/>
    <w:rsid w:val="009637BF"/>
    <w:rsid w:val="00965143"/>
    <w:rsid w:val="00965894"/>
    <w:rsid w:val="00976096"/>
    <w:rsid w:val="0097757D"/>
    <w:rsid w:val="00982145"/>
    <w:rsid w:val="00984207"/>
    <w:rsid w:val="009860F6"/>
    <w:rsid w:val="00990A7C"/>
    <w:rsid w:val="00991EBE"/>
    <w:rsid w:val="009944E5"/>
    <w:rsid w:val="00994EDB"/>
    <w:rsid w:val="00997C36"/>
    <w:rsid w:val="009A1894"/>
    <w:rsid w:val="009A318B"/>
    <w:rsid w:val="009A4B8C"/>
    <w:rsid w:val="009A61E6"/>
    <w:rsid w:val="009B1277"/>
    <w:rsid w:val="009B694D"/>
    <w:rsid w:val="009B7B1B"/>
    <w:rsid w:val="009C1AA0"/>
    <w:rsid w:val="009C6229"/>
    <w:rsid w:val="009C7378"/>
    <w:rsid w:val="009C7F4E"/>
    <w:rsid w:val="009D2BF8"/>
    <w:rsid w:val="009D3096"/>
    <w:rsid w:val="009D5B47"/>
    <w:rsid w:val="009E545C"/>
    <w:rsid w:val="009E613E"/>
    <w:rsid w:val="009F2F8A"/>
    <w:rsid w:val="009F4B92"/>
    <w:rsid w:val="00A05A87"/>
    <w:rsid w:val="00A069BA"/>
    <w:rsid w:val="00A102A6"/>
    <w:rsid w:val="00A11D5A"/>
    <w:rsid w:val="00A12764"/>
    <w:rsid w:val="00A14205"/>
    <w:rsid w:val="00A15A74"/>
    <w:rsid w:val="00A1649D"/>
    <w:rsid w:val="00A20D5C"/>
    <w:rsid w:val="00A21471"/>
    <w:rsid w:val="00A21CC3"/>
    <w:rsid w:val="00A2232D"/>
    <w:rsid w:val="00A22BE7"/>
    <w:rsid w:val="00A238E1"/>
    <w:rsid w:val="00A257EE"/>
    <w:rsid w:val="00A258F7"/>
    <w:rsid w:val="00A260ED"/>
    <w:rsid w:val="00A31E0D"/>
    <w:rsid w:val="00A322EF"/>
    <w:rsid w:val="00A3293C"/>
    <w:rsid w:val="00A333C5"/>
    <w:rsid w:val="00A34484"/>
    <w:rsid w:val="00A42C70"/>
    <w:rsid w:val="00A435F9"/>
    <w:rsid w:val="00A45A26"/>
    <w:rsid w:val="00A46920"/>
    <w:rsid w:val="00A51F33"/>
    <w:rsid w:val="00A53331"/>
    <w:rsid w:val="00A560D1"/>
    <w:rsid w:val="00A576E5"/>
    <w:rsid w:val="00A57F66"/>
    <w:rsid w:val="00A64A43"/>
    <w:rsid w:val="00A655D6"/>
    <w:rsid w:val="00A7218A"/>
    <w:rsid w:val="00A74AF0"/>
    <w:rsid w:val="00A76B3C"/>
    <w:rsid w:val="00A76B99"/>
    <w:rsid w:val="00A811D5"/>
    <w:rsid w:val="00A8447C"/>
    <w:rsid w:val="00A8541C"/>
    <w:rsid w:val="00A8691B"/>
    <w:rsid w:val="00A92C3B"/>
    <w:rsid w:val="00A92C72"/>
    <w:rsid w:val="00A94161"/>
    <w:rsid w:val="00A943F7"/>
    <w:rsid w:val="00AA04FB"/>
    <w:rsid w:val="00AA227F"/>
    <w:rsid w:val="00AA443E"/>
    <w:rsid w:val="00AA470E"/>
    <w:rsid w:val="00AA5CBB"/>
    <w:rsid w:val="00AA725B"/>
    <w:rsid w:val="00AA7380"/>
    <w:rsid w:val="00AB21F2"/>
    <w:rsid w:val="00AB2DAF"/>
    <w:rsid w:val="00AB3341"/>
    <w:rsid w:val="00AB45F5"/>
    <w:rsid w:val="00AB4652"/>
    <w:rsid w:val="00AB50EC"/>
    <w:rsid w:val="00AC562C"/>
    <w:rsid w:val="00AC7533"/>
    <w:rsid w:val="00AD6192"/>
    <w:rsid w:val="00AE0F35"/>
    <w:rsid w:val="00AE10E0"/>
    <w:rsid w:val="00AE6C95"/>
    <w:rsid w:val="00AF21F6"/>
    <w:rsid w:val="00AF2964"/>
    <w:rsid w:val="00AF29FA"/>
    <w:rsid w:val="00AF5B99"/>
    <w:rsid w:val="00B00FC4"/>
    <w:rsid w:val="00B0109A"/>
    <w:rsid w:val="00B03F87"/>
    <w:rsid w:val="00B05A00"/>
    <w:rsid w:val="00B079F0"/>
    <w:rsid w:val="00B07B0C"/>
    <w:rsid w:val="00B12DAC"/>
    <w:rsid w:val="00B13959"/>
    <w:rsid w:val="00B16703"/>
    <w:rsid w:val="00B1764E"/>
    <w:rsid w:val="00B26575"/>
    <w:rsid w:val="00B404EA"/>
    <w:rsid w:val="00B422CC"/>
    <w:rsid w:val="00B42A79"/>
    <w:rsid w:val="00B42CC2"/>
    <w:rsid w:val="00B46245"/>
    <w:rsid w:val="00B4628B"/>
    <w:rsid w:val="00B513B0"/>
    <w:rsid w:val="00B51D49"/>
    <w:rsid w:val="00B51FF8"/>
    <w:rsid w:val="00B54BB5"/>
    <w:rsid w:val="00B553CE"/>
    <w:rsid w:val="00B57034"/>
    <w:rsid w:val="00B57776"/>
    <w:rsid w:val="00B57E24"/>
    <w:rsid w:val="00B64493"/>
    <w:rsid w:val="00B72B8F"/>
    <w:rsid w:val="00B75EEC"/>
    <w:rsid w:val="00B7603C"/>
    <w:rsid w:val="00B7719E"/>
    <w:rsid w:val="00B8047B"/>
    <w:rsid w:val="00B804E6"/>
    <w:rsid w:val="00B80618"/>
    <w:rsid w:val="00B8264D"/>
    <w:rsid w:val="00B83225"/>
    <w:rsid w:val="00B85592"/>
    <w:rsid w:val="00B867CC"/>
    <w:rsid w:val="00B91414"/>
    <w:rsid w:val="00B91486"/>
    <w:rsid w:val="00B96E88"/>
    <w:rsid w:val="00BA016F"/>
    <w:rsid w:val="00BA0B31"/>
    <w:rsid w:val="00BA108C"/>
    <w:rsid w:val="00BA5EBA"/>
    <w:rsid w:val="00BB0082"/>
    <w:rsid w:val="00BB50DE"/>
    <w:rsid w:val="00BC0239"/>
    <w:rsid w:val="00BC4B29"/>
    <w:rsid w:val="00BD52D1"/>
    <w:rsid w:val="00BD6D94"/>
    <w:rsid w:val="00BD7A08"/>
    <w:rsid w:val="00BE0766"/>
    <w:rsid w:val="00BE0E8C"/>
    <w:rsid w:val="00BE1540"/>
    <w:rsid w:val="00BE2487"/>
    <w:rsid w:val="00BF1989"/>
    <w:rsid w:val="00BF2970"/>
    <w:rsid w:val="00BF6433"/>
    <w:rsid w:val="00BF7402"/>
    <w:rsid w:val="00BF77F3"/>
    <w:rsid w:val="00C03B94"/>
    <w:rsid w:val="00C04594"/>
    <w:rsid w:val="00C053B7"/>
    <w:rsid w:val="00C1044D"/>
    <w:rsid w:val="00C12011"/>
    <w:rsid w:val="00C12154"/>
    <w:rsid w:val="00C12749"/>
    <w:rsid w:val="00C13002"/>
    <w:rsid w:val="00C17001"/>
    <w:rsid w:val="00C27011"/>
    <w:rsid w:val="00C27D8E"/>
    <w:rsid w:val="00C30628"/>
    <w:rsid w:val="00C30F52"/>
    <w:rsid w:val="00C358EB"/>
    <w:rsid w:val="00C35C25"/>
    <w:rsid w:val="00C35F75"/>
    <w:rsid w:val="00C37D4B"/>
    <w:rsid w:val="00C43227"/>
    <w:rsid w:val="00C43B52"/>
    <w:rsid w:val="00C441EE"/>
    <w:rsid w:val="00C4441B"/>
    <w:rsid w:val="00C46BFA"/>
    <w:rsid w:val="00C50426"/>
    <w:rsid w:val="00C51AC7"/>
    <w:rsid w:val="00C5577A"/>
    <w:rsid w:val="00C56C89"/>
    <w:rsid w:val="00C62C75"/>
    <w:rsid w:val="00C65BBD"/>
    <w:rsid w:val="00C66BE4"/>
    <w:rsid w:val="00C67DEB"/>
    <w:rsid w:val="00C700F9"/>
    <w:rsid w:val="00C714C4"/>
    <w:rsid w:val="00C72113"/>
    <w:rsid w:val="00C72135"/>
    <w:rsid w:val="00C72C6F"/>
    <w:rsid w:val="00C74D06"/>
    <w:rsid w:val="00C80836"/>
    <w:rsid w:val="00C83B2E"/>
    <w:rsid w:val="00C85111"/>
    <w:rsid w:val="00C86AF5"/>
    <w:rsid w:val="00C9095C"/>
    <w:rsid w:val="00C915E1"/>
    <w:rsid w:val="00C91DAE"/>
    <w:rsid w:val="00C91FED"/>
    <w:rsid w:val="00C92341"/>
    <w:rsid w:val="00C925E8"/>
    <w:rsid w:val="00C930A6"/>
    <w:rsid w:val="00C93657"/>
    <w:rsid w:val="00C93ABF"/>
    <w:rsid w:val="00C95ECC"/>
    <w:rsid w:val="00CA101D"/>
    <w:rsid w:val="00CA3E8D"/>
    <w:rsid w:val="00CA47FE"/>
    <w:rsid w:val="00CA7D48"/>
    <w:rsid w:val="00CC01C8"/>
    <w:rsid w:val="00CC066E"/>
    <w:rsid w:val="00CC3883"/>
    <w:rsid w:val="00CC52C8"/>
    <w:rsid w:val="00CC7F40"/>
    <w:rsid w:val="00CD333F"/>
    <w:rsid w:val="00CD5A3D"/>
    <w:rsid w:val="00CE0212"/>
    <w:rsid w:val="00CE10F7"/>
    <w:rsid w:val="00CE1A91"/>
    <w:rsid w:val="00CE22C7"/>
    <w:rsid w:val="00CE27B2"/>
    <w:rsid w:val="00CE406E"/>
    <w:rsid w:val="00CE473F"/>
    <w:rsid w:val="00CE59FA"/>
    <w:rsid w:val="00CE6BF6"/>
    <w:rsid w:val="00CF194C"/>
    <w:rsid w:val="00D0100D"/>
    <w:rsid w:val="00D014B9"/>
    <w:rsid w:val="00D025A0"/>
    <w:rsid w:val="00D035E5"/>
    <w:rsid w:val="00D03B0E"/>
    <w:rsid w:val="00D0561F"/>
    <w:rsid w:val="00D11CC5"/>
    <w:rsid w:val="00D13A44"/>
    <w:rsid w:val="00D14505"/>
    <w:rsid w:val="00D1728A"/>
    <w:rsid w:val="00D2058F"/>
    <w:rsid w:val="00D21467"/>
    <w:rsid w:val="00D22581"/>
    <w:rsid w:val="00D275A2"/>
    <w:rsid w:val="00D320DA"/>
    <w:rsid w:val="00D42F56"/>
    <w:rsid w:val="00D434E4"/>
    <w:rsid w:val="00D45098"/>
    <w:rsid w:val="00D478A5"/>
    <w:rsid w:val="00D47F64"/>
    <w:rsid w:val="00D501CF"/>
    <w:rsid w:val="00D50858"/>
    <w:rsid w:val="00D52932"/>
    <w:rsid w:val="00D530E9"/>
    <w:rsid w:val="00D53288"/>
    <w:rsid w:val="00D54494"/>
    <w:rsid w:val="00D65B87"/>
    <w:rsid w:val="00D7070F"/>
    <w:rsid w:val="00D72CF7"/>
    <w:rsid w:val="00D76E7B"/>
    <w:rsid w:val="00D77255"/>
    <w:rsid w:val="00D817F7"/>
    <w:rsid w:val="00D81A16"/>
    <w:rsid w:val="00D8454E"/>
    <w:rsid w:val="00D85698"/>
    <w:rsid w:val="00D861E9"/>
    <w:rsid w:val="00D87FF4"/>
    <w:rsid w:val="00D90320"/>
    <w:rsid w:val="00D933A5"/>
    <w:rsid w:val="00D95E12"/>
    <w:rsid w:val="00D962F4"/>
    <w:rsid w:val="00D97DFF"/>
    <w:rsid w:val="00DA040F"/>
    <w:rsid w:val="00DA06DC"/>
    <w:rsid w:val="00DA1A1C"/>
    <w:rsid w:val="00DA1FAE"/>
    <w:rsid w:val="00DA400F"/>
    <w:rsid w:val="00DA4742"/>
    <w:rsid w:val="00DA5A0E"/>
    <w:rsid w:val="00DA5F37"/>
    <w:rsid w:val="00DB2623"/>
    <w:rsid w:val="00DB2BC4"/>
    <w:rsid w:val="00DB5025"/>
    <w:rsid w:val="00DC0708"/>
    <w:rsid w:val="00DC0959"/>
    <w:rsid w:val="00DC0F80"/>
    <w:rsid w:val="00DC1815"/>
    <w:rsid w:val="00DC49F2"/>
    <w:rsid w:val="00DD17B3"/>
    <w:rsid w:val="00DD2E7A"/>
    <w:rsid w:val="00DD40F1"/>
    <w:rsid w:val="00DD4F0A"/>
    <w:rsid w:val="00DD5AAA"/>
    <w:rsid w:val="00DD5DA5"/>
    <w:rsid w:val="00DE4EF6"/>
    <w:rsid w:val="00DF0471"/>
    <w:rsid w:val="00DF08CB"/>
    <w:rsid w:val="00DF0C2A"/>
    <w:rsid w:val="00DF7682"/>
    <w:rsid w:val="00DF7CA3"/>
    <w:rsid w:val="00E00526"/>
    <w:rsid w:val="00E02850"/>
    <w:rsid w:val="00E02F09"/>
    <w:rsid w:val="00E11FC1"/>
    <w:rsid w:val="00E22862"/>
    <w:rsid w:val="00E2448B"/>
    <w:rsid w:val="00E24CD1"/>
    <w:rsid w:val="00E25B5B"/>
    <w:rsid w:val="00E27915"/>
    <w:rsid w:val="00E30BC0"/>
    <w:rsid w:val="00E32D79"/>
    <w:rsid w:val="00E32F80"/>
    <w:rsid w:val="00E34D3F"/>
    <w:rsid w:val="00E36A0A"/>
    <w:rsid w:val="00E44C26"/>
    <w:rsid w:val="00E45D97"/>
    <w:rsid w:val="00E52448"/>
    <w:rsid w:val="00E53BA0"/>
    <w:rsid w:val="00E54DB9"/>
    <w:rsid w:val="00E56C72"/>
    <w:rsid w:val="00E701F2"/>
    <w:rsid w:val="00E733CA"/>
    <w:rsid w:val="00E8208F"/>
    <w:rsid w:val="00E87662"/>
    <w:rsid w:val="00E9169E"/>
    <w:rsid w:val="00E93C19"/>
    <w:rsid w:val="00E944D2"/>
    <w:rsid w:val="00EA1E86"/>
    <w:rsid w:val="00EA2BB5"/>
    <w:rsid w:val="00EA317D"/>
    <w:rsid w:val="00EA56FE"/>
    <w:rsid w:val="00EA59A7"/>
    <w:rsid w:val="00EB3483"/>
    <w:rsid w:val="00EB627A"/>
    <w:rsid w:val="00EB64D4"/>
    <w:rsid w:val="00EB6B61"/>
    <w:rsid w:val="00EB7319"/>
    <w:rsid w:val="00EC1008"/>
    <w:rsid w:val="00EC144A"/>
    <w:rsid w:val="00EC28FD"/>
    <w:rsid w:val="00EC2C78"/>
    <w:rsid w:val="00ED0555"/>
    <w:rsid w:val="00ED05A3"/>
    <w:rsid w:val="00ED56EA"/>
    <w:rsid w:val="00ED582D"/>
    <w:rsid w:val="00ED6F4C"/>
    <w:rsid w:val="00EE0886"/>
    <w:rsid w:val="00EE0F67"/>
    <w:rsid w:val="00EE2FE0"/>
    <w:rsid w:val="00EE4901"/>
    <w:rsid w:val="00EE6A72"/>
    <w:rsid w:val="00EF0510"/>
    <w:rsid w:val="00EF075D"/>
    <w:rsid w:val="00EF2F62"/>
    <w:rsid w:val="00EF5A24"/>
    <w:rsid w:val="00F02582"/>
    <w:rsid w:val="00F0496E"/>
    <w:rsid w:val="00F04EE1"/>
    <w:rsid w:val="00F06BA7"/>
    <w:rsid w:val="00F079D5"/>
    <w:rsid w:val="00F10609"/>
    <w:rsid w:val="00F10994"/>
    <w:rsid w:val="00F11264"/>
    <w:rsid w:val="00F1272C"/>
    <w:rsid w:val="00F1366E"/>
    <w:rsid w:val="00F150A2"/>
    <w:rsid w:val="00F25EDD"/>
    <w:rsid w:val="00F279FE"/>
    <w:rsid w:val="00F32BDB"/>
    <w:rsid w:val="00F37C5C"/>
    <w:rsid w:val="00F41813"/>
    <w:rsid w:val="00F42096"/>
    <w:rsid w:val="00F431E2"/>
    <w:rsid w:val="00F43A5B"/>
    <w:rsid w:val="00F45C52"/>
    <w:rsid w:val="00F4647E"/>
    <w:rsid w:val="00F53D1E"/>
    <w:rsid w:val="00F578C9"/>
    <w:rsid w:val="00F605DD"/>
    <w:rsid w:val="00F60646"/>
    <w:rsid w:val="00F61EE5"/>
    <w:rsid w:val="00F65257"/>
    <w:rsid w:val="00F65360"/>
    <w:rsid w:val="00F662FA"/>
    <w:rsid w:val="00F706D7"/>
    <w:rsid w:val="00F76F85"/>
    <w:rsid w:val="00F77BA1"/>
    <w:rsid w:val="00F820D8"/>
    <w:rsid w:val="00F85E52"/>
    <w:rsid w:val="00F866A7"/>
    <w:rsid w:val="00F91AEC"/>
    <w:rsid w:val="00F9259B"/>
    <w:rsid w:val="00F931C6"/>
    <w:rsid w:val="00F95948"/>
    <w:rsid w:val="00F95DDB"/>
    <w:rsid w:val="00F96C61"/>
    <w:rsid w:val="00F97539"/>
    <w:rsid w:val="00F978F1"/>
    <w:rsid w:val="00FA2CC6"/>
    <w:rsid w:val="00FA3CA7"/>
    <w:rsid w:val="00FA4F08"/>
    <w:rsid w:val="00FC00A7"/>
    <w:rsid w:val="00FC2610"/>
    <w:rsid w:val="00FC2AB0"/>
    <w:rsid w:val="00FD0A0D"/>
    <w:rsid w:val="00FD166D"/>
    <w:rsid w:val="00FD464C"/>
    <w:rsid w:val="00FE1067"/>
    <w:rsid w:val="00FE1620"/>
    <w:rsid w:val="00FE3E3F"/>
    <w:rsid w:val="00FE5285"/>
    <w:rsid w:val="00FF1F50"/>
    <w:rsid w:val="00FF59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B61CA2"/>
  <w15:chartTrackingRefBased/>
  <w15:docId w15:val="{EB8F52F6-97B3-4D5A-A6F8-62C7017B7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6D64"/>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autoRedefine/>
    <w:uiPriority w:val="9"/>
    <w:qFormat/>
    <w:rsid w:val="005E4A80"/>
    <w:pPr>
      <w:widowControl w:val="0"/>
      <w:tabs>
        <w:tab w:val="right" w:leader="dot" w:pos="9270"/>
      </w:tabs>
      <w:spacing w:before="100" w:beforeAutospacing="1" w:after="100" w:afterAutospacing="1" w:line="360" w:lineRule="auto"/>
      <w:ind w:left="-360" w:right="-270" w:firstLine="540"/>
      <w:outlineLvl w:val="0"/>
    </w:pPr>
    <w:rPr>
      <w:rFonts w:ascii="Garamond" w:eastAsiaTheme="minorHAnsi" w:hAnsi="Garamond"/>
      <w:b/>
    </w:rPr>
  </w:style>
  <w:style w:type="paragraph" w:styleId="Heading2">
    <w:name w:val="heading 2"/>
    <w:basedOn w:val="Normal"/>
    <w:next w:val="Normal"/>
    <w:link w:val="Heading2Char"/>
    <w:autoRedefine/>
    <w:uiPriority w:val="9"/>
    <w:unhideWhenUsed/>
    <w:qFormat/>
    <w:rsid w:val="000200DF"/>
    <w:pPr>
      <w:widowControl w:val="0"/>
      <w:numPr>
        <w:numId w:val="9"/>
      </w:numPr>
      <w:tabs>
        <w:tab w:val="right" w:leader="dot" w:pos="9270"/>
      </w:tabs>
      <w:spacing w:line="360" w:lineRule="auto"/>
      <w:ind w:left="907" w:right="-274"/>
      <w:outlineLvl w:val="1"/>
    </w:pPr>
    <w:rPr>
      <w:rFonts w:ascii="Garamond" w:eastAsiaTheme="majorEastAsia" w:hAnsi="Garamond" w:cstheme="majorBidi"/>
      <w:i/>
      <w:color w:val="000000" w:themeColor="text1"/>
      <w:sz w:val="22"/>
      <w:szCs w:val="22"/>
    </w:rPr>
  </w:style>
  <w:style w:type="paragraph" w:styleId="Heading3">
    <w:name w:val="heading 3"/>
    <w:basedOn w:val="Normal"/>
    <w:next w:val="Normal"/>
    <w:link w:val="Heading3Char"/>
    <w:uiPriority w:val="9"/>
    <w:unhideWhenUsed/>
    <w:qFormat/>
    <w:rsid w:val="00B91414"/>
    <w:pPr>
      <w:keepNext/>
      <w:keepLines/>
      <w:spacing w:before="100" w:beforeAutospacing="1" w:after="100" w:afterAutospacing="1"/>
      <w:ind w:firstLine="720"/>
      <w:outlineLvl w:val="2"/>
    </w:pPr>
    <w:rPr>
      <w:rFonts w:ascii="Garamond" w:eastAsiaTheme="majorEastAsia" w:hAnsi="Garamond" w:cstheme="majorBidi"/>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4A80"/>
    <w:rPr>
      <w:rFonts w:ascii="Garamond" w:hAnsi="Garamond" w:cs="Times New Roman"/>
      <w:b/>
      <w:sz w:val="24"/>
      <w:szCs w:val="24"/>
    </w:rPr>
  </w:style>
  <w:style w:type="character" w:customStyle="1" w:styleId="Heading2Char">
    <w:name w:val="Heading 2 Char"/>
    <w:basedOn w:val="DefaultParagraphFont"/>
    <w:link w:val="Heading2"/>
    <w:uiPriority w:val="9"/>
    <w:rsid w:val="000200DF"/>
    <w:rPr>
      <w:rFonts w:ascii="Garamond" w:eastAsiaTheme="majorEastAsia" w:hAnsi="Garamond" w:cstheme="majorBidi"/>
      <w:i/>
      <w:color w:val="000000" w:themeColor="text1"/>
    </w:rPr>
  </w:style>
  <w:style w:type="character" w:customStyle="1" w:styleId="Heading3Char">
    <w:name w:val="Heading 3 Char"/>
    <w:basedOn w:val="DefaultParagraphFont"/>
    <w:link w:val="Heading3"/>
    <w:uiPriority w:val="9"/>
    <w:rsid w:val="00B91414"/>
    <w:rPr>
      <w:rFonts w:ascii="Garamond" w:eastAsiaTheme="majorEastAsia" w:hAnsi="Garamond" w:cstheme="majorBidi"/>
      <w:sz w:val="24"/>
      <w:szCs w:val="24"/>
      <w:u w:val="single"/>
    </w:rPr>
  </w:style>
  <w:style w:type="paragraph" w:styleId="NormalWeb">
    <w:name w:val="Normal (Web)"/>
    <w:basedOn w:val="Normal"/>
    <w:uiPriority w:val="99"/>
    <w:unhideWhenUsed/>
    <w:rsid w:val="00B91414"/>
    <w:pPr>
      <w:spacing w:before="100" w:beforeAutospacing="1" w:after="100" w:afterAutospacing="1"/>
    </w:pPr>
    <w:rPr>
      <w:rFonts w:eastAsiaTheme="minorHAnsi"/>
    </w:rPr>
  </w:style>
  <w:style w:type="character" w:customStyle="1" w:styleId="apple-tab-span">
    <w:name w:val="apple-tab-span"/>
    <w:basedOn w:val="DefaultParagraphFont"/>
    <w:rsid w:val="00B91414"/>
  </w:style>
  <w:style w:type="paragraph" w:styleId="FootnoteText">
    <w:name w:val="footnote text"/>
    <w:basedOn w:val="Normal"/>
    <w:link w:val="FootnoteTextChar"/>
    <w:uiPriority w:val="99"/>
    <w:unhideWhenUsed/>
    <w:rsid w:val="00B91414"/>
    <w:rPr>
      <w:rFonts w:eastAsiaTheme="minorHAnsi"/>
      <w:sz w:val="20"/>
      <w:szCs w:val="20"/>
    </w:rPr>
  </w:style>
  <w:style w:type="character" w:customStyle="1" w:styleId="FootnoteTextChar">
    <w:name w:val="Footnote Text Char"/>
    <w:basedOn w:val="DefaultParagraphFont"/>
    <w:link w:val="FootnoteText"/>
    <w:uiPriority w:val="99"/>
    <w:rsid w:val="00B91414"/>
    <w:rPr>
      <w:rFonts w:ascii="Times New Roman" w:hAnsi="Times New Roman" w:cs="Times New Roman"/>
      <w:sz w:val="20"/>
      <w:szCs w:val="20"/>
    </w:rPr>
  </w:style>
  <w:style w:type="character" w:styleId="FootnoteReference">
    <w:name w:val="footnote reference"/>
    <w:aliases w:val="4_G"/>
    <w:basedOn w:val="DefaultParagraphFont"/>
    <w:unhideWhenUsed/>
    <w:rsid w:val="00B91414"/>
    <w:rPr>
      <w:vertAlign w:val="superscript"/>
    </w:rPr>
  </w:style>
  <w:style w:type="character" w:styleId="Hyperlink">
    <w:name w:val="Hyperlink"/>
    <w:basedOn w:val="DefaultParagraphFont"/>
    <w:uiPriority w:val="99"/>
    <w:unhideWhenUsed/>
    <w:rsid w:val="00B91414"/>
    <w:rPr>
      <w:color w:val="0563C1" w:themeColor="hyperlink"/>
      <w:u w:val="single"/>
    </w:rPr>
  </w:style>
  <w:style w:type="character" w:styleId="Emphasis">
    <w:name w:val="Emphasis"/>
    <w:basedOn w:val="DefaultParagraphFont"/>
    <w:uiPriority w:val="20"/>
    <w:qFormat/>
    <w:rsid w:val="00B91414"/>
    <w:rPr>
      <w:i/>
      <w:iCs/>
    </w:rPr>
  </w:style>
  <w:style w:type="character" w:styleId="CommentReference">
    <w:name w:val="annotation reference"/>
    <w:basedOn w:val="DefaultParagraphFont"/>
    <w:uiPriority w:val="99"/>
    <w:semiHidden/>
    <w:unhideWhenUsed/>
    <w:rsid w:val="00B91414"/>
    <w:rPr>
      <w:sz w:val="16"/>
      <w:szCs w:val="16"/>
    </w:rPr>
  </w:style>
  <w:style w:type="paragraph" w:styleId="CommentText">
    <w:name w:val="annotation text"/>
    <w:basedOn w:val="Normal"/>
    <w:link w:val="CommentTextChar"/>
    <w:uiPriority w:val="99"/>
    <w:unhideWhenUsed/>
    <w:rsid w:val="00B91414"/>
    <w:rPr>
      <w:rFonts w:eastAsiaTheme="minorHAnsi"/>
      <w:sz w:val="20"/>
      <w:szCs w:val="20"/>
    </w:rPr>
  </w:style>
  <w:style w:type="character" w:customStyle="1" w:styleId="CommentTextChar">
    <w:name w:val="Comment Text Char"/>
    <w:basedOn w:val="DefaultParagraphFont"/>
    <w:link w:val="CommentText"/>
    <w:uiPriority w:val="99"/>
    <w:rsid w:val="00B91414"/>
    <w:rPr>
      <w:rFonts w:ascii="Times New Roman" w:hAnsi="Times New Roman" w:cs="Times New Roman"/>
      <w:sz w:val="20"/>
      <w:szCs w:val="20"/>
    </w:rPr>
  </w:style>
  <w:style w:type="paragraph" w:styleId="Footer">
    <w:name w:val="footer"/>
    <w:basedOn w:val="Normal"/>
    <w:link w:val="FooterChar"/>
    <w:uiPriority w:val="99"/>
    <w:unhideWhenUsed/>
    <w:rsid w:val="00B91414"/>
    <w:pPr>
      <w:tabs>
        <w:tab w:val="center" w:pos="4680"/>
        <w:tab w:val="right" w:pos="9360"/>
      </w:tabs>
    </w:pPr>
    <w:rPr>
      <w:rFonts w:eastAsiaTheme="minorHAnsi"/>
    </w:rPr>
  </w:style>
  <w:style w:type="character" w:customStyle="1" w:styleId="FooterChar">
    <w:name w:val="Footer Char"/>
    <w:basedOn w:val="DefaultParagraphFont"/>
    <w:link w:val="Footer"/>
    <w:uiPriority w:val="99"/>
    <w:rsid w:val="00B91414"/>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B91414"/>
    <w:rPr>
      <w:rFonts w:ascii="Segoe UI" w:eastAsiaTheme="minorHAnsi" w:hAnsi="Segoe UI" w:cs="Segoe UI"/>
      <w:sz w:val="18"/>
      <w:szCs w:val="18"/>
    </w:rPr>
  </w:style>
  <w:style w:type="character" w:customStyle="1" w:styleId="BalloonTextChar">
    <w:name w:val="Balloon Text Char"/>
    <w:basedOn w:val="DefaultParagraphFont"/>
    <w:link w:val="BalloonText"/>
    <w:uiPriority w:val="99"/>
    <w:semiHidden/>
    <w:rsid w:val="00B91414"/>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5B5071"/>
    <w:rPr>
      <w:b/>
      <w:bCs/>
    </w:rPr>
  </w:style>
  <w:style w:type="character" w:customStyle="1" w:styleId="CommentSubjectChar">
    <w:name w:val="Comment Subject Char"/>
    <w:basedOn w:val="CommentTextChar"/>
    <w:link w:val="CommentSubject"/>
    <w:uiPriority w:val="99"/>
    <w:semiHidden/>
    <w:rsid w:val="005B5071"/>
    <w:rPr>
      <w:rFonts w:ascii="Times New Roman" w:hAnsi="Times New Roman" w:cs="Times New Roman"/>
      <w:b/>
      <w:bCs/>
      <w:sz w:val="20"/>
      <w:szCs w:val="20"/>
    </w:rPr>
  </w:style>
  <w:style w:type="character" w:styleId="FollowedHyperlink">
    <w:name w:val="FollowedHyperlink"/>
    <w:basedOn w:val="DefaultParagraphFont"/>
    <w:uiPriority w:val="99"/>
    <w:semiHidden/>
    <w:unhideWhenUsed/>
    <w:rsid w:val="001F05AC"/>
    <w:rPr>
      <w:color w:val="954F72" w:themeColor="followedHyperlink"/>
      <w:u w:val="single"/>
    </w:rPr>
  </w:style>
  <w:style w:type="character" w:customStyle="1" w:styleId="UnresolvedMention1">
    <w:name w:val="Unresolved Mention1"/>
    <w:basedOn w:val="DefaultParagraphFont"/>
    <w:uiPriority w:val="99"/>
    <w:semiHidden/>
    <w:unhideWhenUsed/>
    <w:rsid w:val="00723C3E"/>
    <w:rPr>
      <w:color w:val="605E5C"/>
      <w:shd w:val="clear" w:color="auto" w:fill="E1DFDD"/>
    </w:rPr>
  </w:style>
  <w:style w:type="paragraph" w:styleId="TOC1">
    <w:name w:val="toc 1"/>
    <w:basedOn w:val="Normal"/>
    <w:next w:val="Normal"/>
    <w:autoRedefine/>
    <w:uiPriority w:val="39"/>
    <w:unhideWhenUsed/>
    <w:rsid w:val="00C9095C"/>
    <w:pPr>
      <w:spacing w:after="100"/>
    </w:pPr>
    <w:rPr>
      <w:rFonts w:eastAsiaTheme="minorHAnsi"/>
    </w:rPr>
  </w:style>
  <w:style w:type="paragraph" w:styleId="TOC2">
    <w:name w:val="toc 2"/>
    <w:basedOn w:val="Normal"/>
    <w:next w:val="Normal"/>
    <w:autoRedefine/>
    <w:uiPriority w:val="39"/>
    <w:unhideWhenUsed/>
    <w:rsid w:val="00C9095C"/>
    <w:pPr>
      <w:spacing w:after="100"/>
      <w:ind w:left="240"/>
    </w:pPr>
    <w:rPr>
      <w:rFonts w:eastAsiaTheme="minorHAnsi"/>
    </w:rPr>
  </w:style>
  <w:style w:type="paragraph" w:styleId="TOC3">
    <w:name w:val="toc 3"/>
    <w:basedOn w:val="Normal"/>
    <w:next w:val="Normal"/>
    <w:autoRedefine/>
    <w:uiPriority w:val="39"/>
    <w:unhideWhenUsed/>
    <w:rsid w:val="00C9095C"/>
    <w:pPr>
      <w:spacing w:after="100"/>
      <w:ind w:left="480"/>
    </w:pPr>
    <w:rPr>
      <w:rFonts w:eastAsiaTheme="minorHAnsi"/>
    </w:rPr>
  </w:style>
  <w:style w:type="character" w:customStyle="1" w:styleId="UnresolvedMention2">
    <w:name w:val="Unresolved Mention2"/>
    <w:basedOn w:val="DefaultParagraphFont"/>
    <w:uiPriority w:val="99"/>
    <w:semiHidden/>
    <w:unhideWhenUsed/>
    <w:rsid w:val="002660AF"/>
    <w:rPr>
      <w:color w:val="605E5C"/>
      <w:shd w:val="clear" w:color="auto" w:fill="E1DFDD"/>
    </w:rPr>
  </w:style>
  <w:style w:type="character" w:styleId="UnresolvedMention">
    <w:name w:val="Unresolved Mention"/>
    <w:basedOn w:val="DefaultParagraphFont"/>
    <w:uiPriority w:val="99"/>
    <w:semiHidden/>
    <w:unhideWhenUsed/>
    <w:rsid w:val="00C27011"/>
    <w:rPr>
      <w:color w:val="605E5C"/>
      <w:shd w:val="clear" w:color="auto" w:fill="E1DFDD"/>
    </w:rPr>
  </w:style>
  <w:style w:type="paragraph" w:styleId="Revision">
    <w:name w:val="Revision"/>
    <w:hidden/>
    <w:uiPriority w:val="99"/>
    <w:semiHidden/>
    <w:rsid w:val="005650DA"/>
    <w:pPr>
      <w:spacing w:after="0"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7D1819"/>
    <w:pPr>
      <w:ind w:left="720"/>
      <w:contextualSpacing/>
    </w:pPr>
  </w:style>
  <w:style w:type="paragraph" w:styleId="Header">
    <w:name w:val="header"/>
    <w:basedOn w:val="Normal"/>
    <w:link w:val="HeaderChar"/>
    <w:uiPriority w:val="99"/>
    <w:unhideWhenUsed/>
    <w:rsid w:val="000A528A"/>
    <w:pPr>
      <w:tabs>
        <w:tab w:val="center" w:pos="4680"/>
        <w:tab w:val="right" w:pos="9360"/>
      </w:tabs>
    </w:pPr>
  </w:style>
  <w:style w:type="character" w:customStyle="1" w:styleId="HeaderChar">
    <w:name w:val="Header Char"/>
    <w:basedOn w:val="DefaultParagraphFont"/>
    <w:link w:val="Header"/>
    <w:uiPriority w:val="99"/>
    <w:rsid w:val="000A528A"/>
    <w:rPr>
      <w:rFonts w:ascii="Times New Roman" w:eastAsia="Times New Roman" w:hAnsi="Times New Roman" w:cs="Times New Roman"/>
      <w:sz w:val="24"/>
      <w:szCs w:val="24"/>
    </w:rPr>
  </w:style>
  <w:style w:type="numbering" w:customStyle="1" w:styleId="CurrentList1">
    <w:name w:val="Current List1"/>
    <w:uiPriority w:val="99"/>
    <w:rsid w:val="008113AB"/>
    <w:pPr>
      <w:numPr>
        <w:numId w:val="1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437805">
      <w:bodyDiv w:val="1"/>
      <w:marLeft w:val="0"/>
      <w:marRight w:val="0"/>
      <w:marTop w:val="0"/>
      <w:marBottom w:val="0"/>
      <w:divBdr>
        <w:top w:val="none" w:sz="0" w:space="0" w:color="auto"/>
        <w:left w:val="none" w:sz="0" w:space="0" w:color="auto"/>
        <w:bottom w:val="none" w:sz="0" w:space="0" w:color="auto"/>
        <w:right w:val="none" w:sz="0" w:space="0" w:color="auto"/>
      </w:divBdr>
      <w:divsChild>
        <w:div w:id="1631209627">
          <w:marLeft w:val="0"/>
          <w:marRight w:val="0"/>
          <w:marTop w:val="0"/>
          <w:marBottom w:val="0"/>
          <w:divBdr>
            <w:top w:val="none" w:sz="0" w:space="0" w:color="auto"/>
            <w:left w:val="none" w:sz="0" w:space="0" w:color="auto"/>
            <w:bottom w:val="none" w:sz="0" w:space="0" w:color="auto"/>
            <w:right w:val="none" w:sz="0" w:space="0" w:color="auto"/>
          </w:divBdr>
          <w:divsChild>
            <w:div w:id="833762891">
              <w:marLeft w:val="0"/>
              <w:marRight w:val="0"/>
              <w:marTop w:val="0"/>
              <w:marBottom w:val="0"/>
              <w:divBdr>
                <w:top w:val="none" w:sz="0" w:space="0" w:color="auto"/>
                <w:left w:val="none" w:sz="0" w:space="0" w:color="auto"/>
                <w:bottom w:val="none" w:sz="0" w:space="0" w:color="auto"/>
                <w:right w:val="none" w:sz="0" w:space="0" w:color="auto"/>
              </w:divBdr>
              <w:divsChild>
                <w:div w:id="846946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946422">
      <w:bodyDiv w:val="1"/>
      <w:marLeft w:val="0"/>
      <w:marRight w:val="0"/>
      <w:marTop w:val="0"/>
      <w:marBottom w:val="0"/>
      <w:divBdr>
        <w:top w:val="none" w:sz="0" w:space="0" w:color="auto"/>
        <w:left w:val="none" w:sz="0" w:space="0" w:color="auto"/>
        <w:bottom w:val="none" w:sz="0" w:space="0" w:color="auto"/>
        <w:right w:val="none" w:sz="0" w:space="0" w:color="auto"/>
      </w:divBdr>
    </w:div>
    <w:div w:id="279530279">
      <w:bodyDiv w:val="1"/>
      <w:marLeft w:val="0"/>
      <w:marRight w:val="0"/>
      <w:marTop w:val="0"/>
      <w:marBottom w:val="0"/>
      <w:divBdr>
        <w:top w:val="none" w:sz="0" w:space="0" w:color="auto"/>
        <w:left w:val="none" w:sz="0" w:space="0" w:color="auto"/>
        <w:bottom w:val="none" w:sz="0" w:space="0" w:color="auto"/>
        <w:right w:val="none" w:sz="0" w:space="0" w:color="auto"/>
      </w:divBdr>
      <w:divsChild>
        <w:div w:id="1521967608">
          <w:marLeft w:val="0"/>
          <w:marRight w:val="0"/>
          <w:marTop w:val="0"/>
          <w:marBottom w:val="0"/>
          <w:divBdr>
            <w:top w:val="none" w:sz="0" w:space="0" w:color="auto"/>
            <w:left w:val="none" w:sz="0" w:space="0" w:color="auto"/>
            <w:bottom w:val="none" w:sz="0" w:space="0" w:color="auto"/>
            <w:right w:val="none" w:sz="0" w:space="0" w:color="auto"/>
          </w:divBdr>
        </w:div>
      </w:divsChild>
    </w:div>
    <w:div w:id="300498198">
      <w:bodyDiv w:val="1"/>
      <w:marLeft w:val="0"/>
      <w:marRight w:val="0"/>
      <w:marTop w:val="0"/>
      <w:marBottom w:val="0"/>
      <w:divBdr>
        <w:top w:val="none" w:sz="0" w:space="0" w:color="auto"/>
        <w:left w:val="none" w:sz="0" w:space="0" w:color="auto"/>
        <w:bottom w:val="none" w:sz="0" w:space="0" w:color="auto"/>
        <w:right w:val="none" w:sz="0" w:space="0" w:color="auto"/>
      </w:divBdr>
      <w:divsChild>
        <w:div w:id="776099436">
          <w:marLeft w:val="0"/>
          <w:marRight w:val="0"/>
          <w:marTop w:val="0"/>
          <w:marBottom w:val="0"/>
          <w:divBdr>
            <w:top w:val="none" w:sz="0" w:space="0" w:color="auto"/>
            <w:left w:val="none" w:sz="0" w:space="0" w:color="auto"/>
            <w:bottom w:val="none" w:sz="0" w:space="0" w:color="auto"/>
            <w:right w:val="none" w:sz="0" w:space="0" w:color="auto"/>
          </w:divBdr>
          <w:divsChild>
            <w:div w:id="1668169186">
              <w:marLeft w:val="0"/>
              <w:marRight w:val="0"/>
              <w:marTop w:val="0"/>
              <w:marBottom w:val="0"/>
              <w:divBdr>
                <w:top w:val="none" w:sz="0" w:space="0" w:color="auto"/>
                <w:left w:val="none" w:sz="0" w:space="0" w:color="auto"/>
                <w:bottom w:val="none" w:sz="0" w:space="0" w:color="auto"/>
                <w:right w:val="none" w:sz="0" w:space="0" w:color="auto"/>
              </w:divBdr>
              <w:divsChild>
                <w:div w:id="1487355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8899038">
      <w:bodyDiv w:val="1"/>
      <w:marLeft w:val="0"/>
      <w:marRight w:val="0"/>
      <w:marTop w:val="0"/>
      <w:marBottom w:val="0"/>
      <w:divBdr>
        <w:top w:val="none" w:sz="0" w:space="0" w:color="auto"/>
        <w:left w:val="none" w:sz="0" w:space="0" w:color="auto"/>
        <w:bottom w:val="none" w:sz="0" w:space="0" w:color="auto"/>
        <w:right w:val="none" w:sz="0" w:space="0" w:color="auto"/>
      </w:divBdr>
      <w:divsChild>
        <w:div w:id="1026253745">
          <w:marLeft w:val="0"/>
          <w:marRight w:val="0"/>
          <w:marTop w:val="0"/>
          <w:marBottom w:val="0"/>
          <w:divBdr>
            <w:top w:val="none" w:sz="0" w:space="0" w:color="auto"/>
            <w:left w:val="none" w:sz="0" w:space="0" w:color="auto"/>
            <w:bottom w:val="none" w:sz="0" w:space="0" w:color="auto"/>
            <w:right w:val="none" w:sz="0" w:space="0" w:color="auto"/>
          </w:divBdr>
          <w:divsChild>
            <w:div w:id="2083478646">
              <w:marLeft w:val="0"/>
              <w:marRight w:val="0"/>
              <w:marTop w:val="0"/>
              <w:marBottom w:val="0"/>
              <w:divBdr>
                <w:top w:val="none" w:sz="0" w:space="0" w:color="auto"/>
                <w:left w:val="none" w:sz="0" w:space="0" w:color="auto"/>
                <w:bottom w:val="none" w:sz="0" w:space="0" w:color="auto"/>
                <w:right w:val="none" w:sz="0" w:space="0" w:color="auto"/>
              </w:divBdr>
              <w:divsChild>
                <w:div w:id="257181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3604403">
      <w:bodyDiv w:val="1"/>
      <w:marLeft w:val="0"/>
      <w:marRight w:val="0"/>
      <w:marTop w:val="0"/>
      <w:marBottom w:val="0"/>
      <w:divBdr>
        <w:top w:val="none" w:sz="0" w:space="0" w:color="auto"/>
        <w:left w:val="none" w:sz="0" w:space="0" w:color="auto"/>
        <w:bottom w:val="none" w:sz="0" w:space="0" w:color="auto"/>
        <w:right w:val="none" w:sz="0" w:space="0" w:color="auto"/>
      </w:divBdr>
    </w:div>
    <w:div w:id="327900881">
      <w:bodyDiv w:val="1"/>
      <w:marLeft w:val="0"/>
      <w:marRight w:val="0"/>
      <w:marTop w:val="0"/>
      <w:marBottom w:val="0"/>
      <w:divBdr>
        <w:top w:val="none" w:sz="0" w:space="0" w:color="auto"/>
        <w:left w:val="none" w:sz="0" w:space="0" w:color="auto"/>
        <w:bottom w:val="none" w:sz="0" w:space="0" w:color="auto"/>
        <w:right w:val="none" w:sz="0" w:space="0" w:color="auto"/>
      </w:divBdr>
      <w:divsChild>
        <w:div w:id="538663983">
          <w:marLeft w:val="0"/>
          <w:marRight w:val="0"/>
          <w:marTop w:val="0"/>
          <w:marBottom w:val="0"/>
          <w:divBdr>
            <w:top w:val="none" w:sz="0" w:space="0" w:color="auto"/>
            <w:left w:val="none" w:sz="0" w:space="0" w:color="auto"/>
            <w:bottom w:val="none" w:sz="0" w:space="0" w:color="auto"/>
            <w:right w:val="none" w:sz="0" w:space="0" w:color="auto"/>
          </w:divBdr>
          <w:divsChild>
            <w:div w:id="511644844">
              <w:marLeft w:val="0"/>
              <w:marRight w:val="0"/>
              <w:marTop w:val="0"/>
              <w:marBottom w:val="0"/>
              <w:divBdr>
                <w:top w:val="none" w:sz="0" w:space="0" w:color="auto"/>
                <w:left w:val="none" w:sz="0" w:space="0" w:color="auto"/>
                <w:bottom w:val="none" w:sz="0" w:space="0" w:color="auto"/>
                <w:right w:val="none" w:sz="0" w:space="0" w:color="auto"/>
              </w:divBdr>
              <w:divsChild>
                <w:div w:id="1132820">
                  <w:marLeft w:val="0"/>
                  <w:marRight w:val="0"/>
                  <w:marTop w:val="0"/>
                  <w:marBottom w:val="0"/>
                  <w:divBdr>
                    <w:top w:val="none" w:sz="0" w:space="0" w:color="auto"/>
                    <w:left w:val="none" w:sz="0" w:space="0" w:color="auto"/>
                    <w:bottom w:val="none" w:sz="0" w:space="0" w:color="auto"/>
                    <w:right w:val="none" w:sz="0" w:space="0" w:color="auto"/>
                  </w:divBdr>
                  <w:divsChild>
                    <w:div w:id="1395853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6761168">
      <w:bodyDiv w:val="1"/>
      <w:marLeft w:val="0"/>
      <w:marRight w:val="0"/>
      <w:marTop w:val="0"/>
      <w:marBottom w:val="0"/>
      <w:divBdr>
        <w:top w:val="none" w:sz="0" w:space="0" w:color="auto"/>
        <w:left w:val="none" w:sz="0" w:space="0" w:color="auto"/>
        <w:bottom w:val="none" w:sz="0" w:space="0" w:color="auto"/>
        <w:right w:val="none" w:sz="0" w:space="0" w:color="auto"/>
      </w:divBdr>
      <w:divsChild>
        <w:div w:id="525678426">
          <w:marLeft w:val="0"/>
          <w:marRight w:val="0"/>
          <w:marTop w:val="0"/>
          <w:marBottom w:val="0"/>
          <w:divBdr>
            <w:top w:val="none" w:sz="0" w:space="0" w:color="auto"/>
            <w:left w:val="none" w:sz="0" w:space="0" w:color="auto"/>
            <w:bottom w:val="none" w:sz="0" w:space="0" w:color="auto"/>
            <w:right w:val="none" w:sz="0" w:space="0" w:color="auto"/>
          </w:divBdr>
          <w:divsChild>
            <w:div w:id="47532031">
              <w:marLeft w:val="0"/>
              <w:marRight w:val="0"/>
              <w:marTop w:val="0"/>
              <w:marBottom w:val="0"/>
              <w:divBdr>
                <w:top w:val="none" w:sz="0" w:space="0" w:color="auto"/>
                <w:left w:val="none" w:sz="0" w:space="0" w:color="auto"/>
                <w:bottom w:val="none" w:sz="0" w:space="0" w:color="auto"/>
                <w:right w:val="none" w:sz="0" w:space="0" w:color="auto"/>
              </w:divBdr>
              <w:divsChild>
                <w:div w:id="5059784">
                  <w:marLeft w:val="0"/>
                  <w:marRight w:val="0"/>
                  <w:marTop w:val="0"/>
                  <w:marBottom w:val="0"/>
                  <w:divBdr>
                    <w:top w:val="none" w:sz="0" w:space="0" w:color="auto"/>
                    <w:left w:val="none" w:sz="0" w:space="0" w:color="auto"/>
                    <w:bottom w:val="none" w:sz="0" w:space="0" w:color="auto"/>
                    <w:right w:val="none" w:sz="0" w:space="0" w:color="auto"/>
                  </w:divBdr>
                  <w:divsChild>
                    <w:div w:id="1489322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4569066">
      <w:bodyDiv w:val="1"/>
      <w:marLeft w:val="0"/>
      <w:marRight w:val="0"/>
      <w:marTop w:val="0"/>
      <w:marBottom w:val="0"/>
      <w:divBdr>
        <w:top w:val="none" w:sz="0" w:space="0" w:color="auto"/>
        <w:left w:val="none" w:sz="0" w:space="0" w:color="auto"/>
        <w:bottom w:val="none" w:sz="0" w:space="0" w:color="auto"/>
        <w:right w:val="none" w:sz="0" w:space="0" w:color="auto"/>
      </w:divBdr>
      <w:divsChild>
        <w:div w:id="1457411899">
          <w:marLeft w:val="0"/>
          <w:marRight w:val="0"/>
          <w:marTop w:val="0"/>
          <w:marBottom w:val="0"/>
          <w:divBdr>
            <w:top w:val="none" w:sz="0" w:space="0" w:color="auto"/>
            <w:left w:val="none" w:sz="0" w:space="0" w:color="auto"/>
            <w:bottom w:val="none" w:sz="0" w:space="0" w:color="auto"/>
            <w:right w:val="none" w:sz="0" w:space="0" w:color="auto"/>
          </w:divBdr>
          <w:divsChild>
            <w:div w:id="1742167389">
              <w:marLeft w:val="0"/>
              <w:marRight w:val="0"/>
              <w:marTop w:val="0"/>
              <w:marBottom w:val="0"/>
              <w:divBdr>
                <w:top w:val="none" w:sz="0" w:space="0" w:color="auto"/>
                <w:left w:val="none" w:sz="0" w:space="0" w:color="auto"/>
                <w:bottom w:val="none" w:sz="0" w:space="0" w:color="auto"/>
                <w:right w:val="none" w:sz="0" w:space="0" w:color="auto"/>
              </w:divBdr>
              <w:divsChild>
                <w:div w:id="624653580">
                  <w:marLeft w:val="0"/>
                  <w:marRight w:val="0"/>
                  <w:marTop w:val="0"/>
                  <w:marBottom w:val="0"/>
                  <w:divBdr>
                    <w:top w:val="none" w:sz="0" w:space="0" w:color="auto"/>
                    <w:left w:val="none" w:sz="0" w:space="0" w:color="auto"/>
                    <w:bottom w:val="none" w:sz="0" w:space="0" w:color="auto"/>
                    <w:right w:val="none" w:sz="0" w:space="0" w:color="auto"/>
                  </w:divBdr>
                  <w:divsChild>
                    <w:div w:id="1194266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5779696">
      <w:bodyDiv w:val="1"/>
      <w:marLeft w:val="0"/>
      <w:marRight w:val="0"/>
      <w:marTop w:val="0"/>
      <w:marBottom w:val="0"/>
      <w:divBdr>
        <w:top w:val="none" w:sz="0" w:space="0" w:color="auto"/>
        <w:left w:val="none" w:sz="0" w:space="0" w:color="auto"/>
        <w:bottom w:val="none" w:sz="0" w:space="0" w:color="auto"/>
        <w:right w:val="none" w:sz="0" w:space="0" w:color="auto"/>
      </w:divBdr>
    </w:div>
    <w:div w:id="502861318">
      <w:bodyDiv w:val="1"/>
      <w:marLeft w:val="0"/>
      <w:marRight w:val="0"/>
      <w:marTop w:val="0"/>
      <w:marBottom w:val="0"/>
      <w:divBdr>
        <w:top w:val="none" w:sz="0" w:space="0" w:color="auto"/>
        <w:left w:val="none" w:sz="0" w:space="0" w:color="auto"/>
        <w:bottom w:val="none" w:sz="0" w:space="0" w:color="auto"/>
        <w:right w:val="none" w:sz="0" w:space="0" w:color="auto"/>
      </w:divBdr>
    </w:div>
    <w:div w:id="649284066">
      <w:bodyDiv w:val="1"/>
      <w:marLeft w:val="0"/>
      <w:marRight w:val="0"/>
      <w:marTop w:val="0"/>
      <w:marBottom w:val="0"/>
      <w:divBdr>
        <w:top w:val="none" w:sz="0" w:space="0" w:color="auto"/>
        <w:left w:val="none" w:sz="0" w:space="0" w:color="auto"/>
        <w:bottom w:val="none" w:sz="0" w:space="0" w:color="auto"/>
        <w:right w:val="none" w:sz="0" w:space="0" w:color="auto"/>
      </w:divBdr>
    </w:div>
    <w:div w:id="694231593">
      <w:bodyDiv w:val="1"/>
      <w:marLeft w:val="0"/>
      <w:marRight w:val="0"/>
      <w:marTop w:val="0"/>
      <w:marBottom w:val="0"/>
      <w:divBdr>
        <w:top w:val="none" w:sz="0" w:space="0" w:color="auto"/>
        <w:left w:val="none" w:sz="0" w:space="0" w:color="auto"/>
        <w:bottom w:val="none" w:sz="0" w:space="0" w:color="auto"/>
        <w:right w:val="none" w:sz="0" w:space="0" w:color="auto"/>
      </w:divBdr>
      <w:divsChild>
        <w:div w:id="1452751407">
          <w:marLeft w:val="0"/>
          <w:marRight w:val="0"/>
          <w:marTop w:val="0"/>
          <w:marBottom w:val="0"/>
          <w:divBdr>
            <w:top w:val="none" w:sz="0" w:space="0" w:color="auto"/>
            <w:left w:val="none" w:sz="0" w:space="0" w:color="auto"/>
            <w:bottom w:val="none" w:sz="0" w:space="0" w:color="auto"/>
            <w:right w:val="none" w:sz="0" w:space="0" w:color="auto"/>
          </w:divBdr>
          <w:divsChild>
            <w:div w:id="1990279258">
              <w:marLeft w:val="0"/>
              <w:marRight w:val="0"/>
              <w:marTop w:val="0"/>
              <w:marBottom w:val="0"/>
              <w:divBdr>
                <w:top w:val="none" w:sz="0" w:space="0" w:color="auto"/>
                <w:left w:val="none" w:sz="0" w:space="0" w:color="auto"/>
                <w:bottom w:val="none" w:sz="0" w:space="0" w:color="auto"/>
                <w:right w:val="none" w:sz="0" w:space="0" w:color="auto"/>
              </w:divBdr>
              <w:divsChild>
                <w:div w:id="342628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4107595">
      <w:bodyDiv w:val="1"/>
      <w:marLeft w:val="0"/>
      <w:marRight w:val="0"/>
      <w:marTop w:val="0"/>
      <w:marBottom w:val="0"/>
      <w:divBdr>
        <w:top w:val="none" w:sz="0" w:space="0" w:color="auto"/>
        <w:left w:val="none" w:sz="0" w:space="0" w:color="auto"/>
        <w:bottom w:val="none" w:sz="0" w:space="0" w:color="auto"/>
        <w:right w:val="none" w:sz="0" w:space="0" w:color="auto"/>
      </w:divBdr>
      <w:divsChild>
        <w:div w:id="2141802599">
          <w:marLeft w:val="0"/>
          <w:marRight w:val="0"/>
          <w:marTop w:val="0"/>
          <w:marBottom w:val="0"/>
          <w:divBdr>
            <w:top w:val="none" w:sz="0" w:space="0" w:color="auto"/>
            <w:left w:val="none" w:sz="0" w:space="0" w:color="auto"/>
            <w:bottom w:val="none" w:sz="0" w:space="0" w:color="auto"/>
            <w:right w:val="none" w:sz="0" w:space="0" w:color="auto"/>
          </w:divBdr>
          <w:divsChild>
            <w:div w:id="899442171">
              <w:marLeft w:val="0"/>
              <w:marRight w:val="0"/>
              <w:marTop w:val="0"/>
              <w:marBottom w:val="0"/>
              <w:divBdr>
                <w:top w:val="none" w:sz="0" w:space="0" w:color="auto"/>
                <w:left w:val="none" w:sz="0" w:space="0" w:color="auto"/>
                <w:bottom w:val="none" w:sz="0" w:space="0" w:color="auto"/>
                <w:right w:val="none" w:sz="0" w:space="0" w:color="auto"/>
              </w:divBdr>
              <w:divsChild>
                <w:div w:id="1284339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2847424">
      <w:bodyDiv w:val="1"/>
      <w:marLeft w:val="0"/>
      <w:marRight w:val="0"/>
      <w:marTop w:val="0"/>
      <w:marBottom w:val="0"/>
      <w:divBdr>
        <w:top w:val="none" w:sz="0" w:space="0" w:color="auto"/>
        <w:left w:val="none" w:sz="0" w:space="0" w:color="auto"/>
        <w:bottom w:val="none" w:sz="0" w:space="0" w:color="auto"/>
        <w:right w:val="none" w:sz="0" w:space="0" w:color="auto"/>
      </w:divBdr>
    </w:div>
    <w:div w:id="786973235">
      <w:bodyDiv w:val="1"/>
      <w:marLeft w:val="0"/>
      <w:marRight w:val="0"/>
      <w:marTop w:val="0"/>
      <w:marBottom w:val="0"/>
      <w:divBdr>
        <w:top w:val="none" w:sz="0" w:space="0" w:color="auto"/>
        <w:left w:val="none" w:sz="0" w:space="0" w:color="auto"/>
        <w:bottom w:val="none" w:sz="0" w:space="0" w:color="auto"/>
        <w:right w:val="none" w:sz="0" w:space="0" w:color="auto"/>
      </w:divBdr>
      <w:divsChild>
        <w:div w:id="587884562">
          <w:marLeft w:val="0"/>
          <w:marRight w:val="0"/>
          <w:marTop w:val="0"/>
          <w:marBottom w:val="0"/>
          <w:divBdr>
            <w:top w:val="none" w:sz="0" w:space="0" w:color="auto"/>
            <w:left w:val="none" w:sz="0" w:space="0" w:color="auto"/>
            <w:bottom w:val="none" w:sz="0" w:space="0" w:color="auto"/>
            <w:right w:val="none" w:sz="0" w:space="0" w:color="auto"/>
          </w:divBdr>
          <w:divsChild>
            <w:div w:id="2075470668">
              <w:marLeft w:val="0"/>
              <w:marRight w:val="0"/>
              <w:marTop w:val="0"/>
              <w:marBottom w:val="0"/>
              <w:divBdr>
                <w:top w:val="none" w:sz="0" w:space="0" w:color="auto"/>
                <w:left w:val="none" w:sz="0" w:space="0" w:color="auto"/>
                <w:bottom w:val="none" w:sz="0" w:space="0" w:color="auto"/>
                <w:right w:val="none" w:sz="0" w:space="0" w:color="auto"/>
              </w:divBdr>
              <w:divsChild>
                <w:div w:id="1276213747">
                  <w:marLeft w:val="0"/>
                  <w:marRight w:val="0"/>
                  <w:marTop w:val="0"/>
                  <w:marBottom w:val="0"/>
                  <w:divBdr>
                    <w:top w:val="none" w:sz="0" w:space="0" w:color="auto"/>
                    <w:left w:val="none" w:sz="0" w:space="0" w:color="auto"/>
                    <w:bottom w:val="none" w:sz="0" w:space="0" w:color="auto"/>
                    <w:right w:val="none" w:sz="0" w:space="0" w:color="auto"/>
                  </w:divBdr>
                  <w:divsChild>
                    <w:div w:id="232349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1413294">
      <w:bodyDiv w:val="1"/>
      <w:marLeft w:val="0"/>
      <w:marRight w:val="0"/>
      <w:marTop w:val="0"/>
      <w:marBottom w:val="0"/>
      <w:divBdr>
        <w:top w:val="none" w:sz="0" w:space="0" w:color="auto"/>
        <w:left w:val="none" w:sz="0" w:space="0" w:color="auto"/>
        <w:bottom w:val="none" w:sz="0" w:space="0" w:color="auto"/>
        <w:right w:val="none" w:sz="0" w:space="0" w:color="auto"/>
      </w:divBdr>
    </w:div>
    <w:div w:id="836502848">
      <w:bodyDiv w:val="1"/>
      <w:marLeft w:val="0"/>
      <w:marRight w:val="0"/>
      <w:marTop w:val="0"/>
      <w:marBottom w:val="0"/>
      <w:divBdr>
        <w:top w:val="none" w:sz="0" w:space="0" w:color="auto"/>
        <w:left w:val="none" w:sz="0" w:space="0" w:color="auto"/>
        <w:bottom w:val="none" w:sz="0" w:space="0" w:color="auto"/>
        <w:right w:val="none" w:sz="0" w:space="0" w:color="auto"/>
      </w:divBdr>
      <w:divsChild>
        <w:div w:id="36395052">
          <w:marLeft w:val="0"/>
          <w:marRight w:val="0"/>
          <w:marTop w:val="0"/>
          <w:marBottom w:val="0"/>
          <w:divBdr>
            <w:top w:val="none" w:sz="0" w:space="0" w:color="auto"/>
            <w:left w:val="none" w:sz="0" w:space="0" w:color="auto"/>
            <w:bottom w:val="none" w:sz="0" w:space="0" w:color="auto"/>
            <w:right w:val="none" w:sz="0" w:space="0" w:color="auto"/>
          </w:divBdr>
          <w:divsChild>
            <w:div w:id="1116101411">
              <w:marLeft w:val="0"/>
              <w:marRight w:val="0"/>
              <w:marTop w:val="0"/>
              <w:marBottom w:val="0"/>
              <w:divBdr>
                <w:top w:val="none" w:sz="0" w:space="0" w:color="auto"/>
                <w:left w:val="none" w:sz="0" w:space="0" w:color="auto"/>
                <w:bottom w:val="none" w:sz="0" w:space="0" w:color="auto"/>
                <w:right w:val="none" w:sz="0" w:space="0" w:color="auto"/>
              </w:divBdr>
              <w:divsChild>
                <w:div w:id="48843086">
                  <w:marLeft w:val="0"/>
                  <w:marRight w:val="0"/>
                  <w:marTop w:val="0"/>
                  <w:marBottom w:val="0"/>
                  <w:divBdr>
                    <w:top w:val="none" w:sz="0" w:space="0" w:color="auto"/>
                    <w:left w:val="none" w:sz="0" w:space="0" w:color="auto"/>
                    <w:bottom w:val="none" w:sz="0" w:space="0" w:color="auto"/>
                    <w:right w:val="none" w:sz="0" w:space="0" w:color="auto"/>
                  </w:divBdr>
                  <w:divsChild>
                    <w:div w:id="1184322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3632773">
      <w:bodyDiv w:val="1"/>
      <w:marLeft w:val="0"/>
      <w:marRight w:val="0"/>
      <w:marTop w:val="0"/>
      <w:marBottom w:val="0"/>
      <w:divBdr>
        <w:top w:val="none" w:sz="0" w:space="0" w:color="auto"/>
        <w:left w:val="none" w:sz="0" w:space="0" w:color="auto"/>
        <w:bottom w:val="none" w:sz="0" w:space="0" w:color="auto"/>
        <w:right w:val="none" w:sz="0" w:space="0" w:color="auto"/>
      </w:divBdr>
      <w:divsChild>
        <w:div w:id="367067237">
          <w:marLeft w:val="0"/>
          <w:marRight w:val="0"/>
          <w:marTop w:val="0"/>
          <w:marBottom w:val="0"/>
          <w:divBdr>
            <w:top w:val="none" w:sz="0" w:space="0" w:color="auto"/>
            <w:left w:val="none" w:sz="0" w:space="0" w:color="auto"/>
            <w:bottom w:val="none" w:sz="0" w:space="0" w:color="auto"/>
            <w:right w:val="none" w:sz="0" w:space="0" w:color="auto"/>
          </w:divBdr>
          <w:divsChild>
            <w:div w:id="1425221201">
              <w:marLeft w:val="0"/>
              <w:marRight w:val="0"/>
              <w:marTop w:val="0"/>
              <w:marBottom w:val="0"/>
              <w:divBdr>
                <w:top w:val="none" w:sz="0" w:space="0" w:color="auto"/>
                <w:left w:val="none" w:sz="0" w:space="0" w:color="auto"/>
                <w:bottom w:val="none" w:sz="0" w:space="0" w:color="auto"/>
                <w:right w:val="none" w:sz="0" w:space="0" w:color="auto"/>
              </w:divBdr>
              <w:divsChild>
                <w:div w:id="1843231301">
                  <w:marLeft w:val="0"/>
                  <w:marRight w:val="0"/>
                  <w:marTop w:val="0"/>
                  <w:marBottom w:val="0"/>
                  <w:divBdr>
                    <w:top w:val="none" w:sz="0" w:space="0" w:color="auto"/>
                    <w:left w:val="none" w:sz="0" w:space="0" w:color="auto"/>
                    <w:bottom w:val="none" w:sz="0" w:space="0" w:color="auto"/>
                    <w:right w:val="none" w:sz="0" w:space="0" w:color="auto"/>
                  </w:divBdr>
                  <w:divsChild>
                    <w:div w:id="1171525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3066260">
      <w:bodyDiv w:val="1"/>
      <w:marLeft w:val="0"/>
      <w:marRight w:val="0"/>
      <w:marTop w:val="0"/>
      <w:marBottom w:val="0"/>
      <w:divBdr>
        <w:top w:val="none" w:sz="0" w:space="0" w:color="auto"/>
        <w:left w:val="none" w:sz="0" w:space="0" w:color="auto"/>
        <w:bottom w:val="none" w:sz="0" w:space="0" w:color="auto"/>
        <w:right w:val="none" w:sz="0" w:space="0" w:color="auto"/>
      </w:divBdr>
      <w:divsChild>
        <w:div w:id="239485645">
          <w:marLeft w:val="0"/>
          <w:marRight w:val="0"/>
          <w:marTop w:val="0"/>
          <w:marBottom w:val="0"/>
          <w:divBdr>
            <w:top w:val="none" w:sz="0" w:space="0" w:color="auto"/>
            <w:left w:val="none" w:sz="0" w:space="0" w:color="auto"/>
            <w:bottom w:val="none" w:sz="0" w:space="0" w:color="auto"/>
            <w:right w:val="none" w:sz="0" w:space="0" w:color="auto"/>
          </w:divBdr>
          <w:divsChild>
            <w:div w:id="1035037697">
              <w:marLeft w:val="0"/>
              <w:marRight w:val="0"/>
              <w:marTop w:val="0"/>
              <w:marBottom w:val="0"/>
              <w:divBdr>
                <w:top w:val="none" w:sz="0" w:space="0" w:color="auto"/>
                <w:left w:val="none" w:sz="0" w:space="0" w:color="auto"/>
                <w:bottom w:val="none" w:sz="0" w:space="0" w:color="auto"/>
                <w:right w:val="none" w:sz="0" w:space="0" w:color="auto"/>
              </w:divBdr>
              <w:divsChild>
                <w:div w:id="664478520">
                  <w:marLeft w:val="0"/>
                  <w:marRight w:val="0"/>
                  <w:marTop w:val="0"/>
                  <w:marBottom w:val="0"/>
                  <w:divBdr>
                    <w:top w:val="none" w:sz="0" w:space="0" w:color="auto"/>
                    <w:left w:val="none" w:sz="0" w:space="0" w:color="auto"/>
                    <w:bottom w:val="none" w:sz="0" w:space="0" w:color="auto"/>
                    <w:right w:val="none" w:sz="0" w:space="0" w:color="auto"/>
                  </w:divBdr>
                  <w:divsChild>
                    <w:div w:id="692925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0543023">
      <w:bodyDiv w:val="1"/>
      <w:marLeft w:val="0"/>
      <w:marRight w:val="0"/>
      <w:marTop w:val="0"/>
      <w:marBottom w:val="0"/>
      <w:divBdr>
        <w:top w:val="none" w:sz="0" w:space="0" w:color="auto"/>
        <w:left w:val="none" w:sz="0" w:space="0" w:color="auto"/>
        <w:bottom w:val="none" w:sz="0" w:space="0" w:color="auto"/>
        <w:right w:val="none" w:sz="0" w:space="0" w:color="auto"/>
      </w:divBdr>
    </w:div>
    <w:div w:id="1118257757">
      <w:bodyDiv w:val="1"/>
      <w:marLeft w:val="0"/>
      <w:marRight w:val="0"/>
      <w:marTop w:val="0"/>
      <w:marBottom w:val="0"/>
      <w:divBdr>
        <w:top w:val="none" w:sz="0" w:space="0" w:color="auto"/>
        <w:left w:val="none" w:sz="0" w:space="0" w:color="auto"/>
        <w:bottom w:val="none" w:sz="0" w:space="0" w:color="auto"/>
        <w:right w:val="none" w:sz="0" w:space="0" w:color="auto"/>
      </w:divBdr>
      <w:divsChild>
        <w:div w:id="604387544">
          <w:marLeft w:val="0"/>
          <w:marRight w:val="0"/>
          <w:marTop w:val="0"/>
          <w:marBottom w:val="0"/>
          <w:divBdr>
            <w:top w:val="none" w:sz="0" w:space="0" w:color="auto"/>
            <w:left w:val="none" w:sz="0" w:space="0" w:color="auto"/>
            <w:bottom w:val="none" w:sz="0" w:space="0" w:color="auto"/>
            <w:right w:val="none" w:sz="0" w:space="0" w:color="auto"/>
          </w:divBdr>
          <w:divsChild>
            <w:div w:id="1467507570">
              <w:marLeft w:val="0"/>
              <w:marRight w:val="0"/>
              <w:marTop w:val="0"/>
              <w:marBottom w:val="0"/>
              <w:divBdr>
                <w:top w:val="none" w:sz="0" w:space="0" w:color="auto"/>
                <w:left w:val="none" w:sz="0" w:space="0" w:color="auto"/>
                <w:bottom w:val="none" w:sz="0" w:space="0" w:color="auto"/>
                <w:right w:val="none" w:sz="0" w:space="0" w:color="auto"/>
              </w:divBdr>
              <w:divsChild>
                <w:div w:id="708993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6194625">
      <w:bodyDiv w:val="1"/>
      <w:marLeft w:val="0"/>
      <w:marRight w:val="0"/>
      <w:marTop w:val="0"/>
      <w:marBottom w:val="0"/>
      <w:divBdr>
        <w:top w:val="none" w:sz="0" w:space="0" w:color="auto"/>
        <w:left w:val="none" w:sz="0" w:space="0" w:color="auto"/>
        <w:bottom w:val="none" w:sz="0" w:space="0" w:color="auto"/>
        <w:right w:val="none" w:sz="0" w:space="0" w:color="auto"/>
      </w:divBdr>
      <w:divsChild>
        <w:div w:id="1343822431">
          <w:marLeft w:val="0"/>
          <w:marRight w:val="0"/>
          <w:marTop w:val="0"/>
          <w:marBottom w:val="0"/>
          <w:divBdr>
            <w:top w:val="none" w:sz="0" w:space="0" w:color="auto"/>
            <w:left w:val="none" w:sz="0" w:space="0" w:color="auto"/>
            <w:bottom w:val="none" w:sz="0" w:space="0" w:color="auto"/>
            <w:right w:val="none" w:sz="0" w:space="0" w:color="auto"/>
          </w:divBdr>
          <w:divsChild>
            <w:div w:id="725956180">
              <w:marLeft w:val="0"/>
              <w:marRight w:val="0"/>
              <w:marTop w:val="0"/>
              <w:marBottom w:val="0"/>
              <w:divBdr>
                <w:top w:val="none" w:sz="0" w:space="0" w:color="auto"/>
                <w:left w:val="none" w:sz="0" w:space="0" w:color="auto"/>
                <w:bottom w:val="none" w:sz="0" w:space="0" w:color="auto"/>
                <w:right w:val="none" w:sz="0" w:space="0" w:color="auto"/>
              </w:divBdr>
              <w:divsChild>
                <w:div w:id="123905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9399263">
      <w:bodyDiv w:val="1"/>
      <w:marLeft w:val="0"/>
      <w:marRight w:val="0"/>
      <w:marTop w:val="0"/>
      <w:marBottom w:val="0"/>
      <w:divBdr>
        <w:top w:val="none" w:sz="0" w:space="0" w:color="auto"/>
        <w:left w:val="none" w:sz="0" w:space="0" w:color="auto"/>
        <w:bottom w:val="none" w:sz="0" w:space="0" w:color="auto"/>
        <w:right w:val="none" w:sz="0" w:space="0" w:color="auto"/>
      </w:divBdr>
      <w:divsChild>
        <w:div w:id="1047342372">
          <w:marLeft w:val="0"/>
          <w:marRight w:val="0"/>
          <w:marTop w:val="0"/>
          <w:marBottom w:val="0"/>
          <w:divBdr>
            <w:top w:val="none" w:sz="0" w:space="0" w:color="auto"/>
            <w:left w:val="none" w:sz="0" w:space="0" w:color="auto"/>
            <w:bottom w:val="none" w:sz="0" w:space="0" w:color="auto"/>
            <w:right w:val="none" w:sz="0" w:space="0" w:color="auto"/>
          </w:divBdr>
          <w:divsChild>
            <w:div w:id="1516916993">
              <w:marLeft w:val="0"/>
              <w:marRight w:val="0"/>
              <w:marTop w:val="0"/>
              <w:marBottom w:val="0"/>
              <w:divBdr>
                <w:top w:val="none" w:sz="0" w:space="0" w:color="auto"/>
                <w:left w:val="none" w:sz="0" w:space="0" w:color="auto"/>
                <w:bottom w:val="none" w:sz="0" w:space="0" w:color="auto"/>
                <w:right w:val="none" w:sz="0" w:space="0" w:color="auto"/>
              </w:divBdr>
              <w:divsChild>
                <w:div w:id="1341857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7378948">
      <w:bodyDiv w:val="1"/>
      <w:marLeft w:val="0"/>
      <w:marRight w:val="0"/>
      <w:marTop w:val="0"/>
      <w:marBottom w:val="0"/>
      <w:divBdr>
        <w:top w:val="none" w:sz="0" w:space="0" w:color="auto"/>
        <w:left w:val="none" w:sz="0" w:space="0" w:color="auto"/>
        <w:bottom w:val="none" w:sz="0" w:space="0" w:color="auto"/>
        <w:right w:val="none" w:sz="0" w:space="0" w:color="auto"/>
      </w:divBdr>
      <w:divsChild>
        <w:div w:id="2057504370">
          <w:marLeft w:val="0"/>
          <w:marRight w:val="0"/>
          <w:marTop w:val="0"/>
          <w:marBottom w:val="0"/>
          <w:divBdr>
            <w:top w:val="none" w:sz="0" w:space="0" w:color="auto"/>
            <w:left w:val="none" w:sz="0" w:space="0" w:color="auto"/>
            <w:bottom w:val="none" w:sz="0" w:space="0" w:color="auto"/>
            <w:right w:val="none" w:sz="0" w:space="0" w:color="auto"/>
          </w:divBdr>
        </w:div>
      </w:divsChild>
    </w:div>
    <w:div w:id="1228420794">
      <w:bodyDiv w:val="1"/>
      <w:marLeft w:val="0"/>
      <w:marRight w:val="0"/>
      <w:marTop w:val="0"/>
      <w:marBottom w:val="0"/>
      <w:divBdr>
        <w:top w:val="none" w:sz="0" w:space="0" w:color="auto"/>
        <w:left w:val="none" w:sz="0" w:space="0" w:color="auto"/>
        <w:bottom w:val="none" w:sz="0" w:space="0" w:color="auto"/>
        <w:right w:val="none" w:sz="0" w:space="0" w:color="auto"/>
      </w:divBdr>
    </w:div>
    <w:div w:id="1257401204">
      <w:bodyDiv w:val="1"/>
      <w:marLeft w:val="0"/>
      <w:marRight w:val="0"/>
      <w:marTop w:val="0"/>
      <w:marBottom w:val="0"/>
      <w:divBdr>
        <w:top w:val="none" w:sz="0" w:space="0" w:color="auto"/>
        <w:left w:val="none" w:sz="0" w:space="0" w:color="auto"/>
        <w:bottom w:val="none" w:sz="0" w:space="0" w:color="auto"/>
        <w:right w:val="none" w:sz="0" w:space="0" w:color="auto"/>
      </w:divBdr>
    </w:div>
    <w:div w:id="1356269642">
      <w:bodyDiv w:val="1"/>
      <w:marLeft w:val="0"/>
      <w:marRight w:val="0"/>
      <w:marTop w:val="0"/>
      <w:marBottom w:val="0"/>
      <w:divBdr>
        <w:top w:val="none" w:sz="0" w:space="0" w:color="auto"/>
        <w:left w:val="none" w:sz="0" w:space="0" w:color="auto"/>
        <w:bottom w:val="none" w:sz="0" w:space="0" w:color="auto"/>
        <w:right w:val="none" w:sz="0" w:space="0" w:color="auto"/>
      </w:divBdr>
    </w:div>
    <w:div w:id="1409424274">
      <w:bodyDiv w:val="1"/>
      <w:marLeft w:val="0"/>
      <w:marRight w:val="0"/>
      <w:marTop w:val="0"/>
      <w:marBottom w:val="0"/>
      <w:divBdr>
        <w:top w:val="none" w:sz="0" w:space="0" w:color="auto"/>
        <w:left w:val="none" w:sz="0" w:space="0" w:color="auto"/>
        <w:bottom w:val="none" w:sz="0" w:space="0" w:color="auto"/>
        <w:right w:val="none" w:sz="0" w:space="0" w:color="auto"/>
      </w:divBdr>
    </w:div>
    <w:div w:id="1477450227">
      <w:bodyDiv w:val="1"/>
      <w:marLeft w:val="0"/>
      <w:marRight w:val="0"/>
      <w:marTop w:val="0"/>
      <w:marBottom w:val="0"/>
      <w:divBdr>
        <w:top w:val="none" w:sz="0" w:space="0" w:color="auto"/>
        <w:left w:val="none" w:sz="0" w:space="0" w:color="auto"/>
        <w:bottom w:val="none" w:sz="0" w:space="0" w:color="auto"/>
        <w:right w:val="none" w:sz="0" w:space="0" w:color="auto"/>
      </w:divBdr>
      <w:divsChild>
        <w:div w:id="183515686">
          <w:marLeft w:val="0"/>
          <w:marRight w:val="0"/>
          <w:marTop w:val="0"/>
          <w:marBottom w:val="0"/>
          <w:divBdr>
            <w:top w:val="none" w:sz="0" w:space="0" w:color="auto"/>
            <w:left w:val="none" w:sz="0" w:space="0" w:color="auto"/>
            <w:bottom w:val="none" w:sz="0" w:space="0" w:color="auto"/>
            <w:right w:val="none" w:sz="0" w:space="0" w:color="auto"/>
          </w:divBdr>
          <w:divsChild>
            <w:div w:id="105123881">
              <w:marLeft w:val="0"/>
              <w:marRight w:val="0"/>
              <w:marTop w:val="0"/>
              <w:marBottom w:val="0"/>
              <w:divBdr>
                <w:top w:val="none" w:sz="0" w:space="0" w:color="auto"/>
                <w:left w:val="none" w:sz="0" w:space="0" w:color="auto"/>
                <w:bottom w:val="none" w:sz="0" w:space="0" w:color="auto"/>
                <w:right w:val="none" w:sz="0" w:space="0" w:color="auto"/>
              </w:divBdr>
              <w:divsChild>
                <w:div w:id="1185559052">
                  <w:marLeft w:val="0"/>
                  <w:marRight w:val="0"/>
                  <w:marTop w:val="0"/>
                  <w:marBottom w:val="0"/>
                  <w:divBdr>
                    <w:top w:val="none" w:sz="0" w:space="0" w:color="auto"/>
                    <w:left w:val="none" w:sz="0" w:space="0" w:color="auto"/>
                    <w:bottom w:val="none" w:sz="0" w:space="0" w:color="auto"/>
                    <w:right w:val="none" w:sz="0" w:space="0" w:color="auto"/>
                  </w:divBdr>
                  <w:divsChild>
                    <w:div w:id="1666711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0351943">
      <w:bodyDiv w:val="1"/>
      <w:marLeft w:val="0"/>
      <w:marRight w:val="0"/>
      <w:marTop w:val="0"/>
      <w:marBottom w:val="0"/>
      <w:divBdr>
        <w:top w:val="none" w:sz="0" w:space="0" w:color="auto"/>
        <w:left w:val="none" w:sz="0" w:space="0" w:color="auto"/>
        <w:bottom w:val="none" w:sz="0" w:space="0" w:color="auto"/>
        <w:right w:val="none" w:sz="0" w:space="0" w:color="auto"/>
      </w:divBdr>
      <w:divsChild>
        <w:div w:id="88081728">
          <w:marLeft w:val="0"/>
          <w:marRight w:val="0"/>
          <w:marTop w:val="0"/>
          <w:marBottom w:val="0"/>
          <w:divBdr>
            <w:top w:val="none" w:sz="0" w:space="0" w:color="auto"/>
            <w:left w:val="none" w:sz="0" w:space="0" w:color="auto"/>
            <w:bottom w:val="none" w:sz="0" w:space="0" w:color="auto"/>
            <w:right w:val="none" w:sz="0" w:space="0" w:color="auto"/>
          </w:divBdr>
          <w:divsChild>
            <w:div w:id="708800046">
              <w:marLeft w:val="0"/>
              <w:marRight w:val="0"/>
              <w:marTop w:val="0"/>
              <w:marBottom w:val="0"/>
              <w:divBdr>
                <w:top w:val="none" w:sz="0" w:space="0" w:color="auto"/>
                <w:left w:val="none" w:sz="0" w:space="0" w:color="auto"/>
                <w:bottom w:val="none" w:sz="0" w:space="0" w:color="auto"/>
                <w:right w:val="none" w:sz="0" w:space="0" w:color="auto"/>
              </w:divBdr>
              <w:divsChild>
                <w:div w:id="2019454715">
                  <w:marLeft w:val="0"/>
                  <w:marRight w:val="0"/>
                  <w:marTop w:val="0"/>
                  <w:marBottom w:val="0"/>
                  <w:divBdr>
                    <w:top w:val="none" w:sz="0" w:space="0" w:color="auto"/>
                    <w:left w:val="none" w:sz="0" w:space="0" w:color="auto"/>
                    <w:bottom w:val="none" w:sz="0" w:space="0" w:color="auto"/>
                    <w:right w:val="none" w:sz="0" w:space="0" w:color="auto"/>
                  </w:divBdr>
                  <w:divsChild>
                    <w:div w:id="1826820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8189738">
      <w:bodyDiv w:val="1"/>
      <w:marLeft w:val="0"/>
      <w:marRight w:val="0"/>
      <w:marTop w:val="0"/>
      <w:marBottom w:val="0"/>
      <w:divBdr>
        <w:top w:val="none" w:sz="0" w:space="0" w:color="auto"/>
        <w:left w:val="none" w:sz="0" w:space="0" w:color="auto"/>
        <w:bottom w:val="none" w:sz="0" w:space="0" w:color="auto"/>
        <w:right w:val="none" w:sz="0" w:space="0" w:color="auto"/>
      </w:divBdr>
      <w:divsChild>
        <w:div w:id="730006998">
          <w:marLeft w:val="0"/>
          <w:marRight w:val="0"/>
          <w:marTop w:val="0"/>
          <w:marBottom w:val="0"/>
          <w:divBdr>
            <w:top w:val="none" w:sz="0" w:space="0" w:color="auto"/>
            <w:left w:val="none" w:sz="0" w:space="0" w:color="auto"/>
            <w:bottom w:val="none" w:sz="0" w:space="0" w:color="auto"/>
            <w:right w:val="none" w:sz="0" w:space="0" w:color="auto"/>
          </w:divBdr>
          <w:divsChild>
            <w:div w:id="1603954356">
              <w:marLeft w:val="0"/>
              <w:marRight w:val="0"/>
              <w:marTop w:val="0"/>
              <w:marBottom w:val="0"/>
              <w:divBdr>
                <w:top w:val="none" w:sz="0" w:space="0" w:color="auto"/>
                <w:left w:val="none" w:sz="0" w:space="0" w:color="auto"/>
                <w:bottom w:val="none" w:sz="0" w:space="0" w:color="auto"/>
                <w:right w:val="none" w:sz="0" w:space="0" w:color="auto"/>
              </w:divBdr>
              <w:divsChild>
                <w:div w:id="1049307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0067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laura.errans@gmail.com"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cesare.romano@lls.edu"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mailto:kangaude2013@lawnet.ucla.edu"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chimz.m@gmail.com"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mdmalawi.net/_files/ugd/313ce3_8b1fd3b75adf42cbb7ca149e6a431995.pdf?index=true" TargetMode="External"/><Relationship Id="rId13" Type="http://schemas.openxmlformats.org/officeDocument/2006/relationships/hyperlink" Target="https://www.law.georgetown.edu/wp-content/uploads/2020/10/Through-Her-Eyes-The-Harms-of-Abortion-Criminalisation-and-the-Need-for-Reform.pdf" TargetMode="External"/><Relationship Id="rId18" Type="http://schemas.openxmlformats.org/officeDocument/2006/relationships/hyperlink" Target="https://www.hrw.org/news/2022/06/24/qa-access-abortion-human-right" TargetMode="External"/><Relationship Id="rId26" Type="http://schemas.openxmlformats.org/officeDocument/2006/relationships/hyperlink" Target="https://reproductiverights.org/case/cm-v-the-hospital-director-of-queen-elizabeth-central-hospital-the-minister-of-health-high-court-of-malawi/" TargetMode="External"/><Relationship Id="rId3" Type="http://schemas.openxmlformats.org/officeDocument/2006/relationships/hyperlink" Target="https://www.law.georgetown.edu/wp-content/uploads/2020/10/Through-Her-Eyes-The-Harms-of-Abortion-Criminalisation-and-the-Need-for-Reform.pdf" TargetMode="External"/><Relationship Id="rId21" Type="http://schemas.openxmlformats.org/officeDocument/2006/relationships/hyperlink" Target="https://www.unicef.org/malawi/protecting-children-violence-everyones-responsibility" TargetMode="External"/><Relationship Id="rId7" Type="http://schemas.openxmlformats.org/officeDocument/2006/relationships/hyperlink" Target="https://www.who.int/news-room/fact-sheets/detail/abortion" TargetMode="External"/><Relationship Id="rId12" Type="http://schemas.openxmlformats.org/officeDocument/2006/relationships/hyperlink" Target="https://doi.org/10.1016/S2214-109X(20)30315-6" TargetMode="External"/><Relationship Id="rId17" Type="http://schemas.openxmlformats.org/officeDocument/2006/relationships/hyperlink" Target="https://www.ohchr.org/sites/default/files/Documents/Issues/Women/WRGS/SexualHealth/INFO_Abortion_WEB.pdf" TargetMode="External"/><Relationship Id="rId25" Type="http://schemas.openxmlformats.org/officeDocument/2006/relationships/hyperlink" Target="https://www.sciencedirect.com/science/article/pii/S235282732030238X" TargetMode="External"/><Relationship Id="rId2" Type="http://schemas.openxmlformats.org/officeDocument/2006/relationships/hyperlink" Target="https://www.malawilii.org/akn/mw/act/2013/3/eng%402014-12-31" TargetMode="External"/><Relationship Id="rId16" Type="http://schemas.openxmlformats.org/officeDocument/2006/relationships/hyperlink" Target="https://www.who.int/teams/sexual-and-reproductive-health-and-research-(srh)/areas-of-work/sexual-health" TargetMode="External"/><Relationship Id="rId20" Type="http://schemas.openxmlformats.org/officeDocument/2006/relationships/hyperlink" Target="https://pubmed.ncbi.nlm.nih.gov/22920622/" TargetMode="External"/><Relationship Id="rId1" Type="http://schemas.openxmlformats.org/officeDocument/2006/relationships/hyperlink" Target="https://treaties.un.org/Pages/ViewDetails.aspx?src=IND&amp;mtdsg_no=IV-3&amp;chapter=4" TargetMode="External"/><Relationship Id="rId6" Type="http://schemas.openxmlformats.org/officeDocument/2006/relationships/hyperlink" Target="https://www.guttmacher.org/news-release/2017/clandestine-and-unsafe-abortion-common-malawi" TargetMode="External"/><Relationship Id="rId11" Type="http://schemas.openxmlformats.org/officeDocument/2006/relationships/hyperlink" Target="https://www.malawilii.org/akn/mw/act/1929/22/eng%402014-12-31" TargetMode="External"/><Relationship Id="rId24" Type="http://schemas.openxmlformats.org/officeDocument/2006/relationships/hyperlink" Target="https://news.trust.org/item/20201116165739-y9xew" TargetMode="External"/><Relationship Id="rId5" Type="http://schemas.openxmlformats.org/officeDocument/2006/relationships/hyperlink" Target="https://sciencefordemocracy.org/" TargetMode="External"/><Relationship Id="rId15" Type="http://schemas.openxmlformats.org/officeDocument/2006/relationships/hyperlink" Target="https://www.ncbi.nlm.nih.gov/pmc/articles/PMC10994963/" TargetMode="External"/><Relationship Id="rId23" Type="http://schemas.openxmlformats.org/officeDocument/2006/relationships/hyperlink" Target="https://www.unicef.org/malawi/sites/unicef.org.malawi/files/2020-07/Spotlight_Ending_Violence_Against_Women_andGirls_v2_15062020_WEB_0.pdf" TargetMode="External"/><Relationship Id="rId10" Type="http://schemas.openxmlformats.org/officeDocument/2006/relationships/hyperlink" Target="https://www.unfpa.org/data/world-population/MW" TargetMode="External"/><Relationship Id="rId19" Type="http://schemas.openxmlformats.org/officeDocument/2006/relationships/hyperlink" Target="https://pubmed.ncbi.nlm.nih.gov/21555094/" TargetMode="External"/><Relationship Id="rId4" Type="http://schemas.openxmlformats.org/officeDocument/2006/relationships/hyperlink" Target="https://www.lls.edu/academics/centers/internationalhumanrightscenter/" TargetMode="External"/><Relationship Id="rId9" Type="http://schemas.openxmlformats.org/officeDocument/2006/relationships/hyperlink" Target="https://www.globalgoals.org/goals/3-good-health-and-well-being/" TargetMode="External"/><Relationship Id="rId14" Type="http://schemas.openxmlformats.org/officeDocument/2006/relationships/hyperlink" Target="https://rutgers.international/stories/jeniphers-story-malawi/" TargetMode="External"/><Relationship Id="rId22" Type="http://schemas.openxmlformats.org/officeDocument/2006/relationships/hyperlink" Target="https://www.state.gov/wp-content/uploads/2022/02/313615_MALAWI-2021-HUMAN-RIGHTS-REPOR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50E871BD3A60574582C1742A03707F1D" ma:contentTypeVersion="12" ma:contentTypeDescription="Create a new document." ma:contentTypeScope="" ma:versionID="d5349eeee9ed0d6ea1403c5b46572aec">
  <xsd:schema xmlns:xsd="http://www.w3.org/2001/XMLSchema" xmlns:xs="http://www.w3.org/2001/XMLSchema" xmlns:p="http://schemas.microsoft.com/office/2006/metadata/properties" xmlns:ns3="ed4fa098-99a3-4520-aa4d-7ac0a0332e14" targetNamespace="http://schemas.microsoft.com/office/2006/metadata/properties" ma:root="true" ma:fieldsID="87f8ec206d452e0f6e463c59c6521d47" ns3:_="">
    <xsd:import namespace="ed4fa098-99a3-4520-aa4d-7ac0a0332e14"/>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_activity" minOccurs="0"/>
                <xsd:element ref="ns3:MediaServiceDateTaken" minOccurs="0"/>
                <xsd:element ref="ns3:MediaServiceObjectDetectorVersions" minOccurs="0"/>
                <xsd:element ref="ns3:MediaLengthInSecond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4fa098-99a3-4520-aa4d-7ac0a0332e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_activity" ma:index="14"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SystemTags" ma:index="18" nillable="true" ma:displayName="MediaServiceSystemTags" ma:hidden="true" ma:internalName="MediaServiceSystemTags" ma:readOnly="true">
      <xsd:simpleType>
        <xsd:restriction base="dms:Note"/>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ed4fa098-99a3-4520-aa4d-7ac0a0332e14" xsi:nil="true"/>
  </documentManagement>
</p:properties>
</file>

<file path=customXml/itemProps1.xml><?xml version="1.0" encoding="utf-8"?>
<ds:datastoreItem xmlns:ds="http://schemas.openxmlformats.org/officeDocument/2006/customXml" ds:itemID="{58E8842C-4453-924A-B84D-248B245F798B}">
  <ds:schemaRefs>
    <ds:schemaRef ds:uri="http://schemas.openxmlformats.org/officeDocument/2006/bibliography"/>
  </ds:schemaRefs>
</ds:datastoreItem>
</file>

<file path=customXml/itemProps2.xml><?xml version="1.0" encoding="utf-8"?>
<ds:datastoreItem xmlns:ds="http://schemas.openxmlformats.org/officeDocument/2006/customXml" ds:itemID="{8B752DC3-1702-49D5-A4C1-1E03AF6311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4fa098-99a3-4520-aa4d-7ac0a0332e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F780514-6AEA-49EB-9BBF-F91275E2956F}">
  <ds:schemaRefs>
    <ds:schemaRef ds:uri="http://schemas.microsoft.com/sharepoint/v3/contenttype/forms"/>
  </ds:schemaRefs>
</ds:datastoreItem>
</file>

<file path=customXml/itemProps4.xml><?xml version="1.0" encoding="utf-8"?>
<ds:datastoreItem xmlns:ds="http://schemas.openxmlformats.org/officeDocument/2006/customXml" ds:itemID="{F989DB99-B583-4F27-BC56-23932CF9F5FA}">
  <ds:schemaRefs>
    <ds:schemaRef ds:uri="http://schemas.microsoft.com/office/2006/metadata/properties"/>
    <ds:schemaRef ds:uri="http://schemas.microsoft.com/office/infopath/2007/PartnerControls"/>
    <ds:schemaRef ds:uri="ed4fa098-99a3-4520-aa4d-7ac0a0332e14"/>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3994</Words>
  <Characters>22768</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LMU</Company>
  <LinksUpToDate>false</LinksUpToDate>
  <CharactersWithSpaces>26709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Romano, Cesare</dc:creator>
  <cp:keywords/>
  <dc:description/>
  <cp:lastModifiedBy>Mars, Megan</cp:lastModifiedBy>
  <cp:revision>2</cp:revision>
  <dcterms:created xsi:type="dcterms:W3CDTF">2024-08-11T04:52:00Z</dcterms:created>
  <dcterms:modified xsi:type="dcterms:W3CDTF">2024-08-11T04:52:00Z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a000ad0c6397f29da4f191b080804ad390f42a7ff89acc45d08acc7301b1d6b3</vt:lpwstr>
  </property>
  <property fmtid="{D5CDD505-2E9C-101B-9397-08002B2CF9AE}" pid="3" name="ContentTypeId">
    <vt:lpwstr>0x01010050E871BD3A60574582C1742A03707F1D</vt:lpwstr>
  </property>
</Properties>
</file>