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0B494" w14:textId="77777777" w:rsidR="0084721C" w:rsidRPr="00A65B16" w:rsidRDefault="0084721C">
      <w:pPr>
        <w:jc w:val="center"/>
        <w:rPr>
          <w:rFonts w:ascii="Roboto" w:eastAsia="Times New Roman" w:hAnsi="Roboto" w:cs="Times New Roman"/>
          <w:b/>
          <w:sz w:val="36"/>
          <w:szCs w:val="36"/>
          <w:u w:val="single"/>
        </w:rPr>
      </w:pPr>
    </w:p>
    <w:p w14:paraId="1443C294" w14:textId="77777777" w:rsidR="0084721C" w:rsidRPr="00A65B16" w:rsidRDefault="0084721C">
      <w:pPr>
        <w:jc w:val="center"/>
        <w:rPr>
          <w:rFonts w:ascii="Roboto" w:eastAsia="Times New Roman" w:hAnsi="Roboto" w:cs="Times New Roman"/>
          <w:b/>
          <w:sz w:val="36"/>
          <w:szCs w:val="36"/>
          <w:u w:val="single"/>
        </w:rPr>
      </w:pPr>
    </w:p>
    <w:p w14:paraId="4432646B" w14:textId="77777777" w:rsidR="0084721C" w:rsidRPr="00A65B16" w:rsidRDefault="0084721C">
      <w:pPr>
        <w:jc w:val="center"/>
        <w:rPr>
          <w:rFonts w:ascii="Roboto" w:eastAsia="Times New Roman" w:hAnsi="Roboto" w:cs="Times New Roman"/>
          <w:b/>
          <w:sz w:val="36"/>
          <w:szCs w:val="36"/>
          <w:u w:val="single"/>
        </w:rPr>
      </w:pPr>
    </w:p>
    <w:p w14:paraId="5E48DE54" w14:textId="3FDF3704" w:rsidR="0084721C" w:rsidRPr="00A65B16" w:rsidRDefault="0084721C">
      <w:pPr>
        <w:jc w:val="center"/>
        <w:rPr>
          <w:rFonts w:ascii="Roboto" w:eastAsia="Times New Roman" w:hAnsi="Roboto" w:cs="Times New Roman"/>
          <w:b/>
          <w:sz w:val="36"/>
          <w:szCs w:val="36"/>
        </w:rPr>
      </w:pPr>
      <w:r w:rsidRPr="00A65B16">
        <w:rPr>
          <w:rFonts w:ascii="Roboto" w:eastAsia="Times New Roman" w:hAnsi="Roboto" w:cs="Times New Roman"/>
          <w:b/>
          <w:sz w:val="36"/>
          <w:szCs w:val="36"/>
        </w:rPr>
        <w:t xml:space="preserve">31st session of the </w:t>
      </w:r>
      <w:r w:rsidR="00F929B3" w:rsidRPr="00A65B16">
        <w:rPr>
          <w:rFonts w:ascii="Roboto" w:eastAsia="Times New Roman" w:hAnsi="Roboto" w:cs="Times New Roman"/>
          <w:b/>
          <w:sz w:val="36"/>
          <w:szCs w:val="36"/>
        </w:rPr>
        <w:t xml:space="preserve">UN </w:t>
      </w:r>
      <w:r w:rsidRPr="00A65B16">
        <w:rPr>
          <w:rFonts w:ascii="Roboto" w:eastAsia="Times New Roman" w:hAnsi="Roboto" w:cs="Times New Roman"/>
          <w:b/>
          <w:sz w:val="36"/>
          <w:szCs w:val="36"/>
        </w:rPr>
        <w:t xml:space="preserve">Committee on the Rights of Persons with Disabilities </w:t>
      </w:r>
    </w:p>
    <w:p w14:paraId="2E95F86C" w14:textId="2C6AA65A" w:rsidR="0084721C" w:rsidRPr="00A65B16" w:rsidRDefault="0084721C">
      <w:pPr>
        <w:jc w:val="center"/>
        <w:rPr>
          <w:rFonts w:ascii="Roboto" w:eastAsia="Times New Roman" w:hAnsi="Roboto" w:cs="Times New Roman"/>
          <w:b/>
          <w:sz w:val="36"/>
          <w:szCs w:val="36"/>
        </w:rPr>
      </w:pPr>
      <w:r w:rsidRPr="00A65B16">
        <w:rPr>
          <w:rFonts w:ascii="Roboto" w:eastAsia="Times New Roman" w:hAnsi="Roboto" w:cs="Times New Roman"/>
          <w:b/>
          <w:sz w:val="36"/>
          <w:szCs w:val="36"/>
        </w:rPr>
        <w:t>(August 12 to September 5, 2024)</w:t>
      </w:r>
    </w:p>
    <w:p w14:paraId="21CAD243" w14:textId="77777777" w:rsidR="0084721C" w:rsidRPr="00A65B16" w:rsidRDefault="0084721C">
      <w:pPr>
        <w:jc w:val="center"/>
        <w:rPr>
          <w:rFonts w:ascii="Roboto" w:eastAsia="Times New Roman" w:hAnsi="Roboto" w:cs="Times New Roman"/>
          <w:b/>
          <w:sz w:val="36"/>
          <w:szCs w:val="36"/>
          <w:u w:val="single"/>
        </w:rPr>
      </w:pPr>
    </w:p>
    <w:p w14:paraId="4A911760" w14:textId="77777777" w:rsidR="0084721C" w:rsidRPr="00A65B16" w:rsidRDefault="0084721C">
      <w:pPr>
        <w:jc w:val="center"/>
        <w:rPr>
          <w:rFonts w:ascii="Roboto" w:eastAsia="Times New Roman" w:hAnsi="Roboto" w:cs="Times New Roman"/>
          <w:b/>
          <w:sz w:val="36"/>
          <w:szCs w:val="36"/>
          <w:u w:val="single"/>
        </w:rPr>
      </w:pPr>
    </w:p>
    <w:p w14:paraId="312996BF" w14:textId="77777777" w:rsidR="0084721C" w:rsidRPr="00A65B16" w:rsidRDefault="0084721C">
      <w:pPr>
        <w:jc w:val="center"/>
        <w:rPr>
          <w:rFonts w:ascii="Roboto" w:eastAsia="Times New Roman" w:hAnsi="Roboto" w:cs="Times New Roman"/>
          <w:b/>
          <w:sz w:val="36"/>
          <w:szCs w:val="36"/>
          <w:u w:val="single"/>
        </w:rPr>
      </w:pPr>
    </w:p>
    <w:p w14:paraId="6E66D74E" w14:textId="2FF9846D" w:rsidR="0055215C" w:rsidRPr="00A65B16" w:rsidRDefault="0084721C">
      <w:pPr>
        <w:jc w:val="center"/>
        <w:rPr>
          <w:rFonts w:ascii="Roboto" w:eastAsia="Times New Roman" w:hAnsi="Roboto" w:cs="Times New Roman"/>
          <w:b/>
          <w:sz w:val="36"/>
          <w:szCs w:val="36"/>
        </w:rPr>
      </w:pPr>
      <w:r w:rsidRPr="00A65B16">
        <w:rPr>
          <w:rFonts w:ascii="Roboto" w:eastAsia="Times New Roman" w:hAnsi="Roboto" w:cs="Times New Roman"/>
          <w:b/>
          <w:sz w:val="36"/>
          <w:szCs w:val="36"/>
        </w:rPr>
        <w:t xml:space="preserve">Civil Society's written contribution for the review of the Republic of Belarus </w:t>
      </w:r>
    </w:p>
    <w:p w14:paraId="24177381" w14:textId="77777777" w:rsidR="0084721C" w:rsidRPr="00A65B16" w:rsidRDefault="0084721C">
      <w:pPr>
        <w:jc w:val="center"/>
        <w:rPr>
          <w:rFonts w:ascii="Roboto" w:eastAsia="Times New Roman" w:hAnsi="Roboto" w:cs="Times New Roman"/>
          <w:b/>
          <w:sz w:val="36"/>
          <w:szCs w:val="36"/>
        </w:rPr>
      </w:pPr>
    </w:p>
    <w:p w14:paraId="2C3CB742" w14:textId="77777777" w:rsidR="0084721C" w:rsidRPr="00A65B16" w:rsidRDefault="0084721C">
      <w:pPr>
        <w:jc w:val="center"/>
        <w:rPr>
          <w:rFonts w:ascii="Roboto" w:eastAsia="Times New Roman" w:hAnsi="Roboto" w:cs="Times New Roman"/>
          <w:b/>
          <w:sz w:val="36"/>
          <w:szCs w:val="36"/>
        </w:rPr>
      </w:pPr>
    </w:p>
    <w:p w14:paraId="69800464" w14:textId="77777777" w:rsidR="0084721C" w:rsidRPr="00A65B16" w:rsidRDefault="0084721C">
      <w:pPr>
        <w:jc w:val="center"/>
        <w:rPr>
          <w:rFonts w:ascii="Roboto" w:eastAsia="Times New Roman" w:hAnsi="Roboto" w:cs="Times New Roman"/>
          <w:b/>
          <w:sz w:val="36"/>
          <w:szCs w:val="36"/>
        </w:rPr>
      </w:pPr>
    </w:p>
    <w:p w14:paraId="7A5EC504" w14:textId="77777777" w:rsidR="0055215C" w:rsidRPr="00A65B16" w:rsidRDefault="00000000">
      <w:pPr>
        <w:jc w:val="center"/>
        <w:rPr>
          <w:rFonts w:ascii="Roboto" w:eastAsia="Times New Roman" w:hAnsi="Roboto" w:cs="Times New Roman"/>
          <w:b/>
          <w:sz w:val="36"/>
          <w:szCs w:val="36"/>
        </w:rPr>
      </w:pPr>
      <w:r w:rsidRPr="00A65B16">
        <w:rPr>
          <w:rFonts w:ascii="Roboto" w:eastAsia="Times New Roman" w:hAnsi="Roboto" w:cs="Times New Roman"/>
          <w:b/>
          <w:sz w:val="36"/>
          <w:szCs w:val="36"/>
        </w:rPr>
        <w:t>July 2024</w:t>
      </w:r>
    </w:p>
    <w:p w14:paraId="20B92A0F" w14:textId="77777777" w:rsidR="0055215C" w:rsidRPr="00A65B16" w:rsidRDefault="0055215C">
      <w:pPr>
        <w:jc w:val="center"/>
        <w:rPr>
          <w:rFonts w:ascii="Roboto" w:eastAsia="Times New Roman" w:hAnsi="Roboto" w:cs="Times New Roman"/>
          <w:b/>
          <w:sz w:val="36"/>
          <w:szCs w:val="36"/>
        </w:rPr>
      </w:pPr>
    </w:p>
    <w:p w14:paraId="0CA7DD0A" w14:textId="77777777" w:rsidR="0084721C" w:rsidRPr="00A65B16" w:rsidRDefault="0084721C">
      <w:pPr>
        <w:rPr>
          <w:rFonts w:ascii="Roboto" w:eastAsia="Times New Roman" w:hAnsi="Roboto" w:cs="Times New Roman"/>
          <w:b/>
          <w:sz w:val="36"/>
          <w:szCs w:val="36"/>
        </w:rPr>
      </w:pPr>
    </w:p>
    <w:p w14:paraId="582B019F" w14:textId="77777777" w:rsidR="0084721C" w:rsidRPr="00A65B16" w:rsidRDefault="0084721C">
      <w:pPr>
        <w:rPr>
          <w:rFonts w:ascii="Roboto" w:eastAsia="Times New Roman" w:hAnsi="Roboto" w:cs="Times New Roman"/>
          <w:b/>
          <w:sz w:val="36"/>
          <w:szCs w:val="36"/>
        </w:rPr>
      </w:pPr>
    </w:p>
    <w:p w14:paraId="6A41A424" w14:textId="3F53D23B" w:rsidR="0084721C" w:rsidRPr="00A65B16" w:rsidRDefault="0084721C" w:rsidP="00F929B3">
      <w:pPr>
        <w:jc w:val="both"/>
        <w:rPr>
          <w:rFonts w:ascii="Roboto" w:eastAsia="Times New Roman" w:hAnsi="Roboto" w:cs="Times New Roman"/>
          <w:sz w:val="22"/>
          <w:szCs w:val="22"/>
        </w:rPr>
      </w:pPr>
    </w:p>
    <w:p w14:paraId="0EB9A305" w14:textId="77777777" w:rsidR="0084721C" w:rsidRPr="00A65B16" w:rsidRDefault="0084721C" w:rsidP="00F8133F">
      <w:pPr>
        <w:rPr>
          <w:rFonts w:ascii="Roboto" w:eastAsia="Times New Roman" w:hAnsi="Roboto" w:cs="Times New Roman"/>
          <w:b/>
          <w:sz w:val="22"/>
          <w:szCs w:val="22"/>
        </w:rPr>
      </w:pPr>
    </w:p>
    <w:p w14:paraId="02AFA7C0" w14:textId="4B6FF4FB" w:rsidR="0084721C" w:rsidRPr="00A65B16" w:rsidRDefault="0084721C" w:rsidP="00F929B3">
      <w:pPr>
        <w:widowControl w:val="0"/>
        <w:pBdr>
          <w:top w:val="nil"/>
          <w:left w:val="nil"/>
          <w:bottom w:val="nil"/>
          <w:right w:val="nil"/>
          <w:between w:val="nil"/>
        </w:pBdr>
        <w:spacing w:after="0" w:line="240" w:lineRule="auto"/>
        <w:jc w:val="both"/>
        <w:rPr>
          <w:rFonts w:ascii="Roboto" w:eastAsia="Times New Roman" w:hAnsi="Roboto" w:cs="Times New Roman"/>
          <w:b/>
          <w:sz w:val="22"/>
          <w:szCs w:val="22"/>
        </w:rPr>
      </w:pPr>
      <w:r w:rsidRPr="00A65B16">
        <w:rPr>
          <w:rFonts w:ascii="Roboto" w:eastAsia="Times New Roman" w:hAnsi="Roboto" w:cs="Times New Roman"/>
          <w:b/>
          <w:sz w:val="22"/>
          <w:szCs w:val="22"/>
        </w:rPr>
        <w:t>About the authors:</w:t>
      </w:r>
    </w:p>
    <w:p w14:paraId="27C31551" w14:textId="77777777" w:rsidR="0084721C" w:rsidRPr="00A65B16" w:rsidRDefault="0084721C" w:rsidP="00F929B3">
      <w:pPr>
        <w:widowControl w:val="0"/>
        <w:pBdr>
          <w:top w:val="nil"/>
          <w:left w:val="nil"/>
          <w:bottom w:val="nil"/>
          <w:right w:val="nil"/>
          <w:between w:val="nil"/>
        </w:pBdr>
        <w:spacing w:after="0" w:line="240" w:lineRule="auto"/>
        <w:jc w:val="both"/>
        <w:rPr>
          <w:rFonts w:ascii="Roboto" w:eastAsia="Times New Roman" w:hAnsi="Roboto" w:cs="Times New Roman"/>
          <w:b/>
          <w:sz w:val="22"/>
          <w:szCs w:val="22"/>
        </w:rPr>
      </w:pPr>
    </w:p>
    <w:p w14:paraId="0215907C" w14:textId="4B399521" w:rsidR="0084721C" w:rsidRPr="00A65B16" w:rsidRDefault="0084721C" w:rsidP="00F929B3">
      <w:pPr>
        <w:widowControl w:val="0"/>
        <w:pBdr>
          <w:top w:val="nil"/>
          <w:left w:val="nil"/>
          <w:bottom w:val="nil"/>
          <w:right w:val="nil"/>
          <w:between w:val="nil"/>
        </w:pBdr>
        <w:spacing w:after="0" w:line="240" w:lineRule="auto"/>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This submission was prepared by the </w:t>
      </w:r>
      <w:r w:rsidRPr="00A65B16">
        <w:rPr>
          <w:rFonts w:ascii="Roboto" w:eastAsia="Times New Roman" w:hAnsi="Roboto" w:cs="Times New Roman"/>
          <w:b/>
          <w:sz w:val="22"/>
          <w:szCs w:val="22"/>
        </w:rPr>
        <w:t>Office for the Rights of Persons with Disabilities</w:t>
      </w:r>
      <w:r w:rsidR="00F929B3" w:rsidRPr="00A65B16">
        <w:rPr>
          <w:rFonts w:ascii="Roboto" w:eastAsia="Times New Roman" w:hAnsi="Roboto" w:cs="Times New Roman"/>
          <w:bCs/>
          <w:sz w:val="22"/>
          <w:szCs w:val="22"/>
        </w:rPr>
        <w:t xml:space="preserve">, whose Director is Mr </w:t>
      </w:r>
      <w:r w:rsidR="00F929B3" w:rsidRPr="00A65B16">
        <w:rPr>
          <w:rFonts w:ascii="Roboto" w:eastAsia="Times New Roman" w:hAnsi="Roboto" w:cs="Times New Roman"/>
          <w:bCs/>
          <w:sz w:val="22"/>
          <w:szCs w:val="22"/>
          <w:lang w:val="en-GB"/>
        </w:rPr>
        <w:t xml:space="preserve">Sergey </w:t>
      </w:r>
      <w:proofErr w:type="spellStart"/>
      <w:r w:rsidR="00F929B3" w:rsidRPr="00A65B16">
        <w:rPr>
          <w:rFonts w:ascii="Roboto" w:eastAsia="Times New Roman" w:hAnsi="Roboto" w:cs="Times New Roman"/>
          <w:bCs/>
          <w:sz w:val="22"/>
          <w:szCs w:val="22"/>
          <w:lang w:val="en-GB"/>
        </w:rPr>
        <w:t>Drozdovsky</w:t>
      </w:r>
      <w:proofErr w:type="spellEnd"/>
      <w:r w:rsidR="00F929B3" w:rsidRPr="00A65B16">
        <w:rPr>
          <w:rFonts w:ascii="Roboto" w:eastAsia="Times New Roman" w:hAnsi="Roboto" w:cs="Times New Roman"/>
          <w:bCs/>
          <w:sz w:val="22"/>
          <w:szCs w:val="22"/>
          <w:lang w:val="en-GB"/>
        </w:rPr>
        <w:t>,</w:t>
      </w:r>
      <w:r w:rsidRPr="00A65B16">
        <w:rPr>
          <w:rFonts w:ascii="Roboto" w:eastAsia="Times New Roman" w:hAnsi="Roboto" w:cs="Times New Roman"/>
          <w:bCs/>
          <w:sz w:val="22"/>
          <w:szCs w:val="22"/>
        </w:rPr>
        <w:t xml:space="preserve"> in cooperation</w:t>
      </w:r>
      <w:r w:rsidRPr="00A65B16">
        <w:rPr>
          <w:rFonts w:ascii="Roboto" w:eastAsia="Times New Roman" w:hAnsi="Roboto" w:cs="Times New Roman"/>
          <w:sz w:val="22"/>
          <w:szCs w:val="22"/>
        </w:rPr>
        <w:t xml:space="preserve"> with </w:t>
      </w:r>
      <w:hyperlink r:id="rId8">
        <w:r w:rsidRPr="00A65B16">
          <w:rPr>
            <w:rFonts w:ascii="Roboto" w:eastAsia="Times New Roman" w:hAnsi="Roboto" w:cs="Times New Roman"/>
            <w:color w:val="1155CC"/>
            <w:sz w:val="22"/>
            <w:szCs w:val="22"/>
            <w:u w:val="single"/>
          </w:rPr>
          <w:t>Lawtrend</w:t>
        </w:r>
      </w:hyperlink>
      <w:r w:rsidRPr="00A65B16">
        <w:rPr>
          <w:rFonts w:ascii="Roboto" w:eastAsia="Times New Roman" w:hAnsi="Roboto" w:cs="Times New Roman"/>
          <w:sz w:val="22"/>
          <w:szCs w:val="22"/>
        </w:rPr>
        <w:t xml:space="preserve">, </w:t>
      </w:r>
      <w:hyperlink r:id="rId9">
        <w:r w:rsidRPr="00A65B16">
          <w:rPr>
            <w:rFonts w:ascii="Roboto" w:eastAsia="Times New Roman" w:hAnsi="Roboto" w:cs="Times New Roman"/>
            <w:color w:val="1155CC"/>
            <w:sz w:val="22"/>
            <w:szCs w:val="22"/>
            <w:u w:val="single"/>
          </w:rPr>
          <w:t>Levania</w:t>
        </w:r>
      </w:hyperlink>
      <w:r w:rsidRPr="00A65B16">
        <w:rPr>
          <w:rFonts w:ascii="Roboto" w:eastAsia="Times New Roman" w:hAnsi="Roboto" w:cs="Times New Roman"/>
          <w:sz w:val="22"/>
          <w:szCs w:val="22"/>
        </w:rPr>
        <w:t xml:space="preserve">, </w:t>
      </w:r>
      <w:hyperlink r:id="rId10">
        <w:r w:rsidRPr="00A65B16">
          <w:rPr>
            <w:rFonts w:ascii="Roboto" w:eastAsia="Times New Roman" w:hAnsi="Roboto" w:cs="Times New Roman"/>
            <w:color w:val="1155CC"/>
            <w:sz w:val="22"/>
            <w:szCs w:val="22"/>
            <w:u w:val="single"/>
          </w:rPr>
          <w:t>Belarusian Helsinki Committee</w:t>
        </w:r>
      </w:hyperlink>
      <w:r w:rsidRPr="00A65B16">
        <w:rPr>
          <w:rFonts w:ascii="Roboto" w:eastAsia="Times New Roman" w:hAnsi="Roboto" w:cs="Times New Roman"/>
          <w:sz w:val="22"/>
          <w:szCs w:val="22"/>
        </w:rPr>
        <w:t xml:space="preserve"> and </w:t>
      </w:r>
      <w:hyperlink r:id="rId11">
        <w:r w:rsidRPr="00A65B16">
          <w:rPr>
            <w:rFonts w:ascii="Roboto" w:eastAsia="Times New Roman" w:hAnsi="Roboto" w:cs="Times New Roman"/>
            <w:color w:val="1155CC"/>
            <w:sz w:val="22"/>
            <w:szCs w:val="22"/>
            <w:u w:val="single"/>
          </w:rPr>
          <w:t>Viasna</w:t>
        </w:r>
      </w:hyperlink>
      <w:r w:rsidRPr="00A65B16">
        <w:rPr>
          <w:rFonts w:ascii="Roboto" w:eastAsia="Times New Roman" w:hAnsi="Roboto" w:cs="Times New Roman"/>
          <w:sz w:val="22"/>
          <w:szCs w:val="22"/>
        </w:rPr>
        <w:t xml:space="preserve"> and support from the </w:t>
      </w:r>
      <w:r w:rsidRPr="00A65B16">
        <w:rPr>
          <w:rFonts w:ascii="Roboto" w:eastAsia="Times New Roman" w:hAnsi="Roboto" w:cs="Times New Roman"/>
          <w:b/>
          <w:sz w:val="22"/>
          <w:szCs w:val="22"/>
        </w:rPr>
        <w:t>International Disability Alliance</w:t>
      </w:r>
      <w:r w:rsidRPr="00A65B16">
        <w:rPr>
          <w:rFonts w:ascii="Roboto" w:eastAsia="Times New Roman" w:hAnsi="Roboto" w:cs="Times New Roman"/>
          <w:sz w:val="22"/>
          <w:szCs w:val="22"/>
        </w:rPr>
        <w:t xml:space="preserve">. </w:t>
      </w:r>
    </w:p>
    <w:p w14:paraId="4A8C270E" w14:textId="150066AF" w:rsidR="0084721C" w:rsidRDefault="0084721C">
      <w:pPr>
        <w:rPr>
          <w:rFonts w:ascii="Roboto" w:eastAsia="Times New Roman" w:hAnsi="Roboto" w:cs="Times New Roman"/>
          <w:b/>
          <w:sz w:val="22"/>
          <w:szCs w:val="22"/>
        </w:rPr>
      </w:pPr>
    </w:p>
    <w:p w14:paraId="60C11274" w14:textId="7314D9A3" w:rsidR="00C706B0" w:rsidRDefault="00C706B0" w:rsidP="00C706B0">
      <w:pPr>
        <w:spacing w:after="0" w:line="240" w:lineRule="auto"/>
        <w:rPr>
          <w:rFonts w:ascii="Roboto" w:eastAsia="Times New Roman" w:hAnsi="Roboto" w:cs="Times New Roman"/>
          <w:b/>
          <w:sz w:val="28"/>
          <w:szCs w:val="28"/>
          <w:u w:val="single"/>
        </w:rPr>
      </w:pPr>
      <w:r w:rsidRPr="00C706B0">
        <w:rPr>
          <w:rFonts w:ascii="Roboto" w:eastAsia="Times New Roman" w:hAnsi="Roboto" w:cs="Times New Roman"/>
          <w:b/>
          <w:sz w:val="28"/>
          <w:szCs w:val="28"/>
          <w:u w:val="single"/>
        </w:rPr>
        <w:lastRenderedPageBreak/>
        <w:t>TABLE OF CONTENTS</w:t>
      </w:r>
    </w:p>
    <w:p w14:paraId="55699EC0" w14:textId="77777777" w:rsidR="00C706B0" w:rsidRPr="00C706B0" w:rsidRDefault="00C706B0" w:rsidP="00C706B0">
      <w:pPr>
        <w:spacing w:after="0" w:line="240" w:lineRule="auto"/>
        <w:rPr>
          <w:rFonts w:ascii="Roboto" w:eastAsia="Times New Roman" w:hAnsi="Roboto" w:cs="Times New Roman"/>
          <w:b/>
          <w:sz w:val="28"/>
          <w:szCs w:val="28"/>
          <w:u w:val="single"/>
        </w:rPr>
      </w:pPr>
    </w:p>
    <w:p w14:paraId="524D66B1" w14:textId="7CC6A837"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r>
        <w:rPr>
          <w:rFonts w:ascii="Roboto" w:eastAsia="Times New Roman" w:hAnsi="Roboto" w:cs="Times New Roman"/>
          <w:bCs w:val="0"/>
          <w:i w:val="0"/>
          <w:iCs w:val="0"/>
          <w:sz w:val="22"/>
          <w:szCs w:val="22"/>
        </w:rPr>
        <w:fldChar w:fldCharType="begin"/>
      </w:r>
      <w:r>
        <w:rPr>
          <w:rFonts w:ascii="Roboto" w:eastAsia="Times New Roman" w:hAnsi="Roboto" w:cs="Times New Roman"/>
          <w:bCs w:val="0"/>
          <w:i w:val="0"/>
          <w:iCs w:val="0"/>
          <w:sz w:val="22"/>
          <w:szCs w:val="22"/>
        </w:rPr>
        <w:instrText xml:space="preserve"> TOC \o "1-1" \h \z \u </w:instrText>
      </w:r>
      <w:r>
        <w:rPr>
          <w:rFonts w:ascii="Roboto" w:eastAsia="Times New Roman" w:hAnsi="Roboto" w:cs="Times New Roman"/>
          <w:bCs w:val="0"/>
          <w:i w:val="0"/>
          <w:iCs w:val="0"/>
          <w:sz w:val="22"/>
          <w:szCs w:val="22"/>
        </w:rPr>
        <w:fldChar w:fldCharType="separate"/>
      </w:r>
      <w:hyperlink w:anchor="_Toc171515777" w:history="1">
        <w:r w:rsidRPr="005034CA">
          <w:rPr>
            <w:rStyle w:val="Hyperlink"/>
            <w:noProof/>
          </w:rPr>
          <w:t>Introduction and context</w:t>
        </w:r>
        <w:r>
          <w:rPr>
            <w:noProof/>
            <w:webHidden/>
          </w:rPr>
          <w:tab/>
        </w:r>
        <w:r>
          <w:rPr>
            <w:noProof/>
            <w:webHidden/>
          </w:rPr>
          <w:fldChar w:fldCharType="begin"/>
        </w:r>
        <w:r>
          <w:rPr>
            <w:noProof/>
            <w:webHidden/>
          </w:rPr>
          <w:instrText xml:space="preserve"> PAGEREF _Toc171515777 \h </w:instrText>
        </w:r>
        <w:r>
          <w:rPr>
            <w:noProof/>
            <w:webHidden/>
          </w:rPr>
        </w:r>
        <w:r>
          <w:rPr>
            <w:noProof/>
            <w:webHidden/>
          </w:rPr>
          <w:fldChar w:fldCharType="separate"/>
        </w:r>
        <w:r>
          <w:rPr>
            <w:noProof/>
            <w:webHidden/>
          </w:rPr>
          <w:t>3</w:t>
        </w:r>
        <w:r>
          <w:rPr>
            <w:noProof/>
            <w:webHidden/>
          </w:rPr>
          <w:fldChar w:fldCharType="end"/>
        </w:r>
      </w:hyperlink>
    </w:p>
    <w:p w14:paraId="7E698823" w14:textId="6D3656B6"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78" w:history="1">
        <w:r w:rsidRPr="005034CA">
          <w:rPr>
            <w:rStyle w:val="Hyperlink"/>
            <w:noProof/>
          </w:rPr>
          <w:t>Purpose and general obligations (CRPD Articles 1-4)</w:t>
        </w:r>
        <w:r>
          <w:rPr>
            <w:noProof/>
            <w:webHidden/>
          </w:rPr>
          <w:tab/>
        </w:r>
        <w:r>
          <w:rPr>
            <w:noProof/>
            <w:webHidden/>
          </w:rPr>
          <w:fldChar w:fldCharType="begin"/>
        </w:r>
        <w:r>
          <w:rPr>
            <w:noProof/>
            <w:webHidden/>
          </w:rPr>
          <w:instrText xml:space="preserve"> PAGEREF _Toc171515778 \h </w:instrText>
        </w:r>
        <w:r>
          <w:rPr>
            <w:noProof/>
            <w:webHidden/>
          </w:rPr>
        </w:r>
        <w:r>
          <w:rPr>
            <w:noProof/>
            <w:webHidden/>
          </w:rPr>
          <w:fldChar w:fldCharType="separate"/>
        </w:r>
        <w:r>
          <w:rPr>
            <w:noProof/>
            <w:webHidden/>
          </w:rPr>
          <w:t>4</w:t>
        </w:r>
        <w:r>
          <w:rPr>
            <w:noProof/>
            <w:webHidden/>
          </w:rPr>
          <w:fldChar w:fldCharType="end"/>
        </w:r>
      </w:hyperlink>
    </w:p>
    <w:p w14:paraId="31989FE0" w14:textId="403971C8"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79" w:history="1">
        <w:r w:rsidRPr="005034CA">
          <w:rPr>
            <w:rStyle w:val="Hyperlink"/>
            <w:noProof/>
          </w:rPr>
          <w:t>Article 5. Equality and non-discrimination</w:t>
        </w:r>
        <w:r>
          <w:rPr>
            <w:noProof/>
            <w:webHidden/>
          </w:rPr>
          <w:tab/>
        </w:r>
        <w:r>
          <w:rPr>
            <w:noProof/>
            <w:webHidden/>
          </w:rPr>
          <w:fldChar w:fldCharType="begin"/>
        </w:r>
        <w:r>
          <w:rPr>
            <w:noProof/>
            <w:webHidden/>
          </w:rPr>
          <w:instrText xml:space="preserve"> PAGEREF _Toc171515779 \h </w:instrText>
        </w:r>
        <w:r>
          <w:rPr>
            <w:noProof/>
            <w:webHidden/>
          </w:rPr>
        </w:r>
        <w:r>
          <w:rPr>
            <w:noProof/>
            <w:webHidden/>
          </w:rPr>
          <w:fldChar w:fldCharType="separate"/>
        </w:r>
        <w:r>
          <w:rPr>
            <w:noProof/>
            <w:webHidden/>
          </w:rPr>
          <w:t>5</w:t>
        </w:r>
        <w:r>
          <w:rPr>
            <w:noProof/>
            <w:webHidden/>
          </w:rPr>
          <w:fldChar w:fldCharType="end"/>
        </w:r>
      </w:hyperlink>
    </w:p>
    <w:p w14:paraId="473A2346" w14:textId="1E02B37D"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0" w:history="1">
        <w:r w:rsidRPr="005034CA">
          <w:rPr>
            <w:rStyle w:val="Hyperlink"/>
            <w:noProof/>
          </w:rPr>
          <w:t>Article 6. Women with disabilities</w:t>
        </w:r>
        <w:r>
          <w:rPr>
            <w:noProof/>
            <w:webHidden/>
          </w:rPr>
          <w:tab/>
        </w:r>
        <w:r>
          <w:rPr>
            <w:noProof/>
            <w:webHidden/>
          </w:rPr>
          <w:fldChar w:fldCharType="begin"/>
        </w:r>
        <w:r>
          <w:rPr>
            <w:noProof/>
            <w:webHidden/>
          </w:rPr>
          <w:instrText xml:space="preserve"> PAGEREF _Toc171515780 \h </w:instrText>
        </w:r>
        <w:r>
          <w:rPr>
            <w:noProof/>
            <w:webHidden/>
          </w:rPr>
        </w:r>
        <w:r>
          <w:rPr>
            <w:noProof/>
            <w:webHidden/>
          </w:rPr>
          <w:fldChar w:fldCharType="separate"/>
        </w:r>
        <w:r>
          <w:rPr>
            <w:noProof/>
            <w:webHidden/>
          </w:rPr>
          <w:t>5</w:t>
        </w:r>
        <w:r>
          <w:rPr>
            <w:noProof/>
            <w:webHidden/>
          </w:rPr>
          <w:fldChar w:fldCharType="end"/>
        </w:r>
      </w:hyperlink>
    </w:p>
    <w:p w14:paraId="1C681889" w14:textId="433E435C"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1" w:history="1">
        <w:r w:rsidRPr="005034CA">
          <w:rPr>
            <w:rStyle w:val="Hyperlink"/>
            <w:noProof/>
          </w:rPr>
          <w:t>Article 7. Children with disabilities</w:t>
        </w:r>
        <w:r>
          <w:rPr>
            <w:noProof/>
            <w:webHidden/>
          </w:rPr>
          <w:tab/>
        </w:r>
        <w:r>
          <w:rPr>
            <w:noProof/>
            <w:webHidden/>
          </w:rPr>
          <w:fldChar w:fldCharType="begin"/>
        </w:r>
        <w:r>
          <w:rPr>
            <w:noProof/>
            <w:webHidden/>
          </w:rPr>
          <w:instrText xml:space="preserve"> PAGEREF _Toc171515781 \h </w:instrText>
        </w:r>
        <w:r>
          <w:rPr>
            <w:noProof/>
            <w:webHidden/>
          </w:rPr>
        </w:r>
        <w:r>
          <w:rPr>
            <w:noProof/>
            <w:webHidden/>
          </w:rPr>
          <w:fldChar w:fldCharType="separate"/>
        </w:r>
        <w:r>
          <w:rPr>
            <w:noProof/>
            <w:webHidden/>
          </w:rPr>
          <w:t>6</w:t>
        </w:r>
        <w:r>
          <w:rPr>
            <w:noProof/>
            <w:webHidden/>
          </w:rPr>
          <w:fldChar w:fldCharType="end"/>
        </w:r>
      </w:hyperlink>
    </w:p>
    <w:p w14:paraId="60820D05" w14:textId="68676EAF"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2" w:history="1">
        <w:r w:rsidRPr="005034CA">
          <w:rPr>
            <w:rStyle w:val="Hyperlink"/>
            <w:noProof/>
          </w:rPr>
          <w:t>Article 8. Awareness-raising</w:t>
        </w:r>
        <w:r>
          <w:rPr>
            <w:noProof/>
            <w:webHidden/>
          </w:rPr>
          <w:tab/>
        </w:r>
        <w:r>
          <w:rPr>
            <w:noProof/>
            <w:webHidden/>
          </w:rPr>
          <w:fldChar w:fldCharType="begin"/>
        </w:r>
        <w:r>
          <w:rPr>
            <w:noProof/>
            <w:webHidden/>
          </w:rPr>
          <w:instrText xml:space="preserve"> PAGEREF _Toc171515782 \h </w:instrText>
        </w:r>
        <w:r>
          <w:rPr>
            <w:noProof/>
            <w:webHidden/>
          </w:rPr>
        </w:r>
        <w:r>
          <w:rPr>
            <w:noProof/>
            <w:webHidden/>
          </w:rPr>
          <w:fldChar w:fldCharType="separate"/>
        </w:r>
        <w:r>
          <w:rPr>
            <w:noProof/>
            <w:webHidden/>
          </w:rPr>
          <w:t>6</w:t>
        </w:r>
        <w:r>
          <w:rPr>
            <w:noProof/>
            <w:webHidden/>
          </w:rPr>
          <w:fldChar w:fldCharType="end"/>
        </w:r>
      </w:hyperlink>
    </w:p>
    <w:p w14:paraId="783A5D11" w14:textId="7324B312"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3" w:history="1">
        <w:r w:rsidRPr="005034CA">
          <w:rPr>
            <w:rStyle w:val="Hyperlink"/>
            <w:noProof/>
          </w:rPr>
          <w:t>Article 9. Accessibility</w:t>
        </w:r>
        <w:r>
          <w:rPr>
            <w:noProof/>
            <w:webHidden/>
          </w:rPr>
          <w:tab/>
        </w:r>
        <w:r>
          <w:rPr>
            <w:noProof/>
            <w:webHidden/>
          </w:rPr>
          <w:fldChar w:fldCharType="begin"/>
        </w:r>
        <w:r>
          <w:rPr>
            <w:noProof/>
            <w:webHidden/>
          </w:rPr>
          <w:instrText xml:space="preserve"> PAGEREF _Toc171515783 \h </w:instrText>
        </w:r>
        <w:r>
          <w:rPr>
            <w:noProof/>
            <w:webHidden/>
          </w:rPr>
        </w:r>
        <w:r>
          <w:rPr>
            <w:noProof/>
            <w:webHidden/>
          </w:rPr>
          <w:fldChar w:fldCharType="separate"/>
        </w:r>
        <w:r>
          <w:rPr>
            <w:noProof/>
            <w:webHidden/>
          </w:rPr>
          <w:t>7</w:t>
        </w:r>
        <w:r>
          <w:rPr>
            <w:noProof/>
            <w:webHidden/>
          </w:rPr>
          <w:fldChar w:fldCharType="end"/>
        </w:r>
      </w:hyperlink>
    </w:p>
    <w:p w14:paraId="721156B9" w14:textId="4C470396"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4" w:history="1">
        <w:r w:rsidRPr="005034CA">
          <w:rPr>
            <w:rStyle w:val="Hyperlink"/>
            <w:noProof/>
          </w:rPr>
          <w:t>Article 11. Situations of risk and humanitarian emergencies</w:t>
        </w:r>
        <w:r>
          <w:rPr>
            <w:noProof/>
            <w:webHidden/>
          </w:rPr>
          <w:tab/>
        </w:r>
        <w:r>
          <w:rPr>
            <w:noProof/>
            <w:webHidden/>
          </w:rPr>
          <w:fldChar w:fldCharType="begin"/>
        </w:r>
        <w:r>
          <w:rPr>
            <w:noProof/>
            <w:webHidden/>
          </w:rPr>
          <w:instrText xml:space="preserve"> PAGEREF _Toc171515784 \h </w:instrText>
        </w:r>
        <w:r>
          <w:rPr>
            <w:noProof/>
            <w:webHidden/>
          </w:rPr>
        </w:r>
        <w:r>
          <w:rPr>
            <w:noProof/>
            <w:webHidden/>
          </w:rPr>
          <w:fldChar w:fldCharType="separate"/>
        </w:r>
        <w:r>
          <w:rPr>
            <w:noProof/>
            <w:webHidden/>
          </w:rPr>
          <w:t>7</w:t>
        </w:r>
        <w:r>
          <w:rPr>
            <w:noProof/>
            <w:webHidden/>
          </w:rPr>
          <w:fldChar w:fldCharType="end"/>
        </w:r>
      </w:hyperlink>
    </w:p>
    <w:p w14:paraId="1E38F9A9" w14:textId="32D68C97"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5" w:history="1">
        <w:r w:rsidRPr="005034CA">
          <w:rPr>
            <w:rStyle w:val="Hyperlink"/>
            <w:noProof/>
          </w:rPr>
          <w:t>Article 12. Equal recognition before the law</w:t>
        </w:r>
        <w:r>
          <w:rPr>
            <w:noProof/>
            <w:webHidden/>
          </w:rPr>
          <w:tab/>
        </w:r>
        <w:r>
          <w:rPr>
            <w:noProof/>
            <w:webHidden/>
          </w:rPr>
          <w:fldChar w:fldCharType="begin"/>
        </w:r>
        <w:r>
          <w:rPr>
            <w:noProof/>
            <w:webHidden/>
          </w:rPr>
          <w:instrText xml:space="preserve"> PAGEREF _Toc171515785 \h </w:instrText>
        </w:r>
        <w:r>
          <w:rPr>
            <w:noProof/>
            <w:webHidden/>
          </w:rPr>
        </w:r>
        <w:r>
          <w:rPr>
            <w:noProof/>
            <w:webHidden/>
          </w:rPr>
          <w:fldChar w:fldCharType="separate"/>
        </w:r>
        <w:r>
          <w:rPr>
            <w:noProof/>
            <w:webHidden/>
          </w:rPr>
          <w:t>8</w:t>
        </w:r>
        <w:r>
          <w:rPr>
            <w:noProof/>
            <w:webHidden/>
          </w:rPr>
          <w:fldChar w:fldCharType="end"/>
        </w:r>
      </w:hyperlink>
    </w:p>
    <w:p w14:paraId="0ACE8504" w14:textId="3FA6387E"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6" w:history="1">
        <w:r w:rsidRPr="005034CA">
          <w:rPr>
            <w:rStyle w:val="Hyperlink"/>
            <w:noProof/>
          </w:rPr>
          <w:t>Article 13. Access to justice</w:t>
        </w:r>
        <w:r>
          <w:rPr>
            <w:noProof/>
            <w:webHidden/>
          </w:rPr>
          <w:tab/>
        </w:r>
        <w:r>
          <w:rPr>
            <w:noProof/>
            <w:webHidden/>
          </w:rPr>
          <w:fldChar w:fldCharType="begin"/>
        </w:r>
        <w:r>
          <w:rPr>
            <w:noProof/>
            <w:webHidden/>
          </w:rPr>
          <w:instrText xml:space="preserve"> PAGEREF _Toc171515786 \h </w:instrText>
        </w:r>
        <w:r>
          <w:rPr>
            <w:noProof/>
            <w:webHidden/>
          </w:rPr>
        </w:r>
        <w:r>
          <w:rPr>
            <w:noProof/>
            <w:webHidden/>
          </w:rPr>
          <w:fldChar w:fldCharType="separate"/>
        </w:r>
        <w:r>
          <w:rPr>
            <w:noProof/>
            <w:webHidden/>
          </w:rPr>
          <w:t>8</w:t>
        </w:r>
        <w:r>
          <w:rPr>
            <w:noProof/>
            <w:webHidden/>
          </w:rPr>
          <w:fldChar w:fldCharType="end"/>
        </w:r>
      </w:hyperlink>
    </w:p>
    <w:p w14:paraId="2FD19BE8" w14:textId="3522E7CC"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7" w:history="1">
        <w:r w:rsidRPr="005034CA">
          <w:rPr>
            <w:rStyle w:val="Hyperlink"/>
            <w:noProof/>
          </w:rPr>
          <w:t>Article 14. Liberty and security of persons</w:t>
        </w:r>
        <w:r>
          <w:rPr>
            <w:noProof/>
            <w:webHidden/>
          </w:rPr>
          <w:tab/>
        </w:r>
        <w:r>
          <w:rPr>
            <w:noProof/>
            <w:webHidden/>
          </w:rPr>
          <w:fldChar w:fldCharType="begin"/>
        </w:r>
        <w:r>
          <w:rPr>
            <w:noProof/>
            <w:webHidden/>
          </w:rPr>
          <w:instrText xml:space="preserve"> PAGEREF _Toc171515787 \h </w:instrText>
        </w:r>
        <w:r>
          <w:rPr>
            <w:noProof/>
            <w:webHidden/>
          </w:rPr>
        </w:r>
        <w:r>
          <w:rPr>
            <w:noProof/>
            <w:webHidden/>
          </w:rPr>
          <w:fldChar w:fldCharType="separate"/>
        </w:r>
        <w:r>
          <w:rPr>
            <w:noProof/>
            <w:webHidden/>
          </w:rPr>
          <w:t>9</w:t>
        </w:r>
        <w:r>
          <w:rPr>
            <w:noProof/>
            <w:webHidden/>
          </w:rPr>
          <w:fldChar w:fldCharType="end"/>
        </w:r>
      </w:hyperlink>
    </w:p>
    <w:p w14:paraId="1756E8A1" w14:textId="39FF1DE7"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8" w:history="1">
        <w:r w:rsidRPr="005034CA">
          <w:rPr>
            <w:rStyle w:val="Hyperlink"/>
            <w:noProof/>
          </w:rPr>
          <w:t>Article 15. Freedom from torture or cruel, inhuman or degrading treatment or punishment</w:t>
        </w:r>
        <w:r>
          <w:rPr>
            <w:noProof/>
            <w:webHidden/>
          </w:rPr>
          <w:tab/>
        </w:r>
        <w:r>
          <w:rPr>
            <w:noProof/>
            <w:webHidden/>
          </w:rPr>
          <w:fldChar w:fldCharType="begin"/>
        </w:r>
        <w:r>
          <w:rPr>
            <w:noProof/>
            <w:webHidden/>
          </w:rPr>
          <w:instrText xml:space="preserve"> PAGEREF _Toc171515788 \h </w:instrText>
        </w:r>
        <w:r>
          <w:rPr>
            <w:noProof/>
            <w:webHidden/>
          </w:rPr>
        </w:r>
        <w:r>
          <w:rPr>
            <w:noProof/>
            <w:webHidden/>
          </w:rPr>
          <w:fldChar w:fldCharType="separate"/>
        </w:r>
        <w:r>
          <w:rPr>
            <w:noProof/>
            <w:webHidden/>
          </w:rPr>
          <w:t>10</w:t>
        </w:r>
        <w:r>
          <w:rPr>
            <w:noProof/>
            <w:webHidden/>
          </w:rPr>
          <w:fldChar w:fldCharType="end"/>
        </w:r>
      </w:hyperlink>
    </w:p>
    <w:p w14:paraId="7C2717B1" w14:textId="03E3BC52"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89" w:history="1">
        <w:r w:rsidRPr="005034CA">
          <w:rPr>
            <w:rStyle w:val="Hyperlink"/>
            <w:noProof/>
          </w:rPr>
          <w:t>Article 16. Freedom from exploitation, violence and abuse</w:t>
        </w:r>
        <w:r>
          <w:rPr>
            <w:noProof/>
            <w:webHidden/>
          </w:rPr>
          <w:tab/>
        </w:r>
        <w:r>
          <w:rPr>
            <w:noProof/>
            <w:webHidden/>
          </w:rPr>
          <w:fldChar w:fldCharType="begin"/>
        </w:r>
        <w:r>
          <w:rPr>
            <w:noProof/>
            <w:webHidden/>
          </w:rPr>
          <w:instrText xml:space="preserve"> PAGEREF _Toc171515789 \h </w:instrText>
        </w:r>
        <w:r>
          <w:rPr>
            <w:noProof/>
            <w:webHidden/>
          </w:rPr>
        </w:r>
        <w:r>
          <w:rPr>
            <w:noProof/>
            <w:webHidden/>
          </w:rPr>
          <w:fldChar w:fldCharType="separate"/>
        </w:r>
        <w:r>
          <w:rPr>
            <w:noProof/>
            <w:webHidden/>
          </w:rPr>
          <w:t>10</w:t>
        </w:r>
        <w:r>
          <w:rPr>
            <w:noProof/>
            <w:webHidden/>
          </w:rPr>
          <w:fldChar w:fldCharType="end"/>
        </w:r>
      </w:hyperlink>
    </w:p>
    <w:p w14:paraId="02C4CBC7" w14:textId="1EA6C3D6"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0" w:history="1">
        <w:r w:rsidRPr="005034CA">
          <w:rPr>
            <w:rStyle w:val="Hyperlink"/>
            <w:noProof/>
          </w:rPr>
          <w:t>Article 19. Living independently and being included in the community</w:t>
        </w:r>
        <w:r>
          <w:rPr>
            <w:noProof/>
            <w:webHidden/>
          </w:rPr>
          <w:tab/>
        </w:r>
        <w:r>
          <w:rPr>
            <w:noProof/>
            <w:webHidden/>
          </w:rPr>
          <w:fldChar w:fldCharType="begin"/>
        </w:r>
        <w:r>
          <w:rPr>
            <w:noProof/>
            <w:webHidden/>
          </w:rPr>
          <w:instrText xml:space="preserve"> PAGEREF _Toc171515790 \h </w:instrText>
        </w:r>
        <w:r>
          <w:rPr>
            <w:noProof/>
            <w:webHidden/>
          </w:rPr>
        </w:r>
        <w:r>
          <w:rPr>
            <w:noProof/>
            <w:webHidden/>
          </w:rPr>
          <w:fldChar w:fldCharType="separate"/>
        </w:r>
        <w:r>
          <w:rPr>
            <w:noProof/>
            <w:webHidden/>
          </w:rPr>
          <w:t>11</w:t>
        </w:r>
        <w:r>
          <w:rPr>
            <w:noProof/>
            <w:webHidden/>
          </w:rPr>
          <w:fldChar w:fldCharType="end"/>
        </w:r>
      </w:hyperlink>
    </w:p>
    <w:p w14:paraId="52CA491D" w14:textId="12A036B2"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1" w:history="1">
        <w:r w:rsidRPr="005034CA">
          <w:rPr>
            <w:rStyle w:val="Hyperlink"/>
            <w:noProof/>
          </w:rPr>
          <w:t>Article 21. Freedom of expression and opinion and access to information</w:t>
        </w:r>
        <w:r>
          <w:rPr>
            <w:noProof/>
            <w:webHidden/>
          </w:rPr>
          <w:tab/>
        </w:r>
        <w:r>
          <w:rPr>
            <w:noProof/>
            <w:webHidden/>
          </w:rPr>
          <w:fldChar w:fldCharType="begin"/>
        </w:r>
        <w:r>
          <w:rPr>
            <w:noProof/>
            <w:webHidden/>
          </w:rPr>
          <w:instrText xml:space="preserve"> PAGEREF _Toc171515791 \h </w:instrText>
        </w:r>
        <w:r>
          <w:rPr>
            <w:noProof/>
            <w:webHidden/>
          </w:rPr>
        </w:r>
        <w:r>
          <w:rPr>
            <w:noProof/>
            <w:webHidden/>
          </w:rPr>
          <w:fldChar w:fldCharType="separate"/>
        </w:r>
        <w:r>
          <w:rPr>
            <w:noProof/>
            <w:webHidden/>
          </w:rPr>
          <w:t>11</w:t>
        </w:r>
        <w:r>
          <w:rPr>
            <w:noProof/>
            <w:webHidden/>
          </w:rPr>
          <w:fldChar w:fldCharType="end"/>
        </w:r>
      </w:hyperlink>
    </w:p>
    <w:p w14:paraId="3563C3BE" w14:textId="68BC1751"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2" w:history="1">
        <w:r w:rsidRPr="005034CA">
          <w:rPr>
            <w:rStyle w:val="Hyperlink"/>
            <w:noProof/>
          </w:rPr>
          <w:t>Article 24. Inclusive education</w:t>
        </w:r>
        <w:r>
          <w:rPr>
            <w:noProof/>
            <w:webHidden/>
          </w:rPr>
          <w:tab/>
        </w:r>
        <w:r>
          <w:rPr>
            <w:noProof/>
            <w:webHidden/>
          </w:rPr>
          <w:fldChar w:fldCharType="begin"/>
        </w:r>
        <w:r>
          <w:rPr>
            <w:noProof/>
            <w:webHidden/>
          </w:rPr>
          <w:instrText xml:space="preserve"> PAGEREF _Toc171515792 \h </w:instrText>
        </w:r>
        <w:r>
          <w:rPr>
            <w:noProof/>
            <w:webHidden/>
          </w:rPr>
        </w:r>
        <w:r>
          <w:rPr>
            <w:noProof/>
            <w:webHidden/>
          </w:rPr>
          <w:fldChar w:fldCharType="separate"/>
        </w:r>
        <w:r>
          <w:rPr>
            <w:noProof/>
            <w:webHidden/>
          </w:rPr>
          <w:t>12</w:t>
        </w:r>
        <w:r>
          <w:rPr>
            <w:noProof/>
            <w:webHidden/>
          </w:rPr>
          <w:fldChar w:fldCharType="end"/>
        </w:r>
      </w:hyperlink>
    </w:p>
    <w:p w14:paraId="4F591136" w14:textId="0C844616"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3" w:history="1">
        <w:r w:rsidRPr="005034CA">
          <w:rPr>
            <w:rStyle w:val="Hyperlink"/>
            <w:noProof/>
          </w:rPr>
          <w:t>Article 25. Health</w:t>
        </w:r>
        <w:r>
          <w:rPr>
            <w:noProof/>
            <w:webHidden/>
          </w:rPr>
          <w:tab/>
        </w:r>
        <w:r>
          <w:rPr>
            <w:noProof/>
            <w:webHidden/>
          </w:rPr>
          <w:fldChar w:fldCharType="begin"/>
        </w:r>
        <w:r>
          <w:rPr>
            <w:noProof/>
            <w:webHidden/>
          </w:rPr>
          <w:instrText xml:space="preserve"> PAGEREF _Toc171515793 \h </w:instrText>
        </w:r>
        <w:r>
          <w:rPr>
            <w:noProof/>
            <w:webHidden/>
          </w:rPr>
        </w:r>
        <w:r>
          <w:rPr>
            <w:noProof/>
            <w:webHidden/>
          </w:rPr>
          <w:fldChar w:fldCharType="separate"/>
        </w:r>
        <w:r>
          <w:rPr>
            <w:noProof/>
            <w:webHidden/>
          </w:rPr>
          <w:t>13</w:t>
        </w:r>
        <w:r>
          <w:rPr>
            <w:noProof/>
            <w:webHidden/>
          </w:rPr>
          <w:fldChar w:fldCharType="end"/>
        </w:r>
      </w:hyperlink>
    </w:p>
    <w:p w14:paraId="26F61F82" w14:textId="7F27B400"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4" w:history="1">
        <w:r w:rsidRPr="005034CA">
          <w:rPr>
            <w:rStyle w:val="Hyperlink"/>
            <w:noProof/>
          </w:rPr>
          <w:t>Article 26. Habilitation and rehabilitation</w:t>
        </w:r>
        <w:r>
          <w:rPr>
            <w:noProof/>
            <w:webHidden/>
          </w:rPr>
          <w:tab/>
        </w:r>
        <w:r>
          <w:rPr>
            <w:noProof/>
            <w:webHidden/>
          </w:rPr>
          <w:fldChar w:fldCharType="begin"/>
        </w:r>
        <w:r>
          <w:rPr>
            <w:noProof/>
            <w:webHidden/>
          </w:rPr>
          <w:instrText xml:space="preserve"> PAGEREF _Toc171515794 \h </w:instrText>
        </w:r>
        <w:r>
          <w:rPr>
            <w:noProof/>
            <w:webHidden/>
          </w:rPr>
        </w:r>
        <w:r>
          <w:rPr>
            <w:noProof/>
            <w:webHidden/>
          </w:rPr>
          <w:fldChar w:fldCharType="separate"/>
        </w:r>
        <w:r>
          <w:rPr>
            <w:noProof/>
            <w:webHidden/>
          </w:rPr>
          <w:t>14</w:t>
        </w:r>
        <w:r>
          <w:rPr>
            <w:noProof/>
            <w:webHidden/>
          </w:rPr>
          <w:fldChar w:fldCharType="end"/>
        </w:r>
      </w:hyperlink>
    </w:p>
    <w:p w14:paraId="4B237E5D" w14:textId="43B783EB"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5" w:history="1">
        <w:r w:rsidRPr="005034CA">
          <w:rPr>
            <w:rStyle w:val="Hyperlink"/>
            <w:noProof/>
          </w:rPr>
          <w:t>Article 27. Work and employment</w:t>
        </w:r>
        <w:r>
          <w:rPr>
            <w:noProof/>
            <w:webHidden/>
          </w:rPr>
          <w:tab/>
        </w:r>
        <w:r>
          <w:rPr>
            <w:noProof/>
            <w:webHidden/>
          </w:rPr>
          <w:fldChar w:fldCharType="begin"/>
        </w:r>
        <w:r>
          <w:rPr>
            <w:noProof/>
            <w:webHidden/>
          </w:rPr>
          <w:instrText xml:space="preserve"> PAGEREF _Toc171515795 \h </w:instrText>
        </w:r>
        <w:r>
          <w:rPr>
            <w:noProof/>
            <w:webHidden/>
          </w:rPr>
        </w:r>
        <w:r>
          <w:rPr>
            <w:noProof/>
            <w:webHidden/>
          </w:rPr>
          <w:fldChar w:fldCharType="separate"/>
        </w:r>
        <w:r>
          <w:rPr>
            <w:noProof/>
            <w:webHidden/>
          </w:rPr>
          <w:t>14</w:t>
        </w:r>
        <w:r>
          <w:rPr>
            <w:noProof/>
            <w:webHidden/>
          </w:rPr>
          <w:fldChar w:fldCharType="end"/>
        </w:r>
      </w:hyperlink>
    </w:p>
    <w:p w14:paraId="2BB3A235" w14:textId="0BA1F8AD"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6" w:history="1">
        <w:r w:rsidRPr="005034CA">
          <w:rPr>
            <w:rStyle w:val="Hyperlink"/>
            <w:noProof/>
          </w:rPr>
          <w:t>Article 28. Adequate standard of living and social protection</w:t>
        </w:r>
        <w:r>
          <w:rPr>
            <w:noProof/>
            <w:webHidden/>
          </w:rPr>
          <w:tab/>
        </w:r>
        <w:r>
          <w:rPr>
            <w:noProof/>
            <w:webHidden/>
          </w:rPr>
          <w:fldChar w:fldCharType="begin"/>
        </w:r>
        <w:r>
          <w:rPr>
            <w:noProof/>
            <w:webHidden/>
          </w:rPr>
          <w:instrText xml:space="preserve"> PAGEREF _Toc171515796 \h </w:instrText>
        </w:r>
        <w:r>
          <w:rPr>
            <w:noProof/>
            <w:webHidden/>
          </w:rPr>
        </w:r>
        <w:r>
          <w:rPr>
            <w:noProof/>
            <w:webHidden/>
          </w:rPr>
          <w:fldChar w:fldCharType="separate"/>
        </w:r>
        <w:r>
          <w:rPr>
            <w:noProof/>
            <w:webHidden/>
          </w:rPr>
          <w:t>15</w:t>
        </w:r>
        <w:r>
          <w:rPr>
            <w:noProof/>
            <w:webHidden/>
          </w:rPr>
          <w:fldChar w:fldCharType="end"/>
        </w:r>
      </w:hyperlink>
    </w:p>
    <w:p w14:paraId="25629EBA" w14:textId="6D59D2E8"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7" w:history="1">
        <w:r w:rsidRPr="005034CA">
          <w:rPr>
            <w:rStyle w:val="Hyperlink"/>
            <w:noProof/>
          </w:rPr>
          <w:t>Article 29. Participation in political and public life</w:t>
        </w:r>
        <w:r>
          <w:rPr>
            <w:noProof/>
            <w:webHidden/>
          </w:rPr>
          <w:tab/>
        </w:r>
        <w:r>
          <w:rPr>
            <w:noProof/>
            <w:webHidden/>
          </w:rPr>
          <w:fldChar w:fldCharType="begin"/>
        </w:r>
        <w:r>
          <w:rPr>
            <w:noProof/>
            <w:webHidden/>
          </w:rPr>
          <w:instrText xml:space="preserve"> PAGEREF _Toc171515797 \h </w:instrText>
        </w:r>
        <w:r>
          <w:rPr>
            <w:noProof/>
            <w:webHidden/>
          </w:rPr>
        </w:r>
        <w:r>
          <w:rPr>
            <w:noProof/>
            <w:webHidden/>
          </w:rPr>
          <w:fldChar w:fldCharType="separate"/>
        </w:r>
        <w:r>
          <w:rPr>
            <w:noProof/>
            <w:webHidden/>
          </w:rPr>
          <w:t>16</w:t>
        </w:r>
        <w:r>
          <w:rPr>
            <w:noProof/>
            <w:webHidden/>
          </w:rPr>
          <w:fldChar w:fldCharType="end"/>
        </w:r>
      </w:hyperlink>
    </w:p>
    <w:p w14:paraId="53700662" w14:textId="5BFB9251" w:rsidR="00C706B0" w:rsidRDefault="00C706B0">
      <w:pPr>
        <w:pStyle w:val="TOC1"/>
        <w:tabs>
          <w:tab w:val="right" w:leader="underscore" w:pos="9016"/>
        </w:tabs>
        <w:rPr>
          <w:rFonts w:eastAsiaTheme="minorEastAsia" w:cstheme="minorBidi"/>
          <w:b w:val="0"/>
          <w:bCs w:val="0"/>
          <w:i w:val="0"/>
          <w:iCs w:val="0"/>
          <w:noProof/>
          <w:kern w:val="2"/>
          <w14:ligatures w14:val="standardContextual"/>
        </w:rPr>
      </w:pPr>
      <w:hyperlink w:anchor="_Toc171515798" w:history="1">
        <w:r w:rsidRPr="005034CA">
          <w:rPr>
            <w:rStyle w:val="Hyperlink"/>
            <w:noProof/>
          </w:rPr>
          <w:t>Article 31. Statistics and data collection</w:t>
        </w:r>
        <w:r>
          <w:rPr>
            <w:noProof/>
            <w:webHidden/>
          </w:rPr>
          <w:tab/>
        </w:r>
        <w:r>
          <w:rPr>
            <w:noProof/>
            <w:webHidden/>
          </w:rPr>
          <w:fldChar w:fldCharType="begin"/>
        </w:r>
        <w:r>
          <w:rPr>
            <w:noProof/>
            <w:webHidden/>
          </w:rPr>
          <w:instrText xml:space="preserve"> PAGEREF _Toc171515798 \h </w:instrText>
        </w:r>
        <w:r>
          <w:rPr>
            <w:noProof/>
            <w:webHidden/>
          </w:rPr>
        </w:r>
        <w:r>
          <w:rPr>
            <w:noProof/>
            <w:webHidden/>
          </w:rPr>
          <w:fldChar w:fldCharType="separate"/>
        </w:r>
        <w:r>
          <w:rPr>
            <w:noProof/>
            <w:webHidden/>
          </w:rPr>
          <w:t>16</w:t>
        </w:r>
        <w:r>
          <w:rPr>
            <w:noProof/>
            <w:webHidden/>
          </w:rPr>
          <w:fldChar w:fldCharType="end"/>
        </w:r>
      </w:hyperlink>
    </w:p>
    <w:p w14:paraId="69B576F3" w14:textId="0BB1BC04" w:rsidR="00A65B16" w:rsidRDefault="00C706B0" w:rsidP="00C706B0">
      <w:pPr>
        <w:snapToGrid w:val="0"/>
        <w:spacing w:after="0" w:line="240" w:lineRule="auto"/>
        <w:rPr>
          <w:rFonts w:ascii="Roboto" w:eastAsia="Times New Roman" w:hAnsi="Roboto" w:cs="Times New Roman"/>
          <w:b/>
          <w:sz w:val="22"/>
          <w:szCs w:val="22"/>
        </w:rPr>
      </w:pPr>
      <w:r>
        <w:rPr>
          <w:rFonts w:ascii="Roboto" w:eastAsia="Times New Roman" w:hAnsi="Roboto" w:cs="Times New Roman"/>
          <w:bCs/>
          <w:i/>
          <w:iCs/>
          <w:sz w:val="22"/>
          <w:szCs w:val="22"/>
        </w:rPr>
        <w:fldChar w:fldCharType="end"/>
      </w:r>
      <w:r w:rsidR="00A65B16">
        <w:rPr>
          <w:rFonts w:ascii="Roboto" w:eastAsia="Times New Roman" w:hAnsi="Roboto" w:cs="Times New Roman"/>
          <w:b/>
          <w:sz w:val="22"/>
          <w:szCs w:val="22"/>
        </w:rPr>
        <w:br w:type="page"/>
      </w:r>
    </w:p>
    <w:p w14:paraId="7A8F41CF" w14:textId="27BF1C82" w:rsidR="0055215C" w:rsidRPr="00A65B16" w:rsidRDefault="00000000" w:rsidP="00A65B16">
      <w:pPr>
        <w:pStyle w:val="Heading1"/>
        <w:rPr>
          <w:color w:val="215E99" w:themeColor="text2" w:themeTint="BF"/>
        </w:rPr>
      </w:pPr>
      <w:bookmarkStart w:id="0" w:name="_Toc171515777"/>
      <w:r w:rsidRPr="00A65B16">
        <w:rPr>
          <w:color w:val="215E99" w:themeColor="text2" w:themeTint="BF"/>
        </w:rPr>
        <w:lastRenderedPageBreak/>
        <w:t>Introduction and context</w:t>
      </w:r>
      <w:bookmarkEnd w:id="0"/>
    </w:p>
    <w:p w14:paraId="64DCA386"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information presented in this submission completes and updates the alternative report produced by the Office for the Rights of Persons with Disabilities in 2018 and the confidential written submission for the List of Issues of 2021. It is, however, imperative to put this submission in the current political and legal context in the Republic of Belarus today. </w:t>
      </w:r>
    </w:p>
    <w:p w14:paraId="7F7A394C"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In 2020-2024, the Belarusian government has intensified its repression of civil society, leading to the liquidation of over 1,000 civil society organizations, including all independent human rights organizations. In these three years, the civil society sector has been reduced by a third, and this tendency remains strong. </w:t>
      </w:r>
    </w:p>
    <w:p w14:paraId="0EF50ED9"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This crackdown has severely affected organizations supporting people with disabilities, subjecting them to censorship, continuous inspections, and direct pressure Office for the Rights of Persons with Disabilities of Belarus, the lead author of the original alternative report, is among the organizations that have been liquidated with its leaders forced into exile.</w:t>
      </w:r>
    </w:p>
    <w:p w14:paraId="6A476695" w14:textId="30762B1E"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Information on the situation of persons with disabilities has been becoming more and more scarce as a result of the targeted actions of the Belarusian regime to create a complete informational blockade. At first, this was the reaction to the critical external response to the failure to respond to the 2020 pandemic in a disability-inclusive way documented in the unpublished report of the now defunct OHCHR country office (on file with the authors). Following the illegitimate presidential election of 2021</w:t>
      </w:r>
      <w:r w:rsidR="00893061" w:rsidRPr="00A65B16">
        <w:rPr>
          <w:rStyle w:val="FootnoteReference"/>
          <w:rFonts w:ascii="Roboto" w:eastAsia="Times New Roman" w:hAnsi="Roboto" w:cs="Times New Roman"/>
          <w:sz w:val="22"/>
          <w:szCs w:val="22"/>
        </w:rPr>
        <w:footnoteReference w:id="1"/>
      </w:r>
      <w:r w:rsidRPr="00A65B16">
        <w:rPr>
          <w:rFonts w:ascii="Roboto" w:eastAsia="Times New Roman" w:hAnsi="Roboto" w:cs="Times New Roman"/>
          <w:sz w:val="22"/>
          <w:szCs w:val="22"/>
        </w:rPr>
        <w:t xml:space="preserve"> and the repressions that ensued, a systemic limitation of access to any disability-related information has intensified. This concerns general information about the demographics and situation of persons with disabilities in the country, legislation and policy, monitoring reports and other information. The reports on the implementation of state programmes on accessibility, rehabilitation, or social protection have all been removed from the websites of state organs, making it impossible to independently assess the progress, regression or stagnation of the situation. By 2021, the practice of blocking of the state websites from the European and North-American servers has been institutionalised, motivated by “prevention of national de-stabilisation”. </w:t>
      </w:r>
    </w:p>
    <w:p w14:paraId="5037547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As of July 2024, part of public sites were inaccessible; others only contain vague generalised information or information marked as “confidential”.  </w:t>
      </w:r>
    </w:p>
    <w:p w14:paraId="75B06079"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government's repressive policies have transformed disability organizations into government-organized non-governmental organizations (GONGOs) that act in the regime's interests, both domestically and internationally. Genuine activists and organizations advocating for disability rights have been forced out of the country, significantly limiting the avenues for promoting and protecting the rights of people with disabilities. The vulnerable state of the disability community has played into the regime’s hands aiding it to create a facade of contentment and prosperity. </w:t>
      </w:r>
    </w:p>
    <w:p w14:paraId="51FD99BF" w14:textId="5A13BBAA"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Against this extremely alarming backdrop, it is essential to highlight the few positive developments that have been observed recently. The first includes the adoption of the </w:t>
      </w:r>
      <w:r w:rsidRPr="00A65B16">
        <w:rPr>
          <w:rFonts w:ascii="Roboto" w:eastAsia="Times New Roman" w:hAnsi="Roboto" w:cs="Times New Roman"/>
          <w:b/>
          <w:sz w:val="22"/>
          <w:szCs w:val="22"/>
        </w:rPr>
        <w:t>2022 Law on the Rights and Social Inclusion of Persons with Disabilities</w:t>
      </w:r>
      <w:r w:rsidRPr="00A65B16">
        <w:rPr>
          <w:rFonts w:ascii="Roboto" w:eastAsia="Times New Roman" w:hAnsi="Roboto" w:cs="Times New Roman"/>
          <w:sz w:val="22"/>
          <w:szCs w:val="22"/>
        </w:rPr>
        <w:t xml:space="preserve">, which embraces many of </w:t>
      </w:r>
      <w:r w:rsidRPr="00A65B16">
        <w:rPr>
          <w:rFonts w:ascii="Roboto" w:eastAsia="Times New Roman" w:hAnsi="Roboto" w:cs="Times New Roman"/>
          <w:sz w:val="22"/>
          <w:szCs w:val="22"/>
        </w:rPr>
        <w:lastRenderedPageBreak/>
        <w:t xml:space="preserve">the Convention’s definitions, although in a highly perfunctory manner. The second is the </w:t>
      </w:r>
      <w:r w:rsidRPr="00A65B16">
        <w:rPr>
          <w:rFonts w:ascii="Roboto" w:eastAsia="Times New Roman" w:hAnsi="Roboto" w:cs="Times New Roman"/>
          <w:b/>
          <w:sz w:val="22"/>
          <w:szCs w:val="22"/>
        </w:rPr>
        <w:t>2023 Law on Social Services</w:t>
      </w:r>
      <w:r w:rsidRPr="00A65B16">
        <w:rPr>
          <w:rFonts w:ascii="Roboto" w:eastAsia="Times New Roman" w:hAnsi="Roboto" w:cs="Times New Roman"/>
          <w:sz w:val="22"/>
          <w:szCs w:val="22"/>
        </w:rPr>
        <w:t xml:space="preserve"> which, if implemented conscientiously, has a strong potential to move Belarus towards a community-based approach to the provision of social support services. In both of these initiatives, the constructive encouragement and guidance of the Committee will be necessary. </w:t>
      </w:r>
    </w:p>
    <w:p w14:paraId="090025D5" w14:textId="77777777" w:rsidR="0055215C" w:rsidRPr="00A65B16" w:rsidRDefault="00000000" w:rsidP="00A65B16">
      <w:pPr>
        <w:pStyle w:val="Heading1"/>
        <w:rPr>
          <w:color w:val="215E99" w:themeColor="text2" w:themeTint="BF"/>
        </w:rPr>
      </w:pPr>
      <w:bookmarkStart w:id="1" w:name="_Toc171515778"/>
      <w:r w:rsidRPr="00A65B16">
        <w:rPr>
          <w:color w:val="215E99" w:themeColor="text2" w:themeTint="BF"/>
        </w:rPr>
        <w:t>Purpose and general obligations (CRPD Articles 1-4)</w:t>
      </w:r>
      <w:bookmarkEnd w:id="1"/>
    </w:p>
    <w:p w14:paraId="65B81001"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Disability determination in Belarus is a heavily medicalised procedure that follows an archaic Soviet-era model, classifying individuals into groups I (severe), II (moderate), and III (light). It does not consider social factors and barriers that constitute a disability and fails to offer individualised support. The Medical Rehabilitation Expert Commission (MREK), which assigns these groups, is predominantly composed of medical professionals.</w:t>
      </w:r>
    </w:p>
    <w:p w14:paraId="614AD5F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As of 2020, 575,710 people (6.12% of the population) were registered as persons with disabilities, receiving disability benefits. Of these, 45.1% were men, 54.9% women, and 5.5% children. Disability organisations observe a trend toward reducing the number of officially recognised persons with disabilities and, consequently, the number of social support beneficiaries. They attribute this to the State's attempt to create a positive image and reduce costs. The last available official data shows that the number of persons with disabilities has plummeted following the COVID-19 pandemic. At the time of writing, the data on disability is considered classified, including the total number of people officially recognized as having disabilities.</w:t>
      </w:r>
    </w:p>
    <w:p w14:paraId="0EFF829C"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legislation addresses disability in a perfunctory paternalistic manner, falling short of the Convention's principles of respect for inherent dignity and equality. The Law “On the Rights of Persons with Disabilities and Their Social Integration” (2022) incorporates some concepts from the Convention on the Rights of Persons with Disabilities but retains an outdated medical approach. While retaining the basic definitions deriving from the Convention, the law does not contain any mechanisms for implementation, monitoring or sanctions, making the implementation of the principle of non-discrmination unrealisable in practice. The official terminology used in Belarus, including in the 2022 Law, is not aligned with the social model of disability. The pejorative term "invalid" persists despite opposition from representative organisations of persons with disabilities, who prefer the term "persons with disabilities."</w:t>
      </w:r>
    </w:p>
    <w:p w14:paraId="7B42434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State disability assessments focus on medical data, neglecting the social and participatory aspects crucial for a holistic understanding of disability. The country's reluctance to use the International Classification of Functioning (ICF) reflects this narrow focus. </w:t>
      </w:r>
    </w:p>
    <w:p w14:paraId="381C0C3B"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Action Plan on the Realisation of the UN Convention on the Rights of Persons with Disabilities was adopted in 2017 and runs until 2025, with amendments introduced in 2019. It assigns responsibilities to various ministries but lacks a robust monitoring mechanism and additional resource allocation.</w:t>
      </w:r>
    </w:p>
    <w:p w14:paraId="270DFCA4"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disability movement comprises a handful of centralised impairment-specific GONGOs with regional structures. The government-enforced elections into the governing structures have gradually been installing the pro-regime leadership of all main OPDs since 2020.</w:t>
      </w:r>
    </w:p>
    <w:p w14:paraId="5EA1E4CF"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lastRenderedPageBreak/>
        <w:t xml:space="preserve">In recent years, membership in representative organisations of persons with disabilities has declined, and these organisations’ eligibility for state support has been reduced. Their involvement in policy-making discussions is often tokenistic, and they face significant censorship in the media. The monies liberated in these processes have been shifted to support pro-regime entities. </w:t>
      </w:r>
    </w:p>
    <w:p w14:paraId="03D3D31D"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 xml:space="preserve">Recommendations for Concluding Observations: </w:t>
      </w:r>
    </w:p>
    <w:p w14:paraId="7056A0F3" w14:textId="77777777" w:rsidR="0055215C" w:rsidRPr="00A65B16" w:rsidRDefault="00000000">
      <w:pPr>
        <w:numPr>
          <w:ilvl w:val="0"/>
          <w:numId w:val="10"/>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color w:val="000000"/>
          <w:sz w:val="22"/>
          <w:szCs w:val="22"/>
        </w:rPr>
        <w:t>Outline any plans to align the Russian definition of "person with a disability" with the social model of disability.</w:t>
      </w:r>
    </w:p>
    <w:p w14:paraId="46698AEE" w14:textId="77777777" w:rsidR="0055215C" w:rsidRPr="00A65B16" w:rsidRDefault="00000000">
      <w:pPr>
        <w:numPr>
          <w:ilvl w:val="0"/>
          <w:numId w:val="10"/>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color w:val="000000"/>
          <w:sz w:val="22"/>
          <w:szCs w:val="22"/>
        </w:rPr>
        <w:t>Describe measures to support the development and functioning of representative organisations of persons with disabilities, including financial instruments to ensure their sustainable functioning.</w:t>
      </w:r>
    </w:p>
    <w:p w14:paraId="5A03A1A7" w14:textId="77777777" w:rsidR="0055215C" w:rsidRPr="00A65B16" w:rsidRDefault="00000000">
      <w:pPr>
        <w:numPr>
          <w:ilvl w:val="0"/>
          <w:numId w:val="10"/>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End state interference with the functioning of organisations of persons with disabilities, allow and proactively support active and meaningful participation of representative organisations of persons with disabilities in all matters that concern them.</w:t>
      </w:r>
    </w:p>
    <w:p w14:paraId="13DE531D" w14:textId="33B55ACB" w:rsidR="0055215C" w:rsidRPr="00A65B16" w:rsidRDefault="00000000" w:rsidP="00A65B16">
      <w:pPr>
        <w:numPr>
          <w:ilvl w:val="0"/>
          <w:numId w:val="10"/>
        </w:numPr>
        <w:pBdr>
          <w:top w:val="nil"/>
          <w:left w:val="nil"/>
          <w:bottom w:val="nil"/>
          <w:right w:val="nil"/>
          <w:between w:val="nil"/>
        </w:pBdr>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Ratify the </w:t>
      </w:r>
      <w:r w:rsidRPr="00A65B16">
        <w:rPr>
          <w:rFonts w:ascii="Roboto" w:eastAsia="Times New Roman" w:hAnsi="Roboto" w:cs="Times New Roman"/>
          <w:color w:val="000000"/>
          <w:sz w:val="22"/>
          <w:szCs w:val="22"/>
        </w:rPr>
        <w:t>Optional Protocol to the Convention.</w:t>
      </w:r>
    </w:p>
    <w:p w14:paraId="53273688" w14:textId="77777777" w:rsidR="0055215C" w:rsidRPr="00A65B16" w:rsidRDefault="00000000" w:rsidP="00A65B16">
      <w:pPr>
        <w:pStyle w:val="Heading1"/>
        <w:rPr>
          <w:color w:val="215E99" w:themeColor="text2" w:themeTint="BF"/>
        </w:rPr>
      </w:pPr>
      <w:bookmarkStart w:id="2" w:name="_Toc171515779"/>
      <w:r w:rsidRPr="00A65B16">
        <w:rPr>
          <w:color w:val="215E99" w:themeColor="text2" w:themeTint="BF"/>
        </w:rPr>
        <w:t>Article 5. Equality and non-discrimination</w:t>
      </w:r>
      <w:bookmarkEnd w:id="2"/>
    </w:p>
    <w:p w14:paraId="6D6F4217" w14:textId="4F68F809"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Article 7 of the 2022 Law on the Rights and Social Integration of Persons with Disabilities contains a prohibition of discrimination that is broadly defined in line with the Convention. Despite this welcome development, the Law lacks any references to practical mechanisms that would enable the practical realisation of this provision, such as specific measures to raise awareness of discrimination in society, access to justice, including legal aid and protection against retaliation, reversal of the burden of proof and dissuasive sanctions. Further, in the absence of a dedicated financial source for implementation activities and a monitoring mechanism, such an equality body, the anti-discrmination procedures in the Law will most likely remain non-actionable. </w:t>
      </w:r>
    </w:p>
    <w:p w14:paraId="60474C3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2A42B391" w14:textId="77777777" w:rsidR="0055215C" w:rsidRPr="00A65B16" w:rsidRDefault="00000000">
      <w:pPr>
        <w:numPr>
          <w:ilvl w:val="0"/>
          <w:numId w:val="11"/>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Develop all necessary measures to implement and enforce the provisions of the 2022 Law on prohibition of discrimination, including awareness-raising, legal support, prohibition of victimisation, and access to justice in line with the Committee’s General Comment No. 6. </w:t>
      </w:r>
    </w:p>
    <w:p w14:paraId="012FF463" w14:textId="77F23F6F" w:rsidR="00A65B16" w:rsidRPr="00A65B16" w:rsidRDefault="00000000" w:rsidP="00A65B16">
      <w:pPr>
        <w:numPr>
          <w:ilvl w:val="0"/>
          <w:numId w:val="11"/>
        </w:numPr>
        <w:pBdr>
          <w:top w:val="nil"/>
          <w:left w:val="nil"/>
          <w:bottom w:val="nil"/>
          <w:right w:val="nil"/>
          <w:between w:val="nil"/>
        </w:pBdr>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Conduct systematic revision of national legislation of identification and elimination of discriminatory provisions that contradict the 2022 Law and the Belarusian obligations under the Convention. </w:t>
      </w:r>
    </w:p>
    <w:p w14:paraId="0C92593E" w14:textId="77777777" w:rsidR="0055215C" w:rsidRPr="00A65B16" w:rsidRDefault="00000000" w:rsidP="00A65B16">
      <w:pPr>
        <w:pStyle w:val="Heading1"/>
        <w:rPr>
          <w:color w:val="215E99" w:themeColor="text2" w:themeTint="BF"/>
        </w:rPr>
      </w:pPr>
      <w:bookmarkStart w:id="3" w:name="_Toc171515780"/>
      <w:r w:rsidRPr="00A65B16">
        <w:rPr>
          <w:color w:val="215E99" w:themeColor="text2" w:themeTint="BF"/>
        </w:rPr>
        <w:t>Article 6. Women with disabilities</w:t>
      </w:r>
      <w:bookmarkEnd w:id="3"/>
    </w:p>
    <w:p w14:paraId="6576692D"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Belarusian national legislation and policies lack the concept of multiple discrimination against women and girls with disabilities. Gender policies are not disability-inclusive, and disability policies generally ignore the double burden experienced by women with disabilities.</w:t>
      </w:r>
    </w:p>
    <w:p w14:paraId="0AADD265"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UN Committee on the Elimination of Discrimination against Women noted concerns about unequal access to sexual and reproductive health rights for women with disabilities in 2016. </w:t>
      </w:r>
      <w:r w:rsidRPr="00A65B16">
        <w:rPr>
          <w:rFonts w:ascii="Roboto" w:eastAsia="Times New Roman" w:hAnsi="Roboto" w:cs="Times New Roman"/>
          <w:sz w:val="22"/>
          <w:szCs w:val="22"/>
        </w:rPr>
        <w:lastRenderedPageBreak/>
        <w:t>However, the National Gender Equality Strategy 2017-2020 did not adequately address these concerns. Additionally, in 2020, threats of child custody removal were used to deter women from expressing political views.</w:t>
      </w:r>
    </w:p>
    <w:p w14:paraId="496D2783"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There is a lack of organisations led by women with disabilities that prioritise protecting and promoting the rights of girls and women with disabilities.</w:t>
      </w:r>
    </w:p>
    <w:p w14:paraId="7B91969E"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 xml:space="preserve">Recommendations for Concluding Observations: </w:t>
      </w:r>
    </w:p>
    <w:p w14:paraId="51182863" w14:textId="33434289" w:rsidR="0055215C" w:rsidRPr="00A65B16" w:rsidRDefault="00000000" w:rsidP="00A65B16">
      <w:pPr>
        <w:numPr>
          <w:ilvl w:val="0"/>
          <w:numId w:val="12"/>
        </w:numPr>
        <w:pBdr>
          <w:top w:val="nil"/>
          <w:left w:val="nil"/>
          <w:bottom w:val="nil"/>
          <w:right w:val="nil"/>
          <w:between w:val="nil"/>
        </w:pBdr>
        <w:jc w:val="both"/>
        <w:rPr>
          <w:rFonts w:ascii="Roboto" w:eastAsia="Times New Roman" w:hAnsi="Roboto" w:cs="Times New Roman"/>
          <w:color w:val="000000"/>
          <w:sz w:val="22"/>
          <w:szCs w:val="22"/>
        </w:rPr>
      </w:pPr>
      <w:r w:rsidRPr="00A65B16">
        <w:rPr>
          <w:rFonts w:ascii="Roboto" w:eastAsia="Times New Roman" w:hAnsi="Roboto" w:cs="Times New Roman"/>
          <w:color w:val="000000"/>
          <w:sz w:val="22"/>
          <w:szCs w:val="22"/>
        </w:rPr>
        <w:t>Provide additional information about the specific measures mentioned in paragraph 133 of the State Party report, including the number and type of beneficiaries, budgets, and the involvement of civil society organisations</w:t>
      </w:r>
      <w:r w:rsidRPr="00A65B16">
        <w:rPr>
          <w:rFonts w:ascii="Roboto" w:eastAsia="Times New Roman" w:hAnsi="Roboto" w:cs="Times New Roman"/>
          <w:sz w:val="22"/>
          <w:szCs w:val="22"/>
        </w:rPr>
        <w:t>, and adopt additional measures as necessary to effectively ensure the inclusion of women with disability in gender equality policy, access to sexual and reproductive health rights for women with disabilities and the advancement and empowerment of women with disabilities for the defence of their rights.</w:t>
      </w:r>
    </w:p>
    <w:p w14:paraId="26D230D6" w14:textId="77777777" w:rsidR="0055215C" w:rsidRPr="00A65B16" w:rsidRDefault="00000000" w:rsidP="00A65B16">
      <w:pPr>
        <w:pStyle w:val="Heading1"/>
        <w:rPr>
          <w:color w:val="215E99" w:themeColor="text2" w:themeTint="BF"/>
        </w:rPr>
      </w:pPr>
      <w:bookmarkStart w:id="4" w:name="_Toc171515781"/>
      <w:r w:rsidRPr="00A65B16">
        <w:rPr>
          <w:color w:val="215E99" w:themeColor="text2" w:themeTint="BF"/>
        </w:rPr>
        <w:t>Article 7. Children with disabilities</w:t>
      </w:r>
      <w:bookmarkEnd w:id="4"/>
    </w:p>
    <w:p w14:paraId="68A8578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Children with disabilities face discrimination based on age, disability, and gender, leading to stigmatisation and challenges for their families to feel fully included in society. Issues relating to children with disabilities are distributed across various ministries without robust coordination, resulting in a piecemeal approach to advancing their rights. The transition from childhood to adulthood is particularly problematic, lacking a coordinated approach.</w:t>
      </w:r>
    </w:p>
    <w:p w14:paraId="47F21FC4" w14:textId="365C4C06"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Early identification and intervention are rudimentary and demand-based, resulting in many children with impairments not receiving rehabilitation and education services. Segregation of children with disabilities in education, social development, extracurricular, and cultural activities is common. Their participation in decision-making is not regulated and depends on the subjective opinion of officials.</w:t>
      </w:r>
    </w:p>
    <w:p w14:paraId="2EB98290"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 xml:space="preserve">Recommendations for Concluding Observations: </w:t>
      </w:r>
    </w:p>
    <w:p w14:paraId="1DD2986B" w14:textId="77777777" w:rsidR="0055215C" w:rsidRPr="00A65B16" w:rsidRDefault="00000000">
      <w:pPr>
        <w:numPr>
          <w:ilvl w:val="0"/>
          <w:numId w:val="12"/>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color w:val="000000"/>
          <w:sz w:val="22"/>
          <w:szCs w:val="22"/>
        </w:rPr>
        <w:t>Provide information on measures to ensure respect for the best interests of children with disabilities in all national policies and inter-agency coordination mechanisms.</w:t>
      </w:r>
    </w:p>
    <w:p w14:paraId="08B58176" w14:textId="51DBC034" w:rsidR="0055215C" w:rsidRPr="00A65B16" w:rsidRDefault="00000000" w:rsidP="00A65B16">
      <w:pPr>
        <w:numPr>
          <w:ilvl w:val="0"/>
          <w:numId w:val="12"/>
        </w:numPr>
        <w:pBdr>
          <w:top w:val="nil"/>
          <w:left w:val="nil"/>
          <w:bottom w:val="nil"/>
          <w:right w:val="nil"/>
          <w:between w:val="nil"/>
        </w:pBdr>
        <w:jc w:val="both"/>
        <w:rPr>
          <w:rFonts w:ascii="Roboto" w:eastAsia="Times New Roman" w:hAnsi="Roboto" w:cs="Times New Roman"/>
          <w:color w:val="000000"/>
          <w:sz w:val="22"/>
          <w:szCs w:val="22"/>
        </w:rPr>
      </w:pPr>
      <w:r w:rsidRPr="00A65B16">
        <w:rPr>
          <w:rFonts w:ascii="Roboto" w:eastAsia="Times New Roman" w:hAnsi="Roboto" w:cs="Times New Roman"/>
          <w:color w:val="000000"/>
          <w:sz w:val="22"/>
          <w:szCs w:val="22"/>
        </w:rPr>
        <w:t>Outline steps to ensure that children with disabilities have the right and opportunity to express their views freely and receive age-appropriate assistance from the state.</w:t>
      </w:r>
    </w:p>
    <w:p w14:paraId="363431C8" w14:textId="77777777" w:rsidR="0055215C" w:rsidRPr="00A65B16" w:rsidRDefault="00000000" w:rsidP="00A65B16">
      <w:pPr>
        <w:pStyle w:val="Heading1"/>
        <w:rPr>
          <w:color w:val="215E99" w:themeColor="text2" w:themeTint="BF"/>
        </w:rPr>
      </w:pPr>
      <w:bookmarkStart w:id="5" w:name="_Toc171515782"/>
      <w:r w:rsidRPr="00A65B16">
        <w:rPr>
          <w:color w:val="215E99" w:themeColor="text2" w:themeTint="BF"/>
        </w:rPr>
        <w:t>Article 8. Awareness-raising</w:t>
      </w:r>
      <w:bookmarkEnd w:id="5"/>
    </w:p>
    <w:p w14:paraId="0B669C0D"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government has not conducted meaningful awareness-raising activities regarding the Convention since its ratification. The only available printed text in Belarusian and Russian was produced through private funding. The Convention has not been translated into easy-to-understand language, remaining inaccessible to many persons with intellectual disabilities.</w:t>
      </w:r>
    </w:p>
    <w:p w14:paraId="7A7D62C1"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While state officials mention the importance of ratification in public events, there are no known state-led initiatives to train stakeholders or change societal attitudes toward disability. As a result, public awareness about persons with disabilities remains low, and they remain largely invisible in public spaces. The media contributes to ongoing stigmatisation, particularly of those with psychosocial disabilities.</w:t>
      </w:r>
    </w:p>
    <w:p w14:paraId="3742839E"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lastRenderedPageBreak/>
        <w:t xml:space="preserve">Recommendations for Concluding Observations: </w:t>
      </w:r>
    </w:p>
    <w:p w14:paraId="1FC4CB48" w14:textId="62EEC0FB" w:rsidR="0055215C" w:rsidRPr="00A65B16" w:rsidRDefault="00000000" w:rsidP="00A65B16">
      <w:pPr>
        <w:numPr>
          <w:ilvl w:val="0"/>
          <w:numId w:val="1"/>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Adopt a national plan to raise awareness about the rights of persons with disabilities in the society, targeting public and private sectors, media and the general public. In continuous partnership with the organisations of persons with disabilities, undertake educational activities to eliminate stigma and prejudice about disability and provide support, including funding, for such activities. </w:t>
      </w:r>
    </w:p>
    <w:p w14:paraId="5BB745C6" w14:textId="77777777" w:rsidR="0055215C" w:rsidRPr="00A65B16" w:rsidRDefault="00000000" w:rsidP="00A65B16">
      <w:pPr>
        <w:pStyle w:val="Heading1"/>
        <w:rPr>
          <w:color w:val="215E99" w:themeColor="text2" w:themeTint="BF"/>
        </w:rPr>
      </w:pPr>
      <w:bookmarkStart w:id="6" w:name="_Toc171515783"/>
      <w:r w:rsidRPr="00A65B16">
        <w:rPr>
          <w:color w:val="215E99" w:themeColor="text2" w:themeTint="BF"/>
        </w:rPr>
        <w:t>Article 9. Accessibility</w:t>
      </w:r>
      <w:bookmarkEnd w:id="6"/>
    </w:p>
    <w:p w14:paraId="20FC94BF"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Belarus has made important improvements in physical accessibility in recent years, including adopting the Concept of Universal Design and new standards for a barrier-free environment. However, implementation remains inconsistent due to the lack of a single mechanism for auditing accessibility.</w:t>
      </w:r>
    </w:p>
    <w:p w14:paraId="14E338BC"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transport infrastructure is not fully accessible, particularly for persons with visual impairments. Most rail transport cannot be used independently, and there is no dedicated assistance service. Accessible train compartments are available but at a significantly higher cost.</w:t>
      </w:r>
    </w:p>
    <w:p w14:paraId="6C04338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Financing accessibility adaptations in residential dwellings is the responsibility of local authorities, but many have taken a passive approach, relying on budgetary injections. This has created a significant gap between richer and poorer regions. Applications for accessibility adaptations are often rejected under various pretexts, and there is no mechanism for independent professional accessibility audits.</w:t>
      </w:r>
    </w:p>
    <w:p w14:paraId="78389FF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There is a dire shortage of sign language interpreters, excluding many Deaf people from participating in society. For 11,000 sign language users, there are only 70 qualified interpreters, 12% of whom have reached retirement age.</w:t>
      </w:r>
    </w:p>
    <w:p w14:paraId="2F5DF1A5"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420C06DB" w14:textId="77777777" w:rsidR="0055215C" w:rsidRPr="00A65B16" w:rsidRDefault="00000000">
      <w:pPr>
        <w:numPr>
          <w:ilvl w:val="0"/>
          <w:numId w:val="2"/>
        </w:numPr>
        <w:jc w:val="both"/>
        <w:rPr>
          <w:rFonts w:ascii="Roboto" w:eastAsia="Times New Roman" w:hAnsi="Roboto" w:cs="Times New Roman"/>
          <w:sz w:val="22"/>
          <w:szCs w:val="22"/>
        </w:rPr>
      </w:pPr>
      <w:r w:rsidRPr="00A65B16">
        <w:rPr>
          <w:rFonts w:ascii="Roboto" w:eastAsia="Times New Roman" w:hAnsi="Roboto" w:cs="Times New Roman"/>
          <w:sz w:val="22"/>
          <w:szCs w:val="22"/>
        </w:rPr>
        <w:t>Step up the efforts to achieve accessibility of the physical and informational environments, particular attention to transportation, phasing out the use of inaccessible vehicles for public transportation;</w:t>
      </w:r>
    </w:p>
    <w:p w14:paraId="779AD3BC" w14:textId="2E10AEA5" w:rsidR="0055215C" w:rsidRPr="00A65B16" w:rsidRDefault="00000000" w:rsidP="00A65B16">
      <w:pPr>
        <w:numPr>
          <w:ilvl w:val="0"/>
          <w:numId w:val="2"/>
        </w:numPr>
        <w:jc w:val="both"/>
        <w:rPr>
          <w:rFonts w:ascii="Roboto" w:eastAsia="Times New Roman" w:hAnsi="Roboto" w:cs="Times New Roman"/>
          <w:sz w:val="22"/>
          <w:szCs w:val="22"/>
        </w:rPr>
      </w:pPr>
      <w:r w:rsidRPr="00A65B16">
        <w:rPr>
          <w:rFonts w:ascii="Roboto" w:eastAsia="Times New Roman" w:hAnsi="Roboto" w:cs="Times New Roman"/>
          <w:sz w:val="22"/>
          <w:szCs w:val="22"/>
        </w:rPr>
        <w:t>Provide accurate and objective information for citizens about accessibility of public spaces in different accessible formats.</w:t>
      </w:r>
    </w:p>
    <w:p w14:paraId="09B9B95A" w14:textId="77777777" w:rsidR="0055215C" w:rsidRPr="00A65B16" w:rsidRDefault="00000000" w:rsidP="00A65B16">
      <w:pPr>
        <w:pStyle w:val="Heading1"/>
        <w:rPr>
          <w:color w:val="215E99" w:themeColor="text2" w:themeTint="BF"/>
        </w:rPr>
      </w:pPr>
      <w:bookmarkStart w:id="7" w:name="_Toc171515784"/>
      <w:r w:rsidRPr="00A65B16">
        <w:rPr>
          <w:color w:val="215E99" w:themeColor="text2" w:themeTint="BF"/>
        </w:rPr>
        <w:t>Article 11. Situations of risk and humanitarian emergencies</w:t>
      </w:r>
      <w:bookmarkEnd w:id="7"/>
    </w:p>
    <w:p w14:paraId="35087475"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emergency response framework was not activated during the first wave of the COVID-19 pandemic, despite the Law on the State of Emergency covering epidemiological emergencies. As a result, the expertise and resources of the Ministry of Emergency Situations were not utilised in national COVID relief efforts. Instead, a range of non-transparent decisions and guidelines were drafted to address emerging issues.</w:t>
      </w:r>
    </w:p>
    <w:p w14:paraId="20688047"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02757ED4" w14:textId="3FD73624" w:rsidR="0055215C" w:rsidRPr="00A65B16" w:rsidRDefault="00000000" w:rsidP="00A65B16">
      <w:pPr>
        <w:numPr>
          <w:ilvl w:val="0"/>
          <w:numId w:val="3"/>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Ensure the disability-inclusive implementation of the National Emergency Risk Reduction Strategy for 2019-2030, including accessible and inclusive plans for </w:t>
      </w:r>
      <w:r w:rsidRPr="00A65B16">
        <w:rPr>
          <w:rFonts w:ascii="Roboto" w:eastAsia="Times New Roman" w:hAnsi="Roboto" w:cs="Times New Roman"/>
          <w:sz w:val="22"/>
          <w:szCs w:val="22"/>
        </w:rPr>
        <w:lastRenderedPageBreak/>
        <w:t>disaster preparedness, response and recovery; early warning systems that are accessible for persons with different accessibility requirements, including sign language; accessible emergency shelters and services; personnel trained in accessible evacuation and aid delivery procedures.</w:t>
      </w:r>
    </w:p>
    <w:p w14:paraId="708F3AE4" w14:textId="77777777" w:rsidR="0055215C" w:rsidRPr="00A65B16" w:rsidRDefault="00000000" w:rsidP="00A65B16">
      <w:pPr>
        <w:pStyle w:val="Heading1"/>
        <w:rPr>
          <w:color w:val="215E99" w:themeColor="text2" w:themeTint="BF"/>
        </w:rPr>
      </w:pPr>
      <w:bookmarkStart w:id="8" w:name="_Toc171515785"/>
      <w:r w:rsidRPr="00A65B16">
        <w:rPr>
          <w:color w:val="215E99" w:themeColor="text2" w:themeTint="BF"/>
        </w:rPr>
        <w:t>Article 12. Equal recognition before the law</w:t>
      </w:r>
      <w:bookmarkEnd w:id="8"/>
    </w:p>
    <w:p w14:paraId="41D33FA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Persons with psychosocial and/or intellectual disabilities are among the most marginalised. They are frequently subjected to legal incapacitation procedures due to their medical diagnoses, often preceded by involuntary hospitalisation. Legal incapacitation decisions result in a blanket exclusion from civil and political rights, including managing property, entering contracts, signing rental agreements, terminating pregnancies, applying to courts, participating in elections, and joining political parties. Partial incapacitation procedures introduced in 2020 are not compliant with the Convention, and most people continue to be subject to plenary deprivation of legal capacity.</w:t>
      </w:r>
    </w:p>
    <w:p w14:paraId="603DE021"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Contestations of psychiatric diagnoses are rare due to low legal awareness, stigmatisation, and fear of retribution. There is no notion of an independent mechanism to determine the person’s support needs in different areas of life. The judiciary, legal corps and social workers are unprepared and untrained to address the issue of legal capacity in a Convention-complaint manner. </w:t>
      </w:r>
    </w:p>
    <w:p w14:paraId="40CC327F"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Requests for statistics on applications for restitution of legal capacity have been denied, citing medical secrecy. According to the Ministry of Labour and Social Protection, out of 16,000 legally incapacitated residents of institutions, only 65 had their legal capacity restored in the last five years.</w:t>
      </w:r>
    </w:p>
    <w:p w14:paraId="74BA0A2D"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issues pertaining to legal capacity were excluded from the 2022 Law on the Rights and Social Integration of Persons with Disabilities. </w:t>
      </w:r>
    </w:p>
    <w:p w14:paraId="20254A99"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51AB98F0" w14:textId="77777777" w:rsidR="0055215C" w:rsidRPr="00A65B16" w:rsidRDefault="00000000">
      <w:pPr>
        <w:numPr>
          <w:ilvl w:val="0"/>
          <w:numId w:val="4"/>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B</w:t>
      </w:r>
      <w:r w:rsidRPr="00A65B16">
        <w:rPr>
          <w:rFonts w:ascii="Roboto" w:eastAsia="Times New Roman" w:hAnsi="Roboto" w:cs="Times New Roman"/>
          <w:color w:val="000000"/>
          <w:sz w:val="22"/>
          <w:szCs w:val="22"/>
        </w:rPr>
        <w:t>ring national legislation</w:t>
      </w:r>
      <w:r w:rsidRPr="00A65B16">
        <w:rPr>
          <w:rFonts w:ascii="Roboto" w:eastAsia="Times New Roman" w:hAnsi="Roboto" w:cs="Times New Roman"/>
          <w:sz w:val="22"/>
          <w:szCs w:val="22"/>
        </w:rPr>
        <w:t>, including the Civil Code and the Law on Psychiatric Help,</w:t>
      </w:r>
      <w:r w:rsidRPr="00A65B16">
        <w:rPr>
          <w:rFonts w:ascii="Roboto" w:eastAsia="Times New Roman" w:hAnsi="Roboto" w:cs="Times New Roman"/>
          <w:color w:val="000000"/>
          <w:sz w:val="22"/>
          <w:szCs w:val="22"/>
        </w:rPr>
        <w:t xml:space="preserve"> into full compliance with the Convention, abolishing both plenary and partial incapacitation</w:t>
      </w:r>
      <w:r w:rsidRPr="00A65B16">
        <w:rPr>
          <w:rFonts w:ascii="Roboto" w:eastAsia="Times New Roman" w:hAnsi="Roboto" w:cs="Times New Roman"/>
          <w:sz w:val="22"/>
          <w:szCs w:val="22"/>
        </w:rPr>
        <w:t xml:space="preserve"> and introducing supported decision-making.</w:t>
      </w:r>
    </w:p>
    <w:p w14:paraId="70C24EB9" w14:textId="50638C54" w:rsidR="0055215C" w:rsidRPr="00A65B16" w:rsidRDefault="00000000" w:rsidP="00A65B16">
      <w:pPr>
        <w:numPr>
          <w:ilvl w:val="0"/>
          <w:numId w:val="4"/>
        </w:numPr>
        <w:pBdr>
          <w:top w:val="nil"/>
          <w:left w:val="nil"/>
          <w:bottom w:val="nil"/>
          <w:right w:val="nil"/>
          <w:between w:val="nil"/>
        </w:pBd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Conduct systematic training of judges, lawyers, medical staff and social workers on the Convention model of supported decision-making, in line with the Committee’s General Comment No. 1. </w:t>
      </w:r>
    </w:p>
    <w:p w14:paraId="6952FE19" w14:textId="77777777" w:rsidR="0055215C" w:rsidRPr="00A65B16" w:rsidRDefault="00000000" w:rsidP="00A65B16">
      <w:pPr>
        <w:pStyle w:val="Heading1"/>
        <w:rPr>
          <w:color w:val="215E99" w:themeColor="text2" w:themeTint="BF"/>
        </w:rPr>
      </w:pPr>
      <w:bookmarkStart w:id="9" w:name="_Toc171515786"/>
      <w:r w:rsidRPr="00A65B16">
        <w:rPr>
          <w:color w:val="215E99" w:themeColor="text2" w:themeTint="BF"/>
        </w:rPr>
        <w:t>Article 13. Access to justice</w:t>
      </w:r>
      <w:bookmarkEnd w:id="9"/>
    </w:p>
    <w:p w14:paraId="2FEAFEB1"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Access to justice for persons with disabilities is conditioned by the general crackdown on the impartial judiciary, legal profession and NGOs. The enforced closure of the Office for the Rights of Persons with Disabilities in 2021 has further limited access to qualified legal advice.</w:t>
      </w:r>
    </w:p>
    <w:p w14:paraId="65399E92"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In a more general key, the national justice system is characterised by low awareness of the human rights model of disability on the part of the judiciary, prosecutors and lawyers, extremely low trust of persons with disabilities in the justice system and their lack of awareness about rights and venues to defend them. This is particularly pronounced in relation </w:t>
      </w:r>
      <w:r w:rsidRPr="00A65B16">
        <w:rPr>
          <w:rFonts w:ascii="Roboto" w:eastAsia="Times New Roman" w:hAnsi="Roboto" w:cs="Times New Roman"/>
          <w:sz w:val="22"/>
          <w:szCs w:val="22"/>
        </w:rPr>
        <w:lastRenderedPageBreak/>
        <w:t xml:space="preserve">to persons with psychosocial and intellectual disabilities, who are traditionally excluded from direct representation due to guardianship regimes. </w:t>
      </w:r>
    </w:p>
    <w:p w14:paraId="6E8531CF"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Access to legal aid is conditional on the group of disability and type of service, resulting in the de facto exclusion of many persons with disabilities. The state does not provide sign language interpretation for deaf persons, impeding their access to justice and full participation. The law allows for the participation of "persons understanding the signs of the deaf and/or mute" without specifying minimum qualifications.</w:t>
      </w:r>
    </w:p>
    <w:p w14:paraId="2CA9F5D3" w14:textId="470EEFB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Visually impaired persons lack the right to access court materials in accessible formats, and there are no procedural accommodations for persons with psychosocial and intellectual disabilities to directly participate in court processes. Court case statistics are not disaggregated by disability, making it challenging to assess the number of persons with disabilities accessing the justice system.</w:t>
      </w:r>
    </w:p>
    <w:p w14:paraId="0F4875D3"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69DCCEC8" w14:textId="77777777" w:rsidR="0055215C" w:rsidRPr="00A65B16" w:rsidRDefault="00000000">
      <w:pPr>
        <w:numPr>
          <w:ilvl w:val="0"/>
          <w:numId w:val="6"/>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Introduce mechanisms to provide competent, accessible, confidential and affordable legal advice and information to persons with disabilities regardless of their legal capacity status;</w:t>
      </w:r>
    </w:p>
    <w:p w14:paraId="56F5B229" w14:textId="77777777" w:rsidR="0055215C" w:rsidRPr="00A65B16" w:rsidRDefault="00000000">
      <w:pPr>
        <w:numPr>
          <w:ilvl w:val="0"/>
          <w:numId w:val="6"/>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Ensure that the national rules on legal aid, including eligibility conditions and exclusion rules do not discriminate against persons with disabilities; </w:t>
      </w:r>
    </w:p>
    <w:p w14:paraId="3D57F77C" w14:textId="0E5B28E5" w:rsidR="0055215C" w:rsidRPr="00067A15" w:rsidRDefault="00000000" w:rsidP="00067A15">
      <w:pPr>
        <w:numPr>
          <w:ilvl w:val="0"/>
          <w:numId w:val="6"/>
        </w:numPr>
        <w:pBdr>
          <w:top w:val="nil"/>
          <w:left w:val="nil"/>
          <w:bottom w:val="nil"/>
          <w:right w:val="nil"/>
          <w:between w:val="nil"/>
        </w:pBd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Guarantee procedural, gender and age-appropriate accommodations in all judicial and administrative proceedings for all persons with disabilities without discrimination; ensure access to information in accessible formats, render all justice buildings and facilities accessible.</w:t>
      </w:r>
    </w:p>
    <w:p w14:paraId="72BE283C" w14:textId="77777777" w:rsidR="0055215C" w:rsidRPr="00A65B16" w:rsidRDefault="00000000" w:rsidP="00067A15">
      <w:pPr>
        <w:pStyle w:val="Heading1"/>
        <w:rPr>
          <w:color w:val="215E99" w:themeColor="text2" w:themeTint="BF"/>
        </w:rPr>
      </w:pPr>
      <w:bookmarkStart w:id="10" w:name="_Toc171515787"/>
      <w:r w:rsidRPr="00A65B16">
        <w:rPr>
          <w:color w:val="215E99" w:themeColor="text2" w:themeTint="BF"/>
        </w:rPr>
        <w:t>Article 14. Liberty and security of persons</w:t>
      </w:r>
      <w:bookmarkEnd w:id="10"/>
    </w:p>
    <w:p w14:paraId="041A7DFC" w14:textId="77777777" w:rsidR="0055215C" w:rsidRPr="00A65B16" w:rsidRDefault="00000000" w:rsidP="00067A15">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According to independent human rights monitors, at least 1500 persons declared political prisoners are currently in detention in Belarusian prisons. Among them is </w:t>
      </w:r>
      <w:hyperlink r:id="rId12">
        <w:r w:rsidRPr="00A65B16">
          <w:rPr>
            <w:rFonts w:ascii="Roboto" w:eastAsia="Times New Roman" w:hAnsi="Roboto" w:cs="Times New Roman"/>
            <w:color w:val="1155CC"/>
            <w:sz w:val="22"/>
            <w:szCs w:val="22"/>
            <w:u w:val="single"/>
          </w:rPr>
          <w:t xml:space="preserve">Mr Pavel Kuchynski </w:t>
        </w:r>
      </w:hyperlink>
      <w:r w:rsidRPr="00A65B16">
        <w:rPr>
          <w:rFonts w:ascii="Roboto" w:eastAsia="Times New Roman" w:hAnsi="Roboto" w:cs="Times New Roman"/>
          <w:sz w:val="22"/>
          <w:szCs w:val="22"/>
        </w:rPr>
        <w:t xml:space="preserve">who has group I disability. This number does not include persons subjected to other measures restricting their liberty, such as house arrest or restrictions on free movement. At least 20 persons with an officially recognised disability status are in detention, excluding those living with chronic illnesses, unregistered disabilities and those having obtained a disability in the course of their detention. </w:t>
      </w:r>
    </w:p>
    <w:p w14:paraId="075FED83" w14:textId="77777777" w:rsidR="0055215C" w:rsidRPr="00A65B16" w:rsidRDefault="00000000" w:rsidP="00067A15">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Persons detained on political grounds wear clothing distinct from other prisoners and are reported to be subjected to harsher conditions of detention. It has been reported that political prisoners’ access to essential medications and medical devices is significantly restricted. Material conditions of prisons are not adapted to persons with disabilities, and requests for reasonable accommodation and social support are routinely denied. Families of political prisoners with disabilities or chronic illnesses are informally advised to hide the political motivation of detention to minimise the chances of victimisation and retaliation and avoid obstacles to the visitation of their loved ones in prisons. </w:t>
      </w:r>
    </w:p>
    <w:p w14:paraId="06278094" w14:textId="77777777" w:rsidR="0055215C" w:rsidRPr="00A65B16" w:rsidRDefault="00000000" w:rsidP="00067A15">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Several cases concerning replacing prison sentences with less harsh punishment for persons with disabilities are reportedly pending before national courts. </w:t>
      </w:r>
    </w:p>
    <w:p w14:paraId="347C53E8" w14:textId="1F9151D2" w:rsidR="0055215C" w:rsidRPr="00A65B16" w:rsidRDefault="00000000" w:rsidP="00067A15">
      <w:pPr>
        <w:jc w:val="both"/>
        <w:rPr>
          <w:rFonts w:ascii="Roboto" w:eastAsia="Times New Roman" w:hAnsi="Roboto" w:cs="Times New Roman"/>
          <w:sz w:val="22"/>
          <w:szCs w:val="22"/>
        </w:rPr>
      </w:pPr>
      <w:r w:rsidRPr="00A65B16">
        <w:rPr>
          <w:rFonts w:ascii="Roboto" w:eastAsia="Times New Roman" w:hAnsi="Roboto" w:cs="Times New Roman"/>
          <w:sz w:val="22"/>
          <w:szCs w:val="22"/>
        </w:rPr>
        <w:lastRenderedPageBreak/>
        <w:t xml:space="preserve">Out of six persons known to have died in prisons since the beginning of the repressions, at least three </w:t>
      </w:r>
      <w:r w:rsidR="00067A15">
        <w:rPr>
          <w:rFonts w:ascii="Roboto" w:eastAsia="Times New Roman" w:hAnsi="Roboto" w:cs="Times New Roman"/>
          <w:sz w:val="22"/>
          <w:szCs w:val="22"/>
        </w:rPr>
        <w:t>were persons with disabilities</w:t>
      </w:r>
      <w:r w:rsidRPr="00A65B16">
        <w:rPr>
          <w:rFonts w:ascii="Roboto" w:eastAsia="Times New Roman" w:hAnsi="Roboto" w:cs="Times New Roman"/>
          <w:sz w:val="22"/>
          <w:szCs w:val="22"/>
        </w:rPr>
        <w:t xml:space="preserve">. </w:t>
      </w:r>
    </w:p>
    <w:p w14:paraId="20ABB038"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75940C03" w14:textId="77777777" w:rsidR="0055215C" w:rsidRPr="00A65B16" w:rsidRDefault="00000000">
      <w:pPr>
        <w:numPr>
          <w:ilvl w:val="0"/>
          <w:numId w:val="8"/>
        </w:numPr>
        <w:spacing w:after="0"/>
        <w:rPr>
          <w:rFonts w:ascii="Roboto" w:eastAsia="Times New Roman" w:hAnsi="Roboto" w:cs="Times New Roman"/>
          <w:sz w:val="22"/>
          <w:szCs w:val="22"/>
        </w:rPr>
      </w:pPr>
      <w:r w:rsidRPr="00A65B16">
        <w:rPr>
          <w:rFonts w:ascii="Roboto" w:eastAsia="Times New Roman" w:hAnsi="Roboto" w:cs="Times New Roman"/>
          <w:sz w:val="22"/>
          <w:szCs w:val="22"/>
        </w:rPr>
        <w:t xml:space="preserve">Ensure the provision of reasonable accommodation to all persons with disabilities in detention and facilitate their access to essential medications, devices and support that ensure their dignity and bodily integrity; </w:t>
      </w:r>
    </w:p>
    <w:p w14:paraId="7FE9E4C8" w14:textId="6F41DDE4" w:rsidR="0055215C" w:rsidRPr="00067A15" w:rsidRDefault="00000000" w:rsidP="00067A15">
      <w:pPr>
        <w:numPr>
          <w:ilvl w:val="0"/>
          <w:numId w:val="7"/>
        </w:numPr>
        <w:jc w:val="both"/>
        <w:rPr>
          <w:rFonts w:ascii="Roboto" w:eastAsia="Times New Roman" w:hAnsi="Roboto" w:cs="Times New Roman"/>
          <w:sz w:val="22"/>
          <w:szCs w:val="22"/>
          <w:highlight w:val="white"/>
        </w:rPr>
      </w:pPr>
      <w:r w:rsidRPr="00A65B16">
        <w:rPr>
          <w:rFonts w:ascii="Roboto" w:eastAsia="Times New Roman" w:hAnsi="Roboto" w:cs="Times New Roman"/>
          <w:sz w:val="22"/>
          <w:szCs w:val="22"/>
          <w:highlight w:val="white"/>
        </w:rPr>
        <w:t>Allow independent investigation of deaths of persons with disabilities in detention and publish the results.</w:t>
      </w:r>
    </w:p>
    <w:p w14:paraId="4AFABDCC" w14:textId="77777777" w:rsidR="0055215C" w:rsidRPr="00A65B16" w:rsidRDefault="00000000" w:rsidP="00067A15">
      <w:pPr>
        <w:pStyle w:val="Heading1"/>
        <w:rPr>
          <w:color w:val="215E99" w:themeColor="text2" w:themeTint="BF"/>
        </w:rPr>
      </w:pPr>
      <w:bookmarkStart w:id="11" w:name="_Toc171515788"/>
      <w:r w:rsidRPr="00A65B16">
        <w:rPr>
          <w:color w:val="215E99" w:themeColor="text2" w:themeTint="BF"/>
        </w:rPr>
        <w:t>Article 15. Freedom from torture or cruel, inhuman or degrading treatment or punishment</w:t>
      </w:r>
      <w:bookmarkEnd w:id="11"/>
    </w:p>
    <w:p w14:paraId="10501FBE"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Belarusian national legislation addresses torture and inhuman or degrading treatment perfunctorily. Torture is not defined in the law, and inhuman or degrading treatment is not addressed. There is limited information on the application of anti-torture provisions in practice, and instances of torture in law enforcement are often qualified as 'exceeding professional competences.'</w:t>
      </w:r>
    </w:p>
    <w:p w14:paraId="6CDE6D53"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b/>
          <w:sz w:val="22"/>
          <w:szCs w:val="22"/>
        </w:rPr>
        <w:t xml:space="preserve">Recommendations for Concluding Observations: </w:t>
      </w:r>
    </w:p>
    <w:p w14:paraId="3B51999F" w14:textId="4D624FFA" w:rsidR="0055215C" w:rsidRPr="00067A15" w:rsidRDefault="00000000" w:rsidP="00067A15">
      <w:pPr>
        <w:numPr>
          <w:ilvl w:val="0"/>
          <w:numId w:val="7"/>
        </w:numPr>
        <w:pBdr>
          <w:top w:val="nil"/>
          <w:left w:val="nil"/>
          <w:bottom w:val="nil"/>
          <w:right w:val="nil"/>
          <w:between w:val="nil"/>
        </w:pBdr>
        <w:spacing w:after="0"/>
        <w:jc w:val="both"/>
        <w:rPr>
          <w:rFonts w:ascii="Roboto" w:eastAsia="Times New Roman" w:hAnsi="Roboto" w:cs="Times New Roman"/>
          <w:color w:val="000000"/>
          <w:sz w:val="22"/>
          <w:szCs w:val="22"/>
          <w:highlight w:val="white"/>
        </w:rPr>
      </w:pPr>
      <w:r w:rsidRPr="00A65B16">
        <w:rPr>
          <w:rFonts w:ascii="Roboto" w:eastAsia="Times New Roman" w:hAnsi="Roboto" w:cs="Times New Roman"/>
          <w:sz w:val="22"/>
          <w:szCs w:val="22"/>
          <w:highlight w:val="white"/>
        </w:rPr>
        <w:t>Define 'torture' in national legislation and include 'inhuman and degrading treatment' as a criminally punishable offense.</w:t>
      </w:r>
    </w:p>
    <w:p w14:paraId="447F3317" w14:textId="77777777" w:rsidR="0055215C" w:rsidRPr="00A65B16" w:rsidRDefault="00000000" w:rsidP="00067A15">
      <w:pPr>
        <w:pStyle w:val="Heading1"/>
        <w:rPr>
          <w:color w:val="215E99" w:themeColor="text2" w:themeTint="BF"/>
        </w:rPr>
      </w:pPr>
      <w:bookmarkStart w:id="12" w:name="_Toc171515789"/>
      <w:r w:rsidRPr="00A65B16">
        <w:rPr>
          <w:color w:val="215E99" w:themeColor="text2" w:themeTint="BF"/>
        </w:rPr>
        <w:t>Article 16. Freedom from exploitation, violence and abuse</w:t>
      </w:r>
      <w:bookmarkEnd w:id="12"/>
    </w:p>
    <w:p w14:paraId="5ED7DA63" w14:textId="3B2C6370"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Belarusian national legislation does not include specific measures to prevent violence against persons with disabilities. The Law "On the Foundations of Prevention of Criminal Activities" addresses family violence prevention, but practical implementation is limited, with insufficient local activities to prevent family violence, including against persons with disabilities.</w:t>
      </w:r>
    </w:p>
    <w:p w14:paraId="19E1EA6C"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Ministry of Interior halted its initiative to develop a law on domestic violence after criticism from the President. The failure to adopt a law against violence against women was criticised by the UN CEDAW Committee. The ensemble of legislative measures that deal with violence and abuse does not reflect the particularities of violence against persons with disabilities, including women and girls. </w:t>
      </w:r>
    </w:p>
    <w:p w14:paraId="0AEAFEA4"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Territorial centres of social protection are responsible for developing services for victims of family violence, but disaggregated information on beneficiaries is not publicly available. Housing in crisis rooms is not available for some categories of persons with disabilities, and it is unclear if these rooms are fully accessible and inclusive.</w:t>
      </w:r>
    </w:p>
    <w:p w14:paraId="74377F0A"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 xml:space="preserve">Recommendations for Concluding Observations: </w:t>
      </w:r>
    </w:p>
    <w:p w14:paraId="10119BF2" w14:textId="77777777" w:rsidR="0055215C" w:rsidRPr="00A65B16" w:rsidRDefault="00000000">
      <w:pPr>
        <w:numPr>
          <w:ilvl w:val="0"/>
          <w:numId w:val="5"/>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Adopt legislation that defines and prohibits gender-based violence, including domestic violence, recognises that women and girls with disabilities are disproportionately subjected to it, and includes specific measures to prevent and address violence against women and girls with disabilities. </w:t>
      </w:r>
    </w:p>
    <w:p w14:paraId="0E984964" w14:textId="77777777" w:rsidR="0055215C" w:rsidRPr="00A65B16" w:rsidRDefault="00000000">
      <w:pPr>
        <w:numPr>
          <w:ilvl w:val="0"/>
          <w:numId w:val="5"/>
        </w:numPr>
        <w:jc w:val="both"/>
        <w:rPr>
          <w:rFonts w:ascii="Roboto" w:eastAsia="Times New Roman" w:hAnsi="Roboto" w:cs="Times New Roman"/>
          <w:sz w:val="22"/>
          <w:szCs w:val="22"/>
        </w:rPr>
      </w:pPr>
      <w:r w:rsidRPr="00A65B16">
        <w:rPr>
          <w:rFonts w:ascii="Roboto" w:eastAsia="Times New Roman" w:hAnsi="Roboto" w:cs="Times New Roman"/>
          <w:sz w:val="22"/>
          <w:szCs w:val="22"/>
        </w:rPr>
        <w:lastRenderedPageBreak/>
        <w:t xml:space="preserve">Develop a sufficient number of accessible and disability-inclusive support services for victims of violence, including shelters. </w:t>
      </w:r>
    </w:p>
    <w:p w14:paraId="6AF83104" w14:textId="77777777" w:rsidR="0055215C" w:rsidRPr="00A65B16" w:rsidRDefault="00000000" w:rsidP="00067A15">
      <w:pPr>
        <w:pStyle w:val="Heading1"/>
        <w:rPr>
          <w:color w:val="215E99" w:themeColor="text2" w:themeTint="BF"/>
        </w:rPr>
      </w:pPr>
      <w:bookmarkStart w:id="13" w:name="_Toc171515790"/>
      <w:r w:rsidRPr="00A65B16">
        <w:rPr>
          <w:color w:val="215E99" w:themeColor="text2" w:themeTint="BF"/>
        </w:rPr>
        <w:t>Article 19. Living independently and being included in the community</w:t>
      </w:r>
      <w:bookmarkEnd w:id="13"/>
    </w:p>
    <w:p w14:paraId="4E7D43AA"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Social services in the community are delivered by territorial centres, but many persons with disabilities and their families report that these services are unaffordable. While the service of a personal assistant exists in theory, its implementation renders it unusable. In 2022, personal assistants or "permanent carers" were entitled to compensation below the national minimum wage, pushing households into poverty. The limited care service is not based on individual requirements but a national standard, and many other forms of support, including assisted living facilities, are financially untenable.</w:t>
      </w:r>
    </w:p>
    <w:p w14:paraId="3699C02D"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Care service in the community is largely unavailable for persons with intellectual, psychosocial and complex disabilities, allegedly due to lack of competent specialists. The national social protection system prioritises residential-type services for persons with complex disabilities. There has been a steady increase in residential care institutions and their residents. Residential care is the only viable option for persons with psychosocial and intellectual disabilities who do not have family support. Legal incapacitation is mandatory for entering these institutions, resulting in the loss of legal personhood and increased vulnerability to abuse and exploitation.</w:t>
      </w:r>
    </w:p>
    <w:p w14:paraId="436E5C02"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new 2023 Law on Social Services contains several promising provisions that have a strong potential to improve the quality of support in the community. This includes the commitment to maintain persons in need of support in their familiar environment by developing social support services in the community, and the establishment of a mechanism to determine individual support requirements. </w:t>
      </w:r>
    </w:p>
    <w:p w14:paraId="7BCC9483"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 xml:space="preserve">Recommendations for Concluding Observations: </w:t>
      </w:r>
    </w:p>
    <w:p w14:paraId="726A52FB" w14:textId="77777777" w:rsidR="0055215C" w:rsidRPr="00A65B16" w:rsidRDefault="00000000">
      <w:pPr>
        <w:numPr>
          <w:ilvl w:val="0"/>
          <w:numId w:val="19"/>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In close consultation with representative organisations of persons with disabilities, adopt a comprehensive deinstitutionalisation strategy, including the development of community-based services and the gradual closure of residential homes. </w:t>
      </w:r>
    </w:p>
    <w:p w14:paraId="02F085C8" w14:textId="405BC1D3" w:rsidR="0055215C" w:rsidRPr="002528A1" w:rsidRDefault="00000000" w:rsidP="002528A1">
      <w:pPr>
        <w:numPr>
          <w:ilvl w:val="0"/>
          <w:numId w:val="19"/>
        </w:numPr>
        <w:jc w:val="both"/>
        <w:rPr>
          <w:rFonts w:ascii="Roboto" w:eastAsia="Times New Roman" w:hAnsi="Roboto" w:cs="Times New Roman"/>
          <w:sz w:val="22"/>
          <w:szCs w:val="22"/>
        </w:rPr>
      </w:pPr>
      <w:r w:rsidRPr="00A65B16">
        <w:rPr>
          <w:rFonts w:ascii="Roboto" w:eastAsia="Times New Roman" w:hAnsi="Roboto" w:cs="Times New Roman"/>
          <w:sz w:val="22"/>
          <w:szCs w:val="22"/>
        </w:rPr>
        <w:t>Adopt a detailed roadmap for the implementation of the 2023 Law on Social Services that includes the assessment of unmet needs for social support services in the community for different cohorts of population, including most marginalised groups (such as persons with intellectual and psychosocial disabilities), the plan for development of such services, the system of skills.</w:t>
      </w:r>
    </w:p>
    <w:p w14:paraId="60490D9D" w14:textId="77777777" w:rsidR="0055215C" w:rsidRPr="00A65B16" w:rsidRDefault="00000000" w:rsidP="002528A1">
      <w:pPr>
        <w:pStyle w:val="Heading1"/>
        <w:rPr>
          <w:color w:val="215E99" w:themeColor="text2" w:themeTint="BF"/>
        </w:rPr>
      </w:pPr>
      <w:bookmarkStart w:id="14" w:name="_Toc171515791"/>
      <w:r w:rsidRPr="00A65B16">
        <w:rPr>
          <w:color w:val="215E99" w:themeColor="text2" w:themeTint="BF"/>
        </w:rPr>
        <w:t>Article 21. Freedom of expression and opinion and access to information</w:t>
      </w:r>
      <w:bookmarkEnd w:id="14"/>
    </w:p>
    <w:p w14:paraId="6D9C3692"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As highlighted in the introduction, the regime systemically curbs all access to disability-related information in the country. In parallel, the amendments to the Criminal Code concerning “discreditation of the Republic of Belarus”, classifying any criticism of the state actions as a punishable crime, have resulted in near complete self-censorship of all media, including information channels belonging to NGOs. </w:t>
      </w:r>
    </w:p>
    <w:p w14:paraId="1CE67D85"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lastRenderedPageBreak/>
        <w:t xml:space="preserve">Recommendations for Concluding Observations: </w:t>
      </w:r>
    </w:p>
    <w:p w14:paraId="516A222B" w14:textId="77777777" w:rsidR="0055215C" w:rsidRPr="00A65B16" w:rsidRDefault="00000000">
      <w:pPr>
        <w:numPr>
          <w:ilvl w:val="0"/>
          <w:numId w:val="9"/>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Restore public access to all available information about the situation of persons with disabilities, including the results of current and past monitoring activities;</w:t>
      </w:r>
    </w:p>
    <w:p w14:paraId="6FADB711" w14:textId="77777777" w:rsidR="0055215C" w:rsidRPr="00A65B16" w:rsidRDefault="00000000">
      <w:pPr>
        <w:numPr>
          <w:ilvl w:val="0"/>
          <w:numId w:val="9"/>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Conduct transparent multilateral dialogue on the situation of persons with disabilities in the country, allowing for constructive dissent and meaningful participation;</w:t>
      </w:r>
    </w:p>
    <w:p w14:paraId="7654F325" w14:textId="77777777" w:rsidR="0055215C" w:rsidRPr="00A65B16" w:rsidRDefault="00000000">
      <w:pPr>
        <w:numPr>
          <w:ilvl w:val="0"/>
          <w:numId w:val="9"/>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Urgently end all censorship and curtailment of independent information about disability in the media;</w:t>
      </w:r>
    </w:p>
    <w:p w14:paraId="1D282681" w14:textId="17BA9DC5" w:rsidR="0055215C" w:rsidRPr="002528A1" w:rsidRDefault="00000000" w:rsidP="002528A1">
      <w:pPr>
        <w:numPr>
          <w:ilvl w:val="0"/>
          <w:numId w:val="9"/>
        </w:numPr>
        <w:jc w:val="both"/>
        <w:rPr>
          <w:rFonts w:ascii="Roboto" w:eastAsia="Times New Roman" w:hAnsi="Roboto" w:cs="Times New Roman"/>
          <w:sz w:val="22"/>
          <w:szCs w:val="22"/>
        </w:rPr>
      </w:pPr>
      <w:r w:rsidRPr="00A65B16">
        <w:rPr>
          <w:rFonts w:ascii="Roboto" w:eastAsia="Times New Roman" w:hAnsi="Roboto" w:cs="Times New Roman"/>
          <w:sz w:val="22"/>
          <w:szCs w:val="22"/>
        </w:rPr>
        <w:t>Put an end to the persecution of anyone holding a dissent opinion on the national state of disability rights.</w:t>
      </w:r>
    </w:p>
    <w:p w14:paraId="2859DB83" w14:textId="77777777" w:rsidR="0055215C" w:rsidRPr="00A65B16" w:rsidRDefault="00000000" w:rsidP="002528A1">
      <w:pPr>
        <w:pStyle w:val="Heading1"/>
        <w:rPr>
          <w:color w:val="215E99" w:themeColor="text2" w:themeTint="BF"/>
        </w:rPr>
      </w:pPr>
      <w:bookmarkStart w:id="15" w:name="_Toc171515792"/>
      <w:r w:rsidRPr="00A65B16">
        <w:rPr>
          <w:color w:val="215E99" w:themeColor="text2" w:themeTint="BF"/>
        </w:rPr>
        <w:t>Article 24. Inclusive education</w:t>
      </w:r>
      <w:bookmarkEnd w:id="15"/>
    </w:p>
    <w:p w14:paraId="1A46F05B"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As of July 2024, the </w:t>
      </w:r>
      <w:hyperlink r:id="rId13">
        <w:r w:rsidRPr="00A65B16">
          <w:rPr>
            <w:rFonts w:ascii="Roboto" w:eastAsia="Times New Roman" w:hAnsi="Roboto" w:cs="Times New Roman"/>
            <w:color w:val="1155CC"/>
            <w:sz w:val="22"/>
            <w:szCs w:val="22"/>
            <w:u w:val="single"/>
          </w:rPr>
          <w:t>website of the Ministry of Education</w:t>
        </w:r>
      </w:hyperlink>
      <w:r w:rsidRPr="00A65B16">
        <w:rPr>
          <w:rFonts w:ascii="Roboto" w:eastAsia="Times New Roman" w:hAnsi="Roboto" w:cs="Times New Roman"/>
          <w:sz w:val="22"/>
          <w:szCs w:val="22"/>
        </w:rPr>
        <w:t xml:space="preserve"> was not accessible from EU-based servers, preventing public access to all official data regarding education. </w:t>
      </w:r>
    </w:p>
    <w:p w14:paraId="2E7F9CA4"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Inclusive education is not defined in national legislation. While the 2015 National Concept of Inclusive Education was welcomed by the representative disability community, its implementation has been disappointing. The promising intentions to prepare a normative and conceptual base, train teachers, create an inclusive environment, and introduce inclusive education have not been realised.</w:t>
      </w:r>
    </w:p>
    <w:p w14:paraId="70A9014A"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education system includes mainstream schools, special schools, integrated groups and classes (mixed-type education), and home-based learning. Enrolment in special education is conditional on free parental consent, but in practice, many parents experience pressure and are discouraged from choosing mainstream education. The Psychological-Medical-Pedagogical Commission (PMPK) has become a significant obstacle to finding an education pathway that aligns with the Convention and serves the best interests of the child.</w:t>
      </w:r>
    </w:p>
    <w:p w14:paraId="1EA3593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Parents' active participation in educational pathways is discouraged, resulting in a low level of awareness about children's rights in education. The right to a teaching assistant is conditional on the medical diagnosis and is currently only available to learners with autistic spectrum disorder. The PMPK denies the right to personal assistance in education to learners with other impairments, such as Down Syndrome and ADHD.</w:t>
      </w:r>
    </w:p>
    <w:p w14:paraId="7BA15017"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right of Deaf children to receive education in their first language, Belarusian sign language, is not respected. The state education system emphasises speaking skills over sign language instruction, violating their right to linguistic identity.</w:t>
      </w:r>
    </w:p>
    <w:p w14:paraId="768A7165"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An integrationist approach to education is common, with children with and without disabilities taking only a limited number of classes together. Other subjects are taught separately, with no meaningful pathway towards inclusion.</w:t>
      </w:r>
    </w:p>
    <w:p w14:paraId="382D3763"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slow adoption of modern teaching methodologies, such as ABA or PECS, has had a financial impact on families of children with disabilities, who must bear the costs privately. The monthly bill may exceed an average wage twofold.</w:t>
      </w:r>
    </w:p>
    <w:p w14:paraId="39B2A902"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Lack of inclusive methodologies results in the frequent exclusion of children with disabilities from mainstream learning, with home-based learning recommended for children with illnesses that "limit daily functioning" or "make social adaptation difficult." While parental </w:t>
      </w:r>
      <w:r w:rsidRPr="00A65B16">
        <w:rPr>
          <w:rFonts w:ascii="Roboto" w:eastAsia="Times New Roman" w:hAnsi="Roboto" w:cs="Times New Roman"/>
          <w:sz w:val="22"/>
          <w:szCs w:val="22"/>
        </w:rPr>
        <w:lastRenderedPageBreak/>
        <w:t>consent is necessary, in practice, parents are often offered no alternatives, forcing their consent.</w:t>
      </w:r>
    </w:p>
    <w:p w14:paraId="160A759D" w14:textId="0D84A1E8"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There is universal shortage of inclusive education specialists and lack of reasonable accommodation</w:t>
      </w:r>
      <w:r w:rsidR="002528A1">
        <w:rPr>
          <w:rFonts w:ascii="Roboto" w:eastAsia="Times New Roman" w:hAnsi="Roboto" w:cs="Times New Roman"/>
          <w:sz w:val="22"/>
          <w:szCs w:val="22"/>
        </w:rPr>
        <w:t xml:space="preserve"> and individualised support</w:t>
      </w:r>
      <w:r w:rsidRPr="00A65B16">
        <w:rPr>
          <w:rFonts w:ascii="Roboto" w:eastAsia="Times New Roman" w:hAnsi="Roboto" w:cs="Times New Roman"/>
          <w:sz w:val="22"/>
          <w:szCs w:val="22"/>
        </w:rPr>
        <w:t xml:space="preserve"> in education.</w:t>
      </w:r>
    </w:p>
    <w:p w14:paraId="2A4ED13E" w14:textId="77777777" w:rsidR="0055215C" w:rsidRPr="00A65B16" w:rsidRDefault="00000000">
      <w:pPr>
        <w:jc w:val="both"/>
        <w:rPr>
          <w:rFonts w:ascii="Roboto" w:eastAsia="Times New Roman" w:hAnsi="Roboto" w:cs="Times New Roman"/>
          <w:b/>
          <w:color w:val="000000"/>
          <w:sz w:val="22"/>
          <w:szCs w:val="22"/>
        </w:rPr>
      </w:pPr>
      <w:r w:rsidRPr="00A65B16">
        <w:rPr>
          <w:rFonts w:ascii="Roboto" w:eastAsia="Times New Roman" w:hAnsi="Roboto" w:cs="Times New Roman"/>
          <w:sz w:val="22"/>
          <w:szCs w:val="22"/>
        </w:rPr>
        <w:t>Higher education does not sufficiently accommodate students with disabilities, particularly regarding physical and communication accessibility. Access to modern assistive technologies to facilitate learning is limited. University applications from persons with disabilities are conditional on a positive recommendation from the MREK (disability assessment body), which often bases its recommendation on theoretical speculation about future employment prospects.</w:t>
      </w:r>
    </w:p>
    <w:p w14:paraId="2CBDFCC2"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 xml:space="preserve">Recommendations for Concluding Observations: </w:t>
      </w:r>
    </w:p>
    <w:p w14:paraId="0F967206" w14:textId="77777777" w:rsidR="0055215C" w:rsidRPr="00A65B16" w:rsidRDefault="00000000">
      <w:pPr>
        <w:numPr>
          <w:ilvl w:val="0"/>
          <w:numId w:val="14"/>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Recognise the right of every child to quality inclusive education and remove the current practices of tokenistic integration, providing each learner with an individual approach to learning, reasonable accommodation and support.</w:t>
      </w:r>
    </w:p>
    <w:p w14:paraId="542112A8" w14:textId="095E960D" w:rsidR="0055215C" w:rsidRPr="002528A1" w:rsidRDefault="00000000" w:rsidP="002528A1">
      <w:pPr>
        <w:numPr>
          <w:ilvl w:val="0"/>
          <w:numId w:val="14"/>
        </w:num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Systematically invest in training, recruitment and retention of inclusive education specialists at all levels and provide them with methodological support;  </w:t>
      </w:r>
    </w:p>
    <w:p w14:paraId="13D58C27" w14:textId="77777777" w:rsidR="0055215C" w:rsidRPr="00A65B16" w:rsidRDefault="00000000" w:rsidP="002528A1">
      <w:pPr>
        <w:pStyle w:val="Heading1"/>
        <w:rPr>
          <w:color w:val="215E99" w:themeColor="text2" w:themeTint="BF"/>
        </w:rPr>
      </w:pPr>
      <w:bookmarkStart w:id="16" w:name="_Toc171515793"/>
      <w:r w:rsidRPr="00A65B16">
        <w:rPr>
          <w:color w:val="215E99" w:themeColor="text2" w:themeTint="BF"/>
        </w:rPr>
        <w:t>Article 25. Health</w:t>
      </w:r>
      <w:bookmarkEnd w:id="16"/>
    </w:p>
    <w:p w14:paraId="026E74D6"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Healthcare is widely considered inaccessible for persons with disabilities. Reasonable accommodation and individualised support are exceptions, partly due to widespread stigma and prejudice. Patients with disabilities report difficulties receiving objective information about their health, including diagnoses, prognosis, treatment, and rehabilitation.</w:t>
      </w:r>
    </w:p>
    <w:p w14:paraId="6284DFDA"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Persons with disabilities are not explicitly mentioned in the 2012 Law on Psychiatric Help, although a significant portion of the Law applies to them exclusively. There are no workable safeguards or remedies to protect persons against medical interventions conducted without their free and informed consent. Forced treatment is provided in the Law for persons with psychosocial disabilities, who are considered 'helpless' and unable to make decisions. Persons with intellectual or psychosocial disabilities are often deemed "dangerous" if they disagree with their course of treatment.</w:t>
      </w:r>
    </w:p>
    <w:p w14:paraId="1E8C8B3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Discrimination in healthcare contributes to increased poverty among persons with disabilities, who are often refused life and health insurance and face hidden fees. This discrimination has become more evident during the COVID-19 pandemic. Persons with disabilities and their families have faced additional challenges in accessing care, with hospitals failing to adapt their protocols to the needs of COVID-positive patients with disabilities. The possibility of being accompanied by a support person was de facto scrapped, forcing patients to choose between hospitalisation without personal assistance or home stay.</w:t>
      </w:r>
    </w:p>
    <w:p w14:paraId="10C46484"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pandemic negatively impacted the continuity of planned healthcare and rehabilitation, with many activities postponed or delayed indefinitely. The attempts to provide digital health services to vulnerable populations, including persons with disabilities, have not been effective outside large urban centres due to low digital literacy.</w:t>
      </w:r>
    </w:p>
    <w:p w14:paraId="5950D8A5"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lastRenderedPageBreak/>
        <w:t xml:space="preserve">As part of anti-Western sanctions, a ban on import of certain medications has been introduced, effectively cutting off access to essential medications. Children with developmental disabilities are particularly affected by the ban, according to informal reports from parental organisations.  </w:t>
      </w:r>
    </w:p>
    <w:p w14:paraId="0D9410BB"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t>Recommendations for Concluding Observations:</w:t>
      </w:r>
    </w:p>
    <w:p w14:paraId="045280CC" w14:textId="77777777" w:rsidR="0055215C" w:rsidRPr="00A65B16" w:rsidRDefault="00000000">
      <w:pPr>
        <w:numPr>
          <w:ilvl w:val="0"/>
          <w:numId w:val="13"/>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Urgently conduct a full review of the Law on Psychiatric Help, abolishing its provisions on forced hospitalisation and forced treatment and replacing it with a human rights model of psychiatric help that is based on human dignity and autonomy and informed consent, and takes into account social determinants of mental health.</w:t>
      </w:r>
    </w:p>
    <w:p w14:paraId="32CA63E4" w14:textId="7F11A5A1" w:rsidR="0055215C" w:rsidRPr="00A62E95" w:rsidRDefault="00000000" w:rsidP="00A62E95">
      <w:pPr>
        <w:numPr>
          <w:ilvl w:val="0"/>
          <w:numId w:val="13"/>
        </w:numPr>
        <w:jc w:val="both"/>
        <w:rPr>
          <w:rFonts w:ascii="Roboto" w:eastAsia="Times New Roman" w:hAnsi="Roboto" w:cs="Times New Roman"/>
          <w:sz w:val="22"/>
          <w:szCs w:val="22"/>
        </w:rPr>
      </w:pPr>
      <w:r w:rsidRPr="00A65B16">
        <w:rPr>
          <w:rFonts w:ascii="Roboto" w:eastAsia="Times New Roman" w:hAnsi="Roboto" w:cs="Times New Roman"/>
          <w:sz w:val="22"/>
          <w:szCs w:val="22"/>
        </w:rPr>
        <w:t>Allow uninterrupted access to essential medications and medical devices for persons with disabilities, at minimum restoring access to the pre-2020 situation.</w:t>
      </w:r>
    </w:p>
    <w:p w14:paraId="1966EB7C" w14:textId="77777777" w:rsidR="0055215C" w:rsidRPr="00A65B16" w:rsidRDefault="00000000" w:rsidP="00A62E95">
      <w:pPr>
        <w:pStyle w:val="Heading1"/>
        <w:rPr>
          <w:color w:val="215E99" w:themeColor="text2" w:themeTint="BF"/>
        </w:rPr>
      </w:pPr>
      <w:bookmarkStart w:id="17" w:name="_Toc171515794"/>
      <w:r w:rsidRPr="00A65B16">
        <w:rPr>
          <w:color w:val="215E99" w:themeColor="text2" w:themeTint="BF"/>
        </w:rPr>
        <w:t>Article 26. Habilitation and rehabilitation</w:t>
      </w:r>
      <w:bookmarkEnd w:id="17"/>
    </w:p>
    <w:p w14:paraId="1C64BCBB"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individual programme of rehabilitation designed by the Medical-Rehabilitation Expert Committee (MREK) often fails to consider the complexities and evolving nature of disability. Rehabilitation services follow a one-size-fits-all approach based on the assigned disability group (I, II, or III), with group I often accompanied by a prohibition on gainful employment.</w:t>
      </w:r>
    </w:p>
    <w:p w14:paraId="5FA90CC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In practice, the individual programme of rehabilitation is often not realised due to a lack of a holistic approach, appropriately qualified specialists, modern accessible infrastructures, technologies, and essential services such as personal budget and personal assistant.</w:t>
      </w:r>
    </w:p>
    <w:p w14:paraId="735B1224"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The national mechanism regulating access to technical means of rehabilitation, or assistive technologies, is outdated and does not consider individual requirements. It includes a limited list of outdated technologies and discourages the use of foreign-made assistive technologies. Some non-state actors provide additional rehabilitation services, but these cannot be included in the official programme and are only accessible privately.</w:t>
      </w:r>
    </w:p>
    <w:p w14:paraId="65761298" w14:textId="75A0109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Rehabilitation of persons with psychosocial disabilities is limited to medical inpatient services, with community-based rehabilitation being nearly absent.</w:t>
      </w:r>
    </w:p>
    <w:p w14:paraId="7DB44A73" w14:textId="77777777" w:rsidR="0055215C" w:rsidRPr="00A65B16" w:rsidRDefault="00000000" w:rsidP="00A62E95">
      <w:pPr>
        <w:pStyle w:val="Heading1"/>
        <w:rPr>
          <w:color w:val="215E99" w:themeColor="text2" w:themeTint="BF"/>
        </w:rPr>
      </w:pPr>
      <w:bookmarkStart w:id="18" w:name="_Toc171515795"/>
      <w:r w:rsidRPr="00A65B16">
        <w:rPr>
          <w:color w:val="215E99" w:themeColor="text2" w:themeTint="BF"/>
        </w:rPr>
        <w:t>Article 27. Work and employment</w:t>
      </w:r>
      <w:bookmarkEnd w:id="18"/>
    </w:p>
    <w:p w14:paraId="089919F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As of July 2024, the </w:t>
      </w:r>
      <w:hyperlink r:id="rId14">
        <w:r w:rsidRPr="00A65B16">
          <w:rPr>
            <w:rFonts w:ascii="Roboto" w:eastAsia="Times New Roman" w:hAnsi="Roboto" w:cs="Times New Roman"/>
            <w:color w:val="1155CC"/>
            <w:sz w:val="22"/>
            <w:szCs w:val="22"/>
            <w:u w:val="single"/>
          </w:rPr>
          <w:t>website of the Ministry of Labour and Social Protection</w:t>
        </w:r>
      </w:hyperlink>
      <w:r w:rsidRPr="00A65B16">
        <w:rPr>
          <w:rFonts w:ascii="Roboto" w:eastAsia="Times New Roman" w:hAnsi="Roboto" w:cs="Times New Roman"/>
          <w:sz w:val="22"/>
          <w:szCs w:val="22"/>
        </w:rPr>
        <w:t xml:space="preserve"> was inaccessible from European Union servers, preventing access to any official information concerning employment of persons with disabilities.  </w:t>
      </w:r>
    </w:p>
    <w:p w14:paraId="7484BEE9"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It is known that access to the open labour market is severely limited for persons belonging to disability group I, with many declared "unfit to work" by the MREK, preventing them from earning a lawful income. The MREK is guided by a list of "contraindicated" professions for persons with disabilities, effectively limiting their employment options.</w:t>
      </w:r>
    </w:p>
    <w:p w14:paraId="239CEFBA"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As of October 2021, out of more than 500,000 officially registered persons with disabilities, only 55% of those declared "fit to work" were in gainful employment. Persons with disabilities face conditions limiting their access to the labour market, including the obligation to present a professional reference from the MREK during recruitment and the obligation on employers </w:t>
      </w:r>
      <w:r w:rsidRPr="00A65B16">
        <w:rPr>
          <w:rFonts w:ascii="Roboto" w:eastAsia="Times New Roman" w:hAnsi="Roboto" w:cs="Times New Roman"/>
          <w:sz w:val="22"/>
          <w:szCs w:val="22"/>
        </w:rPr>
        <w:lastRenderedPageBreak/>
        <w:t>to provide a reduced working day/week. Persons with disabilities are prohibited from exercising a secondary professional activity alongside their main employment.</w:t>
      </w:r>
    </w:p>
    <w:p w14:paraId="56A56871"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legislation does not include the obligation to create favourable conditions for workers with disabilities through reasonable accommodation and anti-discrimination measures. Instead, the Labour Code imposes the obligation to create "specialised workplaces" for persons with disabilities and incentivises employers to hire them. </w:t>
      </w:r>
    </w:p>
    <w:p w14:paraId="22A4A7E5"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Self-employed entrepreneurs with disabilities are not entitled to many incentives available to employers of workers with disabilities. Persons with intellectual and complex disabilities are practically excluded from accessing any occupational activity due to the absence of the 'social enterprise' concept in national legislation and the lack of supported employment measures.</w:t>
      </w:r>
    </w:p>
    <w:p w14:paraId="21C9C4CD"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In 2022, CESCR Committee raised concerns about the low rate of employment of persons with disabilities in Belarus and recommended introducing incentives to activate and support persons with disabilities in the labour market. </w:t>
      </w:r>
    </w:p>
    <w:p w14:paraId="548FA052" w14:textId="77777777" w:rsidR="0055215C" w:rsidRPr="00A65B16" w:rsidRDefault="00000000">
      <w:pPr>
        <w:keepNext/>
        <w:keepLines/>
        <w:pBdr>
          <w:top w:val="nil"/>
          <w:left w:val="nil"/>
          <w:bottom w:val="nil"/>
          <w:right w:val="nil"/>
          <w:between w:val="nil"/>
        </w:pBdr>
        <w:tabs>
          <w:tab w:val="right" w:pos="851"/>
        </w:tabs>
        <w:spacing w:before="240" w:after="120" w:line="240" w:lineRule="auto"/>
        <w:ind w:left="1134" w:right="1134" w:hanging="1134"/>
        <w:rPr>
          <w:rFonts w:ascii="Roboto" w:eastAsia="Times New Roman" w:hAnsi="Roboto" w:cs="Times New Roman"/>
          <w:b/>
          <w:color w:val="000000"/>
          <w:sz w:val="22"/>
          <w:szCs w:val="22"/>
        </w:rPr>
      </w:pPr>
      <w:r w:rsidRPr="00A65B16">
        <w:rPr>
          <w:rFonts w:ascii="Roboto" w:eastAsia="Times New Roman" w:hAnsi="Roboto" w:cs="Times New Roman"/>
          <w:b/>
          <w:sz w:val="22"/>
          <w:szCs w:val="22"/>
        </w:rPr>
        <w:t xml:space="preserve">Recommendations for Concluding Observations: </w:t>
      </w:r>
    </w:p>
    <w:p w14:paraId="25065E4E" w14:textId="77777777" w:rsidR="0055215C" w:rsidRPr="00A65B16" w:rsidRDefault="00000000">
      <w:pPr>
        <w:numPr>
          <w:ilvl w:val="0"/>
          <w:numId w:val="17"/>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Review labour legislation to repeal the concept of “unfitness to work” for persons with disabilities and the obligation to receive MREK recommendations before starting employment, replacing them with measures to guarantee equal pay for work of equal value with provision of reasonable accommodation in the workplace.  </w:t>
      </w:r>
    </w:p>
    <w:p w14:paraId="53F4DDEE" w14:textId="4D759385" w:rsidR="0055215C" w:rsidRPr="00A62E95" w:rsidRDefault="00000000" w:rsidP="00A62E95">
      <w:pPr>
        <w:numPr>
          <w:ilvl w:val="0"/>
          <w:numId w:val="17"/>
        </w:numPr>
        <w:pBdr>
          <w:top w:val="nil"/>
          <w:left w:val="nil"/>
          <w:bottom w:val="nil"/>
          <w:right w:val="nil"/>
          <w:between w:val="nil"/>
        </w:pBd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Develop appropriate </w:t>
      </w:r>
      <w:r w:rsidRPr="00A65B16">
        <w:rPr>
          <w:rFonts w:ascii="Roboto" w:eastAsia="Times New Roman" w:hAnsi="Roboto" w:cs="Times New Roman"/>
          <w:color w:val="000000"/>
          <w:sz w:val="22"/>
          <w:szCs w:val="22"/>
        </w:rPr>
        <w:t>incentives for employers to hire persons with disabilities and measures to support self-employment and entrepreneurship, including for women with disabilities</w:t>
      </w:r>
      <w:r w:rsidRPr="00A65B16">
        <w:rPr>
          <w:rFonts w:ascii="Roboto" w:eastAsia="Times New Roman" w:hAnsi="Roboto" w:cs="Times New Roman"/>
          <w:sz w:val="22"/>
          <w:szCs w:val="22"/>
        </w:rPr>
        <w:t xml:space="preserve">, in line with the Committee’s General Comment Nr. 8. </w:t>
      </w:r>
    </w:p>
    <w:p w14:paraId="73F2D9E3" w14:textId="77777777" w:rsidR="0055215C" w:rsidRPr="00A65B16" w:rsidRDefault="00000000" w:rsidP="00A62E95">
      <w:pPr>
        <w:pStyle w:val="Heading1"/>
        <w:rPr>
          <w:color w:val="215E99" w:themeColor="text2" w:themeTint="BF"/>
        </w:rPr>
      </w:pPr>
      <w:bookmarkStart w:id="19" w:name="_Toc171515796"/>
      <w:r w:rsidRPr="00A65B16">
        <w:rPr>
          <w:color w:val="215E99" w:themeColor="text2" w:themeTint="BF"/>
        </w:rPr>
        <w:t>Article 28. Adequate standard of living and social protection</w:t>
      </w:r>
      <w:bookmarkEnd w:id="19"/>
    </w:p>
    <w:p w14:paraId="469DBEEB"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Disability determination follows an archaic Soviet-era model, classifying individuals into groups I, II, and III based on impairment. It does not consider social factors and barriers leading to disability and fails to offer individualised support. The MREK, which assigns these groups, is predominantly composed of medical professionals.</w:t>
      </w:r>
    </w:p>
    <w:p w14:paraId="2CB2151D"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As of 2020, 575,710 people (6.12% of the population) were officially registered as persons with disabilities, receiving disability benefits. Of these, 45.1% were men, 54.9% women, and 5.5% children. Disability organisations observe a trend towards reducing the number of officially recognised persons with disabilities, attributing this to the State's attempt to lower costs.</w:t>
      </w:r>
    </w:p>
    <w:p w14:paraId="46E0C7E9"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Many persons with disabilities of working age face a dilemma: accepting group I disability status with higher benefits but a ban on employment, or lowering their classification to group II, allowing work but with reduced benefits and rehabilitation services. The monthly social pension for group I disability was BYN 255.01 (USD 116) in 2019, significantly lower than the consumer budget. This amount does not account for higher costs linked to mobility, healthcare, rehabilitation, assistive technologies, and personal assistance.</w:t>
      </w:r>
    </w:p>
    <w:p w14:paraId="38620F56"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Inflation periodically affects disability benefits, with indexation arriving late and insufficient to compensate. In 2021, while the national inflation rate was 9.3%, pension indexation amounted to only 6.7%, financially vulnerable.</w:t>
      </w:r>
    </w:p>
    <w:p w14:paraId="24F319FB" w14:textId="77777777" w:rsidR="0055215C" w:rsidRPr="00A65B16" w:rsidRDefault="00000000">
      <w:pPr>
        <w:jc w:val="both"/>
        <w:rPr>
          <w:rFonts w:ascii="Roboto" w:eastAsia="Times New Roman" w:hAnsi="Roboto" w:cs="Times New Roman"/>
          <w:b/>
          <w:sz w:val="22"/>
          <w:szCs w:val="22"/>
        </w:rPr>
      </w:pPr>
      <w:r w:rsidRPr="00A65B16">
        <w:rPr>
          <w:rFonts w:ascii="Roboto" w:eastAsia="Times New Roman" w:hAnsi="Roboto" w:cs="Times New Roman"/>
          <w:b/>
          <w:sz w:val="22"/>
          <w:szCs w:val="22"/>
        </w:rPr>
        <w:lastRenderedPageBreak/>
        <w:t>Recommendations for Concluding Observations:</w:t>
      </w:r>
    </w:p>
    <w:p w14:paraId="18CBC89F" w14:textId="71583B8F" w:rsidR="0055215C" w:rsidRPr="00A62E95" w:rsidRDefault="00000000" w:rsidP="00A62E95">
      <w:pPr>
        <w:numPr>
          <w:ilvl w:val="0"/>
          <w:numId w:val="18"/>
        </w:numPr>
        <w:pBdr>
          <w:top w:val="nil"/>
          <w:left w:val="nil"/>
          <w:bottom w:val="nil"/>
          <w:right w:val="nil"/>
          <w:between w:val="nil"/>
        </w:pBdr>
        <w:spacing w:after="0"/>
        <w:jc w:val="both"/>
        <w:rPr>
          <w:rFonts w:ascii="Roboto" w:eastAsia="Times New Roman" w:hAnsi="Roboto" w:cs="Times New Roman"/>
          <w:color w:val="000000"/>
          <w:sz w:val="22"/>
          <w:szCs w:val="22"/>
        </w:rPr>
      </w:pPr>
      <w:r w:rsidRPr="00A65B16">
        <w:rPr>
          <w:rFonts w:ascii="Roboto" w:eastAsia="Times New Roman" w:hAnsi="Roboto" w:cs="Times New Roman"/>
          <w:sz w:val="22"/>
          <w:szCs w:val="22"/>
        </w:rPr>
        <w:t xml:space="preserve">Increase the efforts to transition to the human rights-based model of disability, ensuring a objective approach to determination of eligibility to in-cash and in-kind benefits based on individual needs and support requirements and allowing for a combination of disability benefits with other types of social support. </w:t>
      </w:r>
    </w:p>
    <w:p w14:paraId="5CDC2831" w14:textId="77777777" w:rsidR="0055215C" w:rsidRPr="00A65B16" w:rsidRDefault="00000000" w:rsidP="00A62E95">
      <w:pPr>
        <w:pStyle w:val="Heading1"/>
        <w:rPr>
          <w:color w:val="215E99" w:themeColor="text2" w:themeTint="BF"/>
        </w:rPr>
      </w:pPr>
      <w:bookmarkStart w:id="20" w:name="_Toc171515797"/>
      <w:r w:rsidRPr="00A65B16">
        <w:rPr>
          <w:color w:val="215E99" w:themeColor="text2" w:themeTint="BF"/>
        </w:rPr>
        <w:t>Article 29. Participation in political and public life</w:t>
      </w:r>
      <w:bookmarkEnd w:id="20"/>
    </w:p>
    <w:p w14:paraId="04FED4FE"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As the result of the systemic repression campaign, at least 1041 civil society organisations have been terminated, including 18 organisations of persons with disabilities such as the Office for the Rights of Persons with Disabilities. The official justification for the termination announced by the Prosecutor General’s Office is “the publication of untrue information, aimed at spreading destructive spirits in the society, calling for economic and political pressure on the and other harmful activities compromising state security”. An additional 673 civil society organisations, including 12 organisations of persons with disabilities have decided to close operations as a result of the regime’s pressure. </w:t>
      </w:r>
    </w:p>
    <w:p w14:paraId="3F3DCB0C"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remaining organisations are heavily limited in accessing financial resources. In 2021, organisations working on disability issues lost their right to apply for rental concessions. </w:t>
      </w:r>
    </w:p>
    <w:p w14:paraId="40A35CBB"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Law No 250-3 “On the foundations of the civil society” of 14 February 2023 states the de facto hierarchy of civil society organisations depending on their interaction with the state. The five civil society organisations that are defined as having close cooperation with the state are ROO “Belaya Rus”, Belarusian Veterans’ Union, Belarusian Youth Union, Belarusian Women’s Union, and the Federation of Trade Unions. </w:t>
      </w:r>
    </w:p>
    <w:p w14:paraId="562955D0" w14:textId="77777777" w:rsidR="0055215C" w:rsidRPr="00A65B16" w:rsidRDefault="00000000">
      <w:p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The administrative paperwork for registering new civil society organisations is cumbersome and lengthy, serving as effective deterrent for new initiatives. </w:t>
      </w:r>
    </w:p>
    <w:p w14:paraId="0ACDEB47" w14:textId="77777777" w:rsidR="0055215C" w:rsidRPr="00A65B16" w:rsidRDefault="00000000">
      <w:pPr>
        <w:rPr>
          <w:rFonts w:ascii="Roboto" w:eastAsia="Times New Roman" w:hAnsi="Roboto" w:cs="Times New Roman"/>
          <w:b/>
          <w:sz w:val="22"/>
          <w:szCs w:val="22"/>
        </w:rPr>
      </w:pPr>
      <w:r w:rsidRPr="00A65B16">
        <w:rPr>
          <w:rFonts w:ascii="Roboto" w:eastAsia="Times New Roman" w:hAnsi="Roboto" w:cs="Times New Roman"/>
          <w:b/>
          <w:sz w:val="22"/>
          <w:szCs w:val="22"/>
        </w:rPr>
        <w:t>Recommendations for Concluding Observations:</w:t>
      </w:r>
    </w:p>
    <w:p w14:paraId="18C7A6B0" w14:textId="77777777" w:rsidR="0055215C" w:rsidRPr="00A65B16" w:rsidRDefault="00000000" w:rsidP="00A62E95">
      <w:pPr>
        <w:numPr>
          <w:ilvl w:val="0"/>
          <w:numId w:val="15"/>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With immediate effect, refrain from interfering with lawful activities of organisations of persons with disabilities aimed at the implementation of the Convention rights and revoke the decisions to close the operations of these organisations;</w:t>
      </w:r>
    </w:p>
    <w:p w14:paraId="797890CA" w14:textId="0A7DE122" w:rsidR="0055215C" w:rsidRPr="00A62E95" w:rsidRDefault="00000000" w:rsidP="00A62E95">
      <w:pPr>
        <w:numPr>
          <w:ilvl w:val="0"/>
          <w:numId w:val="15"/>
        </w:numPr>
        <w:jc w:val="both"/>
        <w:rPr>
          <w:rFonts w:ascii="Roboto" w:eastAsia="Times New Roman" w:hAnsi="Roboto" w:cs="Times New Roman"/>
          <w:sz w:val="22"/>
          <w:szCs w:val="22"/>
        </w:rPr>
      </w:pPr>
      <w:r w:rsidRPr="00A65B16">
        <w:rPr>
          <w:rFonts w:ascii="Roboto" w:eastAsia="Times New Roman" w:hAnsi="Roboto" w:cs="Times New Roman"/>
          <w:sz w:val="22"/>
          <w:szCs w:val="22"/>
        </w:rPr>
        <w:t xml:space="preserve">Provide support to organisations of persons with disabilities, reflecting their diversity and plurality, to operate independently and freely, encouraging their meaningful participation in all decision-making processes which affect persons with disabilities. </w:t>
      </w:r>
    </w:p>
    <w:p w14:paraId="215788C6" w14:textId="77777777" w:rsidR="0055215C" w:rsidRPr="00A65B16" w:rsidRDefault="00000000" w:rsidP="00A62E95">
      <w:pPr>
        <w:pStyle w:val="Heading1"/>
        <w:rPr>
          <w:color w:val="215E99" w:themeColor="text2" w:themeTint="BF"/>
        </w:rPr>
      </w:pPr>
      <w:bookmarkStart w:id="21" w:name="_Toc171515798"/>
      <w:r w:rsidRPr="00A65B16">
        <w:rPr>
          <w:color w:val="215E99" w:themeColor="text2" w:themeTint="BF"/>
        </w:rPr>
        <w:t>Article 31. Statistics and data collection</w:t>
      </w:r>
      <w:bookmarkEnd w:id="21"/>
      <w:r w:rsidRPr="00A65B16">
        <w:rPr>
          <w:color w:val="215E99" w:themeColor="text2" w:themeTint="BF"/>
        </w:rPr>
        <w:t xml:space="preserve"> </w:t>
      </w:r>
    </w:p>
    <w:p w14:paraId="3626E348" w14:textId="77777777" w:rsidR="0055215C" w:rsidRPr="00A65B16" w:rsidRDefault="00000000" w:rsidP="00A62E95">
      <w:pPr>
        <w:jc w:val="both"/>
        <w:rPr>
          <w:rFonts w:ascii="Roboto" w:eastAsia="Times New Roman" w:hAnsi="Roboto" w:cs="Times New Roman"/>
          <w:sz w:val="22"/>
          <w:szCs w:val="22"/>
        </w:rPr>
      </w:pPr>
      <w:r w:rsidRPr="00A65B16">
        <w:rPr>
          <w:rFonts w:ascii="Roboto" w:eastAsia="Times New Roman" w:hAnsi="Roboto" w:cs="Times New Roman"/>
          <w:sz w:val="22"/>
          <w:szCs w:val="22"/>
        </w:rPr>
        <w:t>Independent research institutions have been all but eliminated in the Republic of Belarus, including Laboratory “Novak” which was leader in sociological research projects. Renowned sociologists have been jailed or forced into exile</w:t>
      </w:r>
      <w:r w:rsidRPr="00A65B16">
        <w:rPr>
          <w:rFonts w:ascii="Roboto" w:eastAsia="Times New Roman" w:hAnsi="Roboto" w:cs="Times New Roman"/>
          <w:sz w:val="22"/>
          <w:szCs w:val="22"/>
          <w:vertAlign w:val="superscript"/>
        </w:rPr>
        <w:footnoteReference w:id="2"/>
      </w:r>
      <w:r w:rsidRPr="00A65B16">
        <w:rPr>
          <w:rFonts w:ascii="Roboto" w:eastAsia="Times New Roman" w:hAnsi="Roboto" w:cs="Times New Roman"/>
          <w:sz w:val="22"/>
          <w:szCs w:val="22"/>
        </w:rPr>
        <w:t xml:space="preserve">. The only nationally generated data has a predictably positive spin not based on credible methodology. However, even this data is not </w:t>
      </w:r>
      <w:r w:rsidRPr="00A65B16">
        <w:rPr>
          <w:rFonts w:ascii="Roboto" w:eastAsia="Times New Roman" w:hAnsi="Roboto" w:cs="Times New Roman"/>
          <w:sz w:val="22"/>
          <w:szCs w:val="22"/>
        </w:rPr>
        <w:lastRenderedPageBreak/>
        <w:t xml:space="preserve">publicly available in full. The websites of most ministries are not accessible from European Union services, preventing access to data that should be publicly available. </w:t>
      </w:r>
    </w:p>
    <w:p w14:paraId="0CEA0259" w14:textId="77777777" w:rsidR="0055215C" w:rsidRPr="00A65B16" w:rsidRDefault="00000000">
      <w:pPr>
        <w:rPr>
          <w:rFonts w:ascii="Roboto" w:eastAsia="Times New Roman" w:hAnsi="Roboto" w:cs="Times New Roman"/>
          <w:sz w:val="22"/>
          <w:szCs w:val="22"/>
        </w:rPr>
      </w:pPr>
      <w:r w:rsidRPr="00A65B16">
        <w:rPr>
          <w:rFonts w:ascii="Roboto" w:eastAsia="Times New Roman" w:hAnsi="Roboto" w:cs="Times New Roman"/>
          <w:b/>
          <w:sz w:val="22"/>
          <w:szCs w:val="22"/>
        </w:rPr>
        <w:t>Recommendations for Concluding Observations</w:t>
      </w:r>
      <w:r w:rsidRPr="00A65B16">
        <w:rPr>
          <w:rFonts w:ascii="Roboto" w:eastAsia="Times New Roman" w:hAnsi="Roboto" w:cs="Times New Roman"/>
          <w:sz w:val="22"/>
          <w:szCs w:val="22"/>
        </w:rPr>
        <w:t xml:space="preserve">  </w:t>
      </w:r>
    </w:p>
    <w:p w14:paraId="0868C4DC" w14:textId="235A12F0" w:rsidR="0055215C" w:rsidRPr="00A65B16" w:rsidRDefault="00000000" w:rsidP="00235E78">
      <w:pPr>
        <w:numPr>
          <w:ilvl w:val="0"/>
          <w:numId w:val="16"/>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Put an immediate end to persecution of independent sociologists and free politically motivated researchers</w:t>
      </w:r>
      <w:r w:rsidR="004B53F2">
        <w:rPr>
          <w:rFonts w:ascii="Roboto" w:eastAsia="Times New Roman" w:hAnsi="Roboto" w:cs="Times New Roman"/>
          <w:sz w:val="22"/>
          <w:szCs w:val="22"/>
        </w:rPr>
        <w:t>, and ensure a civil society space which allows for private institutes and NGOs to undertake social science research without fear of retaliation;</w:t>
      </w:r>
    </w:p>
    <w:p w14:paraId="3654EC10" w14:textId="77777777" w:rsidR="0055215C" w:rsidRPr="00A65B16" w:rsidRDefault="00000000" w:rsidP="00235E78">
      <w:pPr>
        <w:numPr>
          <w:ilvl w:val="0"/>
          <w:numId w:val="16"/>
        </w:numPr>
        <w:spacing w:after="0"/>
        <w:jc w:val="both"/>
        <w:rPr>
          <w:rFonts w:ascii="Roboto" w:eastAsia="Times New Roman" w:hAnsi="Roboto" w:cs="Times New Roman"/>
          <w:sz w:val="22"/>
          <w:szCs w:val="22"/>
        </w:rPr>
      </w:pPr>
      <w:r w:rsidRPr="00A65B16">
        <w:rPr>
          <w:rFonts w:ascii="Roboto" w:eastAsia="Times New Roman" w:hAnsi="Roboto" w:cs="Times New Roman"/>
          <w:sz w:val="22"/>
          <w:szCs w:val="22"/>
        </w:rPr>
        <w:t>Provide transparent and disaggregated statistical data on the situation of persons with disabilities in the country;</w:t>
      </w:r>
    </w:p>
    <w:p w14:paraId="72F0E7DE" w14:textId="77777777" w:rsidR="0055215C" w:rsidRPr="00A65B16" w:rsidRDefault="00000000" w:rsidP="00235E78">
      <w:pPr>
        <w:numPr>
          <w:ilvl w:val="0"/>
          <w:numId w:val="16"/>
        </w:numPr>
        <w:jc w:val="both"/>
        <w:rPr>
          <w:rFonts w:ascii="Roboto" w:eastAsia="Times New Roman" w:hAnsi="Roboto" w:cs="Times New Roman"/>
          <w:sz w:val="22"/>
          <w:szCs w:val="22"/>
        </w:rPr>
      </w:pPr>
      <w:r w:rsidRPr="00A65B16">
        <w:rPr>
          <w:rFonts w:ascii="Roboto" w:eastAsia="Times New Roman" w:hAnsi="Roboto" w:cs="Times New Roman"/>
          <w:sz w:val="22"/>
          <w:szCs w:val="22"/>
        </w:rPr>
        <w:t>Allow independent research and data collection, including in collaboration with international research bodies.</w:t>
      </w:r>
    </w:p>
    <w:p w14:paraId="1EFC297C" w14:textId="77777777" w:rsidR="0055215C" w:rsidRPr="00A65B16" w:rsidRDefault="0055215C">
      <w:pPr>
        <w:jc w:val="both"/>
        <w:rPr>
          <w:rFonts w:ascii="Roboto" w:eastAsia="Times New Roman" w:hAnsi="Roboto" w:cs="Times New Roman"/>
          <w:sz w:val="22"/>
          <w:szCs w:val="22"/>
        </w:rPr>
      </w:pPr>
    </w:p>
    <w:p w14:paraId="4AD03B02" w14:textId="77777777" w:rsidR="0055215C" w:rsidRPr="00A65B16" w:rsidRDefault="0055215C">
      <w:pPr>
        <w:jc w:val="both"/>
        <w:rPr>
          <w:rFonts w:ascii="Roboto" w:eastAsia="Times New Roman" w:hAnsi="Roboto" w:cs="Times New Roman"/>
          <w:sz w:val="22"/>
          <w:szCs w:val="22"/>
        </w:rPr>
      </w:pPr>
    </w:p>
    <w:p w14:paraId="18597623" w14:textId="77777777" w:rsidR="0055215C" w:rsidRPr="00A65B16" w:rsidRDefault="0055215C">
      <w:pPr>
        <w:jc w:val="both"/>
        <w:rPr>
          <w:rFonts w:ascii="Roboto" w:eastAsia="Times New Roman" w:hAnsi="Roboto" w:cs="Times New Roman"/>
          <w:sz w:val="22"/>
          <w:szCs w:val="22"/>
        </w:rPr>
      </w:pPr>
    </w:p>
    <w:p w14:paraId="0B51B507" w14:textId="77777777" w:rsidR="006B3065" w:rsidRPr="00A65B16" w:rsidRDefault="006B3065">
      <w:pPr>
        <w:jc w:val="both"/>
        <w:rPr>
          <w:rFonts w:ascii="Roboto" w:eastAsia="Times New Roman" w:hAnsi="Roboto" w:cs="Times New Roman"/>
          <w:sz w:val="22"/>
          <w:szCs w:val="22"/>
        </w:rPr>
      </w:pPr>
    </w:p>
    <w:p w14:paraId="091A9804" w14:textId="77777777" w:rsidR="006B3065" w:rsidRPr="00A65B16" w:rsidRDefault="006B3065" w:rsidP="006B3065">
      <w:pPr>
        <w:jc w:val="both"/>
        <w:rPr>
          <w:rFonts w:ascii="Roboto" w:eastAsia="Times New Roman" w:hAnsi="Roboto" w:cs="Times New Roman"/>
          <w:sz w:val="22"/>
          <w:szCs w:val="22"/>
        </w:rPr>
      </w:pPr>
      <w:r w:rsidRPr="00A65B16">
        <w:rPr>
          <w:rFonts w:ascii="Roboto" w:eastAsia="Times New Roman" w:hAnsi="Roboto" w:cs="Times New Roman"/>
          <w:sz w:val="22"/>
          <w:szCs w:val="22"/>
          <w:lang w:val="en-GB"/>
        </w:rPr>
        <w:t> </w:t>
      </w:r>
    </w:p>
    <w:p w14:paraId="3AFB26FD" w14:textId="77777777" w:rsidR="006B3065" w:rsidRPr="00A65B16" w:rsidRDefault="006B3065">
      <w:pPr>
        <w:jc w:val="both"/>
        <w:rPr>
          <w:rFonts w:ascii="Roboto" w:eastAsia="Times New Roman" w:hAnsi="Roboto" w:cs="Times New Roman"/>
          <w:sz w:val="22"/>
          <w:szCs w:val="22"/>
        </w:rPr>
      </w:pPr>
    </w:p>
    <w:sectPr w:rsidR="006B3065" w:rsidRPr="00A65B16">
      <w:footerReference w:type="default" r:id="rId15"/>
      <w:pgSz w:w="11906" w:h="16838"/>
      <w:pgMar w:top="144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12581" w14:textId="77777777" w:rsidR="00C13B28" w:rsidRDefault="00C13B28">
      <w:pPr>
        <w:spacing w:after="0" w:line="240" w:lineRule="auto"/>
      </w:pPr>
      <w:r>
        <w:separator/>
      </w:r>
    </w:p>
  </w:endnote>
  <w:endnote w:type="continuationSeparator" w:id="0">
    <w:p w14:paraId="41F130B9" w14:textId="77777777" w:rsidR="00C13B28" w:rsidRDefault="00C13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embedRegular r:id="rId1" w:fontKey="{344BD48A-4260-2144-92CE-8D4F6D4E6E3B}"/>
  </w:font>
  <w:font w:name="Courier New">
    <w:panose1 w:val="02070309020205020404"/>
    <w:charset w:val="00"/>
    <w:family w:val="modern"/>
    <w:pitch w:val="fixed"/>
    <w:sig w:usb0="E0002EFF" w:usb1="C0007843" w:usb2="00000009" w:usb3="00000000" w:csb0="000001FF" w:csb1="00000000"/>
    <w:embedRegular r:id="rId2" w:fontKey="{1376A02F-4570-6C40-8846-48C542424F37}"/>
  </w:font>
  <w:font w:name="Times New Roman">
    <w:panose1 w:val="02020603050405020304"/>
    <w:charset w:val="00"/>
    <w:family w:val="roman"/>
    <w:pitch w:val="variable"/>
    <w:sig w:usb0="E0002EFF" w:usb1="C000785B" w:usb2="00000009" w:usb3="00000000" w:csb0="000001FF" w:csb1="00000000"/>
    <w:embedRegular r:id="rId3" w:fontKey="{B8A6A095-BC1E-544B-B497-160AA8DAE76B}"/>
    <w:embedBold r:id="rId4" w:fontKey="{D2CCE36E-97AF-9648-9522-6083A3B56C6E}"/>
    <w:embedItalic r:id="rId5" w:fontKey="{E18BC110-BC0E-824A-BFB0-35990838EE99}"/>
    <w:embedBoldItalic r:id="rId6" w:fontKey="{9C922101-E05C-E34D-8183-536B9A04D7B8}"/>
  </w:font>
  <w:font w:name="Symbol">
    <w:panose1 w:val="05050102010706020507"/>
    <w:charset w:val="02"/>
    <w:family w:val="decorative"/>
    <w:pitch w:val="variable"/>
    <w:sig w:usb0="00000000" w:usb1="10000000" w:usb2="00000000" w:usb3="00000000" w:csb0="80000000" w:csb1="00000000"/>
    <w:embedRegular r:id="rId7" w:fontKey="{786E611D-20AC-1E4A-95A9-9EA4F4FE47B7}"/>
  </w:font>
  <w:font w:name="Aptos">
    <w:panose1 w:val="020B0004020202020204"/>
    <w:charset w:val="00"/>
    <w:family w:val="swiss"/>
    <w:pitch w:val="variable"/>
    <w:sig w:usb0="20000287" w:usb1="00000003" w:usb2="00000000" w:usb3="00000000" w:csb0="0000019F" w:csb1="00000000"/>
    <w:embedRegular r:id="rId8" w:fontKey="{6EBB4093-7E57-774D-9C8B-C21B0F3821C2}"/>
    <w:embedBold r:id="rId9" w:fontKey="{0D2D0D70-8F23-9C42-AF49-B10731BA9F7D}"/>
    <w:embedItalic r:id="rId10" w:fontKey="{7D579FEE-D336-244A-939A-0EF0843DDBEB}"/>
    <w:embedBoldItalic r:id="rId11" w:fontKey="{C3BE0375-3956-874D-B7DF-7407DD285886}"/>
  </w:font>
  <w:font w:name="Roboto">
    <w:panose1 w:val="020B0604020202020204"/>
    <w:charset w:val="00"/>
    <w:family w:val="auto"/>
    <w:pitch w:val="variable"/>
    <w:sig w:usb0="E00002FF" w:usb1="5000205B" w:usb2="00000020" w:usb3="00000000" w:csb0="0000019F" w:csb1="00000000"/>
    <w:embedRegular r:id="rId12" w:fontKey="{60CEA52C-DC05-9040-8CDA-78CEB2232218}"/>
    <w:embedBold r:id="rId13" w:fontKey="{E20C66F9-4D4A-7B41-B4CC-2F36CB3FD0ED}"/>
    <w:embedItalic r:id="rId14" w:fontKey="{DDE7779C-69E8-C842-A90B-3C95720171D5}"/>
  </w:font>
  <w:font w:name="Aptos Display">
    <w:panose1 w:val="020B0004020202020204"/>
    <w:charset w:val="00"/>
    <w:family w:val="swiss"/>
    <w:pitch w:val="variable"/>
    <w:sig w:usb0="20000287" w:usb1="00000003" w:usb2="00000000" w:usb3="00000000" w:csb0="0000019F" w:csb1="00000000"/>
    <w:embedRegular r:id="rId15" w:fontKey="{DA848C9D-A196-4246-B168-9A69F7AD7D37}"/>
  </w:font>
  <w:font w:name="Liberation Sans">
    <w:altName w:val="Arial"/>
    <w:panose1 w:val="020B0604020202020204"/>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embedRegular r:id="rId17" w:fontKey="{24B87AAD-A4C3-0D4B-9A2B-871B0CF06564}"/>
    <w:embedItalic r:id="rId18" w:fontKey="{50C81571-8AFE-7C4D-8172-3B97D66F25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62EEF" w14:textId="77777777" w:rsidR="0055215C" w:rsidRDefault="00000000">
    <w:pPr>
      <w:jc w:val="right"/>
    </w:pPr>
    <w:r>
      <w:fldChar w:fldCharType="begin"/>
    </w:r>
    <w:r>
      <w:instrText>PAGE</w:instrText>
    </w:r>
    <w:r>
      <w:fldChar w:fldCharType="separate"/>
    </w:r>
    <w:r w:rsidR="006B306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F7E57" w14:textId="77777777" w:rsidR="00C13B28" w:rsidRDefault="00C13B28">
      <w:pPr>
        <w:spacing w:after="0" w:line="240" w:lineRule="auto"/>
      </w:pPr>
      <w:r>
        <w:separator/>
      </w:r>
    </w:p>
  </w:footnote>
  <w:footnote w:type="continuationSeparator" w:id="0">
    <w:p w14:paraId="7789AF93" w14:textId="77777777" w:rsidR="00C13B28" w:rsidRDefault="00C13B28">
      <w:pPr>
        <w:spacing w:after="0" w:line="240" w:lineRule="auto"/>
      </w:pPr>
      <w:r>
        <w:continuationSeparator/>
      </w:r>
    </w:p>
  </w:footnote>
  <w:footnote w:id="1">
    <w:p w14:paraId="4060DA4A" w14:textId="0ED3B9DD" w:rsidR="00893061" w:rsidRPr="00A65B16" w:rsidRDefault="00893061">
      <w:pPr>
        <w:pStyle w:val="FootnoteText"/>
        <w:rPr>
          <w:rFonts w:ascii="Roboto" w:hAnsi="Roboto"/>
          <w:lang w:val="es-ES"/>
        </w:rPr>
      </w:pPr>
      <w:r w:rsidRPr="00A65B16">
        <w:rPr>
          <w:rStyle w:val="FootnoteReference"/>
          <w:rFonts w:ascii="Roboto" w:hAnsi="Roboto"/>
        </w:rPr>
        <w:footnoteRef/>
      </w:r>
      <w:r w:rsidRPr="00A65B16">
        <w:rPr>
          <w:rFonts w:ascii="Roboto" w:hAnsi="Roboto"/>
        </w:rPr>
        <w:t xml:space="preserve"> </w:t>
      </w:r>
      <w:proofErr w:type="spellStart"/>
      <w:r w:rsidRPr="00A65B16">
        <w:rPr>
          <w:rFonts w:ascii="Roboto" w:hAnsi="Roboto"/>
          <w:lang w:val="es-ES"/>
        </w:rPr>
        <w:t>On</w:t>
      </w:r>
      <w:proofErr w:type="spellEnd"/>
      <w:r w:rsidRPr="00A65B16">
        <w:rPr>
          <w:rFonts w:ascii="Roboto" w:hAnsi="Roboto"/>
          <w:lang w:val="es-ES"/>
        </w:rPr>
        <w:t xml:space="preserve"> </w:t>
      </w:r>
      <w:proofErr w:type="spellStart"/>
      <w:r w:rsidRPr="00A65B16">
        <w:rPr>
          <w:rFonts w:ascii="Roboto" w:hAnsi="Roboto"/>
          <w:lang w:val="es-ES"/>
        </w:rPr>
        <w:t>their</w:t>
      </w:r>
      <w:proofErr w:type="spellEnd"/>
      <w:r w:rsidRPr="00A65B16">
        <w:rPr>
          <w:rFonts w:ascii="Roboto" w:hAnsi="Roboto"/>
          <w:lang w:val="es-ES"/>
        </w:rPr>
        <w:t xml:space="preserve"> </w:t>
      </w:r>
      <w:proofErr w:type="spellStart"/>
      <w:r w:rsidRPr="00A65B16">
        <w:rPr>
          <w:rFonts w:ascii="Roboto" w:hAnsi="Roboto"/>
          <w:lang w:val="es-ES"/>
        </w:rPr>
        <w:t>illegitimacy</w:t>
      </w:r>
      <w:proofErr w:type="spellEnd"/>
      <w:r w:rsidRPr="00A65B16">
        <w:rPr>
          <w:rFonts w:ascii="Roboto" w:hAnsi="Roboto"/>
          <w:lang w:val="es-ES"/>
        </w:rPr>
        <w:t xml:space="preserve">, </w:t>
      </w:r>
      <w:proofErr w:type="spellStart"/>
      <w:r w:rsidRPr="00A65B16">
        <w:rPr>
          <w:rFonts w:ascii="Roboto" w:hAnsi="Roboto"/>
          <w:lang w:val="es-ES"/>
        </w:rPr>
        <w:t>see</w:t>
      </w:r>
      <w:proofErr w:type="spellEnd"/>
      <w:r w:rsidRPr="00A65B16">
        <w:rPr>
          <w:rFonts w:ascii="Roboto" w:hAnsi="Roboto"/>
          <w:lang w:val="es-ES"/>
        </w:rPr>
        <w:t xml:space="preserve"> </w:t>
      </w:r>
      <w:hyperlink r:id="rId1" w:history="1">
        <w:r w:rsidRPr="00A65B16">
          <w:rPr>
            <w:rStyle w:val="Hyperlink"/>
            <w:rFonts w:ascii="Roboto" w:hAnsi="Roboto"/>
            <w:lang w:val="es-ES"/>
          </w:rPr>
          <w:t>https://en.wikipedia.org/wiki/International_reactions_to_the_2020_Belarusian_presidential_election_and_protests</w:t>
        </w:r>
      </w:hyperlink>
      <w:r w:rsidRPr="00A65B16">
        <w:rPr>
          <w:rFonts w:ascii="Roboto" w:hAnsi="Roboto"/>
          <w:lang w:val="es-ES"/>
        </w:rPr>
        <w:t xml:space="preserve"> and </w:t>
      </w:r>
      <w:proofErr w:type="spellStart"/>
      <w:r w:rsidRPr="00A65B16">
        <w:rPr>
          <w:rFonts w:ascii="Roboto" w:hAnsi="Roboto"/>
          <w:lang w:val="es-ES"/>
        </w:rPr>
        <w:t>official</w:t>
      </w:r>
      <w:proofErr w:type="spellEnd"/>
      <w:r w:rsidRPr="00A65B16">
        <w:rPr>
          <w:rFonts w:ascii="Roboto" w:hAnsi="Roboto"/>
          <w:lang w:val="es-ES"/>
        </w:rPr>
        <w:t xml:space="preserve"> </w:t>
      </w:r>
      <w:proofErr w:type="spellStart"/>
      <w:r w:rsidRPr="00A65B16">
        <w:rPr>
          <w:rFonts w:ascii="Roboto" w:hAnsi="Roboto"/>
          <w:lang w:val="es-ES"/>
        </w:rPr>
        <w:t>sources</w:t>
      </w:r>
      <w:proofErr w:type="spellEnd"/>
      <w:r w:rsidRPr="00A65B16">
        <w:rPr>
          <w:rFonts w:ascii="Roboto" w:hAnsi="Roboto"/>
          <w:lang w:val="es-ES"/>
        </w:rPr>
        <w:t xml:space="preserve"> </w:t>
      </w:r>
      <w:proofErr w:type="spellStart"/>
      <w:r w:rsidRPr="00A65B16">
        <w:rPr>
          <w:rFonts w:ascii="Roboto" w:hAnsi="Roboto"/>
          <w:lang w:val="es-ES"/>
        </w:rPr>
        <w:t>cited</w:t>
      </w:r>
      <w:proofErr w:type="spellEnd"/>
      <w:r w:rsidRPr="00A65B16">
        <w:rPr>
          <w:rFonts w:ascii="Roboto" w:hAnsi="Roboto"/>
          <w:lang w:val="es-ES"/>
        </w:rPr>
        <w:t xml:space="preserve"> in </w:t>
      </w:r>
      <w:proofErr w:type="spellStart"/>
      <w:r w:rsidRPr="00A65B16">
        <w:rPr>
          <w:rFonts w:ascii="Roboto" w:hAnsi="Roboto"/>
          <w:lang w:val="es-ES"/>
        </w:rPr>
        <w:t>that</w:t>
      </w:r>
      <w:proofErr w:type="spellEnd"/>
      <w:r w:rsidRPr="00A65B16">
        <w:rPr>
          <w:rFonts w:ascii="Roboto" w:hAnsi="Roboto"/>
          <w:lang w:val="es-ES"/>
        </w:rPr>
        <w:t xml:space="preserve"> </w:t>
      </w:r>
      <w:proofErr w:type="spellStart"/>
      <w:r w:rsidRPr="00A65B16">
        <w:rPr>
          <w:rFonts w:ascii="Roboto" w:hAnsi="Roboto"/>
          <w:lang w:val="es-ES"/>
        </w:rPr>
        <w:t>article</w:t>
      </w:r>
      <w:proofErr w:type="spellEnd"/>
      <w:r w:rsidRPr="00A65B16">
        <w:rPr>
          <w:rFonts w:ascii="Roboto" w:hAnsi="Roboto"/>
          <w:lang w:val="es-ES"/>
        </w:rPr>
        <w:t xml:space="preserve">. </w:t>
      </w:r>
    </w:p>
  </w:footnote>
  <w:footnote w:id="2">
    <w:p w14:paraId="3A06A9DB" w14:textId="77777777" w:rsidR="0055215C" w:rsidRPr="00A65B16" w:rsidRDefault="00000000">
      <w:pPr>
        <w:spacing w:after="0" w:line="240" w:lineRule="auto"/>
        <w:rPr>
          <w:rFonts w:ascii="Roboto" w:hAnsi="Roboto"/>
          <w:sz w:val="20"/>
          <w:szCs w:val="20"/>
        </w:rPr>
      </w:pPr>
      <w:r w:rsidRPr="00A65B16">
        <w:rPr>
          <w:rFonts w:ascii="Roboto" w:hAnsi="Roboto"/>
          <w:vertAlign w:val="superscript"/>
        </w:rPr>
        <w:footnoteRef/>
      </w:r>
      <w:hyperlink r:id="rId2">
        <w:r w:rsidRPr="00A65B16">
          <w:rPr>
            <w:rFonts w:ascii="Roboto" w:hAnsi="Roboto"/>
            <w:color w:val="1155CC"/>
            <w:sz w:val="20"/>
            <w:szCs w:val="20"/>
            <w:u w:val="single"/>
          </w:rPr>
          <w:t>https://belsat.eu/ru/news/07-06-2022-mozhno-posadit-cheloveka-no-nelzya-posadit-ego-idei-kto-takaya-sotsiolog-tatyana-vodolazhskaya</w:t>
        </w:r>
      </w:hyperlink>
      <w:r w:rsidRPr="00A65B16">
        <w:rPr>
          <w:rFonts w:ascii="Roboto" w:hAnsi="Roboto"/>
          <w:sz w:val="20"/>
          <w:szCs w:val="20"/>
        </w:rPr>
        <w:t xml:space="preserve">; </w:t>
      </w:r>
      <w:hyperlink r:id="rId3">
        <w:r w:rsidRPr="00A65B16">
          <w:rPr>
            <w:rFonts w:ascii="Roboto" w:hAnsi="Roboto"/>
            <w:color w:val="1155CC"/>
            <w:sz w:val="20"/>
            <w:szCs w:val="20"/>
            <w:u w:val="single"/>
          </w:rPr>
          <w:t>https://prisoners.spring96.org/ru/person/taccjana-kuzina</w:t>
        </w:r>
      </w:hyperlink>
      <w:r w:rsidRPr="00A65B16">
        <w:rPr>
          <w:rFonts w:ascii="Roboto" w:hAnsi="Roboto"/>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772F"/>
    <w:multiLevelType w:val="multilevel"/>
    <w:tmpl w:val="12E2B1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330B20"/>
    <w:multiLevelType w:val="multilevel"/>
    <w:tmpl w:val="11FC57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E855D9"/>
    <w:multiLevelType w:val="multilevel"/>
    <w:tmpl w:val="4336D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F423D4"/>
    <w:multiLevelType w:val="multilevel"/>
    <w:tmpl w:val="79181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B30580"/>
    <w:multiLevelType w:val="multilevel"/>
    <w:tmpl w:val="69626F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0B7DFB"/>
    <w:multiLevelType w:val="multilevel"/>
    <w:tmpl w:val="BDDAE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B4600C"/>
    <w:multiLevelType w:val="multilevel"/>
    <w:tmpl w:val="F0ACA2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11C364B"/>
    <w:multiLevelType w:val="multilevel"/>
    <w:tmpl w:val="4DC60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5C6F59"/>
    <w:multiLevelType w:val="multilevel"/>
    <w:tmpl w:val="054A24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BF038B5"/>
    <w:multiLevelType w:val="multilevel"/>
    <w:tmpl w:val="8412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BC6315"/>
    <w:multiLevelType w:val="multilevel"/>
    <w:tmpl w:val="F3D62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7014731"/>
    <w:multiLevelType w:val="multilevel"/>
    <w:tmpl w:val="B59238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7DB70C2"/>
    <w:multiLevelType w:val="multilevel"/>
    <w:tmpl w:val="139002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F123193"/>
    <w:multiLevelType w:val="multilevel"/>
    <w:tmpl w:val="2A80C7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4882FFC"/>
    <w:multiLevelType w:val="multilevel"/>
    <w:tmpl w:val="4594B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7EB1C7D"/>
    <w:multiLevelType w:val="multilevel"/>
    <w:tmpl w:val="2A44C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8BB3D15"/>
    <w:multiLevelType w:val="multilevel"/>
    <w:tmpl w:val="42562B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8C24B7C"/>
    <w:multiLevelType w:val="multilevel"/>
    <w:tmpl w:val="0C4C2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25B1506"/>
    <w:multiLevelType w:val="multilevel"/>
    <w:tmpl w:val="7BA61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834F1A"/>
    <w:multiLevelType w:val="multilevel"/>
    <w:tmpl w:val="DA0E0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9678223">
    <w:abstractNumId w:val="0"/>
  </w:num>
  <w:num w:numId="2" w16cid:durableId="1688406483">
    <w:abstractNumId w:val="11"/>
  </w:num>
  <w:num w:numId="3" w16cid:durableId="199516492">
    <w:abstractNumId w:val="10"/>
  </w:num>
  <w:num w:numId="4" w16cid:durableId="1488133420">
    <w:abstractNumId w:val="14"/>
  </w:num>
  <w:num w:numId="5" w16cid:durableId="2062825042">
    <w:abstractNumId w:val="13"/>
  </w:num>
  <w:num w:numId="6" w16cid:durableId="1275287790">
    <w:abstractNumId w:val="6"/>
  </w:num>
  <w:num w:numId="7" w16cid:durableId="130907183">
    <w:abstractNumId w:val="8"/>
  </w:num>
  <w:num w:numId="8" w16cid:durableId="1530684211">
    <w:abstractNumId w:val="7"/>
  </w:num>
  <w:num w:numId="9" w16cid:durableId="1593120739">
    <w:abstractNumId w:val="18"/>
  </w:num>
  <w:num w:numId="10" w16cid:durableId="252592408">
    <w:abstractNumId w:val="3"/>
  </w:num>
  <w:num w:numId="11" w16cid:durableId="28386373">
    <w:abstractNumId w:val="16"/>
  </w:num>
  <w:num w:numId="12" w16cid:durableId="746194508">
    <w:abstractNumId w:val="1"/>
  </w:num>
  <w:num w:numId="13" w16cid:durableId="1586110279">
    <w:abstractNumId w:val="2"/>
  </w:num>
  <w:num w:numId="14" w16cid:durableId="1912544582">
    <w:abstractNumId w:val="19"/>
  </w:num>
  <w:num w:numId="15" w16cid:durableId="1408260285">
    <w:abstractNumId w:val="15"/>
  </w:num>
  <w:num w:numId="16" w16cid:durableId="1210921116">
    <w:abstractNumId w:val="17"/>
  </w:num>
  <w:num w:numId="17" w16cid:durableId="457845804">
    <w:abstractNumId w:val="12"/>
  </w:num>
  <w:num w:numId="18" w16cid:durableId="1614944980">
    <w:abstractNumId w:val="4"/>
  </w:num>
  <w:num w:numId="19" w16cid:durableId="1830709061">
    <w:abstractNumId w:val="5"/>
  </w:num>
  <w:num w:numId="20" w16cid:durableId="2128230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15C"/>
    <w:rsid w:val="00067A15"/>
    <w:rsid w:val="00235E78"/>
    <w:rsid w:val="002528A1"/>
    <w:rsid w:val="003B44CA"/>
    <w:rsid w:val="004B53F2"/>
    <w:rsid w:val="0055215C"/>
    <w:rsid w:val="006B3065"/>
    <w:rsid w:val="0084721C"/>
    <w:rsid w:val="00893061"/>
    <w:rsid w:val="00A62E95"/>
    <w:rsid w:val="00A65B16"/>
    <w:rsid w:val="00B64628"/>
    <w:rsid w:val="00C13B28"/>
    <w:rsid w:val="00C706B0"/>
    <w:rsid w:val="00D229E7"/>
    <w:rsid w:val="00F929B3"/>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570E6168"/>
  <w15:docId w15:val="{39D516E2-FDF6-374C-B55D-6602B112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CH" w:eastAsia="en-GB"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B16"/>
    <w:pPr>
      <w:keepNext/>
      <w:keepLines/>
      <w:spacing w:before="360" w:after="80"/>
      <w:outlineLvl w:val="0"/>
    </w:pPr>
    <w:rPr>
      <w:rFonts w:ascii="Roboto" w:eastAsia="Times New Roman" w:hAnsi="Roboto" w:cstheme="majorBidi"/>
      <w:color w:val="215E99" w:themeColor="text2" w:themeTint="BF"/>
      <w:sz w:val="32"/>
      <w:szCs w:val="32"/>
    </w:rPr>
  </w:style>
  <w:style w:type="paragraph" w:styleId="Heading2">
    <w:name w:val="heading 2"/>
    <w:basedOn w:val="Normal"/>
    <w:next w:val="Normal"/>
    <w:link w:val="Heading2Char"/>
    <w:uiPriority w:val="9"/>
    <w:semiHidden/>
    <w:unhideWhenUsed/>
    <w:qFormat/>
    <w:rsid w:val="00E72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8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8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8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8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8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8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8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28F0"/>
    <w:pPr>
      <w:spacing w:after="80" w:line="240" w:lineRule="auto"/>
      <w:contextualSpacing/>
    </w:pPr>
    <w:rPr>
      <w:rFonts w:asciiTheme="majorHAnsi" w:eastAsiaTheme="majorEastAsia" w:hAnsiTheme="majorHAnsi" w:cstheme="majorBidi"/>
      <w:spacing w:val="-10"/>
      <w:sz w:val="56"/>
      <w:szCs w:val="56"/>
    </w:rPr>
  </w:style>
  <w:style w:type="character" w:customStyle="1" w:styleId="Heading1Char">
    <w:name w:val="Heading 1 Char"/>
    <w:basedOn w:val="DefaultParagraphFont"/>
    <w:link w:val="Heading1"/>
    <w:uiPriority w:val="9"/>
    <w:qFormat/>
    <w:rsid w:val="00A65B16"/>
    <w:rPr>
      <w:rFonts w:ascii="Roboto" w:eastAsia="Times New Roman" w:hAnsi="Roboto" w:cstheme="majorBidi"/>
      <w:color w:val="215E99" w:themeColor="text2" w:themeTint="BF"/>
      <w:sz w:val="32"/>
      <w:szCs w:val="32"/>
    </w:rPr>
  </w:style>
  <w:style w:type="character" w:customStyle="1" w:styleId="Heading2Char">
    <w:name w:val="Heading 2 Char"/>
    <w:basedOn w:val="DefaultParagraphFont"/>
    <w:link w:val="Heading2"/>
    <w:uiPriority w:val="9"/>
    <w:qFormat/>
    <w:rsid w:val="00E728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E728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E728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E728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E728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E728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E728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E728F0"/>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E728F0"/>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E728F0"/>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E728F0"/>
    <w:rPr>
      <w:i/>
      <w:iCs/>
      <w:color w:val="404040" w:themeColor="text1" w:themeTint="BF"/>
    </w:rPr>
  </w:style>
  <w:style w:type="character" w:styleId="IntenseEmphasis">
    <w:name w:val="Intense Emphasis"/>
    <w:basedOn w:val="DefaultParagraphFont"/>
    <w:uiPriority w:val="21"/>
    <w:qFormat/>
    <w:rsid w:val="00E728F0"/>
    <w:rPr>
      <w:i/>
      <w:iCs/>
      <w:color w:val="0F4761" w:themeColor="accent1" w:themeShade="BF"/>
    </w:rPr>
  </w:style>
  <w:style w:type="character" w:customStyle="1" w:styleId="IntenseQuoteChar">
    <w:name w:val="Intense Quote Char"/>
    <w:basedOn w:val="DefaultParagraphFont"/>
    <w:link w:val="IntenseQuote"/>
    <w:uiPriority w:val="30"/>
    <w:qFormat/>
    <w:rsid w:val="00E728F0"/>
    <w:rPr>
      <w:i/>
      <w:iCs/>
      <w:color w:val="0F4761" w:themeColor="accent1" w:themeShade="BF"/>
    </w:rPr>
  </w:style>
  <w:style w:type="character" w:styleId="IntenseReference">
    <w:name w:val="Intense Reference"/>
    <w:basedOn w:val="DefaultParagraphFont"/>
    <w:uiPriority w:val="32"/>
    <w:qFormat/>
    <w:rsid w:val="00E728F0"/>
    <w:rPr>
      <w:b/>
      <w:bCs/>
      <w:smallCaps/>
      <w:color w:val="0F4761" w:themeColor="accent1" w:themeShade="BF"/>
      <w:spacing w:val="5"/>
    </w:rPr>
  </w:style>
  <w:style w:type="paragraph" w:customStyle="1" w:styleId="a">
    <w:name w:val="Заголовок"/>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a0">
    <w:name w:val="Указатель"/>
    <w:basedOn w:val="Normal"/>
    <w:qFormat/>
    <w:pPr>
      <w:suppressLineNumbers/>
    </w:pPr>
    <w:rPr>
      <w:rFonts w:cs="Lucida Sans"/>
    </w:rPr>
  </w:style>
  <w:style w:type="paragraph" w:styleId="Subtitle">
    <w:name w:val="Subtitle"/>
    <w:basedOn w:val="Normal"/>
    <w:next w:val="Normal"/>
    <w:link w:val="SubtitleChar"/>
    <w:uiPriority w:val="11"/>
    <w:qFormat/>
    <w:rPr>
      <w:color w:val="595959"/>
      <w:sz w:val="28"/>
      <w:szCs w:val="28"/>
    </w:rPr>
  </w:style>
  <w:style w:type="paragraph" w:styleId="Quote">
    <w:name w:val="Quote"/>
    <w:basedOn w:val="Normal"/>
    <w:next w:val="Normal"/>
    <w:link w:val="QuoteChar"/>
    <w:uiPriority w:val="29"/>
    <w:qFormat/>
    <w:rsid w:val="00E728F0"/>
    <w:pPr>
      <w:spacing w:before="160"/>
      <w:jc w:val="center"/>
    </w:pPr>
    <w:rPr>
      <w:i/>
      <w:iCs/>
      <w:color w:val="404040" w:themeColor="text1" w:themeTint="BF"/>
    </w:rPr>
  </w:style>
  <w:style w:type="paragraph" w:styleId="ListParagraph">
    <w:name w:val="List Paragraph"/>
    <w:basedOn w:val="Normal"/>
    <w:uiPriority w:val="34"/>
    <w:qFormat/>
    <w:rsid w:val="00E728F0"/>
    <w:pPr>
      <w:ind w:left="720"/>
      <w:contextualSpacing/>
    </w:pPr>
  </w:style>
  <w:style w:type="paragraph" w:styleId="IntenseQuote">
    <w:name w:val="Intense Quote"/>
    <w:basedOn w:val="Normal"/>
    <w:next w:val="Normal"/>
    <w:link w:val="IntenseQuoteChar"/>
    <w:uiPriority w:val="30"/>
    <w:qFormat/>
    <w:rsid w:val="00E728F0"/>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Revision">
    <w:name w:val="Revision"/>
    <w:hidden/>
    <w:uiPriority w:val="99"/>
    <w:semiHidden/>
    <w:rsid w:val="002847C0"/>
  </w:style>
  <w:style w:type="character" w:styleId="CommentReference">
    <w:name w:val="annotation reference"/>
    <w:basedOn w:val="DefaultParagraphFont"/>
    <w:uiPriority w:val="99"/>
    <w:semiHidden/>
    <w:unhideWhenUsed/>
    <w:rsid w:val="00032B6C"/>
    <w:rPr>
      <w:sz w:val="16"/>
      <w:szCs w:val="16"/>
    </w:rPr>
  </w:style>
  <w:style w:type="paragraph" w:styleId="CommentText">
    <w:name w:val="annotation text"/>
    <w:basedOn w:val="Normal"/>
    <w:link w:val="CommentTextChar"/>
    <w:uiPriority w:val="99"/>
    <w:unhideWhenUsed/>
    <w:rsid w:val="00032B6C"/>
    <w:pPr>
      <w:spacing w:line="240" w:lineRule="auto"/>
    </w:pPr>
    <w:rPr>
      <w:sz w:val="20"/>
      <w:szCs w:val="20"/>
    </w:rPr>
  </w:style>
  <w:style w:type="character" w:customStyle="1" w:styleId="CommentTextChar">
    <w:name w:val="Comment Text Char"/>
    <w:basedOn w:val="DefaultParagraphFont"/>
    <w:link w:val="CommentText"/>
    <w:uiPriority w:val="99"/>
    <w:rsid w:val="00032B6C"/>
    <w:rPr>
      <w:sz w:val="20"/>
      <w:szCs w:val="20"/>
    </w:rPr>
  </w:style>
  <w:style w:type="paragraph" w:styleId="CommentSubject">
    <w:name w:val="annotation subject"/>
    <w:basedOn w:val="CommentText"/>
    <w:next w:val="CommentText"/>
    <w:link w:val="CommentSubjectChar"/>
    <w:uiPriority w:val="99"/>
    <w:semiHidden/>
    <w:unhideWhenUsed/>
    <w:rsid w:val="00032B6C"/>
    <w:rPr>
      <w:b/>
      <w:bCs/>
    </w:rPr>
  </w:style>
  <w:style w:type="character" w:customStyle="1" w:styleId="CommentSubjectChar">
    <w:name w:val="Comment Subject Char"/>
    <w:basedOn w:val="CommentTextChar"/>
    <w:link w:val="CommentSubject"/>
    <w:uiPriority w:val="99"/>
    <w:semiHidden/>
    <w:rsid w:val="00032B6C"/>
    <w:rPr>
      <w:b/>
      <w:bCs/>
      <w:sz w:val="20"/>
      <w:szCs w:val="20"/>
    </w:rPr>
  </w:style>
  <w:style w:type="paragraph" w:customStyle="1" w:styleId="H23G">
    <w:name w:val="_ H_2/3_G"/>
    <w:basedOn w:val="Normal"/>
    <w:next w:val="Normal"/>
    <w:qFormat/>
    <w:rsid w:val="00967278"/>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ru-RU" w:eastAsia="ru-RU"/>
    </w:rPr>
  </w:style>
  <w:style w:type="character" w:customStyle="1" w:styleId="SingleTxtGChar">
    <w:name w:val="_ Single Txt_G Char"/>
    <w:basedOn w:val="DefaultParagraphFont"/>
    <w:link w:val="SingleTxtG"/>
    <w:locked/>
    <w:rsid w:val="00967278"/>
    <w:rPr>
      <w:lang w:val="ru-RU"/>
    </w:rPr>
  </w:style>
  <w:style w:type="paragraph" w:customStyle="1" w:styleId="SingleTxtG">
    <w:name w:val="_ Single Txt_G"/>
    <w:basedOn w:val="Normal"/>
    <w:link w:val="SingleTxtGChar"/>
    <w:qFormat/>
    <w:rsid w:val="00967278"/>
    <w:pPr>
      <w:tabs>
        <w:tab w:val="left" w:pos="1701"/>
        <w:tab w:val="left" w:pos="2268"/>
        <w:tab w:val="left" w:pos="2835"/>
      </w:tabs>
      <w:suppressAutoHyphens/>
      <w:spacing w:after="120" w:line="240" w:lineRule="atLeast"/>
      <w:ind w:left="1134" w:right="1134"/>
      <w:jc w:val="both"/>
    </w:pPr>
    <w:rPr>
      <w:lang w:val="ru-RU"/>
    </w:r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8930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3061"/>
    <w:rPr>
      <w:sz w:val="20"/>
      <w:szCs w:val="20"/>
    </w:rPr>
  </w:style>
  <w:style w:type="character" w:styleId="FootnoteReference">
    <w:name w:val="footnote reference"/>
    <w:basedOn w:val="DefaultParagraphFont"/>
    <w:uiPriority w:val="99"/>
    <w:semiHidden/>
    <w:unhideWhenUsed/>
    <w:rsid w:val="00893061"/>
    <w:rPr>
      <w:vertAlign w:val="superscript"/>
    </w:rPr>
  </w:style>
  <w:style w:type="character" w:styleId="Hyperlink">
    <w:name w:val="Hyperlink"/>
    <w:basedOn w:val="DefaultParagraphFont"/>
    <w:uiPriority w:val="99"/>
    <w:unhideWhenUsed/>
    <w:rsid w:val="00893061"/>
    <w:rPr>
      <w:color w:val="467886" w:themeColor="hyperlink"/>
      <w:u w:val="single"/>
    </w:rPr>
  </w:style>
  <w:style w:type="character" w:styleId="UnresolvedMention">
    <w:name w:val="Unresolved Mention"/>
    <w:basedOn w:val="DefaultParagraphFont"/>
    <w:uiPriority w:val="99"/>
    <w:semiHidden/>
    <w:unhideWhenUsed/>
    <w:rsid w:val="00893061"/>
    <w:rPr>
      <w:color w:val="605E5C"/>
      <w:shd w:val="clear" w:color="auto" w:fill="E1DFDD"/>
    </w:rPr>
  </w:style>
  <w:style w:type="paragraph" w:styleId="TOC1">
    <w:name w:val="toc 1"/>
    <w:basedOn w:val="Normal"/>
    <w:next w:val="Normal"/>
    <w:autoRedefine/>
    <w:uiPriority w:val="39"/>
    <w:unhideWhenUsed/>
    <w:rsid w:val="00C706B0"/>
    <w:pPr>
      <w:spacing w:before="120" w:after="0"/>
    </w:pPr>
    <w:rPr>
      <w:rFonts w:asciiTheme="minorHAnsi" w:hAnsiTheme="minorHAnsi"/>
      <w:b/>
      <w:bCs/>
      <w:i/>
      <w:iCs/>
    </w:rPr>
  </w:style>
  <w:style w:type="paragraph" w:styleId="TOC2">
    <w:name w:val="toc 2"/>
    <w:basedOn w:val="Normal"/>
    <w:next w:val="Normal"/>
    <w:autoRedefine/>
    <w:uiPriority w:val="39"/>
    <w:unhideWhenUsed/>
    <w:rsid w:val="00C706B0"/>
    <w:pPr>
      <w:spacing w:before="120" w:after="0"/>
      <w:ind w:left="240"/>
    </w:pPr>
    <w:rPr>
      <w:rFonts w:asciiTheme="minorHAnsi" w:hAnsiTheme="minorHAnsi"/>
      <w:b/>
      <w:bCs/>
      <w:sz w:val="22"/>
      <w:szCs w:val="22"/>
    </w:rPr>
  </w:style>
  <w:style w:type="paragraph" w:styleId="TOC3">
    <w:name w:val="toc 3"/>
    <w:basedOn w:val="Normal"/>
    <w:next w:val="Normal"/>
    <w:autoRedefine/>
    <w:uiPriority w:val="39"/>
    <w:unhideWhenUsed/>
    <w:rsid w:val="00C706B0"/>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C706B0"/>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C706B0"/>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C706B0"/>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C706B0"/>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C706B0"/>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C706B0"/>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207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awtrend.org/english" TargetMode="External"/><Relationship Id="rId13" Type="http://schemas.openxmlformats.org/officeDocument/2006/relationships/hyperlink" Target="https://edu.gov.b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pcommreports.ohchr.org/TMResultsBase/DownLoadPublicCommunicationFile?gId=2888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ring96.or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elhelcom.org/en" TargetMode="External"/><Relationship Id="rId4" Type="http://schemas.openxmlformats.org/officeDocument/2006/relationships/settings" Target="settings.xml"/><Relationship Id="rId9" Type="http://schemas.openxmlformats.org/officeDocument/2006/relationships/hyperlink" Target="http://levania.by/ru/%d0%bd%d0%be%d0%b2%d0%be%d1%81%d1%82%d0%b8/" TargetMode="External"/><Relationship Id="rId14" Type="http://schemas.openxmlformats.org/officeDocument/2006/relationships/hyperlink" Target="https://mintrud.gov.by"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https://prisoners.spring96.org/ru/person/taccjana-kuzina" TargetMode="External"/><Relationship Id="rId2" Type="http://schemas.openxmlformats.org/officeDocument/2006/relationships/hyperlink" Target="https://belsat.eu/ru/news/07-06-2022-mozhno-posadit-cheloveka-no-nelzya-posadit-ego-idei-kto-takaya-sotsiolog-tatyana-vodolazhskaya" TargetMode="External"/><Relationship Id="rId1" Type="http://schemas.openxmlformats.org/officeDocument/2006/relationships/hyperlink" Target="https://en.wikipedia.org/wiki/International_reactions_to_the_2020_Belarusian_presidential_election_and_pro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X3X5I9mcYboDaWFjuKmFOuKcxA==">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17</Pages>
  <Words>6963</Words>
  <Characters>39690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Alexey Konstantinov</dc:creator>
  <cp:lastModifiedBy>Juan Ignacio Perez Bello</cp:lastModifiedBy>
  <cp:revision>13</cp:revision>
  <dcterms:created xsi:type="dcterms:W3CDTF">2024-05-21T14:42:00Z</dcterms:created>
  <dcterms:modified xsi:type="dcterms:W3CDTF">2024-07-10T12:56:00Z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lpwstr>0</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ScaleCrop">
    <vt:lpwstr>false</vt:lpwstr>
  </property>
  <property fmtid="{D5CDD505-2E9C-101B-9397-08002B2CF9AE}" pid="7" name="ShareDoc">
    <vt:lpwstr>false</vt:lpwstr>
  </property>
</Properties>
</file>