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CA596" w14:textId="1E7A218E" w:rsidR="00D24381" w:rsidRPr="00EC63C7" w:rsidRDefault="00D24381" w:rsidP="00D24381">
      <w:pPr>
        <w:pStyle w:val="Header"/>
        <w:tabs>
          <w:tab w:val="left" w:pos="720"/>
        </w:tabs>
        <w:jc w:val="both"/>
        <w:rPr>
          <w:rFonts w:ascii="Times New Roman" w:hAnsi="Times New Roman"/>
          <w:b/>
          <w:color w:val="000000" w:themeColor="text1"/>
          <w:u w:val="single"/>
          <w:lang w:val="hr-HR"/>
        </w:rPr>
      </w:pPr>
      <w:r>
        <w:rPr>
          <w:rFonts w:ascii="Times New Roman" w:hAnsi="Times New Roman"/>
          <w:bCs/>
          <w:color w:val="000000" w:themeColor="text1"/>
        </w:rPr>
        <w:t xml:space="preserve"> </w:t>
      </w:r>
      <w:r w:rsidR="000B77A6">
        <w:rPr>
          <w:rFonts w:ascii="Times New Roman" w:hAnsi="Times New Roman"/>
          <w:b/>
          <w:color w:val="000000" w:themeColor="text1"/>
          <w:u w:val="single"/>
        </w:rPr>
        <w:t>Appendix</w:t>
      </w:r>
      <w:r w:rsidRPr="00EC63C7">
        <w:rPr>
          <w:rFonts w:ascii="Times New Roman" w:hAnsi="Times New Roman"/>
          <w:b/>
          <w:color w:val="000000" w:themeColor="text1"/>
          <w:u w:val="single"/>
        </w:rPr>
        <w:t xml:space="preserve"> 3.</w:t>
      </w:r>
      <w:r w:rsidR="00906B4D" w:rsidRPr="00906B4D">
        <w:t xml:space="preserve"> </w:t>
      </w:r>
      <w:r w:rsidR="00906B4D" w:rsidRPr="00906B4D">
        <w:rPr>
          <w:rFonts w:ascii="Times New Roman" w:hAnsi="Times New Roman"/>
          <w:b/>
          <w:color w:val="000000" w:themeColor="text1"/>
          <w:u w:val="single"/>
        </w:rPr>
        <w:t xml:space="preserve">The answer of the </w:t>
      </w:r>
      <w:proofErr w:type="spellStart"/>
      <w:r w:rsidR="00906B4D" w:rsidRPr="00906B4D">
        <w:rPr>
          <w:rFonts w:ascii="Times New Roman" w:hAnsi="Times New Roman"/>
          <w:b/>
          <w:color w:val="000000" w:themeColor="text1"/>
          <w:u w:val="single"/>
        </w:rPr>
        <w:t>Republi</w:t>
      </w:r>
      <w:r w:rsidR="00906B4D">
        <w:rPr>
          <w:rFonts w:ascii="Times New Roman" w:hAnsi="Times New Roman"/>
          <w:b/>
          <w:color w:val="000000" w:themeColor="text1"/>
          <w:u w:val="single"/>
        </w:rPr>
        <w:t>ka</w:t>
      </w:r>
      <w:proofErr w:type="spellEnd"/>
      <w:r w:rsidR="00906B4D" w:rsidRPr="00906B4D">
        <w:rPr>
          <w:rFonts w:ascii="Times New Roman" w:hAnsi="Times New Roman"/>
          <w:b/>
          <w:color w:val="000000" w:themeColor="text1"/>
          <w:u w:val="single"/>
        </w:rPr>
        <w:t xml:space="preserve"> of Srpska</w:t>
      </w:r>
      <w:r w:rsidRPr="00EC63C7">
        <w:rPr>
          <w:rFonts w:ascii="Times New Roman" w:hAnsi="Times New Roman"/>
          <w:b/>
          <w:color w:val="000000" w:themeColor="text1"/>
          <w:u w:val="single"/>
        </w:rPr>
        <w:t xml:space="preserve"> </w:t>
      </w:r>
    </w:p>
    <w:p w14:paraId="2B686D53" w14:textId="3F10662D"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Article 145 Trafficking in human beings reads:</w:t>
      </w:r>
    </w:p>
    <w:p w14:paraId="6036CE76"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(1) Whoever, by force, threat or other forms of coercion, kidnapping, fraud or deception, abuse of authority or influence, relationship of trust, dependence or helplessness, difficult circumstances of another person, giving or receiving money or other benefits in order to obtain the consent of a person who has control over another person, recruits, transports, transfers, surrenders, sells, buys, mediates in the sale, hides, receives or holds another person,  and for the purpose of exploitation or exploitation of his work, committing a criminal offense, prostitution, use for pornographic purposes, or other form of sexual exploitation, forcing to beg, serve, establish a slave or other similar relationship, forced marriage, forced sterilization, for the purpose of taking organs or parts of the body, for use in the armed forces or other forms of exploitation, shall be punished by imprisonment for a term of three to twenty years.</w:t>
      </w:r>
    </w:p>
    <w:p w14:paraId="319B5F62"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(2) Whoever confiscates, retains, forges or destroys personal identification documents for the purpose of committing the offences referred to in paragraph 1 of this Article, shall be punished by imprisonment for a term of two to twelve years.</w:t>
      </w:r>
    </w:p>
    <w:p w14:paraId="30A6F643"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(3) If the work referred to in Art. 1 and 2 of this Article committed as part of an organized criminal group, the perpetrator shall be punished by imprisonment for a term of five to twenty years.</w:t>
      </w:r>
    </w:p>
    <w:p w14:paraId="10424302"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(4) Whoever uses or enables another to use sexual services or other forms of exploitation, and was aware that he or she is a victim of human trafficking, shall be punished by imprisonment for a term of six months to five years.</w:t>
      </w:r>
    </w:p>
    <w:p w14:paraId="59114EF6"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(5) If the work referred to in para. 1, 2, 3 and 4 of this Article shall be executed by an official in the performance of his or her duties, shall be punished by imprisonment for at least eight years.</w:t>
      </w:r>
    </w:p>
    <w:p w14:paraId="080F05CB"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(6) If the work of St. 1 and 3 of this Article, serious bodily injury, serious damage to health or death of one or more persons, the perpetrator shall be punished by imprisonment for at least ten years.</w:t>
      </w:r>
    </w:p>
    <w:p w14:paraId="435DE8BB"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(7) The victim's consent to any form of exploitation referred to in paragraph 1 of this Article shall not affect the existence of the criminal offence of trafficking in human beings.</w:t>
      </w:r>
    </w:p>
    <w:p w14:paraId="04B61951"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(8) Objects, means of transport and facilities used for the execution of the acts referred to in this Article shall be confiscated.</w:t>
      </w:r>
    </w:p>
    <w:p w14:paraId="58F5E18F"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(9) No criminal proceedings shall be conducted against a victim of trafficking in human beings who has been forced by the perpetrator of a criminal offence to participate in the commission of another criminal offence if such treatment was a direct consequence of his or her status as a victim of trafficking in human beings.</w:t>
      </w:r>
    </w:p>
    <w:p w14:paraId="6BDB206F"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p>
    <w:p w14:paraId="50783B55"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Regarding the recommendation for the need to criminalize the sale of children, we emphasize that the aforementioned Criminal Code prescribes the criminal offense of Child Trafficking in Article 146 of the Criminal Code. Child trafficking which reads:</w:t>
      </w:r>
    </w:p>
    <w:p w14:paraId="2F891335"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p>
    <w:p w14:paraId="38B29E3D"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 xml:space="preserve"> (1) Whoever recruits, transports, transfers, handed over, sells, buys, mediates in the sale, hides, holds or accepts a child for the purpose of exploitation or exploitation of his or her labor, committing a criminal offense, prostitution or other forms of sexual exploitation, pornography, forcing him to beg, serve, establish a slave or similar relationship, forced marriage, forced sterilization, illegal adoption or similar relationship, for the purpose of taking away organs or parts of the body,  For use in the armed forces or other forms of exploitation, shall be punished by imprisonment for a term of five to twenty years.</w:t>
      </w:r>
    </w:p>
    <w:p w14:paraId="376D56AA"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 xml:space="preserve">(2) Whoever commits the act referred to in paragraph 1 of this Article by the use of force, serious threat or other forms of coercion, misleading, kidnapping, blackmail, abuse of his position, authority or influence, relationship of trust, dependence or helplessness, difficult </w:t>
      </w:r>
      <w:r w:rsidRPr="00D24381">
        <w:rPr>
          <w:rFonts w:ascii="Times New Roman" w:hAnsi="Times New Roman"/>
          <w:bCs/>
          <w:color w:val="000000" w:themeColor="text1"/>
        </w:rPr>
        <w:lastRenderedPageBreak/>
        <w:t>circumstances of another, giving money or other benefit in order to obtain the consent of a person who has control over another person, shall be punished by imprisonment for at least eight years.</w:t>
      </w:r>
    </w:p>
    <w:p w14:paraId="78A27CB0"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(3) Whoever uses or enables another to use sexual services or other forms of exploitation of a child, and was aware that he or she is a victim of human trafficking, shall be punished by imprisonment for a term of five to twenty years.</w:t>
      </w:r>
    </w:p>
    <w:p w14:paraId="0C967057"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(4) Whoever confiscates, retains, falsifies or destroys personal identification documents for the purpose of committing the acts referred to in paragraph 4 of the Criminal Code. 1 and 2 of this Article shall be punished by imprisonment for a term of three to fifteen years.</w:t>
      </w:r>
    </w:p>
    <w:p w14:paraId="02606B96"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(5) If the work referred to in St. 1, 2, 3 and 4 of this Article committed as part of an organized criminal group, the perpetrator shall be punished by imprisonment for at least ten years.</w:t>
      </w:r>
    </w:p>
    <w:p w14:paraId="480C12E3"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(6) If the work referred to in para. 1, 2, 3 and 4 of this Article shall be executed by an official in the performance of his or her duties, shall be punished by imprisonment for at least ten years.</w:t>
      </w:r>
    </w:p>
    <w:p w14:paraId="123D6D8E"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(7) If the work of St. 1, 2 and 3 of this Article, serious bodily injury, serious damage to health or death of one or more persons, the perpetrator shall be punished by imprisonment for at least twelve years.</w:t>
      </w:r>
    </w:p>
    <w:p w14:paraId="59A097F5"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(8) The consent of the child to any form of exploitation referred to in paragraph 1 of this Article shall not affect the existence of this criminal offence.</w:t>
      </w:r>
    </w:p>
    <w:p w14:paraId="00F274C3"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(9) Objects, means of transport and facilities used for the execution of the acts referred to in this Article shall be confiscated.</w:t>
      </w:r>
    </w:p>
    <w:p w14:paraId="70761FC0"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(10) No criminal proceedings shall be conducted against a victim of child trafficking who has been forced by the perpetrator of a criminal offence to participate in the commission of another criminal offence if such treatment was a direct consequence of his or her status as a victim of trafficking in human beings.</w:t>
      </w:r>
    </w:p>
    <w:p w14:paraId="7EACEA74"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p>
    <w:p w14:paraId="4AAB6A7D"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Also, we note that Recommendation No. 62 (c), regarding the part of the training of judges and prosecutors for the application of laws for preventing and combating trafficking in human beings, is within the competence of the Center for Education of Judges and Public Prosecutors in Republika Srpska, and we are not sure whether representatives of this institution are involved in the work of the working group for the preparation of the report.</w:t>
      </w:r>
    </w:p>
    <w:p w14:paraId="2D210B1D"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p>
    <w:p w14:paraId="67B418DF" w14:textId="1DA94CA5"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 xml:space="preserve">Within the framework of this recommendation, and in connection with providing support and referral, rehabilitation and social integration of victims of trafficking in human beings, such as providing shelter and legal, medical and psychosocial assistance and allocating sufficient human, technical and financial resources for the implementation of measures against trafficking in human beings, we emphasize that in the social protection system, in accordance with the Law on Social Protection ("Official Gazette of the </w:t>
      </w:r>
      <w:proofErr w:type="spellStart"/>
      <w:r w:rsidRPr="00D24381">
        <w:rPr>
          <w:rFonts w:ascii="Times New Roman" w:hAnsi="Times New Roman"/>
          <w:bCs/>
          <w:color w:val="000000" w:themeColor="text1"/>
        </w:rPr>
        <w:t>Republi</w:t>
      </w:r>
      <w:r w:rsidR="001E58B5">
        <w:rPr>
          <w:rFonts w:ascii="Times New Roman" w:hAnsi="Times New Roman"/>
          <w:bCs/>
          <w:color w:val="000000" w:themeColor="text1"/>
        </w:rPr>
        <w:t>ka</w:t>
      </w:r>
      <w:proofErr w:type="spellEnd"/>
      <w:r w:rsidRPr="00D24381">
        <w:rPr>
          <w:rFonts w:ascii="Times New Roman" w:hAnsi="Times New Roman"/>
          <w:bCs/>
          <w:color w:val="000000" w:themeColor="text1"/>
        </w:rPr>
        <w:t xml:space="preserve"> of Srpska",  Br. 37/12, 90/16, 94/19, 42/20 and 36/22) adult and juvenile victims of trafficking in human beings, i.e. children recognized as persons who may be beneficiaries of social protection (Article 17 of the aforementioned Law). </w:t>
      </w:r>
    </w:p>
    <w:p w14:paraId="032B0BD7" w14:textId="77777777" w:rsidR="00D24381" w:rsidRPr="00D24381" w:rsidRDefault="00D24381" w:rsidP="00D24381">
      <w:pPr>
        <w:pStyle w:val="Header"/>
        <w:tabs>
          <w:tab w:val="left" w:pos="720"/>
        </w:tabs>
        <w:jc w:val="both"/>
        <w:rPr>
          <w:rFonts w:ascii="Times New Roman" w:hAnsi="Times New Roman"/>
          <w:bCs/>
          <w:color w:val="000000" w:themeColor="text1"/>
          <w:lang w:val="hr-HR"/>
        </w:rPr>
      </w:pPr>
      <w:r w:rsidRPr="00D24381">
        <w:rPr>
          <w:rFonts w:ascii="Times New Roman" w:hAnsi="Times New Roman"/>
          <w:bCs/>
          <w:color w:val="000000" w:themeColor="text1"/>
        </w:rPr>
        <w:t xml:space="preserve">That is according to Article 20 of the Constitution. Beneficiaries in the social welfare system who meet the legal requirements, including victims of trafficking in human beings, are: a) financial assistance, b) allowance for assistance and care of another person, v) personal disability allowance, g) support in equalizing the opportunities of children and youth with disabilities, d) placement in an institution, đ) care in a foster family, e) assistance and care at home,  (f) day care, (3) one-time financial assistance, and (i) counselling. </w:t>
      </w:r>
    </w:p>
    <w:p w14:paraId="1DFEBEFD" w14:textId="0BF2672D" w:rsidR="004231E7" w:rsidRPr="00D24381" w:rsidRDefault="00D24381" w:rsidP="00D24381">
      <w:pPr>
        <w:rPr>
          <w:color w:val="000000" w:themeColor="text1"/>
        </w:rPr>
      </w:pPr>
      <w:r w:rsidRPr="00D24381">
        <w:rPr>
          <w:rFonts w:ascii="Times New Roman" w:hAnsi="Times New Roman" w:cs="Times New Roman"/>
          <w:bCs/>
          <w:color w:val="000000" w:themeColor="text1"/>
          <w:sz w:val="24"/>
          <w:szCs w:val="24"/>
        </w:rPr>
        <w:t>Through the exercise of these rights in the form of material benefits and/or the provision of services to persons who find themselves in a state of social need, in order to provide assistance and support to these persons, the capacities of the social protection system are available</w:t>
      </w:r>
    </w:p>
    <w:sectPr w:rsidR="004231E7" w:rsidRPr="00D24381" w:rsidSect="00D66175">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0B0B"/>
    <w:multiLevelType w:val="hybridMultilevel"/>
    <w:tmpl w:val="8AF2C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E3DA8"/>
    <w:multiLevelType w:val="hybridMultilevel"/>
    <w:tmpl w:val="2440F7C4"/>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0DE95876"/>
    <w:multiLevelType w:val="hybridMultilevel"/>
    <w:tmpl w:val="870A13B2"/>
    <w:lvl w:ilvl="0" w:tplc="E0D4B42C">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0E493C49"/>
    <w:multiLevelType w:val="multilevel"/>
    <w:tmpl w:val="0FFED46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EC737EC"/>
    <w:multiLevelType w:val="hybridMultilevel"/>
    <w:tmpl w:val="7C74D11E"/>
    <w:lvl w:ilvl="0" w:tplc="0409000F">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775743"/>
    <w:multiLevelType w:val="multilevel"/>
    <w:tmpl w:val="DFCC348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1D36ECA"/>
    <w:multiLevelType w:val="multilevel"/>
    <w:tmpl w:val="228E22B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4D25F74"/>
    <w:multiLevelType w:val="hybridMultilevel"/>
    <w:tmpl w:val="D312FFDA"/>
    <w:lvl w:ilvl="0" w:tplc="AEBE47DA">
      <w:numFmt w:val="bullet"/>
      <w:lvlText w:val="-"/>
      <w:lvlJc w:val="left"/>
      <w:pPr>
        <w:ind w:left="780" w:hanging="360"/>
      </w:pPr>
      <w:rPr>
        <w:rFonts w:ascii="Times New Roman" w:eastAsia="Times New Roman" w:hAnsi="Times New Roman" w:cs="Times New Roman" w:hint="default"/>
      </w:rPr>
    </w:lvl>
    <w:lvl w:ilvl="1" w:tplc="141A0003" w:tentative="1">
      <w:start w:val="1"/>
      <w:numFmt w:val="bullet"/>
      <w:lvlText w:val="o"/>
      <w:lvlJc w:val="left"/>
      <w:pPr>
        <w:ind w:left="1500" w:hanging="360"/>
      </w:pPr>
      <w:rPr>
        <w:rFonts w:ascii="Courier New" w:hAnsi="Courier New" w:cs="Courier New" w:hint="default"/>
      </w:rPr>
    </w:lvl>
    <w:lvl w:ilvl="2" w:tplc="141A0005" w:tentative="1">
      <w:start w:val="1"/>
      <w:numFmt w:val="bullet"/>
      <w:lvlText w:val=""/>
      <w:lvlJc w:val="left"/>
      <w:pPr>
        <w:ind w:left="2220" w:hanging="360"/>
      </w:pPr>
      <w:rPr>
        <w:rFonts w:ascii="Wingdings" w:hAnsi="Wingdings" w:hint="default"/>
      </w:rPr>
    </w:lvl>
    <w:lvl w:ilvl="3" w:tplc="141A0001" w:tentative="1">
      <w:start w:val="1"/>
      <w:numFmt w:val="bullet"/>
      <w:lvlText w:val=""/>
      <w:lvlJc w:val="left"/>
      <w:pPr>
        <w:ind w:left="2940" w:hanging="360"/>
      </w:pPr>
      <w:rPr>
        <w:rFonts w:ascii="Symbol" w:hAnsi="Symbol" w:hint="default"/>
      </w:rPr>
    </w:lvl>
    <w:lvl w:ilvl="4" w:tplc="141A0003" w:tentative="1">
      <w:start w:val="1"/>
      <w:numFmt w:val="bullet"/>
      <w:lvlText w:val="o"/>
      <w:lvlJc w:val="left"/>
      <w:pPr>
        <w:ind w:left="3660" w:hanging="360"/>
      </w:pPr>
      <w:rPr>
        <w:rFonts w:ascii="Courier New" w:hAnsi="Courier New" w:cs="Courier New" w:hint="default"/>
      </w:rPr>
    </w:lvl>
    <w:lvl w:ilvl="5" w:tplc="141A0005" w:tentative="1">
      <w:start w:val="1"/>
      <w:numFmt w:val="bullet"/>
      <w:lvlText w:val=""/>
      <w:lvlJc w:val="left"/>
      <w:pPr>
        <w:ind w:left="4380" w:hanging="360"/>
      </w:pPr>
      <w:rPr>
        <w:rFonts w:ascii="Wingdings" w:hAnsi="Wingdings" w:hint="default"/>
      </w:rPr>
    </w:lvl>
    <w:lvl w:ilvl="6" w:tplc="141A0001" w:tentative="1">
      <w:start w:val="1"/>
      <w:numFmt w:val="bullet"/>
      <w:lvlText w:val=""/>
      <w:lvlJc w:val="left"/>
      <w:pPr>
        <w:ind w:left="5100" w:hanging="360"/>
      </w:pPr>
      <w:rPr>
        <w:rFonts w:ascii="Symbol" w:hAnsi="Symbol" w:hint="default"/>
      </w:rPr>
    </w:lvl>
    <w:lvl w:ilvl="7" w:tplc="141A0003" w:tentative="1">
      <w:start w:val="1"/>
      <w:numFmt w:val="bullet"/>
      <w:lvlText w:val="o"/>
      <w:lvlJc w:val="left"/>
      <w:pPr>
        <w:ind w:left="5820" w:hanging="360"/>
      </w:pPr>
      <w:rPr>
        <w:rFonts w:ascii="Courier New" w:hAnsi="Courier New" w:cs="Courier New" w:hint="default"/>
      </w:rPr>
    </w:lvl>
    <w:lvl w:ilvl="8" w:tplc="141A0005" w:tentative="1">
      <w:start w:val="1"/>
      <w:numFmt w:val="bullet"/>
      <w:lvlText w:val=""/>
      <w:lvlJc w:val="left"/>
      <w:pPr>
        <w:ind w:left="6540" w:hanging="360"/>
      </w:pPr>
      <w:rPr>
        <w:rFonts w:ascii="Wingdings" w:hAnsi="Wingdings" w:hint="default"/>
      </w:rPr>
    </w:lvl>
  </w:abstractNum>
  <w:abstractNum w:abstractNumId="8" w15:restartNumberingAfterBreak="0">
    <w:nsid w:val="4BCD3D76"/>
    <w:multiLevelType w:val="hybridMultilevel"/>
    <w:tmpl w:val="C4F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7473F6"/>
    <w:multiLevelType w:val="multilevel"/>
    <w:tmpl w:val="C5E67A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68C4F71"/>
    <w:multiLevelType w:val="multilevel"/>
    <w:tmpl w:val="CD74543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4D01C95"/>
    <w:multiLevelType w:val="hybridMultilevel"/>
    <w:tmpl w:val="18CA45C2"/>
    <w:lvl w:ilvl="0" w:tplc="E1FE6CAA">
      <w:start w:val="1"/>
      <w:numFmt w:val="upperRoman"/>
      <w:lvlText w:val="%1."/>
      <w:lvlJc w:val="left"/>
      <w:pPr>
        <w:ind w:left="1146" w:hanging="720"/>
      </w:pPr>
      <w:rPr>
        <w:rFonts w:hint="default"/>
      </w:rPr>
    </w:lvl>
    <w:lvl w:ilvl="1" w:tplc="141A0019" w:tentative="1">
      <w:start w:val="1"/>
      <w:numFmt w:val="lowerLetter"/>
      <w:lvlText w:val="%2."/>
      <w:lvlJc w:val="left"/>
      <w:pPr>
        <w:ind w:left="1506" w:hanging="360"/>
      </w:pPr>
    </w:lvl>
    <w:lvl w:ilvl="2" w:tplc="141A001B" w:tentative="1">
      <w:start w:val="1"/>
      <w:numFmt w:val="lowerRoman"/>
      <w:lvlText w:val="%3."/>
      <w:lvlJc w:val="right"/>
      <w:pPr>
        <w:ind w:left="2226" w:hanging="180"/>
      </w:pPr>
    </w:lvl>
    <w:lvl w:ilvl="3" w:tplc="141A000F" w:tentative="1">
      <w:start w:val="1"/>
      <w:numFmt w:val="decimal"/>
      <w:lvlText w:val="%4."/>
      <w:lvlJc w:val="left"/>
      <w:pPr>
        <w:ind w:left="2946" w:hanging="360"/>
      </w:pPr>
    </w:lvl>
    <w:lvl w:ilvl="4" w:tplc="141A0019" w:tentative="1">
      <w:start w:val="1"/>
      <w:numFmt w:val="lowerLetter"/>
      <w:lvlText w:val="%5."/>
      <w:lvlJc w:val="left"/>
      <w:pPr>
        <w:ind w:left="3666" w:hanging="360"/>
      </w:pPr>
    </w:lvl>
    <w:lvl w:ilvl="5" w:tplc="141A001B" w:tentative="1">
      <w:start w:val="1"/>
      <w:numFmt w:val="lowerRoman"/>
      <w:lvlText w:val="%6."/>
      <w:lvlJc w:val="right"/>
      <w:pPr>
        <w:ind w:left="4386" w:hanging="180"/>
      </w:pPr>
    </w:lvl>
    <w:lvl w:ilvl="6" w:tplc="141A000F" w:tentative="1">
      <w:start w:val="1"/>
      <w:numFmt w:val="decimal"/>
      <w:lvlText w:val="%7."/>
      <w:lvlJc w:val="left"/>
      <w:pPr>
        <w:ind w:left="5106" w:hanging="360"/>
      </w:pPr>
    </w:lvl>
    <w:lvl w:ilvl="7" w:tplc="141A0019" w:tentative="1">
      <w:start w:val="1"/>
      <w:numFmt w:val="lowerLetter"/>
      <w:lvlText w:val="%8."/>
      <w:lvlJc w:val="left"/>
      <w:pPr>
        <w:ind w:left="5826" w:hanging="360"/>
      </w:pPr>
    </w:lvl>
    <w:lvl w:ilvl="8" w:tplc="141A001B" w:tentative="1">
      <w:start w:val="1"/>
      <w:numFmt w:val="lowerRoman"/>
      <w:lvlText w:val="%9."/>
      <w:lvlJc w:val="right"/>
      <w:pPr>
        <w:ind w:left="6546" w:hanging="180"/>
      </w:pPr>
    </w:lvl>
  </w:abstractNum>
  <w:abstractNum w:abstractNumId="12" w15:restartNumberingAfterBreak="0">
    <w:nsid w:val="7F3441E2"/>
    <w:multiLevelType w:val="hybridMultilevel"/>
    <w:tmpl w:val="5CF80E10"/>
    <w:lvl w:ilvl="0" w:tplc="0409000F">
      <w:start w:val="25"/>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419FF"/>
    <w:multiLevelType w:val="multilevel"/>
    <w:tmpl w:val="63EA76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15456120">
    <w:abstractNumId w:val="5"/>
  </w:num>
  <w:num w:numId="2" w16cid:durableId="1151171376">
    <w:abstractNumId w:val="8"/>
  </w:num>
  <w:num w:numId="3" w16cid:durableId="1123575815">
    <w:abstractNumId w:val="1"/>
  </w:num>
  <w:num w:numId="4" w16cid:durableId="785465074">
    <w:abstractNumId w:val="2"/>
  </w:num>
  <w:num w:numId="5" w16cid:durableId="22707397">
    <w:abstractNumId w:val="7"/>
  </w:num>
  <w:num w:numId="6" w16cid:durableId="1431273465">
    <w:abstractNumId w:val="13"/>
  </w:num>
  <w:num w:numId="7" w16cid:durableId="1708137645">
    <w:abstractNumId w:val="9"/>
  </w:num>
  <w:num w:numId="8" w16cid:durableId="1104424029">
    <w:abstractNumId w:val="10"/>
  </w:num>
  <w:num w:numId="9" w16cid:durableId="509372724">
    <w:abstractNumId w:val="12"/>
  </w:num>
  <w:num w:numId="10" w16cid:durableId="50934357">
    <w:abstractNumId w:val="3"/>
  </w:num>
  <w:num w:numId="11" w16cid:durableId="1040545150">
    <w:abstractNumId w:val="4"/>
  </w:num>
  <w:num w:numId="12" w16cid:durableId="1738822174">
    <w:abstractNumId w:val="6"/>
  </w:num>
  <w:num w:numId="13" w16cid:durableId="1894198112">
    <w:abstractNumId w:val="11"/>
  </w:num>
  <w:num w:numId="14" w16cid:durableId="334650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381"/>
    <w:rsid w:val="00006FB8"/>
    <w:rsid w:val="000B77A6"/>
    <w:rsid w:val="001E58B5"/>
    <w:rsid w:val="004231E7"/>
    <w:rsid w:val="004F0B54"/>
    <w:rsid w:val="00582834"/>
    <w:rsid w:val="005B5747"/>
    <w:rsid w:val="00906B4D"/>
    <w:rsid w:val="00923937"/>
    <w:rsid w:val="00C56D9F"/>
    <w:rsid w:val="00D24381"/>
    <w:rsid w:val="00D66175"/>
    <w:rsid w:val="00EC6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D6903"/>
  <w15:chartTrackingRefBased/>
  <w15:docId w15:val="{E4A88C39-BDB9-4768-AA2B-0A48985D4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381"/>
    <w:rPr>
      <w:kern w:val="0"/>
      <w:lang w:val="bs-Latn-BA"/>
      <w14:ligatures w14:val="none"/>
    </w:rPr>
  </w:style>
  <w:style w:type="paragraph" w:styleId="Heading1">
    <w:name w:val="heading 1"/>
    <w:basedOn w:val="Normal"/>
    <w:next w:val="Normal"/>
    <w:link w:val="Heading1Char"/>
    <w:uiPriority w:val="9"/>
    <w:qFormat/>
    <w:rsid w:val="00D243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43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43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43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43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43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3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3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3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3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43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43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43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43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43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3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3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381"/>
    <w:rPr>
      <w:rFonts w:eastAsiaTheme="majorEastAsia" w:cstheme="majorBidi"/>
      <w:color w:val="272727" w:themeColor="text1" w:themeTint="D8"/>
    </w:rPr>
  </w:style>
  <w:style w:type="paragraph" w:styleId="Title">
    <w:name w:val="Title"/>
    <w:basedOn w:val="Normal"/>
    <w:next w:val="Normal"/>
    <w:link w:val="TitleChar"/>
    <w:uiPriority w:val="10"/>
    <w:qFormat/>
    <w:rsid w:val="00D243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3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3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3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381"/>
    <w:pPr>
      <w:spacing w:before="160"/>
      <w:jc w:val="center"/>
    </w:pPr>
    <w:rPr>
      <w:i/>
      <w:iCs/>
      <w:color w:val="404040" w:themeColor="text1" w:themeTint="BF"/>
    </w:rPr>
  </w:style>
  <w:style w:type="character" w:customStyle="1" w:styleId="QuoteChar">
    <w:name w:val="Quote Char"/>
    <w:basedOn w:val="DefaultParagraphFont"/>
    <w:link w:val="Quote"/>
    <w:uiPriority w:val="29"/>
    <w:rsid w:val="00D24381"/>
    <w:rPr>
      <w:i/>
      <w:iCs/>
      <w:color w:val="404040" w:themeColor="text1" w:themeTint="BF"/>
    </w:rPr>
  </w:style>
  <w:style w:type="paragraph" w:styleId="ListParagraph">
    <w:name w:val="List Paragraph"/>
    <w:basedOn w:val="Normal"/>
    <w:uiPriority w:val="34"/>
    <w:qFormat/>
    <w:rsid w:val="00D24381"/>
    <w:pPr>
      <w:ind w:left="720"/>
      <w:contextualSpacing/>
    </w:pPr>
  </w:style>
  <w:style w:type="character" w:styleId="IntenseEmphasis">
    <w:name w:val="Intense Emphasis"/>
    <w:basedOn w:val="DefaultParagraphFont"/>
    <w:uiPriority w:val="21"/>
    <w:qFormat/>
    <w:rsid w:val="00D24381"/>
    <w:rPr>
      <w:i/>
      <w:iCs/>
      <w:color w:val="0F4761" w:themeColor="accent1" w:themeShade="BF"/>
    </w:rPr>
  </w:style>
  <w:style w:type="paragraph" w:styleId="IntenseQuote">
    <w:name w:val="Intense Quote"/>
    <w:basedOn w:val="Normal"/>
    <w:next w:val="Normal"/>
    <w:link w:val="IntenseQuoteChar"/>
    <w:uiPriority w:val="30"/>
    <w:qFormat/>
    <w:rsid w:val="00D243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4381"/>
    <w:rPr>
      <w:i/>
      <w:iCs/>
      <w:color w:val="0F4761" w:themeColor="accent1" w:themeShade="BF"/>
    </w:rPr>
  </w:style>
  <w:style w:type="character" w:styleId="IntenseReference">
    <w:name w:val="Intense Reference"/>
    <w:basedOn w:val="DefaultParagraphFont"/>
    <w:uiPriority w:val="32"/>
    <w:qFormat/>
    <w:rsid w:val="00D24381"/>
    <w:rPr>
      <w:b/>
      <w:bCs/>
      <w:smallCaps/>
      <w:color w:val="0F4761" w:themeColor="accent1" w:themeShade="BF"/>
      <w:spacing w:val="5"/>
    </w:rPr>
  </w:style>
  <w:style w:type="character" w:customStyle="1" w:styleId="BodyTextChar">
    <w:name w:val="Body Text Char"/>
    <w:basedOn w:val="DefaultParagraphFont"/>
    <w:link w:val="BodyText"/>
    <w:rsid w:val="00D24381"/>
    <w:rPr>
      <w:rFonts w:ascii="Times New Roman" w:eastAsia="Times New Roman" w:hAnsi="Times New Roman" w:cs="Times New Roman"/>
      <w:b/>
      <w:bCs/>
      <w:sz w:val="20"/>
      <w:szCs w:val="20"/>
      <w:shd w:val="clear" w:color="auto" w:fill="FFFFFF"/>
    </w:rPr>
  </w:style>
  <w:style w:type="paragraph" w:styleId="BodyText">
    <w:name w:val="Body Text"/>
    <w:basedOn w:val="Normal"/>
    <w:link w:val="BodyTextChar"/>
    <w:qFormat/>
    <w:rsid w:val="00D24381"/>
    <w:pPr>
      <w:widowControl w:val="0"/>
      <w:shd w:val="clear" w:color="auto" w:fill="FFFFFF"/>
      <w:spacing w:after="120" w:line="240" w:lineRule="auto"/>
    </w:pPr>
    <w:rPr>
      <w:rFonts w:ascii="Times New Roman" w:eastAsia="Times New Roman" w:hAnsi="Times New Roman" w:cs="Times New Roman"/>
      <w:b/>
      <w:bCs/>
      <w:kern w:val="2"/>
      <w:sz w:val="20"/>
      <w:szCs w:val="20"/>
      <w:lang w:val="en-US"/>
      <w14:ligatures w14:val="standardContextual"/>
    </w:rPr>
  </w:style>
  <w:style w:type="character" w:customStyle="1" w:styleId="BodyTextChar1">
    <w:name w:val="Body Text Char1"/>
    <w:basedOn w:val="DefaultParagraphFont"/>
    <w:uiPriority w:val="99"/>
    <w:semiHidden/>
    <w:rsid w:val="00D24381"/>
    <w:rPr>
      <w:kern w:val="0"/>
      <w:lang w:val="bs-Latn-BA"/>
      <w14:ligatures w14:val="none"/>
    </w:rPr>
  </w:style>
  <w:style w:type="table" w:styleId="TableGrid">
    <w:name w:val="Table Grid"/>
    <w:basedOn w:val="TableNormal"/>
    <w:uiPriority w:val="39"/>
    <w:rsid w:val="00D24381"/>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43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381"/>
    <w:rPr>
      <w:rFonts w:ascii="Segoe UI" w:hAnsi="Segoe UI" w:cs="Segoe UI"/>
      <w:kern w:val="0"/>
      <w:sz w:val="18"/>
      <w:szCs w:val="18"/>
      <w:lang w:val="bs-Latn-BA"/>
      <w14:ligatures w14:val="none"/>
    </w:rPr>
  </w:style>
  <w:style w:type="paragraph" w:styleId="NormalWeb">
    <w:name w:val="Normal (Web)"/>
    <w:basedOn w:val="Normal"/>
    <w:uiPriority w:val="99"/>
    <w:semiHidden/>
    <w:unhideWhenUsed/>
    <w:rsid w:val="00D24381"/>
    <w:pPr>
      <w:spacing w:after="0" w:line="240" w:lineRule="auto"/>
    </w:pPr>
    <w:rPr>
      <w:rFonts w:ascii="Aptos" w:hAnsi="Aptos" w:cs="Aptos"/>
      <w:sz w:val="24"/>
      <w:szCs w:val="24"/>
      <w:lang w:val="en-US"/>
    </w:rPr>
  </w:style>
  <w:style w:type="paragraph" w:styleId="Header">
    <w:name w:val="header"/>
    <w:basedOn w:val="Normal"/>
    <w:link w:val="HeaderChar"/>
    <w:rsid w:val="00D24381"/>
    <w:pPr>
      <w:tabs>
        <w:tab w:val="center" w:pos="4536"/>
        <w:tab w:val="right" w:pos="9072"/>
      </w:tabs>
      <w:spacing w:after="0" w:line="240" w:lineRule="auto"/>
    </w:pPr>
    <w:rPr>
      <w:rFonts w:ascii="Arial" w:eastAsia="Times New Roman" w:hAnsi="Arial" w:cs="Times New Roman"/>
      <w:sz w:val="24"/>
      <w:szCs w:val="24"/>
      <w:lang w:val="en-GB"/>
    </w:rPr>
  </w:style>
  <w:style w:type="character" w:customStyle="1" w:styleId="HeaderChar">
    <w:name w:val="Header Char"/>
    <w:basedOn w:val="DefaultParagraphFont"/>
    <w:link w:val="Header"/>
    <w:rsid w:val="00D24381"/>
    <w:rPr>
      <w:rFonts w:ascii="Arial" w:eastAsia="Times New Roman" w:hAnsi="Arial" w:cs="Times New Roman"/>
      <w:kern w:val="0"/>
      <w:sz w:val="24"/>
      <w:szCs w:val="24"/>
      <w:lang w:val="en-GB"/>
      <w14:ligatures w14:val="none"/>
    </w:rPr>
  </w:style>
  <w:style w:type="character" w:customStyle="1" w:styleId="Heading20">
    <w:name w:val="Heading #2_"/>
    <w:basedOn w:val="DefaultParagraphFont"/>
    <w:link w:val="Heading21"/>
    <w:rsid w:val="00D24381"/>
    <w:rPr>
      <w:rFonts w:ascii="Times New Roman" w:eastAsia="Times New Roman" w:hAnsi="Times New Roman" w:cs="Times New Roman"/>
      <w:b/>
      <w:bCs/>
      <w:sz w:val="20"/>
      <w:szCs w:val="20"/>
      <w:shd w:val="clear" w:color="auto" w:fill="FFFFFF"/>
    </w:rPr>
  </w:style>
  <w:style w:type="paragraph" w:customStyle="1" w:styleId="Heading21">
    <w:name w:val="Heading #2"/>
    <w:basedOn w:val="Normal"/>
    <w:link w:val="Heading20"/>
    <w:rsid w:val="00D24381"/>
    <w:pPr>
      <w:widowControl w:val="0"/>
      <w:shd w:val="clear" w:color="auto" w:fill="FFFFFF"/>
      <w:spacing w:after="120" w:line="240" w:lineRule="auto"/>
      <w:ind w:firstLine="440"/>
      <w:outlineLvl w:val="1"/>
    </w:pPr>
    <w:rPr>
      <w:rFonts w:ascii="Times New Roman" w:eastAsia="Times New Roman" w:hAnsi="Times New Roman" w:cs="Times New Roman"/>
      <w:b/>
      <w:bCs/>
      <w:kern w:val="2"/>
      <w:sz w:val="20"/>
      <w:szCs w:val="20"/>
      <w:lang w:val="en-US"/>
      <w14:ligatures w14:val="standardContextual"/>
    </w:rPr>
  </w:style>
  <w:style w:type="table" w:customStyle="1" w:styleId="TableGrid1">
    <w:name w:val="Table Grid1"/>
    <w:basedOn w:val="TableNormal"/>
    <w:next w:val="TableGrid"/>
    <w:uiPriority w:val="39"/>
    <w:rsid w:val="00D2438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243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381"/>
    <w:rPr>
      <w:kern w:val="0"/>
      <w:lang w:val="bs-Latn-BA"/>
      <w14:ligatures w14:val="none"/>
    </w:rPr>
  </w:style>
  <w:style w:type="character" w:styleId="PlaceholderText">
    <w:name w:val="Placeholder Text"/>
    <w:basedOn w:val="DefaultParagraphFont"/>
    <w:uiPriority w:val="99"/>
    <w:semiHidden/>
    <w:rsid w:val="000B77A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2025-07-24T14:45:44+00:00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4DB8A73-DF67-42B0-90A3-07D5E75F99DD}"/>
</file>

<file path=customXml/itemProps2.xml><?xml version="1.0" encoding="utf-8"?>
<ds:datastoreItem xmlns:ds="http://schemas.openxmlformats.org/officeDocument/2006/customXml" ds:itemID="{404E3F3D-A2A9-47EA-B4E9-79569DFB7A3E}"/>
</file>

<file path=customXml/itemProps3.xml><?xml version="1.0" encoding="utf-8"?>
<ds:datastoreItem xmlns:ds="http://schemas.openxmlformats.org/officeDocument/2006/customXml" ds:itemID="{1603A95B-390E-4212-BAC2-0E017F8CCB08}"/>
</file>

<file path=docProps/app.xml><?xml version="1.0" encoding="utf-8"?>
<Properties xmlns="http://schemas.openxmlformats.org/officeDocument/2006/extended-properties" xmlns:vt="http://schemas.openxmlformats.org/officeDocument/2006/docPropsVTypes">
  <Template>Normal</Template>
  <TotalTime>2</TotalTime>
  <Pages>2</Pages>
  <Words>1173</Words>
  <Characters>6689</Characters>
  <Application>Microsoft Office Word</Application>
  <DocSecurity>0</DocSecurity>
  <Lines>55</Lines>
  <Paragraphs>15</Paragraphs>
  <ScaleCrop>false</ScaleCrop>
  <Company/>
  <LinksUpToDate>false</LinksUpToDate>
  <CharactersWithSpaces>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Vanja Vujadin</dc:creator>
  <cp:keywords/>
  <dc:description/>
  <cp:lastModifiedBy>Vanja Vujadin</cp:lastModifiedBy>
  <cp:revision>3</cp:revision>
  <dcterms:created xsi:type="dcterms:W3CDTF">2024-09-30T16:29:00Z</dcterms:created>
  <dcterms:modified xsi:type="dcterms:W3CDTF">2025-07-18T08:40:00Z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