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0A9" w:rsidRDefault="001970A9" w:rsidP="001225A6">
      <w:pPr>
        <w:spacing w:after="0" w:line="240" w:lineRule="auto"/>
        <w:jc w:val="both"/>
        <w:rPr>
          <w:rFonts w:ascii="Times New Roman" w:hAnsi="Times New Roman" w:cs="Times New Roman"/>
        </w:rPr>
      </w:pPr>
    </w:p>
    <w:p w:rsidR="001753B2" w:rsidRPr="0034683A" w:rsidRDefault="001753B2" w:rsidP="001225A6">
      <w:pPr>
        <w:spacing w:after="0" w:line="240" w:lineRule="auto"/>
        <w:jc w:val="both"/>
        <w:rPr>
          <w:rFonts w:ascii="Times New Roman" w:hAnsi="Times New Roman" w:cs="Times New Roman"/>
        </w:rPr>
      </w:pPr>
    </w:p>
    <w:p w:rsidR="001970A9" w:rsidRPr="0034683A" w:rsidRDefault="001970A9" w:rsidP="001225A6">
      <w:pPr>
        <w:spacing w:after="0" w:line="240" w:lineRule="auto"/>
        <w:jc w:val="both"/>
        <w:rPr>
          <w:rFonts w:ascii="Times New Roman" w:hAnsi="Times New Roman" w:cs="Times New Roman"/>
        </w:rPr>
      </w:pPr>
    </w:p>
    <w:p w:rsidR="001970A9" w:rsidRPr="0034683A" w:rsidRDefault="001970A9" w:rsidP="001225A6">
      <w:pPr>
        <w:spacing w:after="0" w:line="240" w:lineRule="auto"/>
        <w:jc w:val="both"/>
        <w:rPr>
          <w:rFonts w:ascii="Times New Roman" w:hAnsi="Times New Roman" w:cs="Times New Roman"/>
        </w:rPr>
      </w:pPr>
    </w:p>
    <w:p w:rsidR="001970A9" w:rsidRPr="0034683A" w:rsidRDefault="001970A9" w:rsidP="001225A6">
      <w:pPr>
        <w:spacing w:after="0" w:line="240" w:lineRule="auto"/>
        <w:jc w:val="both"/>
        <w:rPr>
          <w:rFonts w:ascii="Times New Roman" w:hAnsi="Times New Roman" w:cs="Times New Roman"/>
        </w:rPr>
      </w:pPr>
    </w:p>
    <w:p w:rsidR="001970A9" w:rsidRPr="0034683A" w:rsidRDefault="001970A9" w:rsidP="001225A6">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center"/>
        <w:rPr>
          <w:rFonts w:ascii="Times New Roman" w:hAnsi="Times New Roman" w:cs="Times New Roman"/>
        </w:rPr>
      </w:pPr>
    </w:p>
    <w:p w:rsidR="001970A9" w:rsidRPr="0034683A" w:rsidRDefault="001970A9" w:rsidP="0034683A">
      <w:pPr>
        <w:spacing w:after="0" w:line="240" w:lineRule="auto"/>
        <w:jc w:val="center"/>
        <w:rPr>
          <w:rFonts w:ascii="Times New Roman" w:hAnsi="Times New Roman" w:cs="Times New Roman"/>
          <w:b/>
        </w:rPr>
      </w:pPr>
      <w:r w:rsidRPr="0034683A">
        <w:rPr>
          <w:rFonts w:ascii="Times New Roman" w:hAnsi="Times New Roman" w:cs="Times New Roman"/>
          <w:b/>
        </w:rPr>
        <w:t>Shadow Report to the UN Human Rights Committee</w:t>
      </w:r>
    </w:p>
    <w:p w:rsidR="001970A9" w:rsidRPr="0034683A" w:rsidRDefault="001970A9" w:rsidP="0034683A">
      <w:pPr>
        <w:spacing w:after="0" w:line="240" w:lineRule="auto"/>
        <w:jc w:val="center"/>
        <w:rPr>
          <w:rFonts w:ascii="Times New Roman" w:hAnsi="Times New Roman" w:cs="Times New Roman"/>
          <w:b/>
        </w:rPr>
      </w:pPr>
      <w:r w:rsidRPr="0034683A">
        <w:rPr>
          <w:rFonts w:ascii="Times New Roman" w:hAnsi="Times New Roman" w:cs="Times New Roman"/>
          <w:b/>
        </w:rPr>
        <w:t>with respect to the Seventh Periodic Report of the United Kingdom of Great Britain and Northern Ireland</w:t>
      </w:r>
    </w:p>
    <w:p w:rsidR="001970A9" w:rsidRPr="0034683A" w:rsidRDefault="001970A9" w:rsidP="0034683A">
      <w:pPr>
        <w:spacing w:after="0" w:line="240" w:lineRule="auto"/>
        <w:jc w:val="center"/>
        <w:rPr>
          <w:rFonts w:ascii="Times New Roman" w:hAnsi="Times New Roman" w:cs="Times New Roman"/>
        </w:rPr>
      </w:pPr>
    </w:p>
    <w:p w:rsidR="001970A9" w:rsidRPr="0034683A" w:rsidRDefault="001970A9" w:rsidP="0034683A">
      <w:pPr>
        <w:spacing w:after="0" w:line="240" w:lineRule="auto"/>
        <w:jc w:val="center"/>
        <w:rPr>
          <w:rFonts w:ascii="Times New Roman" w:hAnsi="Times New Roman" w:cs="Times New Roman"/>
        </w:rPr>
      </w:pPr>
      <w:r w:rsidRPr="0034683A">
        <w:rPr>
          <w:rFonts w:ascii="Times New Roman" w:hAnsi="Times New Roman" w:cs="Times New Roman"/>
        </w:rPr>
        <w:t>114</w:t>
      </w:r>
      <w:r w:rsidRPr="0034683A">
        <w:rPr>
          <w:rFonts w:ascii="Times New Roman" w:hAnsi="Times New Roman" w:cs="Times New Roman"/>
          <w:vertAlign w:val="superscript"/>
        </w:rPr>
        <w:t>th</w:t>
      </w:r>
      <w:r w:rsidRPr="0034683A">
        <w:rPr>
          <w:rFonts w:ascii="Times New Roman" w:hAnsi="Times New Roman" w:cs="Times New Roman"/>
        </w:rPr>
        <w:t xml:space="preserve"> Session, Geneva, 29 June- 24 July 2015</w:t>
      </w:r>
    </w:p>
    <w:p w:rsidR="001970A9" w:rsidRDefault="0034683A" w:rsidP="0034683A">
      <w:pPr>
        <w:spacing w:after="0" w:line="240" w:lineRule="auto"/>
        <w:jc w:val="both"/>
        <w:rPr>
          <w:rFonts w:ascii="Times New Roman" w:hAnsi="Times New Roman" w:cs="Times New Roman"/>
        </w:rPr>
      </w:pPr>
      <w:r w:rsidRPr="0034683A">
        <w:rPr>
          <w:rFonts w:ascii="Times New Roman" w:hAnsi="Times New Roman" w:cs="Times New Roman"/>
          <w:noProof/>
          <w:lang w:eastAsia="en-GB"/>
        </w:rPr>
        <w:drawing>
          <wp:anchor distT="0" distB="0" distL="114300" distR="114300" simplePos="0" relativeHeight="251659264" behindDoc="0" locked="0" layoutInCell="1" allowOverlap="1">
            <wp:simplePos x="0" y="0"/>
            <wp:positionH relativeFrom="page">
              <wp:posOffset>3200400</wp:posOffset>
            </wp:positionH>
            <wp:positionV relativeFrom="paragraph">
              <wp:posOffset>129540</wp:posOffset>
            </wp:positionV>
            <wp:extent cx="1041400" cy="1028700"/>
            <wp:effectExtent l="0" t="0" r="0" b="12700"/>
            <wp:wrapSquare wrapText="lef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41400" cy="1028700"/>
                    </a:xfrm>
                    <a:prstGeom prst="rect">
                      <a:avLst/>
                    </a:prstGeom>
                    <a:noFill/>
                  </pic:spPr>
                </pic:pic>
              </a:graphicData>
            </a:graphic>
          </wp:anchor>
        </w:drawing>
      </w:r>
    </w:p>
    <w:p w:rsidR="0034683A" w:rsidRPr="0034683A" w:rsidRDefault="0034683A"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spacing w:after="0" w:line="240" w:lineRule="auto"/>
        <w:jc w:val="both"/>
        <w:rPr>
          <w:rFonts w:ascii="Times New Roman" w:hAnsi="Times New Roman" w:cs="Times New Roman"/>
        </w:rPr>
      </w:pPr>
    </w:p>
    <w:p w:rsidR="001970A9" w:rsidRPr="0034683A" w:rsidRDefault="001970A9" w:rsidP="0034683A">
      <w:pPr>
        <w:pBdr>
          <w:top w:val="single" w:sz="4" w:space="1" w:color="auto"/>
          <w:left w:val="single" w:sz="4" w:space="4" w:color="auto"/>
          <w:bottom w:val="single" w:sz="4" w:space="1" w:color="auto"/>
          <w:right w:val="single" w:sz="4" w:space="4" w:color="auto"/>
        </w:pBdr>
        <w:spacing w:after="0" w:line="240" w:lineRule="auto"/>
        <w:ind w:left="567" w:right="521"/>
        <w:jc w:val="both"/>
        <w:rPr>
          <w:rFonts w:ascii="Times New Roman" w:hAnsi="Times New Roman" w:cs="Times New Roman"/>
        </w:rPr>
      </w:pPr>
      <w:r w:rsidRPr="0034683A">
        <w:rPr>
          <w:rFonts w:ascii="Times New Roman" w:hAnsi="Times New Roman" w:cs="Times New Roman"/>
        </w:rPr>
        <w:t>Minority Rights Group International (MRG) 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States.</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b/>
          <w:color w:val="auto"/>
          <w:sz w:val="22"/>
          <w:szCs w:val="22"/>
        </w:rPr>
        <w:t>Contact Information</w:t>
      </w:r>
      <w:r w:rsidRPr="0034683A">
        <w:rPr>
          <w:color w:val="auto"/>
          <w:sz w:val="22"/>
          <w:szCs w:val="22"/>
        </w:rPr>
        <w:t>:</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54 Commercial Street,</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London E1 6LT</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United Kingdom</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Tel: +44 (0)20 7422 4200</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Fax: +44 (0)20 7422 4201</w:t>
      </w:r>
    </w:p>
    <w:p w:rsidR="001970A9" w:rsidRPr="0034683A" w:rsidRDefault="001970A9" w:rsidP="0034683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 w:val="22"/>
          <w:szCs w:val="22"/>
        </w:rPr>
      </w:pPr>
      <w:r w:rsidRPr="0034683A">
        <w:rPr>
          <w:color w:val="auto"/>
          <w:sz w:val="22"/>
          <w:szCs w:val="22"/>
        </w:rPr>
        <w:t xml:space="preserve">Web: </w:t>
      </w:r>
      <w:hyperlink r:id="rId9" w:history="1">
        <w:r w:rsidRPr="0034683A">
          <w:rPr>
            <w:rStyle w:val="Hyperlink"/>
            <w:color w:val="auto"/>
            <w:sz w:val="22"/>
            <w:szCs w:val="22"/>
          </w:rPr>
          <w:t>www.minorityrights.org</w:t>
        </w:r>
      </w:hyperlink>
    </w:p>
    <w:p w:rsidR="001970A9" w:rsidRPr="0034683A" w:rsidRDefault="001970A9" w:rsidP="0034683A">
      <w:pPr>
        <w:spacing w:after="0" w:line="240" w:lineRule="auto"/>
        <w:jc w:val="center"/>
        <w:rPr>
          <w:rFonts w:ascii="Times New Roman" w:hAnsi="Times New Roman" w:cs="Times New Roman"/>
          <w:b/>
        </w:rPr>
      </w:pPr>
    </w:p>
    <w:p w:rsidR="001970A9" w:rsidRPr="0034683A" w:rsidRDefault="001970A9" w:rsidP="001225A6">
      <w:pPr>
        <w:spacing w:after="0" w:line="240" w:lineRule="auto"/>
        <w:jc w:val="both"/>
        <w:rPr>
          <w:rFonts w:ascii="Times New Roman" w:hAnsi="Times New Roman" w:cs="Times New Roman"/>
          <w:b/>
        </w:rPr>
      </w:pPr>
    </w:p>
    <w:p w:rsidR="001970A9" w:rsidRPr="0034683A" w:rsidRDefault="001970A9" w:rsidP="001225A6">
      <w:pPr>
        <w:spacing w:after="0" w:line="240" w:lineRule="auto"/>
        <w:jc w:val="both"/>
        <w:rPr>
          <w:rFonts w:ascii="Times New Roman" w:hAnsi="Times New Roman" w:cs="Times New Roman"/>
          <w:b/>
        </w:rPr>
      </w:pPr>
    </w:p>
    <w:p w:rsidR="001970A9" w:rsidRPr="0034683A" w:rsidRDefault="001970A9" w:rsidP="001225A6">
      <w:pPr>
        <w:spacing w:after="0" w:line="240" w:lineRule="auto"/>
        <w:jc w:val="both"/>
        <w:rPr>
          <w:rFonts w:ascii="Times New Roman" w:hAnsi="Times New Roman" w:cs="Times New Roman"/>
          <w:b/>
        </w:rPr>
      </w:pPr>
    </w:p>
    <w:p w:rsidR="001970A9" w:rsidRPr="0034683A" w:rsidRDefault="001970A9" w:rsidP="001225A6">
      <w:pPr>
        <w:spacing w:after="0" w:line="240" w:lineRule="auto"/>
        <w:jc w:val="both"/>
        <w:rPr>
          <w:rFonts w:ascii="Times New Roman" w:hAnsi="Times New Roman" w:cs="Times New Roman"/>
          <w:b/>
        </w:rPr>
      </w:pPr>
      <w:r w:rsidRPr="0034683A">
        <w:rPr>
          <w:rFonts w:ascii="Times New Roman" w:hAnsi="Times New Roman" w:cs="Times New Roman"/>
          <w:b/>
        </w:rPr>
        <w:tab/>
      </w:r>
    </w:p>
    <w:p w:rsidR="008B27C5" w:rsidRPr="0034683A" w:rsidRDefault="008B27C5" w:rsidP="001225A6">
      <w:pPr>
        <w:spacing w:after="0" w:line="240" w:lineRule="auto"/>
        <w:jc w:val="both"/>
        <w:rPr>
          <w:rFonts w:ascii="Times New Roman" w:hAnsi="Times New Roman" w:cs="Times New Roman"/>
          <w:b/>
        </w:rPr>
      </w:pPr>
    </w:p>
    <w:p w:rsidR="008B27C5" w:rsidRPr="0034683A" w:rsidRDefault="008B27C5" w:rsidP="001225A6">
      <w:pPr>
        <w:spacing w:after="0" w:line="240" w:lineRule="auto"/>
        <w:jc w:val="both"/>
        <w:rPr>
          <w:rFonts w:ascii="Times New Roman" w:hAnsi="Times New Roman" w:cs="Times New Roman"/>
          <w:b/>
        </w:rPr>
      </w:pPr>
    </w:p>
    <w:p w:rsidR="008B27C5" w:rsidRDefault="008B27C5" w:rsidP="001225A6">
      <w:pPr>
        <w:spacing w:after="0" w:line="240" w:lineRule="auto"/>
        <w:jc w:val="both"/>
        <w:rPr>
          <w:rFonts w:ascii="Times New Roman" w:hAnsi="Times New Roman" w:cs="Times New Roman"/>
          <w:b/>
        </w:rPr>
      </w:pPr>
    </w:p>
    <w:p w:rsidR="0034683A" w:rsidRDefault="0034683A" w:rsidP="001225A6">
      <w:pPr>
        <w:spacing w:after="0" w:line="240" w:lineRule="auto"/>
        <w:jc w:val="both"/>
        <w:rPr>
          <w:rFonts w:ascii="Times New Roman" w:hAnsi="Times New Roman" w:cs="Times New Roman"/>
          <w:b/>
        </w:rPr>
      </w:pPr>
    </w:p>
    <w:p w:rsidR="0034683A" w:rsidRDefault="0034683A" w:rsidP="001225A6">
      <w:pPr>
        <w:spacing w:after="0" w:line="240" w:lineRule="auto"/>
        <w:jc w:val="both"/>
        <w:rPr>
          <w:rFonts w:ascii="Times New Roman" w:hAnsi="Times New Roman" w:cs="Times New Roman"/>
          <w:b/>
        </w:rPr>
      </w:pPr>
    </w:p>
    <w:p w:rsidR="0034683A" w:rsidRDefault="0034683A" w:rsidP="001225A6">
      <w:pPr>
        <w:spacing w:after="0" w:line="240" w:lineRule="auto"/>
        <w:jc w:val="both"/>
        <w:rPr>
          <w:rFonts w:ascii="Times New Roman" w:hAnsi="Times New Roman" w:cs="Times New Roman"/>
          <w:b/>
        </w:rPr>
      </w:pPr>
    </w:p>
    <w:p w:rsidR="0034683A" w:rsidRDefault="0034683A" w:rsidP="001225A6">
      <w:pPr>
        <w:spacing w:after="0" w:line="240" w:lineRule="auto"/>
        <w:jc w:val="both"/>
        <w:rPr>
          <w:rFonts w:ascii="Times New Roman" w:hAnsi="Times New Roman" w:cs="Times New Roman"/>
          <w:b/>
        </w:rPr>
      </w:pPr>
    </w:p>
    <w:p w:rsidR="0034683A" w:rsidRPr="0034683A" w:rsidRDefault="0034683A" w:rsidP="001225A6">
      <w:pPr>
        <w:spacing w:after="0" w:line="240" w:lineRule="auto"/>
        <w:jc w:val="both"/>
        <w:rPr>
          <w:rFonts w:ascii="Times New Roman" w:hAnsi="Times New Roman" w:cs="Times New Roman"/>
          <w:b/>
        </w:rPr>
      </w:pPr>
    </w:p>
    <w:p w:rsidR="008B27C5" w:rsidRPr="0034683A" w:rsidRDefault="008B27C5" w:rsidP="001225A6">
      <w:pPr>
        <w:spacing w:after="0" w:line="240" w:lineRule="auto"/>
        <w:jc w:val="both"/>
        <w:rPr>
          <w:rFonts w:ascii="Times New Roman" w:hAnsi="Times New Roman" w:cs="Times New Roman"/>
          <w:b/>
        </w:rPr>
      </w:pPr>
    </w:p>
    <w:p w:rsidR="008B27C5" w:rsidRPr="0034683A" w:rsidRDefault="008B27C5" w:rsidP="001225A6">
      <w:pPr>
        <w:spacing w:after="0" w:line="240" w:lineRule="auto"/>
        <w:jc w:val="both"/>
        <w:rPr>
          <w:rFonts w:ascii="Times New Roman" w:hAnsi="Times New Roman" w:cs="Times New Roman"/>
          <w:b/>
        </w:rPr>
      </w:pPr>
    </w:p>
    <w:p w:rsidR="001970A9" w:rsidRPr="0034683A" w:rsidRDefault="001970A9" w:rsidP="001225A6">
      <w:pPr>
        <w:pStyle w:val="ListParagraph"/>
        <w:spacing w:after="0" w:line="240" w:lineRule="auto"/>
        <w:ind w:left="709" w:right="1088"/>
        <w:jc w:val="both"/>
        <w:rPr>
          <w:rFonts w:ascii="Times New Roman" w:hAnsi="Times New Roman" w:cs="Times New Roman"/>
          <w:b/>
        </w:rPr>
      </w:pPr>
      <w:r w:rsidRPr="0034683A">
        <w:rPr>
          <w:rFonts w:ascii="Times New Roman" w:hAnsi="Times New Roman" w:cs="Times New Roman"/>
          <w:b/>
        </w:rPr>
        <w:t>I. Executive Summary:</w:t>
      </w:r>
    </w:p>
    <w:p w:rsidR="001970A9" w:rsidRPr="0034683A" w:rsidRDefault="001970A9" w:rsidP="001225A6">
      <w:pPr>
        <w:spacing w:after="0" w:line="240" w:lineRule="auto"/>
        <w:jc w:val="both"/>
        <w:rPr>
          <w:rFonts w:ascii="Times New Roman" w:hAnsi="Times New Roman" w:cs="Times New Roman"/>
          <w:b/>
        </w:rPr>
      </w:pPr>
    </w:p>
    <w:p w:rsidR="001970A9" w:rsidRDefault="002049C6"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rPr>
        <w:t xml:space="preserve">This submission focuses on breaches of Articles 1, 7, 12 and 17 of the International Covenant on Civil and Political Rights (‘ICCPR’). </w:t>
      </w:r>
      <w:r w:rsidR="001970A9" w:rsidRPr="0034683A">
        <w:rPr>
          <w:rFonts w:ascii="Times New Roman" w:hAnsi="Times New Roman" w:cs="Times New Roman"/>
        </w:rPr>
        <w:t xml:space="preserve">The United Kingdom of Great Britain and Northern Ireland (‘UK’) has failed to </w:t>
      </w:r>
      <w:r w:rsidR="00453171">
        <w:rPr>
          <w:rFonts w:ascii="Times New Roman" w:hAnsi="Times New Roman" w:cs="Times New Roman"/>
        </w:rPr>
        <w:t xml:space="preserve">meet its obligations under the ICCPR in regards to its treatment of </w:t>
      </w:r>
      <w:r w:rsidR="001479BA" w:rsidRPr="0034683A">
        <w:rPr>
          <w:rFonts w:ascii="Times New Roman" w:hAnsi="Times New Roman" w:cs="Times New Roman"/>
        </w:rPr>
        <w:t>the former inhabitants of the Chagos Islands (the ‘Chagos Islanders’) in the British Indian Ocean Territory (‘BIOT’)</w:t>
      </w:r>
      <w:r w:rsidR="001479BA">
        <w:rPr>
          <w:rFonts w:ascii="Times New Roman" w:hAnsi="Times New Roman" w:cs="Times New Roman"/>
        </w:rPr>
        <w:t xml:space="preserve">.  </w:t>
      </w:r>
      <w:r w:rsidR="001970A9" w:rsidRPr="0034683A">
        <w:rPr>
          <w:rFonts w:ascii="Times New Roman" w:hAnsi="Times New Roman" w:cs="Times New Roman"/>
        </w:rPr>
        <w:t>Those inhabitants were remov</w:t>
      </w:r>
      <w:r w:rsidR="008B27C5" w:rsidRPr="0034683A">
        <w:rPr>
          <w:rFonts w:ascii="Times New Roman" w:hAnsi="Times New Roman" w:cs="Times New Roman"/>
        </w:rPr>
        <w:t>ed from the islands between</w:t>
      </w:r>
      <w:r w:rsidR="004C1440" w:rsidRPr="0034683A">
        <w:rPr>
          <w:rFonts w:ascii="Times New Roman" w:hAnsi="Times New Roman" w:cs="Times New Roman"/>
        </w:rPr>
        <w:t xml:space="preserve"> 1967</w:t>
      </w:r>
      <w:r w:rsidR="001970A9" w:rsidRPr="0034683A">
        <w:rPr>
          <w:rFonts w:ascii="Times New Roman" w:hAnsi="Times New Roman" w:cs="Times New Roman"/>
        </w:rPr>
        <w:t xml:space="preserve"> and</w:t>
      </w:r>
      <w:r w:rsidR="008B27C5" w:rsidRPr="0034683A">
        <w:rPr>
          <w:rFonts w:ascii="Times New Roman" w:hAnsi="Times New Roman" w:cs="Times New Roman"/>
        </w:rPr>
        <w:t xml:space="preserve"> 1973 and</w:t>
      </w:r>
      <w:r w:rsidR="0034683A">
        <w:rPr>
          <w:rFonts w:ascii="Times New Roman" w:hAnsi="Times New Roman" w:cs="Times New Roman"/>
        </w:rPr>
        <w:t>,</w:t>
      </w:r>
      <w:r w:rsidR="001970A9" w:rsidRPr="0034683A">
        <w:rPr>
          <w:rFonts w:ascii="Times New Roman" w:hAnsi="Times New Roman" w:cs="Times New Roman"/>
        </w:rPr>
        <w:t xml:space="preserve"> but for a four year period between 2000 – 2004 in which no one returned to the islands, the inhabitation of the islands has been prohibited by Orders of the UK executive. </w:t>
      </w:r>
      <w:r w:rsidR="001479BA">
        <w:rPr>
          <w:rFonts w:ascii="Times New Roman" w:hAnsi="Times New Roman" w:cs="Times New Roman"/>
        </w:rPr>
        <w:t xml:space="preserve"> Furthermore, the UK Government has failed to </w:t>
      </w:r>
      <w:r w:rsidR="001479BA" w:rsidRPr="0034683A">
        <w:rPr>
          <w:rFonts w:ascii="Times New Roman" w:hAnsi="Times New Roman" w:cs="Times New Roman"/>
        </w:rPr>
        <w:t>comply with or address the Human Rights Committee’s Concluding Observations dated 6 December 2001</w:t>
      </w:r>
      <w:r w:rsidR="001479BA" w:rsidRPr="0034683A">
        <w:rPr>
          <w:rStyle w:val="FootnoteReference"/>
          <w:rFonts w:ascii="Times New Roman" w:hAnsi="Times New Roman" w:cs="Times New Roman"/>
        </w:rPr>
        <w:footnoteReference w:id="1"/>
      </w:r>
      <w:r w:rsidR="001479BA" w:rsidRPr="0034683A">
        <w:rPr>
          <w:rFonts w:ascii="Times New Roman" w:hAnsi="Times New Roman" w:cs="Times New Roman"/>
        </w:rPr>
        <w:t xml:space="preserve"> and 30 July 2008</w:t>
      </w:r>
      <w:r w:rsidR="001479BA" w:rsidRPr="0034683A">
        <w:rPr>
          <w:rStyle w:val="FootnoteReference"/>
          <w:rFonts w:ascii="Times New Roman" w:hAnsi="Times New Roman" w:cs="Times New Roman"/>
        </w:rPr>
        <w:footnoteReference w:id="2"/>
      </w:r>
      <w:r w:rsidR="001479BA" w:rsidRPr="0034683A">
        <w:rPr>
          <w:rFonts w:ascii="Times New Roman" w:hAnsi="Times New Roman" w:cs="Times New Roman"/>
        </w:rPr>
        <w:t xml:space="preserve"> in respect of </w:t>
      </w:r>
      <w:r w:rsidR="001479BA">
        <w:rPr>
          <w:rFonts w:ascii="Times New Roman" w:hAnsi="Times New Roman" w:cs="Times New Roman"/>
        </w:rPr>
        <w:t xml:space="preserve">this treatment. </w:t>
      </w:r>
      <w:r w:rsidR="001479BA" w:rsidRPr="0034683A">
        <w:rPr>
          <w:rFonts w:ascii="Times New Roman" w:hAnsi="Times New Roman" w:cs="Times New Roman"/>
        </w:rPr>
        <w:t xml:space="preserve"> </w:t>
      </w:r>
    </w:p>
    <w:p w:rsidR="00453171" w:rsidRDefault="00453171" w:rsidP="00453171">
      <w:pPr>
        <w:pStyle w:val="ListParagraph"/>
        <w:widowControl w:val="0"/>
        <w:spacing w:after="0" w:line="240" w:lineRule="auto"/>
        <w:jc w:val="both"/>
        <w:rPr>
          <w:rFonts w:ascii="Times New Roman" w:hAnsi="Times New Roman" w:cs="Times New Roman"/>
        </w:rPr>
      </w:pPr>
    </w:p>
    <w:p w:rsidR="001970A9" w:rsidRPr="0034683A" w:rsidRDefault="008B27C5"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rPr>
        <w:t>MRG requests</w:t>
      </w:r>
      <w:r w:rsidR="001970A9" w:rsidRPr="0034683A">
        <w:rPr>
          <w:rFonts w:ascii="Times New Roman" w:hAnsi="Times New Roman" w:cs="Times New Roman"/>
        </w:rPr>
        <w:t xml:space="preserve"> th</w:t>
      </w:r>
      <w:r w:rsidRPr="0034683A">
        <w:rPr>
          <w:rFonts w:ascii="Times New Roman" w:hAnsi="Times New Roman" w:cs="Times New Roman"/>
        </w:rPr>
        <w:t>at the</w:t>
      </w:r>
      <w:r w:rsidR="001970A9" w:rsidRPr="0034683A">
        <w:rPr>
          <w:rFonts w:ascii="Times New Roman" w:hAnsi="Times New Roman" w:cs="Times New Roman"/>
        </w:rPr>
        <w:t xml:space="preserve"> failure to address the </w:t>
      </w:r>
      <w:r w:rsidRPr="0034683A">
        <w:rPr>
          <w:rFonts w:ascii="Times New Roman" w:hAnsi="Times New Roman" w:cs="Times New Roman"/>
        </w:rPr>
        <w:t xml:space="preserve">concerns in the </w:t>
      </w:r>
      <w:r w:rsidR="001970A9" w:rsidRPr="0034683A">
        <w:rPr>
          <w:rFonts w:ascii="Times New Roman" w:hAnsi="Times New Roman" w:cs="Times New Roman"/>
        </w:rPr>
        <w:t xml:space="preserve">2001 Concluding Observations and the 2008 Concluding Observations be </w:t>
      </w:r>
      <w:r w:rsidR="00453171">
        <w:rPr>
          <w:rFonts w:ascii="Times New Roman" w:hAnsi="Times New Roman" w:cs="Times New Roman"/>
        </w:rPr>
        <w:t>raised</w:t>
      </w:r>
      <w:r w:rsidR="004C1440" w:rsidRPr="0034683A">
        <w:rPr>
          <w:rFonts w:ascii="Times New Roman" w:hAnsi="Times New Roman" w:cs="Times New Roman"/>
        </w:rPr>
        <w:t xml:space="preserve"> </w:t>
      </w:r>
      <w:r w:rsidR="00453171" w:rsidRPr="0034683A">
        <w:rPr>
          <w:rFonts w:ascii="Times New Roman" w:hAnsi="Times New Roman" w:cs="Times New Roman"/>
        </w:rPr>
        <w:t xml:space="preserve">by the Human Rights Committee </w:t>
      </w:r>
      <w:r w:rsidR="00453171">
        <w:rPr>
          <w:rFonts w:ascii="Times New Roman" w:hAnsi="Times New Roman" w:cs="Times New Roman"/>
        </w:rPr>
        <w:t xml:space="preserve">during its </w:t>
      </w:r>
      <w:r w:rsidR="001970A9" w:rsidRPr="0034683A">
        <w:rPr>
          <w:rFonts w:ascii="Times New Roman" w:hAnsi="Times New Roman" w:cs="Times New Roman"/>
        </w:rPr>
        <w:t>examination of the UK in its 114</w:t>
      </w:r>
      <w:r w:rsidR="001970A9" w:rsidRPr="0034683A">
        <w:rPr>
          <w:rFonts w:ascii="Times New Roman" w:hAnsi="Times New Roman" w:cs="Times New Roman"/>
          <w:vertAlign w:val="superscript"/>
        </w:rPr>
        <w:t>th</w:t>
      </w:r>
      <w:r w:rsidR="001970A9" w:rsidRPr="0034683A">
        <w:rPr>
          <w:rFonts w:ascii="Times New Roman" w:hAnsi="Times New Roman" w:cs="Times New Roman"/>
        </w:rPr>
        <w:t xml:space="preserve"> Session, to be held from 29 June- 24 July 2015 in Geneva.</w:t>
      </w:r>
    </w:p>
    <w:p w:rsidR="001970A9" w:rsidRPr="0034683A" w:rsidRDefault="001970A9" w:rsidP="001225A6">
      <w:pPr>
        <w:widowControl w:val="0"/>
        <w:spacing w:after="0" w:line="240" w:lineRule="auto"/>
        <w:jc w:val="both"/>
        <w:rPr>
          <w:rFonts w:ascii="Times New Roman" w:hAnsi="Times New Roman" w:cs="Times New Roman"/>
          <w:bCs/>
          <w:i/>
        </w:rPr>
      </w:pPr>
    </w:p>
    <w:p w:rsidR="004C1440" w:rsidRPr="0034683A" w:rsidRDefault="001970A9" w:rsidP="001225A6">
      <w:pPr>
        <w:widowControl w:val="0"/>
        <w:spacing w:after="0" w:line="240" w:lineRule="auto"/>
        <w:ind w:firstLine="720"/>
        <w:jc w:val="both"/>
        <w:rPr>
          <w:rFonts w:ascii="Times New Roman" w:hAnsi="Times New Roman" w:cs="Times New Roman"/>
          <w:b/>
          <w:bCs/>
        </w:rPr>
      </w:pPr>
      <w:r w:rsidRPr="0034683A">
        <w:rPr>
          <w:rFonts w:ascii="Times New Roman" w:hAnsi="Times New Roman" w:cs="Times New Roman"/>
          <w:b/>
          <w:bCs/>
        </w:rPr>
        <w:t>II. Background</w:t>
      </w:r>
      <w:r w:rsidRPr="0034683A">
        <w:rPr>
          <w:rStyle w:val="FootnoteReference"/>
          <w:rFonts w:ascii="Times New Roman" w:hAnsi="Times New Roman" w:cs="Times New Roman"/>
          <w:b/>
          <w:bCs/>
        </w:rPr>
        <w:footnoteReference w:id="3"/>
      </w:r>
      <w:r w:rsidRPr="0034683A">
        <w:rPr>
          <w:rFonts w:ascii="Times New Roman" w:hAnsi="Times New Roman" w:cs="Times New Roman"/>
          <w:b/>
          <w:bCs/>
        </w:rPr>
        <w:t>:</w:t>
      </w:r>
    </w:p>
    <w:p w:rsidR="004C1440" w:rsidRPr="0034683A" w:rsidRDefault="004C1440" w:rsidP="001225A6">
      <w:pPr>
        <w:widowControl w:val="0"/>
        <w:spacing w:after="0" w:line="240" w:lineRule="auto"/>
        <w:ind w:firstLine="720"/>
        <w:jc w:val="both"/>
        <w:rPr>
          <w:rFonts w:ascii="Times New Roman" w:hAnsi="Times New Roman" w:cs="Times New Roman"/>
          <w:b/>
          <w:bCs/>
        </w:rPr>
      </w:pPr>
    </w:p>
    <w:p w:rsidR="004C1440"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rPr>
        <w:t>The Chagos Islands have been und</w:t>
      </w:r>
      <w:r w:rsidR="004C1440" w:rsidRPr="0034683A">
        <w:rPr>
          <w:rFonts w:ascii="Times New Roman" w:hAnsi="Times New Roman" w:cs="Times New Roman"/>
        </w:rPr>
        <w:t>er British control</w:t>
      </w:r>
      <w:r w:rsidRPr="0034683A">
        <w:rPr>
          <w:rFonts w:ascii="Times New Roman" w:hAnsi="Times New Roman" w:cs="Times New Roman"/>
        </w:rPr>
        <w:t xml:space="preserve"> since 1814. By 1960 the population was approximately 1,000</w:t>
      </w:r>
      <w:r w:rsidR="004C20C2">
        <w:rPr>
          <w:rStyle w:val="FootnoteReference"/>
          <w:rFonts w:ascii="Times New Roman" w:hAnsi="Times New Roman" w:cs="Times New Roman"/>
        </w:rPr>
        <w:footnoteReference w:id="4"/>
      </w:r>
      <w:r w:rsidRPr="0034683A">
        <w:rPr>
          <w:rFonts w:ascii="Times New Roman" w:hAnsi="Times New Roman" w:cs="Times New Roman"/>
        </w:rPr>
        <w:t xml:space="preserve">. </w:t>
      </w:r>
    </w:p>
    <w:p w:rsidR="004C1440" w:rsidRPr="0034683A" w:rsidRDefault="004C1440" w:rsidP="001225A6">
      <w:pPr>
        <w:pStyle w:val="ListParagraph"/>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rPr>
        <w:t xml:space="preserve">In 1964 discussions began between the UK and US Governments to establish a US Naval base in the region and remove the inhabitants. </w:t>
      </w:r>
      <w:r w:rsidRPr="0034683A">
        <w:rPr>
          <w:rFonts w:ascii="Times New Roman" w:hAnsi="Times New Roman" w:cs="Times New Roman"/>
          <w:lang w:val="en-US"/>
        </w:rPr>
        <w:t>On De</w:t>
      </w:r>
      <w:r w:rsidR="0034683A">
        <w:rPr>
          <w:rFonts w:ascii="Times New Roman" w:hAnsi="Times New Roman" w:cs="Times New Roman"/>
          <w:lang w:val="en-US"/>
        </w:rPr>
        <w:t>cember 20, 1966, the UK and US G</w:t>
      </w:r>
      <w:r w:rsidRPr="0034683A">
        <w:rPr>
          <w:rFonts w:ascii="Times New Roman" w:hAnsi="Times New Roman" w:cs="Times New Roman"/>
          <w:lang w:val="en-US"/>
        </w:rPr>
        <w:t xml:space="preserve">overnments agreed that the latter should have use of the islands of BIOT for </w:t>
      </w:r>
      <w:proofErr w:type="spellStart"/>
      <w:r w:rsidRPr="0034683A">
        <w:rPr>
          <w:rFonts w:ascii="Times New Roman" w:hAnsi="Times New Roman" w:cs="Times New Roman"/>
          <w:lang w:val="en-US"/>
        </w:rPr>
        <w:t>defence</w:t>
      </w:r>
      <w:proofErr w:type="spellEnd"/>
      <w:r w:rsidRPr="0034683A">
        <w:rPr>
          <w:rFonts w:ascii="Times New Roman" w:hAnsi="Times New Roman" w:cs="Times New Roman"/>
          <w:lang w:val="en-US"/>
        </w:rPr>
        <w:t xml:space="preserve"> purposes for an indefinite period with provision for a review in 2016. The UK Government acquired the land and interests held by a plantation company that owned most of the property on the islands. After obtaining congressional approval, the US </w:t>
      </w:r>
      <w:proofErr w:type="spellStart"/>
      <w:r w:rsidRPr="0034683A">
        <w:rPr>
          <w:rFonts w:ascii="Times New Roman" w:hAnsi="Times New Roman" w:cs="Times New Roman"/>
          <w:lang w:val="en-US"/>
        </w:rPr>
        <w:t>Defence</w:t>
      </w:r>
      <w:proofErr w:type="spellEnd"/>
      <w:r w:rsidRPr="0034683A">
        <w:rPr>
          <w:rFonts w:ascii="Times New Roman" w:hAnsi="Times New Roman" w:cs="Times New Roman"/>
          <w:lang w:val="en-US"/>
        </w:rPr>
        <w:t xml:space="preserve"> Department gave notice that Diego Garcia</w:t>
      </w:r>
      <w:r w:rsidR="004C1440" w:rsidRPr="0034683A">
        <w:rPr>
          <w:rFonts w:ascii="Times New Roman" w:hAnsi="Times New Roman" w:cs="Times New Roman"/>
          <w:lang w:val="en-US"/>
        </w:rPr>
        <w:t>, the largest of the Chagos Islands,</w:t>
      </w:r>
      <w:r w:rsidRPr="0034683A">
        <w:rPr>
          <w:rFonts w:ascii="Times New Roman" w:hAnsi="Times New Roman" w:cs="Times New Roman"/>
          <w:lang w:val="en-US"/>
        </w:rPr>
        <w:t xml:space="preserve"> would be required in July 1971.</w:t>
      </w:r>
    </w:p>
    <w:p w:rsidR="004C1440" w:rsidRPr="0034683A" w:rsidRDefault="004C1440" w:rsidP="001225A6">
      <w:pPr>
        <w:widowControl w:val="0"/>
        <w:spacing w:after="0" w:line="240" w:lineRule="auto"/>
        <w:jc w:val="both"/>
        <w:rPr>
          <w:rFonts w:ascii="Times New Roman" w:hAnsi="Times New Roman" w:cs="Times New Roman"/>
        </w:rPr>
      </w:pPr>
    </w:p>
    <w:p w:rsidR="004C1440"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lang w:val="en-US"/>
        </w:rPr>
        <w:t>The evacuation of the islands was effected between 1967 and 1973. Some islanders were prevented from returning after visits elsewhere, others were transferred either to Mauritius or to the Seychelles. For a while some islanders were given alternative accommodation on outlying islands. In 1971, the US construction teams arrived on Diego Garcia. Houses were demolished. No force was used but the islanders were told that the plantation company on the island was closing down its activities and that unless they accepted transportation elsewhere, they would be left without supplies.</w:t>
      </w:r>
    </w:p>
    <w:p w:rsidR="004C1440" w:rsidRPr="0034683A" w:rsidRDefault="004C1440" w:rsidP="001225A6">
      <w:pPr>
        <w:widowControl w:val="0"/>
        <w:spacing w:after="0" w:line="240" w:lineRule="auto"/>
        <w:jc w:val="both"/>
        <w:rPr>
          <w:rFonts w:ascii="Times New Roman" w:hAnsi="Times New Roman" w:cs="Times New Roman"/>
          <w:lang w:val="en-US"/>
        </w:rPr>
      </w:pPr>
    </w:p>
    <w:p w:rsidR="001970A9" w:rsidRPr="0034683A" w:rsidRDefault="006B62C6"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lang w:val="en-US"/>
        </w:rPr>
        <w:t>On 16 April</w:t>
      </w:r>
      <w:r w:rsidR="001970A9" w:rsidRPr="0034683A">
        <w:rPr>
          <w:rFonts w:ascii="Times New Roman" w:hAnsi="Times New Roman" w:cs="Times New Roman"/>
          <w:lang w:val="en-US"/>
        </w:rPr>
        <w:t xml:space="preserve"> 1971, the</w:t>
      </w:r>
      <w:r w:rsidR="004C1440" w:rsidRPr="0034683A">
        <w:rPr>
          <w:rFonts w:ascii="Times New Roman" w:hAnsi="Times New Roman" w:cs="Times New Roman"/>
          <w:lang w:val="en-US"/>
        </w:rPr>
        <w:t xml:space="preserve"> UK’s </w:t>
      </w:r>
      <w:r w:rsidR="001970A9" w:rsidRPr="0034683A">
        <w:rPr>
          <w:rFonts w:ascii="Times New Roman" w:hAnsi="Times New Roman" w:cs="Times New Roman"/>
          <w:lang w:val="en-US"/>
        </w:rPr>
        <w:t>BIOT Commissioner enacted the Immigration Ordinance 1 of 1971 which made it unlawful, and a criminal offence, for anyone to enter or remain in the territory without a permit.</w:t>
      </w:r>
    </w:p>
    <w:p w:rsidR="004C1440" w:rsidRPr="0034683A" w:rsidRDefault="004C1440" w:rsidP="001225A6">
      <w:pPr>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lang w:val="en-US"/>
        </w:rPr>
        <w:lastRenderedPageBreak/>
        <w:t xml:space="preserve">The islanders suffered miserable conditions on being uprooted, having lost their homes and livelihoods. In 1973, the United Kingdom paid £650,000 to the newly independent Government of Mauritius to assist with the costs of resettlement. This sum was distributed, with interest, by the Mauritius authorities in 1977 after discussions on how best to use the money. Those islanders rejected a proposed resettlement plan in </w:t>
      </w:r>
      <w:proofErr w:type="spellStart"/>
      <w:r w:rsidRPr="0034683A">
        <w:rPr>
          <w:rFonts w:ascii="Times New Roman" w:hAnsi="Times New Roman" w:cs="Times New Roman"/>
          <w:lang w:val="en-US"/>
        </w:rPr>
        <w:t>favour</w:t>
      </w:r>
      <w:proofErr w:type="spellEnd"/>
      <w:r w:rsidRPr="0034683A">
        <w:rPr>
          <w:rFonts w:ascii="Times New Roman" w:hAnsi="Times New Roman" w:cs="Times New Roman"/>
          <w:lang w:val="en-US"/>
        </w:rPr>
        <w:t xml:space="preserve"> of a cash distribution to </w:t>
      </w:r>
      <w:r w:rsidRPr="0034683A">
        <w:rPr>
          <w:rFonts w:ascii="Times New Roman" w:hAnsi="Times New Roman" w:cs="Times New Roman"/>
          <w:color w:val="000000" w:themeColor="text1"/>
          <w:lang w:val="en-US"/>
        </w:rPr>
        <w:t xml:space="preserve">595 families. </w:t>
      </w:r>
      <w:r w:rsidR="004C1440" w:rsidRPr="0034683A">
        <w:rPr>
          <w:rFonts w:ascii="Times New Roman" w:hAnsi="Times New Roman" w:cs="Times New Roman"/>
          <w:color w:val="000000" w:themeColor="text1"/>
          <w:lang w:val="en-US"/>
        </w:rPr>
        <w:t>Importantly, however, n</w:t>
      </w:r>
      <w:r w:rsidRPr="0034683A">
        <w:rPr>
          <w:rFonts w:ascii="Times New Roman" w:hAnsi="Times New Roman" w:cs="Times New Roman"/>
          <w:color w:val="000000" w:themeColor="text1"/>
          <w:lang w:val="en-US"/>
        </w:rPr>
        <w:t>o compensation was paid to the evacuees on the Seychelles.</w:t>
      </w:r>
    </w:p>
    <w:p w:rsidR="004C1440" w:rsidRPr="0034683A" w:rsidRDefault="004C1440" w:rsidP="001225A6">
      <w:pPr>
        <w:widowControl w:val="0"/>
        <w:spacing w:after="0" w:line="240" w:lineRule="auto"/>
        <w:jc w:val="both"/>
        <w:rPr>
          <w:rFonts w:ascii="Times New Roman" w:hAnsi="Times New Roman" w:cs="Times New Roman"/>
        </w:rPr>
      </w:pPr>
    </w:p>
    <w:p w:rsidR="006B62C6"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color w:val="000000" w:themeColor="text1"/>
          <w:lang w:val="en-US"/>
        </w:rPr>
        <w:t>Further, in February 1975, a case was brought in the High Court in London concerning the expulsions</w:t>
      </w:r>
      <w:r w:rsidRPr="0034683A">
        <w:rPr>
          <w:rFonts w:ascii="Times New Roman" w:hAnsi="Times New Roman" w:cs="Times New Roman"/>
          <w:lang w:val="en-US"/>
        </w:rPr>
        <w:t xml:space="preserve">. In February 1978, the Government made an open offer to settle the claims of all the islanders. In March 1982, a further settlement was reached in which the </w:t>
      </w:r>
      <w:r w:rsidR="0034683A">
        <w:rPr>
          <w:rFonts w:ascii="Times New Roman" w:hAnsi="Times New Roman" w:cs="Times New Roman"/>
          <w:lang w:val="en-US"/>
        </w:rPr>
        <w:t xml:space="preserve">UK </w:t>
      </w:r>
      <w:r w:rsidRPr="0034683A">
        <w:rPr>
          <w:rFonts w:ascii="Times New Roman" w:hAnsi="Times New Roman" w:cs="Times New Roman"/>
          <w:lang w:val="en-US"/>
        </w:rPr>
        <w:t xml:space="preserve">Government agreed to pay £4 million to the Mauritian Government, which in turn agreed to contribute land to the value of £1 million. A trust fund was set up by the Mauritius Government and between 1982 and 1984 and payment was made to 1,344 </w:t>
      </w:r>
      <w:proofErr w:type="spellStart"/>
      <w:r w:rsidRPr="0034683A">
        <w:rPr>
          <w:rFonts w:ascii="Times New Roman" w:hAnsi="Times New Roman" w:cs="Times New Roman"/>
          <w:lang w:val="en-US"/>
        </w:rPr>
        <w:t>Chagossians</w:t>
      </w:r>
      <w:proofErr w:type="spellEnd"/>
      <w:r w:rsidRPr="0034683A">
        <w:rPr>
          <w:rFonts w:ascii="Times New Roman" w:hAnsi="Times New Roman" w:cs="Times New Roman"/>
          <w:lang w:val="en-US"/>
        </w:rPr>
        <w:t xml:space="preserve"> in Mauritius of £2,976 each. The Mauritius Government provided some low-cost housing. </w:t>
      </w:r>
    </w:p>
    <w:p w:rsidR="006B62C6" w:rsidRPr="0034683A" w:rsidRDefault="006B62C6" w:rsidP="001225A6">
      <w:pPr>
        <w:widowControl w:val="0"/>
        <w:spacing w:after="0" w:line="240" w:lineRule="auto"/>
        <w:jc w:val="both"/>
        <w:rPr>
          <w:rFonts w:ascii="Times New Roman" w:hAnsi="Times New Roman" w:cs="Times New Roman"/>
          <w:lang w:val="en-US"/>
        </w:rPr>
      </w:pPr>
    </w:p>
    <w:p w:rsidR="001970A9" w:rsidRPr="0034683A" w:rsidRDefault="006B62C6"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lang w:val="en-US"/>
        </w:rPr>
        <w:t>Again, n</w:t>
      </w:r>
      <w:r w:rsidR="001970A9" w:rsidRPr="0034683A">
        <w:rPr>
          <w:rFonts w:ascii="Times New Roman" w:hAnsi="Times New Roman" w:cs="Times New Roman"/>
          <w:lang w:val="en-US"/>
        </w:rPr>
        <w:t xml:space="preserve">othing was paid to the </w:t>
      </w:r>
      <w:r w:rsidR="004C20C2">
        <w:rPr>
          <w:rFonts w:ascii="Times New Roman" w:hAnsi="Times New Roman" w:cs="Times New Roman"/>
          <w:lang w:val="en-US"/>
        </w:rPr>
        <w:t>232</w:t>
      </w:r>
      <w:r w:rsidR="004C1440" w:rsidRPr="0034683A">
        <w:rPr>
          <w:rFonts w:ascii="Times New Roman" w:hAnsi="Times New Roman" w:cs="Times New Roman"/>
          <w:lang w:val="en-US"/>
        </w:rPr>
        <w:t xml:space="preserve"> </w:t>
      </w:r>
      <w:proofErr w:type="spellStart"/>
      <w:r w:rsidR="001970A9" w:rsidRPr="0034683A">
        <w:rPr>
          <w:rFonts w:ascii="Times New Roman" w:hAnsi="Times New Roman" w:cs="Times New Roman"/>
          <w:lang w:val="en-US"/>
        </w:rPr>
        <w:t>Chagossians</w:t>
      </w:r>
      <w:proofErr w:type="spellEnd"/>
      <w:r w:rsidR="001970A9" w:rsidRPr="0034683A">
        <w:rPr>
          <w:rFonts w:ascii="Times New Roman" w:hAnsi="Times New Roman" w:cs="Times New Roman"/>
          <w:lang w:val="en-US"/>
        </w:rPr>
        <w:t xml:space="preserve"> who</w:t>
      </w:r>
      <w:r w:rsidRPr="0034683A">
        <w:rPr>
          <w:rFonts w:ascii="Times New Roman" w:hAnsi="Times New Roman" w:cs="Times New Roman"/>
          <w:lang w:val="en-US"/>
        </w:rPr>
        <w:t xml:space="preserve"> were removed to the Seychelles</w:t>
      </w:r>
      <w:r w:rsidR="004C20C2">
        <w:rPr>
          <w:rStyle w:val="FootnoteReference"/>
          <w:rFonts w:ascii="Times New Roman" w:hAnsi="Times New Roman" w:cs="Times New Roman"/>
          <w:lang w:val="en-US"/>
        </w:rPr>
        <w:footnoteReference w:id="5"/>
      </w:r>
      <w:r w:rsidRPr="0034683A">
        <w:rPr>
          <w:rFonts w:ascii="Times New Roman" w:hAnsi="Times New Roman" w:cs="Times New Roman"/>
          <w:lang w:val="en-US"/>
        </w:rPr>
        <w:t>, who</w:t>
      </w:r>
      <w:r w:rsidR="001970A9" w:rsidRPr="0034683A">
        <w:rPr>
          <w:rFonts w:ascii="Times New Roman" w:hAnsi="Times New Roman" w:cs="Times New Roman"/>
          <w:lang w:val="en-US"/>
        </w:rPr>
        <w:t xml:space="preserve"> played no part in the negotiations and who did nothing to compromise their rights. </w:t>
      </w:r>
    </w:p>
    <w:p w:rsidR="004C1440" w:rsidRPr="0034683A" w:rsidRDefault="004C1440" w:rsidP="001225A6">
      <w:pPr>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2"/>
        </w:numPr>
        <w:spacing w:after="0" w:line="240" w:lineRule="auto"/>
        <w:jc w:val="both"/>
        <w:rPr>
          <w:rFonts w:ascii="Times New Roman" w:hAnsi="Times New Roman" w:cs="Times New Roman"/>
        </w:rPr>
      </w:pPr>
      <w:r w:rsidRPr="0034683A">
        <w:rPr>
          <w:rFonts w:ascii="Times New Roman" w:hAnsi="Times New Roman" w:cs="Times New Roman"/>
          <w:lang w:val="en-US"/>
        </w:rPr>
        <w:t>In 2000 another action was brought in Londo</w:t>
      </w:r>
      <w:r w:rsidRPr="0034683A">
        <w:rPr>
          <w:rFonts w:ascii="Times New Roman" w:hAnsi="Times New Roman" w:cs="Times New Roman"/>
          <w:color w:val="000000" w:themeColor="text1"/>
          <w:lang w:val="en-US"/>
        </w:rPr>
        <w:t xml:space="preserve">n, </w:t>
      </w:r>
      <w:r w:rsidRPr="0034683A">
        <w:rPr>
          <w:rFonts w:ascii="Times New Roman" w:hAnsi="Times New Roman" w:cs="Times New Roman"/>
          <w:i/>
          <w:iCs/>
          <w:color w:val="000000" w:themeColor="text1"/>
          <w:lang w:val="en-US"/>
        </w:rPr>
        <w:t xml:space="preserve">R. (on the application of </w:t>
      </w:r>
      <w:proofErr w:type="spellStart"/>
      <w:r w:rsidRPr="0034683A">
        <w:rPr>
          <w:rFonts w:ascii="Times New Roman" w:hAnsi="Times New Roman" w:cs="Times New Roman"/>
          <w:i/>
          <w:iCs/>
          <w:color w:val="000000" w:themeColor="text1"/>
          <w:lang w:val="en-US"/>
        </w:rPr>
        <w:t>Bancoult</w:t>
      </w:r>
      <w:proofErr w:type="spellEnd"/>
      <w:r w:rsidRPr="0034683A">
        <w:rPr>
          <w:rFonts w:ascii="Times New Roman" w:hAnsi="Times New Roman" w:cs="Times New Roman"/>
          <w:i/>
          <w:iCs/>
          <w:color w:val="000000" w:themeColor="text1"/>
          <w:lang w:val="en-US"/>
        </w:rPr>
        <w:t>) v Secretary of State for the Foreign and Commonwealth Office</w:t>
      </w:r>
      <w:r w:rsidRPr="0034683A">
        <w:rPr>
          <w:rStyle w:val="FootnoteReference"/>
          <w:rFonts w:ascii="Times New Roman" w:hAnsi="Times New Roman" w:cs="Times New Roman"/>
          <w:i/>
          <w:iCs/>
          <w:color w:val="000000" w:themeColor="text1"/>
          <w:lang w:val="en-US"/>
        </w:rPr>
        <w:footnoteReference w:id="6"/>
      </w:r>
      <w:r w:rsidRPr="0034683A">
        <w:rPr>
          <w:rFonts w:ascii="Times New Roman" w:hAnsi="Times New Roman" w:cs="Times New Roman"/>
          <w:i/>
          <w:iCs/>
          <w:color w:val="000000" w:themeColor="text1"/>
          <w:lang w:val="en-US"/>
        </w:rPr>
        <w:t xml:space="preserve">, </w:t>
      </w:r>
      <w:r w:rsidRPr="0034683A">
        <w:rPr>
          <w:rFonts w:ascii="Times New Roman" w:hAnsi="Times New Roman" w:cs="Times New Roman"/>
          <w:color w:val="000000" w:themeColor="text1"/>
          <w:lang w:val="en-US"/>
        </w:rPr>
        <w:t xml:space="preserve">challenging </w:t>
      </w:r>
      <w:r w:rsidRPr="0034683A">
        <w:rPr>
          <w:rFonts w:ascii="Times New Roman" w:hAnsi="Times New Roman" w:cs="Times New Roman"/>
          <w:lang w:val="en-US"/>
        </w:rPr>
        <w:t xml:space="preserve">the validity of the 1971 Immigration Ordinance and </w:t>
      </w:r>
      <w:r w:rsidR="006B62C6" w:rsidRPr="0034683A">
        <w:rPr>
          <w:rFonts w:ascii="Times New Roman" w:hAnsi="Times New Roman" w:cs="Times New Roman"/>
          <w:lang w:val="en-US"/>
        </w:rPr>
        <w:t xml:space="preserve">on 3 November 2000 </w:t>
      </w:r>
      <w:r w:rsidRPr="0034683A">
        <w:rPr>
          <w:rFonts w:ascii="Times New Roman" w:hAnsi="Times New Roman" w:cs="Times New Roman"/>
          <w:lang w:val="en-US"/>
        </w:rPr>
        <w:t>t</w:t>
      </w:r>
      <w:r w:rsidR="006B62C6" w:rsidRPr="0034683A">
        <w:rPr>
          <w:rFonts w:ascii="Times New Roman" w:hAnsi="Times New Roman" w:cs="Times New Roman"/>
          <w:lang w:val="en-US"/>
        </w:rPr>
        <w:t>he divisional court upheld that challenge and found that the 1971 Immigration Ordinance</w:t>
      </w:r>
      <w:r w:rsidRPr="0034683A">
        <w:rPr>
          <w:rFonts w:ascii="Times New Roman" w:hAnsi="Times New Roman" w:cs="Times New Roman"/>
          <w:lang w:val="en-US"/>
        </w:rPr>
        <w:t xml:space="preserve"> was </w:t>
      </w:r>
      <w:r w:rsidR="006B62C6" w:rsidRPr="0034683A">
        <w:rPr>
          <w:rFonts w:ascii="Times New Roman" w:hAnsi="Times New Roman" w:cs="Times New Roman"/>
          <w:lang w:val="en-US"/>
        </w:rPr>
        <w:t>invalid. As a result,</w:t>
      </w:r>
      <w:r w:rsidRPr="0034683A">
        <w:rPr>
          <w:rFonts w:ascii="Times New Roman" w:hAnsi="Times New Roman" w:cs="Times New Roman"/>
          <w:lang w:val="en-US"/>
        </w:rPr>
        <w:t xml:space="preserve"> the Commissioner of BIOT revoked the 1971 Immigration Or</w:t>
      </w:r>
      <w:r w:rsidR="006B62C6" w:rsidRPr="0034683A">
        <w:rPr>
          <w:rFonts w:ascii="Times New Roman" w:hAnsi="Times New Roman" w:cs="Times New Roman"/>
          <w:lang w:val="en-US"/>
        </w:rPr>
        <w:t xml:space="preserve">dinance and </w:t>
      </w:r>
      <w:r w:rsidRPr="0034683A">
        <w:rPr>
          <w:rFonts w:ascii="Times New Roman" w:hAnsi="Times New Roman" w:cs="Times New Roman"/>
          <w:lang w:val="en-US"/>
        </w:rPr>
        <w:t xml:space="preserve">made the BIOT Immigration Ordinance 2000, which </w:t>
      </w:r>
      <w:r w:rsidR="006B62C6" w:rsidRPr="0034683A">
        <w:rPr>
          <w:rFonts w:ascii="Times New Roman" w:hAnsi="Times New Roman" w:cs="Times New Roman"/>
          <w:lang w:val="en-US"/>
        </w:rPr>
        <w:t xml:space="preserve">contained a </w:t>
      </w:r>
      <w:r w:rsidRPr="0034683A">
        <w:rPr>
          <w:rFonts w:ascii="Times New Roman" w:hAnsi="Times New Roman" w:cs="Times New Roman"/>
          <w:lang w:val="en-US"/>
        </w:rPr>
        <w:t xml:space="preserve">provision that restrictions on entry or residence should (with the exception of Diego Garcia) not apply to anyone who was a British Dependent Territories Citizens by virtue of connection with BIOT. Entry to Diego Garcia remained subject to permit. </w:t>
      </w:r>
    </w:p>
    <w:p w:rsidR="001970A9" w:rsidRPr="0034683A" w:rsidRDefault="001970A9" w:rsidP="001225A6">
      <w:pPr>
        <w:widowControl w:val="0"/>
        <w:spacing w:after="0" w:line="240" w:lineRule="auto"/>
        <w:jc w:val="both"/>
        <w:rPr>
          <w:rFonts w:ascii="Times New Roman" w:hAnsi="Times New Roman" w:cs="Times New Roman"/>
          <w:bCs/>
          <w:i/>
        </w:rPr>
      </w:pPr>
    </w:p>
    <w:p w:rsidR="006B62C6" w:rsidRPr="0034683A" w:rsidRDefault="001970A9" w:rsidP="001225A6">
      <w:pPr>
        <w:pStyle w:val="ListParagraph"/>
        <w:widowControl w:val="0"/>
        <w:numPr>
          <w:ilvl w:val="0"/>
          <w:numId w:val="3"/>
        </w:numPr>
        <w:spacing w:after="0" w:line="240" w:lineRule="auto"/>
        <w:ind w:hanging="371"/>
        <w:jc w:val="both"/>
        <w:rPr>
          <w:rFonts w:ascii="Times New Roman" w:hAnsi="Times New Roman" w:cs="Times New Roman"/>
          <w:b/>
          <w:bCs/>
        </w:rPr>
      </w:pPr>
      <w:r w:rsidRPr="0034683A">
        <w:rPr>
          <w:rFonts w:ascii="Times New Roman" w:hAnsi="Times New Roman" w:cs="Times New Roman"/>
          <w:b/>
          <w:bCs/>
        </w:rPr>
        <w:t>Existing Concluding Observations and Responses:</w:t>
      </w:r>
    </w:p>
    <w:p w:rsidR="006B62C6" w:rsidRPr="0034683A" w:rsidRDefault="006B62C6" w:rsidP="001225A6">
      <w:pPr>
        <w:pStyle w:val="ListParagraph"/>
        <w:widowControl w:val="0"/>
        <w:spacing w:after="0" w:line="240" w:lineRule="auto"/>
        <w:ind w:left="1091"/>
        <w:jc w:val="both"/>
        <w:rPr>
          <w:rFonts w:ascii="Times New Roman" w:hAnsi="Times New Roman" w:cs="Times New Roman"/>
          <w:bCs/>
        </w:rPr>
      </w:pPr>
    </w:p>
    <w:p w:rsidR="001970A9" w:rsidRPr="0034683A" w:rsidRDefault="001970A9" w:rsidP="001225A6">
      <w:pPr>
        <w:pStyle w:val="ListParagraph"/>
        <w:widowControl w:val="0"/>
        <w:numPr>
          <w:ilvl w:val="0"/>
          <w:numId w:val="2"/>
        </w:numPr>
        <w:spacing w:after="0" w:line="240" w:lineRule="auto"/>
        <w:jc w:val="both"/>
        <w:rPr>
          <w:rFonts w:ascii="Times New Roman" w:hAnsi="Times New Roman" w:cs="Times New Roman"/>
          <w:bCs/>
        </w:rPr>
      </w:pPr>
      <w:r w:rsidRPr="0034683A">
        <w:rPr>
          <w:rFonts w:ascii="Times New Roman" w:hAnsi="Times New Roman" w:cs="Times New Roman"/>
          <w:bCs/>
        </w:rPr>
        <w:t>Against this background the Human Rights Committee’s 2001 Concluding Observations read as follows at paragraph 38:</w:t>
      </w:r>
    </w:p>
    <w:p w:rsidR="001970A9" w:rsidRPr="0034683A" w:rsidRDefault="001970A9" w:rsidP="001225A6">
      <w:pPr>
        <w:pStyle w:val="ListParagraph"/>
        <w:widowControl w:val="0"/>
        <w:spacing w:after="0" w:line="240" w:lineRule="auto"/>
        <w:jc w:val="both"/>
        <w:rPr>
          <w:rFonts w:ascii="Times New Roman" w:hAnsi="Times New Roman" w:cs="Times New Roman"/>
          <w:bCs/>
        </w:rPr>
      </w:pPr>
    </w:p>
    <w:p w:rsidR="001970A9" w:rsidRPr="0034683A" w:rsidRDefault="001970A9" w:rsidP="001225A6">
      <w:pPr>
        <w:pStyle w:val="ListParagraph"/>
        <w:widowControl w:val="0"/>
        <w:spacing w:after="0" w:line="240" w:lineRule="auto"/>
        <w:ind w:left="1440" w:right="1088"/>
        <w:jc w:val="both"/>
        <w:rPr>
          <w:rFonts w:ascii="Times New Roman" w:hAnsi="Times New Roman" w:cs="Times New Roman"/>
          <w:bCs/>
        </w:rPr>
      </w:pPr>
      <w:r w:rsidRPr="0034683A">
        <w:rPr>
          <w:rFonts w:ascii="Times New Roman" w:hAnsi="Times New Roman" w:cs="Times New Roman"/>
          <w:b/>
          <w:bCs/>
        </w:rPr>
        <w:t xml:space="preserve">British Indian Ocean Territory. </w:t>
      </w:r>
    </w:p>
    <w:p w:rsidR="001970A9" w:rsidRPr="0034683A" w:rsidRDefault="001970A9" w:rsidP="001225A6">
      <w:pPr>
        <w:pStyle w:val="ListParagraph"/>
        <w:widowControl w:val="0"/>
        <w:spacing w:after="0" w:line="240" w:lineRule="auto"/>
        <w:ind w:left="1440" w:right="1088"/>
        <w:jc w:val="both"/>
        <w:rPr>
          <w:rFonts w:ascii="Times New Roman" w:hAnsi="Times New Roman" w:cs="Times New Roman"/>
          <w:bCs/>
        </w:rPr>
      </w:pPr>
      <w:r w:rsidRPr="0034683A">
        <w:rPr>
          <w:rFonts w:ascii="Times New Roman" w:hAnsi="Times New Roman" w:cs="Times New Roman"/>
          <w:bCs/>
        </w:rPr>
        <w:t>Although this territory was not included in the State party’s report (and the State party apparently considers that, owing to an absence of population, the Covenant does not apply to this territory), the Committee takes note of the State party’s acceptance that its prohibition of the return of Ilois [the islanders] who had left or been removed from the territory was unlawful.</w:t>
      </w:r>
    </w:p>
    <w:p w:rsidR="001970A9" w:rsidRPr="0034683A" w:rsidRDefault="001970A9" w:rsidP="001225A6">
      <w:pPr>
        <w:pStyle w:val="ListParagraph"/>
        <w:widowControl w:val="0"/>
        <w:spacing w:after="0" w:line="240" w:lineRule="auto"/>
        <w:ind w:left="1440" w:right="1088"/>
        <w:jc w:val="both"/>
        <w:rPr>
          <w:rFonts w:ascii="Times New Roman" w:hAnsi="Times New Roman" w:cs="Times New Roman"/>
          <w:bCs/>
        </w:rPr>
      </w:pPr>
    </w:p>
    <w:p w:rsidR="001970A9" w:rsidRPr="0034683A" w:rsidRDefault="001970A9" w:rsidP="001225A6">
      <w:pPr>
        <w:pStyle w:val="ListParagraph"/>
        <w:widowControl w:val="0"/>
        <w:spacing w:after="0" w:line="240" w:lineRule="auto"/>
        <w:ind w:left="1440" w:right="1088"/>
        <w:jc w:val="both"/>
        <w:rPr>
          <w:rFonts w:ascii="Times New Roman" w:hAnsi="Times New Roman" w:cs="Times New Roman"/>
          <w:b/>
          <w:bCs/>
        </w:rPr>
      </w:pPr>
      <w:r w:rsidRPr="0034683A">
        <w:rPr>
          <w:rFonts w:ascii="Times New Roman" w:hAnsi="Times New Roman" w:cs="Times New Roman"/>
          <w:b/>
          <w:bCs/>
        </w:rPr>
        <w:t>The State party should, to the extent still possible, seek to make exercise of the Ilois’</w:t>
      </w:r>
      <w:r w:rsidR="001831F3">
        <w:rPr>
          <w:rFonts w:ascii="Times New Roman" w:hAnsi="Times New Roman" w:cs="Times New Roman"/>
          <w:b/>
          <w:bCs/>
        </w:rPr>
        <w:t xml:space="preserve"> [Chagos Islanders’]</w:t>
      </w:r>
      <w:r w:rsidRPr="0034683A">
        <w:rPr>
          <w:rFonts w:ascii="Times New Roman" w:hAnsi="Times New Roman" w:cs="Times New Roman"/>
          <w:b/>
          <w:bCs/>
        </w:rPr>
        <w:t xml:space="preserve"> right to return to their territory practicable. It should consider compensation for the denial of this right over an extended period. It should include the territory in its next periodic report. </w:t>
      </w:r>
    </w:p>
    <w:p w:rsidR="001970A9" w:rsidRPr="0034683A" w:rsidRDefault="001970A9" w:rsidP="001225A6">
      <w:pPr>
        <w:pStyle w:val="ListParagraph"/>
        <w:widowControl w:val="0"/>
        <w:spacing w:after="0" w:line="240" w:lineRule="auto"/>
        <w:jc w:val="both"/>
        <w:rPr>
          <w:rFonts w:ascii="Times New Roman" w:hAnsi="Times New Roman" w:cs="Times New Roman"/>
          <w:bCs/>
        </w:rPr>
      </w:pPr>
    </w:p>
    <w:p w:rsidR="001970A9" w:rsidRPr="0034683A" w:rsidRDefault="006B62C6" w:rsidP="001225A6">
      <w:pPr>
        <w:pStyle w:val="ListParagraph"/>
        <w:widowControl w:val="0"/>
        <w:numPr>
          <w:ilvl w:val="0"/>
          <w:numId w:val="4"/>
        </w:numPr>
        <w:spacing w:after="0" w:line="240" w:lineRule="auto"/>
        <w:jc w:val="both"/>
        <w:rPr>
          <w:rFonts w:ascii="Times New Roman" w:hAnsi="Times New Roman" w:cs="Times New Roman"/>
        </w:rPr>
      </w:pPr>
      <w:r w:rsidRPr="0034683A">
        <w:rPr>
          <w:rFonts w:ascii="Times New Roman" w:hAnsi="Times New Roman" w:cs="Times New Roman"/>
        </w:rPr>
        <w:lastRenderedPageBreak/>
        <w:t>This was</w:t>
      </w:r>
      <w:r w:rsidR="001970A9" w:rsidRPr="0034683A">
        <w:rPr>
          <w:rFonts w:ascii="Times New Roman" w:hAnsi="Times New Roman" w:cs="Times New Roman"/>
        </w:rPr>
        <w:t xml:space="preserve"> reflective of the practical difficulties to be faced by the Islanders in returning and rebuilding on the islands; in the four</w:t>
      </w:r>
      <w:r w:rsidR="001831F3">
        <w:rPr>
          <w:rFonts w:ascii="Times New Roman" w:hAnsi="Times New Roman" w:cs="Times New Roman"/>
        </w:rPr>
        <w:t xml:space="preserve"> years which followed the 2000 O</w:t>
      </w:r>
      <w:r w:rsidR="001970A9" w:rsidRPr="0034683A">
        <w:rPr>
          <w:rFonts w:ascii="Times New Roman" w:hAnsi="Times New Roman" w:cs="Times New Roman"/>
        </w:rPr>
        <w:t xml:space="preserve">rdinance permitting return to all islands except Diego Garcia, no islanders returned. </w:t>
      </w:r>
    </w:p>
    <w:p w:rsidR="001970A9" w:rsidRPr="0034683A" w:rsidRDefault="001970A9" w:rsidP="001225A6">
      <w:pPr>
        <w:pStyle w:val="ListParagraph"/>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4"/>
        </w:numPr>
        <w:spacing w:after="0" w:line="240" w:lineRule="auto"/>
        <w:jc w:val="both"/>
        <w:rPr>
          <w:rFonts w:ascii="Times New Roman" w:hAnsi="Times New Roman" w:cs="Times New Roman"/>
        </w:rPr>
      </w:pPr>
      <w:r w:rsidRPr="0034683A">
        <w:rPr>
          <w:rFonts w:ascii="Times New Roman" w:hAnsi="Times New Roman" w:cs="Times New Roman"/>
        </w:rPr>
        <w:t xml:space="preserve">A claim for a right to return to Diego Garcia was rejected along with a further claim for compensation in </w:t>
      </w:r>
      <w:r w:rsidRPr="0034683A">
        <w:rPr>
          <w:rFonts w:ascii="Times New Roman" w:hAnsi="Times New Roman" w:cs="Times New Roman"/>
          <w:i/>
        </w:rPr>
        <w:t>Chagos Islanders v. The Attorney General</w:t>
      </w:r>
      <w:r w:rsidRPr="0034683A">
        <w:rPr>
          <w:rFonts w:ascii="Times New Roman" w:hAnsi="Times New Roman" w:cs="Times New Roman"/>
        </w:rPr>
        <w:t xml:space="preserve"> in 2003</w:t>
      </w:r>
      <w:r w:rsidRPr="0034683A">
        <w:rPr>
          <w:rStyle w:val="FootnoteReference"/>
          <w:rFonts w:ascii="Times New Roman" w:hAnsi="Times New Roman" w:cs="Times New Roman"/>
        </w:rPr>
        <w:footnoteReference w:id="7"/>
      </w:r>
      <w:r w:rsidRPr="0034683A">
        <w:rPr>
          <w:rFonts w:ascii="Times New Roman" w:hAnsi="Times New Roman" w:cs="Times New Roman"/>
        </w:rPr>
        <w:t xml:space="preserve">. The Mauritius-based islanders were considered to have settled their claims and the claims of those islanders on the Seychelles were considered to be time-barred. </w:t>
      </w:r>
    </w:p>
    <w:p w:rsidR="001970A9" w:rsidRPr="0034683A" w:rsidRDefault="001970A9" w:rsidP="001225A6">
      <w:pPr>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4"/>
        </w:numPr>
        <w:spacing w:after="0" w:line="240" w:lineRule="auto"/>
        <w:jc w:val="both"/>
        <w:rPr>
          <w:rFonts w:ascii="Times New Roman" w:hAnsi="Times New Roman" w:cs="Times New Roman"/>
        </w:rPr>
      </w:pPr>
      <w:r w:rsidRPr="0034683A">
        <w:rPr>
          <w:rFonts w:ascii="Times New Roman" w:hAnsi="Times New Roman" w:cs="Times New Roman"/>
        </w:rPr>
        <w:t>Instead of addressing the concerns in the 2001 C</w:t>
      </w:r>
      <w:r w:rsidR="006B62C6" w:rsidRPr="0034683A">
        <w:rPr>
          <w:rFonts w:ascii="Times New Roman" w:hAnsi="Times New Roman" w:cs="Times New Roman"/>
        </w:rPr>
        <w:t>oncluding Observations, on 10 June 200</w:t>
      </w:r>
      <w:r w:rsidRPr="0034683A">
        <w:rPr>
          <w:rFonts w:ascii="Times New Roman" w:hAnsi="Times New Roman" w:cs="Times New Roman"/>
        </w:rPr>
        <w:t xml:space="preserve">4 </w:t>
      </w:r>
      <w:r w:rsidRPr="0034683A">
        <w:rPr>
          <w:rFonts w:ascii="Times New Roman" w:hAnsi="Times New Roman" w:cs="Times New Roman"/>
          <w:lang w:val="en-US"/>
        </w:rPr>
        <w:t xml:space="preserve">the BIOT (Constitution) Order 2004 was issued. It declared that no person had the right of abode in the territory or the right to enter it except as </w:t>
      </w:r>
      <w:proofErr w:type="spellStart"/>
      <w:r w:rsidRPr="0034683A">
        <w:rPr>
          <w:rFonts w:ascii="Times New Roman" w:hAnsi="Times New Roman" w:cs="Times New Roman"/>
          <w:lang w:val="en-US"/>
        </w:rPr>
        <w:t>authorised</w:t>
      </w:r>
      <w:proofErr w:type="spellEnd"/>
      <w:r w:rsidRPr="0034683A">
        <w:rPr>
          <w:rFonts w:ascii="Times New Roman" w:hAnsi="Times New Roman" w:cs="Times New Roman"/>
          <w:lang w:val="en-US"/>
        </w:rPr>
        <w:t>. The same day there passed into law th</w:t>
      </w:r>
      <w:r w:rsidR="006B62C6" w:rsidRPr="0034683A">
        <w:rPr>
          <w:rFonts w:ascii="Times New Roman" w:hAnsi="Times New Roman" w:cs="Times New Roman"/>
          <w:lang w:val="en-US"/>
        </w:rPr>
        <w:t>e BIOT (Immigration) Order 2004</w:t>
      </w:r>
      <w:r w:rsidRPr="0034683A">
        <w:rPr>
          <w:rFonts w:ascii="Times New Roman" w:hAnsi="Times New Roman" w:cs="Times New Roman"/>
          <w:lang w:val="en-US"/>
        </w:rPr>
        <w:t>, repealing the 2000 Ordinance. This prohibited anyone from entering the territory without a permit from the immigration officer (members of the armed forces, public officers and contractors working on the American base were exempt or d</w:t>
      </w:r>
      <w:r w:rsidR="00612F49" w:rsidRPr="0034683A">
        <w:rPr>
          <w:rFonts w:ascii="Times New Roman" w:hAnsi="Times New Roman" w:cs="Times New Roman"/>
          <w:lang w:val="en-US"/>
        </w:rPr>
        <w:t>eemed to hold a permit). On 15 June 200</w:t>
      </w:r>
      <w:r w:rsidRPr="0034683A">
        <w:rPr>
          <w:rFonts w:ascii="Times New Roman" w:hAnsi="Times New Roman" w:cs="Times New Roman"/>
          <w:lang w:val="en-US"/>
        </w:rPr>
        <w:t>4, the</w:t>
      </w:r>
      <w:r w:rsidR="001831F3">
        <w:rPr>
          <w:rFonts w:ascii="Times New Roman" w:hAnsi="Times New Roman" w:cs="Times New Roman"/>
          <w:lang w:val="en-US"/>
        </w:rPr>
        <w:t xml:space="preserve"> UK</w:t>
      </w:r>
      <w:r w:rsidRPr="0034683A">
        <w:rPr>
          <w:rFonts w:ascii="Times New Roman" w:hAnsi="Times New Roman" w:cs="Times New Roman"/>
          <w:lang w:val="en-US"/>
        </w:rPr>
        <w:t xml:space="preserve"> Government issued a statement a</w:t>
      </w:r>
      <w:r w:rsidR="00612F49" w:rsidRPr="0034683A">
        <w:rPr>
          <w:rFonts w:ascii="Times New Roman" w:hAnsi="Times New Roman" w:cs="Times New Roman"/>
          <w:lang w:val="en-US"/>
        </w:rPr>
        <w:t>nnouncing the abandonment of a</w:t>
      </w:r>
      <w:r w:rsidRPr="0034683A">
        <w:rPr>
          <w:rFonts w:ascii="Times New Roman" w:hAnsi="Times New Roman" w:cs="Times New Roman"/>
          <w:lang w:val="en-US"/>
        </w:rPr>
        <w:t xml:space="preserve"> feasibility study into resettlement.</w:t>
      </w:r>
    </w:p>
    <w:p w:rsidR="001970A9" w:rsidRPr="0034683A" w:rsidRDefault="001970A9" w:rsidP="001225A6">
      <w:pPr>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4"/>
        </w:numPr>
        <w:spacing w:after="0" w:line="240" w:lineRule="auto"/>
        <w:jc w:val="both"/>
        <w:rPr>
          <w:rFonts w:ascii="Times New Roman" w:hAnsi="Times New Roman" w:cs="Times New Roman"/>
        </w:rPr>
      </w:pPr>
      <w:r w:rsidRPr="0034683A">
        <w:rPr>
          <w:rFonts w:ascii="Times New Roman" w:hAnsi="Times New Roman" w:cs="Times New Roman"/>
          <w:lang w:val="en-US"/>
        </w:rPr>
        <w:t xml:space="preserve">Judicial review proceedings were brought seeking to challenge </w:t>
      </w:r>
      <w:r w:rsidR="00612F49" w:rsidRPr="0034683A">
        <w:rPr>
          <w:rFonts w:ascii="Times New Roman" w:hAnsi="Times New Roman" w:cs="Times New Roman"/>
          <w:lang w:val="en-US"/>
        </w:rPr>
        <w:t>the 2004 orders barring the</w:t>
      </w:r>
      <w:r w:rsidRPr="0034683A">
        <w:rPr>
          <w:rFonts w:ascii="Times New Roman" w:hAnsi="Times New Roman" w:cs="Times New Roman"/>
          <w:lang w:val="en-US"/>
        </w:rPr>
        <w:t xml:space="preserve"> return to the islands as </w:t>
      </w:r>
      <w:r w:rsidRPr="0034683A">
        <w:rPr>
          <w:rFonts w:ascii="Times New Roman" w:hAnsi="Times New Roman" w:cs="Times New Roman"/>
          <w:color w:val="000000" w:themeColor="text1"/>
          <w:lang w:val="en-US"/>
        </w:rPr>
        <w:t xml:space="preserve">unlawful in </w:t>
      </w:r>
      <w:r w:rsidRPr="0034683A">
        <w:rPr>
          <w:rFonts w:ascii="Times New Roman" w:hAnsi="Times New Roman" w:cs="Times New Roman"/>
          <w:i/>
          <w:iCs/>
          <w:color w:val="000000" w:themeColor="text1"/>
          <w:lang w:val="en-US"/>
        </w:rPr>
        <w:t xml:space="preserve">R. (on the application of </w:t>
      </w:r>
      <w:proofErr w:type="spellStart"/>
      <w:r w:rsidRPr="0034683A">
        <w:rPr>
          <w:rFonts w:ascii="Times New Roman" w:hAnsi="Times New Roman" w:cs="Times New Roman"/>
          <w:i/>
          <w:iCs/>
          <w:color w:val="000000" w:themeColor="text1"/>
          <w:lang w:val="en-US"/>
        </w:rPr>
        <w:t>Bancoult</w:t>
      </w:r>
      <w:proofErr w:type="spellEnd"/>
      <w:r w:rsidRPr="0034683A">
        <w:rPr>
          <w:rFonts w:ascii="Times New Roman" w:hAnsi="Times New Roman" w:cs="Times New Roman"/>
          <w:i/>
          <w:iCs/>
          <w:color w:val="000000" w:themeColor="text1"/>
          <w:lang w:val="en-US"/>
        </w:rPr>
        <w:t>) v Secretary of State for Foreign and Commonwealth Affairs (No 2)</w:t>
      </w:r>
      <w:r w:rsidRPr="0034683A">
        <w:rPr>
          <w:rStyle w:val="FootnoteReference"/>
          <w:rFonts w:ascii="Times New Roman" w:hAnsi="Times New Roman" w:cs="Times New Roman"/>
          <w:i/>
          <w:iCs/>
          <w:color w:val="000000" w:themeColor="text1"/>
          <w:lang w:val="en-US"/>
        </w:rPr>
        <w:footnoteReference w:id="8"/>
      </w:r>
      <w:r w:rsidRPr="0034683A">
        <w:rPr>
          <w:rFonts w:ascii="Times New Roman" w:hAnsi="Times New Roman" w:cs="Times New Roman"/>
          <w:iCs/>
          <w:color w:val="000000" w:themeColor="text1"/>
          <w:lang w:val="en-US"/>
        </w:rPr>
        <w:t xml:space="preserve">. That challenge was successful in the UK Court of Appeal whose decision was referred to in the Human Rights Committee’s Concluding Observations in 2008. </w:t>
      </w:r>
    </w:p>
    <w:p w:rsidR="001970A9" w:rsidRPr="0034683A" w:rsidRDefault="001970A9" w:rsidP="001225A6">
      <w:pPr>
        <w:widowControl w:val="0"/>
        <w:spacing w:after="0" w:line="240" w:lineRule="auto"/>
        <w:jc w:val="both"/>
        <w:rPr>
          <w:rFonts w:ascii="Times New Roman" w:hAnsi="Times New Roman" w:cs="Times New Roman"/>
        </w:rPr>
      </w:pPr>
    </w:p>
    <w:p w:rsidR="001970A9" w:rsidRPr="0034683A" w:rsidRDefault="001970A9" w:rsidP="001225A6">
      <w:pPr>
        <w:pStyle w:val="ListParagraph"/>
        <w:widowControl w:val="0"/>
        <w:numPr>
          <w:ilvl w:val="0"/>
          <w:numId w:val="6"/>
        </w:numPr>
        <w:spacing w:after="0" w:line="240" w:lineRule="auto"/>
        <w:jc w:val="both"/>
        <w:rPr>
          <w:rFonts w:ascii="Times New Roman" w:hAnsi="Times New Roman" w:cs="Times New Roman"/>
        </w:rPr>
      </w:pPr>
      <w:r w:rsidRPr="0034683A">
        <w:rPr>
          <w:rFonts w:ascii="Times New Roman" w:hAnsi="Times New Roman" w:cs="Times New Roman"/>
        </w:rPr>
        <w:t>The 2008 Concluding Observations read as follows at paragraph 22:</w:t>
      </w:r>
    </w:p>
    <w:p w:rsidR="001970A9" w:rsidRPr="0034683A" w:rsidRDefault="001970A9" w:rsidP="001225A6">
      <w:pPr>
        <w:widowControl w:val="0"/>
        <w:spacing w:after="0" w:line="240" w:lineRule="auto"/>
        <w:jc w:val="both"/>
        <w:rPr>
          <w:rFonts w:ascii="Times New Roman" w:hAnsi="Times New Roman" w:cs="Times New Roman"/>
        </w:rPr>
      </w:pPr>
    </w:p>
    <w:p w:rsidR="001970A9" w:rsidRPr="0034683A" w:rsidRDefault="001970A9" w:rsidP="001225A6">
      <w:pPr>
        <w:spacing w:line="240" w:lineRule="auto"/>
        <w:ind w:left="1418" w:right="1088"/>
        <w:jc w:val="both"/>
        <w:rPr>
          <w:rFonts w:ascii="Times New Roman" w:hAnsi="Times New Roman" w:cs="Times New Roman"/>
        </w:rPr>
      </w:pPr>
      <w:r w:rsidRPr="0034683A">
        <w:rPr>
          <w:rFonts w:ascii="Times New Roman" w:hAnsi="Times New Roman" w:cs="Times New Roman"/>
        </w:rPr>
        <w:t xml:space="preserve">The Committee regrets that, despite its previous recommendation, the State party has not included the British Indian Ocean Territory in its periodic report because it claims that, owing to an absence of population, the Covenant does not apply to this territory. It takes note of the recent decision of the Court of Appeal in </w:t>
      </w:r>
      <w:r w:rsidRPr="0034683A">
        <w:rPr>
          <w:rFonts w:ascii="Times New Roman" w:hAnsi="Times New Roman" w:cs="Times New Roman"/>
          <w:i/>
          <w:iCs/>
          <w:color w:val="000000"/>
        </w:rPr>
        <w:t>Regina (</w:t>
      </w:r>
      <w:proofErr w:type="spellStart"/>
      <w:r w:rsidRPr="0034683A">
        <w:rPr>
          <w:rFonts w:ascii="Times New Roman" w:hAnsi="Times New Roman" w:cs="Times New Roman"/>
          <w:i/>
          <w:iCs/>
          <w:color w:val="000000"/>
        </w:rPr>
        <w:t>Bancoult</w:t>
      </w:r>
      <w:proofErr w:type="spellEnd"/>
      <w:r w:rsidRPr="0034683A">
        <w:rPr>
          <w:rFonts w:ascii="Times New Roman" w:hAnsi="Times New Roman" w:cs="Times New Roman"/>
          <w:i/>
          <w:iCs/>
          <w:color w:val="000000"/>
        </w:rPr>
        <w:t xml:space="preserve">) v. Secretary of State for Foreign and Commonwealth Affairs (No 2) </w:t>
      </w:r>
      <w:r w:rsidRPr="0034683A">
        <w:rPr>
          <w:rFonts w:ascii="Times New Roman" w:hAnsi="Times New Roman" w:cs="Times New Roman"/>
          <w:color w:val="000000"/>
        </w:rPr>
        <w:t>(2007)</w:t>
      </w:r>
      <w:r w:rsidRPr="0034683A">
        <w:rPr>
          <w:rFonts w:ascii="Times New Roman" w:hAnsi="Times New Roman" w:cs="Times New Roman"/>
        </w:rPr>
        <w:t xml:space="preserve"> indicating that the Chagos islanders who were unlawfully removed from the British Indian Ocean Territory should be able to exercise their right to return to the outer islands of their territory. (art. 12)</w:t>
      </w:r>
    </w:p>
    <w:p w:rsidR="001970A9" w:rsidRPr="0034683A" w:rsidRDefault="001970A9" w:rsidP="001225A6">
      <w:pPr>
        <w:widowControl w:val="0"/>
        <w:spacing w:after="0" w:line="240" w:lineRule="auto"/>
        <w:ind w:left="1418" w:right="1088"/>
        <w:jc w:val="both"/>
        <w:rPr>
          <w:rFonts w:ascii="Times New Roman" w:hAnsi="Times New Roman" w:cs="Times New Roman"/>
          <w:b/>
          <w:bCs/>
        </w:rPr>
      </w:pPr>
      <w:r w:rsidRPr="0034683A">
        <w:rPr>
          <w:rFonts w:ascii="Times New Roman" w:hAnsi="Times New Roman" w:cs="Times New Roman"/>
          <w:b/>
          <w:bCs/>
        </w:rPr>
        <w:t>The State party should ensure that the Chagos islanders can exercise their right to return to their territory and should indicate what measures have been taken in this regard. It should consider compensation for the denial of this right over an extended period. It should also include the Territory in its next periodic report.</w:t>
      </w:r>
    </w:p>
    <w:p w:rsidR="001970A9" w:rsidRPr="0034683A" w:rsidRDefault="001970A9" w:rsidP="001225A6">
      <w:pPr>
        <w:widowControl w:val="0"/>
        <w:spacing w:after="0" w:line="240" w:lineRule="auto"/>
        <w:jc w:val="both"/>
        <w:rPr>
          <w:rFonts w:ascii="Times New Roman" w:hAnsi="Times New Roman" w:cs="Times New Roman"/>
          <w:bCs/>
          <w:i/>
        </w:rPr>
      </w:pPr>
    </w:p>
    <w:p w:rsidR="001970A9" w:rsidRPr="0034683A" w:rsidRDefault="001970A9" w:rsidP="001225A6">
      <w:pPr>
        <w:pStyle w:val="ListParagraph"/>
        <w:widowControl w:val="0"/>
        <w:numPr>
          <w:ilvl w:val="0"/>
          <w:numId w:val="6"/>
        </w:numPr>
        <w:spacing w:after="0" w:line="240" w:lineRule="auto"/>
        <w:jc w:val="both"/>
        <w:rPr>
          <w:rFonts w:ascii="Times New Roman" w:hAnsi="Times New Roman" w:cs="Times New Roman"/>
          <w:bCs/>
        </w:rPr>
      </w:pPr>
      <w:r w:rsidRPr="0034683A">
        <w:rPr>
          <w:rFonts w:ascii="Times New Roman" w:hAnsi="Times New Roman" w:cs="Times New Roman"/>
          <w:bCs/>
        </w:rPr>
        <w:t>However</w:t>
      </w:r>
      <w:r w:rsidR="00612F49" w:rsidRPr="0034683A">
        <w:rPr>
          <w:rFonts w:ascii="Times New Roman" w:hAnsi="Times New Roman" w:cs="Times New Roman"/>
          <w:bCs/>
        </w:rPr>
        <w:t>,</w:t>
      </w:r>
      <w:r w:rsidRPr="0034683A">
        <w:rPr>
          <w:rFonts w:ascii="Times New Roman" w:hAnsi="Times New Roman" w:cs="Times New Roman"/>
          <w:bCs/>
        </w:rPr>
        <w:t xml:space="preserve"> by the time the UK responded, the UK’s Supreme Court had permitted an appeal</w:t>
      </w:r>
      <w:r w:rsidRPr="0034683A">
        <w:rPr>
          <w:rStyle w:val="FootnoteReference"/>
          <w:rFonts w:ascii="Times New Roman" w:hAnsi="Times New Roman" w:cs="Times New Roman"/>
          <w:bCs/>
        </w:rPr>
        <w:footnoteReference w:id="9"/>
      </w:r>
      <w:r w:rsidRPr="0034683A">
        <w:rPr>
          <w:rFonts w:ascii="Times New Roman" w:hAnsi="Times New Roman" w:cs="Times New Roman"/>
          <w:bCs/>
        </w:rPr>
        <w:t>. The UK’s response to these Concluding Observations is set out at paragraph 206 of the Seventh Periodic Report of the UK</w:t>
      </w:r>
      <w:r w:rsidRPr="0034683A">
        <w:rPr>
          <w:rStyle w:val="FootnoteReference"/>
          <w:rFonts w:ascii="Times New Roman" w:hAnsi="Times New Roman" w:cs="Times New Roman"/>
          <w:bCs/>
        </w:rPr>
        <w:footnoteReference w:id="10"/>
      </w:r>
      <w:r w:rsidRPr="0034683A">
        <w:rPr>
          <w:rFonts w:ascii="Times New Roman" w:hAnsi="Times New Roman" w:cs="Times New Roman"/>
          <w:bCs/>
        </w:rPr>
        <w:t xml:space="preserve"> dated 29 April 2013. It is as follows: </w:t>
      </w:r>
    </w:p>
    <w:p w:rsidR="001970A9" w:rsidRPr="0034683A" w:rsidRDefault="001970A9" w:rsidP="001225A6">
      <w:pPr>
        <w:widowControl w:val="0"/>
        <w:spacing w:after="0" w:line="240" w:lineRule="auto"/>
        <w:jc w:val="both"/>
        <w:rPr>
          <w:rFonts w:ascii="Times New Roman" w:hAnsi="Times New Roman" w:cs="Times New Roman"/>
          <w:bCs/>
        </w:rPr>
      </w:pPr>
    </w:p>
    <w:p w:rsidR="001970A9" w:rsidRPr="0034683A" w:rsidRDefault="001970A9" w:rsidP="001225A6">
      <w:pPr>
        <w:spacing w:after="120" w:line="240" w:lineRule="auto"/>
        <w:ind w:left="1418" w:right="1191" w:firstLine="5"/>
        <w:jc w:val="both"/>
        <w:rPr>
          <w:rFonts w:ascii="Times New Roman" w:hAnsi="Times New Roman" w:cs="Times New Roman"/>
        </w:rPr>
      </w:pPr>
      <w:r w:rsidRPr="0034683A">
        <w:rPr>
          <w:rFonts w:ascii="Times New Roman" w:hAnsi="Times New Roman" w:cs="Times New Roman"/>
          <w:b/>
          <w:bCs/>
        </w:rPr>
        <w:lastRenderedPageBreak/>
        <w:t>Reply to the recommendations contained in paragraph 22 of the concluding observations</w:t>
      </w:r>
    </w:p>
    <w:p w:rsidR="001970A9" w:rsidRPr="0034683A" w:rsidRDefault="001970A9" w:rsidP="001225A6">
      <w:pPr>
        <w:pStyle w:val="SingleTxtG"/>
        <w:tabs>
          <w:tab w:val="left" w:pos="0"/>
        </w:tabs>
        <w:spacing w:line="240" w:lineRule="auto"/>
        <w:ind w:left="1418" w:firstLine="24"/>
        <w:rPr>
          <w:sz w:val="22"/>
          <w:szCs w:val="22"/>
        </w:rPr>
      </w:pPr>
      <w:r w:rsidRPr="0034683A">
        <w:rPr>
          <w:sz w:val="22"/>
          <w:szCs w:val="22"/>
        </w:rPr>
        <w:t>206.</w:t>
      </w:r>
      <w:r w:rsidRPr="0034683A">
        <w:rPr>
          <w:sz w:val="22"/>
          <w:szCs w:val="22"/>
        </w:rPr>
        <w:tab/>
        <w:t>In 2008 the Law Lords (now the Supreme Court of the United Kingdom) upheld the validity of the British Indian Ocean Territory (BIOT) 2004 Orders in Council. This means that no person has the right of abode in BIOT or the right to enter the Territory unless authorised. A case has been brought against the UK at the European Court of Human Rights around these issues. The UK government has not yet been informed when to expect a judgement.</w:t>
      </w:r>
    </w:p>
    <w:p w:rsidR="001970A9" w:rsidRPr="0034683A" w:rsidRDefault="001970A9"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The response, however, does not address the concerns in the C</w:t>
      </w:r>
      <w:r w:rsidR="00D85931" w:rsidRPr="0034683A">
        <w:rPr>
          <w:rFonts w:ascii="Times New Roman" w:hAnsi="Times New Roman" w:cs="Times New Roman"/>
        </w:rPr>
        <w:t>oncluding Observations.</w:t>
      </w:r>
    </w:p>
    <w:p w:rsidR="001970A9" w:rsidRPr="0034683A" w:rsidRDefault="001970A9" w:rsidP="001225A6">
      <w:pPr>
        <w:pStyle w:val="ListParagraph"/>
        <w:spacing w:line="240" w:lineRule="auto"/>
        <w:jc w:val="both"/>
        <w:rPr>
          <w:rFonts w:ascii="Times New Roman" w:hAnsi="Times New Roman" w:cs="Times New Roman"/>
        </w:rPr>
      </w:pPr>
    </w:p>
    <w:p w:rsidR="001970A9" w:rsidRPr="0034683A" w:rsidRDefault="00612F49"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Firstly, the Judgment of the</w:t>
      </w:r>
      <w:r w:rsidR="001970A9" w:rsidRPr="0034683A">
        <w:rPr>
          <w:rFonts w:ascii="Times New Roman" w:hAnsi="Times New Roman" w:cs="Times New Roman"/>
        </w:rPr>
        <w:t xml:space="preserve"> </w:t>
      </w:r>
      <w:r w:rsidRPr="0034683A">
        <w:rPr>
          <w:rFonts w:ascii="Times New Roman" w:hAnsi="Times New Roman" w:cs="Times New Roman"/>
        </w:rPr>
        <w:t>Supreme</w:t>
      </w:r>
      <w:r w:rsidR="001970A9" w:rsidRPr="0034683A">
        <w:rPr>
          <w:rFonts w:ascii="Times New Roman" w:hAnsi="Times New Roman" w:cs="Times New Roman"/>
        </w:rPr>
        <w:t xml:space="preserve"> </w:t>
      </w:r>
      <w:r w:rsidRPr="0034683A">
        <w:rPr>
          <w:rFonts w:ascii="Times New Roman" w:hAnsi="Times New Roman" w:cs="Times New Roman"/>
        </w:rPr>
        <w:t>C</w:t>
      </w:r>
      <w:r w:rsidR="001970A9" w:rsidRPr="0034683A">
        <w:rPr>
          <w:rFonts w:ascii="Times New Roman" w:hAnsi="Times New Roman" w:cs="Times New Roman"/>
        </w:rPr>
        <w:t>ourt does not alter the obligations of the UK to comply with the requirements and Conclu</w:t>
      </w:r>
      <w:r w:rsidRPr="0034683A">
        <w:rPr>
          <w:rFonts w:ascii="Times New Roman" w:hAnsi="Times New Roman" w:cs="Times New Roman"/>
        </w:rPr>
        <w:t xml:space="preserve">ding Observations of the Human Rights Committee. </w:t>
      </w:r>
    </w:p>
    <w:p w:rsidR="001970A9" w:rsidRPr="0034683A" w:rsidRDefault="001970A9" w:rsidP="001225A6">
      <w:pPr>
        <w:pStyle w:val="ListParagraph"/>
        <w:spacing w:line="240" w:lineRule="auto"/>
        <w:jc w:val="both"/>
        <w:rPr>
          <w:rFonts w:ascii="Times New Roman" w:hAnsi="Times New Roman" w:cs="Times New Roman"/>
        </w:rPr>
      </w:pPr>
    </w:p>
    <w:p w:rsidR="001970A9" w:rsidRPr="0034683A" w:rsidRDefault="001970A9"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Secondly, the Judgment of the Supreme Court does not determ</w:t>
      </w:r>
      <w:r w:rsidR="001831F3">
        <w:rPr>
          <w:rFonts w:ascii="Times New Roman" w:hAnsi="Times New Roman" w:cs="Times New Roman"/>
        </w:rPr>
        <w:t>ine whether the removal of the I</w:t>
      </w:r>
      <w:r w:rsidRPr="0034683A">
        <w:rPr>
          <w:rFonts w:ascii="Times New Roman" w:hAnsi="Times New Roman" w:cs="Times New Roman"/>
        </w:rPr>
        <w:t xml:space="preserve">slanders was legal in 1968. Instead, the court was asked to consider whether it was illegal to </w:t>
      </w:r>
      <w:proofErr w:type="spellStart"/>
      <w:r w:rsidRPr="0034683A">
        <w:rPr>
          <w:rFonts w:ascii="Times New Roman" w:hAnsi="Times New Roman" w:cs="Times New Roman"/>
        </w:rPr>
        <w:t>reimpose</w:t>
      </w:r>
      <w:proofErr w:type="spellEnd"/>
      <w:r w:rsidR="00D85931" w:rsidRPr="0034683A">
        <w:rPr>
          <w:rFonts w:ascii="Times New Roman" w:hAnsi="Times New Roman" w:cs="Times New Roman"/>
        </w:rPr>
        <w:t xml:space="preserve"> </w:t>
      </w:r>
      <w:r w:rsidRPr="0034683A">
        <w:rPr>
          <w:rFonts w:ascii="Times New Roman" w:hAnsi="Times New Roman" w:cs="Times New Roman"/>
        </w:rPr>
        <w:t>the ban on inhabitation in 2004</w:t>
      </w:r>
      <w:r w:rsidR="001831F3">
        <w:rPr>
          <w:rFonts w:ascii="Times New Roman" w:hAnsi="Times New Roman" w:cs="Times New Roman"/>
        </w:rPr>
        <w:t xml:space="preserve"> given that no I</w:t>
      </w:r>
      <w:r w:rsidR="008862C5" w:rsidRPr="0034683A">
        <w:rPr>
          <w:rFonts w:ascii="Times New Roman" w:hAnsi="Times New Roman" w:cs="Times New Roman"/>
        </w:rPr>
        <w:t>slanders had actually returned in the period between 2000 and 2004</w:t>
      </w:r>
      <w:r w:rsidRPr="0034683A">
        <w:rPr>
          <w:rFonts w:ascii="Times New Roman" w:hAnsi="Times New Roman" w:cs="Times New Roman"/>
        </w:rPr>
        <w:t>.</w:t>
      </w:r>
      <w:r w:rsidR="00612F49" w:rsidRPr="0034683A">
        <w:rPr>
          <w:rFonts w:ascii="Times New Roman" w:hAnsi="Times New Roman" w:cs="Times New Roman"/>
        </w:rPr>
        <w:t xml:space="preserve"> </w:t>
      </w:r>
      <w:r w:rsidRPr="0034683A">
        <w:rPr>
          <w:rFonts w:ascii="Times New Roman" w:hAnsi="Times New Roman" w:cs="Times New Roman"/>
        </w:rPr>
        <w:t xml:space="preserve">A 3-2 majority of the Supreme Court held </w:t>
      </w:r>
      <w:r w:rsidR="001831F3">
        <w:rPr>
          <w:rFonts w:ascii="Times New Roman" w:hAnsi="Times New Roman" w:cs="Times New Roman"/>
        </w:rPr>
        <w:t>that, given the absence of the I</w:t>
      </w:r>
      <w:r w:rsidRPr="0034683A">
        <w:rPr>
          <w:rFonts w:ascii="Times New Roman" w:hAnsi="Times New Roman" w:cs="Times New Roman"/>
        </w:rPr>
        <w:t>slanders since 1968</w:t>
      </w:r>
      <w:r w:rsidR="00D85931" w:rsidRPr="0034683A">
        <w:rPr>
          <w:rFonts w:ascii="Times New Roman" w:hAnsi="Times New Roman" w:cs="Times New Roman"/>
        </w:rPr>
        <w:t>,</w:t>
      </w:r>
      <w:r w:rsidRPr="0034683A">
        <w:rPr>
          <w:rFonts w:ascii="Times New Roman" w:hAnsi="Times New Roman" w:cs="Times New Roman"/>
        </w:rPr>
        <w:t xml:space="preserve"> it was permissible to </w:t>
      </w:r>
      <w:proofErr w:type="spellStart"/>
      <w:r w:rsidRPr="0034683A">
        <w:rPr>
          <w:rFonts w:ascii="Times New Roman" w:hAnsi="Times New Roman" w:cs="Times New Roman"/>
        </w:rPr>
        <w:t>r</w:t>
      </w:r>
      <w:r w:rsidR="00D85931" w:rsidRPr="0034683A">
        <w:rPr>
          <w:rFonts w:ascii="Times New Roman" w:hAnsi="Times New Roman" w:cs="Times New Roman"/>
        </w:rPr>
        <w:t>eimpose</w:t>
      </w:r>
      <w:proofErr w:type="spellEnd"/>
      <w:r w:rsidR="00D85931" w:rsidRPr="0034683A">
        <w:rPr>
          <w:rFonts w:ascii="Times New Roman" w:hAnsi="Times New Roman" w:cs="Times New Roman"/>
        </w:rPr>
        <w:t xml:space="preserve"> the ban on inhabitation. H</w:t>
      </w:r>
      <w:r w:rsidRPr="0034683A">
        <w:rPr>
          <w:rFonts w:ascii="Times New Roman" w:hAnsi="Times New Roman" w:cs="Times New Roman"/>
        </w:rPr>
        <w:t>owever</w:t>
      </w:r>
      <w:r w:rsidR="00612F49" w:rsidRPr="0034683A">
        <w:rPr>
          <w:rFonts w:ascii="Times New Roman" w:hAnsi="Times New Roman" w:cs="Times New Roman"/>
        </w:rPr>
        <w:t>,</w:t>
      </w:r>
      <w:r w:rsidRPr="0034683A">
        <w:rPr>
          <w:rFonts w:ascii="Times New Roman" w:hAnsi="Times New Roman" w:cs="Times New Roman"/>
        </w:rPr>
        <w:t xml:space="preserve"> it is clear that the court would have ru</w:t>
      </w:r>
      <w:r w:rsidR="001831F3">
        <w:rPr>
          <w:rFonts w:ascii="Times New Roman" w:hAnsi="Times New Roman" w:cs="Times New Roman"/>
        </w:rPr>
        <w:t>led against the removal of the I</w:t>
      </w:r>
      <w:r w:rsidRPr="0034683A">
        <w:rPr>
          <w:rFonts w:ascii="Times New Roman" w:hAnsi="Times New Roman" w:cs="Times New Roman"/>
        </w:rPr>
        <w:t>slanders at the time. Lord Hoffman, a member of the majority, held at paragraph 53:</w:t>
      </w:r>
    </w:p>
    <w:p w:rsidR="001970A9" w:rsidRPr="0034683A" w:rsidRDefault="001970A9" w:rsidP="001225A6">
      <w:pPr>
        <w:pStyle w:val="ListParagraph"/>
        <w:spacing w:line="240" w:lineRule="auto"/>
        <w:ind w:left="1418" w:right="1070"/>
        <w:jc w:val="both"/>
        <w:rPr>
          <w:rFonts w:ascii="Times New Roman" w:hAnsi="Times New Roman" w:cs="Times New Roman"/>
        </w:rPr>
      </w:pPr>
    </w:p>
    <w:p w:rsidR="008D6D09" w:rsidRPr="0034683A" w:rsidRDefault="001970A9" w:rsidP="001225A6">
      <w:pPr>
        <w:pStyle w:val="ListParagraph"/>
        <w:spacing w:line="240" w:lineRule="auto"/>
        <w:ind w:left="1418" w:right="1070"/>
        <w:jc w:val="both"/>
        <w:rPr>
          <w:rFonts w:ascii="Times New Roman" w:hAnsi="Times New Roman" w:cs="Times New Roman"/>
        </w:rPr>
      </w:pPr>
      <w:r w:rsidRPr="0034683A">
        <w:rPr>
          <w:rFonts w:ascii="Times New Roman" w:hAnsi="Times New Roman" w:cs="Times New Roman"/>
        </w:rPr>
        <w:t xml:space="preserve">If we were in 1968 and concerned with a proposal to remove the </w:t>
      </w:r>
      <w:proofErr w:type="spellStart"/>
      <w:r w:rsidRPr="0034683A">
        <w:rPr>
          <w:rFonts w:ascii="Times New Roman" w:hAnsi="Times New Roman" w:cs="Times New Roman"/>
        </w:rPr>
        <w:t>Chagossians</w:t>
      </w:r>
      <w:proofErr w:type="spellEnd"/>
      <w:r w:rsidRPr="0034683A">
        <w:rPr>
          <w:rFonts w:ascii="Times New Roman" w:hAnsi="Times New Roman" w:cs="Times New Roman"/>
        </w:rPr>
        <w:t xml:space="preserve"> from their islands with little or no provision for their future, that would indeed be a profoundly intrusive measure affecting their fundamental rights. </w:t>
      </w:r>
    </w:p>
    <w:p w:rsidR="000B2FF3" w:rsidRPr="000B2FF3" w:rsidRDefault="000B2FF3" w:rsidP="008D6D09">
      <w:pPr>
        <w:pStyle w:val="ListParagraph"/>
        <w:spacing w:line="240" w:lineRule="auto"/>
        <w:ind w:left="1418" w:right="1070"/>
        <w:jc w:val="both"/>
      </w:pPr>
    </w:p>
    <w:p w:rsidR="000B2FF3" w:rsidRDefault="008D6D09" w:rsidP="001225A6">
      <w:pPr>
        <w:pStyle w:val="ListParagraph"/>
        <w:numPr>
          <w:ilvl w:val="0"/>
          <w:numId w:val="6"/>
        </w:numPr>
        <w:spacing w:line="240" w:lineRule="auto"/>
        <w:jc w:val="both"/>
        <w:rPr>
          <w:rFonts w:ascii="Times New Roman" w:hAnsi="Times New Roman" w:cs="Times New Roman"/>
        </w:rPr>
      </w:pPr>
      <w:r>
        <w:rPr>
          <w:rFonts w:ascii="Times New Roman" w:hAnsi="Times New Roman" w:cs="Times New Roman"/>
        </w:rPr>
        <w:t>Finally, t</w:t>
      </w:r>
      <w:r w:rsidR="000B2FF3">
        <w:rPr>
          <w:rFonts w:ascii="Times New Roman" w:hAnsi="Times New Roman" w:cs="Times New Roman"/>
        </w:rPr>
        <w:t xml:space="preserve">he </w:t>
      </w:r>
      <w:proofErr w:type="spellStart"/>
      <w:r w:rsidR="000B2FF3">
        <w:rPr>
          <w:rFonts w:ascii="Times New Roman" w:hAnsi="Times New Roman" w:cs="Times New Roman"/>
        </w:rPr>
        <w:t>Chagossians</w:t>
      </w:r>
      <w:proofErr w:type="spellEnd"/>
      <w:r w:rsidR="000B2FF3">
        <w:rPr>
          <w:rFonts w:ascii="Times New Roman" w:hAnsi="Times New Roman" w:cs="Times New Roman"/>
        </w:rPr>
        <w:t xml:space="preserve"> are also now seeking to overturn the 2008 decision of the Supreme Court, alleging that documents which should have been disclosed were withheld by the UK Government and that had these be</w:t>
      </w:r>
      <w:r>
        <w:rPr>
          <w:rFonts w:ascii="Times New Roman" w:hAnsi="Times New Roman" w:cs="Times New Roman"/>
        </w:rPr>
        <w:t>e</w:t>
      </w:r>
      <w:r w:rsidR="000B2FF3">
        <w:rPr>
          <w:rFonts w:ascii="Times New Roman" w:hAnsi="Times New Roman" w:cs="Times New Roman"/>
        </w:rPr>
        <w:t xml:space="preserve">n disclosed at the time the </w:t>
      </w:r>
      <w:r>
        <w:rPr>
          <w:rFonts w:ascii="Times New Roman" w:hAnsi="Times New Roman" w:cs="Times New Roman"/>
        </w:rPr>
        <w:t>C</w:t>
      </w:r>
      <w:r w:rsidR="000B2FF3">
        <w:rPr>
          <w:rFonts w:ascii="Times New Roman" w:hAnsi="Times New Roman" w:cs="Times New Roman"/>
        </w:rPr>
        <w:t>ourt’s decision would have been different. The application is due to be heard by the Supreme Court on 22 June 2015</w:t>
      </w:r>
      <w:r w:rsidR="000B2FF3">
        <w:rPr>
          <w:rStyle w:val="FootnoteReference"/>
          <w:rFonts w:ascii="Times New Roman" w:hAnsi="Times New Roman" w:cs="Times New Roman"/>
        </w:rPr>
        <w:footnoteReference w:id="11"/>
      </w:r>
      <w:r w:rsidR="000B2FF3">
        <w:rPr>
          <w:rFonts w:ascii="Times New Roman" w:hAnsi="Times New Roman" w:cs="Times New Roman"/>
        </w:rPr>
        <w:t>.</w:t>
      </w:r>
    </w:p>
    <w:p w:rsidR="008D6D09" w:rsidRPr="0034683A" w:rsidRDefault="008D6D09" w:rsidP="008D6D09">
      <w:pPr>
        <w:pStyle w:val="ListParagraph"/>
        <w:spacing w:line="240" w:lineRule="auto"/>
        <w:jc w:val="both"/>
        <w:rPr>
          <w:rFonts w:ascii="Times New Roman" w:hAnsi="Times New Roman" w:cs="Times New Roman"/>
        </w:rPr>
      </w:pPr>
    </w:p>
    <w:p w:rsidR="008D6D09" w:rsidRDefault="008D6D09" w:rsidP="008D6D09">
      <w:pPr>
        <w:pStyle w:val="ListParagraph"/>
        <w:numPr>
          <w:ilvl w:val="0"/>
          <w:numId w:val="6"/>
        </w:numPr>
        <w:spacing w:after="0" w:line="240" w:lineRule="auto"/>
        <w:ind w:left="714" w:hanging="357"/>
        <w:jc w:val="both"/>
        <w:rPr>
          <w:rFonts w:ascii="Times New Roman" w:hAnsi="Times New Roman" w:cs="Times New Roman"/>
        </w:rPr>
      </w:pPr>
      <w:r w:rsidRPr="0034683A">
        <w:rPr>
          <w:rFonts w:ascii="Times New Roman" w:hAnsi="Times New Roman" w:cs="Times New Roman"/>
        </w:rPr>
        <w:t xml:space="preserve">The Human Rights Committee is able to, and has, formed a holistic conclusion about the situation of the </w:t>
      </w:r>
      <w:proofErr w:type="spellStart"/>
      <w:r w:rsidRPr="0034683A">
        <w:rPr>
          <w:rFonts w:ascii="Times New Roman" w:hAnsi="Times New Roman" w:cs="Times New Roman"/>
        </w:rPr>
        <w:t>Chagossians</w:t>
      </w:r>
      <w:proofErr w:type="spellEnd"/>
      <w:r w:rsidRPr="0034683A">
        <w:rPr>
          <w:rFonts w:ascii="Times New Roman" w:hAnsi="Times New Roman" w:cs="Times New Roman"/>
        </w:rPr>
        <w:t xml:space="preserve"> not based on how matters are now, with the islands uninhabited, but on how they ought to have been since 1967. It has formed th</w:t>
      </w:r>
      <w:r>
        <w:rPr>
          <w:rFonts w:ascii="Times New Roman" w:hAnsi="Times New Roman" w:cs="Times New Roman"/>
        </w:rPr>
        <w:t>e view that the removal of the I</w:t>
      </w:r>
      <w:r w:rsidRPr="0034683A">
        <w:rPr>
          <w:rFonts w:ascii="Times New Roman" w:hAnsi="Times New Roman" w:cs="Times New Roman"/>
        </w:rPr>
        <w:t xml:space="preserve">slanders was an impermissible breach of their rights and has concluded that they should be allowed to return. </w:t>
      </w:r>
    </w:p>
    <w:p w:rsidR="008862C5" w:rsidRPr="0034683A" w:rsidRDefault="008862C5" w:rsidP="001225A6">
      <w:pPr>
        <w:pStyle w:val="ListParagraph"/>
        <w:spacing w:line="240" w:lineRule="auto"/>
        <w:jc w:val="both"/>
        <w:rPr>
          <w:rFonts w:ascii="Times New Roman" w:hAnsi="Times New Roman" w:cs="Times New Roman"/>
        </w:rPr>
      </w:pPr>
    </w:p>
    <w:p w:rsidR="00612F49" w:rsidRPr="0034683A" w:rsidRDefault="008862C5"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 xml:space="preserve">The UK refers to </w:t>
      </w:r>
      <w:r w:rsidR="00612F49" w:rsidRPr="0034683A">
        <w:rPr>
          <w:rFonts w:ascii="Times New Roman" w:hAnsi="Times New Roman" w:cs="Times New Roman"/>
        </w:rPr>
        <w:t>a case was brought in the European Court of Human Rights</w:t>
      </w:r>
      <w:r w:rsidRPr="0034683A">
        <w:rPr>
          <w:rFonts w:ascii="Times New Roman" w:hAnsi="Times New Roman" w:cs="Times New Roman"/>
        </w:rPr>
        <w:t xml:space="preserve"> and heard in 2013</w:t>
      </w:r>
      <w:r w:rsidR="00612F49" w:rsidRPr="0034683A">
        <w:rPr>
          <w:rStyle w:val="FootnoteReference"/>
          <w:rFonts w:ascii="Times New Roman" w:hAnsi="Times New Roman" w:cs="Times New Roman"/>
        </w:rPr>
        <w:footnoteReference w:id="12"/>
      </w:r>
      <w:r w:rsidR="00D85931" w:rsidRPr="0034683A">
        <w:rPr>
          <w:rFonts w:ascii="Times New Roman" w:hAnsi="Times New Roman" w:cs="Times New Roman"/>
        </w:rPr>
        <w:t xml:space="preserve"> which</w:t>
      </w:r>
      <w:r w:rsidR="00612F49" w:rsidRPr="0034683A">
        <w:rPr>
          <w:rFonts w:ascii="Times New Roman" w:hAnsi="Times New Roman" w:cs="Times New Roman"/>
        </w:rPr>
        <w:t xml:space="preserve"> dismissed</w:t>
      </w:r>
      <w:r w:rsidR="00D85931" w:rsidRPr="0034683A">
        <w:rPr>
          <w:rFonts w:ascii="Times New Roman" w:hAnsi="Times New Roman" w:cs="Times New Roman"/>
        </w:rPr>
        <w:t xml:space="preserve"> the Chagos Islanders claims</w:t>
      </w:r>
      <w:r w:rsidR="00612F49" w:rsidRPr="0034683A">
        <w:rPr>
          <w:rFonts w:ascii="Times New Roman" w:hAnsi="Times New Roman" w:cs="Times New Roman"/>
        </w:rPr>
        <w:t xml:space="preserve"> on the basis that compensation had been received by the Mauritius-based islanders and the Seychelles-based islanders were time-barred. </w:t>
      </w:r>
    </w:p>
    <w:p w:rsidR="00612F49" w:rsidRPr="0034683A" w:rsidRDefault="00612F49" w:rsidP="001225A6">
      <w:pPr>
        <w:pStyle w:val="ListParagraph"/>
        <w:spacing w:line="240" w:lineRule="auto"/>
        <w:jc w:val="both"/>
        <w:rPr>
          <w:rFonts w:ascii="Times New Roman" w:hAnsi="Times New Roman" w:cs="Times New Roman"/>
        </w:rPr>
      </w:pPr>
    </w:p>
    <w:p w:rsidR="00815AD1" w:rsidRDefault="008862C5" w:rsidP="001831F3">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 xml:space="preserve">The 2001 and 2008 Concluding Observations of the Human Rights Committee </w:t>
      </w:r>
      <w:r w:rsidR="00D85931" w:rsidRPr="0034683A">
        <w:rPr>
          <w:rFonts w:ascii="Times New Roman" w:hAnsi="Times New Roman" w:cs="Times New Roman"/>
        </w:rPr>
        <w:t xml:space="preserve">and their recommendation </w:t>
      </w:r>
      <w:r w:rsidR="001831F3">
        <w:rPr>
          <w:rFonts w:ascii="Times New Roman" w:hAnsi="Times New Roman" w:cs="Times New Roman"/>
        </w:rPr>
        <w:t>that the I</w:t>
      </w:r>
      <w:r w:rsidRPr="0034683A">
        <w:rPr>
          <w:rFonts w:ascii="Times New Roman" w:hAnsi="Times New Roman" w:cs="Times New Roman"/>
        </w:rPr>
        <w:t>slanders should be allowed</w:t>
      </w:r>
      <w:r w:rsidR="00D85931" w:rsidRPr="0034683A">
        <w:rPr>
          <w:rFonts w:ascii="Times New Roman" w:hAnsi="Times New Roman" w:cs="Times New Roman"/>
        </w:rPr>
        <w:t xml:space="preserve"> to return are not limited by these decisions, particularly in relation to the procedural time-bar argument raised </w:t>
      </w:r>
      <w:r w:rsidR="00D85931" w:rsidRPr="0034683A">
        <w:rPr>
          <w:rFonts w:ascii="Times New Roman" w:hAnsi="Times New Roman" w:cs="Times New Roman"/>
        </w:rPr>
        <w:lastRenderedPageBreak/>
        <w:t>against the Seychelles-based islanders. The factors purpo</w:t>
      </w:r>
      <w:r w:rsidR="001831F3">
        <w:rPr>
          <w:rFonts w:ascii="Times New Roman" w:hAnsi="Times New Roman" w:cs="Times New Roman"/>
        </w:rPr>
        <w:t>rting to bar the claims of the I</w:t>
      </w:r>
      <w:r w:rsidR="00D85931" w:rsidRPr="0034683A">
        <w:rPr>
          <w:rFonts w:ascii="Times New Roman" w:hAnsi="Times New Roman" w:cs="Times New Roman"/>
        </w:rPr>
        <w:t>slanders were in existence at the time both Concluding Observations and the recommendation to allow the retur</w:t>
      </w:r>
      <w:r w:rsidR="00212EE7" w:rsidRPr="0034683A">
        <w:rPr>
          <w:rFonts w:ascii="Times New Roman" w:hAnsi="Times New Roman" w:cs="Times New Roman"/>
        </w:rPr>
        <w:t>n was</w:t>
      </w:r>
      <w:r w:rsidR="00D85931" w:rsidRPr="0034683A">
        <w:rPr>
          <w:rFonts w:ascii="Times New Roman" w:hAnsi="Times New Roman" w:cs="Times New Roman"/>
        </w:rPr>
        <w:t xml:space="preserve"> made. </w:t>
      </w:r>
      <w:r w:rsidRPr="0034683A">
        <w:rPr>
          <w:rFonts w:ascii="Times New Roman" w:hAnsi="Times New Roman" w:cs="Times New Roman"/>
        </w:rPr>
        <w:t>The UK has not followed that recommendation.</w:t>
      </w:r>
    </w:p>
    <w:p w:rsidR="001479BA" w:rsidRPr="001479BA" w:rsidRDefault="001479BA" w:rsidP="001479BA">
      <w:pPr>
        <w:pStyle w:val="ListParagraph"/>
        <w:rPr>
          <w:rFonts w:ascii="Times New Roman" w:hAnsi="Times New Roman" w:cs="Times New Roman"/>
        </w:rPr>
      </w:pPr>
    </w:p>
    <w:p w:rsidR="001479BA" w:rsidRDefault="001479BA" w:rsidP="001479BA">
      <w:pPr>
        <w:pStyle w:val="ListParagraph"/>
        <w:numPr>
          <w:ilvl w:val="0"/>
          <w:numId w:val="6"/>
        </w:numPr>
        <w:spacing w:line="240" w:lineRule="auto"/>
        <w:jc w:val="both"/>
        <w:rPr>
          <w:rFonts w:ascii="Times New Roman" w:hAnsi="Times New Roman" w:cs="Times New Roman"/>
        </w:rPr>
      </w:pPr>
      <w:r w:rsidRPr="001479BA">
        <w:rPr>
          <w:rFonts w:ascii="Times New Roman" w:hAnsi="Times New Roman" w:cs="Times New Roman"/>
        </w:rPr>
        <w:t xml:space="preserve">In a further collateral attempt to prevent the </w:t>
      </w:r>
      <w:proofErr w:type="spellStart"/>
      <w:r w:rsidRPr="001479BA">
        <w:rPr>
          <w:rFonts w:ascii="Times New Roman" w:hAnsi="Times New Roman" w:cs="Times New Roman"/>
        </w:rPr>
        <w:t>reinhabitation</w:t>
      </w:r>
      <w:proofErr w:type="spellEnd"/>
      <w:r w:rsidRPr="001479BA">
        <w:rPr>
          <w:rFonts w:ascii="Times New Roman" w:hAnsi="Times New Roman" w:cs="Times New Roman"/>
        </w:rPr>
        <w:t xml:space="preserve"> of the </w:t>
      </w:r>
      <w:proofErr w:type="spellStart"/>
      <w:r w:rsidRPr="001479BA">
        <w:rPr>
          <w:rFonts w:ascii="Times New Roman" w:hAnsi="Times New Roman" w:cs="Times New Roman"/>
        </w:rPr>
        <w:t>Chagos</w:t>
      </w:r>
      <w:proofErr w:type="spellEnd"/>
      <w:r w:rsidRPr="001479BA">
        <w:rPr>
          <w:rFonts w:ascii="Times New Roman" w:hAnsi="Times New Roman" w:cs="Times New Roman"/>
        </w:rPr>
        <w:t xml:space="preserve"> Islands</w:t>
      </w:r>
      <w:r>
        <w:rPr>
          <w:rFonts w:ascii="Times New Roman" w:hAnsi="Times New Roman" w:cs="Times New Roman"/>
        </w:rPr>
        <w:t>,</w:t>
      </w:r>
      <w:r w:rsidRPr="001479BA">
        <w:rPr>
          <w:rFonts w:ascii="Times New Roman" w:hAnsi="Times New Roman" w:cs="Times New Roman"/>
        </w:rPr>
        <w:t xml:space="preserve"> the UK declared a Marine Protection Area surrounding the islands in 20</w:t>
      </w:r>
      <w:r w:rsidR="00F33AA5">
        <w:rPr>
          <w:rFonts w:ascii="Times New Roman" w:hAnsi="Times New Roman" w:cs="Times New Roman"/>
        </w:rPr>
        <w:t>10</w:t>
      </w:r>
      <w:r w:rsidRPr="001479BA">
        <w:rPr>
          <w:rFonts w:ascii="Times New Roman" w:hAnsi="Times New Roman" w:cs="Times New Roman"/>
        </w:rPr>
        <w:t xml:space="preserve">. However, the UN’s Arbitration Tribunal in the case of </w:t>
      </w:r>
      <w:r w:rsidRPr="001479BA">
        <w:rPr>
          <w:rFonts w:ascii="Times New Roman" w:hAnsi="Times New Roman" w:cs="Times New Roman"/>
          <w:i/>
        </w:rPr>
        <w:t>The Republic of Mauritius v The UK</w:t>
      </w:r>
      <w:r w:rsidRPr="001479BA">
        <w:rPr>
          <w:rFonts w:ascii="Times New Roman" w:hAnsi="Times New Roman" w:cs="Times New Roman"/>
        </w:rPr>
        <w:t xml:space="preserve"> determined on 18 March 2015 that such a declaration was breach of the UK’s international obligations to Mauritius and in breach of the 1982 UN Convention on the Law of the Sea</w:t>
      </w:r>
      <w:r w:rsidRPr="0034683A">
        <w:rPr>
          <w:rStyle w:val="FootnoteReference"/>
          <w:rFonts w:ascii="Times New Roman" w:hAnsi="Times New Roman" w:cs="Times New Roman"/>
        </w:rPr>
        <w:footnoteReference w:id="13"/>
      </w:r>
      <w:r w:rsidRPr="001479BA">
        <w:rPr>
          <w:rFonts w:ascii="Times New Roman" w:hAnsi="Times New Roman" w:cs="Times New Roman"/>
        </w:rPr>
        <w:t>.</w:t>
      </w:r>
    </w:p>
    <w:p w:rsidR="001479BA" w:rsidRPr="001479BA" w:rsidRDefault="001479BA" w:rsidP="001479BA">
      <w:pPr>
        <w:pStyle w:val="ListParagraph"/>
        <w:rPr>
          <w:rFonts w:ascii="Times New Roman" w:hAnsi="Times New Roman" w:cs="Times New Roman"/>
        </w:rPr>
      </w:pPr>
    </w:p>
    <w:p w:rsidR="001479BA" w:rsidRDefault="001479BA" w:rsidP="001479BA">
      <w:pPr>
        <w:pStyle w:val="ListParagraph"/>
        <w:numPr>
          <w:ilvl w:val="0"/>
          <w:numId w:val="6"/>
        </w:numPr>
        <w:spacing w:line="240" w:lineRule="auto"/>
        <w:jc w:val="both"/>
        <w:rPr>
          <w:rFonts w:ascii="Times New Roman" w:hAnsi="Times New Roman" w:cs="Times New Roman"/>
        </w:rPr>
      </w:pPr>
      <w:r w:rsidRPr="001479BA">
        <w:rPr>
          <w:rFonts w:ascii="Times New Roman" w:hAnsi="Times New Roman" w:cs="Times New Roman"/>
        </w:rPr>
        <w:t>Following this decision, the declaration of the MPA is</w:t>
      </w:r>
      <w:r w:rsidR="008D6D09">
        <w:rPr>
          <w:rFonts w:ascii="Times New Roman" w:hAnsi="Times New Roman" w:cs="Times New Roman"/>
        </w:rPr>
        <w:t xml:space="preserve"> also</w:t>
      </w:r>
      <w:r w:rsidRPr="001479BA">
        <w:rPr>
          <w:rFonts w:ascii="Times New Roman" w:hAnsi="Times New Roman" w:cs="Times New Roman"/>
        </w:rPr>
        <w:t xml:space="preserve"> being challenged in the UK courts in litigation due to be heard on </w:t>
      </w:r>
      <w:r w:rsidR="00F33AA5">
        <w:rPr>
          <w:rFonts w:ascii="Times New Roman" w:hAnsi="Times New Roman" w:cs="Times New Roman"/>
        </w:rPr>
        <w:t>22 June 2015 in the Supreme Court.</w:t>
      </w:r>
      <w:r w:rsidR="00F33AA5">
        <w:rPr>
          <w:rStyle w:val="FootnoteReference"/>
          <w:rFonts w:ascii="Times New Roman" w:hAnsi="Times New Roman" w:cs="Times New Roman"/>
        </w:rPr>
        <w:footnoteReference w:id="14"/>
      </w:r>
    </w:p>
    <w:p w:rsidR="001479BA" w:rsidRPr="001479BA" w:rsidRDefault="001479BA" w:rsidP="001479BA">
      <w:pPr>
        <w:pStyle w:val="ListParagraph"/>
        <w:rPr>
          <w:rFonts w:ascii="Times New Roman" w:hAnsi="Times New Roman" w:cs="Times New Roman"/>
        </w:rPr>
      </w:pPr>
    </w:p>
    <w:p w:rsidR="001479BA" w:rsidRPr="00E3498C" w:rsidRDefault="001479BA" w:rsidP="001479BA">
      <w:pPr>
        <w:pStyle w:val="ListParagraph"/>
        <w:numPr>
          <w:ilvl w:val="0"/>
          <w:numId w:val="6"/>
        </w:numPr>
        <w:spacing w:line="240" w:lineRule="auto"/>
        <w:jc w:val="both"/>
        <w:rPr>
          <w:rFonts w:ascii="Times New Roman" w:hAnsi="Times New Roman" w:cs="Times New Roman"/>
        </w:rPr>
      </w:pPr>
      <w:r w:rsidRPr="001479BA">
        <w:rPr>
          <w:rFonts w:ascii="Times New Roman" w:hAnsi="Times New Roman" w:cs="Times New Roman"/>
        </w:rPr>
        <w:t xml:space="preserve">It is of note that </w:t>
      </w:r>
      <w:r w:rsidRPr="001479BA">
        <w:rPr>
          <w:rFonts w:ascii="Times New Roman" w:eastAsiaTheme="minorEastAsia" w:hAnsi="Times New Roman" w:cs="Times New Roman"/>
          <w:lang w:val="en-US"/>
        </w:rPr>
        <w:t>in the course of the International Arbitration proceedings before the Tribunal, the Attorney-General of England</w:t>
      </w:r>
      <w:r w:rsidRPr="001479BA">
        <w:rPr>
          <w:rFonts w:ascii="Times New Roman" w:hAnsi="Times New Roman" w:cs="Times New Roman"/>
        </w:rPr>
        <w:t xml:space="preserve"> </w:t>
      </w:r>
      <w:r w:rsidRPr="001479BA">
        <w:rPr>
          <w:rFonts w:ascii="Times New Roman" w:eastAsiaTheme="minorEastAsia" w:hAnsi="Times New Roman" w:cs="Times New Roman"/>
          <w:lang w:val="en-US"/>
        </w:rPr>
        <w:t>and Wales, the Rt. Hon. Dominic Grieve QC MP, made the following statement regarding the</w:t>
      </w:r>
      <w:r w:rsidRPr="001479BA">
        <w:rPr>
          <w:rFonts w:ascii="Times New Roman" w:hAnsi="Times New Roman" w:cs="Times New Roman"/>
        </w:rPr>
        <w:t xml:space="preserve"> </w:t>
      </w:r>
      <w:proofErr w:type="spellStart"/>
      <w:r w:rsidRPr="001479BA">
        <w:rPr>
          <w:rFonts w:ascii="Times New Roman" w:eastAsiaTheme="minorEastAsia" w:hAnsi="Times New Roman" w:cs="Times New Roman"/>
          <w:lang w:val="en-US"/>
        </w:rPr>
        <w:t>Chagossian</w:t>
      </w:r>
      <w:proofErr w:type="spellEnd"/>
      <w:r w:rsidRPr="001479BA">
        <w:rPr>
          <w:rFonts w:ascii="Times New Roman" w:eastAsiaTheme="minorEastAsia" w:hAnsi="Times New Roman" w:cs="Times New Roman"/>
          <w:lang w:val="en-US"/>
        </w:rPr>
        <w:t xml:space="preserve"> population:</w:t>
      </w:r>
    </w:p>
    <w:p w:rsidR="00E3498C" w:rsidRDefault="00E3498C" w:rsidP="00E3498C">
      <w:pPr>
        <w:pStyle w:val="ListParagraph"/>
        <w:widowControl w:val="0"/>
        <w:autoSpaceDE w:val="0"/>
        <w:autoSpaceDN w:val="0"/>
        <w:adjustRightInd w:val="0"/>
        <w:spacing w:after="0" w:line="240" w:lineRule="auto"/>
        <w:ind w:right="1070"/>
        <w:jc w:val="both"/>
        <w:rPr>
          <w:rFonts w:ascii="Times New Roman" w:eastAsiaTheme="minorEastAsia" w:hAnsi="Times New Roman" w:cs="Times New Roman"/>
          <w:lang w:val="en-US"/>
        </w:rPr>
      </w:pPr>
    </w:p>
    <w:p w:rsidR="00E3498C" w:rsidRPr="001479BA" w:rsidRDefault="00E3498C" w:rsidP="00E3498C">
      <w:pPr>
        <w:pStyle w:val="ListParagraph"/>
        <w:widowControl w:val="0"/>
        <w:autoSpaceDE w:val="0"/>
        <w:autoSpaceDN w:val="0"/>
        <w:adjustRightInd w:val="0"/>
        <w:spacing w:after="0" w:line="240" w:lineRule="auto"/>
        <w:ind w:right="1070"/>
        <w:jc w:val="both"/>
        <w:rPr>
          <w:rFonts w:ascii="Times New Roman" w:eastAsiaTheme="minorEastAsia" w:hAnsi="Times New Roman" w:cs="Times New Roman"/>
          <w:lang w:val="en-US"/>
        </w:rPr>
      </w:pPr>
      <w:r w:rsidRPr="001479BA">
        <w:rPr>
          <w:rFonts w:ascii="Times New Roman" w:eastAsiaTheme="minorEastAsia" w:hAnsi="Times New Roman" w:cs="Times New Roman"/>
          <w:lang w:val="en-US"/>
        </w:rPr>
        <w:t xml:space="preserve">“We regret very much the circumstances in which they were removed from the islands and </w:t>
      </w:r>
      <w:proofErr w:type="spellStart"/>
      <w:r w:rsidRPr="001479BA">
        <w:rPr>
          <w:rFonts w:ascii="Times New Roman" w:eastAsiaTheme="minorEastAsia" w:hAnsi="Times New Roman" w:cs="Times New Roman"/>
          <w:lang w:val="en-US"/>
        </w:rPr>
        <w:t>recognise</w:t>
      </w:r>
      <w:proofErr w:type="spellEnd"/>
      <w:r w:rsidRPr="001479BA">
        <w:rPr>
          <w:rFonts w:ascii="Times New Roman" w:eastAsiaTheme="minorEastAsia" w:hAnsi="Times New Roman" w:cs="Times New Roman"/>
          <w:lang w:val="en-US"/>
        </w:rPr>
        <w:t xml:space="preserve"> that what was done then should not have happened.”</w:t>
      </w:r>
    </w:p>
    <w:p w:rsidR="00E3498C" w:rsidRDefault="00E3498C" w:rsidP="00E3498C">
      <w:pPr>
        <w:spacing w:line="240" w:lineRule="auto"/>
        <w:ind w:left="709"/>
        <w:jc w:val="both"/>
        <w:rPr>
          <w:rFonts w:ascii="Times New Roman" w:hAnsi="Times New Roman" w:cs="Times New Roman"/>
          <w:b/>
        </w:rPr>
      </w:pPr>
    </w:p>
    <w:p w:rsidR="00E3498C" w:rsidRDefault="00E3498C" w:rsidP="00E3498C">
      <w:pPr>
        <w:spacing w:line="240" w:lineRule="auto"/>
        <w:ind w:left="709"/>
        <w:jc w:val="both"/>
        <w:rPr>
          <w:rFonts w:ascii="Times New Roman" w:hAnsi="Times New Roman" w:cs="Times New Roman"/>
          <w:b/>
        </w:rPr>
      </w:pPr>
      <w:r>
        <w:rPr>
          <w:rFonts w:ascii="Times New Roman" w:hAnsi="Times New Roman" w:cs="Times New Roman"/>
          <w:b/>
        </w:rPr>
        <w:t>III. ICCPR is applicable to the BIOT and should be included in the UK’s periodic report</w:t>
      </w:r>
    </w:p>
    <w:p w:rsidR="00E3498C" w:rsidRPr="00E3498C" w:rsidRDefault="00E3498C" w:rsidP="00E3498C">
      <w:pPr>
        <w:pStyle w:val="ListParagraph"/>
        <w:rPr>
          <w:rFonts w:ascii="Times New Roman" w:hAnsi="Times New Roman" w:cs="Times New Roman"/>
        </w:rPr>
      </w:pPr>
    </w:p>
    <w:p w:rsidR="00E3498C" w:rsidRPr="00E3498C" w:rsidRDefault="00E3498C" w:rsidP="00E3498C">
      <w:pPr>
        <w:pStyle w:val="ListParagraph"/>
        <w:numPr>
          <w:ilvl w:val="0"/>
          <w:numId w:val="6"/>
        </w:numPr>
        <w:spacing w:line="240" w:lineRule="auto"/>
        <w:jc w:val="both"/>
        <w:rPr>
          <w:rFonts w:ascii="Times New Roman" w:hAnsi="Times New Roman" w:cs="Times New Roman"/>
        </w:rPr>
      </w:pPr>
      <w:r w:rsidRPr="00E3498C">
        <w:rPr>
          <w:rFonts w:ascii="Times New Roman" w:hAnsi="Times New Roman" w:cs="Times New Roman"/>
        </w:rPr>
        <w:t>This Committee and the Government of the UK disagree over the applicability of the ICCPR to the BIOT.  While the Human Rights Committee, in multiple Concluding Observations, has urged the UK to include the overseas territory in its periodic report</w:t>
      </w:r>
      <w:r w:rsidRPr="00E3498C">
        <w:rPr>
          <w:rStyle w:val="FootnoteReference"/>
          <w:rFonts w:ascii="Times New Roman" w:hAnsi="Times New Roman" w:cs="Times New Roman"/>
        </w:rPr>
        <w:footnoteReference w:id="15"/>
      </w:r>
      <w:r w:rsidRPr="00E3498C">
        <w:rPr>
          <w:rFonts w:ascii="Times New Roman" w:hAnsi="Times New Roman" w:cs="Times New Roman"/>
        </w:rPr>
        <w:t>, the UK in a written response to the concluding observations of this Committee, replied that the ICCPR does not apply to the BIOT</w:t>
      </w:r>
      <w:r w:rsidRPr="00E3498C">
        <w:rPr>
          <w:rStyle w:val="FootnoteReference"/>
          <w:rFonts w:ascii="Times New Roman" w:hAnsi="Times New Roman" w:cs="Times New Roman"/>
        </w:rPr>
        <w:footnoteReference w:id="16"/>
      </w:r>
      <w:r w:rsidRPr="00E3498C">
        <w:rPr>
          <w:rFonts w:ascii="Times New Roman" w:hAnsi="Times New Roman" w:cs="Times New Roman"/>
        </w:rPr>
        <w:t>.  However, it is clear that the ICCPR is applicable to the BIOT and should be included, for a number of reasons.  Firstly, the BIOT is an overseas territory under the control of the UK, and no reservations have been made by the UK in regards to the Covenant.  Second, even if the State intends their written response claiming that the ICCPR does not apply to the BIOT, to qualify as a reservation</w:t>
      </w:r>
      <w:r w:rsidRPr="00E3498C">
        <w:rPr>
          <w:rStyle w:val="FootnoteReference"/>
          <w:rFonts w:ascii="Times New Roman" w:hAnsi="Times New Roman" w:cs="Times New Roman"/>
        </w:rPr>
        <w:footnoteReference w:id="17"/>
      </w:r>
      <w:r w:rsidRPr="00E3498C">
        <w:rPr>
          <w:rFonts w:ascii="Times New Roman" w:hAnsi="Times New Roman" w:cs="Times New Roman"/>
        </w:rPr>
        <w:t xml:space="preserve"> this declaration of selective application should </w:t>
      </w:r>
      <w:r w:rsidRPr="00E3498C">
        <w:rPr>
          <w:rFonts w:ascii="Times New Roman" w:hAnsi="Times New Roman" w:cs="Times New Roman"/>
        </w:rPr>
        <w:lastRenderedPageBreak/>
        <w:t>be declared invalid.  According to Article 19(c) of the Vienna Convention on the Law of Treaties, a reservation may not be “incompatible with the object and purpose of the treaty.”</w:t>
      </w:r>
      <w:r w:rsidRPr="00E3498C">
        <w:rPr>
          <w:rStyle w:val="FootnoteReference"/>
          <w:rFonts w:ascii="Times New Roman" w:hAnsi="Times New Roman" w:cs="Times New Roman"/>
        </w:rPr>
        <w:footnoteReference w:id="18"/>
      </w:r>
      <w:r w:rsidRPr="00E3498C">
        <w:rPr>
          <w:rFonts w:ascii="Times New Roman" w:hAnsi="Times New Roman" w:cs="Times New Roman"/>
        </w:rPr>
        <w:t xml:space="preserve">  Limiting the territories to which the ICCPR applies not only modifies the “object and purpose” of Article 2(1), but completely negates it, denying whole classes of people (those of the excluded territories) the ability to enjoy any of the rights enshrined in the ICCPR at all.  This reservation is incompatible with the object of the entire treaty, since the Chagos Islanders belong precisely to the class of persons the Covenant is intended to protect and their exile is just the sort of action that it should prevent.</w:t>
      </w:r>
    </w:p>
    <w:p w:rsidR="00E3498C" w:rsidRPr="00E3498C" w:rsidRDefault="00E3498C" w:rsidP="00E3498C">
      <w:pPr>
        <w:pStyle w:val="ListParagraph"/>
        <w:spacing w:line="240" w:lineRule="auto"/>
        <w:jc w:val="both"/>
        <w:rPr>
          <w:rFonts w:ascii="Times New Roman" w:hAnsi="Times New Roman" w:cs="Times New Roman"/>
        </w:rPr>
      </w:pPr>
    </w:p>
    <w:p w:rsidR="00E3498C" w:rsidRPr="00E3498C" w:rsidRDefault="00E3498C" w:rsidP="00E3498C">
      <w:pPr>
        <w:pStyle w:val="ListParagraph"/>
        <w:numPr>
          <w:ilvl w:val="0"/>
          <w:numId w:val="6"/>
        </w:numPr>
        <w:spacing w:line="240" w:lineRule="auto"/>
        <w:jc w:val="both"/>
        <w:rPr>
          <w:rFonts w:ascii="Times New Roman" w:hAnsi="Times New Roman" w:cs="Times New Roman"/>
        </w:rPr>
      </w:pPr>
      <w:r w:rsidRPr="00E3498C">
        <w:rPr>
          <w:rFonts w:ascii="Times New Roman" w:hAnsi="Times New Roman" w:cs="Times New Roman"/>
        </w:rPr>
        <w:t xml:space="preserve">Third, even if the Committee does consider that a territorially selective application of the ICCPR is not </w:t>
      </w:r>
      <w:r w:rsidRPr="00E3498C">
        <w:rPr>
          <w:rFonts w:ascii="Times New Roman" w:hAnsi="Times New Roman" w:cs="Times New Roman"/>
          <w:iCs/>
        </w:rPr>
        <w:t>presumptively</w:t>
      </w:r>
      <w:r w:rsidRPr="00E3498C">
        <w:rPr>
          <w:rFonts w:ascii="Times New Roman" w:hAnsi="Times New Roman" w:cs="Times New Roman"/>
        </w:rPr>
        <w:t xml:space="preserve"> invalid, it must nonetheless hold that certain rights -  some of which we will argue below have been violated by the UK government - cannot be withheld from individuals living in the excluded territories.  This is because the Committee has stated that reservations “that offend peremptory norms would not be compatible with the object and purpose of the Covenant.”</w:t>
      </w:r>
      <w:r w:rsidRPr="00E3498C">
        <w:rPr>
          <w:rStyle w:val="FootnoteReference"/>
          <w:rFonts w:ascii="Times New Roman" w:hAnsi="Times New Roman" w:cs="Times New Roman"/>
        </w:rPr>
        <w:footnoteReference w:id="19"/>
      </w:r>
      <w:r w:rsidRPr="00E3498C">
        <w:rPr>
          <w:rFonts w:ascii="Times New Roman" w:hAnsi="Times New Roman" w:cs="Times New Roman"/>
        </w:rPr>
        <w:t xml:space="preserve">  The Committee specifically mentions freedom from cruel, inhuman, and degrading treatment, the right to culture, and the right to self-determination as guarantees that may not be eliminated by way of reservation.  Thus, even if the UK government is correct in asserting that selective application is acceptable under the ICCPR,</w:t>
      </w:r>
      <w:r w:rsidRPr="00E3498C">
        <w:rPr>
          <w:rStyle w:val="FootnoteReference"/>
          <w:rFonts w:ascii="Times New Roman" w:hAnsi="Times New Roman" w:cs="Times New Roman"/>
        </w:rPr>
        <w:footnoteReference w:id="20"/>
      </w:r>
      <w:r w:rsidRPr="00E3498C">
        <w:rPr>
          <w:rFonts w:ascii="Times New Roman" w:hAnsi="Times New Roman" w:cs="Times New Roman"/>
        </w:rPr>
        <w:t xml:space="preserve"> it is not correct in stating that it therefore need not “report to the Committee in respect of that Territory.”</w:t>
      </w:r>
      <w:r w:rsidRPr="00E3498C">
        <w:rPr>
          <w:rStyle w:val="FootnoteReference"/>
          <w:rFonts w:ascii="Times New Roman" w:hAnsi="Times New Roman" w:cs="Times New Roman"/>
        </w:rPr>
        <w:footnoteReference w:id="21"/>
      </w:r>
      <w:r w:rsidRPr="00E3498C">
        <w:rPr>
          <w:rFonts w:ascii="Times New Roman" w:hAnsi="Times New Roman" w:cs="Times New Roman"/>
        </w:rPr>
        <w:t xml:space="preserve"> This Committee, however, seems to already be treating the UK’s response as an invalid reservation by dismissing the UK’s inapplicability argument and insisting that the government include the BIOT in its next report to the Committee.</w:t>
      </w:r>
    </w:p>
    <w:p w:rsidR="00E3498C" w:rsidRPr="00E3498C" w:rsidRDefault="00E3498C" w:rsidP="00E3498C">
      <w:pPr>
        <w:pStyle w:val="ListParagraph"/>
        <w:spacing w:line="240" w:lineRule="auto"/>
        <w:jc w:val="both"/>
        <w:rPr>
          <w:rFonts w:ascii="Times New Roman" w:hAnsi="Times New Roman" w:cs="Times New Roman"/>
        </w:rPr>
      </w:pPr>
    </w:p>
    <w:p w:rsidR="00E3498C" w:rsidRPr="00E3498C" w:rsidRDefault="00E3498C" w:rsidP="00E3498C">
      <w:pPr>
        <w:pStyle w:val="ListParagraph"/>
        <w:numPr>
          <w:ilvl w:val="0"/>
          <w:numId w:val="6"/>
        </w:numPr>
        <w:spacing w:line="240" w:lineRule="auto"/>
        <w:jc w:val="both"/>
        <w:rPr>
          <w:rFonts w:ascii="Times New Roman" w:hAnsi="Times New Roman" w:cs="Times New Roman"/>
        </w:rPr>
      </w:pPr>
      <w:r w:rsidRPr="00E3498C">
        <w:rPr>
          <w:rFonts w:ascii="Times New Roman" w:hAnsi="Times New Roman" w:cs="Times New Roman"/>
        </w:rPr>
        <w:t>Lastly, the Committee has made clear that the UK may not cite “absence of a population” as grounds for the ICCPR being inapplicable in the BIOT</w:t>
      </w:r>
      <w:r w:rsidRPr="00E3498C">
        <w:rPr>
          <w:rStyle w:val="FootnoteReference"/>
          <w:rFonts w:ascii="Times New Roman" w:hAnsi="Times New Roman" w:cs="Times New Roman"/>
        </w:rPr>
        <w:footnoteReference w:id="22"/>
      </w:r>
      <w:r w:rsidRPr="00E3498C">
        <w:rPr>
          <w:rFonts w:ascii="Times New Roman" w:hAnsi="Times New Roman" w:cs="Times New Roman"/>
        </w:rPr>
        <w:t>.  The inhabitants of the BIOT were forcefully removed from their homeland by the UK government, in violation of their human rights.  The UK appears to believe</w:t>
      </w:r>
      <w:r w:rsidRPr="00E3498C">
        <w:rPr>
          <w:rStyle w:val="FootnoteReference"/>
          <w:rFonts w:ascii="Times New Roman" w:hAnsi="Times New Roman" w:cs="Times New Roman"/>
        </w:rPr>
        <w:footnoteReference w:id="23"/>
      </w:r>
      <w:r w:rsidRPr="00E3498C">
        <w:rPr>
          <w:rFonts w:ascii="Times New Roman" w:hAnsi="Times New Roman" w:cs="Times New Roman"/>
        </w:rPr>
        <w:t xml:space="preserve"> that because it removed these inhabitants, it may now avoid responsibility under human rights law.  This stance runs directly counter to the UK’s commitments to the full implementation of the ICCPR in all territories under its control, and its pledge to continue to support overseas territories to abide with basic human rights protection for all.  In accordance with public international law, where the State exercises its control, authority or power abroad, there should be a presumption of extraterritorial reach of the State’s human rights obligations, in accordance with the purposes and objects of human rights treaties.</w:t>
      </w:r>
    </w:p>
    <w:p w:rsidR="00E3498C" w:rsidRPr="00E3498C" w:rsidRDefault="00E3498C" w:rsidP="00E3498C">
      <w:pPr>
        <w:pStyle w:val="ListParagraph"/>
        <w:rPr>
          <w:rFonts w:ascii="Times New Roman" w:hAnsi="Times New Roman" w:cs="Times New Roman"/>
        </w:rPr>
      </w:pPr>
    </w:p>
    <w:p w:rsidR="004935A9" w:rsidRPr="00E3498C" w:rsidRDefault="004935A9" w:rsidP="00E3498C">
      <w:pPr>
        <w:pStyle w:val="ListParagraph"/>
        <w:numPr>
          <w:ilvl w:val="0"/>
          <w:numId w:val="3"/>
        </w:numPr>
        <w:spacing w:line="240" w:lineRule="auto"/>
        <w:ind w:hanging="382"/>
        <w:jc w:val="both"/>
        <w:rPr>
          <w:rFonts w:ascii="Times New Roman" w:hAnsi="Times New Roman" w:cs="Times New Roman"/>
          <w:b/>
        </w:rPr>
      </w:pPr>
      <w:r w:rsidRPr="00E3498C">
        <w:rPr>
          <w:rFonts w:ascii="Times New Roman" w:hAnsi="Times New Roman" w:cs="Times New Roman"/>
          <w:b/>
        </w:rPr>
        <w:lastRenderedPageBreak/>
        <w:t>The Rights Violated</w:t>
      </w:r>
    </w:p>
    <w:p w:rsidR="00815AD1" w:rsidRPr="0034683A" w:rsidRDefault="00815AD1" w:rsidP="001225A6">
      <w:pPr>
        <w:spacing w:line="240" w:lineRule="auto"/>
        <w:ind w:left="709"/>
        <w:jc w:val="both"/>
        <w:rPr>
          <w:rFonts w:ascii="Times New Roman" w:hAnsi="Times New Roman" w:cs="Times New Roman"/>
          <w:i/>
        </w:rPr>
      </w:pPr>
      <w:r w:rsidRPr="0034683A">
        <w:rPr>
          <w:rFonts w:ascii="Times New Roman" w:hAnsi="Times New Roman" w:cs="Times New Roman"/>
          <w:i/>
        </w:rPr>
        <w:t>Article 1</w:t>
      </w:r>
      <w:r w:rsidR="008C4766" w:rsidRPr="0034683A">
        <w:rPr>
          <w:rFonts w:ascii="Times New Roman" w:hAnsi="Times New Roman" w:cs="Times New Roman"/>
          <w:i/>
        </w:rPr>
        <w:t xml:space="preserve"> Self-determination</w:t>
      </w:r>
    </w:p>
    <w:p w:rsidR="00D7254E" w:rsidRPr="0034683A" w:rsidRDefault="00D7254E"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The individuals exiled from the Chagos Islands constitute a people entitled to exercise the right to self-determination under Article 1, and the UK Government’s exclusion of them from the BIOT prevents the Chagos Islanders from exercising that right.  Article 1 guarantees to “all peoples…the right of self-determination. By virtue of that right they freely determine their political status and freely pursue their economic, social and cultural development.”</w:t>
      </w:r>
      <w:r w:rsidRPr="0034683A">
        <w:rPr>
          <w:rStyle w:val="FootnoteReference"/>
          <w:rFonts w:ascii="Times New Roman" w:hAnsi="Times New Roman" w:cs="Times New Roman"/>
        </w:rPr>
        <w:footnoteReference w:id="24"/>
      </w:r>
      <w:r w:rsidRPr="0034683A">
        <w:rPr>
          <w:rFonts w:ascii="Times New Roman" w:hAnsi="Times New Roman" w:cs="Times New Roman"/>
        </w:rPr>
        <w:t xml:space="preserve">  All peoples are also guaranteed the right to, “for their own ends, freely dispose of their natural wealth... [and]...in no case may a people be deprived of its own means of subsistence.”</w:t>
      </w:r>
      <w:r w:rsidRPr="0034683A">
        <w:rPr>
          <w:rStyle w:val="FootnoteReference"/>
          <w:rFonts w:ascii="Times New Roman" w:hAnsi="Times New Roman" w:cs="Times New Roman"/>
        </w:rPr>
        <w:footnoteReference w:id="25"/>
      </w:r>
      <w:r w:rsidRPr="0034683A">
        <w:rPr>
          <w:rFonts w:ascii="Times New Roman" w:hAnsi="Times New Roman" w:cs="Times New Roman"/>
        </w:rPr>
        <w:t xml:space="preserve">  The </w:t>
      </w:r>
      <w:proofErr w:type="spellStart"/>
      <w:r w:rsidRPr="0034683A">
        <w:rPr>
          <w:rFonts w:ascii="Times New Roman" w:hAnsi="Times New Roman" w:cs="Times New Roman"/>
        </w:rPr>
        <w:t>Chagossians</w:t>
      </w:r>
      <w:proofErr w:type="spellEnd"/>
      <w:r w:rsidRPr="0034683A">
        <w:rPr>
          <w:rFonts w:ascii="Times New Roman" w:hAnsi="Times New Roman" w:cs="Times New Roman"/>
        </w:rPr>
        <w:t xml:space="preserve"> are legally entitled to choose how to order their economic, social, and cultural affairs and, moreover, to do so freely and actively, and in consultation with the government in the case of state action affecting their internal self-determination.  </w:t>
      </w:r>
    </w:p>
    <w:p w:rsidR="00D7254E" w:rsidRPr="0034683A" w:rsidRDefault="00D7254E" w:rsidP="001225A6">
      <w:pPr>
        <w:pStyle w:val="ListParagraph"/>
        <w:spacing w:line="240" w:lineRule="auto"/>
        <w:jc w:val="both"/>
        <w:rPr>
          <w:rFonts w:ascii="Times New Roman" w:hAnsi="Times New Roman" w:cs="Times New Roman"/>
        </w:rPr>
      </w:pPr>
    </w:p>
    <w:p w:rsidR="00D7254E" w:rsidRPr="0034683A" w:rsidRDefault="00D7254E"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 xml:space="preserve">The </w:t>
      </w:r>
      <w:proofErr w:type="spellStart"/>
      <w:r w:rsidRPr="0034683A">
        <w:rPr>
          <w:rFonts w:ascii="Times New Roman" w:hAnsi="Times New Roman" w:cs="Times New Roman"/>
        </w:rPr>
        <w:t>Chagossians</w:t>
      </w:r>
      <w:proofErr w:type="spellEnd"/>
      <w:r w:rsidRPr="0034683A">
        <w:rPr>
          <w:rFonts w:ascii="Times New Roman" w:hAnsi="Times New Roman" w:cs="Times New Roman"/>
        </w:rPr>
        <w:t xml:space="preserve"> live today in forced exile.  They are completely barred from living on, or even visiting, any of their ancestral homelands and therefore are unable to organise their economic, social, and cultural affairs the way they were before their exile. </w:t>
      </w:r>
      <w:r w:rsidR="00EE27E2">
        <w:rPr>
          <w:rFonts w:ascii="Times New Roman" w:hAnsi="Times New Roman" w:cs="Times New Roman"/>
        </w:rPr>
        <w:t xml:space="preserve"> The UK courts themselves have recognised that this situation constitutes a violation of their right to self-determination.</w:t>
      </w:r>
      <w:r w:rsidR="00EE27E2">
        <w:rPr>
          <w:rStyle w:val="FootnoteReference"/>
          <w:rFonts w:ascii="Times New Roman" w:hAnsi="Times New Roman" w:cs="Times New Roman"/>
        </w:rPr>
        <w:footnoteReference w:id="26"/>
      </w:r>
    </w:p>
    <w:p w:rsidR="001479BA" w:rsidRDefault="001479BA" w:rsidP="001225A6">
      <w:pPr>
        <w:pStyle w:val="ListParagraph"/>
        <w:spacing w:line="240" w:lineRule="auto"/>
        <w:jc w:val="both"/>
        <w:rPr>
          <w:rFonts w:ascii="Times New Roman" w:hAnsi="Times New Roman" w:cs="Times New Roman"/>
          <w:i/>
        </w:rPr>
      </w:pPr>
    </w:p>
    <w:p w:rsidR="00815AD1" w:rsidRPr="0034683A" w:rsidRDefault="00815AD1" w:rsidP="001225A6">
      <w:pPr>
        <w:pStyle w:val="ListParagraph"/>
        <w:spacing w:line="240" w:lineRule="auto"/>
        <w:jc w:val="both"/>
        <w:rPr>
          <w:rFonts w:ascii="Times New Roman" w:hAnsi="Times New Roman" w:cs="Times New Roman"/>
          <w:i/>
        </w:rPr>
      </w:pPr>
      <w:r w:rsidRPr="0034683A">
        <w:rPr>
          <w:rFonts w:ascii="Times New Roman" w:hAnsi="Times New Roman" w:cs="Times New Roman"/>
          <w:i/>
        </w:rPr>
        <w:t>Article 7</w:t>
      </w:r>
      <w:r w:rsidR="00EE27E2">
        <w:rPr>
          <w:rFonts w:ascii="Times New Roman" w:hAnsi="Times New Roman" w:cs="Times New Roman"/>
          <w:i/>
        </w:rPr>
        <w:t>- Freedom from d</w:t>
      </w:r>
      <w:r w:rsidR="005B287E" w:rsidRPr="0034683A">
        <w:rPr>
          <w:rFonts w:ascii="Times New Roman" w:hAnsi="Times New Roman" w:cs="Times New Roman"/>
          <w:i/>
        </w:rPr>
        <w:t>egrading t</w:t>
      </w:r>
      <w:r w:rsidR="008C4766" w:rsidRPr="0034683A">
        <w:rPr>
          <w:rFonts w:ascii="Times New Roman" w:hAnsi="Times New Roman" w:cs="Times New Roman"/>
          <w:i/>
        </w:rPr>
        <w:t>reatment</w:t>
      </w:r>
    </w:p>
    <w:p w:rsidR="008C4766" w:rsidRPr="0034683A" w:rsidRDefault="008C4766" w:rsidP="001225A6">
      <w:pPr>
        <w:pStyle w:val="ListParagraph"/>
        <w:spacing w:line="240" w:lineRule="auto"/>
        <w:jc w:val="both"/>
        <w:rPr>
          <w:rFonts w:ascii="Times New Roman" w:hAnsi="Times New Roman" w:cs="Times New Roman"/>
          <w:i/>
        </w:rPr>
      </w:pPr>
    </w:p>
    <w:p w:rsidR="00815AD1" w:rsidRPr="0034683A" w:rsidRDefault="00815AD1"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The degrading t</w:t>
      </w:r>
      <w:r w:rsidR="001831F3">
        <w:rPr>
          <w:rFonts w:ascii="Times New Roman" w:hAnsi="Times New Roman" w:cs="Times New Roman"/>
        </w:rPr>
        <w:t xml:space="preserve">reatment occurred in </w:t>
      </w:r>
      <w:r w:rsidRPr="0034683A">
        <w:rPr>
          <w:rFonts w:ascii="Times New Roman" w:hAnsi="Times New Roman" w:cs="Times New Roman"/>
        </w:rPr>
        <w:t>the</w:t>
      </w:r>
      <w:r w:rsidR="001831F3">
        <w:rPr>
          <w:rFonts w:ascii="Times New Roman" w:hAnsi="Times New Roman" w:cs="Times New Roman"/>
        </w:rPr>
        <w:t xml:space="preserve"> unilateral</w:t>
      </w:r>
      <w:r w:rsidRPr="0034683A">
        <w:rPr>
          <w:rFonts w:ascii="Times New Roman" w:hAnsi="Times New Roman" w:cs="Times New Roman"/>
        </w:rPr>
        <w:t xml:space="preserve"> decision-making process leading to the removal from the islands, the removal itself and the manner in which it was carried out, the reception conditions on their arrival in Mauritius and the Seychelles, the prohibition on their return, the refusal to facilitate return once the prohibition had been declared unlawful, and the refusal to compensate the </w:t>
      </w:r>
      <w:r w:rsidR="00EE27E2">
        <w:rPr>
          <w:rFonts w:ascii="Times New Roman" w:hAnsi="Times New Roman" w:cs="Times New Roman"/>
        </w:rPr>
        <w:t>Sey</w:t>
      </w:r>
      <w:r w:rsidR="001831F3">
        <w:rPr>
          <w:rFonts w:ascii="Times New Roman" w:hAnsi="Times New Roman" w:cs="Times New Roman"/>
        </w:rPr>
        <w:t xml:space="preserve">chelles-based </w:t>
      </w:r>
      <w:r w:rsidRPr="0034683A">
        <w:rPr>
          <w:rFonts w:ascii="Times New Roman" w:hAnsi="Times New Roman" w:cs="Times New Roman"/>
        </w:rPr>
        <w:t>Chagos Islande</w:t>
      </w:r>
      <w:r w:rsidR="001831F3">
        <w:rPr>
          <w:rFonts w:ascii="Times New Roman" w:hAnsi="Times New Roman" w:cs="Times New Roman"/>
        </w:rPr>
        <w:t xml:space="preserve">rs for the violations which </w:t>
      </w:r>
      <w:r w:rsidRPr="0034683A">
        <w:rPr>
          <w:rFonts w:ascii="Times New Roman" w:hAnsi="Times New Roman" w:cs="Times New Roman"/>
        </w:rPr>
        <w:t>occurred.</w:t>
      </w:r>
    </w:p>
    <w:p w:rsidR="00815AD1" w:rsidRPr="0034683A" w:rsidRDefault="00815AD1" w:rsidP="001225A6">
      <w:pPr>
        <w:pStyle w:val="ListParagraph"/>
        <w:spacing w:line="240" w:lineRule="auto"/>
        <w:jc w:val="both"/>
        <w:rPr>
          <w:rFonts w:ascii="Times New Roman" w:hAnsi="Times New Roman" w:cs="Times New Roman"/>
        </w:rPr>
      </w:pPr>
    </w:p>
    <w:p w:rsidR="00815AD1" w:rsidRPr="0034683A" w:rsidRDefault="00815AD1"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 xml:space="preserve">External sources confirm the anguish that characterises </w:t>
      </w:r>
      <w:proofErr w:type="spellStart"/>
      <w:r w:rsidRPr="0034683A">
        <w:rPr>
          <w:rFonts w:ascii="Times New Roman" w:hAnsi="Times New Roman" w:cs="Times New Roman"/>
        </w:rPr>
        <w:t>Chagossian</w:t>
      </w:r>
      <w:proofErr w:type="spellEnd"/>
      <w:r w:rsidRPr="0034683A">
        <w:rPr>
          <w:rFonts w:ascii="Times New Roman" w:hAnsi="Times New Roman" w:cs="Times New Roman"/>
        </w:rPr>
        <w:t xml:space="preserve"> life in exile.</w:t>
      </w:r>
      <w:r w:rsidRPr="0034683A">
        <w:rPr>
          <w:rStyle w:val="FootnoteReference"/>
          <w:rFonts w:ascii="Times New Roman" w:hAnsi="Times New Roman" w:cs="Times New Roman"/>
        </w:rPr>
        <w:footnoteReference w:id="27"/>
      </w:r>
      <w:r w:rsidRPr="0034683A">
        <w:rPr>
          <w:rFonts w:ascii="Times New Roman" w:hAnsi="Times New Roman" w:cs="Times New Roman"/>
        </w:rPr>
        <w:t xml:space="preserve"> The UK High Court, for exampl</w:t>
      </w:r>
      <w:r w:rsidR="00274A08">
        <w:rPr>
          <w:rFonts w:ascii="Times New Roman" w:hAnsi="Times New Roman" w:cs="Times New Roman"/>
        </w:rPr>
        <w:t xml:space="preserve">e, noted that the </w:t>
      </w:r>
      <w:proofErr w:type="spellStart"/>
      <w:r w:rsidR="00274A08">
        <w:rPr>
          <w:rFonts w:ascii="Times New Roman" w:hAnsi="Times New Roman" w:cs="Times New Roman"/>
        </w:rPr>
        <w:t>Chagossians</w:t>
      </w:r>
      <w:proofErr w:type="spellEnd"/>
      <w:r w:rsidR="00274A08">
        <w:rPr>
          <w:rFonts w:ascii="Times New Roman" w:hAnsi="Times New Roman" w:cs="Times New Roman"/>
        </w:rPr>
        <w:t>:</w:t>
      </w:r>
    </w:p>
    <w:p w:rsidR="00815AD1" w:rsidRPr="0034683A" w:rsidRDefault="00815AD1" w:rsidP="001225A6">
      <w:pPr>
        <w:pStyle w:val="NormalWeb"/>
        <w:widowControl w:val="0"/>
        <w:spacing w:before="0" w:beforeAutospacing="0" w:after="0" w:afterAutospacing="0"/>
        <w:jc w:val="both"/>
        <w:rPr>
          <w:sz w:val="22"/>
          <w:szCs w:val="22"/>
        </w:rPr>
      </w:pPr>
    </w:p>
    <w:p w:rsidR="00815AD1" w:rsidRPr="00274A08" w:rsidRDefault="00815AD1" w:rsidP="001225A6">
      <w:pPr>
        <w:pStyle w:val="NormalWeb"/>
        <w:widowControl w:val="0"/>
        <w:tabs>
          <w:tab w:val="left" w:pos="7230"/>
        </w:tabs>
        <w:spacing w:before="0" w:beforeAutospacing="0" w:after="0" w:afterAutospacing="0"/>
        <w:ind w:left="1440" w:right="1070"/>
        <w:jc w:val="both"/>
        <w:rPr>
          <w:sz w:val="22"/>
          <w:szCs w:val="22"/>
        </w:rPr>
      </w:pPr>
      <w:r w:rsidRPr="00274A08">
        <w:rPr>
          <w:sz w:val="22"/>
          <w:szCs w:val="22"/>
        </w:rPr>
        <w:t>...were uprooted from the only way of life which they knew and were taken to Mauritius and the Seychelles where little or no provision for their reception, accommodation, future employment and well-being had been made. Ill-suited to their surroundings, poverty and misery became their common lot for years…Their poverty, sadness and sense of loss and displacement impel their continuing desire to return to the islands which were their home.”</w:t>
      </w:r>
      <w:r w:rsidRPr="00274A08">
        <w:rPr>
          <w:rStyle w:val="FootnoteReference"/>
          <w:sz w:val="22"/>
          <w:szCs w:val="22"/>
        </w:rPr>
        <w:footnoteReference w:id="28"/>
      </w:r>
    </w:p>
    <w:p w:rsidR="00815AD1" w:rsidRPr="0034683A" w:rsidRDefault="00815AD1" w:rsidP="001225A6">
      <w:pPr>
        <w:pStyle w:val="NormalWeb"/>
        <w:widowControl w:val="0"/>
        <w:spacing w:before="0" w:beforeAutospacing="0" w:after="0" w:afterAutospacing="0"/>
        <w:jc w:val="both"/>
        <w:rPr>
          <w:i/>
          <w:sz w:val="22"/>
          <w:szCs w:val="22"/>
        </w:rPr>
      </w:pPr>
    </w:p>
    <w:p w:rsidR="00815AD1" w:rsidRPr="0034683A" w:rsidRDefault="00815AD1" w:rsidP="001225A6">
      <w:pPr>
        <w:pStyle w:val="NormalWeb"/>
        <w:widowControl w:val="0"/>
        <w:numPr>
          <w:ilvl w:val="0"/>
          <w:numId w:val="6"/>
        </w:numPr>
        <w:spacing w:before="0" w:beforeAutospacing="0" w:after="0" w:afterAutospacing="0"/>
        <w:jc w:val="both"/>
        <w:rPr>
          <w:sz w:val="22"/>
          <w:szCs w:val="22"/>
        </w:rPr>
      </w:pPr>
      <w:r w:rsidRPr="0034683A">
        <w:rPr>
          <w:sz w:val="22"/>
          <w:szCs w:val="22"/>
        </w:rPr>
        <w:t>Journalistic accounts of life in exile also consistently mention the “slum conditions,”</w:t>
      </w:r>
      <w:r w:rsidRPr="0034683A">
        <w:rPr>
          <w:rStyle w:val="FootnoteReference"/>
          <w:sz w:val="22"/>
          <w:szCs w:val="22"/>
        </w:rPr>
        <w:t xml:space="preserve"> </w:t>
      </w:r>
      <w:r w:rsidRPr="0034683A">
        <w:rPr>
          <w:rStyle w:val="FootnoteReference"/>
          <w:sz w:val="22"/>
          <w:szCs w:val="22"/>
        </w:rPr>
        <w:footnoteReference w:id="29"/>
      </w:r>
      <w:r w:rsidRPr="0034683A">
        <w:rPr>
          <w:sz w:val="22"/>
          <w:szCs w:val="22"/>
        </w:rPr>
        <w:t xml:space="preserve">  “poverty,”</w:t>
      </w:r>
      <w:r w:rsidRPr="0034683A">
        <w:rPr>
          <w:rStyle w:val="FootnoteReference"/>
          <w:sz w:val="22"/>
          <w:szCs w:val="22"/>
        </w:rPr>
        <w:footnoteReference w:id="30"/>
      </w:r>
      <w:r w:rsidRPr="0034683A">
        <w:rPr>
          <w:sz w:val="22"/>
          <w:szCs w:val="22"/>
        </w:rPr>
        <w:t xml:space="preserve"> and “racism”</w:t>
      </w:r>
      <w:r w:rsidRPr="0034683A">
        <w:rPr>
          <w:rStyle w:val="FootnoteReference"/>
          <w:sz w:val="22"/>
          <w:szCs w:val="22"/>
        </w:rPr>
        <w:footnoteReference w:id="31"/>
      </w:r>
      <w:r w:rsidRPr="0034683A">
        <w:rPr>
          <w:sz w:val="22"/>
          <w:szCs w:val="22"/>
        </w:rPr>
        <w:t xml:space="preserve"> that the </w:t>
      </w:r>
      <w:proofErr w:type="spellStart"/>
      <w:r w:rsidRPr="0034683A">
        <w:rPr>
          <w:sz w:val="22"/>
          <w:szCs w:val="22"/>
        </w:rPr>
        <w:t>Chagossians</w:t>
      </w:r>
      <w:proofErr w:type="spellEnd"/>
      <w:r w:rsidRPr="0034683A">
        <w:rPr>
          <w:sz w:val="22"/>
          <w:szCs w:val="22"/>
        </w:rPr>
        <w:t xml:space="preserve"> face in Mauritius and the </w:t>
      </w:r>
      <w:r w:rsidRPr="0034683A">
        <w:rPr>
          <w:sz w:val="22"/>
          <w:szCs w:val="22"/>
        </w:rPr>
        <w:lastRenderedPageBreak/>
        <w:t xml:space="preserve">Seychelles.  </w:t>
      </w:r>
    </w:p>
    <w:p w:rsidR="00815AD1" w:rsidRPr="0034683A" w:rsidRDefault="00815AD1" w:rsidP="001225A6">
      <w:pPr>
        <w:pStyle w:val="NormalWeb"/>
        <w:widowControl w:val="0"/>
        <w:spacing w:before="0" w:beforeAutospacing="0" w:after="0" w:afterAutospacing="0"/>
        <w:ind w:left="720"/>
        <w:jc w:val="both"/>
        <w:rPr>
          <w:sz w:val="22"/>
          <w:szCs w:val="22"/>
        </w:rPr>
      </w:pPr>
    </w:p>
    <w:p w:rsidR="00815AD1" w:rsidRPr="0034683A" w:rsidRDefault="00274A08" w:rsidP="001225A6">
      <w:pPr>
        <w:pStyle w:val="NormalWeb"/>
        <w:widowControl w:val="0"/>
        <w:numPr>
          <w:ilvl w:val="0"/>
          <w:numId w:val="6"/>
        </w:numPr>
        <w:spacing w:before="0" w:beforeAutospacing="0" w:after="0" w:afterAutospacing="0"/>
        <w:jc w:val="both"/>
        <w:rPr>
          <w:sz w:val="22"/>
          <w:szCs w:val="22"/>
        </w:rPr>
      </w:pPr>
      <w:r>
        <w:rPr>
          <w:sz w:val="22"/>
          <w:szCs w:val="22"/>
        </w:rPr>
        <w:t>As stated above, the</w:t>
      </w:r>
      <w:r w:rsidR="00815AD1" w:rsidRPr="0034683A">
        <w:rPr>
          <w:sz w:val="22"/>
          <w:szCs w:val="22"/>
        </w:rPr>
        <w:t xml:space="preserve"> Islanders currently living on the </w:t>
      </w:r>
      <w:proofErr w:type="spellStart"/>
      <w:r w:rsidR="00815AD1" w:rsidRPr="0034683A">
        <w:rPr>
          <w:sz w:val="22"/>
          <w:szCs w:val="22"/>
        </w:rPr>
        <w:t>Seyschelles</w:t>
      </w:r>
      <w:proofErr w:type="spellEnd"/>
      <w:r w:rsidR="00815AD1" w:rsidRPr="0034683A">
        <w:rPr>
          <w:sz w:val="22"/>
          <w:szCs w:val="22"/>
        </w:rPr>
        <w:t xml:space="preserve"> have received no compensation for this treatment. </w:t>
      </w:r>
    </w:p>
    <w:p w:rsidR="00815AD1" w:rsidRPr="0034683A" w:rsidRDefault="00815AD1" w:rsidP="001225A6">
      <w:pPr>
        <w:pStyle w:val="NormalWeb"/>
        <w:widowControl w:val="0"/>
        <w:spacing w:before="0" w:beforeAutospacing="0" w:after="0" w:afterAutospacing="0"/>
        <w:jc w:val="both"/>
        <w:rPr>
          <w:i/>
          <w:sz w:val="22"/>
          <w:szCs w:val="22"/>
        </w:rPr>
      </w:pPr>
    </w:p>
    <w:p w:rsidR="00D7254E" w:rsidRPr="0034683A" w:rsidRDefault="008C4766" w:rsidP="001225A6">
      <w:pPr>
        <w:spacing w:line="240" w:lineRule="auto"/>
        <w:ind w:left="720"/>
        <w:jc w:val="both"/>
        <w:rPr>
          <w:rFonts w:ascii="Times New Roman" w:hAnsi="Times New Roman" w:cs="Times New Roman"/>
          <w:i/>
        </w:rPr>
      </w:pPr>
      <w:r w:rsidRPr="0034683A">
        <w:rPr>
          <w:rFonts w:ascii="Times New Roman" w:hAnsi="Times New Roman" w:cs="Times New Roman"/>
          <w:i/>
        </w:rPr>
        <w:t xml:space="preserve">Article 12 </w:t>
      </w:r>
      <w:r w:rsidR="005B287E" w:rsidRPr="0034683A">
        <w:rPr>
          <w:rFonts w:ascii="Times New Roman" w:hAnsi="Times New Roman" w:cs="Times New Roman"/>
          <w:i/>
        </w:rPr>
        <w:t>–</w:t>
      </w:r>
      <w:r w:rsidRPr="0034683A">
        <w:rPr>
          <w:rFonts w:ascii="Times New Roman" w:hAnsi="Times New Roman" w:cs="Times New Roman"/>
          <w:i/>
        </w:rPr>
        <w:t xml:space="preserve"> </w:t>
      </w:r>
      <w:r w:rsidR="005B287E" w:rsidRPr="0034683A">
        <w:rPr>
          <w:rFonts w:ascii="Times New Roman" w:hAnsi="Times New Roman" w:cs="Times New Roman"/>
          <w:i/>
        </w:rPr>
        <w:t>Right to enter one’s own country</w:t>
      </w:r>
    </w:p>
    <w:p w:rsidR="001225A6" w:rsidRPr="0034683A" w:rsidRDefault="005B287E"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Article 12 of the ICCPR provides everyone the right to enter and leave his or her own country.  It states that anyone who is lawfully within the territory of a State has a right of movement within that territory. It also prohibits arbitrary deprivation of a person’s rights to enter their own country.</w:t>
      </w:r>
    </w:p>
    <w:p w:rsidR="001225A6" w:rsidRPr="0034683A" w:rsidRDefault="001225A6" w:rsidP="001225A6">
      <w:pPr>
        <w:pStyle w:val="ListParagraph"/>
        <w:spacing w:line="240" w:lineRule="auto"/>
        <w:jc w:val="both"/>
        <w:rPr>
          <w:rFonts w:ascii="Times New Roman" w:hAnsi="Times New Roman" w:cs="Times New Roman"/>
        </w:rPr>
      </w:pPr>
    </w:p>
    <w:p w:rsidR="005B287E" w:rsidRPr="0034683A" w:rsidRDefault="005B287E" w:rsidP="001225A6">
      <w:pPr>
        <w:pStyle w:val="ListParagraph"/>
        <w:numPr>
          <w:ilvl w:val="0"/>
          <w:numId w:val="6"/>
        </w:numPr>
        <w:spacing w:line="240" w:lineRule="auto"/>
        <w:jc w:val="both"/>
        <w:rPr>
          <w:rFonts w:ascii="Times New Roman" w:hAnsi="Times New Roman" w:cs="Times New Roman"/>
        </w:rPr>
      </w:pPr>
      <w:r w:rsidRPr="0034683A">
        <w:rPr>
          <w:rFonts w:ascii="Times New Roman" w:hAnsi="Times New Roman" w:cs="Times New Roman"/>
        </w:rPr>
        <w:t xml:space="preserve">The UK’s continued exile of the Chagos Islanders from their homeland is a persistent and serious violation of their right to return to their own country. </w:t>
      </w:r>
      <w:r w:rsidRPr="0034683A">
        <w:rPr>
          <w:rFonts w:ascii="Times New Roman" w:hAnsi="Times New Roman" w:cs="Times New Roman"/>
          <w:bCs/>
        </w:rPr>
        <w:t xml:space="preserve">This Committee </w:t>
      </w:r>
      <w:r w:rsidRPr="0034683A">
        <w:rPr>
          <w:rFonts w:ascii="Times New Roman" w:hAnsi="Times New Roman" w:cs="Times New Roman"/>
        </w:rPr>
        <w:t>“considers that there are few, if any, circumstances in which</w:t>
      </w:r>
      <w:r w:rsidRPr="0034683A">
        <w:rPr>
          <w:rFonts w:ascii="Times New Roman" w:hAnsi="Times New Roman" w:cs="Times New Roman"/>
          <w:bCs/>
        </w:rPr>
        <w:t xml:space="preserve"> </w:t>
      </w:r>
      <w:r w:rsidRPr="0034683A">
        <w:rPr>
          <w:rFonts w:ascii="Times New Roman" w:hAnsi="Times New Roman" w:cs="Times New Roman"/>
        </w:rPr>
        <w:t>deprivation of the right to enter one’s own country could be reasonable.”</w:t>
      </w:r>
      <w:r w:rsidRPr="0034683A">
        <w:rPr>
          <w:rStyle w:val="FootnoteReference"/>
          <w:rFonts w:ascii="Times New Roman" w:hAnsi="Times New Roman" w:cs="Times New Roman"/>
        </w:rPr>
        <w:footnoteReference w:id="32"/>
      </w:r>
      <w:r w:rsidRPr="0034683A">
        <w:rPr>
          <w:rFonts w:ascii="Times New Roman" w:hAnsi="Times New Roman" w:cs="Times New Roman"/>
        </w:rPr>
        <w:t xml:space="preserve"> Article 12, paragraph 3, “authorizes the State to restrict these rights only to protect national security, public order, public health or morals and the rights and freedoms of others.”</w:t>
      </w:r>
      <w:r w:rsidRPr="0034683A">
        <w:rPr>
          <w:rStyle w:val="FootnoteReference"/>
          <w:rFonts w:ascii="Times New Roman" w:hAnsi="Times New Roman" w:cs="Times New Roman"/>
        </w:rPr>
        <w:footnoteReference w:id="33"/>
      </w:r>
      <w:r w:rsidRPr="0034683A">
        <w:rPr>
          <w:rFonts w:ascii="Times New Roman" w:hAnsi="Times New Roman" w:cs="Times New Roman"/>
        </w:rPr>
        <w:t xml:space="preserve"> As per General Comment 27 on Article 12, the provision in paragraph 3:</w:t>
      </w:r>
    </w:p>
    <w:p w:rsidR="005B287E" w:rsidRPr="0034683A" w:rsidRDefault="005B287E" w:rsidP="001225A6">
      <w:pPr>
        <w:pStyle w:val="Default"/>
        <w:widowControl w:val="0"/>
        <w:ind w:left="720"/>
        <w:jc w:val="both"/>
        <w:rPr>
          <w:color w:val="auto"/>
          <w:sz w:val="22"/>
          <w:szCs w:val="22"/>
        </w:rPr>
      </w:pPr>
    </w:p>
    <w:p w:rsidR="005B287E" w:rsidRPr="00274A08" w:rsidRDefault="005B287E" w:rsidP="001225A6">
      <w:pPr>
        <w:pStyle w:val="Default"/>
        <w:widowControl w:val="0"/>
        <w:ind w:left="1134" w:right="1070"/>
        <w:jc w:val="both"/>
        <w:rPr>
          <w:bCs/>
          <w:color w:val="auto"/>
          <w:sz w:val="22"/>
          <w:szCs w:val="22"/>
        </w:rPr>
      </w:pPr>
      <w:r w:rsidRPr="00274A08">
        <w:rPr>
          <w:sz w:val="22"/>
          <w:szCs w:val="22"/>
        </w:rPr>
        <w:t>clearly indicates that it is not sufficient that the restrictions serve the permissible purposes; they must also be necessary to protect them. Restrictive measures must conform to the principle of proportionality; they must be appropriate to achieve their protective function; they must be the least intrusive instrument amongst those which might achieve the desired result; and they must be proportionate to the interest to be protected.”</w:t>
      </w:r>
      <w:r w:rsidRPr="00274A08">
        <w:rPr>
          <w:rStyle w:val="FootnoteReference"/>
          <w:sz w:val="22"/>
          <w:szCs w:val="22"/>
        </w:rPr>
        <w:footnoteReference w:id="34"/>
      </w:r>
    </w:p>
    <w:p w:rsidR="005B287E" w:rsidRPr="0034683A" w:rsidRDefault="005B287E" w:rsidP="001225A6">
      <w:pPr>
        <w:pStyle w:val="ListParagraph"/>
        <w:spacing w:line="240" w:lineRule="auto"/>
        <w:jc w:val="both"/>
        <w:rPr>
          <w:rFonts w:ascii="Times New Roman" w:hAnsi="Times New Roman" w:cs="Times New Roman"/>
        </w:rPr>
      </w:pPr>
    </w:p>
    <w:p w:rsidR="005B287E" w:rsidRPr="0034683A" w:rsidRDefault="005B287E" w:rsidP="001225A6">
      <w:pPr>
        <w:pStyle w:val="ListParagraph"/>
        <w:numPr>
          <w:ilvl w:val="0"/>
          <w:numId w:val="6"/>
        </w:numPr>
        <w:spacing w:line="240" w:lineRule="auto"/>
        <w:ind w:hanging="436"/>
        <w:jc w:val="both"/>
        <w:rPr>
          <w:rFonts w:ascii="Times New Roman" w:hAnsi="Times New Roman" w:cs="Times New Roman"/>
        </w:rPr>
      </w:pPr>
      <w:r w:rsidRPr="0034683A">
        <w:rPr>
          <w:rFonts w:ascii="Times New Roman" w:hAnsi="Times New Roman" w:cs="Times New Roman"/>
          <w:bCs/>
        </w:rPr>
        <w:t xml:space="preserve">It is not sufficient that leasing the BIOT to the United States for military use serves the purpose of national security, but rather the </w:t>
      </w:r>
      <w:proofErr w:type="spellStart"/>
      <w:r w:rsidRPr="0034683A">
        <w:rPr>
          <w:rFonts w:ascii="Times New Roman" w:hAnsi="Times New Roman" w:cs="Times New Roman"/>
          <w:bCs/>
        </w:rPr>
        <w:t>Chagossians</w:t>
      </w:r>
      <w:proofErr w:type="spellEnd"/>
      <w:r w:rsidRPr="0034683A">
        <w:rPr>
          <w:rFonts w:ascii="Times New Roman" w:hAnsi="Times New Roman" w:cs="Times New Roman"/>
          <w:bCs/>
        </w:rPr>
        <w:t xml:space="preserve">’ eviction must have been </w:t>
      </w:r>
      <w:r w:rsidRPr="0034683A">
        <w:rPr>
          <w:rFonts w:ascii="Times New Roman" w:hAnsi="Times New Roman" w:cs="Times New Roman"/>
          <w:bCs/>
          <w:i/>
        </w:rPr>
        <w:t>necessary</w:t>
      </w:r>
      <w:r w:rsidRPr="0034683A">
        <w:rPr>
          <w:rFonts w:ascii="Times New Roman" w:hAnsi="Times New Roman" w:cs="Times New Roman"/>
          <w:bCs/>
        </w:rPr>
        <w:t xml:space="preserve"> to protect national security. Moreover, by prohibiting the </w:t>
      </w:r>
      <w:proofErr w:type="spellStart"/>
      <w:r w:rsidRPr="0034683A">
        <w:rPr>
          <w:rFonts w:ascii="Times New Roman" w:hAnsi="Times New Roman" w:cs="Times New Roman"/>
          <w:bCs/>
        </w:rPr>
        <w:t>Chagossians</w:t>
      </w:r>
      <w:proofErr w:type="spellEnd"/>
      <w:r w:rsidRPr="0034683A">
        <w:rPr>
          <w:rFonts w:ascii="Times New Roman" w:hAnsi="Times New Roman" w:cs="Times New Roman"/>
          <w:bCs/>
        </w:rPr>
        <w:t>’ return to the territory, the State’s acts are disproportionate and an overly intrusive mechanism to achieving their purpose.</w:t>
      </w:r>
    </w:p>
    <w:p w:rsidR="005B287E" w:rsidRPr="0034683A" w:rsidRDefault="005B287E" w:rsidP="001225A6">
      <w:pPr>
        <w:pStyle w:val="ListParagraph"/>
        <w:spacing w:line="240" w:lineRule="auto"/>
        <w:jc w:val="both"/>
        <w:rPr>
          <w:rFonts w:ascii="Times New Roman" w:hAnsi="Times New Roman" w:cs="Times New Roman"/>
        </w:rPr>
      </w:pPr>
    </w:p>
    <w:p w:rsidR="005B287E" w:rsidRPr="0034683A" w:rsidRDefault="005B287E" w:rsidP="001225A6">
      <w:pPr>
        <w:pStyle w:val="ListParagraph"/>
        <w:spacing w:line="240" w:lineRule="auto"/>
        <w:jc w:val="both"/>
        <w:rPr>
          <w:rFonts w:ascii="Times New Roman" w:hAnsi="Times New Roman" w:cs="Times New Roman"/>
          <w:i/>
        </w:rPr>
      </w:pPr>
      <w:r w:rsidRPr="0034683A">
        <w:rPr>
          <w:rFonts w:ascii="Times New Roman" w:hAnsi="Times New Roman" w:cs="Times New Roman"/>
          <w:i/>
        </w:rPr>
        <w:t>Article 17 - Right to privacy, family and home</w:t>
      </w:r>
    </w:p>
    <w:p w:rsidR="005B287E" w:rsidRPr="0034683A" w:rsidRDefault="005B287E" w:rsidP="001225A6">
      <w:pPr>
        <w:pStyle w:val="ListParagraph"/>
        <w:spacing w:line="240" w:lineRule="auto"/>
        <w:jc w:val="both"/>
        <w:rPr>
          <w:rFonts w:ascii="Times New Roman" w:hAnsi="Times New Roman" w:cs="Times New Roman"/>
        </w:rPr>
      </w:pPr>
    </w:p>
    <w:p w:rsidR="005B287E" w:rsidRPr="0034683A" w:rsidRDefault="005B287E" w:rsidP="001225A6">
      <w:pPr>
        <w:pStyle w:val="ListParagraph"/>
        <w:numPr>
          <w:ilvl w:val="0"/>
          <w:numId w:val="6"/>
        </w:numPr>
        <w:spacing w:line="240" w:lineRule="auto"/>
        <w:ind w:hanging="436"/>
        <w:jc w:val="both"/>
        <w:rPr>
          <w:rFonts w:ascii="Times New Roman" w:hAnsi="Times New Roman" w:cs="Times New Roman"/>
        </w:rPr>
      </w:pPr>
      <w:r w:rsidRPr="0034683A">
        <w:rPr>
          <w:rFonts w:ascii="Times New Roman" w:hAnsi="Times New Roman" w:cs="Times New Roman"/>
        </w:rPr>
        <w:t>Article 17 of the ICCPR prohibits the arbitrary and unlawful interference with a p</w:t>
      </w:r>
      <w:r w:rsidR="00274A08">
        <w:rPr>
          <w:rFonts w:ascii="Times New Roman" w:hAnsi="Times New Roman" w:cs="Times New Roman"/>
        </w:rPr>
        <w:t xml:space="preserve">erson’s privacy and family. </w:t>
      </w:r>
      <w:r w:rsidRPr="0034683A">
        <w:rPr>
          <w:rFonts w:ascii="Times New Roman" w:hAnsi="Times New Roman" w:cs="Times New Roman"/>
        </w:rPr>
        <w:t>“When families and communities are torn apart by eviction, the right to family life is infringed... [and] the rights to privacy and to security of the home are violated.”</w:t>
      </w:r>
      <w:r w:rsidRPr="0034683A">
        <w:rPr>
          <w:rStyle w:val="FootnoteReference"/>
          <w:rFonts w:ascii="Times New Roman" w:hAnsi="Times New Roman" w:cs="Times New Roman"/>
        </w:rPr>
        <w:footnoteReference w:id="35"/>
      </w:r>
      <w:r w:rsidR="00274A08">
        <w:rPr>
          <w:rFonts w:ascii="Times New Roman" w:hAnsi="Times New Roman" w:cs="Times New Roman"/>
        </w:rPr>
        <w:t xml:space="preserve"> In the circumstances described above, the</w:t>
      </w:r>
      <w:r w:rsidRPr="0034683A">
        <w:rPr>
          <w:rFonts w:ascii="Times New Roman" w:hAnsi="Times New Roman" w:cs="Times New Roman"/>
        </w:rPr>
        <w:t xml:space="preserve"> State’s original removal of the </w:t>
      </w:r>
      <w:proofErr w:type="spellStart"/>
      <w:r w:rsidRPr="0034683A">
        <w:rPr>
          <w:rFonts w:ascii="Times New Roman" w:hAnsi="Times New Roman" w:cs="Times New Roman"/>
        </w:rPr>
        <w:t>Chagossians</w:t>
      </w:r>
      <w:proofErr w:type="spellEnd"/>
      <w:r w:rsidRPr="0034683A">
        <w:rPr>
          <w:rFonts w:ascii="Times New Roman" w:hAnsi="Times New Roman" w:cs="Times New Roman"/>
        </w:rPr>
        <w:t xml:space="preserve"> and thei</w:t>
      </w:r>
      <w:r w:rsidR="00274A08">
        <w:rPr>
          <w:rFonts w:ascii="Times New Roman" w:hAnsi="Times New Roman" w:cs="Times New Roman"/>
        </w:rPr>
        <w:t>r continued exile constitutes a clear and unjustified</w:t>
      </w:r>
      <w:r w:rsidRPr="0034683A">
        <w:rPr>
          <w:rFonts w:ascii="Times New Roman" w:hAnsi="Times New Roman" w:cs="Times New Roman"/>
        </w:rPr>
        <w:t xml:space="preserve"> interference with these rights.</w:t>
      </w:r>
    </w:p>
    <w:p w:rsidR="00EE27E2" w:rsidRDefault="00EE27E2" w:rsidP="001225A6">
      <w:pPr>
        <w:pStyle w:val="ListParagraph"/>
        <w:spacing w:line="240" w:lineRule="auto"/>
        <w:jc w:val="both"/>
        <w:rPr>
          <w:rFonts w:ascii="Times New Roman" w:hAnsi="Times New Roman" w:cs="Times New Roman"/>
          <w:b/>
        </w:rPr>
      </w:pPr>
    </w:p>
    <w:p w:rsidR="001970A9" w:rsidRPr="0034683A" w:rsidRDefault="001970A9" w:rsidP="001225A6">
      <w:pPr>
        <w:pStyle w:val="ListParagraph"/>
        <w:spacing w:line="240" w:lineRule="auto"/>
        <w:jc w:val="both"/>
        <w:rPr>
          <w:rFonts w:ascii="Times New Roman" w:hAnsi="Times New Roman" w:cs="Times New Roman"/>
          <w:b/>
        </w:rPr>
      </w:pPr>
      <w:r w:rsidRPr="0034683A">
        <w:rPr>
          <w:rFonts w:ascii="Times New Roman" w:hAnsi="Times New Roman" w:cs="Times New Roman"/>
          <w:b/>
        </w:rPr>
        <w:t xml:space="preserve">V. </w:t>
      </w:r>
      <w:r w:rsidR="00EE27E2">
        <w:rPr>
          <w:rFonts w:ascii="Times New Roman" w:hAnsi="Times New Roman" w:cs="Times New Roman"/>
          <w:b/>
        </w:rPr>
        <w:t>Recommendations</w:t>
      </w:r>
    </w:p>
    <w:p w:rsidR="001225A6" w:rsidRPr="0034683A" w:rsidRDefault="001225A6" w:rsidP="001225A6">
      <w:pPr>
        <w:pStyle w:val="ListParagraph"/>
        <w:spacing w:line="240" w:lineRule="auto"/>
        <w:jc w:val="both"/>
        <w:rPr>
          <w:rFonts w:ascii="Times New Roman" w:hAnsi="Times New Roman" w:cs="Times New Roman"/>
        </w:rPr>
      </w:pPr>
    </w:p>
    <w:p w:rsidR="001970A9" w:rsidRPr="0034683A" w:rsidRDefault="001970A9" w:rsidP="001225A6">
      <w:pPr>
        <w:pStyle w:val="ListParagraph"/>
        <w:numPr>
          <w:ilvl w:val="0"/>
          <w:numId w:val="12"/>
        </w:numPr>
        <w:spacing w:line="240" w:lineRule="auto"/>
        <w:ind w:left="709"/>
        <w:jc w:val="both"/>
        <w:rPr>
          <w:rFonts w:ascii="Times New Roman" w:hAnsi="Times New Roman" w:cs="Times New Roman"/>
        </w:rPr>
      </w:pPr>
      <w:r w:rsidRPr="0034683A">
        <w:rPr>
          <w:rFonts w:ascii="Times New Roman" w:hAnsi="Times New Roman" w:cs="Times New Roman"/>
        </w:rPr>
        <w:lastRenderedPageBreak/>
        <w:t>MRG</w:t>
      </w:r>
      <w:r w:rsidR="00212EE7" w:rsidRPr="0034683A">
        <w:rPr>
          <w:rFonts w:ascii="Times New Roman" w:hAnsi="Times New Roman" w:cs="Times New Roman"/>
          <w:color w:val="000000" w:themeColor="text1"/>
        </w:rPr>
        <w:t xml:space="preserve"> request</w:t>
      </w:r>
      <w:r w:rsidR="00453171">
        <w:rPr>
          <w:rFonts w:ascii="Times New Roman" w:hAnsi="Times New Roman" w:cs="Times New Roman"/>
          <w:color w:val="000000" w:themeColor="text1"/>
        </w:rPr>
        <w:t>s</w:t>
      </w:r>
      <w:r w:rsidR="00212EE7" w:rsidRPr="0034683A">
        <w:rPr>
          <w:rFonts w:ascii="Times New Roman" w:hAnsi="Times New Roman" w:cs="Times New Roman"/>
          <w:color w:val="000000" w:themeColor="text1"/>
        </w:rPr>
        <w:t xml:space="preserve"> that</w:t>
      </w:r>
      <w:r w:rsidRPr="0034683A">
        <w:rPr>
          <w:rFonts w:ascii="Times New Roman" w:hAnsi="Times New Roman" w:cs="Times New Roman"/>
          <w:color w:val="000000" w:themeColor="text1"/>
        </w:rPr>
        <w:t xml:space="preserve"> the Human Rights </w:t>
      </w:r>
      <w:r w:rsidR="00212EE7" w:rsidRPr="0034683A">
        <w:rPr>
          <w:rFonts w:ascii="Times New Roman" w:hAnsi="Times New Roman" w:cs="Times New Roman"/>
          <w:color w:val="000000" w:themeColor="text1"/>
        </w:rPr>
        <w:t>Committee</w:t>
      </w:r>
      <w:r w:rsidRPr="0034683A">
        <w:rPr>
          <w:rFonts w:ascii="Times New Roman" w:hAnsi="Times New Roman" w:cs="Times New Roman"/>
          <w:color w:val="000000" w:themeColor="text1"/>
        </w:rPr>
        <w:t xml:space="preserve"> include in its Concluding Observation recommendations</w:t>
      </w:r>
      <w:r w:rsidR="00453171">
        <w:rPr>
          <w:rFonts w:ascii="Times New Roman" w:hAnsi="Times New Roman" w:cs="Times New Roman"/>
          <w:color w:val="000000" w:themeColor="text1"/>
        </w:rPr>
        <w:t xml:space="preserve"> that the State Party take the</w:t>
      </w:r>
      <w:r w:rsidRPr="0034683A">
        <w:rPr>
          <w:rFonts w:ascii="Times New Roman" w:hAnsi="Times New Roman" w:cs="Times New Roman"/>
          <w:color w:val="000000" w:themeColor="text1"/>
        </w:rPr>
        <w:t xml:space="preserve"> following</w:t>
      </w:r>
      <w:r w:rsidR="00453171">
        <w:rPr>
          <w:rFonts w:ascii="Times New Roman" w:hAnsi="Times New Roman" w:cs="Times New Roman"/>
          <w:color w:val="000000" w:themeColor="text1"/>
        </w:rPr>
        <w:t xml:space="preserve"> action</w:t>
      </w:r>
      <w:r w:rsidRPr="0034683A">
        <w:rPr>
          <w:rFonts w:ascii="Times New Roman" w:hAnsi="Times New Roman" w:cs="Times New Roman"/>
          <w:color w:val="000000" w:themeColor="text1"/>
        </w:rPr>
        <w:t>:</w:t>
      </w:r>
    </w:p>
    <w:p w:rsidR="001970A9" w:rsidRPr="0034683A" w:rsidRDefault="001970A9" w:rsidP="001225A6">
      <w:pPr>
        <w:pStyle w:val="ListParagraph"/>
        <w:spacing w:line="240" w:lineRule="auto"/>
        <w:jc w:val="both"/>
        <w:rPr>
          <w:rFonts w:ascii="Times New Roman" w:hAnsi="Times New Roman" w:cs="Times New Roman"/>
          <w:color w:val="000000" w:themeColor="text1"/>
        </w:rPr>
      </w:pPr>
    </w:p>
    <w:p w:rsidR="00EE27E2" w:rsidRDefault="00EE27E2" w:rsidP="001225A6">
      <w:pPr>
        <w:pStyle w:val="ListParagraph"/>
        <w:widowControl w:val="0"/>
        <w:numPr>
          <w:ilvl w:val="1"/>
          <w:numId w:val="1"/>
        </w:numPr>
        <w:spacing w:after="0" w:line="240" w:lineRule="auto"/>
        <w:jc w:val="both"/>
        <w:rPr>
          <w:rFonts w:ascii="Times New Roman" w:hAnsi="Times New Roman" w:cs="Times New Roman"/>
        </w:rPr>
      </w:pPr>
      <w:r>
        <w:rPr>
          <w:rFonts w:ascii="Times New Roman" w:hAnsi="Times New Roman" w:cs="Times New Roman"/>
        </w:rPr>
        <w:t>That the State Party include the BIOT in its next periodic report, so that the Human Rights Committee may monitor the implementation of the ICCPR in the BIOT;</w:t>
      </w:r>
    </w:p>
    <w:p w:rsidR="00EE27E2" w:rsidRDefault="00EE27E2" w:rsidP="00EE27E2">
      <w:pPr>
        <w:pStyle w:val="ListParagraph"/>
        <w:widowControl w:val="0"/>
        <w:spacing w:after="0" w:line="240" w:lineRule="auto"/>
        <w:ind w:left="1440"/>
        <w:jc w:val="both"/>
        <w:rPr>
          <w:rFonts w:ascii="Times New Roman" w:hAnsi="Times New Roman" w:cs="Times New Roman"/>
        </w:rPr>
      </w:pPr>
    </w:p>
    <w:p w:rsidR="001970A9" w:rsidRPr="0034683A" w:rsidRDefault="001970A9" w:rsidP="001225A6">
      <w:pPr>
        <w:pStyle w:val="ListParagraph"/>
        <w:widowControl w:val="0"/>
        <w:numPr>
          <w:ilvl w:val="1"/>
          <w:numId w:val="1"/>
        </w:numPr>
        <w:spacing w:after="0" w:line="240" w:lineRule="auto"/>
        <w:jc w:val="both"/>
        <w:rPr>
          <w:rFonts w:ascii="Times New Roman" w:hAnsi="Times New Roman" w:cs="Times New Roman"/>
        </w:rPr>
      </w:pPr>
      <w:r w:rsidRPr="0034683A">
        <w:rPr>
          <w:rFonts w:ascii="Times New Roman" w:hAnsi="Times New Roman" w:cs="Times New Roman"/>
        </w:rPr>
        <w:t>That the State Party</w:t>
      </w:r>
      <w:r w:rsidR="00F2526E">
        <w:rPr>
          <w:rFonts w:ascii="Times New Roman" w:hAnsi="Times New Roman" w:cs="Times New Roman"/>
        </w:rPr>
        <w:t>,</w:t>
      </w:r>
      <w:r w:rsidRPr="0034683A">
        <w:rPr>
          <w:rFonts w:ascii="Times New Roman" w:hAnsi="Times New Roman" w:cs="Times New Roman"/>
        </w:rPr>
        <w:t xml:space="preserve"> </w:t>
      </w:r>
      <w:r w:rsidR="00F2526E">
        <w:rPr>
          <w:rFonts w:ascii="Times New Roman" w:hAnsi="Times New Roman" w:cs="Times New Roman"/>
        </w:rPr>
        <w:t>recognising that a recent report</w:t>
      </w:r>
      <w:r w:rsidR="00F2526E">
        <w:rPr>
          <w:rStyle w:val="FootnoteReference"/>
          <w:rFonts w:ascii="Times New Roman" w:hAnsi="Times New Roman" w:cs="Times New Roman"/>
        </w:rPr>
        <w:footnoteReference w:id="36"/>
      </w:r>
      <w:r w:rsidR="00F2526E">
        <w:rPr>
          <w:rFonts w:ascii="Times New Roman" w:hAnsi="Times New Roman" w:cs="Times New Roman"/>
        </w:rPr>
        <w:t xml:space="preserve"> has assessed resettlement to be feasible, </w:t>
      </w:r>
      <w:r w:rsidRPr="0034683A">
        <w:rPr>
          <w:rFonts w:ascii="Times New Roman" w:hAnsi="Times New Roman" w:cs="Times New Roman"/>
        </w:rPr>
        <w:t>take immediate steps to allow the Chagos Islanders to exercise their right to return to their homeland,</w:t>
      </w:r>
      <w:r w:rsidR="008D6D09">
        <w:rPr>
          <w:rFonts w:ascii="Times New Roman" w:hAnsi="Times New Roman" w:cs="Times New Roman"/>
        </w:rPr>
        <w:t xml:space="preserve"> </w:t>
      </w:r>
      <w:r w:rsidRPr="0034683A">
        <w:rPr>
          <w:rFonts w:ascii="Times New Roman" w:hAnsi="Times New Roman" w:cs="Times New Roman"/>
        </w:rPr>
        <w:t>including con</w:t>
      </w:r>
      <w:r w:rsidR="00F2526E">
        <w:rPr>
          <w:rFonts w:ascii="Times New Roman" w:hAnsi="Times New Roman" w:cs="Times New Roman"/>
        </w:rPr>
        <w:t xml:space="preserve">sulting publicly as to </w:t>
      </w:r>
      <w:r w:rsidRPr="0034683A">
        <w:rPr>
          <w:rFonts w:ascii="Times New Roman" w:hAnsi="Times New Roman" w:cs="Times New Roman"/>
        </w:rPr>
        <w:t>the possible means and arrangements for return to the islands, with the full partici</w:t>
      </w:r>
      <w:r w:rsidR="00212EE7" w:rsidRPr="0034683A">
        <w:rPr>
          <w:rFonts w:ascii="Times New Roman" w:hAnsi="Times New Roman" w:cs="Times New Roman"/>
        </w:rPr>
        <w:t xml:space="preserve">pation of the Chagos Islanders. </w:t>
      </w:r>
    </w:p>
    <w:p w:rsidR="001970A9" w:rsidRPr="0034683A" w:rsidRDefault="001970A9" w:rsidP="001225A6">
      <w:pPr>
        <w:widowControl w:val="0"/>
        <w:spacing w:after="0" w:line="240" w:lineRule="auto"/>
        <w:jc w:val="both"/>
        <w:rPr>
          <w:rFonts w:ascii="Times New Roman" w:hAnsi="Times New Roman" w:cs="Times New Roman"/>
        </w:rPr>
      </w:pPr>
    </w:p>
    <w:p w:rsidR="00EE27E2" w:rsidRPr="00EE27E2" w:rsidRDefault="00EE27E2" w:rsidP="00EE27E2">
      <w:pPr>
        <w:pStyle w:val="ListParagraph"/>
        <w:widowControl w:val="0"/>
        <w:numPr>
          <w:ilvl w:val="1"/>
          <w:numId w:val="1"/>
        </w:numPr>
        <w:spacing w:after="0" w:line="240" w:lineRule="auto"/>
        <w:jc w:val="both"/>
        <w:rPr>
          <w:rFonts w:ascii="Times New Roman" w:hAnsi="Times New Roman" w:cs="Times New Roman"/>
        </w:rPr>
      </w:pPr>
      <w:r w:rsidRPr="00EE27E2">
        <w:rPr>
          <w:rFonts w:ascii="Times New Roman" w:hAnsi="Times New Roman" w:cs="Times New Roman"/>
        </w:rPr>
        <w:t xml:space="preserve">That the Government remove barriers that inhibit the Chagos Islanders from returning to their homeland, such as the Chagos Marine Protected Area, which was created with the intent to deprive the </w:t>
      </w:r>
      <w:proofErr w:type="spellStart"/>
      <w:r w:rsidRPr="00EE27E2">
        <w:rPr>
          <w:rFonts w:ascii="Times New Roman" w:hAnsi="Times New Roman" w:cs="Times New Roman"/>
        </w:rPr>
        <w:t>Chagossians</w:t>
      </w:r>
      <w:proofErr w:type="spellEnd"/>
      <w:r w:rsidRPr="00EE27E2">
        <w:rPr>
          <w:rFonts w:ascii="Times New Roman" w:hAnsi="Times New Roman" w:cs="Times New Roman"/>
        </w:rPr>
        <w:t xml:space="preserve"> of the ability to return to their land;</w:t>
      </w:r>
    </w:p>
    <w:p w:rsidR="00EE27E2" w:rsidRPr="00EE27E2" w:rsidRDefault="00EE27E2" w:rsidP="00EE27E2">
      <w:pPr>
        <w:pStyle w:val="ListParagraph"/>
        <w:widowControl w:val="0"/>
        <w:spacing w:after="0" w:line="240" w:lineRule="auto"/>
        <w:ind w:left="1440"/>
        <w:jc w:val="both"/>
        <w:rPr>
          <w:rFonts w:ascii="Times New Roman" w:hAnsi="Times New Roman" w:cs="Times New Roman"/>
        </w:rPr>
      </w:pPr>
    </w:p>
    <w:p w:rsidR="00EE27E2" w:rsidRPr="00EE27E2" w:rsidRDefault="00EE27E2" w:rsidP="00EE27E2">
      <w:pPr>
        <w:pStyle w:val="ListParagraph"/>
        <w:widowControl w:val="0"/>
        <w:numPr>
          <w:ilvl w:val="1"/>
          <w:numId w:val="1"/>
        </w:numPr>
        <w:spacing w:after="0" w:line="240" w:lineRule="auto"/>
        <w:jc w:val="both"/>
        <w:rPr>
          <w:rFonts w:ascii="Times New Roman" w:hAnsi="Times New Roman" w:cs="Times New Roman"/>
        </w:rPr>
      </w:pPr>
      <w:r w:rsidRPr="00EE27E2">
        <w:rPr>
          <w:rFonts w:ascii="Times New Roman" w:hAnsi="Times New Roman" w:cs="Times New Roman"/>
        </w:rPr>
        <w:t>That the Government open a good-faith dialogue with the Chagos Islanders to ensure their full participation in all decision-making processes concerning their lands;</w:t>
      </w:r>
    </w:p>
    <w:p w:rsidR="00EE27E2" w:rsidRPr="00EE27E2" w:rsidRDefault="00EE27E2" w:rsidP="00EE27E2">
      <w:pPr>
        <w:pStyle w:val="ListParagraph"/>
        <w:widowControl w:val="0"/>
        <w:spacing w:after="0" w:line="240" w:lineRule="auto"/>
        <w:jc w:val="both"/>
        <w:rPr>
          <w:rFonts w:ascii="Times New Roman" w:hAnsi="Times New Roman" w:cs="Times New Roman"/>
        </w:rPr>
      </w:pPr>
    </w:p>
    <w:p w:rsidR="00EE27E2" w:rsidRPr="00EE27E2" w:rsidRDefault="00EE27E2" w:rsidP="00EE27E2">
      <w:pPr>
        <w:pStyle w:val="ListParagraph"/>
        <w:widowControl w:val="0"/>
        <w:numPr>
          <w:ilvl w:val="1"/>
          <w:numId w:val="1"/>
        </w:numPr>
        <w:spacing w:after="0" w:line="240" w:lineRule="auto"/>
        <w:jc w:val="both"/>
        <w:rPr>
          <w:rFonts w:ascii="Times New Roman" w:hAnsi="Times New Roman" w:cs="Times New Roman"/>
        </w:rPr>
      </w:pPr>
      <w:r w:rsidRPr="00EE27E2">
        <w:rPr>
          <w:rFonts w:ascii="Times New Roman" w:hAnsi="Times New Roman" w:cs="Times New Roman"/>
        </w:rPr>
        <w:t xml:space="preserve">That the Government consults the Chagos Islanders in regards to the state action affecting their right to self-determination, and allow their free and active choices in how </w:t>
      </w:r>
      <w:r w:rsidRPr="00EE27E2">
        <w:rPr>
          <w:rFonts w:ascii="Times New Roman" w:eastAsia="Times New Roman" w:hAnsi="Times New Roman" w:cs="Times New Roman"/>
        </w:rPr>
        <w:t>to order their economic, social, and cultural affairs;</w:t>
      </w:r>
    </w:p>
    <w:p w:rsidR="00EE27E2" w:rsidRPr="00EE27E2" w:rsidRDefault="00EE27E2" w:rsidP="00EE27E2">
      <w:pPr>
        <w:pStyle w:val="ListParagraph"/>
        <w:widowControl w:val="0"/>
        <w:spacing w:after="0" w:line="240" w:lineRule="auto"/>
        <w:ind w:left="1440"/>
        <w:jc w:val="both"/>
        <w:rPr>
          <w:rFonts w:ascii="Times New Roman" w:hAnsi="Times New Roman" w:cs="Times New Roman"/>
        </w:rPr>
      </w:pPr>
    </w:p>
    <w:p w:rsidR="00EE27E2" w:rsidRPr="00EE27E2" w:rsidRDefault="00EE27E2" w:rsidP="00EE27E2">
      <w:pPr>
        <w:pStyle w:val="ListParagraph"/>
        <w:widowControl w:val="0"/>
        <w:numPr>
          <w:ilvl w:val="1"/>
          <w:numId w:val="1"/>
        </w:numPr>
        <w:spacing w:after="0" w:line="240" w:lineRule="auto"/>
        <w:jc w:val="both"/>
        <w:rPr>
          <w:rFonts w:ascii="Times New Roman" w:hAnsi="Times New Roman" w:cs="Times New Roman"/>
        </w:rPr>
      </w:pPr>
      <w:r w:rsidRPr="00EE27E2">
        <w:rPr>
          <w:rFonts w:ascii="Times New Roman" w:hAnsi="Times New Roman" w:cs="Times New Roman"/>
        </w:rPr>
        <w:t>That the Government provide Chagos Islanders with adequate compensation for the denial of their right to return to their homeland over an extended period;</w:t>
      </w:r>
    </w:p>
    <w:p w:rsidR="00EE27E2" w:rsidRPr="00EE27E2" w:rsidRDefault="00EE27E2" w:rsidP="00EE27E2">
      <w:pPr>
        <w:widowControl w:val="0"/>
        <w:spacing w:after="0" w:line="240" w:lineRule="auto"/>
        <w:contextualSpacing/>
        <w:jc w:val="both"/>
        <w:rPr>
          <w:rFonts w:ascii="Times New Roman" w:hAnsi="Times New Roman" w:cs="Times New Roman"/>
        </w:rPr>
      </w:pPr>
    </w:p>
    <w:p w:rsidR="00EE27E2" w:rsidRPr="00EE27E2" w:rsidRDefault="00EE27E2" w:rsidP="00EE27E2">
      <w:pPr>
        <w:pStyle w:val="ListParagraph"/>
        <w:widowControl w:val="0"/>
        <w:numPr>
          <w:ilvl w:val="1"/>
          <w:numId w:val="1"/>
        </w:numPr>
        <w:spacing w:after="0" w:line="240" w:lineRule="auto"/>
        <w:jc w:val="both"/>
        <w:rPr>
          <w:rFonts w:ascii="Times New Roman" w:hAnsi="Times New Roman" w:cs="Times New Roman"/>
        </w:rPr>
      </w:pPr>
      <w:r w:rsidRPr="00EE27E2">
        <w:rPr>
          <w:rFonts w:ascii="Times New Roman" w:hAnsi="Times New Roman" w:cs="Times New Roman"/>
        </w:rPr>
        <w:t>That the Government act immediately to prevent further degrading treatment by means of ending the exile of the Chagos Islanders from their homeland, and facilitating their return to the territory in accordance with principles of good-faith.</w:t>
      </w:r>
    </w:p>
    <w:p w:rsidR="0003647C" w:rsidRPr="0034683A" w:rsidRDefault="0003647C" w:rsidP="001225A6">
      <w:pPr>
        <w:jc w:val="both"/>
        <w:rPr>
          <w:rFonts w:ascii="Times New Roman" w:hAnsi="Times New Roman" w:cs="Times New Roman"/>
        </w:rPr>
      </w:pPr>
    </w:p>
    <w:sectPr w:rsidR="0003647C" w:rsidRPr="0034683A" w:rsidSect="0003647C">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5BF" w:rsidRDefault="002275BF" w:rsidP="001970A9">
      <w:pPr>
        <w:spacing w:after="0" w:line="240" w:lineRule="auto"/>
      </w:pPr>
      <w:r>
        <w:separator/>
      </w:r>
    </w:p>
  </w:endnote>
  <w:endnote w:type="continuationSeparator" w:id="0">
    <w:p w:rsidR="002275BF" w:rsidRDefault="002275BF" w:rsidP="001970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 Pro W3">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A08" w:rsidRDefault="00946111" w:rsidP="008B27C5">
    <w:pPr>
      <w:pStyle w:val="Footer"/>
      <w:framePr w:wrap="around" w:vAnchor="text" w:hAnchor="margin" w:xAlign="center" w:y="1"/>
      <w:rPr>
        <w:rStyle w:val="PageNumber"/>
      </w:rPr>
    </w:pPr>
    <w:r>
      <w:rPr>
        <w:rStyle w:val="PageNumber"/>
      </w:rPr>
      <w:fldChar w:fldCharType="begin"/>
    </w:r>
    <w:r w:rsidR="00274A08">
      <w:rPr>
        <w:rStyle w:val="PageNumber"/>
      </w:rPr>
      <w:instrText xml:space="preserve">PAGE  </w:instrText>
    </w:r>
    <w:r>
      <w:rPr>
        <w:rStyle w:val="PageNumber"/>
      </w:rPr>
      <w:fldChar w:fldCharType="end"/>
    </w:r>
  </w:p>
  <w:p w:rsidR="00274A08" w:rsidRDefault="00274A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A08" w:rsidRDefault="00946111" w:rsidP="008B27C5">
    <w:pPr>
      <w:pStyle w:val="Footer"/>
      <w:framePr w:wrap="around" w:vAnchor="text" w:hAnchor="margin" w:xAlign="center" w:y="1"/>
      <w:rPr>
        <w:rStyle w:val="PageNumber"/>
      </w:rPr>
    </w:pPr>
    <w:r>
      <w:rPr>
        <w:rStyle w:val="PageNumber"/>
      </w:rPr>
      <w:fldChar w:fldCharType="begin"/>
    </w:r>
    <w:r w:rsidR="00274A08">
      <w:rPr>
        <w:rStyle w:val="PageNumber"/>
      </w:rPr>
      <w:instrText xml:space="preserve">PAGE  </w:instrText>
    </w:r>
    <w:r>
      <w:rPr>
        <w:rStyle w:val="PageNumber"/>
      </w:rPr>
      <w:fldChar w:fldCharType="separate"/>
    </w:r>
    <w:r w:rsidR="00910BFA">
      <w:rPr>
        <w:rStyle w:val="PageNumber"/>
        <w:noProof/>
      </w:rPr>
      <w:t>10</w:t>
    </w:r>
    <w:r>
      <w:rPr>
        <w:rStyle w:val="PageNumber"/>
      </w:rPr>
      <w:fldChar w:fldCharType="end"/>
    </w:r>
  </w:p>
  <w:p w:rsidR="00274A08" w:rsidRDefault="00274A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5BF" w:rsidRDefault="002275BF" w:rsidP="001970A9">
      <w:pPr>
        <w:spacing w:after="0" w:line="240" w:lineRule="auto"/>
      </w:pPr>
      <w:r>
        <w:separator/>
      </w:r>
    </w:p>
  </w:footnote>
  <w:footnote w:type="continuationSeparator" w:id="0">
    <w:p w:rsidR="002275BF" w:rsidRDefault="002275BF" w:rsidP="001970A9">
      <w:pPr>
        <w:spacing w:after="0" w:line="240" w:lineRule="auto"/>
      </w:pPr>
      <w:r>
        <w:continuationSeparator/>
      </w:r>
    </w:p>
  </w:footnote>
  <w:footnote w:id="1">
    <w:p w:rsidR="001479BA" w:rsidRPr="001225A6" w:rsidRDefault="001479BA" w:rsidP="001479BA">
      <w:pPr>
        <w:pStyle w:val="FootnoteText"/>
        <w:tabs>
          <w:tab w:val="clear" w:pos="567"/>
          <w:tab w:val="left" w:pos="0"/>
        </w:tabs>
        <w:ind w:left="0" w:firstLine="0"/>
        <w:rPr>
          <w:rFonts w:asciiTheme="minorHAnsi" w:hAnsiTheme="minorHAnsi"/>
          <w: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lang w:val="en-US"/>
        </w:rPr>
        <w:t>ICCPR, HRC Concluding Observations of the Human Rights Committee, United Kingdom of Great Britain and Northern Ireland and Overseas Territory of Great Britain and Northern Ireland [hereafter ‘2001 Concluding Observations’] CCPR/CO/73/UK (2001).</w:t>
      </w:r>
    </w:p>
  </w:footnote>
  <w:footnote w:id="2">
    <w:p w:rsidR="001479BA" w:rsidRPr="001225A6" w:rsidRDefault="001479BA" w:rsidP="001479BA">
      <w:pPr>
        <w:pStyle w:val="FootnoteText"/>
        <w:tabs>
          <w:tab w:val="clear" w:pos="567"/>
          <w:tab w:val="left" w:pos="0"/>
        </w:tabs>
        <w:ind w:left="0" w:firstLine="0"/>
        <w:rPr>
          <w:rFonts w:asciiTheme="minorHAnsi" w:hAnsiTheme="minorHAnsi"/>
          <w: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rPr>
        <w:t xml:space="preserve">ICCPR HRC, </w:t>
      </w:r>
      <w:r w:rsidRPr="001225A6">
        <w:rPr>
          <w:rFonts w:asciiTheme="minorHAnsi" w:hAnsiTheme="minorHAnsi"/>
          <w:i/>
          <w:iCs/>
          <w:sz w:val="18"/>
          <w:szCs w:val="18"/>
        </w:rPr>
        <w:t>Concluding Observations of the Human Rights Committee, United Kingdom of Great Britain and Northern Ireland and Overseas Territory of Great Britain and Northern Ireland</w:t>
      </w:r>
      <w:r w:rsidRPr="001225A6">
        <w:rPr>
          <w:rFonts w:asciiTheme="minorHAnsi" w:hAnsiTheme="minorHAnsi"/>
          <w:i/>
          <w:sz w:val="18"/>
          <w:szCs w:val="18"/>
        </w:rPr>
        <w:t xml:space="preserve">  [hereafter “2008 </w:t>
      </w:r>
      <w:r w:rsidRPr="001225A6">
        <w:rPr>
          <w:rFonts w:asciiTheme="minorHAnsi" w:hAnsiTheme="minorHAnsi"/>
          <w:i/>
          <w:iCs/>
          <w:sz w:val="18"/>
          <w:szCs w:val="18"/>
        </w:rPr>
        <w:t>Concluding</w:t>
      </w:r>
      <w:r w:rsidRPr="001225A6">
        <w:rPr>
          <w:rFonts w:asciiTheme="minorHAnsi" w:hAnsiTheme="minorHAnsi"/>
          <w:i/>
          <w:sz w:val="18"/>
          <w:szCs w:val="18"/>
        </w:rPr>
        <w:t xml:space="preserve"> </w:t>
      </w:r>
      <w:r w:rsidRPr="001225A6">
        <w:rPr>
          <w:rFonts w:asciiTheme="minorHAnsi" w:hAnsiTheme="minorHAnsi"/>
          <w:i/>
          <w:iCs/>
          <w:sz w:val="18"/>
          <w:szCs w:val="18"/>
        </w:rPr>
        <w:t>Observations</w:t>
      </w:r>
      <w:r w:rsidRPr="001225A6">
        <w:rPr>
          <w:rFonts w:asciiTheme="minorHAnsi" w:hAnsiTheme="minorHAnsi"/>
          <w:i/>
          <w:sz w:val="18"/>
          <w:szCs w:val="18"/>
        </w:rPr>
        <w:t xml:space="preserve">”], </w:t>
      </w:r>
      <w:fldSimple w:instr=" FILLIN &quot;Symbol&quot; \* MERGEFORMAT ">
        <w:r w:rsidRPr="001225A6">
          <w:rPr>
            <w:rFonts w:asciiTheme="minorHAnsi" w:hAnsiTheme="minorHAnsi"/>
            <w:i/>
            <w:sz w:val="18"/>
            <w:szCs w:val="18"/>
          </w:rPr>
          <w:t>CCPR/C/GBR/CO/6</w:t>
        </w:r>
      </w:fldSimple>
      <w:r w:rsidRPr="001225A6">
        <w:rPr>
          <w:rFonts w:asciiTheme="minorHAnsi" w:hAnsiTheme="minorHAnsi"/>
          <w:i/>
          <w:sz w:val="18"/>
          <w:szCs w:val="18"/>
        </w:rPr>
        <w:t xml:space="preserve"> (2008).</w:t>
      </w:r>
    </w:p>
  </w:footnote>
  <w:footnote w:id="3">
    <w:p w:rsidR="00274A08" w:rsidRPr="008D6D09" w:rsidRDefault="00274A08" w:rsidP="001970A9">
      <w:pPr>
        <w:pStyle w:val="FootnoteText"/>
        <w:tabs>
          <w:tab w:val="clear" w:pos="567"/>
          <w:tab w:val="left" w:pos="0"/>
        </w:tabs>
        <w:ind w:left="0" w:firstLine="0"/>
        <w:rPr>
          <w:rFonts w:asciiTheme="minorHAnsi" w:hAnsiTheme="minorHAnsi"/>
          <w: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lang w:val="en-US"/>
        </w:rPr>
        <w:t xml:space="preserve">Adopted </w:t>
      </w:r>
      <w:r w:rsidRPr="008D6D09">
        <w:rPr>
          <w:rFonts w:asciiTheme="minorHAnsi" w:hAnsiTheme="minorHAnsi"/>
          <w:i/>
          <w:sz w:val="18"/>
          <w:szCs w:val="18"/>
          <w:lang w:val="en-US"/>
        </w:rPr>
        <w:t>with adaptations from the European Court of Human Rights summary in Chagos Islanders v UK (2013) EHRR SE15.</w:t>
      </w:r>
    </w:p>
  </w:footnote>
  <w:footnote w:id="4">
    <w:p w:rsidR="004C20C2" w:rsidRDefault="004C20C2">
      <w:pPr>
        <w:pStyle w:val="FootnoteText"/>
      </w:pPr>
      <w:r w:rsidRPr="008D6D09">
        <w:rPr>
          <w:rStyle w:val="FootnoteReference"/>
          <w:i/>
        </w:rPr>
        <w:footnoteRef/>
      </w:r>
      <w:r w:rsidRPr="008D6D09">
        <w:rPr>
          <w:i/>
        </w:rPr>
        <w:t xml:space="preserve"> </w:t>
      </w:r>
      <w:r w:rsidRPr="008D6D09">
        <w:rPr>
          <w:rFonts w:asciiTheme="minorHAnsi" w:hAnsiTheme="minorHAnsi"/>
          <w:i/>
          <w:sz w:val="18"/>
          <w:szCs w:val="18"/>
        </w:rPr>
        <w:t>Gifford &amp; Dunne (2014) Population Space and Place 20:37-49</w:t>
      </w:r>
    </w:p>
  </w:footnote>
  <w:footnote w:id="5">
    <w:p w:rsidR="004C20C2" w:rsidRPr="008D6D09" w:rsidRDefault="004C20C2">
      <w:pPr>
        <w:pStyle w:val="FootnoteText"/>
        <w:rPr>
          <w:rFonts w:asciiTheme="minorHAnsi" w:hAnsiTheme="minorHAnsi"/>
          <w:i/>
          <w:sz w:val="18"/>
          <w:szCs w:val="18"/>
        </w:rPr>
      </w:pPr>
      <w:r w:rsidRPr="008D6D09">
        <w:rPr>
          <w:rStyle w:val="FootnoteReference"/>
          <w:rFonts w:asciiTheme="minorHAnsi" w:hAnsiTheme="minorHAnsi"/>
          <w:i/>
          <w:sz w:val="18"/>
          <w:szCs w:val="18"/>
        </w:rPr>
        <w:footnoteRef/>
      </w:r>
      <w:r w:rsidRPr="008D6D09">
        <w:rPr>
          <w:rFonts w:asciiTheme="minorHAnsi" w:hAnsiTheme="minorHAnsi"/>
          <w:i/>
          <w:sz w:val="18"/>
          <w:szCs w:val="18"/>
        </w:rPr>
        <w:t xml:space="preserve"> Gifford &amp; Dunne (2014) Population Space and Place 20:37-49</w:t>
      </w:r>
    </w:p>
  </w:footnote>
  <w:footnote w:id="6">
    <w:p w:rsidR="00274A08" w:rsidRPr="001225A6" w:rsidRDefault="00274A08" w:rsidP="001970A9">
      <w:pPr>
        <w:pStyle w:val="FootnoteText"/>
        <w:rPr>
          <w:rFonts w:asciiTheme="minorHAnsi" w:hAnsiTheme="minorHAns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cs="Arial"/>
          <w:i/>
          <w:iCs/>
          <w:color w:val="000000" w:themeColor="text1"/>
          <w:sz w:val="18"/>
          <w:szCs w:val="18"/>
          <w:lang w:val="en-US"/>
        </w:rPr>
        <w:t>[2001] Q.B. 1067</w:t>
      </w:r>
    </w:p>
  </w:footnote>
  <w:footnote w:id="7">
    <w:p w:rsidR="00274A08" w:rsidRPr="001225A6" w:rsidRDefault="00274A08" w:rsidP="001970A9">
      <w:pPr>
        <w:pStyle w:val="FootnoteText"/>
        <w:rPr>
          <w:rFonts w:asciiTheme="minorHAnsi" w:hAnsiTheme="minorHAns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rPr>
        <w:t>[2003] EWHC 2222</w:t>
      </w:r>
    </w:p>
  </w:footnote>
  <w:footnote w:id="8">
    <w:p w:rsidR="00274A08" w:rsidRPr="001225A6" w:rsidRDefault="00274A08" w:rsidP="001970A9">
      <w:pPr>
        <w:pStyle w:val="FootnoteText"/>
        <w:rPr>
          <w:rFonts w:asciiTheme="minorHAnsi" w:hAnsiTheme="minorHAns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cs="Verdana"/>
          <w:i/>
          <w:iCs/>
          <w:color w:val="000000" w:themeColor="text1"/>
          <w:sz w:val="18"/>
          <w:szCs w:val="18"/>
          <w:lang w:val="en-US"/>
        </w:rPr>
        <w:t>[2006] EWHC 1038 (Admin)</w:t>
      </w:r>
    </w:p>
  </w:footnote>
  <w:footnote w:id="9">
    <w:p w:rsidR="00274A08" w:rsidRPr="001225A6" w:rsidRDefault="00274A08" w:rsidP="001970A9">
      <w:pPr>
        <w:pStyle w:val="FootnoteText"/>
        <w:rPr>
          <w:rFonts w:asciiTheme="minorHAnsi" w:hAnsiTheme="minorHAns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rPr>
        <w:t>[2009] 1 AC 453</w:t>
      </w:r>
    </w:p>
  </w:footnote>
  <w:footnote w:id="10">
    <w:p w:rsidR="00274A08" w:rsidRPr="00AF5143" w:rsidRDefault="00274A08" w:rsidP="001970A9">
      <w:pPr>
        <w:pStyle w:val="FootnoteText"/>
        <w:tabs>
          <w:tab w:val="clear" w:pos="567"/>
          <w:tab w:val="left" w:pos="0"/>
        </w:tabs>
        <w:ind w:left="0" w:firstLine="0"/>
        <w:rPr>
          <w:rFonts w:asciiTheme="minorHAnsi" w:hAnsiTheme="minorHAnsi"/>
          <w:sz w:val="18"/>
          <w:szCs w:val="18"/>
          <w:lang w:val="fr-FR"/>
        </w:rPr>
      </w:pPr>
      <w:r w:rsidRPr="001225A6">
        <w:rPr>
          <w:rStyle w:val="FootnoteReference"/>
          <w:rFonts w:asciiTheme="minorHAnsi" w:hAnsiTheme="minorHAnsi"/>
          <w:i/>
          <w:sz w:val="18"/>
          <w:szCs w:val="18"/>
        </w:rPr>
        <w:footnoteRef/>
      </w:r>
      <w:r w:rsidRPr="001225A6">
        <w:rPr>
          <w:rFonts w:asciiTheme="minorHAnsi" w:hAnsiTheme="minorHAnsi"/>
          <w:i/>
          <w:sz w:val="18"/>
          <w:szCs w:val="18"/>
        </w:rPr>
        <w:t xml:space="preserve"> ICCPR, Seventh Periodic Report of the United Kingdom, the British Overseas Territories and the Crown Dependencies. </w:t>
      </w:r>
      <w:r w:rsidRPr="00AF5143">
        <w:rPr>
          <w:rFonts w:asciiTheme="minorHAnsi" w:hAnsiTheme="minorHAnsi"/>
          <w:i/>
          <w:sz w:val="18"/>
          <w:szCs w:val="18"/>
          <w:lang w:val="fr-FR"/>
        </w:rPr>
        <w:t>CCPR/C/GBR/7 (2013).</w:t>
      </w:r>
      <w:r w:rsidRPr="00AF5143">
        <w:rPr>
          <w:rFonts w:asciiTheme="minorHAnsi" w:hAnsiTheme="minorHAnsi"/>
          <w:sz w:val="18"/>
          <w:szCs w:val="18"/>
          <w:lang w:val="fr-FR"/>
        </w:rPr>
        <w:t xml:space="preserve"> </w:t>
      </w:r>
    </w:p>
  </w:footnote>
  <w:footnote w:id="11">
    <w:p w:rsidR="000B2FF3" w:rsidRPr="008D6D09" w:rsidRDefault="000B2FF3">
      <w:pPr>
        <w:pStyle w:val="FootnoteText"/>
        <w:rPr>
          <w:rFonts w:ascii="Times New Roman" w:hAnsi="Times New Roman"/>
          <w:i/>
        </w:rPr>
      </w:pPr>
      <w:r w:rsidRPr="008D6D09">
        <w:rPr>
          <w:rStyle w:val="FootnoteReference"/>
          <w:rFonts w:ascii="Times New Roman" w:hAnsi="Times New Roman"/>
          <w:i/>
        </w:rPr>
        <w:footnoteRef/>
      </w:r>
      <w:r w:rsidRPr="008D6D09">
        <w:rPr>
          <w:rFonts w:ascii="Times New Roman" w:hAnsi="Times New Roman"/>
          <w:i/>
        </w:rPr>
        <w:t xml:space="preserve"> </w:t>
      </w:r>
      <w:proofErr w:type="spellStart"/>
      <w:r w:rsidRPr="008D6D09">
        <w:rPr>
          <w:rFonts w:ascii="Times New Roman" w:hAnsi="Times New Roman"/>
          <w:i/>
        </w:rPr>
        <w:t>Bancoult</w:t>
      </w:r>
      <w:proofErr w:type="spellEnd"/>
      <w:r w:rsidRPr="008D6D09">
        <w:rPr>
          <w:rFonts w:ascii="Times New Roman" w:hAnsi="Times New Roman"/>
          <w:i/>
        </w:rPr>
        <w:t xml:space="preserve"> 2 - https://www.supremecourt.uk/cases/uksc-2015-0021.html</w:t>
      </w:r>
    </w:p>
  </w:footnote>
  <w:footnote w:id="12">
    <w:p w:rsidR="00274A08" w:rsidRPr="00AF5143" w:rsidRDefault="00274A08" w:rsidP="00612F49">
      <w:pPr>
        <w:pStyle w:val="FootnoteText"/>
        <w:rPr>
          <w:rFonts w:asciiTheme="minorHAnsi" w:hAnsiTheme="minorHAnsi"/>
          <w:sz w:val="18"/>
          <w:szCs w:val="18"/>
          <w:lang w:val="fr-FR"/>
        </w:rPr>
      </w:pPr>
      <w:r w:rsidRPr="001225A6">
        <w:rPr>
          <w:rStyle w:val="FootnoteReference"/>
          <w:rFonts w:asciiTheme="minorHAnsi" w:hAnsiTheme="minorHAnsi"/>
          <w:sz w:val="18"/>
          <w:szCs w:val="18"/>
        </w:rPr>
        <w:footnoteRef/>
      </w:r>
      <w:r w:rsidRPr="00AF5143">
        <w:rPr>
          <w:rFonts w:asciiTheme="minorHAnsi" w:hAnsiTheme="minorHAnsi"/>
          <w:sz w:val="18"/>
          <w:szCs w:val="18"/>
          <w:lang w:val="fr-FR"/>
        </w:rPr>
        <w:t xml:space="preserve"> </w:t>
      </w:r>
      <w:r w:rsidRPr="00AF5143">
        <w:rPr>
          <w:rFonts w:asciiTheme="minorHAnsi" w:hAnsiTheme="minorHAnsi" w:cs="Verdana"/>
          <w:i/>
          <w:sz w:val="18"/>
          <w:szCs w:val="18"/>
          <w:lang w:val="fr-FR"/>
        </w:rPr>
        <w:t>(2013) 56 E.H.R.R. SE15</w:t>
      </w:r>
    </w:p>
  </w:footnote>
  <w:footnote w:id="13">
    <w:p w:rsidR="001479BA" w:rsidRPr="001225A6" w:rsidRDefault="001479BA" w:rsidP="001479BA">
      <w:pPr>
        <w:pStyle w:val="FootnoteText"/>
        <w:tabs>
          <w:tab w:val="clear" w:pos="567"/>
          <w:tab w:val="left" w:pos="0"/>
        </w:tabs>
        <w:ind w:left="0" w:firstLine="0"/>
        <w:rPr>
          <w:rFonts w:asciiTheme="minorHAnsi" w:hAnsiTheme="minorHAnsi"/>
          <w:i/>
          <w:sz w:val="18"/>
          <w:szCs w:val="18"/>
          <w:lang w:val="en-US"/>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lang w:val="en-US"/>
        </w:rPr>
        <w:t>The Republic of Mauritius v UK In the matter of the Chagos Marine Protected Area Arbitration 18.3.15 paragraphs 536 -541</w:t>
      </w:r>
    </w:p>
  </w:footnote>
  <w:footnote w:id="14">
    <w:p w:rsidR="00F33AA5" w:rsidRPr="00F33AA5" w:rsidRDefault="00F33AA5" w:rsidP="008D6D09">
      <w:pPr>
        <w:pStyle w:val="FootnoteText"/>
        <w:tabs>
          <w:tab w:val="clear" w:pos="567"/>
          <w:tab w:val="left" w:pos="0"/>
        </w:tabs>
        <w:ind w:left="0" w:firstLine="0"/>
        <w:rPr>
          <w:rFonts w:ascii="Times New Roman" w:hAnsi="Times New Roman"/>
        </w:rPr>
      </w:pPr>
      <w:r w:rsidRPr="00F33AA5">
        <w:rPr>
          <w:rStyle w:val="FootnoteReference"/>
          <w:rFonts w:ascii="Times New Roman" w:hAnsi="Times New Roman"/>
        </w:rPr>
        <w:footnoteRef/>
      </w:r>
      <w:r w:rsidRPr="00F33AA5">
        <w:rPr>
          <w:rFonts w:ascii="Times New Roman" w:hAnsi="Times New Roman"/>
        </w:rPr>
        <w:t xml:space="preserve"> Bancoult 3 - </w:t>
      </w:r>
      <w:r w:rsidR="008D6D09">
        <w:rPr>
          <w:rFonts w:ascii="Times New Roman" w:hAnsi="Times New Roman"/>
        </w:rPr>
        <w:t>T</w:t>
      </w:r>
      <w:r w:rsidRPr="00F33AA5">
        <w:rPr>
          <w:rFonts w:ascii="Times New Roman" w:hAnsi="Times New Roman"/>
        </w:rPr>
        <w:t xml:space="preserve">his is an appeal a Court of Appeal decision dismissing Mr </w:t>
      </w:r>
      <w:proofErr w:type="spellStart"/>
      <w:r w:rsidRPr="00F33AA5">
        <w:rPr>
          <w:rFonts w:ascii="Times New Roman" w:hAnsi="Times New Roman"/>
        </w:rPr>
        <w:t>Bancoult’s</w:t>
      </w:r>
      <w:proofErr w:type="spellEnd"/>
      <w:r w:rsidRPr="00F33AA5">
        <w:rPr>
          <w:rFonts w:ascii="Times New Roman" w:hAnsi="Times New Roman"/>
        </w:rPr>
        <w:t xml:space="preserve"> challenge to the</w:t>
      </w:r>
      <w:r w:rsidR="008D6D09">
        <w:rPr>
          <w:rFonts w:ascii="Times New Roman" w:hAnsi="Times New Roman"/>
        </w:rPr>
        <w:t xml:space="preserve"> </w:t>
      </w:r>
      <w:r w:rsidRPr="00F33AA5">
        <w:rPr>
          <w:rFonts w:ascii="Times New Roman" w:hAnsi="Times New Roman"/>
        </w:rPr>
        <w:t>MPA.</w:t>
      </w:r>
    </w:p>
  </w:footnote>
  <w:footnote w:id="15">
    <w:p w:rsidR="00E3498C" w:rsidRPr="009545E2" w:rsidRDefault="00E3498C" w:rsidP="00E3498C">
      <w:pPr>
        <w:pStyle w:val="FootnoteText"/>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This Committee has indicated that it considers the ICCPR to apply to the BIOT, and has urged the UK to “include the territory in its next periodic report.” </w:t>
      </w:r>
      <w:r w:rsidRPr="009545E2">
        <w:rPr>
          <w:rFonts w:ascii="Times New Roman" w:hAnsi="Times New Roman"/>
          <w:i/>
          <w:iCs/>
        </w:rPr>
        <w:t>Concluding</w:t>
      </w:r>
      <w:r w:rsidRPr="009545E2">
        <w:rPr>
          <w:rFonts w:ascii="Times New Roman" w:hAnsi="Times New Roman"/>
        </w:rPr>
        <w:t xml:space="preserve"> </w:t>
      </w:r>
      <w:r w:rsidRPr="009545E2">
        <w:rPr>
          <w:rFonts w:ascii="Times New Roman" w:hAnsi="Times New Roman"/>
          <w:i/>
          <w:iCs/>
        </w:rPr>
        <w:t>Observations</w:t>
      </w:r>
      <w:r w:rsidRPr="009545E2">
        <w:rPr>
          <w:rFonts w:ascii="Times New Roman" w:hAnsi="Times New Roman"/>
        </w:rPr>
        <w:t>, ¶ 22.</w:t>
      </w:r>
    </w:p>
  </w:footnote>
  <w:footnote w:id="16">
    <w:p w:rsidR="00E3498C" w:rsidRPr="009545E2" w:rsidRDefault="00E3498C" w:rsidP="00E3498C">
      <w:pPr>
        <w:pStyle w:val="FootnoteText"/>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In its written response to the concluding observations of this Committee, the UK government explained that “when, in 1976, the United Kingdom ratified the Covenant in respect of itself and certain of its Overseas Territories, it did not ratify it in respect of BIOT. It is for this reason…that the Covenant does not apply, and never has applied, to BIOT.” </w:t>
      </w:r>
      <w:r w:rsidRPr="009545E2">
        <w:rPr>
          <w:rFonts w:ascii="Times New Roman" w:hAnsi="Times New Roman"/>
          <w:i/>
        </w:rPr>
        <w:t xml:space="preserve">The Queen (on the application of Louis Olivier </w:t>
      </w:r>
      <w:proofErr w:type="spellStart"/>
      <w:r w:rsidRPr="009545E2">
        <w:rPr>
          <w:rFonts w:ascii="Times New Roman" w:hAnsi="Times New Roman"/>
          <w:i/>
        </w:rPr>
        <w:t>Bancoult</w:t>
      </w:r>
      <w:proofErr w:type="spellEnd"/>
      <w:r w:rsidRPr="009545E2">
        <w:rPr>
          <w:rFonts w:ascii="Times New Roman" w:hAnsi="Times New Roman"/>
          <w:i/>
        </w:rPr>
        <w:t>) v. Secretary of State for Foreign and Commonwealth Affairs</w:t>
      </w:r>
      <w:r w:rsidRPr="009545E2">
        <w:rPr>
          <w:rFonts w:ascii="Times New Roman" w:hAnsi="Times New Roman"/>
        </w:rPr>
        <w:t xml:space="preserve"> </w:t>
      </w:r>
      <w:r w:rsidRPr="009545E2">
        <w:rPr>
          <w:rFonts w:ascii="Times New Roman" w:hAnsi="Times New Roman"/>
          <w:i/>
        </w:rPr>
        <w:t xml:space="preserve">Rev1 </w:t>
      </w:r>
      <w:r w:rsidRPr="009545E2">
        <w:rPr>
          <w:rFonts w:ascii="Times New Roman" w:hAnsi="Times New Roman"/>
        </w:rPr>
        <w:t>(2006) EWHC 1038 (Admin) (11 May 2006).</w:t>
      </w:r>
    </w:p>
  </w:footnote>
  <w:footnote w:id="17">
    <w:p w:rsidR="00E3498C" w:rsidRDefault="00E3498C" w:rsidP="00E3498C">
      <w:pPr>
        <w:widowControl w:val="0"/>
        <w:spacing w:after="0" w:line="240" w:lineRule="auto"/>
        <w:contextualSpacing/>
        <w:jc w:val="both"/>
        <w:rPr>
          <w:rFonts w:ascii="Times New Roman" w:hAnsi="Times New Roman" w:cs="Times New Roman"/>
          <w:sz w:val="19"/>
          <w:szCs w:val="19"/>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Although it was not formally registered as a reservation, the UK’s declaration </w:t>
      </w:r>
      <w:r>
        <w:rPr>
          <w:rFonts w:ascii="Times New Roman" w:hAnsi="Times New Roman" w:cs="Times New Roman"/>
          <w:sz w:val="20"/>
          <w:szCs w:val="20"/>
        </w:rPr>
        <w:t xml:space="preserve">that the ICCPR does not apply to the BIOT </w:t>
      </w:r>
      <w:r w:rsidRPr="009545E2">
        <w:rPr>
          <w:rFonts w:ascii="Times New Roman" w:hAnsi="Times New Roman" w:cs="Times New Roman"/>
          <w:sz w:val="20"/>
          <w:szCs w:val="20"/>
        </w:rPr>
        <w:t>should nonetheless be considered one and evaluated according to international law and to the Committee’s practice on reservations. According to General Comment 24, “[</w:t>
      </w:r>
      <w:proofErr w:type="spellStart"/>
      <w:r w:rsidRPr="009545E2">
        <w:rPr>
          <w:rFonts w:ascii="Times New Roman" w:hAnsi="Times New Roman" w:cs="Times New Roman"/>
          <w:sz w:val="20"/>
          <w:szCs w:val="20"/>
        </w:rPr>
        <w:t>i</w:t>
      </w:r>
      <w:proofErr w:type="spellEnd"/>
      <w:r w:rsidRPr="009545E2">
        <w:rPr>
          <w:rFonts w:ascii="Times New Roman" w:hAnsi="Times New Roman" w:cs="Times New Roman"/>
          <w:sz w:val="20"/>
          <w:szCs w:val="20"/>
        </w:rPr>
        <w:t xml:space="preserve">]t is not always easy to distinguish a reservation from a declaration as to a State’s understanding of the interpretation of a provision, or from a statement of policy. Regard will be had to the intention of the State, rather than the form of the instrument. If a statement, irrespective of its name or title, purports to exclude or modify the legal effect of a treaty in its application to the State, it constitutes a reservation.” ICCPR, HRC, </w:t>
      </w:r>
      <w:r w:rsidRPr="009545E2">
        <w:rPr>
          <w:rFonts w:ascii="Times New Roman" w:hAnsi="Times New Roman" w:cs="Times New Roman"/>
          <w:i/>
          <w:iCs/>
          <w:sz w:val="20"/>
          <w:szCs w:val="20"/>
        </w:rPr>
        <w:t xml:space="preserve">General Comment 24 (52), General comment on issues relating to reservations made upon ratification or in relation to declarations under article 41 of the Covenant </w:t>
      </w:r>
      <w:r w:rsidRPr="009545E2">
        <w:rPr>
          <w:rFonts w:ascii="Times New Roman" w:hAnsi="Times New Roman" w:cs="Times New Roman"/>
          <w:sz w:val="20"/>
          <w:szCs w:val="20"/>
        </w:rPr>
        <w:t>[hereinafter “</w:t>
      </w:r>
      <w:r w:rsidRPr="009545E2">
        <w:rPr>
          <w:rFonts w:ascii="Times New Roman" w:hAnsi="Times New Roman" w:cs="Times New Roman"/>
          <w:i/>
          <w:iCs/>
          <w:sz w:val="20"/>
          <w:szCs w:val="20"/>
        </w:rPr>
        <w:t>General Comment 24”</w:t>
      </w:r>
      <w:r w:rsidRPr="009545E2">
        <w:rPr>
          <w:rFonts w:ascii="Times New Roman" w:hAnsi="Times New Roman" w:cs="Times New Roman"/>
          <w:sz w:val="20"/>
          <w:szCs w:val="20"/>
        </w:rPr>
        <w:t>], ¶ 3, U.N. Doc. CCPR/C/21/Rev.1/Add.6 (1994).</w:t>
      </w:r>
    </w:p>
  </w:footnote>
  <w:footnote w:id="18">
    <w:p w:rsidR="00E3498C" w:rsidRPr="009545E2" w:rsidRDefault="00E3498C" w:rsidP="00E3498C">
      <w:pPr>
        <w:pStyle w:val="FootnoteText"/>
        <w:widowControl w:val="0"/>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
          <w:smallCaps/>
        </w:rPr>
        <w:t>V</w:t>
      </w:r>
      <w:r w:rsidRPr="009545E2">
        <w:rPr>
          <w:rFonts w:ascii="Times New Roman" w:hAnsi="Times New Roman"/>
          <w:i/>
        </w:rPr>
        <w:t>ienna Convention on the Law of Treaties</w:t>
      </w:r>
      <w:r w:rsidRPr="009545E2">
        <w:rPr>
          <w:rFonts w:ascii="Times New Roman" w:hAnsi="Times New Roman"/>
          <w:smallCaps/>
        </w:rPr>
        <w:t xml:space="preserve"> [</w:t>
      </w:r>
      <w:r w:rsidRPr="009545E2">
        <w:rPr>
          <w:rFonts w:ascii="Times New Roman" w:hAnsi="Times New Roman"/>
        </w:rPr>
        <w:t xml:space="preserve">hereinafter </w:t>
      </w:r>
      <w:r w:rsidRPr="009545E2">
        <w:rPr>
          <w:rFonts w:ascii="Times New Roman" w:hAnsi="Times New Roman"/>
          <w:i/>
        </w:rPr>
        <w:t>“</w:t>
      </w:r>
      <w:r w:rsidRPr="009545E2">
        <w:rPr>
          <w:rFonts w:ascii="Times New Roman" w:hAnsi="Times New Roman"/>
          <w:i/>
          <w:smallCaps/>
        </w:rPr>
        <w:t>V</w:t>
      </w:r>
      <w:r w:rsidRPr="009545E2">
        <w:rPr>
          <w:rFonts w:ascii="Times New Roman" w:hAnsi="Times New Roman"/>
          <w:i/>
        </w:rPr>
        <w:t>ienna Convention</w:t>
      </w:r>
      <w:r w:rsidRPr="009545E2">
        <w:rPr>
          <w:rFonts w:ascii="Times New Roman" w:hAnsi="Times New Roman"/>
          <w:i/>
          <w:smallCaps/>
        </w:rPr>
        <w:t>”]</w:t>
      </w:r>
      <w:r w:rsidRPr="009545E2">
        <w:rPr>
          <w:rFonts w:ascii="Times New Roman" w:hAnsi="Times New Roman"/>
          <w:i/>
        </w:rPr>
        <w:t xml:space="preserve">, </w:t>
      </w:r>
      <w:r w:rsidRPr="009545E2">
        <w:rPr>
          <w:rFonts w:ascii="Times New Roman" w:hAnsi="Times New Roman"/>
        </w:rPr>
        <w:t>art. 19(c), 23 May 1969, 1155 U.N.T.S. 331.</w:t>
      </w:r>
    </w:p>
  </w:footnote>
  <w:footnote w:id="19">
    <w:p w:rsidR="00E3498C" w:rsidRPr="009545E2" w:rsidRDefault="00E3498C" w:rsidP="00E3498C">
      <w:pPr>
        <w:pStyle w:val="FootnoteText"/>
        <w:ind w:left="720" w:hanging="720"/>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
          <w:iCs/>
        </w:rPr>
        <w:t>General</w:t>
      </w:r>
      <w:r w:rsidRPr="009545E2">
        <w:rPr>
          <w:rFonts w:ascii="Times New Roman" w:hAnsi="Times New Roman"/>
        </w:rPr>
        <w:t xml:space="preserve"> </w:t>
      </w:r>
      <w:r w:rsidRPr="009545E2">
        <w:rPr>
          <w:rFonts w:ascii="Times New Roman" w:hAnsi="Times New Roman"/>
          <w:i/>
          <w:iCs/>
        </w:rPr>
        <w:t>Comment</w:t>
      </w:r>
      <w:r w:rsidRPr="009545E2">
        <w:rPr>
          <w:rFonts w:ascii="Times New Roman" w:hAnsi="Times New Roman"/>
        </w:rPr>
        <w:t xml:space="preserve"> </w:t>
      </w:r>
      <w:r w:rsidRPr="009545E2">
        <w:rPr>
          <w:rFonts w:ascii="Times New Roman" w:hAnsi="Times New Roman"/>
          <w:i/>
          <w:iCs/>
        </w:rPr>
        <w:t>24</w:t>
      </w:r>
      <w:r w:rsidRPr="009545E2">
        <w:rPr>
          <w:rFonts w:ascii="Times New Roman" w:hAnsi="Times New Roman"/>
        </w:rPr>
        <w:t>, ¶ 8</w:t>
      </w:r>
    </w:p>
  </w:footnote>
  <w:footnote w:id="20">
    <w:p w:rsidR="00E3498C" w:rsidRPr="009545E2" w:rsidRDefault="00E3498C" w:rsidP="00E3498C">
      <w:pPr>
        <w:pStyle w:val="FootnoteText"/>
        <w:tabs>
          <w:tab w:val="clear" w:pos="567"/>
          <w:tab w:val="left" w:pos="0"/>
        </w:tabs>
        <w:ind w:left="0" w:firstLine="0"/>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ICCPR, HRC, </w:t>
      </w:r>
      <w:r w:rsidRPr="009545E2">
        <w:rPr>
          <w:rFonts w:ascii="Times New Roman" w:hAnsi="Times New Roman"/>
          <w:i/>
          <w:iCs/>
        </w:rPr>
        <w:t xml:space="preserve">Concluding Observations of the Human Rights Committee, United Kingdom of Great Britain and Northern Ireland, Addendum, Comments by the Government of the United Kingdom of Great Britain and Northern Ireland on the reports of the United Kingdom (CCPR/CO/73/UK) and the Overseas </w:t>
      </w:r>
      <w:r w:rsidRPr="009545E2">
        <w:rPr>
          <w:rFonts w:ascii="Times New Roman" w:hAnsi="Times New Roman"/>
          <w:i/>
        </w:rPr>
        <w:t>Territories</w:t>
      </w:r>
      <w:r w:rsidRPr="009545E2">
        <w:rPr>
          <w:rFonts w:ascii="Times New Roman" w:hAnsi="Times New Roman"/>
        </w:rPr>
        <w:t>, (CCPR/CO/73/UKOT) [hereinafter “</w:t>
      </w:r>
      <w:r w:rsidRPr="009545E2">
        <w:rPr>
          <w:rFonts w:ascii="Times New Roman" w:hAnsi="Times New Roman"/>
          <w:i/>
          <w:iCs/>
        </w:rPr>
        <w:t>Addendum</w:t>
      </w:r>
      <w:r w:rsidRPr="009545E2">
        <w:rPr>
          <w:rFonts w:ascii="Times New Roman" w:hAnsi="Times New Roman"/>
        </w:rPr>
        <w:t>”], ¶ 88, U.N. Doc. CCPR/CO/73/UK/Add.2 (2002).</w:t>
      </w:r>
    </w:p>
  </w:footnote>
  <w:footnote w:id="21">
    <w:p w:rsidR="00E3498C" w:rsidRPr="009545E2" w:rsidRDefault="00E3498C" w:rsidP="00E3498C">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Cs/>
        </w:rPr>
        <w:t>Id</w:t>
      </w:r>
      <w:r w:rsidRPr="009545E2">
        <w:rPr>
          <w:rFonts w:ascii="Times New Roman" w:hAnsi="Times New Roman"/>
        </w:rPr>
        <w:t>.</w:t>
      </w:r>
    </w:p>
  </w:footnote>
  <w:footnote w:id="22">
    <w:p w:rsidR="00E3498C" w:rsidRPr="009545E2" w:rsidRDefault="00E3498C" w:rsidP="00E3498C">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
          <w:iCs/>
        </w:rPr>
        <w:t>Concluding</w:t>
      </w:r>
      <w:r w:rsidRPr="009545E2">
        <w:rPr>
          <w:rFonts w:ascii="Times New Roman" w:hAnsi="Times New Roman"/>
        </w:rPr>
        <w:t xml:space="preserve"> </w:t>
      </w:r>
      <w:r w:rsidRPr="009545E2">
        <w:rPr>
          <w:rFonts w:ascii="Times New Roman" w:hAnsi="Times New Roman"/>
          <w:i/>
          <w:iCs/>
        </w:rPr>
        <w:t>Observations</w:t>
      </w:r>
      <w:r w:rsidRPr="009545E2">
        <w:rPr>
          <w:rFonts w:ascii="Times New Roman" w:hAnsi="Times New Roman"/>
        </w:rPr>
        <w:t>, ¶ 22.</w:t>
      </w:r>
    </w:p>
  </w:footnote>
  <w:footnote w:id="23">
    <w:p w:rsidR="00E3498C" w:rsidRPr="009545E2" w:rsidRDefault="00E3498C" w:rsidP="00E3498C">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Id.</w:t>
      </w:r>
    </w:p>
  </w:footnote>
  <w:footnote w:id="24">
    <w:p w:rsidR="00274A08" w:rsidRPr="00E3498C" w:rsidRDefault="00274A08" w:rsidP="00D7254E">
      <w:pPr>
        <w:pStyle w:val="FootnoteText"/>
        <w:rPr>
          <w:rFonts w:asciiTheme="minorHAnsi" w:hAnsiTheme="minorHAnsi"/>
          <w:sz w:val="18"/>
          <w:szCs w:val="18"/>
        </w:rPr>
      </w:pPr>
      <w:r w:rsidRPr="001225A6">
        <w:rPr>
          <w:rStyle w:val="FootnoteReference"/>
          <w:rFonts w:asciiTheme="minorHAnsi" w:hAnsiTheme="minorHAnsi"/>
          <w:sz w:val="18"/>
          <w:szCs w:val="18"/>
        </w:rPr>
        <w:footnoteRef/>
      </w:r>
      <w:r w:rsidRPr="00E3498C">
        <w:rPr>
          <w:rFonts w:asciiTheme="minorHAnsi" w:hAnsiTheme="minorHAnsi"/>
          <w:sz w:val="18"/>
          <w:szCs w:val="18"/>
        </w:rPr>
        <w:t xml:space="preserve"> ICCPR, art. 1.</w:t>
      </w:r>
    </w:p>
  </w:footnote>
  <w:footnote w:id="25">
    <w:p w:rsidR="00274A08" w:rsidRPr="001225A6" w:rsidRDefault="00274A08" w:rsidP="00D7254E">
      <w:pPr>
        <w:pStyle w:val="FootnoteTex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Id.</w:t>
      </w:r>
    </w:p>
  </w:footnote>
  <w:footnote w:id="26">
    <w:p w:rsidR="00EE27E2" w:rsidRPr="00EE27E2" w:rsidRDefault="00EE27E2">
      <w:pPr>
        <w:pStyle w:val="FootnoteText"/>
        <w:rPr>
          <w:rFonts w:asciiTheme="minorHAnsi" w:hAnsiTheme="minorHAnsi"/>
          <w:sz w:val="18"/>
          <w:szCs w:val="18"/>
        </w:rPr>
      </w:pPr>
      <w:r w:rsidRPr="00EE27E2">
        <w:rPr>
          <w:rStyle w:val="FootnoteReference"/>
          <w:rFonts w:asciiTheme="minorHAnsi" w:hAnsiTheme="minorHAnsi"/>
          <w:sz w:val="18"/>
          <w:szCs w:val="18"/>
        </w:rPr>
        <w:footnoteRef/>
      </w:r>
      <w:r w:rsidRPr="00EE27E2">
        <w:rPr>
          <w:rFonts w:asciiTheme="minorHAnsi" w:hAnsiTheme="minorHAnsi"/>
          <w:sz w:val="18"/>
          <w:szCs w:val="18"/>
        </w:rPr>
        <w:t xml:space="preserve"> </w:t>
      </w:r>
      <w:r w:rsidRPr="00EE27E2">
        <w:rPr>
          <w:rFonts w:asciiTheme="minorHAnsi" w:hAnsiTheme="minorHAnsi"/>
          <w:i/>
          <w:sz w:val="18"/>
          <w:szCs w:val="18"/>
        </w:rPr>
        <w:t>R v Secretary of State for Foreign and Commonwealth Affairs</w:t>
      </w:r>
      <w:r w:rsidRPr="00EE27E2">
        <w:rPr>
          <w:rFonts w:asciiTheme="minorHAnsi" w:hAnsiTheme="minorHAnsi"/>
          <w:sz w:val="18"/>
          <w:szCs w:val="18"/>
        </w:rPr>
        <w:t>, at para 101</w:t>
      </w:r>
    </w:p>
  </w:footnote>
  <w:footnote w:id="27">
    <w:p w:rsidR="00274A08" w:rsidRPr="001225A6" w:rsidRDefault="00274A08" w:rsidP="00815AD1">
      <w:pPr>
        <w:pStyle w:val="FootnoteText"/>
        <w:widowControl w:val="0"/>
        <w:ind w:left="0" w:firstLine="0"/>
        <w:contextualSpacing/>
        <w:jc w:val="lef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Although in </w:t>
      </w:r>
      <w:proofErr w:type="spellStart"/>
      <w:r w:rsidRPr="001225A6">
        <w:rPr>
          <w:rFonts w:asciiTheme="minorHAnsi" w:hAnsiTheme="minorHAnsi"/>
          <w:i/>
          <w:sz w:val="18"/>
          <w:szCs w:val="18"/>
        </w:rPr>
        <w:t>Quinteros</w:t>
      </w:r>
      <w:proofErr w:type="spellEnd"/>
      <w:r w:rsidRPr="001225A6">
        <w:rPr>
          <w:rFonts w:asciiTheme="minorHAnsi" w:hAnsiTheme="minorHAnsi"/>
          <w:sz w:val="18"/>
          <w:szCs w:val="18"/>
        </w:rPr>
        <w:t xml:space="preserve"> and </w:t>
      </w:r>
      <w:proofErr w:type="spellStart"/>
      <w:r w:rsidRPr="001225A6">
        <w:rPr>
          <w:rFonts w:asciiTheme="minorHAnsi" w:hAnsiTheme="minorHAnsi"/>
          <w:i/>
          <w:sz w:val="18"/>
          <w:szCs w:val="18"/>
        </w:rPr>
        <w:t>Schedko</w:t>
      </w:r>
      <w:proofErr w:type="spellEnd"/>
      <w:r w:rsidRPr="001225A6">
        <w:rPr>
          <w:rFonts w:asciiTheme="minorHAnsi" w:hAnsiTheme="minorHAnsi"/>
          <w:sz w:val="18"/>
          <w:szCs w:val="18"/>
        </w:rPr>
        <w:t xml:space="preserve"> the Committee did not require objective verification of the suffering and anguish of those recognized as victims of an article 7 violation, external confirmation of the injury to the </w:t>
      </w:r>
      <w:proofErr w:type="spellStart"/>
      <w:r w:rsidRPr="001225A6">
        <w:rPr>
          <w:rFonts w:asciiTheme="minorHAnsi" w:hAnsiTheme="minorHAnsi"/>
          <w:sz w:val="18"/>
          <w:szCs w:val="18"/>
        </w:rPr>
        <w:t>Chagossians</w:t>
      </w:r>
      <w:proofErr w:type="spellEnd"/>
      <w:r w:rsidRPr="001225A6">
        <w:rPr>
          <w:rFonts w:asciiTheme="minorHAnsi" w:hAnsiTheme="minorHAnsi"/>
          <w:sz w:val="18"/>
          <w:szCs w:val="18"/>
        </w:rPr>
        <w:t>’ “dignity and…mental integrity” only bolsters the argument that the UK government is in violation of article 7.</w:t>
      </w:r>
    </w:p>
  </w:footnote>
  <w:footnote w:id="28">
    <w:p w:rsidR="00274A08" w:rsidRPr="001225A6" w:rsidRDefault="00274A08" w:rsidP="00815AD1">
      <w:pPr>
        <w:pStyle w:val="FootnoteText"/>
        <w:ind w:left="720" w:hanging="720"/>
        <w:jc w:val="lef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w:t>
      </w:r>
      <w:r w:rsidRPr="001225A6">
        <w:rPr>
          <w:rFonts w:asciiTheme="minorHAnsi" w:hAnsiTheme="minorHAnsi"/>
          <w:i/>
          <w:sz w:val="18"/>
          <w:szCs w:val="18"/>
        </w:rPr>
        <w:t>Chagos Islanders v. the Attorney General</w:t>
      </w:r>
      <w:r w:rsidRPr="001225A6">
        <w:rPr>
          <w:rFonts w:asciiTheme="minorHAnsi" w:hAnsiTheme="minorHAnsi"/>
          <w:sz w:val="18"/>
          <w:szCs w:val="18"/>
        </w:rPr>
        <w:t>, EWHC 2222, ¶ 154 (9 October 2003).</w:t>
      </w:r>
    </w:p>
  </w:footnote>
  <w:footnote w:id="29">
    <w:p w:rsidR="00274A08" w:rsidRPr="001225A6" w:rsidRDefault="00274A08" w:rsidP="00815AD1">
      <w:pPr>
        <w:pStyle w:val="FootnoteText"/>
        <w:ind w:left="0" w:firstLine="0"/>
        <w:jc w:val="left"/>
        <w:rPr>
          <w:rFonts w:asciiTheme="minorHAnsi" w:hAnsiTheme="minorHAnsi"/>
          <w:sz w:val="18"/>
          <w:szCs w:val="18"/>
        </w:rPr>
      </w:pPr>
      <w:r w:rsidRPr="001225A6">
        <w:rPr>
          <w:rStyle w:val="FootnoteReference"/>
          <w:rFonts w:asciiTheme="minorHAnsi" w:hAnsiTheme="minorHAnsi"/>
          <w:smallCaps/>
          <w:sz w:val="18"/>
          <w:szCs w:val="18"/>
        </w:rPr>
        <w:footnoteRef/>
      </w:r>
      <w:r w:rsidRPr="001225A6">
        <w:rPr>
          <w:rFonts w:asciiTheme="minorHAnsi" w:hAnsiTheme="minorHAnsi"/>
          <w:smallCaps/>
          <w:sz w:val="18"/>
          <w:szCs w:val="18"/>
        </w:rPr>
        <w:t xml:space="preserve"> </w:t>
      </w:r>
      <w:r w:rsidRPr="001225A6">
        <w:rPr>
          <w:rFonts w:asciiTheme="minorHAnsi" w:hAnsiTheme="minorHAnsi"/>
          <w:sz w:val="18"/>
          <w:szCs w:val="18"/>
        </w:rPr>
        <w:t>BBC News Online, “</w:t>
      </w:r>
      <w:r w:rsidRPr="001225A6">
        <w:rPr>
          <w:rFonts w:asciiTheme="minorHAnsi" w:hAnsiTheme="minorHAnsi"/>
          <w:i/>
          <w:sz w:val="18"/>
          <w:szCs w:val="18"/>
        </w:rPr>
        <w:t>Diego Garcia Islanders Battle to Return</w:t>
      </w:r>
      <w:r w:rsidRPr="001225A6">
        <w:rPr>
          <w:rFonts w:asciiTheme="minorHAnsi" w:hAnsiTheme="minorHAnsi"/>
          <w:sz w:val="18"/>
          <w:szCs w:val="18"/>
        </w:rPr>
        <w:t xml:space="preserve">,” </w:t>
      </w:r>
      <w:r w:rsidRPr="008D6D09">
        <w:rPr>
          <w:rFonts w:asciiTheme="minorHAnsi" w:hAnsiTheme="minorHAnsi"/>
          <w:sz w:val="18"/>
          <w:szCs w:val="18"/>
        </w:rPr>
        <w:t>http://news.bbc.co.uk/1/hi/world/africa/2380013.stm</w:t>
      </w:r>
      <w:r w:rsidRPr="001225A6">
        <w:rPr>
          <w:rFonts w:asciiTheme="minorHAnsi" w:hAnsiTheme="minorHAnsi"/>
          <w:sz w:val="18"/>
          <w:szCs w:val="18"/>
        </w:rPr>
        <w:t xml:space="preserve"> (31 October 2002) (last visited 23 June 2014). </w:t>
      </w:r>
    </w:p>
  </w:footnote>
  <w:footnote w:id="30">
    <w:p w:rsidR="00274A08" w:rsidRPr="001225A6" w:rsidRDefault="00274A08" w:rsidP="00815AD1">
      <w:pPr>
        <w:pStyle w:val="FootnoteText"/>
        <w:ind w:left="720" w:hanging="720"/>
        <w:jc w:val="lef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David White, “</w:t>
      </w:r>
      <w:r w:rsidRPr="001225A6">
        <w:rPr>
          <w:rFonts w:asciiTheme="minorHAnsi" w:hAnsiTheme="minorHAnsi"/>
          <w:i/>
          <w:sz w:val="18"/>
          <w:szCs w:val="18"/>
        </w:rPr>
        <w:t>Exiled Chagos Islanders Make Painful Return Visit</w:t>
      </w:r>
      <w:r w:rsidRPr="001225A6">
        <w:rPr>
          <w:rFonts w:asciiTheme="minorHAnsi" w:hAnsiTheme="minorHAnsi"/>
          <w:sz w:val="18"/>
          <w:szCs w:val="18"/>
        </w:rPr>
        <w:t>,” The Guardian, 20 March 2006.</w:t>
      </w:r>
    </w:p>
  </w:footnote>
  <w:footnote w:id="31">
    <w:p w:rsidR="00274A08" w:rsidRPr="001225A6" w:rsidRDefault="00274A08" w:rsidP="00815AD1">
      <w:pPr>
        <w:pStyle w:val="FootnoteText"/>
        <w:ind w:left="720" w:hanging="720"/>
        <w:jc w:val="lef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Paul Harris and Martin Bright, “</w:t>
      </w:r>
      <w:r w:rsidRPr="001225A6">
        <w:rPr>
          <w:rFonts w:asciiTheme="minorHAnsi" w:hAnsiTheme="minorHAnsi"/>
          <w:i/>
          <w:sz w:val="18"/>
          <w:szCs w:val="18"/>
        </w:rPr>
        <w:t>Exiled from Paradise to Crawley New Town</w:t>
      </w:r>
      <w:r w:rsidRPr="001225A6">
        <w:rPr>
          <w:rFonts w:asciiTheme="minorHAnsi" w:hAnsiTheme="minorHAnsi"/>
          <w:sz w:val="18"/>
          <w:szCs w:val="18"/>
        </w:rPr>
        <w:t>,” The Guardian, 27 July 2003.</w:t>
      </w:r>
    </w:p>
  </w:footnote>
  <w:footnote w:id="32">
    <w:p w:rsidR="00274A08" w:rsidRPr="001225A6" w:rsidRDefault="00274A08" w:rsidP="005B287E">
      <w:pPr>
        <w:pStyle w:val="FootnoteText"/>
        <w:ind w:left="0" w:firstLine="0"/>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ICCPR, HRC, </w:t>
      </w:r>
      <w:r w:rsidRPr="001225A6">
        <w:rPr>
          <w:rFonts w:asciiTheme="minorHAnsi" w:hAnsiTheme="minorHAnsi"/>
          <w:i/>
          <w:iCs/>
          <w:sz w:val="18"/>
          <w:szCs w:val="18"/>
        </w:rPr>
        <w:t xml:space="preserve">General Comment 27, General comment on </w:t>
      </w:r>
      <w:r w:rsidRPr="001225A6">
        <w:rPr>
          <w:rFonts w:asciiTheme="minorHAnsi" w:hAnsiTheme="minorHAnsi"/>
          <w:bCs/>
          <w:i/>
          <w:sz w:val="18"/>
          <w:szCs w:val="18"/>
        </w:rPr>
        <w:t>the freedom of movement under article 12 of the Covenant</w:t>
      </w:r>
      <w:r w:rsidRPr="001225A6">
        <w:rPr>
          <w:rFonts w:asciiTheme="minorHAnsi" w:hAnsiTheme="minorHAnsi"/>
          <w:i/>
          <w:iCs/>
          <w:sz w:val="18"/>
          <w:szCs w:val="18"/>
        </w:rPr>
        <w:t xml:space="preserve"> </w:t>
      </w:r>
      <w:r w:rsidRPr="001225A6">
        <w:rPr>
          <w:rFonts w:asciiTheme="minorHAnsi" w:hAnsiTheme="minorHAnsi"/>
          <w:sz w:val="18"/>
          <w:szCs w:val="18"/>
        </w:rPr>
        <w:t>[hereinafter “</w:t>
      </w:r>
      <w:r w:rsidRPr="001225A6">
        <w:rPr>
          <w:rFonts w:asciiTheme="minorHAnsi" w:hAnsiTheme="minorHAnsi"/>
          <w:i/>
          <w:iCs/>
          <w:sz w:val="18"/>
          <w:szCs w:val="18"/>
        </w:rPr>
        <w:t>General Comment 27”</w:t>
      </w:r>
      <w:r w:rsidRPr="001225A6">
        <w:rPr>
          <w:rFonts w:asciiTheme="minorHAnsi" w:hAnsiTheme="minorHAnsi"/>
          <w:sz w:val="18"/>
          <w:szCs w:val="18"/>
        </w:rPr>
        <w:t>], ¶ 21, U.N. Doc. CCPR/C/21/Rev.1/Add.9 (1999).</w:t>
      </w:r>
    </w:p>
  </w:footnote>
  <w:footnote w:id="33">
    <w:p w:rsidR="00274A08" w:rsidRPr="001225A6" w:rsidRDefault="00274A08" w:rsidP="005B287E">
      <w:pPr>
        <w:pStyle w:val="FootnoteTex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Id. para. 11.</w:t>
      </w:r>
    </w:p>
  </w:footnote>
  <w:footnote w:id="34">
    <w:p w:rsidR="00274A08" w:rsidRPr="001225A6" w:rsidRDefault="00274A08" w:rsidP="005B287E">
      <w:pPr>
        <w:pStyle w:val="FootnoteText"/>
        <w:rPr>
          <w:rFonts w:asciiTheme="minorHAnsi" w:hAnsiTheme="minorHAnsi"/>
          <w:sz w:val="18"/>
          <w:szCs w:val="18"/>
        </w:rPr>
      </w:pPr>
      <w:r w:rsidRPr="001225A6">
        <w:rPr>
          <w:rStyle w:val="FootnoteReference"/>
          <w:rFonts w:asciiTheme="minorHAnsi" w:hAnsiTheme="minorHAnsi"/>
          <w:sz w:val="18"/>
          <w:szCs w:val="18"/>
        </w:rPr>
        <w:footnoteRef/>
      </w:r>
      <w:r w:rsidRPr="001225A6">
        <w:rPr>
          <w:rFonts w:asciiTheme="minorHAnsi" w:hAnsiTheme="minorHAnsi"/>
          <w:sz w:val="18"/>
          <w:szCs w:val="18"/>
        </w:rPr>
        <w:t xml:space="preserve"> Id. para. 14. </w:t>
      </w:r>
    </w:p>
  </w:footnote>
  <w:footnote w:id="35">
    <w:p w:rsidR="00274A08" w:rsidRPr="001225A6" w:rsidRDefault="00274A08" w:rsidP="005B287E">
      <w:pPr>
        <w:autoSpaceDE w:val="0"/>
        <w:autoSpaceDN w:val="0"/>
        <w:adjustRightInd w:val="0"/>
        <w:spacing w:after="0" w:line="240" w:lineRule="auto"/>
        <w:rPr>
          <w:rFonts w:cs="Verdana"/>
          <w:color w:val="555555"/>
          <w:sz w:val="18"/>
          <w:szCs w:val="18"/>
        </w:rPr>
      </w:pPr>
      <w:r w:rsidRPr="001225A6">
        <w:rPr>
          <w:rStyle w:val="FootnoteReference"/>
          <w:sz w:val="18"/>
          <w:szCs w:val="18"/>
        </w:rPr>
        <w:footnoteRef/>
      </w:r>
      <w:r w:rsidRPr="001225A6">
        <w:rPr>
          <w:sz w:val="18"/>
          <w:szCs w:val="18"/>
        </w:rPr>
        <w:t xml:space="preserve"> </w:t>
      </w:r>
      <w:r w:rsidRPr="001225A6">
        <w:rPr>
          <w:rFonts w:cs="Times New Roman"/>
          <w:sz w:val="18"/>
          <w:szCs w:val="18"/>
        </w:rPr>
        <w:t xml:space="preserve">Vienna Declaration and Programme of Action adopted by  the World Conference on Human Rights, </w:t>
      </w:r>
      <w:r w:rsidRPr="001225A6">
        <w:rPr>
          <w:rFonts w:cs="Times New Roman"/>
          <w:bCs/>
          <w:i/>
          <w:sz w:val="18"/>
          <w:szCs w:val="18"/>
        </w:rPr>
        <w:t>Fact Sheet No.25, Forced Evictions and Human Rights</w:t>
      </w:r>
      <w:r w:rsidRPr="001225A6">
        <w:rPr>
          <w:rFonts w:cs="Times New Roman"/>
          <w:bCs/>
          <w:sz w:val="18"/>
          <w:szCs w:val="18"/>
        </w:rPr>
        <w:t xml:space="preserve">, </w:t>
      </w:r>
      <w:r w:rsidRPr="001225A6">
        <w:rPr>
          <w:rFonts w:cs="Times New Roman"/>
          <w:sz w:val="18"/>
          <w:szCs w:val="18"/>
        </w:rPr>
        <w:t>Vienna (1993).</w:t>
      </w:r>
      <w:r w:rsidRPr="001225A6">
        <w:rPr>
          <w:sz w:val="18"/>
          <w:szCs w:val="18"/>
        </w:rPr>
        <w:t xml:space="preserve"> </w:t>
      </w:r>
    </w:p>
  </w:footnote>
  <w:footnote w:id="36">
    <w:p w:rsidR="00F2526E" w:rsidRDefault="00F2526E" w:rsidP="008D6D09">
      <w:pPr>
        <w:pStyle w:val="FootnoteText"/>
        <w:tabs>
          <w:tab w:val="clear" w:pos="567"/>
          <w:tab w:val="left" w:pos="0"/>
        </w:tabs>
        <w:ind w:left="0" w:firstLine="0"/>
      </w:pPr>
      <w:r>
        <w:rPr>
          <w:rStyle w:val="FootnoteReference"/>
        </w:rPr>
        <w:footnoteRef/>
      </w:r>
      <w:r>
        <w:t xml:space="preserve"> </w:t>
      </w:r>
      <w:r>
        <w:rPr>
          <w:rFonts w:eastAsiaTheme="minorEastAsia" w:cs="Arial"/>
          <w:sz w:val="16"/>
          <w:szCs w:val="16"/>
        </w:rPr>
        <w:t xml:space="preserve">Feasibility study for the resettlement of the British Indian Ocean Territory. 31 January 2015. KPMG Consultants </w:t>
      </w:r>
      <w:r w:rsidRPr="00F2526E">
        <w:rPr>
          <w:rFonts w:eastAsiaTheme="minorEastAsia" w:cs="Arial"/>
          <w:sz w:val="16"/>
          <w:szCs w:val="16"/>
        </w:rPr>
        <w:t>http://qna.files.parliament.uk/ws-attachments/178757/original/Feasibility%20study%20for%20the%20resettlement%20of%20the%20British%20Indian%20Ocean%20Territory%</w:t>
      </w:r>
      <w:bookmarkStart w:id="0" w:name="_GoBack"/>
      <w:bookmarkEnd w:id="0"/>
      <w:r w:rsidRPr="00F2526E">
        <w:rPr>
          <w:rFonts w:eastAsiaTheme="minorEastAsia" w:cs="Arial"/>
          <w:sz w:val="16"/>
          <w:szCs w:val="16"/>
        </w:rPr>
        <w:t>20Volume%201.pdf</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6EC"/>
    <w:multiLevelType w:val="hybridMultilevel"/>
    <w:tmpl w:val="775A5AEA"/>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6F6581"/>
    <w:multiLevelType w:val="hybridMultilevel"/>
    <w:tmpl w:val="0EEA7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48B108D"/>
    <w:multiLevelType w:val="hybridMultilevel"/>
    <w:tmpl w:val="E416E6A6"/>
    <w:lvl w:ilvl="0" w:tplc="8AA4162C">
      <w:start w:val="3"/>
      <w:numFmt w:val="upperRoman"/>
      <w:lvlText w:val="%1."/>
      <w:lvlJc w:val="left"/>
      <w:pPr>
        <w:ind w:left="1091" w:hanging="72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
    <w:nsid w:val="3A46407C"/>
    <w:multiLevelType w:val="multilevel"/>
    <w:tmpl w:val="1C822AA4"/>
    <w:lvl w:ilvl="0">
      <w:start w:val="1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AB7C81"/>
    <w:multiLevelType w:val="multilevel"/>
    <w:tmpl w:val="1C822AA4"/>
    <w:lvl w:ilvl="0">
      <w:start w:val="1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C5E3B68"/>
    <w:multiLevelType w:val="hybridMultilevel"/>
    <w:tmpl w:val="5FBAFDC4"/>
    <w:lvl w:ilvl="0" w:tplc="5094C9E2">
      <w:start w:val="3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CE91BCF"/>
    <w:multiLevelType w:val="hybridMultilevel"/>
    <w:tmpl w:val="26CA5E2E"/>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5F0F1508"/>
    <w:multiLevelType w:val="hybridMultilevel"/>
    <w:tmpl w:val="21D402E6"/>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062625E"/>
    <w:multiLevelType w:val="multilevel"/>
    <w:tmpl w:val="27E4D636"/>
    <w:lvl w:ilvl="0">
      <w:start w:val="1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4BB227F"/>
    <w:multiLevelType w:val="hybridMultilevel"/>
    <w:tmpl w:val="7C0EC08C"/>
    <w:lvl w:ilvl="0" w:tplc="BAAE369E">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6004F9"/>
    <w:multiLevelType w:val="hybridMultilevel"/>
    <w:tmpl w:val="27E4D636"/>
    <w:lvl w:ilvl="0" w:tplc="40C645A0">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1D2984"/>
    <w:multiLevelType w:val="hybridMultilevel"/>
    <w:tmpl w:val="50C039FC"/>
    <w:lvl w:ilvl="0" w:tplc="A960519C">
      <w:start w:val="15"/>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79DC50D7"/>
    <w:multiLevelType w:val="hybridMultilevel"/>
    <w:tmpl w:val="CB7E1E1A"/>
    <w:lvl w:ilvl="0" w:tplc="40C645A0">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9"/>
  </w:num>
  <w:num w:numId="5">
    <w:abstractNumId w:val="11"/>
  </w:num>
  <w:num w:numId="6">
    <w:abstractNumId w:val="12"/>
  </w:num>
  <w:num w:numId="7">
    <w:abstractNumId w:val="4"/>
  </w:num>
  <w:num w:numId="8">
    <w:abstractNumId w:val="3"/>
  </w:num>
  <w:num w:numId="9">
    <w:abstractNumId w:val="0"/>
  </w:num>
  <w:num w:numId="10">
    <w:abstractNumId w:val="8"/>
  </w:num>
  <w:num w:numId="11">
    <w:abstractNumId w:val="10"/>
  </w:num>
  <w:num w:numId="12">
    <w:abstractNumId w:val="5"/>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1970A9"/>
    <w:rsid w:val="0003647C"/>
    <w:rsid w:val="00090D95"/>
    <w:rsid w:val="000B2FF3"/>
    <w:rsid w:val="001225A6"/>
    <w:rsid w:val="001479BA"/>
    <w:rsid w:val="001753B2"/>
    <w:rsid w:val="001831F3"/>
    <w:rsid w:val="001970A9"/>
    <w:rsid w:val="002049C6"/>
    <w:rsid w:val="00212EE7"/>
    <w:rsid w:val="002275BF"/>
    <w:rsid w:val="00274A08"/>
    <w:rsid w:val="0034683A"/>
    <w:rsid w:val="00453171"/>
    <w:rsid w:val="0047491E"/>
    <w:rsid w:val="004935A9"/>
    <w:rsid w:val="004C1440"/>
    <w:rsid w:val="004C20C2"/>
    <w:rsid w:val="005738D3"/>
    <w:rsid w:val="005B287E"/>
    <w:rsid w:val="00612F49"/>
    <w:rsid w:val="006B62C6"/>
    <w:rsid w:val="00714957"/>
    <w:rsid w:val="00735DB5"/>
    <w:rsid w:val="007F2931"/>
    <w:rsid w:val="00815AD1"/>
    <w:rsid w:val="008862C5"/>
    <w:rsid w:val="008B27C5"/>
    <w:rsid w:val="008C4766"/>
    <w:rsid w:val="008D6D09"/>
    <w:rsid w:val="00910BFA"/>
    <w:rsid w:val="00930B19"/>
    <w:rsid w:val="00946111"/>
    <w:rsid w:val="00A339FD"/>
    <w:rsid w:val="00AB15D6"/>
    <w:rsid w:val="00AC49AF"/>
    <w:rsid w:val="00AF5143"/>
    <w:rsid w:val="00B1434F"/>
    <w:rsid w:val="00BD3642"/>
    <w:rsid w:val="00D418B9"/>
    <w:rsid w:val="00D7254E"/>
    <w:rsid w:val="00D85931"/>
    <w:rsid w:val="00E3498C"/>
    <w:rsid w:val="00EE27E2"/>
    <w:rsid w:val="00EE7528"/>
    <w:rsid w:val="00F2526E"/>
    <w:rsid w:val="00F33AA5"/>
    <w:rsid w:val="00FA0A65"/>
    <w:rsid w:val="00FE166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0A9"/>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970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70A9"/>
    <w:rPr>
      <w:color w:val="0000FF" w:themeColor="hyperlink"/>
      <w:u w:val="single"/>
    </w:rPr>
  </w:style>
  <w:style w:type="paragraph" w:styleId="ListParagraph">
    <w:name w:val="List Paragraph"/>
    <w:basedOn w:val="Normal"/>
    <w:uiPriority w:val="34"/>
    <w:qFormat/>
    <w:rsid w:val="001970A9"/>
    <w:pPr>
      <w:ind w:left="720"/>
      <w:contextualSpacing/>
    </w:pPr>
  </w:style>
  <w:style w:type="paragraph" w:customStyle="1" w:styleId="Body">
    <w:name w:val="Body"/>
    <w:rsid w:val="001970A9"/>
    <w:rPr>
      <w:rFonts w:ascii="Times New Roman" w:eastAsia="?????? Pro W3" w:hAnsi="Times New Roman" w:cs="Times New Roman"/>
      <w:color w:val="000000"/>
      <w:szCs w:val="20"/>
      <w:lang w:val="en-GB" w:eastAsia="en-GB"/>
    </w:rPr>
  </w:style>
  <w:style w:type="character" w:styleId="FootnoteReference">
    <w:name w:val="footnote reference"/>
    <w:basedOn w:val="DefaultParagraphFont"/>
    <w:rsid w:val="001970A9"/>
    <w:rPr>
      <w:vertAlign w:val="superscript"/>
    </w:rPr>
  </w:style>
  <w:style w:type="paragraph" w:styleId="FootnoteText">
    <w:name w:val="footnote text"/>
    <w:basedOn w:val="Normal"/>
    <w:link w:val="FootnoteTextChar"/>
    <w:rsid w:val="001970A9"/>
    <w:pPr>
      <w:tabs>
        <w:tab w:val="left" w:pos="567"/>
      </w:tabs>
      <w:spacing w:after="0" w:line="240" w:lineRule="auto"/>
      <w:ind w:left="567" w:hanging="567"/>
      <w:jc w:val="both"/>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1970A9"/>
    <w:rPr>
      <w:rFonts w:ascii="Arial" w:eastAsia="Times New Roman" w:hAnsi="Arial" w:cs="Times New Roman"/>
      <w:sz w:val="20"/>
      <w:szCs w:val="20"/>
      <w:lang w:val="en-GB" w:eastAsia="en-GB"/>
    </w:rPr>
  </w:style>
  <w:style w:type="paragraph" w:customStyle="1" w:styleId="SingleTxtG">
    <w:name w:val="_ Single Txt_G"/>
    <w:basedOn w:val="Normal"/>
    <w:link w:val="SingleTxtGChar"/>
    <w:rsid w:val="001970A9"/>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1970A9"/>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8B27C5"/>
    <w:pPr>
      <w:tabs>
        <w:tab w:val="center" w:pos="4320"/>
        <w:tab w:val="right" w:pos="8640"/>
      </w:tabs>
      <w:spacing w:after="0" w:line="240" w:lineRule="auto"/>
    </w:pPr>
  </w:style>
  <w:style w:type="character" w:customStyle="1" w:styleId="FooterChar">
    <w:name w:val="Footer Char"/>
    <w:basedOn w:val="DefaultParagraphFont"/>
    <w:link w:val="Footer"/>
    <w:uiPriority w:val="99"/>
    <w:rsid w:val="008B27C5"/>
    <w:rPr>
      <w:rFonts w:eastAsiaTheme="minorHAnsi"/>
      <w:sz w:val="22"/>
      <w:szCs w:val="22"/>
      <w:lang w:val="en-GB"/>
    </w:rPr>
  </w:style>
  <w:style w:type="character" w:styleId="PageNumber">
    <w:name w:val="page number"/>
    <w:basedOn w:val="DefaultParagraphFont"/>
    <w:uiPriority w:val="99"/>
    <w:semiHidden/>
    <w:unhideWhenUsed/>
    <w:rsid w:val="008B27C5"/>
  </w:style>
  <w:style w:type="character" w:styleId="CommentReference">
    <w:name w:val="annotation reference"/>
    <w:basedOn w:val="DefaultParagraphFont"/>
    <w:uiPriority w:val="99"/>
    <w:semiHidden/>
    <w:unhideWhenUsed/>
    <w:rsid w:val="00815AD1"/>
    <w:rPr>
      <w:sz w:val="16"/>
      <w:szCs w:val="16"/>
    </w:rPr>
  </w:style>
  <w:style w:type="paragraph" w:styleId="CommentText">
    <w:name w:val="annotation text"/>
    <w:basedOn w:val="Normal"/>
    <w:link w:val="CommentTextChar"/>
    <w:uiPriority w:val="99"/>
    <w:semiHidden/>
    <w:unhideWhenUsed/>
    <w:rsid w:val="00815AD1"/>
    <w:pPr>
      <w:spacing w:line="240" w:lineRule="auto"/>
    </w:pPr>
    <w:rPr>
      <w:sz w:val="20"/>
      <w:szCs w:val="20"/>
    </w:rPr>
  </w:style>
  <w:style w:type="character" w:customStyle="1" w:styleId="CommentTextChar">
    <w:name w:val="Comment Text Char"/>
    <w:basedOn w:val="DefaultParagraphFont"/>
    <w:link w:val="CommentText"/>
    <w:uiPriority w:val="99"/>
    <w:semiHidden/>
    <w:rsid w:val="00815AD1"/>
    <w:rPr>
      <w:rFonts w:eastAsiaTheme="minorHAnsi"/>
      <w:sz w:val="20"/>
      <w:szCs w:val="20"/>
      <w:lang w:val="en-GB"/>
    </w:rPr>
  </w:style>
  <w:style w:type="paragraph" w:styleId="BalloonText">
    <w:name w:val="Balloon Text"/>
    <w:basedOn w:val="Normal"/>
    <w:link w:val="BalloonTextChar"/>
    <w:uiPriority w:val="99"/>
    <w:semiHidden/>
    <w:unhideWhenUsed/>
    <w:rsid w:val="00815AD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5AD1"/>
    <w:rPr>
      <w:rFonts w:ascii="Lucida Grande" w:eastAsiaTheme="minorHAnsi" w:hAnsi="Lucida Grande" w:cs="Lucida Grande"/>
      <w:sz w:val="18"/>
      <w:szCs w:val="18"/>
      <w:lang w:val="en-GB"/>
    </w:rPr>
  </w:style>
  <w:style w:type="paragraph" w:customStyle="1" w:styleId="Default">
    <w:name w:val="Default"/>
    <w:rsid w:val="005B287E"/>
    <w:pPr>
      <w:autoSpaceDE w:val="0"/>
      <w:autoSpaceDN w:val="0"/>
      <w:adjustRightInd w:val="0"/>
    </w:pPr>
    <w:rPr>
      <w:rFonts w:ascii="Times New Roman" w:eastAsiaTheme="minorHAnsi" w:hAnsi="Times New Roman" w:cs="Times New Roman"/>
      <w:color w:val="000000"/>
      <w:lang w:val="en-GB"/>
    </w:rPr>
  </w:style>
  <w:style w:type="paragraph" w:styleId="CommentSubject">
    <w:name w:val="annotation subject"/>
    <w:basedOn w:val="CommentText"/>
    <w:next w:val="CommentText"/>
    <w:link w:val="CommentSubjectChar"/>
    <w:uiPriority w:val="99"/>
    <w:semiHidden/>
    <w:unhideWhenUsed/>
    <w:rsid w:val="001225A6"/>
    <w:rPr>
      <w:b/>
      <w:bCs/>
    </w:rPr>
  </w:style>
  <w:style w:type="character" w:customStyle="1" w:styleId="CommentSubjectChar">
    <w:name w:val="Comment Subject Char"/>
    <w:basedOn w:val="CommentTextChar"/>
    <w:link w:val="CommentSubject"/>
    <w:uiPriority w:val="99"/>
    <w:semiHidden/>
    <w:rsid w:val="001225A6"/>
    <w:rPr>
      <w:rFonts w:eastAsiaTheme="minorHAnsi"/>
      <w:b/>
      <w:bCs/>
      <w:sz w:val="20"/>
      <w:szCs w:val="20"/>
      <w:lang w:val="en-GB"/>
    </w:rPr>
  </w:style>
  <w:style w:type="paragraph" w:styleId="BodyText">
    <w:name w:val="Body Text"/>
    <w:basedOn w:val="Normal"/>
    <w:link w:val="BodyTextChar"/>
    <w:rsid w:val="00453171"/>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453171"/>
    <w:rPr>
      <w:rFonts w:ascii="Times New Roman" w:eastAsia="Times New Roman" w:hAnsi="Times New Roman" w:cs="Times New Roman"/>
      <w:b/>
      <w:bCs/>
      <w:lang w:val="en-GB"/>
    </w:rPr>
  </w:style>
  <w:style w:type="paragraph" w:styleId="BodyTextIndent3">
    <w:name w:val="Body Text Indent 3"/>
    <w:basedOn w:val="Normal"/>
    <w:link w:val="BodyTextIndent3Char"/>
    <w:uiPriority w:val="99"/>
    <w:unhideWhenUsed/>
    <w:rsid w:val="00453171"/>
    <w:pPr>
      <w:spacing w:after="120"/>
      <w:ind w:left="283"/>
    </w:pPr>
    <w:rPr>
      <w:sz w:val="16"/>
      <w:szCs w:val="16"/>
    </w:rPr>
  </w:style>
  <w:style w:type="character" w:customStyle="1" w:styleId="BodyTextIndent3Char">
    <w:name w:val="Body Text Indent 3 Char"/>
    <w:basedOn w:val="DefaultParagraphFont"/>
    <w:link w:val="BodyTextIndent3"/>
    <w:uiPriority w:val="99"/>
    <w:rsid w:val="00453171"/>
    <w:rPr>
      <w:rFonts w:eastAsiaTheme="minorHAnsi"/>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0A9"/>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970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70A9"/>
    <w:rPr>
      <w:color w:val="0000FF" w:themeColor="hyperlink"/>
      <w:u w:val="single"/>
    </w:rPr>
  </w:style>
  <w:style w:type="paragraph" w:styleId="ListParagraph">
    <w:name w:val="List Paragraph"/>
    <w:basedOn w:val="Normal"/>
    <w:uiPriority w:val="34"/>
    <w:qFormat/>
    <w:rsid w:val="001970A9"/>
    <w:pPr>
      <w:ind w:left="720"/>
      <w:contextualSpacing/>
    </w:pPr>
  </w:style>
  <w:style w:type="paragraph" w:customStyle="1" w:styleId="Body">
    <w:name w:val="Body"/>
    <w:rsid w:val="001970A9"/>
    <w:rPr>
      <w:rFonts w:ascii="Times New Roman" w:eastAsia="?????? Pro W3" w:hAnsi="Times New Roman" w:cs="Times New Roman"/>
      <w:color w:val="000000"/>
      <w:szCs w:val="20"/>
      <w:lang w:val="en-GB" w:eastAsia="en-GB"/>
    </w:rPr>
  </w:style>
  <w:style w:type="character" w:styleId="FootnoteReference">
    <w:name w:val="footnote reference"/>
    <w:basedOn w:val="DefaultParagraphFont"/>
    <w:rsid w:val="001970A9"/>
    <w:rPr>
      <w:vertAlign w:val="superscript"/>
    </w:rPr>
  </w:style>
  <w:style w:type="paragraph" w:styleId="FootnoteText">
    <w:name w:val="footnote text"/>
    <w:basedOn w:val="Normal"/>
    <w:link w:val="FootnoteTextChar"/>
    <w:rsid w:val="001970A9"/>
    <w:pPr>
      <w:tabs>
        <w:tab w:val="left" w:pos="567"/>
      </w:tabs>
      <w:spacing w:after="0" w:line="240" w:lineRule="auto"/>
      <w:ind w:left="567" w:hanging="567"/>
      <w:jc w:val="both"/>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1970A9"/>
    <w:rPr>
      <w:rFonts w:ascii="Arial" w:eastAsia="Times New Roman" w:hAnsi="Arial" w:cs="Times New Roman"/>
      <w:sz w:val="20"/>
      <w:szCs w:val="20"/>
      <w:lang w:val="en-GB" w:eastAsia="en-GB"/>
    </w:rPr>
  </w:style>
  <w:style w:type="paragraph" w:customStyle="1" w:styleId="SingleTxtG">
    <w:name w:val="_ Single Txt_G"/>
    <w:basedOn w:val="Normal"/>
    <w:link w:val="SingleTxtGChar"/>
    <w:rsid w:val="001970A9"/>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1970A9"/>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8B27C5"/>
    <w:pPr>
      <w:tabs>
        <w:tab w:val="center" w:pos="4320"/>
        <w:tab w:val="right" w:pos="8640"/>
      </w:tabs>
      <w:spacing w:after="0" w:line="240" w:lineRule="auto"/>
    </w:pPr>
  </w:style>
  <w:style w:type="character" w:customStyle="1" w:styleId="FooterChar">
    <w:name w:val="Footer Char"/>
    <w:basedOn w:val="DefaultParagraphFont"/>
    <w:link w:val="Footer"/>
    <w:uiPriority w:val="99"/>
    <w:rsid w:val="008B27C5"/>
    <w:rPr>
      <w:rFonts w:eastAsiaTheme="minorHAnsi"/>
      <w:sz w:val="22"/>
      <w:szCs w:val="22"/>
      <w:lang w:val="en-GB"/>
    </w:rPr>
  </w:style>
  <w:style w:type="character" w:styleId="PageNumber">
    <w:name w:val="page number"/>
    <w:basedOn w:val="DefaultParagraphFont"/>
    <w:uiPriority w:val="99"/>
    <w:semiHidden/>
    <w:unhideWhenUsed/>
    <w:rsid w:val="008B27C5"/>
  </w:style>
  <w:style w:type="character" w:styleId="CommentReference">
    <w:name w:val="annotation reference"/>
    <w:basedOn w:val="DefaultParagraphFont"/>
    <w:uiPriority w:val="99"/>
    <w:semiHidden/>
    <w:unhideWhenUsed/>
    <w:rsid w:val="00815AD1"/>
    <w:rPr>
      <w:sz w:val="16"/>
      <w:szCs w:val="16"/>
    </w:rPr>
  </w:style>
  <w:style w:type="paragraph" w:styleId="CommentText">
    <w:name w:val="annotation text"/>
    <w:basedOn w:val="Normal"/>
    <w:link w:val="CommentTextChar"/>
    <w:uiPriority w:val="99"/>
    <w:semiHidden/>
    <w:unhideWhenUsed/>
    <w:rsid w:val="00815AD1"/>
    <w:pPr>
      <w:spacing w:line="240" w:lineRule="auto"/>
    </w:pPr>
    <w:rPr>
      <w:sz w:val="20"/>
      <w:szCs w:val="20"/>
    </w:rPr>
  </w:style>
  <w:style w:type="character" w:customStyle="1" w:styleId="CommentTextChar">
    <w:name w:val="Comment Text Char"/>
    <w:basedOn w:val="DefaultParagraphFont"/>
    <w:link w:val="CommentText"/>
    <w:uiPriority w:val="99"/>
    <w:semiHidden/>
    <w:rsid w:val="00815AD1"/>
    <w:rPr>
      <w:rFonts w:eastAsiaTheme="minorHAnsi"/>
      <w:sz w:val="20"/>
      <w:szCs w:val="20"/>
      <w:lang w:val="en-GB"/>
    </w:rPr>
  </w:style>
  <w:style w:type="paragraph" w:styleId="BalloonText">
    <w:name w:val="Balloon Text"/>
    <w:basedOn w:val="Normal"/>
    <w:link w:val="BalloonTextChar"/>
    <w:uiPriority w:val="99"/>
    <w:semiHidden/>
    <w:unhideWhenUsed/>
    <w:rsid w:val="00815AD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5AD1"/>
    <w:rPr>
      <w:rFonts w:ascii="Lucida Grande" w:eastAsiaTheme="minorHAnsi" w:hAnsi="Lucida Grande" w:cs="Lucida Grande"/>
      <w:sz w:val="18"/>
      <w:szCs w:val="18"/>
      <w:lang w:val="en-GB"/>
    </w:rPr>
  </w:style>
  <w:style w:type="paragraph" w:customStyle="1" w:styleId="Default">
    <w:name w:val="Default"/>
    <w:rsid w:val="005B287E"/>
    <w:pPr>
      <w:autoSpaceDE w:val="0"/>
      <w:autoSpaceDN w:val="0"/>
      <w:adjustRightInd w:val="0"/>
    </w:pPr>
    <w:rPr>
      <w:rFonts w:ascii="Times New Roman" w:eastAsiaTheme="minorHAnsi" w:hAnsi="Times New Roman" w:cs="Times New Roman"/>
      <w:color w:val="000000"/>
      <w:lang w:val="en-GB"/>
    </w:rPr>
  </w:style>
  <w:style w:type="paragraph" w:styleId="CommentSubject">
    <w:name w:val="annotation subject"/>
    <w:basedOn w:val="CommentText"/>
    <w:next w:val="CommentText"/>
    <w:link w:val="CommentSubjectChar"/>
    <w:uiPriority w:val="99"/>
    <w:semiHidden/>
    <w:unhideWhenUsed/>
    <w:rsid w:val="001225A6"/>
    <w:rPr>
      <w:b/>
      <w:bCs/>
    </w:rPr>
  </w:style>
  <w:style w:type="character" w:customStyle="1" w:styleId="CommentSubjectChar">
    <w:name w:val="Comment Subject Char"/>
    <w:basedOn w:val="CommentTextChar"/>
    <w:link w:val="CommentSubject"/>
    <w:uiPriority w:val="99"/>
    <w:semiHidden/>
    <w:rsid w:val="001225A6"/>
    <w:rPr>
      <w:rFonts w:eastAsiaTheme="minorHAnsi"/>
      <w:b/>
      <w:bCs/>
      <w:sz w:val="20"/>
      <w:szCs w:val="20"/>
      <w:lang w:val="en-GB"/>
    </w:rPr>
  </w:style>
  <w:style w:type="paragraph" w:styleId="BodyText">
    <w:name w:val="Body Text"/>
    <w:basedOn w:val="Normal"/>
    <w:link w:val="BodyTextChar"/>
    <w:rsid w:val="00453171"/>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453171"/>
    <w:rPr>
      <w:rFonts w:ascii="Times New Roman" w:eastAsia="Times New Roman" w:hAnsi="Times New Roman" w:cs="Times New Roman"/>
      <w:b/>
      <w:bCs/>
      <w:lang w:val="en-GB"/>
    </w:rPr>
  </w:style>
  <w:style w:type="paragraph" w:styleId="BodyTextIndent3">
    <w:name w:val="Body Text Indent 3"/>
    <w:basedOn w:val="Normal"/>
    <w:link w:val="BodyTextIndent3Char"/>
    <w:uiPriority w:val="99"/>
    <w:unhideWhenUsed/>
    <w:rsid w:val="00453171"/>
    <w:pPr>
      <w:spacing w:after="120"/>
      <w:ind w:left="283"/>
    </w:pPr>
    <w:rPr>
      <w:sz w:val="16"/>
      <w:szCs w:val="16"/>
    </w:rPr>
  </w:style>
  <w:style w:type="character" w:customStyle="1" w:styleId="BodyTextIndent3Char">
    <w:name w:val="Body Text Indent 3 Char"/>
    <w:basedOn w:val="DefaultParagraphFont"/>
    <w:link w:val="BodyTextIndent3"/>
    <w:uiPriority w:val="99"/>
    <w:rsid w:val="00453171"/>
    <w:rPr>
      <w:rFonts w:eastAsiaTheme="minorHAnsi"/>
      <w:sz w:val="16"/>
      <w:szCs w:val="16"/>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norityrights.org"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2C4F4B-CCC6-46FA-A5F9-7EC7620637E7}"/>
</file>

<file path=customXml/itemProps2.xml><?xml version="1.0" encoding="utf-8"?>
<ds:datastoreItem xmlns:ds="http://schemas.openxmlformats.org/officeDocument/2006/customXml" ds:itemID="{4743A3DF-A569-4001-9522-3D1FB1DEBF3E}"/>
</file>

<file path=customXml/itemProps3.xml><?xml version="1.0" encoding="utf-8"?>
<ds:datastoreItem xmlns:ds="http://schemas.openxmlformats.org/officeDocument/2006/customXml" ds:itemID="{6883CA13-F579-4340-B741-02DB0FCDBFE3}"/>
</file>

<file path=customXml/itemProps4.xml><?xml version="1.0" encoding="utf-8"?>
<ds:datastoreItem xmlns:ds="http://schemas.openxmlformats.org/officeDocument/2006/customXml" ds:itemID="{75CD29B1-2FE2-40BB-9A98-E8B162524E31}"/>
</file>

<file path=docProps/app.xml><?xml version="1.0" encoding="utf-8"?>
<Properties xmlns="http://schemas.openxmlformats.org/officeDocument/2006/extended-properties" xmlns:vt="http://schemas.openxmlformats.org/officeDocument/2006/docPropsVTypes">
  <Template>Normal</Template>
  <TotalTime>2</TotalTime>
  <Pages>10</Pages>
  <Words>3601</Words>
  <Characters>20531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Lucy</cp:lastModifiedBy>
  <cp:revision>2</cp:revision>
  <dcterms:created xsi:type="dcterms:W3CDTF">2015-06-03T19:15:00Z</dcterms:created>
  <dcterms:modified xsi:type="dcterms:W3CDTF">2015-06-03T19:15:00Z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