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1D96C" w14:textId="64476B09" w:rsidR="00525490" w:rsidRPr="00943558" w:rsidRDefault="00457F47" w:rsidP="00124E0C">
      <w:pPr>
        <w:pStyle w:val="BFrontcovermaintitle"/>
        <w:rPr>
          <w:noProof w:val="0"/>
          <w:shd w:val="clear" w:color="auto" w:fill="FFFF00"/>
        </w:rPr>
      </w:pPr>
      <w:r w:rsidRPr="00943558">
        <w:rPr>
          <w:noProof w:val="0"/>
          <w:shd w:val="clear" w:color="auto" w:fill="FFFF00"/>
        </w:rPr>
        <w:t>ESPA</w:t>
      </w:r>
      <w:r w:rsidR="006F614F" w:rsidRPr="00943558">
        <w:rPr>
          <w:noProof w:val="0"/>
          <w:shd w:val="clear" w:color="auto" w:fill="FFFF00"/>
        </w:rPr>
        <w:t>Ñ</w:t>
      </w:r>
      <w:r w:rsidRPr="00943558">
        <w:rPr>
          <w:noProof w:val="0"/>
          <w:shd w:val="clear" w:color="auto" w:fill="FFFF00"/>
        </w:rPr>
        <w:t>A</w:t>
      </w:r>
    </w:p>
    <w:p w14:paraId="4C2F171B" w14:textId="73005F7B" w:rsidR="00065FFC" w:rsidRPr="00943558" w:rsidRDefault="00986EC5" w:rsidP="008F20A9">
      <w:pPr>
        <w:pStyle w:val="BSubtitle"/>
      </w:pPr>
      <w:r w:rsidRPr="00943558">
        <w:t>INFORME AL COMITé de derechos humanos</w:t>
      </w:r>
      <w:r w:rsidR="006F614F" w:rsidRPr="00943558">
        <w:t xml:space="preserve"> DE LA ONU</w:t>
      </w:r>
    </w:p>
    <w:p w14:paraId="0589D126" w14:textId="524641BB" w:rsidR="00986EC5" w:rsidRPr="00943558" w:rsidRDefault="00986EC5" w:rsidP="008F20A9">
      <w:pPr>
        <w:pStyle w:val="BSubtitle"/>
      </w:pPr>
      <w:r w:rsidRPr="00943558">
        <w:t>144ª session, 23 de Junio al 17 de Julio de 2025</w:t>
      </w:r>
    </w:p>
    <w:p w14:paraId="5BA46BC1" w14:textId="77777777" w:rsidR="00986EC5" w:rsidRPr="00943558" w:rsidRDefault="00986EC5" w:rsidP="008F20A9">
      <w:pPr>
        <w:pStyle w:val="BSubtitle"/>
      </w:pPr>
    </w:p>
    <w:p w14:paraId="0E111A36" w14:textId="77777777" w:rsidR="006F614F" w:rsidRPr="00943558" w:rsidRDefault="006F614F" w:rsidP="008F20A9">
      <w:pPr>
        <w:pStyle w:val="BSubtitle"/>
      </w:pPr>
    </w:p>
    <w:p w14:paraId="1BECA7A1" w14:textId="77777777" w:rsidR="00986EC5" w:rsidRPr="00943558" w:rsidRDefault="00986EC5" w:rsidP="008F20A9">
      <w:pPr>
        <w:pStyle w:val="BSubtitle"/>
      </w:pPr>
    </w:p>
    <w:p w14:paraId="459641EC" w14:textId="77777777" w:rsidR="00065FFC" w:rsidRPr="00943558" w:rsidRDefault="00065FFC" w:rsidP="00B0223B"/>
    <w:p w14:paraId="306BCFC7" w14:textId="7D8D18AA" w:rsidR="00065FFC" w:rsidRPr="00943558" w:rsidRDefault="00986EC5" w:rsidP="00986EC5">
      <w:pPr>
        <w:jc w:val="center"/>
      </w:pPr>
      <w:r w:rsidRPr="00943558">
        <w:rPr>
          <w:noProof/>
        </w:rPr>
        <w:drawing>
          <wp:anchor distT="0" distB="0" distL="114300" distR="114300" simplePos="0" relativeHeight="251700736" behindDoc="1" locked="0" layoutInCell="1" allowOverlap="1" wp14:anchorId="28F81B42" wp14:editId="3FD0E718">
            <wp:simplePos x="0" y="0"/>
            <wp:positionH relativeFrom="column">
              <wp:posOffset>1652270</wp:posOffset>
            </wp:positionH>
            <wp:positionV relativeFrom="paragraph">
              <wp:posOffset>2540</wp:posOffset>
            </wp:positionV>
            <wp:extent cx="2447925" cy="4120054"/>
            <wp:effectExtent l="0" t="0" r="0" b="0"/>
            <wp:wrapTight wrapText="bothSides">
              <wp:wrapPolygon edited="0">
                <wp:start x="0" y="0"/>
                <wp:lineTo x="0" y="21473"/>
                <wp:lineTo x="21348" y="21473"/>
                <wp:lineTo x="21348" y="0"/>
                <wp:lineTo x="0" y="0"/>
              </wp:wrapPolygon>
            </wp:wrapTight>
            <wp:docPr id="2002623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7925" cy="4120054"/>
                    </a:xfrm>
                    <a:prstGeom prst="rect">
                      <a:avLst/>
                    </a:prstGeom>
                    <a:noFill/>
                    <a:ln>
                      <a:noFill/>
                    </a:ln>
                  </pic:spPr>
                </pic:pic>
              </a:graphicData>
            </a:graphic>
          </wp:anchor>
        </w:drawing>
      </w:r>
    </w:p>
    <w:p w14:paraId="330EE55A" w14:textId="693253A0" w:rsidR="00162896" w:rsidRPr="00943558" w:rsidRDefault="00065FFC" w:rsidP="00065FFC">
      <w:pPr>
        <w:pStyle w:val="BContentsheading"/>
        <w:rPr>
          <w:noProof w:val="0"/>
        </w:rPr>
      </w:pPr>
      <w:r w:rsidRPr="00943558">
        <w:rPr>
          <w:noProof w:val="0"/>
        </w:rPr>
        <w:t>Índice</w:t>
      </w:r>
    </w:p>
    <w:sdt>
      <w:sdtPr>
        <w:rPr>
          <w:rFonts w:ascii="Amnesty Trade Gothic Light" w:hAnsi="Amnesty Trade Gothic Light"/>
          <w:b w:val="0"/>
          <w:bCs w:val="0"/>
          <w:caps w:val="0"/>
          <w:noProof w:val="0"/>
          <w:sz w:val="20"/>
          <w:szCs w:val="20"/>
          <w:u w:val="none"/>
          <w:lang w:eastAsia="en-US"/>
        </w:rPr>
        <w:id w:val="1191107163"/>
        <w:docPartObj>
          <w:docPartGallery w:val="Table of Contents"/>
          <w:docPartUnique/>
        </w:docPartObj>
      </w:sdtPr>
      <w:sdtEndPr/>
      <w:sdtContent>
        <w:p w14:paraId="05A8CC6D" w14:textId="3C1A97C2" w:rsidR="006F7683" w:rsidRDefault="004B06F7">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r>
            <w:fldChar w:fldCharType="begin"/>
          </w:r>
          <w:r>
            <w:instrText xml:space="preserve"> TOC \o "1-3" \h \z \u </w:instrText>
          </w:r>
          <w:r>
            <w:fldChar w:fldCharType="separate"/>
          </w:r>
          <w:hyperlink w:anchor="_Toc200231281" w:history="1">
            <w:r w:rsidR="006F7683" w:rsidRPr="009B1BD2">
              <w:rPr>
                <w:rStyle w:val="Hyperlink"/>
              </w:rPr>
              <w:t>1.</w:t>
            </w:r>
            <w:r w:rsidR="006F7683">
              <w:rPr>
                <w:rFonts w:asciiTheme="minorHAnsi" w:eastAsiaTheme="minorEastAsia" w:hAnsiTheme="minorHAnsi" w:cstheme="minorBidi"/>
                <w:b w:val="0"/>
                <w:bCs w:val="0"/>
                <w:caps w:val="0"/>
                <w:color w:val="auto"/>
                <w:kern w:val="2"/>
                <w:sz w:val="24"/>
                <w:szCs w:val="24"/>
                <w:u w:val="none"/>
                <w:lang w:val="en-GB"/>
                <w14:ligatures w14:val="standardContextual"/>
              </w:rPr>
              <w:tab/>
            </w:r>
            <w:r w:rsidR="006F7683" w:rsidRPr="009B1BD2">
              <w:rPr>
                <w:rStyle w:val="Hyperlink"/>
              </w:rPr>
              <w:t>INTRODUCCIÓN</w:t>
            </w:r>
            <w:r w:rsidR="006F7683">
              <w:rPr>
                <w:webHidden/>
              </w:rPr>
              <w:tab/>
            </w:r>
            <w:r w:rsidR="006F7683">
              <w:rPr>
                <w:webHidden/>
              </w:rPr>
              <w:fldChar w:fldCharType="begin"/>
            </w:r>
            <w:r w:rsidR="006F7683">
              <w:rPr>
                <w:webHidden/>
              </w:rPr>
              <w:instrText xml:space="preserve"> PAGEREF _Toc200231281 \h </w:instrText>
            </w:r>
            <w:r w:rsidR="006F7683">
              <w:rPr>
                <w:webHidden/>
              </w:rPr>
            </w:r>
            <w:r w:rsidR="006F7683">
              <w:rPr>
                <w:webHidden/>
              </w:rPr>
              <w:fldChar w:fldCharType="separate"/>
            </w:r>
            <w:r w:rsidR="002A03FA">
              <w:rPr>
                <w:webHidden/>
              </w:rPr>
              <w:t>3</w:t>
            </w:r>
            <w:r w:rsidR="006F7683">
              <w:rPr>
                <w:webHidden/>
              </w:rPr>
              <w:fldChar w:fldCharType="end"/>
            </w:r>
          </w:hyperlink>
        </w:p>
        <w:p w14:paraId="37B72F44" w14:textId="2FB9C8F3" w:rsidR="006F7683" w:rsidRDefault="006F7683">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00231282" w:history="1">
            <w:r w:rsidRPr="009B1BD2">
              <w:rPr>
                <w:rStyle w:val="Hyperlink"/>
              </w:rPr>
              <w:t>2.</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9B1BD2">
              <w:rPr>
                <w:rStyle w:val="Hyperlink"/>
              </w:rPr>
              <w:t>VIOLENCIA DE GENÉRO (ARTÍCULOS 3, 6 Y 7)</w:t>
            </w:r>
            <w:r>
              <w:rPr>
                <w:webHidden/>
              </w:rPr>
              <w:tab/>
            </w:r>
            <w:r>
              <w:rPr>
                <w:webHidden/>
              </w:rPr>
              <w:fldChar w:fldCharType="begin"/>
            </w:r>
            <w:r>
              <w:rPr>
                <w:webHidden/>
              </w:rPr>
              <w:instrText xml:space="preserve"> PAGEREF _Toc200231282 \h </w:instrText>
            </w:r>
            <w:r>
              <w:rPr>
                <w:webHidden/>
              </w:rPr>
            </w:r>
            <w:r>
              <w:rPr>
                <w:webHidden/>
              </w:rPr>
              <w:fldChar w:fldCharType="separate"/>
            </w:r>
            <w:r w:rsidR="002A03FA">
              <w:rPr>
                <w:webHidden/>
              </w:rPr>
              <w:t>3</w:t>
            </w:r>
            <w:r>
              <w:rPr>
                <w:webHidden/>
              </w:rPr>
              <w:fldChar w:fldCharType="end"/>
            </w:r>
          </w:hyperlink>
        </w:p>
        <w:p w14:paraId="099D09FD" w14:textId="24337C7B" w:rsidR="006F7683" w:rsidRDefault="006F7683">
          <w:pPr>
            <w:pStyle w:val="TOC2"/>
            <w:rPr>
              <w:rFonts w:asciiTheme="minorHAnsi" w:eastAsiaTheme="minorEastAsia" w:hAnsiTheme="minorHAnsi" w:cstheme="minorBidi"/>
              <w:bCs w:val="0"/>
              <w:kern w:val="2"/>
              <w:sz w:val="24"/>
              <w:u w:val="none"/>
              <w:lang w:val="en-GB"/>
              <w14:ligatures w14:val="standardContextual"/>
            </w:rPr>
          </w:pPr>
          <w:hyperlink w:anchor="_Toc200231283" w:history="1">
            <w:r w:rsidRPr="009B1BD2">
              <w:rPr>
                <w:rStyle w:val="Hyperlink"/>
              </w:rPr>
              <w:t>2.1</w:t>
            </w:r>
            <w:r>
              <w:rPr>
                <w:rFonts w:asciiTheme="minorHAnsi" w:eastAsiaTheme="minorEastAsia" w:hAnsiTheme="minorHAnsi" w:cstheme="minorBidi"/>
                <w:bCs w:val="0"/>
                <w:kern w:val="2"/>
                <w:sz w:val="24"/>
                <w:u w:val="none"/>
                <w:lang w:val="en-GB"/>
                <w14:ligatures w14:val="standardContextual"/>
              </w:rPr>
              <w:tab/>
            </w:r>
            <w:r w:rsidRPr="009B1BD2">
              <w:rPr>
                <w:rStyle w:val="Hyperlink"/>
              </w:rPr>
              <w:t>Barreras al acceso a justicia y protección para sobrevivientes de la violencia contra las mujeres- Existencia de estereotipos de género</w:t>
            </w:r>
            <w:r>
              <w:rPr>
                <w:webHidden/>
              </w:rPr>
              <w:tab/>
            </w:r>
            <w:r>
              <w:rPr>
                <w:webHidden/>
              </w:rPr>
              <w:fldChar w:fldCharType="begin"/>
            </w:r>
            <w:r>
              <w:rPr>
                <w:webHidden/>
              </w:rPr>
              <w:instrText xml:space="preserve"> PAGEREF _Toc200231283 \h </w:instrText>
            </w:r>
            <w:r>
              <w:rPr>
                <w:webHidden/>
              </w:rPr>
            </w:r>
            <w:r>
              <w:rPr>
                <w:webHidden/>
              </w:rPr>
              <w:fldChar w:fldCharType="separate"/>
            </w:r>
            <w:r w:rsidR="002A03FA">
              <w:rPr>
                <w:webHidden/>
              </w:rPr>
              <w:t>4</w:t>
            </w:r>
            <w:r>
              <w:rPr>
                <w:webHidden/>
              </w:rPr>
              <w:fldChar w:fldCharType="end"/>
            </w:r>
          </w:hyperlink>
        </w:p>
        <w:p w14:paraId="6894F0EB" w14:textId="088EBF40" w:rsidR="006F7683" w:rsidRDefault="006F7683">
          <w:pPr>
            <w:pStyle w:val="TOC2"/>
            <w:rPr>
              <w:rFonts w:asciiTheme="minorHAnsi" w:eastAsiaTheme="minorEastAsia" w:hAnsiTheme="minorHAnsi" w:cstheme="minorBidi"/>
              <w:bCs w:val="0"/>
              <w:kern w:val="2"/>
              <w:sz w:val="24"/>
              <w:u w:val="none"/>
              <w:lang w:val="en-GB"/>
              <w14:ligatures w14:val="standardContextual"/>
            </w:rPr>
          </w:pPr>
          <w:hyperlink w:anchor="_Toc200231284" w:history="1">
            <w:r w:rsidRPr="009B1BD2">
              <w:rPr>
                <w:rStyle w:val="Hyperlink"/>
              </w:rPr>
              <w:t>Recomendaciones</w:t>
            </w:r>
            <w:r>
              <w:rPr>
                <w:webHidden/>
              </w:rPr>
              <w:tab/>
            </w:r>
            <w:r>
              <w:rPr>
                <w:webHidden/>
              </w:rPr>
              <w:fldChar w:fldCharType="begin"/>
            </w:r>
            <w:r>
              <w:rPr>
                <w:webHidden/>
              </w:rPr>
              <w:instrText xml:space="preserve"> PAGEREF _Toc200231284 \h </w:instrText>
            </w:r>
            <w:r>
              <w:rPr>
                <w:webHidden/>
              </w:rPr>
            </w:r>
            <w:r>
              <w:rPr>
                <w:webHidden/>
              </w:rPr>
              <w:fldChar w:fldCharType="separate"/>
            </w:r>
            <w:r w:rsidR="002A03FA">
              <w:rPr>
                <w:webHidden/>
              </w:rPr>
              <w:t>5</w:t>
            </w:r>
            <w:r>
              <w:rPr>
                <w:webHidden/>
              </w:rPr>
              <w:fldChar w:fldCharType="end"/>
            </w:r>
          </w:hyperlink>
        </w:p>
        <w:p w14:paraId="34EB688C" w14:textId="5CE46F49" w:rsidR="006F7683" w:rsidRDefault="006F7683">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00231285" w:history="1">
            <w:r w:rsidRPr="009B1BD2">
              <w:rPr>
                <w:rStyle w:val="Hyperlink"/>
              </w:rPr>
              <w:t>3.</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9B1BD2">
              <w:rPr>
                <w:rStyle w:val="Hyperlink"/>
              </w:rPr>
              <w:t>DEVOLUCIONES EN CALIENTE, USO EXCESIVO DE LA FUERZA Y OBSTÁCULOS DE ACCESO A PROCEDIMIENTOS DE ASILO (ARTÍCULOS 2, 7 Y 26)</w:t>
            </w:r>
            <w:r>
              <w:rPr>
                <w:webHidden/>
              </w:rPr>
              <w:tab/>
            </w:r>
            <w:r>
              <w:rPr>
                <w:webHidden/>
              </w:rPr>
              <w:fldChar w:fldCharType="begin"/>
            </w:r>
            <w:r>
              <w:rPr>
                <w:webHidden/>
              </w:rPr>
              <w:instrText xml:space="preserve"> PAGEREF _Toc200231285 \h </w:instrText>
            </w:r>
            <w:r>
              <w:rPr>
                <w:webHidden/>
              </w:rPr>
            </w:r>
            <w:r>
              <w:rPr>
                <w:webHidden/>
              </w:rPr>
              <w:fldChar w:fldCharType="separate"/>
            </w:r>
            <w:r w:rsidR="002A03FA">
              <w:rPr>
                <w:webHidden/>
              </w:rPr>
              <w:t>6</w:t>
            </w:r>
            <w:r>
              <w:rPr>
                <w:webHidden/>
              </w:rPr>
              <w:fldChar w:fldCharType="end"/>
            </w:r>
          </w:hyperlink>
        </w:p>
        <w:p w14:paraId="4616A265" w14:textId="620EB853" w:rsidR="006F7683" w:rsidRDefault="006F7683">
          <w:pPr>
            <w:pStyle w:val="TOC2"/>
            <w:rPr>
              <w:rFonts w:asciiTheme="minorHAnsi" w:eastAsiaTheme="minorEastAsia" w:hAnsiTheme="minorHAnsi" w:cstheme="minorBidi"/>
              <w:bCs w:val="0"/>
              <w:kern w:val="2"/>
              <w:sz w:val="24"/>
              <w:u w:val="none"/>
              <w:lang w:val="en-GB"/>
              <w14:ligatures w14:val="standardContextual"/>
            </w:rPr>
          </w:pPr>
          <w:hyperlink w:anchor="_Toc200231286" w:history="1">
            <w:r w:rsidRPr="009B1BD2">
              <w:rPr>
                <w:rStyle w:val="Hyperlink"/>
              </w:rPr>
              <w:t>Recomendaciones</w:t>
            </w:r>
            <w:r>
              <w:rPr>
                <w:webHidden/>
              </w:rPr>
              <w:tab/>
            </w:r>
            <w:r>
              <w:rPr>
                <w:webHidden/>
              </w:rPr>
              <w:fldChar w:fldCharType="begin"/>
            </w:r>
            <w:r>
              <w:rPr>
                <w:webHidden/>
              </w:rPr>
              <w:instrText xml:space="preserve"> PAGEREF _Toc200231286 \h </w:instrText>
            </w:r>
            <w:r>
              <w:rPr>
                <w:webHidden/>
              </w:rPr>
            </w:r>
            <w:r>
              <w:rPr>
                <w:webHidden/>
              </w:rPr>
              <w:fldChar w:fldCharType="separate"/>
            </w:r>
            <w:r w:rsidR="002A03FA">
              <w:rPr>
                <w:webHidden/>
              </w:rPr>
              <w:t>6</w:t>
            </w:r>
            <w:r>
              <w:rPr>
                <w:webHidden/>
              </w:rPr>
              <w:fldChar w:fldCharType="end"/>
            </w:r>
          </w:hyperlink>
        </w:p>
        <w:p w14:paraId="6D60C6DE" w14:textId="58D830D9" w:rsidR="006F7683" w:rsidRDefault="006F7683">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00231287" w:history="1">
            <w:r w:rsidRPr="009B1BD2">
              <w:rPr>
                <w:rStyle w:val="Hyperlink"/>
              </w:rPr>
              <w:t>4.</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9B1BD2">
              <w:rPr>
                <w:rStyle w:val="Hyperlink"/>
              </w:rPr>
              <w:t>DERECHOS DE LOS NIÑOS Y NIÑAS MIGRANTES Y REFUGIADOS NO ACOMPAÑADOS (ARTÍCULO 24)</w:t>
            </w:r>
            <w:r>
              <w:rPr>
                <w:webHidden/>
              </w:rPr>
              <w:tab/>
            </w:r>
            <w:r>
              <w:rPr>
                <w:webHidden/>
              </w:rPr>
              <w:fldChar w:fldCharType="begin"/>
            </w:r>
            <w:r>
              <w:rPr>
                <w:webHidden/>
              </w:rPr>
              <w:instrText xml:space="preserve"> PAGEREF _Toc200231287 \h </w:instrText>
            </w:r>
            <w:r>
              <w:rPr>
                <w:webHidden/>
              </w:rPr>
            </w:r>
            <w:r>
              <w:rPr>
                <w:webHidden/>
              </w:rPr>
              <w:fldChar w:fldCharType="separate"/>
            </w:r>
            <w:r w:rsidR="002A03FA">
              <w:rPr>
                <w:webHidden/>
              </w:rPr>
              <w:t>7</w:t>
            </w:r>
            <w:r>
              <w:rPr>
                <w:webHidden/>
              </w:rPr>
              <w:fldChar w:fldCharType="end"/>
            </w:r>
          </w:hyperlink>
        </w:p>
        <w:p w14:paraId="34BA2C1C" w14:textId="655E7BA9" w:rsidR="006F7683" w:rsidRDefault="006F7683">
          <w:pPr>
            <w:pStyle w:val="TOC2"/>
            <w:rPr>
              <w:rFonts w:asciiTheme="minorHAnsi" w:eastAsiaTheme="minorEastAsia" w:hAnsiTheme="minorHAnsi" w:cstheme="minorBidi"/>
              <w:bCs w:val="0"/>
              <w:kern w:val="2"/>
              <w:sz w:val="24"/>
              <w:u w:val="none"/>
              <w:lang w:val="en-GB"/>
              <w14:ligatures w14:val="standardContextual"/>
            </w:rPr>
          </w:pPr>
          <w:hyperlink w:anchor="_Toc200231288" w:history="1">
            <w:r w:rsidRPr="009B1BD2">
              <w:rPr>
                <w:rStyle w:val="Hyperlink"/>
              </w:rPr>
              <w:t>Recomendaciones</w:t>
            </w:r>
            <w:r>
              <w:rPr>
                <w:webHidden/>
              </w:rPr>
              <w:tab/>
            </w:r>
            <w:r>
              <w:rPr>
                <w:webHidden/>
              </w:rPr>
              <w:fldChar w:fldCharType="begin"/>
            </w:r>
            <w:r>
              <w:rPr>
                <w:webHidden/>
              </w:rPr>
              <w:instrText xml:space="preserve"> PAGEREF _Toc200231288 \h </w:instrText>
            </w:r>
            <w:r>
              <w:rPr>
                <w:webHidden/>
              </w:rPr>
            </w:r>
            <w:r>
              <w:rPr>
                <w:webHidden/>
              </w:rPr>
              <w:fldChar w:fldCharType="separate"/>
            </w:r>
            <w:r w:rsidR="002A03FA">
              <w:rPr>
                <w:webHidden/>
              </w:rPr>
              <w:t>9</w:t>
            </w:r>
            <w:r>
              <w:rPr>
                <w:webHidden/>
              </w:rPr>
              <w:fldChar w:fldCharType="end"/>
            </w:r>
          </w:hyperlink>
        </w:p>
        <w:p w14:paraId="653AF294" w14:textId="433D51D3" w:rsidR="006F7683" w:rsidRDefault="006F7683">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00231289" w:history="1">
            <w:r w:rsidRPr="009B1BD2">
              <w:rPr>
                <w:rStyle w:val="Hyperlink"/>
              </w:rPr>
              <w:t>5.</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9B1BD2">
              <w:rPr>
                <w:rStyle w:val="Hyperlink"/>
              </w:rPr>
              <w:t>PERFILAMIENTO RACIAL (ARTÍCULO 2)</w:t>
            </w:r>
            <w:r>
              <w:rPr>
                <w:webHidden/>
              </w:rPr>
              <w:tab/>
            </w:r>
            <w:r>
              <w:rPr>
                <w:webHidden/>
              </w:rPr>
              <w:fldChar w:fldCharType="begin"/>
            </w:r>
            <w:r>
              <w:rPr>
                <w:webHidden/>
              </w:rPr>
              <w:instrText xml:space="preserve"> PAGEREF _Toc200231289 \h </w:instrText>
            </w:r>
            <w:r>
              <w:rPr>
                <w:webHidden/>
              </w:rPr>
            </w:r>
            <w:r>
              <w:rPr>
                <w:webHidden/>
              </w:rPr>
              <w:fldChar w:fldCharType="separate"/>
            </w:r>
            <w:r w:rsidR="002A03FA">
              <w:rPr>
                <w:webHidden/>
              </w:rPr>
              <w:t>9</w:t>
            </w:r>
            <w:r>
              <w:rPr>
                <w:webHidden/>
              </w:rPr>
              <w:fldChar w:fldCharType="end"/>
            </w:r>
          </w:hyperlink>
        </w:p>
        <w:p w14:paraId="217911C0" w14:textId="15534A11" w:rsidR="006F7683" w:rsidRDefault="006F7683">
          <w:pPr>
            <w:pStyle w:val="TOC2"/>
            <w:rPr>
              <w:rFonts w:asciiTheme="minorHAnsi" w:eastAsiaTheme="minorEastAsia" w:hAnsiTheme="minorHAnsi" w:cstheme="minorBidi"/>
              <w:bCs w:val="0"/>
              <w:kern w:val="2"/>
              <w:sz w:val="24"/>
              <w:u w:val="none"/>
              <w:lang w:val="en-GB"/>
              <w14:ligatures w14:val="standardContextual"/>
            </w:rPr>
          </w:pPr>
          <w:hyperlink w:anchor="_Toc200231290" w:history="1">
            <w:r w:rsidRPr="009B1BD2">
              <w:rPr>
                <w:rStyle w:val="Hyperlink"/>
              </w:rPr>
              <w:t>Recomendaciones</w:t>
            </w:r>
            <w:r>
              <w:rPr>
                <w:webHidden/>
              </w:rPr>
              <w:tab/>
            </w:r>
            <w:r>
              <w:rPr>
                <w:webHidden/>
              </w:rPr>
              <w:fldChar w:fldCharType="begin"/>
            </w:r>
            <w:r>
              <w:rPr>
                <w:webHidden/>
              </w:rPr>
              <w:instrText xml:space="preserve"> PAGEREF _Toc200231290 \h </w:instrText>
            </w:r>
            <w:r>
              <w:rPr>
                <w:webHidden/>
              </w:rPr>
            </w:r>
            <w:r>
              <w:rPr>
                <w:webHidden/>
              </w:rPr>
              <w:fldChar w:fldCharType="separate"/>
            </w:r>
            <w:r w:rsidR="002A03FA">
              <w:rPr>
                <w:webHidden/>
              </w:rPr>
              <w:t>11</w:t>
            </w:r>
            <w:r>
              <w:rPr>
                <w:webHidden/>
              </w:rPr>
              <w:fldChar w:fldCharType="end"/>
            </w:r>
          </w:hyperlink>
        </w:p>
        <w:p w14:paraId="3CAAC180" w14:textId="257E106D" w:rsidR="006F7683" w:rsidRDefault="006F7683">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00231291" w:history="1">
            <w:r w:rsidRPr="009B1BD2">
              <w:rPr>
                <w:rStyle w:val="Hyperlink"/>
              </w:rPr>
              <w:t>6.</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9B1BD2">
              <w:rPr>
                <w:rStyle w:val="Hyperlink"/>
              </w:rPr>
              <w:t>PERSISTENTE DENEGACIÓN DE JUSTICIA PARA LAS VÍCTIMAS DE TORTURA Y DESAPARICIÓN FORZADA DURANTE LA GUERRA CIVIL Y EL FRANQUISMO (ARTÍCULOS)</w:t>
            </w:r>
            <w:r>
              <w:rPr>
                <w:webHidden/>
              </w:rPr>
              <w:tab/>
            </w:r>
            <w:r>
              <w:rPr>
                <w:webHidden/>
              </w:rPr>
              <w:fldChar w:fldCharType="begin"/>
            </w:r>
            <w:r>
              <w:rPr>
                <w:webHidden/>
              </w:rPr>
              <w:instrText xml:space="preserve"> PAGEREF _Toc200231291 \h </w:instrText>
            </w:r>
            <w:r>
              <w:rPr>
                <w:webHidden/>
              </w:rPr>
            </w:r>
            <w:r>
              <w:rPr>
                <w:webHidden/>
              </w:rPr>
              <w:fldChar w:fldCharType="separate"/>
            </w:r>
            <w:r w:rsidR="002A03FA">
              <w:rPr>
                <w:webHidden/>
              </w:rPr>
              <w:t>12</w:t>
            </w:r>
            <w:r>
              <w:rPr>
                <w:webHidden/>
              </w:rPr>
              <w:fldChar w:fldCharType="end"/>
            </w:r>
          </w:hyperlink>
        </w:p>
        <w:p w14:paraId="7DCE21AA" w14:textId="3AF24391" w:rsidR="006F7683" w:rsidRDefault="006F7683">
          <w:pPr>
            <w:pStyle w:val="TOC2"/>
            <w:rPr>
              <w:rFonts w:asciiTheme="minorHAnsi" w:eastAsiaTheme="minorEastAsia" w:hAnsiTheme="minorHAnsi" w:cstheme="minorBidi"/>
              <w:bCs w:val="0"/>
              <w:kern w:val="2"/>
              <w:sz w:val="24"/>
              <w:u w:val="none"/>
              <w:lang w:val="en-GB"/>
              <w14:ligatures w14:val="standardContextual"/>
            </w:rPr>
          </w:pPr>
          <w:hyperlink w:anchor="_Toc200231292" w:history="1">
            <w:r w:rsidRPr="009B1BD2">
              <w:rPr>
                <w:rStyle w:val="Hyperlink"/>
              </w:rPr>
              <w:t>6.1</w:t>
            </w:r>
            <w:r>
              <w:rPr>
                <w:rFonts w:asciiTheme="minorHAnsi" w:eastAsiaTheme="minorEastAsia" w:hAnsiTheme="minorHAnsi" w:cstheme="minorBidi"/>
                <w:bCs w:val="0"/>
                <w:kern w:val="2"/>
                <w:sz w:val="24"/>
                <w:u w:val="none"/>
                <w:lang w:val="en-GB"/>
                <w14:ligatures w14:val="standardContextual"/>
              </w:rPr>
              <w:tab/>
            </w:r>
            <w:r w:rsidRPr="009B1BD2">
              <w:rPr>
                <w:rStyle w:val="Hyperlink"/>
              </w:rPr>
              <w:t>Nuevas resoluciones del Tribunal Supremo y el Tribunal Constitucional deniegan una vez más la investigación de estos crímenes</w:t>
            </w:r>
            <w:r>
              <w:rPr>
                <w:webHidden/>
              </w:rPr>
              <w:tab/>
            </w:r>
            <w:r>
              <w:rPr>
                <w:webHidden/>
              </w:rPr>
              <w:fldChar w:fldCharType="begin"/>
            </w:r>
            <w:r>
              <w:rPr>
                <w:webHidden/>
              </w:rPr>
              <w:instrText xml:space="preserve"> PAGEREF _Toc200231292 \h </w:instrText>
            </w:r>
            <w:r>
              <w:rPr>
                <w:webHidden/>
              </w:rPr>
            </w:r>
            <w:r>
              <w:rPr>
                <w:webHidden/>
              </w:rPr>
              <w:fldChar w:fldCharType="separate"/>
            </w:r>
            <w:r w:rsidR="002A03FA">
              <w:rPr>
                <w:webHidden/>
              </w:rPr>
              <w:t>12</w:t>
            </w:r>
            <w:r>
              <w:rPr>
                <w:webHidden/>
              </w:rPr>
              <w:fldChar w:fldCharType="end"/>
            </w:r>
          </w:hyperlink>
        </w:p>
        <w:p w14:paraId="67EE729D" w14:textId="3A306ECC" w:rsidR="006F7683" w:rsidRDefault="006F7683">
          <w:pPr>
            <w:pStyle w:val="TOC2"/>
            <w:rPr>
              <w:rFonts w:asciiTheme="minorHAnsi" w:eastAsiaTheme="minorEastAsia" w:hAnsiTheme="minorHAnsi" w:cstheme="minorBidi"/>
              <w:bCs w:val="0"/>
              <w:kern w:val="2"/>
              <w:sz w:val="24"/>
              <w:u w:val="none"/>
              <w:lang w:val="en-GB"/>
              <w14:ligatures w14:val="standardContextual"/>
            </w:rPr>
          </w:pPr>
          <w:hyperlink w:anchor="_Toc200231293" w:history="1">
            <w:r w:rsidRPr="009B1BD2">
              <w:rPr>
                <w:rStyle w:val="Hyperlink"/>
              </w:rPr>
              <w:t>6.2</w:t>
            </w:r>
            <w:r>
              <w:rPr>
                <w:rFonts w:asciiTheme="minorHAnsi" w:eastAsiaTheme="minorEastAsia" w:hAnsiTheme="minorHAnsi" w:cstheme="minorBidi"/>
                <w:bCs w:val="0"/>
                <w:kern w:val="2"/>
                <w:sz w:val="24"/>
                <w:u w:val="none"/>
                <w:lang w:val="en-GB"/>
                <w14:ligatures w14:val="standardContextual"/>
              </w:rPr>
              <w:tab/>
            </w:r>
            <w:r w:rsidRPr="009B1BD2">
              <w:rPr>
                <w:rStyle w:val="Hyperlink"/>
              </w:rPr>
              <w:t>Las querellas por torturas cometidas durante el franquismo presentadas tras la entrada en vigor de la Ley de Memoria Democrática</w:t>
            </w:r>
            <w:r>
              <w:rPr>
                <w:webHidden/>
              </w:rPr>
              <w:tab/>
            </w:r>
            <w:r>
              <w:rPr>
                <w:webHidden/>
              </w:rPr>
              <w:fldChar w:fldCharType="begin"/>
            </w:r>
            <w:r>
              <w:rPr>
                <w:webHidden/>
              </w:rPr>
              <w:instrText xml:space="preserve"> PAGEREF _Toc200231293 \h </w:instrText>
            </w:r>
            <w:r>
              <w:rPr>
                <w:webHidden/>
              </w:rPr>
            </w:r>
            <w:r>
              <w:rPr>
                <w:webHidden/>
              </w:rPr>
              <w:fldChar w:fldCharType="separate"/>
            </w:r>
            <w:r w:rsidR="002A03FA">
              <w:rPr>
                <w:webHidden/>
              </w:rPr>
              <w:t>13</w:t>
            </w:r>
            <w:r>
              <w:rPr>
                <w:webHidden/>
              </w:rPr>
              <w:fldChar w:fldCharType="end"/>
            </w:r>
          </w:hyperlink>
        </w:p>
        <w:p w14:paraId="41AFD49D" w14:textId="6E188454" w:rsidR="006F7683" w:rsidRDefault="006F7683">
          <w:pPr>
            <w:pStyle w:val="TOC2"/>
            <w:rPr>
              <w:rFonts w:asciiTheme="minorHAnsi" w:eastAsiaTheme="minorEastAsia" w:hAnsiTheme="minorHAnsi" w:cstheme="minorBidi"/>
              <w:bCs w:val="0"/>
              <w:kern w:val="2"/>
              <w:sz w:val="24"/>
              <w:u w:val="none"/>
              <w:lang w:val="en-GB"/>
              <w14:ligatures w14:val="standardContextual"/>
            </w:rPr>
          </w:pPr>
          <w:hyperlink w:anchor="_Toc200231294" w:history="1">
            <w:r w:rsidRPr="009B1BD2">
              <w:rPr>
                <w:rStyle w:val="Hyperlink"/>
              </w:rPr>
              <w:t>Recomendaciones</w:t>
            </w:r>
            <w:r>
              <w:rPr>
                <w:webHidden/>
              </w:rPr>
              <w:tab/>
            </w:r>
            <w:r>
              <w:rPr>
                <w:webHidden/>
              </w:rPr>
              <w:fldChar w:fldCharType="begin"/>
            </w:r>
            <w:r>
              <w:rPr>
                <w:webHidden/>
              </w:rPr>
              <w:instrText xml:space="preserve"> PAGEREF _Toc200231294 \h </w:instrText>
            </w:r>
            <w:r>
              <w:rPr>
                <w:webHidden/>
              </w:rPr>
            </w:r>
            <w:r>
              <w:rPr>
                <w:webHidden/>
              </w:rPr>
              <w:fldChar w:fldCharType="separate"/>
            </w:r>
            <w:r w:rsidR="002A03FA">
              <w:rPr>
                <w:webHidden/>
              </w:rPr>
              <w:t>14</w:t>
            </w:r>
            <w:r>
              <w:rPr>
                <w:webHidden/>
              </w:rPr>
              <w:fldChar w:fldCharType="end"/>
            </w:r>
          </w:hyperlink>
        </w:p>
        <w:p w14:paraId="117C743D" w14:textId="433B2B52" w:rsidR="006F7683" w:rsidRDefault="006F7683">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00231295" w:history="1">
            <w:r w:rsidRPr="009B1BD2">
              <w:rPr>
                <w:rStyle w:val="Hyperlink"/>
              </w:rPr>
              <w:t>7.</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9B1BD2">
              <w:rPr>
                <w:rStyle w:val="Hyperlink"/>
              </w:rPr>
              <w:t>USO EXCESIVO DE LA FUERZA</w:t>
            </w:r>
            <w:r>
              <w:rPr>
                <w:webHidden/>
              </w:rPr>
              <w:tab/>
            </w:r>
            <w:r>
              <w:rPr>
                <w:webHidden/>
              </w:rPr>
              <w:fldChar w:fldCharType="begin"/>
            </w:r>
            <w:r>
              <w:rPr>
                <w:webHidden/>
              </w:rPr>
              <w:instrText xml:space="preserve"> PAGEREF _Toc200231295 \h </w:instrText>
            </w:r>
            <w:r>
              <w:rPr>
                <w:webHidden/>
              </w:rPr>
            </w:r>
            <w:r>
              <w:rPr>
                <w:webHidden/>
              </w:rPr>
              <w:fldChar w:fldCharType="separate"/>
            </w:r>
            <w:r w:rsidR="002A03FA">
              <w:rPr>
                <w:webHidden/>
              </w:rPr>
              <w:t>15</w:t>
            </w:r>
            <w:r>
              <w:rPr>
                <w:webHidden/>
              </w:rPr>
              <w:fldChar w:fldCharType="end"/>
            </w:r>
          </w:hyperlink>
        </w:p>
        <w:p w14:paraId="6E83FC88" w14:textId="39D22180" w:rsidR="006F7683" w:rsidRDefault="006F7683">
          <w:pPr>
            <w:pStyle w:val="TOC2"/>
            <w:rPr>
              <w:rFonts w:asciiTheme="minorHAnsi" w:eastAsiaTheme="minorEastAsia" w:hAnsiTheme="minorHAnsi" w:cstheme="minorBidi"/>
              <w:bCs w:val="0"/>
              <w:kern w:val="2"/>
              <w:sz w:val="24"/>
              <w:u w:val="none"/>
              <w:lang w:val="en-GB"/>
              <w14:ligatures w14:val="standardContextual"/>
            </w:rPr>
          </w:pPr>
          <w:hyperlink w:anchor="_Toc200231296" w:history="1">
            <w:r w:rsidRPr="009B1BD2">
              <w:rPr>
                <w:rStyle w:val="Hyperlink"/>
              </w:rPr>
              <w:t>7.1</w:t>
            </w:r>
            <w:r>
              <w:rPr>
                <w:rFonts w:asciiTheme="minorHAnsi" w:eastAsiaTheme="minorEastAsia" w:hAnsiTheme="minorHAnsi" w:cstheme="minorBidi"/>
                <w:bCs w:val="0"/>
                <w:kern w:val="2"/>
                <w:sz w:val="24"/>
                <w:u w:val="none"/>
                <w:lang w:val="en-GB"/>
                <w14:ligatures w14:val="standardContextual"/>
              </w:rPr>
              <w:tab/>
            </w:r>
            <w:r w:rsidRPr="009B1BD2">
              <w:rPr>
                <w:rStyle w:val="Hyperlink"/>
              </w:rPr>
              <w:t>El empleo de proyectiles de impacto cinetico</w:t>
            </w:r>
            <w:r>
              <w:rPr>
                <w:webHidden/>
              </w:rPr>
              <w:tab/>
            </w:r>
            <w:r>
              <w:rPr>
                <w:webHidden/>
              </w:rPr>
              <w:fldChar w:fldCharType="begin"/>
            </w:r>
            <w:r>
              <w:rPr>
                <w:webHidden/>
              </w:rPr>
              <w:instrText xml:space="preserve"> PAGEREF _Toc200231296 \h </w:instrText>
            </w:r>
            <w:r>
              <w:rPr>
                <w:webHidden/>
              </w:rPr>
            </w:r>
            <w:r>
              <w:rPr>
                <w:webHidden/>
              </w:rPr>
              <w:fldChar w:fldCharType="separate"/>
            </w:r>
            <w:r w:rsidR="002A03FA">
              <w:rPr>
                <w:webHidden/>
              </w:rPr>
              <w:t>15</w:t>
            </w:r>
            <w:r>
              <w:rPr>
                <w:webHidden/>
              </w:rPr>
              <w:fldChar w:fldCharType="end"/>
            </w:r>
          </w:hyperlink>
        </w:p>
        <w:p w14:paraId="587BEC55" w14:textId="5C9F1F49" w:rsidR="006F7683" w:rsidRDefault="006F7683">
          <w:pPr>
            <w:pStyle w:val="TOC2"/>
            <w:rPr>
              <w:rFonts w:asciiTheme="minorHAnsi" w:eastAsiaTheme="minorEastAsia" w:hAnsiTheme="minorHAnsi" w:cstheme="minorBidi"/>
              <w:bCs w:val="0"/>
              <w:kern w:val="2"/>
              <w:sz w:val="24"/>
              <w:u w:val="none"/>
              <w:lang w:val="en-GB"/>
              <w14:ligatures w14:val="standardContextual"/>
            </w:rPr>
          </w:pPr>
          <w:hyperlink w:anchor="_Toc200231297" w:history="1">
            <w:r w:rsidRPr="009B1BD2">
              <w:rPr>
                <w:rStyle w:val="Hyperlink"/>
              </w:rPr>
              <w:t>Balas de goma</w:t>
            </w:r>
            <w:r>
              <w:rPr>
                <w:webHidden/>
              </w:rPr>
              <w:tab/>
            </w:r>
            <w:r>
              <w:rPr>
                <w:webHidden/>
              </w:rPr>
              <w:fldChar w:fldCharType="begin"/>
            </w:r>
            <w:r>
              <w:rPr>
                <w:webHidden/>
              </w:rPr>
              <w:instrText xml:space="preserve"> PAGEREF _Toc200231297 \h </w:instrText>
            </w:r>
            <w:r>
              <w:rPr>
                <w:webHidden/>
              </w:rPr>
            </w:r>
            <w:r>
              <w:rPr>
                <w:webHidden/>
              </w:rPr>
              <w:fldChar w:fldCharType="separate"/>
            </w:r>
            <w:r w:rsidR="002A03FA">
              <w:rPr>
                <w:webHidden/>
              </w:rPr>
              <w:t>15</w:t>
            </w:r>
            <w:r>
              <w:rPr>
                <w:webHidden/>
              </w:rPr>
              <w:fldChar w:fldCharType="end"/>
            </w:r>
          </w:hyperlink>
        </w:p>
        <w:p w14:paraId="25266DB2" w14:textId="5308407E" w:rsidR="006F7683" w:rsidRDefault="006F7683">
          <w:pPr>
            <w:pStyle w:val="TOC2"/>
            <w:rPr>
              <w:rFonts w:asciiTheme="minorHAnsi" w:eastAsiaTheme="minorEastAsia" w:hAnsiTheme="minorHAnsi" w:cstheme="minorBidi"/>
              <w:bCs w:val="0"/>
              <w:kern w:val="2"/>
              <w:sz w:val="24"/>
              <w:u w:val="none"/>
              <w:lang w:val="en-GB"/>
              <w14:ligatures w14:val="standardContextual"/>
            </w:rPr>
          </w:pPr>
          <w:hyperlink w:anchor="_Toc200231298" w:history="1">
            <w:r w:rsidRPr="009B1BD2">
              <w:rPr>
                <w:rStyle w:val="Hyperlink"/>
              </w:rPr>
              <w:t>Uso proyectiles ‘foam’ ha provocado numerosas lesiones graves.</w:t>
            </w:r>
            <w:r>
              <w:rPr>
                <w:webHidden/>
              </w:rPr>
              <w:tab/>
            </w:r>
            <w:r>
              <w:rPr>
                <w:webHidden/>
              </w:rPr>
              <w:fldChar w:fldCharType="begin"/>
            </w:r>
            <w:r>
              <w:rPr>
                <w:webHidden/>
              </w:rPr>
              <w:instrText xml:space="preserve"> PAGEREF _Toc200231298 \h </w:instrText>
            </w:r>
            <w:r>
              <w:rPr>
                <w:webHidden/>
              </w:rPr>
            </w:r>
            <w:r>
              <w:rPr>
                <w:webHidden/>
              </w:rPr>
              <w:fldChar w:fldCharType="separate"/>
            </w:r>
            <w:r w:rsidR="002A03FA">
              <w:rPr>
                <w:webHidden/>
              </w:rPr>
              <w:t>16</w:t>
            </w:r>
            <w:r>
              <w:rPr>
                <w:webHidden/>
              </w:rPr>
              <w:fldChar w:fldCharType="end"/>
            </w:r>
          </w:hyperlink>
        </w:p>
        <w:p w14:paraId="4E4AFFF5" w14:textId="34E25F4D" w:rsidR="006F7683" w:rsidRDefault="006F7683">
          <w:pPr>
            <w:pStyle w:val="TOC2"/>
            <w:rPr>
              <w:rFonts w:asciiTheme="minorHAnsi" w:eastAsiaTheme="minorEastAsia" w:hAnsiTheme="minorHAnsi" w:cstheme="minorBidi"/>
              <w:bCs w:val="0"/>
              <w:kern w:val="2"/>
              <w:sz w:val="24"/>
              <w:u w:val="none"/>
              <w:lang w:val="en-GB"/>
              <w14:ligatures w14:val="standardContextual"/>
            </w:rPr>
          </w:pPr>
          <w:hyperlink w:anchor="_Toc200231299" w:history="1">
            <w:r w:rsidRPr="009B1BD2">
              <w:rPr>
                <w:rStyle w:val="Hyperlink"/>
              </w:rPr>
              <w:t>Recomendaciones</w:t>
            </w:r>
            <w:r>
              <w:rPr>
                <w:webHidden/>
              </w:rPr>
              <w:tab/>
            </w:r>
            <w:r>
              <w:rPr>
                <w:webHidden/>
              </w:rPr>
              <w:fldChar w:fldCharType="begin"/>
            </w:r>
            <w:r>
              <w:rPr>
                <w:webHidden/>
              </w:rPr>
              <w:instrText xml:space="preserve"> PAGEREF _Toc200231299 \h </w:instrText>
            </w:r>
            <w:r>
              <w:rPr>
                <w:webHidden/>
              </w:rPr>
            </w:r>
            <w:r>
              <w:rPr>
                <w:webHidden/>
              </w:rPr>
              <w:fldChar w:fldCharType="separate"/>
            </w:r>
            <w:r w:rsidR="002A03FA">
              <w:rPr>
                <w:webHidden/>
              </w:rPr>
              <w:t>17</w:t>
            </w:r>
            <w:r>
              <w:rPr>
                <w:webHidden/>
              </w:rPr>
              <w:fldChar w:fldCharType="end"/>
            </w:r>
          </w:hyperlink>
        </w:p>
        <w:p w14:paraId="2E4A3FFC" w14:textId="18A50AB8" w:rsidR="006F7683" w:rsidRDefault="006F7683">
          <w:pPr>
            <w:pStyle w:val="TOC2"/>
            <w:rPr>
              <w:rFonts w:asciiTheme="minorHAnsi" w:eastAsiaTheme="minorEastAsia" w:hAnsiTheme="minorHAnsi" w:cstheme="minorBidi"/>
              <w:bCs w:val="0"/>
              <w:kern w:val="2"/>
              <w:sz w:val="24"/>
              <w:u w:val="none"/>
              <w:lang w:val="en-GB"/>
              <w14:ligatures w14:val="standardContextual"/>
            </w:rPr>
          </w:pPr>
          <w:hyperlink w:anchor="_Toc200231300" w:history="1">
            <w:r w:rsidRPr="009B1BD2">
              <w:rPr>
                <w:rStyle w:val="Hyperlink"/>
              </w:rPr>
              <w:t>7.2</w:t>
            </w:r>
            <w:r>
              <w:rPr>
                <w:rFonts w:asciiTheme="minorHAnsi" w:eastAsiaTheme="minorEastAsia" w:hAnsiTheme="minorHAnsi" w:cstheme="minorBidi"/>
                <w:bCs w:val="0"/>
                <w:kern w:val="2"/>
                <w:sz w:val="24"/>
                <w:u w:val="none"/>
                <w:lang w:val="en-GB"/>
                <w14:ligatures w14:val="standardContextual"/>
              </w:rPr>
              <w:tab/>
            </w:r>
            <w:r w:rsidRPr="009B1BD2">
              <w:rPr>
                <w:rStyle w:val="Hyperlink"/>
              </w:rPr>
              <w:t>La ley de amnistía</w:t>
            </w:r>
            <w:r>
              <w:rPr>
                <w:webHidden/>
              </w:rPr>
              <w:tab/>
            </w:r>
            <w:r>
              <w:rPr>
                <w:webHidden/>
              </w:rPr>
              <w:fldChar w:fldCharType="begin"/>
            </w:r>
            <w:r>
              <w:rPr>
                <w:webHidden/>
              </w:rPr>
              <w:instrText xml:space="preserve"> PAGEREF _Toc200231300 \h </w:instrText>
            </w:r>
            <w:r>
              <w:rPr>
                <w:webHidden/>
              </w:rPr>
            </w:r>
            <w:r>
              <w:rPr>
                <w:webHidden/>
              </w:rPr>
              <w:fldChar w:fldCharType="separate"/>
            </w:r>
            <w:r w:rsidR="002A03FA">
              <w:rPr>
                <w:webHidden/>
              </w:rPr>
              <w:t>17</w:t>
            </w:r>
            <w:r>
              <w:rPr>
                <w:webHidden/>
              </w:rPr>
              <w:fldChar w:fldCharType="end"/>
            </w:r>
          </w:hyperlink>
        </w:p>
        <w:p w14:paraId="71856230" w14:textId="1E513E38" w:rsidR="006F7683" w:rsidRDefault="006F7683">
          <w:pPr>
            <w:pStyle w:val="TOC2"/>
            <w:rPr>
              <w:rFonts w:asciiTheme="minorHAnsi" w:eastAsiaTheme="minorEastAsia" w:hAnsiTheme="minorHAnsi" w:cstheme="minorBidi"/>
              <w:bCs w:val="0"/>
              <w:kern w:val="2"/>
              <w:sz w:val="24"/>
              <w:u w:val="none"/>
              <w:lang w:val="en-GB"/>
              <w14:ligatures w14:val="standardContextual"/>
            </w:rPr>
          </w:pPr>
          <w:hyperlink w:anchor="_Toc200231301" w:history="1">
            <w:r w:rsidRPr="009B1BD2">
              <w:rPr>
                <w:rStyle w:val="Hyperlink"/>
              </w:rPr>
              <w:t>Recomendación</w:t>
            </w:r>
            <w:r>
              <w:rPr>
                <w:webHidden/>
              </w:rPr>
              <w:tab/>
            </w:r>
            <w:r>
              <w:rPr>
                <w:webHidden/>
              </w:rPr>
              <w:fldChar w:fldCharType="begin"/>
            </w:r>
            <w:r>
              <w:rPr>
                <w:webHidden/>
              </w:rPr>
              <w:instrText xml:space="preserve"> PAGEREF _Toc200231301 \h </w:instrText>
            </w:r>
            <w:r>
              <w:rPr>
                <w:webHidden/>
              </w:rPr>
            </w:r>
            <w:r>
              <w:rPr>
                <w:webHidden/>
              </w:rPr>
              <w:fldChar w:fldCharType="separate"/>
            </w:r>
            <w:r w:rsidR="002A03FA">
              <w:rPr>
                <w:webHidden/>
              </w:rPr>
              <w:t>18</w:t>
            </w:r>
            <w:r>
              <w:rPr>
                <w:webHidden/>
              </w:rPr>
              <w:fldChar w:fldCharType="end"/>
            </w:r>
          </w:hyperlink>
        </w:p>
        <w:p w14:paraId="2514BBC2" w14:textId="1E1A0F9A" w:rsidR="006F7683" w:rsidRDefault="006F7683">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00231302" w:history="1">
            <w:r w:rsidRPr="009B1BD2">
              <w:rPr>
                <w:rStyle w:val="Hyperlink"/>
              </w:rPr>
              <w:t>8.</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9B1BD2">
              <w:rPr>
                <w:rStyle w:val="Hyperlink"/>
              </w:rPr>
              <w:t>LOS DERECHOS A LA LIBERTAD DE EXPRESIÓN, DE REUNIÓN PACÍFICA Y DE ASOCIACIÓN Y LA PROHIBICIÓN DE INJERENCIAS ARBITRARIAS O ILEGALES EN LA VIDA PRIVADA (ARTÍCULOS 17, 19, 21 Y 22)</w:t>
            </w:r>
            <w:r>
              <w:rPr>
                <w:webHidden/>
              </w:rPr>
              <w:tab/>
            </w:r>
            <w:r>
              <w:rPr>
                <w:webHidden/>
              </w:rPr>
              <w:fldChar w:fldCharType="begin"/>
            </w:r>
            <w:r>
              <w:rPr>
                <w:webHidden/>
              </w:rPr>
              <w:instrText xml:space="preserve"> PAGEREF _Toc200231302 \h </w:instrText>
            </w:r>
            <w:r>
              <w:rPr>
                <w:webHidden/>
              </w:rPr>
            </w:r>
            <w:r>
              <w:rPr>
                <w:webHidden/>
              </w:rPr>
              <w:fldChar w:fldCharType="separate"/>
            </w:r>
            <w:r w:rsidR="002A03FA">
              <w:rPr>
                <w:webHidden/>
              </w:rPr>
              <w:t>18</w:t>
            </w:r>
            <w:r>
              <w:rPr>
                <w:webHidden/>
              </w:rPr>
              <w:fldChar w:fldCharType="end"/>
            </w:r>
          </w:hyperlink>
        </w:p>
        <w:p w14:paraId="2773BFBE" w14:textId="584E85F9" w:rsidR="006F7683" w:rsidRDefault="006F7683">
          <w:pPr>
            <w:pStyle w:val="TOC2"/>
            <w:rPr>
              <w:rFonts w:asciiTheme="minorHAnsi" w:eastAsiaTheme="minorEastAsia" w:hAnsiTheme="minorHAnsi" w:cstheme="minorBidi"/>
              <w:bCs w:val="0"/>
              <w:kern w:val="2"/>
              <w:sz w:val="24"/>
              <w:u w:val="none"/>
              <w:lang w:val="en-GB"/>
              <w14:ligatures w14:val="standardContextual"/>
            </w:rPr>
          </w:pPr>
          <w:hyperlink w:anchor="_Toc200231303" w:history="1">
            <w:r w:rsidRPr="009B1BD2">
              <w:rPr>
                <w:rStyle w:val="Hyperlink"/>
              </w:rPr>
              <w:t>8.1</w:t>
            </w:r>
            <w:r>
              <w:rPr>
                <w:rFonts w:asciiTheme="minorHAnsi" w:eastAsiaTheme="minorEastAsia" w:hAnsiTheme="minorHAnsi" w:cstheme="minorBidi"/>
                <w:bCs w:val="0"/>
                <w:kern w:val="2"/>
                <w:sz w:val="24"/>
                <w:u w:val="none"/>
                <w:lang w:val="en-GB"/>
                <w14:ligatures w14:val="standardContextual"/>
              </w:rPr>
              <w:tab/>
            </w:r>
            <w:r w:rsidRPr="009B1BD2">
              <w:rPr>
                <w:rStyle w:val="Hyperlink"/>
              </w:rPr>
              <w:t>El software espía ‘Pegasus’</w:t>
            </w:r>
            <w:r>
              <w:rPr>
                <w:webHidden/>
              </w:rPr>
              <w:tab/>
            </w:r>
            <w:r>
              <w:rPr>
                <w:webHidden/>
              </w:rPr>
              <w:fldChar w:fldCharType="begin"/>
            </w:r>
            <w:r>
              <w:rPr>
                <w:webHidden/>
              </w:rPr>
              <w:instrText xml:space="preserve"> PAGEREF _Toc200231303 \h </w:instrText>
            </w:r>
            <w:r>
              <w:rPr>
                <w:webHidden/>
              </w:rPr>
            </w:r>
            <w:r>
              <w:rPr>
                <w:webHidden/>
              </w:rPr>
              <w:fldChar w:fldCharType="separate"/>
            </w:r>
            <w:r w:rsidR="002A03FA">
              <w:rPr>
                <w:webHidden/>
              </w:rPr>
              <w:t>18</w:t>
            </w:r>
            <w:r>
              <w:rPr>
                <w:webHidden/>
              </w:rPr>
              <w:fldChar w:fldCharType="end"/>
            </w:r>
          </w:hyperlink>
        </w:p>
        <w:p w14:paraId="1E8FB3B1" w14:textId="78CF13FC" w:rsidR="006F7683" w:rsidRDefault="006F7683">
          <w:pPr>
            <w:pStyle w:val="TOC2"/>
            <w:rPr>
              <w:rFonts w:asciiTheme="minorHAnsi" w:eastAsiaTheme="minorEastAsia" w:hAnsiTheme="minorHAnsi" w:cstheme="minorBidi"/>
              <w:bCs w:val="0"/>
              <w:kern w:val="2"/>
              <w:sz w:val="24"/>
              <w:u w:val="none"/>
              <w:lang w:val="en-GB"/>
              <w14:ligatures w14:val="standardContextual"/>
            </w:rPr>
          </w:pPr>
          <w:hyperlink w:anchor="_Toc200231304" w:history="1">
            <w:r w:rsidRPr="009B1BD2">
              <w:rPr>
                <w:rStyle w:val="Hyperlink"/>
              </w:rPr>
              <w:t>Recomendaciones</w:t>
            </w:r>
            <w:r>
              <w:rPr>
                <w:webHidden/>
              </w:rPr>
              <w:tab/>
            </w:r>
            <w:r>
              <w:rPr>
                <w:webHidden/>
              </w:rPr>
              <w:fldChar w:fldCharType="begin"/>
            </w:r>
            <w:r>
              <w:rPr>
                <w:webHidden/>
              </w:rPr>
              <w:instrText xml:space="preserve"> PAGEREF _Toc200231304 \h </w:instrText>
            </w:r>
            <w:r>
              <w:rPr>
                <w:webHidden/>
              </w:rPr>
            </w:r>
            <w:r>
              <w:rPr>
                <w:webHidden/>
              </w:rPr>
              <w:fldChar w:fldCharType="separate"/>
            </w:r>
            <w:r w:rsidR="002A03FA">
              <w:rPr>
                <w:webHidden/>
              </w:rPr>
              <w:t>20</w:t>
            </w:r>
            <w:r>
              <w:rPr>
                <w:webHidden/>
              </w:rPr>
              <w:fldChar w:fldCharType="end"/>
            </w:r>
          </w:hyperlink>
        </w:p>
        <w:p w14:paraId="09ED54B6" w14:textId="6B047DB5" w:rsidR="006F7683" w:rsidRDefault="006F7683">
          <w:pPr>
            <w:pStyle w:val="TOC2"/>
            <w:rPr>
              <w:rFonts w:asciiTheme="minorHAnsi" w:eastAsiaTheme="minorEastAsia" w:hAnsiTheme="minorHAnsi" w:cstheme="minorBidi"/>
              <w:bCs w:val="0"/>
              <w:kern w:val="2"/>
              <w:sz w:val="24"/>
              <w:u w:val="none"/>
              <w:lang w:val="en-GB"/>
              <w14:ligatures w14:val="standardContextual"/>
            </w:rPr>
          </w:pPr>
          <w:hyperlink w:anchor="_Toc200231305" w:history="1">
            <w:r w:rsidRPr="009B1BD2">
              <w:rPr>
                <w:rStyle w:val="Hyperlink"/>
              </w:rPr>
              <w:t>8.2</w:t>
            </w:r>
            <w:r>
              <w:rPr>
                <w:rFonts w:asciiTheme="minorHAnsi" w:eastAsiaTheme="minorEastAsia" w:hAnsiTheme="minorHAnsi" w:cstheme="minorBidi"/>
                <w:bCs w:val="0"/>
                <w:kern w:val="2"/>
                <w:sz w:val="24"/>
                <w:u w:val="none"/>
                <w:lang w:val="en-GB"/>
                <w14:ligatures w14:val="standardContextual"/>
              </w:rPr>
              <w:tab/>
            </w:r>
            <w:r w:rsidRPr="009B1BD2">
              <w:rPr>
                <w:rStyle w:val="Hyperlink"/>
              </w:rPr>
              <w:t>Infiltraciones policiales en movimientos sociales</w:t>
            </w:r>
            <w:r>
              <w:rPr>
                <w:webHidden/>
              </w:rPr>
              <w:tab/>
            </w:r>
            <w:r>
              <w:rPr>
                <w:webHidden/>
              </w:rPr>
              <w:fldChar w:fldCharType="begin"/>
            </w:r>
            <w:r>
              <w:rPr>
                <w:webHidden/>
              </w:rPr>
              <w:instrText xml:space="preserve"> PAGEREF _Toc200231305 \h </w:instrText>
            </w:r>
            <w:r>
              <w:rPr>
                <w:webHidden/>
              </w:rPr>
            </w:r>
            <w:r>
              <w:rPr>
                <w:webHidden/>
              </w:rPr>
              <w:fldChar w:fldCharType="separate"/>
            </w:r>
            <w:r w:rsidR="002A03FA">
              <w:rPr>
                <w:webHidden/>
              </w:rPr>
              <w:t>21</w:t>
            </w:r>
            <w:r>
              <w:rPr>
                <w:webHidden/>
              </w:rPr>
              <w:fldChar w:fldCharType="end"/>
            </w:r>
          </w:hyperlink>
        </w:p>
        <w:p w14:paraId="70D78190" w14:textId="02DB429F" w:rsidR="006F7683" w:rsidRDefault="006F7683">
          <w:pPr>
            <w:pStyle w:val="TOC2"/>
            <w:rPr>
              <w:rFonts w:asciiTheme="minorHAnsi" w:eastAsiaTheme="minorEastAsia" w:hAnsiTheme="minorHAnsi" w:cstheme="minorBidi"/>
              <w:bCs w:val="0"/>
              <w:kern w:val="2"/>
              <w:sz w:val="24"/>
              <w:u w:val="none"/>
              <w:lang w:val="en-GB"/>
              <w14:ligatures w14:val="standardContextual"/>
            </w:rPr>
          </w:pPr>
          <w:hyperlink w:anchor="_Toc200231306" w:history="1">
            <w:r w:rsidRPr="009B1BD2">
              <w:rPr>
                <w:rStyle w:val="Hyperlink"/>
              </w:rPr>
              <w:t>Recomendaciones</w:t>
            </w:r>
            <w:r>
              <w:rPr>
                <w:webHidden/>
              </w:rPr>
              <w:tab/>
            </w:r>
            <w:r>
              <w:rPr>
                <w:webHidden/>
              </w:rPr>
              <w:fldChar w:fldCharType="begin"/>
            </w:r>
            <w:r>
              <w:rPr>
                <w:webHidden/>
              </w:rPr>
              <w:instrText xml:space="preserve"> PAGEREF _Toc200231306 \h </w:instrText>
            </w:r>
            <w:r>
              <w:rPr>
                <w:webHidden/>
              </w:rPr>
            </w:r>
            <w:r>
              <w:rPr>
                <w:webHidden/>
              </w:rPr>
              <w:fldChar w:fldCharType="separate"/>
            </w:r>
            <w:r w:rsidR="002A03FA">
              <w:rPr>
                <w:webHidden/>
              </w:rPr>
              <w:t>22</w:t>
            </w:r>
            <w:r>
              <w:rPr>
                <w:webHidden/>
              </w:rPr>
              <w:fldChar w:fldCharType="end"/>
            </w:r>
          </w:hyperlink>
        </w:p>
        <w:p w14:paraId="4CADBAAF" w14:textId="16925B0A" w:rsidR="004B06F7" w:rsidRDefault="004B06F7">
          <w:r>
            <w:rPr>
              <w:b/>
              <w:bCs/>
              <w:noProof/>
            </w:rPr>
            <w:fldChar w:fldCharType="end"/>
          </w:r>
        </w:p>
      </w:sdtContent>
    </w:sdt>
    <w:p w14:paraId="5BCE7D4F" w14:textId="3BA9D93C" w:rsidR="00986EC5" w:rsidRPr="00943558" w:rsidRDefault="00986EC5" w:rsidP="001153D5">
      <w:pPr>
        <w:pStyle w:val="BBodyText"/>
        <w:sectPr w:rsidR="00986EC5" w:rsidRPr="00943558" w:rsidSect="00DA7998">
          <w:footerReference w:type="default" r:id="rId9"/>
          <w:footerReference w:type="first" r:id="rId10"/>
          <w:pgSz w:w="11906" w:h="16838" w:code="9"/>
          <w:pgMar w:top="1474" w:right="1418" w:bottom="1418" w:left="1418" w:header="709" w:footer="709" w:gutter="0"/>
          <w:cols w:space="708"/>
          <w:titlePg/>
          <w:docGrid w:linePitch="360"/>
        </w:sectPr>
      </w:pPr>
      <w:r w:rsidRPr="00943558">
        <w:rPr>
          <w:b/>
          <w:bCs w:val="0"/>
          <w:noProof/>
          <w:lang w:eastAsia="en-GB"/>
        </w:rPr>
        <mc:AlternateContent>
          <mc:Choice Requires="wps">
            <w:drawing>
              <wp:anchor distT="0" distB="0" distL="114300" distR="114300" simplePos="0" relativeHeight="251689472" behindDoc="0" locked="1" layoutInCell="1" allowOverlap="0" wp14:anchorId="7DFF9BEC" wp14:editId="7E0AA286">
                <wp:simplePos x="0" y="0"/>
                <wp:positionH relativeFrom="page">
                  <wp:posOffset>2076450</wp:posOffset>
                </wp:positionH>
                <wp:positionV relativeFrom="page">
                  <wp:posOffset>6115685</wp:posOffset>
                </wp:positionV>
                <wp:extent cx="4535170" cy="2943860"/>
                <wp:effectExtent l="0" t="0" r="0" b="889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4535170" cy="2943860"/>
                        </a:xfrm>
                        <a:prstGeom prst="rect">
                          <a:avLst/>
                        </a:prstGeom>
                        <a:solidFill>
                          <a:sysClr val="window" lastClr="FFFFFF"/>
                        </a:solidFill>
                        <a:ln w="6350">
                          <a:noFill/>
                        </a:ln>
                      </wps:spPr>
                      <wps:txbx>
                        <w:txbxContent>
                          <w:p w14:paraId="64FB09E0" w14:textId="4DB8D242" w:rsidR="00986EC5" w:rsidRPr="00986EC5" w:rsidRDefault="00986EC5" w:rsidP="00986EC5">
                            <w:pPr>
                              <w:pStyle w:val="BBodyText"/>
                            </w:pPr>
                            <w:r w:rsidRPr="00986EC5">
                              <w:t xml:space="preserve">Este informe resume algunas de las principales preocupaciones de Amnistía Internacional en torno a España, destacadas en varios informes publicados anteriormente por la organización. Amnistía Internacional destaca en especial su preocupación por el hecho de que el Estado continúa sin emprender investigaciones judiciales por las graves violaciones de derechos humanos cometidas en el pasado; mantiene equipamiento policial que no cumple con estándares internacionales, sin llevar a cabo investigaciones efectivas sobre casos de uso excesivo de la fuerza, y realiza operaciones de infiltración policial en movimientos sociales sin autorización judicial. El informe destaca también la preocupación en torno a la persistente violencia contra las mujeres, a las violaciones de los derechos de migrantes y solicitantes de asilo, especialmente cuando son </w:t>
                            </w:r>
                            <w:proofErr w:type="gramStart"/>
                            <w:r w:rsidRPr="00986EC5">
                              <w:t>niños y niñas</w:t>
                            </w:r>
                            <w:proofErr w:type="gramEnd"/>
                            <w:r w:rsidRPr="00986EC5">
                              <w:t xml:space="preserve"> migrantes no acompañados y personas racializadas. Finalmente, en el informe también se recoge las vulneraciones de derechos humanos consecuencia de la vigilancia masiva e indiscriminada a través de software espía. </w:t>
                            </w:r>
                          </w:p>
                          <w:p w14:paraId="4CD2523D" w14:textId="7255E9E6" w:rsidR="00986EC5" w:rsidRPr="00943558" w:rsidRDefault="00986EC5" w:rsidP="00986EC5">
                            <w:pPr>
                              <w:pStyle w:val="Babstract"/>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FF9BEC" id="_x0000_t202" coordsize="21600,21600" o:spt="202" path="m,l,21600r21600,l21600,xe">
                <v:stroke joinstyle="miter"/>
                <v:path gradientshapeok="t" o:connecttype="rect"/>
              </v:shapetype>
              <v:shape id="Text Box 7" o:spid="_x0000_s1026" type="#_x0000_t202" style="position:absolute;margin-left:163.5pt;margin-top:481.55pt;width:357.1pt;height:231.8pt;z-index:251689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" o:allowoverlap="f" fillcolor="window" stroked="f" strokeweight=".5pt">
                <o:lock v:ext="edit" aspectratio="t"/>
                <v:textbox>
                  <w:txbxContent>
                    <w:p w14:paraId="64FB09E0" w14:textId="4DB8D242" w:rsidR="00986EC5" w:rsidRPr="00986EC5" w:rsidRDefault="00986EC5" w:rsidP="00986EC5">
                      <w:pPr>
                        <w:pStyle w:val="BBodyText"/>
                      </w:pPr>
                      <w:r w:rsidRPr="00986EC5">
                        <w:t xml:space="preserve">Este informe resume algunas de las principales preocupaciones de Amnistía Internacional en torno a España, destacadas en varios informes publicados anteriormente por la organización. Amnistía Internacional destaca en especial su preocupación por el hecho de que el Estado continúa sin emprender investigaciones judiciales por las graves violaciones de derechos humanos cometidas en el pasado; mantiene equipamiento policial que no cumple con estándares internacionales, sin llevar a cabo investigaciones efectivas sobre casos de uso excesivo de la fuerza, y realiza operaciones de infiltración policial en movimientos sociales sin autorización judicial. El informe destaca también la preocupación en torno a la persistente violencia contra las mujeres, a las violaciones de los derechos de migrantes y solicitantes de asilo, especialmente cuando son </w:t>
                      </w:r>
                      <w:proofErr w:type="gramStart"/>
                      <w:r w:rsidRPr="00986EC5">
                        <w:t>niños y niñas</w:t>
                      </w:r>
                      <w:proofErr w:type="gramEnd"/>
                      <w:r w:rsidRPr="00986EC5">
                        <w:t xml:space="preserve"> migrantes no acompañados y personas racializadas. Finalmente, en el informe también se recoge las vulneraciones de derechos humanos consecuencia de la vigilancia masiva e indiscriminada a través de software espía. </w:t>
                      </w:r>
                    </w:p>
                    <w:p w14:paraId="4CD2523D" w14:textId="7255E9E6" w:rsidR="00986EC5" w:rsidRPr="00943558" w:rsidRDefault="00986EC5" w:rsidP="00986EC5">
                      <w:pPr>
                        <w:pStyle w:val="Babstract"/>
                      </w:pPr>
                    </w:p>
                  </w:txbxContent>
                </v:textbox>
                <w10:wrap anchorx="page" anchory="page"/>
                <w10:anchorlock/>
              </v:shape>
            </w:pict>
          </mc:Fallback>
        </mc:AlternateContent>
      </w:r>
    </w:p>
    <w:p w14:paraId="3B384A4D" w14:textId="7AA93D9A" w:rsidR="00986EC5" w:rsidRPr="00943558" w:rsidRDefault="00986EC5" w:rsidP="006F614F">
      <w:pPr>
        <w:pStyle w:val="BNumberedHeading"/>
        <w:rPr>
          <w:noProof w:val="0"/>
        </w:rPr>
      </w:pPr>
      <w:bookmarkStart w:id="0" w:name="__RefHeading___Toc204661518"/>
      <w:bookmarkStart w:id="1" w:name="_Toc199778958"/>
      <w:bookmarkStart w:id="2" w:name="_Toc199779310"/>
      <w:bookmarkStart w:id="3" w:name="_Toc200231281"/>
      <w:bookmarkEnd w:id="0"/>
      <w:r w:rsidRPr="00943558">
        <w:rPr>
          <w:noProof w:val="0"/>
        </w:rPr>
        <w:t>INTRODUCCIÓN</w:t>
      </w:r>
      <w:bookmarkEnd w:id="1"/>
      <w:bookmarkEnd w:id="2"/>
      <w:bookmarkEnd w:id="3"/>
    </w:p>
    <w:p w14:paraId="53046B76" w14:textId="2BC048B5" w:rsidR="00986EC5" w:rsidRPr="00986EC5" w:rsidRDefault="00986EC5" w:rsidP="00986EC5">
      <w:pPr>
        <w:pStyle w:val="BBodyText"/>
        <w:rPr>
          <w:sz w:val="20"/>
          <w:szCs w:val="20"/>
        </w:rPr>
      </w:pPr>
      <w:r w:rsidRPr="00986EC5">
        <w:rPr>
          <w:sz w:val="20"/>
          <w:szCs w:val="20"/>
        </w:rPr>
        <w:t xml:space="preserve">Amnistía Internacional presenta este documento a la consideración del Comité de Derechos Humanos, que próximamente va a examinar el séptimo informe periódico de España sobre las medidas que el Estado español ha tomado para cumplir las disposiciones del Pacto Internacional de Derechos Civiles y Políticos (PIDCP). No es una lista exhaustiva de las preocupaciones de la organización. </w:t>
      </w:r>
    </w:p>
    <w:p w14:paraId="6B9B71E5" w14:textId="77777777" w:rsidR="00986EC5" w:rsidRPr="00943558" w:rsidRDefault="00986EC5" w:rsidP="006F614F">
      <w:pPr>
        <w:pStyle w:val="BNumberedHeading"/>
        <w:rPr>
          <w:noProof w:val="0"/>
        </w:rPr>
      </w:pPr>
      <w:bookmarkStart w:id="4" w:name="_Toc199778959"/>
      <w:bookmarkStart w:id="5" w:name="_Toc199779311"/>
      <w:bookmarkStart w:id="6" w:name="_Toc200231282"/>
      <w:r w:rsidRPr="00943558">
        <w:rPr>
          <w:noProof w:val="0"/>
        </w:rPr>
        <w:t>VIOLENCIA DE GENÉRO (ARTÍCULOS 3, 6 Y 7)</w:t>
      </w:r>
      <w:bookmarkEnd w:id="4"/>
      <w:bookmarkEnd w:id="5"/>
      <w:bookmarkEnd w:id="6"/>
      <w:r w:rsidRPr="00943558">
        <w:rPr>
          <w:noProof w:val="0"/>
        </w:rPr>
        <w:t xml:space="preserve"> </w:t>
      </w:r>
    </w:p>
    <w:p w14:paraId="0CDCDC45" w14:textId="77777777" w:rsidR="00986EC5" w:rsidRPr="00986EC5" w:rsidRDefault="00986EC5" w:rsidP="00986EC5">
      <w:pPr>
        <w:pStyle w:val="BBodyText"/>
        <w:rPr>
          <w:sz w:val="20"/>
          <w:szCs w:val="20"/>
        </w:rPr>
      </w:pPr>
      <w:r w:rsidRPr="00986EC5">
        <w:rPr>
          <w:sz w:val="20"/>
          <w:szCs w:val="20"/>
        </w:rPr>
        <w:t xml:space="preserve">La obligación de proteger los derechos humanos de las mujeres y niñas incluye la obligación de garantizar tanto una protección efectiva frente a los actos de violencia de género cometidos por agentes gubernamentales y personas particulares como el acceso a una reparación efectiva cuando se produzca dicha violencia. </w:t>
      </w:r>
    </w:p>
    <w:p w14:paraId="0FFB0575" w14:textId="77777777" w:rsidR="00986EC5" w:rsidRPr="00986EC5" w:rsidRDefault="00986EC5" w:rsidP="00986EC5">
      <w:pPr>
        <w:pStyle w:val="BBodyText"/>
        <w:rPr>
          <w:sz w:val="20"/>
          <w:szCs w:val="20"/>
        </w:rPr>
      </w:pPr>
      <w:r w:rsidRPr="00986EC5">
        <w:rPr>
          <w:sz w:val="20"/>
          <w:szCs w:val="20"/>
        </w:rPr>
        <w:t>Según datos estadísticos oficiales, entre 2003 hasta abril de 2025, 1.305 mujeres han sido asesinadas por sus parejas o exparejas</w:t>
      </w:r>
      <w:r w:rsidRPr="00986EC5">
        <w:rPr>
          <w:sz w:val="20"/>
          <w:szCs w:val="20"/>
          <w:vertAlign w:val="superscript"/>
        </w:rPr>
        <w:footnoteReference w:id="2"/>
      </w:r>
      <w:r w:rsidRPr="00986EC5">
        <w:rPr>
          <w:sz w:val="20"/>
          <w:szCs w:val="20"/>
        </w:rPr>
        <w:t xml:space="preserve"> en el España. Desde 2013</w:t>
      </w:r>
      <w:r w:rsidRPr="00986EC5">
        <w:rPr>
          <w:sz w:val="20"/>
          <w:szCs w:val="20"/>
          <w:vertAlign w:val="superscript"/>
        </w:rPr>
        <w:footnoteReference w:id="3"/>
      </w:r>
      <w:r w:rsidRPr="00986EC5">
        <w:rPr>
          <w:sz w:val="20"/>
          <w:szCs w:val="20"/>
        </w:rPr>
        <w:t xml:space="preserve"> a fecha de 31 de marzo de 2025, 62 </w:t>
      </w:r>
      <w:proofErr w:type="gramStart"/>
      <w:r w:rsidRPr="00986EC5">
        <w:rPr>
          <w:sz w:val="20"/>
          <w:szCs w:val="20"/>
        </w:rPr>
        <w:t>niños y niñas</w:t>
      </w:r>
      <w:proofErr w:type="gramEnd"/>
      <w:r w:rsidRPr="00986EC5">
        <w:rPr>
          <w:sz w:val="20"/>
          <w:szCs w:val="20"/>
        </w:rPr>
        <w:t xml:space="preserve"> fueron asesinados por sus progenitores o por la pareja de su madre.</w:t>
      </w:r>
      <w:r w:rsidRPr="00986EC5">
        <w:rPr>
          <w:sz w:val="20"/>
          <w:szCs w:val="20"/>
          <w:vertAlign w:val="superscript"/>
        </w:rPr>
        <w:footnoteReference w:id="4"/>
      </w:r>
      <w:r w:rsidRPr="00986EC5">
        <w:rPr>
          <w:sz w:val="20"/>
          <w:szCs w:val="20"/>
        </w:rPr>
        <w:t xml:space="preserve">   </w:t>
      </w:r>
    </w:p>
    <w:p w14:paraId="2C0D0A6F" w14:textId="77777777" w:rsidR="00986EC5" w:rsidRPr="00986EC5" w:rsidRDefault="00986EC5" w:rsidP="00986EC5">
      <w:pPr>
        <w:pStyle w:val="BBodyText"/>
        <w:rPr>
          <w:sz w:val="20"/>
          <w:szCs w:val="20"/>
        </w:rPr>
      </w:pPr>
      <w:r w:rsidRPr="00986EC5">
        <w:rPr>
          <w:sz w:val="20"/>
          <w:szCs w:val="20"/>
        </w:rPr>
        <w:t>La Macroencuesta de Violencia de Género contra las Mujeres elaborada en 2019 revelaba que alrededor del 57.7% de la mujeres y niñas mayores de 16 años han sufrido violencia a lo largo de su vida.</w:t>
      </w:r>
      <w:r w:rsidRPr="00986EC5">
        <w:rPr>
          <w:sz w:val="20"/>
          <w:szCs w:val="20"/>
          <w:vertAlign w:val="superscript"/>
        </w:rPr>
        <w:footnoteReference w:id="5"/>
      </w:r>
      <w:r w:rsidRPr="00986EC5">
        <w:rPr>
          <w:sz w:val="20"/>
          <w:szCs w:val="20"/>
        </w:rPr>
        <w:t xml:space="preserve"> Del total de mujeres de 16 o más años que han sufrido violencia por pareja actual o pasada, el 11,0% ha sufrido violencia física y el 8,9% ha sufrido violencia sexual.</w:t>
      </w:r>
      <w:r w:rsidRPr="00986EC5">
        <w:rPr>
          <w:sz w:val="20"/>
          <w:szCs w:val="20"/>
          <w:vertAlign w:val="superscript"/>
        </w:rPr>
        <w:footnoteReference w:id="6"/>
      </w:r>
      <w:r w:rsidRPr="00986EC5">
        <w:rPr>
          <w:sz w:val="20"/>
          <w:szCs w:val="20"/>
        </w:rPr>
        <w:t xml:space="preserve"> El número de delitos de violencia sexual no ha parado de incrementarse en los últimos años. En 2024 se reportaron un total de 21.159, lo que supone un incremento de un 5,7% en 2024 con relación a los datos recogidos para el año 2023.</w:t>
      </w:r>
      <w:r w:rsidRPr="00986EC5">
        <w:rPr>
          <w:sz w:val="20"/>
          <w:szCs w:val="20"/>
          <w:vertAlign w:val="superscript"/>
        </w:rPr>
        <w:footnoteReference w:id="7"/>
      </w:r>
      <w:r w:rsidRPr="00986EC5">
        <w:rPr>
          <w:sz w:val="20"/>
          <w:szCs w:val="20"/>
        </w:rPr>
        <w:t xml:space="preserve"> Los delitos de agresión sexual con penetración se incrementaron en un 6.7% con respecto al año 2023 con un total de 15.953 denuncias.</w:t>
      </w:r>
      <w:r w:rsidRPr="00986EC5">
        <w:rPr>
          <w:sz w:val="20"/>
          <w:szCs w:val="20"/>
          <w:vertAlign w:val="superscript"/>
        </w:rPr>
        <w:footnoteReference w:id="8"/>
      </w:r>
    </w:p>
    <w:p w14:paraId="0B560F42" w14:textId="77777777" w:rsidR="00986EC5" w:rsidRPr="00986EC5" w:rsidRDefault="00986EC5" w:rsidP="00986EC5">
      <w:pPr>
        <w:pStyle w:val="BBodyText"/>
        <w:rPr>
          <w:sz w:val="20"/>
          <w:szCs w:val="20"/>
        </w:rPr>
      </w:pPr>
      <w:r w:rsidRPr="00986EC5">
        <w:rPr>
          <w:sz w:val="20"/>
          <w:szCs w:val="20"/>
        </w:rPr>
        <w:t>Estos mismos datos indican también que las mujeres extranjeras tienen tres veces más posibilidades de ser víctimas de violencia de género por parte de pareja o expareja que una mujer española.</w:t>
      </w:r>
      <w:r w:rsidRPr="00986EC5">
        <w:rPr>
          <w:sz w:val="20"/>
          <w:szCs w:val="20"/>
          <w:vertAlign w:val="superscript"/>
        </w:rPr>
        <w:footnoteReference w:id="9"/>
      </w:r>
      <w:r w:rsidRPr="00986EC5">
        <w:rPr>
          <w:sz w:val="20"/>
          <w:szCs w:val="20"/>
        </w:rPr>
        <w:t xml:space="preserve"> Casi el 50% de las mujeres asesinadas por sus parejas o exparejas fueron mujeres migrantes, cuando constituyen el número de mujeres migrantes es el 13% de la población.</w:t>
      </w:r>
      <w:r w:rsidRPr="00986EC5">
        <w:rPr>
          <w:sz w:val="20"/>
          <w:szCs w:val="20"/>
          <w:vertAlign w:val="superscript"/>
        </w:rPr>
        <w:footnoteReference w:id="10"/>
      </w:r>
    </w:p>
    <w:p w14:paraId="7F93FCA9" w14:textId="72F0527D" w:rsidR="00986EC5" w:rsidRPr="00943558" w:rsidRDefault="00986EC5" w:rsidP="00986EC5">
      <w:pPr>
        <w:pStyle w:val="BBodyText"/>
        <w:rPr>
          <w:sz w:val="20"/>
          <w:szCs w:val="20"/>
        </w:rPr>
      </w:pPr>
      <w:r w:rsidRPr="00986EC5">
        <w:rPr>
          <w:sz w:val="20"/>
          <w:szCs w:val="20"/>
        </w:rPr>
        <w:t>A pesar de las diferentes normas- Ley Orgánica 1/2004 de 28 de diciembre, de Medidas de Protección Integral contra la Violencia de Género, la Ley Orgánica 3/2007, de 22 de marzo, para la igualdad efectiva de mujeres y hombres, la Ley 4/2015, de 27 de abril, del Estatuto de la Víctima del Delito y la Ley Orgánica 10/2022, de 6 de septiembre, de Garantía de la Libertad Sexual,- y planes de acción</w:t>
      </w:r>
      <w:r w:rsidR="00943558">
        <w:rPr>
          <w:rStyle w:val="FootnoteReference"/>
          <w:sz w:val="20"/>
          <w:szCs w:val="20"/>
        </w:rPr>
        <w:footnoteReference w:id="11"/>
      </w:r>
      <w:r w:rsidRPr="00986EC5">
        <w:rPr>
          <w:sz w:val="20"/>
          <w:szCs w:val="20"/>
        </w:rPr>
        <w:t xml:space="preserve"> dirigidas a la lucha contra la violencia contra las mujeres y las niñas siguen enfrentando obstáculos importantes en relación a las medidas de prevención y  protección, especialmente en el caso de las mujeres migrantes.</w:t>
      </w:r>
      <w:r w:rsidRPr="00986EC5">
        <w:rPr>
          <w:sz w:val="20"/>
          <w:szCs w:val="20"/>
          <w:vertAlign w:val="superscript"/>
        </w:rPr>
        <w:footnoteReference w:id="12"/>
      </w:r>
    </w:p>
    <w:p w14:paraId="585F0547" w14:textId="77777777" w:rsidR="00312F9A" w:rsidRPr="00986EC5" w:rsidRDefault="00312F9A" w:rsidP="00986EC5">
      <w:pPr>
        <w:pStyle w:val="BBodyText"/>
        <w:rPr>
          <w:sz w:val="20"/>
          <w:szCs w:val="20"/>
        </w:rPr>
      </w:pPr>
    </w:p>
    <w:p w14:paraId="6B50ED9B" w14:textId="77777777" w:rsidR="00986EC5" w:rsidRPr="00943558" w:rsidRDefault="00986EC5" w:rsidP="006F614F">
      <w:pPr>
        <w:pStyle w:val="BNumberedSubheading"/>
        <w:rPr>
          <w:noProof w:val="0"/>
        </w:rPr>
      </w:pPr>
      <w:bookmarkStart w:id="7" w:name="_Toc199778960"/>
      <w:bookmarkStart w:id="8" w:name="_Toc199779312"/>
      <w:bookmarkStart w:id="9" w:name="_Toc200231283"/>
      <w:r w:rsidRPr="00943558">
        <w:rPr>
          <w:noProof w:val="0"/>
        </w:rPr>
        <w:t>Barreras al acceso a justicia y protección para sobrevivientes de la violencia contra las mujeres- Existencia de estereotipos de género</w:t>
      </w:r>
      <w:bookmarkEnd w:id="7"/>
      <w:bookmarkEnd w:id="8"/>
      <w:bookmarkEnd w:id="9"/>
      <w:r w:rsidRPr="00943558">
        <w:rPr>
          <w:noProof w:val="0"/>
        </w:rPr>
        <w:t xml:space="preserve"> </w:t>
      </w:r>
    </w:p>
    <w:p w14:paraId="1AB84A39" w14:textId="77777777" w:rsidR="00986EC5" w:rsidRPr="00986EC5" w:rsidRDefault="00986EC5" w:rsidP="00986EC5">
      <w:pPr>
        <w:pStyle w:val="BBodyText"/>
        <w:rPr>
          <w:b/>
          <w:sz w:val="20"/>
          <w:szCs w:val="20"/>
        </w:rPr>
      </w:pPr>
      <w:r w:rsidRPr="00986EC5">
        <w:rPr>
          <w:sz w:val="20"/>
          <w:szCs w:val="20"/>
        </w:rPr>
        <w:t xml:space="preserve">Siguen existiendo obstáculos para la protección y el acceso a la justicia de las víctimas de violencia contra la mujer entre los que destacan los siguientes:  </w:t>
      </w:r>
    </w:p>
    <w:p w14:paraId="2B042A60" w14:textId="77777777" w:rsidR="00986EC5" w:rsidRPr="00986EC5" w:rsidRDefault="00986EC5" w:rsidP="00986EC5">
      <w:pPr>
        <w:pStyle w:val="BBodyText"/>
        <w:rPr>
          <w:b/>
          <w:sz w:val="20"/>
          <w:szCs w:val="20"/>
        </w:rPr>
      </w:pPr>
      <w:r w:rsidRPr="00986EC5">
        <w:rPr>
          <w:b/>
          <w:sz w:val="20"/>
          <w:szCs w:val="20"/>
        </w:rPr>
        <w:t>Recolección incompleta de datos estadísticos desglosados por sexo/género y otros motivos prohibidos de discriminación</w:t>
      </w:r>
      <w:r w:rsidRPr="00986EC5">
        <w:rPr>
          <w:sz w:val="20"/>
          <w:szCs w:val="20"/>
        </w:rPr>
        <w:t xml:space="preserve"> como origen racial o étnico. El sistema de recogida de datos de los Juzgados de Violencia de Género no proporciona datos que recojan nacionalidad y sexo/género de las víctimas con relación a la terminación de los procesos judiciales tales como sobreseimientos, condenas y sentencias absolutorias. Estos datos son especialmente relevantes en relación con las mujeres migrantes, ya que según los datos que, si se desglosan en las estadísticas, esto es, datos sobre denuncias iniciadas y retiradas y número de órdenes de protección, indican que las mujeres migrantes acuden con mayor proporción a la justicia que las mujeres españolas, y que también son condenadas en mayor proporción por la interposición de “contradenuncias” por parte de los hombres acusados. Por ejemplo, según los datos del Consejo General del Poder Judicial, el 12,26 de las mujeres extranjeras se acogen a la dispensa de no declarar contra el agresor, frente al 8.87% de mujeres españolas.</w:t>
      </w:r>
      <w:r w:rsidRPr="00986EC5">
        <w:rPr>
          <w:sz w:val="20"/>
          <w:szCs w:val="20"/>
          <w:vertAlign w:val="superscript"/>
        </w:rPr>
        <w:footnoteReference w:id="13"/>
      </w:r>
      <w:r w:rsidRPr="00986EC5">
        <w:rPr>
          <w:sz w:val="20"/>
          <w:szCs w:val="20"/>
        </w:rPr>
        <w:t xml:space="preserve"> Este dato es indicio de la inseguridad en la que experimentan las mujeres migrantes, especialmente cuando se encuentran en situación administrativa irregular, y del temor a que sus denuncias no se traduzcan en condenas para sus agresores, exponiéndoles a un mayor peligro.</w:t>
      </w:r>
      <w:r w:rsidRPr="00986EC5">
        <w:rPr>
          <w:sz w:val="20"/>
          <w:szCs w:val="20"/>
          <w:vertAlign w:val="superscript"/>
        </w:rPr>
        <w:footnoteReference w:id="14"/>
      </w:r>
      <w:r w:rsidRPr="00986EC5">
        <w:rPr>
          <w:sz w:val="20"/>
          <w:szCs w:val="20"/>
        </w:rPr>
        <w:t xml:space="preserve">  </w:t>
      </w:r>
    </w:p>
    <w:p w14:paraId="59DA6B28" w14:textId="77777777" w:rsidR="00986EC5" w:rsidRPr="00986EC5" w:rsidRDefault="00986EC5" w:rsidP="006F7683">
      <w:pPr>
        <w:pStyle w:val="BBodyText"/>
        <w:numPr>
          <w:ilvl w:val="0"/>
          <w:numId w:val="42"/>
        </w:numPr>
        <w:ind w:left="709"/>
        <w:rPr>
          <w:sz w:val="20"/>
          <w:szCs w:val="20"/>
        </w:rPr>
      </w:pPr>
      <w:r w:rsidRPr="00986EC5">
        <w:rPr>
          <w:b/>
          <w:sz w:val="20"/>
          <w:szCs w:val="20"/>
        </w:rPr>
        <w:t>Déficit en la protección de las víctimas/sobrevivientes.</w:t>
      </w:r>
      <w:r w:rsidRPr="00986EC5">
        <w:rPr>
          <w:sz w:val="20"/>
          <w:szCs w:val="20"/>
        </w:rPr>
        <w:t xml:space="preserve">  Las Unidades de Valoración Forense Integral (en adelante UVFI) encargadas de las valoraciones de riesgo, siguen teniendo un funcionamiento desigual en el territorio español.  En 2017, el Ministerio de Justicia reconoció déficits de formación, coordinación institucional y recursos humanos y materiales en las Oficinas de Víctimas del Delito anunciando un plan de Mejora 2021-2021.</w:t>
      </w:r>
      <w:r w:rsidRPr="00986EC5">
        <w:rPr>
          <w:sz w:val="20"/>
          <w:szCs w:val="20"/>
          <w:vertAlign w:val="superscript"/>
        </w:rPr>
        <w:footnoteReference w:id="15"/>
      </w:r>
      <w:r w:rsidRPr="00986EC5">
        <w:rPr>
          <w:sz w:val="20"/>
          <w:szCs w:val="20"/>
        </w:rPr>
        <w:t xml:space="preserve">  Sin embargo, la Memoria de la Fiscalía General del Estado para 2024 sigue recogiendo graves preocupaciones en relación al funcionamiento de las UVFI, tanto para aquellas que dependen directamente del Ministerio de Justicia como aquellas que dependen de las Comunidades Autónomas con competencias en materia de justicia transferidas.  Entre otras cuestiones, se recogen preocupaciones con relación a la falta de personal, falta de formación y especialización, denunciando casos en los que se han elaborado informes de valoración del riesgo donde ni siquiera de ha explorado efectivamente a las víctimas.</w:t>
      </w:r>
      <w:r w:rsidRPr="00986EC5">
        <w:rPr>
          <w:sz w:val="20"/>
          <w:szCs w:val="20"/>
          <w:vertAlign w:val="superscript"/>
        </w:rPr>
        <w:footnoteReference w:id="16"/>
      </w:r>
      <w:r w:rsidRPr="00986EC5">
        <w:rPr>
          <w:sz w:val="20"/>
          <w:szCs w:val="20"/>
        </w:rPr>
        <w:t xml:space="preserve">  </w:t>
      </w:r>
    </w:p>
    <w:p w14:paraId="61AE3018" w14:textId="0701D4DA" w:rsidR="00986EC5" w:rsidRPr="00986EC5" w:rsidRDefault="00986EC5" w:rsidP="006F7683">
      <w:pPr>
        <w:pStyle w:val="BBodyText"/>
        <w:numPr>
          <w:ilvl w:val="0"/>
          <w:numId w:val="42"/>
        </w:numPr>
        <w:ind w:left="709"/>
        <w:rPr>
          <w:sz w:val="20"/>
          <w:szCs w:val="20"/>
        </w:rPr>
      </w:pPr>
      <w:r w:rsidRPr="00986EC5">
        <w:rPr>
          <w:b/>
          <w:sz w:val="20"/>
          <w:szCs w:val="20"/>
        </w:rPr>
        <w:t>Falta de evaluación del funcionamiento de los Juzgados Especializados en Violencia de Género</w:t>
      </w:r>
      <w:r w:rsidRPr="00986EC5">
        <w:rPr>
          <w:sz w:val="20"/>
          <w:szCs w:val="20"/>
        </w:rPr>
        <w:t xml:space="preserve"> (en adelante JVM). Estos juzgados fueron establecidos por la Ley Orgánica 1/2004 como órganos especializados con competencia para investigar las denuncias relativas a violencia en cuando el agresor es pareja y expareja de la víctima, con la posibilidad de adoptar medidas para proteger a las víctimas y dar una respuesta coherente también en otros ámbitos jurisdiccionales, como aquellos relativos al procedimiento civil. A partir de octubre de 2025, los JVM asumirán también las competencias para investigar denuncias por delitos de violencia sexual tras la aprobación de la Ley Orgánica 1/2025, de 2 de enero, de medidas en materia de eficiencia de servicio público de Justicia y de acciones colectivas para la protección de y defensa de los derechos de los consumidores y usuarios,</w:t>
      </w:r>
      <w:r w:rsidRPr="00986EC5">
        <w:rPr>
          <w:sz w:val="20"/>
          <w:szCs w:val="20"/>
          <w:vertAlign w:val="superscript"/>
        </w:rPr>
        <w:footnoteReference w:id="17"/>
      </w:r>
      <w:r w:rsidRPr="00986EC5">
        <w:rPr>
          <w:sz w:val="20"/>
          <w:szCs w:val="20"/>
        </w:rPr>
        <w:t xml:space="preserve"> dando así cumplimiento a la exigencia de proporcionar una justicia especializad a las víctimas de violencia sexual.</w:t>
      </w:r>
      <w:r w:rsidRPr="00986EC5">
        <w:rPr>
          <w:sz w:val="20"/>
          <w:szCs w:val="20"/>
          <w:vertAlign w:val="superscript"/>
        </w:rPr>
        <w:footnoteReference w:id="18"/>
      </w:r>
      <w:r w:rsidRPr="00986EC5">
        <w:rPr>
          <w:sz w:val="20"/>
          <w:szCs w:val="20"/>
        </w:rPr>
        <w:t xml:space="preserve"> Varias organizaciones han advertido que los JVM no garantizan el acceso a las mujeres a justicia, especialmente en el caso de mujeres migrantes.</w:t>
      </w:r>
      <w:r w:rsidRPr="00986EC5">
        <w:rPr>
          <w:sz w:val="20"/>
          <w:szCs w:val="20"/>
          <w:vertAlign w:val="superscript"/>
        </w:rPr>
        <w:footnoteReference w:id="19"/>
      </w:r>
      <w:r w:rsidRPr="00986EC5">
        <w:rPr>
          <w:sz w:val="20"/>
          <w:szCs w:val="20"/>
        </w:rPr>
        <w:t xml:space="preserve"> A pesar de la petición de las recomendaciones de organismos internacionales a España para que llevase a cabo una evaluación del impacto de los juzgados especializados, centrad en la eficiencia de la tramitación de las denuncias, dicha evaluación no se ha realizado.</w:t>
      </w:r>
      <w:r w:rsidRPr="00986EC5">
        <w:rPr>
          <w:sz w:val="20"/>
          <w:szCs w:val="20"/>
          <w:vertAlign w:val="superscript"/>
        </w:rPr>
        <w:footnoteReference w:id="20"/>
      </w:r>
      <w:r w:rsidRPr="00986EC5">
        <w:rPr>
          <w:sz w:val="20"/>
          <w:szCs w:val="20"/>
        </w:rPr>
        <w:t xml:space="preserve"> La falta de evaluación y de cauces de rendición de cuentas pueden derivar en patrones de desprotección. </w:t>
      </w:r>
    </w:p>
    <w:p w14:paraId="7277E840" w14:textId="77777777" w:rsidR="00986EC5" w:rsidRDefault="00986EC5" w:rsidP="006F7683">
      <w:pPr>
        <w:pStyle w:val="BBodyText"/>
        <w:numPr>
          <w:ilvl w:val="0"/>
          <w:numId w:val="44"/>
        </w:numPr>
        <w:ind w:left="709"/>
        <w:rPr>
          <w:sz w:val="20"/>
          <w:szCs w:val="20"/>
        </w:rPr>
      </w:pPr>
      <w:r w:rsidRPr="00986EC5">
        <w:rPr>
          <w:b/>
          <w:sz w:val="20"/>
          <w:szCs w:val="20"/>
        </w:rPr>
        <w:t>Falta de formación especializada y lucha contra los estereotipos</w:t>
      </w:r>
      <w:r w:rsidRPr="00986EC5">
        <w:rPr>
          <w:sz w:val="20"/>
          <w:szCs w:val="20"/>
        </w:rPr>
        <w:t>. A pesar de que la Ley Orgánica de 28 de diciembre, de Medidas de Protección Integral contra la Violencia de Género y la Ley Orgánica 10/2022, de 6 de septiembre, de Garantía de la Libertad Sexual, exigen formación especializada inicial y continua para los operadores jurídicos, siguen detectándose serios déficits en esta formación, tal y como ha sido señalado por Comité GREVIO en sendos informes realizados a España.</w:t>
      </w:r>
      <w:r w:rsidRPr="00986EC5">
        <w:rPr>
          <w:sz w:val="20"/>
          <w:szCs w:val="20"/>
          <w:vertAlign w:val="superscript"/>
        </w:rPr>
        <w:footnoteReference w:id="21"/>
      </w:r>
      <w:r w:rsidRPr="00986EC5">
        <w:rPr>
          <w:sz w:val="20"/>
          <w:szCs w:val="20"/>
        </w:rPr>
        <w:t xml:space="preserve">  Siguen sin adoptarse medidas para identificar sesgos y estereotipos de género, raciales y culturales, a pesar de las preocupaciones expresadas por el Comité de la CEDAW en el caso González Carreño</w:t>
      </w:r>
      <w:r w:rsidRPr="00986EC5">
        <w:rPr>
          <w:sz w:val="20"/>
          <w:szCs w:val="20"/>
          <w:vertAlign w:val="superscript"/>
        </w:rPr>
        <w:footnoteReference w:id="22"/>
      </w:r>
      <w:r w:rsidRPr="00986EC5">
        <w:rPr>
          <w:sz w:val="20"/>
          <w:szCs w:val="20"/>
        </w:rPr>
        <w:t xml:space="preserve"> y la Relatora Especial sobre la violencia contra la mujer, sus causas y consecuencias y el Grupo de Trabajo de la ONU sobre la discriminación contra las mujeres y las niñas.</w:t>
      </w:r>
      <w:r w:rsidRPr="00986EC5">
        <w:rPr>
          <w:sz w:val="20"/>
          <w:szCs w:val="20"/>
          <w:vertAlign w:val="superscript"/>
        </w:rPr>
        <w:footnoteReference w:id="23"/>
      </w:r>
      <w:r w:rsidRPr="00986EC5">
        <w:rPr>
          <w:sz w:val="20"/>
          <w:szCs w:val="20"/>
        </w:rPr>
        <w:t xml:space="preserve">  Es preocupante que siguen ocurriendo casos en los cuales algunos jueces siguen manifestando estereotipos de género negativos en su valoración de la prueba y nociones sexistas en la apreciación del consentimiento, con afirmaciones tales como que cuando una mujer consiente un beso consiente también otros actos sexuales.</w:t>
      </w:r>
      <w:r w:rsidRPr="00986EC5">
        <w:rPr>
          <w:sz w:val="20"/>
          <w:szCs w:val="20"/>
          <w:vertAlign w:val="superscript"/>
        </w:rPr>
        <w:footnoteReference w:id="24"/>
      </w:r>
      <w:r w:rsidRPr="00986EC5">
        <w:rPr>
          <w:sz w:val="20"/>
          <w:szCs w:val="20"/>
        </w:rPr>
        <w:t xml:space="preserve"> La publicación de las imágenes en enero de 2025 del interrogatorio de un juez de instrucción a una mujer que denunció violencia sexual volvió a reabrir el debate social sobre la existencia de estereotipos negativos y la falta de formación en género.</w:t>
      </w:r>
      <w:r w:rsidRPr="00986EC5">
        <w:rPr>
          <w:sz w:val="20"/>
          <w:szCs w:val="20"/>
          <w:vertAlign w:val="superscript"/>
        </w:rPr>
        <w:footnoteReference w:id="25"/>
      </w:r>
    </w:p>
    <w:p w14:paraId="1075D7C3" w14:textId="77777777" w:rsidR="00943558" w:rsidRPr="00986EC5" w:rsidRDefault="00943558" w:rsidP="00943558">
      <w:pPr>
        <w:pStyle w:val="BBodyText"/>
        <w:ind w:left="1080"/>
        <w:rPr>
          <w:sz w:val="20"/>
          <w:szCs w:val="20"/>
        </w:rPr>
      </w:pPr>
    </w:p>
    <w:p w14:paraId="7D15CFCA" w14:textId="77777777" w:rsidR="00986EC5" w:rsidRPr="00986EC5" w:rsidRDefault="00986EC5" w:rsidP="00943558">
      <w:pPr>
        <w:pStyle w:val="BSubheadingnonumbers"/>
      </w:pPr>
      <w:bookmarkStart w:id="10" w:name="_Toc200231284"/>
      <w:r w:rsidRPr="00986EC5">
        <w:t>Recomendaciones</w:t>
      </w:r>
      <w:bookmarkEnd w:id="10"/>
    </w:p>
    <w:p w14:paraId="48D171FE" w14:textId="77777777" w:rsidR="00986EC5" w:rsidRPr="00986EC5" w:rsidRDefault="00986EC5" w:rsidP="00986EC5">
      <w:pPr>
        <w:pStyle w:val="BBodyText"/>
        <w:rPr>
          <w:sz w:val="20"/>
          <w:szCs w:val="20"/>
        </w:rPr>
      </w:pPr>
      <w:r w:rsidRPr="00986EC5">
        <w:rPr>
          <w:sz w:val="20"/>
          <w:szCs w:val="20"/>
        </w:rPr>
        <w:t xml:space="preserve">Amnistía Internacional recomienda al Estado español: </w:t>
      </w:r>
    </w:p>
    <w:p w14:paraId="260EEF9F" w14:textId="77777777" w:rsidR="00986EC5" w:rsidRPr="00986EC5" w:rsidRDefault="00986EC5" w:rsidP="006F7683">
      <w:pPr>
        <w:pStyle w:val="BBodyText"/>
        <w:numPr>
          <w:ilvl w:val="0"/>
          <w:numId w:val="43"/>
        </w:numPr>
        <w:rPr>
          <w:sz w:val="20"/>
          <w:szCs w:val="20"/>
        </w:rPr>
      </w:pPr>
      <w:r w:rsidRPr="00986EC5">
        <w:rPr>
          <w:sz w:val="20"/>
          <w:szCs w:val="20"/>
        </w:rPr>
        <w:t>Sistematizar la recogida de datos y garantizar la perspectiva de género e interseccional (también basada en el suministro de datos desglosados, que permitan evaluar el impacto de medidas, especialmente de aquellas que afectan de manera desproporcionada a mujeres y niñas de colectivos marginados.</w:t>
      </w:r>
    </w:p>
    <w:p w14:paraId="260B7224" w14:textId="77777777" w:rsidR="00986EC5" w:rsidRPr="00986EC5" w:rsidRDefault="00986EC5" w:rsidP="006F7683">
      <w:pPr>
        <w:pStyle w:val="BBodyText"/>
        <w:numPr>
          <w:ilvl w:val="0"/>
          <w:numId w:val="43"/>
        </w:numPr>
        <w:rPr>
          <w:sz w:val="20"/>
          <w:szCs w:val="20"/>
        </w:rPr>
      </w:pPr>
      <w:r w:rsidRPr="00986EC5">
        <w:rPr>
          <w:sz w:val="20"/>
          <w:szCs w:val="20"/>
        </w:rPr>
        <w:t xml:space="preserve">Asegurar la protección de todas las víctimas de cualquier forma de violencia contra la mujer, incluyendo la violencia sexual, con independencia de su nacionalidad, origen racial o étnico, identidad o estatus migratorio. </w:t>
      </w:r>
    </w:p>
    <w:p w14:paraId="20269E94" w14:textId="77777777" w:rsidR="00986EC5" w:rsidRPr="00986EC5" w:rsidRDefault="00986EC5" w:rsidP="006F7683">
      <w:pPr>
        <w:pStyle w:val="BBodyText"/>
        <w:numPr>
          <w:ilvl w:val="0"/>
          <w:numId w:val="43"/>
        </w:numPr>
        <w:rPr>
          <w:sz w:val="20"/>
          <w:szCs w:val="20"/>
        </w:rPr>
      </w:pPr>
      <w:proofErr w:type="gramStart"/>
      <w:r w:rsidRPr="00986EC5">
        <w:rPr>
          <w:sz w:val="20"/>
          <w:szCs w:val="20"/>
        </w:rPr>
        <w:t>Asegurar</w:t>
      </w:r>
      <w:proofErr w:type="gramEnd"/>
      <w:r w:rsidRPr="00986EC5">
        <w:rPr>
          <w:sz w:val="20"/>
          <w:szCs w:val="20"/>
        </w:rPr>
        <w:t xml:space="preserve"> que la aplicación de las medidas migratorias relativas al estatus migratorio, se desvinculan claramente del acceso a la protección y del acceso a justicia. </w:t>
      </w:r>
    </w:p>
    <w:p w14:paraId="049E62E5" w14:textId="77777777" w:rsidR="00986EC5" w:rsidRPr="00986EC5" w:rsidRDefault="00986EC5" w:rsidP="006F7683">
      <w:pPr>
        <w:pStyle w:val="BBodyText"/>
        <w:numPr>
          <w:ilvl w:val="0"/>
          <w:numId w:val="43"/>
        </w:numPr>
        <w:rPr>
          <w:sz w:val="20"/>
          <w:szCs w:val="20"/>
        </w:rPr>
      </w:pPr>
      <w:r w:rsidRPr="00986EC5">
        <w:rPr>
          <w:sz w:val="20"/>
          <w:szCs w:val="20"/>
        </w:rPr>
        <w:t xml:space="preserve">Llevar a cabo una evaluación del funcionamiento de los JVM, teniendo en cuenta también la participación de víctimas y supervivientes de la violencia contra las mujeres, introduciendo mecanismos de rendición de cuentas y para asegurar su calidad.  </w:t>
      </w:r>
    </w:p>
    <w:p w14:paraId="4B449779" w14:textId="77777777" w:rsidR="00986EC5" w:rsidRPr="00986EC5" w:rsidRDefault="00986EC5" w:rsidP="006F7683">
      <w:pPr>
        <w:pStyle w:val="BBodyText"/>
        <w:numPr>
          <w:ilvl w:val="0"/>
          <w:numId w:val="43"/>
        </w:numPr>
        <w:rPr>
          <w:sz w:val="20"/>
          <w:szCs w:val="20"/>
        </w:rPr>
      </w:pPr>
      <w:r w:rsidRPr="00986EC5">
        <w:rPr>
          <w:sz w:val="20"/>
          <w:szCs w:val="20"/>
        </w:rPr>
        <w:t xml:space="preserve">Garantizar la formación especializada, obligatoria y continua de los jueces y otros operadores jurídicos, con incidencia en la perspectiva de género y lucha contra estereotipos de género. </w:t>
      </w:r>
    </w:p>
    <w:p w14:paraId="2173E436" w14:textId="77777777" w:rsidR="00986EC5" w:rsidRPr="00943558" w:rsidRDefault="00986EC5" w:rsidP="006F614F">
      <w:pPr>
        <w:pStyle w:val="BNumberedHeading"/>
        <w:rPr>
          <w:noProof w:val="0"/>
        </w:rPr>
      </w:pPr>
      <w:bookmarkStart w:id="11" w:name="_Toc199778961"/>
      <w:bookmarkStart w:id="12" w:name="_Toc199779313"/>
      <w:bookmarkStart w:id="13" w:name="_Toc200231285"/>
      <w:r w:rsidRPr="00943558">
        <w:rPr>
          <w:noProof w:val="0"/>
        </w:rPr>
        <w:t>DEVOLUCIONES EN CALIENTE, USO EXCESIVO DE LA FUERZA Y OBSTÁCULOS DE ACCESO A PROCEDIMIENTOS DE ASILO (ARTÍCULOS 2, 7 Y 26)</w:t>
      </w:r>
      <w:bookmarkEnd w:id="11"/>
      <w:bookmarkEnd w:id="12"/>
      <w:bookmarkEnd w:id="13"/>
    </w:p>
    <w:p w14:paraId="78CCD979" w14:textId="1726262B" w:rsidR="00986EC5" w:rsidRPr="00986EC5" w:rsidRDefault="00986EC5" w:rsidP="00986EC5">
      <w:pPr>
        <w:pStyle w:val="BBodyText"/>
        <w:rPr>
          <w:sz w:val="20"/>
          <w:szCs w:val="20"/>
        </w:rPr>
      </w:pPr>
      <w:r w:rsidRPr="00986EC5">
        <w:rPr>
          <w:sz w:val="20"/>
          <w:szCs w:val="20"/>
        </w:rPr>
        <w:t>A pesar de las peticiones expresadas por los diversos Comités, Amnistía Internacional sigue documentando casos de incumplimiento por parte del Estado español del principio de no devolución (non-</w:t>
      </w:r>
      <w:proofErr w:type="spellStart"/>
      <w:r w:rsidRPr="00986EC5">
        <w:rPr>
          <w:sz w:val="20"/>
          <w:szCs w:val="20"/>
        </w:rPr>
        <w:t>refoulement</w:t>
      </w:r>
      <w:proofErr w:type="spellEnd"/>
      <w:r w:rsidRPr="00986EC5">
        <w:rPr>
          <w:sz w:val="20"/>
          <w:szCs w:val="20"/>
        </w:rPr>
        <w:t xml:space="preserve">), donde los funcionarios encargados de cumplir la ley devuelven de manera </w:t>
      </w:r>
      <w:proofErr w:type="spellStart"/>
      <w:r w:rsidRPr="00986EC5">
        <w:rPr>
          <w:sz w:val="20"/>
          <w:szCs w:val="20"/>
        </w:rPr>
        <w:t>sumaria</w:t>
      </w:r>
      <w:proofErr w:type="spellEnd"/>
      <w:r w:rsidRPr="00986EC5">
        <w:rPr>
          <w:sz w:val="20"/>
          <w:szCs w:val="20"/>
        </w:rPr>
        <w:t xml:space="preserve"> a personas migrantes y refugiadas sin observar ningún tipo de procedimiento ni respeto a las garantías procedimentales. El 24 de junio de 2022, España devolvió sin garantías al menos a 470 personas procedentes del África subsahariana a través de su puesto fronterizo de Barrio Chino en la ciudad de Melilla, muchos de ellos refugiados y solicitantes de asilo.</w:t>
      </w:r>
      <w:r w:rsidRPr="00986EC5">
        <w:rPr>
          <w:sz w:val="20"/>
          <w:szCs w:val="20"/>
          <w:vertAlign w:val="superscript"/>
        </w:rPr>
        <w:footnoteReference w:id="26"/>
      </w:r>
      <w:r w:rsidRPr="00986EC5">
        <w:rPr>
          <w:sz w:val="20"/>
          <w:szCs w:val="20"/>
        </w:rPr>
        <w:t xml:space="preserve"> Como consecuencia de esa operación policial ilegítima, al menos 37 personas negras murieron, mientras casi un centenar quedaron en paradero desconocido.</w:t>
      </w:r>
      <w:r w:rsidRPr="00986EC5">
        <w:rPr>
          <w:sz w:val="20"/>
          <w:szCs w:val="20"/>
          <w:vertAlign w:val="superscript"/>
        </w:rPr>
        <w:footnoteReference w:id="27"/>
      </w:r>
      <w:r w:rsidRPr="00986EC5">
        <w:rPr>
          <w:sz w:val="20"/>
          <w:szCs w:val="20"/>
        </w:rPr>
        <w:t xml:space="preserve"> Las fuerzas de seguridad españolas y marroquíes utilizaron porras, gas lacrimógeno y balas de goma. Las autoridades españolas no proporcionaron ningún tipo de asistencia médica a las personas que permanecieron heridas durante horas en el puesto fronterizo de Barrio Chino situado en territorio   español. Cientos de personas permanecieron bajo el sol durante al menos ocho horas. A pesar de la gravedad de los hechos, no sé ha realizado ningún tipo de investigación efectiva del incidente más mortífero ocurrido en la frontera española para dirimir responsabilidades con relación a las devoluciones, el uso excesivo de la fuerza o la negación del derecho a asistencia sanitaria de urgencia, ni tampoco sobre la existencia de comportamiento racista o discriminatorio.</w:t>
      </w:r>
      <w:r w:rsidRPr="00986EC5">
        <w:rPr>
          <w:sz w:val="20"/>
          <w:szCs w:val="20"/>
          <w:vertAlign w:val="superscript"/>
        </w:rPr>
        <w:footnoteReference w:id="28"/>
      </w:r>
    </w:p>
    <w:p w14:paraId="65BFE1E1" w14:textId="77777777" w:rsidR="00986EC5" w:rsidRDefault="00986EC5" w:rsidP="00986EC5">
      <w:pPr>
        <w:pStyle w:val="BBodyText"/>
        <w:rPr>
          <w:sz w:val="20"/>
          <w:szCs w:val="20"/>
        </w:rPr>
      </w:pPr>
      <w:r w:rsidRPr="00986EC5">
        <w:rPr>
          <w:sz w:val="20"/>
          <w:szCs w:val="20"/>
        </w:rPr>
        <w:t>Amnistía Internacional observa con preocupación que el Ministerio de Interior sigue sin garantizar que las personas necesitadas de protección internacional reciben la información adecuada desde el primer momento de su llegada y tienen derecho a una asistencia letrada e intérprete de calidad. La organización ha recabado información sobre la falta de intérpretes en los procedimientos de devolución que inicia la policía, o la falta de asistencia letrada real, ya que en muchos casos el letrado o la letrada ni siquiera tiene la oportunidad de hablar con la persona que representa.</w:t>
      </w:r>
      <w:r w:rsidRPr="00986EC5">
        <w:rPr>
          <w:sz w:val="20"/>
          <w:szCs w:val="20"/>
          <w:vertAlign w:val="superscript"/>
        </w:rPr>
        <w:footnoteReference w:id="29"/>
      </w:r>
      <w:r w:rsidRPr="00986EC5">
        <w:rPr>
          <w:sz w:val="20"/>
          <w:szCs w:val="20"/>
        </w:rPr>
        <w:t xml:space="preserve"> . </w:t>
      </w:r>
    </w:p>
    <w:p w14:paraId="6C513676" w14:textId="77777777" w:rsidR="00D2101F" w:rsidRPr="00986EC5" w:rsidRDefault="00D2101F" w:rsidP="00986EC5">
      <w:pPr>
        <w:pStyle w:val="BBodyText"/>
        <w:rPr>
          <w:sz w:val="20"/>
          <w:szCs w:val="20"/>
        </w:rPr>
      </w:pPr>
    </w:p>
    <w:p w14:paraId="0D495660" w14:textId="77777777" w:rsidR="00986EC5" w:rsidRPr="00986EC5" w:rsidRDefault="00986EC5" w:rsidP="00D2101F">
      <w:pPr>
        <w:pStyle w:val="BSubheadingnonumbers"/>
      </w:pPr>
      <w:bookmarkStart w:id="14" w:name="_Toc200231286"/>
      <w:r w:rsidRPr="00986EC5">
        <w:t>Recomendaciones</w:t>
      </w:r>
      <w:bookmarkEnd w:id="14"/>
    </w:p>
    <w:p w14:paraId="518347FD" w14:textId="77777777" w:rsidR="00986EC5" w:rsidRPr="00986EC5" w:rsidRDefault="00986EC5" w:rsidP="00986EC5">
      <w:pPr>
        <w:pStyle w:val="BBodyText"/>
        <w:rPr>
          <w:sz w:val="20"/>
          <w:szCs w:val="20"/>
        </w:rPr>
      </w:pPr>
      <w:r w:rsidRPr="00986EC5">
        <w:rPr>
          <w:sz w:val="20"/>
          <w:szCs w:val="20"/>
        </w:rPr>
        <w:t>Amnistía Internacional recomienda al Estado español:</w:t>
      </w:r>
    </w:p>
    <w:p w14:paraId="346D87B5" w14:textId="77777777" w:rsidR="00986EC5" w:rsidRPr="00986EC5" w:rsidRDefault="00986EC5" w:rsidP="00986EC5">
      <w:pPr>
        <w:pStyle w:val="BBodyText"/>
        <w:numPr>
          <w:ilvl w:val="0"/>
          <w:numId w:val="35"/>
        </w:numPr>
        <w:rPr>
          <w:sz w:val="20"/>
          <w:szCs w:val="20"/>
        </w:rPr>
      </w:pPr>
      <w:r w:rsidRPr="00986EC5">
        <w:rPr>
          <w:sz w:val="20"/>
          <w:szCs w:val="20"/>
        </w:rPr>
        <w:t>Derogar la legislación que intenta legaliza los “rechazos en frontera” en Ceuta y Melilla y garantizar que se prohíben por ley la devolución (</w:t>
      </w:r>
      <w:proofErr w:type="spellStart"/>
      <w:r w:rsidRPr="00986EC5">
        <w:rPr>
          <w:sz w:val="20"/>
          <w:szCs w:val="20"/>
        </w:rPr>
        <w:t>refoulement</w:t>
      </w:r>
      <w:proofErr w:type="spellEnd"/>
      <w:r w:rsidRPr="00986EC5">
        <w:rPr>
          <w:sz w:val="20"/>
          <w:szCs w:val="20"/>
        </w:rPr>
        <w:t>) y las expulsiones colectivas de España a Marruecos.</w:t>
      </w:r>
    </w:p>
    <w:p w14:paraId="68FBF994" w14:textId="77777777" w:rsidR="00986EC5" w:rsidRPr="00986EC5" w:rsidRDefault="00986EC5" w:rsidP="00986EC5">
      <w:pPr>
        <w:pStyle w:val="BBodyText"/>
        <w:numPr>
          <w:ilvl w:val="0"/>
          <w:numId w:val="35"/>
        </w:numPr>
        <w:rPr>
          <w:sz w:val="20"/>
          <w:szCs w:val="20"/>
        </w:rPr>
      </w:pPr>
      <w:r w:rsidRPr="00986EC5">
        <w:rPr>
          <w:sz w:val="20"/>
          <w:szCs w:val="20"/>
        </w:rPr>
        <w:t>Poner fin a la práctica de la expulsión sumaria en las fronteras de personas a Marruecos y garantizar que se toman medidas para cumplir todas las garantías que exigen el derecho y las normas internacionales y de la Unión Europea, incluido el principio de no devolución.</w:t>
      </w:r>
    </w:p>
    <w:p w14:paraId="25A27FE7" w14:textId="77777777" w:rsidR="00986EC5" w:rsidRPr="00986EC5" w:rsidRDefault="00986EC5" w:rsidP="00986EC5">
      <w:pPr>
        <w:pStyle w:val="BBodyText"/>
        <w:numPr>
          <w:ilvl w:val="0"/>
          <w:numId w:val="35"/>
        </w:numPr>
        <w:rPr>
          <w:sz w:val="20"/>
          <w:szCs w:val="20"/>
        </w:rPr>
      </w:pPr>
      <w:r w:rsidRPr="00986EC5">
        <w:rPr>
          <w:sz w:val="20"/>
          <w:szCs w:val="20"/>
        </w:rPr>
        <w:t>Garantizar el acceso efectivo y seguro de todas las personas que buscan protección a los puestos fronterizos oficiales para solicitar asilo, y cooperar con las autoridades marroquíes para eliminar específicamente las barreras existentes para las personas del África subsahariana.</w:t>
      </w:r>
    </w:p>
    <w:p w14:paraId="4B2604C3" w14:textId="77777777" w:rsidR="00986EC5" w:rsidRPr="00943558" w:rsidRDefault="00986EC5" w:rsidP="006F614F">
      <w:pPr>
        <w:pStyle w:val="BNumberedHeading"/>
        <w:rPr>
          <w:noProof w:val="0"/>
        </w:rPr>
      </w:pPr>
      <w:bookmarkStart w:id="15" w:name="_Toc199778962"/>
      <w:bookmarkStart w:id="16" w:name="_Toc199779314"/>
      <w:bookmarkStart w:id="17" w:name="_Toc200231287"/>
      <w:r w:rsidRPr="00943558">
        <w:rPr>
          <w:noProof w:val="0"/>
        </w:rPr>
        <w:t xml:space="preserve">DERECHOS DE </w:t>
      </w:r>
      <w:proofErr w:type="gramStart"/>
      <w:r w:rsidRPr="00943558">
        <w:rPr>
          <w:noProof w:val="0"/>
        </w:rPr>
        <w:t>LOS NIÑOS Y NIÑAS</w:t>
      </w:r>
      <w:proofErr w:type="gramEnd"/>
      <w:r w:rsidRPr="00943558">
        <w:rPr>
          <w:noProof w:val="0"/>
        </w:rPr>
        <w:t xml:space="preserve"> MIGRANTES Y REFUGIADOS NO ACOMPAÑADOS (ARTÍCULO 24)</w:t>
      </w:r>
      <w:bookmarkEnd w:id="15"/>
      <w:bookmarkEnd w:id="16"/>
      <w:bookmarkEnd w:id="17"/>
    </w:p>
    <w:p w14:paraId="0C918B8D" w14:textId="77777777" w:rsidR="00986EC5" w:rsidRPr="00986EC5" w:rsidRDefault="00986EC5" w:rsidP="00986EC5">
      <w:pPr>
        <w:pStyle w:val="BBodyText"/>
        <w:rPr>
          <w:sz w:val="20"/>
          <w:szCs w:val="20"/>
        </w:rPr>
      </w:pPr>
      <w:r w:rsidRPr="00986EC5">
        <w:rPr>
          <w:sz w:val="20"/>
          <w:szCs w:val="20"/>
        </w:rPr>
        <w:t xml:space="preserve">España sigue incumpliendo su obligación de respetar el derecho de </w:t>
      </w:r>
      <w:proofErr w:type="gramStart"/>
      <w:r w:rsidRPr="00986EC5">
        <w:rPr>
          <w:sz w:val="20"/>
          <w:szCs w:val="20"/>
        </w:rPr>
        <w:t>los niños y niñas</w:t>
      </w:r>
      <w:proofErr w:type="gramEnd"/>
      <w:r w:rsidRPr="00986EC5">
        <w:rPr>
          <w:sz w:val="20"/>
          <w:szCs w:val="20"/>
        </w:rPr>
        <w:t xml:space="preserve"> migrantes no acompañados a una acogida digna. La búsqueda de soluciones duraderas para garantizar el interés superior del niño es una responsabilidad compartida entre las Comunidades Autónomas, el Gobierno central y la Fiscalía.  Sin embargo, existe una grave descoordinación entre las administraciones encargadas de velar por todos sus derechos, con graves consecuencias tanto cuando son menores de 18 años, como en sus perspectivas de futuro.</w:t>
      </w:r>
      <w:r w:rsidRPr="00986EC5">
        <w:rPr>
          <w:sz w:val="20"/>
          <w:szCs w:val="20"/>
          <w:vertAlign w:val="superscript"/>
        </w:rPr>
        <w:footnoteReference w:id="30"/>
      </w:r>
    </w:p>
    <w:p w14:paraId="46A36A7A" w14:textId="77777777" w:rsidR="00986EC5" w:rsidRPr="00986EC5" w:rsidRDefault="00986EC5" w:rsidP="00E83100">
      <w:pPr>
        <w:pStyle w:val="BBodyText"/>
        <w:rPr>
          <w:sz w:val="20"/>
          <w:szCs w:val="20"/>
        </w:rPr>
      </w:pPr>
      <w:r w:rsidRPr="00986EC5">
        <w:rPr>
          <w:sz w:val="20"/>
          <w:szCs w:val="20"/>
        </w:rPr>
        <w:t>En los últimos años, especialmente el sistema de acogida de niños y niñas en Canarias se ha visto tensionado ante el aumento de la llegada de infancia migrante no acompañada a sus costas, mayoritariamente de origen subsahariano y marroquí.</w:t>
      </w:r>
      <w:r w:rsidRPr="00986EC5">
        <w:rPr>
          <w:sz w:val="20"/>
          <w:szCs w:val="20"/>
          <w:vertAlign w:val="superscript"/>
        </w:rPr>
        <w:footnoteReference w:id="31"/>
      </w:r>
      <w:r w:rsidRPr="00986EC5">
        <w:rPr>
          <w:sz w:val="20"/>
          <w:szCs w:val="20"/>
        </w:rPr>
        <w:t xml:space="preserve"> Las autoridades de las Islas Canarias, punto principal de entrada de personas migrantes a España, dijeron  a Amnistía Internacional que,</w:t>
      </w:r>
      <w:r w:rsidRPr="00986EC5">
        <w:rPr>
          <w:sz w:val="20"/>
          <w:szCs w:val="20"/>
          <w:vertAlign w:val="superscript"/>
        </w:rPr>
        <w:footnoteReference w:id="32"/>
      </w:r>
      <w:r w:rsidRPr="00986EC5">
        <w:rPr>
          <w:sz w:val="20"/>
          <w:szCs w:val="20"/>
        </w:rPr>
        <w:t xml:space="preserve"> entre los niños y niñas hay perfiles muy vulnerables o con necesidades específicas, niños y niñas que huyen de violaciones de derechos humanos, supervivientes de contextos de violencia o trauma, niños y niñas que pueden presentar potenciales impactos en su salud mental que, unido a situaciones de incertidumbre o ansiedad por las experiencias vividas o ante su futuro incierto, precisan de atención especializada e integral, y bien mediante apoyo psicológico o incluso psiquiátrico Trabajadoras sociales de los centros de acogida de emergencia en las islas de Gran Canaria y Tenerife que visitó Amnistía Internacional, así el Director de Infancia del Cabildo de Tenerife</w:t>
      </w:r>
      <w:r w:rsidRPr="00986EC5" w:rsidDel="6F210C3C">
        <w:rPr>
          <w:sz w:val="20"/>
          <w:szCs w:val="20"/>
        </w:rPr>
        <w:t xml:space="preserve"> entrevistadas</w:t>
      </w:r>
      <w:r w:rsidRPr="00986EC5">
        <w:rPr>
          <w:sz w:val="20"/>
          <w:szCs w:val="20"/>
        </w:rPr>
        <w:t xml:space="preserve"> por Amnistía Internacional coincidieron en las dificultades a las que se tenían que enfrentar para que estos niños y niñas puedan recibir atención psicológica o psiquiátrica especializada dentro del sistema sanitario de salud.</w:t>
      </w:r>
      <w:r w:rsidRPr="00986EC5">
        <w:rPr>
          <w:sz w:val="20"/>
          <w:szCs w:val="20"/>
          <w:vertAlign w:val="superscript"/>
        </w:rPr>
        <w:footnoteReference w:id="33"/>
      </w:r>
    </w:p>
    <w:p w14:paraId="0638A463" w14:textId="77777777" w:rsidR="00986EC5" w:rsidRPr="00986EC5" w:rsidRDefault="00986EC5" w:rsidP="00986EC5">
      <w:pPr>
        <w:pStyle w:val="BBodyText"/>
        <w:rPr>
          <w:sz w:val="20"/>
          <w:szCs w:val="20"/>
        </w:rPr>
      </w:pPr>
      <w:r w:rsidRPr="00986EC5">
        <w:rPr>
          <w:sz w:val="20"/>
          <w:szCs w:val="20"/>
        </w:rPr>
        <w:t xml:space="preserve">Son varios los problemas detectados en relación con el trato de </w:t>
      </w:r>
      <w:proofErr w:type="gramStart"/>
      <w:r w:rsidRPr="00986EC5">
        <w:rPr>
          <w:sz w:val="20"/>
          <w:szCs w:val="20"/>
        </w:rPr>
        <w:t>los niños y niñas</w:t>
      </w:r>
      <w:proofErr w:type="gramEnd"/>
      <w:r w:rsidRPr="00986EC5">
        <w:rPr>
          <w:sz w:val="20"/>
          <w:szCs w:val="20"/>
        </w:rPr>
        <w:t xml:space="preserve"> no acompañados:</w:t>
      </w:r>
    </w:p>
    <w:p w14:paraId="6222B291" w14:textId="77777777" w:rsidR="006F7683" w:rsidRDefault="00986EC5" w:rsidP="00986EC5">
      <w:pPr>
        <w:pStyle w:val="BBodyText"/>
        <w:numPr>
          <w:ilvl w:val="0"/>
          <w:numId w:val="44"/>
        </w:numPr>
        <w:ind w:left="567"/>
        <w:rPr>
          <w:sz w:val="20"/>
          <w:szCs w:val="20"/>
        </w:rPr>
      </w:pPr>
      <w:r w:rsidRPr="00986EC5">
        <w:rPr>
          <w:b/>
          <w:sz w:val="20"/>
          <w:szCs w:val="20"/>
        </w:rPr>
        <w:t xml:space="preserve">No se está garantizando la diligencia debida en la detección e identificación de </w:t>
      </w:r>
      <w:proofErr w:type="gramStart"/>
      <w:r w:rsidRPr="00986EC5">
        <w:rPr>
          <w:b/>
          <w:sz w:val="20"/>
          <w:szCs w:val="20"/>
        </w:rPr>
        <w:t>los niños y niñas</w:t>
      </w:r>
      <w:proofErr w:type="gramEnd"/>
      <w:r w:rsidRPr="00986EC5">
        <w:rPr>
          <w:b/>
          <w:sz w:val="20"/>
          <w:szCs w:val="20"/>
        </w:rPr>
        <w:t xml:space="preserve"> </w:t>
      </w:r>
      <w:r w:rsidRPr="00986EC5">
        <w:rPr>
          <w:sz w:val="20"/>
          <w:szCs w:val="20"/>
        </w:rPr>
        <w:t>que viajan sin compañía de una persona adulta responsable, que garantice su inmediata protección desde su llegada a costas españolas.  Desde el año 2021 Amnistía Internacional está denunciando la presencia de niños migrantes y refugiados no acompañados en campamentos de acogida para personas adultas, a pesar de haber indicado su minoría de edad a las autoridades, incluso con documentación que indica su minoría de edad.</w:t>
      </w:r>
      <w:r w:rsidRPr="00986EC5">
        <w:rPr>
          <w:sz w:val="20"/>
          <w:szCs w:val="20"/>
          <w:vertAlign w:val="superscript"/>
        </w:rPr>
        <w:footnoteReference w:id="34"/>
      </w:r>
      <w:r w:rsidRPr="00986EC5">
        <w:rPr>
          <w:sz w:val="20"/>
          <w:szCs w:val="20"/>
        </w:rPr>
        <w:t xml:space="preserve">  A pesar de las recomendaciones de, entre otros, el Defensor del Pueblo</w:t>
      </w:r>
      <w:r w:rsidRPr="00986EC5">
        <w:rPr>
          <w:sz w:val="20"/>
          <w:szCs w:val="20"/>
          <w:vertAlign w:val="superscript"/>
        </w:rPr>
        <w:footnoteReference w:id="35"/>
      </w:r>
      <w:r w:rsidRPr="00986EC5">
        <w:rPr>
          <w:sz w:val="20"/>
          <w:szCs w:val="20"/>
        </w:rPr>
        <w:t xml:space="preserve"> para que la policía se asista de intérpretes y personal especializado en infancia que les ayude a la correcta identificación de niños y niñas que viajan solos, esta función sigue recayendo únicamente en los agentes de la policía nacional, que, según el testimonio de varias de las personas entrevistadas, se guían principalmente por su percepción sobre el físico del niño o la niña.</w:t>
      </w:r>
      <w:r w:rsidRPr="00986EC5">
        <w:rPr>
          <w:sz w:val="20"/>
          <w:szCs w:val="20"/>
          <w:vertAlign w:val="superscript"/>
        </w:rPr>
        <w:footnoteReference w:id="36"/>
      </w:r>
    </w:p>
    <w:p w14:paraId="5DA2F6B2" w14:textId="77777777" w:rsidR="006F7683" w:rsidRDefault="00986EC5" w:rsidP="00986EC5">
      <w:pPr>
        <w:pStyle w:val="BBodyText"/>
        <w:numPr>
          <w:ilvl w:val="0"/>
          <w:numId w:val="44"/>
        </w:numPr>
        <w:ind w:left="567"/>
        <w:rPr>
          <w:sz w:val="20"/>
          <w:szCs w:val="20"/>
        </w:rPr>
      </w:pPr>
      <w:r w:rsidRPr="00986EC5">
        <w:rPr>
          <w:sz w:val="20"/>
          <w:szCs w:val="20"/>
        </w:rPr>
        <w:t>Siguen realizándose pruebas médicas innecesarias para la determinación de la edad, incluso cuando los niños y niñas  aportan documentación que corroboran su minoría de edad.</w:t>
      </w:r>
      <w:r w:rsidRPr="00986EC5">
        <w:rPr>
          <w:sz w:val="20"/>
          <w:szCs w:val="20"/>
          <w:vertAlign w:val="superscript"/>
        </w:rPr>
        <w:footnoteReference w:id="37"/>
      </w:r>
      <w:r w:rsidRPr="00986EC5">
        <w:rPr>
          <w:sz w:val="20"/>
          <w:szCs w:val="20"/>
        </w:rPr>
        <w:t xml:space="preserve"> España acumula hasta 18 dictámenes del Comité de los Derechos del Niño que vela por el cumplimiento de la Convención sobre los Derechos del Niño,</w:t>
      </w:r>
      <w:r w:rsidRPr="00986EC5">
        <w:rPr>
          <w:sz w:val="20"/>
          <w:szCs w:val="20"/>
          <w:vertAlign w:val="superscript"/>
        </w:rPr>
        <w:footnoteReference w:id="38"/>
      </w:r>
      <w:r w:rsidRPr="00986EC5">
        <w:rPr>
          <w:sz w:val="20"/>
          <w:szCs w:val="20"/>
        </w:rPr>
        <w:t xml:space="preserve"> que ha recordado reiteradamente a las autoridades españolas que mientras el proceso de determinación de la edad esté abierto, deberá otorgarse a la persona el beneficio de la duda, es decir, presumir que es menor de 18 años, y tratarla como un niño o niña; prevaleciendo el interés superior del niño; los Estados deben nombrar a un representante legal cualificado y un intérprete en caso de necesidad para todas las personas y que aleguen ser menores de 18 años; y que deben abstenerse de la realización de pruebas médicas innecesarias cuando existe documentación probatoria de su edad, solo en ausencia de esta debe procederse a una evaluación global del desarrollo físico y psicológico del niño o de la niña, llevado a cabo por pediatras y otros especialistas y sin injerencias o violaciones a su derecho a la intimidad, privacidad y a su dignidad. Igualmente, debe garantizarse el derecho de pedir asilo a </w:t>
      </w:r>
      <w:proofErr w:type="gramStart"/>
      <w:r w:rsidRPr="00986EC5">
        <w:rPr>
          <w:sz w:val="20"/>
          <w:szCs w:val="20"/>
        </w:rPr>
        <w:t>los niños y niñas</w:t>
      </w:r>
      <w:proofErr w:type="gramEnd"/>
      <w:r w:rsidRPr="00986EC5">
        <w:rPr>
          <w:sz w:val="20"/>
          <w:szCs w:val="20"/>
        </w:rPr>
        <w:t xml:space="preserve"> que lo deseen, en estos casos además de asignarles un tutor legal, debe garantizarse también la representación legal.</w:t>
      </w:r>
    </w:p>
    <w:p w14:paraId="3933E191" w14:textId="77777777" w:rsidR="006F7683" w:rsidRDefault="00986EC5" w:rsidP="00986EC5">
      <w:pPr>
        <w:pStyle w:val="BBodyText"/>
        <w:numPr>
          <w:ilvl w:val="0"/>
          <w:numId w:val="44"/>
        </w:numPr>
        <w:ind w:left="567"/>
        <w:rPr>
          <w:sz w:val="20"/>
          <w:szCs w:val="20"/>
        </w:rPr>
      </w:pPr>
      <w:r w:rsidRPr="00986EC5">
        <w:rPr>
          <w:sz w:val="20"/>
          <w:szCs w:val="20"/>
        </w:rPr>
        <w:t xml:space="preserve">Miles de </w:t>
      </w:r>
      <w:proofErr w:type="gramStart"/>
      <w:r w:rsidRPr="00986EC5">
        <w:rPr>
          <w:sz w:val="20"/>
          <w:szCs w:val="20"/>
        </w:rPr>
        <w:t>niños y niñas</w:t>
      </w:r>
      <w:proofErr w:type="gramEnd"/>
      <w:r w:rsidRPr="00986EC5">
        <w:rPr>
          <w:sz w:val="20"/>
          <w:szCs w:val="20"/>
        </w:rPr>
        <w:t xml:space="preserve"> no acompañados son acogidos en macrocentros donde conviven en condiciones de hacinamiento. La acogida en macrocentros de emergencia o primera acogida impide la elaboración de programas educativos individualizados, o la detección de necesidades especiales o vulnerabilidades ni existen un compromiso firme para facilitarles su transición a la vida adulta.</w:t>
      </w:r>
      <w:r w:rsidRPr="00986EC5">
        <w:rPr>
          <w:sz w:val="20"/>
          <w:szCs w:val="20"/>
          <w:vertAlign w:val="superscript"/>
        </w:rPr>
        <w:footnoteReference w:id="39"/>
      </w:r>
      <w:r w:rsidRPr="00986EC5">
        <w:rPr>
          <w:sz w:val="20"/>
          <w:szCs w:val="20"/>
        </w:rPr>
        <w:t xml:space="preserve">  </w:t>
      </w:r>
    </w:p>
    <w:p w14:paraId="0814FBE7" w14:textId="77777777" w:rsidR="006F7683" w:rsidRDefault="00986EC5" w:rsidP="00986EC5">
      <w:pPr>
        <w:pStyle w:val="BBodyText"/>
        <w:numPr>
          <w:ilvl w:val="0"/>
          <w:numId w:val="44"/>
        </w:numPr>
        <w:ind w:left="567"/>
        <w:rPr>
          <w:sz w:val="20"/>
          <w:szCs w:val="20"/>
        </w:rPr>
      </w:pPr>
      <w:r w:rsidRPr="00986EC5">
        <w:rPr>
          <w:sz w:val="20"/>
          <w:szCs w:val="20"/>
        </w:rPr>
        <w:t>Las autoridades españolas incumplen la obligación establecida en la legislación española relativa a la documentación de los niñas y niños no acompañados que se encuentran en España,</w:t>
      </w:r>
      <w:r w:rsidRPr="00986EC5">
        <w:rPr>
          <w:sz w:val="20"/>
          <w:szCs w:val="20"/>
          <w:vertAlign w:val="superscript"/>
        </w:rPr>
        <w:footnoteReference w:id="40"/>
      </w:r>
      <w:r w:rsidRPr="00986EC5">
        <w:rPr>
          <w:sz w:val="20"/>
          <w:szCs w:val="20"/>
        </w:rPr>
        <w:t xml:space="preserve">  a pesar de que cuanto antes se inicien los trámites para regularizar su situación administrativa, más posibilidades de integración tendrá en la sociedad de acogida, facilitando su transición a la vida adulta. Personas que trabajan en la acogida de los niños y niñas han indicado a Amnistía Internacional encontrarse inmersas en una maraña de burocracia que termina haciendo muy complicado, sino imposible, conseguir la documentación de los niños y niñas.</w:t>
      </w:r>
      <w:r w:rsidRPr="00986EC5">
        <w:rPr>
          <w:sz w:val="20"/>
          <w:szCs w:val="20"/>
          <w:vertAlign w:val="superscript"/>
        </w:rPr>
        <w:footnoteReference w:id="41"/>
      </w:r>
      <w:r w:rsidRPr="00986EC5">
        <w:rPr>
          <w:sz w:val="20"/>
          <w:szCs w:val="20"/>
        </w:rPr>
        <w:t xml:space="preserve"> La no obtención de la documentación para su residencia en España por descoordinación o demoras no justificadas tiene gravísimas consecuencias en los derechos de los niños y niñas, mientras son menores de 18 años y sobre todo, cuando deben enfrentarse a la vida adulta. Dejar pasar plazos o no actuar con celeridad es especialmente grave en el caso de las niñas, teniendo en cuenta la escasa oferta de recursos existentes, tanto habitacionales como de otro tipo, cuando dejan de estar bajo la tutela de la administración, especialmente en el caso de niñas que presentan algún factor de vulnerabilidad. </w:t>
      </w:r>
    </w:p>
    <w:p w14:paraId="3FED09F9" w14:textId="77777777" w:rsidR="006F7683" w:rsidRDefault="00986EC5" w:rsidP="00986EC5">
      <w:pPr>
        <w:pStyle w:val="BBodyText"/>
        <w:numPr>
          <w:ilvl w:val="0"/>
          <w:numId w:val="44"/>
        </w:numPr>
        <w:ind w:left="567"/>
        <w:rPr>
          <w:sz w:val="20"/>
          <w:szCs w:val="20"/>
        </w:rPr>
      </w:pPr>
      <w:r w:rsidRPr="00986EC5">
        <w:rPr>
          <w:b/>
          <w:sz w:val="20"/>
          <w:szCs w:val="20"/>
        </w:rPr>
        <w:t xml:space="preserve">Se han reportado casos de malos tratos e insultos racistas en los centros de acogida de </w:t>
      </w:r>
      <w:proofErr w:type="gramStart"/>
      <w:r w:rsidRPr="00986EC5">
        <w:rPr>
          <w:b/>
          <w:sz w:val="20"/>
          <w:szCs w:val="20"/>
        </w:rPr>
        <w:t>niños y niñas</w:t>
      </w:r>
      <w:proofErr w:type="gramEnd"/>
      <w:r w:rsidRPr="00986EC5">
        <w:rPr>
          <w:b/>
          <w:sz w:val="20"/>
          <w:szCs w:val="20"/>
        </w:rPr>
        <w:t>.</w:t>
      </w:r>
      <w:r w:rsidRPr="00986EC5">
        <w:rPr>
          <w:sz w:val="20"/>
          <w:szCs w:val="20"/>
        </w:rPr>
        <w:t xml:space="preserve"> Amnistía Internacional ha documentado denuncias de violencia contra </w:t>
      </w:r>
      <w:proofErr w:type="gramStart"/>
      <w:r w:rsidRPr="00986EC5">
        <w:rPr>
          <w:sz w:val="20"/>
          <w:szCs w:val="20"/>
        </w:rPr>
        <w:t>los niños y niñas</w:t>
      </w:r>
      <w:proofErr w:type="gramEnd"/>
      <w:r w:rsidRPr="00986EC5">
        <w:rPr>
          <w:sz w:val="20"/>
          <w:szCs w:val="20"/>
        </w:rPr>
        <w:t xml:space="preserve"> </w:t>
      </w:r>
      <w:r w:rsidRPr="00986EC5">
        <w:rPr>
          <w:sz w:val="20"/>
          <w:szCs w:val="20"/>
          <w:vertAlign w:val="superscript"/>
        </w:rPr>
        <w:footnoteReference w:id="42"/>
      </w:r>
      <w:r w:rsidRPr="00986EC5">
        <w:rPr>
          <w:rFonts w:cs="Amnesty Trade Gothic Light"/>
          <w:sz w:val="20"/>
          <w:szCs w:val="20"/>
        </w:rPr>
        <w:t>￼</w:t>
      </w:r>
      <w:r w:rsidRPr="00986EC5">
        <w:rPr>
          <w:sz w:val="20"/>
          <w:szCs w:val="20"/>
        </w:rPr>
        <w:t xml:space="preserve"> como parte de una investigación de las denuncias recibidas de varios niños y </w:t>
      </w:r>
      <w:proofErr w:type="spellStart"/>
      <w:r w:rsidRPr="00986EC5">
        <w:rPr>
          <w:sz w:val="20"/>
          <w:szCs w:val="20"/>
        </w:rPr>
        <w:t>ex-trabajadores</w:t>
      </w:r>
      <w:proofErr w:type="spellEnd"/>
      <w:r w:rsidRPr="00986EC5">
        <w:rPr>
          <w:sz w:val="20"/>
          <w:szCs w:val="20"/>
        </w:rPr>
        <w:t xml:space="preserve"> de centros de acogida de emergencia. </w:t>
      </w:r>
      <w:r w:rsidRPr="00986EC5">
        <w:rPr>
          <w:sz w:val="20"/>
          <w:szCs w:val="20"/>
          <w:vertAlign w:val="superscript"/>
        </w:rPr>
        <w:footnoteReference w:id="43"/>
      </w:r>
      <w:r w:rsidRPr="00986EC5">
        <w:rPr>
          <w:rFonts w:cs="Amnesty Trade Gothic Light"/>
          <w:sz w:val="20"/>
          <w:szCs w:val="20"/>
        </w:rPr>
        <w:t>￼</w:t>
      </w:r>
      <w:r w:rsidRPr="00986EC5">
        <w:rPr>
          <w:sz w:val="20"/>
          <w:szCs w:val="20"/>
        </w:rPr>
        <w:t xml:space="preserve"> Una trabajadora incluso contó a Amnistía Internacional conocer casos de niños a los que se había ralentizado, o directamente no se habían iniciado, trámites relativos a documentación o escolarización como castigo por ser considerados de conducta conflictiva. </w:t>
      </w:r>
    </w:p>
    <w:p w14:paraId="334D6075" w14:textId="49E3B6EA" w:rsidR="00986EC5" w:rsidRPr="006F7683" w:rsidRDefault="00986EC5" w:rsidP="00986EC5">
      <w:pPr>
        <w:pStyle w:val="BBodyText"/>
        <w:numPr>
          <w:ilvl w:val="0"/>
          <w:numId w:val="44"/>
        </w:numPr>
        <w:ind w:left="567"/>
        <w:rPr>
          <w:sz w:val="20"/>
          <w:szCs w:val="20"/>
        </w:rPr>
      </w:pPr>
      <w:r w:rsidRPr="00986EC5">
        <w:rPr>
          <w:b/>
          <w:sz w:val="20"/>
          <w:szCs w:val="20"/>
        </w:rPr>
        <w:t>El odio y la xenofobia como herramienta política.</w:t>
      </w:r>
      <w:r w:rsidRPr="00986EC5">
        <w:rPr>
          <w:sz w:val="20"/>
          <w:szCs w:val="20"/>
        </w:rPr>
        <w:t xml:space="preserve"> Preocupa el aumento de discursos por algunos representantes de partidos políticos que atacan directamente a la dignidad de los niños y niñas migrantes que llegan a España, principalmente de Marruecos y otros países africanos, con graves acusaciones sin pruebas de “ser un peligro” o lanzando mensajes que apelan a la xenofobia tales como impedir que “nuestras regiones, comarcas, barrios y pueblos se conviertan en laboratorios multiculturales de Bruselas”.</w:t>
      </w:r>
      <w:r w:rsidRPr="00986EC5">
        <w:rPr>
          <w:sz w:val="20"/>
          <w:szCs w:val="20"/>
          <w:vertAlign w:val="superscript"/>
        </w:rPr>
        <w:footnoteReference w:id="44"/>
      </w:r>
      <w:r w:rsidRPr="00986EC5">
        <w:rPr>
          <w:sz w:val="20"/>
          <w:szCs w:val="20"/>
        </w:rPr>
        <w:t xml:space="preserve"> Del mismo modo, algunos representantes políticos en su discurso público fomentan una visión negativa de las personas migrantes, especialmente cuando se encuentran en situación irregular, ahondando en las narrativas del miedo y </w:t>
      </w:r>
      <w:proofErr w:type="spellStart"/>
      <w:r w:rsidRPr="00986EC5">
        <w:rPr>
          <w:sz w:val="20"/>
          <w:szCs w:val="20"/>
        </w:rPr>
        <w:t>securitización</w:t>
      </w:r>
      <w:proofErr w:type="spellEnd"/>
      <w:r w:rsidRPr="00986EC5">
        <w:rPr>
          <w:sz w:val="20"/>
          <w:szCs w:val="20"/>
        </w:rPr>
        <w:t>, refiriéndose a la cuestión de la acogida de infancia migrantes como un problema o a seguir el ejemplo de otros países de “deportaciones masivas” de personas migrantes.</w:t>
      </w:r>
      <w:r w:rsidRPr="00986EC5">
        <w:rPr>
          <w:sz w:val="20"/>
          <w:szCs w:val="20"/>
          <w:vertAlign w:val="superscript"/>
        </w:rPr>
        <w:footnoteReference w:id="45"/>
      </w:r>
      <w:r w:rsidRPr="00986EC5">
        <w:rPr>
          <w:sz w:val="20"/>
          <w:szCs w:val="20"/>
        </w:rPr>
        <w:t xml:space="preserve"> </w:t>
      </w:r>
    </w:p>
    <w:p w14:paraId="49DCAACF" w14:textId="77777777" w:rsidR="00D2101F" w:rsidRPr="00986EC5" w:rsidRDefault="00D2101F" w:rsidP="00986EC5">
      <w:pPr>
        <w:pStyle w:val="BBodyText"/>
        <w:rPr>
          <w:sz w:val="20"/>
          <w:szCs w:val="20"/>
        </w:rPr>
      </w:pPr>
    </w:p>
    <w:p w14:paraId="3A7A2652" w14:textId="77777777" w:rsidR="00986EC5" w:rsidRPr="00986EC5" w:rsidRDefault="00986EC5" w:rsidP="00D2101F">
      <w:pPr>
        <w:pStyle w:val="BSubheadingnonumbers"/>
      </w:pPr>
      <w:bookmarkStart w:id="18" w:name="_Toc200231288"/>
      <w:r w:rsidRPr="00986EC5">
        <w:t>Recomendaciones</w:t>
      </w:r>
      <w:bookmarkEnd w:id="18"/>
    </w:p>
    <w:p w14:paraId="7B1CEC01" w14:textId="77777777" w:rsidR="00986EC5" w:rsidRPr="00986EC5" w:rsidRDefault="00986EC5" w:rsidP="00986EC5">
      <w:pPr>
        <w:pStyle w:val="BBodyText"/>
        <w:rPr>
          <w:sz w:val="20"/>
          <w:szCs w:val="20"/>
        </w:rPr>
      </w:pPr>
      <w:r w:rsidRPr="00986EC5">
        <w:rPr>
          <w:sz w:val="20"/>
          <w:szCs w:val="20"/>
        </w:rPr>
        <w:t>Amnistía Internacional recomienda a España:</w:t>
      </w:r>
    </w:p>
    <w:p w14:paraId="1F96E8DD" w14:textId="77777777" w:rsidR="00986EC5" w:rsidRPr="00986EC5" w:rsidRDefault="00986EC5" w:rsidP="00986EC5">
      <w:pPr>
        <w:pStyle w:val="BBodyText"/>
        <w:numPr>
          <w:ilvl w:val="0"/>
          <w:numId w:val="34"/>
        </w:numPr>
        <w:rPr>
          <w:sz w:val="20"/>
          <w:szCs w:val="20"/>
        </w:rPr>
      </w:pPr>
      <w:r w:rsidRPr="00986EC5">
        <w:rPr>
          <w:sz w:val="20"/>
          <w:szCs w:val="20"/>
        </w:rPr>
        <w:t xml:space="preserve">Garantizar que el interés superior del niño sea una consideración primordial en todas las decisiones que les afecten y todos los procedimientos relacionados con la determinación de la edad, de conformidad con la Convención sobres los Derechos del Niño.  Las decisiones deben adoptarse caso por caso, valorando las circunstancias individuales y garantizando la protección integral del niño o niña sin discriminación. </w:t>
      </w:r>
    </w:p>
    <w:p w14:paraId="7B701B8E" w14:textId="77777777" w:rsidR="00986EC5" w:rsidRPr="00986EC5" w:rsidRDefault="00986EC5" w:rsidP="00986EC5">
      <w:pPr>
        <w:pStyle w:val="BBodyText"/>
        <w:numPr>
          <w:ilvl w:val="0"/>
          <w:numId w:val="34"/>
        </w:numPr>
        <w:rPr>
          <w:sz w:val="20"/>
          <w:szCs w:val="20"/>
        </w:rPr>
      </w:pPr>
      <w:r w:rsidRPr="00986EC5">
        <w:rPr>
          <w:sz w:val="20"/>
          <w:szCs w:val="20"/>
        </w:rPr>
        <w:t>Los procedimientos de determinación de edad deben utilizarse únicamente cuando existan serias dudas sobre la edad declarada por la persona.</w:t>
      </w:r>
    </w:p>
    <w:p w14:paraId="16DE1C69" w14:textId="77777777" w:rsidR="00986EC5" w:rsidRPr="00986EC5" w:rsidRDefault="00986EC5" w:rsidP="00986EC5">
      <w:pPr>
        <w:pStyle w:val="BBodyText"/>
        <w:numPr>
          <w:ilvl w:val="0"/>
          <w:numId w:val="34"/>
        </w:numPr>
        <w:rPr>
          <w:sz w:val="20"/>
          <w:szCs w:val="20"/>
        </w:rPr>
      </w:pPr>
      <w:r w:rsidRPr="00986EC5">
        <w:rPr>
          <w:sz w:val="20"/>
          <w:szCs w:val="20"/>
        </w:rPr>
        <w:t xml:space="preserve">Garantizar el derecho de </w:t>
      </w:r>
      <w:proofErr w:type="gramStart"/>
      <w:r w:rsidRPr="00986EC5">
        <w:rPr>
          <w:sz w:val="20"/>
          <w:szCs w:val="20"/>
        </w:rPr>
        <w:t>los niños y las niñas</w:t>
      </w:r>
      <w:proofErr w:type="gramEnd"/>
      <w:r w:rsidRPr="00986EC5">
        <w:rPr>
          <w:sz w:val="20"/>
          <w:szCs w:val="20"/>
        </w:rPr>
        <w:t xml:space="preserve"> a ser escuchados en las decisiones que les afectan y que sus opiniones sean tenidas debidamente en cuenta. Proporcionar información adecuada sobre sus derechos, incluyendo el derecho a pedir protección internacional, y se </w:t>
      </w:r>
      <w:proofErr w:type="gramStart"/>
      <w:r w:rsidRPr="00986EC5">
        <w:rPr>
          <w:sz w:val="20"/>
          <w:szCs w:val="20"/>
        </w:rPr>
        <w:t>les</w:t>
      </w:r>
      <w:proofErr w:type="gramEnd"/>
      <w:r w:rsidRPr="00986EC5">
        <w:rPr>
          <w:sz w:val="20"/>
          <w:szCs w:val="20"/>
        </w:rPr>
        <w:t xml:space="preserve"> facilite acceso a asistencia letrada gratuita, y de intérprete de calidad.</w:t>
      </w:r>
    </w:p>
    <w:p w14:paraId="61F4AB81" w14:textId="77777777" w:rsidR="00986EC5" w:rsidRPr="00986EC5" w:rsidRDefault="00986EC5" w:rsidP="00986EC5">
      <w:pPr>
        <w:pStyle w:val="BBodyText"/>
        <w:numPr>
          <w:ilvl w:val="0"/>
          <w:numId w:val="34"/>
        </w:numPr>
        <w:rPr>
          <w:sz w:val="20"/>
          <w:szCs w:val="20"/>
        </w:rPr>
      </w:pPr>
      <w:r w:rsidRPr="00986EC5">
        <w:rPr>
          <w:sz w:val="20"/>
          <w:szCs w:val="20"/>
        </w:rPr>
        <w:t xml:space="preserve">Dimensionar de manera adecuada los recursos necesarios para la atención de </w:t>
      </w:r>
      <w:proofErr w:type="gramStart"/>
      <w:r w:rsidRPr="00986EC5">
        <w:rPr>
          <w:sz w:val="20"/>
          <w:szCs w:val="20"/>
        </w:rPr>
        <w:t>los niños y niñas</w:t>
      </w:r>
      <w:proofErr w:type="gramEnd"/>
      <w:r w:rsidRPr="00986EC5">
        <w:rPr>
          <w:sz w:val="20"/>
          <w:szCs w:val="20"/>
        </w:rPr>
        <w:t xml:space="preserve">, incluyendo los recursos de la administración pública además de los destinados a organizaciones implicadas en la acogida de </w:t>
      </w:r>
      <w:proofErr w:type="gramStart"/>
      <w:r w:rsidRPr="00986EC5">
        <w:rPr>
          <w:sz w:val="20"/>
          <w:szCs w:val="20"/>
        </w:rPr>
        <w:t>los niños y niñas</w:t>
      </w:r>
      <w:proofErr w:type="gramEnd"/>
      <w:r w:rsidRPr="00986EC5">
        <w:rPr>
          <w:sz w:val="20"/>
          <w:szCs w:val="20"/>
        </w:rPr>
        <w:t xml:space="preserve">. Revisar la normativa y los criterios para la apertura y funcionamiento de centros de acogimiento residencial, para garantizar una acogida digna, con personal debidamente formado, capacitando adecuadamente a todo el personal implicado, incluido fuerzas de seguridad, fiscales y todo el personal que trabaja en los centros de acogida, en derechos de la infancia. Garantizar que los centros elaboran los programas educativos individualizados, y que se detecta e identifica adecuadamente a </w:t>
      </w:r>
      <w:proofErr w:type="gramStart"/>
      <w:r w:rsidRPr="00986EC5">
        <w:rPr>
          <w:sz w:val="20"/>
          <w:szCs w:val="20"/>
        </w:rPr>
        <w:t>niños y niñas</w:t>
      </w:r>
      <w:proofErr w:type="gramEnd"/>
      <w:r w:rsidRPr="00986EC5">
        <w:rPr>
          <w:sz w:val="20"/>
          <w:szCs w:val="20"/>
        </w:rPr>
        <w:t xml:space="preserve"> con necesidades especiales o con alguna condición de vulnerabilidad.</w:t>
      </w:r>
    </w:p>
    <w:p w14:paraId="02645905" w14:textId="77777777" w:rsidR="00986EC5" w:rsidRPr="00986EC5" w:rsidRDefault="00986EC5" w:rsidP="00986EC5">
      <w:pPr>
        <w:pStyle w:val="BBodyText"/>
        <w:numPr>
          <w:ilvl w:val="0"/>
          <w:numId w:val="34"/>
        </w:numPr>
        <w:rPr>
          <w:sz w:val="20"/>
          <w:szCs w:val="20"/>
        </w:rPr>
      </w:pPr>
      <w:r w:rsidRPr="00986EC5">
        <w:rPr>
          <w:sz w:val="20"/>
          <w:szCs w:val="20"/>
        </w:rPr>
        <w:t xml:space="preserve">Revisar los procedimientos para el acceso a trámites de todo tipo para facilitar el acceso a la documentación con la mayor celeridad posible, evitando la irregularidad documental de </w:t>
      </w:r>
      <w:proofErr w:type="gramStart"/>
      <w:r w:rsidRPr="00986EC5">
        <w:rPr>
          <w:sz w:val="20"/>
          <w:szCs w:val="20"/>
        </w:rPr>
        <w:t>los niños y las niñas</w:t>
      </w:r>
      <w:proofErr w:type="gramEnd"/>
      <w:r w:rsidRPr="00986EC5">
        <w:rPr>
          <w:sz w:val="20"/>
          <w:szCs w:val="20"/>
        </w:rPr>
        <w:t xml:space="preserve"> que son tutelados por la administración, así como garantizar el acceso a mecanismos efectivos de integración. </w:t>
      </w:r>
    </w:p>
    <w:p w14:paraId="5EB7D088" w14:textId="77777777" w:rsidR="00986EC5" w:rsidRPr="00986EC5" w:rsidRDefault="00986EC5" w:rsidP="00986EC5">
      <w:pPr>
        <w:pStyle w:val="BBodyText"/>
        <w:numPr>
          <w:ilvl w:val="0"/>
          <w:numId w:val="34"/>
        </w:numPr>
        <w:rPr>
          <w:sz w:val="20"/>
          <w:szCs w:val="20"/>
        </w:rPr>
      </w:pPr>
      <w:r w:rsidRPr="00986EC5">
        <w:rPr>
          <w:sz w:val="20"/>
          <w:szCs w:val="20"/>
        </w:rPr>
        <w:t xml:space="preserve">Garantizar un sistema exhaustivo de inspección y control de los centros de acogida con visitas periódicas y no anunciadas, estableciendo mecanismos efectivos y seguros para que </w:t>
      </w:r>
      <w:proofErr w:type="gramStart"/>
      <w:r w:rsidRPr="00986EC5">
        <w:rPr>
          <w:sz w:val="20"/>
          <w:szCs w:val="20"/>
        </w:rPr>
        <w:t>los niños y las niñas</w:t>
      </w:r>
      <w:proofErr w:type="gramEnd"/>
      <w:r w:rsidRPr="00986EC5">
        <w:rPr>
          <w:sz w:val="20"/>
          <w:szCs w:val="20"/>
        </w:rPr>
        <w:t xml:space="preserve"> puedan denunciar las vulneraciones a sus derechos.</w:t>
      </w:r>
    </w:p>
    <w:p w14:paraId="4CC7E8B2" w14:textId="77777777" w:rsidR="00986EC5" w:rsidRPr="00986EC5" w:rsidRDefault="00986EC5" w:rsidP="00986EC5">
      <w:pPr>
        <w:pStyle w:val="BBodyText"/>
        <w:numPr>
          <w:ilvl w:val="0"/>
          <w:numId w:val="34"/>
        </w:numPr>
        <w:rPr>
          <w:sz w:val="20"/>
          <w:szCs w:val="20"/>
        </w:rPr>
      </w:pPr>
      <w:r w:rsidRPr="00986EC5">
        <w:rPr>
          <w:sz w:val="20"/>
          <w:szCs w:val="20"/>
        </w:rPr>
        <w:t>Adoptar todas las medidas necesarias para combatir el racismo y la discriminación especialmente contra la infancia migrante, para ello las autoridades y representantes políticos deben comprometerse a abstenerse de utilizar discursos criminalizadores o que les deshumanizan, además de censurarlos cuando estos se produzcan.</w:t>
      </w:r>
    </w:p>
    <w:p w14:paraId="4C4CABAA" w14:textId="77777777" w:rsidR="00986EC5" w:rsidRPr="00943558" w:rsidRDefault="00986EC5" w:rsidP="006F614F">
      <w:pPr>
        <w:pStyle w:val="BNumberedHeading"/>
        <w:rPr>
          <w:noProof w:val="0"/>
        </w:rPr>
      </w:pPr>
      <w:bookmarkStart w:id="19" w:name="_Toc199778963"/>
      <w:bookmarkStart w:id="20" w:name="_Toc199779315"/>
      <w:bookmarkStart w:id="21" w:name="_Toc200231289"/>
      <w:r w:rsidRPr="00943558">
        <w:rPr>
          <w:noProof w:val="0"/>
        </w:rPr>
        <w:t>PERFILAMIENTO RACIAL (ARTÍCULO 2)</w:t>
      </w:r>
      <w:bookmarkEnd w:id="19"/>
      <w:bookmarkEnd w:id="20"/>
      <w:bookmarkEnd w:id="21"/>
    </w:p>
    <w:p w14:paraId="346287F4" w14:textId="77777777" w:rsidR="00986EC5" w:rsidRPr="00986EC5" w:rsidRDefault="00986EC5" w:rsidP="00986EC5">
      <w:pPr>
        <w:pStyle w:val="BBodyText"/>
        <w:rPr>
          <w:sz w:val="20"/>
          <w:szCs w:val="20"/>
        </w:rPr>
      </w:pPr>
      <w:r w:rsidRPr="00986EC5">
        <w:rPr>
          <w:sz w:val="20"/>
          <w:szCs w:val="20"/>
        </w:rPr>
        <w:t xml:space="preserve">El Comité ya expresó preocupa por la práctica de controles policiales basados en perfiles raciales y étnicos en sus anteriores Observaciones Finales. Desde entonces Amnistía Internacional ha continuado documentando la forma en que se realizan los controles de identidad policiales con fines de control migratorio, como una de las manifestaciones del racismo estructural y de la discriminación racial.  </w:t>
      </w:r>
    </w:p>
    <w:p w14:paraId="43066465" w14:textId="77777777" w:rsidR="00986EC5" w:rsidRPr="00986EC5" w:rsidRDefault="00986EC5" w:rsidP="00986EC5">
      <w:pPr>
        <w:pStyle w:val="BBodyText"/>
        <w:rPr>
          <w:sz w:val="20"/>
          <w:szCs w:val="20"/>
        </w:rPr>
      </w:pPr>
      <w:r w:rsidRPr="00986EC5">
        <w:rPr>
          <w:sz w:val="20"/>
          <w:szCs w:val="20"/>
        </w:rPr>
        <w:t>Según la Agencia de los Derechos Fundamentales de la Unión Europea, España es uno de los países que, junto con Alemania y Suecia, realiza más controles de identidad con sesgo racial.</w:t>
      </w:r>
      <w:r w:rsidRPr="00986EC5">
        <w:rPr>
          <w:sz w:val="20"/>
          <w:szCs w:val="20"/>
          <w:vertAlign w:val="superscript"/>
        </w:rPr>
        <w:footnoteReference w:id="46"/>
      </w:r>
      <w:r w:rsidRPr="00986EC5">
        <w:rPr>
          <w:sz w:val="20"/>
          <w:szCs w:val="20"/>
        </w:rPr>
        <w:t xml:space="preserve"> Aunque la reforma operada en 2015 de la Ley Orgánica de Seguridad Ciudadana</w:t>
      </w:r>
      <w:r w:rsidRPr="00986EC5">
        <w:rPr>
          <w:sz w:val="20"/>
          <w:szCs w:val="20"/>
          <w:vertAlign w:val="superscript"/>
        </w:rPr>
        <w:footnoteReference w:id="47"/>
      </w:r>
      <w:r w:rsidRPr="00986EC5">
        <w:rPr>
          <w:sz w:val="20"/>
          <w:szCs w:val="20"/>
        </w:rPr>
        <w:t xml:space="preserve"> modificó el artículo referido a la identificación de personas en la vía pública por parte de las Fuerzas y Cuerpos de Seguridad del Estado, e incorporó la necesidad de observar el principio de igualdad de trato y no discriminación, sigue existiendo un amplísimo margen de discrecionalidad para los agentes de las fuerzas de seguridad, sin que se haya establecido ningún mecanismo de control o de rendición de cuentas que permita prevenir e investigar de manera efectiva e imparcial este tipo de discriminación racial, incorporando medidas disciplinarias y correctoras frente a los abusos.</w:t>
      </w:r>
      <w:r w:rsidRPr="00986EC5">
        <w:rPr>
          <w:sz w:val="20"/>
          <w:szCs w:val="20"/>
          <w:vertAlign w:val="superscript"/>
        </w:rPr>
        <w:footnoteReference w:id="48"/>
      </w:r>
    </w:p>
    <w:p w14:paraId="67465ED7" w14:textId="77777777" w:rsidR="00986EC5" w:rsidRPr="00986EC5" w:rsidRDefault="00986EC5" w:rsidP="00986EC5">
      <w:pPr>
        <w:pStyle w:val="BBodyText"/>
        <w:rPr>
          <w:sz w:val="20"/>
          <w:szCs w:val="20"/>
        </w:rPr>
      </w:pPr>
      <w:r w:rsidRPr="00986EC5">
        <w:rPr>
          <w:sz w:val="20"/>
          <w:szCs w:val="20"/>
        </w:rPr>
        <w:t>Diversos organismos internacionales de derechos humanos han pedido la eliminación de los controles con sesgo racial en España. Tal es el caso del Grupo de Trabajo de Naciones Unidas sobre Afrodescendientes,</w:t>
      </w:r>
      <w:r w:rsidRPr="00986EC5">
        <w:rPr>
          <w:sz w:val="20"/>
          <w:szCs w:val="20"/>
          <w:vertAlign w:val="superscript"/>
        </w:rPr>
        <w:footnoteReference w:id="49"/>
      </w:r>
      <w:r w:rsidRPr="00986EC5">
        <w:rPr>
          <w:sz w:val="20"/>
          <w:szCs w:val="20"/>
        </w:rPr>
        <w:t xml:space="preserve"> la Comisión Europea contra el Racismo y la Intolerancia (ECRI)</w:t>
      </w:r>
      <w:r w:rsidRPr="00986EC5">
        <w:rPr>
          <w:sz w:val="20"/>
          <w:szCs w:val="20"/>
          <w:vertAlign w:val="superscript"/>
        </w:rPr>
        <w:footnoteReference w:id="50"/>
      </w:r>
      <w:r w:rsidRPr="00986EC5">
        <w:rPr>
          <w:sz w:val="20"/>
          <w:szCs w:val="20"/>
        </w:rPr>
        <w:t xml:space="preserve"> o, más recientemente, el Comité contra la Tortura, que en su último examen a España pedía “garantizar la prohibición estricta de los controles de identidad basados en perfiles raciales en la práctica”.</w:t>
      </w:r>
      <w:r w:rsidRPr="00986EC5">
        <w:rPr>
          <w:sz w:val="20"/>
          <w:szCs w:val="20"/>
          <w:vertAlign w:val="superscript"/>
        </w:rPr>
        <w:footnoteReference w:id="51"/>
      </w:r>
    </w:p>
    <w:p w14:paraId="11B14A61" w14:textId="77777777" w:rsidR="00986EC5" w:rsidRPr="00986EC5" w:rsidRDefault="00986EC5" w:rsidP="00986EC5">
      <w:pPr>
        <w:pStyle w:val="BBodyText"/>
        <w:rPr>
          <w:sz w:val="20"/>
          <w:szCs w:val="20"/>
        </w:rPr>
      </w:pPr>
      <w:r w:rsidRPr="00986EC5">
        <w:rPr>
          <w:sz w:val="20"/>
          <w:szCs w:val="20"/>
        </w:rPr>
        <w:t>Las denuncias de colectivos antirracistas y de organizaciones en defensa de los derechos de las personas migrantes</w:t>
      </w:r>
      <w:r w:rsidRPr="00986EC5">
        <w:rPr>
          <w:sz w:val="20"/>
          <w:szCs w:val="20"/>
          <w:vertAlign w:val="superscript"/>
        </w:rPr>
        <w:footnoteReference w:id="52"/>
      </w:r>
      <w:r w:rsidRPr="00986EC5">
        <w:rPr>
          <w:sz w:val="20"/>
          <w:szCs w:val="20"/>
        </w:rPr>
        <w:t xml:space="preserve"> demuestran que las enmiendas introducidas en la Ley de Seguridad Ciudadana no son suficientes para prevenir y erradicar la arbitrariedad y las prácticas policiales discriminatorias. Amnistía Internacional ha recabado testimonios que evidencian cómo las prácticas racistas son sistémicas y se han profundizado como consecuencia del control migratorio, que los controles de identidad siguen siendo parte de la vida diaria de personas que ya cuentan con residencia legal y su vida asentada, y la deshumanización con la que se realizan estas prácticas de control migratorio.</w:t>
      </w:r>
      <w:r w:rsidRPr="00986EC5">
        <w:rPr>
          <w:sz w:val="20"/>
          <w:szCs w:val="20"/>
          <w:vertAlign w:val="superscript"/>
        </w:rPr>
        <w:footnoteReference w:id="53"/>
      </w:r>
      <w:r w:rsidRPr="00986EC5">
        <w:rPr>
          <w:sz w:val="20"/>
          <w:szCs w:val="20"/>
        </w:rPr>
        <w:t xml:space="preserve"> </w:t>
      </w:r>
    </w:p>
    <w:p w14:paraId="597F30C5" w14:textId="77777777" w:rsidR="00986EC5" w:rsidRPr="00986EC5" w:rsidRDefault="00986EC5" w:rsidP="00986EC5">
      <w:pPr>
        <w:pStyle w:val="BBodyText"/>
        <w:rPr>
          <w:sz w:val="20"/>
          <w:szCs w:val="20"/>
        </w:rPr>
      </w:pPr>
      <w:r w:rsidRPr="00986EC5">
        <w:rPr>
          <w:sz w:val="20"/>
          <w:szCs w:val="20"/>
        </w:rPr>
        <w:t>Las mujeres racializadas y migrantes se enfrentan además a la discriminación interseccional, con un mayor riesgo de desprotección frente a la explotación, la violencia de género y sexual, y la trata. En su caso, el miedo a la detención es un obstáculo más para acceder a mecanismos de protección y justicia, ya que muchas personas migrantes en situación irregular víctimas de abusos y delitos son privadas de la posibilidad de denunciar, por temor a una posible expulsión o a la incoación de un expediente sancionador por estancia irregular, impidiendo que puedan acceder a justicia y reparación.</w:t>
      </w:r>
      <w:r w:rsidRPr="00986EC5">
        <w:rPr>
          <w:sz w:val="20"/>
          <w:szCs w:val="20"/>
          <w:vertAlign w:val="superscript"/>
        </w:rPr>
        <w:footnoteReference w:id="54"/>
      </w:r>
    </w:p>
    <w:p w14:paraId="7F7EE4FB" w14:textId="77777777" w:rsidR="00986EC5" w:rsidRPr="00986EC5" w:rsidRDefault="00986EC5" w:rsidP="00986EC5">
      <w:pPr>
        <w:pStyle w:val="BBodyText"/>
        <w:rPr>
          <w:sz w:val="20"/>
          <w:szCs w:val="20"/>
        </w:rPr>
      </w:pPr>
      <w:r w:rsidRPr="00986EC5">
        <w:rPr>
          <w:sz w:val="20"/>
          <w:szCs w:val="20"/>
        </w:rPr>
        <w:t>Amnistía Internacional ha recibido información también sobre la práctica por la que muchas personas son llamadas a acudir a una comisaría con lo que consideran “citas trampa”, es decir, cuando se les cita en comisaría para la realización de algún tipo de trámite relacionado con su condición migratoria o como solicitante de protección internacional, pero lo que se hace es detenerlas para su inmediata deportación. Este puede ser el caso de solicitantes de asilo cuya petición ha sido denegada o personas que están en algún proceso de regularización.</w:t>
      </w:r>
      <w:r w:rsidRPr="00986EC5">
        <w:rPr>
          <w:sz w:val="20"/>
          <w:szCs w:val="20"/>
          <w:vertAlign w:val="superscript"/>
        </w:rPr>
        <w:footnoteReference w:id="55"/>
      </w:r>
    </w:p>
    <w:p w14:paraId="42237535" w14:textId="77777777" w:rsidR="00986EC5" w:rsidRPr="00986EC5" w:rsidRDefault="00986EC5" w:rsidP="00986EC5">
      <w:pPr>
        <w:pStyle w:val="BBodyText"/>
        <w:rPr>
          <w:sz w:val="20"/>
          <w:szCs w:val="20"/>
        </w:rPr>
      </w:pPr>
      <w:r w:rsidRPr="00986EC5">
        <w:rPr>
          <w:sz w:val="20"/>
          <w:szCs w:val="20"/>
        </w:rPr>
        <w:t>A este respecto, en su informe de 2023, el Defensor del Pueblo denunciaba que personas en situación irregular que se personaban en dependencias policiales para denunciar un delito, o para el ejercicio de un derecho, fueran objeto de un expediente de expulsión, compartiendo en este caso la preocupación de la Fiscalía General del Estado sobre “las barreras a las que hacen frente las personas que se encuentran en situación administrativa irregular para hacer valer sus derechos en los tribunales, constituyendo la mayor de ellas, el miedo a ser expulsados a sus países de origen, lo que les impide denunciar las condiciones abusivas que padecen”.</w:t>
      </w:r>
      <w:r w:rsidRPr="00986EC5">
        <w:rPr>
          <w:sz w:val="20"/>
          <w:szCs w:val="20"/>
          <w:vertAlign w:val="superscript"/>
        </w:rPr>
        <w:footnoteReference w:id="56"/>
      </w:r>
    </w:p>
    <w:p w14:paraId="65544E30" w14:textId="77777777" w:rsidR="00986EC5" w:rsidRPr="00986EC5" w:rsidRDefault="00986EC5" w:rsidP="00986EC5">
      <w:pPr>
        <w:pStyle w:val="BBodyText"/>
        <w:rPr>
          <w:sz w:val="20"/>
          <w:szCs w:val="20"/>
        </w:rPr>
      </w:pPr>
      <w:r w:rsidRPr="00986EC5">
        <w:rPr>
          <w:sz w:val="20"/>
          <w:szCs w:val="20"/>
        </w:rPr>
        <w:t>Las prácticas de control migratorio afectan también a la infancia migrante, tanto acompañada como a la que viaja sin compañía adulta, que queda desprotegida y al borde de la exclusión social.</w:t>
      </w:r>
      <w:r w:rsidRPr="00986EC5">
        <w:rPr>
          <w:sz w:val="20"/>
          <w:szCs w:val="20"/>
          <w:vertAlign w:val="superscript"/>
        </w:rPr>
        <w:footnoteReference w:id="57"/>
      </w:r>
      <w:r w:rsidRPr="00986EC5">
        <w:rPr>
          <w:sz w:val="20"/>
          <w:szCs w:val="20"/>
        </w:rPr>
        <w:t xml:space="preserve"> Supone además un obstáculo importante en el acceso a servicios básicos como vivienda o salud, o incluso a reportar a las autoridades como víctimas de delito, con una evidente situación de hipervigilancia por parte de la policía.</w:t>
      </w:r>
      <w:r w:rsidRPr="00986EC5">
        <w:rPr>
          <w:sz w:val="20"/>
          <w:szCs w:val="20"/>
          <w:vertAlign w:val="superscript"/>
        </w:rPr>
        <w:footnoteReference w:id="58"/>
      </w:r>
    </w:p>
    <w:p w14:paraId="6E4882C4" w14:textId="77777777" w:rsidR="00986EC5" w:rsidRPr="00986EC5" w:rsidRDefault="00986EC5" w:rsidP="00986EC5">
      <w:pPr>
        <w:pStyle w:val="BBodyText"/>
        <w:rPr>
          <w:sz w:val="20"/>
          <w:szCs w:val="20"/>
        </w:rPr>
      </w:pPr>
      <w:r w:rsidRPr="00986EC5">
        <w:rPr>
          <w:sz w:val="20"/>
          <w:szCs w:val="20"/>
        </w:rPr>
        <w:t>Asimismo, los controles de identidad policiales impactan también en personas racializadas que han nacido en España, como es el caso de la población gitana, que a pesar de llevar siglos viviendo en España se ve sometida a paradas e identificaciones por su origen.</w:t>
      </w:r>
      <w:r w:rsidRPr="00986EC5">
        <w:rPr>
          <w:sz w:val="20"/>
          <w:szCs w:val="20"/>
          <w:vertAlign w:val="superscript"/>
        </w:rPr>
        <w:footnoteReference w:id="59"/>
      </w:r>
    </w:p>
    <w:p w14:paraId="6ECD98A7" w14:textId="77777777" w:rsidR="00986EC5" w:rsidRDefault="00986EC5" w:rsidP="00986EC5">
      <w:pPr>
        <w:pStyle w:val="BBodyText"/>
        <w:rPr>
          <w:sz w:val="20"/>
          <w:szCs w:val="20"/>
        </w:rPr>
      </w:pPr>
      <w:r w:rsidRPr="00986EC5">
        <w:rPr>
          <w:sz w:val="20"/>
          <w:szCs w:val="20"/>
        </w:rPr>
        <w:t>Las actuaciones policiales de control de identidad con sesgo racial y los discursos racistas y xenófobos de los políticos</w:t>
      </w:r>
      <w:r w:rsidRPr="00986EC5">
        <w:rPr>
          <w:sz w:val="20"/>
          <w:szCs w:val="20"/>
          <w:vertAlign w:val="superscript"/>
        </w:rPr>
        <w:footnoteReference w:id="60"/>
      </w:r>
      <w:r w:rsidRPr="00986EC5">
        <w:rPr>
          <w:sz w:val="20"/>
          <w:szCs w:val="20"/>
        </w:rPr>
        <w:t xml:space="preserve"> son una muestra de racismo institucional y sistémico que llevan a la discriminación racial y violencia contra las personas racializadas y migrantes. Es decir, con estas actuaciones no solo violan sus derechos, sino que contribuyen a que otras personas u organizaciones los violen también, pues alimentan estereotipos negativos hacia las personas migrantes y racializadas. Los casos documentados por Amnistía Internacional indican las graves consecuencias que el racismo tiene sobre las personas racializadas y migrantes, sus sentimientos y su bienestar.</w:t>
      </w:r>
    </w:p>
    <w:p w14:paraId="3AC20679" w14:textId="77777777" w:rsidR="00D2101F" w:rsidRPr="00986EC5" w:rsidRDefault="00D2101F" w:rsidP="00986EC5">
      <w:pPr>
        <w:pStyle w:val="BBodyText"/>
        <w:rPr>
          <w:sz w:val="20"/>
          <w:szCs w:val="20"/>
        </w:rPr>
      </w:pPr>
    </w:p>
    <w:p w14:paraId="60663DD2" w14:textId="77777777" w:rsidR="00986EC5" w:rsidRPr="00986EC5" w:rsidRDefault="00986EC5" w:rsidP="00D2101F">
      <w:pPr>
        <w:pStyle w:val="BSubheadingnonumbers"/>
      </w:pPr>
      <w:bookmarkStart w:id="22" w:name="_Toc200231290"/>
      <w:r w:rsidRPr="00986EC5">
        <w:t>Recomendaciones</w:t>
      </w:r>
      <w:bookmarkEnd w:id="22"/>
    </w:p>
    <w:p w14:paraId="4D5E8492" w14:textId="77777777" w:rsidR="00986EC5" w:rsidRPr="00986EC5" w:rsidRDefault="00986EC5" w:rsidP="00986EC5">
      <w:pPr>
        <w:pStyle w:val="BBodyText"/>
        <w:rPr>
          <w:sz w:val="20"/>
          <w:szCs w:val="20"/>
        </w:rPr>
      </w:pPr>
      <w:r w:rsidRPr="00986EC5">
        <w:rPr>
          <w:sz w:val="20"/>
          <w:szCs w:val="20"/>
        </w:rPr>
        <w:t>Amnistía Internacional recomienda al Estado español:</w:t>
      </w:r>
    </w:p>
    <w:p w14:paraId="3E10A25E" w14:textId="77777777" w:rsidR="00986EC5" w:rsidRPr="00986EC5" w:rsidRDefault="00986EC5" w:rsidP="00986EC5">
      <w:pPr>
        <w:pStyle w:val="BBodyText"/>
        <w:numPr>
          <w:ilvl w:val="0"/>
          <w:numId w:val="31"/>
        </w:numPr>
        <w:rPr>
          <w:sz w:val="20"/>
          <w:szCs w:val="20"/>
        </w:rPr>
      </w:pPr>
      <w:r w:rsidRPr="00986EC5">
        <w:rPr>
          <w:sz w:val="20"/>
          <w:szCs w:val="20"/>
        </w:rPr>
        <w:t>Modificar el artículo 16 de la Ley Orgánica de Seguridad Ciudadana para que se defina y prohíba expresamente el perfilamiento racial (o la utilización de perfiles raciales), incorporando la definición de la ECRI: “El empleo por parte de la policía, sin justificación objetiva y razonable, de la raza, color, lengua, religión, nacionalidad u origen étnico o nacional en las actividades de control, vigilancia o investigación”.</w:t>
      </w:r>
    </w:p>
    <w:p w14:paraId="1F31B503" w14:textId="77777777" w:rsidR="00986EC5" w:rsidRPr="00986EC5" w:rsidRDefault="00986EC5" w:rsidP="00986EC5">
      <w:pPr>
        <w:pStyle w:val="BBodyText"/>
        <w:numPr>
          <w:ilvl w:val="0"/>
          <w:numId w:val="31"/>
        </w:numPr>
        <w:rPr>
          <w:sz w:val="20"/>
          <w:szCs w:val="20"/>
        </w:rPr>
      </w:pPr>
      <w:r w:rsidRPr="00986EC5">
        <w:rPr>
          <w:sz w:val="20"/>
          <w:szCs w:val="20"/>
        </w:rPr>
        <w:t>Garantizar que la actuación de las fuerzas de seguridad se guía en todo momento por un enfoque de derechos humanos y respeta en todo momento el principio de no discriminación por raza, color de piel, origen nacional o étnico, para ello:</w:t>
      </w:r>
    </w:p>
    <w:p w14:paraId="50F9E4CB" w14:textId="77777777" w:rsidR="00986EC5" w:rsidRPr="00986EC5" w:rsidRDefault="00986EC5" w:rsidP="00986EC5">
      <w:pPr>
        <w:pStyle w:val="BBodyText"/>
        <w:numPr>
          <w:ilvl w:val="1"/>
          <w:numId w:val="31"/>
        </w:numPr>
        <w:rPr>
          <w:sz w:val="20"/>
          <w:szCs w:val="20"/>
        </w:rPr>
      </w:pPr>
      <w:r w:rsidRPr="00986EC5">
        <w:rPr>
          <w:sz w:val="20"/>
          <w:szCs w:val="20"/>
        </w:rPr>
        <w:t>Debe haber formación inicial y continua evaluable, en materia de derechos humanos, racismo y xenofobia y principio de no discriminación.</w:t>
      </w:r>
    </w:p>
    <w:p w14:paraId="1DCB1C23" w14:textId="77777777" w:rsidR="00986EC5" w:rsidRPr="00986EC5" w:rsidRDefault="00986EC5" w:rsidP="00986EC5">
      <w:pPr>
        <w:pStyle w:val="BBodyText"/>
        <w:numPr>
          <w:ilvl w:val="1"/>
          <w:numId w:val="31"/>
        </w:numPr>
        <w:rPr>
          <w:sz w:val="20"/>
          <w:szCs w:val="20"/>
        </w:rPr>
      </w:pPr>
      <w:r w:rsidRPr="00986EC5">
        <w:rPr>
          <w:sz w:val="20"/>
          <w:szCs w:val="20"/>
        </w:rPr>
        <w:t>Recolección y análisis de datos desagregados por identidad racial, étnica y origen nacional de las paradas y los controles de identidad realizado por los cuerpos policiales en la vía pública, con la incorporación de formularios de parada que incluyan información sobre nacionalidad, identidad étnica y racial.</w:t>
      </w:r>
    </w:p>
    <w:p w14:paraId="14031CC5" w14:textId="77777777" w:rsidR="00986EC5" w:rsidRPr="00986EC5" w:rsidRDefault="00986EC5" w:rsidP="00986EC5">
      <w:pPr>
        <w:pStyle w:val="BBodyText"/>
        <w:numPr>
          <w:ilvl w:val="1"/>
          <w:numId w:val="31"/>
        </w:numPr>
        <w:rPr>
          <w:sz w:val="20"/>
          <w:szCs w:val="20"/>
        </w:rPr>
      </w:pPr>
      <w:r w:rsidRPr="00986EC5">
        <w:rPr>
          <w:sz w:val="20"/>
          <w:szCs w:val="20"/>
        </w:rPr>
        <w:t>Establecer un mecanismo independiente de supervisión de la actividad policial, con capacidad para atender quejas individuales, investigar de oficio, y analizar y evaluar legislación, reglamentos y procedimientos operativos de las actuaciones policiales, que incluya la investigación de posibles motivos discriminatorios.</w:t>
      </w:r>
    </w:p>
    <w:p w14:paraId="25E6926D" w14:textId="5D0D39FB" w:rsidR="00986EC5" w:rsidRPr="00986EC5" w:rsidRDefault="00986EC5" w:rsidP="00986EC5">
      <w:pPr>
        <w:pStyle w:val="BBodyText"/>
        <w:numPr>
          <w:ilvl w:val="1"/>
          <w:numId w:val="31"/>
        </w:numPr>
        <w:rPr>
          <w:sz w:val="20"/>
          <w:szCs w:val="20"/>
        </w:rPr>
      </w:pPr>
      <w:r w:rsidRPr="00986EC5">
        <w:rPr>
          <w:sz w:val="20"/>
          <w:szCs w:val="20"/>
        </w:rPr>
        <w:t>Incorporar mecanismos de apoyo y protección a las víctimas de discriminación racial por parte de cuerpos policiales, incluyendo expresamente que no se iniciará ningún expediente sancionador a una persona en situación irregular que acude a las autoridades para denunciar un delito.</w:t>
      </w:r>
    </w:p>
    <w:p w14:paraId="198C26B5" w14:textId="77777777" w:rsidR="00986EC5" w:rsidRPr="00943558" w:rsidRDefault="00986EC5" w:rsidP="006F614F">
      <w:pPr>
        <w:pStyle w:val="BNumberedHeading"/>
        <w:rPr>
          <w:noProof w:val="0"/>
        </w:rPr>
      </w:pPr>
      <w:bookmarkStart w:id="23" w:name="_Toc137599217"/>
      <w:bookmarkStart w:id="24" w:name="_Toc199778964"/>
      <w:bookmarkStart w:id="25" w:name="_Toc199779316"/>
      <w:bookmarkStart w:id="26" w:name="_Toc200231291"/>
      <w:r w:rsidRPr="00943558">
        <w:rPr>
          <w:noProof w:val="0"/>
        </w:rPr>
        <w:t>PERSISTENTE DENEGACIÓN DE JUSTICIA PARA LAS VÍCTIMAS DE TORTURA Y DESAPARICIÓN FORZADA DURANTE LA GUERRA CIVIL Y EL FRANQUISMO (ARTÍCULOS)</w:t>
      </w:r>
      <w:bookmarkEnd w:id="23"/>
      <w:bookmarkEnd w:id="24"/>
      <w:bookmarkEnd w:id="25"/>
      <w:bookmarkEnd w:id="26"/>
      <w:r w:rsidRPr="00943558">
        <w:rPr>
          <w:noProof w:val="0"/>
        </w:rPr>
        <w:t xml:space="preserve">  </w:t>
      </w:r>
    </w:p>
    <w:p w14:paraId="30B5AFB1" w14:textId="77777777" w:rsidR="00986EC5" w:rsidRPr="00943558" w:rsidRDefault="00986EC5" w:rsidP="006F614F">
      <w:pPr>
        <w:pStyle w:val="BNumberedSubheading"/>
        <w:rPr>
          <w:noProof w:val="0"/>
        </w:rPr>
      </w:pPr>
      <w:bookmarkStart w:id="27" w:name="_Toc1640017866"/>
      <w:bookmarkStart w:id="28" w:name="_Toc137599218"/>
      <w:bookmarkStart w:id="29" w:name="_Toc199778965"/>
      <w:bookmarkStart w:id="30" w:name="_Toc199779317"/>
      <w:bookmarkStart w:id="31" w:name="_Toc200231292"/>
      <w:r w:rsidRPr="00943558">
        <w:rPr>
          <w:noProof w:val="0"/>
        </w:rPr>
        <w:t>Nuevas resoluciones del Tribunal Supremo y el Tribunal Constitucional deniegan una vez más la investigación de estos crímenes</w:t>
      </w:r>
      <w:bookmarkEnd w:id="27"/>
      <w:bookmarkEnd w:id="28"/>
      <w:bookmarkEnd w:id="29"/>
      <w:bookmarkEnd w:id="30"/>
      <w:bookmarkEnd w:id="31"/>
    </w:p>
    <w:p w14:paraId="4521ED25" w14:textId="77777777" w:rsidR="00986EC5" w:rsidRPr="00986EC5" w:rsidRDefault="00986EC5" w:rsidP="00986EC5">
      <w:pPr>
        <w:pStyle w:val="BBodyText"/>
        <w:rPr>
          <w:sz w:val="20"/>
          <w:szCs w:val="20"/>
        </w:rPr>
      </w:pPr>
      <w:r w:rsidRPr="00986EC5">
        <w:rPr>
          <w:sz w:val="20"/>
          <w:szCs w:val="20"/>
        </w:rPr>
        <w:t xml:space="preserve">La ausencia de investigación en España de los crímenes de derecho internacional cometidos durante la Guerra Civil y el franquismo, entre los cuales se han reportado numerosos casos de desaparición forzada y torturas, sigue siendo casi absoluta. Los órganos jurisdiccionales aplican los argumentos establecidos por el Tribunal Supremo para archivar o rechazar investigar las denuncias por estos graves crímenes, entre los que se encuentran i) considerarlos amnistiados por aplicación de la Ley de Amnistía de 1977, </w:t>
      </w:r>
      <w:proofErr w:type="spellStart"/>
      <w:r w:rsidRPr="00986EC5">
        <w:rPr>
          <w:sz w:val="20"/>
          <w:szCs w:val="20"/>
        </w:rPr>
        <w:t>ii</w:t>
      </w:r>
      <w:proofErr w:type="spellEnd"/>
      <w:r w:rsidRPr="00986EC5">
        <w:rPr>
          <w:sz w:val="20"/>
          <w:szCs w:val="20"/>
        </w:rPr>
        <w:t xml:space="preserve">) entender que habrían prescrito, </w:t>
      </w:r>
      <w:proofErr w:type="spellStart"/>
      <w:r w:rsidRPr="00986EC5">
        <w:rPr>
          <w:sz w:val="20"/>
          <w:szCs w:val="20"/>
        </w:rPr>
        <w:t>iii</w:t>
      </w:r>
      <w:proofErr w:type="spellEnd"/>
      <w:r w:rsidRPr="00986EC5">
        <w:rPr>
          <w:sz w:val="20"/>
          <w:szCs w:val="20"/>
        </w:rPr>
        <w:t xml:space="preserve">) el principio de legalidad o </w:t>
      </w:r>
      <w:proofErr w:type="spellStart"/>
      <w:r w:rsidRPr="00986EC5">
        <w:rPr>
          <w:sz w:val="20"/>
          <w:szCs w:val="20"/>
        </w:rPr>
        <w:t>iv</w:t>
      </w:r>
      <w:proofErr w:type="spellEnd"/>
      <w:r w:rsidRPr="00986EC5">
        <w:rPr>
          <w:sz w:val="20"/>
          <w:szCs w:val="20"/>
        </w:rPr>
        <w:t>) la presunción de fallecimiento de los supuestos perpetradores.</w:t>
      </w:r>
    </w:p>
    <w:p w14:paraId="41938819" w14:textId="77777777" w:rsidR="00986EC5" w:rsidRPr="00986EC5" w:rsidRDefault="00986EC5" w:rsidP="00986EC5">
      <w:pPr>
        <w:pStyle w:val="BBodyText"/>
        <w:rPr>
          <w:sz w:val="20"/>
          <w:szCs w:val="20"/>
        </w:rPr>
      </w:pPr>
      <w:r w:rsidRPr="00986EC5">
        <w:rPr>
          <w:sz w:val="20"/>
          <w:szCs w:val="20"/>
        </w:rPr>
        <w:t>Estos argumentos fueron confirmados por el Tribunal Supremo en su sentencia de 27 de febrero de 2012 (sentencia 101/2012, Caso “Garzón”), y han sido puestos de manifiesto nuevamente, casi una década después, en resoluciones dictadas por el Tribunal Supremo y el Tribunal Constitucional durante el año 2021.</w:t>
      </w:r>
    </w:p>
    <w:p w14:paraId="53D8F0E3" w14:textId="77777777" w:rsidR="00986EC5" w:rsidRPr="00986EC5" w:rsidRDefault="00986EC5" w:rsidP="00986EC5">
      <w:pPr>
        <w:pStyle w:val="BBodyText"/>
        <w:rPr>
          <w:sz w:val="20"/>
          <w:szCs w:val="20"/>
        </w:rPr>
      </w:pPr>
      <w:r w:rsidRPr="00986EC5">
        <w:rPr>
          <w:sz w:val="20"/>
          <w:szCs w:val="20"/>
        </w:rPr>
        <w:t>Así, el 17 de febrero de 2021, el Tribunal Supremo dictó una sentencia rechazando que los tribunales españoles puedan investigar estas graves violaciones de derechos humanos, reproduciendo literalmente la argumentación contenida en la sentencia del año 2012.</w:t>
      </w:r>
      <w:r w:rsidRPr="00986EC5">
        <w:rPr>
          <w:sz w:val="20"/>
          <w:szCs w:val="20"/>
          <w:vertAlign w:val="superscript"/>
        </w:rPr>
        <w:footnoteReference w:id="61"/>
      </w:r>
    </w:p>
    <w:p w14:paraId="449E0B15" w14:textId="77777777" w:rsidR="00986EC5" w:rsidRPr="00986EC5" w:rsidRDefault="00986EC5" w:rsidP="00986EC5">
      <w:pPr>
        <w:pStyle w:val="BBodyText"/>
        <w:rPr>
          <w:sz w:val="20"/>
          <w:szCs w:val="20"/>
        </w:rPr>
      </w:pPr>
      <w:r w:rsidRPr="00986EC5">
        <w:rPr>
          <w:sz w:val="20"/>
          <w:szCs w:val="20"/>
        </w:rPr>
        <w:t>Por su parte, el Tribunal Constitucional, en un Auto de septiembre de 2021, por el que inadmite un recurso de amparo a una víctima de torturas, alega que al tiempo de haberse cometido presuntamente las torturas denunciadas en la querella (1964, 1967, 1974), no existía en el ordenamiento jurídico-penal español la figura de crimen contra la humanidad, que entró en vigor en el Código Penal a partir del 1 de octubre de 2004. Añade que tampoco cabe acudir al derecho internacional como fuente de tipos penales, en especial al consuetudinario, ya que esto resulta incompatible con el principio de legalidad penal tal como el mismo es interpretado en España.</w:t>
      </w:r>
    </w:p>
    <w:p w14:paraId="7E1BFD91" w14:textId="77777777" w:rsidR="00986EC5" w:rsidRPr="00986EC5" w:rsidRDefault="00986EC5" w:rsidP="00986EC5">
      <w:pPr>
        <w:pStyle w:val="BBodyText"/>
        <w:rPr>
          <w:sz w:val="20"/>
          <w:szCs w:val="20"/>
        </w:rPr>
      </w:pPr>
      <w:r w:rsidRPr="00986EC5">
        <w:rPr>
          <w:sz w:val="20"/>
          <w:szCs w:val="20"/>
        </w:rPr>
        <w:t>Explica el Tribunal Constitucional que aceptar que las normas internacionales impongan una obligación de investigar y castigar los crímenes internacionales, orientada a evitar la impunidad de los ataques graves a los derechos humanos, dista de equiparar esa obligación con la existencia de un tipo penal que reúna las condiciones materiales de accesibilidad y previsibilidad.</w:t>
      </w:r>
    </w:p>
    <w:p w14:paraId="12DB94D2" w14:textId="77777777" w:rsidR="00986EC5" w:rsidRPr="00986EC5" w:rsidRDefault="00986EC5" w:rsidP="00986EC5">
      <w:pPr>
        <w:pStyle w:val="BBodyText"/>
        <w:rPr>
          <w:sz w:val="20"/>
          <w:szCs w:val="20"/>
        </w:rPr>
      </w:pPr>
      <w:r w:rsidRPr="00986EC5">
        <w:rPr>
          <w:sz w:val="20"/>
          <w:szCs w:val="20"/>
        </w:rPr>
        <w:t>En el caso particular del delito de lesa humanidad, señala el Tribunal Constitucional que no existía en el momento de los hechos denunciados norma convencional específica al respecto, y que ni las primeras manifestaciones judiciales del delito de lesa humanidad ni la práctica internacional posterior presentaba una uniformidad que permitiera tener por existente un tipo penal consuetudinario preciso.</w:t>
      </w:r>
      <w:r w:rsidRPr="00986EC5">
        <w:rPr>
          <w:sz w:val="20"/>
          <w:szCs w:val="20"/>
          <w:vertAlign w:val="superscript"/>
        </w:rPr>
        <w:footnoteReference w:id="62"/>
      </w:r>
      <w:r w:rsidRPr="00986EC5">
        <w:rPr>
          <w:sz w:val="20"/>
          <w:szCs w:val="20"/>
          <w:vertAlign w:val="superscript"/>
        </w:rPr>
        <w:t xml:space="preserve"> </w:t>
      </w:r>
      <w:r w:rsidRPr="00986EC5">
        <w:rPr>
          <w:sz w:val="20"/>
          <w:szCs w:val="20"/>
        </w:rPr>
        <w:t>Finalmente, descartada la posibilidad de investigar los hechos denunciados como crímenes de lesa humanidad, el Constitucional afirma que únicamente se podría enjuiciar como delito ordinario y, en consecuencia, sujeto a prescripción y amnistía.</w:t>
      </w:r>
      <w:r w:rsidRPr="00986EC5">
        <w:rPr>
          <w:sz w:val="20"/>
          <w:szCs w:val="20"/>
          <w:vertAlign w:val="superscript"/>
        </w:rPr>
        <w:footnoteReference w:id="63"/>
      </w:r>
      <w:r w:rsidRPr="00986EC5">
        <w:rPr>
          <w:sz w:val="20"/>
          <w:szCs w:val="20"/>
        </w:rPr>
        <w:t xml:space="preserve"> Tras la entrada en vigor de la Ley de Memoria Democrática, el Tribunal Constitucional ha tenido oportunidad de pronunciarse en un caso similar, en junio de 2024, reiterando las mismas argumentaciones de su Auto de 2021, y explicitando que la vigencia de la Ley de Memoria Democrática no podía suponer ningún cambio en lo que se refiere a la investigación judicial de los crímenes del franquismo en España.</w:t>
      </w:r>
      <w:r w:rsidRPr="00986EC5">
        <w:rPr>
          <w:sz w:val="20"/>
          <w:szCs w:val="20"/>
          <w:vertAlign w:val="superscript"/>
        </w:rPr>
        <w:footnoteReference w:id="64"/>
      </w:r>
    </w:p>
    <w:p w14:paraId="0CE8FA8F" w14:textId="77777777" w:rsidR="00986EC5" w:rsidRPr="00986EC5" w:rsidRDefault="00986EC5" w:rsidP="00986EC5">
      <w:pPr>
        <w:pStyle w:val="BBodyText"/>
        <w:rPr>
          <w:sz w:val="20"/>
          <w:szCs w:val="20"/>
        </w:rPr>
      </w:pPr>
      <w:r w:rsidRPr="00986EC5">
        <w:rPr>
          <w:sz w:val="20"/>
          <w:szCs w:val="20"/>
        </w:rPr>
        <w:t>Amnistía Internacional manifiesta una vez más su oposición a los argumentos expresadas en las referidas sentencias, y señala que para el derecho internacional la ausencia de codificación por un Estado de los crímenes de derecho internacional al tiempo de su comisión no habilita a eludir la obligación de investigarlos. Esta interpretación está en línea con el alcance del principio de legalidad bajo el derecho internacional, en el que ni Constitucional ni Supremo reparan.</w:t>
      </w:r>
      <w:r w:rsidRPr="00986EC5">
        <w:rPr>
          <w:sz w:val="20"/>
          <w:szCs w:val="20"/>
          <w:vertAlign w:val="superscript"/>
        </w:rPr>
        <w:footnoteReference w:id="65"/>
      </w:r>
      <w:r w:rsidRPr="00986EC5">
        <w:rPr>
          <w:sz w:val="20"/>
          <w:szCs w:val="20"/>
        </w:rPr>
        <w:t xml:space="preserve"> </w:t>
      </w:r>
    </w:p>
    <w:p w14:paraId="60E0F140" w14:textId="77777777" w:rsidR="00986EC5" w:rsidRPr="00986EC5" w:rsidRDefault="00986EC5" w:rsidP="00986EC5">
      <w:pPr>
        <w:pStyle w:val="BBodyText"/>
        <w:rPr>
          <w:sz w:val="20"/>
          <w:szCs w:val="20"/>
        </w:rPr>
      </w:pPr>
      <w:r w:rsidRPr="00986EC5">
        <w:rPr>
          <w:sz w:val="20"/>
          <w:szCs w:val="20"/>
        </w:rPr>
        <w:t xml:space="preserve">Las resoluciones del Tribunal Constitucional son relativas a denuncias por crímenes de tortura. En este sentido, el Comité contra la Tortura, al considerar casos cometidos con anterioridad a la </w:t>
      </w:r>
      <w:proofErr w:type="gramStart"/>
      <w:r w:rsidRPr="00986EC5">
        <w:rPr>
          <w:sz w:val="20"/>
          <w:szCs w:val="20"/>
        </w:rPr>
        <w:t>entrada en vigencia</w:t>
      </w:r>
      <w:proofErr w:type="gramEnd"/>
      <w:r w:rsidRPr="00986EC5">
        <w:rPr>
          <w:sz w:val="20"/>
          <w:szCs w:val="20"/>
        </w:rPr>
        <w:t xml:space="preserve"> de la Convención contra la Tortura y Otros Tratos o Penas Crueles, Inhumanos o Degradantes, recordó que la obligación de castigar a los responsables de actos de tortura era ya exigible antes de la entrada en vigor de la Convención.</w:t>
      </w:r>
      <w:r w:rsidRPr="00986EC5">
        <w:rPr>
          <w:sz w:val="20"/>
          <w:szCs w:val="20"/>
          <w:vertAlign w:val="superscript"/>
        </w:rPr>
        <w:footnoteReference w:id="66"/>
      </w:r>
      <w:r w:rsidRPr="00986EC5">
        <w:rPr>
          <w:sz w:val="20"/>
          <w:szCs w:val="20"/>
          <w:vertAlign w:val="superscript"/>
        </w:rPr>
        <w:t xml:space="preserve"> </w:t>
      </w:r>
      <w:r w:rsidRPr="00986EC5">
        <w:rPr>
          <w:sz w:val="20"/>
          <w:szCs w:val="20"/>
        </w:rPr>
        <w:t xml:space="preserve">Por último, la obligación de derecho internacional de investigar y, en su caso, sancionar la tortura no puede ser impedida por normas internas. Así lo dispone el Artículo 27 de la Convención de Viena sobre el Derecho de los Tratados.  </w:t>
      </w:r>
    </w:p>
    <w:p w14:paraId="30941205" w14:textId="77777777" w:rsidR="00986EC5" w:rsidRDefault="00986EC5" w:rsidP="00986EC5">
      <w:pPr>
        <w:pStyle w:val="BBodyText"/>
        <w:rPr>
          <w:sz w:val="20"/>
          <w:szCs w:val="20"/>
        </w:rPr>
      </w:pPr>
      <w:r w:rsidRPr="00986EC5">
        <w:rPr>
          <w:sz w:val="20"/>
          <w:szCs w:val="20"/>
        </w:rPr>
        <w:t>Amnistía Internacional afirma que la tortura es siempre un crimen de derecho internacional, desde que ha sido codificado como tal, y no un delito ordinario propio de las normativas nacionales de los Estados y, por ello, no le pueden ser aplicables institutos propios de la legislación española como la prescripción y la amnistía. Así lo ha expresado el Comité de Derechos Humanos en su Observación General n.º 20 al señalar: “</w:t>
      </w:r>
      <w:r w:rsidRPr="00986EC5">
        <w:rPr>
          <w:i/>
          <w:iCs/>
          <w:sz w:val="20"/>
          <w:szCs w:val="20"/>
        </w:rPr>
        <w:t>El Comité ha observado que algunos Estados han concedido amnistía respecto de actos de tortura. Las amnistías son generalmente incompatibles con la obligación de los Estados de investigar tales actos, de garantizar que no se cometan tales actos dentro de su jurisdicción y de velar por que no se realicen tales actos en el futuro. Los Estados no pueden privar a los particulares del derecho a una reparación efectiva, incluida la indemnización y la rehabilitación más completa posible</w:t>
      </w:r>
      <w:r w:rsidRPr="00986EC5">
        <w:rPr>
          <w:sz w:val="20"/>
          <w:szCs w:val="20"/>
        </w:rPr>
        <w:t>”.</w:t>
      </w:r>
      <w:r w:rsidRPr="00986EC5">
        <w:rPr>
          <w:sz w:val="20"/>
          <w:szCs w:val="20"/>
          <w:vertAlign w:val="superscript"/>
        </w:rPr>
        <w:footnoteReference w:id="67"/>
      </w:r>
    </w:p>
    <w:p w14:paraId="195060F0" w14:textId="77777777" w:rsidR="006F7683" w:rsidRPr="00986EC5" w:rsidRDefault="006F7683" w:rsidP="00986EC5">
      <w:pPr>
        <w:pStyle w:val="BBodyText"/>
        <w:rPr>
          <w:sz w:val="20"/>
          <w:szCs w:val="20"/>
        </w:rPr>
      </w:pPr>
    </w:p>
    <w:p w14:paraId="3B8427A1" w14:textId="77777777" w:rsidR="00986EC5" w:rsidRPr="00943558" w:rsidRDefault="00986EC5" w:rsidP="006F614F">
      <w:pPr>
        <w:pStyle w:val="BNumberedSubheading"/>
        <w:rPr>
          <w:noProof w:val="0"/>
        </w:rPr>
      </w:pPr>
      <w:bookmarkStart w:id="32" w:name="_Toc199778966"/>
      <w:bookmarkStart w:id="33" w:name="_Toc199779318"/>
      <w:bookmarkStart w:id="34" w:name="_Toc137599222"/>
      <w:bookmarkStart w:id="35" w:name="_Toc200231293"/>
      <w:r w:rsidRPr="00943558">
        <w:rPr>
          <w:noProof w:val="0"/>
        </w:rPr>
        <w:t>Las querellas por torturas cometidas durante el franquismo presentadas tras la entrada en vigor de la Ley de Memoria Democrática</w:t>
      </w:r>
      <w:bookmarkEnd w:id="32"/>
      <w:bookmarkEnd w:id="33"/>
      <w:bookmarkEnd w:id="34"/>
      <w:bookmarkEnd w:id="35"/>
    </w:p>
    <w:p w14:paraId="57F10ED9" w14:textId="77777777" w:rsidR="00986EC5" w:rsidRPr="00986EC5" w:rsidRDefault="00986EC5" w:rsidP="00986EC5">
      <w:pPr>
        <w:pStyle w:val="BBodyText"/>
        <w:rPr>
          <w:sz w:val="20"/>
          <w:szCs w:val="20"/>
        </w:rPr>
      </w:pPr>
      <w:r w:rsidRPr="00986EC5">
        <w:rPr>
          <w:sz w:val="20"/>
          <w:szCs w:val="20"/>
        </w:rPr>
        <w:t xml:space="preserve">En sus últimas observaciones generales, el Comité señaló observar con preocupación que el Estado adoptase el posicionamiento de mantener en vigor la Ley de Amnistía de 1977, que impide la investigación de las violaciones de los derechos humanos del pasado. El Comité urgió al Estado español a derogar o enmendar esta ley para hacerla plenamente compatible con las disposiciones del Pacto, y a impulsar activamente las investigaciones respecto de todas las violaciones a los derechos humanos del pasado. </w:t>
      </w:r>
    </w:p>
    <w:p w14:paraId="55D37FFC" w14:textId="77777777" w:rsidR="00986EC5" w:rsidRPr="00986EC5" w:rsidRDefault="00986EC5" w:rsidP="00986EC5">
      <w:pPr>
        <w:pStyle w:val="BBodyText"/>
        <w:rPr>
          <w:sz w:val="20"/>
          <w:szCs w:val="20"/>
        </w:rPr>
      </w:pPr>
      <w:r w:rsidRPr="00986EC5">
        <w:rPr>
          <w:sz w:val="20"/>
          <w:szCs w:val="20"/>
        </w:rPr>
        <w:t>Sin embargo, y como se ha explicado en párrafos precedentes, la Ley de Memoria Democrática no ha promovido medidas para eliminar los obstáculos a la investigación de los crímenes de derecho internacional cometidos durante la Guerra Civil y el franquismo, entre los que se encuentran la Ley de Amnistía de 1977 o la consideración de que tales delitos habrían prescrito.</w:t>
      </w:r>
    </w:p>
    <w:p w14:paraId="2DE1C8A1" w14:textId="77777777" w:rsidR="00986EC5" w:rsidRPr="00986EC5" w:rsidRDefault="00986EC5" w:rsidP="00986EC5">
      <w:pPr>
        <w:pStyle w:val="BBodyText"/>
        <w:rPr>
          <w:sz w:val="20"/>
          <w:szCs w:val="20"/>
        </w:rPr>
      </w:pPr>
      <w:r w:rsidRPr="00986EC5">
        <w:rPr>
          <w:sz w:val="20"/>
          <w:szCs w:val="20"/>
        </w:rPr>
        <w:t>Amnistía Internacional reconoce que la Ley de Memoria Democrática es una mejora respecto de la normativa anterior. No obstante, continua sin eliminar los obstáculos a la investigación judicial de los crímenes del franquismo. .</w:t>
      </w:r>
      <w:r w:rsidRPr="00986EC5">
        <w:rPr>
          <w:sz w:val="20"/>
          <w:szCs w:val="20"/>
          <w:vertAlign w:val="superscript"/>
        </w:rPr>
        <w:footnoteReference w:id="68"/>
      </w:r>
    </w:p>
    <w:p w14:paraId="49DA9969" w14:textId="36CB9E04" w:rsidR="00986EC5" w:rsidRPr="00986EC5" w:rsidRDefault="00986EC5" w:rsidP="006F7683">
      <w:pPr>
        <w:pStyle w:val="BBodyText"/>
        <w:rPr>
          <w:sz w:val="20"/>
          <w:szCs w:val="20"/>
        </w:rPr>
      </w:pPr>
      <w:r w:rsidRPr="00986EC5">
        <w:rPr>
          <w:sz w:val="20"/>
          <w:szCs w:val="20"/>
        </w:rPr>
        <w:t xml:space="preserve">Tras la promulgación de la Ley de Memoria Democrática, víctimas de diversos puntos del Estado español presentaron querellas ante juzgados territoriales denunciando haber sufrido torturas durante los últimos años del franquismo (1972-1975). Hasta ahora, Amnistía Internacional ha tenido conocimiento de cuatro resoluciones judiciales; tres de ellas inadmitiendo a trámite las querellas presentadas, de juzgados de </w:t>
      </w:r>
      <w:r w:rsidR="006F7683" w:rsidRPr="00986EC5">
        <w:rPr>
          <w:sz w:val="20"/>
          <w:szCs w:val="20"/>
        </w:rPr>
        <w:t>Ferrol,</w:t>
      </w:r>
      <w:r w:rsidRPr="00986EC5">
        <w:rPr>
          <w:sz w:val="20"/>
          <w:szCs w:val="20"/>
        </w:rPr>
        <w:t xml:space="preserve"> Pamplona y Vigo, respectivamente; y en cambio una resolución de un juzgado de Madrid acordando el inicio de una investigación, pero que acabó siendo archivada: 1) querella por el asesinato de </w:t>
      </w:r>
      <w:proofErr w:type="spellStart"/>
      <w:r w:rsidRPr="00986EC5">
        <w:rPr>
          <w:sz w:val="20"/>
          <w:szCs w:val="20"/>
        </w:rPr>
        <w:t>Xose</w:t>
      </w:r>
      <w:proofErr w:type="spellEnd"/>
      <w:r w:rsidRPr="00986EC5">
        <w:rPr>
          <w:sz w:val="20"/>
          <w:szCs w:val="20"/>
        </w:rPr>
        <w:t xml:space="preserve"> Ramón (Moncho) </w:t>
      </w:r>
      <w:proofErr w:type="spellStart"/>
      <w:r w:rsidRPr="00986EC5">
        <w:rPr>
          <w:sz w:val="20"/>
          <w:szCs w:val="20"/>
        </w:rPr>
        <w:t>Reboiras</w:t>
      </w:r>
      <w:proofErr w:type="spellEnd"/>
      <w:r w:rsidRPr="00986EC5">
        <w:rPr>
          <w:sz w:val="20"/>
          <w:szCs w:val="20"/>
        </w:rPr>
        <w:t xml:space="preserve"> en Ferrol, en 1975, por disparos en el marco de un operativo policial, archivada por prescripción de los delitos denunciados en aplicación de la jurisprudencia del Tribunal Supremo;</w:t>
      </w:r>
      <w:r w:rsidRPr="00986EC5">
        <w:rPr>
          <w:sz w:val="20"/>
          <w:szCs w:val="20"/>
          <w:vertAlign w:val="superscript"/>
        </w:rPr>
        <w:footnoteReference w:id="69"/>
      </w:r>
      <w:r w:rsidRPr="00986EC5">
        <w:rPr>
          <w:sz w:val="20"/>
          <w:szCs w:val="20"/>
        </w:rPr>
        <w:t xml:space="preserve"> 2) querella presentada por Concepción Edo Gil, que denuncia haber sufrido torturas bajo detención en 1973, en Pamplona, archivada por prescripción;</w:t>
      </w:r>
      <w:r w:rsidRPr="00986EC5">
        <w:rPr>
          <w:sz w:val="20"/>
          <w:szCs w:val="20"/>
          <w:vertAlign w:val="superscript"/>
        </w:rPr>
        <w:footnoteReference w:id="70"/>
      </w:r>
      <w:r w:rsidRPr="00986EC5">
        <w:rPr>
          <w:sz w:val="20"/>
          <w:szCs w:val="20"/>
        </w:rPr>
        <w:t xml:space="preserve"> 3) querella presentada por Julio Pacheco Yepes, que denuncia haber sufrido torturas durante su detención en 1975, en Madrid, admitida a trámite, y que ordenó la toma de declaración de Julio y de su cónyuge, Rosa, como testigo,</w:t>
      </w:r>
      <w:r w:rsidRPr="00986EC5">
        <w:rPr>
          <w:sz w:val="20"/>
          <w:szCs w:val="20"/>
          <w:vertAlign w:val="superscript"/>
        </w:rPr>
        <w:footnoteReference w:id="71"/>
      </w:r>
      <w:r w:rsidRPr="00986EC5">
        <w:rPr>
          <w:sz w:val="20"/>
          <w:szCs w:val="20"/>
        </w:rPr>
        <w:t xml:space="preserve"> pero que fue archivada finalmente, tras la ya referida sentencia del Tribunal Constitucional de junio de 2024;</w:t>
      </w:r>
      <w:r w:rsidRPr="00986EC5">
        <w:rPr>
          <w:sz w:val="20"/>
          <w:szCs w:val="20"/>
          <w:vertAlign w:val="superscript"/>
        </w:rPr>
        <w:footnoteReference w:id="72"/>
      </w:r>
      <w:r w:rsidRPr="00986EC5">
        <w:rPr>
          <w:sz w:val="20"/>
          <w:szCs w:val="20"/>
        </w:rPr>
        <w:t xml:space="preserve"> 4) y la querella presentada por Manuel </w:t>
      </w:r>
      <w:proofErr w:type="spellStart"/>
      <w:r w:rsidRPr="00986EC5">
        <w:rPr>
          <w:sz w:val="20"/>
          <w:szCs w:val="20"/>
        </w:rPr>
        <w:t>Reboiras</w:t>
      </w:r>
      <w:proofErr w:type="spellEnd"/>
      <w:r w:rsidRPr="00986EC5">
        <w:rPr>
          <w:sz w:val="20"/>
          <w:szCs w:val="20"/>
        </w:rPr>
        <w:t>, que denuncia torturas a manos de la Guardia Civil durante su detención en 1976.</w:t>
      </w:r>
      <w:r w:rsidRPr="00986EC5">
        <w:rPr>
          <w:sz w:val="20"/>
          <w:szCs w:val="20"/>
          <w:vertAlign w:val="superscript"/>
        </w:rPr>
        <w:footnoteReference w:id="73"/>
      </w:r>
    </w:p>
    <w:p w14:paraId="623C3193" w14:textId="77777777" w:rsidR="00986EC5" w:rsidRDefault="00986EC5" w:rsidP="00986EC5">
      <w:pPr>
        <w:pStyle w:val="BBodyText"/>
        <w:rPr>
          <w:sz w:val="20"/>
          <w:szCs w:val="20"/>
        </w:rPr>
      </w:pPr>
      <w:r w:rsidRPr="00986EC5">
        <w:rPr>
          <w:sz w:val="20"/>
          <w:szCs w:val="20"/>
        </w:rPr>
        <w:t>Con relación a los hechos de tortura sucedidos durante la Guerra Civil y el franquismo, Amnistía Internacional desea recordar lo dicho por el Comité Contra la Tortura, en su Comentario General 3, que ha señalado que “habida cuenta de que la tortura surte efectos permanentes, no debe estar sujeta a prescripción, pues con ello se privaría a las víctimas de la reparación, la indemnización y la rehabilitación a que tienen derecho”.</w:t>
      </w:r>
      <w:r w:rsidRPr="00986EC5">
        <w:rPr>
          <w:sz w:val="20"/>
          <w:szCs w:val="20"/>
          <w:vertAlign w:val="superscript"/>
        </w:rPr>
        <w:footnoteReference w:id="74"/>
      </w:r>
    </w:p>
    <w:p w14:paraId="67D55B67" w14:textId="77777777" w:rsidR="00D2101F" w:rsidRPr="00986EC5" w:rsidRDefault="00D2101F" w:rsidP="00986EC5">
      <w:pPr>
        <w:pStyle w:val="BBodyText"/>
        <w:rPr>
          <w:sz w:val="20"/>
          <w:szCs w:val="20"/>
        </w:rPr>
      </w:pPr>
    </w:p>
    <w:p w14:paraId="3A46CBD7" w14:textId="77777777" w:rsidR="00986EC5" w:rsidRPr="00986EC5" w:rsidRDefault="00986EC5" w:rsidP="00D2101F">
      <w:pPr>
        <w:pStyle w:val="BSubheadingnonumbers"/>
      </w:pPr>
      <w:bookmarkStart w:id="36" w:name="_Toc1478138075"/>
      <w:bookmarkStart w:id="37" w:name="_Toc137599223"/>
      <w:bookmarkStart w:id="38" w:name="_Toc200231294"/>
      <w:r w:rsidRPr="00986EC5">
        <w:t>Recomendaciones</w:t>
      </w:r>
      <w:bookmarkEnd w:id="36"/>
      <w:bookmarkEnd w:id="37"/>
      <w:bookmarkEnd w:id="38"/>
    </w:p>
    <w:p w14:paraId="4906BF1D" w14:textId="77777777" w:rsidR="00986EC5" w:rsidRPr="00986EC5" w:rsidRDefault="00986EC5" w:rsidP="00986EC5">
      <w:pPr>
        <w:pStyle w:val="BBodyText"/>
        <w:rPr>
          <w:sz w:val="20"/>
          <w:szCs w:val="20"/>
        </w:rPr>
      </w:pPr>
      <w:r w:rsidRPr="00986EC5">
        <w:rPr>
          <w:sz w:val="20"/>
          <w:szCs w:val="20"/>
        </w:rPr>
        <w:t>Amnistía Internacional recomienda al Estado español:</w:t>
      </w:r>
    </w:p>
    <w:p w14:paraId="22DE845E" w14:textId="77777777" w:rsidR="00986EC5" w:rsidRPr="00986EC5" w:rsidRDefault="00986EC5" w:rsidP="00986EC5">
      <w:pPr>
        <w:pStyle w:val="BBodyText"/>
        <w:numPr>
          <w:ilvl w:val="0"/>
          <w:numId w:val="40"/>
        </w:numPr>
        <w:rPr>
          <w:sz w:val="20"/>
          <w:szCs w:val="20"/>
        </w:rPr>
      </w:pPr>
      <w:r w:rsidRPr="00986EC5">
        <w:rPr>
          <w:sz w:val="20"/>
          <w:szCs w:val="20"/>
        </w:rPr>
        <w:t>Reconocer expresamente los principios fundamentales del derecho internacional en la investigación de crímenes de derecho internacional, especialmente en lo que refiere a su imprescriptibilidad, la inaplicabilidad de indultos o amnistías, y la obligación de investigar la verdad de los hechos con independencia del posible fallecimiento de los presuntos responsables;</w:t>
      </w:r>
    </w:p>
    <w:p w14:paraId="4D88D2E7" w14:textId="77777777" w:rsidR="00986EC5" w:rsidRPr="00986EC5" w:rsidRDefault="00986EC5" w:rsidP="00986EC5">
      <w:pPr>
        <w:pStyle w:val="BBodyText"/>
        <w:numPr>
          <w:ilvl w:val="0"/>
          <w:numId w:val="40"/>
        </w:numPr>
        <w:rPr>
          <w:sz w:val="20"/>
          <w:szCs w:val="20"/>
        </w:rPr>
      </w:pPr>
      <w:r w:rsidRPr="00986EC5">
        <w:rPr>
          <w:sz w:val="20"/>
          <w:szCs w:val="20"/>
        </w:rPr>
        <w:t>Suscribir prontamente y ratificar la Convención de Liubliana/La Haya sobre cooperación internacional en la investigación y enjuiciamiento de crímenes de genocidio, de lesa humanidad, de guerra y otros crímenes internacionales, sin efectuar reservas;</w:t>
      </w:r>
    </w:p>
    <w:p w14:paraId="150FD012" w14:textId="77777777" w:rsidR="00986EC5" w:rsidRPr="00986EC5" w:rsidRDefault="00986EC5" w:rsidP="00986EC5">
      <w:pPr>
        <w:pStyle w:val="BBodyText"/>
        <w:numPr>
          <w:ilvl w:val="0"/>
          <w:numId w:val="40"/>
        </w:numPr>
        <w:rPr>
          <w:sz w:val="20"/>
          <w:szCs w:val="20"/>
        </w:rPr>
      </w:pPr>
      <w:r w:rsidRPr="00986EC5">
        <w:rPr>
          <w:sz w:val="20"/>
          <w:szCs w:val="20"/>
        </w:rPr>
        <w:t>Modificar el Código Penal para:</w:t>
      </w:r>
    </w:p>
    <w:p w14:paraId="1AAE0873" w14:textId="77777777" w:rsidR="00986EC5" w:rsidRPr="00986EC5" w:rsidRDefault="00986EC5" w:rsidP="00986EC5">
      <w:pPr>
        <w:pStyle w:val="BBodyText"/>
        <w:numPr>
          <w:ilvl w:val="1"/>
          <w:numId w:val="40"/>
        </w:numPr>
        <w:rPr>
          <w:sz w:val="20"/>
          <w:szCs w:val="20"/>
        </w:rPr>
      </w:pPr>
      <w:r w:rsidRPr="00986EC5">
        <w:rPr>
          <w:sz w:val="20"/>
          <w:szCs w:val="20"/>
        </w:rPr>
        <w:t>Incorporar el principio de legalidad conforme al derecho internacional, tal y como es consagrado en el artículo 7.2 del Convenio Europeo de Derechos Humanos y el artículo 15.2 del Pacto Internacional de Derechos Civiles y Políticos, instrumentos vinculantes para el Estado español.</w:t>
      </w:r>
    </w:p>
    <w:p w14:paraId="2186E950" w14:textId="77777777" w:rsidR="00986EC5" w:rsidRPr="00986EC5" w:rsidRDefault="00986EC5" w:rsidP="00986EC5">
      <w:pPr>
        <w:pStyle w:val="BBodyText"/>
        <w:numPr>
          <w:ilvl w:val="1"/>
          <w:numId w:val="40"/>
        </w:numPr>
        <w:rPr>
          <w:sz w:val="20"/>
          <w:szCs w:val="20"/>
        </w:rPr>
      </w:pPr>
      <w:proofErr w:type="gramStart"/>
      <w:r w:rsidRPr="00986EC5">
        <w:rPr>
          <w:sz w:val="20"/>
          <w:szCs w:val="20"/>
        </w:rPr>
        <w:t>Asegurar</w:t>
      </w:r>
      <w:proofErr w:type="gramEnd"/>
      <w:r w:rsidRPr="00986EC5">
        <w:rPr>
          <w:sz w:val="20"/>
          <w:szCs w:val="20"/>
        </w:rPr>
        <w:t xml:space="preserve"> que no contempla la prescripción de la acción y de la pena respecto de los crímenes de derecho internacional.</w:t>
      </w:r>
      <w:r w:rsidRPr="00986EC5">
        <w:rPr>
          <w:sz w:val="20"/>
          <w:szCs w:val="20"/>
          <w:vertAlign w:val="superscript"/>
        </w:rPr>
        <w:footnoteReference w:id="75"/>
      </w:r>
    </w:p>
    <w:p w14:paraId="64673B8F" w14:textId="77777777" w:rsidR="00986EC5" w:rsidRPr="00943558" w:rsidRDefault="00986EC5" w:rsidP="006F614F">
      <w:pPr>
        <w:pStyle w:val="BNumberedHeading"/>
        <w:rPr>
          <w:noProof w:val="0"/>
        </w:rPr>
      </w:pPr>
      <w:bookmarkStart w:id="39" w:name="_Toc199778708"/>
      <w:bookmarkStart w:id="40" w:name="_Toc199778732"/>
      <w:bookmarkStart w:id="41" w:name="_Toc199778789"/>
      <w:bookmarkStart w:id="42" w:name="_Toc199778863"/>
      <w:bookmarkStart w:id="43" w:name="_Toc199778967"/>
      <w:bookmarkStart w:id="44" w:name="_Toc199779221"/>
      <w:bookmarkStart w:id="45" w:name="_Toc199779319"/>
      <w:bookmarkStart w:id="46" w:name="_Toc199778968"/>
      <w:bookmarkStart w:id="47" w:name="_Toc199779320"/>
      <w:bookmarkStart w:id="48" w:name="_Toc200231295"/>
      <w:bookmarkEnd w:id="39"/>
      <w:bookmarkEnd w:id="40"/>
      <w:bookmarkEnd w:id="41"/>
      <w:bookmarkEnd w:id="42"/>
      <w:bookmarkEnd w:id="43"/>
      <w:bookmarkEnd w:id="44"/>
      <w:bookmarkEnd w:id="45"/>
      <w:r w:rsidRPr="00943558">
        <w:rPr>
          <w:noProof w:val="0"/>
        </w:rPr>
        <w:t>USO EXCESIVO DE LA FUERZA</w:t>
      </w:r>
      <w:bookmarkEnd w:id="46"/>
      <w:bookmarkEnd w:id="47"/>
      <w:bookmarkEnd w:id="48"/>
    </w:p>
    <w:p w14:paraId="6764B8BC" w14:textId="77777777" w:rsidR="00986EC5" w:rsidRPr="00943558" w:rsidRDefault="00986EC5" w:rsidP="006F614F">
      <w:pPr>
        <w:pStyle w:val="BNumberedSubheading"/>
        <w:rPr>
          <w:noProof w:val="0"/>
        </w:rPr>
      </w:pPr>
      <w:bookmarkStart w:id="49" w:name="_Toc199779321"/>
      <w:bookmarkStart w:id="50" w:name="_Toc1173931733"/>
      <w:bookmarkStart w:id="51" w:name="_Toc137599229"/>
      <w:bookmarkStart w:id="52" w:name="_Toc199778969"/>
      <w:bookmarkStart w:id="53" w:name="_Toc200231296"/>
      <w:r w:rsidRPr="00943558">
        <w:rPr>
          <w:noProof w:val="0"/>
        </w:rPr>
        <w:t>El empleo de proyectiles de impacto cinetico</w:t>
      </w:r>
      <w:bookmarkEnd w:id="49"/>
      <w:bookmarkEnd w:id="50"/>
      <w:bookmarkEnd w:id="51"/>
      <w:bookmarkEnd w:id="52"/>
      <w:bookmarkEnd w:id="53"/>
    </w:p>
    <w:p w14:paraId="1E0FF1B2" w14:textId="77777777" w:rsidR="00986EC5" w:rsidRPr="00943558" w:rsidRDefault="00986EC5" w:rsidP="006F614F">
      <w:pPr>
        <w:pStyle w:val="BSubheadingnonumbers"/>
        <w:rPr>
          <w:noProof w:val="0"/>
        </w:rPr>
      </w:pPr>
      <w:bookmarkStart w:id="54" w:name="_Toc199778970"/>
      <w:bookmarkStart w:id="55" w:name="_Toc199779322"/>
      <w:bookmarkStart w:id="56" w:name="_Toc200231297"/>
      <w:r w:rsidRPr="00943558">
        <w:rPr>
          <w:noProof w:val="0"/>
        </w:rPr>
        <w:t>Balas de goma</w:t>
      </w:r>
      <w:bookmarkEnd w:id="54"/>
      <w:bookmarkEnd w:id="55"/>
      <w:bookmarkEnd w:id="56"/>
    </w:p>
    <w:p w14:paraId="64B7F4A1" w14:textId="77777777" w:rsidR="00986EC5" w:rsidRPr="00986EC5" w:rsidRDefault="00986EC5" w:rsidP="00986EC5">
      <w:pPr>
        <w:pStyle w:val="BBodyText"/>
        <w:rPr>
          <w:sz w:val="20"/>
          <w:szCs w:val="20"/>
        </w:rPr>
      </w:pPr>
      <w:r w:rsidRPr="00986EC5">
        <w:rPr>
          <w:sz w:val="20"/>
          <w:szCs w:val="20"/>
        </w:rPr>
        <w:t>En España, el uso de proyectiles de impacto cinético grandes, con pelotas de goma del tamaño de una pelota de tenis —que son intrínsecamente imprecisas—ha causado numerosas lesiones graves, entre ellas lesiones oculares. La coalición de campaña Stop Balas de Goma ha documentado una muerte por traumatismo craneal y 24 lesiones graves entre 2000 y 2020. En 11 de esos casos se trataba de lesiones oculares graves, cuatro de las cuales provocaron la pérdida de visión en un ojo.</w:t>
      </w:r>
      <w:r w:rsidRPr="00986EC5">
        <w:rPr>
          <w:sz w:val="20"/>
          <w:szCs w:val="20"/>
          <w:vertAlign w:val="superscript"/>
        </w:rPr>
        <w:footnoteReference w:id="76"/>
      </w:r>
      <w:r w:rsidRPr="00986EC5">
        <w:rPr>
          <w:sz w:val="20"/>
          <w:szCs w:val="20"/>
        </w:rPr>
        <w:t xml:space="preserve"> En febrero de 2014, miembros de la Guardia Civil española dispararon 145 pelotas de goma y cinco granadas de humo contra 200 personas migrantes, refugiadas y solicitantes de asilo procedentes del África subsahariana que intentaban llegar a nado a la playa de El Tarajal, en Ceuta, ciudad autónoma de España situada en la costa norte de África, lo que contribuyó a la muerte por ahogamiento de al menos 14 personas.</w:t>
      </w:r>
      <w:r w:rsidRPr="00986EC5">
        <w:rPr>
          <w:sz w:val="20"/>
          <w:szCs w:val="20"/>
          <w:vertAlign w:val="superscript"/>
        </w:rPr>
        <w:footnoteReference w:id="77"/>
      </w:r>
      <w:r w:rsidRPr="00986EC5">
        <w:rPr>
          <w:sz w:val="20"/>
          <w:szCs w:val="20"/>
        </w:rPr>
        <w:t xml:space="preserve"> Como consecuencia de las numerosas lesiones graves causadas, a menudo a transeúntes,</w:t>
      </w:r>
      <w:r w:rsidRPr="00986EC5">
        <w:rPr>
          <w:sz w:val="20"/>
          <w:szCs w:val="20"/>
          <w:vertAlign w:val="superscript"/>
        </w:rPr>
        <w:footnoteReference w:id="78"/>
      </w:r>
      <w:r w:rsidRPr="00986EC5">
        <w:rPr>
          <w:sz w:val="20"/>
          <w:szCs w:val="20"/>
        </w:rPr>
        <w:t xml:space="preserve"> las fuerzas policiales de Cataluña, Euskadi y Navarra prohibieron el uso de balas de goma entre 2014 y 2017, pero el Cuerpo Nacional de Policía y la Guardia Civil siguen utilizándolas en toda España.</w:t>
      </w:r>
      <w:r w:rsidRPr="00986EC5">
        <w:rPr>
          <w:sz w:val="20"/>
          <w:szCs w:val="20"/>
          <w:vertAlign w:val="superscript"/>
        </w:rPr>
        <w:footnoteReference w:id="79"/>
      </w:r>
    </w:p>
    <w:p w14:paraId="0030C2D2" w14:textId="77777777" w:rsidR="00986EC5" w:rsidRPr="00986EC5" w:rsidRDefault="00986EC5" w:rsidP="00986EC5">
      <w:pPr>
        <w:pStyle w:val="BBodyText"/>
        <w:rPr>
          <w:sz w:val="20"/>
          <w:szCs w:val="20"/>
        </w:rPr>
      </w:pPr>
      <w:r w:rsidRPr="00986EC5">
        <w:rPr>
          <w:sz w:val="20"/>
          <w:szCs w:val="20"/>
        </w:rPr>
        <w:t>Hasta donde consta a Amnistía Internacional, el uso de las pelotas de goma se rige por la Circular sobre empleo de material antidisturbios, de fecha 3 de septiembre de 2013, elaborada por la Comisaría General de Seguridad Ciudadana con la aprobación de la Dirección Adjunta Operativa (DAO).</w:t>
      </w:r>
      <w:r w:rsidRPr="00986EC5">
        <w:rPr>
          <w:sz w:val="20"/>
          <w:szCs w:val="20"/>
          <w:vertAlign w:val="superscript"/>
        </w:rPr>
        <w:footnoteReference w:id="80"/>
      </w:r>
      <w:r w:rsidRPr="00986EC5">
        <w:rPr>
          <w:sz w:val="20"/>
          <w:szCs w:val="20"/>
        </w:rPr>
        <w:t xml:space="preserve"> No es una circular pública e Interior ha denegado solicitudes de información a través del Portal de Transparencia.</w:t>
      </w:r>
      <w:r w:rsidRPr="00986EC5">
        <w:rPr>
          <w:sz w:val="20"/>
          <w:szCs w:val="20"/>
          <w:vertAlign w:val="superscript"/>
        </w:rPr>
        <w:footnoteReference w:id="81"/>
      </w:r>
    </w:p>
    <w:p w14:paraId="69AEAF34" w14:textId="77777777" w:rsidR="00986EC5" w:rsidRPr="00986EC5" w:rsidRDefault="00986EC5" w:rsidP="00986EC5">
      <w:pPr>
        <w:pStyle w:val="BBodyText"/>
        <w:rPr>
          <w:sz w:val="20"/>
          <w:szCs w:val="20"/>
        </w:rPr>
      </w:pPr>
      <w:r w:rsidRPr="00986EC5">
        <w:rPr>
          <w:sz w:val="20"/>
          <w:szCs w:val="20"/>
        </w:rPr>
        <w:t>En opinión de Amnistía Internacional este tipo de proyectiles es intrínsecamente impreciso, lo que impide que su uso pueda ajustarse a los estándares internacionales sobre uso de la fuerza, que establecen que los proyectiles de impacto cinético sólo deberían emplearse contra personas implicadas directamente en actos de violencia, y dirigidos a la parte inferior del cuerpo por la alta probabilidad de causar lesiones graves si impacta en la cabeza o en la parte superior del torso.</w:t>
      </w:r>
      <w:r w:rsidRPr="00986EC5">
        <w:rPr>
          <w:sz w:val="20"/>
          <w:szCs w:val="20"/>
          <w:vertAlign w:val="superscript"/>
        </w:rPr>
        <w:footnoteReference w:id="82"/>
      </w:r>
      <w:r w:rsidRPr="00986EC5">
        <w:rPr>
          <w:sz w:val="20"/>
          <w:szCs w:val="20"/>
        </w:rPr>
        <w:t xml:space="preserve"> El empleo de las pelotas de goma en el Estado español ha demostrado que se trata de un armamento que no puede utilizarse de forma segura ni respetuosa con los estándares internacionales, por lo que Amnistía Internacional pide su prohibición ya que habida cuenta de sus características técnicas resultan altamente imprecisas y conllevan un alto riesgo de golpear determinadas partes especialmente vulnerables del cuerpo, en particular los ojos, o incluso golpear a otras personas que no sean el objetivo, como pueden ser periodistas o viandantes.</w:t>
      </w:r>
    </w:p>
    <w:p w14:paraId="6D845194" w14:textId="77777777" w:rsidR="00986EC5" w:rsidRDefault="00986EC5" w:rsidP="00986EC5">
      <w:pPr>
        <w:pStyle w:val="BBodyText"/>
        <w:rPr>
          <w:sz w:val="20"/>
          <w:szCs w:val="20"/>
        </w:rPr>
      </w:pPr>
      <w:r w:rsidRPr="00986EC5">
        <w:rPr>
          <w:sz w:val="20"/>
          <w:szCs w:val="20"/>
        </w:rPr>
        <w:t>En la presente legislatura se está debatiendo una posible reforma de la Ley Mordaza, en la que podría incorporarse una disposición que prevé la sustitución de las balas de goma por otros proyectiles menos lesivos.</w:t>
      </w:r>
      <w:r w:rsidRPr="00986EC5">
        <w:rPr>
          <w:sz w:val="20"/>
          <w:szCs w:val="20"/>
          <w:vertAlign w:val="superscript"/>
        </w:rPr>
        <w:footnoteReference w:id="83"/>
      </w:r>
      <w:r w:rsidRPr="00986EC5">
        <w:rPr>
          <w:sz w:val="20"/>
          <w:szCs w:val="20"/>
        </w:rPr>
        <w:t xml:space="preserve"> No obstante, Amnistía Internacional muestra preocupación por el hecho de que este proceso de tramitación parlamentaria se encuentra paralizado actualmente.</w:t>
      </w:r>
    </w:p>
    <w:p w14:paraId="6B6C5398" w14:textId="77777777" w:rsidR="00943558" w:rsidRPr="00986EC5" w:rsidRDefault="00943558" w:rsidP="00986EC5">
      <w:pPr>
        <w:pStyle w:val="BBodyText"/>
        <w:rPr>
          <w:sz w:val="20"/>
          <w:szCs w:val="20"/>
        </w:rPr>
      </w:pPr>
    </w:p>
    <w:p w14:paraId="083A9461" w14:textId="32D023C9" w:rsidR="00986EC5" w:rsidRPr="00943558" w:rsidRDefault="00986EC5" w:rsidP="006F614F">
      <w:pPr>
        <w:pStyle w:val="BSubheadingnonumbers"/>
        <w:rPr>
          <w:noProof w:val="0"/>
        </w:rPr>
      </w:pPr>
      <w:bookmarkStart w:id="57" w:name="_Toc1564844048"/>
      <w:bookmarkStart w:id="58" w:name="_Toc137599230"/>
      <w:bookmarkStart w:id="59" w:name="_Toc199778971"/>
      <w:bookmarkStart w:id="60" w:name="_Toc199779323"/>
      <w:bookmarkStart w:id="61" w:name="_Toc200231298"/>
      <w:r w:rsidRPr="00943558">
        <w:rPr>
          <w:noProof w:val="0"/>
        </w:rPr>
        <w:t>U</w:t>
      </w:r>
      <w:r w:rsidR="006F614F" w:rsidRPr="00943558">
        <w:rPr>
          <w:noProof w:val="0"/>
        </w:rPr>
        <w:t>so p</w:t>
      </w:r>
      <w:r w:rsidRPr="00943558">
        <w:rPr>
          <w:noProof w:val="0"/>
        </w:rPr>
        <w:t xml:space="preserve">royectiles ‘foam’ </w:t>
      </w:r>
      <w:bookmarkEnd w:id="57"/>
      <w:bookmarkEnd w:id="58"/>
      <w:bookmarkEnd w:id="59"/>
      <w:bookmarkEnd w:id="60"/>
      <w:r w:rsidRPr="00943558">
        <w:rPr>
          <w:noProof w:val="0"/>
        </w:rPr>
        <w:t>ha provocado numerosas lesiones graves.</w:t>
      </w:r>
      <w:bookmarkEnd w:id="61"/>
    </w:p>
    <w:p w14:paraId="1F17CB16" w14:textId="77777777" w:rsidR="00986EC5" w:rsidRPr="00986EC5" w:rsidRDefault="00986EC5" w:rsidP="00986EC5">
      <w:pPr>
        <w:pStyle w:val="BBodyText"/>
        <w:rPr>
          <w:sz w:val="20"/>
          <w:szCs w:val="20"/>
        </w:rPr>
      </w:pPr>
      <w:r w:rsidRPr="00986EC5">
        <w:rPr>
          <w:sz w:val="20"/>
          <w:szCs w:val="20"/>
        </w:rPr>
        <w:t>Las balas SIR (“</w:t>
      </w:r>
      <w:proofErr w:type="spellStart"/>
      <w:r w:rsidRPr="00986EC5">
        <w:rPr>
          <w:sz w:val="20"/>
          <w:szCs w:val="20"/>
        </w:rPr>
        <w:t>Safe</w:t>
      </w:r>
      <w:proofErr w:type="spellEnd"/>
      <w:r w:rsidRPr="00986EC5">
        <w:rPr>
          <w:sz w:val="20"/>
          <w:szCs w:val="20"/>
        </w:rPr>
        <w:t xml:space="preserve"> </w:t>
      </w:r>
      <w:proofErr w:type="spellStart"/>
      <w:r w:rsidRPr="00986EC5">
        <w:rPr>
          <w:sz w:val="20"/>
          <w:szCs w:val="20"/>
        </w:rPr>
        <w:t>Impact</w:t>
      </w:r>
      <w:proofErr w:type="spellEnd"/>
      <w:r w:rsidRPr="00986EC5">
        <w:rPr>
          <w:sz w:val="20"/>
          <w:szCs w:val="20"/>
        </w:rPr>
        <w:t xml:space="preserve"> Rounds”, balas de impacto seguro) de B&amp;T AG, de fabricación suiza, y la variante más potente de alcance ampliado SIR-X, se adoptaron gradualmente a partir de 2014 tras la prohibición de las pelotas de goma. Sin embargo, su uso indebido por parte de las fuerzas policiales españolas ha provocado numerosas lesiones graves. </w:t>
      </w:r>
    </w:p>
    <w:p w14:paraId="6ED6DA7D" w14:textId="77777777" w:rsidR="00986EC5" w:rsidRPr="00986EC5" w:rsidRDefault="00986EC5" w:rsidP="00986EC5">
      <w:pPr>
        <w:pStyle w:val="BBodyText"/>
        <w:rPr>
          <w:sz w:val="20"/>
          <w:szCs w:val="20"/>
        </w:rPr>
      </w:pPr>
      <w:r w:rsidRPr="00986EC5">
        <w:rPr>
          <w:sz w:val="20"/>
          <w:szCs w:val="20"/>
        </w:rPr>
        <w:t>Amnistía Internacional ha documentado cinco casos de lesiones graves relacionadas con el uso de balas de impacto cinético de espuma en Cataluña: dos personas que perdieron un ojo, dos personas con traumatismo craneoencefálico severo (requiriendo una de ellas la extirpación quirúrgica de tejido craneal dañado) y otra persona que perdió un testículo.</w:t>
      </w:r>
      <w:r w:rsidRPr="00986EC5">
        <w:rPr>
          <w:sz w:val="20"/>
          <w:szCs w:val="20"/>
          <w:vertAlign w:val="superscript"/>
        </w:rPr>
        <w:footnoteReference w:id="84"/>
      </w:r>
      <w:r w:rsidRPr="00986EC5">
        <w:rPr>
          <w:sz w:val="20"/>
          <w:szCs w:val="20"/>
        </w:rPr>
        <w:t xml:space="preserve"> </w:t>
      </w:r>
    </w:p>
    <w:p w14:paraId="4388E2E6" w14:textId="77777777" w:rsidR="00986EC5" w:rsidRPr="00986EC5" w:rsidRDefault="00986EC5" w:rsidP="00986EC5">
      <w:pPr>
        <w:pStyle w:val="BBodyText"/>
        <w:rPr>
          <w:sz w:val="20"/>
          <w:szCs w:val="20"/>
        </w:rPr>
      </w:pPr>
      <w:r w:rsidRPr="00986EC5">
        <w:rPr>
          <w:sz w:val="20"/>
          <w:szCs w:val="20"/>
        </w:rPr>
        <w:t>En relación con las investigaciones de estos casos, Amnistía Internacional desea llamar la atención del Comité sobre un caso concreto; el de una chica que perdió el ojo durante unas protestas en Barcelona en 2021, cuya investigación fue archivada en mayo de 2024 con base en la preocupante argumentación de que la víctima se había auto puesto en peligro al participar en estas protestas.</w:t>
      </w:r>
      <w:r w:rsidRPr="00986EC5">
        <w:rPr>
          <w:sz w:val="20"/>
          <w:szCs w:val="20"/>
          <w:vertAlign w:val="superscript"/>
        </w:rPr>
        <w:footnoteReference w:id="85"/>
      </w:r>
      <w:r w:rsidRPr="00986EC5">
        <w:rPr>
          <w:sz w:val="20"/>
          <w:szCs w:val="20"/>
        </w:rPr>
        <w:t xml:space="preserve"> </w:t>
      </w:r>
      <w:bookmarkStart w:id="62" w:name="_Toc213815094"/>
      <w:bookmarkStart w:id="63" w:name="_Toc137599231"/>
      <w:r w:rsidRPr="00986EC5">
        <w:rPr>
          <w:sz w:val="20"/>
          <w:szCs w:val="20"/>
        </w:rPr>
        <w:t>En octubre de 2024 la Audiencia Provincial de Barcelona confirmó esta decisión, señalando que los agentes actuaron conforme a los protocolos vigentes en el momento de los hechos y que la víctima habría participado en los altercados que tuvieron lugar aquel día.</w:t>
      </w:r>
      <w:r w:rsidRPr="00986EC5">
        <w:rPr>
          <w:sz w:val="20"/>
          <w:szCs w:val="20"/>
          <w:vertAlign w:val="superscript"/>
        </w:rPr>
        <w:footnoteReference w:id="86"/>
      </w:r>
    </w:p>
    <w:p w14:paraId="75756433" w14:textId="77777777" w:rsidR="00986EC5" w:rsidRPr="00986EC5" w:rsidRDefault="00986EC5" w:rsidP="00986EC5">
      <w:pPr>
        <w:pStyle w:val="BBodyText"/>
        <w:rPr>
          <w:sz w:val="20"/>
          <w:szCs w:val="20"/>
        </w:rPr>
      </w:pPr>
      <w:r w:rsidRPr="00986EC5">
        <w:rPr>
          <w:sz w:val="20"/>
          <w:szCs w:val="20"/>
        </w:rPr>
        <w:t>En el caso de Cataluña, Amnistía Internacional reconoce que los protocolos de uso fueron modificados por la Generalitat de Catalunya en octubre de 2023,</w:t>
      </w:r>
      <w:r w:rsidRPr="00986EC5">
        <w:rPr>
          <w:sz w:val="20"/>
          <w:szCs w:val="20"/>
          <w:vertAlign w:val="superscript"/>
        </w:rPr>
        <w:footnoteReference w:id="87"/>
      </w:r>
      <w:r w:rsidRPr="00986EC5">
        <w:rPr>
          <w:sz w:val="20"/>
          <w:szCs w:val="20"/>
        </w:rPr>
        <w:t xml:space="preserve"> incorporando importantes mejoras que dan lugar a una regulación más alineada con los estándares internacionales, y da la bienvenida a la publicación integral del protocolo. Entre las mejoras a destacar, este protocolo establece de forma clara que el uso de estos proyectiles ha de restringirse a casos de extrema necesidad con riesgo grave para los agentes policiales o terceras personas; en contraposición a la versión anterior, que habilitaba su uso para dispersar manifestaciones. También establece que los disparos deben efectuarse de la zona del abdomen hacia abajo, para intentar minimizar posibles daños y lesiones graves; mientras que la versión anterior del protocolo preveía la posibilidad de disparar contra las extremidades superiores de una persona que mostrara un objeto arrojadizo.</w:t>
      </w:r>
      <w:r w:rsidRPr="00986EC5">
        <w:rPr>
          <w:sz w:val="20"/>
          <w:szCs w:val="20"/>
          <w:vertAlign w:val="superscript"/>
        </w:rPr>
        <w:footnoteReference w:id="88"/>
      </w:r>
      <w:r w:rsidRPr="00986EC5">
        <w:rPr>
          <w:sz w:val="20"/>
          <w:szCs w:val="20"/>
        </w:rPr>
        <w:t xml:space="preserve"> Precisamente esta circunstancia es la que las autoridades judiciales consideran tuvo lugar en el caso referido en el párrafo anterior (chica que perdió un ojo en Barcelona en 2021), y por ello entienden que la actuación policial se ajustó al protocolo vigente en aquel momento. </w:t>
      </w:r>
    </w:p>
    <w:p w14:paraId="3391DFC8" w14:textId="48C605CF" w:rsidR="00986EC5" w:rsidRDefault="00986EC5" w:rsidP="00986EC5">
      <w:pPr>
        <w:pStyle w:val="BBodyText"/>
        <w:rPr>
          <w:sz w:val="20"/>
          <w:szCs w:val="20"/>
        </w:rPr>
      </w:pPr>
      <w:r w:rsidRPr="00986EC5">
        <w:rPr>
          <w:sz w:val="20"/>
          <w:szCs w:val="20"/>
        </w:rPr>
        <w:t xml:space="preserve">La organización también ha tenido conocimiento de otros casos de lesiones graves en el País Vasco; concretamente los casos de tres personas que fueron heridas por proyectiles de </w:t>
      </w:r>
      <w:proofErr w:type="spellStart"/>
      <w:r w:rsidRPr="00986EC5">
        <w:rPr>
          <w:sz w:val="20"/>
          <w:szCs w:val="20"/>
        </w:rPr>
        <w:t>foam</w:t>
      </w:r>
      <w:proofErr w:type="spellEnd"/>
      <w:r w:rsidRPr="00986EC5">
        <w:rPr>
          <w:sz w:val="20"/>
          <w:szCs w:val="20"/>
        </w:rPr>
        <w:t xml:space="preserve"> entre febrero y marzo de 2024; una de ellas en el transcurso de una protesta. Se tratarían de los casos de una mujer que tuvo que ser ingresada en la UCI, por una hemorragia interna en el cerebro; otra mujer herida en la mandíbula, y un mejor de 16 años con graves lesiones en su ojo derecho. Este último caso fue analizado por la Comisión de Control y Transparencia de la Policía del País Vasco, que emitió un informe en diciembre de 2024. Dicho informe entendió que la actuación policial fue legítima, pero consideró que no fue adecuado el uso de la munición más lesiva (SIR-X), afirmando que los mandos debieron dar directrices concretas sobre la utilización de una munición u otra, y que, en ausencia de esas directrices específicas, el agente utilizó la munición de forma arbitraria. Por ello, la Comisión instaba a la revisión del protocolo de uso de </w:t>
      </w:r>
      <w:proofErr w:type="spellStart"/>
      <w:r w:rsidRPr="00986EC5">
        <w:rPr>
          <w:sz w:val="20"/>
          <w:szCs w:val="20"/>
        </w:rPr>
        <w:t>foam</w:t>
      </w:r>
      <w:proofErr w:type="spellEnd"/>
      <w:r w:rsidRPr="00986EC5">
        <w:rPr>
          <w:sz w:val="20"/>
          <w:szCs w:val="20"/>
        </w:rPr>
        <w:t xml:space="preserve"> , para precisar supuestos de uso para cada munición.</w:t>
      </w:r>
      <w:r w:rsidRPr="00986EC5">
        <w:rPr>
          <w:sz w:val="20"/>
          <w:szCs w:val="20"/>
          <w:vertAlign w:val="superscript"/>
        </w:rPr>
        <w:footnoteReference w:id="89"/>
      </w:r>
      <w:r w:rsidRPr="00986EC5">
        <w:rPr>
          <w:sz w:val="20"/>
          <w:szCs w:val="20"/>
        </w:rPr>
        <w:t xml:space="preserve"> Este caso fue objeto también de una investigación interna, que apuntaba a que el proyectil iba dirigido a otra persona, pero que por rebote impactó en el menor.), y el Consejero de Seguridad afirmó el 5 de marzo de 2024 que el menor estaría implicado en altercados (</w:t>
      </w:r>
      <w:hyperlink r:id="rId11" w:history="1">
        <w:r w:rsidRPr="00986EC5">
          <w:rPr>
            <w:rStyle w:val="Hyperlink"/>
            <w:sz w:val="20"/>
            <w:szCs w:val="20"/>
          </w:rPr>
          <w:t>hiperenlace</w:t>
        </w:r>
      </w:hyperlink>
      <w:r w:rsidRPr="00986EC5">
        <w:rPr>
          <w:sz w:val="20"/>
          <w:szCs w:val="20"/>
        </w:rPr>
        <w:t>)</w:t>
      </w:r>
      <w:r w:rsidR="00173A7A" w:rsidRPr="00943558">
        <w:rPr>
          <w:sz w:val="20"/>
          <w:szCs w:val="20"/>
        </w:rPr>
        <w:t>.</w:t>
      </w:r>
    </w:p>
    <w:p w14:paraId="19874F64" w14:textId="77777777" w:rsidR="00D2101F" w:rsidRPr="00986EC5" w:rsidRDefault="00D2101F" w:rsidP="00986EC5">
      <w:pPr>
        <w:pStyle w:val="BBodyText"/>
        <w:rPr>
          <w:sz w:val="20"/>
          <w:szCs w:val="20"/>
        </w:rPr>
      </w:pPr>
    </w:p>
    <w:p w14:paraId="7E42BAD1" w14:textId="77777777" w:rsidR="00986EC5" w:rsidRPr="00986EC5" w:rsidRDefault="00986EC5" w:rsidP="00943558">
      <w:pPr>
        <w:pStyle w:val="BSubheadingnonumbers"/>
      </w:pPr>
      <w:bookmarkStart w:id="64" w:name="_Toc200231299"/>
      <w:r w:rsidRPr="00986EC5">
        <w:t>Recomendaciones</w:t>
      </w:r>
      <w:bookmarkEnd w:id="62"/>
      <w:bookmarkEnd w:id="63"/>
      <w:bookmarkEnd w:id="64"/>
    </w:p>
    <w:p w14:paraId="6105E8D9" w14:textId="77777777" w:rsidR="00986EC5" w:rsidRPr="00986EC5" w:rsidRDefault="00986EC5" w:rsidP="00986EC5">
      <w:pPr>
        <w:pStyle w:val="BBodyText"/>
        <w:rPr>
          <w:sz w:val="20"/>
          <w:szCs w:val="20"/>
        </w:rPr>
      </w:pPr>
      <w:r w:rsidRPr="00986EC5">
        <w:rPr>
          <w:sz w:val="20"/>
          <w:szCs w:val="20"/>
        </w:rPr>
        <w:t>Amnistía Internacional recomienda al Estado español:</w:t>
      </w:r>
    </w:p>
    <w:p w14:paraId="3AC2AFAA" w14:textId="77777777" w:rsidR="00986EC5" w:rsidRPr="00986EC5" w:rsidRDefault="00986EC5" w:rsidP="00986EC5">
      <w:pPr>
        <w:pStyle w:val="BBodyText"/>
        <w:numPr>
          <w:ilvl w:val="0"/>
          <w:numId w:val="37"/>
        </w:numPr>
        <w:rPr>
          <w:sz w:val="20"/>
          <w:szCs w:val="20"/>
        </w:rPr>
      </w:pPr>
      <w:r w:rsidRPr="00986EC5">
        <w:rPr>
          <w:sz w:val="20"/>
          <w:szCs w:val="20"/>
        </w:rPr>
        <w:t>No hacer uso de proyectiles de impacto cinético, como las balas de goma, intrínsecamente imprecisas y con elevado riesgo de causar lesiones graves y carecer de las características para poder emplearse de forma acorde a los estándares internacionales.</w:t>
      </w:r>
    </w:p>
    <w:p w14:paraId="59D9D6A3" w14:textId="77777777" w:rsidR="00986EC5" w:rsidRPr="00986EC5" w:rsidRDefault="00986EC5" w:rsidP="00986EC5">
      <w:pPr>
        <w:pStyle w:val="BBodyText"/>
        <w:numPr>
          <w:ilvl w:val="0"/>
          <w:numId w:val="37"/>
        </w:numPr>
        <w:rPr>
          <w:sz w:val="20"/>
          <w:szCs w:val="20"/>
        </w:rPr>
      </w:pPr>
      <w:r w:rsidRPr="00986EC5">
        <w:rPr>
          <w:sz w:val="20"/>
          <w:szCs w:val="20"/>
        </w:rPr>
        <w:t xml:space="preserve">Llevar a cabo investigaciones prontas y exhaustivas sobre casos de uso excesivo de la fuerza, y proteger a quienes vigilan y denuncian los abusos y violaciones de derechos cometidos en el contexto de las reuniones pacíficas, incluidos los miembros de la prensa, los profesionales del derecho y </w:t>
      </w:r>
      <w:proofErr w:type="gramStart"/>
      <w:r w:rsidRPr="00986EC5">
        <w:rPr>
          <w:sz w:val="20"/>
          <w:szCs w:val="20"/>
        </w:rPr>
        <w:t>los defensores y defensoras</w:t>
      </w:r>
      <w:proofErr w:type="gramEnd"/>
      <w:r w:rsidRPr="00986EC5">
        <w:rPr>
          <w:sz w:val="20"/>
          <w:szCs w:val="20"/>
        </w:rPr>
        <w:t xml:space="preserve"> de los derechos humanos.</w:t>
      </w:r>
    </w:p>
    <w:p w14:paraId="150C08CE" w14:textId="77777777" w:rsidR="00986EC5" w:rsidRDefault="00986EC5" w:rsidP="00986EC5">
      <w:pPr>
        <w:pStyle w:val="BBodyText"/>
        <w:numPr>
          <w:ilvl w:val="0"/>
          <w:numId w:val="37"/>
        </w:numPr>
        <w:rPr>
          <w:sz w:val="20"/>
          <w:szCs w:val="20"/>
        </w:rPr>
      </w:pPr>
      <w:r w:rsidRPr="00986EC5">
        <w:rPr>
          <w:sz w:val="20"/>
          <w:szCs w:val="20"/>
        </w:rPr>
        <w:t>Elaborar y publicar protocolos transparentes de uso de la fuerza y armas menos letales, con participación social y consulta a expertos médicos, incluyendo la divulgación de informes pormenorizados en cada ocasión de uso, con la cantidad de armamento utilizado, y atención médica inmediata a las víctimas.</w:t>
      </w:r>
    </w:p>
    <w:p w14:paraId="4B665F2B" w14:textId="77777777" w:rsidR="008A534A" w:rsidRPr="00986EC5" w:rsidRDefault="008A534A" w:rsidP="008A534A">
      <w:pPr>
        <w:pStyle w:val="BBodyText"/>
        <w:rPr>
          <w:sz w:val="20"/>
          <w:szCs w:val="20"/>
        </w:rPr>
      </w:pPr>
    </w:p>
    <w:p w14:paraId="09BA754C" w14:textId="77777777" w:rsidR="00986EC5" w:rsidRPr="00943558" w:rsidRDefault="00986EC5" w:rsidP="006F614F">
      <w:pPr>
        <w:pStyle w:val="BNumberedSubheading"/>
        <w:rPr>
          <w:noProof w:val="0"/>
        </w:rPr>
      </w:pPr>
      <w:bookmarkStart w:id="65" w:name="_Toc199778972"/>
      <w:bookmarkStart w:id="66" w:name="_Toc199779324"/>
      <w:bookmarkStart w:id="67" w:name="_Toc200231300"/>
      <w:r w:rsidRPr="00943558">
        <w:rPr>
          <w:noProof w:val="0"/>
        </w:rPr>
        <w:t>La ley de amnistía</w:t>
      </w:r>
      <w:bookmarkEnd w:id="65"/>
      <w:bookmarkEnd w:id="66"/>
      <w:bookmarkEnd w:id="67"/>
      <w:r w:rsidRPr="00943558">
        <w:rPr>
          <w:noProof w:val="0"/>
        </w:rPr>
        <w:t xml:space="preserve"> </w:t>
      </w:r>
    </w:p>
    <w:p w14:paraId="51328966" w14:textId="77777777" w:rsidR="00986EC5" w:rsidRPr="00986EC5" w:rsidRDefault="00986EC5" w:rsidP="00986EC5">
      <w:pPr>
        <w:pStyle w:val="BBodyText"/>
        <w:rPr>
          <w:sz w:val="20"/>
          <w:szCs w:val="20"/>
        </w:rPr>
      </w:pPr>
      <w:r w:rsidRPr="00986EC5">
        <w:rPr>
          <w:sz w:val="20"/>
          <w:szCs w:val="20"/>
        </w:rPr>
        <w:t>Amnistía Internacional desea trasladar al Comité su preocupación por la aplicación de la Ley de Amnistía, aprobada en junio de 2024,</w:t>
      </w:r>
      <w:r w:rsidRPr="00986EC5">
        <w:rPr>
          <w:sz w:val="20"/>
          <w:szCs w:val="20"/>
          <w:vertAlign w:val="superscript"/>
        </w:rPr>
        <w:footnoteReference w:id="90"/>
      </w:r>
      <w:r w:rsidRPr="00986EC5">
        <w:rPr>
          <w:sz w:val="20"/>
          <w:szCs w:val="20"/>
        </w:rPr>
        <w:t xml:space="preserve"> a numerosas actuaciones de los miembros de las Fuerzas y Cuerpos de Seguridad en el marco de, al menos y entre otras, las movilizaciones del referéndum del 1 de octubre de 2017 o las protestas contra la sentencia del Tribunal Supremo durante octubre de 2019.</w:t>
      </w:r>
    </w:p>
    <w:p w14:paraId="1ACDEF04" w14:textId="77777777" w:rsidR="00986EC5" w:rsidRPr="00986EC5" w:rsidRDefault="00986EC5" w:rsidP="00986EC5">
      <w:pPr>
        <w:pStyle w:val="BBodyText"/>
        <w:numPr>
          <w:ilvl w:val="0"/>
          <w:numId w:val="38"/>
        </w:numPr>
        <w:rPr>
          <w:sz w:val="20"/>
          <w:szCs w:val="20"/>
        </w:rPr>
      </w:pPr>
      <w:r w:rsidRPr="00986EC5">
        <w:rPr>
          <w:sz w:val="20"/>
          <w:szCs w:val="20"/>
        </w:rPr>
        <w:t xml:space="preserve">El artículo 1. e) de la Ley de Amnistía incluye en su ámbito de aplicación las actuaciones policiales realizadas, pero con dos excepciones en su artículo 2: </w:t>
      </w:r>
      <w:r w:rsidRPr="00986EC5">
        <w:rPr>
          <w:i/>
          <w:iCs/>
          <w:sz w:val="20"/>
          <w:szCs w:val="20"/>
        </w:rPr>
        <w:t xml:space="preserve">a) (l)os actos dolosos que hubieran producido un resultado de muerte, aborto o lesiones al feto, la pérdida o la inutilidad de un órgano o miembro, la pérdida o inutilidad de un sentido, la impotencia, la esterilidad o una grave deformidad; </w:t>
      </w:r>
    </w:p>
    <w:p w14:paraId="69572193" w14:textId="77777777" w:rsidR="00986EC5" w:rsidRPr="00986EC5" w:rsidRDefault="00986EC5" w:rsidP="00986EC5">
      <w:pPr>
        <w:pStyle w:val="BBodyText"/>
        <w:numPr>
          <w:ilvl w:val="0"/>
          <w:numId w:val="38"/>
        </w:numPr>
        <w:rPr>
          <w:sz w:val="20"/>
          <w:szCs w:val="20"/>
        </w:rPr>
      </w:pPr>
      <w:r w:rsidRPr="00986EC5">
        <w:rPr>
          <w:i/>
          <w:iCs/>
          <w:sz w:val="20"/>
          <w:szCs w:val="20"/>
        </w:rPr>
        <w:t>b) (l)os actos tipificados como delitos de torturas o de tratos inhumanos o degradantes con arreglo al artículo 3 del Convenio para la Protección de los Derechos Humanos y de las Libertades Fundamentales, a excepción de aquellos tratos que no superen un umbral mínimo de gravedad por no resultar idóneos para humillar o degradar a una persona o mostrar una disminución de su dignidad humana, o para provocar miedo, angustia o inferioridad de una forma capaz de quebrar su resistencia moral y física</w:t>
      </w:r>
      <w:r w:rsidRPr="00986EC5">
        <w:rPr>
          <w:sz w:val="20"/>
          <w:szCs w:val="20"/>
        </w:rPr>
        <w:t>”.</w:t>
      </w:r>
    </w:p>
    <w:p w14:paraId="4EAFFC49" w14:textId="77777777" w:rsidR="00986EC5" w:rsidRPr="00986EC5" w:rsidRDefault="00986EC5" w:rsidP="00986EC5">
      <w:pPr>
        <w:pStyle w:val="BBodyText"/>
        <w:rPr>
          <w:sz w:val="20"/>
          <w:szCs w:val="20"/>
        </w:rPr>
      </w:pPr>
      <w:r w:rsidRPr="00986EC5">
        <w:rPr>
          <w:sz w:val="20"/>
          <w:szCs w:val="20"/>
        </w:rPr>
        <w:t xml:space="preserve">Amnistía Internacional documentó cómo miembros de las Fuerzas y Cuerpos de Seguridad usaron de forma excesiva y desproporcionada la fuerza contra personas que actuaban de forma pacífica u ofrecían resistencia pasiva, en el contexto del 1 de octubre de 2017 u octubre de 2019, entre otras movilizaciones. Especialmente, la organización ha documentado casos de lesiones graves ocasionadas por el empleo de proyectiles de impacto cinético, ya mencionados en el subapartado anterior. </w:t>
      </w:r>
    </w:p>
    <w:p w14:paraId="506E6E56" w14:textId="77777777" w:rsidR="00986EC5" w:rsidRPr="00986EC5" w:rsidRDefault="00986EC5" w:rsidP="00986EC5">
      <w:pPr>
        <w:pStyle w:val="BBodyText"/>
        <w:rPr>
          <w:sz w:val="20"/>
          <w:szCs w:val="20"/>
        </w:rPr>
      </w:pPr>
      <w:r w:rsidRPr="00986EC5">
        <w:rPr>
          <w:sz w:val="20"/>
          <w:szCs w:val="20"/>
        </w:rPr>
        <w:t>Desde entonces, la organización ha dado seguimiento a las diversas investigaciones penales emprendidas por estos hechos, respecto de las cuales el Comité contra la Tortura, en las últimas Observaciones Finales sobre España, de agosto de 2023, expresaba preocupación por su lento avance, así como por los diversos casos de lesiones graves ocasionadas por el empleo de proyectiles de impacto cinético. El Comité instaba al Estado español a velar por la investigación pronta e imparcial de todas las denuncias relativas al uso excesivo de la fuerza por parte de los agentes de las fuerzas y cuerpos de seguridad, y a asegurarse de que se enjuicie a los presuntos autores y se repare plenamente a las víctimas o sus familiares.</w:t>
      </w:r>
    </w:p>
    <w:p w14:paraId="378BAFB6" w14:textId="77777777" w:rsidR="00986EC5" w:rsidRPr="00986EC5" w:rsidRDefault="00986EC5" w:rsidP="00986EC5">
      <w:pPr>
        <w:pStyle w:val="BBodyText"/>
        <w:rPr>
          <w:sz w:val="20"/>
          <w:szCs w:val="20"/>
        </w:rPr>
      </w:pPr>
      <w:r w:rsidRPr="00986EC5">
        <w:rPr>
          <w:sz w:val="20"/>
          <w:szCs w:val="20"/>
        </w:rPr>
        <w:t>Tras la entrada en vigor de la Ley de Amnistía, diversas autoridades judiciales han decidido aplicar la amnistía respecto de actuaciones policiales. El juzgado de instrucción que investigaba las cargas policiales llevadas a cabo con ocasión del referéndum el 1 de octubre de 2017 aplicó la amnistía a 46 agentes.</w:t>
      </w:r>
      <w:r w:rsidRPr="00986EC5">
        <w:rPr>
          <w:sz w:val="20"/>
          <w:szCs w:val="20"/>
          <w:vertAlign w:val="superscript"/>
        </w:rPr>
        <w:footnoteReference w:id="91"/>
      </w:r>
      <w:r w:rsidRPr="00986EC5">
        <w:rPr>
          <w:sz w:val="20"/>
          <w:szCs w:val="20"/>
        </w:rPr>
        <w:t xml:space="preserve"> Esta decisión ha sido recurrida recientemente ante el Tribunal Supremo.</w:t>
      </w:r>
      <w:r w:rsidRPr="00986EC5">
        <w:rPr>
          <w:sz w:val="20"/>
          <w:szCs w:val="20"/>
          <w:vertAlign w:val="superscript"/>
        </w:rPr>
        <w:footnoteReference w:id="92"/>
      </w:r>
      <w:r w:rsidRPr="00986EC5">
        <w:rPr>
          <w:sz w:val="20"/>
          <w:szCs w:val="20"/>
        </w:rPr>
        <w:t xml:space="preserve"> </w:t>
      </w:r>
    </w:p>
    <w:p w14:paraId="04E0A420" w14:textId="77777777" w:rsidR="00986EC5" w:rsidRPr="00986EC5" w:rsidRDefault="00986EC5" w:rsidP="00986EC5">
      <w:pPr>
        <w:pStyle w:val="BBodyText"/>
        <w:rPr>
          <w:sz w:val="20"/>
          <w:szCs w:val="20"/>
        </w:rPr>
      </w:pPr>
      <w:r w:rsidRPr="00986EC5">
        <w:rPr>
          <w:sz w:val="20"/>
          <w:szCs w:val="20"/>
        </w:rPr>
        <w:t>Amnistía Internacional considera que uno de los problemas radica en el redactado de la propia ley, que pese a citar jurisprudencia del TEDH,  omite que esta jurisprudencia señala que cuando los malos tratos son infligidos por agentes de policía a través del uso de la fuerza, el TEDH prescinde del establecimiento de un umbral mínimo de gravedad, y considera que todo recurso a la fuerza física que no sea estrictamente necesario menoscaba la dignidad humana y constituye una violación del artículo 3 del Convenio.</w:t>
      </w:r>
    </w:p>
    <w:p w14:paraId="39050C48" w14:textId="5F9C8308" w:rsidR="00986EC5" w:rsidRPr="00986EC5" w:rsidRDefault="00986EC5" w:rsidP="00986EC5">
      <w:pPr>
        <w:pStyle w:val="BBodyText"/>
        <w:rPr>
          <w:sz w:val="20"/>
          <w:szCs w:val="20"/>
        </w:rPr>
      </w:pPr>
      <w:r w:rsidRPr="00986EC5">
        <w:rPr>
          <w:sz w:val="20"/>
          <w:szCs w:val="20"/>
        </w:rPr>
        <w:t>Esto se aplica, en particular, al uso de la fuerza física contra un individuo cuando no sea estrictamente necesario debido a su conducta, sea cual sea el impacto sobre la persona en cuestión”.</w:t>
      </w:r>
      <w:r w:rsidRPr="00986EC5">
        <w:rPr>
          <w:sz w:val="20"/>
          <w:szCs w:val="20"/>
          <w:vertAlign w:val="superscript"/>
        </w:rPr>
        <w:footnoteReference w:id="93"/>
      </w:r>
    </w:p>
    <w:p w14:paraId="11B509E4" w14:textId="77777777" w:rsidR="00986EC5" w:rsidRPr="00986EC5" w:rsidRDefault="00986EC5" w:rsidP="00986EC5">
      <w:pPr>
        <w:pStyle w:val="BBodyText"/>
        <w:rPr>
          <w:sz w:val="20"/>
          <w:szCs w:val="20"/>
        </w:rPr>
      </w:pPr>
      <w:r w:rsidRPr="00986EC5">
        <w:rPr>
          <w:sz w:val="20"/>
          <w:szCs w:val="20"/>
        </w:rPr>
        <w:t>El TEDH también ha afirmado en reiteradas ocasiones “que, cuando un agente del Estado es acusado de crímenes que violan el artículo 3, el proceso penal y la condena no deben prescribir y la concesión de una amnistía o indulto no debe ser permisible”.</w:t>
      </w:r>
      <w:r w:rsidRPr="00986EC5">
        <w:rPr>
          <w:sz w:val="20"/>
          <w:szCs w:val="20"/>
          <w:vertAlign w:val="superscript"/>
        </w:rPr>
        <w:footnoteReference w:id="94"/>
      </w:r>
    </w:p>
    <w:p w14:paraId="69491A3C" w14:textId="77777777" w:rsidR="00986EC5" w:rsidRDefault="00986EC5" w:rsidP="00986EC5">
      <w:pPr>
        <w:pStyle w:val="BBodyText"/>
        <w:rPr>
          <w:sz w:val="20"/>
          <w:szCs w:val="20"/>
        </w:rPr>
      </w:pPr>
      <w:r w:rsidRPr="00986EC5">
        <w:rPr>
          <w:sz w:val="20"/>
          <w:szCs w:val="20"/>
        </w:rPr>
        <w:t>Todo ello en consonancia con la doctrina del propio Comité: “(l)as amnistías son generalmente incompatibles con la obligación de los Estados de investigar tales actos, de garantizar que no se cometan tales actos dentro de su jurisdicción y de velar por que no se realicen tales actos en el futuro. Los Estados no pueden privar a los particulares del derecho a una reparación efectiva, incluida la indemnización y la rehabilitación más completa posible”.</w:t>
      </w:r>
      <w:r w:rsidRPr="00986EC5">
        <w:rPr>
          <w:sz w:val="20"/>
          <w:szCs w:val="20"/>
          <w:vertAlign w:val="superscript"/>
        </w:rPr>
        <w:footnoteReference w:id="95"/>
      </w:r>
    </w:p>
    <w:p w14:paraId="6CDBBB39" w14:textId="77777777" w:rsidR="00943558" w:rsidRPr="00986EC5" w:rsidRDefault="00943558" w:rsidP="00986EC5">
      <w:pPr>
        <w:pStyle w:val="BBodyText"/>
        <w:rPr>
          <w:sz w:val="20"/>
          <w:szCs w:val="20"/>
        </w:rPr>
      </w:pPr>
    </w:p>
    <w:p w14:paraId="4C2029B9" w14:textId="2F79DD6F" w:rsidR="006F7683" w:rsidRPr="006F7683" w:rsidRDefault="006F614F" w:rsidP="006F7683">
      <w:pPr>
        <w:pStyle w:val="BSubheadingnonumbers"/>
      </w:pPr>
      <w:bookmarkStart w:id="68" w:name="_Toc200231301"/>
      <w:r w:rsidRPr="00943558">
        <w:t>Recomendación</w:t>
      </w:r>
      <w:bookmarkEnd w:id="68"/>
    </w:p>
    <w:p w14:paraId="506659E2" w14:textId="264FB716" w:rsidR="006F7683" w:rsidRPr="006F7683" w:rsidRDefault="006F7683" w:rsidP="006F7683">
      <w:pPr>
        <w:pStyle w:val="BBodyText"/>
        <w:rPr>
          <w:sz w:val="20"/>
          <w:szCs w:val="20"/>
        </w:rPr>
      </w:pPr>
      <w:r w:rsidRPr="00986EC5">
        <w:rPr>
          <w:sz w:val="20"/>
          <w:szCs w:val="20"/>
        </w:rPr>
        <w:t xml:space="preserve">Amnistía Internacional recomienda al Estado español: </w:t>
      </w:r>
    </w:p>
    <w:p w14:paraId="40F8B7BB" w14:textId="2B262BB7" w:rsidR="00986EC5" w:rsidRPr="00986EC5" w:rsidRDefault="00986EC5" w:rsidP="00986EC5">
      <w:pPr>
        <w:pStyle w:val="BBodyText"/>
        <w:numPr>
          <w:ilvl w:val="0"/>
          <w:numId w:val="39"/>
        </w:numPr>
        <w:rPr>
          <w:sz w:val="20"/>
          <w:szCs w:val="20"/>
        </w:rPr>
      </w:pPr>
      <w:r w:rsidRPr="00986EC5">
        <w:rPr>
          <w:sz w:val="20"/>
          <w:szCs w:val="20"/>
        </w:rPr>
        <w:t>Excluir de la amnistía todo uso excesivo de la fuerza, de tal manera que no se impida la investigación, el enjuiciamiento y, cuando proceda, la condena de dichas actuaciones que vulneran el artículo 3 del Convenio Europeo de Derechos Humanos.</w:t>
      </w:r>
    </w:p>
    <w:p w14:paraId="20AD4C8A" w14:textId="77777777" w:rsidR="00986EC5" w:rsidRPr="00943558" w:rsidRDefault="00986EC5" w:rsidP="006F614F">
      <w:pPr>
        <w:pStyle w:val="BNumberedHeading"/>
        <w:rPr>
          <w:noProof w:val="0"/>
        </w:rPr>
      </w:pPr>
      <w:bookmarkStart w:id="69" w:name="_Toc199778973"/>
      <w:bookmarkStart w:id="70" w:name="_Toc199779325"/>
      <w:bookmarkStart w:id="71" w:name="_Toc200231302"/>
      <w:r w:rsidRPr="00943558">
        <w:rPr>
          <w:noProof w:val="0"/>
        </w:rPr>
        <w:t>LOS DERECHOS A LA LIBERTAD DE EXPRESIÓN, DE REUNIÓN PACÍFICA Y DE ASOCIACIÓN Y LA PROHIBICIÓN DE INJERENCIAS ARBITRARIAS O ILEGALES EN LA VIDA PRIVADA (ARTÍCULOS 17, 19, 21 Y 22)</w:t>
      </w:r>
      <w:bookmarkEnd w:id="69"/>
      <w:bookmarkEnd w:id="70"/>
      <w:bookmarkEnd w:id="71"/>
    </w:p>
    <w:p w14:paraId="335E082D" w14:textId="5D620D6F" w:rsidR="00986EC5" w:rsidRPr="00943558" w:rsidRDefault="006F614F" w:rsidP="006F614F">
      <w:pPr>
        <w:pStyle w:val="BNumberedSubheading"/>
        <w:rPr>
          <w:noProof w:val="0"/>
        </w:rPr>
      </w:pPr>
      <w:bookmarkStart w:id="72" w:name="_Toc199778974"/>
      <w:bookmarkStart w:id="73" w:name="_Toc199779326"/>
      <w:bookmarkStart w:id="74" w:name="_Toc200231303"/>
      <w:r w:rsidRPr="00943558">
        <w:rPr>
          <w:noProof w:val="0"/>
        </w:rPr>
        <w:t>El software espía ‘Pegasus’</w:t>
      </w:r>
      <w:bookmarkEnd w:id="72"/>
      <w:bookmarkEnd w:id="73"/>
      <w:bookmarkEnd w:id="74"/>
    </w:p>
    <w:p w14:paraId="396C691C" w14:textId="7267E23F" w:rsidR="00986EC5" w:rsidRPr="00986EC5" w:rsidRDefault="00986EC5" w:rsidP="00986EC5">
      <w:pPr>
        <w:pStyle w:val="BBodyText"/>
        <w:rPr>
          <w:sz w:val="20"/>
          <w:szCs w:val="20"/>
        </w:rPr>
      </w:pPr>
      <w:r w:rsidRPr="00986EC5">
        <w:rPr>
          <w:sz w:val="20"/>
          <w:szCs w:val="20"/>
        </w:rPr>
        <w:t xml:space="preserve">En abril de 2022, el </w:t>
      </w:r>
      <w:proofErr w:type="spellStart"/>
      <w:r w:rsidRPr="00986EC5">
        <w:rPr>
          <w:sz w:val="20"/>
          <w:szCs w:val="20"/>
        </w:rPr>
        <w:t>Citizen</w:t>
      </w:r>
      <w:proofErr w:type="spellEnd"/>
      <w:r w:rsidRPr="00986EC5">
        <w:rPr>
          <w:sz w:val="20"/>
          <w:szCs w:val="20"/>
        </w:rPr>
        <w:t xml:space="preserve"> </w:t>
      </w:r>
      <w:proofErr w:type="spellStart"/>
      <w:r w:rsidRPr="00986EC5">
        <w:rPr>
          <w:sz w:val="20"/>
          <w:szCs w:val="20"/>
        </w:rPr>
        <w:t>Lab</w:t>
      </w:r>
      <w:proofErr w:type="spellEnd"/>
      <w:r w:rsidRPr="00986EC5">
        <w:rPr>
          <w:sz w:val="20"/>
          <w:szCs w:val="20"/>
        </w:rPr>
        <w:t xml:space="preserve">, revelaba que al menos 65 personas del entorno independentista catalán habían sido  infectadas u objetos de ataque con el programa </w:t>
      </w:r>
      <w:proofErr w:type="spellStart"/>
      <w:r w:rsidRPr="00986EC5">
        <w:rPr>
          <w:sz w:val="20"/>
          <w:szCs w:val="20"/>
        </w:rPr>
        <w:t>Candiru</w:t>
      </w:r>
      <w:proofErr w:type="spellEnd"/>
      <w:r w:rsidRPr="00986EC5">
        <w:rPr>
          <w:sz w:val="20"/>
          <w:szCs w:val="20"/>
        </w:rPr>
        <w:t xml:space="preserve"> en sus ordenadores y con el programa Pegasus en sus teléfonos móviles entre 2015 y 2020.</w:t>
      </w:r>
      <w:r w:rsidRPr="00986EC5">
        <w:rPr>
          <w:sz w:val="20"/>
          <w:szCs w:val="20"/>
          <w:vertAlign w:val="superscript"/>
        </w:rPr>
        <w:footnoteReference w:id="96"/>
      </w:r>
      <w:r w:rsidRPr="00986EC5">
        <w:rPr>
          <w:sz w:val="20"/>
          <w:szCs w:val="20"/>
        </w:rPr>
        <w:t xml:space="preserve">  Entre las 65 personas se encuentran europarlamentarios, representantes políticos, miembros de la sociedad civil y también sus familiares y abogados.</w:t>
      </w:r>
      <w:bookmarkStart w:id="75" w:name="sdfootnote1anc"/>
      <w:r w:rsidRPr="00986EC5">
        <w:rPr>
          <w:sz w:val="20"/>
          <w:szCs w:val="20"/>
          <w:vertAlign w:val="superscript"/>
        </w:rPr>
        <w:footnoteReference w:id="97"/>
      </w:r>
      <w:bookmarkEnd w:id="75"/>
      <w:r w:rsidRPr="00986EC5">
        <w:rPr>
          <w:sz w:val="20"/>
          <w:szCs w:val="20"/>
        </w:rPr>
        <w:t xml:space="preserve"> Amnistía Internacional corroboró esta información mediante la colaboración con </w:t>
      </w:r>
      <w:proofErr w:type="spellStart"/>
      <w:r w:rsidRPr="00986EC5">
        <w:rPr>
          <w:sz w:val="20"/>
          <w:szCs w:val="20"/>
        </w:rPr>
        <w:t>Citizen</w:t>
      </w:r>
      <w:proofErr w:type="spellEnd"/>
      <w:r w:rsidRPr="00986EC5">
        <w:rPr>
          <w:sz w:val="20"/>
          <w:szCs w:val="20"/>
        </w:rPr>
        <w:t xml:space="preserve"> </w:t>
      </w:r>
      <w:proofErr w:type="spellStart"/>
      <w:r w:rsidRPr="00986EC5">
        <w:rPr>
          <w:sz w:val="20"/>
          <w:szCs w:val="20"/>
        </w:rPr>
        <w:t>Lab</w:t>
      </w:r>
      <w:proofErr w:type="spellEnd"/>
      <w:r w:rsidRPr="00986EC5">
        <w:rPr>
          <w:sz w:val="20"/>
          <w:szCs w:val="20"/>
        </w:rPr>
        <w:t xml:space="preserve"> y la revisión de varios de los teléfonos, entre ellos el de Elisenda </w:t>
      </w:r>
      <w:proofErr w:type="spellStart"/>
      <w:r w:rsidRPr="00986EC5">
        <w:rPr>
          <w:sz w:val="20"/>
          <w:szCs w:val="20"/>
        </w:rPr>
        <w:t>Paluzie</w:t>
      </w:r>
      <w:proofErr w:type="spellEnd"/>
      <w:r w:rsidRPr="00986EC5">
        <w:rPr>
          <w:sz w:val="20"/>
          <w:szCs w:val="20"/>
        </w:rPr>
        <w:t xml:space="preserve">, presidenta de la ANC; Jordi Sánchez, expresidente de la ANC o </w:t>
      </w:r>
      <w:proofErr w:type="spellStart"/>
      <w:r w:rsidRPr="00986EC5">
        <w:rPr>
          <w:sz w:val="20"/>
          <w:szCs w:val="20"/>
        </w:rPr>
        <w:t>Meritxelll</w:t>
      </w:r>
      <w:proofErr w:type="spellEnd"/>
      <w:r w:rsidRPr="00986EC5">
        <w:rPr>
          <w:sz w:val="20"/>
          <w:szCs w:val="20"/>
        </w:rPr>
        <w:t xml:space="preserve"> Bonet, mujer del presidente de </w:t>
      </w:r>
      <w:proofErr w:type="spellStart"/>
      <w:r w:rsidRPr="00986EC5">
        <w:rPr>
          <w:sz w:val="20"/>
          <w:szCs w:val="20"/>
        </w:rPr>
        <w:t>Òmnium</w:t>
      </w:r>
      <w:proofErr w:type="spellEnd"/>
      <w:r w:rsidRPr="00986EC5">
        <w:rPr>
          <w:sz w:val="20"/>
          <w:szCs w:val="20"/>
        </w:rPr>
        <w:t xml:space="preserve"> cultural, Jordi </w:t>
      </w:r>
      <w:proofErr w:type="spellStart"/>
      <w:r w:rsidRPr="00986EC5">
        <w:rPr>
          <w:sz w:val="20"/>
          <w:szCs w:val="20"/>
        </w:rPr>
        <w:t>Cuixart</w:t>
      </w:r>
      <w:proofErr w:type="spellEnd"/>
      <w:r w:rsidRPr="00986EC5">
        <w:rPr>
          <w:sz w:val="20"/>
          <w:szCs w:val="20"/>
        </w:rPr>
        <w:t>.</w:t>
      </w:r>
      <w:r w:rsidRPr="00986EC5">
        <w:rPr>
          <w:sz w:val="20"/>
          <w:szCs w:val="20"/>
          <w:vertAlign w:val="superscript"/>
        </w:rPr>
        <w:footnoteReference w:id="98"/>
      </w:r>
      <w:r w:rsidRPr="00986EC5">
        <w:rPr>
          <w:sz w:val="20"/>
          <w:szCs w:val="20"/>
        </w:rPr>
        <w:t xml:space="preserve"> Posteriormente, las infecciones han sido también confirmadas en algunos de los denuncias  por periciales informáticas privadas y por unidades de la policía científica.</w:t>
      </w:r>
      <w:r w:rsidRPr="00986EC5">
        <w:rPr>
          <w:sz w:val="20"/>
          <w:szCs w:val="20"/>
          <w:vertAlign w:val="superscript"/>
        </w:rPr>
        <w:footnoteReference w:id="99"/>
      </w:r>
    </w:p>
    <w:p w14:paraId="0F092AF2" w14:textId="041C2257" w:rsidR="00986EC5" w:rsidRPr="00986EC5" w:rsidRDefault="00986EC5" w:rsidP="00986EC5">
      <w:pPr>
        <w:pStyle w:val="BBodyText"/>
        <w:rPr>
          <w:sz w:val="20"/>
          <w:szCs w:val="20"/>
        </w:rPr>
      </w:pPr>
      <w:r w:rsidRPr="00986EC5">
        <w:rPr>
          <w:sz w:val="20"/>
          <w:szCs w:val="20"/>
        </w:rPr>
        <w:t xml:space="preserve">Pegasus es un tipo de programa espía altamente invasivo que solo se vende a gobiernos y agencias estatales, según NSO </w:t>
      </w:r>
      <w:proofErr w:type="spellStart"/>
      <w:r w:rsidRPr="00986EC5">
        <w:rPr>
          <w:sz w:val="20"/>
          <w:szCs w:val="20"/>
        </w:rPr>
        <w:t>Group</w:t>
      </w:r>
      <w:proofErr w:type="spellEnd"/>
      <w:r w:rsidRPr="00986EC5">
        <w:rPr>
          <w:sz w:val="20"/>
          <w:szCs w:val="20"/>
        </w:rPr>
        <w:t>.</w:t>
      </w:r>
      <w:r w:rsidRPr="00986EC5">
        <w:rPr>
          <w:sz w:val="20"/>
          <w:szCs w:val="20"/>
          <w:vertAlign w:val="superscript"/>
        </w:rPr>
        <w:footnoteReference w:id="100"/>
      </w:r>
      <w:r w:rsidRPr="00986EC5">
        <w:rPr>
          <w:sz w:val="20"/>
          <w:szCs w:val="20"/>
          <w:vertAlign w:val="superscript"/>
        </w:rPr>
        <w:t xml:space="preserve"> </w:t>
      </w:r>
      <w:r w:rsidRPr="00986EC5">
        <w:rPr>
          <w:sz w:val="20"/>
          <w:szCs w:val="20"/>
        </w:rPr>
        <w:t xml:space="preserve">Aunque NSO </w:t>
      </w:r>
      <w:proofErr w:type="spellStart"/>
      <w:r w:rsidRPr="00986EC5">
        <w:rPr>
          <w:sz w:val="20"/>
          <w:szCs w:val="20"/>
        </w:rPr>
        <w:t>Group</w:t>
      </w:r>
      <w:proofErr w:type="spellEnd"/>
      <w:r w:rsidRPr="00986EC5">
        <w:rPr>
          <w:sz w:val="20"/>
          <w:szCs w:val="20"/>
        </w:rPr>
        <w:t xml:space="preserve"> ha justificado la utilización de este software para la consecución de un fin legítimo - lucha contra el terrorismo y crimen organizado- lo cierto es que las investigaciones de Amnistía Internacional y otras organizaciones han demostrado cómo ha sido utilizado para la facilitación y comisión de violaciones de derechos humanos. Por su propia naturaleza, este instrumento de vigilancia no es capaz de cumplir con los requerimientos de proporcionalidad mandados por estándares internacionales de derechos humanos, ya que está diseñado para proveer acceso sin restricciones a la data y capacidades del dispositivo que infecta, lo que puede causar una severa injerencia en la privacidad de las personas.</w:t>
      </w:r>
      <w:r w:rsidRPr="00986EC5">
        <w:rPr>
          <w:sz w:val="20"/>
          <w:szCs w:val="20"/>
          <w:vertAlign w:val="superscript"/>
        </w:rPr>
        <w:footnoteReference w:id="101"/>
      </w:r>
      <w:r w:rsidRPr="00986EC5">
        <w:rPr>
          <w:sz w:val="20"/>
          <w:szCs w:val="20"/>
        </w:rPr>
        <w:t xml:space="preserve"> Sin una adecuada supervisión, salvaguardas y transparencia, los daños de la vigilancia ilícita son </w:t>
      </w:r>
      <w:r w:rsidRPr="00986EC5">
        <w:rPr>
          <w:sz w:val="20"/>
          <w:szCs w:val="20"/>
          <w:vertAlign w:val="superscript"/>
        </w:rPr>
        <w:footnoteReference w:id="102"/>
      </w:r>
    </w:p>
    <w:p w14:paraId="6DC13C3C" w14:textId="465E119D" w:rsidR="00986EC5" w:rsidRPr="00986EC5" w:rsidRDefault="00986EC5" w:rsidP="00986EC5">
      <w:pPr>
        <w:pStyle w:val="BBodyText"/>
        <w:rPr>
          <w:sz w:val="20"/>
          <w:szCs w:val="20"/>
        </w:rPr>
      </w:pPr>
      <w:r w:rsidRPr="00986EC5">
        <w:rPr>
          <w:sz w:val="20"/>
          <w:szCs w:val="20"/>
        </w:rPr>
        <w:t xml:space="preserve">En efecto, cualquier tipo de información que haya en el aparato infectado con Pegasus es accesible, incluida aquella más sensible que puede ser luego utilizada en su contra sin ninguna notificación subsecuente o posibilidad de impugnar esa vigilancia. Es un programa que no solamente espía objetivos concretos, sino que es fácilmente extensible a su entorno, colaboradores u otras personas del entorno laboral, familiares, </w:t>
      </w:r>
      <w:proofErr w:type="spellStart"/>
      <w:r w:rsidRPr="00986EC5">
        <w:rPr>
          <w:sz w:val="20"/>
          <w:szCs w:val="20"/>
        </w:rPr>
        <w:t>etc</w:t>
      </w:r>
      <w:proofErr w:type="spellEnd"/>
      <w:r w:rsidRPr="00986EC5">
        <w:rPr>
          <w:sz w:val="20"/>
          <w:szCs w:val="20"/>
        </w:rPr>
        <w:t>, con un efecto congelante completamente devastador en lo que se refiere al derecho a la privacidad y libertad de expresión también de terceros.</w:t>
      </w:r>
    </w:p>
    <w:p w14:paraId="2930BE16" w14:textId="77777777" w:rsidR="00986EC5" w:rsidRPr="00986EC5" w:rsidRDefault="00986EC5" w:rsidP="00986EC5">
      <w:pPr>
        <w:pStyle w:val="BBodyText"/>
        <w:rPr>
          <w:sz w:val="20"/>
          <w:szCs w:val="20"/>
        </w:rPr>
      </w:pPr>
      <w:r w:rsidRPr="00986EC5">
        <w:rPr>
          <w:sz w:val="20"/>
          <w:szCs w:val="20"/>
        </w:rPr>
        <w:t>Unido a lo anterior, la normativa española que ha permitido esta vigilancia no garantiza el cumplimiento de los estándares internacionales, ni el derecho a un recurso efectivo. En primer lugar, porque la información producida por el CNI está clasificada y protegida bajo la Ley de Secretos Oficiales.</w:t>
      </w:r>
      <w:r w:rsidRPr="00986EC5">
        <w:rPr>
          <w:sz w:val="20"/>
          <w:szCs w:val="20"/>
          <w:vertAlign w:val="superscript"/>
        </w:rPr>
        <w:footnoteReference w:id="103"/>
      </w:r>
      <w:r w:rsidRPr="00986EC5">
        <w:rPr>
          <w:sz w:val="20"/>
          <w:szCs w:val="20"/>
        </w:rPr>
        <w:t xml:space="preserve"> Y si bien la actuación del CNI está sometida a un control judicial previo,</w:t>
      </w:r>
      <w:r w:rsidRPr="00986EC5">
        <w:rPr>
          <w:sz w:val="20"/>
          <w:szCs w:val="20"/>
          <w:vertAlign w:val="superscript"/>
        </w:rPr>
        <w:footnoteReference w:id="104"/>
      </w:r>
      <w:r w:rsidRPr="00986EC5">
        <w:rPr>
          <w:sz w:val="20"/>
          <w:szCs w:val="20"/>
        </w:rPr>
        <w:t xml:space="preserve"> dicho control está también bajo secreto.</w:t>
      </w:r>
      <w:r w:rsidRPr="00986EC5">
        <w:rPr>
          <w:sz w:val="20"/>
          <w:szCs w:val="20"/>
          <w:vertAlign w:val="superscript"/>
        </w:rPr>
        <w:footnoteReference w:id="105"/>
      </w:r>
      <w:r w:rsidRPr="00986EC5">
        <w:rPr>
          <w:sz w:val="20"/>
          <w:szCs w:val="20"/>
        </w:rPr>
        <w:t xml:space="preserve"> </w:t>
      </w:r>
    </w:p>
    <w:p w14:paraId="4DF9283C" w14:textId="1C5CF39A" w:rsidR="00986EC5" w:rsidRPr="00986EC5" w:rsidRDefault="00986EC5" w:rsidP="00986EC5">
      <w:pPr>
        <w:pStyle w:val="BBodyText"/>
        <w:rPr>
          <w:sz w:val="20"/>
          <w:szCs w:val="20"/>
        </w:rPr>
      </w:pPr>
      <w:r w:rsidRPr="00986EC5">
        <w:rPr>
          <w:sz w:val="20"/>
          <w:szCs w:val="20"/>
        </w:rPr>
        <w:t xml:space="preserve">En cuanto al tratamiento de los datos, la ley recoge que será el </w:t>
      </w:r>
      <w:proofErr w:type="gramStart"/>
      <w:r w:rsidRPr="00986EC5">
        <w:rPr>
          <w:sz w:val="20"/>
          <w:szCs w:val="20"/>
        </w:rPr>
        <w:t>Secretario</w:t>
      </w:r>
      <w:proofErr w:type="gramEnd"/>
      <w:r w:rsidRPr="00986EC5">
        <w:rPr>
          <w:sz w:val="20"/>
          <w:szCs w:val="20"/>
        </w:rPr>
        <w:t xml:space="preserve"> de Estado </w:t>
      </w:r>
      <w:proofErr w:type="gramStart"/>
      <w:r w:rsidRPr="00986EC5">
        <w:rPr>
          <w:sz w:val="20"/>
          <w:szCs w:val="20"/>
        </w:rPr>
        <w:t>Director</w:t>
      </w:r>
      <w:proofErr w:type="gramEnd"/>
      <w:r w:rsidRPr="00986EC5">
        <w:rPr>
          <w:sz w:val="20"/>
          <w:szCs w:val="20"/>
        </w:rPr>
        <w:t xml:space="preserve"> del CNI quien ordenará la inmediata destrucción del material relativo a todas las informaciones obtenidas que no guarden relación con lo autorizado por el juez.</w:t>
      </w:r>
      <w:r w:rsidRPr="00986EC5">
        <w:rPr>
          <w:sz w:val="20"/>
          <w:szCs w:val="20"/>
          <w:vertAlign w:val="superscript"/>
        </w:rPr>
        <w:footnoteReference w:id="106"/>
      </w:r>
      <w:r w:rsidRPr="00986EC5">
        <w:rPr>
          <w:sz w:val="20"/>
          <w:szCs w:val="20"/>
        </w:rPr>
        <w:t xml:space="preserve"> Es decir, el control de la información recabada por el CNI queda en manos de la misma agencia.</w:t>
      </w:r>
    </w:p>
    <w:p w14:paraId="6A896242" w14:textId="77777777" w:rsidR="00986EC5" w:rsidRPr="00986EC5" w:rsidRDefault="00986EC5" w:rsidP="00986EC5">
      <w:pPr>
        <w:pStyle w:val="BBodyText"/>
        <w:rPr>
          <w:sz w:val="20"/>
          <w:szCs w:val="20"/>
        </w:rPr>
      </w:pPr>
      <w:r w:rsidRPr="00986EC5">
        <w:rPr>
          <w:sz w:val="20"/>
          <w:szCs w:val="20"/>
        </w:rPr>
        <w:t>Finalmente, la clasificación de información pública está regulada por la Ley 9/1968, de 5 de abril, de Secretos Oficiales, una ley aprobada durante el régimen franquista y cuya reforma se hizo antes de la promulgación de la Constitución de 1978. Amnistía Internacional ha denunciado en repetidas ocasiones que la Ley de Secretos Oficiales es un obstáculo para la investigación de graves violaciones de derechos humanos y para garantizar el derecho de las víctimas a verdad, justicia y reparación y garantías de no repetición solicitando que la misma sea modificada respetando los estándares internacionales relativos al derecho a información.</w:t>
      </w:r>
      <w:r w:rsidRPr="00986EC5">
        <w:rPr>
          <w:sz w:val="20"/>
          <w:szCs w:val="20"/>
          <w:vertAlign w:val="superscript"/>
        </w:rPr>
        <w:footnoteReference w:id="107"/>
      </w:r>
      <w:r w:rsidRPr="00986EC5">
        <w:rPr>
          <w:sz w:val="20"/>
          <w:szCs w:val="20"/>
        </w:rPr>
        <w:t xml:space="preserve"> </w:t>
      </w:r>
    </w:p>
    <w:p w14:paraId="338B5D5D" w14:textId="34FA1205" w:rsidR="00986EC5" w:rsidRPr="00986EC5" w:rsidRDefault="00986EC5" w:rsidP="00986EC5">
      <w:pPr>
        <w:pStyle w:val="BBodyText"/>
        <w:rPr>
          <w:sz w:val="20"/>
          <w:szCs w:val="20"/>
        </w:rPr>
      </w:pPr>
      <w:r w:rsidRPr="00986EC5">
        <w:rPr>
          <w:sz w:val="20"/>
          <w:szCs w:val="20"/>
        </w:rPr>
        <w:t>La consideración automática de secreto de todas las actividades del CNI y la falta de control posterior, incluso en casos donde puede haberse producido una vulneración de derechos, impide que las personas afectadas puedan tener a su disposición recursos efectivos para obtener reparación y compensación por los daños sufridos.</w:t>
      </w:r>
    </w:p>
    <w:p w14:paraId="04897508" w14:textId="77777777" w:rsidR="00986EC5" w:rsidRPr="00986EC5" w:rsidRDefault="00986EC5" w:rsidP="00986EC5">
      <w:pPr>
        <w:pStyle w:val="BBodyText"/>
        <w:rPr>
          <w:sz w:val="20"/>
          <w:szCs w:val="20"/>
        </w:rPr>
      </w:pPr>
      <w:r w:rsidRPr="00986EC5">
        <w:rPr>
          <w:sz w:val="20"/>
          <w:szCs w:val="20"/>
        </w:rPr>
        <w:t>Por otro lado, Amnistía Internacional desea llamar la atención del Comité sobre la falta de transparencia por parte del gobierno y sobre la ausencia de una rendición de cuentas efectiva, siendo especialmente preocupante la inacción de la Fiscalía.</w:t>
      </w:r>
      <w:r w:rsidRPr="00986EC5">
        <w:rPr>
          <w:sz w:val="20"/>
          <w:szCs w:val="20"/>
          <w:vertAlign w:val="superscript"/>
        </w:rPr>
        <w:footnoteReference w:id="108"/>
      </w:r>
      <w:r w:rsidRPr="00986EC5">
        <w:rPr>
          <w:sz w:val="20"/>
          <w:szCs w:val="20"/>
        </w:rPr>
        <w:t xml:space="preserve"> En relación con la falta de transparencia, diversos miembros del ejecutivo, tanto en sede parlamentaria como en apariciones públicas durante el mes de mayo de 2022, se ampararon en la obligación de mantener en secreto las actuaciones del CNI para no aclarar si el gobierno español había adquirido o utilizado este programa.</w:t>
      </w:r>
      <w:r w:rsidRPr="00986EC5">
        <w:rPr>
          <w:sz w:val="20"/>
          <w:szCs w:val="20"/>
          <w:vertAlign w:val="superscript"/>
        </w:rPr>
        <w:footnoteReference w:id="109"/>
      </w:r>
      <w:r w:rsidRPr="00986EC5">
        <w:rPr>
          <w:sz w:val="20"/>
          <w:szCs w:val="20"/>
        </w:rPr>
        <w:t xml:space="preserve"> </w:t>
      </w:r>
    </w:p>
    <w:p w14:paraId="285B68E2" w14:textId="77777777" w:rsidR="00986EC5" w:rsidRPr="00986EC5" w:rsidRDefault="00986EC5" w:rsidP="00986EC5">
      <w:pPr>
        <w:pStyle w:val="BBodyText"/>
        <w:rPr>
          <w:sz w:val="20"/>
          <w:szCs w:val="20"/>
        </w:rPr>
      </w:pPr>
      <w:r w:rsidRPr="00986EC5">
        <w:rPr>
          <w:sz w:val="20"/>
          <w:szCs w:val="20"/>
        </w:rPr>
        <w:t xml:space="preserve">El 6 de mayo la directora del CNI admitió el espionaje de 18 personas del entorno catalán entre las que se encontraría el actual </w:t>
      </w:r>
      <w:proofErr w:type="spellStart"/>
      <w:r w:rsidRPr="00986EC5">
        <w:rPr>
          <w:sz w:val="20"/>
          <w:szCs w:val="20"/>
        </w:rPr>
        <w:t>President</w:t>
      </w:r>
      <w:proofErr w:type="spellEnd"/>
      <w:r w:rsidRPr="00986EC5">
        <w:rPr>
          <w:sz w:val="20"/>
          <w:szCs w:val="20"/>
        </w:rPr>
        <w:t xml:space="preserve"> de la Generalitat, ante la Comisión de Secretos Oficiales.  Sin embargo, dado el carácter secreto de lo hablado en dicha comisión, hoy por hoy el gobierno sigue sin haber información a la ciudadanía sobre la adquisición y uso del programa espía Pegasus, y las personas perjudicadas siguen sin saber cuál ha sido el alcance y consecuencias de la interceptación de sus comunicaciones. </w:t>
      </w:r>
    </w:p>
    <w:p w14:paraId="55D369B0" w14:textId="77777777" w:rsidR="00986EC5" w:rsidRPr="00986EC5" w:rsidRDefault="00986EC5" w:rsidP="00986EC5">
      <w:pPr>
        <w:pStyle w:val="BBodyText"/>
        <w:rPr>
          <w:sz w:val="20"/>
          <w:szCs w:val="20"/>
        </w:rPr>
      </w:pPr>
      <w:r w:rsidRPr="00986EC5">
        <w:rPr>
          <w:sz w:val="20"/>
          <w:szCs w:val="20"/>
        </w:rPr>
        <w:t xml:space="preserve">Amnistía Internacional tampoco ha recibido respuestas a las diversas peticiones de información que ha trasladado al gobierno durante los últimos años, tanto antes como con posterioridad a las nuevas publicaciones de </w:t>
      </w:r>
      <w:proofErr w:type="spellStart"/>
      <w:r w:rsidRPr="00986EC5">
        <w:rPr>
          <w:sz w:val="20"/>
          <w:szCs w:val="20"/>
        </w:rPr>
        <w:t>Citizen</w:t>
      </w:r>
      <w:proofErr w:type="spellEnd"/>
      <w:r w:rsidRPr="00986EC5">
        <w:rPr>
          <w:sz w:val="20"/>
          <w:szCs w:val="20"/>
        </w:rPr>
        <w:t xml:space="preserve"> </w:t>
      </w:r>
      <w:proofErr w:type="spellStart"/>
      <w:r w:rsidRPr="00986EC5">
        <w:rPr>
          <w:sz w:val="20"/>
          <w:szCs w:val="20"/>
        </w:rPr>
        <w:t>Lab</w:t>
      </w:r>
      <w:proofErr w:type="spellEnd"/>
      <w:r w:rsidRPr="00986EC5">
        <w:rPr>
          <w:sz w:val="20"/>
          <w:szCs w:val="20"/>
        </w:rPr>
        <w:t xml:space="preserve"> y Amnistía Internacional en abril de 2022. </w:t>
      </w:r>
    </w:p>
    <w:p w14:paraId="2A8A58A2" w14:textId="77777777" w:rsidR="00986EC5" w:rsidRPr="00986EC5" w:rsidRDefault="00986EC5" w:rsidP="00986EC5">
      <w:pPr>
        <w:pStyle w:val="BBodyText"/>
        <w:rPr>
          <w:sz w:val="20"/>
          <w:szCs w:val="20"/>
        </w:rPr>
      </w:pPr>
      <w:r w:rsidRPr="00986EC5">
        <w:rPr>
          <w:sz w:val="20"/>
          <w:szCs w:val="20"/>
        </w:rPr>
        <w:t>Por otro lado, Amnistía Internacional expresa preocupación por la falta de avances en la investigación judicial en más de una decena de causas abiertas, divididas en los juzgados de instrucción 13, 20, 21, 24, 29 y 32 de Barcelona y en el juzgado de instrucción número 29 de Madrid, y, concretamente, al hecho de que la Fiscalía está evitando impulsar la investigación y, de hecho, la esté obstaculizando en la mayoría de los procedimientos iniciados a raíz de las querellas presentadas.</w:t>
      </w:r>
    </w:p>
    <w:p w14:paraId="18771493" w14:textId="77777777" w:rsidR="00986EC5" w:rsidRPr="00986EC5" w:rsidRDefault="00986EC5" w:rsidP="00986EC5">
      <w:pPr>
        <w:pStyle w:val="BBodyText"/>
        <w:rPr>
          <w:sz w:val="20"/>
          <w:szCs w:val="20"/>
        </w:rPr>
      </w:pPr>
      <w:r w:rsidRPr="00986EC5">
        <w:rPr>
          <w:sz w:val="20"/>
          <w:szCs w:val="20"/>
        </w:rPr>
        <w:t>Un ejemplo de esta inacción es su petición</w:t>
      </w:r>
      <w:r w:rsidRPr="00986EC5">
        <w:rPr>
          <w:sz w:val="20"/>
          <w:szCs w:val="20"/>
          <w:vertAlign w:val="superscript"/>
        </w:rPr>
        <w:footnoteReference w:id="110"/>
      </w:r>
      <w:r w:rsidRPr="00986EC5">
        <w:rPr>
          <w:sz w:val="20"/>
          <w:szCs w:val="20"/>
        </w:rPr>
        <w:t xml:space="preserve"> para cerrar el caso en el que la exdirectora del CNI está imputada por el espionaje efectuado sobre el expresidente de la Generalitat de Cataluña (presidente en funciones en el momento en que tuvo lugar el espionaje),</w:t>
      </w:r>
      <w:bookmarkStart w:id="76" w:name="sdfootnote2anc"/>
      <w:r w:rsidRPr="00986EC5">
        <w:rPr>
          <w:sz w:val="20"/>
          <w:szCs w:val="20"/>
          <w:vertAlign w:val="superscript"/>
        </w:rPr>
        <w:footnoteReference w:id="111"/>
      </w:r>
      <w:bookmarkEnd w:id="76"/>
      <w:r w:rsidRPr="00986EC5">
        <w:rPr>
          <w:sz w:val="20"/>
          <w:szCs w:val="20"/>
        </w:rPr>
        <w:t xml:space="preserve"> que ha fue rechazada por la Audiencia Provincial de Barcelona.</w:t>
      </w:r>
      <w:bookmarkStart w:id="77" w:name="sdfootnote3anc"/>
      <w:r w:rsidRPr="00986EC5">
        <w:rPr>
          <w:sz w:val="20"/>
          <w:szCs w:val="20"/>
          <w:vertAlign w:val="superscript"/>
        </w:rPr>
        <w:footnoteReference w:id="112"/>
      </w:r>
      <w:bookmarkEnd w:id="77"/>
      <w:r w:rsidRPr="00986EC5">
        <w:rPr>
          <w:sz w:val="20"/>
          <w:szCs w:val="20"/>
        </w:rPr>
        <w:t xml:space="preserve"> </w:t>
      </w:r>
    </w:p>
    <w:p w14:paraId="2B5CF716" w14:textId="77777777" w:rsidR="00986EC5" w:rsidRPr="00986EC5" w:rsidRDefault="00986EC5" w:rsidP="00986EC5">
      <w:pPr>
        <w:pStyle w:val="BBodyText"/>
        <w:rPr>
          <w:sz w:val="20"/>
          <w:szCs w:val="20"/>
        </w:rPr>
      </w:pPr>
      <w:r w:rsidRPr="00986EC5">
        <w:rPr>
          <w:sz w:val="20"/>
          <w:szCs w:val="20"/>
        </w:rPr>
        <w:t>En general, la Fiscalía se ha opuesto a la investigación conjunta de todos los casos análogos sucedidos en Cataluña y también se ha opuesto a compartir información relevante entre las diferentes investigaciones de distintos juzgados.</w:t>
      </w:r>
      <w:r w:rsidRPr="00986EC5">
        <w:rPr>
          <w:sz w:val="20"/>
          <w:szCs w:val="20"/>
          <w:vertAlign w:val="superscript"/>
        </w:rPr>
        <w:footnoteReference w:id="113"/>
      </w:r>
      <w:r w:rsidRPr="00986EC5">
        <w:rPr>
          <w:sz w:val="20"/>
          <w:szCs w:val="20"/>
        </w:rPr>
        <w:t xml:space="preserve"> A pesar de los indicios que mostrarían la utilización por parte del CNI del software espía, la Fiscalía se ha opuesto en todas las ocasiones a llamar a declarar a responsables del CNI, a investigar en profundidad la infraestructura de dominios donde se alojaba el software Pegasus, así como a ampliar la desclasificación de información reservada relativa al uso de Pegasus por el estado español. </w:t>
      </w:r>
    </w:p>
    <w:p w14:paraId="287FDCDD" w14:textId="77777777" w:rsidR="00986EC5" w:rsidRDefault="00986EC5" w:rsidP="00986EC5">
      <w:pPr>
        <w:pStyle w:val="BBodyText"/>
        <w:rPr>
          <w:sz w:val="20"/>
          <w:szCs w:val="20"/>
        </w:rPr>
      </w:pPr>
      <w:r w:rsidRPr="00986EC5">
        <w:rPr>
          <w:sz w:val="20"/>
          <w:szCs w:val="20"/>
        </w:rPr>
        <w:t>La Fiscalía tampoco ha promovido de oficio ninguna investigación penal de los hechos, pese a que venga referida a delitos que no precisan de la denuncia de la persona afectada (de acuerdo con el artículo 201.2 del Código Penal español).</w:t>
      </w:r>
    </w:p>
    <w:p w14:paraId="749CCABE" w14:textId="77777777" w:rsidR="00943558" w:rsidRPr="00986EC5" w:rsidRDefault="00943558" w:rsidP="00986EC5">
      <w:pPr>
        <w:pStyle w:val="BBodyText"/>
        <w:rPr>
          <w:sz w:val="20"/>
          <w:szCs w:val="20"/>
        </w:rPr>
      </w:pPr>
    </w:p>
    <w:p w14:paraId="4C48C3E8" w14:textId="77777777" w:rsidR="00986EC5" w:rsidRDefault="00986EC5" w:rsidP="00943558">
      <w:pPr>
        <w:pStyle w:val="BSubheadingnonumbers"/>
      </w:pPr>
      <w:bookmarkStart w:id="78" w:name="_Toc200231304"/>
      <w:r w:rsidRPr="00986EC5">
        <w:t>Recomendaciones</w:t>
      </w:r>
      <w:bookmarkEnd w:id="78"/>
    </w:p>
    <w:p w14:paraId="72DE3DE8" w14:textId="2A3918B1" w:rsidR="006F7683" w:rsidRPr="006F7683" w:rsidRDefault="006F7683" w:rsidP="006F7683">
      <w:pPr>
        <w:pStyle w:val="BBodyText"/>
        <w:rPr>
          <w:sz w:val="20"/>
          <w:szCs w:val="20"/>
        </w:rPr>
      </w:pPr>
      <w:r w:rsidRPr="00986EC5">
        <w:rPr>
          <w:sz w:val="20"/>
          <w:szCs w:val="20"/>
        </w:rPr>
        <w:t xml:space="preserve">Amnistía Internacional recomienda al Estado español: </w:t>
      </w:r>
    </w:p>
    <w:p w14:paraId="1E9068E9" w14:textId="77777777" w:rsidR="00986EC5" w:rsidRPr="00986EC5" w:rsidRDefault="00986EC5" w:rsidP="00986EC5">
      <w:pPr>
        <w:pStyle w:val="BBodyText"/>
        <w:rPr>
          <w:sz w:val="20"/>
          <w:szCs w:val="20"/>
        </w:rPr>
      </w:pPr>
      <w:r w:rsidRPr="00986EC5">
        <w:rPr>
          <w:sz w:val="20"/>
          <w:szCs w:val="20"/>
        </w:rPr>
        <w:t>Con relación al control de las operaciones de vigilancia:</w:t>
      </w:r>
    </w:p>
    <w:p w14:paraId="25156D04" w14:textId="77777777" w:rsidR="00986EC5" w:rsidRPr="00986EC5" w:rsidRDefault="00986EC5" w:rsidP="00986EC5">
      <w:pPr>
        <w:pStyle w:val="BBodyText"/>
        <w:numPr>
          <w:ilvl w:val="0"/>
          <w:numId w:val="33"/>
        </w:numPr>
        <w:rPr>
          <w:sz w:val="20"/>
          <w:szCs w:val="20"/>
        </w:rPr>
      </w:pPr>
      <w:r w:rsidRPr="00986EC5">
        <w:rPr>
          <w:sz w:val="20"/>
          <w:szCs w:val="20"/>
        </w:rPr>
        <w:t xml:space="preserve">Introducir en la normativa española mecanismos efectivos de supervisión y control de las actividades de vigilancia. Para ello se debe asegurar que la Ley que regula el CNI y su actuación es acorde con los estándares de derechos humanos. </w:t>
      </w:r>
    </w:p>
    <w:p w14:paraId="4203F909" w14:textId="77777777" w:rsidR="00986EC5" w:rsidRPr="00986EC5" w:rsidRDefault="00986EC5" w:rsidP="00986EC5">
      <w:pPr>
        <w:pStyle w:val="BBodyText"/>
        <w:numPr>
          <w:ilvl w:val="0"/>
          <w:numId w:val="33"/>
        </w:numPr>
        <w:rPr>
          <w:sz w:val="20"/>
          <w:szCs w:val="20"/>
        </w:rPr>
      </w:pPr>
      <w:r w:rsidRPr="00986EC5">
        <w:rPr>
          <w:sz w:val="20"/>
          <w:szCs w:val="20"/>
        </w:rPr>
        <w:t xml:space="preserve">Modificar la Ley de Secretos Oficiales para que no puedan ampararse bajo la consideración de secreto, abusos y violaciones de derechos humanos. </w:t>
      </w:r>
    </w:p>
    <w:p w14:paraId="2D75AC28" w14:textId="77777777" w:rsidR="00986EC5" w:rsidRPr="00986EC5" w:rsidRDefault="00986EC5" w:rsidP="00986EC5">
      <w:pPr>
        <w:pStyle w:val="BBodyText"/>
        <w:numPr>
          <w:ilvl w:val="0"/>
          <w:numId w:val="33"/>
        </w:numPr>
        <w:rPr>
          <w:sz w:val="20"/>
          <w:szCs w:val="20"/>
        </w:rPr>
      </w:pPr>
      <w:r w:rsidRPr="00986EC5">
        <w:rPr>
          <w:sz w:val="20"/>
          <w:szCs w:val="20"/>
        </w:rPr>
        <w:t>Proporcionar a las víctimas instrumentos efectivos de reparación.</w:t>
      </w:r>
    </w:p>
    <w:p w14:paraId="165A44DD" w14:textId="77777777" w:rsidR="00986EC5" w:rsidRPr="00986EC5" w:rsidRDefault="00986EC5" w:rsidP="00986EC5">
      <w:pPr>
        <w:pStyle w:val="BBodyText"/>
        <w:numPr>
          <w:ilvl w:val="0"/>
          <w:numId w:val="33"/>
        </w:numPr>
        <w:rPr>
          <w:sz w:val="20"/>
          <w:szCs w:val="20"/>
        </w:rPr>
      </w:pPr>
      <w:r w:rsidRPr="00986EC5">
        <w:rPr>
          <w:sz w:val="20"/>
          <w:szCs w:val="20"/>
        </w:rPr>
        <w:t xml:space="preserve">Abrir una comisión independiente que investigue el supuesto espionaje a los líderes catalanes. </w:t>
      </w:r>
    </w:p>
    <w:p w14:paraId="20108CF5" w14:textId="77777777" w:rsidR="00986EC5" w:rsidRPr="00986EC5" w:rsidRDefault="00986EC5" w:rsidP="00986EC5">
      <w:pPr>
        <w:pStyle w:val="BBodyText"/>
        <w:rPr>
          <w:sz w:val="20"/>
          <w:szCs w:val="20"/>
        </w:rPr>
      </w:pPr>
      <w:r w:rsidRPr="00986EC5">
        <w:rPr>
          <w:sz w:val="20"/>
          <w:szCs w:val="20"/>
        </w:rPr>
        <w:t xml:space="preserve">Con relación a los sistemas de vigilancia selectiva y concretamente el programa Pegasus y NSO </w:t>
      </w:r>
      <w:proofErr w:type="spellStart"/>
      <w:r w:rsidRPr="00986EC5">
        <w:rPr>
          <w:sz w:val="20"/>
          <w:szCs w:val="20"/>
        </w:rPr>
        <w:t>Group</w:t>
      </w:r>
      <w:proofErr w:type="spellEnd"/>
      <w:r w:rsidRPr="00986EC5">
        <w:rPr>
          <w:sz w:val="20"/>
          <w:szCs w:val="20"/>
        </w:rPr>
        <w:t xml:space="preserve">: </w:t>
      </w:r>
    </w:p>
    <w:p w14:paraId="35FC4F19" w14:textId="77777777" w:rsidR="00986EC5" w:rsidRPr="00986EC5" w:rsidRDefault="00986EC5" w:rsidP="00986EC5">
      <w:pPr>
        <w:pStyle w:val="BBodyText"/>
        <w:numPr>
          <w:ilvl w:val="0"/>
          <w:numId w:val="32"/>
        </w:numPr>
        <w:rPr>
          <w:sz w:val="20"/>
          <w:szCs w:val="20"/>
        </w:rPr>
      </w:pPr>
      <w:r w:rsidRPr="00986EC5">
        <w:rPr>
          <w:sz w:val="20"/>
          <w:szCs w:val="20"/>
        </w:rPr>
        <w:t>A nivel nacional, suspendan el uso, venta y transferencia de instrumentos de vigilancia hasta que se instaure un marco regulador adecuado y respetuoso con los derechos humanos.</w:t>
      </w:r>
    </w:p>
    <w:p w14:paraId="2B733F7C" w14:textId="77777777" w:rsidR="00986EC5" w:rsidRPr="00986EC5" w:rsidRDefault="00986EC5" w:rsidP="00986EC5">
      <w:pPr>
        <w:pStyle w:val="BBodyText"/>
        <w:numPr>
          <w:ilvl w:val="0"/>
          <w:numId w:val="32"/>
        </w:numPr>
        <w:rPr>
          <w:sz w:val="20"/>
          <w:szCs w:val="20"/>
        </w:rPr>
      </w:pPr>
      <w:r w:rsidRPr="00986EC5">
        <w:rPr>
          <w:sz w:val="20"/>
          <w:szCs w:val="20"/>
        </w:rPr>
        <w:t>A nivel internacional, apoyen el establecimiento de una prohibición global de los programas espía altamente invasivos, es decir, aquellos cuyo funcionamiento no puede limitarse para ajustarse a la necesidad de proporcionalidad o que no pueden auditarse o verificarse de forma independiente en caso de abuso. </w:t>
      </w:r>
    </w:p>
    <w:p w14:paraId="7F5743DF" w14:textId="77777777" w:rsidR="00986EC5" w:rsidRPr="00986EC5" w:rsidRDefault="00986EC5" w:rsidP="00986EC5">
      <w:pPr>
        <w:pStyle w:val="BBodyText"/>
        <w:numPr>
          <w:ilvl w:val="0"/>
          <w:numId w:val="32"/>
        </w:numPr>
        <w:rPr>
          <w:sz w:val="20"/>
          <w:szCs w:val="20"/>
        </w:rPr>
      </w:pPr>
      <w:r w:rsidRPr="00986EC5">
        <w:rPr>
          <w:sz w:val="20"/>
          <w:szCs w:val="20"/>
        </w:rPr>
        <w:t>A nivel internacional, apoyen también la imposición de una moratoria sobre el uso, venta y transferencia de estos equipos de vigilancia hasta que se establezca un marco reglamentario adecuado de derechos humanos al respecto.</w:t>
      </w:r>
    </w:p>
    <w:p w14:paraId="51D3BB52" w14:textId="77777777" w:rsidR="00986EC5" w:rsidRPr="00986EC5" w:rsidRDefault="00986EC5" w:rsidP="00986EC5">
      <w:pPr>
        <w:pStyle w:val="BBodyText"/>
        <w:numPr>
          <w:ilvl w:val="0"/>
          <w:numId w:val="32"/>
        </w:numPr>
        <w:rPr>
          <w:sz w:val="20"/>
          <w:szCs w:val="20"/>
        </w:rPr>
      </w:pPr>
      <w:r w:rsidRPr="00986EC5">
        <w:rPr>
          <w:sz w:val="20"/>
          <w:szCs w:val="20"/>
        </w:rPr>
        <w:t>Revelen información sobre todos los contratos —pasados, en vigor o futuros— que tengan con empresas privadas de vigilancia, respondiendo a las solicitudes de información o tomando ellos mismos la iniciativa de publicarla.</w:t>
      </w:r>
    </w:p>
    <w:p w14:paraId="42C615A0" w14:textId="77777777" w:rsidR="00986EC5" w:rsidRPr="00986EC5" w:rsidRDefault="00986EC5" w:rsidP="00986EC5">
      <w:pPr>
        <w:pStyle w:val="BBodyText"/>
        <w:numPr>
          <w:ilvl w:val="0"/>
          <w:numId w:val="32"/>
        </w:numPr>
        <w:rPr>
          <w:sz w:val="20"/>
          <w:szCs w:val="20"/>
        </w:rPr>
      </w:pPr>
      <w:r w:rsidRPr="00986EC5">
        <w:rPr>
          <w:sz w:val="20"/>
          <w:szCs w:val="20"/>
        </w:rPr>
        <w:t>Garanticen que todas las tecnologías pertinentes sean sometidas a examen antes de su contratación, adquisición o transferencia.</w:t>
      </w:r>
    </w:p>
    <w:p w14:paraId="443876FD" w14:textId="77777777" w:rsidR="00986EC5" w:rsidRPr="00986EC5" w:rsidRDefault="00986EC5" w:rsidP="00986EC5">
      <w:pPr>
        <w:pStyle w:val="BBodyText"/>
        <w:numPr>
          <w:ilvl w:val="0"/>
          <w:numId w:val="32"/>
        </w:numPr>
        <w:rPr>
          <w:sz w:val="20"/>
          <w:szCs w:val="20"/>
        </w:rPr>
      </w:pPr>
      <w:r w:rsidRPr="00986EC5">
        <w:rPr>
          <w:sz w:val="20"/>
          <w:szCs w:val="20"/>
        </w:rPr>
        <w:t>Garanticen transparencia con respecto al volumen, la naturaleza, el valor y el destino de las transferencias de tecnologías de vigilancia.</w:t>
      </w:r>
    </w:p>
    <w:p w14:paraId="453995E9" w14:textId="77777777" w:rsidR="00986EC5" w:rsidRPr="00986EC5" w:rsidRDefault="00986EC5" w:rsidP="00986EC5">
      <w:pPr>
        <w:pStyle w:val="BBodyText"/>
        <w:numPr>
          <w:ilvl w:val="0"/>
          <w:numId w:val="32"/>
        </w:numPr>
        <w:rPr>
          <w:sz w:val="20"/>
          <w:szCs w:val="20"/>
        </w:rPr>
      </w:pPr>
      <w:r w:rsidRPr="00986EC5">
        <w:rPr>
          <w:sz w:val="20"/>
          <w:szCs w:val="20"/>
        </w:rPr>
        <w:t>Garanticen que las herramientas de codificación y las herramientas legítimas de seguridad digital no estén sujetas a controles de exportación.</w:t>
      </w:r>
    </w:p>
    <w:p w14:paraId="4D38E8DB" w14:textId="77777777" w:rsidR="00986EC5" w:rsidRPr="00986EC5" w:rsidRDefault="00986EC5" w:rsidP="00986EC5">
      <w:pPr>
        <w:pStyle w:val="BBodyText"/>
      </w:pPr>
    </w:p>
    <w:p w14:paraId="1B49F1E7" w14:textId="15BDAFA9" w:rsidR="00986EC5" w:rsidRPr="00943558" w:rsidRDefault="006F614F" w:rsidP="006F614F">
      <w:pPr>
        <w:pStyle w:val="BNumberedSubheading"/>
        <w:rPr>
          <w:noProof w:val="0"/>
        </w:rPr>
      </w:pPr>
      <w:bookmarkStart w:id="79" w:name="_Toc199778719"/>
      <w:bookmarkStart w:id="80" w:name="_Toc199778743"/>
      <w:bookmarkStart w:id="81" w:name="_Toc199778797"/>
      <w:bookmarkStart w:id="82" w:name="_Toc199778871"/>
      <w:bookmarkStart w:id="83" w:name="_Toc199778975"/>
      <w:bookmarkStart w:id="84" w:name="_Toc199779229"/>
      <w:bookmarkStart w:id="85" w:name="_Toc199779327"/>
      <w:bookmarkStart w:id="86" w:name="_Toc199778720"/>
      <w:bookmarkStart w:id="87" w:name="_Toc199778744"/>
      <w:bookmarkStart w:id="88" w:name="_Toc199778798"/>
      <w:bookmarkStart w:id="89" w:name="_Toc199778872"/>
      <w:bookmarkStart w:id="90" w:name="_Toc199778976"/>
      <w:bookmarkStart w:id="91" w:name="_Toc199779230"/>
      <w:bookmarkStart w:id="92" w:name="_Toc199779328"/>
      <w:bookmarkStart w:id="93" w:name="_Toc199778977"/>
      <w:bookmarkStart w:id="94" w:name="_Toc199779329"/>
      <w:bookmarkStart w:id="95" w:name="_Toc200231305"/>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943558">
        <w:rPr>
          <w:noProof w:val="0"/>
        </w:rPr>
        <w:t>Infiltraciones policiales en movimientos sociales</w:t>
      </w:r>
      <w:bookmarkEnd w:id="93"/>
      <w:bookmarkEnd w:id="94"/>
      <w:bookmarkEnd w:id="95"/>
    </w:p>
    <w:p w14:paraId="7ED1E44F" w14:textId="77777777" w:rsidR="00986EC5" w:rsidRPr="00986EC5" w:rsidRDefault="00986EC5" w:rsidP="00986EC5">
      <w:pPr>
        <w:pStyle w:val="BBodyText"/>
        <w:rPr>
          <w:sz w:val="20"/>
          <w:szCs w:val="20"/>
          <w:vertAlign w:val="superscript"/>
        </w:rPr>
      </w:pPr>
      <w:r w:rsidRPr="00986EC5">
        <w:rPr>
          <w:sz w:val="20"/>
          <w:szCs w:val="20"/>
        </w:rPr>
        <w:t>En los últimos años, varios medios de comunicación han desvelado operaciones policiales de infiltración en movimientos sociales en Barcelona, Girona, Valencia y Madrid.</w:t>
      </w:r>
      <w:r w:rsidRPr="00986EC5">
        <w:rPr>
          <w:sz w:val="20"/>
          <w:szCs w:val="20"/>
          <w:vertAlign w:val="superscript"/>
        </w:rPr>
        <w:footnoteReference w:id="114"/>
      </w:r>
      <w:r w:rsidRPr="00986EC5">
        <w:rPr>
          <w:sz w:val="20"/>
          <w:szCs w:val="20"/>
        </w:rPr>
        <w:t xml:space="preserve"> El Ministro de Interior reconoció la existencia de estas operaciones policiales en una respuesta parlamentaria, en marzo de 2023 afirmando que no se trataría de agentes encubiertos regulados por la Ley de Enjuiciamiento Criminal para la investigación de delitos, sino de “agentes de inteligencia” al amparo de la Ley Orgánica de Fuerzas y Cuerpos de Seguridad para la captación de información, bajo autorización administrativa y no judicial. También rechazó proporcionar más información, alegando que estas operaciones son secretas conforme a la Ley de Secretos Oficiales de 1968. </w:t>
      </w:r>
    </w:p>
    <w:p w14:paraId="5530B025" w14:textId="789227B3" w:rsidR="00986EC5" w:rsidRPr="00986EC5" w:rsidRDefault="00986EC5" w:rsidP="00986EC5">
      <w:pPr>
        <w:pStyle w:val="BBodyText"/>
        <w:rPr>
          <w:sz w:val="20"/>
          <w:szCs w:val="20"/>
        </w:rPr>
      </w:pPr>
      <w:r w:rsidRPr="00986EC5">
        <w:rPr>
          <w:sz w:val="20"/>
          <w:szCs w:val="20"/>
        </w:rPr>
        <w:t>El Estado español no está emprendiendo investigaciones exhaustivas e independientes para esclarecer estos casos. Ocho mujeres interpusieron una querella en Barcelona contra un agente policial infiltrado y sus superiores jerárquicos, por delitos de presunto abuso sexual, contra la integridad moral, tortura y otros malos tratos, revelación de secretos e impedimento del ejercicio de derechos cívicos.</w:t>
      </w:r>
      <w:r w:rsidRPr="00986EC5">
        <w:rPr>
          <w:sz w:val="20"/>
          <w:szCs w:val="20"/>
          <w:vertAlign w:val="superscript"/>
        </w:rPr>
        <w:footnoteReference w:id="115"/>
      </w:r>
      <w:r w:rsidRPr="00986EC5">
        <w:rPr>
          <w:sz w:val="20"/>
          <w:szCs w:val="20"/>
        </w:rPr>
        <w:t xml:space="preserve"> La querella fue inadmitida por las autoridades judiciales alegando que no concurrían indicios de criminalidad, y específicamente que las relaciones sexuales entre el agente policial y estas mujeres fueron consentidas en el momento en que tuvieron lugar.</w:t>
      </w:r>
      <w:r w:rsidRPr="00986EC5">
        <w:rPr>
          <w:sz w:val="20"/>
          <w:szCs w:val="20"/>
          <w:vertAlign w:val="superscript"/>
        </w:rPr>
        <w:footnoteReference w:id="116"/>
      </w:r>
      <w:r w:rsidRPr="00986EC5">
        <w:rPr>
          <w:sz w:val="20"/>
          <w:szCs w:val="20"/>
        </w:rPr>
        <w:t xml:space="preserve"> Tras la confirmación de la inadmisión de la querella por parte de la Audiencia Provincial de Barcelona, estas mujeres presentaron un recurso de amparo ante el Tribunal Constitucional en enero de 2025.</w:t>
      </w:r>
      <w:r w:rsidRPr="00986EC5">
        <w:rPr>
          <w:sz w:val="20"/>
          <w:szCs w:val="20"/>
          <w:vertAlign w:val="superscript"/>
        </w:rPr>
        <w:footnoteReference w:id="117"/>
      </w:r>
      <w:r w:rsidRPr="00986EC5">
        <w:rPr>
          <w:sz w:val="20"/>
          <w:szCs w:val="20"/>
        </w:rPr>
        <w:t xml:space="preserve"> En Girona, la Fiscalía mostró su oposición a que se investigara otra querella presentada por un hombre que denunciaba también que la agente infiltrada mantuvo una relación sexoafectiva con él durante varios años.</w:t>
      </w:r>
      <w:r w:rsidRPr="00986EC5">
        <w:rPr>
          <w:sz w:val="20"/>
          <w:szCs w:val="20"/>
          <w:vertAlign w:val="superscript"/>
        </w:rPr>
        <w:footnoteReference w:id="118"/>
      </w:r>
      <w:r w:rsidRPr="00986EC5">
        <w:rPr>
          <w:sz w:val="20"/>
          <w:szCs w:val="20"/>
        </w:rPr>
        <w:t xml:space="preserve"> La Fiscalía reconoce que “no existe regulación expresa” de la práctica policial de la infiltración, pero no considera que esta falta de habilitación legal sea problemática. Asimismo, la Fiscalía afirma que, precisamente a través de la relación sexoafectiva mantenida con el activista, la policía logró el acercamiento que le habían encomendado para poder obtener información, por lo que parece reconocer el uso instrumental de relaciones íntimas en este tipo de operaciones policiales.</w:t>
      </w:r>
      <w:r w:rsidRPr="00986EC5">
        <w:rPr>
          <w:sz w:val="20"/>
          <w:szCs w:val="20"/>
          <w:vertAlign w:val="superscript"/>
        </w:rPr>
        <w:footnoteReference w:id="119"/>
      </w:r>
      <w:r w:rsidRPr="00986EC5">
        <w:rPr>
          <w:sz w:val="20"/>
          <w:szCs w:val="20"/>
        </w:rPr>
        <w:t xml:space="preserve"> En Valencia, las autoridades judiciales también han rechazado investigar una querella contra un agente infiltrado, incidiendo en argumentaciones similares: la ausencia de indicios de criminalidad, y entendiendo que la ausencia de una habilitación legal expresa no implica que esta práctica policial esté prohibida.</w:t>
      </w:r>
      <w:r w:rsidRPr="00986EC5">
        <w:rPr>
          <w:sz w:val="20"/>
          <w:szCs w:val="20"/>
          <w:vertAlign w:val="superscript"/>
        </w:rPr>
        <w:footnoteReference w:id="120"/>
      </w:r>
      <w:r w:rsidRPr="00986EC5">
        <w:rPr>
          <w:sz w:val="20"/>
          <w:szCs w:val="20"/>
        </w:rPr>
        <w:t xml:space="preserve">  </w:t>
      </w:r>
    </w:p>
    <w:p w14:paraId="47E2689D" w14:textId="1A09EEB9" w:rsidR="00986EC5" w:rsidRDefault="00986EC5" w:rsidP="00986EC5">
      <w:pPr>
        <w:pStyle w:val="BBodyText"/>
        <w:rPr>
          <w:sz w:val="20"/>
          <w:szCs w:val="20"/>
        </w:rPr>
      </w:pPr>
      <w:r w:rsidRPr="00986EC5">
        <w:rPr>
          <w:sz w:val="20"/>
          <w:szCs w:val="20"/>
        </w:rPr>
        <w:t xml:space="preserve">Estos “agentes de inteligencia” habrían accedido a domicilios, a comunicaciones privadas, al ámbito familiar e incluso habrían establecido relaciones de pareja y sexoafectivas con militantes de los movimientos infiltrados. Todo ello en el marco de operaciones no autorizadas judicialmente, desconociéndose bajo qué tipo de supervisión, especialmente con relación al impacto en derechos humanos. </w:t>
      </w:r>
    </w:p>
    <w:p w14:paraId="62FD8062" w14:textId="77777777" w:rsidR="00D2101F" w:rsidRPr="00986EC5" w:rsidRDefault="00D2101F" w:rsidP="00986EC5">
      <w:pPr>
        <w:pStyle w:val="BBodyText"/>
        <w:rPr>
          <w:sz w:val="20"/>
          <w:szCs w:val="20"/>
        </w:rPr>
      </w:pPr>
    </w:p>
    <w:p w14:paraId="53D41B76" w14:textId="77777777" w:rsidR="00986EC5" w:rsidRDefault="00986EC5" w:rsidP="00943558">
      <w:pPr>
        <w:pStyle w:val="BSubheadingnonumbers"/>
      </w:pPr>
      <w:bookmarkStart w:id="96" w:name="_Toc200231306"/>
      <w:r w:rsidRPr="00986EC5">
        <w:t>Recomendaciones</w:t>
      </w:r>
      <w:bookmarkEnd w:id="96"/>
    </w:p>
    <w:p w14:paraId="5A862FFA" w14:textId="77777777" w:rsidR="006F7683" w:rsidRPr="00986EC5" w:rsidRDefault="006F7683" w:rsidP="006F7683">
      <w:pPr>
        <w:pStyle w:val="BBodyText"/>
        <w:rPr>
          <w:sz w:val="20"/>
          <w:szCs w:val="20"/>
        </w:rPr>
      </w:pPr>
      <w:r w:rsidRPr="00986EC5">
        <w:rPr>
          <w:sz w:val="20"/>
          <w:szCs w:val="20"/>
        </w:rPr>
        <w:t xml:space="preserve">Amnistía Internacional recomienda al Estado español: </w:t>
      </w:r>
    </w:p>
    <w:p w14:paraId="0B2E6233" w14:textId="77777777" w:rsidR="00986EC5" w:rsidRPr="00986EC5" w:rsidRDefault="00986EC5" w:rsidP="00986EC5">
      <w:pPr>
        <w:pStyle w:val="BBodyText"/>
        <w:numPr>
          <w:ilvl w:val="0"/>
          <w:numId w:val="36"/>
        </w:numPr>
        <w:rPr>
          <w:sz w:val="20"/>
          <w:szCs w:val="20"/>
        </w:rPr>
      </w:pPr>
      <w:proofErr w:type="gramStart"/>
      <w:r w:rsidRPr="00986EC5">
        <w:rPr>
          <w:sz w:val="20"/>
          <w:szCs w:val="20"/>
        </w:rPr>
        <w:t>Asegurar</w:t>
      </w:r>
      <w:proofErr w:type="gramEnd"/>
      <w:r w:rsidRPr="00986EC5">
        <w:rPr>
          <w:sz w:val="20"/>
          <w:szCs w:val="20"/>
        </w:rPr>
        <w:t xml:space="preserve"> que toda restricción impuesta sobre el ejercicio del derecho a la reunión pacífica y asociación a través de la vigilancia cumple con los principios de legalidad, interés legítimo, necesidad y proporcionalidad. </w:t>
      </w:r>
    </w:p>
    <w:p w14:paraId="0D79FA53" w14:textId="77777777" w:rsidR="00986EC5" w:rsidRPr="00986EC5" w:rsidRDefault="00986EC5" w:rsidP="00986EC5">
      <w:pPr>
        <w:pStyle w:val="BBodyText"/>
        <w:numPr>
          <w:ilvl w:val="0"/>
          <w:numId w:val="36"/>
        </w:numPr>
        <w:rPr>
          <w:sz w:val="20"/>
          <w:szCs w:val="20"/>
        </w:rPr>
      </w:pPr>
      <w:r w:rsidRPr="00986EC5">
        <w:rPr>
          <w:sz w:val="20"/>
          <w:szCs w:val="20"/>
        </w:rPr>
        <w:t>Establecer las medidas necesarias de índole legislativo o de otra naturaleza para poner fin al uso de vigilancia ilícita.</w:t>
      </w:r>
    </w:p>
    <w:p w14:paraId="343862D2" w14:textId="774BDD29" w:rsidR="00F47ABC" w:rsidRPr="00943558" w:rsidRDefault="00986EC5" w:rsidP="00782D0F">
      <w:pPr>
        <w:pStyle w:val="BBodyText"/>
        <w:numPr>
          <w:ilvl w:val="0"/>
          <w:numId w:val="36"/>
        </w:numPr>
        <w:rPr>
          <w:sz w:val="20"/>
          <w:szCs w:val="20"/>
        </w:rPr>
      </w:pPr>
      <w:r w:rsidRPr="00986EC5">
        <w:rPr>
          <w:sz w:val="20"/>
          <w:szCs w:val="20"/>
        </w:rPr>
        <w:t>Emprender investigaciones prontas y exhaustivas sobre estos hechos, especialmente encaminadas a ofrecer reparación a las personas que han podido ver vulnerados sus derechos humanos como consecuencia de estas operaciones policiales.</w:t>
      </w:r>
      <w:bookmarkStart w:id="97" w:name="_Toc74236202"/>
    </w:p>
    <w:p w14:paraId="7233E7B4" w14:textId="77777777" w:rsidR="00F47ABC" w:rsidRPr="00943558" w:rsidRDefault="00F47ABC" w:rsidP="00782D0F">
      <w:pPr>
        <w:pStyle w:val="BBodyText"/>
      </w:pPr>
    </w:p>
    <w:p w14:paraId="4C4CE74A" w14:textId="77777777" w:rsidR="00F47ABC" w:rsidRPr="00943558" w:rsidRDefault="00F47ABC" w:rsidP="00782D0F">
      <w:pPr>
        <w:pStyle w:val="BBodyText"/>
      </w:pPr>
    </w:p>
    <w:p w14:paraId="3D51E84F" w14:textId="77777777" w:rsidR="00F47ABC" w:rsidRPr="00943558" w:rsidRDefault="00F47ABC" w:rsidP="00782D0F">
      <w:pPr>
        <w:pStyle w:val="BBodyText"/>
      </w:pPr>
    </w:p>
    <w:p w14:paraId="0A4A0428" w14:textId="77777777" w:rsidR="00F47ABC" w:rsidRPr="00943558" w:rsidRDefault="00F47ABC" w:rsidP="00782D0F">
      <w:pPr>
        <w:pStyle w:val="BBodyText"/>
      </w:pPr>
    </w:p>
    <w:p w14:paraId="548E23C2" w14:textId="77777777" w:rsidR="00F47ABC" w:rsidRPr="00943558" w:rsidRDefault="00F47ABC" w:rsidP="00782D0F">
      <w:pPr>
        <w:pStyle w:val="BBodyText"/>
      </w:pPr>
    </w:p>
    <w:p w14:paraId="6BFEB047" w14:textId="77777777" w:rsidR="00F47ABC" w:rsidRPr="00943558" w:rsidRDefault="00F47ABC" w:rsidP="00782D0F">
      <w:pPr>
        <w:pStyle w:val="BBodyText"/>
      </w:pPr>
    </w:p>
    <w:p w14:paraId="24BD75BA" w14:textId="77777777" w:rsidR="00F47ABC" w:rsidRPr="00943558" w:rsidRDefault="00F47ABC" w:rsidP="00782D0F">
      <w:pPr>
        <w:pStyle w:val="BBodyText"/>
      </w:pPr>
    </w:p>
    <w:p w14:paraId="5D2D841F" w14:textId="77777777" w:rsidR="00312F9A" w:rsidRPr="00943558" w:rsidRDefault="00312F9A" w:rsidP="00301EE2">
      <w:pPr>
        <w:pStyle w:val="BBodyText"/>
        <w:rPr>
          <w:lang w:eastAsia="en-GB"/>
        </w:rPr>
        <w:sectPr w:rsidR="00312F9A" w:rsidRPr="00943558" w:rsidSect="00DA7998">
          <w:footerReference w:type="first" r:id="rId12"/>
          <w:pgSz w:w="11906" w:h="16838" w:code="9"/>
          <w:pgMar w:top="1474" w:right="1418" w:bottom="1418" w:left="1418" w:header="709" w:footer="709" w:gutter="0"/>
          <w:cols w:space="708"/>
          <w:titlePg/>
          <w:docGrid w:linePitch="360"/>
        </w:sectPr>
      </w:pPr>
    </w:p>
    <w:p w14:paraId="7E9A6AE5" w14:textId="77777777" w:rsidR="002014DA" w:rsidRPr="00943558" w:rsidRDefault="002014DA" w:rsidP="00301EE2">
      <w:pPr>
        <w:pStyle w:val="BBodyText"/>
        <w:rPr>
          <w:lang w:eastAsia="en-GB"/>
        </w:rPr>
        <w:sectPr w:rsidR="002014DA" w:rsidRPr="00943558" w:rsidSect="00312F9A">
          <w:type w:val="continuous"/>
          <w:pgSz w:w="11906" w:h="16838" w:code="9"/>
          <w:pgMar w:top="1474" w:right="1418" w:bottom="1418" w:left="1418" w:header="709" w:footer="709" w:gutter="0"/>
          <w:cols w:space="708"/>
          <w:titlePg/>
          <w:docGrid w:linePitch="360"/>
        </w:sectPr>
      </w:pPr>
    </w:p>
    <w:bookmarkEnd w:id="97"/>
    <w:p w14:paraId="0690BAE9" w14:textId="7433C9E5" w:rsidR="00EE3C56" w:rsidRPr="00065FFC" w:rsidRDefault="00ED4CC7" w:rsidP="004D2A5B">
      <w:pPr>
        <w:pStyle w:val="BBodyText"/>
      </w:pPr>
      <w:r w:rsidRPr="00943558">
        <w:rPr>
          <w:rFonts w:ascii="Amnesty Trade Gothic" w:hAnsi="Amnesty Trade Gothic"/>
          <w:noProof/>
          <w:color w:val="000000"/>
          <w:lang w:eastAsia="en-GB"/>
        </w:rPr>
        <mc:AlternateContent>
          <mc:Choice Requires="wps">
            <w:drawing>
              <wp:anchor distT="0" distB="0" distL="114300" distR="114300" simplePos="0" relativeHeight="251655680" behindDoc="0" locked="0" layoutInCell="1" allowOverlap="1" wp14:anchorId="0B425283" wp14:editId="3F58107C">
                <wp:simplePos x="0" y="0"/>
                <wp:positionH relativeFrom="column">
                  <wp:posOffset>-255451</wp:posOffset>
                </wp:positionH>
                <wp:positionV relativeFrom="paragraph">
                  <wp:posOffset>8330474</wp:posOffset>
                </wp:positionV>
                <wp:extent cx="3910692" cy="929640"/>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3910692" cy="929640"/>
                        </a:xfrm>
                        <a:prstGeom prst="rect">
                          <a:avLst/>
                        </a:prstGeom>
                        <a:solidFill>
                          <a:schemeClr val="lt1"/>
                        </a:solidFill>
                        <a:ln w="6350">
                          <a:noFill/>
                        </a:ln>
                      </wps:spPr>
                      <wps:txbx>
                        <w:txbxContent>
                          <w:p w14:paraId="13A3F353" w14:textId="5DB8251B" w:rsidR="00EE5B8A" w:rsidRPr="00FE0EE7" w:rsidRDefault="00EE5B8A" w:rsidP="00FE0EE7">
                            <w:pPr>
                              <w:pStyle w:val="BCopyrightsmallprint"/>
                              <w:rPr>
                                <w:rStyle w:val="Boldbodycharacter"/>
                                <w:bCs/>
                                <w:sz w:val="21"/>
                                <w:szCs w:val="21"/>
                                <w:lang w:val="it-IT"/>
                              </w:rPr>
                            </w:pPr>
                            <w:r w:rsidRPr="00FE0EE7">
                              <w:rPr>
                                <w:sz w:val="21"/>
                                <w:szCs w:val="21"/>
                                <w:lang w:val="it-IT"/>
                              </w:rPr>
                              <w:t xml:space="preserve">Índice: </w:t>
                            </w:r>
                            <w:r w:rsidR="00FE0EE7" w:rsidRPr="00FE0EE7">
                              <w:rPr>
                                <w:rFonts w:ascii="Amnesty Trade Gothic" w:hAnsi="Amnesty Trade Gothic"/>
                                <w:b/>
                                <w:sz w:val="21"/>
                                <w:szCs w:val="21"/>
                                <w:lang w:val="it-IT"/>
                              </w:rPr>
                              <w:t>AI Index Number: EUR 41/9474/2025</w:t>
                            </w:r>
                            <w:r w:rsidR="00FE0EE7">
                              <w:rPr>
                                <w:rFonts w:ascii="Amnesty Trade Gothic" w:hAnsi="Amnesty Trade Gothic"/>
                                <w:b/>
                                <w:sz w:val="21"/>
                                <w:szCs w:val="21"/>
                                <w:lang w:val="it-IT"/>
                              </w:rPr>
                              <w:t xml:space="preserve">  </w:t>
                            </w:r>
                            <w:r w:rsidRPr="00943558">
                              <w:rPr>
                                <w:rStyle w:val="Boldbodycharacter"/>
                                <w:sz w:val="21"/>
                                <w:szCs w:val="21"/>
                              </w:rPr>
                              <w:t>SPANISH</w:t>
                            </w:r>
                          </w:p>
                          <w:p w14:paraId="13BA83E2" w14:textId="7FE66038" w:rsidR="00EE5B8A" w:rsidRPr="00943558" w:rsidRDefault="00EE5B8A" w:rsidP="0081658E">
                            <w:pPr>
                              <w:pStyle w:val="BCopyrightsmallprint"/>
                              <w:rPr>
                                <w:sz w:val="21"/>
                                <w:szCs w:val="21"/>
                              </w:rPr>
                            </w:pPr>
                            <w:r w:rsidRPr="00943558">
                              <w:rPr>
                                <w:sz w:val="21"/>
                                <w:szCs w:val="21"/>
                              </w:rPr>
                              <w:t xml:space="preserve">Publicación: </w:t>
                            </w:r>
                            <w:proofErr w:type="gramStart"/>
                            <w:r w:rsidR="00E1141E" w:rsidRPr="00943558">
                              <w:rPr>
                                <w:rStyle w:val="Boldbodycharacter"/>
                                <w:sz w:val="21"/>
                                <w:szCs w:val="21"/>
                              </w:rPr>
                              <w:t>Junio</w:t>
                            </w:r>
                            <w:proofErr w:type="gramEnd"/>
                            <w:r w:rsidRPr="00943558">
                              <w:rPr>
                                <w:rStyle w:val="Boldbodycharacter"/>
                                <w:sz w:val="21"/>
                                <w:szCs w:val="21"/>
                              </w:rPr>
                              <w:t xml:space="preserve"> 20</w:t>
                            </w:r>
                            <w:r w:rsidR="00E1141E" w:rsidRPr="00943558">
                              <w:rPr>
                                <w:rStyle w:val="Boldbodycharacter"/>
                                <w:sz w:val="21"/>
                                <w:szCs w:val="21"/>
                              </w:rPr>
                              <w:t>25</w:t>
                            </w:r>
                          </w:p>
                          <w:p w14:paraId="75622893" w14:textId="1099D840" w:rsidR="00EE5B8A" w:rsidRPr="00943558" w:rsidRDefault="00EE5B8A" w:rsidP="0081658E">
                            <w:pPr>
                              <w:pStyle w:val="BCopyrightsmallprint"/>
                              <w:rPr>
                                <w:sz w:val="21"/>
                                <w:szCs w:val="21"/>
                              </w:rPr>
                            </w:pPr>
                            <w:r w:rsidRPr="00943558">
                              <w:rPr>
                                <w:sz w:val="21"/>
                                <w:szCs w:val="21"/>
                              </w:rPr>
                              <w:t xml:space="preserve">Idioma original: </w:t>
                            </w:r>
                            <w:proofErr w:type="gramStart"/>
                            <w:r w:rsidR="00ED4CC7" w:rsidRPr="00943558">
                              <w:rPr>
                                <w:rFonts w:ascii="Amnesty Trade Gothic" w:hAnsi="Amnesty Trade Gothic"/>
                                <w:b/>
                                <w:bCs w:val="0"/>
                                <w:sz w:val="21"/>
                                <w:szCs w:val="21"/>
                              </w:rPr>
                              <w:t>Español</w:t>
                            </w:r>
                            <w:proofErr w:type="gramEnd"/>
                          </w:p>
                          <w:p w14:paraId="51BB8770" w14:textId="08C2CE4A" w:rsidR="00EE5B8A" w:rsidRPr="00943558" w:rsidRDefault="00EE5B8A" w:rsidP="00140418">
                            <w:pPr>
                              <w:pStyle w:val="BCopyrightsmallprint"/>
                              <w:rPr>
                                <w:sz w:val="16"/>
                                <w:szCs w:val="16"/>
                              </w:rPr>
                            </w:pPr>
                            <w:r w:rsidRPr="00943558">
                              <w:rPr>
                                <w:sz w:val="16"/>
                                <w:szCs w:val="16"/>
                              </w:rPr>
                              <w:t>© Amnesty International 20</w:t>
                            </w:r>
                            <w:r w:rsidR="002014DA" w:rsidRPr="00943558">
                              <w:rPr>
                                <w:sz w:val="16"/>
                                <w:szCs w:val="16"/>
                              </w:rPr>
                              <w:t>25</w:t>
                            </w:r>
                          </w:p>
                          <w:p w14:paraId="2247AD3B" w14:textId="77777777" w:rsidR="00EE5B8A" w:rsidRPr="00943558" w:rsidRDefault="00EE5B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25283" id="Text Box 25" o:spid="_x0000_s1027" type="#_x0000_t202" style="position:absolute;margin-left:-20.1pt;margin-top:655.95pt;width:307.95pt;height:73.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" fillcolor="white [3201]" stroked="f" strokeweight=".5pt">
                <v:textbox>
                  <w:txbxContent>
                    <w:p w14:paraId="13A3F353" w14:textId="5DB8251B" w:rsidR="00EE5B8A" w:rsidRPr="00FE0EE7" w:rsidRDefault="00EE5B8A" w:rsidP="00FE0EE7">
                      <w:pPr>
                        <w:pStyle w:val="BCopyrightsmallprint"/>
                        <w:rPr>
                          <w:rStyle w:val="Boldbodycharacter"/>
                          <w:bCs/>
                          <w:sz w:val="21"/>
                          <w:szCs w:val="21"/>
                          <w:lang w:val="it-IT"/>
                        </w:rPr>
                      </w:pPr>
                      <w:r w:rsidRPr="00FE0EE7">
                        <w:rPr>
                          <w:sz w:val="21"/>
                          <w:szCs w:val="21"/>
                          <w:lang w:val="it-IT"/>
                        </w:rPr>
                        <w:t xml:space="preserve">Índice: </w:t>
                      </w:r>
                      <w:r w:rsidR="00FE0EE7" w:rsidRPr="00FE0EE7">
                        <w:rPr>
                          <w:rFonts w:ascii="Amnesty Trade Gothic" w:hAnsi="Amnesty Trade Gothic"/>
                          <w:b/>
                          <w:sz w:val="21"/>
                          <w:szCs w:val="21"/>
                          <w:lang w:val="it-IT"/>
                        </w:rPr>
                        <w:t>AI Index Number: EUR 41/9474/2025</w:t>
                      </w:r>
                      <w:r w:rsidR="00FE0EE7">
                        <w:rPr>
                          <w:rFonts w:ascii="Amnesty Trade Gothic" w:hAnsi="Amnesty Trade Gothic"/>
                          <w:b/>
                          <w:sz w:val="21"/>
                          <w:szCs w:val="21"/>
                          <w:lang w:val="it-IT"/>
                        </w:rPr>
                        <w:t xml:space="preserve">  </w:t>
                      </w:r>
                      <w:r w:rsidRPr="00943558">
                        <w:rPr>
                          <w:rStyle w:val="Boldbodycharacter"/>
                          <w:sz w:val="21"/>
                          <w:szCs w:val="21"/>
                        </w:rPr>
                        <w:t>SPANISH</w:t>
                      </w:r>
                    </w:p>
                    <w:p w14:paraId="13BA83E2" w14:textId="7FE66038" w:rsidR="00EE5B8A" w:rsidRPr="00943558" w:rsidRDefault="00EE5B8A" w:rsidP="0081658E">
                      <w:pPr>
                        <w:pStyle w:val="BCopyrightsmallprint"/>
                        <w:rPr>
                          <w:sz w:val="21"/>
                          <w:szCs w:val="21"/>
                        </w:rPr>
                      </w:pPr>
                      <w:r w:rsidRPr="00943558">
                        <w:rPr>
                          <w:sz w:val="21"/>
                          <w:szCs w:val="21"/>
                        </w:rPr>
                        <w:t xml:space="preserve">Publicación: </w:t>
                      </w:r>
                      <w:proofErr w:type="gramStart"/>
                      <w:r w:rsidR="00E1141E" w:rsidRPr="00943558">
                        <w:rPr>
                          <w:rStyle w:val="Boldbodycharacter"/>
                          <w:sz w:val="21"/>
                          <w:szCs w:val="21"/>
                        </w:rPr>
                        <w:t>Junio</w:t>
                      </w:r>
                      <w:proofErr w:type="gramEnd"/>
                      <w:r w:rsidRPr="00943558">
                        <w:rPr>
                          <w:rStyle w:val="Boldbodycharacter"/>
                          <w:sz w:val="21"/>
                          <w:szCs w:val="21"/>
                        </w:rPr>
                        <w:t xml:space="preserve"> 20</w:t>
                      </w:r>
                      <w:r w:rsidR="00E1141E" w:rsidRPr="00943558">
                        <w:rPr>
                          <w:rStyle w:val="Boldbodycharacter"/>
                          <w:sz w:val="21"/>
                          <w:szCs w:val="21"/>
                        </w:rPr>
                        <w:t>25</w:t>
                      </w:r>
                    </w:p>
                    <w:p w14:paraId="75622893" w14:textId="1099D840" w:rsidR="00EE5B8A" w:rsidRPr="00943558" w:rsidRDefault="00EE5B8A" w:rsidP="0081658E">
                      <w:pPr>
                        <w:pStyle w:val="BCopyrightsmallprint"/>
                        <w:rPr>
                          <w:sz w:val="21"/>
                          <w:szCs w:val="21"/>
                        </w:rPr>
                      </w:pPr>
                      <w:r w:rsidRPr="00943558">
                        <w:rPr>
                          <w:sz w:val="21"/>
                          <w:szCs w:val="21"/>
                        </w:rPr>
                        <w:t xml:space="preserve">Idioma original: </w:t>
                      </w:r>
                      <w:proofErr w:type="gramStart"/>
                      <w:r w:rsidR="00ED4CC7" w:rsidRPr="00943558">
                        <w:rPr>
                          <w:rFonts w:ascii="Amnesty Trade Gothic" w:hAnsi="Amnesty Trade Gothic"/>
                          <w:b/>
                          <w:bCs w:val="0"/>
                          <w:sz w:val="21"/>
                          <w:szCs w:val="21"/>
                        </w:rPr>
                        <w:t>Español</w:t>
                      </w:r>
                      <w:proofErr w:type="gramEnd"/>
                    </w:p>
                    <w:p w14:paraId="51BB8770" w14:textId="08C2CE4A" w:rsidR="00EE5B8A" w:rsidRPr="00943558" w:rsidRDefault="00EE5B8A" w:rsidP="00140418">
                      <w:pPr>
                        <w:pStyle w:val="BCopyrightsmallprint"/>
                        <w:rPr>
                          <w:sz w:val="16"/>
                          <w:szCs w:val="16"/>
                        </w:rPr>
                      </w:pPr>
                      <w:r w:rsidRPr="00943558">
                        <w:rPr>
                          <w:sz w:val="16"/>
                          <w:szCs w:val="16"/>
                        </w:rPr>
                        <w:t>© Amnesty International 20</w:t>
                      </w:r>
                      <w:r w:rsidR="002014DA" w:rsidRPr="00943558">
                        <w:rPr>
                          <w:sz w:val="16"/>
                          <w:szCs w:val="16"/>
                        </w:rPr>
                        <w:t>25</w:t>
                      </w:r>
                    </w:p>
                    <w:p w14:paraId="2247AD3B" w14:textId="77777777" w:rsidR="00EE5B8A" w:rsidRPr="00943558" w:rsidRDefault="00EE5B8A"/>
                  </w:txbxContent>
                </v:textbox>
              </v:shape>
            </w:pict>
          </mc:Fallback>
        </mc:AlternateContent>
      </w:r>
      <w:r w:rsidR="005947CE" w:rsidRPr="00943558">
        <w:rPr>
          <w:rFonts w:ascii="Amnesty Trade Gothic" w:hAnsi="Amnesty Trade Gothic"/>
          <w:noProof/>
          <w:color w:val="000000"/>
          <w:lang w:eastAsia="en-GB"/>
        </w:rPr>
        <mc:AlternateContent>
          <mc:Choice Requires="wps">
            <w:drawing>
              <wp:anchor distT="0" distB="0" distL="114300" distR="114300" simplePos="0" relativeHeight="251676160" behindDoc="0" locked="0" layoutInCell="1" allowOverlap="1" wp14:anchorId="3878D2F4" wp14:editId="5AAFE910">
                <wp:simplePos x="0" y="0"/>
                <wp:positionH relativeFrom="column">
                  <wp:posOffset>309784</wp:posOffset>
                </wp:positionH>
                <wp:positionV relativeFrom="paragraph">
                  <wp:posOffset>5649189</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EE5B8A" w:rsidRPr="00943558" w:rsidRDefault="00EE5B8A" w:rsidP="007A577D">
                            <w:pPr>
                              <w:spacing w:after="80"/>
                              <w:jc w:val="center"/>
                              <w:rPr>
                                <w:rFonts w:ascii="Amnesty Trade Gothic Cn" w:hAnsi="Amnesty Trade Gothic Cn"/>
                                <w:b/>
                                <w:bCs/>
                                <w:sz w:val="35"/>
                                <w:szCs w:val="35"/>
                              </w:rPr>
                            </w:pPr>
                            <w:r w:rsidRPr="00943558">
                              <w:rPr>
                                <w:rFonts w:ascii="Amnesty Trade Gothic Cn" w:hAnsi="Amnesty Trade Gothic Cn"/>
                                <w:b/>
                                <w:sz w:val="35"/>
                                <w:szCs w:val="35"/>
                              </w:rPr>
                              <w:t>Contacto</w:t>
                            </w:r>
                          </w:p>
                          <w:p w14:paraId="4E60631E" w14:textId="77777777" w:rsidR="00EE5B8A" w:rsidRPr="00943558" w:rsidRDefault="00EE5B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28" type="#_x0000_t202" style="position:absolute;margin-left:24.4pt;margin-top:444.8pt;width:177.7pt;height:25.75pt;z-index:251676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" filled="f" stroked="f" strokeweight=".5pt">
                <v:textbox>
                  <w:txbxContent>
                    <w:p w14:paraId="23CB6EA5" w14:textId="77777777" w:rsidR="00EE5B8A" w:rsidRPr="00943558" w:rsidRDefault="00EE5B8A" w:rsidP="007A577D">
                      <w:pPr>
                        <w:spacing w:after="80"/>
                        <w:jc w:val="center"/>
                        <w:rPr>
                          <w:rFonts w:ascii="Amnesty Trade Gothic Cn" w:hAnsi="Amnesty Trade Gothic Cn"/>
                          <w:b/>
                          <w:bCs/>
                          <w:sz w:val="35"/>
                          <w:szCs w:val="35"/>
                        </w:rPr>
                      </w:pPr>
                      <w:r w:rsidRPr="00943558">
                        <w:rPr>
                          <w:rFonts w:ascii="Amnesty Trade Gothic Cn" w:hAnsi="Amnesty Trade Gothic Cn"/>
                          <w:b/>
                          <w:sz w:val="35"/>
                          <w:szCs w:val="35"/>
                        </w:rPr>
                        <w:t>Contacto</w:t>
                      </w:r>
                    </w:p>
                    <w:p w14:paraId="4E60631E" w14:textId="77777777" w:rsidR="00EE5B8A" w:rsidRPr="00943558" w:rsidRDefault="00EE5B8A"/>
                  </w:txbxContent>
                </v:textbox>
              </v:shape>
            </w:pict>
          </mc:Fallback>
        </mc:AlternateContent>
      </w:r>
      <w:r w:rsidR="005947CE" w:rsidRPr="00943558">
        <w:rPr>
          <w:rFonts w:ascii="Amnesty Trade Gothic Cn" w:hAnsi="Amnesty Trade Gothic Cn"/>
          <w:b/>
          <w:noProof/>
          <w:lang w:eastAsia="en-GB"/>
        </w:rPr>
        <w:drawing>
          <wp:anchor distT="0" distB="0" distL="114300" distR="114300" simplePos="0" relativeHeight="251671040" behindDoc="0" locked="0" layoutInCell="1" allowOverlap="1" wp14:anchorId="010B26C5" wp14:editId="3734CF74">
            <wp:simplePos x="0" y="0"/>
            <wp:positionH relativeFrom="column">
              <wp:posOffset>2162090</wp:posOffset>
            </wp:positionH>
            <wp:positionV relativeFrom="paragraph">
              <wp:posOffset>5903446</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64820" cy="464820"/>
                    </a:xfrm>
                    <a:prstGeom prst="rect">
                      <a:avLst/>
                    </a:prstGeom>
                  </pic:spPr>
                </pic:pic>
              </a:graphicData>
            </a:graphic>
          </wp:anchor>
        </w:drawing>
      </w:r>
      <w:r w:rsidR="005947CE" w:rsidRPr="00943558">
        <w:rPr>
          <w:rFonts w:ascii="Amnesty Trade Gothic" w:hAnsi="Amnesty Trade Gothic"/>
          <w:noProof/>
          <w:color w:val="000000"/>
          <w:lang w:eastAsia="en-GB"/>
        </w:rPr>
        <mc:AlternateContent>
          <mc:Choice Requires="wps">
            <w:drawing>
              <wp:anchor distT="0" distB="0" distL="114300" distR="114300" simplePos="0" relativeHeight="251660800" behindDoc="0" locked="0" layoutInCell="1" allowOverlap="1" wp14:anchorId="243877C8" wp14:editId="3BCC75F5">
                <wp:simplePos x="0" y="0"/>
                <wp:positionH relativeFrom="column">
                  <wp:posOffset>1731709</wp:posOffset>
                </wp:positionH>
                <wp:positionV relativeFrom="paragraph">
                  <wp:posOffset>6241452</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EE5B8A" w:rsidRPr="00943558" w:rsidRDefault="00EE5B8A" w:rsidP="005947CE">
                            <w:pPr>
                              <w:spacing w:after="60"/>
                              <w:jc w:val="center"/>
                              <w:rPr>
                                <w:rFonts w:ascii="Amnesty Trade Gothic Cn" w:hAnsi="Amnesty Trade Gothic Cn"/>
                                <w:b/>
                                <w:color w:val="auto"/>
                                <w:sz w:val="21"/>
                                <w:szCs w:val="24"/>
                              </w:rPr>
                            </w:pPr>
                            <w:r w:rsidRPr="00943558">
                              <w:rPr>
                                <w:rFonts w:ascii="Amnesty Trade Gothic Cn" w:hAnsi="Amnesty Trade Gothic Cn"/>
                                <w:b/>
                                <w:color w:val="auto"/>
                                <w:sz w:val="21"/>
                                <w:szCs w:val="24"/>
                              </w:rPr>
                              <w:t>amnesty.org</w:t>
                            </w:r>
                          </w:p>
                          <w:p w14:paraId="62970A54" w14:textId="77777777" w:rsidR="00EE5B8A" w:rsidRPr="00943558" w:rsidRDefault="00EE5B8A" w:rsidP="005947CE">
                            <w:pPr>
                              <w:spacing w:after="60"/>
                              <w:jc w:val="center"/>
                              <w:rPr>
                                <w:rFonts w:ascii="Amnesty Trade Gothic Cn" w:hAnsi="Amnesty Trade Gothic Cn"/>
                                <w:b/>
                                <w:color w:val="auto"/>
                                <w:sz w:val="21"/>
                                <w:szCs w:val="24"/>
                              </w:rPr>
                            </w:pPr>
                            <w:r w:rsidRPr="00943558">
                              <w:rPr>
                                <w:rFonts w:ascii="Amnesty Trade Gothic Cn" w:hAnsi="Amnesty Trade Gothic Cn"/>
                                <w:b/>
                                <w:noProof/>
                                <w:color w:val="auto"/>
                                <w:sz w:val="21"/>
                                <w:szCs w:val="24"/>
                                <w:lang w:eastAsia="en-GB"/>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556260" cy="556260"/>
                                          </a:xfrm>
                                          <a:prstGeom prst="rect">
                                            <a:avLst/>
                                          </a:prstGeom>
                                        </pic:spPr>
                                      </pic:pic>
                                    </a:graphicData>
                                  </a:graphic>
                                </wp:inline>
                              </w:drawing>
                            </w:r>
                          </w:p>
                          <w:p w14:paraId="577429BB" w14:textId="77777777" w:rsidR="00EE5B8A" w:rsidRPr="006C7F50" w:rsidRDefault="00EE5B8A" w:rsidP="00C8441B">
                            <w:pPr>
                              <w:rPr>
                                <w:bCs/>
                                <w:color w:val="auto"/>
                                <w:sz w:val="16"/>
                                <w:szCs w:val="16"/>
                                <w:lang w:val="en-GB"/>
                              </w:rPr>
                            </w:pPr>
                            <w:r w:rsidRPr="006C7F50">
                              <w:rPr>
                                <w:bCs/>
                                <w:color w:val="auto"/>
                                <w:sz w:val="16"/>
                                <w:szCs w:val="16"/>
                                <w:lang w:val="en-GB"/>
                              </w:rPr>
                              <w:t>Amnesty International</w:t>
                            </w:r>
                            <w:r w:rsidRPr="006C7F50">
                              <w:rPr>
                                <w:bCs/>
                                <w:color w:val="auto"/>
                                <w:sz w:val="16"/>
                                <w:szCs w:val="16"/>
                                <w:lang w:val="en-GB"/>
                              </w:rPr>
                              <w:br/>
                              <w:t>Peter Benenson House</w:t>
                            </w:r>
                            <w:r w:rsidRPr="006C7F50">
                              <w:rPr>
                                <w:bCs/>
                                <w:color w:val="auto"/>
                                <w:sz w:val="16"/>
                                <w:szCs w:val="16"/>
                                <w:lang w:val="en-GB"/>
                              </w:rPr>
                              <w:br/>
                              <w:t>1 Easton Street</w:t>
                            </w:r>
                            <w:r w:rsidRPr="006C7F50">
                              <w:rPr>
                                <w:bCs/>
                                <w:color w:val="auto"/>
                                <w:sz w:val="16"/>
                                <w:szCs w:val="16"/>
                                <w:lang w:val="en-GB"/>
                              </w:rPr>
                              <w:br/>
                              <w:t xml:space="preserve">London WC1X 0DW, Reino </w:t>
                            </w:r>
                            <w:proofErr w:type="spellStart"/>
                            <w:r w:rsidRPr="006C7F50">
                              <w:rPr>
                                <w:bCs/>
                                <w:color w:val="auto"/>
                                <w:sz w:val="16"/>
                                <w:szCs w:val="16"/>
                                <w:lang w:val="en-GB"/>
                              </w:rPr>
                              <w:t>Unido</w:t>
                            </w:r>
                            <w:proofErr w:type="spellEnd"/>
                          </w:p>
                          <w:p w14:paraId="1E71D662" w14:textId="77777777" w:rsidR="00EE5B8A" w:rsidRPr="006C7F50" w:rsidRDefault="00EE5B8A" w:rsidP="00C8441B">
                            <w:pPr>
                              <w:rPr>
                                <w:sz w:val="14"/>
                                <w:szCs w:val="14"/>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29" type="#_x0000_t202" style="position:absolute;margin-left:136.35pt;margin-top:491.45pt;width:100.15pt;height:130.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" filled="f" stroked="f" strokeweight=".5pt">
                <v:textbox>
                  <w:txbxContent>
                    <w:p w14:paraId="3BF289A3" w14:textId="77777777" w:rsidR="00EE5B8A" w:rsidRPr="00943558" w:rsidRDefault="00EE5B8A" w:rsidP="005947CE">
                      <w:pPr>
                        <w:spacing w:after="60"/>
                        <w:jc w:val="center"/>
                        <w:rPr>
                          <w:rFonts w:ascii="Amnesty Trade Gothic Cn" w:hAnsi="Amnesty Trade Gothic Cn"/>
                          <w:b/>
                          <w:color w:val="auto"/>
                          <w:sz w:val="21"/>
                          <w:szCs w:val="24"/>
                        </w:rPr>
                      </w:pPr>
                      <w:r w:rsidRPr="00943558">
                        <w:rPr>
                          <w:rFonts w:ascii="Amnesty Trade Gothic Cn" w:hAnsi="Amnesty Trade Gothic Cn"/>
                          <w:b/>
                          <w:color w:val="auto"/>
                          <w:sz w:val="21"/>
                          <w:szCs w:val="24"/>
                        </w:rPr>
                        <w:t>amnesty.org</w:t>
                      </w:r>
                    </w:p>
                    <w:p w14:paraId="62970A54" w14:textId="77777777" w:rsidR="00EE5B8A" w:rsidRPr="00943558" w:rsidRDefault="00EE5B8A" w:rsidP="005947CE">
                      <w:pPr>
                        <w:spacing w:after="60"/>
                        <w:jc w:val="center"/>
                        <w:rPr>
                          <w:rFonts w:ascii="Amnesty Trade Gothic Cn" w:hAnsi="Amnesty Trade Gothic Cn"/>
                          <w:b/>
                          <w:color w:val="auto"/>
                          <w:sz w:val="21"/>
                          <w:szCs w:val="24"/>
                        </w:rPr>
                      </w:pPr>
                      <w:r w:rsidRPr="00943558">
                        <w:rPr>
                          <w:rFonts w:ascii="Amnesty Trade Gothic Cn" w:hAnsi="Amnesty Trade Gothic Cn"/>
                          <w:b/>
                          <w:noProof/>
                          <w:color w:val="auto"/>
                          <w:sz w:val="21"/>
                          <w:szCs w:val="24"/>
                          <w:lang w:eastAsia="en-GB"/>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556260" cy="556260"/>
                                    </a:xfrm>
                                    <a:prstGeom prst="rect">
                                      <a:avLst/>
                                    </a:prstGeom>
                                  </pic:spPr>
                                </pic:pic>
                              </a:graphicData>
                            </a:graphic>
                          </wp:inline>
                        </w:drawing>
                      </w:r>
                    </w:p>
                    <w:p w14:paraId="577429BB" w14:textId="77777777" w:rsidR="00EE5B8A" w:rsidRPr="006C7F50" w:rsidRDefault="00EE5B8A" w:rsidP="00C8441B">
                      <w:pPr>
                        <w:rPr>
                          <w:bCs/>
                          <w:color w:val="auto"/>
                          <w:sz w:val="16"/>
                          <w:szCs w:val="16"/>
                          <w:lang w:val="en-GB"/>
                        </w:rPr>
                      </w:pPr>
                      <w:r w:rsidRPr="006C7F50">
                        <w:rPr>
                          <w:bCs/>
                          <w:color w:val="auto"/>
                          <w:sz w:val="16"/>
                          <w:szCs w:val="16"/>
                          <w:lang w:val="en-GB"/>
                        </w:rPr>
                        <w:t>Amnesty International</w:t>
                      </w:r>
                      <w:r w:rsidRPr="006C7F50">
                        <w:rPr>
                          <w:bCs/>
                          <w:color w:val="auto"/>
                          <w:sz w:val="16"/>
                          <w:szCs w:val="16"/>
                          <w:lang w:val="en-GB"/>
                        </w:rPr>
                        <w:br/>
                        <w:t>Peter Benenson House</w:t>
                      </w:r>
                      <w:r w:rsidRPr="006C7F50">
                        <w:rPr>
                          <w:bCs/>
                          <w:color w:val="auto"/>
                          <w:sz w:val="16"/>
                          <w:szCs w:val="16"/>
                          <w:lang w:val="en-GB"/>
                        </w:rPr>
                        <w:br/>
                        <w:t>1 Easton Street</w:t>
                      </w:r>
                      <w:r w:rsidRPr="006C7F50">
                        <w:rPr>
                          <w:bCs/>
                          <w:color w:val="auto"/>
                          <w:sz w:val="16"/>
                          <w:szCs w:val="16"/>
                          <w:lang w:val="en-GB"/>
                        </w:rPr>
                        <w:br/>
                        <w:t xml:space="preserve">London WC1X 0DW, Reino </w:t>
                      </w:r>
                      <w:proofErr w:type="spellStart"/>
                      <w:r w:rsidRPr="006C7F50">
                        <w:rPr>
                          <w:bCs/>
                          <w:color w:val="auto"/>
                          <w:sz w:val="16"/>
                          <w:szCs w:val="16"/>
                          <w:lang w:val="en-GB"/>
                        </w:rPr>
                        <w:t>Unido</w:t>
                      </w:r>
                      <w:proofErr w:type="spellEnd"/>
                    </w:p>
                    <w:p w14:paraId="1E71D662" w14:textId="77777777" w:rsidR="00EE5B8A" w:rsidRPr="006C7F50" w:rsidRDefault="00EE5B8A" w:rsidP="00C8441B">
                      <w:pPr>
                        <w:rPr>
                          <w:sz w:val="14"/>
                          <w:szCs w:val="14"/>
                          <w:lang w:val="en-GB"/>
                        </w:rPr>
                      </w:pPr>
                    </w:p>
                  </w:txbxContent>
                </v:textbox>
              </v:shape>
            </w:pict>
          </mc:Fallback>
        </mc:AlternateContent>
      </w:r>
      <w:r w:rsidR="009528CB" w:rsidRPr="00943558">
        <w:rPr>
          <w:rFonts w:ascii="Amnesty Trade Gothic" w:hAnsi="Amnesty Trade Gothic"/>
          <w:noProof/>
          <w:color w:val="000000"/>
          <w:lang w:eastAsia="en-GB"/>
        </w:rPr>
        <mc:AlternateContent>
          <mc:Choice Requires="wps">
            <w:drawing>
              <wp:anchor distT="0" distB="0" distL="114300" distR="114300" simplePos="0" relativeHeight="251665920" behindDoc="0" locked="0" layoutInCell="1" allowOverlap="1" wp14:anchorId="128BAEFD" wp14:editId="213EE07A">
                <wp:simplePos x="0" y="0"/>
                <wp:positionH relativeFrom="column">
                  <wp:posOffset>-199043</wp:posOffset>
                </wp:positionH>
                <wp:positionV relativeFrom="paragraph">
                  <wp:posOffset>5928883</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00105A32" w:rsidR="00EE5B8A" w:rsidRPr="00943558" w:rsidRDefault="00EE5B8A" w:rsidP="004E5E19">
                            <w:pPr>
                              <w:pStyle w:val="NormalIndent"/>
                              <w:spacing w:after="120"/>
                              <w:ind w:left="0"/>
                              <w:jc w:val="center"/>
                              <w:rPr>
                                <w:rFonts w:ascii="Amnesty Trade Gothic Cn" w:hAnsi="Amnesty Trade Gothic Cn"/>
                                <w:b/>
                                <w:bCs/>
                                <w:color w:val="auto"/>
                              </w:rPr>
                            </w:pPr>
                            <w:r w:rsidRPr="00943558">
                              <w:rPr>
                                <w:rFonts w:ascii="Amnesty Trade Gothic Cn" w:hAnsi="Amnesty Trade Gothic Cn"/>
                                <w:b/>
                                <w:bCs/>
                                <w:noProof/>
                                <w:sz w:val="30"/>
                                <w:szCs w:val="30"/>
                                <w:lang w:eastAsia="en-GB"/>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7"/>
                                          <a:stretch>
                                            <a:fillRect/>
                                          </a:stretch>
                                        </pic:blipFill>
                                        <pic:spPr>
                                          <a:xfrm>
                                            <a:off x="0" y="0"/>
                                            <a:ext cx="382213" cy="239483"/>
                                          </a:xfrm>
                                          <a:prstGeom prst="rect">
                                            <a:avLst/>
                                          </a:prstGeom>
                                        </pic:spPr>
                                      </pic:pic>
                                    </a:graphicData>
                                  </a:graphic>
                                </wp:inline>
                              </w:drawing>
                            </w:r>
                            <w:r w:rsidRPr="00943558">
                              <w:rPr>
                                <w:rFonts w:ascii="Amnesty Trade Gothic Cn" w:hAnsi="Amnesty Trade Gothic Cn"/>
                                <w:b/>
                                <w:bCs/>
                                <w:sz w:val="30"/>
                                <w:szCs w:val="30"/>
                              </w:rPr>
                              <w:br/>
                            </w:r>
                            <w:hyperlink r:id="rId18" w:history="1">
                              <w:r w:rsidRPr="00943558">
                                <w:rPr>
                                  <w:rStyle w:val="Hyperlink"/>
                                  <w:rFonts w:ascii="Amnesty Trade Gothic Cn" w:hAnsi="Amnesty Trade Gothic Cn"/>
                                  <w:b/>
                                  <w:bCs/>
                                  <w:color w:val="auto"/>
                                  <w:szCs w:val="21"/>
                                </w:rPr>
                                <w:t>info@amnesty.org</w:t>
                              </w:r>
                            </w:hyperlink>
                          </w:p>
                          <w:p w14:paraId="61AA5AD3" w14:textId="0E60EB23" w:rsidR="00EE5B8A" w:rsidRPr="00943558" w:rsidRDefault="00EE5B8A" w:rsidP="004E5E19">
                            <w:pPr>
                              <w:pStyle w:val="BBodyText"/>
                              <w:jc w:val="center"/>
                              <w:rPr>
                                <w:rStyle w:val="Hyperlink"/>
                                <w:rFonts w:ascii="Amnesty Trade Gothic Cn" w:hAnsi="Amnesty Trade Gothic Cn"/>
                                <w:color w:val="auto"/>
                              </w:rPr>
                            </w:pPr>
                            <w:hyperlink r:id="rId19" w:history="1">
                              <w:r w:rsidRPr="00943558">
                                <w:rPr>
                                  <w:rFonts w:ascii="Amnesty Trade Gothic Cn" w:hAnsi="Amnesty Trade Gothic Cn"/>
                                  <w:noProof/>
                                  <w:vertAlign w:val="subscript"/>
                                  <w:lang w:eastAsia="en-GB"/>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0"/>
                                            <a:stretch>
                                              <a:fillRect/>
                                            </a:stretch>
                                          </pic:blipFill>
                                          <pic:spPr>
                                            <a:xfrm>
                                              <a:off x="0" y="0"/>
                                              <a:ext cx="290598" cy="290598"/>
                                            </a:xfrm>
                                            <a:prstGeom prst="rect">
                                              <a:avLst/>
                                            </a:prstGeom>
                                          </pic:spPr>
                                        </pic:pic>
                                      </a:graphicData>
                                    </a:graphic>
                                  </wp:inline>
                                </w:drawing>
                              </w:r>
                              <w:r w:rsidRPr="00943558">
                                <w:rPr>
                                  <w:rFonts w:ascii="Amnesty Trade Gothic Cn" w:hAnsi="Amnesty Trade Gothic Cn"/>
                                </w:rPr>
                                <w:br/>
                              </w:r>
                              <w:r w:rsidRPr="00943558">
                                <w:rPr>
                                  <w:rStyle w:val="Hyperlink"/>
                                  <w:rFonts w:ascii="Amnesty Trade Gothic Cn" w:hAnsi="Amnesty Trade Gothic Cn"/>
                                  <w:color w:val="auto"/>
                                </w:rPr>
                                <w:t>facebook.com/</w:t>
                              </w:r>
                              <w:r w:rsidRPr="00943558">
                                <w:rPr>
                                  <w:rStyle w:val="Hyperlink"/>
                                  <w:rFonts w:ascii="Amnesty Trade Gothic Cn" w:hAnsi="Amnesty Trade Gothic Cn"/>
                                  <w:color w:val="auto"/>
                                </w:rPr>
                                <w:br/>
                              </w:r>
                              <w:proofErr w:type="spellStart"/>
                              <w:r w:rsidRPr="00943558">
                                <w:rPr>
                                  <w:rStyle w:val="Hyperlink"/>
                                  <w:rFonts w:ascii="Amnesty Trade Gothic Cn" w:hAnsi="Amnesty Trade Gothic Cn"/>
                                  <w:b/>
                                  <w:bCs w:val="0"/>
                                  <w:color w:val="auto"/>
                                </w:rPr>
                                <w:t>AmnestyGlobal</w:t>
                              </w:r>
                              <w:proofErr w:type="spellEnd"/>
                            </w:hyperlink>
                          </w:p>
                          <w:p w14:paraId="5F6B3953" w14:textId="77777777" w:rsidR="00EE5B8A" w:rsidRPr="00943558" w:rsidRDefault="00EE5B8A" w:rsidP="004E5E19">
                            <w:pPr>
                              <w:pStyle w:val="BBodyText"/>
                              <w:spacing w:after="0"/>
                              <w:jc w:val="center"/>
                              <w:rPr>
                                <w:rStyle w:val="Hyperlink"/>
                                <w:color w:val="auto"/>
                              </w:rPr>
                            </w:pPr>
                            <w:r w:rsidRPr="00943558">
                              <w:rPr>
                                <w:noProof/>
                                <w:lang w:eastAsia="en-GB"/>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1"/>
                                          <a:stretch>
                                            <a:fillRect/>
                                          </a:stretch>
                                        </pic:blipFill>
                                        <pic:spPr>
                                          <a:xfrm>
                                            <a:off x="0" y="0"/>
                                            <a:ext cx="342194" cy="343682"/>
                                          </a:xfrm>
                                          <a:prstGeom prst="rect">
                                            <a:avLst/>
                                          </a:prstGeom>
                                        </pic:spPr>
                                      </pic:pic>
                                    </a:graphicData>
                                  </a:graphic>
                                </wp:inline>
                              </w:drawing>
                            </w:r>
                          </w:p>
                          <w:p w14:paraId="2F831BD7" w14:textId="77777777" w:rsidR="00EE5B8A" w:rsidRPr="00943558" w:rsidRDefault="00EE5B8A" w:rsidP="004E5E19">
                            <w:pPr>
                              <w:pStyle w:val="BBodyText"/>
                              <w:jc w:val="center"/>
                              <w:rPr>
                                <w:rFonts w:ascii="Amnesty Trade Gothic Cn" w:hAnsi="Amnesty Trade Gothic Cn"/>
                                <w:b/>
                                <w:bCs w:val="0"/>
                              </w:rPr>
                            </w:pPr>
                            <w:r w:rsidRPr="00943558">
                              <w:rPr>
                                <w:rFonts w:ascii="Amnesty Trade Gothic Cn" w:hAnsi="Amnesty Trade Gothic Cn"/>
                                <w:b/>
                                <w:bCs w:val="0"/>
                              </w:rPr>
                              <w:t>@Amnesty</w:t>
                            </w:r>
                          </w:p>
                          <w:p w14:paraId="53CFD627" w14:textId="77777777" w:rsidR="00EE5B8A" w:rsidRPr="00943558" w:rsidRDefault="00EE5B8A"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30" type="#_x0000_t202" style="position:absolute;margin-left:-15.65pt;margin-top:466.85pt;width:133.75pt;height:142.3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" filled="f" stroked="f" strokeweight=".5pt">
                <v:textbox>
                  <w:txbxContent>
                    <w:p w14:paraId="49DDEBC2" w14:textId="00105A32" w:rsidR="00EE5B8A" w:rsidRPr="00943558" w:rsidRDefault="00EE5B8A" w:rsidP="004E5E19">
                      <w:pPr>
                        <w:pStyle w:val="NormalIndent"/>
                        <w:spacing w:after="120"/>
                        <w:ind w:left="0"/>
                        <w:jc w:val="center"/>
                        <w:rPr>
                          <w:rFonts w:ascii="Amnesty Trade Gothic Cn" w:hAnsi="Amnesty Trade Gothic Cn"/>
                          <w:b/>
                          <w:bCs/>
                          <w:color w:val="auto"/>
                        </w:rPr>
                      </w:pPr>
                      <w:r w:rsidRPr="00943558">
                        <w:rPr>
                          <w:rFonts w:ascii="Amnesty Trade Gothic Cn" w:hAnsi="Amnesty Trade Gothic Cn"/>
                          <w:b/>
                          <w:bCs/>
                          <w:noProof/>
                          <w:sz w:val="30"/>
                          <w:szCs w:val="30"/>
                          <w:lang w:eastAsia="en-GB"/>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7"/>
                                    <a:stretch>
                                      <a:fillRect/>
                                    </a:stretch>
                                  </pic:blipFill>
                                  <pic:spPr>
                                    <a:xfrm>
                                      <a:off x="0" y="0"/>
                                      <a:ext cx="382213" cy="239483"/>
                                    </a:xfrm>
                                    <a:prstGeom prst="rect">
                                      <a:avLst/>
                                    </a:prstGeom>
                                  </pic:spPr>
                                </pic:pic>
                              </a:graphicData>
                            </a:graphic>
                          </wp:inline>
                        </w:drawing>
                      </w:r>
                      <w:r w:rsidRPr="00943558">
                        <w:rPr>
                          <w:rFonts w:ascii="Amnesty Trade Gothic Cn" w:hAnsi="Amnesty Trade Gothic Cn"/>
                          <w:b/>
                          <w:bCs/>
                          <w:sz w:val="30"/>
                          <w:szCs w:val="30"/>
                        </w:rPr>
                        <w:br/>
                      </w:r>
                      <w:hyperlink r:id="rId22" w:history="1">
                        <w:r w:rsidRPr="00943558">
                          <w:rPr>
                            <w:rStyle w:val="Hyperlink"/>
                            <w:rFonts w:ascii="Amnesty Trade Gothic Cn" w:hAnsi="Amnesty Trade Gothic Cn"/>
                            <w:b/>
                            <w:bCs/>
                            <w:color w:val="auto"/>
                            <w:szCs w:val="21"/>
                          </w:rPr>
                          <w:t>info@amnesty.org</w:t>
                        </w:r>
                      </w:hyperlink>
                    </w:p>
                    <w:p w14:paraId="61AA5AD3" w14:textId="0E60EB23" w:rsidR="00EE5B8A" w:rsidRPr="00943558" w:rsidRDefault="00EE5B8A" w:rsidP="004E5E19">
                      <w:pPr>
                        <w:pStyle w:val="BBodyText"/>
                        <w:jc w:val="center"/>
                        <w:rPr>
                          <w:rStyle w:val="Hyperlink"/>
                          <w:rFonts w:ascii="Amnesty Trade Gothic Cn" w:hAnsi="Amnesty Trade Gothic Cn"/>
                          <w:color w:val="auto"/>
                        </w:rPr>
                      </w:pPr>
                      <w:hyperlink r:id="rId23" w:history="1">
                        <w:r w:rsidRPr="00943558">
                          <w:rPr>
                            <w:rFonts w:ascii="Amnesty Trade Gothic Cn" w:hAnsi="Amnesty Trade Gothic Cn"/>
                            <w:noProof/>
                            <w:vertAlign w:val="subscript"/>
                            <w:lang w:eastAsia="en-GB"/>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0"/>
                                      <a:stretch>
                                        <a:fillRect/>
                                      </a:stretch>
                                    </pic:blipFill>
                                    <pic:spPr>
                                      <a:xfrm>
                                        <a:off x="0" y="0"/>
                                        <a:ext cx="290598" cy="290598"/>
                                      </a:xfrm>
                                      <a:prstGeom prst="rect">
                                        <a:avLst/>
                                      </a:prstGeom>
                                    </pic:spPr>
                                  </pic:pic>
                                </a:graphicData>
                              </a:graphic>
                            </wp:inline>
                          </w:drawing>
                        </w:r>
                        <w:r w:rsidRPr="00943558">
                          <w:rPr>
                            <w:rFonts w:ascii="Amnesty Trade Gothic Cn" w:hAnsi="Amnesty Trade Gothic Cn"/>
                          </w:rPr>
                          <w:br/>
                        </w:r>
                        <w:r w:rsidRPr="00943558">
                          <w:rPr>
                            <w:rStyle w:val="Hyperlink"/>
                            <w:rFonts w:ascii="Amnesty Trade Gothic Cn" w:hAnsi="Amnesty Trade Gothic Cn"/>
                            <w:color w:val="auto"/>
                          </w:rPr>
                          <w:t>facebook.com/</w:t>
                        </w:r>
                        <w:r w:rsidRPr="00943558">
                          <w:rPr>
                            <w:rStyle w:val="Hyperlink"/>
                            <w:rFonts w:ascii="Amnesty Trade Gothic Cn" w:hAnsi="Amnesty Trade Gothic Cn"/>
                            <w:color w:val="auto"/>
                          </w:rPr>
                          <w:br/>
                        </w:r>
                        <w:proofErr w:type="spellStart"/>
                        <w:r w:rsidRPr="00943558">
                          <w:rPr>
                            <w:rStyle w:val="Hyperlink"/>
                            <w:rFonts w:ascii="Amnesty Trade Gothic Cn" w:hAnsi="Amnesty Trade Gothic Cn"/>
                            <w:b/>
                            <w:bCs w:val="0"/>
                            <w:color w:val="auto"/>
                          </w:rPr>
                          <w:t>AmnestyGlobal</w:t>
                        </w:r>
                        <w:proofErr w:type="spellEnd"/>
                      </w:hyperlink>
                    </w:p>
                    <w:p w14:paraId="5F6B3953" w14:textId="77777777" w:rsidR="00EE5B8A" w:rsidRPr="00943558" w:rsidRDefault="00EE5B8A" w:rsidP="004E5E19">
                      <w:pPr>
                        <w:pStyle w:val="BBodyText"/>
                        <w:spacing w:after="0"/>
                        <w:jc w:val="center"/>
                        <w:rPr>
                          <w:rStyle w:val="Hyperlink"/>
                          <w:color w:val="auto"/>
                        </w:rPr>
                      </w:pPr>
                      <w:r w:rsidRPr="00943558">
                        <w:rPr>
                          <w:noProof/>
                          <w:lang w:eastAsia="en-GB"/>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1"/>
                                    <a:stretch>
                                      <a:fillRect/>
                                    </a:stretch>
                                  </pic:blipFill>
                                  <pic:spPr>
                                    <a:xfrm>
                                      <a:off x="0" y="0"/>
                                      <a:ext cx="342194" cy="343682"/>
                                    </a:xfrm>
                                    <a:prstGeom prst="rect">
                                      <a:avLst/>
                                    </a:prstGeom>
                                  </pic:spPr>
                                </pic:pic>
                              </a:graphicData>
                            </a:graphic>
                          </wp:inline>
                        </w:drawing>
                      </w:r>
                    </w:p>
                    <w:p w14:paraId="2F831BD7" w14:textId="77777777" w:rsidR="00EE5B8A" w:rsidRPr="00943558" w:rsidRDefault="00EE5B8A" w:rsidP="004E5E19">
                      <w:pPr>
                        <w:pStyle w:val="BBodyText"/>
                        <w:jc w:val="center"/>
                        <w:rPr>
                          <w:rFonts w:ascii="Amnesty Trade Gothic Cn" w:hAnsi="Amnesty Trade Gothic Cn"/>
                          <w:b/>
                          <w:bCs w:val="0"/>
                        </w:rPr>
                      </w:pPr>
                      <w:r w:rsidRPr="00943558">
                        <w:rPr>
                          <w:rFonts w:ascii="Amnesty Trade Gothic Cn" w:hAnsi="Amnesty Trade Gothic Cn"/>
                          <w:b/>
                          <w:bCs w:val="0"/>
                        </w:rPr>
                        <w:t>@Amnesty</w:t>
                      </w:r>
                    </w:p>
                    <w:p w14:paraId="53CFD627" w14:textId="77777777" w:rsidR="00EE5B8A" w:rsidRPr="00943558" w:rsidRDefault="00EE5B8A" w:rsidP="004E5E19">
                      <w:pPr>
                        <w:jc w:val="center"/>
                      </w:pPr>
                    </w:p>
                  </w:txbxContent>
                </v:textbox>
              </v:shape>
            </w:pict>
          </mc:Fallback>
        </mc:AlternateContent>
      </w:r>
      <w:r w:rsidR="009528CB" w:rsidRPr="00943558">
        <w:rPr>
          <w:rFonts w:ascii="Amnesty Trade Gothic" w:hAnsi="Amnesty Trade Gothic"/>
          <w:noProof/>
          <w:color w:val="000000"/>
          <w:lang w:eastAsia="en-GB"/>
        </w:rPr>
        <mc:AlternateContent>
          <mc:Choice Requires="wps">
            <w:drawing>
              <wp:anchor distT="0" distB="0" distL="114300" distR="114300" simplePos="0" relativeHeight="251650560" behindDoc="0" locked="0" layoutInCell="1" allowOverlap="1" wp14:anchorId="010DED38" wp14:editId="5711049B">
                <wp:simplePos x="0" y="0"/>
                <wp:positionH relativeFrom="column">
                  <wp:posOffset>3878195</wp:posOffset>
                </wp:positionH>
                <wp:positionV relativeFrom="paragraph">
                  <wp:posOffset>5657103</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EE5B8A" w:rsidRPr="00943558" w:rsidRDefault="00EE5B8A" w:rsidP="000660E7">
                            <w:pPr>
                              <w:pStyle w:val="BCopyrightsmallprint"/>
                              <w:rPr>
                                <w:sz w:val="16"/>
                                <w:szCs w:val="16"/>
                              </w:rPr>
                            </w:pPr>
                            <w:r w:rsidRPr="00943558">
                              <w:rPr>
                                <w:sz w:val="16"/>
                                <w:szCs w:val="16"/>
                              </w:rPr>
                              <w:t xml:space="preserve">Salvo cuando se indique lo contrario, el contenido de este documento está protegido por una licencia 4.0 de Creative </w:t>
                            </w:r>
                            <w:proofErr w:type="spellStart"/>
                            <w:r w:rsidRPr="00943558">
                              <w:rPr>
                                <w:sz w:val="16"/>
                                <w:szCs w:val="16"/>
                              </w:rPr>
                              <w:t>Commons</w:t>
                            </w:r>
                            <w:proofErr w:type="spellEnd"/>
                            <w:r w:rsidRPr="00943558">
                              <w:rPr>
                                <w:sz w:val="16"/>
                                <w:szCs w:val="16"/>
                              </w:rPr>
                              <w:t xml:space="preserve"> (atribución, no comercial, sin obra derivada, internacional) (véase https://creativecommons.org/licenses/by-nc-nd/4.0/legalcode.es)</w:t>
                            </w:r>
                          </w:p>
                          <w:p w14:paraId="45829321" w14:textId="77777777" w:rsidR="00EE5B8A" w:rsidRPr="00943558" w:rsidRDefault="00EE5B8A" w:rsidP="000660E7">
                            <w:pPr>
                              <w:pStyle w:val="BCopyrightsmallprint"/>
                              <w:rPr>
                                <w:sz w:val="16"/>
                                <w:szCs w:val="16"/>
                              </w:rPr>
                            </w:pPr>
                            <w:r w:rsidRPr="00943558">
                              <w:rPr>
                                <w:sz w:val="16"/>
                                <w:szCs w:val="16"/>
                              </w:rPr>
                              <w:t xml:space="preserve">El material atribuido a titulares de derechos de autor distintos de Amnistía Internacional no está protegido por la licencia Creative </w:t>
                            </w:r>
                            <w:proofErr w:type="spellStart"/>
                            <w:r w:rsidRPr="00943558">
                              <w:rPr>
                                <w:sz w:val="16"/>
                                <w:szCs w:val="16"/>
                              </w:rPr>
                              <w:t>Commons</w:t>
                            </w:r>
                            <w:proofErr w:type="spellEnd"/>
                            <w:r w:rsidRPr="00943558">
                              <w:rPr>
                                <w:sz w:val="16"/>
                                <w:szCs w:val="16"/>
                              </w:rPr>
                              <w:t>.</w:t>
                            </w:r>
                          </w:p>
                          <w:p w14:paraId="3D532D22" w14:textId="5A0D0DEA" w:rsidR="00EE5B8A" w:rsidRPr="00943558" w:rsidRDefault="00EE5B8A" w:rsidP="000660E7">
                            <w:pPr>
                              <w:pStyle w:val="BCopyrightsmallprint"/>
                              <w:rPr>
                                <w:sz w:val="16"/>
                                <w:szCs w:val="16"/>
                              </w:rPr>
                            </w:pPr>
                            <w:r w:rsidRPr="00943558">
                              <w:rPr>
                                <w:sz w:val="16"/>
                                <w:szCs w:val="16"/>
                              </w:rPr>
                              <w:t xml:space="preserve">Para más información, visiten la página </w:t>
                            </w:r>
                            <w:hyperlink r:id="rId24" w:history="1">
                              <w:r w:rsidRPr="00943558">
                                <w:rPr>
                                  <w:rStyle w:val="Hyperlink"/>
                                  <w:sz w:val="16"/>
                                  <w:szCs w:val="16"/>
                                </w:rPr>
                                <w:t>Permisos</w:t>
                              </w:r>
                            </w:hyperlink>
                            <w:r w:rsidRPr="00943558">
                              <w:rPr>
                                <w:sz w:val="16"/>
                                <w:szCs w:val="16"/>
                              </w:rPr>
                              <w:t xml:space="preserve"> del sitio web de Amnistía Internacional.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31" type="#_x0000_t202" style="position:absolute;margin-left:305.35pt;margin-top:445.45pt;width:177pt;height:164.4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" fillcolor="#f2f2f2" stroked="f" strokeweight=".5pt">
                <o:lock v:ext="edit" aspectratio="t"/>
                <v:textbox>
                  <w:txbxContent>
                    <w:p w14:paraId="241144A1" w14:textId="77777777" w:rsidR="00EE5B8A" w:rsidRPr="00943558" w:rsidRDefault="00EE5B8A" w:rsidP="000660E7">
                      <w:pPr>
                        <w:pStyle w:val="BCopyrightsmallprint"/>
                        <w:rPr>
                          <w:sz w:val="16"/>
                          <w:szCs w:val="16"/>
                        </w:rPr>
                      </w:pPr>
                      <w:r w:rsidRPr="00943558">
                        <w:rPr>
                          <w:sz w:val="16"/>
                          <w:szCs w:val="16"/>
                        </w:rPr>
                        <w:t xml:space="preserve">Salvo cuando se indique lo contrario, el contenido de este documento está protegido por una licencia 4.0 de Creative </w:t>
                      </w:r>
                      <w:proofErr w:type="spellStart"/>
                      <w:r w:rsidRPr="00943558">
                        <w:rPr>
                          <w:sz w:val="16"/>
                          <w:szCs w:val="16"/>
                        </w:rPr>
                        <w:t>Commons</w:t>
                      </w:r>
                      <w:proofErr w:type="spellEnd"/>
                      <w:r w:rsidRPr="00943558">
                        <w:rPr>
                          <w:sz w:val="16"/>
                          <w:szCs w:val="16"/>
                        </w:rPr>
                        <w:t xml:space="preserve"> (atribución, no comercial, sin obra derivada, internacional) (véase https://creativecommons.org/licenses/by-nc-nd/4.0/legalcode.es)</w:t>
                      </w:r>
                    </w:p>
                    <w:p w14:paraId="45829321" w14:textId="77777777" w:rsidR="00EE5B8A" w:rsidRPr="00943558" w:rsidRDefault="00EE5B8A" w:rsidP="000660E7">
                      <w:pPr>
                        <w:pStyle w:val="BCopyrightsmallprint"/>
                        <w:rPr>
                          <w:sz w:val="16"/>
                          <w:szCs w:val="16"/>
                        </w:rPr>
                      </w:pPr>
                      <w:r w:rsidRPr="00943558">
                        <w:rPr>
                          <w:sz w:val="16"/>
                          <w:szCs w:val="16"/>
                        </w:rPr>
                        <w:t xml:space="preserve">El material atribuido a titulares de derechos de autor distintos de Amnistía Internacional no está protegido por la licencia Creative </w:t>
                      </w:r>
                      <w:proofErr w:type="spellStart"/>
                      <w:r w:rsidRPr="00943558">
                        <w:rPr>
                          <w:sz w:val="16"/>
                          <w:szCs w:val="16"/>
                        </w:rPr>
                        <w:t>Commons</w:t>
                      </w:r>
                      <w:proofErr w:type="spellEnd"/>
                      <w:r w:rsidRPr="00943558">
                        <w:rPr>
                          <w:sz w:val="16"/>
                          <w:szCs w:val="16"/>
                        </w:rPr>
                        <w:t>.</w:t>
                      </w:r>
                    </w:p>
                    <w:p w14:paraId="3D532D22" w14:textId="5A0D0DEA" w:rsidR="00EE5B8A" w:rsidRPr="00943558" w:rsidRDefault="00EE5B8A" w:rsidP="000660E7">
                      <w:pPr>
                        <w:pStyle w:val="BCopyrightsmallprint"/>
                        <w:rPr>
                          <w:sz w:val="16"/>
                          <w:szCs w:val="16"/>
                        </w:rPr>
                      </w:pPr>
                      <w:r w:rsidRPr="00943558">
                        <w:rPr>
                          <w:sz w:val="16"/>
                          <w:szCs w:val="16"/>
                        </w:rPr>
                        <w:t xml:space="preserve">Para más información, visiten la página </w:t>
                      </w:r>
                      <w:hyperlink r:id="rId25" w:history="1">
                        <w:r w:rsidRPr="00943558">
                          <w:rPr>
                            <w:rStyle w:val="Hyperlink"/>
                            <w:sz w:val="16"/>
                            <w:szCs w:val="16"/>
                          </w:rPr>
                          <w:t>Permisos</w:t>
                        </w:r>
                      </w:hyperlink>
                      <w:r w:rsidRPr="00943558">
                        <w:rPr>
                          <w:sz w:val="16"/>
                          <w:szCs w:val="16"/>
                        </w:rPr>
                        <w:t xml:space="preserve"> del sitio web de Amnistía Internacional.</w:t>
                      </w:r>
                    </w:p>
                  </w:txbxContent>
                </v:textbox>
              </v:shape>
            </w:pict>
          </mc:Fallback>
        </mc:AlternateContent>
      </w:r>
      <w:r w:rsidR="00D51847" w:rsidRPr="00943558">
        <w:rPr>
          <w:noProof/>
          <w:lang w:eastAsia="en-GB"/>
        </w:rPr>
        <mc:AlternateContent>
          <mc:Choice Requires="wps">
            <w:drawing>
              <wp:anchor distT="0" distB="0" distL="114300" distR="114300" simplePos="0" relativeHeight="251645440" behindDoc="0" locked="0" layoutInCell="1" allowOverlap="1" wp14:anchorId="6E3CB8F7" wp14:editId="1819C81D">
                <wp:simplePos x="0" y="0"/>
                <wp:positionH relativeFrom="column">
                  <wp:posOffset>-364148</wp:posOffset>
                </wp:positionH>
                <wp:positionV relativeFrom="paragraph">
                  <wp:posOffset>592</wp:posOffset>
                </wp:positionV>
                <wp:extent cx="6647180" cy="490537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905375"/>
                        </a:xfrm>
                        <a:prstGeom prst="rect">
                          <a:avLst/>
                        </a:prstGeom>
                        <a:noFill/>
                        <a:ln w="6350">
                          <a:noFill/>
                        </a:ln>
                      </wps:spPr>
                      <wps:txbx>
                        <w:txbxContent>
                          <w:p w14:paraId="53F06D5C" w14:textId="42E98F74" w:rsidR="00EE5B8A" w:rsidRPr="00943558" w:rsidRDefault="009A44FD" w:rsidP="008D2844">
                            <w:pPr>
                              <w:pStyle w:val="RTMissionStatement"/>
                              <w:rPr>
                                <w:rStyle w:val="RTHighlightedtext"/>
                                <w:noProof w:val="0"/>
                              </w:rPr>
                            </w:pPr>
                            <w:r w:rsidRPr="00943558">
                              <w:rPr>
                                <w:rStyle w:val="RTHighlightedtext"/>
                                <w:noProof w:val="0"/>
                              </w:rPr>
                              <w:t> </w:t>
                            </w:r>
                            <w:r w:rsidR="00EE5B8A" w:rsidRPr="00943558">
                              <w:rPr>
                                <w:rStyle w:val="RTHighlightedtext"/>
                                <w:noProof w:val="0"/>
                              </w:rPr>
                              <w:t>Amnistía Internacional es un movimiento integrado por 10</w:t>
                            </w:r>
                            <w:r w:rsidRPr="00943558">
                              <w:rPr>
                                <w:rStyle w:val="RTHighlightedtext"/>
                                <w:noProof w:val="0"/>
                              </w:rPr>
                              <w:t xml:space="preserve"> </w:t>
                            </w:r>
                            <w:r w:rsidRPr="00943558">
                              <w:rPr>
                                <w:rStyle w:val="RTHighlightedtext"/>
                                <w:noProof w:val="0"/>
                              </w:rPr>
                              <w:br/>
                              <w:t> </w:t>
                            </w:r>
                            <w:r w:rsidR="00EE5B8A" w:rsidRPr="00943558">
                              <w:rPr>
                                <w:rStyle w:val="RTHighlightedtext"/>
                                <w:noProof w:val="0"/>
                              </w:rPr>
                              <w:t>millones de personas que activa el sentido de humanidad</w:t>
                            </w:r>
                            <w:r w:rsidRPr="00943558">
                              <w:rPr>
                                <w:rStyle w:val="RTHighlightedtext"/>
                                <w:noProof w:val="0"/>
                              </w:rPr>
                              <w:t xml:space="preserve"> </w:t>
                            </w:r>
                            <w:r w:rsidRPr="00943558">
                              <w:rPr>
                                <w:rStyle w:val="RTHighlightedtext"/>
                                <w:noProof w:val="0"/>
                              </w:rPr>
                              <w:br/>
                            </w:r>
                            <w:r w:rsidR="00EE5B8A" w:rsidRPr="00943558">
                              <w:rPr>
                                <w:rStyle w:val="RTHighlightedtext"/>
                                <w:noProof w:val="0"/>
                              </w:rPr>
                              <w:t xml:space="preserve"> dentro de cada una de ellas y que hace campaña en favor de</w:t>
                            </w:r>
                            <w:r w:rsidRPr="00943558">
                              <w:rPr>
                                <w:rStyle w:val="RTHighlightedtext"/>
                                <w:noProof w:val="0"/>
                              </w:rPr>
                              <w:t xml:space="preserve"> </w:t>
                            </w:r>
                            <w:r w:rsidRPr="00943558">
                              <w:rPr>
                                <w:rStyle w:val="RTHighlightedtext"/>
                                <w:noProof w:val="0"/>
                              </w:rPr>
                              <w:br/>
                            </w:r>
                            <w:r w:rsidR="00EE5B8A" w:rsidRPr="00943558">
                              <w:rPr>
                                <w:rStyle w:val="RTHighlightedtext"/>
                                <w:noProof w:val="0"/>
                              </w:rPr>
                              <w:t xml:space="preserve"> cambios que permitan que todo el mundo disfrute de sus</w:t>
                            </w:r>
                            <w:r w:rsidRPr="00943558">
                              <w:rPr>
                                <w:rStyle w:val="RTHighlightedtext"/>
                                <w:noProof w:val="0"/>
                              </w:rPr>
                              <w:t xml:space="preserve"> </w:t>
                            </w:r>
                            <w:r w:rsidRPr="00943558">
                              <w:rPr>
                                <w:rStyle w:val="RTHighlightedtext"/>
                                <w:noProof w:val="0"/>
                              </w:rPr>
                              <w:br/>
                            </w:r>
                            <w:r w:rsidR="00EE5B8A" w:rsidRPr="00943558">
                              <w:rPr>
                                <w:rStyle w:val="RTHighlightedtext"/>
                                <w:noProof w:val="0"/>
                              </w:rPr>
                              <w:t xml:space="preserve"> derechos humanos. Nuestra visión es la de un mundo donde</w:t>
                            </w:r>
                            <w:r w:rsidRPr="00943558">
                              <w:rPr>
                                <w:rStyle w:val="RTHighlightedtext"/>
                                <w:noProof w:val="0"/>
                              </w:rPr>
                              <w:t xml:space="preserve"> </w:t>
                            </w:r>
                            <w:r w:rsidRPr="00943558">
                              <w:rPr>
                                <w:rStyle w:val="RTHighlightedtext"/>
                                <w:noProof w:val="0"/>
                              </w:rPr>
                              <w:br/>
                            </w:r>
                            <w:r w:rsidR="00EE5B8A" w:rsidRPr="00943558">
                              <w:rPr>
                                <w:rStyle w:val="RTHighlightedtext"/>
                                <w:noProof w:val="0"/>
                              </w:rPr>
                              <w:t xml:space="preserve"> quienes están en el poder cumplen sus promesas, respetan el</w:t>
                            </w:r>
                            <w:r w:rsidRPr="00943558">
                              <w:rPr>
                                <w:rStyle w:val="RTHighlightedtext"/>
                                <w:noProof w:val="0"/>
                              </w:rPr>
                              <w:t xml:space="preserve"> </w:t>
                            </w:r>
                            <w:r w:rsidRPr="00943558">
                              <w:rPr>
                                <w:rStyle w:val="RTHighlightedtext"/>
                                <w:noProof w:val="0"/>
                              </w:rPr>
                              <w:br/>
                            </w:r>
                            <w:r w:rsidR="00EE5B8A" w:rsidRPr="00943558">
                              <w:rPr>
                                <w:rStyle w:val="RTHighlightedtext"/>
                                <w:noProof w:val="0"/>
                              </w:rPr>
                              <w:t xml:space="preserve"> derecho internacional y rinden cuentas. Somos</w:t>
                            </w:r>
                            <w:r w:rsidRPr="00943558">
                              <w:rPr>
                                <w:rStyle w:val="RTHighlightedtext"/>
                                <w:noProof w:val="0"/>
                              </w:rPr>
                              <w:t xml:space="preserve"> </w:t>
                            </w:r>
                            <w:r w:rsidRPr="00943558">
                              <w:rPr>
                                <w:rStyle w:val="RTHighlightedtext"/>
                                <w:noProof w:val="0"/>
                              </w:rPr>
                              <w:br/>
                            </w:r>
                            <w:r w:rsidR="00EE5B8A" w:rsidRPr="00943558">
                              <w:rPr>
                                <w:rStyle w:val="RTHighlightedtext"/>
                                <w:noProof w:val="0"/>
                              </w:rPr>
                              <w:t xml:space="preserve"> independientes de todo gobierno, ideología política, interés</w:t>
                            </w:r>
                            <w:r w:rsidRPr="00943558">
                              <w:rPr>
                                <w:rStyle w:val="RTHighlightedtext"/>
                                <w:noProof w:val="0"/>
                              </w:rPr>
                              <w:t xml:space="preserve"> </w:t>
                            </w:r>
                            <w:r w:rsidRPr="00943558">
                              <w:rPr>
                                <w:rStyle w:val="RTHighlightedtext"/>
                                <w:noProof w:val="0"/>
                              </w:rPr>
                              <w:br/>
                            </w:r>
                            <w:r w:rsidR="00EE5B8A" w:rsidRPr="00943558">
                              <w:rPr>
                                <w:rStyle w:val="RTHighlightedtext"/>
                                <w:noProof w:val="0"/>
                              </w:rPr>
                              <w:t xml:space="preserve"> económico y credo religioso, y nuestro trabajo se financia</w:t>
                            </w:r>
                            <w:r w:rsidRPr="00943558">
                              <w:rPr>
                                <w:rStyle w:val="RTHighlightedtext"/>
                                <w:noProof w:val="0"/>
                              </w:rPr>
                              <w:t xml:space="preserve"> </w:t>
                            </w:r>
                            <w:r w:rsidRPr="00943558">
                              <w:rPr>
                                <w:rStyle w:val="RTHighlightedtext"/>
                                <w:noProof w:val="0"/>
                              </w:rPr>
                              <w:br/>
                            </w:r>
                            <w:r w:rsidR="00EE5B8A" w:rsidRPr="00943558">
                              <w:rPr>
                                <w:rStyle w:val="RTHighlightedtext"/>
                                <w:noProof w:val="0"/>
                              </w:rPr>
                              <w:t xml:space="preserve"> principalmente con las contribuciones de nuestra membresía</w:t>
                            </w:r>
                            <w:r w:rsidRPr="00943558">
                              <w:rPr>
                                <w:rStyle w:val="RTHighlightedtext"/>
                                <w:noProof w:val="0"/>
                              </w:rPr>
                              <w:t xml:space="preserve"> </w:t>
                            </w:r>
                            <w:r w:rsidRPr="00943558">
                              <w:rPr>
                                <w:rStyle w:val="RTHighlightedtext"/>
                                <w:noProof w:val="0"/>
                              </w:rPr>
                              <w:br/>
                            </w:r>
                            <w:r w:rsidR="00EE5B8A" w:rsidRPr="00943558">
                              <w:rPr>
                                <w:rStyle w:val="RTHighlightedtext"/>
                                <w:noProof w:val="0"/>
                              </w:rPr>
                              <w:t xml:space="preserve"> y con donativos. Creemos que actuar movidos por la</w:t>
                            </w:r>
                            <w:r w:rsidRPr="00943558">
                              <w:rPr>
                                <w:rStyle w:val="RTHighlightedtext"/>
                                <w:noProof w:val="0"/>
                              </w:rPr>
                              <w:t xml:space="preserve"> </w:t>
                            </w:r>
                            <w:r w:rsidRPr="00943558">
                              <w:rPr>
                                <w:rStyle w:val="RTHighlightedtext"/>
                                <w:noProof w:val="0"/>
                              </w:rPr>
                              <w:br/>
                            </w:r>
                            <w:r w:rsidR="00EE5B8A" w:rsidRPr="00943558">
                              <w:rPr>
                                <w:rStyle w:val="RTHighlightedtext"/>
                                <w:noProof w:val="0"/>
                              </w:rPr>
                              <w:t xml:space="preserve"> solidaridad y la compasión hacia nuestros semejantes en todo</w:t>
                            </w:r>
                            <w:r w:rsidRPr="00943558">
                              <w:rPr>
                                <w:rStyle w:val="RTHighlightedtext"/>
                                <w:noProof w:val="0"/>
                              </w:rPr>
                              <w:t xml:space="preserve"> </w:t>
                            </w:r>
                            <w:r w:rsidRPr="00943558">
                              <w:rPr>
                                <w:rStyle w:val="RTHighlightedtext"/>
                                <w:noProof w:val="0"/>
                              </w:rPr>
                              <w:br/>
                            </w:r>
                            <w:r w:rsidR="00EE5B8A" w:rsidRPr="00943558">
                              <w:rPr>
                                <w:rStyle w:val="RTHighlightedtext"/>
                                <w:noProof w:val="0"/>
                              </w:rPr>
                              <w:t xml:space="preserve"> el mundo puede hacer mejorar nuestras sociedades. </w:t>
                            </w:r>
                          </w:p>
                          <w:p w14:paraId="49A03A03" w14:textId="77777777" w:rsidR="00EE5B8A" w:rsidRPr="00943558" w:rsidRDefault="00EE5B8A" w:rsidP="00EE5B8A">
                            <w:pPr>
                              <w:pStyle w:val="BBodyText"/>
                              <w:tabs>
                                <w:tab w:val="left" w:pos="1200"/>
                              </w:tabs>
                              <w:rPr>
                                <w:rFonts w:ascii="Amnesty Trade Gothic" w:hAnsi="Amnesty Trade Gothic"/>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32" type="#_x0000_t202" style="position:absolute;margin-left:-28.65pt;margin-top:.05pt;width:523.4pt;height:386.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" filled="f" stroked="f" strokeweight=".5pt">
                <v:textbox>
                  <w:txbxContent>
                    <w:p w14:paraId="53F06D5C" w14:textId="42E98F74" w:rsidR="00EE5B8A" w:rsidRPr="00943558" w:rsidRDefault="009A44FD" w:rsidP="008D2844">
                      <w:pPr>
                        <w:pStyle w:val="RTMissionStatement"/>
                        <w:rPr>
                          <w:rStyle w:val="RTHighlightedtext"/>
                          <w:noProof w:val="0"/>
                        </w:rPr>
                      </w:pPr>
                      <w:r w:rsidRPr="00943558">
                        <w:rPr>
                          <w:rStyle w:val="RTHighlightedtext"/>
                          <w:noProof w:val="0"/>
                        </w:rPr>
                        <w:t> </w:t>
                      </w:r>
                      <w:r w:rsidR="00EE5B8A" w:rsidRPr="00943558">
                        <w:rPr>
                          <w:rStyle w:val="RTHighlightedtext"/>
                          <w:noProof w:val="0"/>
                        </w:rPr>
                        <w:t>Amnistía Internacional es un movimiento integrado por 10</w:t>
                      </w:r>
                      <w:r w:rsidRPr="00943558">
                        <w:rPr>
                          <w:rStyle w:val="RTHighlightedtext"/>
                          <w:noProof w:val="0"/>
                        </w:rPr>
                        <w:t xml:space="preserve"> </w:t>
                      </w:r>
                      <w:r w:rsidRPr="00943558">
                        <w:rPr>
                          <w:rStyle w:val="RTHighlightedtext"/>
                          <w:noProof w:val="0"/>
                        </w:rPr>
                        <w:br/>
                        <w:t> </w:t>
                      </w:r>
                      <w:r w:rsidR="00EE5B8A" w:rsidRPr="00943558">
                        <w:rPr>
                          <w:rStyle w:val="RTHighlightedtext"/>
                          <w:noProof w:val="0"/>
                        </w:rPr>
                        <w:t>millones de personas que activa el sentido de humanidad</w:t>
                      </w:r>
                      <w:r w:rsidRPr="00943558">
                        <w:rPr>
                          <w:rStyle w:val="RTHighlightedtext"/>
                          <w:noProof w:val="0"/>
                        </w:rPr>
                        <w:t xml:space="preserve"> </w:t>
                      </w:r>
                      <w:r w:rsidRPr="00943558">
                        <w:rPr>
                          <w:rStyle w:val="RTHighlightedtext"/>
                          <w:noProof w:val="0"/>
                        </w:rPr>
                        <w:br/>
                      </w:r>
                      <w:r w:rsidR="00EE5B8A" w:rsidRPr="00943558">
                        <w:rPr>
                          <w:rStyle w:val="RTHighlightedtext"/>
                          <w:noProof w:val="0"/>
                        </w:rPr>
                        <w:t xml:space="preserve"> dentro de cada una de ellas y que hace campaña en favor de</w:t>
                      </w:r>
                      <w:r w:rsidRPr="00943558">
                        <w:rPr>
                          <w:rStyle w:val="RTHighlightedtext"/>
                          <w:noProof w:val="0"/>
                        </w:rPr>
                        <w:t xml:space="preserve"> </w:t>
                      </w:r>
                      <w:r w:rsidRPr="00943558">
                        <w:rPr>
                          <w:rStyle w:val="RTHighlightedtext"/>
                          <w:noProof w:val="0"/>
                        </w:rPr>
                        <w:br/>
                      </w:r>
                      <w:r w:rsidR="00EE5B8A" w:rsidRPr="00943558">
                        <w:rPr>
                          <w:rStyle w:val="RTHighlightedtext"/>
                          <w:noProof w:val="0"/>
                        </w:rPr>
                        <w:t xml:space="preserve"> cambios que permitan que todo el mundo disfrute de sus</w:t>
                      </w:r>
                      <w:r w:rsidRPr="00943558">
                        <w:rPr>
                          <w:rStyle w:val="RTHighlightedtext"/>
                          <w:noProof w:val="0"/>
                        </w:rPr>
                        <w:t xml:space="preserve"> </w:t>
                      </w:r>
                      <w:r w:rsidRPr="00943558">
                        <w:rPr>
                          <w:rStyle w:val="RTHighlightedtext"/>
                          <w:noProof w:val="0"/>
                        </w:rPr>
                        <w:br/>
                      </w:r>
                      <w:r w:rsidR="00EE5B8A" w:rsidRPr="00943558">
                        <w:rPr>
                          <w:rStyle w:val="RTHighlightedtext"/>
                          <w:noProof w:val="0"/>
                        </w:rPr>
                        <w:t xml:space="preserve"> derechos humanos. Nuestra visión es la de un mundo donde</w:t>
                      </w:r>
                      <w:r w:rsidRPr="00943558">
                        <w:rPr>
                          <w:rStyle w:val="RTHighlightedtext"/>
                          <w:noProof w:val="0"/>
                        </w:rPr>
                        <w:t xml:space="preserve"> </w:t>
                      </w:r>
                      <w:r w:rsidRPr="00943558">
                        <w:rPr>
                          <w:rStyle w:val="RTHighlightedtext"/>
                          <w:noProof w:val="0"/>
                        </w:rPr>
                        <w:br/>
                      </w:r>
                      <w:r w:rsidR="00EE5B8A" w:rsidRPr="00943558">
                        <w:rPr>
                          <w:rStyle w:val="RTHighlightedtext"/>
                          <w:noProof w:val="0"/>
                        </w:rPr>
                        <w:t xml:space="preserve"> quienes están en el poder cumplen sus promesas, respetan el</w:t>
                      </w:r>
                      <w:r w:rsidRPr="00943558">
                        <w:rPr>
                          <w:rStyle w:val="RTHighlightedtext"/>
                          <w:noProof w:val="0"/>
                        </w:rPr>
                        <w:t xml:space="preserve"> </w:t>
                      </w:r>
                      <w:r w:rsidRPr="00943558">
                        <w:rPr>
                          <w:rStyle w:val="RTHighlightedtext"/>
                          <w:noProof w:val="0"/>
                        </w:rPr>
                        <w:br/>
                      </w:r>
                      <w:r w:rsidR="00EE5B8A" w:rsidRPr="00943558">
                        <w:rPr>
                          <w:rStyle w:val="RTHighlightedtext"/>
                          <w:noProof w:val="0"/>
                        </w:rPr>
                        <w:t xml:space="preserve"> derecho internacional y rinden cuentas. Somos</w:t>
                      </w:r>
                      <w:r w:rsidRPr="00943558">
                        <w:rPr>
                          <w:rStyle w:val="RTHighlightedtext"/>
                          <w:noProof w:val="0"/>
                        </w:rPr>
                        <w:t xml:space="preserve"> </w:t>
                      </w:r>
                      <w:r w:rsidRPr="00943558">
                        <w:rPr>
                          <w:rStyle w:val="RTHighlightedtext"/>
                          <w:noProof w:val="0"/>
                        </w:rPr>
                        <w:br/>
                      </w:r>
                      <w:r w:rsidR="00EE5B8A" w:rsidRPr="00943558">
                        <w:rPr>
                          <w:rStyle w:val="RTHighlightedtext"/>
                          <w:noProof w:val="0"/>
                        </w:rPr>
                        <w:t xml:space="preserve"> independientes de todo gobierno, ideología política, interés</w:t>
                      </w:r>
                      <w:r w:rsidRPr="00943558">
                        <w:rPr>
                          <w:rStyle w:val="RTHighlightedtext"/>
                          <w:noProof w:val="0"/>
                        </w:rPr>
                        <w:t xml:space="preserve"> </w:t>
                      </w:r>
                      <w:r w:rsidRPr="00943558">
                        <w:rPr>
                          <w:rStyle w:val="RTHighlightedtext"/>
                          <w:noProof w:val="0"/>
                        </w:rPr>
                        <w:br/>
                      </w:r>
                      <w:r w:rsidR="00EE5B8A" w:rsidRPr="00943558">
                        <w:rPr>
                          <w:rStyle w:val="RTHighlightedtext"/>
                          <w:noProof w:val="0"/>
                        </w:rPr>
                        <w:t xml:space="preserve"> económico y credo religioso, y nuestro trabajo se financia</w:t>
                      </w:r>
                      <w:r w:rsidRPr="00943558">
                        <w:rPr>
                          <w:rStyle w:val="RTHighlightedtext"/>
                          <w:noProof w:val="0"/>
                        </w:rPr>
                        <w:t xml:space="preserve"> </w:t>
                      </w:r>
                      <w:r w:rsidRPr="00943558">
                        <w:rPr>
                          <w:rStyle w:val="RTHighlightedtext"/>
                          <w:noProof w:val="0"/>
                        </w:rPr>
                        <w:br/>
                      </w:r>
                      <w:r w:rsidR="00EE5B8A" w:rsidRPr="00943558">
                        <w:rPr>
                          <w:rStyle w:val="RTHighlightedtext"/>
                          <w:noProof w:val="0"/>
                        </w:rPr>
                        <w:t xml:space="preserve"> principalmente con las contribuciones de nuestra membresía</w:t>
                      </w:r>
                      <w:r w:rsidRPr="00943558">
                        <w:rPr>
                          <w:rStyle w:val="RTHighlightedtext"/>
                          <w:noProof w:val="0"/>
                        </w:rPr>
                        <w:t xml:space="preserve"> </w:t>
                      </w:r>
                      <w:r w:rsidRPr="00943558">
                        <w:rPr>
                          <w:rStyle w:val="RTHighlightedtext"/>
                          <w:noProof w:val="0"/>
                        </w:rPr>
                        <w:br/>
                      </w:r>
                      <w:r w:rsidR="00EE5B8A" w:rsidRPr="00943558">
                        <w:rPr>
                          <w:rStyle w:val="RTHighlightedtext"/>
                          <w:noProof w:val="0"/>
                        </w:rPr>
                        <w:t xml:space="preserve"> y con donativos. Creemos que actuar movidos por la</w:t>
                      </w:r>
                      <w:r w:rsidRPr="00943558">
                        <w:rPr>
                          <w:rStyle w:val="RTHighlightedtext"/>
                          <w:noProof w:val="0"/>
                        </w:rPr>
                        <w:t xml:space="preserve"> </w:t>
                      </w:r>
                      <w:r w:rsidRPr="00943558">
                        <w:rPr>
                          <w:rStyle w:val="RTHighlightedtext"/>
                          <w:noProof w:val="0"/>
                        </w:rPr>
                        <w:br/>
                      </w:r>
                      <w:r w:rsidR="00EE5B8A" w:rsidRPr="00943558">
                        <w:rPr>
                          <w:rStyle w:val="RTHighlightedtext"/>
                          <w:noProof w:val="0"/>
                        </w:rPr>
                        <w:t xml:space="preserve"> solidaridad y la compasión hacia nuestros semejantes en todo</w:t>
                      </w:r>
                      <w:r w:rsidRPr="00943558">
                        <w:rPr>
                          <w:rStyle w:val="RTHighlightedtext"/>
                          <w:noProof w:val="0"/>
                        </w:rPr>
                        <w:t xml:space="preserve"> </w:t>
                      </w:r>
                      <w:r w:rsidRPr="00943558">
                        <w:rPr>
                          <w:rStyle w:val="RTHighlightedtext"/>
                          <w:noProof w:val="0"/>
                        </w:rPr>
                        <w:br/>
                      </w:r>
                      <w:r w:rsidR="00EE5B8A" w:rsidRPr="00943558">
                        <w:rPr>
                          <w:rStyle w:val="RTHighlightedtext"/>
                          <w:noProof w:val="0"/>
                        </w:rPr>
                        <w:t xml:space="preserve"> el mundo puede hacer mejorar nuestras sociedades. </w:t>
                      </w:r>
                    </w:p>
                    <w:p w14:paraId="49A03A03" w14:textId="77777777" w:rsidR="00EE5B8A" w:rsidRPr="00943558" w:rsidRDefault="00EE5B8A" w:rsidP="00EE5B8A">
                      <w:pPr>
                        <w:pStyle w:val="BBodyText"/>
                        <w:tabs>
                          <w:tab w:val="left" w:pos="1200"/>
                        </w:tabs>
                        <w:rPr>
                          <w:rFonts w:ascii="Amnesty Trade Gothic" w:hAnsi="Amnesty Trade Gothic"/>
                          <w:color w:val="000000"/>
                        </w:rPr>
                      </w:pPr>
                    </w:p>
                  </w:txbxContent>
                </v:textbox>
                <w10:wrap type="square"/>
              </v:shape>
            </w:pict>
          </mc:Fallback>
        </mc:AlternateContent>
      </w:r>
      <w:r w:rsidR="002731B3" w:rsidRPr="00943558">
        <w:rPr>
          <w:rFonts w:ascii="Amnesty Trade Gothic" w:hAnsi="Amnesty Trade Gothic"/>
          <w:noProof/>
          <w:color w:val="000000"/>
          <w:lang w:eastAsia="en-GB"/>
        </w:rPr>
        <mc:AlternateContent>
          <mc:Choice Requires="wps">
            <w:drawing>
              <wp:anchor distT="0" distB="0" distL="114300" distR="114300" simplePos="0" relativeHeight="251640320"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EE5B8A" w:rsidRPr="00943558" w:rsidRDefault="00EE5B8A"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margin-left:-12.1pt;margin-top:520.85pt;width:259.8pt;height:164.4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EE5B8A" w:rsidRPr="00943558" w:rsidRDefault="00EE5B8A"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footerReference w:type="first" r:id="rId26"/>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11D28" w14:textId="77777777" w:rsidR="0098187D" w:rsidRPr="00943558" w:rsidRDefault="0098187D" w:rsidP="003A7195">
      <w:r w:rsidRPr="00943558">
        <w:separator/>
      </w:r>
    </w:p>
  </w:endnote>
  <w:endnote w:type="continuationSeparator" w:id="0">
    <w:p w14:paraId="7F5F8C79" w14:textId="77777777" w:rsidR="0098187D" w:rsidRPr="00943558" w:rsidRDefault="0098187D" w:rsidP="003A7195">
      <w:r w:rsidRPr="00943558">
        <w:continuationSeparator/>
      </w:r>
    </w:p>
  </w:endnote>
  <w:endnote w:type="continuationNotice" w:id="1">
    <w:p w14:paraId="152B3881" w14:textId="77777777" w:rsidR="0098187D" w:rsidRPr="00943558" w:rsidRDefault="009818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charset w:val="00"/>
    <w:family w:val="auto"/>
    <w:pitch w:val="variable"/>
    <w:sig w:usb0="800000AF" w:usb1="1001ECEA" w:usb2="00000000" w:usb3="00000000" w:csb0="80000001"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Oswald">
    <w:charset w:val="00"/>
    <w:family w:val="auto"/>
    <w:pitch w:val="variable"/>
    <w:sig w:usb0="2000020F" w:usb1="00000000" w:usb2="00000000" w:usb3="00000000" w:csb0="00000197" w:csb1="00000000"/>
  </w:font>
  <w:font w:name="Amnesty trade gothic nc">
    <w:altName w:val="Calibri"/>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EA59E" w14:textId="55FD83EF" w:rsidR="004D2C1A" w:rsidRPr="00943558" w:rsidRDefault="006F614F" w:rsidP="004D2C1A">
    <w:pPr>
      <w:pStyle w:val="BFootertitle"/>
      <w:spacing w:before="160"/>
    </w:pPr>
    <w:r w:rsidRPr="00943558">
      <w:t>ESPAÑA</w:t>
    </w:r>
  </w:p>
  <w:p w14:paraId="1D7E250B" w14:textId="77777777" w:rsidR="006F614F" w:rsidRPr="006F614F" w:rsidRDefault="006F614F" w:rsidP="006F614F">
    <w:pPr>
      <w:pStyle w:val="BFooterbriefingsubtitle"/>
      <w:rPr>
        <w:bCs/>
      </w:rPr>
    </w:pPr>
    <w:r w:rsidRPr="006F614F">
      <w:rPr>
        <w:bCs/>
      </w:rPr>
      <w:t>INFORME AL COMITé de derechos humanos DE LA ONU</w:t>
    </w:r>
  </w:p>
  <w:p w14:paraId="60B4716B" w14:textId="29132907" w:rsidR="004D2C1A" w:rsidRPr="00943558" w:rsidRDefault="004D2C1A" w:rsidP="004D2C1A">
    <w:pPr>
      <w:pStyle w:val="BFooterbriefingsubtitle"/>
    </w:pPr>
  </w:p>
  <w:p w14:paraId="38AB6AFD" w14:textId="479B1A82" w:rsidR="004D2C1A" w:rsidRPr="00943558" w:rsidRDefault="004D2C1A" w:rsidP="004D2C1A">
    <w:pPr>
      <w:tabs>
        <w:tab w:val="center" w:pos="4423"/>
        <w:tab w:val="right" w:pos="9923"/>
      </w:tabs>
      <w:rPr>
        <w:rFonts w:ascii="Amnesty Trade Gothic Cn" w:hAnsi="Amnesty Trade Gothic Cn"/>
      </w:rPr>
    </w:pPr>
    <w:r w:rsidRPr="00943558">
      <w:rPr>
        <w:rFonts w:ascii="Amnesty Trade Gothic Cn" w:hAnsi="Amnesty Trade Gothic Cn"/>
      </w:rPr>
      <w:t>Amn</w:t>
    </w:r>
    <w:r w:rsidR="007169C7" w:rsidRPr="00943558">
      <w:rPr>
        <w:rFonts w:ascii="Amnesty Trade Gothic Cn" w:hAnsi="Amnesty Trade Gothic Cn"/>
      </w:rPr>
      <w:t>i</w:t>
    </w:r>
    <w:r w:rsidRPr="00943558">
      <w:rPr>
        <w:rFonts w:ascii="Amnesty Trade Gothic Cn" w:hAnsi="Amnesty Trade Gothic Cn"/>
      </w:rPr>
      <w:t>st</w:t>
    </w:r>
    <w:r w:rsidR="0096741A" w:rsidRPr="00943558">
      <w:rPr>
        <w:rFonts w:ascii="Amnesty Trade Gothic Cn" w:hAnsi="Amnesty Trade Gothic Cn"/>
      </w:rPr>
      <w:t>í</w:t>
    </w:r>
    <w:r w:rsidR="007169C7" w:rsidRPr="00943558">
      <w:rPr>
        <w:rFonts w:ascii="Amnesty Trade Gothic Cn" w:hAnsi="Amnesty Trade Gothic Cn"/>
      </w:rPr>
      <w:t>a</w:t>
    </w:r>
    <w:r w:rsidRPr="00943558">
      <w:rPr>
        <w:rFonts w:ascii="Amnesty Trade Gothic Cn" w:hAnsi="Amnesty Trade Gothic Cn"/>
      </w:rPr>
      <w:t xml:space="preserve"> Interna</w:t>
    </w:r>
    <w:r w:rsidR="007169C7" w:rsidRPr="00943558">
      <w:rPr>
        <w:rFonts w:ascii="Amnesty Trade Gothic Cn" w:hAnsi="Amnesty Trade Gothic Cn"/>
      </w:rPr>
      <w:t>c</w:t>
    </w:r>
    <w:r w:rsidRPr="00943558">
      <w:rPr>
        <w:rFonts w:ascii="Amnesty Trade Gothic Cn" w:hAnsi="Amnesty Trade Gothic Cn"/>
      </w:rPr>
      <w:t>ional</w:t>
    </w:r>
    <w:r w:rsidRPr="00943558">
      <w:rPr>
        <w:rFonts w:ascii="Amnesty Trade Gothic Cn" w:hAnsi="Amnesty Trade Gothic Cn"/>
      </w:rPr>
      <w:tab/>
    </w:r>
    <w:r w:rsidRPr="00943558">
      <w:rPr>
        <w:rFonts w:ascii="Amnesty Trade Gothic Cn" w:hAnsi="Amnesty Trade Gothic Cn"/>
      </w:rPr>
      <w:fldChar w:fldCharType="begin"/>
    </w:r>
    <w:r w:rsidRPr="00943558">
      <w:rPr>
        <w:rFonts w:ascii="Amnesty Trade Gothic Cn" w:hAnsi="Amnesty Trade Gothic Cn"/>
      </w:rPr>
      <w:instrText xml:space="preserve"> PAGE   \* MERGEFORMAT </w:instrText>
    </w:r>
    <w:r w:rsidRPr="00943558">
      <w:rPr>
        <w:rFonts w:ascii="Amnesty Trade Gothic Cn" w:hAnsi="Amnesty Trade Gothic Cn"/>
      </w:rPr>
      <w:fldChar w:fldCharType="separate"/>
    </w:r>
    <w:r w:rsidR="009A44FD" w:rsidRPr="00943558">
      <w:rPr>
        <w:rFonts w:ascii="Amnesty Trade Gothic Cn" w:hAnsi="Amnesty Trade Gothic Cn"/>
      </w:rPr>
      <w:t>8</w:t>
    </w:r>
    <w:r w:rsidRPr="00943558">
      <w:rPr>
        <w:rFonts w:ascii="Amnesty Trade Gothic Cn" w:hAnsi="Amnesty Trade Gothic C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4EFFA" w14:textId="70D70EE7" w:rsidR="00312F9A" w:rsidRPr="00943558" w:rsidRDefault="00BD5DF0">
    <w:pPr>
      <w:pStyle w:val="Footer"/>
    </w:pPr>
    <w:r w:rsidRPr="00943558">
      <w:rPr>
        <w:noProof/>
        <w:lang w:eastAsia="en-GB"/>
      </w:rPr>
      <w:drawing>
        <wp:anchor distT="0" distB="0" distL="114300" distR="114300" simplePos="0" relativeHeight="251666944" behindDoc="0" locked="0" layoutInCell="1" allowOverlap="1" wp14:anchorId="45661D43" wp14:editId="6A8B0C11">
          <wp:simplePos x="0" y="0"/>
          <wp:positionH relativeFrom="margin">
            <wp:posOffset>4669213</wp:posOffset>
          </wp:positionH>
          <wp:positionV relativeFrom="paragraph">
            <wp:posOffset>-590903</wp:posOffset>
          </wp:positionV>
          <wp:extent cx="1470660" cy="619125"/>
          <wp:effectExtent l="0" t="0" r="0" b="952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70660"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FB7F3" w14:textId="77777777" w:rsidR="00312F9A" w:rsidRPr="00943558" w:rsidRDefault="00312F9A" w:rsidP="00312F9A">
    <w:pPr>
      <w:pStyle w:val="BFootertitle"/>
      <w:spacing w:before="160"/>
    </w:pPr>
    <w:r w:rsidRPr="00943558">
      <w:t>ESPAÑA</w:t>
    </w:r>
  </w:p>
  <w:p w14:paraId="0BE0D406" w14:textId="77777777" w:rsidR="00312F9A" w:rsidRPr="006F614F" w:rsidRDefault="00312F9A" w:rsidP="00312F9A">
    <w:pPr>
      <w:pStyle w:val="BFooterbriefingsubtitle"/>
      <w:rPr>
        <w:bCs/>
      </w:rPr>
    </w:pPr>
    <w:r w:rsidRPr="006F614F">
      <w:rPr>
        <w:bCs/>
      </w:rPr>
      <w:t>INFORME AL COMITé de derechos humanos DE LA ONU</w:t>
    </w:r>
  </w:p>
  <w:p w14:paraId="4B32AFA3" w14:textId="77777777" w:rsidR="00312F9A" w:rsidRPr="00943558" w:rsidRDefault="00312F9A" w:rsidP="00312F9A">
    <w:pPr>
      <w:pStyle w:val="BFooterbriefingsubtitle"/>
    </w:pPr>
  </w:p>
  <w:p w14:paraId="00610C63" w14:textId="4510E91A" w:rsidR="00312F9A" w:rsidRPr="00943558" w:rsidRDefault="00312F9A" w:rsidP="00312F9A">
    <w:pPr>
      <w:tabs>
        <w:tab w:val="center" w:pos="4423"/>
        <w:tab w:val="right" w:pos="9923"/>
      </w:tabs>
      <w:rPr>
        <w:rFonts w:ascii="Amnesty Trade Gothic Cn" w:hAnsi="Amnesty Trade Gothic Cn"/>
      </w:rPr>
    </w:pPr>
    <w:r w:rsidRPr="00943558">
      <w:rPr>
        <w:rFonts w:ascii="Amnesty Trade Gothic Cn" w:hAnsi="Amnesty Trade Gothic Cn"/>
      </w:rPr>
      <w:t>Amnistía Internacional</w:t>
    </w:r>
    <w:r w:rsidRPr="00943558">
      <w:rPr>
        <w:rFonts w:ascii="Amnesty Trade Gothic Cn" w:hAnsi="Amnesty Trade Gothic Cn"/>
      </w:rPr>
      <w:tab/>
    </w:r>
    <w:r w:rsidRPr="00943558">
      <w:rPr>
        <w:rFonts w:ascii="Amnesty Trade Gothic Cn" w:hAnsi="Amnesty Trade Gothic Cn"/>
      </w:rPr>
      <w:fldChar w:fldCharType="begin"/>
    </w:r>
    <w:r w:rsidRPr="00943558">
      <w:rPr>
        <w:rFonts w:ascii="Amnesty Trade Gothic Cn" w:hAnsi="Amnesty Trade Gothic Cn"/>
      </w:rPr>
      <w:instrText xml:space="preserve"> PAGE   \* MERGEFORMAT </w:instrText>
    </w:r>
    <w:r w:rsidRPr="00943558">
      <w:rPr>
        <w:rFonts w:ascii="Amnesty Trade Gothic Cn" w:hAnsi="Amnesty Trade Gothic Cn"/>
      </w:rPr>
      <w:fldChar w:fldCharType="separate"/>
    </w:r>
    <w:r w:rsidRPr="00943558">
      <w:rPr>
        <w:rFonts w:ascii="Amnesty Trade Gothic Cn" w:hAnsi="Amnesty Trade Gothic Cn"/>
      </w:rPr>
      <w:t>4</w:t>
    </w:r>
    <w:r w:rsidRPr="00943558">
      <w:rPr>
        <w:rFonts w:ascii="Amnesty Trade Gothic Cn" w:hAnsi="Amnesty Trade Gothic Cn"/>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B5D7B" w14:textId="235E7CFB" w:rsidR="00312F9A" w:rsidRPr="00943558" w:rsidRDefault="00312F9A" w:rsidP="00312F9A">
    <w:pPr>
      <w:tabs>
        <w:tab w:val="center" w:pos="4423"/>
        <w:tab w:val="right" w:pos="9923"/>
      </w:tabs>
      <w:rPr>
        <w:rFonts w:ascii="Amnesty Trade Gothic Cn" w:hAnsi="Amnesty Trade Gothic 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13CB3" w14:textId="77777777" w:rsidR="0098187D" w:rsidRPr="00943558" w:rsidRDefault="0098187D" w:rsidP="003A7195">
      <w:r w:rsidRPr="00943558">
        <w:separator/>
      </w:r>
    </w:p>
  </w:footnote>
  <w:footnote w:type="continuationSeparator" w:id="0">
    <w:p w14:paraId="4C8710B8" w14:textId="77777777" w:rsidR="0098187D" w:rsidRPr="00943558" w:rsidRDefault="0098187D" w:rsidP="003A7195">
      <w:r w:rsidRPr="00943558">
        <w:continuationSeparator/>
      </w:r>
    </w:p>
  </w:footnote>
  <w:footnote w:type="continuationNotice" w:id="1">
    <w:p w14:paraId="38F5B200" w14:textId="77777777" w:rsidR="0098187D" w:rsidRPr="00943558" w:rsidRDefault="0098187D"/>
  </w:footnote>
  <w:footnote w:id="2">
    <w:p w14:paraId="4BEB50F4" w14:textId="77777777" w:rsidR="00986EC5" w:rsidRPr="00943558" w:rsidRDefault="00986EC5" w:rsidP="00173A7A">
      <w:pPr>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w:t>
      </w:r>
      <w:hyperlink r:id="rId1" w:history="1">
        <w:r w:rsidRPr="00943558">
          <w:rPr>
            <w:rStyle w:val="Hyperlink"/>
            <w:rFonts w:asciiTheme="minorHAnsi" w:hAnsiTheme="minorHAnsi"/>
            <w:sz w:val="15"/>
            <w:szCs w:val="15"/>
          </w:rPr>
          <w:t>Estadísticas de la Delegación de Gobierno contra la Violencia de Género.</w:t>
        </w:r>
      </w:hyperlink>
    </w:p>
  </w:footnote>
  <w:footnote w:id="3">
    <w:p w14:paraId="1D8D72B1"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Fecha en que se empezó a contabilizar. </w:t>
      </w:r>
    </w:p>
  </w:footnote>
  <w:footnote w:id="4">
    <w:p w14:paraId="56759FCE" w14:textId="13B63866"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chrome-extension://efaidnbmnnnibpcajpcglclefindmkaj/https://violenciagenero.igualdad.gob.es/wp-content/uploads/VMortalesmenores_2025_04_03.pdf</w:t>
      </w:r>
      <w:r w:rsidR="00312F9A" w:rsidRPr="00943558">
        <w:rPr>
          <w:rFonts w:asciiTheme="minorHAnsi" w:hAnsiTheme="minorHAnsi"/>
          <w:sz w:val="15"/>
          <w:szCs w:val="15"/>
        </w:rPr>
        <w:t xml:space="preserve"> </w:t>
      </w:r>
    </w:p>
  </w:footnote>
  <w:footnote w:id="5">
    <w:p w14:paraId="798081D1"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Resumen Ejecutivo de la Macroencuesta de Violencia contra la Mujer, 2019, p. 2</w:t>
      </w:r>
    </w:p>
  </w:footnote>
  <w:footnote w:id="6">
    <w:p w14:paraId="520122EA"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eastAsia="Oswald" w:hAnsiTheme="minorHAnsi" w:cs="Calibri"/>
          <w:sz w:val="15"/>
          <w:szCs w:val="15"/>
        </w:rPr>
        <w:t xml:space="preserve"> </w:t>
      </w:r>
      <w:hyperlink r:id="rId2">
        <w:r w:rsidRPr="00943558">
          <w:rPr>
            <w:rStyle w:val="Hyperlink"/>
            <w:rFonts w:asciiTheme="minorHAnsi" w:eastAsia="Oswald" w:hAnsiTheme="minorHAnsi" w:cs="Calibri"/>
            <w:i/>
            <w:iCs/>
            <w:sz w:val="15"/>
            <w:szCs w:val="15"/>
            <w:lang w:eastAsia="es-ES"/>
          </w:rPr>
          <w:t xml:space="preserve">Macroencuesta de Violencia contra la Mujer. </w:t>
        </w:r>
        <w:r w:rsidRPr="00943558">
          <w:rPr>
            <w:rStyle w:val="Hyperlink"/>
            <w:rFonts w:asciiTheme="minorHAnsi" w:eastAsia="Oswald" w:hAnsiTheme="minorHAnsi" w:cs="Calibri"/>
            <w:sz w:val="15"/>
            <w:szCs w:val="15"/>
            <w:lang w:eastAsia="es-ES"/>
          </w:rPr>
          <w:t>2019</w:t>
        </w:r>
      </w:hyperlink>
      <w:r w:rsidRPr="00943558">
        <w:rPr>
          <w:rFonts w:asciiTheme="minorHAnsi" w:eastAsia="Oswald" w:hAnsiTheme="minorHAnsi" w:cs="Calibri"/>
          <w:sz w:val="15"/>
          <w:szCs w:val="15"/>
        </w:rPr>
        <w:t xml:space="preserve">. </w:t>
      </w:r>
    </w:p>
  </w:footnote>
  <w:footnote w:id="7">
    <w:p w14:paraId="10A54BBE" w14:textId="3DF0E7FB"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w:t>
      </w:r>
      <w:hyperlink r:id="rId3">
        <w:r w:rsidRPr="00943558">
          <w:rPr>
            <w:rStyle w:val="Hyperlink"/>
            <w:rFonts w:asciiTheme="minorHAnsi" w:hAnsiTheme="minorHAnsi"/>
            <w:sz w:val="15"/>
            <w:szCs w:val="15"/>
          </w:rPr>
          <w:t>Balance Trimestral de Criminalidad cuarto trimestre 2024</w:t>
        </w:r>
      </w:hyperlink>
      <w:r w:rsidRPr="00943558">
        <w:rPr>
          <w:rFonts w:asciiTheme="minorHAnsi" w:hAnsiTheme="minorHAnsi"/>
          <w:sz w:val="15"/>
          <w:szCs w:val="15"/>
        </w:rPr>
        <w:t>, este informe recoge los datos agregados durante los 12 meses de 2024.</w:t>
      </w:r>
      <w:r w:rsidR="00E83100" w:rsidRPr="00943558">
        <w:rPr>
          <w:rFonts w:asciiTheme="minorHAnsi" w:hAnsiTheme="minorHAnsi"/>
          <w:sz w:val="15"/>
          <w:szCs w:val="15"/>
        </w:rPr>
        <w:t xml:space="preserve"> </w:t>
      </w:r>
      <w:proofErr w:type="spellStart"/>
      <w:r w:rsidRPr="00943558">
        <w:rPr>
          <w:rFonts w:asciiTheme="minorHAnsi" w:hAnsiTheme="minorHAnsi"/>
          <w:sz w:val="15"/>
          <w:szCs w:val="15"/>
        </w:rPr>
        <w:t>Pag.</w:t>
      </w:r>
      <w:proofErr w:type="spellEnd"/>
      <w:r w:rsidRPr="00943558">
        <w:rPr>
          <w:rFonts w:asciiTheme="minorHAnsi" w:hAnsiTheme="minorHAnsi"/>
          <w:sz w:val="15"/>
          <w:szCs w:val="15"/>
        </w:rPr>
        <w:t xml:space="preserve"> 2</w:t>
      </w:r>
    </w:p>
  </w:footnote>
  <w:footnote w:id="8">
    <w:p w14:paraId="30577E9B"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Ídem. </w:t>
      </w:r>
    </w:p>
  </w:footnote>
  <w:footnote w:id="9">
    <w:p w14:paraId="27A0DE32"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Delegación del Gobierno contra la Violencia de Género. </w:t>
      </w:r>
      <w:hyperlink r:id="rId4">
        <w:r w:rsidRPr="00943558">
          <w:rPr>
            <w:rStyle w:val="Hyperlink"/>
            <w:rFonts w:asciiTheme="minorHAnsi" w:hAnsiTheme="minorHAnsi"/>
            <w:sz w:val="15"/>
            <w:szCs w:val="15"/>
          </w:rPr>
          <w:t>Portal Estadístico. Fichas de feminicidios en la pareja o expareja</w:t>
        </w:r>
      </w:hyperlink>
      <w:r w:rsidRPr="00943558">
        <w:rPr>
          <w:rFonts w:asciiTheme="minorHAnsi" w:hAnsiTheme="minorHAnsi"/>
          <w:sz w:val="15"/>
          <w:szCs w:val="15"/>
        </w:rPr>
        <w:t>.</w:t>
      </w:r>
    </w:p>
  </w:footnote>
  <w:footnote w:id="10">
    <w:p w14:paraId="6178EE7E"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INE. Estadísticas continuas de población: </w:t>
      </w:r>
      <w:hyperlink r:id="rId5">
        <w:r w:rsidRPr="00943558">
          <w:rPr>
            <w:rStyle w:val="Hyperlink"/>
            <w:rFonts w:asciiTheme="minorHAnsi" w:hAnsiTheme="minorHAnsi"/>
            <w:sz w:val="15"/>
            <w:szCs w:val="15"/>
          </w:rPr>
          <w:t>Tabla de población por edades y nacionalidades</w:t>
        </w:r>
      </w:hyperlink>
      <w:r w:rsidRPr="00943558">
        <w:rPr>
          <w:rFonts w:asciiTheme="minorHAnsi" w:hAnsiTheme="minorHAnsi"/>
          <w:sz w:val="15"/>
          <w:szCs w:val="15"/>
        </w:rPr>
        <w:t xml:space="preserve">. Delegación del Gobierno contra la Violencia de Género. </w:t>
      </w:r>
      <w:hyperlink r:id="rId6">
        <w:r w:rsidRPr="00943558">
          <w:rPr>
            <w:rStyle w:val="Hyperlink"/>
            <w:rFonts w:asciiTheme="minorHAnsi" w:hAnsiTheme="minorHAnsi"/>
            <w:sz w:val="15"/>
            <w:szCs w:val="15"/>
          </w:rPr>
          <w:t xml:space="preserve">Fichas de feminicidios de pareja y </w:t>
        </w:r>
        <w:proofErr w:type="gramStart"/>
        <w:r w:rsidRPr="00943558">
          <w:rPr>
            <w:rStyle w:val="Hyperlink"/>
            <w:rFonts w:asciiTheme="minorHAnsi" w:hAnsiTheme="minorHAnsi"/>
            <w:sz w:val="15"/>
            <w:szCs w:val="15"/>
          </w:rPr>
          <w:t>ex pareja</w:t>
        </w:r>
        <w:proofErr w:type="gramEnd"/>
      </w:hyperlink>
      <w:r w:rsidRPr="00943558">
        <w:rPr>
          <w:rFonts w:asciiTheme="minorHAnsi" w:hAnsiTheme="minorHAnsi"/>
          <w:sz w:val="15"/>
          <w:szCs w:val="15"/>
        </w:rPr>
        <w:t>.</w:t>
      </w:r>
    </w:p>
  </w:footnote>
  <w:footnote w:id="11">
    <w:p w14:paraId="6F0C1A12" w14:textId="212C1D2E" w:rsidR="00943558" w:rsidRPr="00943558" w:rsidRDefault="00943558">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Estrategia Estatal para combatir las violencias machistas 2022-2025.</w:t>
      </w:r>
    </w:p>
  </w:footnote>
  <w:footnote w:id="12">
    <w:p w14:paraId="0E2A194C" w14:textId="12C6FAEC"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w:t>
      </w:r>
      <w:hyperlink r:id="rId7" w:history="1">
        <w:r w:rsidRPr="00943558">
          <w:rPr>
            <w:rStyle w:val="Hyperlink"/>
            <w:rFonts w:asciiTheme="minorHAnsi" w:hAnsiTheme="minorHAnsi"/>
            <w:sz w:val="15"/>
            <w:szCs w:val="15"/>
          </w:rPr>
          <w:t>AIETI: España no protege lo suficiente a las víctimas de violencia machista si son mujeres migrantes</w:t>
        </w:r>
      </w:hyperlink>
      <w:r w:rsidRPr="00943558">
        <w:rPr>
          <w:rFonts w:asciiTheme="minorHAnsi" w:hAnsiTheme="minorHAnsi"/>
          <w:sz w:val="15"/>
          <w:szCs w:val="15"/>
        </w:rPr>
        <w:t>, mayo 2023</w:t>
      </w:r>
      <w:r w:rsidR="00E83100" w:rsidRPr="00943558">
        <w:rPr>
          <w:rFonts w:asciiTheme="minorHAnsi" w:hAnsiTheme="minorHAnsi"/>
          <w:sz w:val="15"/>
          <w:szCs w:val="15"/>
        </w:rPr>
        <w:t>.</w:t>
      </w:r>
    </w:p>
  </w:footnote>
  <w:footnote w:id="13">
    <w:p w14:paraId="00191FCD"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Consejo General del Poder Judicial, Observatorio contra la violencia doméstica y de Género. Informe Anual sobre la Violencia de Género. 2024</w:t>
      </w:r>
    </w:p>
  </w:footnote>
  <w:footnote w:id="14">
    <w:p w14:paraId="5EE5AEDF" w14:textId="77777777" w:rsidR="00986EC5" w:rsidRPr="006C7F50" w:rsidRDefault="00986EC5" w:rsidP="00173A7A">
      <w:pPr>
        <w:pStyle w:val="FootnoteText"/>
        <w:rPr>
          <w:rFonts w:asciiTheme="minorHAnsi" w:hAnsiTheme="minorHAnsi"/>
          <w:sz w:val="15"/>
          <w:szCs w:val="15"/>
          <w:lang w:val="it-IT"/>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AIETI, Red de Mujeres Latinoamericanas y del Caribe en España: </w:t>
      </w:r>
      <w:hyperlink r:id="rId8">
        <w:r w:rsidRPr="00943558">
          <w:rPr>
            <w:rStyle w:val="Hyperlink"/>
            <w:rFonts w:asciiTheme="minorHAnsi" w:hAnsiTheme="minorHAnsi"/>
            <w:sz w:val="15"/>
            <w:szCs w:val="15"/>
          </w:rPr>
          <w:t xml:space="preserve">Mujeres migrantes víctimas de violencia de género en España, </w:t>
        </w:r>
        <w:proofErr w:type="spellStart"/>
        <w:r w:rsidRPr="00943558">
          <w:rPr>
            <w:rStyle w:val="Hyperlink"/>
            <w:rFonts w:asciiTheme="minorHAnsi" w:hAnsiTheme="minorHAnsi"/>
            <w:sz w:val="15"/>
            <w:szCs w:val="15"/>
          </w:rPr>
          <w:t>Op</w:t>
        </w:r>
        <w:proofErr w:type="spellEnd"/>
        <w:r w:rsidRPr="00943558">
          <w:rPr>
            <w:rStyle w:val="Hyperlink"/>
            <w:rFonts w:asciiTheme="minorHAnsi" w:hAnsiTheme="minorHAnsi"/>
            <w:sz w:val="15"/>
            <w:szCs w:val="15"/>
          </w:rPr>
          <w:t xml:space="preserve">. </w:t>
        </w:r>
        <w:r w:rsidRPr="006C7F50">
          <w:rPr>
            <w:rStyle w:val="Hyperlink"/>
            <w:rFonts w:asciiTheme="minorHAnsi" w:hAnsiTheme="minorHAnsi"/>
            <w:sz w:val="15"/>
            <w:szCs w:val="15"/>
            <w:lang w:val="it-IT"/>
          </w:rPr>
          <w:t>Cit., p.8.</w:t>
        </w:r>
      </w:hyperlink>
    </w:p>
  </w:footnote>
  <w:footnote w:id="15">
    <w:p w14:paraId="2C729215" w14:textId="77777777" w:rsidR="00986EC5" w:rsidRPr="006C7F50" w:rsidRDefault="00986EC5" w:rsidP="00173A7A">
      <w:pPr>
        <w:pStyle w:val="FootnoteText"/>
        <w:rPr>
          <w:rFonts w:asciiTheme="minorHAnsi" w:hAnsiTheme="minorHAnsi"/>
          <w:sz w:val="15"/>
          <w:szCs w:val="15"/>
          <w:lang w:val="it-IT"/>
        </w:rPr>
      </w:pPr>
      <w:r w:rsidRPr="00943558">
        <w:rPr>
          <w:rFonts w:asciiTheme="minorHAnsi" w:hAnsiTheme="minorHAnsi"/>
          <w:sz w:val="15"/>
          <w:szCs w:val="15"/>
          <w:vertAlign w:val="superscript"/>
        </w:rPr>
        <w:footnoteRef/>
      </w:r>
      <w:r w:rsidRPr="006C7F50">
        <w:rPr>
          <w:rFonts w:asciiTheme="minorHAnsi" w:hAnsiTheme="minorHAnsi"/>
          <w:sz w:val="15"/>
          <w:szCs w:val="15"/>
          <w:lang w:val="it-IT"/>
        </w:rPr>
        <w:t xml:space="preserve"> </w:t>
      </w:r>
      <w:r>
        <w:fldChar w:fldCharType="begin"/>
      </w:r>
      <w:r w:rsidRPr="006C7F50">
        <w:rPr>
          <w:lang w:val="it-IT"/>
        </w:rPr>
        <w:instrText>HYPERLINK "https://www.mjusticia.gob.es/es/institucional/organismos/medicina-legal-ciencias/unidades-de-valoracion-forense-integral?utm_source=chatgpt.com" \l "id_plan"</w:instrText>
      </w:r>
      <w:r>
        <w:fldChar w:fldCharType="separate"/>
      </w:r>
      <w:r w:rsidRPr="006C7F50">
        <w:rPr>
          <w:rStyle w:val="Hyperlink"/>
          <w:rFonts w:asciiTheme="minorHAnsi" w:hAnsiTheme="minorHAnsi"/>
          <w:sz w:val="15"/>
          <w:szCs w:val="15"/>
          <w:lang w:val="it-IT"/>
        </w:rPr>
        <w:t>https://www.mjusticia.gob.es/es/institucional/organismos/medicina-legal-ciencias/unidades-de-valoracion-forense-integral?utm_source=chatgpt.com#id_plan</w:t>
      </w:r>
      <w:r>
        <w:fldChar w:fldCharType="end"/>
      </w:r>
      <w:r w:rsidRPr="006C7F50">
        <w:rPr>
          <w:rFonts w:asciiTheme="minorHAnsi" w:hAnsiTheme="minorHAnsi"/>
          <w:sz w:val="15"/>
          <w:szCs w:val="15"/>
          <w:lang w:val="it-IT"/>
        </w:rPr>
        <w:t xml:space="preserve"> </w:t>
      </w:r>
    </w:p>
  </w:footnote>
  <w:footnote w:id="16">
    <w:p w14:paraId="425AF46A"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Fiscalía General del Estado: Memoria 2024. Capítulo III. 1. Violencia sobre la Mujer. </w:t>
      </w:r>
    </w:p>
  </w:footnote>
  <w:footnote w:id="17">
    <w:p w14:paraId="365F569B"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Varios profesionales han expresado </w:t>
      </w:r>
      <w:hyperlink r:id="rId9">
        <w:r w:rsidRPr="00943558">
          <w:rPr>
            <w:rStyle w:val="Hyperlink"/>
            <w:rFonts w:asciiTheme="minorHAnsi" w:hAnsiTheme="minorHAnsi"/>
            <w:sz w:val="15"/>
            <w:szCs w:val="15"/>
          </w:rPr>
          <w:t>preocupación</w:t>
        </w:r>
      </w:hyperlink>
      <w:r w:rsidRPr="00943558">
        <w:rPr>
          <w:rFonts w:asciiTheme="minorHAnsi" w:hAnsiTheme="minorHAnsi"/>
          <w:sz w:val="15"/>
          <w:szCs w:val="15"/>
        </w:rPr>
        <w:t xml:space="preserve"> por esta nueva competencia debido en parte a la carga de trabajo, falta de medios humanos y materiales y falta de especialización. </w:t>
      </w:r>
    </w:p>
  </w:footnote>
  <w:footnote w:id="18">
    <w:p w14:paraId="028A58D2"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En cumplimiento a lo dispuesto en la disposición final vigésima de la Ley Orgánica 10/2022, de 6 de septiembre, de garantía integral de la libertad sexual, en relación con la especialización en violencias sexuales. </w:t>
      </w:r>
    </w:p>
  </w:footnote>
  <w:footnote w:id="19">
    <w:p w14:paraId="107E21F8"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Véanse, como ejemplo, los informes de Amnistía Internacional: Más derechos, los mismos obstáculos (2006), Más riesgos, menos protección (2007), Obstinada realidad, derechos pendientes (2008), Una vida sin violencia para mujeres y niñas (2009), e informe monográfico "¿Qué justicia especializada? A siete años de la Ley Integral contra la violencia de género: obstáculos al acceso y obtención de justicia y protección (2012) </w:t>
      </w:r>
    </w:p>
  </w:footnote>
  <w:footnote w:id="20">
    <w:p w14:paraId="51E9EAFB"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Comité para la Eliminación de Todas las Formas de Discriminación contra la Mujer: Observaciones finales sobre el noveno informe periódico de España. Párr. 14 a). CEDAW/C/ESP/CO/9, 31 de mayo de 2023</w:t>
      </w:r>
    </w:p>
  </w:footnote>
  <w:footnote w:id="21">
    <w:p w14:paraId="15E87F65"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Informes del GREVIO sobre España (2020 y 2024). Docs. </w:t>
      </w:r>
      <w:proofErr w:type="spellStart"/>
      <w:r w:rsidRPr="00943558">
        <w:rPr>
          <w:rFonts w:asciiTheme="minorHAnsi" w:hAnsiTheme="minorHAnsi"/>
          <w:sz w:val="15"/>
          <w:szCs w:val="15"/>
        </w:rPr>
        <w:t>CdE</w:t>
      </w:r>
      <w:proofErr w:type="spellEnd"/>
      <w:r w:rsidRPr="00943558">
        <w:rPr>
          <w:rFonts w:asciiTheme="minorHAnsi" w:hAnsiTheme="minorHAnsi"/>
          <w:sz w:val="15"/>
          <w:szCs w:val="15"/>
        </w:rPr>
        <w:t xml:space="preserve">: </w:t>
      </w:r>
      <w:hyperlink r:id="rId10">
        <w:r w:rsidRPr="00943558">
          <w:rPr>
            <w:rStyle w:val="Hyperlink"/>
            <w:rFonts w:asciiTheme="minorHAnsi" w:hAnsiTheme="minorHAnsi"/>
            <w:sz w:val="15"/>
            <w:szCs w:val="15"/>
          </w:rPr>
          <w:t>GREVIO/</w:t>
        </w:r>
        <w:proofErr w:type="spellStart"/>
        <w:r w:rsidRPr="00943558">
          <w:rPr>
            <w:rStyle w:val="Hyperlink"/>
            <w:rFonts w:asciiTheme="minorHAnsi" w:hAnsiTheme="minorHAnsi"/>
            <w:sz w:val="15"/>
            <w:szCs w:val="15"/>
          </w:rPr>
          <w:t>Inf</w:t>
        </w:r>
        <w:proofErr w:type="spellEnd"/>
        <w:r w:rsidRPr="00943558">
          <w:rPr>
            <w:rStyle w:val="Hyperlink"/>
            <w:rFonts w:asciiTheme="minorHAnsi" w:hAnsiTheme="minorHAnsi"/>
            <w:sz w:val="15"/>
            <w:szCs w:val="15"/>
          </w:rPr>
          <w:t xml:space="preserve"> (2020)19</w:t>
        </w:r>
      </w:hyperlink>
      <w:r w:rsidRPr="00943558">
        <w:rPr>
          <w:rFonts w:asciiTheme="minorHAnsi" w:hAnsiTheme="minorHAnsi"/>
          <w:sz w:val="15"/>
          <w:szCs w:val="15"/>
        </w:rPr>
        <w:t xml:space="preserve">, párr. 189, y  </w:t>
      </w:r>
      <w:hyperlink r:id="rId11">
        <w:r w:rsidRPr="00943558">
          <w:rPr>
            <w:rStyle w:val="Hyperlink"/>
            <w:rFonts w:asciiTheme="minorHAnsi" w:hAnsiTheme="minorHAnsi"/>
            <w:sz w:val="15"/>
            <w:szCs w:val="15"/>
          </w:rPr>
          <w:t>GREVIO (2024)11</w:t>
        </w:r>
      </w:hyperlink>
      <w:r w:rsidRPr="00943558">
        <w:rPr>
          <w:rFonts w:asciiTheme="minorHAnsi" w:hAnsiTheme="minorHAnsi"/>
          <w:sz w:val="15"/>
          <w:szCs w:val="15"/>
        </w:rPr>
        <w:t>, párr.65</w:t>
      </w:r>
    </w:p>
  </w:footnote>
  <w:footnote w:id="22">
    <w:p w14:paraId="136C01DD"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Comunicación 47/2012., </w:t>
      </w:r>
      <w:proofErr w:type="spellStart"/>
      <w:r w:rsidRPr="00943558">
        <w:rPr>
          <w:rFonts w:asciiTheme="minorHAnsi" w:hAnsiTheme="minorHAnsi"/>
          <w:sz w:val="15"/>
          <w:szCs w:val="15"/>
        </w:rPr>
        <w:t>Op</w:t>
      </w:r>
      <w:proofErr w:type="spellEnd"/>
      <w:r w:rsidRPr="00943558">
        <w:rPr>
          <w:rFonts w:asciiTheme="minorHAnsi" w:hAnsiTheme="minorHAnsi"/>
          <w:sz w:val="15"/>
          <w:szCs w:val="15"/>
        </w:rPr>
        <w:t>. Cit., párr. 9.7.</w:t>
      </w:r>
    </w:p>
  </w:footnote>
  <w:footnote w:id="23">
    <w:p w14:paraId="3190294B"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Mandatos de la Relatora Especial sobre la violencia contra la mujer, sus causas y consecuencias y Grupo de Trabajo sobre la cuestión de la discriminación contra la mujer en la legislación y en la práctica (AL ESP 2019).</w:t>
      </w:r>
    </w:p>
  </w:footnote>
  <w:footnote w:id="24">
    <w:p w14:paraId="028CE9F5"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w:t>
      </w:r>
      <w:hyperlink r:id="rId12">
        <w:r w:rsidRPr="00943558">
          <w:rPr>
            <w:rStyle w:val="Hyperlink"/>
            <w:rFonts w:asciiTheme="minorHAnsi" w:hAnsiTheme="minorHAnsi"/>
            <w:sz w:val="15"/>
            <w:szCs w:val="15"/>
          </w:rPr>
          <w:t xml:space="preserve">STS 147/2020 de la Sala </w:t>
        </w:r>
      </w:hyperlink>
      <w:r w:rsidRPr="00943558">
        <w:rPr>
          <w:rFonts w:asciiTheme="minorHAnsi" w:hAnsiTheme="minorHAnsi"/>
          <w:sz w:val="15"/>
          <w:szCs w:val="15"/>
        </w:rPr>
        <w:t xml:space="preserve">Segunda de 14 de mayo sobre la sentencia del tribunal inferior. Antecedente de hecho primero. </w:t>
      </w:r>
    </w:p>
  </w:footnote>
  <w:footnote w:id="25">
    <w:p w14:paraId="72F808F5"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La publicación de estas imágenes provocó que la Unidad de Atención Ciudadana del CGPJ recibiese más de 900 quejas que motivó la </w:t>
      </w:r>
      <w:hyperlink r:id="rId13">
        <w:r w:rsidRPr="00943558">
          <w:rPr>
            <w:rStyle w:val="Hyperlink"/>
            <w:rFonts w:asciiTheme="minorHAnsi" w:hAnsiTheme="minorHAnsi"/>
            <w:sz w:val="15"/>
            <w:szCs w:val="15"/>
          </w:rPr>
          <w:t>apertura de expediente informativo sobre la actuación del juez</w:t>
        </w:r>
      </w:hyperlink>
    </w:p>
  </w:footnote>
  <w:footnote w:id="26">
    <w:p w14:paraId="307C9E9C"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Amnistía Internacional: España: Violaciones al derecho a la vida, uso ilegítimo de la fuerza y la expulsión sumaria y colectiva en el puesto fronterizo de Barrio Chino, en Melilla, el 24 de junio de 2022. Informe para el Comité contra la Tortura de la ONU.  </w:t>
      </w:r>
      <w:hyperlink r:id="rId14" w:history="1">
        <w:proofErr w:type="spellStart"/>
        <w:r w:rsidRPr="00943558">
          <w:rPr>
            <w:rStyle w:val="Hyperlink"/>
            <w:rFonts w:asciiTheme="minorHAnsi" w:hAnsiTheme="minorHAnsi"/>
            <w:sz w:val="15"/>
            <w:szCs w:val="15"/>
          </w:rPr>
          <w:t>Index</w:t>
        </w:r>
        <w:proofErr w:type="spellEnd"/>
        <w:r w:rsidRPr="00943558">
          <w:rPr>
            <w:rStyle w:val="Hyperlink"/>
            <w:rFonts w:asciiTheme="minorHAnsi" w:hAnsiTheme="minorHAnsi"/>
            <w:sz w:val="15"/>
            <w:szCs w:val="15"/>
          </w:rPr>
          <w:t xml:space="preserve"> </w:t>
        </w:r>
        <w:proofErr w:type="spellStart"/>
        <w:r w:rsidRPr="00943558">
          <w:rPr>
            <w:rStyle w:val="Hyperlink"/>
            <w:rFonts w:asciiTheme="minorHAnsi" w:hAnsiTheme="minorHAnsi"/>
            <w:sz w:val="15"/>
            <w:szCs w:val="15"/>
          </w:rPr>
          <w:t>nº</w:t>
        </w:r>
        <w:proofErr w:type="spellEnd"/>
        <w:r w:rsidRPr="00943558">
          <w:rPr>
            <w:rStyle w:val="Hyperlink"/>
            <w:rFonts w:asciiTheme="minorHAnsi" w:hAnsiTheme="minorHAnsi"/>
            <w:sz w:val="15"/>
            <w:szCs w:val="15"/>
          </w:rPr>
          <w:t xml:space="preserve"> EUR 41/6878/2023</w:t>
        </w:r>
      </w:hyperlink>
      <w:r w:rsidRPr="00943558">
        <w:rPr>
          <w:rFonts w:asciiTheme="minorHAnsi" w:hAnsiTheme="minorHAnsi"/>
          <w:sz w:val="15"/>
          <w:szCs w:val="15"/>
        </w:rPr>
        <w:t>, 16 junio 2023</w:t>
      </w:r>
    </w:p>
  </w:footnote>
  <w:footnote w:id="27">
    <w:p w14:paraId="37DD9DF7"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https://www.es.amnesty.org/actua/acciones/espana-marruecos-muertes-melilla-dic22/</w:t>
      </w:r>
    </w:p>
  </w:footnote>
  <w:footnote w:id="28">
    <w:p w14:paraId="4C01D7A9" w14:textId="77777777" w:rsidR="00986EC5" w:rsidRPr="006C7F50" w:rsidRDefault="00986EC5" w:rsidP="00173A7A">
      <w:pPr>
        <w:pStyle w:val="FootnoteText"/>
        <w:rPr>
          <w:rFonts w:asciiTheme="minorHAnsi" w:hAnsiTheme="minorHAnsi"/>
          <w:sz w:val="15"/>
          <w:szCs w:val="15"/>
          <w:lang w:val="en-GB"/>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España: Violaciones al derecho a la vida, uso ilegítimo de la fuerza y expulsión violenta, sumaría y colectiva en el puesto fronterizo de Barrio Chino, en Melilla, el 24 de junio de 2022. Informe para el Comité contra la Tortura de la ONU. </w:t>
      </w:r>
      <w:r w:rsidRPr="006C7F50">
        <w:rPr>
          <w:rFonts w:asciiTheme="minorHAnsi" w:hAnsiTheme="minorHAnsi"/>
          <w:sz w:val="15"/>
          <w:szCs w:val="15"/>
          <w:lang w:val="en-GB"/>
        </w:rPr>
        <w:t xml:space="preserve">Índice AI: EUR 41/6878/2023. </w:t>
      </w:r>
    </w:p>
  </w:footnote>
  <w:footnote w:id="29">
    <w:p w14:paraId="7DBB3A71"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6C7F50">
        <w:rPr>
          <w:rFonts w:asciiTheme="minorHAnsi" w:hAnsiTheme="minorHAnsi"/>
          <w:sz w:val="15"/>
          <w:szCs w:val="15"/>
          <w:lang w:val="en-GB"/>
        </w:rPr>
        <w:t xml:space="preserve"> Commissioner for Human Rights of the Council of Europe: Report following her visit to Spain from 21 to 25 November 2022, para 132 y 133.  </w:t>
      </w:r>
      <w:r w:rsidRPr="00943558">
        <w:rPr>
          <w:rFonts w:asciiTheme="minorHAnsi" w:hAnsiTheme="minorHAnsi"/>
          <w:sz w:val="15"/>
          <w:szCs w:val="15"/>
        </w:rPr>
        <w:t>Amnistía Internacional: Canarias: Un año de análisis, décadas de fracaso de políticas migratorias, 2021.</w:t>
      </w:r>
    </w:p>
  </w:footnote>
  <w:footnote w:id="30">
    <w:p w14:paraId="12BE0F45" w14:textId="7136E0BF"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Amnistía Internacional: </w:t>
      </w:r>
      <w:hyperlink r:id="rId15">
        <w:proofErr w:type="gramStart"/>
        <w:r w:rsidRPr="00943558">
          <w:rPr>
            <w:rStyle w:val="Hyperlink"/>
            <w:rFonts w:asciiTheme="minorHAnsi" w:hAnsiTheme="minorHAnsi" w:cs="Amnesty trade gothic nc"/>
            <w:color w:val="auto"/>
            <w:sz w:val="15"/>
            <w:szCs w:val="15"/>
          </w:rPr>
          <w:t>A día de hoy</w:t>
        </w:r>
        <w:proofErr w:type="gramEnd"/>
        <w:r w:rsidRPr="00943558">
          <w:rPr>
            <w:rStyle w:val="Hyperlink"/>
            <w:rFonts w:asciiTheme="minorHAnsi" w:hAnsiTheme="minorHAnsi" w:cs="Amnesty trade gothic nc"/>
            <w:color w:val="auto"/>
            <w:sz w:val="15"/>
            <w:szCs w:val="15"/>
          </w:rPr>
          <w:t xml:space="preserve"> no tengo nada. El fracaso del sistema para proteger a los y las menores migrantes en Canarias</w:t>
        </w:r>
      </w:hyperlink>
      <w:r w:rsidRPr="00943558">
        <w:rPr>
          <w:rFonts w:asciiTheme="minorHAnsi" w:hAnsiTheme="minorHAnsi"/>
          <w:sz w:val="15"/>
          <w:szCs w:val="15"/>
        </w:rPr>
        <w:t>,</w:t>
      </w:r>
      <w:r w:rsidR="00E83100" w:rsidRPr="00943558">
        <w:rPr>
          <w:rFonts w:asciiTheme="minorHAnsi" w:hAnsiTheme="minorHAnsi"/>
          <w:sz w:val="15"/>
          <w:szCs w:val="15"/>
        </w:rPr>
        <w:t xml:space="preserve"> </w:t>
      </w:r>
      <w:r w:rsidRPr="00943558">
        <w:rPr>
          <w:rFonts w:asciiTheme="minorHAnsi" w:hAnsiTheme="minorHAnsi"/>
          <w:sz w:val="15"/>
          <w:szCs w:val="15"/>
        </w:rPr>
        <w:t xml:space="preserve">marzo 2025. AI </w:t>
      </w:r>
      <w:r w:rsidR="00173A7A" w:rsidRPr="00943558">
        <w:rPr>
          <w:rFonts w:asciiTheme="minorHAnsi" w:hAnsiTheme="minorHAnsi"/>
          <w:sz w:val="15"/>
          <w:szCs w:val="15"/>
        </w:rPr>
        <w:t>índice</w:t>
      </w:r>
      <w:r w:rsidRPr="00943558">
        <w:rPr>
          <w:rFonts w:asciiTheme="minorHAnsi" w:hAnsiTheme="minorHAnsi"/>
          <w:sz w:val="15"/>
          <w:szCs w:val="15"/>
        </w:rPr>
        <w:t>: EUR41100025-36390</w:t>
      </w:r>
    </w:p>
  </w:footnote>
  <w:footnote w:id="31">
    <w:p w14:paraId="205C7441" w14:textId="6E57E764"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Una gran mayoría procede de Senegal y Mali, y en menor medida de Marruecos, Gambia, Guinea, Costa de Marfil o Mauritania.</w:t>
      </w:r>
    </w:p>
  </w:footnote>
  <w:footnote w:id="32">
    <w:p w14:paraId="15E49F35"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En reuniones mantenidas con la Dirección General de Infancia, el director de Infancia del Cabildo de Tenerife y los directores de los centros de emergencia que visitó Amnistía Internacional en las Islas Canarias en noviembre de 2024</w:t>
      </w:r>
    </w:p>
  </w:footnote>
  <w:footnote w:id="33">
    <w:p w14:paraId="7EBC7391"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En entrevistas realizadas en las Islas de Gran Canaria y Tenerife en noviembre de 2024. Ver también Informe del Defensor del Pueblo: Niñas y niños extranjeros en España solos o acompañados. Mayo 2025, </w:t>
      </w:r>
      <w:proofErr w:type="spellStart"/>
      <w:r w:rsidRPr="00943558">
        <w:rPr>
          <w:rFonts w:asciiTheme="minorHAnsi" w:hAnsiTheme="minorHAnsi"/>
          <w:sz w:val="15"/>
          <w:szCs w:val="15"/>
        </w:rPr>
        <w:t>pag.</w:t>
      </w:r>
      <w:proofErr w:type="spellEnd"/>
      <w:r w:rsidRPr="00943558">
        <w:rPr>
          <w:rFonts w:asciiTheme="minorHAnsi" w:hAnsiTheme="minorHAnsi"/>
          <w:sz w:val="15"/>
          <w:szCs w:val="15"/>
        </w:rPr>
        <w:t xml:space="preserve"> 72</w:t>
      </w:r>
    </w:p>
  </w:footnote>
  <w:footnote w:id="34">
    <w:p w14:paraId="1EAA6E2D"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En 2021, Amnistía Internacional denunció la presencia de niños y niñas no acompañados en centros para adultos en el informe </w:t>
      </w:r>
      <w:hyperlink r:id="rId16" w:history="1">
        <w:r w:rsidRPr="00943558">
          <w:rPr>
            <w:rStyle w:val="Hyperlink"/>
            <w:rFonts w:asciiTheme="minorHAnsi" w:hAnsiTheme="minorHAnsi"/>
            <w:sz w:val="15"/>
            <w:szCs w:val="15"/>
          </w:rPr>
          <w:t>Canarias: un año de análisis, décadas de fracaso de políticas migratorias</w:t>
        </w:r>
      </w:hyperlink>
      <w:r w:rsidRPr="00943558">
        <w:rPr>
          <w:rFonts w:asciiTheme="minorHAnsi" w:hAnsiTheme="minorHAnsi"/>
          <w:sz w:val="15"/>
          <w:szCs w:val="15"/>
        </w:rPr>
        <w:t xml:space="preserve">, en 2023, Amnistía Internacional </w:t>
      </w:r>
      <w:hyperlink r:id="rId17" w:history="1">
        <w:r w:rsidRPr="00943558">
          <w:rPr>
            <w:rStyle w:val="Hyperlink"/>
            <w:rFonts w:asciiTheme="minorHAnsi" w:hAnsiTheme="minorHAnsi"/>
            <w:sz w:val="15"/>
            <w:szCs w:val="15"/>
          </w:rPr>
          <w:t>volvió a denunciar la presencia de menores en centros de adultos, vulnerando la legislación española</w:t>
        </w:r>
      </w:hyperlink>
      <w:r w:rsidRPr="00943558">
        <w:rPr>
          <w:rFonts w:asciiTheme="minorHAnsi" w:hAnsiTheme="minorHAnsi"/>
          <w:sz w:val="15"/>
          <w:szCs w:val="15"/>
        </w:rPr>
        <w:t xml:space="preserve">.  En 2025, la organización nuevamente </w:t>
      </w:r>
      <w:hyperlink r:id="rId18" w:history="1">
        <w:r w:rsidRPr="00943558">
          <w:rPr>
            <w:rStyle w:val="Hyperlink"/>
            <w:rFonts w:asciiTheme="minorHAnsi" w:hAnsiTheme="minorHAnsi"/>
            <w:sz w:val="15"/>
            <w:szCs w:val="15"/>
          </w:rPr>
          <w:t>ha denunciado esta situación</w:t>
        </w:r>
      </w:hyperlink>
      <w:r w:rsidRPr="00943558">
        <w:rPr>
          <w:rFonts w:asciiTheme="minorHAnsi" w:hAnsiTheme="minorHAnsi"/>
          <w:sz w:val="15"/>
          <w:szCs w:val="15"/>
        </w:rPr>
        <w:t xml:space="preserve">, que fue además hablada en sendas reunión mantenida con los Fiscales de Las Palmas y de Tenerife en una visita realizada a las Islas Canarias a finales de noviembre de 2024. </w:t>
      </w:r>
    </w:p>
  </w:footnote>
  <w:footnote w:id="35">
    <w:p w14:paraId="0B51686D"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Defensor del Pueblo; Informe anual 2023. Volumen I, págs. 74 y ss. </w:t>
      </w:r>
    </w:p>
  </w:footnote>
  <w:footnote w:id="36">
    <w:p w14:paraId="4D1FDA4A"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Amnistía Internacional: </w:t>
      </w:r>
      <w:hyperlink r:id="rId19" w:history="1">
        <w:proofErr w:type="gramStart"/>
        <w:r w:rsidRPr="00943558">
          <w:rPr>
            <w:rStyle w:val="Hyperlink"/>
            <w:rFonts w:asciiTheme="minorHAnsi" w:hAnsiTheme="minorHAnsi" w:cs="Amnesty trade gothic nc"/>
            <w:color w:val="auto"/>
            <w:sz w:val="15"/>
            <w:szCs w:val="15"/>
          </w:rPr>
          <w:t>A día de hoy</w:t>
        </w:r>
        <w:proofErr w:type="gramEnd"/>
        <w:r w:rsidRPr="00943558">
          <w:rPr>
            <w:rStyle w:val="Hyperlink"/>
            <w:rFonts w:asciiTheme="minorHAnsi" w:hAnsiTheme="minorHAnsi" w:cs="Amnesty trade gothic nc"/>
            <w:color w:val="auto"/>
            <w:sz w:val="15"/>
            <w:szCs w:val="15"/>
          </w:rPr>
          <w:t xml:space="preserve"> no tengo nada. El fracaso del sistema para proteger a los y las menores migrantes en Canarias</w:t>
        </w:r>
      </w:hyperlink>
      <w:r w:rsidRPr="00943558">
        <w:rPr>
          <w:rFonts w:asciiTheme="minorHAnsi" w:hAnsiTheme="minorHAnsi"/>
          <w:sz w:val="15"/>
          <w:szCs w:val="15"/>
        </w:rPr>
        <w:t xml:space="preserve">, marzo 2025, </w:t>
      </w:r>
      <w:proofErr w:type="spellStart"/>
      <w:r w:rsidRPr="00943558">
        <w:rPr>
          <w:rFonts w:asciiTheme="minorHAnsi" w:hAnsiTheme="minorHAnsi"/>
          <w:sz w:val="15"/>
          <w:szCs w:val="15"/>
        </w:rPr>
        <w:t>pag</w:t>
      </w:r>
      <w:proofErr w:type="spellEnd"/>
      <w:r w:rsidRPr="00943558">
        <w:rPr>
          <w:rFonts w:asciiTheme="minorHAnsi" w:hAnsiTheme="minorHAnsi"/>
          <w:sz w:val="15"/>
          <w:szCs w:val="15"/>
        </w:rPr>
        <w:t xml:space="preserve"> 22. AI </w:t>
      </w:r>
      <w:proofErr w:type="spellStart"/>
      <w:r w:rsidRPr="00943558">
        <w:rPr>
          <w:rFonts w:asciiTheme="minorHAnsi" w:hAnsiTheme="minorHAnsi"/>
          <w:sz w:val="15"/>
          <w:szCs w:val="15"/>
        </w:rPr>
        <w:t>Index</w:t>
      </w:r>
      <w:proofErr w:type="spellEnd"/>
      <w:r w:rsidRPr="00943558">
        <w:rPr>
          <w:rFonts w:asciiTheme="minorHAnsi" w:hAnsiTheme="minorHAnsi"/>
          <w:sz w:val="15"/>
          <w:szCs w:val="15"/>
        </w:rPr>
        <w:t>: EUR41100025-36390</w:t>
      </w:r>
    </w:p>
  </w:footnote>
  <w:footnote w:id="37">
    <w:p w14:paraId="5A0627AA"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Amnistía Internacional: </w:t>
      </w:r>
      <w:hyperlink r:id="rId20" w:history="1">
        <w:proofErr w:type="gramStart"/>
        <w:r w:rsidRPr="00943558">
          <w:rPr>
            <w:rStyle w:val="Hyperlink"/>
            <w:rFonts w:asciiTheme="minorHAnsi" w:hAnsiTheme="minorHAnsi" w:cs="Amnesty trade gothic nc"/>
            <w:color w:val="auto"/>
            <w:sz w:val="15"/>
            <w:szCs w:val="15"/>
          </w:rPr>
          <w:t>A día de hoy</w:t>
        </w:r>
        <w:proofErr w:type="gramEnd"/>
        <w:r w:rsidRPr="00943558">
          <w:rPr>
            <w:rStyle w:val="Hyperlink"/>
            <w:rFonts w:asciiTheme="minorHAnsi" w:hAnsiTheme="minorHAnsi" w:cs="Amnesty trade gothic nc"/>
            <w:color w:val="auto"/>
            <w:sz w:val="15"/>
            <w:szCs w:val="15"/>
          </w:rPr>
          <w:t xml:space="preserve"> no tengo nada. El fracaso del sistema para proteger a los y las menores migrantes en Canarias</w:t>
        </w:r>
      </w:hyperlink>
      <w:r w:rsidRPr="00943558">
        <w:rPr>
          <w:rFonts w:asciiTheme="minorHAnsi" w:hAnsiTheme="minorHAnsi"/>
          <w:sz w:val="15"/>
          <w:szCs w:val="15"/>
        </w:rPr>
        <w:t xml:space="preserve">, marzo 2025.  </w:t>
      </w:r>
      <w:proofErr w:type="spellStart"/>
      <w:r w:rsidRPr="00943558">
        <w:rPr>
          <w:rFonts w:asciiTheme="minorHAnsi" w:hAnsiTheme="minorHAnsi"/>
          <w:sz w:val="15"/>
          <w:szCs w:val="15"/>
        </w:rPr>
        <w:t>Pag.</w:t>
      </w:r>
      <w:proofErr w:type="spellEnd"/>
      <w:r w:rsidRPr="00943558">
        <w:rPr>
          <w:rFonts w:asciiTheme="minorHAnsi" w:hAnsiTheme="minorHAnsi"/>
          <w:sz w:val="15"/>
          <w:szCs w:val="15"/>
        </w:rPr>
        <w:t xml:space="preserve"> 19 y ss. AI </w:t>
      </w:r>
      <w:proofErr w:type="spellStart"/>
      <w:r w:rsidRPr="00943558">
        <w:rPr>
          <w:rFonts w:asciiTheme="minorHAnsi" w:hAnsiTheme="minorHAnsi"/>
          <w:sz w:val="15"/>
          <w:szCs w:val="15"/>
        </w:rPr>
        <w:t>Index</w:t>
      </w:r>
      <w:proofErr w:type="spellEnd"/>
      <w:r w:rsidRPr="00943558">
        <w:rPr>
          <w:rFonts w:asciiTheme="minorHAnsi" w:hAnsiTheme="minorHAnsi"/>
          <w:sz w:val="15"/>
          <w:szCs w:val="15"/>
        </w:rPr>
        <w:t xml:space="preserve">: EUR41100025-36390. Defensor del Pueblo: Niñas y niños extranjeros en España solos o acompañados, mayo 2025, </w:t>
      </w:r>
      <w:proofErr w:type="spellStart"/>
      <w:r w:rsidRPr="00943558">
        <w:rPr>
          <w:rFonts w:asciiTheme="minorHAnsi" w:hAnsiTheme="minorHAnsi"/>
          <w:sz w:val="15"/>
          <w:szCs w:val="15"/>
        </w:rPr>
        <w:t>pag.</w:t>
      </w:r>
      <w:proofErr w:type="spellEnd"/>
      <w:r w:rsidRPr="00943558">
        <w:rPr>
          <w:rFonts w:asciiTheme="minorHAnsi" w:hAnsiTheme="minorHAnsi"/>
          <w:sz w:val="15"/>
          <w:szCs w:val="15"/>
        </w:rPr>
        <w:t xml:space="preserve"> 91</w:t>
      </w:r>
    </w:p>
  </w:footnote>
  <w:footnote w:id="38">
    <w:p w14:paraId="392C9C58"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https://www.plataformadeinfancia.org/derechos-de-infancia/dictamenes-condenatorios/</w:t>
      </w:r>
    </w:p>
  </w:footnote>
  <w:footnote w:id="39">
    <w:p w14:paraId="7F76B1E8"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Este hecho fue reconocido en una reunión mantenida el 25 de noviembre de 2024 en una reunión mantenida en Gran Canaria con la Dirección General de Infancia del Gobierno canario. </w:t>
      </w:r>
    </w:p>
  </w:footnote>
  <w:footnote w:id="40">
    <w:p w14:paraId="07941E9A"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Artículo 35 de la Ley 4/2000, de 11 de enero, sobre derechos y libertades de los extranjeros en España y su Integración social.  Véase además su reglamento de desarrollo y el Protocolo Marco sobre determinadas actuaciones en relación con los Menores Extranjeros no Acompañados. También ver lo dispuesto en la LO 1/1996, de 15 de enero, de Protección Jurídica del Menor, Título II referente a actuación de la administración ante desprotección del menor e instituciones de protección de menores.</w:t>
      </w:r>
    </w:p>
  </w:footnote>
  <w:footnote w:id="41">
    <w:p w14:paraId="58669D3C"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Amnistía Internacional: </w:t>
      </w:r>
      <w:hyperlink r:id="rId21">
        <w:proofErr w:type="gramStart"/>
        <w:r w:rsidRPr="00943558">
          <w:rPr>
            <w:rStyle w:val="Hyperlink"/>
            <w:rFonts w:asciiTheme="minorHAnsi" w:hAnsiTheme="minorHAnsi" w:cs="Amnesty trade gothic nc"/>
            <w:color w:val="auto"/>
            <w:sz w:val="15"/>
            <w:szCs w:val="15"/>
          </w:rPr>
          <w:t>A día de hoy</w:t>
        </w:r>
        <w:proofErr w:type="gramEnd"/>
        <w:r w:rsidRPr="00943558">
          <w:rPr>
            <w:rStyle w:val="Hyperlink"/>
            <w:rFonts w:asciiTheme="minorHAnsi" w:hAnsiTheme="minorHAnsi" w:cs="Amnesty trade gothic nc"/>
            <w:color w:val="auto"/>
            <w:sz w:val="15"/>
            <w:szCs w:val="15"/>
          </w:rPr>
          <w:t xml:space="preserve"> no tengo nada. El fracaso del sistema para proteger a los y las menores migrantes en Canarias</w:t>
        </w:r>
      </w:hyperlink>
      <w:r w:rsidRPr="00943558">
        <w:rPr>
          <w:rFonts w:asciiTheme="minorHAnsi" w:hAnsiTheme="minorHAnsi"/>
          <w:sz w:val="15"/>
          <w:szCs w:val="15"/>
        </w:rPr>
        <w:t xml:space="preserve">, marzo 2025. </w:t>
      </w:r>
    </w:p>
  </w:footnote>
  <w:footnote w:id="42">
    <w:p w14:paraId="73AAF5D6"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El 19 de mayo de 2025, el Juzgado piloto de violencia contra la Infancia y la Adolescencia de Las Palmas de Gran Canaria </w:t>
      </w:r>
      <w:hyperlink r:id="rId22">
        <w:r w:rsidRPr="00943558">
          <w:rPr>
            <w:rStyle w:val="Hyperlink"/>
            <w:rFonts w:asciiTheme="minorHAnsi" w:hAnsiTheme="minorHAnsi" w:cs="Amnesty trade gothic nc"/>
            <w:color w:val="auto"/>
            <w:sz w:val="15"/>
            <w:szCs w:val="15"/>
          </w:rPr>
          <w:t>acordó el cierre y precinto judicial del centro de menores Enema La Fortaleza I</w:t>
        </w:r>
      </w:hyperlink>
      <w:r w:rsidRPr="00943558">
        <w:rPr>
          <w:rFonts w:asciiTheme="minorHAnsi" w:hAnsiTheme="minorHAnsi"/>
          <w:sz w:val="15"/>
          <w:szCs w:val="15"/>
        </w:rPr>
        <w:t xml:space="preserve">. </w:t>
      </w:r>
    </w:p>
  </w:footnote>
  <w:footnote w:id="43">
    <w:p w14:paraId="00A61A4B"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Los directores de dos centros explicaron que entre las sanciones por comportamiento inadecuado estaba prevista la retirada del dinero de bolsillo que reciben semanalmente. Ese dinero era guardado ya que pertenecía al menor, y se entregaba con posterioridad una vez la sanción era retirada. Mientras que un menor confirmó que en su centro esto ocurría de la manera que se nos había explicado por los directores, algunos menores con los que habló la organización en Las Palmas de Gran Canaria dijeron que el dinero se retiraba y ya no era devuelto.  </w:t>
      </w:r>
    </w:p>
  </w:footnote>
  <w:footnote w:id="44">
    <w:p w14:paraId="7F4B52FC" w14:textId="79ED64A2"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00E83100" w:rsidRPr="00943558">
        <w:rPr>
          <w:rFonts w:asciiTheme="minorHAnsi" w:hAnsiTheme="minorHAnsi"/>
          <w:sz w:val="15"/>
          <w:szCs w:val="15"/>
        </w:rPr>
        <w:t xml:space="preserve"> </w:t>
      </w:r>
      <w:r w:rsidRPr="00943558">
        <w:rPr>
          <w:rFonts w:asciiTheme="minorHAnsi" w:hAnsiTheme="minorHAnsi"/>
          <w:sz w:val="15"/>
          <w:szCs w:val="15"/>
        </w:rPr>
        <w:t>https://www.voxespana.es/grupo_parlamentario/actividad-parlamentaria/vox-exige-al-gobierno-impedir-la-distribucion-de-menas-por-las-diferentes-regiones-de-espana-20240709</w:t>
      </w:r>
    </w:p>
  </w:footnote>
  <w:footnote w:id="45">
    <w:p w14:paraId="07BB800B"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En una entrevista a </w:t>
      </w:r>
      <w:proofErr w:type="spellStart"/>
      <w:r w:rsidRPr="00943558">
        <w:rPr>
          <w:rFonts w:asciiTheme="minorHAnsi" w:hAnsiTheme="minorHAnsi"/>
          <w:sz w:val="15"/>
          <w:szCs w:val="15"/>
        </w:rPr>
        <w:t>EsRAdio</w:t>
      </w:r>
      <w:proofErr w:type="spellEnd"/>
      <w:r w:rsidRPr="00943558">
        <w:rPr>
          <w:rFonts w:asciiTheme="minorHAnsi" w:hAnsiTheme="minorHAnsi"/>
          <w:sz w:val="15"/>
          <w:szCs w:val="15"/>
        </w:rPr>
        <w:t xml:space="preserve"> el 28 de agosto, el portavoz del Partido Popular en el Congreso habló de seguir el ejemplo de otros países para realizar “deportaciones masivas”. </w:t>
      </w:r>
    </w:p>
  </w:footnote>
  <w:footnote w:id="46">
    <w:p w14:paraId="3F2BD3A1" w14:textId="77777777" w:rsidR="00986EC5" w:rsidRPr="006C7F50" w:rsidRDefault="00986EC5" w:rsidP="00173A7A">
      <w:pPr>
        <w:pStyle w:val="FootnoteText"/>
        <w:rPr>
          <w:rFonts w:asciiTheme="minorHAnsi" w:hAnsiTheme="minorHAnsi"/>
          <w:sz w:val="15"/>
          <w:szCs w:val="15"/>
          <w:lang w:val="en-GB"/>
        </w:rPr>
      </w:pPr>
      <w:r w:rsidRPr="00943558">
        <w:rPr>
          <w:rFonts w:asciiTheme="minorHAnsi" w:hAnsiTheme="minorHAnsi"/>
          <w:sz w:val="15"/>
          <w:szCs w:val="15"/>
          <w:vertAlign w:val="superscript"/>
        </w:rPr>
        <w:footnoteRef/>
      </w:r>
      <w:r w:rsidRPr="006C7F50">
        <w:rPr>
          <w:rFonts w:asciiTheme="minorHAnsi" w:hAnsiTheme="minorHAnsi"/>
          <w:sz w:val="15"/>
          <w:szCs w:val="15"/>
          <w:lang w:val="en-GB"/>
        </w:rPr>
        <w:t xml:space="preserve"> FRA: “Being Black in the EU, Experiences of People of African Descent”, 2023.</w:t>
      </w:r>
    </w:p>
  </w:footnote>
  <w:footnote w:id="47">
    <w:p w14:paraId="0F6292B8"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Ley Orgánica 4/2015, de 30 de marzo, de protección de la seguridad ciudadana, art. 16: “En la práctica de la identificación se respetarán estrictamente los principios de proporcionalidad, igualdad de trato y no discriminación por razón de nacimiento, nacionalidad, origen racial o étnico, sexo, religión o creencias, edad, discapacidad, orientación o identidad sexual, opinión o cualquier otra condición o circunstancia personal o social".</w:t>
      </w:r>
    </w:p>
  </w:footnote>
  <w:footnote w:id="48">
    <w:p w14:paraId="53A35E68"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Amnistía Internacional: “Preocupaciones y Recomendaciones de Amnistía Internacional sobre la propuesta de reforma de la Ley Orgánica de Protección de la Seguridad Ciudadana”, 10 de febrero de 2022.</w:t>
      </w:r>
    </w:p>
  </w:footnote>
  <w:footnote w:id="49">
    <w:p w14:paraId="3D699326"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Informe del Grupo de Trabajo de Naciones Unidas sobre Afrodescendientes, 14 de agosto de 2018, A/HRC/39/69/ Add.2, párr. 20: “</w:t>
      </w:r>
      <w:r w:rsidRPr="00943558">
        <w:rPr>
          <w:rFonts w:asciiTheme="minorHAnsi" w:hAnsiTheme="minorHAnsi"/>
          <w:i/>
          <w:iCs/>
          <w:sz w:val="15"/>
          <w:szCs w:val="15"/>
        </w:rPr>
        <w:t>(l)a legislación española sigue careciendo de una prohibición específica del uso de perfiles raciales, y los actuales criterios que deben cumplir los agentes de la ley encargados de llevar a cabo los controles de identidad siguen siendo insuficientes. De hecho, el Grupo de Trabajo recibió numerosos testimonios que ponían de manifiesto que los controles de identidad basados en perfiles raciales habían continuado desde que se promulgó la Ley de Protección de la Seguridad Ciudadana”, y recomendando al gobierno a poner fin al uso de perfiles raciales</w:t>
      </w:r>
      <w:r w:rsidRPr="00943558">
        <w:rPr>
          <w:rFonts w:asciiTheme="minorHAnsi" w:hAnsiTheme="minorHAnsi"/>
          <w:sz w:val="15"/>
          <w:szCs w:val="15"/>
        </w:rPr>
        <w:t>”.</w:t>
      </w:r>
    </w:p>
  </w:footnote>
  <w:footnote w:id="50">
    <w:p w14:paraId="163EEAB4"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Informe de la ECRI sobre España (quinto ciclo de supervisión), 27 de febrero de 2018, </w:t>
      </w:r>
      <w:proofErr w:type="gramStart"/>
      <w:r w:rsidRPr="00943558">
        <w:rPr>
          <w:rFonts w:asciiTheme="minorHAnsi" w:hAnsiTheme="minorHAnsi"/>
          <w:sz w:val="15"/>
          <w:szCs w:val="15"/>
        </w:rPr>
        <w:t>CRI(</w:t>
      </w:r>
      <w:proofErr w:type="gramEnd"/>
      <w:r w:rsidRPr="00943558">
        <w:rPr>
          <w:rFonts w:asciiTheme="minorHAnsi" w:hAnsiTheme="minorHAnsi"/>
          <w:sz w:val="15"/>
          <w:szCs w:val="15"/>
        </w:rPr>
        <w:t>2018)2, párr. 81: “(l)a elaboración de perfiles según la raza por las autoridades encargadas de hacer cumplir la ley es un problema continuo”.</w:t>
      </w:r>
    </w:p>
  </w:footnote>
  <w:footnote w:id="51">
    <w:p w14:paraId="06BEC353"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rPr>
        <w:footnoteRef/>
      </w:r>
      <w:r w:rsidRPr="00943558">
        <w:rPr>
          <w:rFonts w:asciiTheme="minorHAnsi" w:hAnsiTheme="minorHAnsi"/>
          <w:sz w:val="15"/>
          <w:szCs w:val="15"/>
        </w:rPr>
        <w:t xml:space="preserve"> Comité contra la Tortura: Observaciones finales sobre el séptimo informe periódico de España, CAT/C/ESP, párr. 16 f).</w:t>
      </w:r>
    </w:p>
  </w:footnote>
  <w:footnote w:id="52">
    <w:p w14:paraId="5F580903"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Véase, entre otros, Rights International </w:t>
      </w:r>
      <w:proofErr w:type="spellStart"/>
      <w:r w:rsidRPr="00943558">
        <w:rPr>
          <w:rFonts w:asciiTheme="minorHAnsi" w:hAnsiTheme="minorHAnsi"/>
          <w:sz w:val="15"/>
          <w:szCs w:val="15"/>
        </w:rPr>
        <w:t>Spain</w:t>
      </w:r>
      <w:proofErr w:type="spellEnd"/>
      <w:r w:rsidRPr="00943558">
        <w:rPr>
          <w:rFonts w:asciiTheme="minorHAnsi" w:hAnsiTheme="minorHAnsi"/>
          <w:sz w:val="15"/>
          <w:szCs w:val="15"/>
        </w:rPr>
        <w:t>: “Bajo sospecha, impacto de las prácticas policiales discriminatorias en España”, 2019.</w:t>
      </w:r>
    </w:p>
  </w:footnote>
  <w:footnote w:id="53">
    <w:p w14:paraId="4F5EAB54" w14:textId="26D19049"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00E83100" w:rsidRPr="00943558">
        <w:rPr>
          <w:rFonts w:asciiTheme="minorHAnsi" w:hAnsiTheme="minorHAnsi"/>
          <w:sz w:val="15"/>
          <w:szCs w:val="15"/>
        </w:rPr>
        <w:t xml:space="preserve"> </w:t>
      </w:r>
      <w:r w:rsidRPr="00943558">
        <w:rPr>
          <w:rFonts w:asciiTheme="minorHAnsi" w:hAnsiTheme="minorHAnsi"/>
          <w:sz w:val="15"/>
          <w:szCs w:val="15"/>
        </w:rPr>
        <w:t>Amnistía Internacional: “España: la privación de libertad, el oscuro método de gestión migratoria”, noviembre de 2024, página 13 y ss.</w:t>
      </w:r>
    </w:p>
  </w:footnote>
  <w:footnote w:id="54">
    <w:p w14:paraId="7DDF9D4A"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w:t>
      </w:r>
      <w:proofErr w:type="spellStart"/>
      <w:r w:rsidRPr="00943558">
        <w:rPr>
          <w:rFonts w:asciiTheme="minorHAnsi" w:hAnsiTheme="minorHAnsi"/>
          <w:sz w:val="15"/>
          <w:szCs w:val="15"/>
        </w:rPr>
        <w:t>Ib</w:t>
      </w:r>
      <w:proofErr w:type="spellEnd"/>
      <w:r w:rsidRPr="00943558">
        <w:rPr>
          <w:rFonts w:asciiTheme="minorHAnsi" w:hAnsiTheme="minorHAnsi"/>
          <w:sz w:val="15"/>
          <w:szCs w:val="15"/>
        </w:rPr>
        <w:t>, página 14.</w:t>
      </w:r>
    </w:p>
  </w:footnote>
  <w:footnote w:id="55">
    <w:p w14:paraId="06A20FAE"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w:t>
      </w:r>
      <w:proofErr w:type="spellStart"/>
      <w:r w:rsidRPr="00943558">
        <w:rPr>
          <w:rFonts w:asciiTheme="minorHAnsi" w:hAnsiTheme="minorHAnsi"/>
          <w:sz w:val="15"/>
          <w:szCs w:val="15"/>
        </w:rPr>
        <w:t>Ib</w:t>
      </w:r>
      <w:proofErr w:type="spellEnd"/>
      <w:r w:rsidRPr="00943558">
        <w:rPr>
          <w:rFonts w:asciiTheme="minorHAnsi" w:hAnsiTheme="minorHAnsi"/>
          <w:sz w:val="15"/>
          <w:szCs w:val="15"/>
        </w:rPr>
        <w:t>, página 15.</w:t>
      </w:r>
    </w:p>
  </w:footnote>
  <w:footnote w:id="56">
    <w:p w14:paraId="124039FD"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Defensor del Pueblo, Informe anual 2023, pág. 187: “Las quejas de personas extranjeras en situación irregular a las que, tras personarse en dependencias policiales con objeto de denunciar un delito, o para el ejercicio de algún derecho, se les inicia un expediente de expulsión por estancia irregular destacan, un año más, en este ámbito»”.</w:t>
      </w:r>
    </w:p>
  </w:footnote>
  <w:footnote w:id="57">
    <w:p w14:paraId="44FD6618"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Amnistía Internacional: “Canarias/Nueva investigación: </w:t>
      </w:r>
      <w:proofErr w:type="gramStart"/>
      <w:r w:rsidRPr="00943558">
        <w:rPr>
          <w:rFonts w:asciiTheme="minorHAnsi" w:hAnsiTheme="minorHAnsi"/>
          <w:sz w:val="15"/>
          <w:szCs w:val="15"/>
        </w:rPr>
        <w:t>Niños y niñas</w:t>
      </w:r>
      <w:proofErr w:type="gramEnd"/>
      <w:r w:rsidRPr="00943558">
        <w:rPr>
          <w:rFonts w:asciiTheme="minorHAnsi" w:hAnsiTheme="minorHAnsi"/>
          <w:sz w:val="15"/>
          <w:szCs w:val="15"/>
        </w:rPr>
        <w:t xml:space="preserve"> que viajan solos detenidos junto a adultos y con sus pertenencias confiscadas”, noviembre de 2023. Amnistía Internacional: “Es vergonzoso que las autoridades sigan sin ponerse de acuerdo para proteger a los menores no acompañados. Se olvidan </w:t>
      </w:r>
      <w:proofErr w:type="gramStart"/>
      <w:r w:rsidRPr="00943558">
        <w:rPr>
          <w:rFonts w:asciiTheme="minorHAnsi" w:hAnsiTheme="minorHAnsi"/>
          <w:sz w:val="15"/>
          <w:szCs w:val="15"/>
        </w:rPr>
        <w:t>que</w:t>
      </w:r>
      <w:proofErr w:type="gramEnd"/>
      <w:r w:rsidRPr="00943558">
        <w:rPr>
          <w:rFonts w:asciiTheme="minorHAnsi" w:hAnsiTheme="minorHAnsi"/>
          <w:sz w:val="15"/>
          <w:szCs w:val="15"/>
        </w:rPr>
        <w:t xml:space="preserve"> son </w:t>
      </w:r>
      <w:proofErr w:type="gramStart"/>
      <w:r w:rsidRPr="00943558">
        <w:rPr>
          <w:rFonts w:asciiTheme="minorHAnsi" w:hAnsiTheme="minorHAnsi"/>
          <w:sz w:val="15"/>
          <w:szCs w:val="15"/>
        </w:rPr>
        <w:t>niños y niñas</w:t>
      </w:r>
      <w:proofErr w:type="gramEnd"/>
      <w:r w:rsidRPr="00943558">
        <w:rPr>
          <w:rFonts w:asciiTheme="minorHAnsi" w:hAnsiTheme="minorHAnsi"/>
          <w:sz w:val="15"/>
          <w:szCs w:val="15"/>
        </w:rPr>
        <w:t>”, 9 de octubre de 2024.</w:t>
      </w:r>
    </w:p>
  </w:footnote>
  <w:footnote w:id="58">
    <w:p w14:paraId="48426FA0"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w:t>
      </w:r>
      <w:proofErr w:type="spellStart"/>
      <w:r w:rsidRPr="00943558">
        <w:rPr>
          <w:rFonts w:asciiTheme="minorHAnsi" w:hAnsiTheme="minorHAnsi"/>
          <w:sz w:val="15"/>
          <w:szCs w:val="15"/>
        </w:rPr>
        <w:t>Op.cit</w:t>
      </w:r>
      <w:proofErr w:type="spellEnd"/>
      <w:r w:rsidRPr="00943558">
        <w:rPr>
          <w:rFonts w:asciiTheme="minorHAnsi" w:hAnsiTheme="minorHAnsi"/>
          <w:sz w:val="15"/>
          <w:szCs w:val="15"/>
        </w:rPr>
        <w:t>. Amnistía Internacional, “La privación de libertad, el oscuro método de la gestión migratoria”, página 15.</w:t>
      </w:r>
    </w:p>
  </w:footnote>
  <w:footnote w:id="59">
    <w:p w14:paraId="37C11CD9"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Ib.</w:t>
      </w:r>
    </w:p>
  </w:footnote>
  <w:footnote w:id="60">
    <w:p w14:paraId="067C94DD"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En la Memoria presentada en 2024 de la </w:t>
      </w:r>
      <w:proofErr w:type="gramStart"/>
      <w:r w:rsidRPr="00943558">
        <w:rPr>
          <w:rFonts w:asciiTheme="minorHAnsi" w:hAnsiTheme="minorHAnsi"/>
          <w:sz w:val="15"/>
          <w:szCs w:val="15"/>
        </w:rPr>
        <w:t>Fiscalía General</w:t>
      </w:r>
      <w:proofErr w:type="gramEnd"/>
      <w:r w:rsidRPr="00943558">
        <w:rPr>
          <w:rFonts w:asciiTheme="minorHAnsi" w:hAnsiTheme="minorHAnsi"/>
          <w:sz w:val="15"/>
          <w:szCs w:val="15"/>
        </w:rPr>
        <w:t xml:space="preserve"> del Estado, se destaca un incremento del 300% en las diligencias abiertas por delitos de odio, entre ellas 138 denuncias por racismo y 130 por xenofobia. El Ministerio Fiscal señaló que la “excesiva crispación” en los discursos políticos constituye un caldo de cultivo para la comisión de comportamientos intolerantes o incluso violentos.</w:t>
      </w:r>
    </w:p>
  </w:footnote>
  <w:footnote w:id="61">
    <w:p w14:paraId="7467A891" w14:textId="6ECC38BE" w:rsidR="00986EC5" w:rsidRPr="00943558" w:rsidRDefault="00986EC5" w:rsidP="00173A7A">
      <w:pPr>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cs="Amnesty trade gothic nc"/>
          <w:sz w:val="15"/>
          <w:szCs w:val="15"/>
        </w:rPr>
        <w:t xml:space="preserve"> Sentencia 138/2021 del Tribunal Supremo, de 17 de febrero: </w:t>
      </w:r>
      <w:hyperlink r:id="rId23" w:history="1">
        <w:r w:rsidR="00E83100" w:rsidRPr="00943558">
          <w:rPr>
            <w:rStyle w:val="Hyperlink"/>
            <w:rFonts w:asciiTheme="minorHAnsi" w:hAnsiTheme="minorHAnsi" w:cs="Amnesty trade gothic nc"/>
            <w:sz w:val="15"/>
            <w:szCs w:val="15"/>
          </w:rPr>
          <w:t>https://www.poderjudicial.es/search/documento/TS/9434470/Prescripcion/20210303</w:t>
        </w:r>
      </w:hyperlink>
    </w:p>
  </w:footnote>
  <w:footnote w:id="62">
    <w:p w14:paraId="47BAAB0D" w14:textId="77777777" w:rsidR="00986EC5" w:rsidRPr="00943558" w:rsidRDefault="00986EC5" w:rsidP="00173A7A">
      <w:pPr>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cs="Amnesty trade gothic nc"/>
          <w:color w:val="000000"/>
          <w:sz w:val="15"/>
          <w:szCs w:val="15"/>
        </w:rPr>
        <w:t xml:space="preserve"> “</w:t>
      </w:r>
      <w:r w:rsidRPr="00943558">
        <w:rPr>
          <w:rFonts w:asciiTheme="minorHAnsi" w:hAnsiTheme="minorHAnsi" w:cs="Amnesty trade gothic nc"/>
          <w:i/>
          <w:iCs/>
          <w:color w:val="000000"/>
          <w:sz w:val="15"/>
          <w:szCs w:val="15"/>
        </w:rPr>
        <w:t>Ni el análisis de los procesos de Núremberg y Tokio, ni el examen del art. 1 b) de la Convención sobre imprescriptibilidad de los crímenes de guerra y de los crímenes de lesa humanidad de 1968, del art. 5 del Estatuto del Tribunal Penal Internacional para la ex Yugoslavia de 1993, del Estatuto para el Tribunal Penal Internacional para Ruanda de 1994 (art. 3), o del art. 7 del Estatuto de Roma de 1998 permiten entender que existiera, al tiempo de los hechos denunciados, una prohibición que alcance un grado de certeza  suficiente  en  sus  elementos  para  integrar  una  descripción  típica  apta  para sustentar una condena penal conforme al art. 25.1 CE. Déficit que se une a la ausencia de una previsión con mínima certeza sobre las consecuencias penales de infringir tal prohibición.  Aun cuando haya un núcleo constante identificado con la prohibición de ciertos ataques a la población civil, ese núcleo básico no es preciso y, en tal medida, suficiente para castigar penalmente, porque, más allá de la caracterización como prohibido y punible de ese tipo de ataque, no ofrece datos que permitan apreciar el hecho y sus consecuencias penales en toda su magnitud.  Tampoco la autorización mediante la Ley Orgánica 6/2000, de 4 de octubre, de la ratificación del Estatuto de Roma de 17 de julio de 1998, ratificado el 19 de octubre de 2000, que entró en vigor el 1 de julio de 2002, aunque supone incorporar una norma escrita, ofrece un asiento normativo para la investigación y castigo penal de los hechos denunciados</w:t>
      </w:r>
      <w:r w:rsidRPr="00943558">
        <w:rPr>
          <w:rFonts w:asciiTheme="minorHAnsi" w:hAnsiTheme="minorHAnsi" w:cs="Amnesty trade gothic nc"/>
          <w:color w:val="000000"/>
          <w:sz w:val="15"/>
          <w:szCs w:val="15"/>
        </w:rPr>
        <w:t>.” Auto 80/2021, de 15 de septiembre, del Tribunal Constitucional, Fundamento Jurídico Cuarto.</w:t>
      </w:r>
    </w:p>
  </w:footnote>
  <w:footnote w:id="63">
    <w:p w14:paraId="5F40EC9C" w14:textId="77777777" w:rsidR="00986EC5" w:rsidRPr="00943558" w:rsidRDefault="00986EC5" w:rsidP="00173A7A">
      <w:pPr>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cs="Amnesty trade gothic nc"/>
          <w:i/>
          <w:iCs/>
          <w:color w:val="000000"/>
          <w:sz w:val="15"/>
          <w:szCs w:val="15"/>
        </w:rPr>
        <w:t xml:space="preserve"> Ib. </w:t>
      </w:r>
      <w:r w:rsidRPr="00943558">
        <w:rPr>
          <w:rFonts w:asciiTheme="minorHAnsi" w:hAnsiTheme="minorHAnsi" w:cs="Amnesty trade gothic nc"/>
          <w:color w:val="000000"/>
          <w:sz w:val="15"/>
          <w:szCs w:val="15"/>
        </w:rPr>
        <w:t>Fundamento Jurídico Quinto.</w:t>
      </w:r>
    </w:p>
  </w:footnote>
  <w:footnote w:id="64">
    <w:p w14:paraId="58C2032C"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Auto de 17 de junio de 2024 del Tribunal Constitucional: </w:t>
      </w:r>
      <w:hyperlink r:id="rId24" w:history="1">
        <w:r w:rsidRPr="00943558">
          <w:rPr>
            <w:rFonts w:asciiTheme="minorHAnsi" w:hAnsiTheme="minorHAnsi"/>
            <w:sz w:val="15"/>
            <w:szCs w:val="15"/>
          </w:rPr>
          <w:t>https://www.boe.es/diario_boe/txt.php?id=BOE-A-2024-15429</w:t>
        </w:r>
      </w:hyperlink>
      <w:r w:rsidRPr="00943558">
        <w:rPr>
          <w:rFonts w:asciiTheme="minorHAnsi" w:hAnsiTheme="minorHAnsi"/>
          <w:sz w:val="15"/>
          <w:szCs w:val="15"/>
        </w:rPr>
        <w:t xml:space="preserve"> </w:t>
      </w:r>
    </w:p>
  </w:footnote>
  <w:footnote w:id="65">
    <w:p w14:paraId="26009B68" w14:textId="77777777" w:rsidR="00986EC5" w:rsidRPr="00943558" w:rsidRDefault="00986EC5" w:rsidP="00173A7A">
      <w:pPr>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cs="Amnesty trade gothic nc"/>
          <w:color w:val="000000"/>
          <w:sz w:val="15"/>
          <w:szCs w:val="15"/>
        </w:rPr>
        <w:t xml:space="preserve"> Pacto Internacional de Derechos Civiles y Políticos, supra, nota 32, artículo 15.1 y 15.2. Idéntico principio está recogido en el artículo 7.2 del Convenio Europeo de Derechos Humanos.</w:t>
      </w:r>
    </w:p>
  </w:footnote>
  <w:footnote w:id="66">
    <w:p w14:paraId="0056B841" w14:textId="77777777" w:rsidR="00986EC5" w:rsidRPr="00943558" w:rsidRDefault="00986EC5" w:rsidP="00173A7A">
      <w:pPr>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cs="Amnesty trade gothic nc"/>
          <w:color w:val="000000"/>
          <w:sz w:val="15"/>
          <w:szCs w:val="15"/>
        </w:rPr>
        <w:t xml:space="preserve"> Comité contra la Tortura de las Naciones Unidas, Decisión relativa a las comunicaciones 1/1988, 2/1988 y 3/1988 (Argentina), de 23 de noviembre de 1989, párrafo 7.2, en documento de las Naciones Unidas, Asamblea General, Informes oficiales, Cuadragésimo quinto periodo de sesiones, Suplemento </w:t>
      </w:r>
      <w:proofErr w:type="spellStart"/>
      <w:r w:rsidRPr="00943558">
        <w:rPr>
          <w:rFonts w:asciiTheme="minorHAnsi" w:hAnsiTheme="minorHAnsi" w:cs="Amnesty trade gothic nc"/>
          <w:color w:val="000000"/>
          <w:sz w:val="15"/>
          <w:szCs w:val="15"/>
        </w:rPr>
        <w:t>N°</w:t>
      </w:r>
      <w:proofErr w:type="spellEnd"/>
      <w:r w:rsidRPr="00943558">
        <w:rPr>
          <w:rFonts w:asciiTheme="minorHAnsi" w:hAnsiTheme="minorHAnsi" w:cs="Amnesty trade gothic nc"/>
          <w:color w:val="000000"/>
          <w:sz w:val="15"/>
          <w:szCs w:val="15"/>
        </w:rPr>
        <w:t xml:space="preserve"> 44 (A/45/44), 1990.</w:t>
      </w:r>
    </w:p>
  </w:footnote>
  <w:footnote w:id="67">
    <w:p w14:paraId="19E7566E" w14:textId="77777777" w:rsidR="00986EC5" w:rsidRPr="00943558" w:rsidRDefault="00986EC5" w:rsidP="00173A7A">
      <w:pPr>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cs="Amnesty trade gothic nc"/>
          <w:color w:val="000000"/>
          <w:sz w:val="15"/>
          <w:szCs w:val="15"/>
        </w:rPr>
        <w:t xml:space="preserve"> Comité de Derechos Humanos. Observación general núm. 20 Prohibición de la tortura u otros tratos o penas crueles, inhumanos o degradantes (artículo 7).</w:t>
      </w:r>
    </w:p>
  </w:footnote>
  <w:footnote w:id="68">
    <w:p w14:paraId="5AEB7202" w14:textId="77777777" w:rsidR="00986EC5" w:rsidRPr="00943558" w:rsidRDefault="00986EC5" w:rsidP="00173A7A">
      <w:pPr>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cs="Amnesty trade gothic nc"/>
          <w:sz w:val="15"/>
          <w:szCs w:val="15"/>
        </w:rPr>
        <w:t xml:space="preserve"> Véase a este respecto el informe de análisis de la organización: Comentarios, preocupaciones y recomendaciones sobre el Proyecto de Ley de Memoria Democrática, de 1 de marzo de 2022: </w:t>
      </w:r>
      <w:hyperlink r:id="rId25">
        <w:r w:rsidRPr="00943558">
          <w:rPr>
            <w:rFonts w:asciiTheme="minorHAnsi" w:hAnsiTheme="minorHAnsi" w:cs="Amnesty trade gothic nc"/>
            <w:sz w:val="15"/>
            <w:szCs w:val="15"/>
          </w:rPr>
          <w:t>https://doc.es.amnesty.org/ms-opac/recordmedia/1@000034513/object/46350/raw</w:t>
        </w:r>
      </w:hyperlink>
      <w:r w:rsidRPr="00943558">
        <w:rPr>
          <w:rFonts w:asciiTheme="minorHAnsi" w:hAnsiTheme="minorHAnsi" w:cs="Amnesty trade gothic nc"/>
          <w:sz w:val="15"/>
          <w:szCs w:val="15"/>
        </w:rPr>
        <w:t xml:space="preserve">  </w:t>
      </w:r>
    </w:p>
  </w:footnote>
  <w:footnote w:id="69">
    <w:p w14:paraId="158199D7" w14:textId="77777777" w:rsidR="00986EC5" w:rsidRPr="00943558" w:rsidRDefault="00986EC5" w:rsidP="00173A7A">
      <w:pPr>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cs="Amnesty trade gothic nc"/>
          <w:sz w:val="15"/>
          <w:szCs w:val="15"/>
        </w:rPr>
        <w:t xml:space="preserve"> Auto del Juzgado de Instrucción número 1 de Ferrol, de fecha 3 de abril de 2023, que acuerda el archivo definitivo (sobreseimiento libre) por prescripción de los delitos denunciados. El Auto se hace eco, entre otras, de la sentencia del Tribunal Supremo de 27 de febrero de 2012, considerando que los razonamientos contenidos en ella continúan siendo aplicables actualmente, sin que se vean alterados por lo dispuesto en la Ley 20/2022 de Memoria Democrática.</w:t>
      </w:r>
    </w:p>
  </w:footnote>
  <w:footnote w:id="70">
    <w:p w14:paraId="27F7945D" w14:textId="77777777" w:rsidR="00986EC5" w:rsidRPr="00943558" w:rsidRDefault="00986EC5" w:rsidP="00173A7A">
      <w:pPr>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cs="Amnesty trade gothic nc"/>
          <w:sz w:val="15"/>
          <w:szCs w:val="15"/>
        </w:rPr>
        <w:t xml:space="preserve"> Auto del Juzgado de Instrucción número 1 de Pamplona, de fecha 27 de abril de 2023, que acuerda el archivo provisional de la querella, al considerar, con una motivación de apenas dos frases, que los hechos denunciados han prescrito.</w:t>
      </w:r>
    </w:p>
  </w:footnote>
  <w:footnote w:id="71">
    <w:p w14:paraId="600383A8" w14:textId="77777777" w:rsidR="00986EC5" w:rsidRPr="00943558" w:rsidRDefault="00986EC5" w:rsidP="00173A7A">
      <w:pPr>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cs="Amnesty trade gothic nc"/>
          <w:sz w:val="15"/>
          <w:szCs w:val="15"/>
        </w:rPr>
        <w:t xml:space="preserve"> Auto del Juzgado de Instrucción n.º 50 de Madrid, de 12 de mayo de 2023, que acuerda el inicio de la investigación, y dispone la práctica de diligencias de investigación, como la toma de declaración de Julio Pacheco y de su cónyuge, Rosa María Alcón, que también denunció en 2018 haber sufrido torturas en la misma detención, si bien su querella fue archivada.</w:t>
      </w:r>
    </w:p>
  </w:footnote>
  <w:footnote w:id="72">
    <w:p w14:paraId="01DEB600"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w:t>
      </w:r>
      <w:hyperlink r:id="rId26" w:history="1">
        <w:r w:rsidRPr="00943558">
          <w:rPr>
            <w:rStyle w:val="Hyperlink"/>
            <w:rFonts w:asciiTheme="minorHAnsi" w:hAnsiTheme="minorHAnsi" w:cs="Amnesty trade gothic nc"/>
            <w:sz w:val="15"/>
            <w:szCs w:val="15"/>
          </w:rPr>
          <w:t>https://x.com/amnistiaespana/status/1833424002649383377</w:t>
        </w:r>
      </w:hyperlink>
      <w:r w:rsidRPr="00943558">
        <w:rPr>
          <w:rFonts w:asciiTheme="minorHAnsi" w:hAnsiTheme="minorHAnsi"/>
          <w:sz w:val="15"/>
          <w:szCs w:val="15"/>
        </w:rPr>
        <w:t xml:space="preserve"> </w:t>
      </w:r>
    </w:p>
  </w:footnote>
  <w:footnote w:id="73">
    <w:p w14:paraId="57F8DC0A"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cs="Amnesty trade gothic nc"/>
          <w:sz w:val="15"/>
          <w:szCs w:val="15"/>
          <w:vertAlign w:val="superscript"/>
        </w:rPr>
        <w:footnoteRef/>
      </w:r>
      <w:r w:rsidRPr="00943558">
        <w:rPr>
          <w:rFonts w:asciiTheme="minorHAnsi" w:hAnsiTheme="minorHAnsi" w:cs="Amnesty trade gothic nc"/>
          <w:sz w:val="15"/>
          <w:szCs w:val="15"/>
        </w:rPr>
        <w:t xml:space="preserve"> </w:t>
      </w:r>
      <w:hyperlink r:id="rId27" w:history="1">
        <w:r w:rsidRPr="00943558">
          <w:rPr>
            <w:rStyle w:val="Hyperlink"/>
            <w:rFonts w:asciiTheme="minorHAnsi" w:hAnsiTheme="minorHAnsi" w:cs="Amnesty trade gothic nc"/>
            <w:sz w:val="15"/>
            <w:szCs w:val="15"/>
          </w:rPr>
          <w:t>https://x.com/Amnistia_Vigo/status/1928363499954262133</w:t>
        </w:r>
      </w:hyperlink>
      <w:r w:rsidRPr="00943558">
        <w:rPr>
          <w:rFonts w:asciiTheme="minorHAnsi" w:hAnsiTheme="minorHAnsi" w:cs="Amnesty trade gothic nc"/>
          <w:sz w:val="15"/>
          <w:szCs w:val="15"/>
        </w:rPr>
        <w:t xml:space="preserve">  </w:t>
      </w:r>
      <w:r w:rsidRPr="00943558">
        <w:rPr>
          <w:rFonts w:asciiTheme="minorHAnsi" w:hAnsiTheme="minorHAnsi"/>
          <w:sz w:val="15"/>
          <w:szCs w:val="15"/>
        </w:rPr>
        <w:t xml:space="preserve"> </w:t>
      </w:r>
    </w:p>
  </w:footnote>
  <w:footnote w:id="74">
    <w:p w14:paraId="011E54C4" w14:textId="77777777" w:rsidR="00986EC5" w:rsidRPr="00943558" w:rsidRDefault="00986EC5" w:rsidP="00173A7A">
      <w:pPr>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cs="Amnesty trade gothic nc"/>
          <w:sz w:val="15"/>
          <w:szCs w:val="15"/>
        </w:rPr>
        <w:t xml:space="preserve"> Observación General nº3 del Comité contra la Tortura, de 13 de diciembre de 2012, sobre la aplicación del artículo 14 por los Estados parte, CAT/C/GC/3; párr. 40.</w:t>
      </w:r>
    </w:p>
  </w:footnote>
  <w:footnote w:id="75">
    <w:p w14:paraId="03A68141" w14:textId="77777777" w:rsidR="00986EC5" w:rsidRPr="00943558" w:rsidRDefault="00986EC5" w:rsidP="00173A7A">
      <w:pPr>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cs="Amnesty trade gothic nc"/>
          <w:color w:val="000000"/>
          <w:sz w:val="15"/>
          <w:szCs w:val="15"/>
        </w:rPr>
        <w:t xml:space="preserve"> Estatuto de Roma de la Corte Penal Internacional, 17 de julio de 1998, artículo 29; Convenio para la Protección de Todas las Personas Contra las Desapariciones Forzadas, </w:t>
      </w:r>
      <w:proofErr w:type="spellStart"/>
      <w:r w:rsidRPr="00943558">
        <w:rPr>
          <w:rFonts w:asciiTheme="minorHAnsi" w:hAnsiTheme="minorHAnsi" w:cs="Amnesty trade gothic nc"/>
          <w:color w:val="000000"/>
          <w:sz w:val="15"/>
          <w:szCs w:val="15"/>
        </w:rPr>
        <w:t>op</w:t>
      </w:r>
      <w:proofErr w:type="spellEnd"/>
      <w:r w:rsidRPr="00943558">
        <w:rPr>
          <w:rFonts w:asciiTheme="minorHAnsi" w:hAnsiTheme="minorHAnsi" w:cs="Amnesty trade gothic nc"/>
          <w:color w:val="000000"/>
          <w:sz w:val="15"/>
          <w:szCs w:val="15"/>
        </w:rPr>
        <w:t xml:space="preserve">. cit., nota 18, artículo 8.1.b; Pacto Internacional de Derechos Civiles y Políticos, </w:t>
      </w:r>
      <w:proofErr w:type="spellStart"/>
      <w:r w:rsidRPr="00943558">
        <w:rPr>
          <w:rFonts w:asciiTheme="minorHAnsi" w:hAnsiTheme="minorHAnsi" w:cs="Amnesty trade gothic nc"/>
          <w:color w:val="000000"/>
          <w:sz w:val="15"/>
          <w:szCs w:val="15"/>
        </w:rPr>
        <w:t>op</w:t>
      </w:r>
      <w:proofErr w:type="spellEnd"/>
      <w:r w:rsidRPr="00943558">
        <w:rPr>
          <w:rFonts w:asciiTheme="minorHAnsi" w:hAnsiTheme="minorHAnsi" w:cs="Amnesty trade gothic nc"/>
          <w:color w:val="000000"/>
          <w:sz w:val="15"/>
          <w:szCs w:val="15"/>
        </w:rPr>
        <w:t xml:space="preserve">. cit., nota 18, artículo 15.2; Convenio Europeo de Derechos Humanos, </w:t>
      </w:r>
      <w:proofErr w:type="spellStart"/>
      <w:r w:rsidRPr="00943558">
        <w:rPr>
          <w:rFonts w:asciiTheme="minorHAnsi" w:hAnsiTheme="minorHAnsi" w:cs="Amnesty trade gothic nc"/>
          <w:color w:val="000000"/>
          <w:sz w:val="15"/>
          <w:szCs w:val="15"/>
        </w:rPr>
        <w:t>op</w:t>
      </w:r>
      <w:proofErr w:type="spellEnd"/>
      <w:r w:rsidRPr="00943558">
        <w:rPr>
          <w:rFonts w:asciiTheme="minorHAnsi" w:hAnsiTheme="minorHAnsi" w:cs="Amnesty trade gothic nc"/>
          <w:color w:val="000000"/>
          <w:sz w:val="15"/>
          <w:szCs w:val="15"/>
        </w:rPr>
        <w:t>. cit., nota 38, artículo 7.2.</w:t>
      </w:r>
    </w:p>
  </w:footnote>
  <w:footnote w:id="76">
    <w:p w14:paraId="25B947E0" w14:textId="77777777" w:rsidR="00986EC5" w:rsidRPr="00943558" w:rsidRDefault="00986EC5" w:rsidP="00173A7A">
      <w:pPr>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cs="Amnesty trade gothic nc"/>
          <w:sz w:val="15"/>
          <w:szCs w:val="15"/>
        </w:rPr>
        <w:t xml:space="preserve"> Instituto Internacional para la Acción </w:t>
      </w:r>
      <w:proofErr w:type="spellStart"/>
      <w:r w:rsidRPr="00943558">
        <w:rPr>
          <w:rFonts w:asciiTheme="minorHAnsi" w:hAnsiTheme="minorHAnsi" w:cs="Amnesty trade gothic nc"/>
          <w:sz w:val="15"/>
          <w:szCs w:val="15"/>
        </w:rPr>
        <w:t>Noviolenta</w:t>
      </w:r>
      <w:proofErr w:type="spellEnd"/>
      <w:r w:rsidRPr="00943558">
        <w:rPr>
          <w:rFonts w:asciiTheme="minorHAnsi" w:hAnsiTheme="minorHAnsi" w:cs="Amnesty trade gothic nc"/>
          <w:sz w:val="15"/>
          <w:szCs w:val="15"/>
        </w:rPr>
        <w:t xml:space="preserve"> (</w:t>
      </w:r>
      <w:proofErr w:type="spellStart"/>
      <w:r w:rsidRPr="00943558">
        <w:rPr>
          <w:rFonts w:asciiTheme="minorHAnsi" w:hAnsiTheme="minorHAnsi" w:cs="Amnesty trade gothic nc"/>
          <w:sz w:val="15"/>
          <w:szCs w:val="15"/>
        </w:rPr>
        <w:t>Novact</w:t>
      </w:r>
      <w:proofErr w:type="spellEnd"/>
      <w:r w:rsidRPr="00943558">
        <w:rPr>
          <w:rFonts w:asciiTheme="minorHAnsi" w:hAnsiTheme="minorHAnsi" w:cs="Amnesty trade gothic nc"/>
          <w:sz w:val="15"/>
          <w:szCs w:val="15"/>
        </w:rPr>
        <w:t>) y Centro para la Defensa de los Derechos Humanos (</w:t>
      </w:r>
      <w:proofErr w:type="spellStart"/>
      <w:r w:rsidRPr="00943558">
        <w:rPr>
          <w:rFonts w:asciiTheme="minorHAnsi" w:hAnsiTheme="minorHAnsi" w:cs="Amnesty trade gothic nc"/>
          <w:sz w:val="15"/>
          <w:szCs w:val="15"/>
        </w:rPr>
        <w:t>Irídia</w:t>
      </w:r>
      <w:proofErr w:type="spellEnd"/>
      <w:r w:rsidRPr="00943558">
        <w:rPr>
          <w:rFonts w:asciiTheme="minorHAnsi" w:hAnsiTheme="minorHAnsi" w:cs="Amnesty trade gothic nc"/>
          <w:sz w:val="15"/>
          <w:szCs w:val="15"/>
        </w:rPr>
        <w:t xml:space="preserve">), Stop Balas de Goma, </w:t>
      </w:r>
      <w:proofErr w:type="spellStart"/>
      <w:r w:rsidRPr="00943558">
        <w:rPr>
          <w:rFonts w:asciiTheme="minorHAnsi" w:hAnsiTheme="minorHAnsi" w:cs="Amnesty trade gothic nc"/>
          <w:sz w:val="15"/>
          <w:szCs w:val="15"/>
        </w:rPr>
        <w:t>novact</w:t>
      </w:r>
      <w:proofErr w:type="spellEnd"/>
      <w:r w:rsidRPr="00943558">
        <w:rPr>
          <w:rFonts w:asciiTheme="minorHAnsi" w:hAnsiTheme="minorHAnsi" w:cs="Amnesty trade gothic nc"/>
          <w:sz w:val="15"/>
          <w:szCs w:val="15"/>
        </w:rPr>
        <w:t>:</w:t>
      </w:r>
      <w:r w:rsidRPr="00943558">
        <w:rPr>
          <w:rFonts w:asciiTheme="minorHAnsi" w:hAnsiTheme="minorHAnsi"/>
          <w:sz w:val="15"/>
          <w:szCs w:val="15"/>
        </w:rPr>
        <w:t xml:space="preserve"> </w:t>
      </w:r>
      <w:hyperlink r:id="rId28">
        <w:r w:rsidRPr="00943558">
          <w:rPr>
            <w:rFonts w:asciiTheme="minorHAnsi" w:hAnsiTheme="minorHAnsi" w:cs="Amnesty trade gothic nc"/>
            <w:color w:val="000080"/>
            <w:sz w:val="15"/>
            <w:szCs w:val="15"/>
            <w:u w:val="single"/>
          </w:rPr>
          <w:t>https://iridia.cat/wp-content/uploads/2021/06/Informe-Balas-de-Goma_V2.pdf</w:t>
        </w:r>
      </w:hyperlink>
    </w:p>
  </w:footnote>
  <w:footnote w:id="77">
    <w:p w14:paraId="50071042" w14:textId="77777777" w:rsidR="00986EC5" w:rsidRPr="00943558" w:rsidRDefault="00986EC5" w:rsidP="00173A7A">
      <w:pPr>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cs="Amnesty trade gothic nc"/>
          <w:sz w:val="15"/>
          <w:szCs w:val="15"/>
        </w:rPr>
        <w:t xml:space="preserve"> Amnistía Internacional, </w:t>
      </w:r>
      <w:proofErr w:type="spellStart"/>
      <w:r w:rsidRPr="00943558">
        <w:rPr>
          <w:rFonts w:asciiTheme="minorHAnsi" w:hAnsiTheme="minorHAnsi" w:cs="Amnesty trade gothic nc"/>
          <w:sz w:val="15"/>
          <w:szCs w:val="15"/>
        </w:rPr>
        <w:t>Spain</w:t>
      </w:r>
      <w:proofErr w:type="spellEnd"/>
      <w:r w:rsidRPr="00943558">
        <w:rPr>
          <w:rFonts w:asciiTheme="minorHAnsi" w:hAnsiTheme="minorHAnsi" w:cs="Amnesty trade gothic nc"/>
          <w:sz w:val="15"/>
          <w:szCs w:val="15"/>
        </w:rPr>
        <w:t xml:space="preserve">: </w:t>
      </w:r>
      <w:proofErr w:type="spellStart"/>
      <w:r w:rsidRPr="00943558">
        <w:rPr>
          <w:rFonts w:asciiTheme="minorHAnsi" w:hAnsiTheme="minorHAnsi" w:cs="Amnesty trade gothic nc"/>
          <w:sz w:val="15"/>
          <w:szCs w:val="15"/>
        </w:rPr>
        <w:t>Accountability</w:t>
      </w:r>
      <w:proofErr w:type="spellEnd"/>
      <w:r w:rsidRPr="00943558">
        <w:rPr>
          <w:rFonts w:asciiTheme="minorHAnsi" w:hAnsiTheme="minorHAnsi" w:cs="Amnesty trade gothic nc"/>
          <w:sz w:val="15"/>
          <w:szCs w:val="15"/>
        </w:rPr>
        <w:t xml:space="preserve"> </w:t>
      </w:r>
      <w:proofErr w:type="spellStart"/>
      <w:r w:rsidRPr="00943558">
        <w:rPr>
          <w:rFonts w:asciiTheme="minorHAnsi" w:hAnsiTheme="minorHAnsi" w:cs="Amnesty trade gothic nc"/>
          <w:sz w:val="15"/>
          <w:szCs w:val="15"/>
        </w:rPr>
        <w:t>urged</w:t>
      </w:r>
      <w:proofErr w:type="spellEnd"/>
      <w:r w:rsidRPr="00943558">
        <w:rPr>
          <w:rFonts w:asciiTheme="minorHAnsi" w:hAnsiTheme="minorHAnsi" w:cs="Amnesty trade gothic nc"/>
          <w:sz w:val="15"/>
          <w:szCs w:val="15"/>
        </w:rPr>
        <w:t xml:space="preserve"> for ‘</w:t>
      </w:r>
      <w:proofErr w:type="spellStart"/>
      <w:r w:rsidRPr="00943558">
        <w:rPr>
          <w:rFonts w:asciiTheme="minorHAnsi" w:hAnsiTheme="minorHAnsi" w:cs="Amnesty trade gothic nc"/>
          <w:sz w:val="15"/>
          <w:szCs w:val="15"/>
        </w:rPr>
        <w:t>appalling</w:t>
      </w:r>
      <w:proofErr w:type="spellEnd"/>
      <w:r w:rsidRPr="00943558">
        <w:rPr>
          <w:rFonts w:asciiTheme="minorHAnsi" w:hAnsiTheme="minorHAnsi" w:cs="Amnesty trade gothic nc"/>
          <w:sz w:val="15"/>
          <w:szCs w:val="15"/>
        </w:rPr>
        <w:t xml:space="preserve">’ </w:t>
      </w:r>
      <w:proofErr w:type="spellStart"/>
      <w:r w:rsidRPr="00943558">
        <w:rPr>
          <w:rFonts w:asciiTheme="minorHAnsi" w:hAnsiTheme="minorHAnsi" w:cs="Amnesty trade gothic nc"/>
          <w:sz w:val="15"/>
          <w:szCs w:val="15"/>
        </w:rPr>
        <w:t>migrant</w:t>
      </w:r>
      <w:proofErr w:type="spellEnd"/>
      <w:r w:rsidRPr="00943558">
        <w:rPr>
          <w:rFonts w:asciiTheme="minorHAnsi" w:hAnsiTheme="minorHAnsi" w:cs="Amnesty trade gothic nc"/>
          <w:sz w:val="15"/>
          <w:szCs w:val="15"/>
        </w:rPr>
        <w:t xml:space="preserve"> </w:t>
      </w:r>
      <w:proofErr w:type="spellStart"/>
      <w:r w:rsidRPr="00943558">
        <w:rPr>
          <w:rFonts w:asciiTheme="minorHAnsi" w:hAnsiTheme="minorHAnsi" w:cs="Amnesty trade gothic nc"/>
          <w:sz w:val="15"/>
          <w:szCs w:val="15"/>
        </w:rPr>
        <w:t>deaths</w:t>
      </w:r>
      <w:proofErr w:type="spellEnd"/>
      <w:r w:rsidRPr="00943558">
        <w:rPr>
          <w:rFonts w:asciiTheme="minorHAnsi" w:hAnsiTheme="minorHAnsi" w:cs="Amnesty trade gothic nc"/>
          <w:sz w:val="15"/>
          <w:szCs w:val="15"/>
        </w:rPr>
        <w:t xml:space="preserve"> in Ceuta, 14 de febrero de 2014, ; España: La tragedia de los migrantes de Ceuta, lamentable menosprecio hacia la vida humana, 6 de febrero de 2015, </w:t>
      </w:r>
      <w:hyperlink r:id="rId29">
        <w:r w:rsidRPr="00943558">
          <w:rPr>
            <w:rFonts w:asciiTheme="minorHAnsi" w:hAnsiTheme="minorHAnsi" w:cs="Amnesty trade gothic nc"/>
            <w:sz w:val="15"/>
            <w:szCs w:val="15"/>
          </w:rPr>
          <w:t>www.</w:t>
        </w:r>
      </w:hyperlink>
      <w:hyperlink r:id="rId30">
        <w:r w:rsidRPr="00943558">
          <w:rPr>
            <w:rFonts w:asciiTheme="minorHAnsi" w:hAnsiTheme="minorHAnsi" w:cs="Amnesty trade gothic nc"/>
            <w:sz w:val="15"/>
            <w:szCs w:val="15"/>
          </w:rPr>
          <w:t>amnesty.org/es/latest/news/2015/02/spain-ceuta-migrant-tragedy-deplorable-disregard-human-life/</w:t>
        </w:r>
      </w:hyperlink>
      <w:r w:rsidRPr="00943558">
        <w:rPr>
          <w:rFonts w:asciiTheme="minorHAnsi" w:hAnsiTheme="minorHAnsi" w:cs="Amnesty trade gothic nc"/>
          <w:sz w:val="15"/>
          <w:szCs w:val="15"/>
        </w:rPr>
        <w:t xml:space="preserve"> ; El Tarajal, Historia de una tragedia sin nombres, 5 de febrero de 2015, </w:t>
      </w:r>
      <w:hyperlink r:id="rId31">
        <w:r w:rsidRPr="00943558">
          <w:rPr>
            <w:rFonts w:asciiTheme="minorHAnsi" w:hAnsiTheme="minorHAnsi" w:cs="Amnesty trade gothic nc"/>
            <w:sz w:val="15"/>
            <w:szCs w:val="15"/>
          </w:rPr>
          <w:t>www.</w:t>
        </w:r>
      </w:hyperlink>
      <w:hyperlink r:id="rId32">
        <w:r w:rsidRPr="00943558">
          <w:rPr>
            <w:rFonts w:asciiTheme="minorHAnsi" w:hAnsiTheme="minorHAnsi" w:cs="Amnesty trade gothic nc"/>
            <w:sz w:val="15"/>
            <w:szCs w:val="15"/>
          </w:rPr>
          <w:t>es.amnesty.org/en-que-estamos/blog/historia/articulo/el-tarajal-historia-de-una-tragedia-sin-nombres/</w:t>
        </w:r>
      </w:hyperlink>
      <w:r w:rsidRPr="00943558">
        <w:rPr>
          <w:rFonts w:asciiTheme="minorHAnsi" w:hAnsiTheme="minorHAnsi" w:cs="Amnesty trade gothic nc"/>
          <w:sz w:val="15"/>
          <w:szCs w:val="15"/>
        </w:rPr>
        <w:t xml:space="preserve">  </w:t>
      </w:r>
      <w:r w:rsidRPr="00943558">
        <w:rPr>
          <w:rFonts w:asciiTheme="minorHAnsi" w:hAnsiTheme="minorHAnsi"/>
          <w:sz w:val="15"/>
          <w:szCs w:val="15"/>
        </w:rPr>
        <w:t xml:space="preserve"> </w:t>
      </w:r>
    </w:p>
  </w:footnote>
  <w:footnote w:id="78">
    <w:p w14:paraId="3A079127" w14:textId="5871C8FC" w:rsidR="00986EC5" w:rsidRPr="00943558" w:rsidRDefault="00986EC5" w:rsidP="00173A7A">
      <w:pPr>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cs="Amnesty trade gothic nc"/>
          <w:sz w:val="15"/>
          <w:szCs w:val="15"/>
        </w:rPr>
        <w:t xml:space="preserve"> Amnistía Internacional pide al Estado que se revise la utilización de las pelotas de goma por todas las Fuerzas de Seguridad, 13 de abril de 2012, </w:t>
      </w:r>
      <w:hyperlink r:id="rId33">
        <w:r w:rsidRPr="00943558">
          <w:rPr>
            <w:rFonts w:asciiTheme="minorHAnsi" w:hAnsiTheme="minorHAnsi" w:cs="Amnesty trade gothic nc"/>
            <w:sz w:val="15"/>
            <w:szCs w:val="15"/>
          </w:rPr>
          <w:t>https://www.es.amnesty.org/en-que-estamos/noticias/noticia/articulo/amnistia-internacional-pide-al-estado-que-se-revise-la-utilizacion-de-las-pelotas-de-goma-por-todas/</w:t>
        </w:r>
      </w:hyperlink>
      <w:r w:rsidRPr="00943558">
        <w:rPr>
          <w:rFonts w:asciiTheme="minorHAnsi" w:hAnsiTheme="minorHAnsi" w:cs="Amnesty trade gothic nc"/>
          <w:sz w:val="15"/>
          <w:szCs w:val="15"/>
        </w:rPr>
        <w:t xml:space="preserve"> ; Amnistía Internacional, España: El derecho a protestar, amenazado, 24 de abril de 2014, Índice: EUR 41/001/2014, </w:t>
      </w:r>
      <w:hyperlink r:id="rId34">
        <w:r w:rsidRPr="00943558">
          <w:rPr>
            <w:rFonts w:asciiTheme="minorHAnsi" w:hAnsiTheme="minorHAnsi" w:cs="Amnesty trade gothic nc"/>
            <w:sz w:val="15"/>
            <w:szCs w:val="15"/>
          </w:rPr>
          <w:t>https://www.amnesty.org/es/documents/eur41/001/2014/es</w:t>
        </w:r>
      </w:hyperlink>
      <w:r w:rsidR="008A534A">
        <w:rPr>
          <w:rFonts w:asciiTheme="minorHAnsi" w:hAnsiTheme="minorHAnsi"/>
          <w:sz w:val="15"/>
          <w:szCs w:val="15"/>
        </w:rPr>
        <w:t xml:space="preserve"> </w:t>
      </w:r>
    </w:p>
  </w:footnote>
  <w:footnote w:id="79">
    <w:p w14:paraId="4F5846CE" w14:textId="77777777" w:rsidR="00986EC5" w:rsidRPr="00943558" w:rsidRDefault="00986EC5" w:rsidP="00173A7A">
      <w:pPr>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cs="Amnesty trade gothic nc"/>
          <w:sz w:val="15"/>
          <w:szCs w:val="15"/>
        </w:rPr>
        <w:t xml:space="preserve"> Stop Balas de Goma (citado supra), p. 65.</w:t>
      </w:r>
    </w:p>
  </w:footnote>
  <w:footnote w:id="80">
    <w:p w14:paraId="08A12B2D" w14:textId="77777777" w:rsidR="00986EC5" w:rsidRPr="00943558" w:rsidRDefault="00986EC5" w:rsidP="00173A7A">
      <w:pPr>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cs="Amnesty trade gothic nc"/>
          <w:sz w:val="15"/>
          <w:szCs w:val="15"/>
        </w:rPr>
        <w:t xml:space="preserve"> Así lo afirmaba el gobierno en contestación a una respuesta parlamentaria en febrero de 2018: </w:t>
      </w:r>
      <w:hyperlink r:id="rId35">
        <w:r w:rsidRPr="00943558">
          <w:rPr>
            <w:rFonts w:asciiTheme="minorHAnsi" w:hAnsiTheme="minorHAnsi" w:cs="Amnesty trade gothic nc"/>
            <w:sz w:val="15"/>
            <w:szCs w:val="15"/>
          </w:rPr>
          <w:t>https://www.congreso.es/entradap/l12p/e7/e_0077275_n_000.pdf</w:t>
        </w:r>
      </w:hyperlink>
    </w:p>
  </w:footnote>
  <w:footnote w:id="81">
    <w:p w14:paraId="2A0204C3" w14:textId="77777777" w:rsidR="00986EC5" w:rsidRPr="00943558" w:rsidRDefault="00986EC5" w:rsidP="00173A7A">
      <w:pPr>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cs="Amnesty trade gothic nc"/>
          <w:sz w:val="15"/>
          <w:szCs w:val="15"/>
        </w:rPr>
        <w:t xml:space="preserve"> Resolución de la Dirección General de la Policía de 21 de marzo de 2021.</w:t>
      </w:r>
    </w:p>
  </w:footnote>
  <w:footnote w:id="82">
    <w:p w14:paraId="2A7D7526" w14:textId="77777777" w:rsidR="00986EC5" w:rsidRPr="00943558" w:rsidRDefault="00986EC5" w:rsidP="00173A7A">
      <w:pPr>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cs="Amnesty trade gothic nc"/>
          <w:sz w:val="15"/>
          <w:szCs w:val="15"/>
        </w:rPr>
        <w:t xml:space="preserve"> Oficina del Alto Comisionado para los Derechos Humanos de las Naciones Unidas</w:t>
      </w:r>
      <w:proofErr w:type="gramStart"/>
      <w:r w:rsidRPr="00943558">
        <w:rPr>
          <w:rFonts w:asciiTheme="minorHAnsi" w:hAnsiTheme="minorHAnsi" w:cs="Amnesty trade gothic nc"/>
          <w:sz w:val="15"/>
          <w:szCs w:val="15"/>
        </w:rPr>
        <w:t>, ”Orientaciones</w:t>
      </w:r>
      <w:proofErr w:type="gramEnd"/>
      <w:r w:rsidRPr="00943558">
        <w:rPr>
          <w:rFonts w:asciiTheme="minorHAnsi" w:hAnsiTheme="minorHAnsi" w:cs="Amnesty trade gothic nc"/>
          <w:sz w:val="15"/>
          <w:szCs w:val="15"/>
        </w:rPr>
        <w:t xml:space="preserve"> de las Naciones Unidas en materia de derechos humanos sobre el empleo de armas menos letales en el mantenimiento del orden”, disponible en </w:t>
      </w:r>
      <w:hyperlink r:id="rId36">
        <w:r w:rsidRPr="00943558">
          <w:rPr>
            <w:rFonts w:asciiTheme="minorHAnsi" w:hAnsiTheme="minorHAnsi" w:cs="Amnesty trade gothic nc"/>
            <w:sz w:val="15"/>
            <w:szCs w:val="15"/>
          </w:rPr>
          <w:t>https://www.ohchr.org/sites/default/files/Documents/Publications/LLW_Guidance_SP.pdf</w:t>
        </w:r>
      </w:hyperlink>
      <w:r w:rsidRPr="00943558">
        <w:rPr>
          <w:rFonts w:asciiTheme="minorHAnsi" w:hAnsiTheme="minorHAnsi" w:cs="Amnesty trade gothic nc"/>
          <w:sz w:val="15"/>
          <w:szCs w:val="15"/>
        </w:rPr>
        <w:t xml:space="preserve">  </w:t>
      </w:r>
    </w:p>
  </w:footnote>
  <w:footnote w:id="83">
    <w:p w14:paraId="2A03F126"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Disposición adicional (nueva) de la Proposición de ley de reforma de la Ley Orgánica de Protección de la seguridad ciudadana: </w:t>
      </w:r>
      <w:hyperlink r:id="rId37" w:anchor="page=1" w:history="1">
        <w:r w:rsidRPr="00943558">
          <w:rPr>
            <w:rStyle w:val="Hyperlink"/>
            <w:rFonts w:asciiTheme="minorHAnsi" w:hAnsiTheme="minorHAnsi"/>
            <w:sz w:val="15"/>
            <w:szCs w:val="15"/>
          </w:rPr>
          <w:t>https://www.congreso.es/public_oficiales/L15/CONG/BOCG/B/BOCG-15-B-148-1.PDF#page=1</w:t>
        </w:r>
      </w:hyperlink>
      <w:r w:rsidRPr="00943558">
        <w:rPr>
          <w:rFonts w:asciiTheme="minorHAnsi" w:hAnsiTheme="minorHAnsi"/>
          <w:sz w:val="15"/>
          <w:szCs w:val="15"/>
        </w:rPr>
        <w:t xml:space="preserve"> </w:t>
      </w:r>
    </w:p>
  </w:footnote>
  <w:footnote w:id="84">
    <w:p w14:paraId="7446F713" w14:textId="05B84E83" w:rsidR="00986EC5" w:rsidRPr="00943558" w:rsidRDefault="00986EC5" w:rsidP="00173A7A">
      <w:pPr>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cs="Amnesty trade gothic nc"/>
          <w:color w:val="000000"/>
          <w:sz w:val="15"/>
          <w:szCs w:val="15"/>
        </w:rPr>
        <w:t xml:space="preserve"> Véase el comunicado de Amnistía Internacional, de 14 de marzo de 2023, “Decenas de personas muertas y miles de mutiladas por uso indebido de balas de goma por la policía”:</w:t>
      </w:r>
      <w:r w:rsidRPr="00943558">
        <w:rPr>
          <w:rFonts w:asciiTheme="minorHAnsi" w:hAnsiTheme="minorHAnsi" w:cs="Amnesty trade gothic nc"/>
          <w:sz w:val="15"/>
          <w:szCs w:val="15"/>
        </w:rPr>
        <w:t xml:space="preserve"> </w:t>
      </w:r>
      <w:hyperlink r:id="rId38">
        <w:r w:rsidRPr="00943558">
          <w:rPr>
            <w:rFonts w:asciiTheme="minorHAnsi" w:hAnsiTheme="minorHAnsi" w:cs="Amnesty trade gothic nc"/>
            <w:sz w:val="15"/>
            <w:szCs w:val="15"/>
          </w:rPr>
          <w:t>https://www.es.amnesty.org/en-que-estamos/noticias/noticia/articulo/decenas-de-personas-muertas-y-miles-de-mutiladas-por-uso-indebido-de-balas-de-goma-por-la-policia/</w:t>
        </w:r>
      </w:hyperlink>
      <w:r w:rsidR="006F7683">
        <w:rPr>
          <w:rFonts w:asciiTheme="minorHAnsi" w:hAnsiTheme="minorHAnsi"/>
          <w:sz w:val="15"/>
          <w:szCs w:val="15"/>
        </w:rPr>
        <w:t xml:space="preserve"> </w:t>
      </w:r>
      <w:r w:rsidRPr="00943558">
        <w:rPr>
          <w:rFonts w:asciiTheme="minorHAnsi" w:hAnsiTheme="minorHAnsi" w:cs="Amnesty trade gothic nc"/>
          <w:sz w:val="15"/>
          <w:szCs w:val="15"/>
        </w:rPr>
        <w:t xml:space="preserve"> </w:t>
      </w:r>
    </w:p>
  </w:footnote>
  <w:footnote w:id="85">
    <w:p w14:paraId="61817D8D"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w:t>
      </w:r>
      <w:hyperlink r:id="rId39" w:history="1">
        <w:r w:rsidRPr="00943558">
          <w:rPr>
            <w:rStyle w:val="Hyperlink"/>
            <w:rFonts w:asciiTheme="minorHAnsi" w:hAnsiTheme="minorHAnsi"/>
            <w:sz w:val="15"/>
            <w:szCs w:val="15"/>
          </w:rPr>
          <w:t>https://x.com/amnistiaespana/status/1793682942071328784</w:t>
        </w:r>
      </w:hyperlink>
      <w:r w:rsidRPr="00943558">
        <w:rPr>
          <w:rFonts w:asciiTheme="minorHAnsi" w:hAnsiTheme="minorHAnsi"/>
          <w:sz w:val="15"/>
          <w:szCs w:val="15"/>
        </w:rPr>
        <w:t xml:space="preserve"> </w:t>
      </w:r>
    </w:p>
  </w:footnote>
  <w:footnote w:id="86">
    <w:p w14:paraId="3FBA688F"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w:t>
      </w:r>
      <w:hyperlink r:id="rId40" w:history="1">
        <w:r w:rsidRPr="00943558">
          <w:rPr>
            <w:rStyle w:val="Hyperlink"/>
            <w:rFonts w:asciiTheme="minorHAnsi" w:hAnsiTheme="minorHAnsi"/>
            <w:sz w:val="15"/>
            <w:szCs w:val="15"/>
          </w:rPr>
          <w:t>https://www.iustel.com/diario_del_derecho/noticia.asp?ref_iustel=1248417</w:t>
        </w:r>
      </w:hyperlink>
      <w:r w:rsidRPr="00943558">
        <w:rPr>
          <w:rFonts w:asciiTheme="minorHAnsi" w:hAnsiTheme="minorHAnsi"/>
          <w:sz w:val="15"/>
          <w:szCs w:val="15"/>
        </w:rPr>
        <w:t xml:space="preserve"> </w:t>
      </w:r>
    </w:p>
  </w:footnote>
  <w:footnote w:id="87">
    <w:p w14:paraId="6D4A03B9"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w:t>
      </w:r>
      <w:hyperlink r:id="rId41">
        <w:r w:rsidRPr="00943558">
          <w:rPr>
            <w:rStyle w:val="Hyperlink"/>
            <w:rFonts w:asciiTheme="minorHAnsi" w:hAnsiTheme="minorHAnsi"/>
            <w:sz w:val="15"/>
            <w:szCs w:val="15"/>
          </w:rPr>
          <w:t>https://mossos.gencat.cat/web/.content/home/01_els_mossos_desquadra/eines_policials/doc/Protocol-dutilitzacio-de-les-llancadores-de-40-mm-i-dels-seus-projectils_16_07_2019-Revisio_27_10_2023-1.pdf</w:t>
        </w:r>
      </w:hyperlink>
    </w:p>
  </w:footnote>
  <w:footnote w:id="88">
    <w:p w14:paraId="4B7DBEE0"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w:t>
      </w:r>
      <w:hyperlink r:id="rId42" w:history="1">
        <w:r w:rsidRPr="00943558">
          <w:rPr>
            <w:rStyle w:val="Hyperlink"/>
            <w:rFonts w:asciiTheme="minorHAnsi" w:hAnsiTheme="minorHAnsi"/>
            <w:sz w:val="15"/>
            <w:szCs w:val="15"/>
          </w:rPr>
          <w:t>https://www.amnistiacatalunya.org/en-que-treballem/noticies-dactualitat/noticies-dactualitat/articulo/catalunya-el-nou-protocol-dus-de-llancadores-de-foam-incorpora-mes-garanties-de-respecte-dels-drets-humans/</w:t>
        </w:r>
      </w:hyperlink>
      <w:r w:rsidRPr="00943558">
        <w:rPr>
          <w:rFonts w:asciiTheme="minorHAnsi" w:hAnsiTheme="minorHAnsi"/>
          <w:sz w:val="15"/>
          <w:szCs w:val="15"/>
        </w:rPr>
        <w:t xml:space="preserve"> </w:t>
      </w:r>
    </w:p>
  </w:footnote>
  <w:footnote w:id="89">
    <w:p w14:paraId="32107C28"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w:t>
      </w:r>
      <w:hyperlink r:id="rId43" w:history="1">
        <w:r w:rsidRPr="00943558">
          <w:rPr>
            <w:rStyle w:val="Hyperlink"/>
            <w:rFonts w:asciiTheme="minorHAnsi" w:hAnsiTheme="minorHAnsi"/>
            <w:sz w:val="15"/>
            <w:szCs w:val="15"/>
          </w:rPr>
          <w:t>https://www.euskadi.eus/contenidos/informacion/comision_cont_trans_policia_pv/eu_def/adjuntos/Inf.-1_2024.-Dpto.-Seguridad.-Tolosa-Certificacion.pdf</w:t>
        </w:r>
      </w:hyperlink>
      <w:r w:rsidRPr="00943558">
        <w:rPr>
          <w:rFonts w:asciiTheme="minorHAnsi" w:hAnsiTheme="minorHAnsi"/>
          <w:sz w:val="15"/>
          <w:szCs w:val="15"/>
        </w:rPr>
        <w:t xml:space="preserve"> </w:t>
      </w:r>
    </w:p>
  </w:footnote>
  <w:footnote w:id="90">
    <w:p w14:paraId="3D77C9C5"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Ley Orgánica 1/2024, de 10 de junio, de amnistía para la normalización institucional, política y social en Cataluña: </w:t>
      </w:r>
      <w:hyperlink r:id="rId44" w:history="1">
        <w:r w:rsidRPr="00943558">
          <w:rPr>
            <w:rStyle w:val="Hyperlink"/>
            <w:rFonts w:asciiTheme="minorHAnsi" w:hAnsiTheme="minorHAnsi"/>
            <w:sz w:val="15"/>
            <w:szCs w:val="15"/>
          </w:rPr>
          <w:t>https://www.boe.es/boe/dias/2024/06/11/pdfs/BOE-A-2024-11776.pdf</w:t>
        </w:r>
      </w:hyperlink>
      <w:r w:rsidRPr="00943558">
        <w:rPr>
          <w:rFonts w:asciiTheme="minorHAnsi" w:hAnsiTheme="minorHAnsi"/>
          <w:sz w:val="15"/>
          <w:szCs w:val="15"/>
        </w:rPr>
        <w:t xml:space="preserve"> </w:t>
      </w:r>
    </w:p>
  </w:footnote>
  <w:footnote w:id="91">
    <w:p w14:paraId="37847018"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w:t>
      </w:r>
      <w:hyperlink r:id="rId45" w:history="1">
        <w:r w:rsidRPr="00943558">
          <w:rPr>
            <w:rStyle w:val="Hyperlink"/>
            <w:rFonts w:asciiTheme="minorHAnsi" w:hAnsiTheme="minorHAnsi"/>
            <w:sz w:val="15"/>
            <w:szCs w:val="15"/>
          </w:rPr>
          <w:t>https://x.com/amnistiaespana/status/1808153531112653243</w:t>
        </w:r>
      </w:hyperlink>
      <w:r w:rsidRPr="00943558">
        <w:rPr>
          <w:rFonts w:asciiTheme="minorHAnsi" w:hAnsiTheme="minorHAnsi"/>
          <w:sz w:val="15"/>
          <w:szCs w:val="15"/>
        </w:rPr>
        <w:t xml:space="preserve"> </w:t>
      </w:r>
    </w:p>
  </w:footnote>
  <w:footnote w:id="92">
    <w:p w14:paraId="6ECD2747"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w:t>
      </w:r>
      <w:hyperlink r:id="rId46" w:history="1">
        <w:r w:rsidRPr="00943558">
          <w:rPr>
            <w:rStyle w:val="Hyperlink"/>
            <w:rFonts w:asciiTheme="minorHAnsi" w:hAnsiTheme="minorHAnsi"/>
            <w:sz w:val="15"/>
            <w:szCs w:val="15"/>
          </w:rPr>
          <w:t>https://iridia.cat/es/iridia-recurre-al-supremo-la-amnistia-a-los-policias-del-1-o-por-una-aplicacion-erronea-de-la-ley/</w:t>
        </w:r>
      </w:hyperlink>
      <w:r w:rsidRPr="00943558">
        <w:rPr>
          <w:rFonts w:asciiTheme="minorHAnsi" w:hAnsiTheme="minorHAnsi"/>
          <w:sz w:val="15"/>
          <w:szCs w:val="15"/>
        </w:rPr>
        <w:t xml:space="preserve"> </w:t>
      </w:r>
    </w:p>
  </w:footnote>
  <w:footnote w:id="93">
    <w:p w14:paraId="4F68B179"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Véase la sentencia de la Gran Sala del Tribunal Europeo de Derechos Humanos en el asunto </w:t>
      </w:r>
      <w:proofErr w:type="spellStart"/>
      <w:r w:rsidRPr="00943558">
        <w:rPr>
          <w:rFonts w:asciiTheme="minorHAnsi" w:hAnsiTheme="minorHAnsi"/>
          <w:sz w:val="15"/>
          <w:szCs w:val="15"/>
        </w:rPr>
        <w:t>Bouyid</w:t>
      </w:r>
      <w:proofErr w:type="spellEnd"/>
      <w:r w:rsidRPr="00943558">
        <w:rPr>
          <w:rFonts w:asciiTheme="minorHAnsi" w:hAnsiTheme="minorHAnsi"/>
          <w:sz w:val="15"/>
          <w:szCs w:val="15"/>
        </w:rPr>
        <w:t xml:space="preserve"> c. Bélgica, de 28 de septiembre de 2015, § 101. Anteriormente, el TEDH había sentado ya este principio en casos de uso innecesario de la fuerza contra personas privadas de libertad; STEDH 10 de octubre de 2000, </w:t>
      </w:r>
      <w:proofErr w:type="spellStart"/>
      <w:r w:rsidRPr="00943558">
        <w:rPr>
          <w:rFonts w:asciiTheme="minorHAnsi" w:hAnsiTheme="minorHAnsi"/>
          <w:sz w:val="15"/>
          <w:szCs w:val="15"/>
        </w:rPr>
        <w:t>Satik</w:t>
      </w:r>
      <w:proofErr w:type="spellEnd"/>
      <w:r w:rsidRPr="00943558">
        <w:rPr>
          <w:rFonts w:asciiTheme="minorHAnsi" w:hAnsiTheme="minorHAnsi"/>
          <w:sz w:val="15"/>
          <w:szCs w:val="15"/>
        </w:rPr>
        <w:t xml:space="preserve"> c. Turquía § 54.</w:t>
      </w:r>
    </w:p>
  </w:footnote>
  <w:footnote w:id="94">
    <w:p w14:paraId="7E6D5156"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Por todas, véase la STEDH de 17 de octubre de 2006, </w:t>
      </w:r>
      <w:proofErr w:type="spellStart"/>
      <w:r w:rsidRPr="00943558">
        <w:rPr>
          <w:rFonts w:asciiTheme="minorHAnsi" w:hAnsiTheme="minorHAnsi"/>
          <w:sz w:val="15"/>
          <w:szCs w:val="15"/>
        </w:rPr>
        <w:t>Okkali</w:t>
      </w:r>
      <w:proofErr w:type="spellEnd"/>
      <w:r w:rsidRPr="00943558">
        <w:rPr>
          <w:rFonts w:asciiTheme="minorHAnsi" w:hAnsiTheme="minorHAnsi"/>
          <w:sz w:val="15"/>
          <w:szCs w:val="15"/>
        </w:rPr>
        <w:t xml:space="preserve"> c. Turquía, § 76. </w:t>
      </w:r>
    </w:p>
  </w:footnote>
  <w:footnote w:id="95">
    <w:p w14:paraId="42D63D0A"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Comité de Derechos Humanos, observación general </w:t>
      </w:r>
      <w:proofErr w:type="spellStart"/>
      <w:r w:rsidRPr="00943558">
        <w:rPr>
          <w:rFonts w:asciiTheme="minorHAnsi" w:hAnsiTheme="minorHAnsi"/>
          <w:sz w:val="15"/>
          <w:szCs w:val="15"/>
        </w:rPr>
        <w:t>nº</w:t>
      </w:r>
      <w:proofErr w:type="spellEnd"/>
      <w:r w:rsidRPr="00943558">
        <w:rPr>
          <w:rFonts w:asciiTheme="minorHAnsi" w:hAnsiTheme="minorHAnsi"/>
          <w:sz w:val="15"/>
          <w:szCs w:val="15"/>
        </w:rPr>
        <w:t xml:space="preserve"> 20 sobre el artículo 7, 44º período de sesiones, 1992, párr. 15 </w:t>
      </w:r>
    </w:p>
  </w:footnote>
  <w:footnote w:id="96">
    <w:p w14:paraId="2FF07895"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w:t>
      </w:r>
      <w:hyperlink r:id="rId47" w:history="1">
        <w:r w:rsidRPr="00943558">
          <w:rPr>
            <w:rStyle w:val="Hyperlink"/>
            <w:rFonts w:asciiTheme="minorHAnsi" w:hAnsiTheme="minorHAnsi"/>
            <w:sz w:val="15"/>
            <w:szCs w:val="15"/>
          </w:rPr>
          <w:t>https://citizenlab.ca/2022/04/catalangate-extensive-mercenary-spyware-operation-against-catalans-using-pegasus-candiru/</w:t>
        </w:r>
      </w:hyperlink>
      <w:r w:rsidRPr="00943558">
        <w:rPr>
          <w:rFonts w:asciiTheme="minorHAnsi" w:hAnsiTheme="minorHAnsi"/>
          <w:sz w:val="15"/>
          <w:szCs w:val="15"/>
        </w:rPr>
        <w:t>; https://www.amnesty.org/es/latest/news/2022/04/spain-pegasus-spyware-catalans-targeted/</w:t>
      </w:r>
    </w:p>
  </w:footnote>
  <w:footnote w:id="97">
    <w:p w14:paraId="374EBEB3" w14:textId="3A84B552"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hyperlink r:id="rId48" w:history="1">
        <w:r w:rsidR="00943558" w:rsidRPr="00943558">
          <w:rPr>
            <w:rStyle w:val="Hyperlink"/>
            <w:rFonts w:asciiTheme="minorHAnsi" w:hAnsiTheme="minorHAnsi"/>
            <w:sz w:val="15"/>
            <w:szCs w:val="15"/>
          </w:rPr>
          <w:t xml:space="preserve"> https://catalonia.citizenlab.ca/es/</w:t>
        </w:r>
      </w:hyperlink>
      <w:r w:rsidRPr="00943558">
        <w:rPr>
          <w:rFonts w:asciiTheme="minorHAnsi" w:hAnsiTheme="minorHAnsi"/>
          <w:sz w:val="15"/>
          <w:szCs w:val="15"/>
        </w:rPr>
        <w:t xml:space="preserve"> </w:t>
      </w:r>
    </w:p>
  </w:footnote>
  <w:footnote w:id="98">
    <w:p w14:paraId="62F6B94F" w14:textId="4CB3ECC9"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hyperlink r:id="rId49" w:history="1">
        <w:r w:rsidR="00943558" w:rsidRPr="00943558">
          <w:rPr>
            <w:rStyle w:val="Hyperlink"/>
            <w:rFonts w:asciiTheme="minorHAnsi" w:hAnsiTheme="minorHAnsi"/>
            <w:sz w:val="15"/>
            <w:szCs w:val="15"/>
          </w:rPr>
          <w:t xml:space="preserve"> https://www.amnesty.org/es/latest/news/2022/04/spain-pegasus-spyware-catalans-targeted/</w:t>
        </w:r>
      </w:hyperlink>
      <w:r w:rsidRPr="00943558">
        <w:rPr>
          <w:rFonts w:asciiTheme="minorHAnsi" w:hAnsiTheme="minorHAnsi"/>
          <w:sz w:val="15"/>
          <w:szCs w:val="15"/>
        </w:rPr>
        <w:t xml:space="preserve"> </w:t>
      </w:r>
    </w:p>
  </w:footnote>
  <w:footnote w:id="99">
    <w:p w14:paraId="2E2FF533"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Style w:val="FootnoteReference"/>
          <w:rFonts w:asciiTheme="minorHAnsi" w:hAnsiTheme="minorHAnsi"/>
          <w:sz w:val="15"/>
          <w:szCs w:val="15"/>
        </w:rPr>
        <w:t xml:space="preserve"> </w:t>
      </w:r>
      <w:r w:rsidRPr="00943558">
        <w:rPr>
          <w:rStyle w:val="FootnoteReference"/>
          <w:rFonts w:asciiTheme="minorHAnsi" w:hAnsiTheme="minorHAnsi"/>
          <w:sz w:val="15"/>
          <w:szCs w:val="15"/>
          <w:vertAlign w:val="baseline"/>
        </w:rPr>
        <w:t>https://www.eldiario.es/catalunya/mossos-corroboran-primera-vez-espionaje-pegasus-dirigentes-erc_1_10839175.html</w:t>
      </w:r>
      <w:r w:rsidRPr="00943558">
        <w:rPr>
          <w:rFonts w:asciiTheme="minorHAnsi" w:hAnsiTheme="minorHAnsi"/>
          <w:sz w:val="15"/>
          <w:szCs w:val="15"/>
        </w:rPr>
        <w:t xml:space="preserve"> ; https://www.elperiodico.com/es/politica/20241219/mossos-espionaje-pegasus-aragones-112768819</w:t>
      </w:r>
    </w:p>
  </w:footnote>
  <w:footnote w:id="100">
    <w:p w14:paraId="00DE75C8"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https://securitylab.amnesty.org/es/case-study-the-pegasus-project/</w:t>
      </w:r>
    </w:p>
  </w:footnote>
  <w:footnote w:id="101">
    <w:p w14:paraId="71591B5F"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https://securitylab.amnesty.org/es/latest/2023/12/what-is-spyware-and-what-can-you-do-to-stay-protected/</w:t>
      </w:r>
    </w:p>
  </w:footnote>
  <w:footnote w:id="102">
    <w:p w14:paraId="027C01AE"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6C7F50">
        <w:rPr>
          <w:rFonts w:asciiTheme="minorHAnsi" w:hAnsiTheme="minorHAnsi"/>
          <w:sz w:val="15"/>
          <w:szCs w:val="15"/>
          <w:lang w:val="en-GB"/>
        </w:rPr>
        <w:t xml:space="preserve"> Amnistía Internacional: “Uncorvering the Iceberg. The digital surveillance crisis wrought by States and the private sector”. </w:t>
      </w:r>
      <w:r w:rsidRPr="00943558">
        <w:rPr>
          <w:rFonts w:asciiTheme="minorHAnsi" w:hAnsiTheme="minorHAnsi"/>
          <w:sz w:val="15"/>
          <w:szCs w:val="15"/>
        </w:rPr>
        <w:t xml:space="preserve">AI </w:t>
      </w:r>
      <w:proofErr w:type="spellStart"/>
      <w:r w:rsidRPr="00943558">
        <w:rPr>
          <w:rFonts w:asciiTheme="minorHAnsi" w:hAnsiTheme="minorHAnsi"/>
          <w:sz w:val="15"/>
          <w:szCs w:val="15"/>
        </w:rPr>
        <w:t>Index</w:t>
      </w:r>
      <w:proofErr w:type="spellEnd"/>
      <w:r w:rsidRPr="00943558">
        <w:rPr>
          <w:rFonts w:asciiTheme="minorHAnsi" w:hAnsiTheme="minorHAnsi"/>
          <w:sz w:val="15"/>
          <w:szCs w:val="15"/>
        </w:rPr>
        <w:t>: DOC 10/4491/2021</w:t>
      </w:r>
    </w:p>
  </w:footnote>
  <w:footnote w:id="103">
    <w:p w14:paraId="6A591A18"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El artículo 5.1 de la Ley 11/2002, reguladora del Centro Nacional de Inteligencia, establece que “(...) las informaciones o datos que puedan conducir al conocimiento de las anteriores materias constituyen información clasificada, con el grado de secreto, de acuerdo con lo dispuesto en la legislación reguladora de los secretos oficiales (...)”. «BOE» núm. 109, de 07/05/2002.</w:t>
      </w:r>
    </w:p>
  </w:footnote>
  <w:footnote w:id="104">
    <w:p w14:paraId="774AF92A"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Según lo dispuesto en el artículo 2.2 de la referida Ley 11/2002: “Sin perjuicio de la protección de sus actividades, la actuación del Centro Nacional de Inteligencia será sometida a control parlamentario y judicial en los términos que esta Ley y la Ley Orgánica reguladora del control judicial previo del Centro Nacional de Inteligencia determinan”. Y su artículo 12 señala que: “El control judicial previo del Centro Nacional de Inteligencia se llevará a cabo en la forma prevista en la Ley Orgánica reguladora del control judicial previo del Centro Nacional de Inteligencia, complementaria de la presente Ley”.</w:t>
      </w:r>
    </w:p>
  </w:footnote>
  <w:footnote w:id="105">
    <w:p w14:paraId="1245A710"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Artículo Único, apartado cuarto, de la Ley reguladora del control judicial del Centro Nacional de Inteligencia: “El Magistrado dispondrá lo procedente para salvaguardar la reserva de sus actuaciones, que tendrán la clasificación de secreto”.</w:t>
      </w:r>
    </w:p>
  </w:footnote>
  <w:footnote w:id="106">
    <w:p w14:paraId="1526CC62"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Ib.</w:t>
      </w:r>
    </w:p>
  </w:footnote>
  <w:footnote w:id="107">
    <w:p w14:paraId="0C7B8E97"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Amnistía Internacional: ¿Abrimos ya el candado de la Ley de Secretos Oficiales? Preocupaciones y recomendaciones de Amnistía Internacional para la tramitación de la reforma de la Ley 9/1968, de 5 de abril, sobre secretos oficiales.</w:t>
      </w:r>
    </w:p>
  </w:footnote>
  <w:footnote w:id="108">
    <w:p w14:paraId="7B19F92A"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Amnistía Internacional dirigió una comunicación a la </w:t>
      </w:r>
      <w:proofErr w:type="gramStart"/>
      <w:r w:rsidRPr="00943558">
        <w:rPr>
          <w:rFonts w:asciiTheme="minorHAnsi" w:hAnsiTheme="minorHAnsi"/>
          <w:sz w:val="15"/>
          <w:szCs w:val="15"/>
        </w:rPr>
        <w:t>Fiscalía General</w:t>
      </w:r>
      <w:proofErr w:type="gramEnd"/>
      <w:r w:rsidRPr="00943558">
        <w:rPr>
          <w:rFonts w:asciiTheme="minorHAnsi" w:hAnsiTheme="minorHAnsi"/>
          <w:sz w:val="15"/>
          <w:szCs w:val="15"/>
        </w:rPr>
        <w:t xml:space="preserve"> del Estado el 30 de octubre de 2024, manifestando su preocupación ante el incumplimiento del Ministerio Público Fiscal de promover la acción de la justicia en las investigaciones abiertas.</w:t>
      </w:r>
    </w:p>
  </w:footnote>
  <w:footnote w:id="109">
    <w:p w14:paraId="2E78B6F2"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Rueda de prensa del </w:t>
      </w:r>
      <w:proofErr w:type="gramStart"/>
      <w:r w:rsidRPr="00943558">
        <w:rPr>
          <w:rFonts w:asciiTheme="minorHAnsi" w:hAnsiTheme="minorHAnsi"/>
          <w:sz w:val="15"/>
          <w:szCs w:val="15"/>
        </w:rPr>
        <w:t>Ministro</w:t>
      </w:r>
      <w:proofErr w:type="gramEnd"/>
      <w:r w:rsidRPr="00943558">
        <w:rPr>
          <w:rFonts w:asciiTheme="minorHAnsi" w:hAnsiTheme="minorHAnsi"/>
          <w:sz w:val="15"/>
          <w:szCs w:val="15"/>
        </w:rPr>
        <w:t xml:space="preserve"> de la Presidencia el 2 de mayo de 2025. Comparecencia de la </w:t>
      </w:r>
      <w:proofErr w:type="gramStart"/>
      <w:r w:rsidRPr="00943558">
        <w:rPr>
          <w:rFonts w:asciiTheme="minorHAnsi" w:hAnsiTheme="minorHAnsi"/>
          <w:sz w:val="15"/>
          <w:szCs w:val="15"/>
        </w:rPr>
        <w:t>Ministra</w:t>
      </w:r>
      <w:proofErr w:type="gramEnd"/>
      <w:r w:rsidRPr="00943558">
        <w:rPr>
          <w:rFonts w:asciiTheme="minorHAnsi" w:hAnsiTheme="minorHAnsi"/>
          <w:sz w:val="15"/>
          <w:szCs w:val="15"/>
        </w:rPr>
        <w:t xml:space="preserve"> de Defensa en la Comisión de Defensa del Congreso de los Diputados, el 5 de mayo de 2022. Presidente del Gobierno en la sesión de control al gobierno en el Congreso de los Diputados, 11 de mayo de 2025.</w:t>
      </w:r>
    </w:p>
  </w:footnote>
  <w:footnote w:id="110">
    <w:p w14:paraId="680F30F6"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Público (17.04.2024): “</w:t>
      </w:r>
      <w:hyperlink r:id="rId50">
        <w:r w:rsidRPr="00943558">
          <w:rPr>
            <w:rStyle w:val="Hyperlink"/>
            <w:rFonts w:asciiTheme="minorHAnsi" w:hAnsiTheme="minorHAnsi"/>
            <w:sz w:val="15"/>
            <w:szCs w:val="15"/>
          </w:rPr>
          <w:t xml:space="preserve">La Fiscalía pide archivar la causa contra la exdirectora del CNI por el espionaje con Pegasus de Pere </w:t>
        </w:r>
        <w:proofErr w:type="spellStart"/>
        <w:r w:rsidRPr="00943558">
          <w:rPr>
            <w:rStyle w:val="Hyperlink"/>
            <w:rFonts w:asciiTheme="minorHAnsi" w:hAnsiTheme="minorHAnsi"/>
            <w:sz w:val="15"/>
            <w:szCs w:val="15"/>
          </w:rPr>
          <w:t>Aragonès</w:t>
        </w:r>
        <w:proofErr w:type="spellEnd"/>
      </w:hyperlink>
      <w:r w:rsidRPr="00943558">
        <w:rPr>
          <w:rFonts w:asciiTheme="minorHAnsi" w:hAnsiTheme="minorHAnsi"/>
          <w:sz w:val="15"/>
          <w:szCs w:val="15"/>
        </w:rPr>
        <w:t>”.</w:t>
      </w:r>
    </w:p>
  </w:footnote>
  <w:footnote w:id="111">
    <w:p w14:paraId="29D63F69"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SER (20.06.2024): “</w:t>
      </w:r>
      <w:hyperlink r:id="rId51">
        <w:r w:rsidRPr="00943558">
          <w:rPr>
            <w:rStyle w:val="Hyperlink"/>
            <w:rFonts w:asciiTheme="minorHAnsi" w:hAnsiTheme="minorHAnsi"/>
            <w:sz w:val="15"/>
            <w:szCs w:val="15"/>
          </w:rPr>
          <w:t xml:space="preserve">El juez del caso Pegasus pedirá el móvil de </w:t>
        </w:r>
        <w:proofErr w:type="spellStart"/>
        <w:r w:rsidRPr="00943558">
          <w:rPr>
            <w:rStyle w:val="Hyperlink"/>
            <w:rFonts w:asciiTheme="minorHAnsi" w:hAnsiTheme="minorHAnsi"/>
            <w:sz w:val="15"/>
            <w:szCs w:val="15"/>
          </w:rPr>
          <w:t>Aragonès</w:t>
        </w:r>
        <w:proofErr w:type="spellEnd"/>
        <w:r w:rsidRPr="00943558">
          <w:rPr>
            <w:rStyle w:val="Hyperlink"/>
            <w:rFonts w:asciiTheme="minorHAnsi" w:hAnsiTheme="minorHAnsi"/>
            <w:sz w:val="15"/>
            <w:szCs w:val="15"/>
          </w:rPr>
          <w:t xml:space="preserve"> esta semana y no </w:t>
        </w:r>
      </w:hyperlink>
      <w:hyperlink r:id="rId52">
        <w:r w:rsidRPr="00943558">
          <w:rPr>
            <w:rStyle w:val="Hyperlink"/>
            <w:rFonts w:asciiTheme="minorHAnsi" w:hAnsiTheme="minorHAnsi"/>
            <w:sz w:val="15"/>
            <w:szCs w:val="15"/>
          </w:rPr>
          <w:t>archiva el caso</w:t>
        </w:r>
      </w:hyperlink>
      <w:r w:rsidRPr="00943558">
        <w:rPr>
          <w:rFonts w:asciiTheme="minorHAnsi" w:hAnsiTheme="minorHAnsi"/>
          <w:sz w:val="15"/>
          <w:szCs w:val="15"/>
        </w:rPr>
        <w:t>”.</w:t>
      </w:r>
    </w:p>
  </w:footnote>
  <w:footnote w:id="112">
    <w:p w14:paraId="1B4B6428"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El diario.es (24.10.2024): “</w:t>
      </w:r>
      <w:hyperlink r:id="rId53">
        <w:r w:rsidRPr="00943558">
          <w:rPr>
            <w:rStyle w:val="Hyperlink"/>
            <w:rFonts w:asciiTheme="minorHAnsi" w:hAnsiTheme="minorHAnsi"/>
            <w:sz w:val="15"/>
            <w:szCs w:val="15"/>
          </w:rPr>
          <w:t xml:space="preserve">La Justicia mantiene imputada a la exjefa del CNI por espiar </w:t>
        </w:r>
        <w:proofErr w:type="spellStart"/>
        <w:r w:rsidRPr="00943558">
          <w:rPr>
            <w:rStyle w:val="Hyperlink"/>
            <w:rFonts w:asciiTheme="minorHAnsi" w:hAnsiTheme="minorHAnsi"/>
            <w:sz w:val="15"/>
            <w:szCs w:val="15"/>
          </w:rPr>
          <w:t>Aragonès</w:t>
        </w:r>
        <w:proofErr w:type="spellEnd"/>
        <w:r w:rsidRPr="00943558">
          <w:rPr>
            <w:rStyle w:val="Hyperlink"/>
            <w:rFonts w:asciiTheme="minorHAnsi" w:hAnsiTheme="minorHAnsi"/>
            <w:sz w:val="15"/>
            <w:szCs w:val="15"/>
          </w:rPr>
          <w:t>: “la investigación no está agotada</w:t>
        </w:r>
      </w:hyperlink>
      <w:r w:rsidRPr="00943558">
        <w:rPr>
          <w:rFonts w:asciiTheme="minorHAnsi" w:hAnsiTheme="minorHAnsi"/>
          <w:sz w:val="15"/>
          <w:szCs w:val="15"/>
        </w:rPr>
        <w:t>”.</w:t>
      </w:r>
    </w:p>
  </w:footnote>
  <w:footnote w:id="113">
    <w:p w14:paraId="364E112C"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Dos abogados que llevan varias de las causas indicaron a Amnistía Internacional en una reunión mantenida en Barcelona el 7 de mayo de 2025 que la Fiscalía se había opuesto a sus solicitudes de unificación de las causas en un mismo juzgado, igualmente a que la información derivada de investigaciones análogas pueda ser considerada en las otras causas. </w:t>
      </w:r>
    </w:p>
  </w:footnote>
  <w:footnote w:id="114">
    <w:p w14:paraId="6BF59920"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El Salto – Escuela de infiltrados, diciembre de 2023: </w:t>
      </w:r>
      <w:hyperlink r:id="rId54" w:history="1">
        <w:r w:rsidRPr="00943558">
          <w:rPr>
            <w:rFonts w:asciiTheme="minorHAnsi" w:hAnsiTheme="minorHAnsi"/>
            <w:sz w:val="15"/>
            <w:szCs w:val="15"/>
          </w:rPr>
          <w:t>https://www.elsaltodiario.com/policia/seis-infiltrados-curso-2022-2023</w:t>
        </w:r>
      </w:hyperlink>
      <w:r w:rsidRPr="00943558">
        <w:rPr>
          <w:rFonts w:asciiTheme="minorHAnsi" w:hAnsiTheme="minorHAnsi"/>
          <w:sz w:val="15"/>
          <w:szCs w:val="15"/>
        </w:rPr>
        <w:t xml:space="preserve">; La Directa - ‘Una policía se infiltra en los movimientos populares de Girona durante tres años”: </w:t>
      </w:r>
      <w:hyperlink r:id="rId55" w:history="1">
        <w:r w:rsidRPr="00943558">
          <w:rPr>
            <w:rFonts w:asciiTheme="minorHAnsi" w:hAnsiTheme="minorHAnsi"/>
            <w:sz w:val="15"/>
            <w:szCs w:val="15"/>
          </w:rPr>
          <w:t>https://directa.cat/una-policia-sinfiltra-tres-anys-en-els-moviments-populars-de-girona/</w:t>
        </w:r>
      </w:hyperlink>
      <w:r w:rsidRPr="00943558">
        <w:rPr>
          <w:rFonts w:asciiTheme="minorHAnsi" w:hAnsiTheme="minorHAnsi"/>
          <w:sz w:val="15"/>
          <w:szCs w:val="15"/>
        </w:rPr>
        <w:t>; El Salto - ‘</w:t>
      </w:r>
      <w:proofErr w:type="spellStart"/>
      <w:r w:rsidRPr="00943558">
        <w:rPr>
          <w:rFonts w:asciiTheme="minorHAnsi" w:hAnsiTheme="minorHAnsi"/>
          <w:sz w:val="15"/>
          <w:szCs w:val="15"/>
        </w:rPr>
        <w:t>Juancar</w:t>
      </w:r>
      <w:proofErr w:type="spellEnd"/>
      <w:r w:rsidRPr="00943558">
        <w:rPr>
          <w:rFonts w:asciiTheme="minorHAnsi" w:hAnsiTheme="minorHAnsi"/>
          <w:sz w:val="15"/>
          <w:szCs w:val="15"/>
        </w:rPr>
        <w:t xml:space="preserve">, otro policía infiltrado en los movimientos sociales de Madrid’, mayo de 2024: </w:t>
      </w:r>
      <w:hyperlink r:id="rId56" w:history="1">
        <w:r w:rsidRPr="00943558">
          <w:rPr>
            <w:rFonts w:asciiTheme="minorHAnsi" w:hAnsiTheme="minorHAnsi"/>
            <w:sz w:val="15"/>
            <w:szCs w:val="15"/>
          </w:rPr>
          <w:t>https://www.elsaltodiario.com/policia/policia-infiltrado-movimientos-sociales-madrid-juancar</w:t>
        </w:r>
      </w:hyperlink>
      <w:r w:rsidRPr="00943558">
        <w:rPr>
          <w:rFonts w:asciiTheme="minorHAnsi" w:hAnsiTheme="minorHAnsi"/>
          <w:sz w:val="15"/>
          <w:szCs w:val="15"/>
        </w:rPr>
        <w:t xml:space="preserve">; La Directa - ‘Dani, el segundo infiltrado del Estado para espiar al activismo’, enero de 2023: </w:t>
      </w:r>
      <w:hyperlink r:id="rId57" w:history="1">
        <w:r w:rsidRPr="00943558">
          <w:rPr>
            <w:rFonts w:asciiTheme="minorHAnsi" w:hAnsiTheme="minorHAnsi"/>
            <w:sz w:val="15"/>
            <w:szCs w:val="15"/>
          </w:rPr>
          <w:t>https://directa.cat/dani-el-segon-talp-destat-per-espiar-lactivisme/</w:t>
        </w:r>
      </w:hyperlink>
      <w:r w:rsidRPr="00943558">
        <w:rPr>
          <w:rFonts w:asciiTheme="minorHAnsi" w:hAnsiTheme="minorHAnsi"/>
          <w:sz w:val="15"/>
          <w:szCs w:val="15"/>
        </w:rPr>
        <w:t xml:space="preserve">  </w:t>
      </w:r>
    </w:p>
  </w:footnote>
  <w:footnote w:id="115">
    <w:p w14:paraId="48006027"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w:t>
      </w:r>
      <w:hyperlink r:id="rId58" w:history="1">
        <w:r w:rsidRPr="00943558">
          <w:rPr>
            <w:rStyle w:val="Hyperlink"/>
            <w:rFonts w:asciiTheme="minorHAnsi" w:hAnsiTheme="minorHAnsi"/>
            <w:sz w:val="15"/>
            <w:szCs w:val="15"/>
          </w:rPr>
          <w:t>https://iridia.cat/es/cinc-activistes-es-querellen-contra-el-policia-que-va-fer-servir-les-relacions-sexeafectives-per-infiltrar-se-als-moviments-socials-de-barcelona/</w:t>
        </w:r>
      </w:hyperlink>
      <w:r w:rsidRPr="00943558">
        <w:rPr>
          <w:rFonts w:asciiTheme="minorHAnsi" w:hAnsiTheme="minorHAnsi"/>
          <w:sz w:val="15"/>
          <w:szCs w:val="15"/>
        </w:rPr>
        <w:t xml:space="preserve"> </w:t>
      </w:r>
    </w:p>
  </w:footnote>
  <w:footnote w:id="116">
    <w:p w14:paraId="51759800"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Auto del Juzgado de Instrucción nº21 de Barcelona de fecha 19 de octubre de 2023.</w:t>
      </w:r>
    </w:p>
  </w:footnote>
  <w:footnote w:id="117">
    <w:p w14:paraId="27551E0E"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w:t>
      </w:r>
      <w:hyperlink r:id="rId59" w:history="1">
        <w:r w:rsidRPr="00943558">
          <w:rPr>
            <w:rStyle w:val="Hyperlink"/>
            <w:rFonts w:asciiTheme="minorHAnsi" w:hAnsiTheme="minorHAnsi"/>
            <w:sz w:val="15"/>
            <w:szCs w:val="15"/>
          </w:rPr>
          <w:t>https://iridia.cat/es/sinterposa-un-recurs-dempara-davant-el-tribunal-constitucional-per-les-greus-vulneracions-de-drets-vinculades-a-la-manca-dinvestigacio-de-les-infiltracions-policial/</w:t>
        </w:r>
      </w:hyperlink>
      <w:r w:rsidRPr="00943558">
        <w:rPr>
          <w:rFonts w:asciiTheme="minorHAnsi" w:hAnsiTheme="minorHAnsi"/>
          <w:sz w:val="15"/>
          <w:szCs w:val="15"/>
        </w:rPr>
        <w:t xml:space="preserve"> </w:t>
      </w:r>
    </w:p>
  </w:footnote>
  <w:footnote w:id="118">
    <w:p w14:paraId="076EC1B3"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w:t>
      </w:r>
      <w:hyperlink r:id="rId60" w:history="1">
        <w:r w:rsidRPr="00943558">
          <w:rPr>
            <w:rStyle w:val="Hyperlink"/>
            <w:rFonts w:asciiTheme="minorHAnsi" w:hAnsiTheme="minorHAnsi"/>
            <w:sz w:val="15"/>
            <w:szCs w:val="15"/>
          </w:rPr>
          <w:t>https://x.com/salellasadv/status/1881617794737008893</w:t>
        </w:r>
      </w:hyperlink>
      <w:r w:rsidRPr="00943558">
        <w:rPr>
          <w:rFonts w:asciiTheme="minorHAnsi" w:hAnsiTheme="minorHAnsi"/>
          <w:sz w:val="15"/>
          <w:szCs w:val="15"/>
        </w:rPr>
        <w:t xml:space="preserve"> </w:t>
      </w:r>
    </w:p>
  </w:footnote>
  <w:footnote w:id="119">
    <w:p w14:paraId="3F09B5DC" w14:textId="77777777" w:rsidR="00986EC5" w:rsidRPr="00943558" w:rsidRDefault="00986EC5" w:rsidP="00173A7A">
      <w:pPr>
        <w:pStyle w:val="FootnoteText"/>
        <w:rPr>
          <w:rFonts w:asciiTheme="minorHAnsi" w:hAnsiTheme="minorHAnsi"/>
          <w:sz w:val="15"/>
          <w:szCs w:val="15"/>
        </w:rPr>
      </w:pPr>
      <w:r w:rsidRPr="00943558">
        <w:rPr>
          <w:rFonts w:asciiTheme="minorHAnsi" w:hAnsiTheme="minorHAnsi"/>
          <w:sz w:val="15"/>
          <w:szCs w:val="15"/>
          <w:vertAlign w:val="superscript"/>
        </w:rPr>
        <w:footnoteRef/>
      </w:r>
      <w:r w:rsidRPr="00943558">
        <w:rPr>
          <w:rFonts w:asciiTheme="minorHAnsi" w:hAnsiTheme="minorHAnsi"/>
          <w:sz w:val="15"/>
          <w:szCs w:val="15"/>
        </w:rPr>
        <w:t xml:space="preserve"> </w:t>
      </w:r>
      <w:hyperlink r:id="rId61" w:history="1">
        <w:r w:rsidRPr="00943558">
          <w:rPr>
            <w:rStyle w:val="Hyperlink"/>
            <w:rFonts w:asciiTheme="minorHAnsi" w:hAnsiTheme="minorHAnsi"/>
            <w:sz w:val="15"/>
            <w:szCs w:val="15"/>
          </w:rPr>
          <w:t>https://x.com/amnistiaespana/status/1881750854132490308</w:t>
        </w:r>
      </w:hyperlink>
      <w:r w:rsidRPr="00943558">
        <w:rPr>
          <w:rFonts w:asciiTheme="minorHAnsi" w:hAnsiTheme="minorHAnsi"/>
          <w:sz w:val="15"/>
          <w:szCs w:val="15"/>
        </w:rPr>
        <w:t xml:space="preserve"> </w:t>
      </w:r>
    </w:p>
  </w:footnote>
  <w:footnote w:id="120">
    <w:p w14:paraId="72929DD9" w14:textId="77777777" w:rsidR="00986EC5" w:rsidRPr="00943558" w:rsidRDefault="00986EC5" w:rsidP="00173A7A">
      <w:pPr>
        <w:pStyle w:val="FootnoteText"/>
        <w:rPr>
          <w:rFonts w:asciiTheme="minorHAnsi" w:hAnsiTheme="minorHAnsi"/>
          <w:sz w:val="15"/>
          <w:szCs w:val="15"/>
        </w:rPr>
      </w:pPr>
      <w:r w:rsidRPr="00943558">
        <w:rPr>
          <w:rStyle w:val="FootnoteReference"/>
          <w:rFonts w:asciiTheme="minorHAnsi" w:hAnsiTheme="minorHAnsi"/>
          <w:sz w:val="15"/>
          <w:szCs w:val="15"/>
        </w:rPr>
        <w:footnoteRef/>
      </w:r>
      <w:r w:rsidRPr="00943558">
        <w:rPr>
          <w:rFonts w:asciiTheme="minorHAnsi" w:hAnsiTheme="minorHAnsi"/>
          <w:sz w:val="15"/>
          <w:szCs w:val="15"/>
        </w:rPr>
        <w:t xml:space="preserve"> </w:t>
      </w:r>
      <w:hyperlink r:id="rId62" w:history="1">
        <w:r w:rsidRPr="00943558">
          <w:rPr>
            <w:rStyle w:val="Hyperlink"/>
            <w:rFonts w:asciiTheme="minorHAnsi" w:hAnsiTheme="minorHAnsi"/>
            <w:sz w:val="15"/>
            <w:szCs w:val="15"/>
          </w:rPr>
          <w:t>https://www.elsaltodiario.com/valencia/rechazada-querella-tortura-ramon-policia-infiltrado-valencia</w:t>
        </w:r>
      </w:hyperlink>
      <w:r w:rsidRPr="00943558">
        <w:rPr>
          <w:rFonts w:asciiTheme="minorHAnsi" w:hAnsiTheme="minorHAnsi"/>
          <w:sz w:val="15"/>
          <w:szCs w:val="15"/>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7C4B27"/>
    <w:multiLevelType w:val="multilevel"/>
    <w:tmpl w:val="FE64D54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2" w15:restartNumberingAfterBreak="0">
    <w:nsid w:val="050F44B9"/>
    <w:multiLevelType w:val="hybridMultilevel"/>
    <w:tmpl w:val="4538FC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E760374"/>
    <w:multiLevelType w:val="hybridMultilevel"/>
    <w:tmpl w:val="2BF4AB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36A6ABA"/>
    <w:multiLevelType w:val="multilevel"/>
    <w:tmpl w:val="70F27C5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0870F02"/>
    <w:multiLevelType w:val="hybridMultilevel"/>
    <w:tmpl w:val="B0923D7E"/>
    <w:lvl w:ilvl="0" w:tplc="C3845A68">
      <w:start w:val="6"/>
      <w:numFmt w:val="bullet"/>
      <w:lvlText w:val="-"/>
      <w:lvlJc w:val="left"/>
      <w:pPr>
        <w:ind w:left="1080" w:hanging="360"/>
      </w:pPr>
      <w:rPr>
        <w:rFonts w:ascii="Amnesty Trade Gothic Light" w:eastAsia="Times New Roman" w:hAnsi="Amnesty Trade Gothic Light" w:cs="Times New Roman" w:hint="default"/>
        <w:b w:val="0"/>
        <w:color w:val="00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5764E8A"/>
    <w:multiLevelType w:val="hybridMultilevel"/>
    <w:tmpl w:val="AF12E7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9A0238A"/>
    <w:multiLevelType w:val="multilevel"/>
    <w:tmpl w:val="533ED282"/>
    <w:lvl w:ilvl="0">
      <w:start w:val="1"/>
      <w:numFmt w:val="bullet"/>
      <w:lvlText w:val=""/>
      <w:lvlJc w:val="left"/>
      <w:pPr>
        <w:ind w:left="720" w:hanging="360"/>
      </w:pPr>
      <w:rPr>
        <w:rFonts w:ascii="Symbol" w:hAnsi="Symbol" w:cs="OpenSymbol" w:hint="default"/>
        <w:sz w:val="20"/>
      </w:rPr>
    </w:lvl>
    <w:lvl w:ilvl="1">
      <w:start w:val="1"/>
      <w:numFmt w:val="bullet"/>
      <w:lvlText w:val="◦"/>
      <w:lvlJc w:val="left"/>
      <w:pPr>
        <w:ind w:left="1080" w:hanging="360"/>
      </w:pPr>
      <w:rPr>
        <w:rFonts w:ascii="OpenSymbol" w:hAnsi="OpenSymbol" w:cs="OpenSymbol" w:hint="default"/>
        <w:sz w:val="20"/>
      </w:rPr>
    </w:lvl>
    <w:lvl w:ilvl="2">
      <w:start w:val="1"/>
      <w:numFmt w:val="bullet"/>
      <w:lvlText w:val="▪"/>
      <w:lvlJc w:val="left"/>
      <w:pPr>
        <w:ind w:left="1440" w:hanging="360"/>
      </w:pPr>
      <w:rPr>
        <w:rFonts w:ascii="OpenSymbol" w:hAnsi="OpenSymbol" w:cs="OpenSymbol" w:hint="default"/>
      </w:rPr>
    </w:lvl>
    <w:lvl w:ilvl="3">
      <w:start w:val="1"/>
      <w:numFmt w:val="bullet"/>
      <w:lvlText w:val=""/>
      <w:lvlJc w:val="left"/>
      <w:pPr>
        <w:ind w:left="1800" w:hanging="360"/>
      </w:pPr>
      <w:rPr>
        <w:rFonts w:ascii="Symbol" w:hAnsi="Symbol" w:cs="OpenSymbol" w:hint="default"/>
      </w:rPr>
    </w:lvl>
    <w:lvl w:ilvl="4">
      <w:start w:val="1"/>
      <w:numFmt w:val="bullet"/>
      <w:lvlText w:val="◦"/>
      <w:lvlJc w:val="left"/>
      <w:pPr>
        <w:ind w:left="2160" w:hanging="360"/>
      </w:pPr>
      <w:rPr>
        <w:rFonts w:ascii="OpenSymbol" w:hAnsi="OpenSymbol" w:cs="OpenSymbol" w:hint="default"/>
      </w:rPr>
    </w:lvl>
    <w:lvl w:ilvl="5">
      <w:start w:val="1"/>
      <w:numFmt w:val="bullet"/>
      <w:lvlText w:val="▪"/>
      <w:lvlJc w:val="left"/>
      <w:pPr>
        <w:ind w:left="2520" w:hanging="360"/>
      </w:pPr>
      <w:rPr>
        <w:rFonts w:ascii="OpenSymbol" w:hAnsi="OpenSymbol" w:cs="OpenSymbol" w:hint="default"/>
      </w:rPr>
    </w:lvl>
    <w:lvl w:ilvl="6">
      <w:start w:val="1"/>
      <w:numFmt w:val="bullet"/>
      <w:lvlText w:val=""/>
      <w:lvlJc w:val="left"/>
      <w:pPr>
        <w:ind w:left="2880" w:hanging="360"/>
      </w:pPr>
      <w:rPr>
        <w:rFonts w:ascii="Symbol" w:hAnsi="Symbol" w:cs="OpenSymbol" w:hint="default"/>
      </w:rPr>
    </w:lvl>
    <w:lvl w:ilvl="7">
      <w:start w:val="1"/>
      <w:numFmt w:val="bullet"/>
      <w:lvlText w:val="◦"/>
      <w:lvlJc w:val="left"/>
      <w:pPr>
        <w:ind w:left="3240" w:hanging="360"/>
      </w:pPr>
      <w:rPr>
        <w:rFonts w:ascii="OpenSymbol" w:hAnsi="OpenSymbol" w:cs="OpenSymbol" w:hint="default"/>
      </w:rPr>
    </w:lvl>
    <w:lvl w:ilvl="8">
      <w:start w:val="1"/>
      <w:numFmt w:val="bullet"/>
      <w:lvlText w:val="▪"/>
      <w:lvlJc w:val="left"/>
      <w:pPr>
        <w:ind w:left="3600" w:hanging="360"/>
      </w:pPr>
      <w:rPr>
        <w:rFonts w:ascii="OpenSymbol" w:hAnsi="OpenSymbol" w:cs="OpenSymbol" w:hint="default"/>
      </w:rPr>
    </w:lvl>
  </w:abstractNum>
  <w:abstractNum w:abstractNumId="22"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FC148ED"/>
    <w:multiLevelType w:val="multilevel"/>
    <w:tmpl w:val="C0A88056"/>
    <w:lvl w:ilvl="0">
      <w:start w:val="1"/>
      <w:numFmt w:val="bullet"/>
      <w:lvlText w:val=""/>
      <w:lvlJc w:val="left"/>
      <w:pPr>
        <w:tabs>
          <w:tab w:val="num" w:pos="787"/>
        </w:tabs>
        <w:ind w:left="787" w:hanging="360"/>
      </w:pPr>
      <w:rPr>
        <w:rFonts w:ascii="Symbol" w:hAnsi="Symbol" w:cs="Symbol" w:hint="default"/>
      </w:rPr>
    </w:lvl>
    <w:lvl w:ilvl="1">
      <w:start w:val="1"/>
      <w:numFmt w:val="bullet"/>
      <w:lvlText w:val="◦"/>
      <w:lvlJc w:val="left"/>
      <w:pPr>
        <w:tabs>
          <w:tab w:val="num" w:pos="1147"/>
        </w:tabs>
        <w:ind w:left="1147" w:hanging="360"/>
      </w:pPr>
      <w:rPr>
        <w:rFonts w:ascii="OpenSymbol" w:hAnsi="OpenSymbol" w:cs="OpenSymbol" w:hint="default"/>
      </w:rPr>
    </w:lvl>
    <w:lvl w:ilvl="2">
      <w:start w:val="1"/>
      <w:numFmt w:val="bullet"/>
      <w:lvlText w:val="▪"/>
      <w:lvlJc w:val="left"/>
      <w:pPr>
        <w:tabs>
          <w:tab w:val="num" w:pos="1507"/>
        </w:tabs>
        <w:ind w:left="1507" w:hanging="360"/>
      </w:pPr>
      <w:rPr>
        <w:rFonts w:ascii="OpenSymbol" w:hAnsi="OpenSymbol" w:cs="OpenSymbol" w:hint="default"/>
      </w:rPr>
    </w:lvl>
    <w:lvl w:ilvl="3">
      <w:start w:val="1"/>
      <w:numFmt w:val="bullet"/>
      <w:lvlText w:val=""/>
      <w:lvlJc w:val="left"/>
      <w:pPr>
        <w:tabs>
          <w:tab w:val="num" w:pos="1867"/>
        </w:tabs>
        <w:ind w:left="1867" w:hanging="360"/>
      </w:pPr>
      <w:rPr>
        <w:rFonts w:ascii="Symbol" w:hAnsi="Symbol" w:cs="Symbol" w:hint="default"/>
      </w:rPr>
    </w:lvl>
    <w:lvl w:ilvl="4">
      <w:start w:val="1"/>
      <w:numFmt w:val="bullet"/>
      <w:lvlText w:val="◦"/>
      <w:lvlJc w:val="left"/>
      <w:pPr>
        <w:tabs>
          <w:tab w:val="num" w:pos="2227"/>
        </w:tabs>
        <w:ind w:left="2227" w:hanging="360"/>
      </w:pPr>
      <w:rPr>
        <w:rFonts w:ascii="OpenSymbol" w:hAnsi="OpenSymbol" w:cs="OpenSymbol" w:hint="default"/>
      </w:rPr>
    </w:lvl>
    <w:lvl w:ilvl="5">
      <w:start w:val="1"/>
      <w:numFmt w:val="bullet"/>
      <w:lvlText w:val="▪"/>
      <w:lvlJc w:val="left"/>
      <w:pPr>
        <w:tabs>
          <w:tab w:val="num" w:pos="2587"/>
        </w:tabs>
        <w:ind w:left="2587" w:hanging="360"/>
      </w:pPr>
      <w:rPr>
        <w:rFonts w:ascii="OpenSymbol" w:hAnsi="OpenSymbol" w:cs="OpenSymbol" w:hint="default"/>
      </w:rPr>
    </w:lvl>
    <w:lvl w:ilvl="6">
      <w:start w:val="1"/>
      <w:numFmt w:val="bullet"/>
      <w:lvlText w:val=""/>
      <w:lvlJc w:val="left"/>
      <w:pPr>
        <w:tabs>
          <w:tab w:val="num" w:pos="2947"/>
        </w:tabs>
        <w:ind w:left="2947" w:hanging="360"/>
      </w:pPr>
      <w:rPr>
        <w:rFonts w:ascii="Symbol" w:hAnsi="Symbol" w:cs="Symbol" w:hint="default"/>
      </w:rPr>
    </w:lvl>
    <w:lvl w:ilvl="7">
      <w:start w:val="1"/>
      <w:numFmt w:val="bullet"/>
      <w:lvlText w:val="◦"/>
      <w:lvlJc w:val="left"/>
      <w:pPr>
        <w:tabs>
          <w:tab w:val="num" w:pos="3307"/>
        </w:tabs>
        <w:ind w:left="3307" w:hanging="360"/>
      </w:pPr>
      <w:rPr>
        <w:rFonts w:ascii="OpenSymbol" w:hAnsi="OpenSymbol" w:cs="OpenSymbol" w:hint="default"/>
      </w:rPr>
    </w:lvl>
    <w:lvl w:ilvl="8">
      <w:start w:val="1"/>
      <w:numFmt w:val="bullet"/>
      <w:lvlText w:val="▪"/>
      <w:lvlJc w:val="left"/>
      <w:pPr>
        <w:tabs>
          <w:tab w:val="num" w:pos="3667"/>
        </w:tabs>
        <w:ind w:left="3667" w:hanging="360"/>
      </w:pPr>
      <w:rPr>
        <w:rFonts w:ascii="OpenSymbol" w:hAnsi="OpenSymbol" w:cs="OpenSymbol" w:hint="default"/>
      </w:rPr>
    </w:lvl>
  </w:abstractNum>
  <w:abstractNum w:abstractNumId="24" w15:restartNumberingAfterBreak="0">
    <w:nsid w:val="3A440A6A"/>
    <w:multiLevelType w:val="hybridMultilevel"/>
    <w:tmpl w:val="5BC62A12"/>
    <w:lvl w:ilvl="0" w:tplc="08090001">
      <w:start w:val="1"/>
      <w:numFmt w:val="bullet"/>
      <w:lvlText w:val=""/>
      <w:lvlJc w:val="left"/>
      <w:pPr>
        <w:ind w:left="1080" w:hanging="360"/>
      </w:pPr>
      <w:rPr>
        <w:rFonts w:ascii="Symbol" w:hAnsi="Symbol" w:hint="default"/>
        <w:b w:val="0"/>
        <w:color w:val="000000"/>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 w15:restartNumberingAfterBreak="0">
    <w:nsid w:val="40134D4B"/>
    <w:multiLevelType w:val="hybridMultilevel"/>
    <w:tmpl w:val="35D21E62"/>
    <w:lvl w:ilvl="0" w:tplc="08090001">
      <w:start w:val="1"/>
      <w:numFmt w:val="bullet"/>
      <w:lvlText w:val=""/>
      <w:lvlJc w:val="left"/>
      <w:pPr>
        <w:ind w:left="1080" w:hanging="360"/>
      </w:pPr>
      <w:rPr>
        <w:rFonts w:ascii="Symbol" w:hAnsi="Symbol" w:hint="default"/>
        <w:b w:val="0"/>
        <w:color w:val="000000"/>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4F6D4526"/>
    <w:multiLevelType w:val="multilevel"/>
    <w:tmpl w:val="70D2BD1A"/>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549071EB"/>
    <w:multiLevelType w:val="multilevel"/>
    <w:tmpl w:val="41B072B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8"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1063F0"/>
    <w:multiLevelType w:val="multilevel"/>
    <w:tmpl w:val="69B6E3B0"/>
    <w:lvl w:ilvl="0">
      <w:start w:val="1"/>
      <w:numFmt w:val="bullet"/>
      <w:lvlText w:val=""/>
      <w:lvlJc w:val="left"/>
      <w:pPr>
        <w:ind w:left="720" w:hanging="360"/>
      </w:pPr>
      <w:rPr>
        <w:rFonts w:ascii="Symbol" w:hAnsi="Symbol" w:cs="OpenSymbol" w:hint="default"/>
        <w:sz w:val="20"/>
      </w:rPr>
    </w:lvl>
    <w:lvl w:ilvl="1">
      <w:start w:val="1"/>
      <w:numFmt w:val="bullet"/>
      <w:lvlText w:val="◦"/>
      <w:lvlJc w:val="left"/>
      <w:pPr>
        <w:ind w:left="1080" w:hanging="360"/>
      </w:pPr>
      <w:rPr>
        <w:rFonts w:ascii="OpenSymbol" w:hAnsi="OpenSymbol" w:cs="OpenSymbol" w:hint="default"/>
      </w:rPr>
    </w:lvl>
    <w:lvl w:ilvl="2">
      <w:start w:val="1"/>
      <w:numFmt w:val="bullet"/>
      <w:lvlText w:val="▪"/>
      <w:lvlJc w:val="left"/>
      <w:pPr>
        <w:ind w:left="1440" w:hanging="360"/>
      </w:pPr>
      <w:rPr>
        <w:rFonts w:ascii="OpenSymbol" w:hAnsi="OpenSymbol" w:cs="OpenSymbol" w:hint="default"/>
      </w:rPr>
    </w:lvl>
    <w:lvl w:ilvl="3">
      <w:start w:val="1"/>
      <w:numFmt w:val="bullet"/>
      <w:lvlText w:val=""/>
      <w:lvlJc w:val="left"/>
      <w:pPr>
        <w:ind w:left="1800" w:hanging="360"/>
      </w:pPr>
      <w:rPr>
        <w:rFonts w:ascii="Symbol" w:hAnsi="Symbol" w:cs="OpenSymbol" w:hint="default"/>
      </w:rPr>
    </w:lvl>
    <w:lvl w:ilvl="4">
      <w:start w:val="1"/>
      <w:numFmt w:val="bullet"/>
      <w:lvlText w:val="◦"/>
      <w:lvlJc w:val="left"/>
      <w:pPr>
        <w:ind w:left="2160" w:hanging="360"/>
      </w:pPr>
      <w:rPr>
        <w:rFonts w:ascii="OpenSymbol" w:hAnsi="OpenSymbol" w:cs="OpenSymbol" w:hint="default"/>
      </w:rPr>
    </w:lvl>
    <w:lvl w:ilvl="5">
      <w:start w:val="1"/>
      <w:numFmt w:val="bullet"/>
      <w:lvlText w:val="▪"/>
      <w:lvlJc w:val="left"/>
      <w:pPr>
        <w:ind w:left="2520" w:hanging="360"/>
      </w:pPr>
      <w:rPr>
        <w:rFonts w:ascii="OpenSymbol" w:hAnsi="OpenSymbol" w:cs="OpenSymbol" w:hint="default"/>
      </w:rPr>
    </w:lvl>
    <w:lvl w:ilvl="6">
      <w:start w:val="1"/>
      <w:numFmt w:val="bullet"/>
      <w:lvlText w:val=""/>
      <w:lvlJc w:val="left"/>
      <w:pPr>
        <w:ind w:left="2880" w:hanging="360"/>
      </w:pPr>
      <w:rPr>
        <w:rFonts w:ascii="Symbol" w:hAnsi="Symbol" w:cs="OpenSymbol" w:hint="default"/>
      </w:rPr>
    </w:lvl>
    <w:lvl w:ilvl="7">
      <w:start w:val="1"/>
      <w:numFmt w:val="bullet"/>
      <w:lvlText w:val="◦"/>
      <w:lvlJc w:val="left"/>
      <w:pPr>
        <w:ind w:left="3240" w:hanging="360"/>
      </w:pPr>
      <w:rPr>
        <w:rFonts w:ascii="OpenSymbol" w:hAnsi="OpenSymbol" w:cs="OpenSymbol" w:hint="default"/>
      </w:rPr>
    </w:lvl>
    <w:lvl w:ilvl="8">
      <w:start w:val="1"/>
      <w:numFmt w:val="bullet"/>
      <w:lvlText w:val="▪"/>
      <w:lvlJc w:val="left"/>
      <w:pPr>
        <w:ind w:left="3600" w:hanging="360"/>
      </w:pPr>
      <w:rPr>
        <w:rFonts w:ascii="OpenSymbol" w:hAnsi="OpenSymbol" w:cs="OpenSymbol" w:hint="default"/>
      </w:rPr>
    </w:lvl>
  </w:abstractNum>
  <w:abstractNum w:abstractNumId="30"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2"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4145B"/>
    <w:multiLevelType w:val="multilevel"/>
    <w:tmpl w:val="27F4199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5" w15:restartNumberingAfterBreak="0">
    <w:nsid w:val="7D9F20EB"/>
    <w:multiLevelType w:val="multilevel"/>
    <w:tmpl w:val="1D860A4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6"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2241297">
    <w:abstractNumId w:val="31"/>
  </w:num>
  <w:num w:numId="2" w16cid:durableId="1845120269">
    <w:abstractNumId w:val="31"/>
  </w:num>
  <w:num w:numId="3" w16cid:durableId="700670234">
    <w:abstractNumId w:val="31"/>
  </w:num>
  <w:num w:numId="4" w16cid:durableId="2079358483">
    <w:abstractNumId w:val="31"/>
  </w:num>
  <w:num w:numId="5" w16cid:durableId="360978569">
    <w:abstractNumId w:val="31"/>
  </w:num>
  <w:num w:numId="6" w16cid:durableId="1905993544">
    <w:abstractNumId w:val="31"/>
  </w:num>
  <w:num w:numId="7" w16cid:durableId="1584683519">
    <w:abstractNumId w:val="31"/>
  </w:num>
  <w:num w:numId="8" w16cid:durableId="267398835">
    <w:abstractNumId w:val="31"/>
  </w:num>
  <w:num w:numId="9" w16cid:durableId="251158617">
    <w:abstractNumId w:val="30"/>
  </w:num>
  <w:num w:numId="10" w16cid:durableId="566188561">
    <w:abstractNumId w:val="32"/>
  </w:num>
  <w:num w:numId="11" w16cid:durableId="1994799587">
    <w:abstractNumId w:val="36"/>
  </w:num>
  <w:num w:numId="12" w16cid:durableId="686298564">
    <w:abstractNumId w:val="16"/>
  </w:num>
  <w:num w:numId="13" w16cid:durableId="280772268">
    <w:abstractNumId w:val="18"/>
  </w:num>
  <w:num w:numId="14" w16cid:durableId="1187214498">
    <w:abstractNumId w:val="10"/>
  </w:num>
  <w:num w:numId="15" w16cid:durableId="1820877140">
    <w:abstractNumId w:val="13"/>
  </w:num>
  <w:num w:numId="16" w16cid:durableId="1681661153">
    <w:abstractNumId w:val="33"/>
  </w:num>
  <w:num w:numId="17" w16cid:durableId="1519082893">
    <w:abstractNumId w:val="28"/>
  </w:num>
  <w:num w:numId="18" w16cid:durableId="757361987">
    <w:abstractNumId w:val="9"/>
  </w:num>
  <w:num w:numId="19" w16cid:durableId="1029796078">
    <w:abstractNumId w:val="7"/>
  </w:num>
  <w:num w:numId="20" w16cid:durableId="329605612">
    <w:abstractNumId w:val="6"/>
  </w:num>
  <w:num w:numId="21" w16cid:durableId="1326124837">
    <w:abstractNumId w:val="5"/>
  </w:num>
  <w:num w:numId="22" w16cid:durableId="346445653">
    <w:abstractNumId w:val="4"/>
  </w:num>
  <w:num w:numId="23" w16cid:durableId="980034271">
    <w:abstractNumId w:val="8"/>
  </w:num>
  <w:num w:numId="24" w16cid:durableId="247084807">
    <w:abstractNumId w:val="3"/>
  </w:num>
  <w:num w:numId="25" w16cid:durableId="1673604902">
    <w:abstractNumId w:val="2"/>
  </w:num>
  <w:num w:numId="26" w16cid:durableId="1075472728">
    <w:abstractNumId w:val="1"/>
  </w:num>
  <w:num w:numId="27" w16cid:durableId="190264574">
    <w:abstractNumId w:val="0"/>
  </w:num>
  <w:num w:numId="28" w16cid:durableId="1916278965">
    <w:abstractNumId w:val="17"/>
  </w:num>
  <w:num w:numId="29" w16cid:durableId="1351877385">
    <w:abstractNumId w:val="26"/>
  </w:num>
  <w:num w:numId="30" w16cid:durableId="1314486596">
    <w:abstractNumId w:val="22"/>
  </w:num>
  <w:num w:numId="31" w16cid:durableId="835996049">
    <w:abstractNumId w:val="27"/>
  </w:num>
  <w:num w:numId="32" w16cid:durableId="1360737078">
    <w:abstractNumId w:val="15"/>
  </w:num>
  <w:num w:numId="33" w16cid:durableId="863596903">
    <w:abstractNumId w:val="34"/>
  </w:num>
  <w:num w:numId="34" w16cid:durableId="953906771">
    <w:abstractNumId w:val="35"/>
  </w:num>
  <w:num w:numId="35" w16cid:durableId="1771468512">
    <w:abstractNumId w:val="23"/>
  </w:num>
  <w:num w:numId="36" w16cid:durableId="49773129">
    <w:abstractNumId w:val="14"/>
  </w:num>
  <w:num w:numId="37" w16cid:durableId="1918858958">
    <w:abstractNumId w:val="29"/>
  </w:num>
  <w:num w:numId="38" w16cid:durableId="1814983668">
    <w:abstractNumId w:val="20"/>
  </w:num>
  <w:num w:numId="39" w16cid:durableId="2135631120">
    <w:abstractNumId w:val="12"/>
  </w:num>
  <w:num w:numId="40" w16cid:durableId="1892955527">
    <w:abstractNumId w:val="21"/>
  </w:num>
  <w:num w:numId="41" w16cid:durableId="1635063878">
    <w:abstractNumId w:val="19"/>
  </w:num>
  <w:num w:numId="42" w16cid:durableId="876937556">
    <w:abstractNumId w:val="24"/>
  </w:num>
  <w:num w:numId="43" w16cid:durableId="1434470464">
    <w:abstractNumId w:val="11"/>
  </w:num>
  <w:num w:numId="44" w16cid:durableId="203734918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B02"/>
    <w:rsid w:val="00000D89"/>
    <w:rsid w:val="0001250D"/>
    <w:rsid w:val="00021154"/>
    <w:rsid w:val="00021885"/>
    <w:rsid w:val="00022B80"/>
    <w:rsid w:val="000259F7"/>
    <w:rsid w:val="00025AFD"/>
    <w:rsid w:val="00031C00"/>
    <w:rsid w:val="000357E2"/>
    <w:rsid w:val="0005087E"/>
    <w:rsid w:val="00056576"/>
    <w:rsid w:val="000604C6"/>
    <w:rsid w:val="00065FFC"/>
    <w:rsid w:val="000660E7"/>
    <w:rsid w:val="0006664D"/>
    <w:rsid w:val="0006667A"/>
    <w:rsid w:val="00070657"/>
    <w:rsid w:val="0007677B"/>
    <w:rsid w:val="000808AF"/>
    <w:rsid w:val="00081537"/>
    <w:rsid w:val="0008415F"/>
    <w:rsid w:val="00085AA0"/>
    <w:rsid w:val="00090DB1"/>
    <w:rsid w:val="000922C7"/>
    <w:rsid w:val="000A1082"/>
    <w:rsid w:val="000B3317"/>
    <w:rsid w:val="000B3BD6"/>
    <w:rsid w:val="000B7EEA"/>
    <w:rsid w:val="000C2825"/>
    <w:rsid w:val="000C5B09"/>
    <w:rsid w:val="000D2BD5"/>
    <w:rsid w:val="000E083A"/>
    <w:rsid w:val="000F5DC9"/>
    <w:rsid w:val="00106694"/>
    <w:rsid w:val="001078C8"/>
    <w:rsid w:val="00112CAF"/>
    <w:rsid w:val="00113E91"/>
    <w:rsid w:val="001140D3"/>
    <w:rsid w:val="001153D5"/>
    <w:rsid w:val="00116223"/>
    <w:rsid w:val="001231E9"/>
    <w:rsid w:val="00124E0C"/>
    <w:rsid w:val="00125850"/>
    <w:rsid w:val="001263C5"/>
    <w:rsid w:val="00126A84"/>
    <w:rsid w:val="00130C4E"/>
    <w:rsid w:val="00131015"/>
    <w:rsid w:val="00132E35"/>
    <w:rsid w:val="00133535"/>
    <w:rsid w:val="00136468"/>
    <w:rsid w:val="00137621"/>
    <w:rsid w:val="00140418"/>
    <w:rsid w:val="0014349E"/>
    <w:rsid w:val="0014563D"/>
    <w:rsid w:val="0015226A"/>
    <w:rsid w:val="00154926"/>
    <w:rsid w:val="0016172B"/>
    <w:rsid w:val="00162896"/>
    <w:rsid w:val="00163908"/>
    <w:rsid w:val="0016768A"/>
    <w:rsid w:val="00173A7A"/>
    <w:rsid w:val="00176364"/>
    <w:rsid w:val="001822A9"/>
    <w:rsid w:val="00183E7F"/>
    <w:rsid w:val="00186073"/>
    <w:rsid w:val="0018795D"/>
    <w:rsid w:val="0019203A"/>
    <w:rsid w:val="00195520"/>
    <w:rsid w:val="001A03AE"/>
    <w:rsid w:val="001A0E99"/>
    <w:rsid w:val="001A1A6A"/>
    <w:rsid w:val="001B2B26"/>
    <w:rsid w:val="001C36E1"/>
    <w:rsid w:val="001C5866"/>
    <w:rsid w:val="001D411B"/>
    <w:rsid w:val="001D51A7"/>
    <w:rsid w:val="001D5317"/>
    <w:rsid w:val="001D7D31"/>
    <w:rsid w:val="001E449A"/>
    <w:rsid w:val="001E76B1"/>
    <w:rsid w:val="001E7BBB"/>
    <w:rsid w:val="001F0F4A"/>
    <w:rsid w:val="001F392A"/>
    <w:rsid w:val="001F6ADE"/>
    <w:rsid w:val="002014DA"/>
    <w:rsid w:val="00210F45"/>
    <w:rsid w:val="002146C5"/>
    <w:rsid w:val="00217DDF"/>
    <w:rsid w:val="00220669"/>
    <w:rsid w:val="0022451F"/>
    <w:rsid w:val="00231581"/>
    <w:rsid w:val="00232DD3"/>
    <w:rsid w:val="00243174"/>
    <w:rsid w:val="00244215"/>
    <w:rsid w:val="002541A8"/>
    <w:rsid w:val="00254FC0"/>
    <w:rsid w:val="002603C2"/>
    <w:rsid w:val="00262EB8"/>
    <w:rsid w:val="00263834"/>
    <w:rsid w:val="00266153"/>
    <w:rsid w:val="002710FE"/>
    <w:rsid w:val="00272FBA"/>
    <w:rsid w:val="002731B3"/>
    <w:rsid w:val="00284B69"/>
    <w:rsid w:val="002959EB"/>
    <w:rsid w:val="00295C31"/>
    <w:rsid w:val="0029650E"/>
    <w:rsid w:val="00297B06"/>
    <w:rsid w:val="002A03FA"/>
    <w:rsid w:val="002A4507"/>
    <w:rsid w:val="002A76CF"/>
    <w:rsid w:val="002B5487"/>
    <w:rsid w:val="002B5E67"/>
    <w:rsid w:val="002C1757"/>
    <w:rsid w:val="002C26F6"/>
    <w:rsid w:val="002C4B9C"/>
    <w:rsid w:val="002C4EAA"/>
    <w:rsid w:val="002C6498"/>
    <w:rsid w:val="002E05E9"/>
    <w:rsid w:val="002E4CC8"/>
    <w:rsid w:val="002E7F19"/>
    <w:rsid w:val="002F23A4"/>
    <w:rsid w:val="002F283E"/>
    <w:rsid w:val="002F5913"/>
    <w:rsid w:val="002F6FCC"/>
    <w:rsid w:val="003002FD"/>
    <w:rsid w:val="00301EE2"/>
    <w:rsid w:val="003047FD"/>
    <w:rsid w:val="00306C0E"/>
    <w:rsid w:val="0031064C"/>
    <w:rsid w:val="00311291"/>
    <w:rsid w:val="00312F9A"/>
    <w:rsid w:val="00313DC6"/>
    <w:rsid w:val="00315190"/>
    <w:rsid w:val="003159EB"/>
    <w:rsid w:val="00315AAE"/>
    <w:rsid w:val="00317C85"/>
    <w:rsid w:val="00321055"/>
    <w:rsid w:val="0032480A"/>
    <w:rsid w:val="003345F7"/>
    <w:rsid w:val="00335368"/>
    <w:rsid w:val="0033617D"/>
    <w:rsid w:val="003408CB"/>
    <w:rsid w:val="00342011"/>
    <w:rsid w:val="003454C8"/>
    <w:rsid w:val="00346173"/>
    <w:rsid w:val="00346DDB"/>
    <w:rsid w:val="0035046C"/>
    <w:rsid w:val="00350C78"/>
    <w:rsid w:val="00352EB8"/>
    <w:rsid w:val="00355567"/>
    <w:rsid w:val="003618E5"/>
    <w:rsid w:val="00363BFE"/>
    <w:rsid w:val="00364BCD"/>
    <w:rsid w:val="00365804"/>
    <w:rsid w:val="00376059"/>
    <w:rsid w:val="00391D04"/>
    <w:rsid w:val="00392F19"/>
    <w:rsid w:val="003A1382"/>
    <w:rsid w:val="003A412F"/>
    <w:rsid w:val="003A7195"/>
    <w:rsid w:val="003B1E1B"/>
    <w:rsid w:val="003B350E"/>
    <w:rsid w:val="003B366A"/>
    <w:rsid w:val="003C0F66"/>
    <w:rsid w:val="003C499F"/>
    <w:rsid w:val="003C5F3A"/>
    <w:rsid w:val="003D3442"/>
    <w:rsid w:val="003D4123"/>
    <w:rsid w:val="003D61B4"/>
    <w:rsid w:val="003E2A56"/>
    <w:rsid w:val="003E2AA1"/>
    <w:rsid w:val="003E7C09"/>
    <w:rsid w:val="003F20BF"/>
    <w:rsid w:val="003F57E4"/>
    <w:rsid w:val="003F5ED3"/>
    <w:rsid w:val="003F6CBC"/>
    <w:rsid w:val="00401691"/>
    <w:rsid w:val="00410A85"/>
    <w:rsid w:val="00413312"/>
    <w:rsid w:val="004172C3"/>
    <w:rsid w:val="0042150F"/>
    <w:rsid w:val="00423306"/>
    <w:rsid w:val="00424BBC"/>
    <w:rsid w:val="00425F1E"/>
    <w:rsid w:val="00425FE9"/>
    <w:rsid w:val="004325EC"/>
    <w:rsid w:val="00435004"/>
    <w:rsid w:val="00436B70"/>
    <w:rsid w:val="0044168B"/>
    <w:rsid w:val="00442E70"/>
    <w:rsid w:val="00457E73"/>
    <w:rsid w:val="00457F47"/>
    <w:rsid w:val="00461301"/>
    <w:rsid w:val="0046532B"/>
    <w:rsid w:val="00465463"/>
    <w:rsid w:val="00471BAD"/>
    <w:rsid w:val="004736CE"/>
    <w:rsid w:val="0048111D"/>
    <w:rsid w:val="00482BF3"/>
    <w:rsid w:val="00484563"/>
    <w:rsid w:val="004864DC"/>
    <w:rsid w:val="00486C42"/>
    <w:rsid w:val="004953E8"/>
    <w:rsid w:val="004A5972"/>
    <w:rsid w:val="004A5CF5"/>
    <w:rsid w:val="004A6A03"/>
    <w:rsid w:val="004B00C1"/>
    <w:rsid w:val="004B041C"/>
    <w:rsid w:val="004B06F7"/>
    <w:rsid w:val="004B24A7"/>
    <w:rsid w:val="004C01CF"/>
    <w:rsid w:val="004C01F4"/>
    <w:rsid w:val="004C33B2"/>
    <w:rsid w:val="004C5791"/>
    <w:rsid w:val="004C6D9E"/>
    <w:rsid w:val="004D279E"/>
    <w:rsid w:val="004D2A5B"/>
    <w:rsid w:val="004D2C1A"/>
    <w:rsid w:val="004E0D0A"/>
    <w:rsid w:val="004E3F54"/>
    <w:rsid w:val="004E5E19"/>
    <w:rsid w:val="004F2B82"/>
    <w:rsid w:val="004F41F5"/>
    <w:rsid w:val="00505990"/>
    <w:rsid w:val="00506088"/>
    <w:rsid w:val="00506147"/>
    <w:rsid w:val="00506C83"/>
    <w:rsid w:val="00507292"/>
    <w:rsid w:val="00507A8D"/>
    <w:rsid w:val="0051177D"/>
    <w:rsid w:val="00511B3B"/>
    <w:rsid w:val="00511F2A"/>
    <w:rsid w:val="00512576"/>
    <w:rsid w:val="005148F8"/>
    <w:rsid w:val="00514A8A"/>
    <w:rsid w:val="0051756F"/>
    <w:rsid w:val="00524A26"/>
    <w:rsid w:val="00525490"/>
    <w:rsid w:val="005309BB"/>
    <w:rsid w:val="00531BAC"/>
    <w:rsid w:val="00542848"/>
    <w:rsid w:val="00547487"/>
    <w:rsid w:val="00550480"/>
    <w:rsid w:val="00552DA7"/>
    <w:rsid w:val="005542B1"/>
    <w:rsid w:val="00556F7B"/>
    <w:rsid w:val="00560D5E"/>
    <w:rsid w:val="00562F59"/>
    <w:rsid w:val="0056576E"/>
    <w:rsid w:val="005673F7"/>
    <w:rsid w:val="005755FD"/>
    <w:rsid w:val="00575CFA"/>
    <w:rsid w:val="005761EA"/>
    <w:rsid w:val="00577572"/>
    <w:rsid w:val="005805A9"/>
    <w:rsid w:val="00580C70"/>
    <w:rsid w:val="00581876"/>
    <w:rsid w:val="00593302"/>
    <w:rsid w:val="005947CE"/>
    <w:rsid w:val="00596471"/>
    <w:rsid w:val="00597411"/>
    <w:rsid w:val="005A2CDF"/>
    <w:rsid w:val="005A4670"/>
    <w:rsid w:val="005A6C3C"/>
    <w:rsid w:val="005B0527"/>
    <w:rsid w:val="005B3B02"/>
    <w:rsid w:val="005B4CE5"/>
    <w:rsid w:val="005B6A4A"/>
    <w:rsid w:val="005C14E2"/>
    <w:rsid w:val="005C57D4"/>
    <w:rsid w:val="005C58FF"/>
    <w:rsid w:val="005D106B"/>
    <w:rsid w:val="005D3676"/>
    <w:rsid w:val="005D3A1B"/>
    <w:rsid w:val="005D5C6F"/>
    <w:rsid w:val="005E5767"/>
    <w:rsid w:val="005E6F94"/>
    <w:rsid w:val="005F5691"/>
    <w:rsid w:val="00607A4C"/>
    <w:rsid w:val="006154D8"/>
    <w:rsid w:val="00615A29"/>
    <w:rsid w:val="006164DC"/>
    <w:rsid w:val="00620197"/>
    <w:rsid w:val="00624209"/>
    <w:rsid w:val="006247AA"/>
    <w:rsid w:val="00625E6A"/>
    <w:rsid w:val="00636E70"/>
    <w:rsid w:val="0064277D"/>
    <w:rsid w:val="00651242"/>
    <w:rsid w:val="00656B9B"/>
    <w:rsid w:val="006570CD"/>
    <w:rsid w:val="0065763F"/>
    <w:rsid w:val="00661C0B"/>
    <w:rsid w:val="00662C5D"/>
    <w:rsid w:val="00663EEA"/>
    <w:rsid w:val="00666420"/>
    <w:rsid w:val="00676CAC"/>
    <w:rsid w:val="00681143"/>
    <w:rsid w:val="006820C6"/>
    <w:rsid w:val="0068394F"/>
    <w:rsid w:val="006878AC"/>
    <w:rsid w:val="00690A68"/>
    <w:rsid w:val="00691739"/>
    <w:rsid w:val="006934DD"/>
    <w:rsid w:val="0069644B"/>
    <w:rsid w:val="00696B4C"/>
    <w:rsid w:val="006A05B0"/>
    <w:rsid w:val="006A12A3"/>
    <w:rsid w:val="006A33A9"/>
    <w:rsid w:val="006A3D0F"/>
    <w:rsid w:val="006B1D9C"/>
    <w:rsid w:val="006B273B"/>
    <w:rsid w:val="006B44F3"/>
    <w:rsid w:val="006C7F50"/>
    <w:rsid w:val="006D26B1"/>
    <w:rsid w:val="006D7894"/>
    <w:rsid w:val="006E4064"/>
    <w:rsid w:val="006E5F23"/>
    <w:rsid w:val="006F2A33"/>
    <w:rsid w:val="006F41F0"/>
    <w:rsid w:val="006F4625"/>
    <w:rsid w:val="006F5182"/>
    <w:rsid w:val="006F614F"/>
    <w:rsid w:val="006F729A"/>
    <w:rsid w:val="006F7683"/>
    <w:rsid w:val="007000E2"/>
    <w:rsid w:val="00705969"/>
    <w:rsid w:val="00712C7F"/>
    <w:rsid w:val="007169C7"/>
    <w:rsid w:val="0072109E"/>
    <w:rsid w:val="00725146"/>
    <w:rsid w:val="007279B6"/>
    <w:rsid w:val="007304C2"/>
    <w:rsid w:val="00735443"/>
    <w:rsid w:val="0073651F"/>
    <w:rsid w:val="00742EE9"/>
    <w:rsid w:val="00743842"/>
    <w:rsid w:val="00751603"/>
    <w:rsid w:val="0075296D"/>
    <w:rsid w:val="0075717A"/>
    <w:rsid w:val="0075741F"/>
    <w:rsid w:val="0076197C"/>
    <w:rsid w:val="00762378"/>
    <w:rsid w:val="007706BA"/>
    <w:rsid w:val="00772F7D"/>
    <w:rsid w:val="007765EF"/>
    <w:rsid w:val="00777E96"/>
    <w:rsid w:val="00780136"/>
    <w:rsid w:val="0078125C"/>
    <w:rsid w:val="00782841"/>
    <w:rsid w:val="00782D0F"/>
    <w:rsid w:val="00784336"/>
    <w:rsid w:val="00785C64"/>
    <w:rsid w:val="00791E7E"/>
    <w:rsid w:val="007930D0"/>
    <w:rsid w:val="0079376A"/>
    <w:rsid w:val="00794ADF"/>
    <w:rsid w:val="00795C79"/>
    <w:rsid w:val="007975C7"/>
    <w:rsid w:val="00797AC1"/>
    <w:rsid w:val="007A1863"/>
    <w:rsid w:val="007A577D"/>
    <w:rsid w:val="007A579B"/>
    <w:rsid w:val="007A7750"/>
    <w:rsid w:val="007B0778"/>
    <w:rsid w:val="007B3230"/>
    <w:rsid w:val="007B7274"/>
    <w:rsid w:val="007C116E"/>
    <w:rsid w:val="007C2D0D"/>
    <w:rsid w:val="007C3D92"/>
    <w:rsid w:val="007C431D"/>
    <w:rsid w:val="007C528E"/>
    <w:rsid w:val="007C632C"/>
    <w:rsid w:val="007C6C3F"/>
    <w:rsid w:val="007D096D"/>
    <w:rsid w:val="007D1698"/>
    <w:rsid w:val="007D1AE8"/>
    <w:rsid w:val="007D2CC8"/>
    <w:rsid w:val="007E442C"/>
    <w:rsid w:val="007E4B97"/>
    <w:rsid w:val="007E5AEF"/>
    <w:rsid w:val="007F3308"/>
    <w:rsid w:val="007F3C4C"/>
    <w:rsid w:val="00800BD5"/>
    <w:rsid w:val="008027CC"/>
    <w:rsid w:val="0080466E"/>
    <w:rsid w:val="00810C01"/>
    <w:rsid w:val="008129AE"/>
    <w:rsid w:val="0081473E"/>
    <w:rsid w:val="008150CC"/>
    <w:rsid w:val="0081658E"/>
    <w:rsid w:val="00817CB7"/>
    <w:rsid w:val="00820E39"/>
    <w:rsid w:val="00821E10"/>
    <w:rsid w:val="00830B02"/>
    <w:rsid w:val="0083175A"/>
    <w:rsid w:val="008424EC"/>
    <w:rsid w:val="00842FBC"/>
    <w:rsid w:val="00844605"/>
    <w:rsid w:val="00844B14"/>
    <w:rsid w:val="008453D1"/>
    <w:rsid w:val="008532A2"/>
    <w:rsid w:val="0086029C"/>
    <w:rsid w:val="0086048F"/>
    <w:rsid w:val="0086381A"/>
    <w:rsid w:val="00864E37"/>
    <w:rsid w:val="00865E1A"/>
    <w:rsid w:val="008732DF"/>
    <w:rsid w:val="008767CB"/>
    <w:rsid w:val="00881CC4"/>
    <w:rsid w:val="00882303"/>
    <w:rsid w:val="00885D28"/>
    <w:rsid w:val="008946FB"/>
    <w:rsid w:val="00895609"/>
    <w:rsid w:val="008A2963"/>
    <w:rsid w:val="008A534A"/>
    <w:rsid w:val="008A607B"/>
    <w:rsid w:val="008A6AAA"/>
    <w:rsid w:val="008B1FF0"/>
    <w:rsid w:val="008B241C"/>
    <w:rsid w:val="008B3697"/>
    <w:rsid w:val="008C2E1E"/>
    <w:rsid w:val="008C5E2A"/>
    <w:rsid w:val="008D0969"/>
    <w:rsid w:val="008D157E"/>
    <w:rsid w:val="008D2844"/>
    <w:rsid w:val="008D738F"/>
    <w:rsid w:val="008E169D"/>
    <w:rsid w:val="008E24AA"/>
    <w:rsid w:val="008E6226"/>
    <w:rsid w:val="008E7903"/>
    <w:rsid w:val="008E7CF2"/>
    <w:rsid w:val="008F138A"/>
    <w:rsid w:val="008F20A9"/>
    <w:rsid w:val="008F73F6"/>
    <w:rsid w:val="00900248"/>
    <w:rsid w:val="00902F16"/>
    <w:rsid w:val="009055DA"/>
    <w:rsid w:val="009071EE"/>
    <w:rsid w:val="00917A5A"/>
    <w:rsid w:val="009254DD"/>
    <w:rsid w:val="00941599"/>
    <w:rsid w:val="00943558"/>
    <w:rsid w:val="0094564F"/>
    <w:rsid w:val="0094789C"/>
    <w:rsid w:val="00947912"/>
    <w:rsid w:val="00951603"/>
    <w:rsid w:val="009528CB"/>
    <w:rsid w:val="0095511C"/>
    <w:rsid w:val="0095521F"/>
    <w:rsid w:val="00961312"/>
    <w:rsid w:val="00962784"/>
    <w:rsid w:val="009645AB"/>
    <w:rsid w:val="0096741A"/>
    <w:rsid w:val="00970D4C"/>
    <w:rsid w:val="009730BD"/>
    <w:rsid w:val="00973F85"/>
    <w:rsid w:val="0098187D"/>
    <w:rsid w:val="00981DD2"/>
    <w:rsid w:val="00986EC5"/>
    <w:rsid w:val="009A0CBC"/>
    <w:rsid w:val="009A3965"/>
    <w:rsid w:val="009A44FD"/>
    <w:rsid w:val="009A6D60"/>
    <w:rsid w:val="009A6F95"/>
    <w:rsid w:val="009B141F"/>
    <w:rsid w:val="009C24A1"/>
    <w:rsid w:val="009C6598"/>
    <w:rsid w:val="009C7548"/>
    <w:rsid w:val="009D1CED"/>
    <w:rsid w:val="009D38F3"/>
    <w:rsid w:val="009E0814"/>
    <w:rsid w:val="009E3F41"/>
    <w:rsid w:val="009E5B43"/>
    <w:rsid w:val="009E5CD2"/>
    <w:rsid w:val="009E6786"/>
    <w:rsid w:val="009F20B2"/>
    <w:rsid w:val="009F603B"/>
    <w:rsid w:val="009F6BAA"/>
    <w:rsid w:val="009F7136"/>
    <w:rsid w:val="009F756E"/>
    <w:rsid w:val="009F7FE7"/>
    <w:rsid w:val="00A008E9"/>
    <w:rsid w:val="00A131DD"/>
    <w:rsid w:val="00A138BD"/>
    <w:rsid w:val="00A17087"/>
    <w:rsid w:val="00A2033A"/>
    <w:rsid w:val="00A22524"/>
    <w:rsid w:val="00A31034"/>
    <w:rsid w:val="00A354A1"/>
    <w:rsid w:val="00A361D0"/>
    <w:rsid w:val="00A373E9"/>
    <w:rsid w:val="00A41BBA"/>
    <w:rsid w:val="00A44D23"/>
    <w:rsid w:val="00A5109B"/>
    <w:rsid w:val="00A51830"/>
    <w:rsid w:val="00A52768"/>
    <w:rsid w:val="00A52E32"/>
    <w:rsid w:val="00A543A0"/>
    <w:rsid w:val="00A6153A"/>
    <w:rsid w:val="00A64BD0"/>
    <w:rsid w:val="00A72775"/>
    <w:rsid w:val="00A916B2"/>
    <w:rsid w:val="00A92C02"/>
    <w:rsid w:val="00A93A4E"/>
    <w:rsid w:val="00A96594"/>
    <w:rsid w:val="00AA354E"/>
    <w:rsid w:val="00AA45E1"/>
    <w:rsid w:val="00AA6BA7"/>
    <w:rsid w:val="00AA6C22"/>
    <w:rsid w:val="00AB0170"/>
    <w:rsid w:val="00AB0F34"/>
    <w:rsid w:val="00AB224A"/>
    <w:rsid w:val="00AB4821"/>
    <w:rsid w:val="00AC5A52"/>
    <w:rsid w:val="00AC7F90"/>
    <w:rsid w:val="00AD2583"/>
    <w:rsid w:val="00AD7989"/>
    <w:rsid w:val="00AE5421"/>
    <w:rsid w:val="00AE6573"/>
    <w:rsid w:val="00AE7D00"/>
    <w:rsid w:val="00AF0168"/>
    <w:rsid w:val="00AF3B21"/>
    <w:rsid w:val="00AF4B66"/>
    <w:rsid w:val="00B00D7A"/>
    <w:rsid w:val="00B0223B"/>
    <w:rsid w:val="00B05860"/>
    <w:rsid w:val="00B07E94"/>
    <w:rsid w:val="00B124C1"/>
    <w:rsid w:val="00B12535"/>
    <w:rsid w:val="00B13504"/>
    <w:rsid w:val="00B2691C"/>
    <w:rsid w:val="00B3222A"/>
    <w:rsid w:val="00B3369D"/>
    <w:rsid w:val="00B33BCE"/>
    <w:rsid w:val="00B42062"/>
    <w:rsid w:val="00B568BA"/>
    <w:rsid w:val="00B61AFE"/>
    <w:rsid w:val="00B632E8"/>
    <w:rsid w:val="00B64F84"/>
    <w:rsid w:val="00B702DD"/>
    <w:rsid w:val="00B7100E"/>
    <w:rsid w:val="00B772D5"/>
    <w:rsid w:val="00B80C70"/>
    <w:rsid w:val="00B81A44"/>
    <w:rsid w:val="00B830F7"/>
    <w:rsid w:val="00B838EF"/>
    <w:rsid w:val="00B93717"/>
    <w:rsid w:val="00B946FF"/>
    <w:rsid w:val="00B97309"/>
    <w:rsid w:val="00BA23EB"/>
    <w:rsid w:val="00BB031B"/>
    <w:rsid w:val="00BB1C71"/>
    <w:rsid w:val="00BC3FCB"/>
    <w:rsid w:val="00BC7BD9"/>
    <w:rsid w:val="00BD07B1"/>
    <w:rsid w:val="00BD139E"/>
    <w:rsid w:val="00BD175B"/>
    <w:rsid w:val="00BD5DF0"/>
    <w:rsid w:val="00BE030D"/>
    <w:rsid w:val="00BE10DC"/>
    <w:rsid w:val="00BE1493"/>
    <w:rsid w:val="00BE3701"/>
    <w:rsid w:val="00BE57D1"/>
    <w:rsid w:val="00BF1CC6"/>
    <w:rsid w:val="00BF2E8D"/>
    <w:rsid w:val="00BF4869"/>
    <w:rsid w:val="00BF799E"/>
    <w:rsid w:val="00C02A18"/>
    <w:rsid w:val="00C074C2"/>
    <w:rsid w:val="00C16CC3"/>
    <w:rsid w:val="00C172ED"/>
    <w:rsid w:val="00C219BE"/>
    <w:rsid w:val="00C246D9"/>
    <w:rsid w:val="00C3287C"/>
    <w:rsid w:val="00C3289F"/>
    <w:rsid w:val="00C36179"/>
    <w:rsid w:val="00C37B37"/>
    <w:rsid w:val="00C41D97"/>
    <w:rsid w:val="00C43020"/>
    <w:rsid w:val="00C46866"/>
    <w:rsid w:val="00C53C76"/>
    <w:rsid w:val="00C6112B"/>
    <w:rsid w:val="00C61BB7"/>
    <w:rsid w:val="00C6391A"/>
    <w:rsid w:val="00C63CDC"/>
    <w:rsid w:val="00C65095"/>
    <w:rsid w:val="00C6674F"/>
    <w:rsid w:val="00C738E5"/>
    <w:rsid w:val="00C824B5"/>
    <w:rsid w:val="00C8441B"/>
    <w:rsid w:val="00C9790D"/>
    <w:rsid w:val="00CA0DA3"/>
    <w:rsid w:val="00CA2524"/>
    <w:rsid w:val="00CB4453"/>
    <w:rsid w:val="00CB4F4E"/>
    <w:rsid w:val="00CC014D"/>
    <w:rsid w:val="00CE3E3F"/>
    <w:rsid w:val="00CE56F4"/>
    <w:rsid w:val="00CE795F"/>
    <w:rsid w:val="00CF1451"/>
    <w:rsid w:val="00CF1A91"/>
    <w:rsid w:val="00CF2F2F"/>
    <w:rsid w:val="00CF4A36"/>
    <w:rsid w:val="00D008BD"/>
    <w:rsid w:val="00D121AC"/>
    <w:rsid w:val="00D157EC"/>
    <w:rsid w:val="00D15AF7"/>
    <w:rsid w:val="00D172EF"/>
    <w:rsid w:val="00D2101F"/>
    <w:rsid w:val="00D22B76"/>
    <w:rsid w:val="00D262DC"/>
    <w:rsid w:val="00D3200C"/>
    <w:rsid w:val="00D32933"/>
    <w:rsid w:val="00D35769"/>
    <w:rsid w:val="00D4065A"/>
    <w:rsid w:val="00D51847"/>
    <w:rsid w:val="00D51E44"/>
    <w:rsid w:val="00D52AA7"/>
    <w:rsid w:val="00D53899"/>
    <w:rsid w:val="00D55FA8"/>
    <w:rsid w:val="00D60846"/>
    <w:rsid w:val="00D6093F"/>
    <w:rsid w:val="00D6346E"/>
    <w:rsid w:val="00D70E36"/>
    <w:rsid w:val="00D7128C"/>
    <w:rsid w:val="00D73A4B"/>
    <w:rsid w:val="00D80EE1"/>
    <w:rsid w:val="00D81E9E"/>
    <w:rsid w:val="00D90830"/>
    <w:rsid w:val="00D929FA"/>
    <w:rsid w:val="00DA7998"/>
    <w:rsid w:val="00DB64F9"/>
    <w:rsid w:val="00DB6939"/>
    <w:rsid w:val="00DB6ED7"/>
    <w:rsid w:val="00DC5C46"/>
    <w:rsid w:val="00DC7082"/>
    <w:rsid w:val="00DD3CCC"/>
    <w:rsid w:val="00DE06BC"/>
    <w:rsid w:val="00DE19B7"/>
    <w:rsid w:val="00DF132C"/>
    <w:rsid w:val="00DF2D2B"/>
    <w:rsid w:val="00DF3C9E"/>
    <w:rsid w:val="00DF585A"/>
    <w:rsid w:val="00DF7982"/>
    <w:rsid w:val="00E02FEE"/>
    <w:rsid w:val="00E049FE"/>
    <w:rsid w:val="00E056B3"/>
    <w:rsid w:val="00E105E7"/>
    <w:rsid w:val="00E1141E"/>
    <w:rsid w:val="00E226FA"/>
    <w:rsid w:val="00E230C4"/>
    <w:rsid w:val="00E24A2D"/>
    <w:rsid w:val="00E3223D"/>
    <w:rsid w:val="00E33427"/>
    <w:rsid w:val="00E350B8"/>
    <w:rsid w:val="00E3733D"/>
    <w:rsid w:val="00E46ACE"/>
    <w:rsid w:val="00E50346"/>
    <w:rsid w:val="00E50DC9"/>
    <w:rsid w:val="00E60E45"/>
    <w:rsid w:val="00E630D5"/>
    <w:rsid w:val="00E64EB5"/>
    <w:rsid w:val="00E660B6"/>
    <w:rsid w:val="00E672DC"/>
    <w:rsid w:val="00E764BD"/>
    <w:rsid w:val="00E816B7"/>
    <w:rsid w:val="00E83100"/>
    <w:rsid w:val="00E91854"/>
    <w:rsid w:val="00E92348"/>
    <w:rsid w:val="00E93F77"/>
    <w:rsid w:val="00E9433D"/>
    <w:rsid w:val="00E96BCC"/>
    <w:rsid w:val="00EA1109"/>
    <w:rsid w:val="00EA243E"/>
    <w:rsid w:val="00EA3C51"/>
    <w:rsid w:val="00EA643D"/>
    <w:rsid w:val="00EA6B7F"/>
    <w:rsid w:val="00EB4A4A"/>
    <w:rsid w:val="00EB5121"/>
    <w:rsid w:val="00EB527B"/>
    <w:rsid w:val="00EC41A9"/>
    <w:rsid w:val="00EC462E"/>
    <w:rsid w:val="00EC4F29"/>
    <w:rsid w:val="00ED183A"/>
    <w:rsid w:val="00ED4369"/>
    <w:rsid w:val="00ED4CC7"/>
    <w:rsid w:val="00ED4D01"/>
    <w:rsid w:val="00ED770F"/>
    <w:rsid w:val="00EE02A8"/>
    <w:rsid w:val="00EE3C56"/>
    <w:rsid w:val="00EE5B8A"/>
    <w:rsid w:val="00EE686B"/>
    <w:rsid w:val="00EE7F7B"/>
    <w:rsid w:val="00EF1389"/>
    <w:rsid w:val="00EF1CA2"/>
    <w:rsid w:val="00F06EBF"/>
    <w:rsid w:val="00F1413C"/>
    <w:rsid w:val="00F146AD"/>
    <w:rsid w:val="00F15084"/>
    <w:rsid w:val="00F16B15"/>
    <w:rsid w:val="00F234FC"/>
    <w:rsid w:val="00F23ABE"/>
    <w:rsid w:val="00F26799"/>
    <w:rsid w:val="00F30C72"/>
    <w:rsid w:val="00F3427D"/>
    <w:rsid w:val="00F374C5"/>
    <w:rsid w:val="00F407E1"/>
    <w:rsid w:val="00F41217"/>
    <w:rsid w:val="00F41619"/>
    <w:rsid w:val="00F47693"/>
    <w:rsid w:val="00F47ABC"/>
    <w:rsid w:val="00F507D3"/>
    <w:rsid w:val="00F52821"/>
    <w:rsid w:val="00F54B00"/>
    <w:rsid w:val="00F60155"/>
    <w:rsid w:val="00F60EFF"/>
    <w:rsid w:val="00F708A6"/>
    <w:rsid w:val="00F73053"/>
    <w:rsid w:val="00F8352C"/>
    <w:rsid w:val="00F8479C"/>
    <w:rsid w:val="00F84C25"/>
    <w:rsid w:val="00F87828"/>
    <w:rsid w:val="00F91C6C"/>
    <w:rsid w:val="00F95BFA"/>
    <w:rsid w:val="00FA29BD"/>
    <w:rsid w:val="00FA57B9"/>
    <w:rsid w:val="00FB221B"/>
    <w:rsid w:val="00FB7091"/>
    <w:rsid w:val="00FB74B0"/>
    <w:rsid w:val="00FC714D"/>
    <w:rsid w:val="00FD0454"/>
    <w:rsid w:val="00FE0EE7"/>
    <w:rsid w:val="00FE2105"/>
    <w:rsid w:val="00FE27DA"/>
    <w:rsid w:val="00FE3EC1"/>
    <w:rsid w:val="00FE7394"/>
    <w:rsid w:val="00FF09EE"/>
    <w:rsid w:val="00FF571D"/>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HAnsi" w:hAnsi="Amnesty Trade Gothic Light" w:cs="Arial"/>
        <w:color w:val="000000" w:themeColor="text1"/>
        <w:lang w:val="es-ES"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6F614F"/>
    <w:pPr>
      <w:keepNext/>
      <w:numPr>
        <w:numId w:val="29"/>
      </w:numPr>
      <w:tabs>
        <w:tab w:val="left" w:pos="567"/>
      </w:tabs>
      <w:suppressAutoHyphens/>
      <w:spacing w:before="480" w:line="420" w:lineRule="exact"/>
      <w:ind w:left="0" w:firstLine="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6F614F"/>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E83100"/>
    <w:rPr>
      <w:sz w:val="14"/>
      <w:szCs w:val="24"/>
    </w:rPr>
  </w:style>
  <w:style w:type="character" w:customStyle="1" w:styleId="FootnoteTextChar">
    <w:name w:val="Footnote Text Char"/>
    <w:basedOn w:val="DefaultParagraphFont"/>
    <w:link w:val="FootnoteText"/>
    <w:uiPriority w:val="99"/>
    <w:semiHidden/>
    <w:rsid w:val="00E83100"/>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6F614F"/>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rPr>
  </w:style>
  <w:style w:type="character" w:styleId="FootnoteReference">
    <w:name w:val="footnote reference"/>
    <w:basedOn w:val="DefaultParagraphFont"/>
    <w:rsid w:val="00DE06BC"/>
    <w:rPr>
      <w:vertAlign w:val="superscript"/>
    </w:rPr>
  </w:style>
  <w:style w:type="table" w:styleId="TableGrid">
    <w:name w:val="Table Grid"/>
    <w:basedOn w:val="TableNormal"/>
    <w:uiPriority w:val="59"/>
    <w:rsid w:val="00EC4F2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customStyle="1" w:styleId="Mencinsinresolver1">
    <w:name w:val="Mención sin resolver1"/>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9D1CED"/>
    <w:pPr>
      <w:spacing w:line="259" w:lineRule="auto"/>
      <w:outlineLvl w:val="9"/>
    </w:pPr>
    <w:rPr>
      <w:color w:val="auto"/>
    </w:rPr>
  </w:style>
  <w:style w:type="paragraph" w:styleId="CommentText">
    <w:name w:val="annotation text"/>
    <w:basedOn w:val="Normal"/>
    <w:link w:val="CommentTextChar"/>
    <w:uiPriority w:val="99"/>
    <w:unhideWhenUsed/>
    <w:rsid w:val="00986EC5"/>
    <w:pPr>
      <w:suppressAutoHyphens/>
      <w:spacing w:after="160"/>
    </w:pPr>
    <w:rPr>
      <w:rFonts w:asciiTheme="minorHAnsi" w:hAnsiTheme="minorHAnsi" w:cstheme="minorBidi"/>
      <w:color w:val="auto"/>
      <w:kern w:val="2"/>
      <w14:ligatures w14:val="standardContextual"/>
    </w:rPr>
  </w:style>
  <w:style w:type="character" w:customStyle="1" w:styleId="CommentTextChar">
    <w:name w:val="Comment Text Char"/>
    <w:basedOn w:val="DefaultParagraphFont"/>
    <w:link w:val="CommentText"/>
    <w:uiPriority w:val="99"/>
    <w:rsid w:val="00986EC5"/>
    <w:rPr>
      <w:rFonts w:asciiTheme="minorHAnsi" w:hAnsiTheme="minorHAnsi" w:cstheme="minorBidi"/>
      <w:color w:val="auto"/>
      <w:kern w:val="2"/>
      <w14:ligatures w14:val="standardContextual"/>
    </w:rPr>
  </w:style>
  <w:style w:type="character" w:styleId="UnresolvedMention">
    <w:name w:val="Unresolved Mention"/>
    <w:basedOn w:val="DefaultParagraphFont"/>
    <w:uiPriority w:val="99"/>
    <w:semiHidden/>
    <w:unhideWhenUsed/>
    <w:rsid w:val="00986EC5"/>
    <w:rPr>
      <w:color w:val="605E5C"/>
      <w:shd w:val="clear" w:color="auto" w:fill="E1DFDD"/>
    </w:rPr>
  </w:style>
  <w:style w:type="paragraph" w:styleId="NormalWeb">
    <w:name w:val="Normal (Web)"/>
    <w:basedOn w:val="Normal"/>
    <w:uiPriority w:val="99"/>
    <w:semiHidden/>
    <w:unhideWhenUsed/>
    <w:rsid w:val="00FE0EE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75710895">
      <w:bodyDiv w:val="1"/>
      <w:marLeft w:val="0"/>
      <w:marRight w:val="0"/>
      <w:marTop w:val="0"/>
      <w:marBottom w:val="0"/>
      <w:divBdr>
        <w:top w:val="none" w:sz="0" w:space="0" w:color="auto"/>
        <w:left w:val="none" w:sz="0" w:space="0" w:color="auto"/>
        <w:bottom w:val="none" w:sz="0" w:space="0" w:color="auto"/>
        <w:right w:val="none" w:sz="0" w:space="0" w:color="auto"/>
      </w:divBdr>
    </w:div>
    <w:div w:id="1362170610">
      <w:bodyDiv w:val="1"/>
      <w:marLeft w:val="0"/>
      <w:marRight w:val="0"/>
      <w:marTop w:val="0"/>
      <w:marBottom w:val="0"/>
      <w:divBdr>
        <w:top w:val="none" w:sz="0" w:space="0" w:color="auto"/>
        <w:left w:val="none" w:sz="0" w:space="0" w:color="auto"/>
        <w:bottom w:val="none" w:sz="0" w:space="0" w:color="auto"/>
        <w:right w:val="none" w:sz="0" w:space="0" w:color="auto"/>
      </w:divBdr>
    </w:div>
    <w:div w:id="1484082700">
      <w:bodyDiv w:val="1"/>
      <w:marLeft w:val="0"/>
      <w:marRight w:val="0"/>
      <w:marTop w:val="0"/>
      <w:marBottom w:val="0"/>
      <w:divBdr>
        <w:top w:val="none" w:sz="0" w:space="0" w:color="auto"/>
        <w:left w:val="none" w:sz="0" w:space="0" w:color="auto"/>
        <w:bottom w:val="none" w:sz="0" w:space="0" w:color="auto"/>
        <w:right w:val="none" w:sz="0" w:space="0" w:color="auto"/>
      </w:divBdr>
    </w:div>
    <w:div w:id="1774783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png"/><Relationship Id="rId18" Type="http://schemas.openxmlformats.org/officeDocument/2006/relationships/hyperlink" Target="mailto:info@amnesty.org"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7.png"/><Relationship Id="rId25" Type="http://schemas.openxmlformats.org/officeDocument/2006/relationships/hyperlink" Target="https://www.amnesty.org/es/permissions/" TargetMode="External"/><Relationship Id="rId2" Type="http://schemas.openxmlformats.org/officeDocument/2006/relationships/numbering" Target="numbering.xml"/><Relationship Id="rId16" Type="http://schemas.openxmlformats.org/officeDocument/2006/relationships/image" Target="media/image6.svg"/><Relationship Id="rId20" Type="http://schemas.openxmlformats.org/officeDocument/2006/relationships/image" Target="media/image8.png"/><Relationship Id="rId29"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ariovasco.com/politica/erkoreka-asegura-menor-herido-tolosa-carga-ertzaintza-20240305170504-nt.html" TargetMode="External"/><Relationship Id="rId24" Type="http://schemas.openxmlformats.org/officeDocument/2006/relationships/hyperlink" Target="https://www.amnesty.org/es/permissions/"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www.facebook.com/AmnestyGlobal"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facebook.com/AmnestyGlobal" TargetMode="External"/><Relationship Id="rId31"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svg"/><Relationship Id="rId22" Type="http://schemas.openxmlformats.org/officeDocument/2006/relationships/hyperlink" Target="mailto:info@amnesty.org" TargetMode="External"/><Relationship Id="rId27" Type="http://schemas.openxmlformats.org/officeDocument/2006/relationships/fontTable" Target="fontTable.xml"/><Relationship Id="rId30"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poderjudicial.es/portal/site/cgpj/menuitem.65d2c4456b6ddb628e635fc1dc432ea0/?vgnextoid=006117d1fae84910VgnVCM1000004648ac0aRCRD&amp;vgnextchannel=244125aa146ab210VgnVCM100000cb34e20aRCRD&amp;vgnextfmt=default&amp;vgnextlocale=es_ES" TargetMode="External"/><Relationship Id="rId18" Type="http://schemas.openxmlformats.org/officeDocument/2006/relationships/hyperlink" Target="https://www.es.amnesty.org/en-que-estamos/noticias/noticia/articulo/ninos-que-temen-ser-adultos-el-fracaso-del-sistema-para-proteger-a-los-y-las-menores-migrantes-llegados-a-canarias/" TargetMode="External"/><Relationship Id="rId26" Type="http://schemas.openxmlformats.org/officeDocument/2006/relationships/hyperlink" Target="https://x.com/amnistiaespana/status/1833424002649383377" TargetMode="External"/><Relationship Id="rId39" Type="http://schemas.openxmlformats.org/officeDocument/2006/relationships/hyperlink" Target="https://x.com/amnistiaespana/status/1793682942071328784" TargetMode="External"/><Relationship Id="rId21" Type="http://schemas.openxmlformats.org/officeDocument/2006/relationships/hyperlink" Target="https://doc.es.amnesty.org/ms-opac/permalink/1@000036390" TargetMode="External"/><Relationship Id="rId34" Type="http://schemas.openxmlformats.org/officeDocument/2006/relationships/hyperlink" Target="https://www.amnesty.org/es/documents/eur41/001/2014/es" TargetMode="External"/><Relationship Id="rId42" Type="http://schemas.openxmlformats.org/officeDocument/2006/relationships/hyperlink" Target="https://www.amnistiacatalunya.org/en-que-treballem/noticies-dactualitat/noticies-dactualitat/articulo/catalunya-el-nou-protocol-dus-de-llancadores-de-foam-incorpora-mes-garanties-de-respecte-dels-drets-humans/" TargetMode="External"/><Relationship Id="rId47" Type="http://schemas.openxmlformats.org/officeDocument/2006/relationships/hyperlink" Target="https://citizenlab.ca/2022/04/catalangate-extensive-mercenary-spyware-operation-against-catalans-using-pegasus-candiru/" TargetMode="External"/><Relationship Id="rId50" Type="http://schemas.openxmlformats.org/officeDocument/2006/relationships/hyperlink" Target="https://www.publico.es/politica/fiscalia-pide-archivar-causa-exdirectora-cni-espionaje-pegasus-aragones.html" TargetMode="External"/><Relationship Id="rId55" Type="http://schemas.openxmlformats.org/officeDocument/2006/relationships/hyperlink" Target="https://directa.cat/una-policia-sinfiltra-tres-anys-en-els-moviments-populars-de-girona/" TargetMode="External"/><Relationship Id="rId7" Type="http://schemas.openxmlformats.org/officeDocument/2006/relationships/hyperlink" Target="https://aieti.es/espana-no-protege-lo-suficiente-a-las-victimas-de-violencia-machista-si-son-mujeres-migrantes/" TargetMode="External"/><Relationship Id="rId2" Type="http://schemas.openxmlformats.org/officeDocument/2006/relationships/hyperlink" Target="https://violenciagenero.igualdad.gob.es/violenciaEnCifras/macroencuesta2015/pdf/Macroencuesta2019_Estudio.pdf" TargetMode="External"/><Relationship Id="rId16" Type="http://schemas.openxmlformats.org/officeDocument/2006/relationships/hyperlink" Target="https://chrome-extension://efaidnbmnnnibpcajpcglclefindmkaj/https://www.es.amnesty.org/fileadmin/user_upload/Informe-Amnistia-Canarias-OPTIMIZADO.pdf" TargetMode="External"/><Relationship Id="rId29" Type="http://schemas.openxmlformats.org/officeDocument/2006/relationships/hyperlink" Target="http://www.amnesty.org/es/latest/news/2015/02/spain-ceuta-migrant-tragedy-deplorable-disregard-human-life/" TargetMode="External"/><Relationship Id="rId11" Type="http://schemas.openxmlformats.org/officeDocument/2006/relationships/hyperlink" Target="https://violenciagenero.igualdad.gob.es/marco-internacional/informesgrevio/" TargetMode="External"/><Relationship Id="rId24" Type="http://schemas.openxmlformats.org/officeDocument/2006/relationships/hyperlink" Target="https://www.boe.es/diario_boe/txt.php?id=BOE-A-2024-15429" TargetMode="External"/><Relationship Id="rId32" Type="http://schemas.openxmlformats.org/officeDocument/2006/relationships/hyperlink" Target="http://www.es.amnesty.org/en-que-estamos/blog/historia/articulo/el-tarajal-historia-de-una-tragedia-sin-nombres/" TargetMode="External"/><Relationship Id="rId37" Type="http://schemas.openxmlformats.org/officeDocument/2006/relationships/hyperlink" Target="https://www.congreso.es/public_oficiales/L15/CONG/BOCG/B/BOCG-15-B-148-1.PDF" TargetMode="External"/><Relationship Id="rId40" Type="http://schemas.openxmlformats.org/officeDocument/2006/relationships/hyperlink" Target="https://www.iustel.com/diario_del_derecho/noticia.asp?ref_iustel=1248417" TargetMode="External"/><Relationship Id="rId45" Type="http://schemas.openxmlformats.org/officeDocument/2006/relationships/hyperlink" Target="https://x.com/amnistiaespana/status/1808153531112653243" TargetMode="External"/><Relationship Id="rId53" Type="http://schemas.openxmlformats.org/officeDocument/2006/relationships/hyperlink" Target="https://www.eldiario.es/catalunya/justicia-mantiene-imputada-exjefa-cni-espiar-aragones-investigacion-no-agotada_1_11761570.html" TargetMode="External"/><Relationship Id="rId58" Type="http://schemas.openxmlformats.org/officeDocument/2006/relationships/hyperlink" Target="https://iridia.cat/es/cinc-activistes-es-querellen-contra-el-policia-que-va-fer-servir-les-relacions-sexeafectives-per-infiltrar-se-als-moviments-socials-de-barcelona/" TargetMode="External"/><Relationship Id="rId5" Type="http://schemas.openxmlformats.org/officeDocument/2006/relationships/hyperlink" Target="https://www.ine.es/jaxiT3/Tabla.htm?t=56936" TargetMode="External"/><Relationship Id="rId61" Type="http://schemas.openxmlformats.org/officeDocument/2006/relationships/hyperlink" Target="https://x.com/amnistiaespana/status/1881750854132490308" TargetMode="External"/><Relationship Id="rId19" Type="http://schemas.openxmlformats.org/officeDocument/2006/relationships/hyperlink" Target="https://doc.es.amnesty.org/ms-opac/permalink/1@000036390" TargetMode="External"/><Relationship Id="rId14" Type="http://schemas.openxmlformats.org/officeDocument/2006/relationships/hyperlink" Target="https://www.amnesty.org/es/documents/eur41/6878/2023/es/" TargetMode="External"/><Relationship Id="rId22" Type="http://schemas.openxmlformats.org/officeDocument/2006/relationships/hyperlink" Target="https://www.rtve.es/noticias/20250519/ordenan-cierre-centro-menores-gran-canaria/16587433.shtml" TargetMode="External"/><Relationship Id="rId27" Type="http://schemas.openxmlformats.org/officeDocument/2006/relationships/hyperlink" Target="https://x.com/Amnistia_Vigo/status/1928363499954262133" TargetMode="External"/><Relationship Id="rId30" Type="http://schemas.openxmlformats.org/officeDocument/2006/relationships/hyperlink" Target="http://www.amnesty.org/es/latest/news/2015/02/spain-ceuta-migrant-tragedy-deplorable-disregard-human-life/" TargetMode="External"/><Relationship Id="rId35" Type="http://schemas.openxmlformats.org/officeDocument/2006/relationships/hyperlink" Target="https://www.congreso.es/entradap/l12p/e7/e_0077275_n_000.pdf" TargetMode="External"/><Relationship Id="rId43" Type="http://schemas.openxmlformats.org/officeDocument/2006/relationships/hyperlink" Target="https://www.euskadi.eus/contenidos/informacion/comision_cont_trans_policia_pv/eu_def/adjuntos/Inf.-1_2024.-Dpto.-Seguridad.-Tolosa-Certificacion.pdf" TargetMode="External"/><Relationship Id="rId48" Type="http://schemas.openxmlformats.org/officeDocument/2006/relationships/hyperlink" Target="%20https://catalonia.citizenlab.ca/es/" TargetMode="External"/><Relationship Id="rId56" Type="http://schemas.openxmlformats.org/officeDocument/2006/relationships/hyperlink" Target="https://www.elsaltodiario.com/policia/policia-infiltrado-movimientos-sociales-madrid-juancar" TargetMode="External"/><Relationship Id="rId8" Type="http://schemas.openxmlformats.org/officeDocument/2006/relationships/hyperlink" Target="https://aieti.es/estudios-e-investigaciones/mujeres-victimas-de-violencia-de-genero-en-espana-tercer-informe-documento-de-analisis-cuantitativo/" TargetMode="External"/><Relationship Id="rId51" Type="http://schemas.openxmlformats.org/officeDocument/2006/relationships/hyperlink" Target="https://cadenaser.com/cataluna/2024/06/20/el-juez-del-caso-pegasus-no-archiva-la-causa-y-pedira-el-movil-a-aragones-para-seguir-investigando-sercat/?outputType=amp" TargetMode="External"/><Relationship Id="rId3" Type="http://schemas.openxmlformats.org/officeDocument/2006/relationships/hyperlink" Target="https://estadisticasdecriminalidad.ses.mir.es/publico/portalestadistico/publicaciones.html" TargetMode="External"/><Relationship Id="rId12" Type="http://schemas.openxmlformats.org/officeDocument/2006/relationships/hyperlink" Target="http://www.poderjudicial.es/search/AN/openDocument/31c7a04e9092690c/20200601" TargetMode="External"/><Relationship Id="rId17" Type="http://schemas.openxmlformats.org/officeDocument/2006/relationships/hyperlink" Target="https://www.es.amnesty.org/en-que-estamos/noticias/noticia/articulo/canarias-nueva-investigacion-ninos-y-ninas-que-viajan-solos-detenidos-junto-a-adultos-y-con-sus-pertenencias-confiscadas/" TargetMode="External"/><Relationship Id="rId25" Type="http://schemas.openxmlformats.org/officeDocument/2006/relationships/hyperlink" Target="https://doc.es.amnesty.org/ms-opac/recordmedia/1@000034513/object/46350/raw" TargetMode="External"/><Relationship Id="rId33" Type="http://schemas.openxmlformats.org/officeDocument/2006/relationships/hyperlink" Target="https://www.es.amnesty.org/en-que-estamos/noticias/noticia/articulo/amnistia-internacional-pide-al-estado-que-se-revise-la-utilizacion-de-las-pelotas-de-goma-por-todas/" TargetMode="External"/><Relationship Id="rId38" Type="http://schemas.openxmlformats.org/officeDocument/2006/relationships/hyperlink" Target="https://www.es.amnesty.org/en-que-estamos/noticias/noticia/articulo/decenas-de-personas-muertas-y-miles-de-mutiladas-por-uso-indebido-de-balas-de-goma-por-la-policia/" TargetMode="External"/><Relationship Id="rId46" Type="http://schemas.openxmlformats.org/officeDocument/2006/relationships/hyperlink" Target="https://iridia.cat/es/iridia-recurre-al-supremo-la-amnistia-a-los-policias-del-1-o-por-una-aplicacion-erronea-de-la-ley/" TargetMode="External"/><Relationship Id="rId59" Type="http://schemas.openxmlformats.org/officeDocument/2006/relationships/hyperlink" Target="https://iridia.cat/es/sinterposa-un-recurs-dempara-davant-el-tribunal-constitucional-per-les-greus-vulneracions-de-drets-vinculades-a-la-manca-dinvestigacio-de-les-infiltracions-policial/" TargetMode="External"/><Relationship Id="rId20" Type="http://schemas.openxmlformats.org/officeDocument/2006/relationships/hyperlink" Target="https://doc.es.amnesty.org/ms-opac/permalink/1@000036390" TargetMode="External"/><Relationship Id="rId41" Type="http://schemas.openxmlformats.org/officeDocument/2006/relationships/hyperlink" Target="https://mossos.gencat.cat/web/.content/home/01_els_mossos_desquadra/eines_policials/doc/Protocol-dutilitzacio-de-les-llancadores-de-40-mm-i-dels-seus-projectils_16_07_2019-Revisio_27_10_2023-1.pdf" TargetMode="External"/><Relationship Id="rId54" Type="http://schemas.openxmlformats.org/officeDocument/2006/relationships/hyperlink" Target="https://www.elsaltodiario.com/policia/seis-infiltrados-curso-2022-2023" TargetMode="External"/><Relationship Id="rId62" Type="http://schemas.openxmlformats.org/officeDocument/2006/relationships/hyperlink" Target="https://www.elsaltodiario.com/valencia/rechazada-querella-tortura-ramon-policia-infiltrado-valencia" TargetMode="External"/><Relationship Id="rId1" Type="http://schemas.openxmlformats.org/officeDocument/2006/relationships/hyperlink" Target="https://violenciagenero.igualdad.gob.es/violenciaencifras/victimasmortales/fichamujeres/" TargetMode="External"/><Relationship Id="rId6" Type="http://schemas.openxmlformats.org/officeDocument/2006/relationships/hyperlink" Target="https://violenciagenero.igualdad.gob.es/violenciaencifras/victimasmortales/fichamujeres/" TargetMode="External"/><Relationship Id="rId15" Type="http://schemas.openxmlformats.org/officeDocument/2006/relationships/hyperlink" Target="https://doc.es.amnesty.org/ms-opac/permalink/1@000036390" TargetMode="External"/><Relationship Id="rId23" Type="http://schemas.openxmlformats.org/officeDocument/2006/relationships/hyperlink" Target="https://www.poderjudicial.es/search/documento/TS/9434470/Prescripcion/20210303" TargetMode="External"/><Relationship Id="rId28" Type="http://schemas.openxmlformats.org/officeDocument/2006/relationships/hyperlink" Target="https://iridia.cat/wp-content/uploads/2021/06/Informe-Balas-de-Goma_V2.pdf" TargetMode="External"/><Relationship Id="rId36" Type="http://schemas.openxmlformats.org/officeDocument/2006/relationships/hyperlink" Target="https://www.ohchr.org/sites/default/files/Documents/Publications/LLW_Guidance_SP.pdf" TargetMode="External"/><Relationship Id="rId49" Type="http://schemas.openxmlformats.org/officeDocument/2006/relationships/hyperlink" Target="%20https://www.amnesty.org/es/latest/news/2022/04/spain-pegasus-spyware-catalans-targeted/" TargetMode="External"/><Relationship Id="rId57" Type="http://schemas.openxmlformats.org/officeDocument/2006/relationships/hyperlink" Target="https://directa.cat/dani-el-segon-talp-destat-per-espiar-lactivisme/" TargetMode="External"/><Relationship Id="rId10" Type="http://schemas.openxmlformats.org/officeDocument/2006/relationships/hyperlink" Target="https://violenciagenero.igualdad.gob.es/wp-content/uploads/InformeGrevioEspana.pdf" TargetMode="External"/><Relationship Id="rId31" Type="http://schemas.openxmlformats.org/officeDocument/2006/relationships/hyperlink" Target="http://www.es.amnesty.org/en-que-estamos/blog/historia/articulo/el-tarajal-historia-de-una-tragedia-sin-nombres/" TargetMode="External"/><Relationship Id="rId44" Type="http://schemas.openxmlformats.org/officeDocument/2006/relationships/hyperlink" Target="https://www.boe.es/boe/dias/2024/06/11/pdfs/BOE-A-2024-11776.pdf" TargetMode="External"/><Relationship Id="rId52" Type="http://schemas.openxmlformats.org/officeDocument/2006/relationships/hyperlink" Target="https://cadenaser.com/cataluna/2024/06/20/el-juez-del-caso-pegasus-no-archiva-la-causa-y-pedira-el-movil-a-aragones-para-seguir-investigando-sercat/?outputType=amp" TargetMode="External"/><Relationship Id="rId60" Type="http://schemas.openxmlformats.org/officeDocument/2006/relationships/hyperlink" Target="https://x.com/salellasadv/status/1881617794737008893" TargetMode="External"/><Relationship Id="rId4" Type="http://schemas.openxmlformats.org/officeDocument/2006/relationships/hyperlink" Target="https://violenciagenero.igualdad.gob.es/violenciaencifras/victimasmortales/fichamujeres/" TargetMode="External"/><Relationship Id="rId9" Type="http://schemas.openxmlformats.org/officeDocument/2006/relationships/hyperlink" Target="https://elpais.com/sociedad/2025-03-03/los-juzgados-de-violencia-sobre-la-mujer-advierten-de-que-la-ampliacion-de-sus-competencias-provocara-su-colapso-total.html?utm_source=chatgpt.com"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2025-06-12T08:10:54+00:00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28478D4-EFBC-4C73-AC02-146A18FC166C}">
  <ds:schemaRefs>
    <ds:schemaRef ds:uri="http://schemas.openxmlformats.org/officeDocument/2006/bibliography"/>
  </ds:schemaRefs>
</ds:datastoreItem>
</file>

<file path=customXml/itemProps2.xml><?xml version="1.0" encoding="utf-8"?>
<ds:datastoreItem xmlns:ds="http://schemas.openxmlformats.org/officeDocument/2006/customXml" ds:itemID="{A540F4DA-EBD0-4242-8E5E-FD69D070F8AD}"/>
</file>

<file path=customXml/itemProps3.xml><?xml version="1.0" encoding="utf-8"?>
<ds:datastoreItem xmlns:ds="http://schemas.openxmlformats.org/officeDocument/2006/customXml" ds:itemID="{CCA1F868-77CA-4807-B140-91565A52A014}"/>
</file>

<file path=customXml/itemProps4.xml><?xml version="1.0" encoding="utf-8"?>
<ds:datastoreItem xmlns:ds="http://schemas.openxmlformats.org/officeDocument/2006/customXml" ds:itemID="{9542A837-5E79-4779-978E-CE9914A62E31}"/>
</file>

<file path=docProps/app.xml><?xml version="1.0" encoding="utf-8"?>
<Properties xmlns="http://schemas.openxmlformats.org/officeDocument/2006/extended-properties" xmlns:vt="http://schemas.openxmlformats.org/officeDocument/2006/docPropsVTypes">
  <Template>Normal</Template>
  <TotalTime>0</TotalTime>
  <Pages>1</Pages>
  <Words>10372</Words>
  <Characters>59124</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2025-06-09T08:38:00Z</dcterms:created>
  <dcterms:modified xsi:type="dcterms:W3CDTF">2025-06-09T08:53:00Z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