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25F0B9" w14:textId="506DBC62" w:rsidR="00FF6ABE" w:rsidRDefault="00FF6ABE" w:rsidP="00C85991">
      <w:pPr>
        <w:pStyle w:val="Heading1"/>
      </w:pPr>
      <w:r>
        <w:t>CEDAW – 91</w:t>
      </w:r>
      <w:r w:rsidRPr="00FF6ABE">
        <w:rPr>
          <w:vertAlign w:val="superscript"/>
        </w:rPr>
        <w:t>st</w:t>
      </w:r>
      <w:r>
        <w:t xml:space="preserve"> Session – Ireland’s Dialogue 20 June 2025 </w:t>
      </w:r>
      <w:r>
        <w:br/>
        <w:t xml:space="preserve">Additional Information </w:t>
      </w:r>
      <w:r w:rsidR="003042F6">
        <w:t>Submitted to</w:t>
      </w:r>
      <w:r>
        <w:t xml:space="preserve"> the Committee</w:t>
      </w:r>
    </w:p>
    <w:p w14:paraId="18C4EE32" w14:textId="77777777" w:rsidR="00BA1CBF" w:rsidRDefault="00BA1CBF" w:rsidP="00A76F72">
      <w:pPr>
        <w:jc w:val="both"/>
        <w:rPr>
          <w:i/>
          <w:iCs/>
          <w:u w:val="single"/>
        </w:rPr>
      </w:pPr>
    </w:p>
    <w:p w14:paraId="7074C8FA" w14:textId="49A4E28A" w:rsidR="003042F6" w:rsidRPr="002A3B89" w:rsidRDefault="003042F6" w:rsidP="00C85991">
      <w:pPr>
        <w:pStyle w:val="Heading2"/>
      </w:pPr>
      <w:r w:rsidRPr="002A3B89">
        <w:t xml:space="preserve">Articles 3/4 – IHREC </w:t>
      </w:r>
      <w:r w:rsidR="009126C7">
        <w:t>responsibilities</w:t>
      </w:r>
    </w:p>
    <w:p w14:paraId="1F22389A" w14:textId="77777777" w:rsidR="009126C7" w:rsidRDefault="009126C7" w:rsidP="00A76F72">
      <w:pPr>
        <w:jc w:val="both"/>
      </w:pPr>
      <w:r>
        <w:t xml:space="preserve">The Committee questioned whether the </w:t>
      </w:r>
      <w:r w:rsidR="003042F6">
        <w:t xml:space="preserve">mandate of </w:t>
      </w:r>
      <w:r>
        <w:t>IHREC i</w:t>
      </w:r>
      <w:r w:rsidR="003042F6">
        <w:t>ncludes explicit responsibility for promoting ratification of international and regional instruments and frameworks</w:t>
      </w:r>
      <w:r>
        <w:t>.</w:t>
      </w:r>
    </w:p>
    <w:p w14:paraId="28A64760" w14:textId="77777777" w:rsidR="009126C7" w:rsidRDefault="009126C7" w:rsidP="00A76F72">
      <w:pPr>
        <w:jc w:val="both"/>
      </w:pPr>
      <w:bookmarkStart w:id="0" w:name="_Hlk201582323"/>
      <w:r>
        <w:t>In response, the State Party notes:</w:t>
      </w:r>
    </w:p>
    <w:bookmarkEnd w:id="0"/>
    <w:p w14:paraId="76D389F9" w14:textId="77777777" w:rsidR="009126C7" w:rsidRDefault="009126C7" w:rsidP="00A76F72">
      <w:pPr>
        <w:ind w:left="720"/>
        <w:jc w:val="both"/>
      </w:pPr>
      <w:r w:rsidRPr="009126C7">
        <w:t>The functions of the Irish Human Rights and Equality Commission are set out in s. 10 of the Irish Human Rights and Equality Commission Act 2014 (as amended).  Promoting ratification of international and regional instruments and frameworks is not an express function in the Act.  However, in practice the Commission regularly promotes the ratification of international human rights instruments to which the State is not yet party.</w:t>
      </w:r>
    </w:p>
    <w:p w14:paraId="1E3DAC7F" w14:textId="77777777" w:rsidR="009126C7" w:rsidRDefault="009126C7" w:rsidP="00A76F72">
      <w:pPr>
        <w:jc w:val="both"/>
        <w:rPr>
          <w:i/>
          <w:iCs/>
          <w:u w:val="single"/>
        </w:rPr>
      </w:pPr>
    </w:p>
    <w:p w14:paraId="6B705722" w14:textId="1D385D22" w:rsidR="009126C7" w:rsidRPr="002A3B89" w:rsidRDefault="009126C7" w:rsidP="00C85991">
      <w:pPr>
        <w:pStyle w:val="Heading2"/>
      </w:pPr>
      <w:r w:rsidRPr="002A3B89">
        <w:t>Article 9</w:t>
      </w:r>
    </w:p>
    <w:p w14:paraId="261ACA46" w14:textId="77777777" w:rsidR="009126C7" w:rsidRDefault="009126C7" w:rsidP="00A76F72">
      <w:pPr>
        <w:jc w:val="both"/>
      </w:pPr>
      <w:r>
        <w:t xml:space="preserve">During the questioning under Article 9, the Committee requested information related to </w:t>
      </w:r>
      <w:r w:rsidRPr="00B64D18">
        <w:t>statelessness in Ireland</w:t>
      </w:r>
      <w:r>
        <w:t>.</w:t>
      </w:r>
    </w:p>
    <w:p w14:paraId="4E8461D2" w14:textId="77777777" w:rsidR="009126C7" w:rsidRDefault="009126C7" w:rsidP="00A76F72">
      <w:pPr>
        <w:jc w:val="both"/>
      </w:pPr>
      <w:r>
        <w:t>In response, the State Party notes:</w:t>
      </w:r>
    </w:p>
    <w:p w14:paraId="0C0D29A6" w14:textId="77777777" w:rsidR="005C2FE3" w:rsidRPr="005C2FE3" w:rsidRDefault="005C2FE3" w:rsidP="005C2FE3">
      <w:pPr>
        <w:ind w:left="720"/>
        <w:jc w:val="both"/>
      </w:pPr>
      <w:r w:rsidRPr="005C2FE3">
        <w:t>Ireland does not have a specific procedure for determining statelessness status. Each application is, therefore, dealt with on a case-by-case basis. However, Ireland made the following pledge at the 2023 UNHCR Global Refugee Forum and is working towards fulfilling this pledge, while continuing the use and review of the provisional determination procedure on a limited pilot basis.</w:t>
      </w:r>
    </w:p>
    <w:p w14:paraId="70036CCA" w14:textId="77777777" w:rsidR="005C2FE3" w:rsidRPr="005C2FE3" w:rsidRDefault="005C2FE3" w:rsidP="005C2FE3">
      <w:pPr>
        <w:ind w:left="720"/>
        <w:jc w:val="both"/>
        <w:rPr>
          <w:i/>
          <w:iCs/>
        </w:rPr>
      </w:pPr>
      <w:r w:rsidRPr="005C2FE3">
        <w:rPr>
          <w:i/>
          <w:iCs/>
        </w:rPr>
        <w:t>‘We commit to actively exploring the introduction of a statelessness determination procedure, by utilising a provisional determination procedure on a limited pilot basis in 2024. The effectiveness of this procedure will be reviewed and evaluated, in consultation with key stakeholders, with a focus on identifying important learnings for the future.’</w:t>
      </w:r>
    </w:p>
    <w:p w14:paraId="4E717705" w14:textId="77777777" w:rsidR="005C2FE3" w:rsidRPr="005C2FE3" w:rsidRDefault="005C2FE3" w:rsidP="005C2FE3">
      <w:pPr>
        <w:ind w:left="720"/>
        <w:jc w:val="both"/>
      </w:pPr>
      <w:r w:rsidRPr="005C2FE3">
        <w:t>The Irish Nationality and Citizenship Act 1956 as amended provides safeguards for minors who cannot claim citizenship of another country. As per Section 6(3) of the Act, a person born in the island of Ireland is an Irish citizen from birth if he or she is not entitled to citizenship of any other country.</w:t>
      </w:r>
    </w:p>
    <w:p w14:paraId="71EFDB8C" w14:textId="77777777" w:rsidR="005C2FE3" w:rsidRPr="005C2FE3" w:rsidRDefault="005C2FE3" w:rsidP="005C2FE3">
      <w:pPr>
        <w:ind w:left="720"/>
        <w:jc w:val="both"/>
      </w:pPr>
      <w:r w:rsidRPr="005C2FE3">
        <w:t>Children of Irish citizens (or those entitled to Irish citizenship) who are living abroad are deemed Irish citizens once registered on the Foreign Births Register in accordance with appropriate timelines. Every deserted newborn child first found in the State shall, unless the contrary is proved, be deemed to have been born in the island of Ireland to parents at least one of whom is an Irish citizen. Foreign national children adopted by Irish citizens are deemed to be Irish citizens once the adoption is recognised under Irish legislation.</w:t>
      </w:r>
    </w:p>
    <w:p w14:paraId="3FFEF11B" w14:textId="19C676CF" w:rsidR="009126C7" w:rsidRPr="005C2FE3" w:rsidRDefault="005C2FE3" w:rsidP="005C2FE3">
      <w:pPr>
        <w:ind w:left="720"/>
        <w:jc w:val="both"/>
        <w:rPr>
          <w:u w:val="single"/>
        </w:rPr>
      </w:pPr>
      <w:r w:rsidRPr="005C2FE3">
        <w:lastRenderedPageBreak/>
        <w:t xml:space="preserve">Section 15 of the 1956 Act contains the criteria applicants must satisfy before they can become eligible for consideration for Irish citizenship. Applicants are naturalised at the discretion of the Minister for Justice. Under S.16 of the Act, the Minister has absolute discretion to dispense with some or </w:t>
      </w:r>
      <w:proofErr w:type="gramStart"/>
      <w:r w:rsidRPr="005C2FE3">
        <w:t>all of</w:t>
      </w:r>
      <w:proofErr w:type="gramEnd"/>
      <w:r w:rsidRPr="005C2FE3">
        <w:t xml:space="preserve"> these conditions if she is satisfied the applicant (or the minor the application is being made on behalf of) has Irish Associations (defined as an association to the State through blood, affinity or adoption). This absolute discretion also extends to persons deemed stateless within the meaning of the UN Convention relating to the status of stateless persons of the 28 September 1954.</w:t>
      </w:r>
    </w:p>
    <w:p w14:paraId="23A5E4F6" w14:textId="77777777" w:rsidR="00A76F72" w:rsidRDefault="00A76F72" w:rsidP="00A76F72">
      <w:pPr>
        <w:jc w:val="both"/>
        <w:rPr>
          <w:i/>
          <w:iCs/>
          <w:u w:val="single"/>
        </w:rPr>
      </w:pPr>
    </w:p>
    <w:p w14:paraId="6B1F78C2" w14:textId="66038337" w:rsidR="00A76F72" w:rsidRDefault="00A76F72" w:rsidP="00C85991">
      <w:pPr>
        <w:pStyle w:val="Heading2"/>
      </w:pPr>
      <w:r>
        <w:t>Article 12:</w:t>
      </w:r>
    </w:p>
    <w:p w14:paraId="7AA56974" w14:textId="46B5D540" w:rsidR="00A76F72" w:rsidRDefault="00A76F72" w:rsidP="00A76F72">
      <w:pPr>
        <w:jc w:val="both"/>
      </w:pPr>
      <w:r>
        <w:t xml:space="preserve">During the questioning under Article 12, the Committee requested information related to the State’s intentions for decriminalising abortion and abolishing the </w:t>
      </w:r>
      <w:proofErr w:type="gramStart"/>
      <w:r>
        <w:t>three day</w:t>
      </w:r>
      <w:proofErr w:type="gramEnd"/>
      <w:r>
        <w:t xml:space="preserve"> waiting period for terminations.</w:t>
      </w:r>
    </w:p>
    <w:p w14:paraId="6BFA73E9" w14:textId="1D0C2B98" w:rsidR="00A76F72" w:rsidRPr="00A76F72" w:rsidRDefault="00A76F72" w:rsidP="00A76F72">
      <w:pPr>
        <w:jc w:val="both"/>
      </w:pPr>
      <w:r>
        <w:t>In response, the State Party notes:</w:t>
      </w:r>
    </w:p>
    <w:p w14:paraId="023DAA5C" w14:textId="77777777" w:rsidR="00A76F72" w:rsidRPr="00A76F72" w:rsidRDefault="00A76F72" w:rsidP="00A76F72">
      <w:pPr>
        <w:ind w:left="720"/>
        <w:jc w:val="both"/>
      </w:pPr>
      <w:r w:rsidRPr="00A76F72">
        <w:t xml:space="preserve">The Health (Regulation of Termination of Pregnancy) Act 2018 is consistent with commitments given to the Irish People prior to the repeal of the 8th amendment.  Government is committed to ensuring that there is safe and equitable access to termination of pregnancy services. As of 31st March 2025, all maternity hospitals in Ireland are providing termination services.  There has also been a sustained increase in Community providers which now stands at 462, a rise of over 50 in the past 3 years.  The cumulative effect of these measures </w:t>
      </w:r>
      <w:proofErr w:type="gramStart"/>
      <w:r w:rsidRPr="00A76F72">
        <w:t>are</w:t>
      </w:r>
      <w:proofErr w:type="gramEnd"/>
      <w:r w:rsidRPr="00A76F72">
        <w:t xml:space="preserve"> substantially reducing barriers and increasing access to services for those who need it. The issue of any legislative change would need very careful consideration.</w:t>
      </w:r>
    </w:p>
    <w:p w14:paraId="047E5483" w14:textId="77777777" w:rsidR="00A76F72" w:rsidRDefault="00A76F72" w:rsidP="00A76F72">
      <w:pPr>
        <w:jc w:val="both"/>
        <w:rPr>
          <w:i/>
          <w:iCs/>
          <w:u w:val="single"/>
        </w:rPr>
      </w:pPr>
    </w:p>
    <w:p w14:paraId="79E44129" w14:textId="39D15057" w:rsidR="00B91650" w:rsidRPr="002A3B89" w:rsidRDefault="00B91650" w:rsidP="00C85991">
      <w:pPr>
        <w:pStyle w:val="Heading2"/>
      </w:pPr>
      <w:r w:rsidRPr="002A3B89">
        <w:t>Article</w:t>
      </w:r>
      <w:r>
        <w:t>s 13/14</w:t>
      </w:r>
    </w:p>
    <w:p w14:paraId="44A4B6A2" w14:textId="6E0EB781" w:rsidR="00B91650" w:rsidRDefault="00B91650" w:rsidP="00A76F72">
      <w:pPr>
        <w:jc w:val="both"/>
      </w:pPr>
      <w:r>
        <w:t xml:space="preserve">During the questioning under Articles 13/14, the Committee asked questions related to the impact of </w:t>
      </w:r>
      <w:r w:rsidRPr="00B91650">
        <w:t>fiscal and welfare policies</w:t>
      </w:r>
      <w:r>
        <w:t xml:space="preserve"> and on the individualisation of the tax system.</w:t>
      </w:r>
    </w:p>
    <w:p w14:paraId="1B4974B6" w14:textId="77777777" w:rsidR="00B91650" w:rsidRDefault="00B91650" w:rsidP="00A76F72">
      <w:pPr>
        <w:jc w:val="both"/>
      </w:pPr>
      <w:r>
        <w:t>In response, the State Party notes:</w:t>
      </w:r>
    </w:p>
    <w:p w14:paraId="1B085620" w14:textId="77777777" w:rsidR="00B91650" w:rsidRPr="00B91650" w:rsidRDefault="00B91650" w:rsidP="00A76F72">
      <w:pPr>
        <w:ind w:left="720"/>
        <w:jc w:val="both"/>
      </w:pPr>
      <w:r w:rsidRPr="00B91650">
        <w:t>Social Impact Assessment (SIA) is an analytical framework designed to examine the demographic profile of public services users, and how they are impacted by budgetary policy decisions. The framework complements existing budgetary impact assessment exercises conducted by the Departments of Public Expenditure and Reform (including Equality Budgeting).</w:t>
      </w:r>
    </w:p>
    <w:p w14:paraId="563A1EBE" w14:textId="29DCC39F" w:rsidR="00B91650" w:rsidRDefault="00B91650" w:rsidP="00A76F72">
      <w:pPr>
        <w:ind w:left="720"/>
        <w:jc w:val="both"/>
      </w:pPr>
      <w:r w:rsidRPr="00B91650">
        <w:t>The social impact assessment of the welfare and income tax measures in Budget 2024 shows bigger gains for the bottom 20 per cent of the income distribution. Lone parent families proportionally benefit the most, with income increasing by 3.8 per cent for this group. The gender impact analysis found that women benefitted more in the lowest three income quintiles.</w:t>
      </w:r>
    </w:p>
    <w:p w14:paraId="03B763E1" w14:textId="77777777" w:rsidR="00B91650" w:rsidRDefault="00B91650" w:rsidP="00A76F72">
      <w:pPr>
        <w:ind w:left="720"/>
        <w:jc w:val="both"/>
      </w:pPr>
      <w:r>
        <w:t>On tax individualisation, we note:</w:t>
      </w:r>
    </w:p>
    <w:p w14:paraId="76E59360" w14:textId="77777777" w:rsidR="00B91650" w:rsidRDefault="00B91650" w:rsidP="00A76F72">
      <w:pPr>
        <w:ind w:left="720"/>
        <w:jc w:val="both"/>
      </w:pPr>
      <w:r>
        <w:lastRenderedPageBreak/>
        <w:t>In Ireland, employment income is subject to Income Tax and a Universal Social Charge (USC). Workers must also pay social security contributions via a Pay Related Social Insurance (PRSI) charge.</w:t>
      </w:r>
    </w:p>
    <w:p w14:paraId="3E246AEA" w14:textId="77777777" w:rsidR="00B91650" w:rsidRDefault="00B91650" w:rsidP="00A76F72">
      <w:pPr>
        <w:ind w:left="720"/>
        <w:jc w:val="both"/>
      </w:pPr>
      <w:r>
        <w:t>While both USC and PRSI are applied on an individualised basis, the Income Tax system is not fully individualised. It is a hybrid income tax system, which allows married couples and civil partners to choose whether to be jointly or individually assessed.</w:t>
      </w:r>
    </w:p>
    <w:p w14:paraId="44B60931" w14:textId="77777777" w:rsidR="00B91650" w:rsidRDefault="00B91650" w:rsidP="00A76F72">
      <w:pPr>
        <w:ind w:left="720"/>
        <w:jc w:val="both"/>
      </w:pPr>
      <w:r>
        <w:t>€9,000 of the standard Income Tax rate band can be transferred between married or civil partners, and a married personal tax credit can be allocated in full to one spouse. Therefore, there can be a difference between the tax liabilities incurred by married/civil partner one earner couples compared to married/civil partner two earner couples on the same household income, depending on the method of assessment chosen. However, this is a personal choice for couples.</w:t>
      </w:r>
    </w:p>
    <w:p w14:paraId="10A6733D" w14:textId="77777777" w:rsidR="00B91650" w:rsidRDefault="00B91650" w:rsidP="00A76F72">
      <w:pPr>
        <w:ind w:left="720"/>
        <w:jc w:val="both"/>
      </w:pPr>
      <w:r>
        <w:t>The system does provide for the Home Carer Tax Credit which may be claimed where one spouse works primarily in the home to care for a dependent person, such as a child. The value of the credit currently stands at €1,950. The home carer can earn up to €7,200 and claim the full credit and is eligible for a reduced credit where earnings are below €11,100.</w:t>
      </w:r>
    </w:p>
    <w:p w14:paraId="1AF03344" w14:textId="5C9FAFF1" w:rsidR="00B91650" w:rsidRPr="00B91650" w:rsidRDefault="00B91650" w:rsidP="00A76F72">
      <w:pPr>
        <w:ind w:left="720"/>
        <w:jc w:val="both"/>
      </w:pPr>
      <w:r w:rsidRPr="005C2FE3">
        <w:t>The Department of Finance published a review of the Personal Tax System in 2023 which noted that if focusing solely on economic policy considerations, there is a strong case to complete full individualisation of the income tax system. At the same time, there are other social policy considerations that may not align fully with the economic rationale, for example, choices that individual households make and availability of childcare provision. A policy of full individualisation would require significant further consideration to assess the various impacts on the different category of taxpayers.</w:t>
      </w:r>
    </w:p>
    <w:p w14:paraId="3E2D68B4" w14:textId="2DA66EB5" w:rsidR="00A76F72" w:rsidRDefault="00A76F72" w:rsidP="00C85991">
      <w:pPr>
        <w:pStyle w:val="Heading2"/>
      </w:pPr>
    </w:p>
    <w:p w14:paraId="62679C42" w14:textId="23599171" w:rsidR="009126C7" w:rsidRPr="002A3B89" w:rsidRDefault="009126C7" w:rsidP="00C85991">
      <w:pPr>
        <w:pStyle w:val="Heading2"/>
      </w:pPr>
      <w:r w:rsidRPr="002A3B89">
        <w:t>Article 1</w:t>
      </w:r>
      <w:r>
        <w:t>6</w:t>
      </w:r>
      <w:r w:rsidRPr="002A3B89">
        <w:t xml:space="preserve"> </w:t>
      </w:r>
    </w:p>
    <w:p w14:paraId="768B8B30" w14:textId="66BE38FE" w:rsidR="009126C7" w:rsidRDefault="00B91650" w:rsidP="00A76F72">
      <w:pPr>
        <w:jc w:val="both"/>
      </w:pPr>
      <w:r>
        <w:t xml:space="preserve">During the questioning under Article </w:t>
      </w:r>
      <w:r w:rsidR="005C2FE3">
        <w:t>16</w:t>
      </w:r>
      <w:r>
        <w:t xml:space="preserve">, the Committee requested information related to </w:t>
      </w:r>
      <w:r w:rsidR="009126C7">
        <w:t>the economic impact of separation and divorce</w:t>
      </w:r>
      <w:r>
        <w:t>.</w:t>
      </w:r>
    </w:p>
    <w:p w14:paraId="7BF82C04" w14:textId="77777777" w:rsidR="00B91650" w:rsidRDefault="00B91650" w:rsidP="00A76F72">
      <w:pPr>
        <w:jc w:val="both"/>
      </w:pPr>
      <w:r>
        <w:t>In response, the State Party notes:</w:t>
      </w:r>
    </w:p>
    <w:p w14:paraId="36509412" w14:textId="77777777" w:rsidR="005C2FE3" w:rsidRPr="005C2FE3" w:rsidRDefault="005C2FE3" w:rsidP="005C2FE3">
      <w:pPr>
        <w:ind w:left="720"/>
        <w:jc w:val="both"/>
      </w:pPr>
      <w:r w:rsidRPr="005C2FE3">
        <w:t xml:space="preserve">The Department of Justice is fully committed to reforming the family justice system in Ireland and as part of the Family Justice Strategy 2022-2025, which was published in November 2022. This ambitious Strategy outlines the steps needed to create a more efficient and user-friendly family justice system that puts the family and children at the centre of its work. </w:t>
      </w:r>
    </w:p>
    <w:p w14:paraId="4C4D4F67" w14:textId="77777777" w:rsidR="005C2FE3" w:rsidRPr="005C2FE3" w:rsidRDefault="005C2FE3" w:rsidP="005C2FE3">
      <w:pPr>
        <w:ind w:left="720"/>
        <w:jc w:val="both"/>
      </w:pPr>
      <w:r w:rsidRPr="005C2FE3">
        <w:t>This will be achieved through the implementation of over 50 actions across nine goals, the implementation of which is ongoing. The actions stress the centrality of children to many family justice matters, and the need to ensure their best interests are considered in conjunction with their constitutional rights.  A number of these actions have already been completed, with a mid-term progress report published in September 2024.</w:t>
      </w:r>
    </w:p>
    <w:p w14:paraId="4CEC0C97" w14:textId="77777777" w:rsidR="005C2FE3" w:rsidRPr="005C2FE3" w:rsidRDefault="005C2FE3" w:rsidP="005C2FE3">
      <w:pPr>
        <w:ind w:left="720"/>
        <w:jc w:val="both"/>
      </w:pPr>
      <w:r w:rsidRPr="005C2FE3">
        <w:t xml:space="preserve">A key component of the reform is the establishment of dedicated family courts, which is provided for in the Family Courts Act 2024.  Work is progressing on the development of an </w:t>
      </w:r>
      <w:r w:rsidRPr="005C2FE3">
        <w:lastRenderedPageBreak/>
        <w:t xml:space="preserve">implementation plan for the family courts, and this is expected to be published early in 2026.  </w:t>
      </w:r>
    </w:p>
    <w:p w14:paraId="35C3A513" w14:textId="71C509E1" w:rsidR="00FF6ABE" w:rsidRDefault="005C2FE3" w:rsidP="005C2FE3">
      <w:pPr>
        <w:ind w:left="720"/>
        <w:jc w:val="both"/>
      </w:pPr>
      <w:r w:rsidRPr="005C2FE3">
        <w:t xml:space="preserve">The Strategy, accompanying progress report and consultation documents relating to its development can be found </w:t>
      </w:r>
      <w:r w:rsidRPr="008463A3">
        <w:t>here</w:t>
      </w:r>
      <w:r w:rsidR="008463A3">
        <w:t xml:space="preserve"> - </w:t>
      </w:r>
      <w:hyperlink r:id="rId8" w:history="1">
        <w:r w:rsidR="008463A3" w:rsidRPr="00241572">
          <w:rPr>
            <w:rStyle w:val="Hyperlink"/>
          </w:rPr>
          <w:t>https://www.gov.ie/en/department-of-justice-home-affairs-and-migration/collections/family-justice-strategy-2022-2025/</w:t>
        </w:r>
      </w:hyperlink>
      <w:r w:rsidR="008463A3">
        <w:t xml:space="preserve"> </w:t>
      </w:r>
    </w:p>
    <w:p w14:paraId="7DD41902" w14:textId="4D091B3C" w:rsidR="005C2FE3" w:rsidRDefault="005C2FE3" w:rsidP="005C2FE3">
      <w:pPr>
        <w:ind w:left="720"/>
        <w:jc w:val="both"/>
      </w:pPr>
      <w:proofErr w:type="gramStart"/>
      <w:r>
        <w:t>With regard to</w:t>
      </w:r>
      <w:proofErr w:type="gramEnd"/>
      <w:r>
        <w:t xml:space="preserve"> research on the economic consequences of divorce, as referred to in the State report, this is </w:t>
      </w:r>
      <w:r w:rsidR="00C43E5D">
        <w:t>a</w:t>
      </w:r>
      <w:r>
        <w:t xml:space="preserve"> developing area of research and study. Such research has not yet been undertaken. </w:t>
      </w:r>
    </w:p>
    <w:sectPr w:rsidR="005C2F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E826EE"/>
    <w:multiLevelType w:val="hybridMultilevel"/>
    <w:tmpl w:val="3E00183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16cid:durableId="8778149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ABE"/>
    <w:rsid w:val="002E7E3B"/>
    <w:rsid w:val="003042F6"/>
    <w:rsid w:val="005C2FE3"/>
    <w:rsid w:val="006A3226"/>
    <w:rsid w:val="007250D0"/>
    <w:rsid w:val="008463A3"/>
    <w:rsid w:val="00895391"/>
    <w:rsid w:val="008A7231"/>
    <w:rsid w:val="009126C7"/>
    <w:rsid w:val="00A21F6A"/>
    <w:rsid w:val="00A76F72"/>
    <w:rsid w:val="00AB76F1"/>
    <w:rsid w:val="00B91650"/>
    <w:rsid w:val="00BA1CBF"/>
    <w:rsid w:val="00C43E5D"/>
    <w:rsid w:val="00C5333E"/>
    <w:rsid w:val="00C85991"/>
    <w:rsid w:val="00D84769"/>
    <w:rsid w:val="00FA43B8"/>
    <w:rsid w:val="00FF6ABE"/>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C0434A"/>
  <w15:chartTrackingRefBased/>
  <w15:docId w15:val="{6365A612-CE0F-407D-A03B-1E2F47CA0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6A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F6A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6A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6A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6A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6A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6A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6A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6A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6A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F6A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6A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6A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6A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6A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6A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6A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6ABE"/>
    <w:rPr>
      <w:rFonts w:eastAsiaTheme="majorEastAsia" w:cstheme="majorBidi"/>
      <w:color w:val="272727" w:themeColor="text1" w:themeTint="D8"/>
    </w:rPr>
  </w:style>
  <w:style w:type="paragraph" w:styleId="Title">
    <w:name w:val="Title"/>
    <w:basedOn w:val="Normal"/>
    <w:next w:val="Normal"/>
    <w:link w:val="TitleChar"/>
    <w:uiPriority w:val="10"/>
    <w:qFormat/>
    <w:rsid w:val="00FF6A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6A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6A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6A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6ABE"/>
    <w:pPr>
      <w:spacing w:before="160"/>
      <w:jc w:val="center"/>
    </w:pPr>
    <w:rPr>
      <w:i/>
      <w:iCs/>
      <w:color w:val="404040" w:themeColor="text1" w:themeTint="BF"/>
    </w:rPr>
  </w:style>
  <w:style w:type="character" w:customStyle="1" w:styleId="QuoteChar">
    <w:name w:val="Quote Char"/>
    <w:basedOn w:val="DefaultParagraphFont"/>
    <w:link w:val="Quote"/>
    <w:uiPriority w:val="29"/>
    <w:rsid w:val="00FF6ABE"/>
    <w:rPr>
      <w:i/>
      <w:iCs/>
      <w:color w:val="404040" w:themeColor="text1" w:themeTint="BF"/>
    </w:rPr>
  </w:style>
  <w:style w:type="paragraph" w:styleId="ListParagraph">
    <w:name w:val="List Paragraph"/>
    <w:basedOn w:val="Normal"/>
    <w:uiPriority w:val="34"/>
    <w:qFormat/>
    <w:rsid w:val="00FF6ABE"/>
    <w:pPr>
      <w:ind w:left="720"/>
      <w:contextualSpacing/>
    </w:pPr>
  </w:style>
  <w:style w:type="character" w:styleId="IntenseEmphasis">
    <w:name w:val="Intense Emphasis"/>
    <w:basedOn w:val="DefaultParagraphFont"/>
    <w:uiPriority w:val="21"/>
    <w:qFormat/>
    <w:rsid w:val="00FF6ABE"/>
    <w:rPr>
      <w:i/>
      <w:iCs/>
      <w:color w:val="0F4761" w:themeColor="accent1" w:themeShade="BF"/>
    </w:rPr>
  </w:style>
  <w:style w:type="paragraph" w:styleId="IntenseQuote">
    <w:name w:val="Intense Quote"/>
    <w:basedOn w:val="Normal"/>
    <w:next w:val="Normal"/>
    <w:link w:val="IntenseQuoteChar"/>
    <w:uiPriority w:val="30"/>
    <w:qFormat/>
    <w:rsid w:val="00FF6A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6ABE"/>
    <w:rPr>
      <w:i/>
      <w:iCs/>
      <w:color w:val="0F4761" w:themeColor="accent1" w:themeShade="BF"/>
    </w:rPr>
  </w:style>
  <w:style w:type="character" w:styleId="IntenseReference">
    <w:name w:val="Intense Reference"/>
    <w:basedOn w:val="DefaultParagraphFont"/>
    <w:uiPriority w:val="32"/>
    <w:qFormat/>
    <w:rsid w:val="00FF6ABE"/>
    <w:rPr>
      <w:b/>
      <w:bCs/>
      <w:smallCaps/>
      <w:color w:val="0F4761" w:themeColor="accent1" w:themeShade="BF"/>
      <w:spacing w:val="5"/>
    </w:rPr>
  </w:style>
  <w:style w:type="character" w:styleId="Hyperlink">
    <w:name w:val="Hyperlink"/>
    <w:basedOn w:val="DefaultParagraphFont"/>
    <w:uiPriority w:val="99"/>
    <w:unhideWhenUsed/>
    <w:rsid w:val="00FF6ABE"/>
    <w:rPr>
      <w:color w:val="467886" w:themeColor="hyperlink"/>
      <w:u w:val="single"/>
    </w:rPr>
  </w:style>
  <w:style w:type="character" w:styleId="UnresolvedMention">
    <w:name w:val="Unresolved Mention"/>
    <w:basedOn w:val="DefaultParagraphFont"/>
    <w:uiPriority w:val="99"/>
    <w:semiHidden/>
    <w:unhideWhenUsed/>
    <w:rsid w:val="00FF6ABE"/>
    <w:rPr>
      <w:color w:val="605E5C"/>
      <w:shd w:val="clear" w:color="auto" w:fill="E1DFDD"/>
    </w:rPr>
  </w:style>
  <w:style w:type="character" w:styleId="FollowedHyperlink">
    <w:name w:val="FollowedHyperlink"/>
    <w:basedOn w:val="DefaultParagraphFont"/>
    <w:uiPriority w:val="99"/>
    <w:semiHidden/>
    <w:unhideWhenUsed/>
    <w:rsid w:val="008463A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8467954">
      <w:bodyDiv w:val="1"/>
      <w:marLeft w:val="0"/>
      <w:marRight w:val="0"/>
      <w:marTop w:val="0"/>
      <w:marBottom w:val="0"/>
      <w:divBdr>
        <w:top w:val="none" w:sz="0" w:space="0" w:color="auto"/>
        <w:left w:val="none" w:sz="0" w:space="0" w:color="auto"/>
        <w:bottom w:val="none" w:sz="0" w:space="0" w:color="auto"/>
        <w:right w:val="none" w:sz="0" w:space="0" w:color="auto"/>
      </w:divBdr>
    </w:div>
    <w:div w:id="726224469">
      <w:bodyDiv w:val="1"/>
      <w:marLeft w:val="0"/>
      <w:marRight w:val="0"/>
      <w:marTop w:val="0"/>
      <w:marBottom w:val="0"/>
      <w:divBdr>
        <w:top w:val="none" w:sz="0" w:space="0" w:color="auto"/>
        <w:left w:val="none" w:sz="0" w:space="0" w:color="auto"/>
        <w:bottom w:val="none" w:sz="0" w:space="0" w:color="auto"/>
        <w:right w:val="none" w:sz="0" w:space="0" w:color="auto"/>
      </w:divBdr>
    </w:div>
    <w:div w:id="777141464">
      <w:bodyDiv w:val="1"/>
      <w:marLeft w:val="0"/>
      <w:marRight w:val="0"/>
      <w:marTop w:val="0"/>
      <w:marBottom w:val="0"/>
      <w:divBdr>
        <w:top w:val="none" w:sz="0" w:space="0" w:color="auto"/>
        <w:left w:val="none" w:sz="0" w:space="0" w:color="auto"/>
        <w:bottom w:val="none" w:sz="0" w:space="0" w:color="auto"/>
        <w:right w:val="none" w:sz="0" w:space="0" w:color="auto"/>
      </w:divBdr>
    </w:div>
    <w:div w:id="777216642">
      <w:bodyDiv w:val="1"/>
      <w:marLeft w:val="0"/>
      <w:marRight w:val="0"/>
      <w:marTop w:val="0"/>
      <w:marBottom w:val="0"/>
      <w:divBdr>
        <w:top w:val="none" w:sz="0" w:space="0" w:color="auto"/>
        <w:left w:val="none" w:sz="0" w:space="0" w:color="auto"/>
        <w:bottom w:val="none" w:sz="0" w:space="0" w:color="auto"/>
        <w:right w:val="none" w:sz="0" w:space="0" w:color="auto"/>
      </w:divBdr>
    </w:div>
    <w:div w:id="846021825">
      <w:bodyDiv w:val="1"/>
      <w:marLeft w:val="0"/>
      <w:marRight w:val="0"/>
      <w:marTop w:val="0"/>
      <w:marBottom w:val="0"/>
      <w:divBdr>
        <w:top w:val="none" w:sz="0" w:space="0" w:color="auto"/>
        <w:left w:val="none" w:sz="0" w:space="0" w:color="auto"/>
        <w:bottom w:val="none" w:sz="0" w:space="0" w:color="auto"/>
        <w:right w:val="none" w:sz="0" w:space="0" w:color="auto"/>
      </w:divBdr>
    </w:div>
    <w:div w:id="1112627119">
      <w:bodyDiv w:val="1"/>
      <w:marLeft w:val="0"/>
      <w:marRight w:val="0"/>
      <w:marTop w:val="0"/>
      <w:marBottom w:val="0"/>
      <w:divBdr>
        <w:top w:val="none" w:sz="0" w:space="0" w:color="auto"/>
        <w:left w:val="none" w:sz="0" w:space="0" w:color="auto"/>
        <w:bottom w:val="none" w:sz="0" w:space="0" w:color="auto"/>
        <w:right w:val="none" w:sz="0" w:space="0" w:color="auto"/>
      </w:divBdr>
    </w:div>
    <w:div w:id="1189561896">
      <w:bodyDiv w:val="1"/>
      <w:marLeft w:val="0"/>
      <w:marRight w:val="0"/>
      <w:marTop w:val="0"/>
      <w:marBottom w:val="0"/>
      <w:divBdr>
        <w:top w:val="none" w:sz="0" w:space="0" w:color="auto"/>
        <w:left w:val="none" w:sz="0" w:space="0" w:color="auto"/>
        <w:bottom w:val="none" w:sz="0" w:space="0" w:color="auto"/>
        <w:right w:val="none" w:sz="0" w:space="0" w:color="auto"/>
      </w:divBdr>
    </w:div>
    <w:div w:id="1486625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ie/en/department-of-justice-home-affairs-and-migration/collections/family-justice-strategy-2022-2025/"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0bf77183540d9c58761496886d6db9ed">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d53a20a8c358b5f155380b692fbadd0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Value>98</Value>
      <Value>77</Value>
    </TaxCatchAll>
    <Document_x0020_Date xmlns="985ec44e-1bab-4c0b-9df0-6ba128686fc9">2025-06-23T16:00:49+00:00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lcf76f155ced4ddcb4097134ff3c332f xmlns="29926d6b-938b-4af7-b041-aee0d57e6e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33BC32B-58FC-4FAD-B582-6E466EE73E66}">
  <ds:schemaRefs>
    <ds:schemaRef ds:uri="http://schemas.microsoft.com/sharepoint/v3/contenttype/forms"/>
  </ds:schemaRefs>
</ds:datastoreItem>
</file>

<file path=customXml/itemProps2.xml><?xml version="1.0" encoding="utf-8"?>
<ds:datastoreItem xmlns:ds="http://schemas.openxmlformats.org/officeDocument/2006/customXml" ds:itemID="{B4001DC2-FDC9-4BB3-92E7-BA99A316C7DB}"/>
</file>

<file path=customXml/itemProps3.xml><?xml version="1.0" encoding="utf-8"?>
<ds:datastoreItem xmlns:ds="http://schemas.openxmlformats.org/officeDocument/2006/customXml" ds:itemID="{337E0460-C340-4877-A1B3-DD52F61F2FF4}">
  <ds:schemaRefs>
    <ds:schemaRef ds:uri="http://schemas.microsoft.com/office/2006/metadata/properties"/>
    <ds:schemaRef ds:uri="http://schemas.microsoft.com/office/infopath/2007/PartnerControls"/>
    <ds:schemaRef ds:uri="d586ad65-4247-45c5-a9d5-64a5d4422039"/>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1382</Words>
  <Characters>7468</Characters>
  <Application>Microsoft Office Word</Application>
  <DocSecurity>0</DocSecurity>
  <Lines>126</Lines>
  <Paragraphs>43</Paragraphs>
  <ScaleCrop>false</ScaleCrop>
  <HeadingPairs>
    <vt:vector size="2" baseType="variant">
      <vt:variant>
        <vt:lpstr>Title</vt:lpstr>
      </vt:variant>
      <vt:variant>
        <vt:i4>1</vt:i4>
      </vt:variant>
    </vt:vector>
  </HeadingPairs>
  <TitlesOfParts>
    <vt:vector size="1" baseType="lpstr">
      <vt:lpstr/>
    </vt:vector>
  </TitlesOfParts>
  <Company>DCEDIY</Company>
  <LinksUpToDate>false</LinksUpToDate>
  <CharactersWithSpaces>8807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Bryan Patten (DCDE)</dc:creator>
  <cp:keywords/>
  <dc:description/>
  <cp:lastModifiedBy>Bryan Patten (DCDE)</cp:lastModifiedBy>
  <cp:revision>2</cp:revision>
  <dcterms:created xsi:type="dcterms:W3CDTF">2025-06-23T14:43:00Z</dcterms:created>
  <dcterms:modified xsi:type="dcterms:W3CDTF">2025-06-23T14:43:00Z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y fmtid="{D5CDD505-2E9C-101B-9397-08002B2CF9AE}" pid="3" name="eDocs_SecurityClassification">
    <vt:lpwstr>77;#Unclassified|4b26ba5a-b2cf-4159-a102-fb5f4f13f242</vt:lpwstr>
  </property>
  <property fmtid="{D5CDD505-2E9C-101B-9397-08002B2CF9AE}" pid="4" name="eDocs_Series">
    <vt:lpwstr>98;#143|25cf44b1-95ab-442a-bb1b-68e3d14a9600</vt:lpwstr>
  </property>
  <property fmtid="{D5CDD505-2E9C-101B-9397-08002B2CF9AE}" pid="5" name="eDocs_Year">
    <vt:lpwstr/>
  </property>
  <property fmtid="{D5CDD505-2E9C-101B-9397-08002B2CF9AE}" pid="6" name="eDocs_FileTopics">
    <vt:lpwstr/>
  </property>
  <property fmtid="{D5CDD505-2E9C-101B-9397-08002B2CF9AE}" pid="7" name="eDocs_DocumentTopics">
    <vt:lpwstr/>
  </property>
</Properties>
</file>