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72E19" w14:paraId="66DA1610" w14:textId="77777777">
        <w:trPr>
          <w:cantSplit/>
          <w:trHeight w:hRule="exact" w:val="851"/>
        </w:trPr>
        <w:tc>
          <w:tcPr>
            <w:tcW w:w="1276" w:type="dxa"/>
            <w:tcBorders>
              <w:bottom w:val="single" w:sz="4" w:space="0" w:color="auto"/>
            </w:tcBorders>
            <w:vAlign w:val="bottom"/>
          </w:tcPr>
          <w:p w14:paraId="3540CABB" w14:textId="77777777" w:rsidR="00F52D57" w:rsidRDefault="00F52D57">
            <w:pPr>
              <w:spacing w:after="80"/>
            </w:pPr>
          </w:p>
        </w:tc>
        <w:tc>
          <w:tcPr>
            <w:tcW w:w="2268" w:type="dxa"/>
            <w:tcBorders>
              <w:bottom w:val="single" w:sz="4" w:space="0" w:color="auto"/>
            </w:tcBorders>
            <w:vAlign w:val="bottom"/>
          </w:tcPr>
          <w:p w14:paraId="11AE3650" w14:textId="45754E0B" w:rsidR="00F52D57" w:rsidRDefault="00F52D57">
            <w:pPr>
              <w:spacing w:after="80" w:line="300" w:lineRule="exact"/>
              <w:rPr>
                <w:b/>
                <w:sz w:val="24"/>
                <w:szCs w:val="24"/>
              </w:rPr>
            </w:pPr>
          </w:p>
        </w:tc>
        <w:tc>
          <w:tcPr>
            <w:tcW w:w="6095" w:type="dxa"/>
            <w:gridSpan w:val="2"/>
            <w:tcBorders>
              <w:bottom w:val="single" w:sz="4" w:space="0" w:color="auto"/>
            </w:tcBorders>
            <w:vAlign w:val="bottom"/>
          </w:tcPr>
          <w:p w14:paraId="63664E63" w14:textId="77777777" w:rsidR="00F52D57" w:rsidRDefault="00BE7447">
            <w:pPr>
              <w:suppressAutoHyphens w:val="0"/>
              <w:spacing w:after="20"/>
              <w:jc w:val="right"/>
            </w:pPr>
            <w:r>
              <w:rPr>
                <w:sz w:val="40"/>
              </w:rPr>
              <w:t>CEDAW</w:t>
            </w:r>
            <w:r>
              <w:t>/C/POL/FIR/1</w:t>
            </w:r>
          </w:p>
        </w:tc>
      </w:tr>
      <w:tr w:rsidR="00C72E19" w14:paraId="2F6B051C" w14:textId="77777777">
        <w:trPr>
          <w:cantSplit/>
          <w:trHeight w:hRule="exact" w:val="2835"/>
        </w:trPr>
        <w:tc>
          <w:tcPr>
            <w:tcW w:w="1276" w:type="dxa"/>
            <w:tcBorders>
              <w:top w:val="single" w:sz="4" w:space="0" w:color="auto"/>
              <w:bottom w:val="single" w:sz="12" w:space="0" w:color="auto"/>
            </w:tcBorders>
          </w:tcPr>
          <w:p w14:paraId="578D4571" w14:textId="403FC4D4" w:rsidR="00F52D57" w:rsidRDefault="00F52D57">
            <w:pPr>
              <w:spacing w:before="120"/>
              <w:jc w:val="center"/>
            </w:pPr>
          </w:p>
        </w:tc>
        <w:tc>
          <w:tcPr>
            <w:tcW w:w="5528" w:type="dxa"/>
            <w:gridSpan w:val="2"/>
            <w:tcBorders>
              <w:top w:val="single" w:sz="4" w:space="0" w:color="auto"/>
              <w:bottom w:val="single" w:sz="12" w:space="0" w:color="auto"/>
            </w:tcBorders>
          </w:tcPr>
          <w:p w14:paraId="61ADF3E3" w14:textId="771CBCC3" w:rsidR="00F52D57" w:rsidRDefault="00C7657F">
            <w:pPr>
              <w:spacing w:before="120" w:line="380" w:lineRule="exact"/>
              <w:rPr>
                <w:b/>
                <w:sz w:val="34"/>
                <w:szCs w:val="40"/>
              </w:rPr>
            </w:pPr>
            <w:r>
              <w:rPr>
                <w:b/>
                <w:sz w:val="34"/>
                <w:szCs w:val="40"/>
              </w:rPr>
              <w:t>Advance unedited versio</w:t>
            </w:r>
            <w:r w:rsidR="00895372">
              <w:rPr>
                <w:b/>
                <w:sz w:val="34"/>
                <w:szCs w:val="40"/>
              </w:rPr>
              <w:t>n</w:t>
            </w:r>
          </w:p>
        </w:tc>
        <w:tc>
          <w:tcPr>
            <w:tcW w:w="2835" w:type="dxa"/>
            <w:tcBorders>
              <w:top w:val="single" w:sz="4" w:space="0" w:color="auto"/>
              <w:bottom w:val="single" w:sz="12" w:space="0" w:color="auto"/>
            </w:tcBorders>
          </w:tcPr>
          <w:p w14:paraId="6972449F" w14:textId="77777777" w:rsidR="00F52D57" w:rsidRPr="000903D8" w:rsidRDefault="00BE7447">
            <w:pPr>
              <w:suppressAutoHyphens w:val="0"/>
              <w:spacing w:before="240" w:line="240" w:lineRule="exact"/>
              <w:rPr>
                <w:lang w:val="en-US"/>
              </w:rPr>
            </w:pPr>
            <w:r w:rsidRPr="000903D8">
              <w:rPr>
                <w:lang w:val="en-US"/>
              </w:rPr>
              <w:t>Distr.: General</w:t>
            </w:r>
          </w:p>
          <w:p w14:paraId="5FBF7CF3" w14:textId="73F19EA9" w:rsidR="00F52D57" w:rsidRPr="000903D8" w:rsidRDefault="00075C1F">
            <w:pPr>
              <w:suppressAutoHyphens w:val="0"/>
              <w:rPr>
                <w:lang w:val="en-US"/>
              </w:rPr>
            </w:pPr>
            <w:r>
              <w:rPr>
                <w:lang w:val="en-US"/>
              </w:rPr>
              <w:t>30 July</w:t>
            </w:r>
            <w:r w:rsidR="00554397" w:rsidRPr="000903D8">
              <w:rPr>
                <w:lang w:val="en-US"/>
              </w:rPr>
              <w:t xml:space="preserve"> 2026</w:t>
            </w:r>
          </w:p>
          <w:p w14:paraId="5029536A" w14:textId="77777777" w:rsidR="00F52D57" w:rsidRPr="000903D8" w:rsidRDefault="00F52D57">
            <w:pPr>
              <w:suppressAutoHyphens w:val="0"/>
              <w:rPr>
                <w:lang w:val="en-US"/>
              </w:rPr>
            </w:pPr>
          </w:p>
          <w:p w14:paraId="5C71DAE1" w14:textId="77777777" w:rsidR="00F52D57" w:rsidRPr="000903D8" w:rsidRDefault="00BE7447">
            <w:pPr>
              <w:suppressAutoHyphens w:val="0"/>
              <w:rPr>
                <w:lang w:val="en-US"/>
              </w:rPr>
            </w:pPr>
            <w:r w:rsidRPr="000903D8">
              <w:rPr>
                <w:lang w:val="en-US"/>
              </w:rPr>
              <w:t>Original: English</w:t>
            </w:r>
          </w:p>
          <w:p w14:paraId="16E6CD9F" w14:textId="77777777" w:rsidR="00F52D57" w:rsidRDefault="00554397">
            <w:pPr>
              <w:suppressAutoHyphens w:val="0"/>
            </w:pPr>
            <w:r>
              <w:t>English, French and Spanish only</w:t>
            </w:r>
          </w:p>
        </w:tc>
      </w:tr>
    </w:tbl>
    <w:p w14:paraId="37AFCD6D" w14:textId="77777777" w:rsidR="00F52D57" w:rsidRDefault="00BE7447">
      <w:pPr>
        <w:spacing w:before="120"/>
        <w:rPr>
          <w:b/>
          <w:sz w:val="24"/>
          <w:szCs w:val="24"/>
        </w:rPr>
      </w:pPr>
      <w:r>
        <w:rPr>
          <w:b/>
          <w:sz w:val="24"/>
          <w:szCs w:val="24"/>
        </w:rPr>
        <w:t xml:space="preserve">Committee on the Elimination of Discrimination </w:t>
      </w:r>
      <w:r>
        <w:rPr>
          <w:b/>
          <w:sz w:val="24"/>
          <w:szCs w:val="24"/>
        </w:rPr>
        <w:br/>
        <w:t>against Women</w:t>
      </w:r>
    </w:p>
    <w:p w14:paraId="1ED6AB63" w14:textId="6586A6E9" w:rsidR="00E655AA" w:rsidRPr="00E655AA" w:rsidRDefault="00E655AA" w:rsidP="00E655AA">
      <w:pPr>
        <w:rPr>
          <w:b/>
          <w:lang w:val="en-CH"/>
        </w:rPr>
      </w:pPr>
      <w:r>
        <w:rPr>
          <w:b/>
          <w:bCs/>
          <w:lang w:val="en-CH"/>
        </w:rPr>
        <w:t>Ninety</w:t>
      </w:r>
      <w:r w:rsidRPr="00E655AA">
        <w:rPr>
          <w:b/>
          <w:bCs/>
          <w:lang w:val="en-CH"/>
        </w:rPr>
        <w:t xml:space="preserve">-third session </w:t>
      </w:r>
    </w:p>
    <w:p w14:paraId="2C79C870" w14:textId="48E64465" w:rsidR="00E655AA" w:rsidRPr="00E655AA" w:rsidRDefault="00E655AA" w:rsidP="00E655AA">
      <w:pPr>
        <w:rPr>
          <w:b/>
          <w:lang w:val="en-CH"/>
        </w:rPr>
      </w:pPr>
      <w:r>
        <w:rPr>
          <w:b/>
          <w:lang w:val="en-CH"/>
        </w:rPr>
        <w:t>5</w:t>
      </w:r>
      <w:r w:rsidR="0086687A">
        <w:rPr>
          <w:b/>
          <w:lang w:val="en-CH"/>
        </w:rPr>
        <w:t>-</w:t>
      </w:r>
      <w:r>
        <w:rPr>
          <w:b/>
          <w:lang w:val="en-CH"/>
        </w:rPr>
        <w:t>30</w:t>
      </w:r>
      <w:r w:rsidRPr="00E655AA">
        <w:rPr>
          <w:b/>
          <w:lang w:val="en-CH"/>
        </w:rPr>
        <w:t xml:space="preserve"> October 202</w:t>
      </w:r>
      <w:r>
        <w:rPr>
          <w:b/>
          <w:lang w:val="en-CH"/>
        </w:rPr>
        <w:t>6</w:t>
      </w:r>
      <w:r w:rsidRPr="00E655AA">
        <w:rPr>
          <w:b/>
          <w:lang w:val="en-CH"/>
        </w:rPr>
        <w:t xml:space="preserve"> </w:t>
      </w:r>
    </w:p>
    <w:p w14:paraId="570B3180" w14:textId="77777777" w:rsidR="00E655AA" w:rsidRPr="00E655AA" w:rsidRDefault="00E655AA" w:rsidP="00E655AA">
      <w:pPr>
        <w:rPr>
          <w:b/>
          <w:lang w:val="en-CH"/>
        </w:rPr>
      </w:pPr>
      <w:r w:rsidRPr="00E655AA">
        <w:rPr>
          <w:b/>
          <w:lang w:val="en-CH"/>
        </w:rPr>
        <w:t xml:space="preserve">Item 8 of the provisional agenda </w:t>
      </w:r>
    </w:p>
    <w:p w14:paraId="45BFEF32" w14:textId="597327B6" w:rsidR="00E655AA" w:rsidRDefault="00E655AA" w:rsidP="00E655AA">
      <w:pPr>
        <w:rPr>
          <w:b/>
        </w:rPr>
      </w:pPr>
      <w:r w:rsidRPr="00E655AA">
        <w:rPr>
          <w:b/>
          <w:bCs/>
          <w:lang w:val="en-CH"/>
        </w:rPr>
        <w:t xml:space="preserve">Activities of the Committee under the Optional Protocol </w:t>
      </w:r>
      <w:r w:rsidR="0086687A">
        <w:rPr>
          <w:b/>
          <w:bCs/>
          <w:lang w:val="en-CH"/>
        </w:rPr>
        <w:br/>
      </w:r>
      <w:r w:rsidRPr="00E655AA">
        <w:rPr>
          <w:b/>
          <w:bCs/>
          <w:lang w:val="en-CH"/>
        </w:rPr>
        <w:t>to the Convention</w:t>
      </w:r>
    </w:p>
    <w:p w14:paraId="27B3D223" w14:textId="77777777" w:rsidR="00F52D57" w:rsidRDefault="00BE7447" w:rsidP="004E587B">
      <w:pPr>
        <w:pStyle w:val="HChG"/>
      </w:pPr>
      <w:r>
        <w:tab/>
      </w:r>
      <w:r>
        <w:tab/>
      </w:r>
      <w:r w:rsidR="004E587B" w:rsidRPr="00204E26">
        <w:t>Inquiry concerning</w:t>
      </w:r>
      <w:r>
        <w:t xml:space="preserve"> Poland </w:t>
      </w:r>
      <w:r w:rsidR="006261CC" w:rsidRPr="00204E26">
        <w:t>conducted under article 8 of the Optional Protocol to the Convention</w:t>
      </w:r>
    </w:p>
    <w:p w14:paraId="38913D9D" w14:textId="77777777" w:rsidR="006261CC" w:rsidRPr="006261CC" w:rsidRDefault="00BE7447" w:rsidP="006261CC">
      <w:pPr>
        <w:pStyle w:val="H1G"/>
      </w:pPr>
      <w:r>
        <w:tab/>
      </w:r>
      <w:r>
        <w:tab/>
      </w:r>
      <w:r w:rsidR="0041342B">
        <w:t>Follow-up report submitted by Poland</w:t>
      </w:r>
      <w:r>
        <w:rPr>
          <w:rStyle w:val="FootnoteReference"/>
          <w:b w:val="0"/>
          <w:bCs/>
          <w:sz w:val="20"/>
          <w:vertAlign w:val="baseline"/>
        </w:rPr>
        <w:footnoteReference w:customMarkFollows="1" w:id="2"/>
        <w:t>*</w:t>
      </w:r>
    </w:p>
    <w:p w14:paraId="36F59304" w14:textId="5A39DFB2" w:rsidR="00F52D57" w:rsidRDefault="00BE7447">
      <w:pPr>
        <w:pStyle w:val="SingleTxtG"/>
        <w:jc w:val="right"/>
      </w:pPr>
      <w:r>
        <w:t xml:space="preserve">[Date received: </w:t>
      </w:r>
      <w:r w:rsidR="00B328F6">
        <w:t>27 July 2026</w:t>
      </w:r>
      <w:r>
        <w:t>]</w:t>
      </w:r>
    </w:p>
    <w:p w14:paraId="21F28B0E" w14:textId="5958FDA5" w:rsidR="00340F4A" w:rsidRPr="00340F4A" w:rsidRDefault="00895034" w:rsidP="00BC65E8">
      <w:pPr>
        <w:pStyle w:val="HChG"/>
        <w:rPr>
          <w:lang w:val="en-US"/>
        </w:rPr>
      </w:pPr>
      <w:r>
        <w:rPr>
          <w:lang w:val="en-US"/>
        </w:rPr>
        <w:tab/>
      </w:r>
      <w:r w:rsidR="00BC65E8">
        <w:rPr>
          <w:lang w:val="en-US"/>
        </w:rPr>
        <w:t>I.</w:t>
      </w:r>
      <w:r w:rsidR="00BC65E8">
        <w:rPr>
          <w:lang w:val="en-US"/>
        </w:rPr>
        <w:tab/>
      </w:r>
      <w:r w:rsidR="00340F4A" w:rsidRPr="00340F4A">
        <w:rPr>
          <w:lang w:val="en-US"/>
        </w:rPr>
        <w:t>Introduction</w:t>
      </w:r>
    </w:p>
    <w:p w14:paraId="70CD55E6" w14:textId="454EFA72" w:rsidR="00340F4A" w:rsidRPr="00895034" w:rsidRDefault="00340F4A" w:rsidP="00C073D5">
      <w:pPr>
        <w:pStyle w:val="SingleTxtG"/>
        <w:numPr>
          <w:ilvl w:val="0"/>
          <w:numId w:val="38"/>
        </w:numPr>
        <w:ind w:left="1134" w:firstLine="0"/>
        <w:rPr>
          <w:lang w:val="en-US"/>
        </w:rPr>
      </w:pPr>
      <w:r w:rsidRPr="00895034">
        <w:rPr>
          <w:lang w:val="en-US"/>
        </w:rPr>
        <w:t>In accordance with Article 8 and 9 par. 2 of the Optional Protocol to the Convention on the Elimination of All Forms of Discrimination against Women and Rule 73 par. 2 of the rules of procedure of the Committee on the Elimination of Discrimination against Women (CEDAW), the Government of the Republic of Poland hereby presents an overview of the measures taken in response to the Committee’s recommendations  contained in the report concerning situation of women in Poland (paras 107-109 of the CEDAW’s report).</w:t>
      </w:r>
    </w:p>
    <w:p w14:paraId="10655324" w14:textId="1741B7D3" w:rsidR="00340F4A" w:rsidRPr="00340F4A" w:rsidRDefault="00340F4A" w:rsidP="00647D1C">
      <w:pPr>
        <w:pStyle w:val="SingleTxtG"/>
        <w:numPr>
          <w:ilvl w:val="0"/>
          <w:numId w:val="38"/>
        </w:numPr>
        <w:ind w:left="1134" w:firstLine="0"/>
        <w:rPr>
          <w:lang w:val="en-US"/>
        </w:rPr>
      </w:pPr>
      <w:r w:rsidRPr="00340F4A">
        <w:rPr>
          <w:lang w:val="en-US"/>
        </w:rPr>
        <w:t xml:space="preserve">The Government of Poland wishes to reiterate its unwavering commitment to protect, respect and fulfill human rights of all persons, including women’s rights, and to ensure women’s equal treatment in all areas of life. The Government of Poland also reiterates its dedication to </w:t>
      </w:r>
      <w:r w:rsidRPr="00C073D5">
        <w:t>guarantee</w:t>
      </w:r>
      <w:r w:rsidRPr="00340F4A">
        <w:rPr>
          <w:lang w:val="en-US"/>
        </w:rPr>
        <w:t xml:space="preserve"> equal access to healthcare services provided by national law, including abortion. </w:t>
      </w:r>
    </w:p>
    <w:p w14:paraId="1A3345DA" w14:textId="4CAC2119" w:rsidR="00340F4A" w:rsidRPr="00340F4A" w:rsidRDefault="00BC65E8" w:rsidP="00BC65E8">
      <w:pPr>
        <w:pStyle w:val="HChG"/>
      </w:pPr>
      <w:r>
        <w:tab/>
        <w:t>II.</w:t>
      </w:r>
      <w:r>
        <w:tab/>
      </w:r>
      <w:r w:rsidR="00340F4A" w:rsidRPr="00340F4A">
        <w:t>Ensuring the realization of women's sexual and reproductive rights, including the right to safe and legal abortion, reproductive autonomy, and protection against forced sterilization and forced abortion (par. 108 a-c, h, par. 109 c, e)</w:t>
      </w:r>
    </w:p>
    <w:p w14:paraId="283051F9" w14:textId="77777777" w:rsidR="00647D1C" w:rsidRDefault="00340F4A" w:rsidP="00647D1C">
      <w:pPr>
        <w:pStyle w:val="SingleTxtG"/>
        <w:numPr>
          <w:ilvl w:val="0"/>
          <w:numId w:val="38"/>
        </w:numPr>
        <w:ind w:left="1134" w:firstLine="0"/>
        <w:rPr>
          <w:lang w:val="en-US"/>
        </w:rPr>
      </w:pPr>
      <w:r w:rsidRPr="00340F4A">
        <w:rPr>
          <w:i/>
          <w:iCs/>
          <w:lang w:val="en-US"/>
        </w:rPr>
        <w:t>The Act of 7 January 1993 on family planning, protection of the human foetus and conditions permitting pregnancy termination</w:t>
      </w:r>
      <w:r w:rsidRPr="00340F4A">
        <w:rPr>
          <w:lang w:val="en-US"/>
        </w:rPr>
        <w:t xml:space="preserve"> (Journal of Laws of 2022, item 1575), hereinafter referred to as the "Act of 1993”, states in its preamble that it recognizes the right </w:t>
      </w:r>
      <w:r w:rsidRPr="00340F4A">
        <w:rPr>
          <w:lang w:val="en-US"/>
        </w:rPr>
        <w:lastRenderedPageBreak/>
        <w:t>to responsible decision-making regarding parenthood and imposes an obligation on the State to enable individuals to make decisions in this regard.</w:t>
      </w:r>
    </w:p>
    <w:p w14:paraId="1E0A082F" w14:textId="709BE86B" w:rsidR="00340F4A" w:rsidRPr="00340F4A" w:rsidRDefault="00340F4A" w:rsidP="00647D1C">
      <w:pPr>
        <w:pStyle w:val="SingleTxtG"/>
        <w:numPr>
          <w:ilvl w:val="0"/>
          <w:numId w:val="38"/>
        </w:numPr>
        <w:ind w:left="1134" w:firstLine="0"/>
        <w:rPr>
          <w:lang w:val="en-US"/>
        </w:rPr>
      </w:pPr>
      <w:r w:rsidRPr="00340F4A">
        <w:rPr>
          <w:lang w:val="en-US"/>
        </w:rPr>
        <w:t>Pursuant to Article 2(2) of the Act of 1993, government administration bodies and local government authorities, within the scope of their respective competences as defined by specific legislation, are required to ensure that citizens have free access to methods and means of conscious procreation.</w:t>
      </w:r>
    </w:p>
    <w:p w14:paraId="01E8BA69" w14:textId="2AF8D54C" w:rsidR="00340F4A" w:rsidRPr="00340F4A" w:rsidRDefault="00340F4A" w:rsidP="00647D1C">
      <w:pPr>
        <w:pStyle w:val="SingleTxtG"/>
        <w:numPr>
          <w:ilvl w:val="0"/>
          <w:numId w:val="38"/>
        </w:numPr>
        <w:ind w:left="1134" w:firstLine="0"/>
        <w:rPr>
          <w:lang w:val="en-US"/>
        </w:rPr>
      </w:pPr>
      <w:r w:rsidRPr="00340F4A">
        <w:rPr>
          <w:lang w:val="en-US"/>
        </w:rPr>
        <w:t xml:space="preserve">Poland ensures equal access, irrespective of an individual's financial situation, to all publicly funded healthcare services. Among these services is the termination of pregnancy. In the cases specified by the Act of 1993, termination of pregnancy constitutes a guaranteed healthcare service included in Annex no. 1 to the </w:t>
      </w:r>
      <w:r w:rsidRPr="00340F4A">
        <w:rPr>
          <w:i/>
          <w:iCs/>
          <w:lang w:val="en-US"/>
        </w:rPr>
        <w:t xml:space="preserve">Regulation of the Minister of Health of 22 November 2013 on guaranteed hospital treatment services </w:t>
      </w:r>
      <w:r w:rsidRPr="00340F4A">
        <w:rPr>
          <w:lang w:val="en-US"/>
        </w:rPr>
        <w:t xml:space="preserve">(Journal of Laws of 2023, item 870). </w:t>
      </w:r>
      <w:r w:rsidRPr="00340F4A">
        <w:t xml:space="preserve">Under the applicable legal framework, including the </w:t>
      </w:r>
      <w:r w:rsidRPr="00340F4A">
        <w:rPr>
          <w:i/>
          <w:iCs/>
        </w:rPr>
        <w:t>Regulation of the Minister of Health of 8 September 2015 on the general conditions of contracts for the provision of healthcare services</w:t>
      </w:r>
      <w:r w:rsidRPr="00340F4A">
        <w:t>, all healthcare providers (hospitals) that have concluded contracts with the National Health Fund are required to provide the healthcare services covered by those contracts in full and in accordance with the applicable law. Consequently, in the circumstances provided for by the provisions of the Act of 1993, a patient has the right to a healthcare service involving the termination of pregnancy, which in such cases constitutes a guaranteed healthcare benefit. Where healthcare providers fail to respect patients’ rights, including the right to healthcare services, the Patient Ombudsman takes appropriate action.</w:t>
      </w:r>
    </w:p>
    <w:p w14:paraId="5843FE9F" w14:textId="2AA8A7DD" w:rsidR="00340F4A" w:rsidRPr="00340F4A" w:rsidRDefault="00340F4A" w:rsidP="00647D1C">
      <w:pPr>
        <w:pStyle w:val="SingleTxtG"/>
        <w:numPr>
          <w:ilvl w:val="0"/>
          <w:numId w:val="38"/>
        </w:numPr>
        <w:ind w:left="1134" w:firstLine="0"/>
      </w:pPr>
      <w:r w:rsidRPr="00340F4A">
        <w:t>The permissibility of terminating a pregnancy in Poland is governed by the provisions of the</w:t>
      </w:r>
      <w:r w:rsidRPr="00340F4A">
        <w:rPr>
          <w:b/>
          <w:bCs/>
        </w:rPr>
        <w:t xml:space="preserve"> </w:t>
      </w:r>
      <w:r w:rsidRPr="00340F4A">
        <w:t xml:space="preserve">Act of 1993, pursuant to which a pregnancy may be terminated by </w:t>
      </w:r>
      <w:r w:rsidRPr="00340F4A">
        <w:br/>
        <w:t xml:space="preserve">a physician where: </w:t>
      </w:r>
    </w:p>
    <w:p w14:paraId="438C079C" w14:textId="6D2E4165" w:rsidR="00340F4A" w:rsidRPr="00DA3138" w:rsidRDefault="00DA3138" w:rsidP="00DA3138">
      <w:pPr>
        <w:pStyle w:val="SingleTxtG"/>
      </w:pPr>
      <w:r>
        <w:tab/>
        <w:t>(a)</w:t>
      </w:r>
      <w:r>
        <w:tab/>
        <w:t>T</w:t>
      </w:r>
      <w:r w:rsidR="00340F4A" w:rsidRPr="00DA3138">
        <w:t>he pregnancy poses a threat to the life or health of the pregnant woman (Article 4a(1)(1) of the Act of 1993);</w:t>
      </w:r>
    </w:p>
    <w:p w14:paraId="6E0CC116" w14:textId="5B1CF8D6" w:rsidR="00340F4A" w:rsidRPr="00DA3138" w:rsidRDefault="00DA3138" w:rsidP="00DA3138">
      <w:pPr>
        <w:pStyle w:val="SingleTxtG"/>
      </w:pPr>
      <w:r>
        <w:tab/>
        <w:t>(b)</w:t>
      </w:r>
      <w:r>
        <w:tab/>
        <w:t>T</w:t>
      </w:r>
      <w:r w:rsidR="00340F4A" w:rsidRPr="00DA3138">
        <w:t>here are reasonable grounds to suspect that the pregnancy resulted from a criminal offence (Article 4a(1)(3) of the Act of 1993).</w:t>
      </w:r>
    </w:p>
    <w:p w14:paraId="7A586BE4" w14:textId="4994AE75" w:rsidR="00340F4A" w:rsidRPr="00340F4A" w:rsidRDefault="00340F4A" w:rsidP="00647D1C">
      <w:pPr>
        <w:pStyle w:val="SingleTxtG"/>
        <w:numPr>
          <w:ilvl w:val="0"/>
          <w:numId w:val="38"/>
        </w:numPr>
        <w:ind w:left="1134" w:firstLine="0"/>
      </w:pPr>
      <w:r w:rsidRPr="00340F4A">
        <w:t xml:space="preserve">The current wording of the Act of 1993 in this respect results from the publication, in the </w:t>
      </w:r>
      <w:r w:rsidRPr="00340F4A">
        <w:rPr>
          <w:i/>
          <w:iCs/>
        </w:rPr>
        <w:t>Journal of Laws of 2021, item 175</w:t>
      </w:r>
      <w:r w:rsidRPr="00340F4A">
        <w:t>, of the judgment of the Constitutional Tribunal of 22 October 2020 (case no. K 1/20), in which the Constitutional Tribunal held that Article 4a(1)(2) of the Act of 1993 was inconsistent with Article 38, in conjunction with Article 30 and Article 31(3), of the Constitution of the Republic of Poland. Article 4a(1)(2) of the Act of 1993 provided that the termination of a pregnancy was permissible where prenatal examinations or other medical indications demonstrated a high probability of severe and irreversible foetal impairment or an incurable life-threatening disease affecting the foetus. The judgment was published in the Journal of Laws of 2021, item 175, on 27 January 2021.</w:t>
      </w:r>
    </w:p>
    <w:p w14:paraId="2D2FF042" w14:textId="79CE8041" w:rsidR="00340F4A" w:rsidRPr="00340F4A" w:rsidRDefault="00340F4A" w:rsidP="00647D1C">
      <w:pPr>
        <w:pStyle w:val="SingleTxtG"/>
        <w:numPr>
          <w:ilvl w:val="0"/>
          <w:numId w:val="38"/>
        </w:numPr>
        <w:ind w:left="1134" w:firstLine="0"/>
      </w:pPr>
      <w:r w:rsidRPr="00340F4A">
        <w:t xml:space="preserve">It should be noted that legislative amendments have been initiated. Three parliamentary bills concerning, </w:t>
      </w:r>
      <w:r w:rsidRPr="00340F4A">
        <w:rPr>
          <w:i/>
          <w:iCs/>
        </w:rPr>
        <w:t>inter alia</w:t>
      </w:r>
      <w:r w:rsidRPr="00340F4A">
        <w:t xml:space="preserve">, the expansion of the legal grounds for the termination of pregnancy are currently under </w:t>
      </w:r>
      <w:r w:rsidRPr="00647D1C">
        <w:rPr>
          <w:lang w:val="en-US"/>
        </w:rPr>
        <w:t>consideration</w:t>
      </w:r>
      <w:r w:rsidRPr="00340F4A">
        <w:t xml:space="preserve"> in the Sejm of the Republic of Poland, i.e.:</w:t>
      </w:r>
    </w:p>
    <w:p w14:paraId="2320D325" w14:textId="0ECAD2D8" w:rsidR="00340F4A" w:rsidRPr="009E5F9B" w:rsidRDefault="009E5F9B" w:rsidP="009E5F9B">
      <w:pPr>
        <w:pStyle w:val="SingleTxtG"/>
      </w:pPr>
      <w:r>
        <w:tab/>
        <w:t>(a)</w:t>
      </w:r>
      <w:r>
        <w:tab/>
        <w:t>T</w:t>
      </w:r>
      <w:r w:rsidR="00340F4A" w:rsidRPr="009E5F9B">
        <w:t>he draft of the act on safe termination of pregnancy (Paper No. 177);</w:t>
      </w:r>
    </w:p>
    <w:p w14:paraId="3D50EAA3" w14:textId="31FD947F" w:rsidR="00340F4A" w:rsidRPr="009E5F9B" w:rsidRDefault="009E5F9B" w:rsidP="009E5F9B">
      <w:pPr>
        <w:pStyle w:val="SingleTxtG"/>
      </w:pPr>
      <w:r>
        <w:tab/>
        <w:t>(b)</w:t>
      </w:r>
      <w:r>
        <w:tab/>
        <w:t>T</w:t>
      </w:r>
      <w:r w:rsidR="00340F4A" w:rsidRPr="009E5F9B">
        <w:t>he draft on the act to amend the act on family planning, protection of the human foetus and conditions permitting pregnancy termination (Paper No. 223);</w:t>
      </w:r>
    </w:p>
    <w:p w14:paraId="644651E5" w14:textId="0EF28E64" w:rsidR="00340F4A" w:rsidRPr="009E5F9B" w:rsidRDefault="009E5F9B" w:rsidP="009E5F9B">
      <w:pPr>
        <w:pStyle w:val="SingleTxtG"/>
      </w:pPr>
      <w:r>
        <w:tab/>
        <w:t>(c)</w:t>
      </w:r>
      <w:r>
        <w:tab/>
        <w:t>T</w:t>
      </w:r>
      <w:r w:rsidR="00340F4A" w:rsidRPr="009E5F9B">
        <w:t>he draft of the act on conscious parenting (Paper No. 224).</w:t>
      </w:r>
    </w:p>
    <w:p w14:paraId="78C0A07F" w14:textId="77777777" w:rsidR="00340F4A" w:rsidRPr="00340F4A" w:rsidRDefault="00340F4A" w:rsidP="00647D1C">
      <w:pPr>
        <w:pStyle w:val="SingleTxtG"/>
        <w:numPr>
          <w:ilvl w:val="0"/>
          <w:numId w:val="38"/>
        </w:numPr>
        <w:ind w:left="1134" w:firstLine="0"/>
      </w:pPr>
      <w:r w:rsidRPr="00340F4A">
        <w:t xml:space="preserve">In order to consider the aforementioned draft legislation, a Special Committee was established by a resolution of the Sejm of the Republic of Poland of 12 April 2024, to review draft bills concerning the </w:t>
      </w:r>
      <w:r w:rsidRPr="00647D1C">
        <w:rPr>
          <w:lang w:val="en-US"/>
        </w:rPr>
        <w:t>right</w:t>
      </w:r>
      <w:r w:rsidRPr="00340F4A">
        <w:t xml:space="preserve"> to terminate a pregnancy.</w:t>
      </w:r>
    </w:p>
    <w:p w14:paraId="10DA0DF8" w14:textId="5544B527" w:rsidR="00340F4A" w:rsidRPr="00340F4A" w:rsidRDefault="00BC65E8" w:rsidP="00BC65E8">
      <w:pPr>
        <w:pStyle w:val="HChG"/>
      </w:pPr>
      <w:r>
        <w:tab/>
        <w:t>III.</w:t>
      </w:r>
      <w:r>
        <w:tab/>
      </w:r>
      <w:r w:rsidR="00340F4A" w:rsidRPr="00340F4A">
        <w:t>Decriminalisation and legalisation of abortion (par. 108 d)</w:t>
      </w:r>
    </w:p>
    <w:p w14:paraId="185690E1" w14:textId="71FCF34C" w:rsidR="00340F4A" w:rsidRPr="00340F4A" w:rsidRDefault="00340F4A" w:rsidP="00647D1C">
      <w:pPr>
        <w:pStyle w:val="SingleTxtG"/>
        <w:numPr>
          <w:ilvl w:val="0"/>
          <w:numId w:val="38"/>
        </w:numPr>
        <w:ind w:left="1134" w:firstLine="0"/>
      </w:pPr>
      <w:r w:rsidRPr="00340F4A">
        <w:rPr>
          <w:i/>
          <w:iCs/>
        </w:rPr>
        <w:t>A Parliamentary Bill to amend the Act – the Criminal Code</w:t>
      </w:r>
      <w:r w:rsidRPr="00340F4A">
        <w:t xml:space="preserve"> (Paper No. 611), providing for the partial decriminalisation of the termination of pregnancy with the woman’s consent, </w:t>
      </w:r>
      <w:r w:rsidRPr="00340F4A">
        <w:lastRenderedPageBreak/>
        <w:t xml:space="preserve">is currently </w:t>
      </w:r>
      <w:r w:rsidRPr="00647D1C">
        <w:rPr>
          <w:lang w:val="en-US"/>
        </w:rPr>
        <w:t>under</w:t>
      </w:r>
      <w:r w:rsidRPr="00340F4A">
        <w:t xml:space="preserve"> consideration. A Special Committee to review draft bills has been established (</w:t>
      </w:r>
      <w:r w:rsidRPr="00340F4A">
        <w:rPr>
          <w:i/>
          <w:iCs/>
        </w:rPr>
        <w:t>see point 8 above</w:t>
      </w:r>
      <w:r w:rsidRPr="00340F4A">
        <w:t>).</w:t>
      </w:r>
    </w:p>
    <w:p w14:paraId="4C00BA8A" w14:textId="26D6D9D6" w:rsidR="00340F4A" w:rsidRPr="00340F4A" w:rsidRDefault="00340F4A" w:rsidP="00ED2F86">
      <w:pPr>
        <w:pStyle w:val="SingleTxtG"/>
        <w:numPr>
          <w:ilvl w:val="0"/>
          <w:numId w:val="38"/>
        </w:numPr>
        <w:ind w:left="1134" w:firstLine="0"/>
      </w:pPr>
      <w:r w:rsidRPr="00340F4A">
        <w:t xml:space="preserve">On 9 August 2024, the Prosecutor General issued </w:t>
      </w:r>
      <w:r w:rsidRPr="00340F4A">
        <w:rPr>
          <w:i/>
          <w:iCs/>
        </w:rPr>
        <w:t xml:space="preserve">Guidelines No. 9/24 on the principles governing the </w:t>
      </w:r>
      <w:r w:rsidRPr="00ED2F86">
        <w:t>handling</w:t>
      </w:r>
      <w:r w:rsidRPr="00340F4A">
        <w:rPr>
          <w:i/>
          <w:iCs/>
        </w:rPr>
        <w:t xml:space="preserve"> of cases by general organizational units of the Public Prosecutor’s Office concerning refusal to perform a termination of pregnancy and so-called medical abortion (pharmacological abortion).</w:t>
      </w:r>
      <w:r w:rsidRPr="00340F4A">
        <w:t xml:space="preserve"> The document is addressed to prosecutors and organizational units of the Public Prosecutor’s Office. Its purpose is to standardize the conduct of proceedings in such cases and to provide guidance on the application of the existing law. The Guidelines cover all stages of preparatory (pre-trial) proceedings and address issues relating to assistance in obtaining a termination of pregnancy abroad or assistance provided abroad.</w:t>
      </w:r>
    </w:p>
    <w:p w14:paraId="53011FD1" w14:textId="77777777" w:rsidR="00340F4A" w:rsidRPr="00340F4A" w:rsidRDefault="00340F4A" w:rsidP="00ED2F86">
      <w:pPr>
        <w:pStyle w:val="SingleTxtG"/>
        <w:numPr>
          <w:ilvl w:val="0"/>
          <w:numId w:val="38"/>
        </w:numPr>
        <w:ind w:left="1134" w:firstLine="0"/>
      </w:pPr>
      <w:r w:rsidRPr="00340F4A">
        <w:t>The main points of the Guidelines are as follows:</w:t>
      </w:r>
    </w:p>
    <w:p w14:paraId="6D2E6D0A" w14:textId="26A5D352" w:rsidR="00340F4A" w:rsidRPr="00340F4A" w:rsidRDefault="00965E60" w:rsidP="000A7D10">
      <w:pPr>
        <w:pStyle w:val="SingleTxtG"/>
      </w:pPr>
      <w:r>
        <w:tab/>
      </w:r>
      <w:r w:rsidR="000A7D10">
        <w:t>(a)</w:t>
      </w:r>
      <w:r>
        <w:tab/>
      </w:r>
      <w:r w:rsidR="00340F4A" w:rsidRPr="00340F4A">
        <w:t>The Public Prosecutor’s Office is required to examine not only cases involving unlawful termination of pregnancy or assistance in such termination, but also cases in which the refusal to perform a lawful termination of pregnancy may have resulted in criminal consequences, such as death, grievous bodily harm, bodily injury, or exposing a woman to an immediate danger of loss of life or serious harm to her health.</w:t>
      </w:r>
    </w:p>
    <w:p w14:paraId="291A09DA" w14:textId="5D58F7DA" w:rsidR="00340F4A" w:rsidRPr="00631B20" w:rsidRDefault="00965E60" w:rsidP="00631B20">
      <w:pPr>
        <w:pStyle w:val="SingleTxtG"/>
      </w:pPr>
      <w:r>
        <w:tab/>
      </w:r>
      <w:r w:rsidR="00631B20">
        <w:t>(</w:t>
      </w:r>
      <w:r w:rsidR="000A7D10">
        <w:t>b</w:t>
      </w:r>
      <w:r w:rsidR="00631B20">
        <w:t>)</w:t>
      </w:r>
      <w:r>
        <w:tab/>
      </w:r>
      <w:r w:rsidR="00340F4A" w:rsidRPr="00631B20">
        <w:t>A refusal to perform the procedure does not automatically constitute a criminal offence; however, its consequences must be assessed. In such cases, the prosecutor should consider notifying the Patient Ombudsman, the National Health Fund (NFZ), and the competent professional disciplinary authority.</w:t>
      </w:r>
    </w:p>
    <w:p w14:paraId="66F8B55A" w14:textId="023380C9" w:rsidR="00340F4A" w:rsidRPr="00631B20" w:rsidRDefault="00965E60" w:rsidP="00631B20">
      <w:pPr>
        <w:pStyle w:val="SingleTxtG"/>
      </w:pPr>
      <w:r>
        <w:tab/>
      </w:r>
      <w:r w:rsidR="00631B20">
        <w:t>(</w:t>
      </w:r>
      <w:r w:rsidR="000A7D10">
        <w:t>c</w:t>
      </w:r>
      <w:r w:rsidR="00631B20">
        <w:t>)</w:t>
      </w:r>
      <w:r>
        <w:tab/>
      </w:r>
      <w:r w:rsidR="00340F4A" w:rsidRPr="00631B20">
        <w:t>These proceedings concern an exceptionally sensitive aspect of women’s lives. Accordingly, procedural activities, including interviews and examinations of witnesses or injured parties, must be conducted with due respect for the dignity of the individuals involved and in a manner that avoids secondary victimisation.</w:t>
      </w:r>
    </w:p>
    <w:p w14:paraId="6E5230A2" w14:textId="149BA5E2" w:rsidR="00340F4A" w:rsidRPr="00631B20" w:rsidRDefault="00965E60" w:rsidP="00631B20">
      <w:pPr>
        <w:pStyle w:val="SingleTxtG"/>
      </w:pPr>
      <w:r>
        <w:tab/>
      </w:r>
      <w:r w:rsidR="00631B20">
        <w:t>(</w:t>
      </w:r>
      <w:r w:rsidR="000A7D10">
        <w:t>d</w:t>
      </w:r>
      <w:r w:rsidR="00631B20">
        <w:t>)</w:t>
      </w:r>
      <w:r>
        <w:tab/>
      </w:r>
      <w:r w:rsidR="00340F4A" w:rsidRPr="00631B20">
        <w:t>In cases concerning the offence under Article 152(2) of the Polish Criminal Code (i.e. providing assistance in the unlawful termination of pregnancy), it is necessary to establish that assistance was provided to a specific, identifiable woman. The mere dissemination of general or abstract information about the possibility of terminating a pregnancy does not, in itself, give rise to criminal liability.</w:t>
      </w:r>
    </w:p>
    <w:p w14:paraId="6220A91E" w14:textId="185C2929" w:rsidR="00340F4A" w:rsidRPr="00631B20" w:rsidRDefault="00965E60" w:rsidP="00631B20">
      <w:pPr>
        <w:pStyle w:val="SingleTxtG"/>
      </w:pPr>
      <w:r>
        <w:tab/>
      </w:r>
      <w:r w:rsidR="00631B20">
        <w:t>(</w:t>
      </w:r>
      <w:r w:rsidR="000A7D10">
        <w:t>e</w:t>
      </w:r>
      <w:r w:rsidR="00631B20">
        <w:t>)</w:t>
      </w:r>
      <w:r>
        <w:tab/>
      </w:r>
      <w:r w:rsidR="00340F4A" w:rsidRPr="00631B20">
        <w:t>According to the above-mentioned Guidelines of 9 August 2024, prosecutors should conduct proceedings in such cases without undue delay to ensure that a certificate constituting the legal basis for a lawful termination of pregnancy can be issued in time for the procedure to be performed before the twelfth week of pregnancy. It should also be noted that interviewing the injured party with the participation of a court-appointed psychologist is not a prerequisite for issuing such a certificate.</w:t>
      </w:r>
    </w:p>
    <w:p w14:paraId="1A04BDE4" w14:textId="750AE8A5" w:rsidR="00340F4A" w:rsidRPr="00340F4A" w:rsidRDefault="00340F4A" w:rsidP="00ED2F86">
      <w:pPr>
        <w:pStyle w:val="SingleTxtG"/>
        <w:numPr>
          <w:ilvl w:val="0"/>
          <w:numId w:val="38"/>
        </w:numPr>
        <w:ind w:left="1134" w:firstLine="0"/>
      </w:pPr>
      <w:r w:rsidRPr="00340F4A">
        <w:t>With regard to the available statistical data and the recent practice of the Public Prosecutor’s Office, it should be noted that the number of proceedings concerning offences under Article 152(1)–(3) of the Polish Criminal Code (criminalisation of the termination of pregnancy) remains relatively low and has declined slightly (270 cases in 2024 and 237 cases in 2025). In 2024, 230 cases were concluded by decisions on the merits, including 85 refusals to initiate proceedings, 124 discontinuances, and 21 indictments or applications to the court. In 2025, 183 cases were concluded, including 77 refusals to initiate proceedings, 92 discontinuances, and 14 indictments. The predominant form of case disposal in both years was therefore either a refusal to initiate proceedings or the discontinuance of proceedings.</w:t>
      </w:r>
    </w:p>
    <w:p w14:paraId="42F58D13" w14:textId="19C2E079" w:rsidR="00340F4A" w:rsidRPr="00340F4A" w:rsidRDefault="00340F4A" w:rsidP="00ED2F86">
      <w:pPr>
        <w:pStyle w:val="SingleTxtG"/>
        <w:numPr>
          <w:ilvl w:val="0"/>
          <w:numId w:val="38"/>
        </w:numPr>
        <w:ind w:left="1134" w:firstLine="0"/>
      </w:pPr>
      <w:r w:rsidRPr="00340F4A">
        <w:t>Analysis of the statistical data also leads to the conclusion that prosecutors generally conduct proceedings in this category of cases in a rational and measured manner. The number of indictments filed with the courts has also decreased, from 21 in 2024 to 14 in 2025.</w:t>
      </w:r>
    </w:p>
    <w:p w14:paraId="6131E30C" w14:textId="54BA2157" w:rsidR="00340F4A" w:rsidRPr="00340F4A" w:rsidRDefault="00340F4A" w:rsidP="00ED2F86">
      <w:pPr>
        <w:pStyle w:val="SingleTxtG"/>
        <w:numPr>
          <w:ilvl w:val="0"/>
          <w:numId w:val="38"/>
        </w:numPr>
        <w:ind w:left="1134" w:firstLine="0"/>
      </w:pPr>
      <w:r w:rsidRPr="00340F4A">
        <w:t>As regards persons close to a woman who assisted her in terminating a pregnancy, the courts most commonly imposed sentences of restriction of liberty or conditionally discontinued the proceedings. More severe penalties were imposed primarily on individuals or organised groups who had made such activities a regular source of income. Notably, there were no recorded acquittals in cases that proceeded to trial following the filing of an indictment.</w:t>
      </w:r>
    </w:p>
    <w:p w14:paraId="51E038B2" w14:textId="3A1527E2" w:rsidR="00340F4A" w:rsidRPr="00340F4A" w:rsidRDefault="00340F4A" w:rsidP="00ED2F86">
      <w:pPr>
        <w:pStyle w:val="SingleTxtG"/>
        <w:numPr>
          <w:ilvl w:val="0"/>
          <w:numId w:val="38"/>
        </w:numPr>
        <w:ind w:left="1134" w:firstLine="0"/>
      </w:pPr>
      <w:r w:rsidRPr="00340F4A">
        <w:lastRenderedPageBreak/>
        <w:t>Statistical data for the years 2010–2024 concerning the number of pregnancy terminations carried out in cases where there was a reasonable suspicion that the pregnancy resulted from a criminal offence indicate that such cases were extremely rare, ranging from 0 to 3 procedures per year. In 2024, there were three such cases.</w:t>
      </w:r>
    </w:p>
    <w:p w14:paraId="21EBEFBD" w14:textId="1EF93FCC" w:rsidR="00340F4A" w:rsidRPr="00340F4A" w:rsidRDefault="00BC65E8" w:rsidP="00BC65E8">
      <w:pPr>
        <w:pStyle w:val="H1G"/>
      </w:pPr>
      <w:r>
        <w:tab/>
        <w:t>IV.</w:t>
      </w:r>
      <w:r>
        <w:tab/>
      </w:r>
      <w:r w:rsidR="00340F4A" w:rsidRPr="00340F4A">
        <w:t>Adoption of evidence-based clinical protocols for healthcare professionals, in accordance with WHO recommendations and best practice statements on abortion, together with appropriate training and continuing education, prohibition of the use of guidelines prepared by anti-abortion lobby groups, and measures ensuring women’s autonomy and access to impartial, evidence-based information on sexual and reproductive health (par. 108 e-f, l, par. 109 a)</w:t>
      </w:r>
    </w:p>
    <w:p w14:paraId="7358EECA" w14:textId="1D4167C1" w:rsidR="00340F4A" w:rsidRPr="00340F4A" w:rsidRDefault="00340F4A" w:rsidP="00ED2F86">
      <w:pPr>
        <w:pStyle w:val="SingleTxtG"/>
        <w:numPr>
          <w:ilvl w:val="0"/>
          <w:numId w:val="38"/>
        </w:numPr>
        <w:ind w:left="1134" w:firstLine="0"/>
      </w:pPr>
      <w:r w:rsidRPr="00340F4A">
        <w:t xml:space="preserve">The patient’s right to information is one of the rights guaranteed by law and implemented in practice. Pursuant to Article 4 of the </w:t>
      </w:r>
      <w:r w:rsidRPr="00340F4A">
        <w:rPr>
          <w:i/>
          <w:iCs/>
        </w:rPr>
        <w:t>Act of 5 December 1996 on the professions of physician and dentist</w:t>
      </w:r>
      <w:r w:rsidRPr="00340F4A">
        <w:t>, physicians are required to practise their profession in accordance with current medical knowledge, available methods and means of preventing, diagnosing and treating diseases, the principles of professional ethics, and with due diligence. This obligation applies both to the healthcare services provided to patients and to the information communicated to them.</w:t>
      </w:r>
    </w:p>
    <w:p w14:paraId="35CDA003" w14:textId="6B11F487" w:rsidR="00340F4A" w:rsidRPr="00340F4A" w:rsidRDefault="00340F4A" w:rsidP="00036A42">
      <w:pPr>
        <w:pStyle w:val="SingleTxtG"/>
        <w:numPr>
          <w:ilvl w:val="0"/>
          <w:numId w:val="38"/>
        </w:numPr>
        <w:ind w:left="1134" w:firstLine="0"/>
      </w:pPr>
      <w:r w:rsidRPr="00340F4A">
        <w:t xml:space="preserve">With regard to the provision of lawful pregnancy termination services, it should be noted that Poland has clear and effective procedures in place to ensure that women receive appropriate information on the steps they should take in order to access such services. Since pregnancy termination (in the circumstances specified in the Act of 1993) is classified as a guaranteed healthcare service, the provision of such services, as well as the related information obligations, is the responsibility of the healthcare provider, i.e. the medical entity. At the same time, pursuant to the </w:t>
      </w:r>
      <w:r w:rsidRPr="00340F4A">
        <w:rPr>
          <w:i/>
          <w:iCs/>
        </w:rPr>
        <w:t>Act of 15 April 2011 on medical activity</w:t>
      </w:r>
      <w:r w:rsidRPr="00340F4A">
        <w:t>, entities providing healthcare services are required to make publicly available information concerning the scope and types of healthcare services they provide. Upon a patient’s request, a healthcare provider must also provide detailed information regarding the healthcare services offered, in particular information on the diagnostic or therapeutic methods applied, as well as their quality and safety.</w:t>
      </w:r>
    </w:p>
    <w:p w14:paraId="2C806AD5" w14:textId="0FD52FFE" w:rsidR="00340F4A" w:rsidRPr="00340F4A" w:rsidRDefault="00340F4A" w:rsidP="00036A42">
      <w:pPr>
        <w:pStyle w:val="SingleTxtG"/>
        <w:numPr>
          <w:ilvl w:val="0"/>
          <w:numId w:val="38"/>
        </w:numPr>
        <w:ind w:left="1134" w:firstLine="0"/>
      </w:pPr>
      <w:r w:rsidRPr="00340F4A">
        <w:t xml:space="preserve">In August 2024, the Ministry of Health prepared a document entitled </w:t>
      </w:r>
      <w:r w:rsidRPr="00340F4A">
        <w:rPr>
          <w:i/>
          <w:iCs/>
        </w:rPr>
        <w:t>Guidelines on the applicable legal provisions governing access to pregnancy termination procedures</w:t>
      </w:r>
      <w:r w:rsidRPr="00340F4A">
        <w:t xml:space="preserve">. The document provides a comprehensive and accessible overview of the legal provisions governing access to pregnancy termination in Poland, bringing the relevant regulations together in a single source. It is the first document of its kind issued by the Polish Ministry of Health. The purpose of the Guidelines is to facilitate the correct application of the existing legal framework governing access to pregnancy termination procedures and, consequently, to improve effective access to lawful abortion services. The document was disseminated by the National Health Fund (NFZ) through the Information Flow Management System (SZOI) to healthcare providers holding contracts with the NFZ for the provision of inpatient obstetrics and gynaecology services. It has also been published on the Ministry of Health's website to ensure unrestricted public access. </w:t>
      </w:r>
    </w:p>
    <w:p w14:paraId="558F3BC1" w14:textId="43C14DE2" w:rsidR="00340F4A" w:rsidRPr="00340F4A" w:rsidRDefault="00340F4A" w:rsidP="00036A42">
      <w:pPr>
        <w:pStyle w:val="SingleTxtG"/>
        <w:numPr>
          <w:ilvl w:val="0"/>
          <w:numId w:val="38"/>
        </w:numPr>
        <w:ind w:left="1134" w:firstLine="0"/>
        <w:rPr>
          <w:i/>
          <w:iCs/>
        </w:rPr>
      </w:pPr>
      <w:r w:rsidRPr="00340F4A">
        <w:t xml:space="preserve">In order to ensure the widest possible dissemination of the above-mentioned document, and in particular the information contained therein, and to raise public awareness, the publication of the Guidelines was announced by the Prime Minister during a press conference convened specifically for that purpose on 30 August 2024. The conference was attended by the Minister of Health and the Minister of Justice, who also presented the </w:t>
      </w:r>
      <w:r w:rsidRPr="00340F4A">
        <w:rPr>
          <w:i/>
          <w:iCs/>
        </w:rPr>
        <w:t xml:space="preserve">Guidelines No. 9/24 of 9 August 2024 No. 9/24 on the principles governing the handling of cases by general organizational units of the Public Prosecutor’s Office concerning refusal to perform a termination of pregnancy and so-called medical abortion. (see: point 10 above). </w:t>
      </w:r>
    </w:p>
    <w:p w14:paraId="72F434CD" w14:textId="55E5A5B0" w:rsidR="00340F4A" w:rsidRPr="00340F4A" w:rsidRDefault="00340F4A" w:rsidP="00036A42">
      <w:pPr>
        <w:pStyle w:val="SingleTxtG"/>
        <w:numPr>
          <w:ilvl w:val="0"/>
          <w:numId w:val="38"/>
        </w:numPr>
        <w:ind w:left="1134" w:firstLine="0"/>
      </w:pPr>
      <w:r w:rsidRPr="00340F4A">
        <w:t xml:space="preserve">In addition, in response to concerns and proposals raised by civil society organisations, the Ministry of Health re-circulated the above-mentioned Guidelines to healthcare providers, requesting that they ensure the proper application of the legal provisions governing access to lawful pregnancy termination procedures, thereby respecting patients' </w:t>
      </w:r>
      <w:r w:rsidRPr="00340F4A">
        <w:lastRenderedPageBreak/>
        <w:t>rights and ensuring that women receive appropriate care. This communication was transmitted to the NFZ on 10 March 2026 for dissemination, together with the attached Guidelines, through the Information Flow Management System (SZOI).</w:t>
      </w:r>
    </w:p>
    <w:p w14:paraId="1D9A8693" w14:textId="659CA519" w:rsidR="00340F4A" w:rsidRPr="00340F4A" w:rsidRDefault="00340F4A" w:rsidP="00036A42">
      <w:pPr>
        <w:pStyle w:val="SingleTxtG"/>
        <w:numPr>
          <w:ilvl w:val="0"/>
          <w:numId w:val="38"/>
        </w:numPr>
        <w:ind w:left="1134" w:firstLine="0"/>
      </w:pPr>
      <w:r w:rsidRPr="00340F4A">
        <w:t>As noted above, the Guidelines</w:t>
      </w:r>
      <w:r w:rsidRPr="00340F4A">
        <w:rPr>
          <w:b/>
          <w:bCs/>
        </w:rPr>
        <w:t xml:space="preserve"> </w:t>
      </w:r>
      <w:r w:rsidRPr="00340F4A">
        <w:t>constitute a compilation of the legal provisions governing the subject matter identified in their title. Accordingly, failure to act in accordance with the Guidelines effectively constitutes a failure to comply with the generally applicable legal provisions that are set out and explained in detail in the document. The National Health Fund is responsible for overseeing the proper performance of contracts concluded with healthcare providers. Where healthcare providers fail to respect patients' rights, including the right to receive healthcare services, the Patient Ombudsman is the authority responsible for taking appropriate action.</w:t>
      </w:r>
    </w:p>
    <w:p w14:paraId="4C2970AC" w14:textId="4B21B032" w:rsidR="00340F4A" w:rsidRPr="00340F4A" w:rsidRDefault="00340F4A" w:rsidP="00036A42">
      <w:pPr>
        <w:pStyle w:val="SingleTxtG"/>
        <w:numPr>
          <w:ilvl w:val="0"/>
          <w:numId w:val="38"/>
        </w:numPr>
        <w:ind w:left="1134" w:firstLine="0"/>
      </w:pPr>
      <w:r w:rsidRPr="00340F4A">
        <w:t>With regard to medical guidelines concerning the performance of pregnancy termination procedures, it should be noted that matters relating to current medical knowledge and the development of detailed clinical guidelines fall within the competence of the relevant scientific and professional medical societies. To date, recommendations in this area have been issued by the Polish Society of Gynaecologists and Obstetricians, the Polish Society for Sexual and Reproductive Health, and the Polish Psychiatric Association. The practice of healthcare professionals should be based on current medical knowledge.</w:t>
      </w:r>
    </w:p>
    <w:p w14:paraId="6CD443F5" w14:textId="2C0F11C3" w:rsidR="00340F4A" w:rsidRPr="00340F4A" w:rsidRDefault="00340F4A" w:rsidP="00036A42">
      <w:pPr>
        <w:pStyle w:val="SingleTxtG"/>
        <w:numPr>
          <w:ilvl w:val="0"/>
          <w:numId w:val="38"/>
        </w:numPr>
        <w:ind w:left="1134" w:firstLine="0"/>
      </w:pPr>
      <w:r w:rsidRPr="00340F4A">
        <w:t xml:space="preserve">Regardless of the above, it should be noted that the education and training of medical students, including students pursuing a medical degree, is carried out on the basis of the </w:t>
      </w:r>
      <w:r w:rsidRPr="00340F4A">
        <w:rPr>
          <w:i/>
          <w:iCs/>
        </w:rPr>
        <w:t xml:space="preserve">Regulation of the Minister of Science and Higher Education of 26 July 2019 on the standards of education preparing for the professions of physician, dentist, pharmacist, nurse, midwife, laboratory diagnostician, physiotherapist and paramedic </w:t>
      </w:r>
      <w:r w:rsidRPr="00340F4A">
        <w:t>(Journal of Laws of 2021, item 755, as amended). These standards constitute a set of rules and requirements governing education and training, including the organisation of the educational process, the persons responsible for delivering education, general and specific learning outcomes, and methods for verifying the achievement of those outcomes.</w:t>
      </w:r>
    </w:p>
    <w:p w14:paraId="2640072A" w14:textId="294CBEF5" w:rsidR="00340F4A" w:rsidRPr="00340F4A" w:rsidRDefault="00340F4A" w:rsidP="00036A42">
      <w:pPr>
        <w:pStyle w:val="SingleTxtG"/>
        <w:numPr>
          <w:ilvl w:val="0"/>
          <w:numId w:val="38"/>
        </w:numPr>
        <w:ind w:left="1134" w:firstLine="0"/>
      </w:pPr>
      <w:r w:rsidRPr="00340F4A">
        <w:t>Classes designed to achieve the learning outcomes within Group H are aimed at further developing, in clinical settings, the skills acquired within the learning outcomes of the skills categories in Groups E and F. They are conducted during the sixth year of medical studies in the form of practical classes, including 60 hours of gynaecology and obstetrics training (4 ECTS credits). Professional placements include the further development of practical skills and are carried out, among others, in the field of gynaecology and obstetrics for 60 hours (2 ECTS credits). Professional placements take place during the summer period. They enable students to achieve selected learning outcomes. The programme of professional placements, their format and timing, as well as the methods for verifying the achieved learning outcomes, are determined by the university.</w:t>
      </w:r>
    </w:p>
    <w:p w14:paraId="015FA529" w14:textId="737ADC97" w:rsidR="00340F4A" w:rsidRPr="00340F4A" w:rsidRDefault="00340F4A" w:rsidP="00036A42">
      <w:pPr>
        <w:pStyle w:val="SingleTxtG"/>
        <w:numPr>
          <w:ilvl w:val="0"/>
          <w:numId w:val="38"/>
        </w:numPr>
        <w:ind w:left="1134" w:firstLine="0"/>
      </w:pPr>
      <w:r w:rsidRPr="00340F4A">
        <w:t>In terms of knowledge, a graduate of a medical degree programme is expected to know and understand, among other things:</w:t>
      </w:r>
    </w:p>
    <w:p w14:paraId="4D4FD3A3" w14:textId="7D67B6F8" w:rsidR="00340F4A" w:rsidRPr="00163E41" w:rsidRDefault="006A48C8" w:rsidP="00163E41">
      <w:pPr>
        <w:pStyle w:val="SingleTxtG"/>
      </w:pPr>
      <w:r>
        <w:tab/>
      </w:r>
      <w:r w:rsidR="00163E41">
        <w:t>(a)</w:t>
      </w:r>
      <w:r>
        <w:tab/>
        <w:t>L</w:t>
      </w:r>
      <w:r w:rsidR="00340F4A" w:rsidRPr="00163E41">
        <w:t xml:space="preserve">egal regulations concerning transplantation, assisted reproduction, pregnancy termination, aesthetic procedures, palliative care, futile treatment, mental illnesses and infectious diseases; </w:t>
      </w:r>
    </w:p>
    <w:p w14:paraId="0A76E178" w14:textId="2CE15D2C" w:rsidR="00340F4A" w:rsidRPr="00163E41" w:rsidRDefault="006A48C8" w:rsidP="00163E41">
      <w:pPr>
        <w:pStyle w:val="SingleTxtG"/>
      </w:pPr>
      <w:r>
        <w:tab/>
      </w:r>
      <w:r w:rsidR="00163E41">
        <w:t>(b)</w:t>
      </w:r>
      <w:r>
        <w:tab/>
        <w:t>W</w:t>
      </w:r>
      <w:r w:rsidR="00340F4A" w:rsidRPr="00163E41">
        <w:t xml:space="preserve">omen’s reproductive functions, related disorders, and diagnostic and therapeutic management, in particular with regard to: </w:t>
      </w:r>
    </w:p>
    <w:p w14:paraId="0DB481F4" w14:textId="604AE7AA" w:rsidR="00340F4A" w:rsidRPr="00340F4A" w:rsidRDefault="006A48C8" w:rsidP="00163E41">
      <w:pPr>
        <w:pStyle w:val="SingleTxtG"/>
      </w:pPr>
      <w:r>
        <w:tab/>
      </w:r>
      <w:r>
        <w:tab/>
        <w:t>(i)</w:t>
      </w:r>
      <w:r>
        <w:tab/>
        <w:t>T</w:t>
      </w:r>
      <w:r w:rsidR="00340F4A" w:rsidRPr="00340F4A">
        <w:t xml:space="preserve">he menstrual cycle and related disorders; </w:t>
      </w:r>
    </w:p>
    <w:p w14:paraId="60EA1A72" w14:textId="1F839BA1" w:rsidR="00340F4A" w:rsidRPr="00340F4A" w:rsidRDefault="006A48C8" w:rsidP="00163E41">
      <w:pPr>
        <w:pStyle w:val="SingleTxtG"/>
        <w:rPr>
          <w:lang w:val="pl-PL"/>
        </w:rPr>
      </w:pPr>
      <w:r>
        <w:tab/>
      </w:r>
      <w:r>
        <w:tab/>
        <w:t>(ii)</w:t>
      </w:r>
      <w:r>
        <w:tab/>
      </w:r>
      <w:r>
        <w:rPr>
          <w:lang w:val="pl-PL"/>
        </w:rPr>
        <w:t>P</w:t>
      </w:r>
      <w:r w:rsidR="00340F4A" w:rsidRPr="00340F4A">
        <w:rPr>
          <w:lang w:val="pl-PL"/>
        </w:rPr>
        <w:t xml:space="preserve">regnancy; </w:t>
      </w:r>
    </w:p>
    <w:p w14:paraId="10057915" w14:textId="7601F953" w:rsidR="00340F4A" w:rsidRPr="00340F4A" w:rsidRDefault="006A48C8" w:rsidP="00163E41">
      <w:pPr>
        <w:pStyle w:val="SingleTxtG"/>
      </w:pPr>
      <w:r>
        <w:tab/>
      </w:r>
      <w:r>
        <w:tab/>
        <w:t>(iii)</w:t>
      </w:r>
      <w:r>
        <w:tab/>
        <w:t>P</w:t>
      </w:r>
      <w:r w:rsidR="00340F4A" w:rsidRPr="00340F4A">
        <w:t xml:space="preserve">hysiological childbirth, pathological childbirth and the postpartum </w:t>
      </w:r>
      <w:r w:rsidR="000206D8">
        <w:tab/>
      </w:r>
      <w:r w:rsidR="000206D8">
        <w:tab/>
      </w:r>
      <w:r w:rsidR="00340F4A" w:rsidRPr="00340F4A">
        <w:t xml:space="preserve">period; </w:t>
      </w:r>
    </w:p>
    <w:p w14:paraId="3D02E329" w14:textId="7E0ECF35" w:rsidR="00340F4A" w:rsidRPr="00340F4A" w:rsidRDefault="000206D8" w:rsidP="00163E41">
      <w:pPr>
        <w:pStyle w:val="SingleTxtG"/>
      </w:pPr>
      <w:r>
        <w:tab/>
      </w:r>
      <w:r>
        <w:tab/>
      </w:r>
      <w:r w:rsidR="006A48C8">
        <w:t>(iv)</w:t>
      </w:r>
      <w:r>
        <w:tab/>
        <w:t>I</w:t>
      </w:r>
      <w:r w:rsidR="00340F4A" w:rsidRPr="00340F4A">
        <w:t xml:space="preserve">nflammation and cancers of the reproductive organs; </w:t>
      </w:r>
    </w:p>
    <w:p w14:paraId="32D16F24" w14:textId="470AD2E6" w:rsidR="00340F4A" w:rsidRPr="00340F4A" w:rsidRDefault="000206D8" w:rsidP="00163E41">
      <w:pPr>
        <w:pStyle w:val="SingleTxtG"/>
      </w:pPr>
      <w:r>
        <w:tab/>
      </w:r>
      <w:r>
        <w:tab/>
      </w:r>
      <w:r w:rsidR="006A48C8">
        <w:t>(v)</w:t>
      </w:r>
      <w:r w:rsidR="001818DE">
        <w:tab/>
        <w:t>B</w:t>
      </w:r>
      <w:r w:rsidR="00340F4A" w:rsidRPr="00340F4A">
        <w:t xml:space="preserve">irth control and assisted reproduction; </w:t>
      </w:r>
    </w:p>
    <w:p w14:paraId="27A18A5A" w14:textId="383127A8" w:rsidR="00340F4A" w:rsidRPr="00340F4A" w:rsidRDefault="001818DE" w:rsidP="00163E41">
      <w:pPr>
        <w:pStyle w:val="SingleTxtG"/>
        <w:rPr>
          <w:lang w:val="pl-PL"/>
        </w:rPr>
      </w:pPr>
      <w:r>
        <w:tab/>
      </w:r>
      <w:r>
        <w:tab/>
      </w:r>
      <w:r w:rsidR="006A48C8">
        <w:t>(vi)</w:t>
      </w:r>
      <w:r>
        <w:tab/>
      </w:r>
      <w:r>
        <w:rPr>
          <w:lang w:val="pl-PL"/>
        </w:rPr>
        <w:t>M</w:t>
      </w:r>
      <w:r w:rsidR="00340F4A" w:rsidRPr="00340F4A">
        <w:rPr>
          <w:lang w:val="pl-PL"/>
        </w:rPr>
        <w:t xml:space="preserve">enopause; </w:t>
      </w:r>
    </w:p>
    <w:p w14:paraId="7B45631A" w14:textId="1C2E61BE" w:rsidR="00340F4A" w:rsidRPr="00340F4A" w:rsidRDefault="001818DE" w:rsidP="00163E41">
      <w:pPr>
        <w:pStyle w:val="SingleTxtG"/>
      </w:pPr>
      <w:r>
        <w:tab/>
      </w:r>
      <w:r>
        <w:tab/>
      </w:r>
      <w:r w:rsidR="006A48C8">
        <w:t>(vii)</w:t>
      </w:r>
      <w:r>
        <w:tab/>
        <w:t>B</w:t>
      </w:r>
      <w:r w:rsidR="00340F4A" w:rsidRPr="00340F4A">
        <w:t>asic methods of gynaecological diagnostics and procedures.</w:t>
      </w:r>
    </w:p>
    <w:p w14:paraId="51EA08B6" w14:textId="5D11278A" w:rsidR="00340F4A" w:rsidRPr="00340F4A" w:rsidRDefault="00340F4A" w:rsidP="00036A42">
      <w:pPr>
        <w:pStyle w:val="SingleTxtG"/>
        <w:numPr>
          <w:ilvl w:val="0"/>
          <w:numId w:val="38"/>
        </w:numPr>
        <w:ind w:left="1134" w:firstLine="0"/>
      </w:pPr>
      <w:r w:rsidRPr="00340F4A">
        <w:lastRenderedPageBreak/>
        <w:t>In terms of practical skills, a graduate is expected, among other things, to be able to:</w:t>
      </w:r>
    </w:p>
    <w:p w14:paraId="1A5D044A" w14:textId="5C7642DB" w:rsidR="00340F4A" w:rsidRPr="009D5885" w:rsidRDefault="009D5885" w:rsidP="009D5885">
      <w:pPr>
        <w:pStyle w:val="SingleTxtG"/>
      </w:pPr>
      <w:r>
        <w:tab/>
        <w:t>(a)</w:t>
      </w:r>
      <w:r>
        <w:tab/>
        <w:t>A</w:t>
      </w:r>
      <w:r w:rsidR="00340F4A" w:rsidRPr="009D5885">
        <w:t xml:space="preserve">pply appropriate medical management in cases of physiological pregnancy and the postpartum period in accordance with perinatal care standards; </w:t>
      </w:r>
    </w:p>
    <w:p w14:paraId="7D7A3A02" w14:textId="6A74CB86" w:rsidR="00340F4A" w:rsidRPr="009D5885" w:rsidRDefault="009D5885" w:rsidP="009D5885">
      <w:pPr>
        <w:pStyle w:val="SingleTxtG"/>
      </w:pPr>
      <w:r>
        <w:tab/>
        <w:t>(b)</w:t>
      </w:r>
      <w:r>
        <w:tab/>
        <w:t>I</w:t>
      </w:r>
      <w:r w:rsidR="00340F4A" w:rsidRPr="009D5885">
        <w:t xml:space="preserve">dentify the most common symptoms indicating an abnormal course of pregnancy and the postpartum period, apply and interpret diagnostic tests, conduct differential diagnosis, initiate treatment, monitor treatment outcomes, and assess indications for specialist consultation, particularly in cases involving abdominal pain, uterine contractions, genital tract bleeding, abnormal foetal heart rate and movements, or hypertension; </w:t>
      </w:r>
    </w:p>
    <w:p w14:paraId="55106898" w14:textId="1F5F2915" w:rsidR="00340F4A" w:rsidRPr="009D5885" w:rsidRDefault="009D5885" w:rsidP="009D5885">
      <w:pPr>
        <w:pStyle w:val="SingleTxtG"/>
      </w:pPr>
      <w:r>
        <w:tab/>
        <w:t>(c)</w:t>
      </w:r>
      <w:r>
        <w:tab/>
        <w:t>A</w:t>
      </w:r>
      <w:r w:rsidR="00340F4A" w:rsidRPr="009D5885">
        <w:t xml:space="preserve">pply appropriate medical management in cases of abnormal genital tract bleeding, amenorrhoea, pelvic pain (including pelvic inflammatory disease and ectopic pregnancy), vaginitis and vulvitis, and sexually transmitted infections; </w:t>
      </w:r>
    </w:p>
    <w:p w14:paraId="71897172" w14:textId="487A1023" w:rsidR="00340F4A" w:rsidRPr="009D5885" w:rsidRDefault="009D5885" w:rsidP="009D5885">
      <w:pPr>
        <w:pStyle w:val="SingleTxtG"/>
      </w:pPr>
      <w:r>
        <w:tab/>
        <w:t>(d)</w:t>
      </w:r>
      <w:r>
        <w:tab/>
        <w:t>P</w:t>
      </w:r>
      <w:r w:rsidR="00340F4A" w:rsidRPr="009D5885">
        <w:t xml:space="preserve">erform a complete and targeted physical examination of an adult adapted to the specific clinical situation, including a gynaecological examination; </w:t>
      </w:r>
    </w:p>
    <w:p w14:paraId="40D227A3" w14:textId="17E26AA1" w:rsidR="00340F4A" w:rsidRPr="009D5885" w:rsidRDefault="009D5885" w:rsidP="009D5885">
      <w:pPr>
        <w:pStyle w:val="SingleTxtG"/>
      </w:pPr>
      <w:r>
        <w:tab/>
        <w:t>(e)</w:t>
      </w:r>
      <w:r>
        <w:tab/>
        <w:t>R</w:t>
      </w:r>
      <w:r w:rsidR="00340F4A" w:rsidRPr="009D5885">
        <w:t xml:space="preserve">ecognise the most common life-threatening conditions occurring </w:t>
      </w:r>
      <w:r w:rsidR="00340F4A" w:rsidRPr="009D5885">
        <w:br/>
        <w:t xml:space="preserve">in children and adults and implement appropriate management </w:t>
      </w:r>
      <w:r w:rsidR="00340F4A" w:rsidRPr="009D5885">
        <w:br/>
        <w:t xml:space="preserve">in accordance with medical principles, particularly in emergencies </w:t>
      </w:r>
      <w:r w:rsidR="00340F4A" w:rsidRPr="009D5885">
        <w:br/>
        <w:t>of gynaecological, obstetric and urological origin.</w:t>
      </w:r>
    </w:p>
    <w:p w14:paraId="24B5D759" w14:textId="242684F0" w:rsidR="00340F4A" w:rsidRPr="00340F4A" w:rsidRDefault="00983055" w:rsidP="00983055">
      <w:pPr>
        <w:pStyle w:val="HChG"/>
      </w:pPr>
      <w:r>
        <w:tab/>
        <w:t>V.</w:t>
      </w:r>
      <w:r>
        <w:tab/>
      </w:r>
      <w:r w:rsidR="00340F4A" w:rsidRPr="00340F4A">
        <w:t>Ensuring effective, timely and accessible procedures for pregnancy termination, including the reintroduction of the obligation for medical professionals who invoke conscientious objection to sexual and reproductive health services to refer women to an alternative healthcare provider (108 g, k)</w:t>
      </w:r>
    </w:p>
    <w:p w14:paraId="6F132A0D" w14:textId="1D58E9ED" w:rsidR="00340F4A" w:rsidRPr="00340F4A" w:rsidRDefault="00340F4A" w:rsidP="00C40CCD">
      <w:pPr>
        <w:pStyle w:val="SingleTxtG"/>
        <w:numPr>
          <w:ilvl w:val="0"/>
          <w:numId w:val="38"/>
        </w:numPr>
        <w:ind w:left="1134" w:firstLine="0"/>
      </w:pPr>
      <w:r w:rsidRPr="00340F4A">
        <w:t xml:space="preserve">Poland undertakes significant measures aimed at ensuring patients’ effective access to guaranteed healthcare services involving pregnancy termination, </w:t>
      </w:r>
      <w:r w:rsidRPr="00340F4A">
        <w:br/>
        <w:t>in accordance with the currently applicable provisions of the Act of 1993.</w:t>
      </w:r>
    </w:p>
    <w:p w14:paraId="4D4121D1" w14:textId="240DA0A2" w:rsidR="00340F4A" w:rsidRPr="00340F4A" w:rsidRDefault="00340F4A" w:rsidP="000653AC">
      <w:pPr>
        <w:pStyle w:val="SingleTxtG"/>
        <w:numPr>
          <w:ilvl w:val="0"/>
          <w:numId w:val="38"/>
        </w:numPr>
        <w:ind w:left="1134" w:firstLine="0"/>
      </w:pPr>
      <w:r w:rsidRPr="00340F4A">
        <w:t xml:space="preserve">Firstly, in order to ensure women’s access to healthcare services involving pregnancy termination, including in situations where a physician invokes the so-called conscientious objection clause, in 2024 an amendment to the </w:t>
      </w:r>
      <w:r w:rsidRPr="00340F4A">
        <w:rPr>
          <w:i/>
          <w:iCs/>
        </w:rPr>
        <w:t>Regulation of the Minister of Health of 8 September 2015 on general conditions for contracts for the provision of healthcare services</w:t>
      </w:r>
      <w:r w:rsidRPr="00340F4A">
        <w:t xml:space="preserve"> was introduced, establishing a legal obligation for hospitals to ensure the availability of such services at the place where healthcare services are provided. Consequently, healthcare providers performing contracts with the National Health Fund (NFZ) are required, in cases where pregnancy termination is permitted under generally applicable law, to provide pregnancy termination services at the location where healthcare services are delivered, regardless of whether a physician invokes the so-called conscientious objection clause. Failure to comply with this obligation results in a contractual penalty of up to 2% of the amount of the contractual obligation for each identified breach. Independently of the above, in the event of a breach of this obligation, the President of the National Health Fund or the director of a regional branch of the NFZ may also terminate the contract, in whole or in part, with immediate effect and without observing the notice period.</w:t>
      </w:r>
    </w:p>
    <w:p w14:paraId="56BB3ABF" w14:textId="593264F9" w:rsidR="00340F4A" w:rsidRPr="00340F4A" w:rsidRDefault="00340F4A" w:rsidP="000653AC">
      <w:pPr>
        <w:pStyle w:val="SingleTxtG"/>
        <w:numPr>
          <w:ilvl w:val="0"/>
          <w:numId w:val="38"/>
        </w:numPr>
        <w:ind w:left="1134" w:firstLine="0"/>
      </w:pPr>
      <w:r w:rsidRPr="00340F4A">
        <w:t xml:space="preserve">Furthermore, in August 2024, the Ministry of Health developed a document entitled </w:t>
      </w:r>
      <w:r w:rsidRPr="00340F4A">
        <w:rPr>
          <w:i/>
          <w:iCs/>
        </w:rPr>
        <w:t xml:space="preserve">“Guidelines on the </w:t>
      </w:r>
      <w:r w:rsidRPr="000653AC">
        <w:t>applicable</w:t>
      </w:r>
      <w:r w:rsidRPr="00340F4A">
        <w:rPr>
          <w:i/>
          <w:iCs/>
        </w:rPr>
        <w:t xml:space="preserve"> legal provisions governing access to pregnancy termination procedures.” </w:t>
      </w:r>
      <w:r w:rsidRPr="00340F4A">
        <w:t>(</w:t>
      </w:r>
      <w:r w:rsidRPr="00340F4A">
        <w:rPr>
          <w:i/>
          <w:iCs/>
        </w:rPr>
        <w:t>see: point 17 above</w:t>
      </w:r>
      <w:r w:rsidRPr="00340F4A">
        <w:t>).</w:t>
      </w:r>
    </w:p>
    <w:p w14:paraId="67C999D6" w14:textId="1A0722CB" w:rsidR="00340F4A" w:rsidRPr="00340F4A" w:rsidRDefault="00340F4A" w:rsidP="000653AC">
      <w:pPr>
        <w:pStyle w:val="SingleTxtG"/>
        <w:numPr>
          <w:ilvl w:val="0"/>
          <w:numId w:val="38"/>
        </w:numPr>
        <w:ind w:left="1134" w:firstLine="0"/>
      </w:pPr>
      <w:r w:rsidRPr="00340F4A">
        <w:t>Thirdly, in January 2024, the National Health Fund (NFZ) was instructed by the Ministry of Health to continuously monitor the implementation of contracts concerning pregnancy termination procedures by healthcare providers in individual voivodeships. Accordingly, the NFZ Headquarters instructed the Directors of the NFZ Regional Branches to immediately undertake the following actions:</w:t>
      </w:r>
    </w:p>
    <w:p w14:paraId="3C1F8886" w14:textId="21EFD43F" w:rsidR="00340F4A" w:rsidRPr="00340F4A" w:rsidRDefault="000653AC" w:rsidP="00C40CCD">
      <w:pPr>
        <w:pStyle w:val="SingleTxtG"/>
      </w:pPr>
      <w:r>
        <w:lastRenderedPageBreak/>
        <w:tab/>
        <w:t>(a)</w:t>
      </w:r>
      <w:r>
        <w:tab/>
        <w:t>R</w:t>
      </w:r>
      <w:r w:rsidR="00340F4A" w:rsidRPr="00340F4A">
        <w:t xml:space="preserve">egularly collect information on the provision and settlement of pregnancy termination procedures by healthcare providers in individual voivodeships and identify which hospitals do not provide this service at all; </w:t>
      </w:r>
    </w:p>
    <w:p w14:paraId="20C55818" w14:textId="1F2688BD" w:rsidR="00340F4A" w:rsidRPr="00340F4A" w:rsidRDefault="000653AC" w:rsidP="00C40CCD">
      <w:pPr>
        <w:pStyle w:val="SingleTxtG"/>
      </w:pPr>
      <w:r>
        <w:tab/>
        <w:t>(b)</w:t>
      </w:r>
      <w:r>
        <w:tab/>
        <w:t>E</w:t>
      </w:r>
      <w:r w:rsidR="00340F4A" w:rsidRPr="00340F4A">
        <w:t xml:space="preserve">ach time, request such healthcare providers to provide: </w:t>
      </w:r>
    </w:p>
    <w:p w14:paraId="4DD15B46" w14:textId="34C4B9C4" w:rsidR="00340F4A" w:rsidRPr="00340F4A" w:rsidRDefault="000653AC" w:rsidP="00C40CCD">
      <w:pPr>
        <w:pStyle w:val="SingleTxtG"/>
      </w:pPr>
      <w:r>
        <w:tab/>
      </w:r>
      <w:r>
        <w:tab/>
        <w:t>(i)</w:t>
      </w:r>
      <w:r>
        <w:tab/>
        <w:t>I</w:t>
      </w:r>
      <w:r w:rsidR="00340F4A" w:rsidRPr="00340F4A">
        <w:t xml:space="preserve">nformation on whether there have been cases in which a patient sought </w:t>
      </w:r>
      <w:r>
        <w:tab/>
      </w:r>
      <w:r>
        <w:tab/>
      </w:r>
      <w:r w:rsidR="00340F4A" w:rsidRPr="00340F4A">
        <w:t xml:space="preserve">access to the above-mentioned service at a given hospital and was refused its </w:t>
      </w:r>
      <w:r>
        <w:tab/>
      </w:r>
      <w:r>
        <w:tab/>
      </w:r>
      <w:r w:rsidR="00340F4A" w:rsidRPr="00340F4A">
        <w:t xml:space="preserve">provision; </w:t>
      </w:r>
    </w:p>
    <w:p w14:paraId="73A75C00" w14:textId="3E575C72" w:rsidR="00340F4A" w:rsidRPr="00340F4A" w:rsidRDefault="000653AC" w:rsidP="00C40CCD">
      <w:pPr>
        <w:pStyle w:val="SingleTxtG"/>
      </w:pPr>
      <w:r>
        <w:tab/>
      </w:r>
      <w:r>
        <w:tab/>
        <w:t>(ii)</w:t>
      </w:r>
      <w:r>
        <w:tab/>
        <w:t>A</w:t>
      </w:r>
      <w:r w:rsidR="00340F4A" w:rsidRPr="00340F4A">
        <w:t xml:space="preserve">n explanation of the reasons for such refusal and the manner in which </w:t>
      </w:r>
      <w:r>
        <w:tab/>
      </w:r>
      <w:r>
        <w:tab/>
      </w:r>
      <w:r w:rsidR="00340F4A" w:rsidRPr="00340F4A">
        <w:t xml:space="preserve">the patient’s right to receive the service was ensured (and, consequently, how </w:t>
      </w:r>
      <w:r>
        <w:tab/>
      </w:r>
      <w:r>
        <w:tab/>
      </w:r>
      <w:r w:rsidR="00340F4A" w:rsidRPr="00340F4A">
        <w:t xml:space="preserve">the relevant contractual obligation was fulfilled), and, where no such measures </w:t>
      </w:r>
      <w:r>
        <w:tab/>
      </w:r>
      <w:r>
        <w:tab/>
      </w:r>
      <w:r w:rsidR="00340F4A" w:rsidRPr="00340F4A">
        <w:t xml:space="preserve">were taken, to initiate appropriate proceedings against the healthcare provider. </w:t>
      </w:r>
    </w:p>
    <w:p w14:paraId="76816874" w14:textId="77777777" w:rsidR="00340F4A" w:rsidRPr="00340F4A" w:rsidRDefault="00340F4A" w:rsidP="000653AC">
      <w:pPr>
        <w:pStyle w:val="SingleTxtG"/>
        <w:numPr>
          <w:ilvl w:val="0"/>
          <w:numId w:val="38"/>
        </w:numPr>
        <w:ind w:left="1134" w:firstLine="0"/>
      </w:pPr>
      <w:r w:rsidRPr="00340F4A">
        <w:t>Where irregularities were identified in the implementation of contracts concerning access to pregnancy termination services, or where information was obtained regarding a refusal to provide such services, the NFZ Regional Branches were requested to inform the NFZ Headquarters of such cases, indicating the actions they had taken in this regard.</w:t>
      </w:r>
    </w:p>
    <w:p w14:paraId="5D911F1A" w14:textId="2E4C6E71" w:rsidR="00340F4A" w:rsidRPr="00340F4A" w:rsidRDefault="00340F4A" w:rsidP="000653AC">
      <w:pPr>
        <w:pStyle w:val="SingleTxtG"/>
        <w:numPr>
          <w:ilvl w:val="0"/>
          <w:numId w:val="38"/>
        </w:numPr>
        <w:ind w:left="1134" w:firstLine="0"/>
      </w:pPr>
      <w:r w:rsidRPr="00340F4A">
        <w:t>The Patient Ombudsman also undertakes significant measures aimed at ensuring the protection of patients’ rights, including the right to healthcare services provided in accordance with applicable legal provisions, current medical knowledge, and with respect for the patient’s dignity. The Ombudsman closely monitors situations in which access to healthcare services may be restricted, including access to pregnancy termination services permitted under the Act of 1993.</w:t>
      </w:r>
    </w:p>
    <w:p w14:paraId="2363171E" w14:textId="29195EDE" w:rsidR="00340F4A" w:rsidRPr="00340F4A" w:rsidRDefault="00340F4A" w:rsidP="000653AC">
      <w:pPr>
        <w:pStyle w:val="SingleTxtG"/>
        <w:numPr>
          <w:ilvl w:val="0"/>
          <w:numId w:val="38"/>
        </w:numPr>
        <w:ind w:left="1134" w:firstLine="0"/>
      </w:pPr>
      <w:r w:rsidRPr="00340F4A">
        <w:t>In order to facilitate access to information and provide support to patients, the Patient Ombudsman operates a free, 24-hour Patient Information Helpline, through which women may report any difficulties they have encountered, including anonymously. The Ombudsman conducts explanatory proceedings and, where irregularities are identified, issues recommendations or decisions ordering the cessation of improper practices in order to ensure the proper resolution of the matter and eliminate such irregularities.</w:t>
      </w:r>
    </w:p>
    <w:p w14:paraId="2B7A983E" w14:textId="1E23CB9C" w:rsidR="00340F4A" w:rsidRPr="00340F4A" w:rsidRDefault="00340F4A" w:rsidP="000653AC">
      <w:pPr>
        <w:pStyle w:val="SingleTxtG"/>
        <w:numPr>
          <w:ilvl w:val="0"/>
          <w:numId w:val="38"/>
        </w:numPr>
        <w:ind w:left="1134" w:firstLine="0"/>
      </w:pPr>
      <w:r w:rsidRPr="00340F4A">
        <w:t>Furthermore, the Patient Ombudsman established a Team for Intervention Measures, whose task is to take action when information about irregularities is received. The sources of such information include reports submitted by patients (including anonymous reports), as well as, among others, monitoring of media reports. The team’s staff analyse individual cases and assess the urgency of each situation. In urgent cases, they undertake intervention measures, including contacting healthcare providers or other relevant authorities, institutions and non-governmental organisations by telephone or in writing.</w:t>
      </w:r>
    </w:p>
    <w:p w14:paraId="192F3ACC" w14:textId="6DD9C4DF" w:rsidR="00340F4A" w:rsidRPr="00340F4A" w:rsidRDefault="00340F4A" w:rsidP="000653AC">
      <w:pPr>
        <w:pStyle w:val="SingleTxtG"/>
        <w:numPr>
          <w:ilvl w:val="0"/>
          <w:numId w:val="38"/>
        </w:numPr>
        <w:ind w:left="1134" w:firstLine="0"/>
      </w:pPr>
      <w:r w:rsidRPr="00340F4A">
        <w:t>The effectiveness of measures undertaken to ensure actual access to legally permissible pregnancy termination procedures is also demonstrated by data on the number of procedures performed. In 2024, 885 pregnancy termination procedures were carried out, which was more than twice the number recorded in 2023 and more than seven times the number recorded in 2021. The increase in the number of legally performed pregnancy termination procedures indicates improved access to such procedures and the effectiveness of the measures undertaken.</w:t>
      </w:r>
    </w:p>
    <w:p w14:paraId="43EF6765" w14:textId="5D1DA1CD" w:rsidR="00340F4A" w:rsidRPr="00340F4A" w:rsidRDefault="00983055" w:rsidP="00983055">
      <w:pPr>
        <w:pStyle w:val="HChG"/>
      </w:pPr>
      <w:r>
        <w:tab/>
        <w:t>VI.</w:t>
      </w:r>
      <w:r>
        <w:tab/>
      </w:r>
      <w:r w:rsidR="00340F4A" w:rsidRPr="00340F4A">
        <w:t>Ensuring universal and affordable access to sexual and reproductive health services and products for all women, including safe and modern contraceptive methods, such as oral, long-acting and permanent contraception, as well as emergency contraception available without a prescription (109 b)</w:t>
      </w:r>
    </w:p>
    <w:p w14:paraId="525E6BE0" w14:textId="632E422C" w:rsidR="00340F4A" w:rsidRPr="00340F4A" w:rsidRDefault="00340F4A" w:rsidP="000653AC">
      <w:pPr>
        <w:pStyle w:val="SingleTxtG"/>
        <w:numPr>
          <w:ilvl w:val="0"/>
          <w:numId w:val="38"/>
        </w:numPr>
        <w:ind w:left="1134" w:firstLine="0"/>
      </w:pPr>
      <w:r w:rsidRPr="00340F4A">
        <w:t xml:space="preserve">It should be emphasised that the availability of medicinal products on the market, including those used in the field of sexual and reproductive health, is continuously monitored by the Minister of Health and subordinate bodies, including the Chief Pharmaceutical </w:t>
      </w:r>
      <w:r w:rsidRPr="00340F4A">
        <w:lastRenderedPageBreak/>
        <w:t>Inspector, in order to ensure that patients’ medicinal needs are met within the scope of their respective competences.</w:t>
      </w:r>
    </w:p>
    <w:p w14:paraId="0B5D5695" w14:textId="30368551" w:rsidR="00340F4A" w:rsidRPr="00340F4A" w:rsidRDefault="00340F4A" w:rsidP="00E755E1">
      <w:pPr>
        <w:pStyle w:val="SingleTxtG"/>
        <w:numPr>
          <w:ilvl w:val="0"/>
          <w:numId w:val="38"/>
        </w:numPr>
        <w:ind w:left="1134" w:firstLine="0"/>
      </w:pPr>
      <w:r w:rsidRPr="00340F4A">
        <w:t>Under the applicable legal provisions, only medicinal products that have obtained a marketing authorisation issued by the European Commission or by the President of the Office for Registration of Medicinal Products, Medical Devices and Biocidal Products may be placed on the market. The marketing authorisation holder plays a key role in the process of placing a medicinal product on the market, as it is responsible for decisions regarding the type and quantity of products supplied to the market.</w:t>
      </w:r>
    </w:p>
    <w:p w14:paraId="16CF3C51" w14:textId="49BE4380" w:rsidR="00340F4A" w:rsidRPr="00340F4A" w:rsidRDefault="00340F4A" w:rsidP="00E755E1">
      <w:pPr>
        <w:pStyle w:val="SingleTxtG"/>
        <w:numPr>
          <w:ilvl w:val="0"/>
          <w:numId w:val="38"/>
        </w:numPr>
        <w:ind w:left="1134" w:firstLine="0"/>
      </w:pPr>
      <w:r w:rsidRPr="00340F4A">
        <w:t xml:space="preserve">With regard to measures undertaken by the State, it should be noted that, pursuant to the </w:t>
      </w:r>
      <w:r w:rsidRPr="00340F4A">
        <w:rPr>
          <w:i/>
          <w:iCs/>
        </w:rPr>
        <w:t>Notice of the Minister of Health of 17 March 2026 on the list of reimbursed medicinal products, foodstuffs for particular nutritional uses and medical devices</w:t>
      </w:r>
      <w:r w:rsidRPr="00340F4A">
        <w:t xml:space="preserve"> applicable as of 1 April 2026, contraceptive medicines are reimbursed for all registered indications as of the date of the decision, where the Summary of Product Characteristics (SmPC) includes an indication for use as oral contraception, in accordance with the data presented in the table below.</w:t>
      </w:r>
    </w:p>
    <w:p w14:paraId="4B2ED11A" w14:textId="77777777" w:rsidR="00340F4A" w:rsidRPr="00340F4A" w:rsidRDefault="00340F4A" w:rsidP="0090080E">
      <w:pPr>
        <w:pStyle w:val="Heading1"/>
        <w:jc w:val="center"/>
      </w:pPr>
      <w:r w:rsidRPr="00340F4A">
        <w:t>List of reimbursed medicinal products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50"/>
        <w:gridCol w:w="828"/>
        <w:gridCol w:w="551"/>
        <w:gridCol w:w="734"/>
        <w:gridCol w:w="1178"/>
        <w:gridCol w:w="708"/>
        <w:gridCol w:w="750"/>
        <w:gridCol w:w="751"/>
        <w:gridCol w:w="1120"/>
      </w:tblGrid>
      <w:tr w:rsidR="00340F4A" w:rsidRPr="000653AC" w14:paraId="26CFDCCE" w14:textId="77777777" w:rsidTr="000653AC">
        <w:trPr>
          <w:tblHeader/>
        </w:trPr>
        <w:tc>
          <w:tcPr>
            <w:tcW w:w="850" w:type="dxa"/>
            <w:tcBorders>
              <w:top w:val="single" w:sz="4" w:space="0" w:color="auto"/>
              <w:bottom w:val="single" w:sz="12" w:space="0" w:color="auto"/>
            </w:tcBorders>
            <w:vAlign w:val="bottom"/>
          </w:tcPr>
          <w:p w14:paraId="5E18B161"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lang w:val="pl-PL"/>
              </w:rPr>
              <w:t>GTIN</w:t>
            </w:r>
          </w:p>
        </w:tc>
        <w:tc>
          <w:tcPr>
            <w:tcW w:w="939" w:type="dxa"/>
            <w:tcBorders>
              <w:top w:val="single" w:sz="4" w:space="0" w:color="auto"/>
              <w:bottom w:val="single" w:sz="12" w:space="0" w:color="auto"/>
            </w:tcBorders>
            <w:vAlign w:val="bottom"/>
          </w:tcPr>
          <w:p w14:paraId="7459B565"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rPr>
              <w:t xml:space="preserve">Product </w:t>
            </w:r>
            <w:r w:rsidRPr="000653AC">
              <w:rPr>
                <w:rFonts w:eastAsiaTheme="minorHAnsi"/>
                <w:i/>
                <w:sz w:val="16"/>
              </w:rPr>
              <w:br/>
              <w:t>name</w:t>
            </w:r>
          </w:p>
        </w:tc>
        <w:tc>
          <w:tcPr>
            <w:tcW w:w="624" w:type="dxa"/>
            <w:tcBorders>
              <w:top w:val="single" w:sz="4" w:space="0" w:color="auto"/>
              <w:bottom w:val="single" w:sz="12" w:space="0" w:color="auto"/>
            </w:tcBorders>
            <w:vAlign w:val="bottom"/>
          </w:tcPr>
          <w:p w14:paraId="3090D7C2"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rPr>
              <w:t>Form</w:t>
            </w:r>
          </w:p>
        </w:tc>
        <w:tc>
          <w:tcPr>
            <w:tcW w:w="832" w:type="dxa"/>
            <w:tcBorders>
              <w:top w:val="single" w:sz="4" w:space="0" w:color="auto"/>
              <w:bottom w:val="single" w:sz="12" w:space="0" w:color="auto"/>
            </w:tcBorders>
            <w:vAlign w:val="bottom"/>
          </w:tcPr>
          <w:p w14:paraId="3FB1EEE4"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rPr>
              <w:t>Strength</w:t>
            </w:r>
          </w:p>
        </w:tc>
        <w:tc>
          <w:tcPr>
            <w:tcW w:w="1336" w:type="dxa"/>
            <w:tcBorders>
              <w:top w:val="single" w:sz="4" w:space="0" w:color="auto"/>
              <w:bottom w:val="single" w:sz="12" w:space="0" w:color="auto"/>
            </w:tcBorders>
            <w:vAlign w:val="bottom"/>
          </w:tcPr>
          <w:p w14:paraId="28266A42"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rPr>
              <w:t>International</w:t>
            </w:r>
            <w:r w:rsidRPr="000653AC">
              <w:rPr>
                <w:rFonts w:eastAsiaTheme="minorHAnsi"/>
                <w:i/>
                <w:sz w:val="16"/>
              </w:rPr>
              <w:br/>
              <w:t>Nonproprietary</w:t>
            </w:r>
            <w:r w:rsidRPr="000653AC">
              <w:rPr>
                <w:rFonts w:eastAsiaTheme="minorHAnsi"/>
                <w:i/>
                <w:sz w:val="16"/>
              </w:rPr>
              <w:br/>
              <w:t>Name</w:t>
            </w:r>
          </w:p>
        </w:tc>
        <w:tc>
          <w:tcPr>
            <w:tcW w:w="802" w:type="dxa"/>
            <w:tcBorders>
              <w:top w:val="single" w:sz="4" w:space="0" w:color="auto"/>
              <w:bottom w:val="single" w:sz="12" w:space="0" w:color="auto"/>
            </w:tcBorders>
            <w:vAlign w:val="bottom"/>
          </w:tcPr>
          <w:p w14:paraId="64C7401D"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rPr>
              <w:t>Package</w:t>
            </w:r>
            <w:r w:rsidRPr="000653AC">
              <w:rPr>
                <w:rFonts w:eastAsiaTheme="minorHAnsi"/>
                <w:i/>
                <w:sz w:val="16"/>
              </w:rPr>
              <w:br/>
              <w:t>size</w:t>
            </w:r>
          </w:p>
        </w:tc>
        <w:tc>
          <w:tcPr>
            <w:tcW w:w="850" w:type="dxa"/>
            <w:tcBorders>
              <w:top w:val="single" w:sz="4" w:space="0" w:color="auto"/>
              <w:bottom w:val="single" w:sz="12" w:space="0" w:color="auto"/>
            </w:tcBorders>
            <w:vAlign w:val="bottom"/>
          </w:tcPr>
          <w:p w14:paraId="4AF38614"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rPr>
              <w:t>Patient</w:t>
            </w:r>
            <w:r w:rsidRPr="000653AC">
              <w:rPr>
                <w:rFonts w:eastAsiaTheme="minorHAnsi"/>
                <w:i/>
                <w:sz w:val="16"/>
              </w:rPr>
              <w:br/>
              <w:t>payment</w:t>
            </w:r>
          </w:p>
        </w:tc>
        <w:tc>
          <w:tcPr>
            <w:tcW w:w="851" w:type="dxa"/>
            <w:tcBorders>
              <w:top w:val="single" w:sz="4" w:space="0" w:color="auto"/>
              <w:bottom w:val="single" w:sz="12" w:space="0" w:color="auto"/>
            </w:tcBorders>
            <w:vAlign w:val="bottom"/>
          </w:tcPr>
          <w:p w14:paraId="7B6B9C88"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rPr>
              <w:t>Reimbursement</w:t>
            </w:r>
          </w:p>
        </w:tc>
        <w:tc>
          <w:tcPr>
            <w:tcW w:w="1270" w:type="dxa"/>
            <w:tcBorders>
              <w:top w:val="single" w:sz="4" w:space="0" w:color="auto"/>
              <w:bottom w:val="single" w:sz="12" w:space="0" w:color="auto"/>
            </w:tcBorders>
            <w:vAlign w:val="bottom"/>
          </w:tcPr>
          <w:p w14:paraId="6A61037E" w14:textId="77777777" w:rsidR="00340F4A" w:rsidRPr="000653AC" w:rsidRDefault="00340F4A" w:rsidP="000653AC">
            <w:pPr>
              <w:spacing w:before="80" w:after="80" w:line="200" w:lineRule="exact"/>
              <w:ind w:right="113"/>
              <w:rPr>
                <w:rFonts w:eastAsiaTheme="minorHAnsi"/>
                <w:i/>
                <w:sz w:val="16"/>
              </w:rPr>
            </w:pPr>
            <w:r w:rsidRPr="000653AC">
              <w:rPr>
                <w:rFonts w:eastAsiaTheme="minorHAnsi"/>
                <w:i/>
                <w:sz w:val="16"/>
              </w:rPr>
              <w:t>Reimbursement level</w:t>
            </w:r>
          </w:p>
        </w:tc>
      </w:tr>
      <w:tr w:rsidR="000653AC" w:rsidRPr="000653AC" w14:paraId="3BB78DE5" w14:textId="77777777" w:rsidTr="000653AC">
        <w:trPr>
          <w:trHeight w:hRule="exact" w:val="113"/>
        </w:trPr>
        <w:tc>
          <w:tcPr>
            <w:tcW w:w="850" w:type="dxa"/>
            <w:tcBorders>
              <w:top w:val="single" w:sz="12" w:space="0" w:color="auto"/>
            </w:tcBorders>
          </w:tcPr>
          <w:p w14:paraId="450C16E0" w14:textId="77777777" w:rsidR="000653AC" w:rsidRPr="000653AC" w:rsidRDefault="000653AC" w:rsidP="000653AC">
            <w:pPr>
              <w:spacing w:before="40" w:after="120"/>
              <w:ind w:right="113"/>
              <w:rPr>
                <w:rFonts w:eastAsiaTheme="minorHAnsi"/>
                <w:lang w:val="pl-PL"/>
              </w:rPr>
            </w:pPr>
          </w:p>
        </w:tc>
        <w:tc>
          <w:tcPr>
            <w:tcW w:w="939" w:type="dxa"/>
            <w:tcBorders>
              <w:top w:val="single" w:sz="12" w:space="0" w:color="auto"/>
            </w:tcBorders>
          </w:tcPr>
          <w:p w14:paraId="7BD67A85" w14:textId="77777777" w:rsidR="000653AC" w:rsidRPr="000653AC" w:rsidRDefault="000653AC" w:rsidP="000653AC">
            <w:pPr>
              <w:spacing w:before="40" w:after="120"/>
              <w:ind w:right="113"/>
              <w:rPr>
                <w:rFonts w:eastAsiaTheme="minorHAnsi"/>
              </w:rPr>
            </w:pPr>
          </w:p>
        </w:tc>
        <w:tc>
          <w:tcPr>
            <w:tcW w:w="624" w:type="dxa"/>
            <w:tcBorders>
              <w:top w:val="single" w:sz="12" w:space="0" w:color="auto"/>
            </w:tcBorders>
          </w:tcPr>
          <w:p w14:paraId="6E2736C7" w14:textId="77777777" w:rsidR="000653AC" w:rsidRPr="000653AC" w:rsidRDefault="000653AC" w:rsidP="000653AC">
            <w:pPr>
              <w:spacing w:before="40" w:after="120"/>
              <w:ind w:right="113"/>
              <w:rPr>
                <w:rFonts w:eastAsiaTheme="minorHAnsi"/>
              </w:rPr>
            </w:pPr>
          </w:p>
        </w:tc>
        <w:tc>
          <w:tcPr>
            <w:tcW w:w="832" w:type="dxa"/>
            <w:tcBorders>
              <w:top w:val="single" w:sz="12" w:space="0" w:color="auto"/>
            </w:tcBorders>
          </w:tcPr>
          <w:p w14:paraId="716D50DF" w14:textId="77777777" w:rsidR="000653AC" w:rsidRPr="000653AC" w:rsidRDefault="000653AC" w:rsidP="000653AC">
            <w:pPr>
              <w:spacing w:before="40" w:after="120"/>
              <w:ind w:right="113"/>
              <w:rPr>
                <w:rFonts w:eastAsiaTheme="minorHAnsi"/>
              </w:rPr>
            </w:pPr>
          </w:p>
        </w:tc>
        <w:tc>
          <w:tcPr>
            <w:tcW w:w="1336" w:type="dxa"/>
            <w:tcBorders>
              <w:top w:val="single" w:sz="12" w:space="0" w:color="auto"/>
            </w:tcBorders>
          </w:tcPr>
          <w:p w14:paraId="09C48076" w14:textId="77777777" w:rsidR="000653AC" w:rsidRPr="000653AC" w:rsidRDefault="000653AC" w:rsidP="000653AC">
            <w:pPr>
              <w:spacing w:before="40" w:after="120"/>
              <w:ind w:right="113"/>
              <w:rPr>
                <w:rFonts w:eastAsiaTheme="minorHAnsi"/>
              </w:rPr>
            </w:pPr>
          </w:p>
        </w:tc>
        <w:tc>
          <w:tcPr>
            <w:tcW w:w="802" w:type="dxa"/>
            <w:tcBorders>
              <w:top w:val="single" w:sz="12" w:space="0" w:color="auto"/>
            </w:tcBorders>
          </w:tcPr>
          <w:p w14:paraId="5280F5AC" w14:textId="77777777" w:rsidR="000653AC" w:rsidRPr="000653AC" w:rsidRDefault="000653AC" w:rsidP="000653AC">
            <w:pPr>
              <w:spacing w:before="40" w:after="120"/>
              <w:ind w:right="113"/>
              <w:rPr>
                <w:rFonts w:eastAsiaTheme="minorHAnsi"/>
              </w:rPr>
            </w:pPr>
          </w:p>
        </w:tc>
        <w:tc>
          <w:tcPr>
            <w:tcW w:w="850" w:type="dxa"/>
            <w:tcBorders>
              <w:top w:val="single" w:sz="12" w:space="0" w:color="auto"/>
            </w:tcBorders>
          </w:tcPr>
          <w:p w14:paraId="385DBA46" w14:textId="77777777" w:rsidR="000653AC" w:rsidRPr="000653AC" w:rsidRDefault="000653AC" w:rsidP="000653AC">
            <w:pPr>
              <w:spacing w:before="40" w:after="120"/>
              <w:ind w:right="113"/>
              <w:rPr>
                <w:rFonts w:eastAsiaTheme="minorHAnsi"/>
              </w:rPr>
            </w:pPr>
          </w:p>
        </w:tc>
        <w:tc>
          <w:tcPr>
            <w:tcW w:w="851" w:type="dxa"/>
            <w:tcBorders>
              <w:top w:val="single" w:sz="12" w:space="0" w:color="auto"/>
            </w:tcBorders>
          </w:tcPr>
          <w:p w14:paraId="7EBFF3C1" w14:textId="77777777" w:rsidR="000653AC" w:rsidRPr="000653AC" w:rsidRDefault="000653AC" w:rsidP="000653AC">
            <w:pPr>
              <w:spacing w:before="40" w:after="120"/>
              <w:ind w:right="113"/>
              <w:rPr>
                <w:rFonts w:eastAsiaTheme="minorHAnsi"/>
              </w:rPr>
            </w:pPr>
          </w:p>
        </w:tc>
        <w:tc>
          <w:tcPr>
            <w:tcW w:w="1270" w:type="dxa"/>
            <w:tcBorders>
              <w:top w:val="single" w:sz="12" w:space="0" w:color="auto"/>
            </w:tcBorders>
          </w:tcPr>
          <w:p w14:paraId="24F73BA2" w14:textId="77777777" w:rsidR="000653AC" w:rsidRPr="000653AC" w:rsidRDefault="000653AC" w:rsidP="000653AC">
            <w:pPr>
              <w:spacing w:before="40" w:after="120"/>
              <w:ind w:right="113"/>
              <w:rPr>
                <w:rFonts w:eastAsiaTheme="minorHAnsi"/>
              </w:rPr>
            </w:pPr>
          </w:p>
        </w:tc>
      </w:tr>
      <w:tr w:rsidR="00340F4A" w:rsidRPr="000653AC" w14:paraId="4E21B815" w14:textId="77777777" w:rsidTr="000653AC">
        <w:tc>
          <w:tcPr>
            <w:tcW w:w="850" w:type="dxa"/>
          </w:tcPr>
          <w:p w14:paraId="0F56911F"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05909990</w:t>
            </w:r>
          </w:p>
          <w:p w14:paraId="070A1447" w14:textId="77777777" w:rsidR="00340F4A" w:rsidRPr="000653AC" w:rsidRDefault="00340F4A" w:rsidP="000653AC">
            <w:pPr>
              <w:spacing w:before="40" w:after="120"/>
              <w:ind w:right="113"/>
              <w:rPr>
                <w:rFonts w:eastAsiaTheme="minorHAnsi"/>
              </w:rPr>
            </w:pPr>
            <w:r w:rsidRPr="000653AC">
              <w:rPr>
                <w:rFonts w:eastAsiaTheme="minorHAnsi"/>
                <w:lang w:val="pl-PL"/>
              </w:rPr>
              <w:t>879465</w:t>
            </w:r>
          </w:p>
        </w:tc>
        <w:tc>
          <w:tcPr>
            <w:tcW w:w="939" w:type="dxa"/>
          </w:tcPr>
          <w:p w14:paraId="28B89C3F"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Levomine</w:t>
            </w:r>
          </w:p>
        </w:tc>
        <w:tc>
          <w:tcPr>
            <w:tcW w:w="624" w:type="dxa"/>
          </w:tcPr>
          <w:p w14:paraId="4D4ED60E" w14:textId="77777777" w:rsidR="00340F4A" w:rsidRPr="000653AC" w:rsidRDefault="00340F4A" w:rsidP="000653AC">
            <w:pPr>
              <w:spacing w:before="40" w:after="120"/>
              <w:ind w:right="113"/>
              <w:rPr>
                <w:rFonts w:eastAsiaTheme="minorHAnsi"/>
              </w:rPr>
            </w:pPr>
            <w:r w:rsidRPr="000653AC">
              <w:rPr>
                <w:rFonts w:eastAsiaTheme="minorHAnsi"/>
              </w:rPr>
              <w:t>film-coated tablet</w:t>
            </w:r>
          </w:p>
        </w:tc>
        <w:tc>
          <w:tcPr>
            <w:tcW w:w="832" w:type="dxa"/>
          </w:tcPr>
          <w:p w14:paraId="6476C7A0"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30+150 μg</w:t>
            </w:r>
          </w:p>
        </w:tc>
        <w:tc>
          <w:tcPr>
            <w:tcW w:w="1336" w:type="dxa"/>
          </w:tcPr>
          <w:p w14:paraId="3BD53E96"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Ethinylestradiolum + Levonorgestrelum</w:t>
            </w:r>
          </w:p>
        </w:tc>
        <w:tc>
          <w:tcPr>
            <w:tcW w:w="802" w:type="dxa"/>
          </w:tcPr>
          <w:p w14:paraId="7ECEC4D3" w14:textId="77777777" w:rsidR="00340F4A" w:rsidRPr="000653AC" w:rsidRDefault="00340F4A" w:rsidP="000653AC">
            <w:pPr>
              <w:spacing w:before="40" w:after="120"/>
              <w:ind w:right="113"/>
              <w:rPr>
                <w:rFonts w:eastAsiaTheme="minorHAnsi"/>
              </w:rPr>
            </w:pPr>
            <w:r w:rsidRPr="000653AC">
              <w:rPr>
                <w:rFonts w:eastAsiaTheme="minorHAnsi"/>
              </w:rPr>
              <w:t>63</w:t>
            </w:r>
            <w:r w:rsidRPr="000653AC">
              <w:rPr>
                <w:rFonts w:eastAsiaTheme="minorHAnsi"/>
              </w:rPr>
              <w:br/>
              <w:t>tablets</w:t>
            </w:r>
          </w:p>
        </w:tc>
        <w:tc>
          <w:tcPr>
            <w:tcW w:w="850" w:type="dxa"/>
          </w:tcPr>
          <w:p w14:paraId="5D61C5AA" w14:textId="77777777" w:rsidR="00340F4A" w:rsidRPr="000653AC" w:rsidRDefault="00340F4A" w:rsidP="000653AC">
            <w:pPr>
              <w:spacing w:before="40" w:after="120"/>
              <w:ind w:right="113"/>
              <w:rPr>
                <w:rFonts w:eastAsiaTheme="minorHAnsi"/>
              </w:rPr>
            </w:pPr>
            <w:r w:rsidRPr="000653AC">
              <w:rPr>
                <w:rFonts w:eastAsiaTheme="minorHAnsi"/>
              </w:rPr>
              <w:t>6,70</w:t>
            </w:r>
          </w:p>
        </w:tc>
        <w:tc>
          <w:tcPr>
            <w:tcW w:w="851" w:type="dxa"/>
          </w:tcPr>
          <w:p w14:paraId="0AE90412" w14:textId="77777777" w:rsidR="00340F4A" w:rsidRPr="000653AC" w:rsidRDefault="00340F4A" w:rsidP="000653AC">
            <w:pPr>
              <w:spacing w:before="40" w:after="120"/>
              <w:ind w:right="113"/>
              <w:rPr>
                <w:rFonts w:eastAsiaTheme="minorHAnsi"/>
              </w:rPr>
            </w:pPr>
            <w:r w:rsidRPr="000653AC">
              <w:rPr>
                <w:rFonts w:eastAsiaTheme="minorHAnsi"/>
              </w:rPr>
              <w:t>15,64</w:t>
            </w:r>
          </w:p>
        </w:tc>
        <w:tc>
          <w:tcPr>
            <w:tcW w:w="1270" w:type="dxa"/>
          </w:tcPr>
          <w:p w14:paraId="284DDCF0" w14:textId="77777777" w:rsidR="00340F4A" w:rsidRPr="000653AC" w:rsidRDefault="00340F4A" w:rsidP="000653AC">
            <w:pPr>
              <w:spacing w:before="40" w:after="120"/>
              <w:ind w:right="113"/>
              <w:rPr>
                <w:rFonts w:eastAsiaTheme="minorHAnsi"/>
              </w:rPr>
            </w:pPr>
            <w:r w:rsidRPr="000653AC">
              <w:rPr>
                <w:rFonts w:eastAsiaTheme="minorHAnsi"/>
              </w:rPr>
              <w:t>30%</w:t>
            </w:r>
          </w:p>
        </w:tc>
      </w:tr>
      <w:tr w:rsidR="00340F4A" w:rsidRPr="000653AC" w14:paraId="1318D845" w14:textId="77777777" w:rsidTr="000653AC">
        <w:tc>
          <w:tcPr>
            <w:tcW w:w="850" w:type="dxa"/>
          </w:tcPr>
          <w:p w14:paraId="7E9FCFBF"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05909990</w:t>
            </w:r>
          </w:p>
          <w:p w14:paraId="53F1D596" w14:textId="77777777" w:rsidR="00340F4A" w:rsidRPr="000653AC" w:rsidRDefault="00340F4A" w:rsidP="000653AC">
            <w:pPr>
              <w:spacing w:before="40" w:after="120"/>
              <w:ind w:right="113"/>
              <w:rPr>
                <w:rFonts w:eastAsiaTheme="minorHAnsi"/>
              </w:rPr>
            </w:pPr>
            <w:r w:rsidRPr="000653AC">
              <w:rPr>
                <w:rFonts w:eastAsiaTheme="minorHAnsi"/>
                <w:lang w:val="pl-PL"/>
              </w:rPr>
              <w:t>060023</w:t>
            </w:r>
          </w:p>
        </w:tc>
        <w:tc>
          <w:tcPr>
            <w:tcW w:w="939" w:type="dxa"/>
          </w:tcPr>
          <w:p w14:paraId="7F9BB76D"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Microgynon 21</w:t>
            </w:r>
          </w:p>
        </w:tc>
        <w:tc>
          <w:tcPr>
            <w:tcW w:w="624" w:type="dxa"/>
          </w:tcPr>
          <w:p w14:paraId="13D8CBEF" w14:textId="77777777" w:rsidR="00340F4A" w:rsidRPr="000653AC" w:rsidRDefault="00340F4A" w:rsidP="000653AC">
            <w:pPr>
              <w:spacing w:before="40" w:after="120"/>
              <w:ind w:right="113"/>
              <w:rPr>
                <w:rFonts w:eastAsiaTheme="minorHAnsi"/>
              </w:rPr>
            </w:pPr>
            <w:r w:rsidRPr="000653AC">
              <w:rPr>
                <w:rFonts w:eastAsiaTheme="minorHAnsi"/>
              </w:rPr>
              <w:t>film-coated tablet</w:t>
            </w:r>
          </w:p>
        </w:tc>
        <w:tc>
          <w:tcPr>
            <w:tcW w:w="832" w:type="dxa"/>
          </w:tcPr>
          <w:p w14:paraId="7F1442B2"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30+150</w:t>
            </w:r>
            <w:r w:rsidRPr="000653AC">
              <w:rPr>
                <w:rFonts w:eastAsiaTheme="minorHAnsi"/>
                <w:lang w:val="pl-PL"/>
              </w:rPr>
              <w:br/>
              <w:t>μg</w:t>
            </w:r>
          </w:p>
        </w:tc>
        <w:tc>
          <w:tcPr>
            <w:tcW w:w="1336" w:type="dxa"/>
          </w:tcPr>
          <w:p w14:paraId="474FB3AE"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Ethinylestradiolum +</w:t>
            </w:r>
            <w:r w:rsidRPr="000653AC">
              <w:rPr>
                <w:rFonts w:eastAsiaTheme="minorHAnsi"/>
                <w:lang w:val="pl-PL"/>
              </w:rPr>
              <w:br/>
              <w:t>Levonorgestrelum</w:t>
            </w:r>
          </w:p>
        </w:tc>
        <w:tc>
          <w:tcPr>
            <w:tcW w:w="802" w:type="dxa"/>
          </w:tcPr>
          <w:p w14:paraId="57ACEE5B" w14:textId="77777777" w:rsidR="00340F4A" w:rsidRPr="000653AC" w:rsidRDefault="00340F4A" w:rsidP="000653AC">
            <w:pPr>
              <w:spacing w:before="40" w:after="120"/>
              <w:ind w:right="113"/>
              <w:rPr>
                <w:rFonts w:eastAsiaTheme="minorHAnsi"/>
              </w:rPr>
            </w:pPr>
            <w:r w:rsidRPr="000653AC">
              <w:rPr>
                <w:rFonts w:eastAsiaTheme="minorHAnsi"/>
              </w:rPr>
              <w:t>63</w:t>
            </w:r>
            <w:r w:rsidRPr="000653AC">
              <w:rPr>
                <w:rFonts w:eastAsiaTheme="minorHAnsi"/>
              </w:rPr>
              <w:br/>
              <w:t>tablets</w:t>
            </w:r>
          </w:p>
        </w:tc>
        <w:tc>
          <w:tcPr>
            <w:tcW w:w="850" w:type="dxa"/>
          </w:tcPr>
          <w:p w14:paraId="2040F23A" w14:textId="77777777" w:rsidR="00340F4A" w:rsidRPr="000653AC" w:rsidRDefault="00340F4A" w:rsidP="000653AC">
            <w:pPr>
              <w:spacing w:before="40" w:after="120"/>
              <w:ind w:right="113"/>
              <w:rPr>
                <w:rFonts w:eastAsiaTheme="minorHAnsi"/>
              </w:rPr>
            </w:pPr>
            <w:r w:rsidRPr="000653AC">
              <w:rPr>
                <w:rFonts w:eastAsiaTheme="minorHAnsi"/>
              </w:rPr>
              <w:t>6,87</w:t>
            </w:r>
          </w:p>
        </w:tc>
        <w:tc>
          <w:tcPr>
            <w:tcW w:w="851" w:type="dxa"/>
          </w:tcPr>
          <w:p w14:paraId="76995463" w14:textId="77777777" w:rsidR="00340F4A" w:rsidRPr="000653AC" w:rsidRDefault="00340F4A" w:rsidP="000653AC">
            <w:pPr>
              <w:spacing w:before="40" w:after="120"/>
              <w:ind w:right="113"/>
              <w:rPr>
                <w:rFonts w:eastAsiaTheme="minorHAnsi"/>
              </w:rPr>
            </w:pPr>
            <w:r w:rsidRPr="000653AC">
              <w:rPr>
                <w:rFonts w:eastAsiaTheme="minorHAnsi"/>
              </w:rPr>
              <w:t>16,04</w:t>
            </w:r>
          </w:p>
        </w:tc>
        <w:tc>
          <w:tcPr>
            <w:tcW w:w="1270" w:type="dxa"/>
          </w:tcPr>
          <w:p w14:paraId="73475871" w14:textId="77777777" w:rsidR="00340F4A" w:rsidRPr="000653AC" w:rsidRDefault="00340F4A" w:rsidP="000653AC">
            <w:pPr>
              <w:spacing w:before="40" w:after="120"/>
              <w:ind w:right="113"/>
              <w:rPr>
                <w:rFonts w:eastAsiaTheme="minorHAnsi"/>
              </w:rPr>
            </w:pPr>
            <w:r w:rsidRPr="000653AC">
              <w:rPr>
                <w:rFonts w:eastAsiaTheme="minorHAnsi"/>
              </w:rPr>
              <w:t>30%</w:t>
            </w:r>
          </w:p>
        </w:tc>
      </w:tr>
      <w:tr w:rsidR="00340F4A" w:rsidRPr="000653AC" w14:paraId="41E736B0" w14:textId="77777777" w:rsidTr="000653AC">
        <w:tc>
          <w:tcPr>
            <w:tcW w:w="850" w:type="dxa"/>
          </w:tcPr>
          <w:p w14:paraId="3B2D943A" w14:textId="77777777" w:rsidR="00340F4A" w:rsidRPr="000653AC" w:rsidRDefault="00340F4A" w:rsidP="000653AC">
            <w:pPr>
              <w:spacing w:before="40" w:after="120"/>
              <w:ind w:right="113"/>
              <w:rPr>
                <w:rFonts w:eastAsiaTheme="minorHAnsi"/>
              </w:rPr>
            </w:pPr>
            <w:r w:rsidRPr="000653AC">
              <w:rPr>
                <w:rFonts w:eastAsiaTheme="minorHAnsi"/>
              </w:rPr>
              <w:t>05909990</w:t>
            </w:r>
          </w:p>
          <w:p w14:paraId="5E9C41A5" w14:textId="77777777" w:rsidR="00340F4A" w:rsidRPr="000653AC" w:rsidRDefault="00340F4A" w:rsidP="000653AC">
            <w:pPr>
              <w:spacing w:before="40" w:after="120"/>
              <w:ind w:right="113"/>
              <w:rPr>
                <w:rFonts w:eastAsiaTheme="minorHAnsi"/>
              </w:rPr>
            </w:pPr>
            <w:r w:rsidRPr="000653AC">
              <w:rPr>
                <w:rFonts w:eastAsiaTheme="minorHAnsi"/>
              </w:rPr>
              <w:t>060016</w:t>
            </w:r>
          </w:p>
        </w:tc>
        <w:tc>
          <w:tcPr>
            <w:tcW w:w="939" w:type="dxa"/>
          </w:tcPr>
          <w:p w14:paraId="2B8F4935"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Microgynon 21</w:t>
            </w:r>
          </w:p>
        </w:tc>
        <w:tc>
          <w:tcPr>
            <w:tcW w:w="624" w:type="dxa"/>
          </w:tcPr>
          <w:p w14:paraId="32F8502B" w14:textId="77777777" w:rsidR="00340F4A" w:rsidRPr="000653AC" w:rsidRDefault="00340F4A" w:rsidP="000653AC">
            <w:pPr>
              <w:spacing w:before="40" w:after="120"/>
              <w:ind w:right="113"/>
              <w:rPr>
                <w:rFonts w:eastAsiaTheme="minorHAnsi"/>
              </w:rPr>
            </w:pPr>
            <w:r w:rsidRPr="000653AC">
              <w:rPr>
                <w:rFonts w:eastAsiaTheme="minorHAnsi"/>
              </w:rPr>
              <w:t>film-coated tablet</w:t>
            </w:r>
          </w:p>
        </w:tc>
        <w:tc>
          <w:tcPr>
            <w:tcW w:w="832" w:type="dxa"/>
          </w:tcPr>
          <w:p w14:paraId="7B285A42"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30+150</w:t>
            </w:r>
            <w:r w:rsidRPr="000653AC">
              <w:rPr>
                <w:rFonts w:eastAsiaTheme="minorHAnsi"/>
                <w:lang w:val="pl-PL"/>
              </w:rPr>
              <w:br/>
              <w:t>μg</w:t>
            </w:r>
          </w:p>
        </w:tc>
        <w:tc>
          <w:tcPr>
            <w:tcW w:w="1336" w:type="dxa"/>
          </w:tcPr>
          <w:p w14:paraId="561B919B"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Ethinylestradiolum +</w:t>
            </w:r>
            <w:r w:rsidRPr="000653AC">
              <w:rPr>
                <w:rFonts w:eastAsiaTheme="minorHAnsi"/>
                <w:lang w:val="pl-PL"/>
              </w:rPr>
              <w:br/>
              <w:t>Levonorgestrelum</w:t>
            </w:r>
          </w:p>
        </w:tc>
        <w:tc>
          <w:tcPr>
            <w:tcW w:w="802" w:type="dxa"/>
          </w:tcPr>
          <w:p w14:paraId="7AADDC6B" w14:textId="77777777" w:rsidR="00340F4A" w:rsidRPr="000653AC" w:rsidRDefault="00340F4A" w:rsidP="000653AC">
            <w:pPr>
              <w:spacing w:before="40" w:after="120"/>
              <w:ind w:right="113"/>
              <w:rPr>
                <w:rFonts w:eastAsiaTheme="minorHAnsi"/>
              </w:rPr>
            </w:pPr>
            <w:r w:rsidRPr="000653AC">
              <w:rPr>
                <w:rFonts w:eastAsiaTheme="minorHAnsi"/>
              </w:rPr>
              <w:t>63</w:t>
            </w:r>
            <w:r w:rsidRPr="000653AC">
              <w:rPr>
                <w:rFonts w:eastAsiaTheme="minorHAnsi"/>
              </w:rPr>
              <w:br/>
              <w:t>tablets</w:t>
            </w:r>
          </w:p>
        </w:tc>
        <w:tc>
          <w:tcPr>
            <w:tcW w:w="850" w:type="dxa"/>
          </w:tcPr>
          <w:p w14:paraId="7AEDF166" w14:textId="77777777" w:rsidR="00340F4A" w:rsidRPr="000653AC" w:rsidRDefault="00340F4A" w:rsidP="000653AC">
            <w:pPr>
              <w:spacing w:before="40" w:after="120"/>
              <w:ind w:right="113"/>
              <w:rPr>
                <w:rFonts w:eastAsiaTheme="minorHAnsi"/>
              </w:rPr>
            </w:pPr>
            <w:r w:rsidRPr="000653AC">
              <w:rPr>
                <w:rFonts w:eastAsiaTheme="minorHAnsi"/>
              </w:rPr>
              <w:t>3,04</w:t>
            </w:r>
          </w:p>
        </w:tc>
        <w:tc>
          <w:tcPr>
            <w:tcW w:w="851" w:type="dxa"/>
          </w:tcPr>
          <w:p w14:paraId="1552D210" w14:textId="77777777" w:rsidR="00340F4A" w:rsidRPr="000653AC" w:rsidRDefault="00340F4A" w:rsidP="000653AC">
            <w:pPr>
              <w:spacing w:before="40" w:after="120"/>
              <w:ind w:right="113"/>
              <w:rPr>
                <w:rFonts w:eastAsiaTheme="minorHAnsi"/>
              </w:rPr>
            </w:pPr>
            <w:r w:rsidRPr="000653AC">
              <w:rPr>
                <w:rFonts w:eastAsiaTheme="minorHAnsi"/>
              </w:rPr>
              <w:t>5,35</w:t>
            </w:r>
          </w:p>
        </w:tc>
        <w:tc>
          <w:tcPr>
            <w:tcW w:w="1270" w:type="dxa"/>
          </w:tcPr>
          <w:p w14:paraId="25517AF8" w14:textId="77777777" w:rsidR="00340F4A" w:rsidRPr="000653AC" w:rsidRDefault="00340F4A" w:rsidP="000653AC">
            <w:pPr>
              <w:spacing w:before="40" w:after="120"/>
              <w:ind w:right="113"/>
              <w:rPr>
                <w:rFonts w:eastAsiaTheme="minorHAnsi"/>
              </w:rPr>
            </w:pPr>
            <w:r w:rsidRPr="000653AC">
              <w:rPr>
                <w:rFonts w:eastAsiaTheme="minorHAnsi"/>
              </w:rPr>
              <w:t>30%</w:t>
            </w:r>
          </w:p>
        </w:tc>
      </w:tr>
      <w:tr w:rsidR="00340F4A" w:rsidRPr="000653AC" w14:paraId="71305697" w14:textId="77777777" w:rsidTr="000653AC">
        <w:tc>
          <w:tcPr>
            <w:tcW w:w="850" w:type="dxa"/>
          </w:tcPr>
          <w:p w14:paraId="5E29D96C"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05909990</w:t>
            </w:r>
          </w:p>
          <w:p w14:paraId="0686FC20" w14:textId="77777777" w:rsidR="00340F4A" w:rsidRPr="000653AC" w:rsidRDefault="00340F4A" w:rsidP="000653AC">
            <w:pPr>
              <w:spacing w:before="40" w:after="120"/>
              <w:ind w:right="113"/>
              <w:rPr>
                <w:rFonts w:eastAsiaTheme="minorHAnsi"/>
              </w:rPr>
            </w:pPr>
            <w:r w:rsidRPr="000653AC">
              <w:rPr>
                <w:rFonts w:eastAsiaTheme="minorHAnsi"/>
                <w:lang w:val="pl-PL"/>
              </w:rPr>
              <w:t>879458</w:t>
            </w:r>
          </w:p>
        </w:tc>
        <w:tc>
          <w:tcPr>
            <w:tcW w:w="939" w:type="dxa"/>
          </w:tcPr>
          <w:p w14:paraId="0382FCB8"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Levomine</w:t>
            </w:r>
          </w:p>
        </w:tc>
        <w:tc>
          <w:tcPr>
            <w:tcW w:w="624" w:type="dxa"/>
          </w:tcPr>
          <w:p w14:paraId="5325CEF2" w14:textId="77777777" w:rsidR="00340F4A" w:rsidRPr="000653AC" w:rsidRDefault="00340F4A" w:rsidP="000653AC">
            <w:pPr>
              <w:spacing w:before="40" w:after="120"/>
              <w:ind w:right="113"/>
              <w:rPr>
                <w:rFonts w:eastAsiaTheme="minorHAnsi"/>
              </w:rPr>
            </w:pPr>
            <w:r w:rsidRPr="000653AC">
              <w:rPr>
                <w:rFonts w:eastAsiaTheme="minorHAnsi"/>
              </w:rPr>
              <w:t>film-coated tablet</w:t>
            </w:r>
          </w:p>
        </w:tc>
        <w:tc>
          <w:tcPr>
            <w:tcW w:w="832" w:type="dxa"/>
          </w:tcPr>
          <w:p w14:paraId="6C810B47"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0,03+0,15 mg</w:t>
            </w:r>
          </w:p>
        </w:tc>
        <w:tc>
          <w:tcPr>
            <w:tcW w:w="1336" w:type="dxa"/>
          </w:tcPr>
          <w:p w14:paraId="2D9A9C2E"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Ethinylestradiolum +</w:t>
            </w:r>
            <w:r w:rsidRPr="000653AC">
              <w:rPr>
                <w:rFonts w:eastAsiaTheme="minorHAnsi"/>
                <w:lang w:val="pl-PL"/>
              </w:rPr>
              <w:br/>
              <w:t>Levonorgestrelum</w:t>
            </w:r>
          </w:p>
        </w:tc>
        <w:tc>
          <w:tcPr>
            <w:tcW w:w="802" w:type="dxa"/>
          </w:tcPr>
          <w:p w14:paraId="1F664E14" w14:textId="77777777" w:rsidR="00340F4A" w:rsidRPr="000653AC" w:rsidRDefault="00340F4A" w:rsidP="000653AC">
            <w:pPr>
              <w:spacing w:before="40" w:after="120"/>
              <w:ind w:right="113"/>
              <w:rPr>
                <w:rFonts w:eastAsiaTheme="minorHAnsi"/>
              </w:rPr>
            </w:pPr>
            <w:r w:rsidRPr="000653AC">
              <w:rPr>
                <w:rFonts w:eastAsiaTheme="minorHAnsi"/>
              </w:rPr>
              <w:t>21</w:t>
            </w:r>
            <w:r w:rsidRPr="000653AC">
              <w:rPr>
                <w:rFonts w:eastAsiaTheme="minorHAnsi"/>
              </w:rPr>
              <w:br/>
              <w:t>tablets</w:t>
            </w:r>
          </w:p>
        </w:tc>
        <w:tc>
          <w:tcPr>
            <w:tcW w:w="850" w:type="dxa"/>
          </w:tcPr>
          <w:p w14:paraId="32CE260A" w14:textId="77777777" w:rsidR="00340F4A" w:rsidRPr="000653AC" w:rsidRDefault="00340F4A" w:rsidP="000653AC">
            <w:pPr>
              <w:spacing w:before="40" w:after="120"/>
              <w:ind w:right="113"/>
              <w:rPr>
                <w:rFonts w:eastAsiaTheme="minorHAnsi"/>
              </w:rPr>
            </w:pPr>
            <w:r w:rsidRPr="000653AC">
              <w:rPr>
                <w:rFonts w:eastAsiaTheme="minorHAnsi"/>
              </w:rPr>
              <w:t>3,20</w:t>
            </w:r>
          </w:p>
        </w:tc>
        <w:tc>
          <w:tcPr>
            <w:tcW w:w="851" w:type="dxa"/>
          </w:tcPr>
          <w:p w14:paraId="29962021" w14:textId="77777777" w:rsidR="00340F4A" w:rsidRPr="000653AC" w:rsidRDefault="00340F4A" w:rsidP="000653AC">
            <w:pPr>
              <w:spacing w:before="40" w:after="120"/>
              <w:ind w:right="113"/>
              <w:rPr>
                <w:rFonts w:eastAsiaTheme="minorHAnsi"/>
              </w:rPr>
            </w:pPr>
            <w:r w:rsidRPr="000653AC">
              <w:rPr>
                <w:rFonts w:eastAsiaTheme="minorHAnsi"/>
              </w:rPr>
              <w:t>5,35</w:t>
            </w:r>
          </w:p>
        </w:tc>
        <w:tc>
          <w:tcPr>
            <w:tcW w:w="1270" w:type="dxa"/>
          </w:tcPr>
          <w:p w14:paraId="7F5B6B4D" w14:textId="77777777" w:rsidR="00340F4A" w:rsidRPr="000653AC" w:rsidRDefault="00340F4A" w:rsidP="000653AC">
            <w:pPr>
              <w:spacing w:before="40" w:after="120"/>
              <w:ind w:right="113"/>
              <w:rPr>
                <w:rFonts w:eastAsiaTheme="minorHAnsi"/>
              </w:rPr>
            </w:pPr>
            <w:r w:rsidRPr="000653AC">
              <w:rPr>
                <w:rFonts w:eastAsiaTheme="minorHAnsi"/>
              </w:rPr>
              <w:t>30%</w:t>
            </w:r>
          </w:p>
        </w:tc>
      </w:tr>
      <w:tr w:rsidR="00340F4A" w:rsidRPr="000653AC" w14:paraId="6C34D69B" w14:textId="77777777" w:rsidTr="000653AC">
        <w:tc>
          <w:tcPr>
            <w:tcW w:w="850" w:type="dxa"/>
            <w:tcBorders>
              <w:bottom w:val="single" w:sz="12" w:space="0" w:color="auto"/>
            </w:tcBorders>
          </w:tcPr>
          <w:p w14:paraId="6676D52A"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05909990</w:t>
            </w:r>
          </w:p>
          <w:p w14:paraId="77DCA544" w14:textId="77777777" w:rsidR="00340F4A" w:rsidRPr="000653AC" w:rsidRDefault="00340F4A" w:rsidP="000653AC">
            <w:pPr>
              <w:spacing w:before="40" w:after="120"/>
              <w:ind w:right="113"/>
              <w:rPr>
                <w:rFonts w:eastAsiaTheme="minorHAnsi"/>
              </w:rPr>
            </w:pPr>
            <w:r w:rsidRPr="000653AC">
              <w:rPr>
                <w:rFonts w:eastAsiaTheme="minorHAnsi"/>
                <w:lang w:val="pl-PL"/>
              </w:rPr>
              <w:t>873319</w:t>
            </w:r>
          </w:p>
        </w:tc>
        <w:tc>
          <w:tcPr>
            <w:tcW w:w="939" w:type="dxa"/>
            <w:tcBorders>
              <w:bottom w:val="single" w:sz="12" w:space="0" w:color="auto"/>
            </w:tcBorders>
          </w:tcPr>
          <w:p w14:paraId="66BD08F4"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Rigevidon</w:t>
            </w:r>
          </w:p>
        </w:tc>
        <w:tc>
          <w:tcPr>
            <w:tcW w:w="624" w:type="dxa"/>
            <w:tcBorders>
              <w:bottom w:val="single" w:sz="12" w:space="0" w:color="auto"/>
            </w:tcBorders>
          </w:tcPr>
          <w:p w14:paraId="7D0D5E2A" w14:textId="77777777" w:rsidR="00340F4A" w:rsidRPr="000653AC" w:rsidRDefault="00340F4A" w:rsidP="000653AC">
            <w:pPr>
              <w:spacing w:before="40" w:after="120"/>
              <w:ind w:right="113"/>
              <w:rPr>
                <w:rFonts w:eastAsiaTheme="minorHAnsi"/>
              </w:rPr>
            </w:pPr>
            <w:r w:rsidRPr="000653AC">
              <w:rPr>
                <w:rFonts w:eastAsiaTheme="minorHAnsi"/>
              </w:rPr>
              <w:t>film-coated tablet</w:t>
            </w:r>
          </w:p>
        </w:tc>
        <w:tc>
          <w:tcPr>
            <w:tcW w:w="832" w:type="dxa"/>
            <w:tcBorders>
              <w:bottom w:val="single" w:sz="12" w:space="0" w:color="auto"/>
            </w:tcBorders>
          </w:tcPr>
          <w:p w14:paraId="04E2762F"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0,03+0,15 mg</w:t>
            </w:r>
          </w:p>
        </w:tc>
        <w:tc>
          <w:tcPr>
            <w:tcW w:w="1336" w:type="dxa"/>
            <w:tcBorders>
              <w:bottom w:val="single" w:sz="12" w:space="0" w:color="auto"/>
            </w:tcBorders>
          </w:tcPr>
          <w:p w14:paraId="7EDCA58A" w14:textId="77777777" w:rsidR="00340F4A" w:rsidRPr="000653AC" w:rsidRDefault="00340F4A" w:rsidP="000653AC">
            <w:pPr>
              <w:spacing w:before="40" w:after="120"/>
              <w:ind w:right="113"/>
              <w:rPr>
                <w:rFonts w:eastAsiaTheme="minorHAnsi"/>
                <w:lang w:val="pl-PL"/>
              </w:rPr>
            </w:pPr>
            <w:r w:rsidRPr="000653AC">
              <w:rPr>
                <w:rFonts w:eastAsiaTheme="minorHAnsi"/>
                <w:lang w:val="pl-PL"/>
              </w:rPr>
              <w:t>Ethinylestradiolum +</w:t>
            </w:r>
            <w:r w:rsidRPr="000653AC">
              <w:rPr>
                <w:rFonts w:eastAsiaTheme="minorHAnsi"/>
                <w:lang w:val="pl-PL"/>
              </w:rPr>
              <w:br/>
              <w:t>Levonorgestrelum</w:t>
            </w:r>
          </w:p>
        </w:tc>
        <w:tc>
          <w:tcPr>
            <w:tcW w:w="802" w:type="dxa"/>
            <w:tcBorders>
              <w:bottom w:val="single" w:sz="12" w:space="0" w:color="auto"/>
            </w:tcBorders>
          </w:tcPr>
          <w:p w14:paraId="71C78F5F" w14:textId="77777777" w:rsidR="00340F4A" w:rsidRPr="000653AC" w:rsidRDefault="00340F4A" w:rsidP="000653AC">
            <w:pPr>
              <w:spacing w:before="40" w:after="120"/>
              <w:ind w:right="113"/>
              <w:rPr>
                <w:rFonts w:eastAsiaTheme="minorHAnsi"/>
              </w:rPr>
            </w:pPr>
            <w:r w:rsidRPr="000653AC">
              <w:rPr>
                <w:rFonts w:eastAsiaTheme="minorHAnsi"/>
              </w:rPr>
              <w:t>21</w:t>
            </w:r>
            <w:r w:rsidRPr="000653AC">
              <w:rPr>
                <w:rFonts w:eastAsiaTheme="minorHAnsi"/>
              </w:rPr>
              <w:br/>
              <w:t>tablets</w:t>
            </w:r>
          </w:p>
        </w:tc>
        <w:tc>
          <w:tcPr>
            <w:tcW w:w="850" w:type="dxa"/>
            <w:tcBorders>
              <w:bottom w:val="single" w:sz="12" w:space="0" w:color="auto"/>
            </w:tcBorders>
          </w:tcPr>
          <w:p w14:paraId="0FD4339D" w14:textId="77777777" w:rsidR="00340F4A" w:rsidRPr="000653AC" w:rsidRDefault="00340F4A" w:rsidP="000653AC">
            <w:pPr>
              <w:spacing w:before="40" w:after="120"/>
              <w:ind w:right="113"/>
              <w:rPr>
                <w:rFonts w:eastAsiaTheme="minorHAnsi"/>
              </w:rPr>
            </w:pPr>
            <w:r w:rsidRPr="000653AC">
              <w:rPr>
                <w:rFonts w:eastAsiaTheme="minorHAnsi"/>
              </w:rPr>
              <w:t>3,26</w:t>
            </w:r>
          </w:p>
        </w:tc>
        <w:tc>
          <w:tcPr>
            <w:tcW w:w="851" w:type="dxa"/>
            <w:tcBorders>
              <w:bottom w:val="single" w:sz="12" w:space="0" w:color="auto"/>
            </w:tcBorders>
          </w:tcPr>
          <w:p w14:paraId="5ACCCA80" w14:textId="77777777" w:rsidR="00340F4A" w:rsidRPr="000653AC" w:rsidRDefault="00340F4A" w:rsidP="000653AC">
            <w:pPr>
              <w:spacing w:before="40" w:after="120"/>
              <w:ind w:right="113"/>
              <w:rPr>
                <w:rFonts w:eastAsiaTheme="minorHAnsi"/>
              </w:rPr>
            </w:pPr>
            <w:r w:rsidRPr="000653AC">
              <w:rPr>
                <w:rFonts w:eastAsiaTheme="minorHAnsi"/>
              </w:rPr>
              <w:t>5,35</w:t>
            </w:r>
          </w:p>
        </w:tc>
        <w:tc>
          <w:tcPr>
            <w:tcW w:w="1270" w:type="dxa"/>
            <w:tcBorders>
              <w:bottom w:val="single" w:sz="12" w:space="0" w:color="auto"/>
            </w:tcBorders>
          </w:tcPr>
          <w:p w14:paraId="7D8180BD" w14:textId="77777777" w:rsidR="00340F4A" w:rsidRPr="000653AC" w:rsidRDefault="00340F4A" w:rsidP="000653AC">
            <w:pPr>
              <w:spacing w:before="40" w:after="120"/>
              <w:ind w:right="113"/>
              <w:rPr>
                <w:rFonts w:eastAsiaTheme="minorHAnsi"/>
              </w:rPr>
            </w:pPr>
            <w:r w:rsidRPr="000653AC">
              <w:rPr>
                <w:rFonts w:eastAsiaTheme="minorHAnsi"/>
              </w:rPr>
              <w:t>30%</w:t>
            </w:r>
          </w:p>
        </w:tc>
      </w:tr>
    </w:tbl>
    <w:p w14:paraId="78A1D3DE" w14:textId="508366FA" w:rsidR="00340F4A" w:rsidRPr="00340F4A" w:rsidRDefault="00340F4A" w:rsidP="00E755E1">
      <w:pPr>
        <w:pStyle w:val="SingleTxtG"/>
        <w:numPr>
          <w:ilvl w:val="0"/>
          <w:numId w:val="38"/>
        </w:numPr>
        <w:ind w:left="1134" w:firstLine="0"/>
      </w:pPr>
      <w:r w:rsidRPr="00340F4A">
        <w:t xml:space="preserve">It should be added that, at present, there are no new applications pending in the reimbursement process for the inclusion in the reimbursement system and the determination of the official net selling price of medicinal products indicated for use as oral contraception or other forms of contraception, as no applications for reimbursement have been submitted by the relevant marketing authorisation holders. The extension of the above-mentioned list of reimbursed medicinal products for contraceptive indications is possible only upon submission by the marketing authorisation holder of an application for reimbursement and determination of the official net selling price of the medicinal product, pursuant to Article 24(1)(1) of the Reimbursement Act, as required by the applicable legal provisions. </w:t>
      </w:r>
      <w:r w:rsidRPr="00340F4A">
        <w:lastRenderedPageBreak/>
        <w:t>Furthermore, it should be noted that, in the case of an application concerning a medicinal product that has no reimbursed alternative for the given indication, the marketing authorisation holder is, pursuant to Article 25(14) of the Reimbursement Act, required to submit, together with the application, among others:</w:t>
      </w:r>
    </w:p>
    <w:p w14:paraId="7349F5D0" w14:textId="7133AB3D" w:rsidR="00340F4A" w:rsidRPr="00E755E1" w:rsidRDefault="00E755E1" w:rsidP="00E755E1">
      <w:pPr>
        <w:pStyle w:val="SingleTxtG"/>
      </w:pPr>
      <w:r>
        <w:tab/>
        <w:t>(a)</w:t>
      </w:r>
      <w:r>
        <w:tab/>
        <w:t>A</w:t>
      </w:r>
      <w:r w:rsidR="00340F4A" w:rsidRPr="00E755E1">
        <w:t xml:space="preserve"> clinical analysis based on a systematic review comparing the medicinal product with other medical procedures available for use in the given clinical condition and indication, including, where applicable, procedures financed from public funds; </w:t>
      </w:r>
    </w:p>
    <w:p w14:paraId="77682AAA" w14:textId="2700811C" w:rsidR="00340F4A" w:rsidRPr="00E755E1" w:rsidRDefault="00E755E1" w:rsidP="00E755E1">
      <w:pPr>
        <w:pStyle w:val="SingleTxtG"/>
      </w:pPr>
      <w:r>
        <w:tab/>
        <w:t>(b)</w:t>
      </w:r>
      <w:r>
        <w:tab/>
        <w:t>A</w:t>
      </w:r>
      <w:r w:rsidR="00340F4A" w:rsidRPr="00E755E1">
        <w:t xml:space="preserve">n economic analysis from the perspective of the entity responsible for financing healthcare services from public funds and from the perspective of the beneficiary; </w:t>
      </w:r>
    </w:p>
    <w:p w14:paraId="7239B091" w14:textId="7A83E242" w:rsidR="00340F4A" w:rsidRPr="00E755E1" w:rsidRDefault="00E755E1" w:rsidP="00E755E1">
      <w:pPr>
        <w:pStyle w:val="SingleTxtG"/>
      </w:pPr>
      <w:r>
        <w:tab/>
        <w:t>(c)</w:t>
      </w:r>
      <w:r>
        <w:tab/>
        <w:t>A</w:t>
      </w:r>
      <w:r w:rsidR="00340F4A" w:rsidRPr="00E755E1">
        <w:t xml:space="preserve"> budget impact analysis from the perspective of the entity responsible for financing healthcare services from public funds.</w:t>
      </w:r>
    </w:p>
    <w:p w14:paraId="2A37B1C6" w14:textId="35DB9529" w:rsidR="00340F4A" w:rsidRPr="00340F4A" w:rsidRDefault="00340F4A" w:rsidP="008F7593">
      <w:pPr>
        <w:pStyle w:val="SingleTxtG"/>
        <w:numPr>
          <w:ilvl w:val="0"/>
          <w:numId w:val="38"/>
        </w:numPr>
        <w:ind w:left="1134" w:firstLine="0"/>
      </w:pPr>
      <w:r w:rsidRPr="00340F4A">
        <w:t xml:space="preserve">In order to strengthen the protection of sexual and reproductive health, the </w:t>
      </w:r>
      <w:r w:rsidRPr="00340F4A">
        <w:rPr>
          <w:i/>
          <w:iCs/>
        </w:rPr>
        <w:t>Regulation of the Minister of Health of 29 April 2024</w:t>
      </w:r>
      <w:r w:rsidRPr="00340F4A">
        <w:t xml:space="preserve"> introduced a pilot programme concerning pharmacists’ services in the field of reproductive health. The initiative was a response to the need to improve access to services in this area and to ensure timely, discreet and professional support in matters that are particularly sensitive from the patients’ perspective. Sexual and reproductive health encompasses not only biological aspects, but also a sense of safety, awareness of one’s rights and access to reliable information. Pursuant to § 3 of the above-mentioned Regulation, the objectives of the pilot programme are to: improve patients’ access to modern methods of emergency contraception and provide reproductive health services in pharmacies, together with an assessment of the effectiveness of related measures, in particular with regard to patients aged between 15 and 18 years. The pilot programme includes, among others:</w:t>
      </w:r>
    </w:p>
    <w:p w14:paraId="35ABBF97" w14:textId="06C1E999" w:rsidR="00340F4A" w:rsidRPr="008F7593" w:rsidRDefault="008F7593" w:rsidP="008F7593">
      <w:pPr>
        <w:pStyle w:val="SingleTxtG"/>
      </w:pPr>
      <w:r>
        <w:tab/>
        <w:t>(a)</w:t>
      </w:r>
      <w:r>
        <w:tab/>
        <w:t>A</w:t>
      </w:r>
      <w:r w:rsidR="00340F4A" w:rsidRPr="008F7593">
        <w:t xml:space="preserve"> consultation during which the pharmacist assesses the appropriateness of dispensing a medicinal product used for emergency contraception, provides the patient with information on the use and effects of the medicinal product, as well as other relevant aspects;</w:t>
      </w:r>
    </w:p>
    <w:p w14:paraId="18E1C259" w14:textId="221D27B8" w:rsidR="00340F4A" w:rsidRPr="00340F4A" w:rsidRDefault="008F7593" w:rsidP="008F7593">
      <w:pPr>
        <w:pStyle w:val="SingleTxtG"/>
        <w:rPr>
          <w:i/>
          <w:iCs/>
        </w:rPr>
      </w:pPr>
      <w:r>
        <w:tab/>
        <w:t>(b)</w:t>
      </w:r>
      <w:r>
        <w:tab/>
        <w:t>I</w:t>
      </w:r>
      <w:r w:rsidR="00340F4A" w:rsidRPr="008F7593">
        <w:t>ssuing, on the basis of current medical knowledge, a pharmaceutical prescription referred to in Article 96(4) of the Act of 6 September 2001 – Pharmaceutical</w:t>
      </w:r>
      <w:r w:rsidR="00340F4A" w:rsidRPr="00340F4A">
        <w:rPr>
          <w:i/>
          <w:iCs/>
        </w:rPr>
        <w:t xml:space="preserve"> Law.</w:t>
      </w:r>
    </w:p>
    <w:p w14:paraId="27E9968B" w14:textId="77777777" w:rsidR="00340F4A" w:rsidRPr="00340F4A" w:rsidRDefault="00340F4A" w:rsidP="008F7593">
      <w:pPr>
        <w:pStyle w:val="SingleTxtG"/>
        <w:numPr>
          <w:ilvl w:val="0"/>
          <w:numId w:val="38"/>
        </w:numPr>
        <w:ind w:left="1134" w:firstLine="0"/>
      </w:pPr>
      <w:r w:rsidRPr="00340F4A">
        <w:t>The pilot programme is based on the assumption that pharmacies, as widely accessible and familiar places for patients, can play a significant role in this area, particularly in situations requiring a rapid response or where access to healthcare services is limited.</w:t>
      </w:r>
    </w:p>
    <w:p w14:paraId="47410D8A" w14:textId="48F9383A" w:rsidR="00340F4A" w:rsidRPr="00340F4A" w:rsidRDefault="00983055" w:rsidP="00983055">
      <w:pPr>
        <w:pStyle w:val="HChG"/>
      </w:pPr>
      <w:r>
        <w:tab/>
        <w:t>VII.</w:t>
      </w:r>
      <w:r>
        <w:tab/>
      </w:r>
      <w:r w:rsidR="00340F4A" w:rsidRPr="00340F4A">
        <w:t>Introducing mandatory, age-appropriate and evidence-based sexual and reproductive health and rights education for adolescents, including information on pregnancy prevention, abortion access and modern contraception, alongside strengthened awareness-raising activities and monitoring of implementation (par. 109 f-g)</w:t>
      </w:r>
    </w:p>
    <w:p w14:paraId="25B14612" w14:textId="5F207450" w:rsidR="00340F4A" w:rsidRPr="00340F4A" w:rsidRDefault="00340F4A" w:rsidP="008F7593">
      <w:pPr>
        <w:pStyle w:val="SingleTxtG"/>
        <w:numPr>
          <w:ilvl w:val="0"/>
          <w:numId w:val="38"/>
        </w:numPr>
        <w:ind w:left="1134" w:firstLine="0"/>
      </w:pPr>
      <w:r w:rsidRPr="00340F4A">
        <w:t>From 1 September 2025, a new optional subject – health education – was introduced in all types of schools (primary schools, vocational schools, general secondary schools, technical schools, and schools for children and young people), replacing the previously optional subject of education for family life. The subject of health education is characterised by an interdisciplinary nature, combining elements of health sciences, medical sciences, social sciences, humanities, natural sciences and exact sciences. The core curriculum for this subject was prepared taking into account the age and psychophysical development of the students who will attend these classes. Holistically designed health education covers ten areas reflecting the spheres of human functioning: Values and attitudes, Physical health, Physical activity, Nutrition, Mental health, Social health, Puberty (only in primary school), Sexual health, Environmental health, Internet and addiction prevention, and the Healthcare system (only in upper-secondary schools).</w:t>
      </w:r>
    </w:p>
    <w:p w14:paraId="1CD9D956" w14:textId="5B0A4890" w:rsidR="00340F4A" w:rsidRPr="00340F4A" w:rsidRDefault="00340F4A" w:rsidP="008F7593">
      <w:pPr>
        <w:pStyle w:val="SingleTxtG"/>
        <w:numPr>
          <w:ilvl w:val="0"/>
          <w:numId w:val="38"/>
        </w:numPr>
        <w:ind w:left="1134" w:firstLine="0"/>
      </w:pPr>
      <w:r w:rsidRPr="00340F4A">
        <w:lastRenderedPageBreak/>
        <w:t>However, from 1 September 2026, in all types of schools, the subject of health education will become a compulsory educational subject, while the subject health education – sexual health will remain optional. The proposed core curriculum for general education in the field of compulsory health education includes nine areas reflecting the spheres of human functioning: Values and attitudes, Physical health, Physical activity, Nutrition, Mental health, Social health, Puberty (only in primary school), Environmental health, Internet and addiction prevention, and the Healthcare system (only in upper-secondary schools). In the proposed core curriculum for general education in the field of health education – sexual health, important elements include content related to safety and personal integrity, aimed at preventing risks. Including issues of each person’s autonomy develops the ability to recognise and respond to behaviours that violate personal boundaries and promotes the formation of attitudes based on respect and responsibility. This solution strengthens the protection of children and young people against harm. Addressing issues related to respect for students’ dignity, autonomy and personal safety forms part of the State’s systemic actions aimed at protecting the lives and health of children and young people. It also serves to prevent risks, strengthen students’ social competences and promote values such as safety, responsibility and respect for other people.</w:t>
      </w:r>
    </w:p>
    <w:p w14:paraId="6C7385F1" w14:textId="740C93CC" w:rsidR="00340F4A" w:rsidRPr="00340F4A" w:rsidRDefault="00340F4A" w:rsidP="008F7593">
      <w:pPr>
        <w:pStyle w:val="SingleTxtG"/>
        <w:numPr>
          <w:ilvl w:val="0"/>
          <w:numId w:val="38"/>
        </w:numPr>
        <w:ind w:left="1134" w:firstLine="0"/>
      </w:pPr>
      <w:r w:rsidRPr="00340F4A">
        <w:t xml:space="preserve">As part of the measures undertaken by the Ministry of Health, a new information section was launched on the patient.gov.pl portal: </w:t>
      </w:r>
      <w:hyperlink r:id="rId11" w:tgtFrame="_new" w:history="1">
        <w:r w:rsidRPr="00340F4A">
          <w:rPr>
            <w:rStyle w:val="Hyperlink"/>
          </w:rPr>
          <w:t>https://pacjent.gov.pl/antykoncepcja-zdrowie-i-swiadome-decyzje</w:t>
        </w:r>
      </w:hyperlink>
      <w:r w:rsidRPr="00340F4A">
        <w:t>. The section was published in April 2026 and contains educational content on contraception, reproductive health and informed health decision-making. The material is informational in nature, based on current medical knowledge, and is addressed to a broad audience. This initiative contributes to the implementation of recommendations aimed at increasing access to reliable and impartial information in the area of sexual and reproductive health.</w:t>
      </w:r>
    </w:p>
    <w:p w14:paraId="26E65641" w14:textId="37CE0C91" w:rsidR="00340F4A" w:rsidRPr="00340F4A" w:rsidRDefault="00983055" w:rsidP="00983055">
      <w:pPr>
        <w:pStyle w:val="HChG"/>
      </w:pPr>
      <w:r>
        <w:tab/>
        <w:t>VIII.</w:t>
      </w:r>
      <w:r>
        <w:tab/>
      </w:r>
      <w:r w:rsidR="00340F4A" w:rsidRPr="00340F4A">
        <w:t>Ensuring access to prenatal tests and mandatory release of results to pregnant women (par. 109 h)</w:t>
      </w:r>
    </w:p>
    <w:p w14:paraId="6D87BE12" w14:textId="28AAB0B6" w:rsidR="00340F4A" w:rsidRPr="00340F4A" w:rsidRDefault="00340F4A" w:rsidP="008F7593">
      <w:pPr>
        <w:pStyle w:val="SingleTxtG"/>
        <w:numPr>
          <w:ilvl w:val="0"/>
          <w:numId w:val="38"/>
        </w:numPr>
        <w:ind w:left="1134" w:firstLine="0"/>
      </w:pPr>
      <w:r w:rsidRPr="00340F4A">
        <w:t xml:space="preserve">Pursuant to the provisions of the </w:t>
      </w:r>
      <w:r w:rsidRPr="00340F4A">
        <w:rPr>
          <w:i/>
          <w:iCs/>
        </w:rPr>
        <w:t>Regulation of the Minister of Health of 16 August 2018 on the organisational standard of perinatal care</w:t>
      </w:r>
      <w:r w:rsidRPr="00340F4A">
        <w:t>, every person providing care to a pregnant woman is obliged to perform or refer her, inter alia, for non-invasive prenatal examinations in the form of ultrasound examinations, carried out in accordance with the recommendations of the Polish Society of Gynaecologists and Obstetricians. A woman during pregnancy has the right to undergo ultrasound examinations at the following stages of pregnancy: 11–14 weeks of pregnancy, 18–22 weeks of pregnancy, 27–32 weeks of pregnancy, and immediately after 40 weeks of pregnancy. These examinations constitute one of the grounds for potential further diagnostic procedures. At the same time, the person providing care to a pregnant woman shall order additional preventive or diagnostic healthcare services if the pregnant woman’s health condition or the results of previously performed examinations indicate a possibility of complications or abnormalities during pregnancy, childbirth or the postpartum period. The possibility of qualifying a pregnant woman for currently applicable health programmes, including prenatal screening and fetal echocardiography, should also be included in the antenatal care plan, which covers all medical procedures related to prenatal care, together with the specification of the time when they should be performed. Following a detailed medical interview with the patient, the person providing care should enable her to participate in the relevant programme and issue the necessary referral. The obligation to prepare the care plan rests with the person providing such care.</w:t>
      </w:r>
    </w:p>
    <w:p w14:paraId="0B93BD2A" w14:textId="524F8A0F" w:rsidR="00340F4A" w:rsidRPr="00340F4A" w:rsidRDefault="00340F4A" w:rsidP="000C1940">
      <w:pPr>
        <w:pStyle w:val="SingleTxtG"/>
        <w:numPr>
          <w:ilvl w:val="0"/>
          <w:numId w:val="38"/>
        </w:numPr>
        <w:ind w:left="1134" w:firstLine="0"/>
      </w:pPr>
      <w:r w:rsidRPr="00340F4A">
        <w:t>At the same time, until mid-2024, pregnant women who met at least one of the following criteria:</w:t>
      </w:r>
    </w:p>
    <w:p w14:paraId="3DCCBB37" w14:textId="5E8025CF" w:rsidR="00340F4A" w:rsidRPr="00490929" w:rsidRDefault="00A07FE4" w:rsidP="00490929">
      <w:pPr>
        <w:pStyle w:val="SingleTxtG"/>
      </w:pPr>
      <w:r>
        <w:tab/>
      </w:r>
      <w:r w:rsidR="003F4226">
        <w:t>(a)</w:t>
      </w:r>
      <w:r>
        <w:tab/>
      </w:r>
      <w:r w:rsidR="00D17786">
        <w:t>A</w:t>
      </w:r>
      <w:r w:rsidR="00340F4A" w:rsidRPr="00490929">
        <w:t>ge over 35 years (the examination was available to a woman from the calendar year in which she turned 35)</w:t>
      </w:r>
      <w:r>
        <w:t>;</w:t>
      </w:r>
    </w:p>
    <w:p w14:paraId="72370757" w14:textId="681D093F" w:rsidR="00340F4A" w:rsidRPr="00490929" w:rsidRDefault="00A07FE4" w:rsidP="00490929">
      <w:pPr>
        <w:pStyle w:val="SingleTxtG"/>
      </w:pPr>
      <w:r>
        <w:tab/>
      </w:r>
      <w:r w:rsidR="003F4226">
        <w:t>(b)</w:t>
      </w:r>
      <w:r>
        <w:tab/>
      </w:r>
      <w:r w:rsidR="00D17786">
        <w:t>O</w:t>
      </w:r>
      <w:r w:rsidR="00340F4A" w:rsidRPr="00490929">
        <w:t>ccurrence of a chromosomal aberration in the foetus or child in a previous pregnancy;</w:t>
      </w:r>
    </w:p>
    <w:p w14:paraId="4421970E" w14:textId="2C79E183" w:rsidR="00340F4A" w:rsidRPr="00490929" w:rsidRDefault="00A07FE4" w:rsidP="00490929">
      <w:pPr>
        <w:pStyle w:val="SingleTxtG"/>
      </w:pPr>
      <w:r>
        <w:lastRenderedPageBreak/>
        <w:tab/>
      </w:r>
      <w:r w:rsidR="003F4226">
        <w:t>(c)</w:t>
      </w:r>
      <w:r>
        <w:tab/>
      </w:r>
      <w:r w:rsidR="00D17786">
        <w:t>D</w:t>
      </w:r>
      <w:r w:rsidR="00340F4A" w:rsidRPr="00490929">
        <w:t>etection of structural chromosomal aberrations in the pregnant woman or the child’s father;</w:t>
      </w:r>
    </w:p>
    <w:p w14:paraId="57ACD711" w14:textId="0B7102DD" w:rsidR="00340F4A" w:rsidRPr="00490929" w:rsidRDefault="00A07FE4" w:rsidP="00490929">
      <w:pPr>
        <w:pStyle w:val="SingleTxtG"/>
      </w:pPr>
      <w:r>
        <w:tab/>
      </w:r>
      <w:r w:rsidR="00D17786">
        <w:t>(d)</w:t>
      </w:r>
      <w:r>
        <w:tab/>
      </w:r>
      <w:r w:rsidR="00D17786">
        <w:t>D</w:t>
      </w:r>
      <w:r w:rsidR="00340F4A" w:rsidRPr="00490929">
        <w:t>etection of a significantly increased risk of giving birth to a child affected by a monogenic or multifactorial disease;</w:t>
      </w:r>
    </w:p>
    <w:p w14:paraId="1CC37EFF" w14:textId="319077ED" w:rsidR="00340F4A" w:rsidRPr="00490929" w:rsidRDefault="00A07FE4" w:rsidP="00490929">
      <w:pPr>
        <w:pStyle w:val="SingleTxtG"/>
      </w:pPr>
      <w:r>
        <w:tab/>
      </w:r>
      <w:r w:rsidR="00D17786">
        <w:t>(e)</w:t>
      </w:r>
      <w:r>
        <w:tab/>
      </w:r>
      <w:r w:rsidR="00D17786">
        <w:t>D</w:t>
      </w:r>
      <w:r w:rsidR="00340F4A" w:rsidRPr="00490929">
        <w:t>etection during pregnancy of an abnormal ultrasound or biochemical test result indicating an increased risk of chromosomal aberration or foetal abnormality</w:t>
      </w:r>
    </w:p>
    <w:p w14:paraId="12EBAB9F" w14:textId="77777777" w:rsidR="00340F4A" w:rsidRPr="00340F4A" w:rsidRDefault="00340F4A" w:rsidP="00340F4A">
      <w:pPr>
        <w:pStyle w:val="SingleTxtG"/>
        <w:rPr>
          <w:i/>
          <w:iCs/>
        </w:rPr>
      </w:pPr>
      <w:r w:rsidRPr="00340F4A">
        <w:t xml:space="preserve">— were, on the basis of a referral issued by the doctor supervising the pregnancy, eligible for the prenatal screening programme regulated by </w:t>
      </w:r>
      <w:r w:rsidRPr="00340F4A">
        <w:rPr>
          <w:i/>
          <w:iCs/>
        </w:rPr>
        <w:t>the Regulation of the Minister of Health of 6 November 2013 on guaranteed healthcare services within the scope of health programmes.</w:t>
      </w:r>
    </w:p>
    <w:p w14:paraId="7623A1F7" w14:textId="05EBDB11" w:rsidR="00340F4A" w:rsidRPr="002F2474" w:rsidRDefault="00340F4A" w:rsidP="000C1940">
      <w:pPr>
        <w:pStyle w:val="SingleTxtG"/>
        <w:numPr>
          <w:ilvl w:val="0"/>
          <w:numId w:val="38"/>
        </w:numPr>
        <w:ind w:left="1134" w:firstLine="0"/>
      </w:pPr>
      <w:r w:rsidRPr="002F2474">
        <w:t>In mid-2024, changes were introduced regarding access to the prenatal screening programme. On 5 June 2024, the Regulation of the Minister of Health of 14 May 2024 amending the Regulation on guaranteed healthcare services within the scope of health programmes entered into force, introducing changes to the prenatal screening programme, in particular: 1) removing the age criteria as an eligibility criteria for participation in the programme from all stages of the programme;</w:t>
      </w:r>
      <w:r w:rsidR="002F2474" w:rsidRPr="002F2474">
        <w:t xml:space="preserve"> </w:t>
      </w:r>
      <w:r w:rsidRPr="002F2474">
        <w:t>2) removing the previously applicable eligibility criteria for participation in the programme from the stage of counselling and biochemical tests, as well as from the stage of counselling and foetal ultrasound examinations for the diagnosis of congenital defects; 3) clarifying, at the stage of counselling and biochemical tests, as well as counselling and foetal ultrasound examinations for the diagnosis of congenital defects, the timeframe within which priority prenatal examinations should be performed. The amendments to the Regulation aimed to increase access to prenatal screening for all women, regardless of age. The removal of eligibility criteria for the first two stages of the prenatal screening programme will further improve access to prenatal examinations, enabling early detection and diagnosis of foetal abnormalities and, where possible, the initiation of treatment during the foetal period.</w:t>
      </w:r>
    </w:p>
    <w:p w14:paraId="50096B34" w14:textId="6BF92149" w:rsidR="00340F4A" w:rsidRPr="00340F4A" w:rsidRDefault="00340F4A" w:rsidP="000C1940">
      <w:pPr>
        <w:pStyle w:val="SingleTxtG"/>
        <w:numPr>
          <w:ilvl w:val="0"/>
          <w:numId w:val="38"/>
        </w:numPr>
        <w:ind w:left="1134" w:firstLine="0"/>
      </w:pPr>
      <w:r w:rsidRPr="00340F4A">
        <w:t xml:space="preserve">Pursuant to the provisions of </w:t>
      </w:r>
      <w:r w:rsidRPr="00340F4A">
        <w:rPr>
          <w:i/>
          <w:iCs/>
        </w:rPr>
        <w:t xml:space="preserve">the Regulation of the Minister of Health of 14 May 2024 amending the </w:t>
      </w:r>
      <w:r w:rsidRPr="000C1940">
        <w:t>Regulation</w:t>
      </w:r>
      <w:r w:rsidRPr="00340F4A">
        <w:rPr>
          <w:i/>
          <w:iCs/>
        </w:rPr>
        <w:t xml:space="preserve"> on guaranteed healthcare services within the scope of health programmes</w:t>
      </w:r>
      <w:r w:rsidRPr="00340F4A">
        <w:t>, pregnant women are entitled to participate in the prenatal screening programme regardless of age. Participation in the following parts of the programme:</w:t>
      </w:r>
    </w:p>
    <w:p w14:paraId="14628814" w14:textId="2A1AE415" w:rsidR="00340F4A" w:rsidRPr="00A07FE4" w:rsidRDefault="00A07FE4" w:rsidP="00A07FE4">
      <w:pPr>
        <w:pStyle w:val="SingleTxtG"/>
      </w:pPr>
      <w:r>
        <w:tab/>
        <w:t>(a)</w:t>
      </w:r>
      <w:r>
        <w:tab/>
        <w:t>C</w:t>
      </w:r>
      <w:r w:rsidR="00340F4A" w:rsidRPr="00A07FE4">
        <w:t xml:space="preserve">ounselling and biochemical tests (performed in women between the 11th and 14th weeks of pregnancy); </w:t>
      </w:r>
    </w:p>
    <w:p w14:paraId="230B271B" w14:textId="5938D73A" w:rsidR="00340F4A" w:rsidRPr="00A07FE4" w:rsidRDefault="00A07FE4" w:rsidP="00A07FE4">
      <w:pPr>
        <w:pStyle w:val="SingleTxtG"/>
      </w:pPr>
      <w:r>
        <w:tab/>
        <w:t>(b)</w:t>
      </w:r>
      <w:r>
        <w:tab/>
        <w:t>C</w:t>
      </w:r>
      <w:r w:rsidR="00340F4A" w:rsidRPr="00A07FE4">
        <w:t>ounselling and foetal ultrasound examinations for the diagnosis of congenital defects (performed in the first trimester of pregnancy between the 11th and 14th weeks of pregnancy, and in the second trimester between the 18th week and 22 weeks and 6 days of pregnancy),</w:t>
      </w:r>
    </w:p>
    <w:p w14:paraId="7DE8075A" w14:textId="77777777" w:rsidR="00340F4A" w:rsidRPr="00340F4A" w:rsidRDefault="00340F4A" w:rsidP="00340F4A">
      <w:pPr>
        <w:pStyle w:val="SingleTxtG"/>
      </w:pPr>
      <w:r w:rsidRPr="00340F4A">
        <w:t>requires a referral issued by the doctor supervising the pregnancy, containing information on the gestational age in weeks.</w:t>
      </w:r>
    </w:p>
    <w:p w14:paraId="496F1203" w14:textId="44643674" w:rsidR="00340F4A" w:rsidRPr="00340F4A" w:rsidRDefault="00340F4A" w:rsidP="000C1940">
      <w:pPr>
        <w:pStyle w:val="SingleTxtG"/>
        <w:numPr>
          <w:ilvl w:val="0"/>
          <w:numId w:val="38"/>
        </w:numPr>
        <w:ind w:left="1134" w:firstLine="0"/>
      </w:pPr>
      <w:r w:rsidRPr="00340F4A">
        <w:t>In the case of advanced diagnostics, including genetic counselling and genetic tests; as well as collection of foetal material for genetic testing (amniocentesis, chorionic villus sampling or cordocentesis), a referral issued by the doctor supervising the pregnancy, or a referral from the stage of counselling and foetal ultrasound examinations for the diagnosis of congenital defects, is required. The referral must also include information on the indications for inclusion in this part of the programme, together with a description of abnormalities and attached test results confirming the justification for referral to this stage of the programme. Genetic tests at the advanced diagnostics stage are performed in pregnant women who meet at least one of the following criteria:</w:t>
      </w:r>
    </w:p>
    <w:p w14:paraId="4512E2EB" w14:textId="3B5D3EEC" w:rsidR="00340F4A" w:rsidRPr="00D06576" w:rsidRDefault="00D06576" w:rsidP="00D06576">
      <w:pPr>
        <w:pStyle w:val="SingleTxtG"/>
      </w:pPr>
      <w:r>
        <w:tab/>
        <w:t>(a)</w:t>
      </w:r>
      <w:r>
        <w:tab/>
      </w:r>
      <w:r w:rsidR="00340F4A" w:rsidRPr="00D06576">
        <w:t>occurrence of a chromosomal aberration in the foetus or child in a previous pregnancy;</w:t>
      </w:r>
    </w:p>
    <w:p w14:paraId="00982572" w14:textId="5A0B37B5" w:rsidR="00340F4A" w:rsidRPr="00D06576" w:rsidRDefault="00D06576" w:rsidP="00D06576">
      <w:pPr>
        <w:pStyle w:val="SingleTxtG"/>
      </w:pPr>
      <w:r>
        <w:tab/>
        <w:t>(b)</w:t>
      </w:r>
      <w:r>
        <w:tab/>
      </w:r>
      <w:r w:rsidR="00340F4A" w:rsidRPr="00D06576">
        <w:t>detection of structural chromosomal aberrations in the pregnant woman or the child’s father;</w:t>
      </w:r>
    </w:p>
    <w:p w14:paraId="67E1323F" w14:textId="6B16B33F" w:rsidR="00340F4A" w:rsidRPr="00D06576" w:rsidRDefault="00D06576" w:rsidP="00D06576">
      <w:pPr>
        <w:pStyle w:val="SingleTxtG"/>
      </w:pPr>
      <w:r>
        <w:tab/>
        <w:t>(c)</w:t>
      </w:r>
      <w:r>
        <w:tab/>
      </w:r>
      <w:r w:rsidR="00340F4A" w:rsidRPr="00D06576">
        <w:t>detection of a significantly increased risk of giving birth to a child affected by a monogenic or multifactorial disease;</w:t>
      </w:r>
    </w:p>
    <w:p w14:paraId="45517EB1" w14:textId="26790FD6" w:rsidR="00340F4A" w:rsidRPr="00D06576" w:rsidRDefault="00D06576" w:rsidP="00D06576">
      <w:pPr>
        <w:pStyle w:val="SingleTxtG"/>
      </w:pPr>
      <w:r>
        <w:lastRenderedPageBreak/>
        <w:tab/>
        <w:t>(d)</w:t>
      </w:r>
      <w:r>
        <w:tab/>
      </w:r>
      <w:r w:rsidR="00340F4A" w:rsidRPr="00D06576">
        <w:t>detection during pregnancy of an abnormal ultrasound or biochemical test result indicating an increased risk of chromosomal aberration or foetal abnormality.</w:t>
      </w:r>
    </w:p>
    <w:p w14:paraId="30EAE4CC" w14:textId="77777777" w:rsidR="000C1940" w:rsidRDefault="00340F4A" w:rsidP="000C1940">
      <w:pPr>
        <w:pStyle w:val="SingleTxtG"/>
        <w:numPr>
          <w:ilvl w:val="0"/>
          <w:numId w:val="38"/>
        </w:numPr>
        <w:ind w:left="1134" w:firstLine="0"/>
      </w:pPr>
      <w:r w:rsidRPr="00340F4A">
        <w:t>In view of the above, it should be noted that access to prenatal diagnostics in Poland has been significantly increased.</w:t>
      </w:r>
    </w:p>
    <w:p w14:paraId="6B095495" w14:textId="5655B418" w:rsidR="00340F4A" w:rsidRPr="00340F4A" w:rsidRDefault="00340F4A" w:rsidP="000C1940">
      <w:pPr>
        <w:pStyle w:val="SingleTxtG"/>
        <w:numPr>
          <w:ilvl w:val="0"/>
          <w:numId w:val="38"/>
        </w:numPr>
        <w:ind w:left="1134" w:firstLine="0"/>
      </w:pPr>
      <w:r w:rsidRPr="00340F4A">
        <w:t xml:space="preserve">In order to improve access to prenatal screening, the Prenatal Screening Programme was amended by the </w:t>
      </w:r>
      <w:r w:rsidRPr="000C1940">
        <w:t>Regulation</w:t>
      </w:r>
      <w:r w:rsidRPr="00340F4A">
        <w:rPr>
          <w:i/>
          <w:iCs/>
        </w:rPr>
        <w:t xml:space="preserve"> of the Minister of Health of 14 May 2024 amending the Regulation on guaranteed </w:t>
      </w:r>
      <w:r w:rsidRPr="00D06576">
        <w:t>healthcare</w:t>
      </w:r>
      <w:r w:rsidRPr="00340F4A">
        <w:rPr>
          <w:i/>
          <w:iCs/>
        </w:rPr>
        <w:t xml:space="preserve"> services within the scope of health programmes</w:t>
      </w:r>
      <w:r w:rsidRPr="00340F4A">
        <w:t xml:space="preserve"> (Journal of Laws 2024, item 767). The amendment entered into force on </w:t>
      </w:r>
      <w:r w:rsidRPr="00340F4A">
        <w:br/>
        <w:t>5 June 2024 and removed the age-based eligibility criteria for participation in the programme. As a result, all pregnant women, regardless of age, became entitled to access the prenatal examinations provided under the Prenatal Screening Programme. These examinations enable the early detection of foetal abnormalities, the initiation of diagnostic procedures at an early stage of pregnancy and, where appropriate, the commencement of treatment during the foetal period.</w:t>
      </w:r>
    </w:p>
    <w:p w14:paraId="5FFEC779" w14:textId="7920DA8D" w:rsidR="00340F4A" w:rsidRPr="00340F4A" w:rsidRDefault="00340F4A" w:rsidP="000C1940">
      <w:pPr>
        <w:pStyle w:val="SingleTxtG"/>
        <w:numPr>
          <w:ilvl w:val="0"/>
          <w:numId w:val="38"/>
        </w:numPr>
        <w:ind w:left="1134" w:firstLine="0"/>
      </w:pPr>
      <w:r w:rsidRPr="00340F4A">
        <w:t xml:space="preserve">At the same time, it should be noted that the results of prenatal examinations form part of the patient's medical records. Pursuant to the applicable legislation (Article 23(1) of the </w:t>
      </w:r>
      <w:r w:rsidRPr="00340F4A">
        <w:rPr>
          <w:i/>
          <w:iCs/>
        </w:rPr>
        <w:t xml:space="preserve">Act on Patients’ Rights and the </w:t>
      </w:r>
      <w:r w:rsidRPr="00D06576">
        <w:t>Patient</w:t>
      </w:r>
      <w:r w:rsidRPr="00340F4A">
        <w:rPr>
          <w:i/>
          <w:iCs/>
        </w:rPr>
        <w:t xml:space="preserve"> Ombudsman), </w:t>
      </w:r>
      <w:r w:rsidRPr="00340F4A">
        <w:t>one of the patient's fundamental rights is the right of access to medical records concerning their health status and the healthcare services provided, which also includes the results of prenatal examinations.</w:t>
      </w:r>
    </w:p>
    <w:p w14:paraId="4C3743CC" w14:textId="667D7BB3" w:rsidR="00340F4A" w:rsidRPr="00340F4A" w:rsidRDefault="00F323CD" w:rsidP="00F323CD">
      <w:pPr>
        <w:pStyle w:val="H1G"/>
      </w:pPr>
      <w:r>
        <w:tab/>
        <w:t>IX.</w:t>
      </w:r>
      <w:r>
        <w:tab/>
      </w:r>
      <w:r w:rsidR="00340F4A" w:rsidRPr="00340F4A">
        <w:t>Collection of pregnancy-related data (par. 109 i)</w:t>
      </w:r>
    </w:p>
    <w:p w14:paraId="7F30D6F3" w14:textId="5D7C43A0" w:rsidR="00340F4A" w:rsidRPr="00340F4A" w:rsidRDefault="00340F4A" w:rsidP="00D06576">
      <w:pPr>
        <w:pStyle w:val="SingleTxtG"/>
        <w:numPr>
          <w:ilvl w:val="0"/>
          <w:numId w:val="38"/>
        </w:numPr>
        <w:ind w:left="1134" w:firstLine="0"/>
      </w:pPr>
      <w:r w:rsidRPr="00340F4A">
        <w:t xml:space="preserve">The </w:t>
      </w:r>
      <w:r w:rsidRPr="00340F4A">
        <w:rPr>
          <w:i/>
          <w:iCs/>
        </w:rPr>
        <w:t>Regulation of the Minister of Health of 17 September 2024 amending the Regulation on the detailed scope of medical event data processed in the Health Information System (SIM) and the method and time limits for transmitting such data to the SIM</w:t>
      </w:r>
      <w:r w:rsidRPr="00340F4A">
        <w:t xml:space="preserve"> introduced an amendment to § 2(1)(3)(m), providing that information on pregnancy is transmitted only if the healthcare provider obtains such information in connection with the provision of a healthcare service or the performance of a significant medical procedure, and that information on pregnancy is transmitted by the healthcare provider exclusively at the request of the patient. The purpose of the amendment was to change the rules governing the transmission of pregnancy-related medical event data by healthcare providers to the Medical Information System. Under the previous rules, healthcare providers were required to transmit such information. Following the amendment, transmission is carried out only upon the patient's request. Importantly, the transmission of information on pregnancy to the Medical Information System is now also dependent on the scope of the healthcare service provided, as the information must relate to and identify that specific healthcare service.</w:t>
      </w:r>
    </w:p>
    <w:p w14:paraId="0FB3336C" w14:textId="0C16DB2A" w:rsidR="00340F4A" w:rsidRPr="00D06576" w:rsidRDefault="00340F4A" w:rsidP="00D06576">
      <w:pPr>
        <w:pStyle w:val="SingleTxtG"/>
        <w:numPr>
          <w:ilvl w:val="0"/>
          <w:numId w:val="38"/>
        </w:numPr>
        <w:ind w:left="1134" w:firstLine="0"/>
      </w:pPr>
      <w:r w:rsidRPr="00D06576">
        <w:t>Accordingly, the reporting of pregnancy-related information to the Medical Information System requires the fulfilment of two cumulative conditions: the provision of a healthcare service or the performance of a significant medical procedure for the patient and the patient's request (expressed consent) for information concerning the pregnancy to be transmitted.</w:t>
      </w:r>
    </w:p>
    <w:p w14:paraId="68C8758C" w14:textId="06A85117" w:rsidR="00340F4A" w:rsidRPr="00D06576" w:rsidRDefault="00340F4A" w:rsidP="00D06576">
      <w:pPr>
        <w:pStyle w:val="SingleTxtG"/>
        <w:numPr>
          <w:ilvl w:val="0"/>
          <w:numId w:val="38"/>
        </w:numPr>
        <w:ind w:left="1134" w:firstLine="0"/>
      </w:pPr>
      <w:r w:rsidRPr="00D06576">
        <w:t xml:space="preserve">It is worth noting that information on a patient's pregnancy corresponds to the data set defined by the European Commission in the Patient Summary, which constitutes the core set of patient health information enabling healthcare professionals, particularly in life-threatening situations, to access the most essential information concerning a patient's health. Nevertheless, pursuant to Article 168(7) of the Treaty on the Functioning of the European Union, responsibility for defining health policy, as well as for the organisation and delivery of health services and medical care, remains within the competence of the Member States, subject to the exceptions set out in that provision. In conclusion, there are no legal obstacles preventing a Member State of the European Union from making the transmission of medical event data to the Medical Information System conditional upon the patient's request. </w:t>
      </w:r>
    </w:p>
    <w:p w14:paraId="6D52685A" w14:textId="1C9288A3" w:rsidR="00340F4A" w:rsidRPr="00D06576" w:rsidRDefault="00340F4A" w:rsidP="00D06576">
      <w:pPr>
        <w:pStyle w:val="SingleTxtG"/>
        <w:numPr>
          <w:ilvl w:val="0"/>
          <w:numId w:val="38"/>
        </w:numPr>
        <w:ind w:left="1134" w:firstLine="0"/>
      </w:pPr>
      <w:r w:rsidRPr="00D06576">
        <w:t xml:space="preserve">The transmission of pregnancy-related information to the Medical Information System is particularly important from the perspective of ensuring the safety of pregnant women, as certain examinations cannot be performed during pregnancy or require modifications to standard procedures. In addition, the interpretation of some diagnostic test </w:t>
      </w:r>
      <w:r w:rsidRPr="00D06576">
        <w:lastRenderedPageBreak/>
        <w:t>results differs during pregnancy. Information on pregnancy is of particular importance in situations involving trauma, radiological examinations using contrast agents, anaesthesia, and other medical interventions. Furthermore, information on examinations ordered and performed during pregnancy may prove useful should the scope of reimbursement for pregnant and postpartum women be expanded in the future. Nevertheless, in accordance with the Regulation, the decision whether pregnancy-related information is transmitted remains entirely with the patient.</w:t>
      </w:r>
    </w:p>
    <w:p w14:paraId="0D7A4580" w14:textId="57023394" w:rsidR="00340F4A" w:rsidRPr="00340F4A" w:rsidRDefault="00F323CD" w:rsidP="00F323CD">
      <w:pPr>
        <w:pStyle w:val="HChG"/>
      </w:pPr>
      <w:r>
        <w:tab/>
        <w:t>X.</w:t>
      </w:r>
      <w:r>
        <w:tab/>
      </w:r>
      <w:r w:rsidR="00340F4A" w:rsidRPr="00340F4A">
        <w:t>Protection of women form harassment by anti-abortion protesters by investigating complaints and prosecuting and punishing preparators (par. 109 j)</w:t>
      </w:r>
    </w:p>
    <w:p w14:paraId="26C8FC45" w14:textId="22BB078F" w:rsidR="00340F4A" w:rsidRPr="00340F4A" w:rsidRDefault="00340F4A" w:rsidP="00D06576">
      <w:pPr>
        <w:pStyle w:val="SingleTxtG"/>
        <w:numPr>
          <w:ilvl w:val="0"/>
          <w:numId w:val="38"/>
        </w:numPr>
        <w:ind w:left="1134" w:firstLine="0"/>
      </w:pPr>
      <w:r w:rsidRPr="00340F4A">
        <w:t>The Public Prosecutor’s Office takes action whenever the conduct of individuals engaged in anti-abortion activities may constitute a criminal offence or a petty offence under the applicable law. Preparatory (pre-trial) proceedings are initiated on the basis of reports submitted by injured parties or information obtained from other sources. Each case is assessed individually, taking into account the available evidence and the relevant provisions of the Polish Criminal Code and the Code of Petty Offences. Within the framework of the applicable legal provisions, the Public Prosecutor’s Office takes measures to ensure the protection of the rights of injured persons, including women accessing healthcare services related to pregnancy.</w:t>
      </w:r>
    </w:p>
    <w:p w14:paraId="0782A276" w14:textId="0A58B2F3" w:rsidR="00340F4A" w:rsidRPr="00340F4A" w:rsidRDefault="00F323CD" w:rsidP="00F323CD">
      <w:pPr>
        <w:pStyle w:val="HChG"/>
      </w:pPr>
      <w:r>
        <w:tab/>
        <w:t>XI.</w:t>
      </w:r>
      <w:r>
        <w:tab/>
      </w:r>
      <w:r w:rsidR="00340F4A" w:rsidRPr="00340F4A">
        <w:t>Strengthening dialogue with civil society to promote women's sexual and reproductive health and Rights (par. 109)</w:t>
      </w:r>
    </w:p>
    <w:p w14:paraId="399F2F9B" w14:textId="26436193" w:rsidR="00340F4A" w:rsidRPr="00340F4A" w:rsidRDefault="00340F4A" w:rsidP="00D06576">
      <w:pPr>
        <w:pStyle w:val="SingleTxtG"/>
        <w:numPr>
          <w:ilvl w:val="0"/>
          <w:numId w:val="38"/>
        </w:numPr>
        <w:ind w:left="1134" w:firstLine="0"/>
      </w:pPr>
      <w:r w:rsidRPr="00340F4A">
        <w:t>Particular note should be taken of the initiative launched by the Ministry of Health in 2024 to hold meetings with representatives of the medical professions and civil society organisations on women's health and safety in the context of broad access to abortion services. Three such meetings were held in 2024, during which, inter alia, the main barriers to access to these services were discussed. The Ministry intends to continue holding such meetings in the coming years.</w:t>
      </w:r>
    </w:p>
    <w:p w14:paraId="2AF223A1" w14:textId="6BFE88C8" w:rsidR="00340F4A" w:rsidRPr="00340F4A" w:rsidRDefault="00340F4A" w:rsidP="00D06576">
      <w:pPr>
        <w:pStyle w:val="SingleTxtG"/>
        <w:numPr>
          <w:ilvl w:val="0"/>
          <w:numId w:val="38"/>
        </w:numPr>
        <w:ind w:left="1134" w:firstLine="0"/>
      </w:pPr>
      <w:r w:rsidRPr="00340F4A">
        <w:t xml:space="preserve">In addition to the above-mentioned meetings, the Minister of Health established a Team for Improving Women’s Health Security in a broad sense. Ensuring women’s health security is one of the priority areas of action of the Ministry of Health. The tasks of the Team include developing proposals for measures aimed at improving women’s health security in a broad sense, with particular emphasis on reproductive health and perinatal care. Reproductive health constitutes an important element of the definition of health as a state of complete physical, mental and social well-being, and not merely the absence of disease or disorders related to the reproductive system and reproduction, for both sexes and at all stages of life. Reproductive health encompasses, inter alia, issues related to puberty and menopause, fertility and infertility, family planning, and health during pregnancy, childbirth and the postpartum period. Promoting reproductive health is essential for the health of the population, the well-being of future generations and efforts aimed at improving demographic indicators. Perinatal care, in turn, constitutes a key element of healthcare services provided to pregnant women. The scope and quality of such care have a direct impact on the health of women during childbirth and the postpartum period, as well as on the health of children. A particularly important task of the Team is to analyse, together with experts, potential barriers to access to healthcare services in the field of reproductive health and individual elements of perinatal care, and to develop proposals for measures that could improve women’s health security in this area. For this purpose, the Chair of the Team may establish sub-groups within the Team to carry out specific tasks. In addition to experts and representatives of relevant institutions, representatives of civil society engaged in women’s rights in the area of reproductive health and perinatal care have also been invited to contribute to the development of these proposals. One such organisation is the Federation for Women and Family Planning, which works to promote reproductive health and rights, including access to and the legal availability of abortion. Given the broad scope of issues addressed by the Team, persons who </w:t>
      </w:r>
      <w:r w:rsidRPr="00340F4A">
        <w:lastRenderedPageBreak/>
        <w:t>are not members of the Team may also participate in its work in an advisory capacity, upon invitation by the Chair. Depending on the subject matter of the Team’s ongoing work, experts from outside the membership of the Team, including representatives of non-governmental organisations, may also be invited to individual meetings.</w:t>
      </w:r>
    </w:p>
    <w:p w14:paraId="264D948F" w14:textId="37F73CA3" w:rsidR="00340F4A" w:rsidRPr="00340F4A" w:rsidRDefault="00340F4A" w:rsidP="00D06576">
      <w:pPr>
        <w:pStyle w:val="SingleTxtG"/>
        <w:numPr>
          <w:ilvl w:val="0"/>
          <w:numId w:val="38"/>
        </w:numPr>
        <w:ind w:left="1134" w:firstLine="0"/>
      </w:pPr>
      <w:r w:rsidRPr="00340F4A">
        <w:t>It should also be noted that, as part of the process related to the CEDAW procedure concerning Poland, the Undersecretary of State at the Ministry of Foreign Affairs (MFA) also met on 31 May 2024 with non-governmental organisations working on women’s rights. The meeting at the MFA took place in a highly constructive atmosphere; the Ministry’s openness to dialogue, as well as the direction of the Government’s actions in the area of reproductive rights, were positively acknowledged.</w:t>
      </w:r>
    </w:p>
    <w:p w14:paraId="0F16A46A" w14:textId="257432C6" w:rsidR="00F52D57" w:rsidRPr="00340F4A" w:rsidRDefault="00340F4A" w:rsidP="00340F4A">
      <w:pPr>
        <w:pStyle w:val="SingleTxtG"/>
        <w:jc w:val="center"/>
        <w:rPr>
          <w:u w:val="single"/>
        </w:rPr>
      </w:pPr>
      <w:r>
        <w:rPr>
          <w:u w:val="single"/>
        </w:rPr>
        <w:tab/>
      </w:r>
      <w:r>
        <w:rPr>
          <w:u w:val="single"/>
        </w:rPr>
        <w:tab/>
      </w:r>
      <w:r>
        <w:rPr>
          <w:u w:val="single"/>
        </w:rPr>
        <w:tab/>
      </w:r>
    </w:p>
    <w:sectPr w:rsidR="00F52D57" w:rsidRPr="00340F4A">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55AC" w14:textId="77777777" w:rsidR="003A6AE2" w:rsidRDefault="003A6AE2">
      <w:pPr>
        <w:spacing w:line="240" w:lineRule="auto"/>
      </w:pPr>
    </w:p>
  </w:endnote>
  <w:endnote w:type="continuationSeparator" w:id="0">
    <w:p w14:paraId="0AF85602" w14:textId="77777777" w:rsidR="003A6AE2" w:rsidRDefault="003A6AE2">
      <w:pPr>
        <w:pStyle w:val="Footer"/>
      </w:pPr>
    </w:p>
  </w:endnote>
  <w:endnote w:type="continuationNotice" w:id="1">
    <w:p w14:paraId="7C41374F" w14:textId="77777777" w:rsidR="003A6AE2" w:rsidRDefault="003A6A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AB29D" w14:textId="77777777" w:rsidR="00F52D57" w:rsidRDefault="00BE744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E7B5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FC7D7" w14:textId="77777777" w:rsidR="00F52D57" w:rsidRDefault="0055439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B3944" w14:textId="77777777" w:rsidR="00F52D57" w:rsidRDefault="00BE7447">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280C57F8" wp14:editId="7C97983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C72E19" w14:paraId="59A7B8C5" w14:textId="77777777">
      <w:tc>
        <w:tcPr>
          <w:tcW w:w="1848" w:type="dxa"/>
          <w:vAlign w:val="bottom"/>
        </w:tcPr>
        <w:p w14:paraId="3340B56E" w14:textId="77777777" w:rsidR="00F52D57" w:rsidRDefault="00BE7447">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5EB65422" wp14:editId="13C68F5F">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47CFAA0" w14:textId="77777777" w:rsidR="00F52D57" w:rsidRDefault="00F52D57">
          <w:pPr>
            <w:kinsoku w:val="0"/>
            <w:overflowPunct w:val="0"/>
            <w:autoSpaceDE w:val="0"/>
            <w:autoSpaceDN w:val="0"/>
            <w:adjustRightInd w:val="0"/>
            <w:snapToGrid w:val="0"/>
            <w:spacing w:line="240" w:lineRule="auto"/>
            <w:jc w:val="right"/>
            <w:rPr>
              <w:rFonts w:eastAsiaTheme="minorHAnsi"/>
              <w:sz w:val="16"/>
              <w:lang w:val="fr-CH"/>
            </w:rPr>
          </w:pPr>
        </w:p>
      </w:tc>
    </w:tr>
  </w:tbl>
  <w:p w14:paraId="126845F2" w14:textId="77777777" w:rsidR="00F52D57" w:rsidRDefault="00F5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47B25" w14:textId="77777777" w:rsidR="003A6AE2" w:rsidRDefault="003A6AE2">
      <w:pPr>
        <w:pStyle w:val="Footer"/>
        <w:tabs>
          <w:tab w:val="right" w:pos="2155"/>
        </w:tabs>
        <w:spacing w:after="80" w:line="240" w:lineRule="atLeast"/>
        <w:ind w:left="680"/>
        <w:rPr>
          <w:u w:val="single"/>
        </w:rPr>
      </w:pPr>
      <w:r>
        <w:rPr>
          <w:u w:val="single"/>
        </w:rPr>
        <w:tab/>
      </w:r>
    </w:p>
  </w:footnote>
  <w:footnote w:type="continuationSeparator" w:id="0">
    <w:p w14:paraId="378FD78D" w14:textId="77777777" w:rsidR="003A6AE2" w:rsidRDefault="003A6AE2">
      <w:pPr>
        <w:pStyle w:val="Footer"/>
        <w:tabs>
          <w:tab w:val="right" w:pos="2155"/>
        </w:tabs>
        <w:spacing w:after="80" w:line="240" w:lineRule="atLeast"/>
        <w:ind w:left="680"/>
        <w:rPr>
          <w:u w:val="single"/>
        </w:rPr>
      </w:pPr>
      <w:r>
        <w:rPr>
          <w:u w:val="single"/>
        </w:rPr>
        <w:tab/>
      </w:r>
    </w:p>
  </w:footnote>
  <w:footnote w:type="continuationNotice" w:id="1">
    <w:p w14:paraId="3CFAEDFC" w14:textId="77777777" w:rsidR="003A6AE2" w:rsidRDefault="003A6AE2">
      <w:pPr>
        <w:spacing w:line="240" w:lineRule="auto"/>
        <w:rPr>
          <w:sz w:val="2"/>
          <w:szCs w:val="2"/>
        </w:rPr>
      </w:pPr>
    </w:p>
  </w:footnote>
  <w:footnote w:id="2">
    <w:p w14:paraId="4376DC05" w14:textId="77777777" w:rsidR="00122E49" w:rsidRPr="00813A40" w:rsidRDefault="00BE7447" w:rsidP="00122E49">
      <w:pPr>
        <w:pStyle w:val="FootnoteText"/>
        <w:rPr>
          <w:lang w:val="en-US"/>
        </w:rPr>
      </w:pPr>
      <w:r w:rsidRPr="00122E49">
        <w:rPr>
          <w:rStyle w:val="FootnoteReference"/>
          <w:sz w:val="20"/>
          <w:vertAlign w:val="baseline"/>
        </w:rPr>
        <w:tab/>
        <w:t>*</w:t>
      </w:r>
      <w:r>
        <w:tab/>
      </w:r>
      <w:r w:rsidRPr="00850B4A">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D5CB3" w14:textId="77777777" w:rsidR="00F52D57" w:rsidRDefault="00554397">
    <w:pPr>
      <w:pStyle w:val="Header"/>
    </w:pPr>
    <w:r>
      <w:t>CEDAW/C/POL/FIR/1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B31CF" w14:textId="77777777" w:rsidR="00F52D57" w:rsidRDefault="00554397">
    <w:pPr>
      <w:pStyle w:val="Header"/>
      <w:jc w:val="right"/>
    </w:pPr>
    <w:r>
      <w:t>CEDAW/C/POL/FIR/1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3B0E2B"/>
    <w:multiLevelType w:val="hybridMultilevel"/>
    <w:tmpl w:val="2B4A20F4"/>
    <w:lvl w:ilvl="0" w:tplc="E17CCC10">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1" w15:restartNumberingAfterBreak="0">
    <w:nsid w:val="0D954887"/>
    <w:multiLevelType w:val="hybridMultilevel"/>
    <w:tmpl w:val="2B362816"/>
    <w:lvl w:ilvl="0" w:tplc="6024C25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9B439B0" w:tentative="1">
      <w:start w:val="1"/>
      <w:numFmt w:val="lowerLetter"/>
      <w:lvlText w:val="%2."/>
      <w:lvlJc w:val="left"/>
      <w:pPr>
        <w:tabs>
          <w:tab w:val="num" w:pos="1440"/>
        </w:tabs>
        <w:ind w:left="1440" w:hanging="360"/>
      </w:pPr>
    </w:lvl>
    <w:lvl w:ilvl="2" w:tplc="8F624B3E" w:tentative="1">
      <w:start w:val="1"/>
      <w:numFmt w:val="lowerRoman"/>
      <w:lvlText w:val="%3."/>
      <w:lvlJc w:val="right"/>
      <w:pPr>
        <w:tabs>
          <w:tab w:val="num" w:pos="2160"/>
        </w:tabs>
        <w:ind w:left="2160" w:hanging="180"/>
      </w:pPr>
    </w:lvl>
    <w:lvl w:ilvl="3" w:tplc="21C26918" w:tentative="1">
      <w:start w:val="1"/>
      <w:numFmt w:val="decimal"/>
      <w:lvlText w:val="%4."/>
      <w:lvlJc w:val="left"/>
      <w:pPr>
        <w:tabs>
          <w:tab w:val="num" w:pos="2880"/>
        </w:tabs>
        <w:ind w:left="2880" w:hanging="360"/>
      </w:pPr>
    </w:lvl>
    <w:lvl w:ilvl="4" w:tplc="20D4DC5E" w:tentative="1">
      <w:start w:val="1"/>
      <w:numFmt w:val="lowerLetter"/>
      <w:lvlText w:val="%5."/>
      <w:lvlJc w:val="left"/>
      <w:pPr>
        <w:tabs>
          <w:tab w:val="num" w:pos="3600"/>
        </w:tabs>
        <w:ind w:left="3600" w:hanging="360"/>
      </w:pPr>
    </w:lvl>
    <w:lvl w:ilvl="5" w:tplc="A668665C" w:tentative="1">
      <w:start w:val="1"/>
      <w:numFmt w:val="lowerRoman"/>
      <w:lvlText w:val="%6."/>
      <w:lvlJc w:val="right"/>
      <w:pPr>
        <w:tabs>
          <w:tab w:val="num" w:pos="4320"/>
        </w:tabs>
        <w:ind w:left="4320" w:hanging="180"/>
      </w:pPr>
    </w:lvl>
    <w:lvl w:ilvl="6" w:tplc="4F689AB2" w:tentative="1">
      <w:start w:val="1"/>
      <w:numFmt w:val="decimal"/>
      <w:lvlText w:val="%7."/>
      <w:lvlJc w:val="left"/>
      <w:pPr>
        <w:tabs>
          <w:tab w:val="num" w:pos="5040"/>
        </w:tabs>
        <w:ind w:left="5040" w:hanging="360"/>
      </w:pPr>
    </w:lvl>
    <w:lvl w:ilvl="7" w:tplc="380207DC" w:tentative="1">
      <w:start w:val="1"/>
      <w:numFmt w:val="lowerLetter"/>
      <w:lvlText w:val="%8."/>
      <w:lvlJc w:val="left"/>
      <w:pPr>
        <w:tabs>
          <w:tab w:val="num" w:pos="5760"/>
        </w:tabs>
        <w:ind w:left="5760" w:hanging="360"/>
      </w:pPr>
    </w:lvl>
    <w:lvl w:ilvl="8" w:tplc="EB5E124E" w:tentative="1">
      <w:start w:val="1"/>
      <w:numFmt w:val="lowerRoman"/>
      <w:lvlText w:val="%9."/>
      <w:lvlJc w:val="right"/>
      <w:pPr>
        <w:tabs>
          <w:tab w:val="num" w:pos="6480"/>
        </w:tabs>
        <w:ind w:left="6480" w:hanging="180"/>
      </w:pPr>
    </w:lvl>
  </w:abstractNum>
  <w:abstractNum w:abstractNumId="12" w15:restartNumberingAfterBreak="0">
    <w:nsid w:val="18D84CDE"/>
    <w:multiLevelType w:val="multilevel"/>
    <w:tmpl w:val="D6EE2118"/>
    <w:lvl w:ilvl="0">
      <w:start w:val="1"/>
      <w:numFmt w:val="bullet"/>
      <w:lvlText w:val=""/>
      <w:lvlJc w:val="left"/>
      <w:pPr>
        <w:tabs>
          <w:tab w:val="num" w:pos="2355"/>
        </w:tabs>
        <w:ind w:left="2355" w:hanging="360"/>
      </w:pPr>
      <w:rPr>
        <w:rFonts w:ascii="Wingdings" w:hAnsi="Wingdings" w:hint="default"/>
        <w:sz w:val="20"/>
      </w:rPr>
    </w:lvl>
    <w:lvl w:ilvl="1" w:tentative="1">
      <w:start w:val="1"/>
      <w:numFmt w:val="bullet"/>
      <w:lvlText w:val="o"/>
      <w:lvlJc w:val="left"/>
      <w:pPr>
        <w:tabs>
          <w:tab w:val="num" w:pos="3075"/>
        </w:tabs>
        <w:ind w:left="3075" w:hanging="360"/>
      </w:pPr>
      <w:rPr>
        <w:rFonts w:ascii="Courier New" w:hAnsi="Courier New" w:hint="default"/>
        <w:sz w:val="20"/>
      </w:rPr>
    </w:lvl>
    <w:lvl w:ilvl="2" w:tentative="1">
      <w:start w:val="1"/>
      <w:numFmt w:val="bullet"/>
      <w:lvlText w:val=""/>
      <w:lvlJc w:val="left"/>
      <w:pPr>
        <w:tabs>
          <w:tab w:val="num" w:pos="3795"/>
        </w:tabs>
        <w:ind w:left="3795" w:hanging="360"/>
      </w:pPr>
      <w:rPr>
        <w:rFonts w:ascii="Wingdings" w:hAnsi="Wingdings" w:hint="default"/>
        <w:sz w:val="20"/>
      </w:rPr>
    </w:lvl>
    <w:lvl w:ilvl="3" w:tentative="1">
      <w:start w:val="1"/>
      <w:numFmt w:val="bullet"/>
      <w:lvlText w:val=""/>
      <w:lvlJc w:val="left"/>
      <w:pPr>
        <w:tabs>
          <w:tab w:val="num" w:pos="4515"/>
        </w:tabs>
        <w:ind w:left="4515" w:hanging="360"/>
      </w:pPr>
      <w:rPr>
        <w:rFonts w:ascii="Wingdings" w:hAnsi="Wingdings" w:hint="default"/>
        <w:sz w:val="20"/>
      </w:rPr>
    </w:lvl>
    <w:lvl w:ilvl="4" w:tentative="1">
      <w:start w:val="1"/>
      <w:numFmt w:val="bullet"/>
      <w:lvlText w:val=""/>
      <w:lvlJc w:val="left"/>
      <w:pPr>
        <w:tabs>
          <w:tab w:val="num" w:pos="5235"/>
        </w:tabs>
        <w:ind w:left="5235" w:hanging="360"/>
      </w:pPr>
      <w:rPr>
        <w:rFonts w:ascii="Wingdings" w:hAnsi="Wingdings" w:hint="default"/>
        <w:sz w:val="20"/>
      </w:rPr>
    </w:lvl>
    <w:lvl w:ilvl="5" w:tentative="1">
      <w:start w:val="1"/>
      <w:numFmt w:val="bullet"/>
      <w:lvlText w:val=""/>
      <w:lvlJc w:val="left"/>
      <w:pPr>
        <w:tabs>
          <w:tab w:val="num" w:pos="5955"/>
        </w:tabs>
        <w:ind w:left="5955" w:hanging="360"/>
      </w:pPr>
      <w:rPr>
        <w:rFonts w:ascii="Wingdings" w:hAnsi="Wingdings" w:hint="default"/>
        <w:sz w:val="20"/>
      </w:rPr>
    </w:lvl>
    <w:lvl w:ilvl="6" w:tentative="1">
      <w:start w:val="1"/>
      <w:numFmt w:val="bullet"/>
      <w:lvlText w:val=""/>
      <w:lvlJc w:val="left"/>
      <w:pPr>
        <w:tabs>
          <w:tab w:val="num" w:pos="6675"/>
        </w:tabs>
        <w:ind w:left="6675" w:hanging="360"/>
      </w:pPr>
      <w:rPr>
        <w:rFonts w:ascii="Wingdings" w:hAnsi="Wingdings" w:hint="default"/>
        <w:sz w:val="20"/>
      </w:rPr>
    </w:lvl>
    <w:lvl w:ilvl="7" w:tentative="1">
      <w:start w:val="1"/>
      <w:numFmt w:val="bullet"/>
      <w:lvlText w:val=""/>
      <w:lvlJc w:val="left"/>
      <w:pPr>
        <w:tabs>
          <w:tab w:val="num" w:pos="7395"/>
        </w:tabs>
        <w:ind w:left="7395" w:hanging="360"/>
      </w:pPr>
      <w:rPr>
        <w:rFonts w:ascii="Wingdings" w:hAnsi="Wingdings" w:hint="default"/>
        <w:sz w:val="20"/>
      </w:rPr>
    </w:lvl>
    <w:lvl w:ilvl="8" w:tentative="1">
      <w:start w:val="1"/>
      <w:numFmt w:val="bullet"/>
      <w:lvlText w:val=""/>
      <w:lvlJc w:val="left"/>
      <w:pPr>
        <w:tabs>
          <w:tab w:val="num" w:pos="8115"/>
        </w:tabs>
        <w:ind w:left="8115" w:hanging="360"/>
      </w:pPr>
      <w:rPr>
        <w:rFonts w:ascii="Wingdings" w:hAnsi="Wingdings" w:hint="default"/>
        <w:sz w:val="20"/>
      </w:rPr>
    </w:lvl>
  </w:abstractNum>
  <w:abstractNum w:abstractNumId="13" w15:restartNumberingAfterBreak="0">
    <w:nsid w:val="1D127B21"/>
    <w:multiLevelType w:val="hybridMultilevel"/>
    <w:tmpl w:val="86CEF2A4"/>
    <w:lvl w:ilvl="0" w:tplc="02BEAEB0">
      <w:start w:val="1"/>
      <w:numFmt w:val="lowerRoman"/>
      <w:lvlText w:val="%1."/>
      <w:lvlJc w:val="right"/>
      <w:pPr>
        <w:ind w:left="1995" w:hanging="360"/>
      </w:pPr>
      <w:rPr>
        <w:i w:val="0"/>
        <w:iCs w:val="0"/>
      </w:r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14" w15:restartNumberingAfterBreak="0">
    <w:nsid w:val="25001D60"/>
    <w:multiLevelType w:val="hybridMultilevel"/>
    <w:tmpl w:val="5C44241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54203A0"/>
    <w:multiLevelType w:val="hybridMultilevel"/>
    <w:tmpl w:val="FFAC1384"/>
    <w:lvl w:ilvl="0" w:tplc="F1223D0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522CF9"/>
    <w:multiLevelType w:val="hybridMultilevel"/>
    <w:tmpl w:val="27A67260"/>
    <w:lvl w:ilvl="0" w:tplc="0415001B">
      <w:start w:val="1"/>
      <w:numFmt w:val="lowerRoman"/>
      <w:lvlText w:val="%1."/>
      <w:lvlJc w:val="right"/>
      <w:pPr>
        <w:ind w:left="1995" w:hanging="360"/>
      </w:pPr>
    </w:lvl>
    <w:lvl w:ilvl="1" w:tplc="04150019" w:tentative="1">
      <w:start w:val="1"/>
      <w:numFmt w:val="lowerLetter"/>
      <w:lvlText w:val="%2."/>
      <w:lvlJc w:val="left"/>
      <w:pPr>
        <w:ind w:left="2715" w:hanging="360"/>
      </w:pPr>
    </w:lvl>
    <w:lvl w:ilvl="2" w:tplc="0415001B" w:tentative="1">
      <w:start w:val="1"/>
      <w:numFmt w:val="lowerRoman"/>
      <w:lvlText w:val="%3."/>
      <w:lvlJc w:val="right"/>
      <w:pPr>
        <w:ind w:left="3435" w:hanging="180"/>
      </w:pPr>
    </w:lvl>
    <w:lvl w:ilvl="3" w:tplc="0415000F" w:tentative="1">
      <w:start w:val="1"/>
      <w:numFmt w:val="decimal"/>
      <w:lvlText w:val="%4."/>
      <w:lvlJc w:val="left"/>
      <w:pPr>
        <w:ind w:left="4155" w:hanging="360"/>
      </w:pPr>
    </w:lvl>
    <w:lvl w:ilvl="4" w:tplc="04150019" w:tentative="1">
      <w:start w:val="1"/>
      <w:numFmt w:val="lowerLetter"/>
      <w:lvlText w:val="%5."/>
      <w:lvlJc w:val="left"/>
      <w:pPr>
        <w:ind w:left="4875" w:hanging="360"/>
      </w:pPr>
    </w:lvl>
    <w:lvl w:ilvl="5" w:tplc="0415001B" w:tentative="1">
      <w:start w:val="1"/>
      <w:numFmt w:val="lowerRoman"/>
      <w:lvlText w:val="%6."/>
      <w:lvlJc w:val="right"/>
      <w:pPr>
        <w:ind w:left="5595" w:hanging="180"/>
      </w:pPr>
    </w:lvl>
    <w:lvl w:ilvl="6" w:tplc="0415000F" w:tentative="1">
      <w:start w:val="1"/>
      <w:numFmt w:val="decimal"/>
      <w:lvlText w:val="%7."/>
      <w:lvlJc w:val="left"/>
      <w:pPr>
        <w:ind w:left="6315" w:hanging="360"/>
      </w:pPr>
    </w:lvl>
    <w:lvl w:ilvl="7" w:tplc="04150019" w:tentative="1">
      <w:start w:val="1"/>
      <w:numFmt w:val="lowerLetter"/>
      <w:lvlText w:val="%8."/>
      <w:lvlJc w:val="left"/>
      <w:pPr>
        <w:ind w:left="7035" w:hanging="360"/>
      </w:pPr>
    </w:lvl>
    <w:lvl w:ilvl="8" w:tplc="0415001B" w:tentative="1">
      <w:start w:val="1"/>
      <w:numFmt w:val="lowerRoman"/>
      <w:lvlText w:val="%9."/>
      <w:lvlJc w:val="right"/>
      <w:pPr>
        <w:ind w:left="7755" w:hanging="180"/>
      </w:pPr>
    </w:lvl>
  </w:abstractNum>
  <w:abstractNum w:abstractNumId="17" w15:restartNumberingAfterBreak="0">
    <w:nsid w:val="2CD11339"/>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18" w15:restartNumberingAfterBreak="0">
    <w:nsid w:val="2DF37EBB"/>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19" w15:restartNumberingAfterBreak="0">
    <w:nsid w:val="308F0CBD"/>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20" w15:restartNumberingAfterBreak="0">
    <w:nsid w:val="31856582"/>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21" w15:restartNumberingAfterBreak="0">
    <w:nsid w:val="32E36375"/>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22" w15:restartNumberingAfterBreak="0">
    <w:nsid w:val="36C73D6C"/>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23" w15:restartNumberingAfterBreak="0">
    <w:nsid w:val="3ACF4EB2"/>
    <w:multiLevelType w:val="hybridMultilevel"/>
    <w:tmpl w:val="CB6C816A"/>
    <w:lvl w:ilvl="0" w:tplc="FAF670D6">
      <w:start w:val="1"/>
      <w:numFmt w:val="bullet"/>
      <w:pStyle w:val="Bullet2G"/>
      <w:lvlText w:val="•"/>
      <w:lvlJc w:val="left"/>
      <w:pPr>
        <w:tabs>
          <w:tab w:val="num" w:pos="2268"/>
        </w:tabs>
        <w:ind w:left="2268" w:hanging="170"/>
      </w:pPr>
      <w:rPr>
        <w:rFonts w:ascii="Times New Roman" w:hAnsi="Times New Roman" w:cs="Times New Roman" w:hint="default"/>
      </w:rPr>
    </w:lvl>
    <w:lvl w:ilvl="1" w:tplc="403EF3EE" w:tentative="1">
      <w:start w:val="1"/>
      <w:numFmt w:val="bullet"/>
      <w:lvlText w:val="o"/>
      <w:lvlJc w:val="left"/>
      <w:pPr>
        <w:tabs>
          <w:tab w:val="num" w:pos="3708"/>
        </w:tabs>
        <w:ind w:left="3708" w:hanging="360"/>
      </w:pPr>
      <w:rPr>
        <w:rFonts w:ascii="Courier New" w:hAnsi="Courier New" w:hint="default"/>
      </w:rPr>
    </w:lvl>
    <w:lvl w:ilvl="2" w:tplc="BA168D56" w:tentative="1">
      <w:start w:val="1"/>
      <w:numFmt w:val="bullet"/>
      <w:lvlText w:val=""/>
      <w:lvlJc w:val="left"/>
      <w:pPr>
        <w:tabs>
          <w:tab w:val="num" w:pos="4428"/>
        </w:tabs>
        <w:ind w:left="4428" w:hanging="360"/>
      </w:pPr>
      <w:rPr>
        <w:rFonts w:ascii="Wingdings" w:hAnsi="Wingdings" w:hint="default"/>
      </w:rPr>
    </w:lvl>
    <w:lvl w:ilvl="3" w:tplc="930EFDF8" w:tentative="1">
      <w:start w:val="1"/>
      <w:numFmt w:val="bullet"/>
      <w:lvlText w:val=""/>
      <w:lvlJc w:val="left"/>
      <w:pPr>
        <w:tabs>
          <w:tab w:val="num" w:pos="5148"/>
        </w:tabs>
        <w:ind w:left="5148" w:hanging="360"/>
      </w:pPr>
      <w:rPr>
        <w:rFonts w:ascii="Symbol" w:hAnsi="Symbol" w:hint="default"/>
      </w:rPr>
    </w:lvl>
    <w:lvl w:ilvl="4" w:tplc="CBE6DE02" w:tentative="1">
      <w:start w:val="1"/>
      <w:numFmt w:val="bullet"/>
      <w:lvlText w:val="o"/>
      <w:lvlJc w:val="left"/>
      <w:pPr>
        <w:tabs>
          <w:tab w:val="num" w:pos="5868"/>
        </w:tabs>
        <w:ind w:left="5868" w:hanging="360"/>
      </w:pPr>
      <w:rPr>
        <w:rFonts w:ascii="Courier New" w:hAnsi="Courier New" w:hint="default"/>
      </w:rPr>
    </w:lvl>
    <w:lvl w:ilvl="5" w:tplc="7852801C" w:tentative="1">
      <w:start w:val="1"/>
      <w:numFmt w:val="bullet"/>
      <w:lvlText w:val=""/>
      <w:lvlJc w:val="left"/>
      <w:pPr>
        <w:tabs>
          <w:tab w:val="num" w:pos="6588"/>
        </w:tabs>
        <w:ind w:left="6588" w:hanging="360"/>
      </w:pPr>
      <w:rPr>
        <w:rFonts w:ascii="Wingdings" w:hAnsi="Wingdings" w:hint="default"/>
      </w:rPr>
    </w:lvl>
    <w:lvl w:ilvl="6" w:tplc="2CAC35B4" w:tentative="1">
      <w:start w:val="1"/>
      <w:numFmt w:val="bullet"/>
      <w:lvlText w:val=""/>
      <w:lvlJc w:val="left"/>
      <w:pPr>
        <w:tabs>
          <w:tab w:val="num" w:pos="7308"/>
        </w:tabs>
        <w:ind w:left="7308" w:hanging="360"/>
      </w:pPr>
      <w:rPr>
        <w:rFonts w:ascii="Symbol" w:hAnsi="Symbol" w:hint="default"/>
      </w:rPr>
    </w:lvl>
    <w:lvl w:ilvl="7" w:tplc="85824992" w:tentative="1">
      <w:start w:val="1"/>
      <w:numFmt w:val="bullet"/>
      <w:lvlText w:val="o"/>
      <w:lvlJc w:val="left"/>
      <w:pPr>
        <w:tabs>
          <w:tab w:val="num" w:pos="8028"/>
        </w:tabs>
        <w:ind w:left="8028" w:hanging="360"/>
      </w:pPr>
      <w:rPr>
        <w:rFonts w:ascii="Courier New" w:hAnsi="Courier New" w:hint="default"/>
      </w:rPr>
    </w:lvl>
    <w:lvl w:ilvl="8" w:tplc="E59C433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DB574A"/>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26" w15:restartNumberingAfterBreak="0">
    <w:nsid w:val="54EF1AC9"/>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abstractNum w:abstractNumId="27" w15:restartNumberingAfterBreak="0">
    <w:nsid w:val="5BA7667D"/>
    <w:multiLevelType w:val="hybridMultilevel"/>
    <w:tmpl w:val="2C3EA70C"/>
    <w:lvl w:ilvl="0" w:tplc="F1223D0E">
      <w:start w:val="1"/>
      <w:numFmt w:val="upperRoman"/>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BE66AB"/>
    <w:multiLevelType w:val="hybridMultilevel"/>
    <w:tmpl w:val="0166036C"/>
    <w:lvl w:ilvl="0" w:tplc="2000000F">
      <w:start w:val="1"/>
      <w:numFmt w:val="decimal"/>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AD07B2"/>
    <w:multiLevelType w:val="hybridMultilevel"/>
    <w:tmpl w:val="7FEE3222"/>
    <w:lvl w:ilvl="0" w:tplc="350A1960">
      <w:start w:val="1"/>
      <w:numFmt w:val="bullet"/>
      <w:pStyle w:val="Bullet1G"/>
      <w:lvlText w:val="•"/>
      <w:lvlJc w:val="left"/>
      <w:pPr>
        <w:tabs>
          <w:tab w:val="num" w:pos="1701"/>
        </w:tabs>
        <w:ind w:left="1701" w:hanging="170"/>
      </w:pPr>
      <w:rPr>
        <w:rFonts w:ascii="Times New Roman" w:hAnsi="Times New Roman" w:cs="Times New Roman" w:hint="default"/>
      </w:rPr>
    </w:lvl>
    <w:lvl w:ilvl="1" w:tplc="BEE4DD60" w:tentative="1">
      <w:start w:val="1"/>
      <w:numFmt w:val="bullet"/>
      <w:lvlText w:val="o"/>
      <w:lvlJc w:val="left"/>
      <w:pPr>
        <w:tabs>
          <w:tab w:val="num" w:pos="3141"/>
        </w:tabs>
        <w:ind w:left="3141" w:hanging="360"/>
      </w:pPr>
      <w:rPr>
        <w:rFonts w:ascii="Courier New" w:hAnsi="Courier New" w:hint="default"/>
      </w:rPr>
    </w:lvl>
    <w:lvl w:ilvl="2" w:tplc="61F8ED40" w:tentative="1">
      <w:start w:val="1"/>
      <w:numFmt w:val="bullet"/>
      <w:lvlText w:val=""/>
      <w:lvlJc w:val="left"/>
      <w:pPr>
        <w:tabs>
          <w:tab w:val="num" w:pos="3861"/>
        </w:tabs>
        <w:ind w:left="3861" w:hanging="360"/>
      </w:pPr>
      <w:rPr>
        <w:rFonts w:ascii="Wingdings" w:hAnsi="Wingdings" w:hint="default"/>
      </w:rPr>
    </w:lvl>
    <w:lvl w:ilvl="3" w:tplc="3946C662" w:tentative="1">
      <w:start w:val="1"/>
      <w:numFmt w:val="bullet"/>
      <w:lvlText w:val=""/>
      <w:lvlJc w:val="left"/>
      <w:pPr>
        <w:tabs>
          <w:tab w:val="num" w:pos="4581"/>
        </w:tabs>
        <w:ind w:left="4581" w:hanging="360"/>
      </w:pPr>
      <w:rPr>
        <w:rFonts w:ascii="Symbol" w:hAnsi="Symbol" w:hint="default"/>
      </w:rPr>
    </w:lvl>
    <w:lvl w:ilvl="4" w:tplc="2CDEAE64" w:tentative="1">
      <w:start w:val="1"/>
      <w:numFmt w:val="bullet"/>
      <w:lvlText w:val="o"/>
      <w:lvlJc w:val="left"/>
      <w:pPr>
        <w:tabs>
          <w:tab w:val="num" w:pos="5301"/>
        </w:tabs>
        <w:ind w:left="5301" w:hanging="360"/>
      </w:pPr>
      <w:rPr>
        <w:rFonts w:ascii="Courier New" w:hAnsi="Courier New" w:hint="default"/>
      </w:rPr>
    </w:lvl>
    <w:lvl w:ilvl="5" w:tplc="9E4088C4" w:tentative="1">
      <w:start w:val="1"/>
      <w:numFmt w:val="bullet"/>
      <w:lvlText w:val=""/>
      <w:lvlJc w:val="left"/>
      <w:pPr>
        <w:tabs>
          <w:tab w:val="num" w:pos="6021"/>
        </w:tabs>
        <w:ind w:left="6021" w:hanging="360"/>
      </w:pPr>
      <w:rPr>
        <w:rFonts w:ascii="Wingdings" w:hAnsi="Wingdings" w:hint="default"/>
      </w:rPr>
    </w:lvl>
    <w:lvl w:ilvl="6" w:tplc="582E739A" w:tentative="1">
      <w:start w:val="1"/>
      <w:numFmt w:val="bullet"/>
      <w:lvlText w:val=""/>
      <w:lvlJc w:val="left"/>
      <w:pPr>
        <w:tabs>
          <w:tab w:val="num" w:pos="6741"/>
        </w:tabs>
        <w:ind w:left="6741" w:hanging="360"/>
      </w:pPr>
      <w:rPr>
        <w:rFonts w:ascii="Symbol" w:hAnsi="Symbol" w:hint="default"/>
      </w:rPr>
    </w:lvl>
    <w:lvl w:ilvl="7" w:tplc="73783584" w:tentative="1">
      <w:start w:val="1"/>
      <w:numFmt w:val="bullet"/>
      <w:lvlText w:val="o"/>
      <w:lvlJc w:val="left"/>
      <w:pPr>
        <w:tabs>
          <w:tab w:val="num" w:pos="7461"/>
        </w:tabs>
        <w:ind w:left="7461" w:hanging="360"/>
      </w:pPr>
      <w:rPr>
        <w:rFonts w:ascii="Courier New" w:hAnsi="Courier New" w:hint="default"/>
      </w:rPr>
    </w:lvl>
    <w:lvl w:ilvl="8" w:tplc="67C2191E"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75FD4993"/>
    <w:multiLevelType w:val="multilevel"/>
    <w:tmpl w:val="15B2B7E2"/>
    <w:lvl w:ilvl="0">
      <w:start w:val="1"/>
      <w:numFmt w:val="lowerRoman"/>
      <w:lvlText w:val="%1."/>
      <w:lvlJc w:val="right"/>
      <w:pPr>
        <w:tabs>
          <w:tab w:val="num" w:pos="1428"/>
        </w:tabs>
        <w:ind w:left="1428" w:hanging="360"/>
      </w:pPr>
      <w:rPr>
        <w:rFonts w:hint="default"/>
        <w:sz w:val="20"/>
      </w:rPr>
    </w:lvl>
    <w:lvl w:ilvl="1">
      <w:start w:val="1"/>
      <w:numFmt w:val="bullet"/>
      <w:lvlText w:val=""/>
      <w:lvlJc w:val="left"/>
      <w:pPr>
        <w:ind w:left="2148" w:hanging="360"/>
      </w:pPr>
      <w:rPr>
        <w:rFonts w:ascii="Wingdings" w:hAnsi="Wingdings" w:hint="default"/>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606606"/>
    <w:multiLevelType w:val="hybridMultilevel"/>
    <w:tmpl w:val="27A67260"/>
    <w:lvl w:ilvl="0" w:tplc="FFFFFFFF">
      <w:start w:val="1"/>
      <w:numFmt w:val="lowerRoman"/>
      <w:lvlText w:val="%1."/>
      <w:lvlJc w:val="right"/>
      <w:pPr>
        <w:ind w:left="1995" w:hanging="360"/>
      </w:pPr>
    </w:lvl>
    <w:lvl w:ilvl="1" w:tplc="FFFFFFFF" w:tentative="1">
      <w:start w:val="1"/>
      <w:numFmt w:val="lowerLetter"/>
      <w:lvlText w:val="%2."/>
      <w:lvlJc w:val="left"/>
      <w:pPr>
        <w:ind w:left="2715" w:hanging="360"/>
      </w:pPr>
    </w:lvl>
    <w:lvl w:ilvl="2" w:tplc="FFFFFFFF" w:tentative="1">
      <w:start w:val="1"/>
      <w:numFmt w:val="lowerRoman"/>
      <w:lvlText w:val="%3."/>
      <w:lvlJc w:val="right"/>
      <w:pPr>
        <w:ind w:left="3435" w:hanging="180"/>
      </w:pPr>
    </w:lvl>
    <w:lvl w:ilvl="3" w:tplc="FFFFFFFF" w:tentative="1">
      <w:start w:val="1"/>
      <w:numFmt w:val="decimal"/>
      <w:lvlText w:val="%4."/>
      <w:lvlJc w:val="left"/>
      <w:pPr>
        <w:ind w:left="4155" w:hanging="360"/>
      </w:pPr>
    </w:lvl>
    <w:lvl w:ilvl="4" w:tplc="FFFFFFFF" w:tentative="1">
      <w:start w:val="1"/>
      <w:numFmt w:val="lowerLetter"/>
      <w:lvlText w:val="%5."/>
      <w:lvlJc w:val="left"/>
      <w:pPr>
        <w:ind w:left="4875" w:hanging="360"/>
      </w:pPr>
    </w:lvl>
    <w:lvl w:ilvl="5" w:tplc="FFFFFFFF" w:tentative="1">
      <w:start w:val="1"/>
      <w:numFmt w:val="lowerRoman"/>
      <w:lvlText w:val="%6."/>
      <w:lvlJc w:val="right"/>
      <w:pPr>
        <w:ind w:left="5595" w:hanging="180"/>
      </w:pPr>
    </w:lvl>
    <w:lvl w:ilvl="6" w:tplc="FFFFFFFF" w:tentative="1">
      <w:start w:val="1"/>
      <w:numFmt w:val="decimal"/>
      <w:lvlText w:val="%7."/>
      <w:lvlJc w:val="left"/>
      <w:pPr>
        <w:ind w:left="6315" w:hanging="360"/>
      </w:pPr>
    </w:lvl>
    <w:lvl w:ilvl="7" w:tplc="FFFFFFFF" w:tentative="1">
      <w:start w:val="1"/>
      <w:numFmt w:val="lowerLetter"/>
      <w:lvlText w:val="%8."/>
      <w:lvlJc w:val="left"/>
      <w:pPr>
        <w:ind w:left="7035" w:hanging="360"/>
      </w:pPr>
    </w:lvl>
    <w:lvl w:ilvl="8" w:tplc="FFFFFFFF" w:tentative="1">
      <w:start w:val="1"/>
      <w:numFmt w:val="lowerRoman"/>
      <w:lvlText w:val="%9."/>
      <w:lvlJc w:val="right"/>
      <w:pPr>
        <w:ind w:left="7755" w:hanging="180"/>
      </w:pPr>
    </w:lvl>
  </w:abstractNum>
  <w:num w:numId="1" w16cid:durableId="91441918">
    <w:abstractNumId w:val="31"/>
  </w:num>
  <w:num w:numId="2" w16cid:durableId="495876663">
    <w:abstractNumId w:val="23"/>
  </w:num>
  <w:num w:numId="3" w16cid:durableId="526480203">
    <w:abstractNumId w:val="11"/>
  </w:num>
  <w:num w:numId="4" w16cid:durableId="67921756">
    <w:abstractNumId w:val="8"/>
  </w:num>
  <w:num w:numId="5" w16cid:durableId="10230303">
    <w:abstractNumId w:val="3"/>
  </w:num>
  <w:num w:numId="6" w16cid:durableId="295643173">
    <w:abstractNumId w:val="2"/>
  </w:num>
  <w:num w:numId="7" w16cid:durableId="1515924596">
    <w:abstractNumId w:val="1"/>
  </w:num>
  <w:num w:numId="8" w16cid:durableId="1211067893">
    <w:abstractNumId w:val="0"/>
  </w:num>
  <w:num w:numId="9" w16cid:durableId="896355553">
    <w:abstractNumId w:val="9"/>
  </w:num>
  <w:num w:numId="10" w16cid:durableId="1913268939">
    <w:abstractNumId w:val="7"/>
  </w:num>
  <w:num w:numId="11" w16cid:durableId="952326953">
    <w:abstractNumId w:val="6"/>
  </w:num>
  <w:num w:numId="12" w16cid:durableId="2076776734">
    <w:abstractNumId w:val="5"/>
  </w:num>
  <w:num w:numId="13" w16cid:durableId="128666684">
    <w:abstractNumId w:val="4"/>
  </w:num>
  <w:num w:numId="14" w16cid:durableId="1104417533">
    <w:abstractNumId w:val="31"/>
  </w:num>
  <w:num w:numId="15" w16cid:durableId="736518164">
    <w:abstractNumId w:val="23"/>
  </w:num>
  <w:num w:numId="16" w16cid:durableId="1116756262">
    <w:abstractNumId w:val="11"/>
  </w:num>
  <w:num w:numId="17" w16cid:durableId="2061711912">
    <w:abstractNumId w:val="24"/>
  </w:num>
  <w:num w:numId="18" w16cid:durableId="606544731">
    <w:abstractNumId w:val="30"/>
  </w:num>
  <w:num w:numId="19" w16cid:durableId="995063201">
    <w:abstractNumId w:val="28"/>
  </w:num>
  <w:num w:numId="20" w16cid:durableId="437867895">
    <w:abstractNumId w:val="33"/>
  </w:num>
  <w:num w:numId="21" w16cid:durableId="1694069954">
    <w:abstractNumId w:val="15"/>
  </w:num>
  <w:num w:numId="22" w16cid:durableId="971908913">
    <w:abstractNumId w:val="16"/>
  </w:num>
  <w:num w:numId="23" w16cid:durableId="623462792">
    <w:abstractNumId w:val="32"/>
  </w:num>
  <w:num w:numId="24" w16cid:durableId="2028409039">
    <w:abstractNumId w:val="13"/>
  </w:num>
  <w:num w:numId="25" w16cid:durableId="2006125750">
    <w:abstractNumId w:val="20"/>
  </w:num>
  <w:num w:numId="26" w16cid:durableId="439419073">
    <w:abstractNumId w:val="22"/>
  </w:num>
  <w:num w:numId="27" w16cid:durableId="1338729790">
    <w:abstractNumId w:val="21"/>
  </w:num>
  <w:num w:numId="28" w16cid:durableId="1752698038">
    <w:abstractNumId w:val="12"/>
  </w:num>
  <w:num w:numId="29" w16cid:durableId="1455904459">
    <w:abstractNumId w:val="26"/>
  </w:num>
  <w:num w:numId="30" w16cid:durableId="1826625154">
    <w:abstractNumId w:val="19"/>
  </w:num>
  <w:num w:numId="31" w16cid:durableId="600182472">
    <w:abstractNumId w:val="17"/>
  </w:num>
  <w:num w:numId="32" w16cid:durableId="195393687">
    <w:abstractNumId w:val="25"/>
  </w:num>
  <w:num w:numId="33" w16cid:durableId="1170172318">
    <w:abstractNumId w:val="34"/>
  </w:num>
  <w:num w:numId="34" w16cid:durableId="724837157">
    <w:abstractNumId w:val="18"/>
  </w:num>
  <w:num w:numId="35" w16cid:durableId="1362784864">
    <w:abstractNumId w:val="14"/>
  </w:num>
  <w:num w:numId="36" w16cid:durableId="1687097580">
    <w:abstractNumId w:val="10"/>
  </w:num>
  <w:num w:numId="37" w16cid:durableId="939142776">
    <w:abstractNumId w:val="27"/>
  </w:num>
  <w:num w:numId="38" w16cid:durableId="115711686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D57"/>
    <w:rsid w:val="000206D8"/>
    <w:rsid w:val="00036A42"/>
    <w:rsid w:val="00045FC2"/>
    <w:rsid w:val="0004794E"/>
    <w:rsid w:val="000653AC"/>
    <w:rsid w:val="00075C1F"/>
    <w:rsid w:val="000903D8"/>
    <w:rsid w:val="000A7D10"/>
    <w:rsid w:val="000C1940"/>
    <w:rsid w:val="00122E49"/>
    <w:rsid w:val="001575DD"/>
    <w:rsid w:val="00163E41"/>
    <w:rsid w:val="001818DE"/>
    <w:rsid w:val="001B099E"/>
    <w:rsid w:val="001B5F0D"/>
    <w:rsid w:val="001D55B1"/>
    <w:rsid w:val="001E7F1B"/>
    <w:rsid w:val="00204E26"/>
    <w:rsid w:val="00241955"/>
    <w:rsid w:val="002F2474"/>
    <w:rsid w:val="00340F4A"/>
    <w:rsid w:val="00372355"/>
    <w:rsid w:val="003A6AE2"/>
    <w:rsid w:val="003F4226"/>
    <w:rsid w:val="0041342B"/>
    <w:rsid w:val="00490929"/>
    <w:rsid w:val="00493A4C"/>
    <w:rsid w:val="004A7205"/>
    <w:rsid w:val="004E587B"/>
    <w:rsid w:val="004E7B57"/>
    <w:rsid w:val="00554397"/>
    <w:rsid w:val="005E1FE0"/>
    <w:rsid w:val="006261CC"/>
    <w:rsid w:val="00631B20"/>
    <w:rsid w:val="00634160"/>
    <w:rsid w:val="00647D1C"/>
    <w:rsid w:val="00670568"/>
    <w:rsid w:val="006A48C8"/>
    <w:rsid w:val="007D25CE"/>
    <w:rsid w:val="007E48A6"/>
    <w:rsid w:val="00813A40"/>
    <w:rsid w:val="00850B4A"/>
    <w:rsid w:val="00864440"/>
    <w:rsid w:val="0086687A"/>
    <w:rsid w:val="00867AD1"/>
    <w:rsid w:val="00895034"/>
    <w:rsid w:val="00895372"/>
    <w:rsid w:val="008F7593"/>
    <w:rsid w:val="0090080E"/>
    <w:rsid w:val="00965E60"/>
    <w:rsid w:val="00983055"/>
    <w:rsid w:val="009D5885"/>
    <w:rsid w:val="009E5F9B"/>
    <w:rsid w:val="00A07FE4"/>
    <w:rsid w:val="00A4261E"/>
    <w:rsid w:val="00A81A08"/>
    <w:rsid w:val="00B328F6"/>
    <w:rsid w:val="00BC54B6"/>
    <w:rsid w:val="00BC65E8"/>
    <w:rsid w:val="00BE41FF"/>
    <w:rsid w:val="00BE7447"/>
    <w:rsid w:val="00C073D5"/>
    <w:rsid w:val="00C1668A"/>
    <w:rsid w:val="00C40CCD"/>
    <w:rsid w:val="00C72E19"/>
    <w:rsid w:val="00C7657F"/>
    <w:rsid w:val="00C8662D"/>
    <w:rsid w:val="00C95575"/>
    <w:rsid w:val="00D06576"/>
    <w:rsid w:val="00D17786"/>
    <w:rsid w:val="00D462BE"/>
    <w:rsid w:val="00DA3138"/>
    <w:rsid w:val="00DC1842"/>
    <w:rsid w:val="00E655AA"/>
    <w:rsid w:val="00E7371A"/>
    <w:rsid w:val="00E755E1"/>
    <w:rsid w:val="00EA168A"/>
    <w:rsid w:val="00EB1F21"/>
    <w:rsid w:val="00ED2F86"/>
    <w:rsid w:val="00F011E6"/>
    <w:rsid w:val="00F323CD"/>
    <w:rsid w:val="00F52D5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32FA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61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340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acjent.gov.pl/antykoncepcja-zdrowie-i-swiadome-decyzj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2026-07-29T06:48:51+00:00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2CA6A-8AFB-4133-AE04-8A47D8FD403B}">
  <ds:schemaRefs>
    <ds:schemaRef ds:uri="http://schemas.microsoft.com/sharepoint/v3/contenttype/forms"/>
  </ds:schemaRefs>
</ds:datastoreItem>
</file>

<file path=customXml/itemProps2.xml><?xml version="1.0" encoding="utf-8"?>
<ds:datastoreItem xmlns:ds="http://schemas.openxmlformats.org/officeDocument/2006/customXml" ds:itemID="{A57AAA0B-CEA8-4462-A090-9729FDD53501}">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7EB07549-3CA7-4C2E-B738-A28C861248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B5F981-9C4E-4A79-A381-60D9FCF42181}">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77</TotalTime>
  <Pages>14</Pages>
  <Words>7578</Words>
  <Characters>43195</Characters>
  <Application>Microsoft Office Word</Application>
  <DocSecurity>0</DocSecurity>
  <Lines>359</Lines>
  <Paragraphs>101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CEDAW/C/POL/FIR/1</dc:title>
  <dc:creator>Gloria</dc:creator>
  <cp:lastModifiedBy>Jamila Devi Seerathun</cp:lastModifiedBy>
  <cp:revision>4</cp:revision>
  <cp:lastPrinted>2017-04-21T12:16:00Z</cp:lastPrinted>
  <dcterms:created xsi:type="dcterms:W3CDTF">2026-07-30T12:56:00Z</dcterms:created>
  <dcterms:modified xsi:type="dcterms:W3CDTF">2026-07-30T12:56:00Z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Poland</vt:lpwstr>
  </property>
  <property fmtid="{D5CDD505-2E9C-101B-9397-08002B2CF9AE}" pid="8" name="countw">
    <vt:lpwstr>Poland</vt:lpwstr>
  </property>
  <property fmtid="{D5CDD505-2E9C-101B-9397-08002B2CF9AE}" pid="9" name="countwd">
    <vt:lpwstr>Poland</vt:lpwstr>
  </property>
  <property fmtid="{D5CDD505-2E9C-101B-9397-08002B2CF9AE}" pid="10" name="date">
    <vt:lpwstr>3 July 2026</vt:lpwstr>
  </property>
  <property fmtid="{D5CDD505-2E9C-101B-9397-08002B2CF9AE}" pid="11" name="Date-Generated">
    <vt:filetime>2026-07-29T06:36:51Z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Inquiry report - Follow up</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160600</vt:r8>
  </property>
  <property fmtid="{D5CDD505-2E9C-101B-9397-08002B2CF9AE}" pid="21" name="Org">
    <vt:lpwstr>OHCHR</vt:lpwstr>
  </property>
  <property fmtid="{D5CDD505-2E9C-101B-9397-08002B2CF9AE}" pid="22" name="prep">
    <vt:lpwstr>initial report of Poland</vt:lpwstr>
  </property>
  <property fmtid="{D5CDD505-2E9C-101B-9397-08002B2CF9AE}" pid="23" name="preps">
    <vt:lpwstr>initial report of Poland</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C/POL/FIR/1</vt:lpwstr>
  </property>
  <property fmtid="{D5CDD505-2E9C-101B-9397-08002B2CF9AE}" pid="32" name="symh">
    <vt:lpwstr>CEDAW/C/POL/FIR/1</vt:lpwstr>
  </property>
  <property fmtid="{D5CDD505-2E9C-101B-9397-08002B2CF9AE}" pid="33" name="Title">
    <vt:lpwstr>CEDAW/C/POL/FIR/1</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0x010100A3CFA62B47352B44BFD11BEB9CD9FD5A</vt:lpwstr>
  </property>
</Properties>
</file>