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58C5C" w14:textId="221DE40D" w:rsidR="0008130E" w:rsidRDefault="002A076D" w:rsidP="0008130E">
      <w:pPr>
        <w:jc w:val="center"/>
        <w:rPr>
          <w:rFonts w:ascii="Avenir Next Condensed" w:hAnsi="Avenir Next Condensed"/>
          <w:b/>
          <w:bCs/>
          <w:color w:val="156082" w:themeColor="accent1"/>
        </w:rPr>
      </w:pPr>
      <w:r>
        <w:rPr>
          <w:rFonts w:ascii="Century Schoolbook" w:eastAsia="Century Schoolbook" w:hAnsi="Century Schoolbook" w:cs="Century Schoolbook"/>
          <w:noProof/>
        </w:rPr>
        <w:drawing>
          <wp:anchor distT="0" distB="0" distL="114300" distR="114300" simplePos="0" relativeHeight="251675648" behindDoc="1" locked="0" layoutInCell="1" allowOverlap="1" wp14:anchorId="7880894C" wp14:editId="5EF9880E">
            <wp:simplePos x="0" y="0"/>
            <wp:positionH relativeFrom="column">
              <wp:posOffset>3162300</wp:posOffset>
            </wp:positionH>
            <wp:positionV relativeFrom="paragraph">
              <wp:posOffset>100965</wp:posOffset>
            </wp:positionV>
            <wp:extent cx="3091296" cy="1133475"/>
            <wp:effectExtent l="0" t="0" r="0" b="0"/>
            <wp:wrapNone/>
            <wp:docPr id="2018147714" name="Picture 6"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147714" name="Picture 6" descr="A black and white logo&#10;&#10;AI-generated content may be incorrect."/>
                    <pic:cNvPicPr/>
                  </pic:nvPicPr>
                  <pic:blipFill rotWithShape="1">
                    <a:blip r:embed="rId7">
                      <a:extLst>
                        <a:ext uri="{28A0092B-C50C-407E-A947-70E740481C1C}">
                          <a14:useLocalDpi xmlns:a14="http://schemas.microsoft.com/office/drawing/2010/main" val="0"/>
                        </a:ext>
                      </a:extLst>
                    </a:blip>
                    <a:srcRect t="32500" b="30833"/>
                    <a:stretch>
                      <a:fillRect/>
                    </a:stretch>
                  </pic:blipFill>
                  <pic:spPr bwMode="auto">
                    <a:xfrm>
                      <a:off x="0" y="0"/>
                      <a:ext cx="3091296" cy="1133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8130E" w:rsidRPr="00BF095A">
        <w:rPr>
          <w:noProof/>
        </w:rPr>
        <w:drawing>
          <wp:anchor distT="0" distB="0" distL="0" distR="0" simplePos="0" relativeHeight="251660288" behindDoc="1" locked="0" layoutInCell="1" hidden="0" allowOverlap="1" wp14:anchorId="352C712F" wp14:editId="245EADF5">
            <wp:simplePos x="0" y="0"/>
            <wp:positionH relativeFrom="column">
              <wp:posOffset>-224589</wp:posOffset>
            </wp:positionH>
            <wp:positionV relativeFrom="paragraph">
              <wp:posOffset>95986</wp:posOffset>
            </wp:positionV>
            <wp:extent cx="2799715" cy="1057275"/>
            <wp:effectExtent l="0" t="0" r="0" b="0"/>
            <wp:wrapNone/>
            <wp:docPr id="1873857429" name="image1.png" descr="Shap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png" descr="Shape&#10;&#10;Description automatically generated with medium confidence"/>
                    <pic:cNvPicPr preferRelativeResize="0"/>
                  </pic:nvPicPr>
                  <pic:blipFill>
                    <a:blip r:embed="rId8"/>
                    <a:srcRect/>
                    <a:stretch>
                      <a:fillRect/>
                    </a:stretch>
                  </pic:blipFill>
                  <pic:spPr>
                    <a:xfrm>
                      <a:off x="0" y="0"/>
                      <a:ext cx="2799715" cy="1057275"/>
                    </a:xfrm>
                    <a:prstGeom prst="rect">
                      <a:avLst/>
                    </a:prstGeom>
                    <a:ln/>
                  </pic:spPr>
                </pic:pic>
              </a:graphicData>
            </a:graphic>
            <wp14:sizeRelH relativeFrom="margin">
              <wp14:pctWidth>0</wp14:pctWidth>
            </wp14:sizeRelH>
            <wp14:sizeRelV relativeFrom="margin">
              <wp14:pctHeight>0</wp14:pctHeight>
            </wp14:sizeRelV>
          </wp:anchor>
        </w:drawing>
      </w:r>
      <w:r w:rsidR="0008130E">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59264" behindDoc="0" locked="0" layoutInCell="1" allowOverlap="1" wp14:anchorId="3FDEDA5C" wp14:editId="636BBFAE">
                <wp:simplePos x="0" y="0"/>
                <wp:positionH relativeFrom="column">
                  <wp:posOffset>-1190920</wp:posOffset>
                </wp:positionH>
                <wp:positionV relativeFrom="paragraph">
                  <wp:posOffset>-1639378</wp:posOffset>
                </wp:positionV>
                <wp:extent cx="7909560" cy="1348740"/>
                <wp:effectExtent l="0" t="0" r="15240" b="10160"/>
                <wp:wrapNone/>
                <wp:docPr id="1504746027" name="Rectangle 1"/>
                <wp:cNvGraphicFramePr/>
                <a:graphic xmlns:a="http://schemas.openxmlformats.org/drawingml/2006/main">
                  <a:graphicData uri="http://schemas.microsoft.com/office/word/2010/wordprocessingShape">
                    <wps:wsp>
                      <wps:cNvSpPr/>
                      <wps:spPr>
                        <a:xfrm>
                          <a:off x="0" y="0"/>
                          <a:ext cx="7909560" cy="1348740"/>
                        </a:xfrm>
                        <a:prstGeom prst="rect">
                          <a:avLst/>
                        </a:prstGeom>
                        <a:ln>
                          <a:solidFill>
                            <a:srgbClr val="19597C"/>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6A9C1D" id="Rectangle 1" o:spid="_x0000_s1026" style="position:absolute;margin-left:-93.75pt;margin-top:-129.1pt;width:622.8pt;height:10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" fillcolor="#156082 [3204]" strokecolor="#19597c" strokeweight="1pt"/>
            </w:pict>
          </mc:Fallback>
        </mc:AlternateContent>
      </w:r>
    </w:p>
    <w:p w14:paraId="0AE692F8" w14:textId="35ABFD36" w:rsidR="0008130E" w:rsidRDefault="0008130E" w:rsidP="0008130E">
      <w:pPr>
        <w:jc w:val="center"/>
        <w:rPr>
          <w:rFonts w:ascii="Avenir Next Condensed" w:hAnsi="Avenir Next Condensed"/>
          <w:b/>
          <w:bCs/>
          <w:color w:val="156082" w:themeColor="accent1"/>
        </w:rPr>
      </w:pPr>
    </w:p>
    <w:p w14:paraId="4AA0FD00" w14:textId="3E460AF1" w:rsidR="0008130E" w:rsidRDefault="0008130E" w:rsidP="0008130E">
      <w:pPr>
        <w:jc w:val="center"/>
        <w:rPr>
          <w:rFonts w:ascii="Avenir Next Condensed" w:hAnsi="Avenir Next Condensed"/>
          <w:b/>
          <w:bCs/>
          <w:color w:val="156082" w:themeColor="accent1"/>
        </w:rPr>
      </w:pPr>
    </w:p>
    <w:p w14:paraId="1D16B8BA" w14:textId="3A8DD6FD" w:rsidR="0008130E" w:rsidRDefault="0008130E" w:rsidP="0008130E">
      <w:pPr>
        <w:jc w:val="center"/>
        <w:rPr>
          <w:rFonts w:ascii="Avenir Next Condensed" w:hAnsi="Avenir Next Condensed"/>
          <w:b/>
          <w:bCs/>
          <w:color w:val="156082" w:themeColor="accent1"/>
        </w:rPr>
      </w:pPr>
    </w:p>
    <w:p w14:paraId="0BB9753D" w14:textId="77777777" w:rsidR="0008130E" w:rsidRDefault="0008130E" w:rsidP="0008130E">
      <w:pPr>
        <w:jc w:val="center"/>
        <w:rPr>
          <w:rFonts w:ascii="Avenir Next Condensed" w:hAnsi="Avenir Next Condensed"/>
          <w:b/>
          <w:bCs/>
          <w:color w:val="156082" w:themeColor="accent1"/>
        </w:rPr>
      </w:pPr>
    </w:p>
    <w:p w14:paraId="64D36B71" w14:textId="77777777" w:rsidR="0008130E" w:rsidRDefault="0008130E" w:rsidP="0008130E">
      <w:pPr>
        <w:jc w:val="center"/>
        <w:rPr>
          <w:rFonts w:ascii="Avenir Next Condensed" w:hAnsi="Avenir Next Condensed"/>
          <w:b/>
          <w:bCs/>
          <w:color w:val="156082" w:themeColor="accent1"/>
        </w:rPr>
      </w:pPr>
    </w:p>
    <w:p w14:paraId="1DCDB66E" w14:textId="77777777" w:rsidR="0008130E" w:rsidRDefault="0008130E" w:rsidP="0008130E">
      <w:pPr>
        <w:jc w:val="center"/>
        <w:rPr>
          <w:rFonts w:ascii="Avenir Next Condensed" w:hAnsi="Avenir Next Condensed"/>
          <w:b/>
          <w:bCs/>
          <w:color w:val="156082" w:themeColor="accent1"/>
        </w:rPr>
      </w:pP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61312" behindDoc="0" locked="0" layoutInCell="1" allowOverlap="1" wp14:anchorId="37A56242" wp14:editId="5EB754F7">
                <wp:simplePos x="0" y="0"/>
                <wp:positionH relativeFrom="column">
                  <wp:posOffset>-1190847</wp:posOffset>
                </wp:positionH>
                <wp:positionV relativeFrom="paragraph">
                  <wp:posOffset>360208</wp:posOffset>
                </wp:positionV>
                <wp:extent cx="7909560" cy="45719"/>
                <wp:effectExtent l="0" t="0" r="15240" b="18415"/>
                <wp:wrapNone/>
                <wp:docPr id="1478244632" name="Rectangle 1"/>
                <wp:cNvGraphicFramePr/>
                <a:graphic xmlns:a="http://schemas.openxmlformats.org/drawingml/2006/main">
                  <a:graphicData uri="http://schemas.microsoft.com/office/word/2010/wordprocessingShape">
                    <wps:wsp>
                      <wps:cNvSpPr/>
                      <wps:spPr>
                        <a:xfrm flipV="1">
                          <a:off x="0" y="0"/>
                          <a:ext cx="7909560" cy="45719"/>
                        </a:xfrm>
                        <a:prstGeom prst="rect">
                          <a:avLst/>
                        </a:prstGeom>
                        <a:ln>
                          <a:solidFill>
                            <a:srgbClr val="19597C"/>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0DE612" id="Rectangle 1" o:spid="_x0000_s1026" style="position:absolute;margin-left:-93.75pt;margin-top:28.35pt;width:622.8pt;height:3.6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" fillcolor="#156082 [3204]" strokecolor="#19597c" strokeweight="1pt"/>
            </w:pict>
          </mc:Fallback>
        </mc:AlternateContent>
      </w:r>
    </w:p>
    <w:p w14:paraId="77DC4E68" w14:textId="77777777" w:rsidR="0008130E" w:rsidRDefault="0008130E" w:rsidP="0008130E">
      <w:pPr>
        <w:jc w:val="center"/>
        <w:rPr>
          <w:rFonts w:ascii="Avenir Next Condensed" w:hAnsi="Avenir Next Condensed"/>
          <w:b/>
          <w:bCs/>
          <w:color w:val="156082" w:themeColor="accent1"/>
        </w:rPr>
      </w:pPr>
    </w:p>
    <w:p w14:paraId="59B8F1AD" w14:textId="77777777" w:rsidR="0008130E" w:rsidRDefault="0008130E" w:rsidP="0008130E">
      <w:pPr>
        <w:jc w:val="center"/>
        <w:rPr>
          <w:rFonts w:ascii="Avenir Next Condensed" w:hAnsi="Avenir Next Condensed"/>
          <w:b/>
          <w:bCs/>
          <w:color w:val="156082" w:themeColor="accent1"/>
        </w:rPr>
      </w:pPr>
    </w:p>
    <w:p w14:paraId="271C6A77" w14:textId="77777777" w:rsidR="0008130E" w:rsidRDefault="0008130E" w:rsidP="0008130E">
      <w:pPr>
        <w:jc w:val="center"/>
        <w:rPr>
          <w:rFonts w:ascii="Avenir Next Condensed" w:hAnsi="Avenir Next Condensed"/>
          <w:b/>
          <w:bCs/>
          <w:color w:val="156082" w:themeColor="accent1"/>
        </w:rPr>
      </w:pPr>
    </w:p>
    <w:p w14:paraId="082D314C" w14:textId="77777777" w:rsidR="0008130E" w:rsidRDefault="0008130E" w:rsidP="0008130E">
      <w:pPr>
        <w:jc w:val="center"/>
        <w:rPr>
          <w:rFonts w:ascii="Avenir Next Condensed" w:hAnsi="Avenir Next Condensed"/>
          <w:b/>
          <w:bCs/>
          <w:color w:val="156082" w:themeColor="accent1"/>
        </w:rPr>
      </w:pP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62336" behindDoc="0" locked="0" layoutInCell="1" allowOverlap="1" wp14:anchorId="3A438383" wp14:editId="4B191520">
                <wp:simplePos x="0" y="0"/>
                <wp:positionH relativeFrom="column">
                  <wp:posOffset>-65739</wp:posOffset>
                </wp:positionH>
                <wp:positionV relativeFrom="paragraph">
                  <wp:posOffset>211689</wp:posOffset>
                </wp:positionV>
                <wp:extent cx="6075680" cy="5824855"/>
                <wp:effectExtent l="0" t="0" r="0" b="0"/>
                <wp:wrapNone/>
                <wp:docPr id="656632869" name="Text Box 3"/>
                <wp:cNvGraphicFramePr/>
                <a:graphic xmlns:a="http://schemas.openxmlformats.org/drawingml/2006/main">
                  <a:graphicData uri="http://schemas.microsoft.com/office/word/2010/wordprocessingShape">
                    <wps:wsp>
                      <wps:cNvSpPr txBox="1"/>
                      <wps:spPr>
                        <a:xfrm>
                          <a:off x="0" y="0"/>
                          <a:ext cx="6075680" cy="5824855"/>
                        </a:xfrm>
                        <a:prstGeom prst="rect">
                          <a:avLst/>
                        </a:prstGeom>
                        <a:noFill/>
                        <a:ln w="6350">
                          <a:noFill/>
                        </a:ln>
                      </wps:spPr>
                      <wps:txbx>
                        <w:txbxContent>
                          <w:p w14:paraId="58D49D73" w14:textId="4AAE7208" w:rsidR="0008130E" w:rsidRDefault="00D25CE6" w:rsidP="0008130E">
                            <w:pPr>
                              <w:rPr>
                                <w:rFonts w:ascii="Avenir Next Condensed" w:eastAsia="Times New Roman" w:hAnsi="Avenir Next Condensed" w:cs="Times New Roman"/>
                                <w:b/>
                                <w:bCs/>
                                <w:color w:val="156082"/>
                                <w:kern w:val="0"/>
                                <w:sz w:val="66"/>
                                <w:szCs w:val="66"/>
                                <w:lang w:eastAsia="en-GB"/>
                                <w14:ligatures w14:val="none"/>
                              </w:rPr>
                            </w:pPr>
                            <w:r>
                              <w:rPr>
                                <w:rFonts w:ascii="Avenir Next Condensed" w:eastAsia="Times New Roman" w:hAnsi="Avenir Next Condensed" w:cs="Times New Roman"/>
                                <w:b/>
                                <w:bCs/>
                                <w:color w:val="156082"/>
                                <w:kern w:val="0"/>
                                <w:sz w:val="66"/>
                                <w:szCs w:val="66"/>
                                <w:lang w:eastAsia="en-GB"/>
                                <w14:ligatures w14:val="none"/>
                              </w:rPr>
                              <w:t>KUWAIT</w:t>
                            </w:r>
                            <w:r w:rsidR="0008130E">
                              <w:rPr>
                                <w:rFonts w:ascii="Avenir Next Condensed" w:eastAsia="Times New Roman" w:hAnsi="Avenir Next Condensed" w:cs="Times New Roman"/>
                                <w:b/>
                                <w:bCs/>
                                <w:color w:val="156082"/>
                                <w:kern w:val="0"/>
                                <w:sz w:val="66"/>
                                <w:szCs w:val="66"/>
                                <w:lang w:eastAsia="en-GB"/>
                                <w14:ligatures w14:val="none"/>
                              </w:rPr>
                              <w:t xml:space="preserve">: SUBMISSION TO THE UN COMMITTEE ON THE ELIMINATION OF RACIAL DISCRIMINATION </w:t>
                            </w:r>
                          </w:p>
                          <w:p w14:paraId="6FA93611" w14:textId="77777777" w:rsidR="0008130E" w:rsidRDefault="0008130E" w:rsidP="0008130E">
                            <w:pPr>
                              <w:rPr>
                                <w:rFonts w:ascii="Avenir Next Condensed" w:eastAsia="Times New Roman" w:hAnsi="Avenir Next Condensed" w:cs="Times New Roman"/>
                                <w:b/>
                                <w:bCs/>
                                <w:color w:val="FFFFFF" w:themeColor="background1"/>
                                <w:kern w:val="0"/>
                                <w:sz w:val="66"/>
                                <w:szCs w:val="66"/>
                                <w:lang w:eastAsia="en-GB"/>
                                <w14:ligatures w14:val="none"/>
                              </w:rPr>
                            </w:pPr>
                          </w:p>
                          <w:p w14:paraId="1F31B4C9" w14:textId="77777777" w:rsidR="0008130E" w:rsidRDefault="0008130E" w:rsidP="0008130E">
                            <w:pPr>
                              <w:rPr>
                                <w:rFonts w:ascii="Avenir Next Condensed" w:eastAsia="Times New Roman" w:hAnsi="Avenir Next Condensed" w:cs="Times New Roman"/>
                                <w:b/>
                                <w:bCs/>
                                <w:color w:val="FFFFFF" w:themeColor="background1"/>
                                <w:kern w:val="0"/>
                                <w:sz w:val="66"/>
                                <w:szCs w:val="66"/>
                                <w:lang w:eastAsia="en-GB"/>
                                <w14:ligatures w14:val="none"/>
                              </w:rPr>
                            </w:pPr>
                          </w:p>
                          <w:p w14:paraId="50F13406" w14:textId="1427135F" w:rsidR="0008130E" w:rsidRPr="009F73C1" w:rsidRDefault="0008130E" w:rsidP="0008130E">
                            <w:pPr>
                              <w:rPr>
                                <w:rFonts w:ascii="Avenir Next Condensed" w:eastAsia="Times New Roman" w:hAnsi="Avenir Next Condensed" w:cs="Times New Roman"/>
                                <w:b/>
                                <w:bCs/>
                                <w:color w:val="FFFFFF" w:themeColor="background1"/>
                                <w:kern w:val="0"/>
                                <w:sz w:val="66"/>
                                <w:szCs w:val="66"/>
                                <w:lang w:eastAsia="en-GB"/>
                                <w14:ligatures w14:val="none"/>
                              </w:rPr>
                            </w:pPr>
                            <w:r>
                              <w:rPr>
                                <w:rFonts w:ascii="Avenir Next Condensed" w:eastAsia="Times New Roman" w:hAnsi="Avenir Next Condensed" w:cs="Times New Roman"/>
                                <w:b/>
                                <w:bCs/>
                                <w:color w:val="FFFFFF" w:themeColor="background1"/>
                                <w:kern w:val="0"/>
                                <w:sz w:val="66"/>
                                <w:szCs w:val="66"/>
                                <w:lang w:eastAsia="en-GB"/>
                                <w14:ligatures w14:val="none"/>
                              </w:rPr>
                              <w:t xml:space="preserve">ISSUES RELATED TO THE DETENTION OF </w:t>
                            </w:r>
                            <w:r w:rsidR="00D25CE6">
                              <w:rPr>
                                <w:rFonts w:ascii="Avenir Next Condensed" w:eastAsia="Times New Roman" w:hAnsi="Avenir Next Condensed" w:cs="Times New Roman"/>
                                <w:b/>
                                <w:bCs/>
                                <w:color w:val="FFFFFF" w:themeColor="background1"/>
                                <w:kern w:val="0"/>
                                <w:sz w:val="66"/>
                                <w:szCs w:val="66"/>
                                <w:lang w:eastAsia="en-GB"/>
                                <w14:ligatures w14:val="none"/>
                              </w:rPr>
                              <w:t>MIGRANT WORKERS</w:t>
                            </w:r>
                          </w:p>
                          <w:p w14:paraId="50659C13" w14:textId="77777777" w:rsidR="0008130E" w:rsidRPr="009F73C1" w:rsidRDefault="0008130E" w:rsidP="0008130E">
                            <w:pPr>
                              <w:jc w:val="center"/>
                              <w:rPr>
                                <w:rFonts w:ascii="Avenir Next Condensed" w:hAnsi="Avenir Next Condensed"/>
                                <w:b/>
                                <w:bCs/>
                                <w:color w:val="FFFFFF" w:themeColor="background1"/>
                              </w:rPr>
                            </w:pPr>
                          </w:p>
                          <w:p w14:paraId="65217332" w14:textId="77777777" w:rsidR="0008130E" w:rsidRPr="009F73C1" w:rsidRDefault="0008130E" w:rsidP="0008130E">
                            <w:pPr>
                              <w:rPr>
                                <w:rFonts w:ascii="Avenir Next Condensed" w:eastAsia="Times New Roman" w:hAnsi="Avenir Next Condensed" w:cs="Times New Roman"/>
                                <w:color w:val="FFFFFF" w:themeColor="background1"/>
                                <w:kern w:val="0"/>
                                <w:sz w:val="60"/>
                                <w:szCs w:val="60"/>
                                <w:lang w:eastAsia="en-GB"/>
                                <w14:ligatures w14:val="none"/>
                              </w:rPr>
                            </w:pPr>
                          </w:p>
                          <w:p w14:paraId="4F4D2D64" w14:textId="77777777" w:rsidR="0008130E" w:rsidRPr="007D23F1" w:rsidRDefault="0008130E" w:rsidP="0008130E">
                            <w:pPr>
                              <w:spacing w:after="240"/>
                              <w:rPr>
                                <w:rFonts w:ascii="Avenir Next Condensed" w:eastAsia="Times New Roman" w:hAnsi="Avenir Next Condensed" w:cs="Times New Roman"/>
                                <w:b/>
                                <w:bCs/>
                                <w:i/>
                                <w:iCs/>
                                <w:color w:val="FFFFFF" w:themeColor="background1"/>
                                <w:kern w:val="0"/>
                                <w:sz w:val="66"/>
                                <w:szCs w:val="66"/>
                                <w:lang w:eastAsia="en-GB"/>
                                <w14:ligatures w14:val="no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438383" id="_x0000_t202" coordsize="21600,21600" o:spt="202" path="m,l,21600r21600,l21600,xe">
                <v:stroke joinstyle="miter"/>
                <v:path gradientshapeok="t" o:connecttype="rect"/>
              </v:shapetype>
              <v:shape id="Text Box 3" o:spid="_x0000_s1026" type="#_x0000_t202" style="position:absolute;left:0;text-align:left;margin-left:-5.2pt;margin-top:16.65pt;width:478.4pt;height:458.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" filled="f" stroked="f" strokeweight=".5pt">
                <v:textbox>
                  <w:txbxContent>
                    <w:p w14:paraId="58D49D73" w14:textId="4AAE7208" w:rsidR="0008130E" w:rsidRDefault="00D25CE6" w:rsidP="0008130E">
                      <w:pPr>
                        <w:rPr>
                          <w:rFonts w:ascii="Avenir Next Condensed" w:eastAsia="Times New Roman" w:hAnsi="Avenir Next Condensed" w:cs="Times New Roman"/>
                          <w:b/>
                          <w:bCs/>
                          <w:color w:val="156082"/>
                          <w:kern w:val="0"/>
                          <w:sz w:val="66"/>
                          <w:szCs w:val="66"/>
                          <w:lang w:eastAsia="en-GB"/>
                          <w14:ligatures w14:val="none"/>
                        </w:rPr>
                      </w:pPr>
                      <w:r>
                        <w:rPr>
                          <w:rFonts w:ascii="Avenir Next Condensed" w:eastAsia="Times New Roman" w:hAnsi="Avenir Next Condensed" w:cs="Times New Roman"/>
                          <w:b/>
                          <w:bCs/>
                          <w:color w:val="156082"/>
                          <w:kern w:val="0"/>
                          <w:sz w:val="66"/>
                          <w:szCs w:val="66"/>
                          <w:lang w:eastAsia="en-GB"/>
                          <w14:ligatures w14:val="none"/>
                        </w:rPr>
                        <w:t>KUWAIT</w:t>
                      </w:r>
                      <w:r w:rsidR="0008130E">
                        <w:rPr>
                          <w:rFonts w:ascii="Avenir Next Condensed" w:eastAsia="Times New Roman" w:hAnsi="Avenir Next Condensed" w:cs="Times New Roman"/>
                          <w:b/>
                          <w:bCs/>
                          <w:color w:val="156082"/>
                          <w:kern w:val="0"/>
                          <w:sz w:val="66"/>
                          <w:szCs w:val="66"/>
                          <w:lang w:eastAsia="en-GB"/>
                          <w14:ligatures w14:val="none"/>
                        </w:rPr>
                        <w:t xml:space="preserve">: SUBMISSION TO THE UN COMMITTEE ON THE ELIMINATION OF RACIAL DISCRIMINATION </w:t>
                      </w:r>
                    </w:p>
                    <w:p w14:paraId="6FA93611" w14:textId="77777777" w:rsidR="0008130E" w:rsidRDefault="0008130E" w:rsidP="0008130E">
                      <w:pPr>
                        <w:rPr>
                          <w:rFonts w:ascii="Avenir Next Condensed" w:eastAsia="Times New Roman" w:hAnsi="Avenir Next Condensed" w:cs="Times New Roman"/>
                          <w:b/>
                          <w:bCs/>
                          <w:color w:val="FFFFFF" w:themeColor="background1"/>
                          <w:kern w:val="0"/>
                          <w:sz w:val="66"/>
                          <w:szCs w:val="66"/>
                          <w:lang w:eastAsia="en-GB"/>
                          <w14:ligatures w14:val="none"/>
                        </w:rPr>
                      </w:pPr>
                    </w:p>
                    <w:p w14:paraId="1F31B4C9" w14:textId="77777777" w:rsidR="0008130E" w:rsidRDefault="0008130E" w:rsidP="0008130E">
                      <w:pPr>
                        <w:rPr>
                          <w:rFonts w:ascii="Avenir Next Condensed" w:eastAsia="Times New Roman" w:hAnsi="Avenir Next Condensed" w:cs="Times New Roman"/>
                          <w:b/>
                          <w:bCs/>
                          <w:color w:val="FFFFFF" w:themeColor="background1"/>
                          <w:kern w:val="0"/>
                          <w:sz w:val="66"/>
                          <w:szCs w:val="66"/>
                          <w:lang w:eastAsia="en-GB"/>
                          <w14:ligatures w14:val="none"/>
                        </w:rPr>
                      </w:pPr>
                    </w:p>
                    <w:p w14:paraId="50F13406" w14:textId="1427135F" w:rsidR="0008130E" w:rsidRPr="009F73C1" w:rsidRDefault="0008130E" w:rsidP="0008130E">
                      <w:pPr>
                        <w:rPr>
                          <w:rFonts w:ascii="Avenir Next Condensed" w:eastAsia="Times New Roman" w:hAnsi="Avenir Next Condensed" w:cs="Times New Roman"/>
                          <w:b/>
                          <w:bCs/>
                          <w:color w:val="FFFFFF" w:themeColor="background1"/>
                          <w:kern w:val="0"/>
                          <w:sz w:val="66"/>
                          <w:szCs w:val="66"/>
                          <w:lang w:eastAsia="en-GB"/>
                          <w14:ligatures w14:val="none"/>
                        </w:rPr>
                      </w:pPr>
                      <w:r>
                        <w:rPr>
                          <w:rFonts w:ascii="Avenir Next Condensed" w:eastAsia="Times New Roman" w:hAnsi="Avenir Next Condensed" w:cs="Times New Roman"/>
                          <w:b/>
                          <w:bCs/>
                          <w:color w:val="FFFFFF" w:themeColor="background1"/>
                          <w:kern w:val="0"/>
                          <w:sz w:val="66"/>
                          <w:szCs w:val="66"/>
                          <w:lang w:eastAsia="en-GB"/>
                          <w14:ligatures w14:val="none"/>
                        </w:rPr>
                        <w:t xml:space="preserve">ISSUES RELATED TO THE DETENTION OF </w:t>
                      </w:r>
                      <w:r w:rsidR="00D25CE6">
                        <w:rPr>
                          <w:rFonts w:ascii="Avenir Next Condensed" w:eastAsia="Times New Roman" w:hAnsi="Avenir Next Condensed" w:cs="Times New Roman"/>
                          <w:b/>
                          <w:bCs/>
                          <w:color w:val="FFFFFF" w:themeColor="background1"/>
                          <w:kern w:val="0"/>
                          <w:sz w:val="66"/>
                          <w:szCs w:val="66"/>
                          <w:lang w:eastAsia="en-GB"/>
                          <w14:ligatures w14:val="none"/>
                        </w:rPr>
                        <w:t>MIGRANT WORKERS</w:t>
                      </w:r>
                    </w:p>
                    <w:p w14:paraId="50659C13" w14:textId="77777777" w:rsidR="0008130E" w:rsidRPr="009F73C1" w:rsidRDefault="0008130E" w:rsidP="0008130E">
                      <w:pPr>
                        <w:jc w:val="center"/>
                        <w:rPr>
                          <w:rFonts w:ascii="Avenir Next Condensed" w:hAnsi="Avenir Next Condensed"/>
                          <w:b/>
                          <w:bCs/>
                          <w:color w:val="FFFFFF" w:themeColor="background1"/>
                        </w:rPr>
                      </w:pPr>
                    </w:p>
                    <w:p w14:paraId="65217332" w14:textId="77777777" w:rsidR="0008130E" w:rsidRPr="009F73C1" w:rsidRDefault="0008130E" w:rsidP="0008130E">
                      <w:pPr>
                        <w:rPr>
                          <w:rFonts w:ascii="Avenir Next Condensed" w:eastAsia="Times New Roman" w:hAnsi="Avenir Next Condensed" w:cs="Times New Roman"/>
                          <w:color w:val="FFFFFF" w:themeColor="background1"/>
                          <w:kern w:val="0"/>
                          <w:sz w:val="60"/>
                          <w:szCs w:val="60"/>
                          <w:lang w:eastAsia="en-GB"/>
                          <w14:ligatures w14:val="none"/>
                        </w:rPr>
                      </w:pPr>
                    </w:p>
                    <w:p w14:paraId="4F4D2D64" w14:textId="77777777" w:rsidR="0008130E" w:rsidRPr="007D23F1" w:rsidRDefault="0008130E" w:rsidP="0008130E">
                      <w:pPr>
                        <w:spacing w:after="240"/>
                        <w:rPr>
                          <w:rFonts w:ascii="Avenir Next Condensed" w:eastAsia="Times New Roman" w:hAnsi="Avenir Next Condensed" w:cs="Times New Roman"/>
                          <w:b/>
                          <w:bCs/>
                          <w:i/>
                          <w:iCs/>
                          <w:color w:val="FFFFFF" w:themeColor="background1"/>
                          <w:kern w:val="0"/>
                          <w:sz w:val="66"/>
                          <w:szCs w:val="66"/>
                          <w:lang w:eastAsia="en-GB"/>
                          <w14:ligatures w14:val="none"/>
                        </w:rPr>
                      </w:pPr>
                    </w:p>
                  </w:txbxContent>
                </v:textbox>
              </v:shape>
            </w:pict>
          </mc:Fallback>
        </mc:AlternateContent>
      </w:r>
    </w:p>
    <w:p w14:paraId="48C8F0D3" w14:textId="77777777" w:rsidR="0008130E" w:rsidRDefault="0008130E" w:rsidP="0008130E">
      <w:pPr>
        <w:jc w:val="center"/>
        <w:rPr>
          <w:rFonts w:ascii="Avenir Next Condensed" w:hAnsi="Avenir Next Condensed"/>
          <w:b/>
          <w:bCs/>
          <w:color w:val="156082" w:themeColor="accent1"/>
        </w:rPr>
      </w:pPr>
    </w:p>
    <w:p w14:paraId="5FCB9BAD" w14:textId="77777777" w:rsidR="0008130E" w:rsidRDefault="0008130E" w:rsidP="0008130E">
      <w:pPr>
        <w:jc w:val="center"/>
        <w:rPr>
          <w:rFonts w:ascii="Avenir Next Condensed" w:hAnsi="Avenir Next Condensed"/>
          <w:b/>
          <w:bCs/>
          <w:color w:val="156082" w:themeColor="accent1"/>
        </w:rPr>
      </w:pPr>
    </w:p>
    <w:p w14:paraId="21203190" w14:textId="77777777" w:rsidR="0008130E" w:rsidRPr="007209F4" w:rsidRDefault="0008130E" w:rsidP="0008130E">
      <w:pPr>
        <w:jc w:val="center"/>
        <w:rPr>
          <w:rFonts w:ascii="Avenir Next Condensed" w:hAnsi="Avenir Next Condensed"/>
          <w:b/>
          <w:bCs/>
          <w:color w:val="156082" w:themeColor="accent1"/>
        </w:rPr>
      </w:pPr>
    </w:p>
    <w:p w14:paraId="6B1A227F" w14:textId="77777777" w:rsidR="0008130E" w:rsidRPr="007209F4" w:rsidRDefault="0008130E" w:rsidP="0008130E">
      <w:pPr>
        <w:jc w:val="center"/>
        <w:rPr>
          <w:rFonts w:ascii="Avenir Next Condensed" w:hAnsi="Avenir Next Condensed"/>
          <w:b/>
          <w:bCs/>
          <w:color w:val="156082" w:themeColor="accent1"/>
        </w:rPr>
      </w:pPr>
    </w:p>
    <w:p w14:paraId="64AA6363" w14:textId="77777777" w:rsidR="0008130E" w:rsidRDefault="0008130E" w:rsidP="0008130E">
      <w:pPr>
        <w:ind w:left="720" w:hanging="720"/>
        <w:jc w:val="center"/>
        <w:rPr>
          <w:rFonts w:ascii="Avenir Next Condensed" w:hAnsi="Avenir Next Condensed"/>
          <w:b/>
          <w:bCs/>
          <w:color w:val="156082" w:themeColor="accent1"/>
        </w:rPr>
      </w:pPr>
    </w:p>
    <w:p w14:paraId="77B3B38A" w14:textId="77777777" w:rsidR="0008130E" w:rsidRDefault="0008130E" w:rsidP="0008130E">
      <w:pPr>
        <w:ind w:left="720" w:hanging="720"/>
        <w:jc w:val="center"/>
        <w:rPr>
          <w:rFonts w:ascii="Avenir Next Condensed" w:hAnsi="Avenir Next Condensed"/>
          <w:b/>
          <w:bCs/>
          <w:color w:val="156082" w:themeColor="accent1"/>
        </w:rPr>
      </w:pPr>
    </w:p>
    <w:p w14:paraId="43FBA886" w14:textId="77777777" w:rsidR="0008130E" w:rsidRDefault="0008130E" w:rsidP="0008130E">
      <w:pPr>
        <w:ind w:left="720" w:hanging="720"/>
        <w:jc w:val="center"/>
        <w:rPr>
          <w:rFonts w:ascii="Avenir Next Condensed" w:hAnsi="Avenir Next Condensed"/>
          <w:b/>
          <w:bCs/>
          <w:color w:val="156082" w:themeColor="accent1"/>
        </w:rPr>
      </w:pPr>
    </w:p>
    <w:p w14:paraId="287CEC08" w14:textId="77777777" w:rsidR="0008130E" w:rsidRDefault="0008130E" w:rsidP="0008130E">
      <w:pPr>
        <w:ind w:left="720" w:hanging="720"/>
        <w:jc w:val="center"/>
        <w:rPr>
          <w:rFonts w:ascii="Avenir Next Condensed" w:hAnsi="Avenir Next Condensed"/>
          <w:b/>
          <w:bCs/>
          <w:color w:val="156082" w:themeColor="accent1"/>
        </w:rPr>
      </w:pPr>
    </w:p>
    <w:p w14:paraId="5B77B018" w14:textId="42A8E7C0" w:rsidR="0008130E" w:rsidRDefault="00D25CE6" w:rsidP="0008130E">
      <w:pPr>
        <w:ind w:left="720" w:hanging="720"/>
        <w:jc w:val="center"/>
        <w:rPr>
          <w:rFonts w:ascii="Avenir Next Condensed" w:hAnsi="Avenir Next Condensed"/>
          <w:b/>
          <w:bCs/>
          <w:color w:val="156082" w:themeColor="accent1"/>
        </w:rPr>
      </w:pPr>
      <w:r>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64384" behindDoc="0" locked="0" layoutInCell="1" allowOverlap="1" wp14:anchorId="3375CF0D" wp14:editId="7AAB10B8">
                <wp:simplePos x="0" y="0"/>
                <wp:positionH relativeFrom="column">
                  <wp:posOffset>50800</wp:posOffset>
                </wp:positionH>
                <wp:positionV relativeFrom="paragraph">
                  <wp:posOffset>2673985</wp:posOffset>
                </wp:positionV>
                <wp:extent cx="2946400" cy="476250"/>
                <wp:effectExtent l="0" t="0" r="0" b="6350"/>
                <wp:wrapNone/>
                <wp:docPr id="1169302613" name="Text Box 4"/>
                <wp:cNvGraphicFramePr/>
                <a:graphic xmlns:a="http://schemas.openxmlformats.org/drawingml/2006/main">
                  <a:graphicData uri="http://schemas.microsoft.com/office/word/2010/wordprocessingShape">
                    <wps:wsp>
                      <wps:cNvSpPr txBox="1"/>
                      <wps:spPr>
                        <a:xfrm>
                          <a:off x="0" y="0"/>
                          <a:ext cx="2946400" cy="476250"/>
                        </a:xfrm>
                        <a:prstGeom prst="rect">
                          <a:avLst/>
                        </a:prstGeom>
                        <a:solidFill>
                          <a:srgbClr val="FFEC84"/>
                        </a:solidFill>
                        <a:ln w="6350">
                          <a:noFill/>
                        </a:ln>
                      </wps:spPr>
                      <wps:txbx>
                        <w:txbxContent>
                          <w:p w14:paraId="64D40CAA" w14:textId="0BBF1838" w:rsidR="0008130E" w:rsidRPr="00097909" w:rsidRDefault="0008130E" w:rsidP="00D25CE6">
                            <w:pPr>
                              <w:jc w:val="center"/>
                              <w:rPr>
                                <w:rFonts w:ascii="Avenir Next Condensed" w:hAnsi="Avenir Next Condensed"/>
                                <w:b/>
                                <w:bCs/>
                                <w:color w:val="19597C"/>
                                <w:sz w:val="44"/>
                                <w:szCs w:val="44"/>
                              </w:rPr>
                            </w:pPr>
                            <w:r w:rsidRPr="00097909">
                              <w:rPr>
                                <w:rFonts w:ascii="Avenir Next Condensed" w:hAnsi="Avenir Next Condensed"/>
                                <w:b/>
                                <w:bCs/>
                                <w:color w:val="19597C"/>
                                <w:sz w:val="44"/>
                                <w:szCs w:val="44"/>
                              </w:rPr>
                              <w:t xml:space="preserve">SUBMITTTED: </w:t>
                            </w:r>
                            <w:r w:rsidR="00D25CE6">
                              <w:rPr>
                                <w:rFonts w:ascii="Avenir Next Condensed" w:hAnsi="Avenir Next Condensed"/>
                                <w:b/>
                                <w:bCs/>
                                <w:color w:val="19597C"/>
                                <w:sz w:val="44"/>
                                <w:szCs w:val="44"/>
                              </w:rPr>
                              <w:t>JULY</w:t>
                            </w:r>
                            <w:r>
                              <w:rPr>
                                <w:rFonts w:ascii="Avenir Next Condensed" w:hAnsi="Avenir Next Condensed"/>
                                <w:b/>
                                <w:bCs/>
                                <w:color w:val="19597C"/>
                                <w:sz w:val="44"/>
                                <w:szCs w:val="44"/>
                              </w:rPr>
                              <w:t xml:space="preserve">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75CF0D" id="Text Box 4" o:spid="_x0000_s1027" type="#_x0000_t202" style="position:absolute;left:0;text-align:left;margin-left:4pt;margin-top:210.55pt;width:232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" fillcolor="#ffec84" stroked="f" strokeweight=".5pt">
                <v:textbox>
                  <w:txbxContent>
                    <w:p w14:paraId="64D40CAA" w14:textId="0BBF1838" w:rsidR="0008130E" w:rsidRPr="00097909" w:rsidRDefault="0008130E" w:rsidP="00D25CE6">
                      <w:pPr>
                        <w:jc w:val="center"/>
                        <w:rPr>
                          <w:rFonts w:ascii="Avenir Next Condensed" w:hAnsi="Avenir Next Condensed"/>
                          <w:b/>
                          <w:bCs/>
                          <w:color w:val="19597C"/>
                          <w:sz w:val="44"/>
                          <w:szCs w:val="44"/>
                        </w:rPr>
                      </w:pPr>
                      <w:r w:rsidRPr="00097909">
                        <w:rPr>
                          <w:rFonts w:ascii="Avenir Next Condensed" w:hAnsi="Avenir Next Condensed"/>
                          <w:b/>
                          <w:bCs/>
                          <w:color w:val="19597C"/>
                          <w:sz w:val="44"/>
                          <w:szCs w:val="44"/>
                        </w:rPr>
                        <w:t xml:space="preserve">SUBMITTTED: </w:t>
                      </w:r>
                      <w:r w:rsidR="00D25CE6">
                        <w:rPr>
                          <w:rFonts w:ascii="Avenir Next Condensed" w:hAnsi="Avenir Next Condensed"/>
                          <w:b/>
                          <w:bCs/>
                          <w:color w:val="19597C"/>
                          <w:sz w:val="44"/>
                          <w:szCs w:val="44"/>
                        </w:rPr>
                        <w:t>JULY</w:t>
                      </w:r>
                      <w:r>
                        <w:rPr>
                          <w:rFonts w:ascii="Avenir Next Condensed" w:hAnsi="Avenir Next Condensed"/>
                          <w:b/>
                          <w:bCs/>
                          <w:color w:val="19597C"/>
                          <w:sz w:val="44"/>
                          <w:szCs w:val="44"/>
                        </w:rPr>
                        <w:t xml:space="preserve"> 2026</w:t>
                      </w:r>
                    </w:p>
                  </w:txbxContent>
                </v:textbox>
              </v:shape>
            </w:pict>
          </mc:Fallback>
        </mc:AlternateContent>
      </w:r>
      <w:r w:rsidR="0008130E">
        <w:rPr>
          <w:rFonts w:ascii="Avenir Next Condensed" w:eastAsia="Times New Roman" w:hAnsi="Avenir Next Condensed" w:cs="Times New Roman"/>
          <w:b/>
          <w:bCs/>
          <w:noProof/>
          <w:color w:val="19597C"/>
          <w:kern w:val="0"/>
          <w:lang w:eastAsia="en-GB"/>
        </w:rPr>
        <mc:AlternateContent>
          <mc:Choice Requires="wps">
            <w:drawing>
              <wp:anchor distT="0" distB="0" distL="114300" distR="114300" simplePos="0" relativeHeight="251663360" behindDoc="1" locked="0" layoutInCell="1" allowOverlap="1" wp14:anchorId="1C4C52FB" wp14:editId="21E19FDC">
                <wp:simplePos x="0" y="0"/>
                <wp:positionH relativeFrom="column">
                  <wp:posOffset>-1117600</wp:posOffset>
                </wp:positionH>
                <wp:positionV relativeFrom="paragraph">
                  <wp:posOffset>591185</wp:posOffset>
                </wp:positionV>
                <wp:extent cx="7909560" cy="5786755"/>
                <wp:effectExtent l="0" t="0" r="15240" b="17145"/>
                <wp:wrapNone/>
                <wp:docPr id="2009810975" name="Rectangle 1"/>
                <wp:cNvGraphicFramePr/>
                <a:graphic xmlns:a="http://schemas.openxmlformats.org/drawingml/2006/main">
                  <a:graphicData uri="http://schemas.microsoft.com/office/word/2010/wordprocessingShape">
                    <wps:wsp>
                      <wps:cNvSpPr/>
                      <wps:spPr>
                        <a:xfrm>
                          <a:off x="0" y="0"/>
                          <a:ext cx="7909560" cy="5786755"/>
                        </a:xfrm>
                        <a:prstGeom prst="rect">
                          <a:avLst/>
                        </a:prstGeom>
                        <a:ln>
                          <a:solidFill>
                            <a:srgbClr val="19597C"/>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B0AE0C" id="Rectangle 1" o:spid="_x0000_s1026" style="position:absolute;margin-left:-88pt;margin-top:46.55pt;width:622.8pt;height:455.6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" fillcolor="#156082 [3204]" strokecolor="#19597c" strokeweight="1pt"/>
            </w:pict>
          </mc:Fallback>
        </mc:AlternateContent>
      </w:r>
    </w:p>
    <w:p w14:paraId="19AB639C" w14:textId="77777777" w:rsidR="0008130E" w:rsidRDefault="0008130E" w:rsidP="0008130E">
      <w:pPr>
        <w:ind w:left="720" w:hanging="720"/>
        <w:jc w:val="center"/>
        <w:rPr>
          <w:rFonts w:ascii="Avenir Next Condensed" w:hAnsi="Avenir Next Condensed"/>
          <w:b/>
          <w:bCs/>
          <w:color w:val="156082" w:themeColor="accent1"/>
        </w:rPr>
        <w:sectPr w:rsidR="0008130E" w:rsidSect="0008130E">
          <w:footerReference w:type="even" r:id="rId9"/>
          <w:footerReference w:type="default" r:id="rId10"/>
          <w:footerReference w:type="first" r:id="rId11"/>
          <w:pgSz w:w="11906" w:h="16838"/>
          <w:pgMar w:top="1440" w:right="1440" w:bottom="1440" w:left="1440" w:header="708" w:footer="708" w:gutter="0"/>
          <w:cols w:space="708"/>
          <w:titlePg/>
          <w:docGrid w:linePitch="360"/>
        </w:sectPr>
      </w:pPr>
    </w:p>
    <w:p w14:paraId="5F1917CF" w14:textId="77777777" w:rsidR="0008130E" w:rsidRPr="003B4067" w:rsidRDefault="0008130E" w:rsidP="0008130E">
      <w:pPr>
        <w:rPr>
          <w:rFonts w:ascii="Avenir Next Condensed" w:eastAsia="Avenir" w:hAnsi="Avenir Next Condensed" w:cs="Avenir"/>
          <w:b/>
          <w:bCs/>
          <w:color w:val="156082" w:themeColor="accent1"/>
          <w:sz w:val="28"/>
          <w:szCs w:val="28"/>
        </w:rPr>
      </w:pPr>
      <w:r w:rsidRPr="003B4067">
        <w:rPr>
          <w:rFonts w:ascii="Avenir Next Condensed" w:eastAsia="Avenir" w:hAnsi="Avenir Next Condensed" w:cs="Avenir"/>
          <w:b/>
          <w:bCs/>
          <w:color w:val="156082" w:themeColor="accent1"/>
          <w:sz w:val="28"/>
          <w:szCs w:val="28"/>
        </w:rPr>
        <w:lastRenderedPageBreak/>
        <w:t xml:space="preserve">ABOUT THE GLOBAL DETENTION </w:t>
      </w:r>
      <w:r w:rsidRPr="00F654FC">
        <w:rPr>
          <w:rFonts w:ascii="Avenir Next Condensed" w:eastAsia="Avenir" w:hAnsi="Avenir Next Condensed" w:cs="Avenir"/>
          <w:b/>
          <w:bCs/>
          <w:color w:val="156082"/>
          <w:sz w:val="28"/>
          <w:szCs w:val="28"/>
        </w:rPr>
        <w:t>PROJECT</w:t>
      </w:r>
      <w:r w:rsidRPr="003B4067">
        <w:rPr>
          <w:rFonts w:ascii="Avenir Next Condensed" w:eastAsia="Avenir" w:hAnsi="Avenir Next Condensed" w:cs="Avenir"/>
          <w:b/>
          <w:bCs/>
          <w:color w:val="156082" w:themeColor="accent1"/>
          <w:sz w:val="28"/>
          <w:szCs w:val="28"/>
        </w:rPr>
        <w:t xml:space="preserve"> (GDP)</w:t>
      </w:r>
    </w:p>
    <w:p w14:paraId="60B34C9E" w14:textId="77777777" w:rsidR="0008130E" w:rsidRDefault="0008130E" w:rsidP="0008130E">
      <w:pPr>
        <w:rPr>
          <w:rFonts w:ascii="Avenir Next Condensed" w:eastAsia="Avenir" w:hAnsi="Avenir Next Condensed" w:cs="Avenir"/>
        </w:rPr>
      </w:pPr>
    </w:p>
    <w:p w14:paraId="598F433B" w14:textId="77777777" w:rsidR="0008130E" w:rsidRPr="006E03CE" w:rsidRDefault="0008130E" w:rsidP="0008130E">
      <w:pPr>
        <w:rPr>
          <w:rFonts w:ascii="Avenir Next Condensed" w:eastAsia="Avenir" w:hAnsi="Avenir Next Condensed" w:cs="Avenir"/>
        </w:rPr>
      </w:pPr>
      <w:r w:rsidRPr="006E03CE">
        <w:rPr>
          <w:rFonts w:ascii="Avenir Next Condensed" w:eastAsia="Avenir" w:hAnsi="Avenir Next Condensed" w:cs="Avenir"/>
        </w:rPr>
        <w:t>The Global Detention Project (GDP) is committed to ending arbitrary and harmful migration-related detention practices around the world, and to ensuring respect for the fundamental human rights of all migrants, refugees, and asylum seekers. To achieve this, we seek to:</w:t>
      </w:r>
    </w:p>
    <w:p w14:paraId="6813159C" w14:textId="77777777" w:rsidR="0008130E" w:rsidRPr="006E03CE" w:rsidRDefault="0008130E" w:rsidP="0008130E">
      <w:pPr>
        <w:numPr>
          <w:ilvl w:val="0"/>
          <w:numId w:val="1"/>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Increase public knowledge and awareness of immigration detention policies. </w:t>
      </w:r>
    </w:p>
    <w:p w14:paraId="3F30E015" w14:textId="77777777" w:rsidR="0008130E" w:rsidRPr="006E03CE" w:rsidRDefault="0008130E" w:rsidP="0008130E">
      <w:pPr>
        <w:numPr>
          <w:ilvl w:val="0"/>
          <w:numId w:val="1"/>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Expand coverage of immigration detention by human rights monitoring bodies and other international agencies. </w:t>
      </w:r>
    </w:p>
    <w:p w14:paraId="51115A5F" w14:textId="77777777" w:rsidR="0008130E" w:rsidRPr="006E03CE" w:rsidRDefault="0008130E" w:rsidP="0008130E">
      <w:pPr>
        <w:numPr>
          <w:ilvl w:val="0"/>
          <w:numId w:val="1"/>
        </w:numPr>
        <w:pBdr>
          <w:top w:val="nil"/>
          <w:left w:val="nil"/>
          <w:bottom w:val="nil"/>
          <w:right w:val="nil"/>
          <w:between w:val="nil"/>
        </w:pBdr>
        <w:rPr>
          <w:rFonts w:ascii="Avenir Next Condensed" w:eastAsia="Avenir" w:hAnsi="Avenir Next Condensed" w:cs="Avenir"/>
          <w:b/>
          <w:color w:val="000000"/>
        </w:rPr>
      </w:pPr>
      <w:r w:rsidRPr="006E03CE">
        <w:rPr>
          <w:rFonts w:ascii="Avenir Next Condensed" w:eastAsia="Avenir" w:hAnsi="Avenir Next Condensed" w:cs="Avenir"/>
          <w:color w:val="000000"/>
        </w:rPr>
        <w:t xml:space="preserve">Expand partnerships with local and international civil society organisations working to end arbitrary and harmful immigration detention practices. </w:t>
      </w:r>
    </w:p>
    <w:p w14:paraId="21C4D910" w14:textId="77777777" w:rsidR="0008130E" w:rsidRPr="007D23F1" w:rsidRDefault="0008130E" w:rsidP="0008130E">
      <w:pPr>
        <w:numPr>
          <w:ilvl w:val="0"/>
          <w:numId w:val="1"/>
        </w:numPr>
        <w:pBdr>
          <w:top w:val="nil"/>
          <w:left w:val="nil"/>
          <w:bottom w:val="nil"/>
          <w:right w:val="nil"/>
          <w:between w:val="nil"/>
        </w:pBdr>
        <w:rPr>
          <w:rFonts w:ascii="Avenir Next Condensed" w:eastAsia="Avenir" w:hAnsi="Avenir Next Condensed" w:cs="Avenir"/>
          <w:b/>
          <w:color w:val="000000" w:themeColor="text1"/>
        </w:rPr>
      </w:pPr>
      <w:r w:rsidRPr="007D23F1">
        <w:rPr>
          <w:rFonts w:ascii="Avenir Next Condensed" w:eastAsia="Avenir" w:hAnsi="Avenir Next Condensed" w:cs="Avenir"/>
          <w:color w:val="000000" w:themeColor="text1"/>
        </w:rPr>
        <w:t>Strategically target research and advocacy so that it effectively challenges arbitrary and harmful detention laws and policies.</w:t>
      </w:r>
    </w:p>
    <w:p w14:paraId="17C7F988" w14:textId="77777777" w:rsidR="0008130E" w:rsidRDefault="0008130E" w:rsidP="0008130E">
      <w:pPr>
        <w:tabs>
          <w:tab w:val="center" w:pos="4513"/>
        </w:tabs>
        <w:ind w:left="720" w:hanging="720"/>
        <w:rPr>
          <w:rFonts w:ascii="Avenir Next Condensed" w:hAnsi="Avenir Next Condensed"/>
          <w:b/>
          <w:bCs/>
          <w:color w:val="156082" w:themeColor="accent1"/>
        </w:rPr>
      </w:pPr>
      <w:r>
        <w:rPr>
          <w:rFonts w:ascii="Avenir Next Condensed" w:hAnsi="Avenir Next Condensed"/>
          <w:b/>
          <w:bCs/>
          <w:color w:val="156082" w:themeColor="accent1"/>
        </w:rPr>
        <w:tab/>
      </w:r>
    </w:p>
    <w:p w14:paraId="6DBC8B27" w14:textId="77777777" w:rsidR="0008130E" w:rsidRDefault="0008130E" w:rsidP="0008130E">
      <w:pPr>
        <w:rPr>
          <w:rFonts w:ascii="Avenir Next Condensed" w:hAnsi="Avenir Next Condensed"/>
        </w:rPr>
      </w:pPr>
    </w:p>
    <w:p w14:paraId="75335292" w14:textId="77777777" w:rsidR="0008130E" w:rsidRDefault="0008130E" w:rsidP="0008130E">
      <w:pPr>
        <w:rPr>
          <w:rFonts w:ascii="Avenir Next Condensed" w:hAnsi="Avenir Next Condensed"/>
        </w:rPr>
      </w:pPr>
    </w:p>
    <w:p w14:paraId="4CF3B189" w14:textId="77777777" w:rsidR="0008130E" w:rsidRDefault="0008130E" w:rsidP="0008130E">
      <w:pPr>
        <w:rPr>
          <w:rFonts w:ascii="Avenir Next Condensed" w:hAnsi="Avenir Next Condensed"/>
        </w:rPr>
      </w:pPr>
    </w:p>
    <w:p w14:paraId="3BEEB068" w14:textId="3E433624" w:rsidR="0008130E" w:rsidRDefault="0008130E" w:rsidP="0008130E">
      <w:pPr>
        <w:rPr>
          <w:rFonts w:ascii="Avenir Next Condensed" w:eastAsia="Avenir" w:hAnsi="Avenir Next Condensed" w:cs="Avenir"/>
          <w:b/>
          <w:bCs/>
          <w:color w:val="156082" w:themeColor="accent1"/>
          <w:sz w:val="28"/>
          <w:szCs w:val="28"/>
        </w:rPr>
      </w:pPr>
      <w:r w:rsidRPr="003B4067">
        <w:rPr>
          <w:rFonts w:ascii="Avenir Next Condensed" w:eastAsia="Avenir" w:hAnsi="Avenir Next Condensed" w:cs="Avenir"/>
          <w:b/>
          <w:bCs/>
          <w:color w:val="156082" w:themeColor="accent1"/>
          <w:sz w:val="28"/>
          <w:szCs w:val="28"/>
        </w:rPr>
        <w:t xml:space="preserve">ABOUT </w:t>
      </w:r>
      <w:r w:rsidR="00D25CE6">
        <w:rPr>
          <w:rFonts w:ascii="Avenir Next Condensed" w:eastAsia="Avenir" w:hAnsi="Avenir Next Condensed" w:cs="Avenir"/>
          <w:b/>
          <w:bCs/>
          <w:color w:val="156082" w:themeColor="accent1"/>
          <w:sz w:val="28"/>
          <w:szCs w:val="28"/>
        </w:rPr>
        <w:t>THE MIGRANT RIGHTS RESEARCH OPEN REPOSITORY (MRRORS)</w:t>
      </w:r>
    </w:p>
    <w:p w14:paraId="4C4E487D" w14:textId="77777777" w:rsidR="00D25CE6" w:rsidRDefault="00D25CE6" w:rsidP="0008130E">
      <w:pPr>
        <w:rPr>
          <w:rFonts w:ascii="Avenir Next Condensed" w:eastAsia="Avenir" w:hAnsi="Avenir Next Condensed" w:cs="Avenir"/>
          <w:b/>
          <w:bCs/>
          <w:color w:val="156082" w:themeColor="accent1"/>
          <w:sz w:val="28"/>
          <w:szCs w:val="28"/>
        </w:rPr>
      </w:pPr>
    </w:p>
    <w:p w14:paraId="327DADE8" w14:textId="27CCC0E0" w:rsidR="00D25CE6" w:rsidRPr="00D25CE6" w:rsidRDefault="00D25CE6" w:rsidP="00D25CE6">
      <w:pPr>
        <w:pStyle w:val="NormalWeb"/>
        <w:shd w:val="clear" w:color="auto" w:fill="FFFFFF"/>
        <w:spacing w:before="0" w:beforeAutospacing="0" w:after="240" w:afterAutospacing="0"/>
        <w:rPr>
          <w:rFonts w:ascii="Avenir Next Condensed" w:hAnsi="Avenir Next Condensed" w:cs="Arial"/>
          <w:color w:val="222222"/>
        </w:rPr>
      </w:pPr>
      <w:r w:rsidRPr="00D25CE6">
        <w:rPr>
          <w:rFonts w:ascii="Avenir Next Condensed" w:hAnsi="Avenir Next Condensed"/>
          <w:color w:val="1D1D1E"/>
          <w:shd w:val="clear" w:color="auto" w:fill="FFFFFF"/>
        </w:rPr>
        <w:t>MRRORS (Migrant Rights Research Open Repository) aims</w:t>
      </w:r>
      <w:r w:rsidRPr="00D25CE6">
        <w:rPr>
          <w:rFonts w:ascii="Avenir Next Condensed" w:hAnsi="Avenir Next Condensed" w:cs="Arial"/>
          <w:color w:val="1D1D1E"/>
        </w:rPr>
        <w:t xml:space="preserve"> to advance the rights of migrant workers in the Gulf Cooperation Council (GCC) and its corridors of migration through rigorous research, documentation, and advocacy.</w:t>
      </w:r>
    </w:p>
    <w:p w14:paraId="1A857925" w14:textId="77777777" w:rsidR="00D25CE6" w:rsidRPr="00D25CE6" w:rsidRDefault="00D25CE6" w:rsidP="00D25CE6">
      <w:pPr>
        <w:pStyle w:val="NormalWeb"/>
        <w:shd w:val="clear" w:color="auto" w:fill="FFFFFF"/>
        <w:spacing w:before="0" w:beforeAutospacing="0" w:after="240" w:afterAutospacing="0"/>
        <w:rPr>
          <w:rFonts w:ascii="Avenir Next Condensed" w:hAnsi="Avenir Next Condensed" w:cs="Arial"/>
          <w:color w:val="222222"/>
        </w:rPr>
      </w:pPr>
      <w:r w:rsidRPr="00D25CE6">
        <w:rPr>
          <w:rFonts w:ascii="Avenir Next Condensed" w:hAnsi="Avenir Next Condensed" w:cs="Arial"/>
          <w:color w:val="1D1D1E"/>
        </w:rPr>
        <w:t>MRRORS builds on nearly two decades of work documenting migrant narratives, sparking local debate, and driving change in attitudes, policies, and practices toward migrant workers.</w:t>
      </w:r>
    </w:p>
    <w:p w14:paraId="0D854E72" w14:textId="77777777" w:rsidR="00D25CE6" w:rsidRPr="00D25CE6" w:rsidRDefault="00D25CE6" w:rsidP="00D25CE6">
      <w:pPr>
        <w:pStyle w:val="NormalWeb"/>
        <w:shd w:val="clear" w:color="auto" w:fill="FFFFFF"/>
        <w:spacing w:before="240" w:beforeAutospacing="0" w:after="240" w:afterAutospacing="0"/>
        <w:rPr>
          <w:rFonts w:ascii="Avenir Next Condensed" w:hAnsi="Avenir Next Condensed" w:cs="Arial"/>
          <w:color w:val="222222"/>
        </w:rPr>
      </w:pPr>
      <w:r w:rsidRPr="00D25CE6">
        <w:rPr>
          <w:rFonts w:ascii="Avenir Next Condensed" w:hAnsi="Avenir Next Condensed" w:cs="Arial"/>
          <w:color w:val="1D1D1E"/>
        </w:rPr>
        <w:t xml:space="preserve">Operating since 2007 as </w:t>
      </w:r>
      <w:hyperlink r:id="rId12" w:tgtFrame="_blank" w:history="1">
        <w:r w:rsidRPr="00D25CE6">
          <w:rPr>
            <w:rStyle w:val="Hyperlink"/>
            <w:rFonts w:ascii="Avenir Next Condensed" w:eastAsiaTheme="majorEastAsia" w:hAnsi="Avenir Next Condensed" w:cs="Arial"/>
            <w:color w:val="156082"/>
          </w:rPr>
          <w:t>Migrant-Rights.org</w:t>
        </w:r>
      </w:hyperlink>
      <w:r w:rsidRPr="00D25CE6">
        <w:rPr>
          <w:rFonts w:ascii="Avenir Next Condensed" w:hAnsi="Avenir Next Condensed" w:cs="Arial"/>
          <w:color w:val="156082"/>
        </w:rPr>
        <w:t xml:space="preserve"> </w:t>
      </w:r>
      <w:r w:rsidRPr="00D25CE6">
        <w:rPr>
          <w:rFonts w:ascii="Avenir Next Condensed" w:hAnsi="Avenir Next Condensed" w:cs="Arial"/>
          <w:color w:val="1D1D1E"/>
        </w:rPr>
        <w:t>under the umbrella of a wider human rights organisation, we are now an independent association under Swiss law. Our new name reflects our belief that migration is a lens through which wider social, economic, and political structures can be understood. Like a mirror to society, the MRRORS platform reveals the realities often made invisible while holding up the possibility of accountability and change.</w:t>
      </w:r>
    </w:p>
    <w:p w14:paraId="148AF80F" w14:textId="4E1F2243" w:rsidR="00D25CE6" w:rsidRPr="00D25CE6" w:rsidRDefault="00D25CE6" w:rsidP="0008130E">
      <w:pPr>
        <w:rPr>
          <w:rFonts w:ascii="Avenir Next Condensed" w:eastAsia="Avenir" w:hAnsi="Avenir Next Condensed" w:cs="Avenir"/>
          <w:color w:val="156082" w:themeColor="accent1"/>
          <w:sz w:val="28"/>
          <w:szCs w:val="28"/>
        </w:rPr>
      </w:pPr>
    </w:p>
    <w:p w14:paraId="4EF2653D" w14:textId="77777777" w:rsidR="0008130E" w:rsidRDefault="0008130E" w:rsidP="0008130E">
      <w:pPr>
        <w:rPr>
          <w:rFonts w:ascii="Avenir Next Condensed" w:eastAsia="Avenir" w:hAnsi="Avenir Next Condensed" w:cs="Avenir"/>
          <w:b/>
          <w:bCs/>
          <w:color w:val="156082" w:themeColor="accent1"/>
          <w:sz w:val="28"/>
          <w:szCs w:val="28"/>
        </w:rPr>
      </w:pPr>
    </w:p>
    <w:p w14:paraId="798313F3" w14:textId="77777777" w:rsidR="00A22C42" w:rsidRDefault="00A22C42"/>
    <w:p w14:paraId="0FA5F06E" w14:textId="77777777" w:rsidR="0008130E" w:rsidRDefault="0008130E"/>
    <w:p w14:paraId="019BDA23" w14:textId="77777777" w:rsidR="0008130E" w:rsidRDefault="0008130E"/>
    <w:p w14:paraId="1270CD83" w14:textId="77777777" w:rsidR="0008130E" w:rsidRDefault="0008130E"/>
    <w:p w14:paraId="7AD42BA0" w14:textId="77777777" w:rsidR="0008130E" w:rsidRDefault="0008130E"/>
    <w:p w14:paraId="1B8EF8FF" w14:textId="77777777" w:rsidR="0008130E" w:rsidRDefault="0008130E"/>
    <w:p w14:paraId="44207EA5" w14:textId="77777777" w:rsidR="0008130E" w:rsidRDefault="0008130E"/>
    <w:p w14:paraId="498B5BD7" w14:textId="77777777" w:rsidR="0008130E" w:rsidRDefault="0008130E"/>
    <w:p w14:paraId="6F3E17FA" w14:textId="77777777" w:rsidR="00D25CE6" w:rsidRDefault="00D25CE6"/>
    <w:p w14:paraId="321CC52A" w14:textId="77777777" w:rsidR="0008130E" w:rsidRDefault="0008130E"/>
    <w:p w14:paraId="5403013B" w14:textId="77777777" w:rsidR="00D25CE6" w:rsidRPr="00D25CE6" w:rsidRDefault="00D25CE6" w:rsidP="00D25CE6">
      <w:pPr>
        <w:jc w:val="center"/>
        <w:rPr>
          <w:rFonts w:ascii="Century Schoolbook" w:eastAsia="Century Schoolbook" w:hAnsi="Century Schoolbook" w:cs="Century Schoolbook"/>
          <w:b/>
          <w:bCs/>
          <w:color w:val="156082"/>
        </w:rPr>
      </w:pPr>
      <w:r w:rsidRPr="00D25CE6">
        <w:rPr>
          <w:rFonts w:ascii="Century Schoolbook" w:eastAsia="Century Schoolbook" w:hAnsi="Century Schoolbook" w:cs="Century Schoolbook"/>
          <w:b/>
          <w:bCs/>
          <w:color w:val="156082"/>
        </w:rPr>
        <w:lastRenderedPageBreak/>
        <w:t xml:space="preserve">Kuwait: Issues Related to the Detention of Migrant Workers </w:t>
      </w:r>
    </w:p>
    <w:p w14:paraId="12530F53" w14:textId="77777777" w:rsidR="00D25CE6" w:rsidRPr="00D25CE6" w:rsidRDefault="00D25CE6" w:rsidP="00D25CE6">
      <w:pPr>
        <w:jc w:val="center"/>
        <w:rPr>
          <w:rFonts w:ascii="Century Schoolbook" w:eastAsia="Century Schoolbook" w:hAnsi="Century Schoolbook" w:cs="Century Schoolbook"/>
          <w:b/>
          <w:bCs/>
          <w:color w:val="156082"/>
        </w:rPr>
      </w:pPr>
    </w:p>
    <w:p w14:paraId="177FA34B" w14:textId="77777777" w:rsidR="00D25CE6" w:rsidRPr="00D25CE6" w:rsidRDefault="00D25CE6" w:rsidP="00D25CE6">
      <w:pPr>
        <w:jc w:val="center"/>
        <w:rPr>
          <w:rFonts w:ascii="Century Schoolbook" w:eastAsia="Century Schoolbook" w:hAnsi="Century Schoolbook" w:cs="Century Schoolbook"/>
          <w:b/>
          <w:bCs/>
          <w:color w:val="156082"/>
        </w:rPr>
      </w:pPr>
      <w:r w:rsidRPr="00D25CE6">
        <w:rPr>
          <w:rFonts w:ascii="Century Schoolbook" w:eastAsia="Century Schoolbook" w:hAnsi="Century Schoolbook" w:cs="Century Schoolbook"/>
          <w:b/>
          <w:bCs/>
          <w:color w:val="156082"/>
        </w:rPr>
        <w:t>Submission to the UN Committee on the Elimination of Racial Discrimination (118</w:t>
      </w:r>
      <w:r w:rsidRPr="00D25CE6">
        <w:rPr>
          <w:rFonts w:ascii="Century Schoolbook" w:eastAsia="Century Schoolbook" w:hAnsi="Century Schoolbook" w:cs="Century Schoolbook"/>
          <w:b/>
          <w:bCs/>
          <w:color w:val="156082"/>
          <w:vertAlign w:val="superscript"/>
        </w:rPr>
        <w:t>th</w:t>
      </w:r>
      <w:r w:rsidRPr="00D25CE6">
        <w:rPr>
          <w:rFonts w:ascii="Century Schoolbook" w:eastAsia="Century Schoolbook" w:hAnsi="Century Schoolbook" w:cs="Century Schoolbook"/>
          <w:b/>
          <w:bCs/>
          <w:color w:val="156082"/>
        </w:rPr>
        <w:t xml:space="preserve"> Session)</w:t>
      </w:r>
    </w:p>
    <w:p w14:paraId="16A83A4F" w14:textId="77777777" w:rsidR="00D25CE6" w:rsidRPr="00D25CE6" w:rsidRDefault="00D25CE6" w:rsidP="00D25CE6">
      <w:pPr>
        <w:jc w:val="center"/>
        <w:rPr>
          <w:rFonts w:ascii="Century Schoolbook" w:eastAsia="Century Schoolbook" w:hAnsi="Century Schoolbook" w:cs="Century Schoolbook"/>
          <w:b/>
          <w:bCs/>
          <w:color w:val="156082"/>
        </w:rPr>
      </w:pPr>
    </w:p>
    <w:p w14:paraId="4ED195CE" w14:textId="77777777" w:rsidR="00D25CE6" w:rsidRPr="00D25CE6" w:rsidRDefault="00D25CE6" w:rsidP="00D25CE6">
      <w:pPr>
        <w:jc w:val="center"/>
        <w:rPr>
          <w:rFonts w:ascii="Century Schoolbook" w:eastAsia="Century Schoolbook" w:hAnsi="Century Schoolbook" w:cs="Century Schoolbook"/>
          <w:b/>
          <w:bCs/>
          <w:color w:val="156082"/>
        </w:rPr>
      </w:pPr>
      <w:r w:rsidRPr="00D25CE6">
        <w:rPr>
          <w:rFonts w:ascii="Century Schoolbook" w:eastAsia="Century Schoolbook" w:hAnsi="Century Schoolbook" w:cs="Century Schoolbook"/>
          <w:b/>
          <w:bCs/>
          <w:color w:val="156082"/>
        </w:rPr>
        <w:t>Submitted July 2026</w:t>
      </w:r>
    </w:p>
    <w:p w14:paraId="596CE703" w14:textId="77777777" w:rsidR="00D25CE6" w:rsidRDefault="00D25CE6" w:rsidP="00D25CE6">
      <w:pPr>
        <w:rPr>
          <w:rFonts w:ascii="Century Schoolbook" w:eastAsia="Century Schoolbook" w:hAnsi="Century Schoolbook" w:cs="Century Schoolbook"/>
          <w:b/>
          <w:bCs/>
        </w:rPr>
      </w:pPr>
    </w:p>
    <w:p w14:paraId="244E792C" w14:textId="77777777" w:rsidR="0008130E" w:rsidRPr="007B7335" w:rsidRDefault="0008130E" w:rsidP="00D25CE6">
      <w:pPr>
        <w:rPr>
          <w:rFonts w:ascii="Avenir Next Condensed" w:hAnsi="Avenir Next Condensed"/>
          <w:color w:val="156082" w:themeColor="accent1"/>
        </w:rPr>
      </w:pPr>
    </w:p>
    <w:p w14:paraId="718B57D6" w14:textId="77777777" w:rsidR="0008130E" w:rsidRPr="00D25CE6" w:rsidRDefault="0008130E" w:rsidP="0008130E">
      <w:pPr>
        <w:rPr>
          <w:color w:val="156082"/>
        </w:rPr>
      </w:pPr>
    </w:p>
    <w:p w14:paraId="7C6F8991" w14:textId="77777777" w:rsidR="00D25CE6" w:rsidRPr="00D25CE6" w:rsidRDefault="00D25CE6" w:rsidP="00D25CE6">
      <w:pPr>
        <w:rPr>
          <w:rFonts w:ascii="Century Schoolbook" w:eastAsia="Century Schoolbook" w:hAnsi="Century Schoolbook" w:cs="Century Schoolbook"/>
          <w:b/>
          <w:bCs/>
          <w:color w:val="156082"/>
        </w:rPr>
      </w:pPr>
      <w:r w:rsidRPr="00D25CE6">
        <w:rPr>
          <w:rFonts w:ascii="Century Schoolbook" w:eastAsia="Century Schoolbook" w:hAnsi="Century Schoolbook" w:cs="Century Schoolbook"/>
          <w:b/>
          <w:bCs/>
          <w:color w:val="156082"/>
        </w:rPr>
        <w:t>1. Introduction</w:t>
      </w:r>
    </w:p>
    <w:p w14:paraId="5DFD7F34" w14:textId="77777777" w:rsidR="00D25CE6" w:rsidRDefault="00D25CE6" w:rsidP="00D25CE6">
      <w:pPr>
        <w:rPr>
          <w:rFonts w:ascii="Century Schoolbook" w:eastAsia="Century Schoolbook" w:hAnsi="Century Schoolbook" w:cs="Century Schoolbook"/>
          <w:b/>
          <w:bCs/>
        </w:rPr>
      </w:pPr>
    </w:p>
    <w:p w14:paraId="6105CD93" w14:textId="77777777" w:rsidR="00D25CE6" w:rsidRDefault="00D25CE6" w:rsidP="00D25CE6">
      <w:pPr>
        <w:numPr>
          <w:ilvl w:val="1"/>
          <w:numId w:val="4"/>
        </w:numPr>
        <w:pBdr>
          <w:top w:val="nil"/>
          <w:left w:val="nil"/>
          <w:bottom w:val="nil"/>
          <w:right w:val="nil"/>
          <w:between w:val="nil"/>
        </w:pBdr>
        <w:rPr>
          <w:rFonts w:ascii="Century Schoolbook" w:eastAsia="Century Schoolbook" w:hAnsi="Century Schoolbook" w:cs="Century Schoolbook"/>
          <w:color w:val="000000"/>
        </w:rPr>
      </w:pPr>
      <w:r>
        <w:rPr>
          <w:rFonts w:ascii="Century Schoolbook" w:eastAsia="Century Schoolbook" w:hAnsi="Century Schoolbook" w:cs="Century Schoolbook"/>
          <w:color w:val="000000"/>
        </w:rPr>
        <w:t>The Global Detention Project (GDP) and the Migrant Rights Research open Repository (MRRORS) welcome the opportunity to provide information relevant to the review of Kuwait’s combined twenty fifth and twenty sixth periodic reports during the 118</w:t>
      </w:r>
      <w:r>
        <w:rPr>
          <w:rFonts w:ascii="Century Schoolbook" w:eastAsia="Century Schoolbook" w:hAnsi="Century Schoolbook" w:cs="Century Schoolbook"/>
          <w:color w:val="000000"/>
          <w:vertAlign w:val="superscript"/>
        </w:rPr>
        <w:t>th</w:t>
      </w:r>
      <w:r>
        <w:rPr>
          <w:rFonts w:ascii="Century Schoolbook" w:eastAsia="Century Schoolbook" w:hAnsi="Century Schoolbook" w:cs="Century Schoolbook"/>
          <w:color w:val="000000"/>
        </w:rPr>
        <w:t xml:space="preserve"> session of the UN Committee on the Elimination of Racial Discrimination. </w:t>
      </w:r>
    </w:p>
    <w:p w14:paraId="36AC5885" w14:textId="77777777" w:rsidR="00D25CE6" w:rsidRDefault="00D25CE6" w:rsidP="00D25CE6">
      <w:pPr>
        <w:pBdr>
          <w:top w:val="nil"/>
          <w:left w:val="nil"/>
          <w:bottom w:val="nil"/>
          <w:right w:val="nil"/>
          <w:between w:val="nil"/>
        </w:pBdr>
        <w:ind w:left="720"/>
        <w:rPr>
          <w:rFonts w:ascii="Century Schoolbook" w:eastAsia="Century Schoolbook" w:hAnsi="Century Schoolbook" w:cs="Century Schoolbook"/>
          <w:color w:val="000000"/>
        </w:rPr>
      </w:pPr>
    </w:p>
    <w:p w14:paraId="0CCCB12C" w14:textId="77777777" w:rsidR="00D25CE6" w:rsidRDefault="00D25CE6" w:rsidP="00D25CE6">
      <w:pPr>
        <w:numPr>
          <w:ilvl w:val="1"/>
          <w:numId w:val="4"/>
        </w:numPr>
        <w:pBdr>
          <w:top w:val="nil"/>
          <w:left w:val="nil"/>
          <w:bottom w:val="nil"/>
          <w:right w:val="nil"/>
          <w:between w:val="nil"/>
        </w:pBdr>
        <w:rPr>
          <w:rFonts w:ascii="Century Schoolbook" w:eastAsia="Century Schoolbook" w:hAnsi="Century Schoolbook" w:cs="Century Schoolbook"/>
          <w:color w:val="000000"/>
        </w:rPr>
      </w:pPr>
      <w:r>
        <w:rPr>
          <w:rFonts w:ascii="Century Schoolbook" w:eastAsia="Century Schoolbook" w:hAnsi="Century Schoolbook" w:cs="Century Schoolbook"/>
          <w:color w:val="000000"/>
        </w:rPr>
        <w:t xml:space="preserve">This submission focuses on Kuwait’s detention and removal of migrants on immigration status related grounds. An important consideration for making this submission has been the Committee’s position on immigration detention and border policies, laid out in its Joint General Recommendation (No.39/No.8) issued with the UN Committee on Migrant Workers (2025). </w:t>
      </w:r>
      <w:proofErr w:type="gramStart"/>
      <w:r>
        <w:rPr>
          <w:rFonts w:ascii="Century Schoolbook" w:eastAsia="Century Schoolbook" w:hAnsi="Century Schoolbook" w:cs="Century Schoolbook"/>
          <w:color w:val="000000"/>
        </w:rPr>
        <w:t>In particular, we</w:t>
      </w:r>
      <w:proofErr w:type="gramEnd"/>
      <w:r>
        <w:rPr>
          <w:rFonts w:ascii="Century Schoolbook" w:eastAsia="Century Schoolbook" w:hAnsi="Century Schoolbook" w:cs="Century Schoolbook"/>
          <w:color w:val="000000"/>
        </w:rPr>
        <w:t xml:space="preserve"> recall the following:</w:t>
      </w:r>
    </w:p>
    <w:p w14:paraId="23B5AA12" w14:textId="77777777" w:rsidR="00D25CE6" w:rsidRDefault="00D25CE6" w:rsidP="00D25CE6">
      <w:pPr>
        <w:rPr>
          <w:rFonts w:ascii="Century Schoolbook" w:eastAsia="Century Schoolbook" w:hAnsi="Century Schoolbook" w:cs="Century Schoolbook"/>
        </w:rPr>
      </w:pPr>
    </w:p>
    <w:p w14:paraId="0B4A3A27" w14:textId="77777777" w:rsidR="00D25CE6" w:rsidRDefault="00D25CE6" w:rsidP="00D25CE6">
      <w:pPr>
        <w:ind w:left="1418" w:right="521"/>
        <w:rPr>
          <w:rFonts w:ascii="Century Schoolbook" w:eastAsia="Century Schoolbook" w:hAnsi="Century Schoolbook" w:cs="Century Schoolbook"/>
          <w:b/>
          <w:bCs/>
          <w:i/>
          <w:iCs/>
        </w:rPr>
      </w:pPr>
      <w:r>
        <w:rPr>
          <w:rFonts w:ascii="Century Schoolbook" w:eastAsia="Century Schoolbook" w:hAnsi="Century Schoolbook" w:cs="Century Schoolbook"/>
          <w:i/>
          <w:iCs/>
        </w:rPr>
        <w:t>“The Committees recall that immigration detention is always harmful and disproportionate as an interim measure during administrative procedures or in response to an administrative irregularity or infraction. The Committees strongly recommend that States Parties take all appropriate measures without delay to progressively abolish migration-related detention policies and practices.”</w:t>
      </w:r>
      <w:r>
        <w:rPr>
          <w:rFonts w:ascii="Century Schoolbook" w:eastAsia="Century Schoolbook" w:hAnsi="Century Schoolbook" w:cs="Century Schoolbook"/>
          <w:b/>
          <w:bCs/>
          <w:i/>
          <w:iCs/>
        </w:rPr>
        <w:t xml:space="preserve"> </w:t>
      </w:r>
    </w:p>
    <w:p w14:paraId="39A593D4" w14:textId="77777777" w:rsidR="00D25CE6" w:rsidRDefault="00D25CE6" w:rsidP="00D25CE6">
      <w:pPr>
        <w:rPr>
          <w:rFonts w:ascii="Century Schoolbook" w:eastAsia="Century Schoolbook" w:hAnsi="Century Schoolbook" w:cs="Century Schoolbook"/>
        </w:rPr>
      </w:pPr>
      <w:r>
        <w:rPr>
          <w:rFonts w:ascii="Century Schoolbook" w:eastAsia="Century Schoolbook" w:hAnsi="Century Schoolbook" w:cs="Century Schoolbook"/>
        </w:rPr>
        <w:t xml:space="preserve"> </w:t>
      </w:r>
    </w:p>
    <w:p w14:paraId="268DAE05" w14:textId="77777777" w:rsidR="00D25CE6" w:rsidRDefault="00D25CE6" w:rsidP="00D25CE6">
      <w:pPr>
        <w:rPr>
          <w:rFonts w:ascii="Century Schoolbook" w:eastAsia="Century Schoolbook" w:hAnsi="Century Schoolbook" w:cs="Century Schoolbook"/>
          <w:b/>
          <w:bCs/>
          <w:color w:val="156082"/>
        </w:rPr>
      </w:pPr>
    </w:p>
    <w:p w14:paraId="2025058F" w14:textId="1D176BC2" w:rsidR="00D25CE6" w:rsidRPr="00D25CE6" w:rsidRDefault="00D25CE6" w:rsidP="00D25CE6">
      <w:pPr>
        <w:rPr>
          <w:rFonts w:ascii="Century Schoolbook" w:eastAsia="Century Schoolbook" w:hAnsi="Century Schoolbook" w:cs="Century Schoolbook"/>
          <w:b/>
          <w:bCs/>
          <w:color w:val="156082"/>
        </w:rPr>
      </w:pPr>
      <w:r w:rsidRPr="00D25CE6">
        <w:rPr>
          <w:rFonts w:ascii="Century Schoolbook" w:eastAsia="Century Schoolbook" w:hAnsi="Century Schoolbook" w:cs="Century Schoolbook"/>
          <w:b/>
          <w:bCs/>
          <w:color w:val="156082"/>
        </w:rPr>
        <w:t xml:space="preserve">2. Background </w:t>
      </w:r>
    </w:p>
    <w:p w14:paraId="4752F4BF" w14:textId="77777777" w:rsidR="00D25CE6" w:rsidRDefault="00D25CE6" w:rsidP="00D25CE6">
      <w:pPr>
        <w:rPr>
          <w:rFonts w:ascii="Century Schoolbook" w:eastAsia="Century Schoolbook" w:hAnsi="Century Schoolbook" w:cs="Century Schoolbook"/>
          <w:b/>
          <w:bCs/>
        </w:rPr>
      </w:pPr>
    </w:p>
    <w:p w14:paraId="54842D42" w14:textId="77777777" w:rsidR="00D25CE6" w:rsidRDefault="00D25CE6" w:rsidP="00D25CE6">
      <w:pPr>
        <w:ind w:left="567" w:hanging="567"/>
        <w:rPr>
          <w:rFonts w:ascii="Century Schoolbook" w:eastAsia="Century Schoolbook" w:hAnsi="Century Schoolbook" w:cs="Century Schoolbook"/>
        </w:rPr>
      </w:pPr>
      <w:r>
        <w:rPr>
          <w:rFonts w:ascii="Century Schoolbook" w:eastAsia="Century Schoolbook" w:hAnsi="Century Schoolbook" w:cs="Century Schoolbook"/>
        </w:rPr>
        <w:t xml:space="preserve">2.1 </w:t>
      </w:r>
      <w:r>
        <w:rPr>
          <w:rFonts w:ascii="Century Schoolbook" w:eastAsia="Century Schoolbook" w:hAnsi="Century Schoolbook" w:cs="Century Schoolbook"/>
        </w:rPr>
        <w:tab/>
        <w:t>Kuwait is an important destination for migrant workers, particularly from South and Southeast Asia, and more recently from East Africa. As of January 2025, 68 percent of the population was non-Kuwaiti.</w:t>
      </w:r>
      <w:r>
        <w:rPr>
          <w:rFonts w:ascii="Century Schoolbook" w:eastAsia="Century Schoolbook" w:hAnsi="Century Schoolbook" w:cs="Century Schoolbook"/>
          <w:vertAlign w:val="superscript"/>
        </w:rPr>
        <w:footnoteReference w:id="1"/>
      </w:r>
    </w:p>
    <w:p w14:paraId="6DC93010" w14:textId="77777777" w:rsidR="00D25CE6" w:rsidRDefault="00D25CE6" w:rsidP="00D25CE6">
      <w:pPr>
        <w:rPr>
          <w:rFonts w:ascii="Century Schoolbook" w:eastAsia="Century Schoolbook" w:hAnsi="Century Schoolbook" w:cs="Century Schoolbook"/>
        </w:rPr>
      </w:pPr>
    </w:p>
    <w:p w14:paraId="5A45D603" w14:textId="073A98ED" w:rsidR="00D25CE6" w:rsidRDefault="00D25CE6" w:rsidP="00D25CE6">
      <w:pPr>
        <w:ind w:left="567" w:hanging="567"/>
        <w:rPr>
          <w:rFonts w:ascii="Century Schoolbook" w:eastAsia="Century Schoolbook" w:hAnsi="Century Schoolbook" w:cs="Century Schoolbook"/>
        </w:rPr>
      </w:pPr>
      <w:r>
        <w:rPr>
          <w:rFonts w:ascii="Century Schoolbook" w:eastAsia="Century Schoolbook" w:hAnsi="Century Schoolbook" w:cs="Century Schoolbook"/>
        </w:rPr>
        <w:t xml:space="preserve">2.2 </w:t>
      </w:r>
      <w:r>
        <w:rPr>
          <w:rFonts w:ascii="Century Schoolbook" w:eastAsia="Century Schoolbook" w:hAnsi="Century Schoolbook" w:cs="Century Schoolbook"/>
        </w:rPr>
        <w:tab/>
        <w:t>While the country relies heavily on migrant workers, it has adopted a policy of labour “nationalisation”</w:t>
      </w:r>
      <w:proofErr w:type="gramStart"/>
      <w:r>
        <w:rPr>
          <w:rFonts w:ascii="Century Schoolbook" w:eastAsia="Century Schoolbook" w:hAnsi="Century Schoolbook" w:cs="Century Schoolbook"/>
        </w:rPr>
        <w:t>–“</w:t>
      </w:r>
      <w:proofErr w:type="gramEnd"/>
      <w:r>
        <w:rPr>
          <w:rFonts w:ascii="Century Schoolbook" w:eastAsia="Century Schoolbook" w:hAnsi="Century Schoolbook" w:cs="Century Schoolbook"/>
        </w:rPr>
        <w:t xml:space="preserve">Kuwaitization”–in which it has sought to reduce its dependence on migrant labour and increase the employment of Kuwaiti nationals in the public and private sectors. Authorities have introduced quotas for Kuwaiti hires within specific sectors, and authorities </w:t>
      </w:r>
      <w:r>
        <w:rPr>
          <w:rFonts w:ascii="Century Schoolbook" w:eastAsia="Century Schoolbook" w:hAnsi="Century Schoolbook" w:cs="Century Schoolbook"/>
        </w:rPr>
        <w:lastRenderedPageBreak/>
        <w:t>have sought to cap migrant worker arrivals from specific countries. Egyptians, for example, have been amongst those targeted, with new conditions introduced in 2022 such as requiring them to pay 100 USD entry fee, increased work permit fees, and the requirement for a medical evaluation from specific health centres.</w:t>
      </w:r>
      <w:r>
        <w:rPr>
          <w:rFonts w:ascii="Century Schoolbook" w:eastAsia="Century Schoolbook" w:hAnsi="Century Schoolbook" w:cs="Century Schoolbook"/>
          <w:vertAlign w:val="superscript"/>
        </w:rPr>
        <w:footnoteReference w:id="2"/>
      </w:r>
    </w:p>
    <w:p w14:paraId="44302933" w14:textId="77777777" w:rsidR="00D25CE6" w:rsidRDefault="00D25CE6" w:rsidP="00D25CE6">
      <w:pPr>
        <w:ind w:left="567" w:hanging="567"/>
        <w:rPr>
          <w:rFonts w:ascii="Century Schoolbook" w:eastAsia="Century Schoolbook" w:hAnsi="Century Schoolbook" w:cs="Century Schoolbook"/>
        </w:rPr>
      </w:pPr>
    </w:p>
    <w:p w14:paraId="06A969E4" w14:textId="77777777" w:rsidR="00D25CE6" w:rsidRDefault="00D25CE6" w:rsidP="00D25CE6">
      <w:pPr>
        <w:ind w:left="567" w:hanging="567"/>
        <w:rPr>
          <w:rFonts w:ascii="Century Schoolbook" w:eastAsia="Century Schoolbook" w:hAnsi="Century Schoolbook" w:cs="Century Schoolbook"/>
        </w:rPr>
      </w:pPr>
      <w:r>
        <w:rPr>
          <w:rFonts w:ascii="Century Schoolbook" w:eastAsia="Century Schoolbook" w:hAnsi="Century Schoolbook" w:cs="Century Schoolbook"/>
        </w:rPr>
        <w:t>2.3</w:t>
      </w:r>
      <w:r>
        <w:rPr>
          <w:rFonts w:ascii="Century Schoolbook" w:eastAsia="Century Schoolbook" w:hAnsi="Century Schoolbook" w:cs="Century Schoolbook"/>
        </w:rPr>
        <w:tab/>
        <w:t xml:space="preserve">Simultaneously, authorities have carried out a series of enforcement actions in recent years, targeting non-citizens for arrest and deportation, </w:t>
      </w:r>
      <w:proofErr w:type="gramStart"/>
      <w:r>
        <w:rPr>
          <w:rFonts w:ascii="Century Schoolbook" w:eastAsia="Century Schoolbook" w:hAnsi="Century Schoolbook" w:cs="Century Schoolbook"/>
        </w:rPr>
        <w:t>in particular</w:t>
      </w:r>
      <w:proofErr w:type="gramEnd"/>
      <w:r>
        <w:rPr>
          <w:rFonts w:ascii="Century Schoolbook" w:eastAsia="Century Schoolbook" w:hAnsi="Century Schoolbook" w:cs="Century Schoolbook"/>
        </w:rPr>
        <w:t xml:space="preserve"> those without valid residence papers or work visas. Successive crackdowns have led to the expulsion of tens of thousands of non-nationals, as well as over-crowding in detention centres and prisons. </w:t>
      </w:r>
    </w:p>
    <w:p w14:paraId="2C4FF392" w14:textId="77777777" w:rsidR="00D25CE6" w:rsidRDefault="00D25CE6" w:rsidP="00D25CE6">
      <w:pPr>
        <w:ind w:left="567" w:hanging="567"/>
        <w:rPr>
          <w:rFonts w:ascii="Century Schoolbook" w:eastAsia="Century Schoolbook" w:hAnsi="Century Schoolbook" w:cs="Century Schoolbook"/>
        </w:rPr>
      </w:pPr>
    </w:p>
    <w:p w14:paraId="123FF42B" w14:textId="77777777" w:rsidR="00D25CE6" w:rsidRDefault="00D25CE6" w:rsidP="00D25CE6">
      <w:pPr>
        <w:ind w:left="567" w:hanging="567"/>
        <w:rPr>
          <w:rFonts w:ascii="Century Schoolbook" w:eastAsia="Century Schoolbook" w:hAnsi="Century Schoolbook" w:cs="Century Schoolbook"/>
        </w:rPr>
      </w:pPr>
      <w:r>
        <w:rPr>
          <w:rFonts w:ascii="Century Schoolbook" w:eastAsia="Century Schoolbook" w:hAnsi="Century Schoolbook" w:cs="Century Schoolbook"/>
        </w:rPr>
        <w:t xml:space="preserve">2.3 </w:t>
      </w:r>
      <w:r>
        <w:rPr>
          <w:rFonts w:ascii="Century Schoolbook" w:eastAsia="Century Schoolbook" w:hAnsi="Century Schoolbook" w:cs="Century Schoolbook"/>
        </w:rPr>
        <w:tab/>
        <w:t>Like many Gulf States, Kuwait maintains an employer-tied visa system (</w:t>
      </w:r>
      <w:r>
        <w:rPr>
          <w:rFonts w:ascii="Century Schoolbook" w:eastAsia="Century Schoolbook" w:hAnsi="Century Schoolbook" w:cs="Century Schoolbook"/>
          <w:i/>
          <w:iCs/>
        </w:rPr>
        <w:t xml:space="preserve">kafala </w:t>
      </w:r>
      <w:r>
        <w:rPr>
          <w:rFonts w:ascii="Century Schoolbook" w:eastAsia="Century Schoolbook" w:hAnsi="Century Schoolbook" w:cs="Century Schoolbook"/>
        </w:rPr>
        <w:t>system), which exposes migrant workers to a variety of abuses such as passport and wage confiscation, movement restrictions, labour exploitation, and physical, sexual, and psychological violence. Those who seek to change or leave their employer are left vulnerable to arrest, detention, and deportation for illegal stay. Under this sponsorship system, the migrant’s work and residence permit is linked to the employer (</w:t>
      </w:r>
      <w:r>
        <w:rPr>
          <w:rFonts w:ascii="Century Schoolbook" w:eastAsia="Century Schoolbook" w:hAnsi="Century Schoolbook" w:cs="Century Schoolbook"/>
          <w:i/>
          <w:iCs/>
        </w:rPr>
        <w:t xml:space="preserve">Kafeel), </w:t>
      </w:r>
      <w:r>
        <w:rPr>
          <w:rFonts w:ascii="Century Schoolbook" w:eastAsia="Century Schoolbook" w:hAnsi="Century Schoolbook" w:cs="Century Schoolbook"/>
        </w:rPr>
        <w:t xml:space="preserve">with no recourse to renew their visas independently. </w:t>
      </w:r>
    </w:p>
    <w:p w14:paraId="3A86DE14" w14:textId="77777777" w:rsidR="00D25CE6" w:rsidRDefault="00D25CE6" w:rsidP="00D25CE6">
      <w:pPr>
        <w:rPr>
          <w:rFonts w:ascii="Century Schoolbook" w:eastAsia="Century Schoolbook" w:hAnsi="Century Schoolbook" w:cs="Century Schoolbook"/>
        </w:rPr>
      </w:pPr>
    </w:p>
    <w:p w14:paraId="6302718A" w14:textId="77777777" w:rsidR="00D25CE6" w:rsidRDefault="00D25CE6" w:rsidP="00D25CE6">
      <w:pPr>
        <w:ind w:left="567" w:hanging="567"/>
        <w:rPr>
          <w:rFonts w:ascii="Century Schoolbook" w:eastAsia="Century Schoolbook" w:hAnsi="Century Schoolbook" w:cs="Century Schoolbook"/>
        </w:rPr>
      </w:pPr>
      <w:r>
        <w:rPr>
          <w:rFonts w:ascii="Century Schoolbook" w:eastAsia="Century Schoolbook" w:hAnsi="Century Schoolbook" w:cs="Century Schoolbook"/>
        </w:rPr>
        <w:t xml:space="preserve">2.4 </w:t>
      </w:r>
      <w:r>
        <w:rPr>
          <w:rFonts w:ascii="Century Schoolbook" w:eastAsia="Century Schoolbook" w:hAnsi="Century Schoolbook" w:cs="Century Schoolbook"/>
        </w:rPr>
        <w:tab/>
        <w:t xml:space="preserve">Additional protection concerns have also arisen within the context of recent hostilities involving Iran, with migrant workers facing heightened risks of arrest, detention, and deportation, as well as concerns regarding their safety and access to protection while in detention. </w:t>
      </w:r>
    </w:p>
    <w:p w14:paraId="6FCAB7E3" w14:textId="77777777" w:rsidR="00D25CE6" w:rsidRDefault="00D25CE6" w:rsidP="00D25CE6">
      <w:pPr>
        <w:ind w:left="567" w:hanging="567"/>
        <w:rPr>
          <w:rFonts w:ascii="Century Schoolbook" w:eastAsia="Century Schoolbook" w:hAnsi="Century Schoolbook" w:cs="Century Schoolbook"/>
        </w:rPr>
      </w:pPr>
    </w:p>
    <w:p w14:paraId="4EFD69DD" w14:textId="77777777" w:rsidR="00D25CE6" w:rsidRDefault="00D25CE6" w:rsidP="00D25CE6">
      <w:pPr>
        <w:ind w:left="567" w:hanging="567"/>
        <w:rPr>
          <w:rFonts w:ascii="Century Schoolbook" w:eastAsia="Century Schoolbook" w:hAnsi="Century Schoolbook" w:cs="Century Schoolbook"/>
        </w:rPr>
      </w:pPr>
    </w:p>
    <w:p w14:paraId="6AD31A6D" w14:textId="77777777" w:rsidR="00D25CE6" w:rsidRPr="00D25CE6" w:rsidRDefault="00D25CE6" w:rsidP="00D25CE6">
      <w:pPr>
        <w:pBdr>
          <w:top w:val="nil"/>
          <w:left w:val="nil"/>
          <w:bottom w:val="nil"/>
          <w:right w:val="nil"/>
          <w:between w:val="nil"/>
        </w:pBdr>
        <w:rPr>
          <w:rFonts w:ascii="Century Schoolbook" w:eastAsia="Century Schoolbook" w:hAnsi="Century Schoolbook" w:cs="Century Schoolbook"/>
          <w:b/>
          <w:bCs/>
          <w:color w:val="156082"/>
        </w:rPr>
      </w:pPr>
      <w:r w:rsidRPr="00D25CE6">
        <w:rPr>
          <w:rFonts w:ascii="Century Schoolbook" w:eastAsia="Century Schoolbook" w:hAnsi="Century Schoolbook" w:cs="Century Schoolbook"/>
          <w:b/>
          <w:bCs/>
          <w:color w:val="156082"/>
        </w:rPr>
        <w:t>3. Key Concerns Regarding Kuwait’s Compliance with the Convention</w:t>
      </w:r>
    </w:p>
    <w:p w14:paraId="3FA9AAF4" w14:textId="77777777" w:rsidR="00D25CE6" w:rsidRPr="00D25CE6" w:rsidRDefault="00D25CE6" w:rsidP="00D25CE6">
      <w:pPr>
        <w:rPr>
          <w:rFonts w:ascii="Century Schoolbook" w:eastAsia="Century Schoolbook" w:hAnsi="Century Schoolbook" w:cs="Century Schoolbook"/>
          <w:color w:val="156082"/>
        </w:rPr>
      </w:pPr>
    </w:p>
    <w:p w14:paraId="6B1026EF" w14:textId="77777777" w:rsidR="00D25CE6" w:rsidRPr="00D25CE6" w:rsidRDefault="00D25CE6" w:rsidP="00D25CE6">
      <w:pPr>
        <w:rPr>
          <w:rFonts w:ascii="Century Schoolbook" w:eastAsia="Century Schoolbook" w:hAnsi="Century Schoolbook" w:cs="Century Schoolbook"/>
          <w:b/>
          <w:bCs/>
          <w:color w:val="156082"/>
        </w:rPr>
      </w:pPr>
      <w:r w:rsidRPr="00D25CE6">
        <w:rPr>
          <w:rFonts w:ascii="Century Schoolbook" w:eastAsia="Century Schoolbook" w:hAnsi="Century Schoolbook" w:cs="Century Schoolbook"/>
          <w:b/>
          <w:bCs/>
          <w:color w:val="156082"/>
        </w:rPr>
        <w:t xml:space="preserve">3.1 Legislative Concerns </w:t>
      </w:r>
    </w:p>
    <w:p w14:paraId="65B285EC" w14:textId="77777777" w:rsidR="00D25CE6" w:rsidRDefault="00D25CE6" w:rsidP="00D25CE6">
      <w:pPr>
        <w:rPr>
          <w:rFonts w:ascii="Century Schoolbook" w:eastAsia="Century Schoolbook" w:hAnsi="Century Schoolbook" w:cs="Century Schoolbook"/>
        </w:rPr>
      </w:pPr>
    </w:p>
    <w:p w14:paraId="0CC8AC8B" w14:textId="77777777" w:rsidR="00D25CE6" w:rsidRDefault="00D25CE6" w:rsidP="00D25CE6">
      <w:pPr>
        <w:ind w:left="851" w:hanging="851"/>
        <w:rPr>
          <w:rFonts w:ascii="Century Schoolbook" w:eastAsia="Century Schoolbook" w:hAnsi="Century Schoolbook" w:cs="Century Schoolbook"/>
        </w:rPr>
      </w:pPr>
      <w:r>
        <w:rPr>
          <w:rFonts w:ascii="Century Schoolbook" w:eastAsia="Century Schoolbook" w:hAnsi="Century Schoolbook" w:cs="Century Schoolbook"/>
        </w:rPr>
        <w:t>3.1.a</w:t>
      </w:r>
      <w:r>
        <w:rPr>
          <w:rFonts w:ascii="Century Schoolbook" w:eastAsia="Century Schoolbook" w:hAnsi="Century Schoolbook" w:cs="Century Schoolbook"/>
        </w:rPr>
        <w:tab/>
      </w:r>
      <w:r>
        <w:rPr>
          <w:rFonts w:ascii="Century Schoolbook" w:eastAsia="Century Schoolbook" w:hAnsi="Century Schoolbook" w:cs="Century Schoolbook"/>
          <w:color w:val="212529"/>
          <w:highlight w:val="white"/>
        </w:rPr>
        <w:t xml:space="preserve">The legal status of migrant workers in Kuwait is governed by the </w:t>
      </w:r>
      <w:hyperlink r:id="rId13">
        <w:r>
          <w:rPr>
            <w:rFonts w:ascii="Century Schoolbook" w:eastAsia="Century Schoolbook" w:hAnsi="Century Schoolbook" w:cs="Century Schoolbook"/>
            <w:b/>
            <w:bCs/>
            <w:color w:val="467886"/>
            <w:highlight w:val="white"/>
            <w:u w:val="single"/>
          </w:rPr>
          <w:t>Foreigners’ Residence Law</w:t>
        </w:r>
      </w:hyperlink>
      <w:r>
        <w:rPr>
          <w:rFonts w:ascii="Century Schoolbook" w:eastAsia="Century Schoolbook" w:hAnsi="Century Schoolbook" w:cs="Century Schoolbook"/>
          <w:b/>
          <w:bCs/>
          <w:color w:val="212529"/>
          <w:highlight w:val="white"/>
        </w:rPr>
        <w:t xml:space="preserve"> (Amiri Decree No. 114 of 2024)</w:t>
      </w:r>
      <w:r>
        <w:rPr>
          <w:rFonts w:ascii="Century Schoolbook" w:eastAsia="Century Schoolbook" w:hAnsi="Century Schoolbook" w:cs="Century Schoolbook"/>
          <w:color w:val="212529"/>
          <w:highlight w:val="white"/>
        </w:rPr>
        <w:t xml:space="preserve"> and the </w:t>
      </w:r>
      <w:hyperlink r:id="rId14">
        <w:r>
          <w:rPr>
            <w:rFonts w:ascii="Century Schoolbook" w:eastAsia="Century Schoolbook" w:hAnsi="Century Schoolbook" w:cs="Century Schoolbook"/>
            <w:b/>
            <w:bCs/>
            <w:color w:val="467886"/>
            <w:highlight w:val="white"/>
            <w:u w:val="single"/>
          </w:rPr>
          <w:t>Private Sector Labour Law</w:t>
        </w:r>
      </w:hyperlink>
      <w:r>
        <w:rPr>
          <w:rFonts w:ascii="Century Schoolbook" w:eastAsia="Century Schoolbook" w:hAnsi="Century Schoolbook" w:cs="Century Schoolbook"/>
          <w:b/>
          <w:bCs/>
          <w:color w:val="212529"/>
          <w:highlight w:val="white"/>
        </w:rPr>
        <w:t xml:space="preserve"> No. 6 of 2010</w:t>
      </w:r>
      <w:r>
        <w:rPr>
          <w:rFonts w:ascii="Century Schoolbook" w:eastAsia="Century Schoolbook" w:hAnsi="Century Schoolbook" w:cs="Century Schoolbook"/>
          <w:color w:val="212529"/>
          <w:highlight w:val="white"/>
        </w:rPr>
        <w:t xml:space="preserve"> (Labour Law). Domestic workers are excluded </w:t>
      </w:r>
      <w:r>
        <w:rPr>
          <w:rFonts w:ascii="Century Schoolbook" w:eastAsia="Century Schoolbook" w:hAnsi="Century Schoolbook" w:cs="Century Schoolbook"/>
        </w:rPr>
        <w:t xml:space="preserve">from the Labour Law and instead fall under </w:t>
      </w:r>
      <w:hyperlink r:id="rId15">
        <w:r>
          <w:rPr>
            <w:rFonts w:ascii="Century Schoolbook" w:eastAsia="Century Schoolbook" w:hAnsi="Century Schoolbook" w:cs="Century Schoolbook"/>
            <w:b/>
            <w:bCs/>
            <w:color w:val="467886"/>
            <w:u w:val="single"/>
          </w:rPr>
          <w:t>Law No.68 of 2015 Concerning Domestic Workers</w:t>
        </w:r>
      </w:hyperlink>
      <w:r>
        <w:rPr>
          <w:rFonts w:ascii="Century Schoolbook" w:eastAsia="Century Schoolbook" w:hAnsi="Century Schoolbook" w:cs="Century Schoolbook"/>
        </w:rPr>
        <w:t xml:space="preserve">. </w:t>
      </w:r>
    </w:p>
    <w:p w14:paraId="09900300" w14:textId="77777777" w:rsidR="00D25CE6" w:rsidRDefault="00D25CE6" w:rsidP="00D25CE6">
      <w:pPr>
        <w:ind w:left="851" w:hanging="851"/>
        <w:rPr>
          <w:rFonts w:ascii="Century Schoolbook" w:eastAsia="Century Schoolbook" w:hAnsi="Century Schoolbook" w:cs="Century Schoolbook"/>
        </w:rPr>
      </w:pPr>
    </w:p>
    <w:p w14:paraId="74CFDACF" w14:textId="77777777" w:rsidR="00D25CE6" w:rsidRDefault="00D25CE6" w:rsidP="00D25CE6">
      <w:pPr>
        <w:ind w:left="851" w:hanging="851"/>
        <w:rPr>
          <w:rFonts w:ascii="Century Schoolbook" w:eastAsia="Century Schoolbook" w:hAnsi="Century Schoolbook" w:cs="Century Schoolbook"/>
        </w:rPr>
      </w:pPr>
      <w:r>
        <w:rPr>
          <w:rFonts w:ascii="Century Schoolbook" w:eastAsia="Century Schoolbook" w:hAnsi="Century Schoolbook" w:cs="Century Schoolbook"/>
        </w:rPr>
        <w:t>3.1.b</w:t>
      </w:r>
      <w:r>
        <w:rPr>
          <w:rFonts w:ascii="Century Schoolbook" w:eastAsia="Century Schoolbook" w:hAnsi="Century Schoolbook" w:cs="Century Schoolbook"/>
        </w:rPr>
        <w:tab/>
        <w:t xml:space="preserve">According to Article 20 of the Foreigners’ Residence Law, the Ministry of Interior can deport any foreigner, even if they hold a residence permit, according to broad, and vague grounds: </w:t>
      </w:r>
      <w:proofErr w:type="spellStart"/>
      <w:r>
        <w:rPr>
          <w:rFonts w:ascii="Century Schoolbook" w:eastAsia="Century Schoolbook" w:hAnsi="Century Schoolbook" w:cs="Century Schoolbook"/>
        </w:rPr>
        <w:t>i</w:t>
      </w:r>
      <w:proofErr w:type="spellEnd"/>
      <w:r>
        <w:rPr>
          <w:rFonts w:ascii="Century Schoolbook" w:eastAsia="Century Schoolbook" w:hAnsi="Century Schoolbook" w:cs="Century Schoolbook"/>
        </w:rPr>
        <w:t xml:space="preserve">) if they lack a legitimate income source; ii) if they violate provisions of Article 19 (such as working for an organisation without prior permission from their previous employer); and iii) if the Minister of Interior determines their deportation is necessary for the public interest, security, or morals. </w:t>
      </w:r>
    </w:p>
    <w:p w14:paraId="650A1FCC" w14:textId="77777777" w:rsidR="00D25CE6" w:rsidRDefault="00D25CE6" w:rsidP="00D25CE6">
      <w:pPr>
        <w:ind w:left="851" w:hanging="851"/>
        <w:rPr>
          <w:rFonts w:ascii="Century Schoolbook" w:eastAsia="Century Schoolbook" w:hAnsi="Century Schoolbook" w:cs="Century Schoolbook"/>
        </w:rPr>
      </w:pPr>
    </w:p>
    <w:p w14:paraId="5072C4D4" w14:textId="77777777" w:rsidR="00D25CE6" w:rsidRDefault="00D25CE6" w:rsidP="00D25CE6">
      <w:pPr>
        <w:ind w:left="851" w:hanging="851"/>
        <w:rPr>
          <w:rFonts w:ascii="Century Schoolbook" w:eastAsia="Century Schoolbook" w:hAnsi="Century Schoolbook" w:cs="Century Schoolbook"/>
        </w:rPr>
      </w:pPr>
      <w:r>
        <w:rPr>
          <w:rFonts w:ascii="Century Schoolbook" w:eastAsia="Century Schoolbook" w:hAnsi="Century Schoolbook" w:cs="Century Schoolbook"/>
        </w:rPr>
        <w:t>3.1.c</w:t>
      </w:r>
      <w:r>
        <w:rPr>
          <w:rFonts w:ascii="Century Schoolbook" w:eastAsia="Century Schoolbook" w:hAnsi="Century Schoolbook" w:cs="Century Schoolbook"/>
        </w:rPr>
        <w:tab/>
      </w:r>
      <w:r>
        <w:rPr>
          <w:rFonts w:ascii="Century Schoolbook" w:eastAsia="Century Schoolbook" w:hAnsi="Century Schoolbook" w:cs="Century Schoolbook"/>
          <w:color w:val="212529"/>
          <w:highlight w:val="white"/>
        </w:rPr>
        <w:t xml:space="preserve">Article 22 of the 2024 Foreigners’ Residence Law provides for the detention of migrants for the purposes of their deportation for thirty days–although this can be extended if needed to implement their removal. </w:t>
      </w:r>
      <w:r>
        <w:rPr>
          <w:rFonts w:ascii="Century Schoolbook" w:eastAsia="Century Schoolbook" w:hAnsi="Century Schoolbook" w:cs="Century Schoolbook"/>
        </w:rPr>
        <w:t>Importantly, there are no provisions requiring assessment of whether detained migrants are victims of trafficking or labour abuse by their sponsors, or determination of specific vulnerabilities or risks, or judicial authorisation or court oversight.</w:t>
      </w:r>
    </w:p>
    <w:p w14:paraId="5DF5CC2F" w14:textId="77777777" w:rsidR="00D25CE6" w:rsidRDefault="00D25CE6" w:rsidP="00D25CE6">
      <w:pPr>
        <w:ind w:left="851" w:hanging="851"/>
        <w:rPr>
          <w:rFonts w:ascii="Century Schoolbook" w:eastAsia="Century Schoolbook" w:hAnsi="Century Schoolbook" w:cs="Century Schoolbook"/>
        </w:rPr>
      </w:pPr>
    </w:p>
    <w:p w14:paraId="39A718BE" w14:textId="77777777" w:rsidR="00D25CE6" w:rsidRDefault="00D25CE6" w:rsidP="00D25CE6">
      <w:pPr>
        <w:ind w:left="851" w:hanging="851"/>
        <w:rPr>
          <w:rFonts w:ascii="Century Schoolbook" w:eastAsia="Century Schoolbook" w:hAnsi="Century Schoolbook" w:cs="Century Schoolbook"/>
        </w:rPr>
      </w:pPr>
      <w:r>
        <w:rPr>
          <w:rFonts w:ascii="Century Schoolbook" w:eastAsia="Century Schoolbook" w:hAnsi="Century Schoolbook" w:cs="Century Schoolbook"/>
        </w:rPr>
        <w:t>3.</w:t>
      </w:r>
      <w:proofErr w:type="gramStart"/>
      <w:r>
        <w:rPr>
          <w:rFonts w:ascii="Century Schoolbook" w:eastAsia="Century Schoolbook" w:hAnsi="Century Schoolbook" w:cs="Century Schoolbook"/>
        </w:rPr>
        <w:t>1.d</w:t>
      </w:r>
      <w:proofErr w:type="gramEnd"/>
      <w:r>
        <w:rPr>
          <w:rFonts w:ascii="Century Schoolbook" w:eastAsia="Century Schoolbook" w:hAnsi="Century Schoolbook" w:cs="Century Schoolbook"/>
        </w:rPr>
        <w:tab/>
        <w:t xml:space="preserve">Of additional concern, the Foreigners’ Residence Law does not provide any right to appeal a deportation decision or establish any procedural mechanisms for challenging such decisions. This is reinforced by Article 1(5) of </w:t>
      </w:r>
      <w:hyperlink r:id="rId16">
        <w:r>
          <w:rPr>
            <w:rFonts w:ascii="Century Schoolbook" w:eastAsia="Century Schoolbook" w:hAnsi="Century Schoolbook" w:cs="Century Schoolbook"/>
            <w:color w:val="467886"/>
            <w:u w:val="single"/>
          </w:rPr>
          <w:t>Law No. 61 of 1982</w:t>
        </w:r>
      </w:hyperlink>
      <w:r>
        <w:rPr>
          <w:rFonts w:ascii="Century Schoolbook" w:eastAsia="Century Schoolbook" w:hAnsi="Century Schoolbook" w:cs="Century Schoolbook"/>
        </w:rPr>
        <w:t xml:space="preserve"> (amending the law establishing an administrative circuit within the Court of First Instance to hear administrative disputes). This article expressly excludes decisions relating to the residence and deportation of non-Kuwaitis from the jurisdiction of that court, effectively denying non-Kuwaitis the ability to access judicial review of administrative deportation decisions. The exclusion of this group raises significant concerns under Article 5 of the Convention. </w:t>
      </w:r>
    </w:p>
    <w:p w14:paraId="5A6CF98E" w14:textId="77777777" w:rsidR="00D25CE6" w:rsidRDefault="00D25CE6" w:rsidP="00D25CE6">
      <w:pPr>
        <w:rPr>
          <w:rFonts w:ascii="Century Schoolbook" w:eastAsia="Century Schoolbook" w:hAnsi="Century Schoolbook" w:cs="Century Schoolbook"/>
        </w:rPr>
      </w:pPr>
    </w:p>
    <w:p w14:paraId="21AE8FD5" w14:textId="77777777" w:rsidR="00D25CE6" w:rsidRDefault="00D25CE6" w:rsidP="00D25CE6">
      <w:pPr>
        <w:ind w:left="851" w:hanging="851"/>
        <w:rPr>
          <w:rFonts w:ascii="Century Schoolbook" w:eastAsia="Century Schoolbook" w:hAnsi="Century Schoolbook" w:cs="Century Schoolbook"/>
        </w:rPr>
      </w:pPr>
      <w:r>
        <w:rPr>
          <w:rFonts w:ascii="Century Schoolbook" w:eastAsia="Century Schoolbook" w:hAnsi="Century Schoolbook" w:cs="Century Schoolbook"/>
        </w:rPr>
        <w:t>3.</w:t>
      </w:r>
      <w:proofErr w:type="gramStart"/>
      <w:r>
        <w:rPr>
          <w:rFonts w:ascii="Century Schoolbook" w:eastAsia="Century Schoolbook" w:hAnsi="Century Schoolbook" w:cs="Century Schoolbook"/>
        </w:rPr>
        <w:t>1.e</w:t>
      </w:r>
      <w:proofErr w:type="gramEnd"/>
      <w:r>
        <w:rPr>
          <w:rFonts w:ascii="Century Schoolbook" w:eastAsia="Century Schoolbook" w:hAnsi="Century Schoolbook" w:cs="Century Schoolbook"/>
        </w:rPr>
        <w:tab/>
        <w:t xml:space="preserve">Although Kuwait was the first country in the region to introduce a Domestic Workers Law in 2015, the scope of its coverage and implementation is limited–and domestic workers are not afforded the same level of labour protection as private sector workers. For example, domestic workers’ regular working hours are set at 12 hours per day, compared to 8 hours for private sector workers, and they are excluded from important protections, including labour inspection and provisions on occupational health and safety, and compensation for work-related injuries. </w:t>
      </w:r>
    </w:p>
    <w:p w14:paraId="40D0B0A7" w14:textId="77777777" w:rsidR="00D25CE6" w:rsidRDefault="00D25CE6" w:rsidP="00D25CE6">
      <w:pPr>
        <w:ind w:left="851" w:hanging="851"/>
        <w:rPr>
          <w:rFonts w:ascii="Century Schoolbook" w:eastAsia="Century Schoolbook" w:hAnsi="Century Schoolbook" w:cs="Century Schoolbook"/>
        </w:rPr>
      </w:pPr>
    </w:p>
    <w:p w14:paraId="2115BB14" w14:textId="77777777" w:rsidR="00D25CE6" w:rsidRDefault="00D25CE6" w:rsidP="00D25CE6">
      <w:pPr>
        <w:ind w:left="851" w:hanging="851"/>
        <w:rPr>
          <w:rFonts w:ascii="Century Schoolbook" w:eastAsia="Century Schoolbook" w:hAnsi="Century Schoolbook" w:cs="Century Schoolbook"/>
        </w:rPr>
      </w:pPr>
      <w:r>
        <w:rPr>
          <w:rFonts w:ascii="Century Schoolbook" w:eastAsia="Century Schoolbook" w:hAnsi="Century Schoolbook" w:cs="Century Schoolbook"/>
        </w:rPr>
        <w:t>3.</w:t>
      </w:r>
      <w:proofErr w:type="gramStart"/>
      <w:r>
        <w:rPr>
          <w:rFonts w:ascii="Century Schoolbook" w:eastAsia="Century Schoolbook" w:hAnsi="Century Schoolbook" w:cs="Century Schoolbook"/>
        </w:rPr>
        <w:t>1.f</w:t>
      </w:r>
      <w:proofErr w:type="gramEnd"/>
      <w:r>
        <w:rPr>
          <w:rFonts w:ascii="Century Schoolbook" w:eastAsia="Century Schoolbook" w:hAnsi="Century Schoolbook" w:cs="Century Schoolbook"/>
        </w:rPr>
        <w:tab/>
        <w:t>In 2026, Kuwait’s Interior Ministry issued a circular restricting the recruitment of domestic workers to ten approved countries (South Africa, Benin, Eritrea, Ethiopia, the Philippines, Sri Lanka, India, Vietnam, Nepal, and Senegal), while banning recruitment from 27 others (all but one of which are countries in Africa).</w:t>
      </w:r>
      <w:r>
        <w:rPr>
          <w:rFonts w:ascii="Century Schoolbook" w:eastAsia="Century Schoolbook" w:hAnsi="Century Schoolbook" w:cs="Century Schoolbook"/>
          <w:vertAlign w:val="superscript"/>
        </w:rPr>
        <w:footnoteReference w:id="3"/>
      </w:r>
      <w:r>
        <w:rPr>
          <w:rFonts w:ascii="Century Schoolbook" w:eastAsia="Century Schoolbook" w:hAnsi="Century Schoolbook" w:cs="Century Schoolbook"/>
        </w:rPr>
        <w:t xml:space="preserve"> </w:t>
      </w:r>
    </w:p>
    <w:p w14:paraId="59B6C1E2" w14:textId="77777777" w:rsidR="00D25CE6" w:rsidRDefault="00D25CE6" w:rsidP="00D25CE6">
      <w:pPr>
        <w:ind w:left="851" w:hanging="851"/>
        <w:rPr>
          <w:rFonts w:ascii="Century Schoolbook" w:eastAsia="Century Schoolbook" w:hAnsi="Century Schoolbook" w:cs="Century Schoolbook"/>
        </w:rPr>
      </w:pPr>
    </w:p>
    <w:p w14:paraId="5338F037" w14:textId="77777777" w:rsidR="00D25CE6" w:rsidRDefault="00D25CE6" w:rsidP="00D25CE6">
      <w:pPr>
        <w:ind w:left="851" w:hanging="851"/>
        <w:rPr>
          <w:rFonts w:ascii="Century Schoolbook" w:eastAsia="Century Schoolbook" w:hAnsi="Century Schoolbook" w:cs="Century Schoolbook"/>
        </w:rPr>
      </w:pPr>
      <w:r>
        <w:rPr>
          <w:rFonts w:ascii="Century Schoolbook" w:eastAsia="Century Schoolbook" w:hAnsi="Century Schoolbook" w:cs="Century Schoolbook"/>
        </w:rPr>
        <w:t>3.</w:t>
      </w:r>
      <w:proofErr w:type="gramStart"/>
      <w:r>
        <w:rPr>
          <w:rFonts w:ascii="Century Schoolbook" w:eastAsia="Century Schoolbook" w:hAnsi="Century Schoolbook" w:cs="Century Schoolbook"/>
        </w:rPr>
        <w:t>1.g</w:t>
      </w:r>
      <w:proofErr w:type="gramEnd"/>
      <w:r>
        <w:rPr>
          <w:rFonts w:ascii="Century Schoolbook" w:eastAsia="Century Schoolbook" w:hAnsi="Century Schoolbook" w:cs="Century Schoolbook"/>
        </w:rPr>
        <w:tab/>
        <w:t xml:space="preserve">Kuwait’s Social Insurance Law (Amiri Decree No. 61 of 1976) expressly applies only to Kuwaiti citizens, providing coverage for risks such as old age, disability, and other forms of social insurance protection. Migrant workers, who make up the majority of the country’s workforce, are excluded from this government social insurance framework. </w:t>
      </w:r>
    </w:p>
    <w:p w14:paraId="4A644426" w14:textId="77777777" w:rsidR="00D25CE6" w:rsidRDefault="00D25CE6" w:rsidP="00D25CE6">
      <w:pPr>
        <w:ind w:left="851" w:hanging="851"/>
        <w:rPr>
          <w:rFonts w:ascii="Century Schoolbook" w:eastAsia="Century Schoolbook" w:hAnsi="Century Schoolbook" w:cs="Century Schoolbook"/>
        </w:rPr>
      </w:pPr>
    </w:p>
    <w:p w14:paraId="15735C5A" w14:textId="77777777" w:rsidR="00D25CE6" w:rsidRDefault="00D25CE6" w:rsidP="00D25CE6">
      <w:pPr>
        <w:rPr>
          <w:rFonts w:ascii="Century Schoolbook" w:eastAsia="Century Schoolbook" w:hAnsi="Century Schoolbook" w:cs="Century Schoolbook"/>
          <w:b/>
          <w:bCs/>
          <w:color w:val="156082"/>
          <w:highlight w:val="white"/>
        </w:rPr>
      </w:pPr>
    </w:p>
    <w:p w14:paraId="090373A4" w14:textId="71391901" w:rsidR="00D25CE6" w:rsidRDefault="00D25CE6" w:rsidP="00D25CE6">
      <w:pPr>
        <w:ind w:left="851" w:hanging="851"/>
        <w:rPr>
          <w:rFonts w:ascii="Century Schoolbook" w:eastAsia="Century Schoolbook" w:hAnsi="Century Schoolbook" w:cs="Century Schoolbook"/>
          <w:b/>
          <w:bCs/>
          <w:color w:val="156082"/>
          <w:highlight w:val="white"/>
        </w:rPr>
      </w:pPr>
      <w:r>
        <w:rPr>
          <w:rFonts w:ascii="Century Schoolbook" w:hAnsi="Century Schoolbook"/>
          <w:b/>
          <w:bCs/>
          <w:noProof/>
          <w:sz w:val="22"/>
          <w:szCs w:val="22"/>
        </w:rPr>
        <w:lastRenderedPageBreak/>
        <mc:AlternateContent>
          <mc:Choice Requires="wps">
            <w:drawing>
              <wp:anchor distT="0" distB="0" distL="114300" distR="114300" simplePos="0" relativeHeight="251666432" behindDoc="0" locked="0" layoutInCell="1" allowOverlap="1" wp14:anchorId="368129A9" wp14:editId="4801AE17">
                <wp:simplePos x="0" y="0"/>
                <wp:positionH relativeFrom="column">
                  <wp:posOffset>-114300</wp:posOffset>
                </wp:positionH>
                <wp:positionV relativeFrom="paragraph">
                  <wp:posOffset>-254000</wp:posOffset>
                </wp:positionV>
                <wp:extent cx="6096000" cy="4635500"/>
                <wp:effectExtent l="0" t="0" r="12700" b="12700"/>
                <wp:wrapNone/>
                <wp:docPr id="1683919349" name="Text Box 3"/>
                <wp:cNvGraphicFramePr/>
                <a:graphic xmlns:a="http://schemas.openxmlformats.org/drawingml/2006/main">
                  <a:graphicData uri="http://schemas.microsoft.com/office/word/2010/wordprocessingShape">
                    <wps:wsp>
                      <wps:cNvSpPr txBox="1"/>
                      <wps:spPr>
                        <a:xfrm>
                          <a:off x="0" y="0"/>
                          <a:ext cx="6096000" cy="4635500"/>
                        </a:xfrm>
                        <a:prstGeom prst="rect">
                          <a:avLst/>
                        </a:prstGeom>
                        <a:solidFill>
                          <a:schemeClr val="bg2"/>
                        </a:solidFill>
                        <a:ln w="6350">
                          <a:solidFill>
                            <a:schemeClr val="accent1"/>
                          </a:solidFill>
                        </a:ln>
                      </wps:spPr>
                      <wps:txbx>
                        <w:txbxContent>
                          <w:p w14:paraId="56D9D595" w14:textId="77777777" w:rsidR="00D25CE6" w:rsidRPr="00D25CE6" w:rsidRDefault="00D25CE6" w:rsidP="00D25CE6">
                            <w:pPr>
                              <w:ind w:left="851" w:hanging="851"/>
                              <w:rPr>
                                <w:rFonts w:ascii="Century Schoolbook" w:eastAsia="Century Schoolbook" w:hAnsi="Century Schoolbook" w:cs="Century Schoolbook"/>
                                <w:b/>
                                <w:bCs/>
                                <w:color w:val="156082"/>
                              </w:rPr>
                            </w:pPr>
                            <w:r w:rsidRPr="00D25CE6">
                              <w:rPr>
                                <w:rFonts w:ascii="Century Schoolbook" w:eastAsia="Century Schoolbook" w:hAnsi="Century Schoolbook" w:cs="Century Schoolbook"/>
                                <w:b/>
                                <w:bCs/>
                                <w:color w:val="156082"/>
                              </w:rPr>
                              <w:t xml:space="preserve">Recommendations: </w:t>
                            </w:r>
                          </w:p>
                          <w:p w14:paraId="7DE3A72B" w14:textId="77777777" w:rsidR="00D25CE6" w:rsidRPr="00D25CE6" w:rsidRDefault="00D25CE6" w:rsidP="00D25CE6">
                            <w:pPr>
                              <w:ind w:left="851" w:hanging="851"/>
                              <w:rPr>
                                <w:rFonts w:ascii="Century Schoolbook" w:eastAsia="Century Schoolbook" w:hAnsi="Century Schoolbook" w:cs="Century Schoolbook"/>
                                <w:b/>
                                <w:bCs/>
                                <w:color w:val="156082"/>
                              </w:rPr>
                            </w:pPr>
                          </w:p>
                          <w:p w14:paraId="219107FF" w14:textId="77777777" w:rsidR="00D25CE6" w:rsidRPr="00D25CE6" w:rsidRDefault="00D25CE6" w:rsidP="00D25CE6">
                            <w:pPr>
                              <w:ind w:left="851" w:hanging="851"/>
                              <w:rPr>
                                <w:rFonts w:ascii="Century Schoolbook" w:eastAsia="Century Schoolbook" w:hAnsi="Century Schoolbook" w:cs="Century Schoolbook"/>
                                <w:color w:val="156082"/>
                              </w:rPr>
                            </w:pPr>
                            <w:r w:rsidRPr="00D25CE6">
                              <w:rPr>
                                <w:rFonts w:ascii="Century Schoolbook" w:eastAsia="Century Schoolbook" w:hAnsi="Century Schoolbook" w:cs="Century Schoolbook"/>
                                <w:color w:val="156082"/>
                              </w:rPr>
                              <w:t xml:space="preserve">The GDP and MRRORS encourage the Committee to urge the State party to: </w:t>
                            </w:r>
                          </w:p>
                          <w:p w14:paraId="53EC805A" w14:textId="77777777" w:rsidR="00D25CE6" w:rsidRPr="00D25CE6" w:rsidRDefault="00D25CE6" w:rsidP="00D25CE6">
                            <w:pPr>
                              <w:ind w:left="851" w:hanging="851"/>
                              <w:rPr>
                                <w:rFonts w:ascii="Century Schoolbook" w:eastAsia="Century Schoolbook" w:hAnsi="Century Schoolbook" w:cs="Century Schoolbook"/>
                                <w:color w:val="156082"/>
                              </w:rPr>
                            </w:pPr>
                          </w:p>
                          <w:p w14:paraId="3304D7CF" w14:textId="77777777" w:rsidR="00D25CE6" w:rsidRPr="00D25CE6" w:rsidRDefault="00D25CE6" w:rsidP="00D25CE6">
                            <w:pPr>
                              <w:numPr>
                                <w:ilvl w:val="0"/>
                                <w:numId w:val="5"/>
                              </w:numPr>
                              <w:pBdr>
                                <w:top w:val="nil"/>
                                <w:left w:val="nil"/>
                                <w:bottom w:val="nil"/>
                                <w:right w:val="nil"/>
                                <w:between w:val="nil"/>
                              </w:pBdr>
                              <w:rPr>
                                <w:rFonts w:ascii="Century Schoolbook" w:eastAsia="Century Schoolbook" w:hAnsi="Century Schoolbook" w:cs="Century Schoolbook"/>
                                <w:color w:val="156082"/>
                              </w:rPr>
                            </w:pPr>
                            <w:r w:rsidRPr="00D25CE6">
                              <w:rPr>
                                <w:rFonts w:ascii="Century Schoolbook" w:eastAsia="Century Schoolbook" w:hAnsi="Century Schoolbook" w:cs="Century Schoolbook"/>
                                <w:color w:val="156082"/>
                              </w:rPr>
                              <w:t xml:space="preserve">Amend the 2024 Foreigners’ Residence Law to ensure that deportation decisions are based on narrowly defined legal </w:t>
                            </w:r>
                            <w:proofErr w:type="gramStart"/>
                            <w:r w:rsidRPr="00D25CE6">
                              <w:rPr>
                                <w:rFonts w:ascii="Century Schoolbook" w:eastAsia="Century Schoolbook" w:hAnsi="Century Schoolbook" w:cs="Century Schoolbook"/>
                                <w:color w:val="156082"/>
                              </w:rPr>
                              <w:t>grounds, and</w:t>
                            </w:r>
                            <w:proofErr w:type="gramEnd"/>
                            <w:r w:rsidRPr="00D25CE6">
                              <w:rPr>
                                <w:rFonts w:ascii="Century Schoolbook" w:eastAsia="Century Schoolbook" w:hAnsi="Century Schoolbook" w:cs="Century Schoolbook"/>
                                <w:color w:val="156082"/>
                              </w:rPr>
                              <w:t xml:space="preserve"> are supported by individualised assessments and subject to the principles of necessity and proportionality. Broad grounds such as “public interest” and “morals” must not applied in a manner that permits arbitrary and discriminatory removal of non-Kuwaitis.</w:t>
                            </w:r>
                          </w:p>
                          <w:p w14:paraId="5BD7F53E" w14:textId="77777777" w:rsidR="00D25CE6" w:rsidRPr="00D25CE6" w:rsidRDefault="00D25CE6" w:rsidP="00D25CE6">
                            <w:pPr>
                              <w:numPr>
                                <w:ilvl w:val="0"/>
                                <w:numId w:val="5"/>
                              </w:numPr>
                              <w:pBdr>
                                <w:top w:val="nil"/>
                                <w:left w:val="nil"/>
                                <w:bottom w:val="nil"/>
                                <w:right w:val="nil"/>
                                <w:between w:val="nil"/>
                              </w:pBdr>
                              <w:rPr>
                                <w:rFonts w:ascii="Century Schoolbook" w:eastAsia="Century Schoolbook" w:hAnsi="Century Schoolbook" w:cs="Century Schoolbook"/>
                                <w:color w:val="156082"/>
                              </w:rPr>
                            </w:pPr>
                            <w:r w:rsidRPr="00D25CE6">
                              <w:rPr>
                                <w:rFonts w:ascii="Century Schoolbook" w:eastAsia="Century Schoolbook" w:hAnsi="Century Schoolbook" w:cs="Century Schoolbook"/>
                                <w:color w:val="156082"/>
                              </w:rPr>
                              <w:t xml:space="preserve">Revise the 2024 Foreigners’ Residence Law to establish mandatory procedures to identify and protect migrants who may be victims of trafficking, forced labour, abuse, or other forms of vulnerability before detention or deportation proceedings are initiated. </w:t>
                            </w:r>
                          </w:p>
                          <w:p w14:paraId="06E82B96" w14:textId="77777777" w:rsidR="00D25CE6" w:rsidRPr="00D25CE6" w:rsidRDefault="00D25CE6" w:rsidP="00D25CE6">
                            <w:pPr>
                              <w:numPr>
                                <w:ilvl w:val="0"/>
                                <w:numId w:val="5"/>
                              </w:numPr>
                              <w:pBdr>
                                <w:top w:val="nil"/>
                                <w:left w:val="nil"/>
                                <w:bottom w:val="nil"/>
                                <w:right w:val="nil"/>
                                <w:between w:val="nil"/>
                              </w:pBdr>
                              <w:rPr>
                                <w:rFonts w:ascii="Century Schoolbook" w:eastAsia="Century Schoolbook" w:hAnsi="Century Schoolbook" w:cs="Century Schoolbook"/>
                                <w:color w:val="156082"/>
                              </w:rPr>
                            </w:pPr>
                            <w:r w:rsidRPr="00D25CE6">
                              <w:rPr>
                                <w:rFonts w:ascii="Century Schoolbook" w:eastAsia="Century Schoolbook" w:hAnsi="Century Schoolbook" w:cs="Century Schoolbook"/>
                                <w:color w:val="156082"/>
                              </w:rPr>
                              <w:t xml:space="preserve">Amend the Foreigners’ Residence Law and Law No. 61 of 1982 to ensure that non-Kuwaiti nationals subject to deportation decisions have access to an effective remedy, including the right to challenge such decisions before an independent and impartial judicial body. </w:t>
                            </w:r>
                          </w:p>
                          <w:p w14:paraId="13DCC7BA" w14:textId="77777777" w:rsidR="00D25CE6" w:rsidRPr="00D25CE6" w:rsidRDefault="00D25CE6" w:rsidP="00D25CE6">
                            <w:pPr>
                              <w:numPr>
                                <w:ilvl w:val="0"/>
                                <w:numId w:val="5"/>
                              </w:numPr>
                              <w:pBdr>
                                <w:top w:val="nil"/>
                                <w:left w:val="nil"/>
                                <w:bottom w:val="nil"/>
                                <w:right w:val="nil"/>
                                <w:between w:val="nil"/>
                              </w:pBdr>
                              <w:rPr>
                                <w:rFonts w:ascii="Century Schoolbook" w:eastAsia="Century Schoolbook" w:hAnsi="Century Schoolbook" w:cs="Century Schoolbook"/>
                                <w:color w:val="156082"/>
                              </w:rPr>
                            </w:pPr>
                            <w:r w:rsidRPr="00D25CE6">
                              <w:rPr>
                                <w:rFonts w:ascii="Century Schoolbook" w:eastAsia="Century Schoolbook" w:hAnsi="Century Schoolbook" w:cs="Century Schoolbook"/>
                                <w:color w:val="156082"/>
                              </w:rPr>
                              <w:t xml:space="preserve">Amend Law No.68 of 2015 Concerning Domestic Workers to ensure that domestic workers enjoy the same labour protections afforded to workers covered by the Private Sector Labour Law. </w:t>
                            </w:r>
                          </w:p>
                          <w:p w14:paraId="17E6E0D2" w14:textId="77777777" w:rsidR="00D25CE6" w:rsidRPr="00D25CE6" w:rsidRDefault="00D25CE6" w:rsidP="00D25CE6">
                            <w:pPr>
                              <w:numPr>
                                <w:ilvl w:val="0"/>
                                <w:numId w:val="5"/>
                              </w:numPr>
                              <w:pBdr>
                                <w:top w:val="nil"/>
                                <w:left w:val="nil"/>
                                <w:bottom w:val="nil"/>
                                <w:right w:val="nil"/>
                                <w:between w:val="nil"/>
                              </w:pBdr>
                              <w:rPr>
                                <w:rFonts w:ascii="Century Schoolbook" w:eastAsia="Century Schoolbook" w:hAnsi="Century Schoolbook" w:cs="Century Schoolbook"/>
                                <w:color w:val="156082"/>
                              </w:rPr>
                            </w:pPr>
                            <w:r w:rsidRPr="00D25CE6">
                              <w:rPr>
                                <w:rFonts w:ascii="Century Schoolbook" w:eastAsia="Century Schoolbook" w:hAnsi="Century Schoolbook" w:cs="Century Schoolbook"/>
                                <w:color w:val="156082"/>
                              </w:rPr>
                              <w:t xml:space="preserve">Ensure that restrictions on the recruitment of migrant domestic workers do not discriminate, directly or indirectly, on the basis of nationality, ethnicity, or country of origin. </w:t>
                            </w:r>
                          </w:p>
                          <w:p w14:paraId="455F39CC" w14:textId="77777777" w:rsidR="00D25CE6" w:rsidRDefault="00D25CE6" w:rsidP="00D25C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8129A9" id="_x0000_s1028" type="#_x0000_t202" style="position:absolute;left:0;text-align:left;margin-left:-9pt;margin-top:-20pt;width:480pt;height:3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" fillcolor="#e8e8e8 [3214]" strokecolor="#156082 [3204]" strokeweight=".5pt">
                <v:textbox>
                  <w:txbxContent>
                    <w:p w14:paraId="56D9D595" w14:textId="77777777" w:rsidR="00D25CE6" w:rsidRPr="00D25CE6" w:rsidRDefault="00D25CE6" w:rsidP="00D25CE6">
                      <w:pPr>
                        <w:ind w:left="851" w:hanging="851"/>
                        <w:rPr>
                          <w:rFonts w:ascii="Century Schoolbook" w:eastAsia="Century Schoolbook" w:hAnsi="Century Schoolbook" w:cs="Century Schoolbook"/>
                          <w:b/>
                          <w:bCs/>
                          <w:color w:val="156082"/>
                        </w:rPr>
                      </w:pPr>
                      <w:r w:rsidRPr="00D25CE6">
                        <w:rPr>
                          <w:rFonts w:ascii="Century Schoolbook" w:eastAsia="Century Schoolbook" w:hAnsi="Century Schoolbook" w:cs="Century Schoolbook"/>
                          <w:b/>
                          <w:bCs/>
                          <w:color w:val="156082"/>
                        </w:rPr>
                        <w:t xml:space="preserve">Recommendations: </w:t>
                      </w:r>
                    </w:p>
                    <w:p w14:paraId="7DE3A72B" w14:textId="77777777" w:rsidR="00D25CE6" w:rsidRPr="00D25CE6" w:rsidRDefault="00D25CE6" w:rsidP="00D25CE6">
                      <w:pPr>
                        <w:ind w:left="851" w:hanging="851"/>
                        <w:rPr>
                          <w:rFonts w:ascii="Century Schoolbook" w:eastAsia="Century Schoolbook" w:hAnsi="Century Schoolbook" w:cs="Century Schoolbook"/>
                          <w:b/>
                          <w:bCs/>
                          <w:color w:val="156082"/>
                        </w:rPr>
                      </w:pPr>
                    </w:p>
                    <w:p w14:paraId="219107FF" w14:textId="77777777" w:rsidR="00D25CE6" w:rsidRPr="00D25CE6" w:rsidRDefault="00D25CE6" w:rsidP="00D25CE6">
                      <w:pPr>
                        <w:ind w:left="851" w:hanging="851"/>
                        <w:rPr>
                          <w:rFonts w:ascii="Century Schoolbook" w:eastAsia="Century Schoolbook" w:hAnsi="Century Schoolbook" w:cs="Century Schoolbook"/>
                          <w:color w:val="156082"/>
                        </w:rPr>
                      </w:pPr>
                      <w:r w:rsidRPr="00D25CE6">
                        <w:rPr>
                          <w:rFonts w:ascii="Century Schoolbook" w:eastAsia="Century Schoolbook" w:hAnsi="Century Schoolbook" w:cs="Century Schoolbook"/>
                          <w:color w:val="156082"/>
                        </w:rPr>
                        <w:t xml:space="preserve">The GDP and MRRORS encourage the Committee to urge the State party to: </w:t>
                      </w:r>
                    </w:p>
                    <w:p w14:paraId="53EC805A" w14:textId="77777777" w:rsidR="00D25CE6" w:rsidRPr="00D25CE6" w:rsidRDefault="00D25CE6" w:rsidP="00D25CE6">
                      <w:pPr>
                        <w:ind w:left="851" w:hanging="851"/>
                        <w:rPr>
                          <w:rFonts w:ascii="Century Schoolbook" w:eastAsia="Century Schoolbook" w:hAnsi="Century Schoolbook" w:cs="Century Schoolbook"/>
                          <w:color w:val="156082"/>
                        </w:rPr>
                      </w:pPr>
                    </w:p>
                    <w:p w14:paraId="3304D7CF" w14:textId="77777777" w:rsidR="00D25CE6" w:rsidRPr="00D25CE6" w:rsidRDefault="00D25CE6" w:rsidP="00D25CE6">
                      <w:pPr>
                        <w:numPr>
                          <w:ilvl w:val="0"/>
                          <w:numId w:val="5"/>
                        </w:numPr>
                        <w:pBdr>
                          <w:top w:val="nil"/>
                          <w:left w:val="nil"/>
                          <w:bottom w:val="nil"/>
                          <w:right w:val="nil"/>
                          <w:between w:val="nil"/>
                        </w:pBdr>
                        <w:rPr>
                          <w:rFonts w:ascii="Century Schoolbook" w:eastAsia="Century Schoolbook" w:hAnsi="Century Schoolbook" w:cs="Century Schoolbook"/>
                          <w:color w:val="156082"/>
                        </w:rPr>
                      </w:pPr>
                      <w:r w:rsidRPr="00D25CE6">
                        <w:rPr>
                          <w:rFonts w:ascii="Century Schoolbook" w:eastAsia="Century Schoolbook" w:hAnsi="Century Schoolbook" w:cs="Century Schoolbook"/>
                          <w:color w:val="156082"/>
                        </w:rPr>
                        <w:t xml:space="preserve">Amend the 2024 Foreigners’ Residence Law to ensure that deportation decisions are based on narrowly defined legal </w:t>
                      </w:r>
                      <w:proofErr w:type="gramStart"/>
                      <w:r w:rsidRPr="00D25CE6">
                        <w:rPr>
                          <w:rFonts w:ascii="Century Schoolbook" w:eastAsia="Century Schoolbook" w:hAnsi="Century Schoolbook" w:cs="Century Schoolbook"/>
                          <w:color w:val="156082"/>
                        </w:rPr>
                        <w:t>grounds, and</w:t>
                      </w:r>
                      <w:proofErr w:type="gramEnd"/>
                      <w:r w:rsidRPr="00D25CE6">
                        <w:rPr>
                          <w:rFonts w:ascii="Century Schoolbook" w:eastAsia="Century Schoolbook" w:hAnsi="Century Schoolbook" w:cs="Century Schoolbook"/>
                          <w:color w:val="156082"/>
                        </w:rPr>
                        <w:t xml:space="preserve"> are supported by individualised assessments and subject to the principles of necessity and proportionality. Broad grounds such as “public interest” and “morals” must not applied in a manner that permits arbitrary and discriminatory removal of non-Kuwaitis.</w:t>
                      </w:r>
                    </w:p>
                    <w:p w14:paraId="5BD7F53E" w14:textId="77777777" w:rsidR="00D25CE6" w:rsidRPr="00D25CE6" w:rsidRDefault="00D25CE6" w:rsidP="00D25CE6">
                      <w:pPr>
                        <w:numPr>
                          <w:ilvl w:val="0"/>
                          <w:numId w:val="5"/>
                        </w:numPr>
                        <w:pBdr>
                          <w:top w:val="nil"/>
                          <w:left w:val="nil"/>
                          <w:bottom w:val="nil"/>
                          <w:right w:val="nil"/>
                          <w:between w:val="nil"/>
                        </w:pBdr>
                        <w:rPr>
                          <w:rFonts w:ascii="Century Schoolbook" w:eastAsia="Century Schoolbook" w:hAnsi="Century Schoolbook" w:cs="Century Schoolbook"/>
                          <w:color w:val="156082"/>
                        </w:rPr>
                      </w:pPr>
                      <w:r w:rsidRPr="00D25CE6">
                        <w:rPr>
                          <w:rFonts w:ascii="Century Schoolbook" w:eastAsia="Century Schoolbook" w:hAnsi="Century Schoolbook" w:cs="Century Schoolbook"/>
                          <w:color w:val="156082"/>
                        </w:rPr>
                        <w:t xml:space="preserve">Revise the 2024 Foreigners’ Residence Law to establish mandatory procedures to identify and protect migrants who may be victims of trafficking, forced labour, abuse, or other forms of vulnerability before detention or deportation proceedings are initiated. </w:t>
                      </w:r>
                    </w:p>
                    <w:p w14:paraId="06E82B96" w14:textId="77777777" w:rsidR="00D25CE6" w:rsidRPr="00D25CE6" w:rsidRDefault="00D25CE6" w:rsidP="00D25CE6">
                      <w:pPr>
                        <w:numPr>
                          <w:ilvl w:val="0"/>
                          <w:numId w:val="5"/>
                        </w:numPr>
                        <w:pBdr>
                          <w:top w:val="nil"/>
                          <w:left w:val="nil"/>
                          <w:bottom w:val="nil"/>
                          <w:right w:val="nil"/>
                          <w:between w:val="nil"/>
                        </w:pBdr>
                        <w:rPr>
                          <w:rFonts w:ascii="Century Schoolbook" w:eastAsia="Century Schoolbook" w:hAnsi="Century Schoolbook" w:cs="Century Schoolbook"/>
                          <w:color w:val="156082"/>
                        </w:rPr>
                      </w:pPr>
                      <w:r w:rsidRPr="00D25CE6">
                        <w:rPr>
                          <w:rFonts w:ascii="Century Schoolbook" w:eastAsia="Century Schoolbook" w:hAnsi="Century Schoolbook" w:cs="Century Schoolbook"/>
                          <w:color w:val="156082"/>
                        </w:rPr>
                        <w:t xml:space="preserve">Amend the Foreigners’ Residence Law and Law No. 61 of 1982 to ensure that non-Kuwaiti nationals subject to deportation decisions have access to an effective remedy, including the right to challenge such decisions before an independent and impartial judicial body. </w:t>
                      </w:r>
                    </w:p>
                    <w:p w14:paraId="13DCC7BA" w14:textId="77777777" w:rsidR="00D25CE6" w:rsidRPr="00D25CE6" w:rsidRDefault="00D25CE6" w:rsidP="00D25CE6">
                      <w:pPr>
                        <w:numPr>
                          <w:ilvl w:val="0"/>
                          <w:numId w:val="5"/>
                        </w:numPr>
                        <w:pBdr>
                          <w:top w:val="nil"/>
                          <w:left w:val="nil"/>
                          <w:bottom w:val="nil"/>
                          <w:right w:val="nil"/>
                          <w:between w:val="nil"/>
                        </w:pBdr>
                        <w:rPr>
                          <w:rFonts w:ascii="Century Schoolbook" w:eastAsia="Century Schoolbook" w:hAnsi="Century Schoolbook" w:cs="Century Schoolbook"/>
                          <w:color w:val="156082"/>
                        </w:rPr>
                      </w:pPr>
                      <w:r w:rsidRPr="00D25CE6">
                        <w:rPr>
                          <w:rFonts w:ascii="Century Schoolbook" w:eastAsia="Century Schoolbook" w:hAnsi="Century Schoolbook" w:cs="Century Schoolbook"/>
                          <w:color w:val="156082"/>
                        </w:rPr>
                        <w:t xml:space="preserve">Amend Law No.68 of 2015 Concerning Domestic Workers to ensure that domestic workers enjoy the same labour protections afforded to workers covered by the Private Sector Labour Law. </w:t>
                      </w:r>
                    </w:p>
                    <w:p w14:paraId="17E6E0D2" w14:textId="77777777" w:rsidR="00D25CE6" w:rsidRPr="00D25CE6" w:rsidRDefault="00D25CE6" w:rsidP="00D25CE6">
                      <w:pPr>
                        <w:numPr>
                          <w:ilvl w:val="0"/>
                          <w:numId w:val="5"/>
                        </w:numPr>
                        <w:pBdr>
                          <w:top w:val="nil"/>
                          <w:left w:val="nil"/>
                          <w:bottom w:val="nil"/>
                          <w:right w:val="nil"/>
                          <w:between w:val="nil"/>
                        </w:pBdr>
                        <w:rPr>
                          <w:rFonts w:ascii="Century Schoolbook" w:eastAsia="Century Schoolbook" w:hAnsi="Century Schoolbook" w:cs="Century Schoolbook"/>
                          <w:color w:val="156082"/>
                        </w:rPr>
                      </w:pPr>
                      <w:r w:rsidRPr="00D25CE6">
                        <w:rPr>
                          <w:rFonts w:ascii="Century Schoolbook" w:eastAsia="Century Schoolbook" w:hAnsi="Century Schoolbook" w:cs="Century Schoolbook"/>
                          <w:color w:val="156082"/>
                        </w:rPr>
                        <w:t xml:space="preserve">Ensure that restrictions on the recruitment of migrant domestic workers do not discriminate, directly or indirectly, </w:t>
                      </w:r>
                      <w:proofErr w:type="gramStart"/>
                      <w:r w:rsidRPr="00D25CE6">
                        <w:rPr>
                          <w:rFonts w:ascii="Century Schoolbook" w:eastAsia="Century Schoolbook" w:hAnsi="Century Schoolbook" w:cs="Century Schoolbook"/>
                          <w:color w:val="156082"/>
                        </w:rPr>
                        <w:t>on the basis of</w:t>
                      </w:r>
                      <w:proofErr w:type="gramEnd"/>
                      <w:r w:rsidRPr="00D25CE6">
                        <w:rPr>
                          <w:rFonts w:ascii="Century Schoolbook" w:eastAsia="Century Schoolbook" w:hAnsi="Century Schoolbook" w:cs="Century Schoolbook"/>
                          <w:color w:val="156082"/>
                        </w:rPr>
                        <w:t xml:space="preserve"> nationality, ethnicity, or country of origin. </w:t>
                      </w:r>
                    </w:p>
                    <w:p w14:paraId="455F39CC" w14:textId="77777777" w:rsidR="00D25CE6" w:rsidRDefault="00D25CE6" w:rsidP="00D25CE6"/>
                  </w:txbxContent>
                </v:textbox>
              </v:shape>
            </w:pict>
          </mc:Fallback>
        </mc:AlternateContent>
      </w:r>
    </w:p>
    <w:p w14:paraId="6F38644E" w14:textId="77777777" w:rsidR="00D25CE6" w:rsidRDefault="00D25CE6" w:rsidP="00D25CE6">
      <w:pPr>
        <w:ind w:left="851" w:hanging="851"/>
        <w:rPr>
          <w:rFonts w:ascii="Century Schoolbook" w:eastAsia="Century Schoolbook" w:hAnsi="Century Schoolbook" w:cs="Century Schoolbook"/>
          <w:b/>
          <w:bCs/>
          <w:color w:val="156082"/>
          <w:highlight w:val="white"/>
        </w:rPr>
      </w:pPr>
    </w:p>
    <w:p w14:paraId="2A9F5E8F" w14:textId="77777777" w:rsidR="00D25CE6" w:rsidRDefault="00D25CE6" w:rsidP="00D25CE6">
      <w:pPr>
        <w:ind w:left="851" w:hanging="851"/>
        <w:rPr>
          <w:rFonts w:ascii="Century Schoolbook" w:eastAsia="Century Schoolbook" w:hAnsi="Century Schoolbook" w:cs="Century Schoolbook"/>
          <w:b/>
          <w:bCs/>
          <w:color w:val="156082"/>
          <w:highlight w:val="white"/>
        </w:rPr>
      </w:pPr>
    </w:p>
    <w:p w14:paraId="5D943B14" w14:textId="77777777" w:rsidR="00D25CE6" w:rsidRDefault="00D25CE6" w:rsidP="00D25CE6">
      <w:pPr>
        <w:ind w:left="851" w:hanging="851"/>
        <w:rPr>
          <w:rFonts w:ascii="Century Schoolbook" w:eastAsia="Century Schoolbook" w:hAnsi="Century Schoolbook" w:cs="Century Schoolbook"/>
          <w:b/>
          <w:bCs/>
          <w:color w:val="156082"/>
          <w:highlight w:val="white"/>
        </w:rPr>
      </w:pPr>
    </w:p>
    <w:p w14:paraId="3CB42F09" w14:textId="77777777" w:rsidR="00D25CE6" w:rsidRDefault="00D25CE6" w:rsidP="00D25CE6">
      <w:pPr>
        <w:ind w:left="851" w:hanging="851"/>
        <w:rPr>
          <w:rFonts w:ascii="Century Schoolbook" w:eastAsia="Century Schoolbook" w:hAnsi="Century Schoolbook" w:cs="Century Schoolbook"/>
          <w:b/>
          <w:bCs/>
          <w:color w:val="156082"/>
          <w:highlight w:val="white"/>
        </w:rPr>
      </w:pPr>
    </w:p>
    <w:p w14:paraId="4A9BA17E" w14:textId="77777777" w:rsidR="00D25CE6" w:rsidRDefault="00D25CE6" w:rsidP="00D25CE6">
      <w:pPr>
        <w:ind w:left="851" w:hanging="851"/>
        <w:rPr>
          <w:rFonts w:ascii="Century Schoolbook" w:eastAsia="Century Schoolbook" w:hAnsi="Century Schoolbook" w:cs="Century Schoolbook"/>
          <w:b/>
          <w:bCs/>
          <w:color w:val="156082"/>
          <w:highlight w:val="white"/>
        </w:rPr>
      </w:pPr>
    </w:p>
    <w:p w14:paraId="4467919D" w14:textId="77777777" w:rsidR="00D25CE6" w:rsidRDefault="00D25CE6" w:rsidP="00D25CE6">
      <w:pPr>
        <w:ind w:left="851" w:hanging="851"/>
        <w:rPr>
          <w:rFonts w:ascii="Century Schoolbook" w:eastAsia="Century Schoolbook" w:hAnsi="Century Schoolbook" w:cs="Century Schoolbook"/>
          <w:b/>
          <w:bCs/>
          <w:color w:val="156082"/>
          <w:highlight w:val="white"/>
        </w:rPr>
      </w:pPr>
    </w:p>
    <w:p w14:paraId="3684CD40" w14:textId="77777777" w:rsidR="00D25CE6" w:rsidRDefault="00D25CE6" w:rsidP="00D25CE6">
      <w:pPr>
        <w:ind w:left="851" w:hanging="851"/>
        <w:rPr>
          <w:rFonts w:ascii="Century Schoolbook" w:eastAsia="Century Schoolbook" w:hAnsi="Century Schoolbook" w:cs="Century Schoolbook"/>
          <w:b/>
          <w:bCs/>
          <w:color w:val="156082"/>
          <w:highlight w:val="white"/>
        </w:rPr>
      </w:pPr>
    </w:p>
    <w:p w14:paraId="0F70D603" w14:textId="77777777" w:rsidR="00D25CE6" w:rsidRDefault="00D25CE6" w:rsidP="00D25CE6">
      <w:pPr>
        <w:ind w:left="851" w:hanging="851"/>
        <w:rPr>
          <w:rFonts w:ascii="Century Schoolbook" w:eastAsia="Century Schoolbook" w:hAnsi="Century Schoolbook" w:cs="Century Schoolbook"/>
          <w:b/>
          <w:bCs/>
          <w:color w:val="156082"/>
          <w:highlight w:val="white"/>
        </w:rPr>
      </w:pPr>
    </w:p>
    <w:p w14:paraId="793A8AD2" w14:textId="77777777" w:rsidR="00D25CE6" w:rsidRDefault="00D25CE6" w:rsidP="00D25CE6">
      <w:pPr>
        <w:ind w:left="851" w:hanging="851"/>
        <w:rPr>
          <w:rFonts w:ascii="Century Schoolbook" w:eastAsia="Century Schoolbook" w:hAnsi="Century Schoolbook" w:cs="Century Schoolbook"/>
          <w:b/>
          <w:bCs/>
          <w:color w:val="156082"/>
          <w:highlight w:val="white"/>
        </w:rPr>
      </w:pPr>
    </w:p>
    <w:p w14:paraId="6F2979F3" w14:textId="77777777" w:rsidR="00D25CE6" w:rsidRDefault="00D25CE6" w:rsidP="00D25CE6">
      <w:pPr>
        <w:ind w:left="851" w:hanging="851"/>
        <w:rPr>
          <w:rFonts w:ascii="Century Schoolbook" w:eastAsia="Century Schoolbook" w:hAnsi="Century Schoolbook" w:cs="Century Schoolbook"/>
          <w:b/>
          <w:bCs/>
          <w:color w:val="156082"/>
          <w:highlight w:val="white"/>
        </w:rPr>
      </w:pPr>
    </w:p>
    <w:p w14:paraId="7F8599E9" w14:textId="77777777" w:rsidR="00D25CE6" w:rsidRDefault="00D25CE6" w:rsidP="00D25CE6">
      <w:pPr>
        <w:ind w:left="851" w:hanging="851"/>
        <w:rPr>
          <w:rFonts w:ascii="Century Schoolbook" w:eastAsia="Century Schoolbook" w:hAnsi="Century Schoolbook" w:cs="Century Schoolbook"/>
          <w:b/>
          <w:bCs/>
          <w:color w:val="156082"/>
          <w:highlight w:val="white"/>
        </w:rPr>
      </w:pPr>
    </w:p>
    <w:p w14:paraId="02030FCF" w14:textId="77777777" w:rsidR="00D25CE6" w:rsidRDefault="00D25CE6" w:rsidP="00D25CE6">
      <w:pPr>
        <w:ind w:left="851" w:hanging="851"/>
        <w:rPr>
          <w:rFonts w:ascii="Century Schoolbook" w:eastAsia="Century Schoolbook" w:hAnsi="Century Schoolbook" w:cs="Century Schoolbook"/>
          <w:b/>
          <w:bCs/>
          <w:color w:val="156082"/>
          <w:highlight w:val="white"/>
        </w:rPr>
      </w:pPr>
    </w:p>
    <w:p w14:paraId="7E6DC20B" w14:textId="77777777" w:rsidR="00D25CE6" w:rsidRDefault="00D25CE6" w:rsidP="00D25CE6">
      <w:pPr>
        <w:ind w:left="851" w:hanging="851"/>
        <w:rPr>
          <w:rFonts w:ascii="Century Schoolbook" w:eastAsia="Century Schoolbook" w:hAnsi="Century Schoolbook" w:cs="Century Schoolbook"/>
          <w:b/>
          <w:bCs/>
          <w:color w:val="156082"/>
          <w:highlight w:val="white"/>
        </w:rPr>
      </w:pPr>
    </w:p>
    <w:p w14:paraId="2871BF42" w14:textId="77777777" w:rsidR="00D25CE6" w:rsidRDefault="00D25CE6" w:rsidP="00D25CE6">
      <w:pPr>
        <w:ind w:left="851" w:hanging="851"/>
        <w:rPr>
          <w:rFonts w:ascii="Century Schoolbook" w:eastAsia="Century Schoolbook" w:hAnsi="Century Schoolbook" w:cs="Century Schoolbook"/>
          <w:b/>
          <w:bCs/>
          <w:color w:val="156082"/>
          <w:highlight w:val="white"/>
        </w:rPr>
      </w:pPr>
    </w:p>
    <w:p w14:paraId="0956E295" w14:textId="77777777" w:rsidR="00D25CE6" w:rsidRDefault="00D25CE6" w:rsidP="00D25CE6">
      <w:pPr>
        <w:ind w:left="851" w:hanging="851"/>
        <w:rPr>
          <w:rFonts w:ascii="Century Schoolbook" w:eastAsia="Century Schoolbook" w:hAnsi="Century Schoolbook" w:cs="Century Schoolbook"/>
          <w:b/>
          <w:bCs/>
          <w:color w:val="156082"/>
          <w:highlight w:val="white"/>
        </w:rPr>
      </w:pPr>
    </w:p>
    <w:p w14:paraId="43B694EF" w14:textId="77777777" w:rsidR="00D25CE6" w:rsidRDefault="00D25CE6" w:rsidP="00D25CE6">
      <w:pPr>
        <w:ind w:left="851" w:hanging="851"/>
        <w:rPr>
          <w:rFonts w:ascii="Century Schoolbook" w:eastAsia="Century Schoolbook" w:hAnsi="Century Schoolbook" w:cs="Century Schoolbook"/>
          <w:b/>
          <w:bCs/>
          <w:color w:val="156082"/>
          <w:highlight w:val="white"/>
        </w:rPr>
      </w:pPr>
    </w:p>
    <w:p w14:paraId="189F8B0F" w14:textId="77777777" w:rsidR="00D25CE6" w:rsidRDefault="00D25CE6" w:rsidP="00D25CE6">
      <w:pPr>
        <w:ind w:left="851" w:hanging="851"/>
        <w:rPr>
          <w:rFonts w:ascii="Century Schoolbook" w:eastAsia="Century Schoolbook" w:hAnsi="Century Schoolbook" w:cs="Century Schoolbook"/>
          <w:b/>
          <w:bCs/>
          <w:color w:val="156082"/>
          <w:highlight w:val="white"/>
        </w:rPr>
      </w:pPr>
    </w:p>
    <w:p w14:paraId="7DC067FF" w14:textId="77777777" w:rsidR="00D25CE6" w:rsidRDefault="00D25CE6" w:rsidP="00D25CE6">
      <w:pPr>
        <w:ind w:left="851" w:hanging="851"/>
        <w:rPr>
          <w:rFonts w:ascii="Century Schoolbook" w:eastAsia="Century Schoolbook" w:hAnsi="Century Schoolbook" w:cs="Century Schoolbook"/>
          <w:b/>
          <w:bCs/>
          <w:color w:val="156082"/>
          <w:highlight w:val="white"/>
        </w:rPr>
      </w:pPr>
    </w:p>
    <w:p w14:paraId="642E09EC" w14:textId="77777777" w:rsidR="00D25CE6" w:rsidRDefault="00D25CE6" w:rsidP="00D25CE6">
      <w:pPr>
        <w:rPr>
          <w:rFonts w:ascii="Century Schoolbook" w:eastAsia="Century Schoolbook" w:hAnsi="Century Schoolbook" w:cs="Century Schoolbook"/>
          <w:b/>
          <w:bCs/>
          <w:color w:val="156082"/>
          <w:highlight w:val="white"/>
        </w:rPr>
      </w:pPr>
    </w:p>
    <w:p w14:paraId="18CAADEC" w14:textId="77777777" w:rsidR="00D25CE6" w:rsidRDefault="00D25CE6" w:rsidP="00D25CE6">
      <w:pPr>
        <w:rPr>
          <w:rFonts w:ascii="Century Schoolbook" w:eastAsia="Century Schoolbook" w:hAnsi="Century Schoolbook" w:cs="Century Schoolbook"/>
          <w:b/>
          <w:bCs/>
          <w:color w:val="156082"/>
          <w:highlight w:val="white"/>
        </w:rPr>
      </w:pPr>
    </w:p>
    <w:p w14:paraId="4BBAB678" w14:textId="77777777" w:rsidR="00D25CE6" w:rsidRDefault="00D25CE6" w:rsidP="00D25CE6">
      <w:pPr>
        <w:rPr>
          <w:rFonts w:ascii="Century Schoolbook" w:eastAsia="Century Schoolbook" w:hAnsi="Century Schoolbook" w:cs="Century Schoolbook"/>
          <w:b/>
          <w:bCs/>
          <w:color w:val="156082"/>
          <w:highlight w:val="white"/>
        </w:rPr>
      </w:pPr>
    </w:p>
    <w:p w14:paraId="1F226F4D" w14:textId="77777777" w:rsidR="00D25CE6" w:rsidRDefault="00D25CE6" w:rsidP="00D25CE6">
      <w:pPr>
        <w:rPr>
          <w:rFonts w:ascii="Century Schoolbook" w:eastAsia="Century Schoolbook" w:hAnsi="Century Schoolbook" w:cs="Century Schoolbook"/>
          <w:b/>
          <w:bCs/>
          <w:color w:val="156082"/>
          <w:highlight w:val="white"/>
        </w:rPr>
      </w:pPr>
    </w:p>
    <w:p w14:paraId="3FDE84EF" w14:textId="77777777" w:rsidR="00D25CE6" w:rsidRDefault="00D25CE6" w:rsidP="00D25CE6">
      <w:pPr>
        <w:rPr>
          <w:rFonts w:ascii="Century Schoolbook" w:eastAsia="Century Schoolbook" w:hAnsi="Century Schoolbook" w:cs="Century Schoolbook"/>
          <w:b/>
          <w:bCs/>
          <w:color w:val="156082"/>
          <w:highlight w:val="white"/>
        </w:rPr>
      </w:pPr>
    </w:p>
    <w:p w14:paraId="7D345995" w14:textId="77777777" w:rsidR="00D25CE6" w:rsidRDefault="00D25CE6" w:rsidP="00D25CE6">
      <w:pPr>
        <w:rPr>
          <w:rFonts w:ascii="Century Schoolbook" w:eastAsia="Century Schoolbook" w:hAnsi="Century Schoolbook" w:cs="Century Schoolbook"/>
          <w:color w:val="212529"/>
          <w:highlight w:val="white"/>
        </w:rPr>
      </w:pPr>
    </w:p>
    <w:p w14:paraId="553F84F7" w14:textId="77777777" w:rsidR="00D25CE6" w:rsidRDefault="00D25CE6" w:rsidP="00D25CE6">
      <w:pPr>
        <w:rPr>
          <w:rFonts w:ascii="Century Schoolbook" w:eastAsia="Century Schoolbook" w:hAnsi="Century Schoolbook" w:cs="Century Schoolbook"/>
          <w:color w:val="212529"/>
          <w:highlight w:val="white"/>
        </w:rPr>
      </w:pPr>
    </w:p>
    <w:p w14:paraId="00DCD698" w14:textId="77777777" w:rsidR="00D25CE6" w:rsidRPr="00D25CE6" w:rsidRDefault="00D25CE6" w:rsidP="00D25CE6">
      <w:pPr>
        <w:rPr>
          <w:rFonts w:ascii="Century Schoolbook" w:eastAsia="Century Schoolbook" w:hAnsi="Century Schoolbook" w:cs="Century Schoolbook"/>
          <w:b/>
          <w:bCs/>
          <w:color w:val="156082"/>
        </w:rPr>
      </w:pPr>
      <w:r w:rsidRPr="00D25CE6">
        <w:rPr>
          <w:rFonts w:ascii="Century Schoolbook" w:eastAsia="Century Schoolbook" w:hAnsi="Century Schoolbook" w:cs="Century Schoolbook"/>
          <w:b/>
          <w:bCs/>
          <w:color w:val="156082"/>
        </w:rPr>
        <w:t xml:space="preserve">3.2 Vulnerability to Detention Under the </w:t>
      </w:r>
      <w:r w:rsidRPr="00D25CE6">
        <w:rPr>
          <w:rFonts w:ascii="Century Schoolbook" w:eastAsia="Century Schoolbook" w:hAnsi="Century Schoolbook" w:cs="Century Schoolbook"/>
          <w:b/>
          <w:bCs/>
          <w:i/>
          <w:iCs/>
          <w:color w:val="156082"/>
        </w:rPr>
        <w:t xml:space="preserve">Kafala </w:t>
      </w:r>
      <w:r w:rsidRPr="00D25CE6">
        <w:rPr>
          <w:rFonts w:ascii="Century Schoolbook" w:eastAsia="Century Schoolbook" w:hAnsi="Century Schoolbook" w:cs="Century Schoolbook"/>
          <w:b/>
          <w:bCs/>
          <w:color w:val="156082"/>
        </w:rPr>
        <w:t xml:space="preserve">System </w:t>
      </w:r>
    </w:p>
    <w:p w14:paraId="3321370C" w14:textId="77777777" w:rsidR="00D25CE6" w:rsidRDefault="00D25CE6" w:rsidP="00D25CE6">
      <w:pPr>
        <w:ind w:left="851" w:hanging="851"/>
        <w:rPr>
          <w:rFonts w:ascii="Century Schoolbook" w:eastAsia="Century Schoolbook" w:hAnsi="Century Schoolbook" w:cs="Century Schoolbook"/>
          <w:color w:val="212529"/>
          <w:highlight w:val="white"/>
        </w:rPr>
      </w:pPr>
    </w:p>
    <w:p w14:paraId="1C49992F" w14:textId="77777777" w:rsidR="00D25CE6" w:rsidRDefault="00D25CE6" w:rsidP="00D25CE6">
      <w:pPr>
        <w:ind w:left="851" w:hanging="851"/>
        <w:rPr>
          <w:rFonts w:ascii="Century Schoolbook" w:eastAsia="Century Schoolbook" w:hAnsi="Century Schoolbook" w:cs="Century Schoolbook"/>
        </w:rPr>
      </w:pPr>
      <w:r>
        <w:rPr>
          <w:rFonts w:ascii="Century Schoolbook" w:eastAsia="Century Schoolbook" w:hAnsi="Century Schoolbook" w:cs="Century Schoolbook"/>
        </w:rPr>
        <w:t>3.</w:t>
      </w:r>
      <w:proofErr w:type="gramStart"/>
      <w:r>
        <w:rPr>
          <w:rFonts w:ascii="Century Schoolbook" w:eastAsia="Century Schoolbook" w:hAnsi="Century Schoolbook" w:cs="Century Schoolbook"/>
        </w:rPr>
        <w:t>2.a</w:t>
      </w:r>
      <w:proofErr w:type="gramEnd"/>
      <w:r>
        <w:rPr>
          <w:rFonts w:ascii="Century Schoolbook" w:eastAsia="Century Schoolbook" w:hAnsi="Century Schoolbook" w:cs="Century Schoolbook"/>
        </w:rPr>
        <w:tab/>
        <w:t xml:space="preserve">Despite frequent recommendations from international rights monitoring bodies that Kuwait amend its national legislation to abolish all aspects of its </w:t>
      </w:r>
      <w:r>
        <w:rPr>
          <w:rFonts w:ascii="Century Schoolbook" w:eastAsia="Century Schoolbook" w:hAnsi="Century Schoolbook" w:cs="Century Schoolbook"/>
          <w:i/>
          <w:iCs/>
        </w:rPr>
        <w:t>kafala</w:t>
      </w:r>
      <w:r>
        <w:rPr>
          <w:rFonts w:ascii="Century Schoolbook" w:eastAsia="Century Schoolbook" w:hAnsi="Century Schoolbook" w:cs="Century Schoolbook"/>
        </w:rPr>
        <w:t>-like system</w:t>
      </w:r>
      <w:r>
        <w:rPr>
          <w:rFonts w:ascii="Century Schoolbook" w:eastAsia="Century Schoolbook" w:hAnsi="Century Schoolbook" w:cs="Century Schoolbook"/>
          <w:vertAlign w:val="superscript"/>
        </w:rPr>
        <w:footnoteReference w:id="4"/>
      </w:r>
      <w:r>
        <w:rPr>
          <w:rFonts w:ascii="Century Schoolbook" w:eastAsia="Century Schoolbook" w:hAnsi="Century Schoolbook" w:cs="Century Schoolbook"/>
        </w:rPr>
        <w:t xml:space="preserve">, the 2024 Foreigners’ Residence Law, which replaced a 1959 law, maintains a sponsorship-based system, under which migrants’ </w:t>
      </w:r>
      <w:r>
        <w:rPr>
          <w:rFonts w:ascii="Century Schoolbook" w:eastAsia="Century Schoolbook" w:hAnsi="Century Schoolbook" w:cs="Century Schoolbook"/>
          <w:color w:val="212529"/>
          <w:highlight w:val="white"/>
        </w:rPr>
        <w:t xml:space="preserve">legal residence and right to work are tied to an individual employer or “sponsor.” </w:t>
      </w:r>
      <w:r>
        <w:rPr>
          <w:rFonts w:ascii="Century Schoolbook" w:eastAsia="Century Schoolbook" w:hAnsi="Century Schoolbook" w:cs="Century Schoolbook"/>
        </w:rPr>
        <w:t xml:space="preserve">Under this framework, employers exercise significant control over workers’ mobility, including their ability to change employment or renew residency permits. </w:t>
      </w:r>
    </w:p>
    <w:p w14:paraId="4E866C8A" w14:textId="77777777" w:rsidR="00D25CE6" w:rsidRDefault="00D25CE6" w:rsidP="00D25CE6">
      <w:pPr>
        <w:ind w:left="851" w:hanging="851"/>
        <w:rPr>
          <w:rFonts w:ascii="Century Schoolbook" w:eastAsia="Century Schoolbook" w:hAnsi="Century Schoolbook" w:cs="Century Schoolbook"/>
        </w:rPr>
      </w:pPr>
    </w:p>
    <w:p w14:paraId="15FEBEC4" w14:textId="77777777" w:rsidR="00D25CE6" w:rsidRDefault="00D25CE6" w:rsidP="00D25CE6">
      <w:pPr>
        <w:ind w:left="851" w:hanging="851"/>
        <w:rPr>
          <w:rFonts w:ascii="Century Schoolbook" w:eastAsia="Century Schoolbook" w:hAnsi="Century Schoolbook" w:cs="Century Schoolbook"/>
        </w:rPr>
      </w:pPr>
      <w:r>
        <w:rPr>
          <w:rFonts w:ascii="Century Schoolbook" w:eastAsia="Century Schoolbook" w:hAnsi="Century Schoolbook" w:cs="Century Schoolbook"/>
        </w:rPr>
        <w:t>3.</w:t>
      </w:r>
      <w:proofErr w:type="gramStart"/>
      <w:r>
        <w:rPr>
          <w:rFonts w:ascii="Century Schoolbook" w:eastAsia="Century Schoolbook" w:hAnsi="Century Schoolbook" w:cs="Century Schoolbook"/>
        </w:rPr>
        <w:t>2.b</w:t>
      </w:r>
      <w:proofErr w:type="gramEnd"/>
      <w:r>
        <w:rPr>
          <w:rFonts w:ascii="Century Schoolbook" w:eastAsia="Century Schoolbook" w:hAnsi="Century Schoolbook" w:cs="Century Schoolbook"/>
        </w:rPr>
        <w:tab/>
        <w:t xml:space="preserve">Within this system, migrant workers who leave employment without their employers’ permission–such as those leaving abusive or exploitative employment–or whose employers withdraw sponsorship or file absconding charges, lose their residency and become “irregular”–and therefore become vulnerable to arrest, detention, and deportation. Article 14, for example, requires employers to notify the Ministry of Labour within two weeks if a domestic worker “absconds” from their </w:t>
      </w:r>
      <w:r>
        <w:rPr>
          <w:rFonts w:ascii="Century Schoolbook" w:eastAsia="Century Schoolbook" w:hAnsi="Century Schoolbook" w:cs="Century Schoolbook"/>
        </w:rPr>
        <w:lastRenderedPageBreak/>
        <w:t>employment, and their residency permit is subsequently to be cancelled from the date of their departure.  These vulnerabilities are significantly exacerbated during periods of crisis, as demonstrated by the disproportionate impact of the COVID-19 pandemic on migrant workers (see</w:t>
      </w:r>
      <w:r>
        <w:rPr>
          <w:rFonts w:ascii="Century Schoolbook" w:eastAsia="Century Schoolbook" w:hAnsi="Century Schoolbook" w:cs="Century Schoolbook"/>
          <w:b/>
          <w:bCs/>
        </w:rPr>
        <w:t xml:space="preserve"> 3.4</w:t>
      </w:r>
      <w:r>
        <w:rPr>
          <w:rFonts w:ascii="Century Schoolbook" w:eastAsia="Century Schoolbook" w:hAnsi="Century Schoolbook" w:cs="Century Schoolbook"/>
        </w:rPr>
        <w:t xml:space="preserve"> </w:t>
      </w:r>
      <w:r>
        <w:rPr>
          <w:rFonts w:ascii="Century Schoolbook" w:eastAsia="Century Schoolbook" w:hAnsi="Century Schoolbook" w:cs="Century Schoolbook"/>
          <w:b/>
          <w:bCs/>
        </w:rPr>
        <w:t>Disproportionate Impact of Covid-19 Pandemic on Migrant Workers</w:t>
      </w:r>
      <w:r>
        <w:rPr>
          <w:rFonts w:ascii="Century Schoolbook" w:eastAsia="Century Schoolbook" w:hAnsi="Century Schoolbook" w:cs="Century Schoolbook"/>
        </w:rPr>
        <w:t>). In practice, immigration detention is thus used as an enforcement mechanism linked to labour and sponsorship regulation, rather than as a measure of last resort.</w:t>
      </w:r>
    </w:p>
    <w:p w14:paraId="68E93227" w14:textId="77777777" w:rsidR="00D25CE6" w:rsidRDefault="00D25CE6" w:rsidP="00D25CE6">
      <w:pPr>
        <w:ind w:left="851" w:hanging="851"/>
        <w:rPr>
          <w:rFonts w:ascii="Century Schoolbook" w:eastAsia="Century Schoolbook" w:hAnsi="Century Schoolbook" w:cs="Century Schoolbook"/>
        </w:rPr>
      </w:pPr>
    </w:p>
    <w:p w14:paraId="5535F0E9" w14:textId="77777777" w:rsidR="00D25CE6" w:rsidRDefault="00D25CE6" w:rsidP="00D25CE6">
      <w:pPr>
        <w:ind w:left="851" w:hanging="851"/>
        <w:rPr>
          <w:rFonts w:ascii="Century Schoolbook" w:eastAsia="Century Schoolbook" w:hAnsi="Century Schoolbook" w:cs="Century Schoolbook"/>
        </w:rPr>
      </w:pPr>
      <w:r>
        <w:rPr>
          <w:rFonts w:ascii="Century Schoolbook" w:eastAsia="Century Schoolbook" w:hAnsi="Century Schoolbook" w:cs="Century Schoolbook"/>
        </w:rPr>
        <w:t>3.2.c</w:t>
      </w:r>
      <w:r>
        <w:rPr>
          <w:rFonts w:ascii="Century Schoolbook" w:eastAsia="Century Schoolbook" w:hAnsi="Century Schoolbook" w:cs="Century Schoolbook"/>
        </w:rPr>
        <w:tab/>
        <w:t>The GDP and MRRORS have documented numerous cases in which migrant workers have been arrested and detained after leaving abusive or exploitative employment. In early 2026 for example, Kuwaiti authorities deported nearly 3,500 migrant workers as part of a nationwide crackdown on residency and labour law violations. Those deported included workers who had absconding charges registered against them.</w:t>
      </w:r>
      <w:r>
        <w:rPr>
          <w:rFonts w:ascii="Century Schoolbook" w:eastAsia="Century Schoolbook" w:hAnsi="Century Schoolbook" w:cs="Century Schoolbook"/>
          <w:vertAlign w:val="superscript"/>
        </w:rPr>
        <w:footnoteReference w:id="5"/>
      </w:r>
    </w:p>
    <w:p w14:paraId="11680652" w14:textId="77777777" w:rsidR="00D25CE6" w:rsidRDefault="00D25CE6" w:rsidP="00D25CE6">
      <w:pPr>
        <w:rPr>
          <w:rFonts w:ascii="Century Schoolbook" w:eastAsia="Century Schoolbook" w:hAnsi="Century Schoolbook" w:cs="Century Schoolbook"/>
        </w:rPr>
      </w:pPr>
    </w:p>
    <w:p w14:paraId="5EC72BF0" w14:textId="77777777" w:rsidR="00D25CE6" w:rsidRDefault="00D25CE6" w:rsidP="00D25CE6">
      <w:pPr>
        <w:ind w:left="851" w:hanging="851"/>
        <w:rPr>
          <w:rFonts w:ascii="Century Schoolbook" w:eastAsia="Century Schoolbook" w:hAnsi="Century Schoolbook" w:cs="Century Schoolbook"/>
        </w:rPr>
      </w:pPr>
      <w:r>
        <w:rPr>
          <w:rFonts w:ascii="Century Schoolbook" w:eastAsia="Century Schoolbook" w:hAnsi="Century Schoolbook" w:cs="Century Schoolbook"/>
        </w:rPr>
        <w:t>3.</w:t>
      </w:r>
      <w:proofErr w:type="gramStart"/>
      <w:r>
        <w:rPr>
          <w:rFonts w:ascii="Century Schoolbook" w:eastAsia="Century Schoolbook" w:hAnsi="Century Schoolbook" w:cs="Century Schoolbook"/>
        </w:rPr>
        <w:t>2.d</w:t>
      </w:r>
      <w:proofErr w:type="gramEnd"/>
      <w:r>
        <w:rPr>
          <w:rFonts w:ascii="Century Schoolbook" w:eastAsia="Century Schoolbook" w:hAnsi="Century Schoolbook" w:cs="Century Schoolbook"/>
        </w:rPr>
        <w:tab/>
        <w:t>Although Kuwaiti law prohibits passport confiscation (Article 12 of Law No.68 of 2015 Concerning Domestic Workers), the practice remains prevalent</w:t>
      </w:r>
      <w:r>
        <w:rPr>
          <w:rFonts w:ascii="Century Schoolbook" w:eastAsia="Century Schoolbook" w:hAnsi="Century Schoolbook" w:cs="Century Schoolbook"/>
          <w:vertAlign w:val="superscript"/>
        </w:rPr>
        <w:footnoteReference w:id="6"/>
      </w:r>
      <w:r>
        <w:rPr>
          <w:rFonts w:ascii="Century Schoolbook" w:eastAsia="Century Schoolbook" w:hAnsi="Century Schoolbook" w:cs="Century Schoolbook"/>
        </w:rPr>
        <w:t xml:space="preserve"> and, when combined with employer-tied residence status and limited ability to change employment, may severely restrict workers’ freedom of movement and ability to leave exploitative situations. For migrant domestic workers confined to employers’ homes and prevented from leaving or threatened with immigration consequences, these practices may amount to conditions of de facto deprivation of liberty. </w:t>
      </w:r>
    </w:p>
    <w:p w14:paraId="19ED8037" w14:textId="77777777" w:rsidR="00D25CE6" w:rsidRDefault="00D25CE6" w:rsidP="00D25CE6">
      <w:pPr>
        <w:rPr>
          <w:rFonts w:ascii="Century Schoolbook" w:eastAsia="Century Schoolbook" w:hAnsi="Century Schoolbook" w:cs="Century Schoolbook"/>
        </w:rPr>
      </w:pPr>
    </w:p>
    <w:p w14:paraId="475C7248" w14:textId="77777777" w:rsidR="00D25CE6" w:rsidRDefault="00D25CE6" w:rsidP="00D25CE6">
      <w:pPr>
        <w:ind w:left="851" w:hanging="851"/>
        <w:rPr>
          <w:rFonts w:ascii="Century Schoolbook" w:eastAsia="Century Schoolbook" w:hAnsi="Century Schoolbook" w:cs="Century Schoolbook"/>
        </w:rPr>
      </w:pPr>
      <w:r>
        <w:rPr>
          <w:rFonts w:ascii="Century Schoolbook" w:eastAsia="Century Schoolbook" w:hAnsi="Century Schoolbook" w:cs="Century Schoolbook"/>
        </w:rPr>
        <w:t>3.</w:t>
      </w:r>
      <w:proofErr w:type="gramStart"/>
      <w:r>
        <w:rPr>
          <w:rFonts w:ascii="Century Schoolbook" w:eastAsia="Century Schoolbook" w:hAnsi="Century Schoolbook" w:cs="Century Schoolbook"/>
        </w:rPr>
        <w:t>2.e</w:t>
      </w:r>
      <w:proofErr w:type="gramEnd"/>
      <w:r>
        <w:rPr>
          <w:rFonts w:ascii="Century Schoolbook" w:eastAsia="Century Schoolbook" w:hAnsi="Century Schoolbook" w:cs="Century Schoolbook"/>
        </w:rPr>
        <w:tab/>
        <w:t xml:space="preserve">In another step backwards, on 1 July 2025 Kuwait reintroduced the exit permit system. As per a </w:t>
      </w:r>
      <w:hyperlink r:id="rId17">
        <w:r>
          <w:rPr>
            <w:rFonts w:ascii="Century Schoolbook" w:eastAsia="Century Schoolbook" w:hAnsi="Century Schoolbook" w:cs="Century Schoolbook"/>
            <w:color w:val="467886"/>
            <w:u w:val="single"/>
          </w:rPr>
          <w:t>ministerial circular</w:t>
        </w:r>
      </w:hyperlink>
      <w:r>
        <w:t>,</w:t>
      </w:r>
      <w:r>
        <w:rPr>
          <w:rFonts w:ascii="Century Schoolbook" w:eastAsia="Century Schoolbook" w:hAnsi="Century Schoolbook" w:cs="Century Schoolbook"/>
        </w:rPr>
        <w:t xml:space="preserve"> migrant workers now also need to request permission to leave the country via the Sahel app–providing employers with yet another tool of control. Without approval, migrants cannot lawfully exit the country.</w:t>
      </w:r>
      <w:r>
        <w:rPr>
          <w:rFonts w:ascii="Century Schoolbook" w:eastAsia="Century Schoolbook" w:hAnsi="Century Schoolbook" w:cs="Century Schoolbook"/>
          <w:vertAlign w:val="superscript"/>
        </w:rPr>
        <w:footnoteReference w:id="7"/>
      </w:r>
      <w:r>
        <w:rPr>
          <w:rFonts w:ascii="Century Schoolbook" w:eastAsia="Century Schoolbook" w:hAnsi="Century Schoolbook" w:cs="Century Schoolbook"/>
        </w:rPr>
        <w:t xml:space="preserve">  Not only is this development another step towards entrenching, rather than dismantling, the </w:t>
      </w:r>
      <w:r>
        <w:rPr>
          <w:rFonts w:ascii="Century Schoolbook" w:eastAsia="Century Schoolbook" w:hAnsi="Century Schoolbook" w:cs="Century Schoolbook"/>
          <w:i/>
          <w:iCs/>
        </w:rPr>
        <w:t>kafala</w:t>
      </w:r>
      <w:r>
        <w:rPr>
          <w:rFonts w:ascii="Century Schoolbook" w:eastAsia="Century Schoolbook" w:hAnsi="Century Schoolbook" w:cs="Century Schoolbook"/>
        </w:rPr>
        <w:t xml:space="preserve"> system, but it is also a clear violation of Article 5(d)(ii) of the Convention. </w:t>
      </w:r>
    </w:p>
    <w:p w14:paraId="409905C1" w14:textId="77777777" w:rsidR="00D25CE6" w:rsidRDefault="00D25CE6" w:rsidP="00D25CE6">
      <w:pPr>
        <w:ind w:left="851" w:hanging="851"/>
        <w:rPr>
          <w:rFonts w:ascii="Century Schoolbook" w:eastAsia="Century Schoolbook" w:hAnsi="Century Schoolbook" w:cs="Century Schoolbook"/>
        </w:rPr>
      </w:pPr>
    </w:p>
    <w:p w14:paraId="745486BB" w14:textId="77777777" w:rsidR="00D25CE6" w:rsidRDefault="00D25CE6" w:rsidP="00D25CE6">
      <w:pPr>
        <w:ind w:left="851" w:hanging="851"/>
        <w:rPr>
          <w:rFonts w:ascii="Century Schoolbook" w:eastAsia="Century Schoolbook" w:hAnsi="Century Schoolbook" w:cs="Century Schoolbook"/>
          <w:b/>
          <w:bCs/>
          <w:color w:val="156082"/>
        </w:rPr>
      </w:pPr>
    </w:p>
    <w:p w14:paraId="43C45B85" w14:textId="77777777" w:rsidR="00D25CE6" w:rsidRDefault="00D25CE6" w:rsidP="00D25CE6">
      <w:pPr>
        <w:ind w:left="851" w:hanging="851"/>
        <w:rPr>
          <w:rFonts w:ascii="Century Schoolbook" w:eastAsia="Century Schoolbook" w:hAnsi="Century Schoolbook" w:cs="Century Schoolbook"/>
          <w:b/>
          <w:bCs/>
          <w:color w:val="156082"/>
        </w:rPr>
      </w:pPr>
    </w:p>
    <w:p w14:paraId="62C9E4F0" w14:textId="77777777" w:rsidR="00D25CE6" w:rsidRDefault="00D25CE6" w:rsidP="00D25CE6">
      <w:pPr>
        <w:ind w:left="851" w:hanging="851"/>
        <w:rPr>
          <w:rFonts w:ascii="Century Schoolbook" w:eastAsia="Century Schoolbook" w:hAnsi="Century Schoolbook" w:cs="Century Schoolbook"/>
          <w:b/>
          <w:bCs/>
          <w:color w:val="156082"/>
        </w:rPr>
      </w:pPr>
    </w:p>
    <w:p w14:paraId="76C15707" w14:textId="77777777" w:rsidR="00D25CE6" w:rsidRDefault="00D25CE6" w:rsidP="00D25CE6">
      <w:pPr>
        <w:ind w:left="851" w:hanging="851"/>
        <w:rPr>
          <w:rFonts w:ascii="Century Schoolbook" w:eastAsia="Century Schoolbook" w:hAnsi="Century Schoolbook" w:cs="Century Schoolbook"/>
          <w:b/>
          <w:bCs/>
          <w:color w:val="156082"/>
        </w:rPr>
      </w:pPr>
    </w:p>
    <w:p w14:paraId="68846299" w14:textId="2BA1F938" w:rsidR="00D25CE6" w:rsidRDefault="00D25CE6" w:rsidP="00D25CE6">
      <w:pPr>
        <w:ind w:left="851" w:hanging="851"/>
        <w:rPr>
          <w:rFonts w:ascii="Century Schoolbook" w:eastAsia="Century Schoolbook" w:hAnsi="Century Schoolbook" w:cs="Century Schoolbook"/>
          <w:b/>
          <w:bCs/>
          <w:color w:val="156082"/>
        </w:rPr>
      </w:pPr>
      <w:r>
        <w:rPr>
          <w:rFonts w:ascii="Century Schoolbook" w:hAnsi="Century Schoolbook"/>
          <w:b/>
          <w:bCs/>
          <w:noProof/>
          <w:sz w:val="22"/>
          <w:szCs w:val="22"/>
        </w:rPr>
        <w:lastRenderedPageBreak/>
        <mc:AlternateContent>
          <mc:Choice Requires="wps">
            <w:drawing>
              <wp:anchor distT="0" distB="0" distL="114300" distR="114300" simplePos="0" relativeHeight="251668480" behindDoc="0" locked="0" layoutInCell="1" allowOverlap="1" wp14:anchorId="7FE29116" wp14:editId="4E45B418">
                <wp:simplePos x="0" y="0"/>
                <wp:positionH relativeFrom="column">
                  <wp:posOffset>-114300</wp:posOffset>
                </wp:positionH>
                <wp:positionV relativeFrom="paragraph">
                  <wp:posOffset>-279400</wp:posOffset>
                </wp:positionV>
                <wp:extent cx="6096000" cy="3251200"/>
                <wp:effectExtent l="0" t="0" r="12700" b="12700"/>
                <wp:wrapNone/>
                <wp:docPr id="1682876274" name="Text Box 3"/>
                <wp:cNvGraphicFramePr/>
                <a:graphic xmlns:a="http://schemas.openxmlformats.org/drawingml/2006/main">
                  <a:graphicData uri="http://schemas.microsoft.com/office/word/2010/wordprocessingShape">
                    <wps:wsp>
                      <wps:cNvSpPr txBox="1"/>
                      <wps:spPr>
                        <a:xfrm>
                          <a:off x="0" y="0"/>
                          <a:ext cx="6096000" cy="3251200"/>
                        </a:xfrm>
                        <a:prstGeom prst="rect">
                          <a:avLst/>
                        </a:prstGeom>
                        <a:solidFill>
                          <a:schemeClr val="bg2"/>
                        </a:solidFill>
                        <a:ln w="6350">
                          <a:solidFill>
                            <a:schemeClr val="accent1"/>
                          </a:solidFill>
                        </a:ln>
                      </wps:spPr>
                      <wps:txbx>
                        <w:txbxContent>
                          <w:p w14:paraId="1598B754" w14:textId="77777777" w:rsidR="00D25CE6" w:rsidRDefault="00D25CE6" w:rsidP="00D25CE6">
                            <w:pPr>
                              <w:ind w:left="851" w:hanging="851"/>
                              <w:rPr>
                                <w:rFonts w:ascii="Century Schoolbook" w:eastAsia="Century Schoolbook" w:hAnsi="Century Schoolbook" w:cs="Century Schoolbook"/>
                                <w:b/>
                                <w:bCs/>
                                <w:color w:val="156082"/>
                              </w:rPr>
                            </w:pPr>
                          </w:p>
                          <w:p w14:paraId="1EBDC1D9" w14:textId="77777777" w:rsidR="00D25CE6" w:rsidRDefault="00D25CE6" w:rsidP="00D25CE6">
                            <w:pPr>
                              <w:ind w:left="851" w:hanging="851"/>
                              <w:rPr>
                                <w:rFonts w:ascii="Century Schoolbook" w:eastAsia="Century Schoolbook" w:hAnsi="Century Schoolbook" w:cs="Century Schoolbook"/>
                                <w:b/>
                                <w:bCs/>
                                <w:color w:val="156082"/>
                              </w:rPr>
                            </w:pPr>
                            <w:r>
                              <w:rPr>
                                <w:rFonts w:ascii="Century Schoolbook" w:eastAsia="Century Schoolbook" w:hAnsi="Century Schoolbook" w:cs="Century Schoolbook"/>
                                <w:b/>
                                <w:bCs/>
                                <w:color w:val="156082"/>
                              </w:rPr>
                              <w:t>Recommendations</w:t>
                            </w:r>
                          </w:p>
                          <w:p w14:paraId="70C25B60" w14:textId="77777777" w:rsidR="00D25CE6" w:rsidRDefault="00D25CE6" w:rsidP="00D25CE6">
                            <w:pPr>
                              <w:ind w:left="851" w:hanging="851"/>
                              <w:rPr>
                                <w:rFonts w:ascii="Century Schoolbook" w:eastAsia="Century Schoolbook" w:hAnsi="Century Schoolbook" w:cs="Century Schoolbook"/>
                                <w:b/>
                                <w:bCs/>
                                <w:color w:val="156082"/>
                              </w:rPr>
                            </w:pPr>
                          </w:p>
                          <w:p w14:paraId="6B385EE5" w14:textId="77777777" w:rsidR="00D25CE6" w:rsidRDefault="00D25CE6" w:rsidP="00D25CE6">
                            <w:pPr>
                              <w:rPr>
                                <w:rFonts w:ascii="Century Schoolbook" w:eastAsia="Century Schoolbook" w:hAnsi="Century Schoolbook" w:cs="Century Schoolbook"/>
                                <w:color w:val="156082"/>
                              </w:rPr>
                            </w:pPr>
                            <w:r>
                              <w:rPr>
                                <w:rFonts w:ascii="Century Schoolbook" w:eastAsia="Century Schoolbook" w:hAnsi="Century Schoolbook" w:cs="Century Schoolbook"/>
                                <w:color w:val="156082"/>
                              </w:rPr>
                              <w:t>The GDP and MRRORS encourage the Committee to urge Kuwait to:</w:t>
                            </w:r>
                          </w:p>
                          <w:p w14:paraId="6C9D5C1E" w14:textId="77777777" w:rsidR="00D25CE6" w:rsidRDefault="00D25CE6" w:rsidP="00D25CE6">
                            <w:pPr>
                              <w:rPr>
                                <w:rFonts w:ascii="Century Schoolbook" w:eastAsia="Century Schoolbook" w:hAnsi="Century Schoolbook" w:cs="Century Schoolbook"/>
                                <w:color w:val="156082"/>
                              </w:rPr>
                            </w:pPr>
                          </w:p>
                          <w:p w14:paraId="6BE3DE83" w14:textId="77777777" w:rsidR="00D25CE6" w:rsidRPr="00D25CE6" w:rsidRDefault="00D25CE6" w:rsidP="00D25CE6">
                            <w:pPr>
                              <w:numPr>
                                <w:ilvl w:val="0"/>
                                <w:numId w:val="6"/>
                              </w:numPr>
                              <w:pBdr>
                                <w:top w:val="nil"/>
                                <w:left w:val="nil"/>
                                <w:bottom w:val="nil"/>
                                <w:right w:val="nil"/>
                                <w:between w:val="nil"/>
                              </w:pBdr>
                              <w:rPr>
                                <w:rFonts w:ascii="Century Schoolbook" w:eastAsia="Century Schoolbook" w:hAnsi="Century Schoolbook" w:cs="Century Schoolbook"/>
                                <w:color w:val="156082"/>
                              </w:rPr>
                            </w:pPr>
                            <w:r>
                              <w:rPr>
                                <w:rFonts w:ascii="Century Schoolbook" w:eastAsia="Century Schoolbook" w:hAnsi="Century Schoolbook" w:cs="Century Schoolbook"/>
                                <w:color w:val="156082"/>
                              </w:rPr>
                              <w:t xml:space="preserve">Abolish all aspects of the </w:t>
                            </w:r>
                            <w:r>
                              <w:rPr>
                                <w:rFonts w:ascii="Century Schoolbook" w:eastAsia="Century Schoolbook" w:hAnsi="Century Schoolbook" w:cs="Century Schoolbook"/>
                                <w:i/>
                                <w:iCs/>
                                <w:color w:val="156082"/>
                              </w:rPr>
                              <w:t xml:space="preserve">kafala </w:t>
                            </w:r>
                            <w:r>
                              <w:rPr>
                                <w:rFonts w:ascii="Century Schoolbook" w:eastAsia="Century Schoolbook" w:hAnsi="Century Schoolbook" w:cs="Century Schoolbook"/>
                                <w:color w:val="156082"/>
                              </w:rPr>
                              <w:t xml:space="preserve">system, ensuring that employer sponsorship is replaced by government overseen residency permits. </w:t>
                            </w:r>
                            <w:r>
                              <w:rPr>
                                <w:rFonts w:ascii="Century Schoolbook" w:eastAsia="Century Schoolbook" w:hAnsi="Century Schoolbook" w:cs="Century Schoolbook"/>
                                <w:color w:val="156082"/>
                              </w:rPr>
                              <w:t xml:space="preserve">The State party must ensure that migrant workers are not subjected to arrest, detention, and/or deportation as a consequence of employment termination, sponsorship withdrawal, or allegations of absconding, and </w:t>
                            </w:r>
                            <w:r w:rsidRPr="00D25CE6">
                              <w:rPr>
                                <w:rFonts w:ascii="Century Schoolbook" w:eastAsia="Century Schoolbook" w:hAnsi="Century Schoolbook" w:cs="Century Schoolbook"/>
                                <w:color w:val="156082"/>
                              </w:rPr>
                              <w:t xml:space="preserve">instead guarantee that immigration detention is only used as a measure of last resort. </w:t>
                            </w:r>
                          </w:p>
                          <w:p w14:paraId="1FDC2BEC" w14:textId="77777777" w:rsidR="00D25CE6" w:rsidRPr="00D25CE6" w:rsidRDefault="00D25CE6" w:rsidP="00D25CE6">
                            <w:pPr>
                              <w:numPr>
                                <w:ilvl w:val="0"/>
                                <w:numId w:val="6"/>
                              </w:numPr>
                              <w:pBdr>
                                <w:top w:val="nil"/>
                                <w:left w:val="nil"/>
                                <w:bottom w:val="nil"/>
                                <w:right w:val="nil"/>
                                <w:between w:val="nil"/>
                              </w:pBdr>
                              <w:rPr>
                                <w:rFonts w:ascii="Century Schoolbook" w:eastAsia="Century Schoolbook" w:hAnsi="Century Schoolbook" w:cs="Century Schoolbook"/>
                                <w:color w:val="156082"/>
                              </w:rPr>
                            </w:pPr>
                            <w:r w:rsidRPr="00D25CE6">
                              <w:rPr>
                                <w:rFonts w:ascii="Century Schoolbook" w:eastAsia="Century Schoolbook" w:hAnsi="Century Schoolbook" w:cs="Century Schoolbook"/>
                                <w:color w:val="156082"/>
                              </w:rPr>
                              <w:t>Ensure the effective implementation of Article 12 of Law No. 68 of 2015 by preventing and sanctioning passport confiscation and other practices restricting migrant domestic workers’ freedom of movement.</w:t>
                            </w:r>
                          </w:p>
                          <w:p w14:paraId="5C8DB89A" w14:textId="77777777" w:rsidR="00D25CE6" w:rsidRDefault="00D25CE6" w:rsidP="00D25CE6">
                            <w:pPr>
                              <w:numPr>
                                <w:ilvl w:val="0"/>
                                <w:numId w:val="6"/>
                              </w:numPr>
                              <w:pBdr>
                                <w:top w:val="nil"/>
                                <w:left w:val="nil"/>
                                <w:bottom w:val="nil"/>
                                <w:right w:val="nil"/>
                                <w:between w:val="nil"/>
                              </w:pBdr>
                              <w:rPr>
                                <w:rFonts w:ascii="Century Schoolbook" w:eastAsia="Century Schoolbook" w:hAnsi="Century Schoolbook" w:cs="Century Schoolbook"/>
                                <w:color w:val="156082"/>
                              </w:rPr>
                            </w:pPr>
                            <w:r w:rsidRPr="00D25CE6">
                              <w:rPr>
                                <w:rFonts w:ascii="Century Schoolbook" w:eastAsia="Century Schoolbook" w:hAnsi="Century Schoolbook" w:cs="Century Schoolbook"/>
                                <w:color w:val="156082"/>
                              </w:rPr>
                              <w:t xml:space="preserve">Remove the new exit requirements for migrant workers and ensure </w:t>
                            </w:r>
                            <w:r>
                              <w:rPr>
                                <w:rFonts w:ascii="Century Schoolbook" w:eastAsia="Century Schoolbook" w:hAnsi="Century Schoolbook" w:cs="Century Schoolbook"/>
                                <w:color w:val="156082"/>
                              </w:rPr>
                              <w:t xml:space="preserve">that migrant workers are able to leave the country without restrictions. </w:t>
                            </w:r>
                          </w:p>
                          <w:p w14:paraId="423F8F09" w14:textId="77777777" w:rsidR="00D25CE6" w:rsidRDefault="00D25CE6" w:rsidP="00D25C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E29116" id="_x0000_s1029" type="#_x0000_t202" style="position:absolute;left:0;text-align:left;margin-left:-9pt;margin-top:-22pt;width:480pt;height:2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" fillcolor="#e8e8e8 [3214]" strokecolor="#156082 [3204]" strokeweight=".5pt">
                <v:textbox>
                  <w:txbxContent>
                    <w:p w14:paraId="1598B754" w14:textId="77777777" w:rsidR="00D25CE6" w:rsidRDefault="00D25CE6" w:rsidP="00D25CE6">
                      <w:pPr>
                        <w:ind w:left="851" w:hanging="851"/>
                        <w:rPr>
                          <w:rFonts w:ascii="Century Schoolbook" w:eastAsia="Century Schoolbook" w:hAnsi="Century Schoolbook" w:cs="Century Schoolbook"/>
                          <w:b/>
                          <w:bCs/>
                          <w:color w:val="156082"/>
                        </w:rPr>
                      </w:pPr>
                    </w:p>
                    <w:p w14:paraId="1EBDC1D9" w14:textId="77777777" w:rsidR="00D25CE6" w:rsidRDefault="00D25CE6" w:rsidP="00D25CE6">
                      <w:pPr>
                        <w:ind w:left="851" w:hanging="851"/>
                        <w:rPr>
                          <w:rFonts w:ascii="Century Schoolbook" w:eastAsia="Century Schoolbook" w:hAnsi="Century Schoolbook" w:cs="Century Schoolbook"/>
                          <w:b/>
                          <w:bCs/>
                          <w:color w:val="156082"/>
                        </w:rPr>
                      </w:pPr>
                      <w:r>
                        <w:rPr>
                          <w:rFonts w:ascii="Century Schoolbook" w:eastAsia="Century Schoolbook" w:hAnsi="Century Schoolbook" w:cs="Century Schoolbook"/>
                          <w:b/>
                          <w:bCs/>
                          <w:color w:val="156082"/>
                        </w:rPr>
                        <w:t>Recommendations</w:t>
                      </w:r>
                    </w:p>
                    <w:p w14:paraId="70C25B60" w14:textId="77777777" w:rsidR="00D25CE6" w:rsidRDefault="00D25CE6" w:rsidP="00D25CE6">
                      <w:pPr>
                        <w:ind w:left="851" w:hanging="851"/>
                        <w:rPr>
                          <w:rFonts w:ascii="Century Schoolbook" w:eastAsia="Century Schoolbook" w:hAnsi="Century Schoolbook" w:cs="Century Schoolbook"/>
                          <w:b/>
                          <w:bCs/>
                          <w:color w:val="156082"/>
                        </w:rPr>
                      </w:pPr>
                    </w:p>
                    <w:p w14:paraId="6B385EE5" w14:textId="77777777" w:rsidR="00D25CE6" w:rsidRDefault="00D25CE6" w:rsidP="00D25CE6">
                      <w:pPr>
                        <w:rPr>
                          <w:rFonts w:ascii="Century Schoolbook" w:eastAsia="Century Schoolbook" w:hAnsi="Century Schoolbook" w:cs="Century Schoolbook"/>
                          <w:color w:val="156082"/>
                        </w:rPr>
                      </w:pPr>
                      <w:r>
                        <w:rPr>
                          <w:rFonts w:ascii="Century Schoolbook" w:eastAsia="Century Schoolbook" w:hAnsi="Century Schoolbook" w:cs="Century Schoolbook"/>
                          <w:color w:val="156082"/>
                        </w:rPr>
                        <w:t>The GDP and MRRORS encourage the Committee to urge Kuwait to:</w:t>
                      </w:r>
                    </w:p>
                    <w:p w14:paraId="6C9D5C1E" w14:textId="77777777" w:rsidR="00D25CE6" w:rsidRDefault="00D25CE6" w:rsidP="00D25CE6">
                      <w:pPr>
                        <w:rPr>
                          <w:rFonts w:ascii="Century Schoolbook" w:eastAsia="Century Schoolbook" w:hAnsi="Century Schoolbook" w:cs="Century Schoolbook"/>
                          <w:color w:val="156082"/>
                        </w:rPr>
                      </w:pPr>
                    </w:p>
                    <w:p w14:paraId="6BE3DE83" w14:textId="77777777" w:rsidR="00D25CE6" w:rsidRPr="00D25CE6" w:rsidRDefault="00D25CE6" w:rsidP="00D25CE6">
                      <w:pPr>
                        <w:numPr>
                          <w:ilvl w:val="0"/>
                          <w:numId w:val="6"/>
                        </w:numPr>
                        <w:pBdr>
                          <w:top w:val="nil"/>
                          <w:left w:val="nil"/>
                          <w:bottom w:val="nil"/>
                          <w:right w:val="nil"/>
                          <w:between w:val="nil"/>
                        </w:pBdr>
                        <w:rPr>
                          <w:rFonts w:ascii="Century Schoolbook" w:eastAsia="Century Schoolbook" w:hAnsi="Century Schoolbook" w:cs="Century Schoolbook"/>
                          <w:color w:val="156082"/>
                        </w:rPr>
                      </w:pPr>
                      <w:r>
                        <w:rPr>
                          <w:rFonts w:ascii="Century Schoolbook" w:eastAsia="Century Schoolbook" w:hAnsi="Century Schoolbook" w:cs="Century Schoolbook"/>
                          <w:color w:val="156082"/>
                        </w:rPr>
                        <w:t xml:space="preserve">Abolish all aspects of the </w:t>
                      </w:r>
                      <w:r>
                        <w:rPr>
                          <w:rFonts w:ascii="Century Schoolbook" w:eastAsia="Century Schoolbook" w:hAnsi="Century Schoolbook" w:cs="Century Schoolbook"/>
                          <w:i/>
                          <w:iCs/>
                          <w:color w:val="156082"/>
                        </w:rPr>
                        <w:t xml:space="preserve">kafala </w:t>
                      </w:r>
                      <w:r>
                        <w:rPr>
                          <w:rFonts w:ascii="Century Schoolbook" w:eastAsia="Century Schoolbook" w:hAnsi="Century Schoolbook" w:cs="Century Schoolbook"/>
                          <w:color w:val="156082"/>
                        </w:rPr>
                        <w:t xml:space="preserve">system, ensuring that employer sponsorship is replaced by government overseen residency permits. The State party must ensure that migrant workers are not subjected to arrest, detention, and/or deportation </w:t>
                      </w:r>
                      <w:proofErr w:type="gramStart"/>
                      <w:r>
                        <w:rPr>
                          <w:rFonts w:ascii="Century Schoolbook" w:eastAsia="Century Schoolbook" w:hAnsi="Century Schoolbook" w:cs="Century Schoolbook"/>
                          <w:color w:val="156082"/>
                        </w:rPr>
                        <w:t>as a consequence of</w:t>
                      </w:r>
                      <w:proofErr w:type="gramEnd"/>
                      <w:r>
                        <w:rPr>
                          <w:rFonts w:ascii="Century Schoolbook" w:eastAsia="Century Schoolbook" w:hAnsi="Century Schoolbook" w:cs="Century Schoolbook"/>
                          <w:color w:val="156082"/>
                        </w:rPr>
                        <w:t xml:space="preserve"> employment termination, sponsorship withdrawal, or allegations of absconding, and </w:t>
                      </w:r>
                      <w:r w:rsidRPr="00D25CE6">
                        <w:rPr>
                          <w:rFonts w:ascii="Century Schoolbook" w:eastAsia="Century Schoolbook" w:hAnsi="Century Schoolbook" w:cs="Century Schoolbook"/>
                          <w:color w:val="156082"/>
                        </w:rPr>
                        <w:t xml:space="preserve">instead guarantee that immigration detention is only used as a measure of last resort. </w:t>
                      </w:r>
                    </w:p>
                    <w:p w14:paraId="1FDC2BEC" w14:textId="77777777" w:rsidR="00D25CE6" w:rsidRPr="00D25CE6" w:rsidRDefault="00D25CE6" w:rsidP="00D25CE6">
                      <w:pPr>
                        <w:numPr>
                          <w:ilvl w:val="0"/>
                          <w:numId w:val="6"/>
                        </w:numPr>
                        <w:pBdr>
                          <w:top w:val="nil"/>
                          <w:left w:val="nil"/>
                          <w:bottom w:val="nil"/>
                          <w:right w:val="nil"/>
                          <w:between w:val="nil"/>
                        </w:pBdr>
                        <w:rPr>
                          <w:rFonts w:ascii="Century Schoolbook" w:eastAsia="Century Schoolbook" w:hAnsi="Century Schoolbook" w:cs="Century Schoolbook"/>
                          <w:color w:val="156082"/>
                        </w:rPr>
                      </w:pPr>
                      <w:r w:rsidRPr="00D25CE6">
                        <w:rPr>
                          <w:rFonts w:ascii="Century Schoolbook" w:eastAsia="Century Schoolbook" w:hAnsi="Century Schoolbook" w:cs="Century Schoolbook"/>
                          <w:color w:val="156082"/>
                        </w:rPr>
                        <w:t>Ensure the effective implementation of Article 12 of Law No. 68 of 2015 by preventing and sanctioning passport confiscation and other practices restricting migrant domestic workers’ freedom of movement.</w:t>
                      </w:r>
                    </w:p>
                    <w:p w14:paraId="5C8DB89A" w14:textId="77777777" w:rsidR="00D25CE6" w:rsidRDefault="00D25CE6" w:rsidP="00D25CE6">
                      <w:pPr>
                        <w:numPr>
                          <w:ilvl w:val="0"/>
                          <w:numId w:val="6"/>
                        </w:numPr>
                        <w:pBdr>
                          <w:top w:val="nil"/>
                          <w:left w:val="nil"/>
                          <w:bottom w:val="nil"/>
                          <w:right w:val="nil"/>
                          <w:between w:val="nil"/>
                        </w:pBdr>
                        <w:rPr>
                          <w:rFonts w:ascii="Century Schoolbook" w:eastAsia="Century Schoolbook" w:hAnsi="Century Schoolbook" w:cs="Century Schoolbook"/>
                          <w:color w:val="156082"/>
                        </w:rPr>
                      </w:pPr>
                      <w:r w:rsidRPr="00D25CE6">
                        <w:rPr>
                          <w:rFonts w:ascii="Century Schoolbook" w:eastAsia="Century Schoolbook" w:hAnsi="Century Schoolbook" w:cs="Century Schoolbook"/>
                          <w:color w:val="156082"/>
                        </w:rPr>
                        <w:t xml:space="preserve">Remove the new exit requirements for migrant workers and ensure </w:t>
                      </w:r>
                      <w:r>
                        <w:rPr>
                          <w:rFonts w:ascii="Century Schoolbook" w:eastAsia="Century Schoolbook" w:hAnsi="Century Schoolbook" w:cs="Century Schoolbook"/>
                          <w:color w:val="156082"/>
                        </w:rPr>
                        <w:t xml:space="preserve">that migrant workers </w:t>
                      </w:r>
                      <w:proofErr w:type="gramStart"/>
                      <w:r>
                        <w:rPr>
                          <w:rFonts w:ascii="Century Schoolbook" w:eastAsia="Century Schoolbook" w:hAnsi="Century Schoolbook" w:cs="Century Schoolbook"/>
                          <w:color w:val="156082"/>
                        </w:rPr>
                        <w:t>are able to</w:t>
                      </w:r>
                      <w:proofErr w:type="gramEnd"/>
                      <w:r>
                        <w:rPr>
                          <w:rFonts w:ascii="Century Schoolbook" w:eastAsia="Century Schoolbook" w:hAnsi="Century Schoolbook" w:cs="Century Schoolbook"/>
                          <w:color w:val="156082"/>
                        </w:rPr>
                        <w:t xml:space="preserve"> leave the country without restrictions. </w:t>
                      </w:r>
                    </w:p>
                    <w:p w14:paraId="423F8F09" w14:textId="77777777" w:rsidR="00D25CE6" w:rsidRDefault="00D25CE6" w:rsidP="00D25CE6"/>
                  </w:txbxContent>
                </v:textbox>
              </v:shape>
            </w:pict>
          </mc:Fallback>
        </mc:AlternateContent>
      </w:r>
    </w:p>
    <w:p w14:paraId="341059F4" w14:textId="77777777" w:rsidR="00D25CE6" w:rsidRDefault="00D25CE6" w:rsidP="00D25CE6">
      <w:pPr>
        <w:ind w:left="851" w:hanging="851"/>
        <w:rPr>
          <w:rFonts w:ascii="Century Schoolbook" w:eastAsia="Century Schoolbook" w:hAnsi="Century Schoolbook" w:cs="Century Schoolbook"/>
          <w:b/>
          <w:bCs/>
          <w:color w:val="156082"/>
        </w:rPr>
      </w:pPr>
    </w:p>
    <w:p w14:paraId="2C119B15" w14:textId="77777777" w:rsidR="00D25CE6" w:rsidRDefault="00D25CE6" w:rsidP="00D25CE6">
      <w:pPr>
        <w:ind w:left="851" w:hanging="851"/>
        <w:rPr>
          <w:rFonts w:ascii="Century Schoolbook" w:eastAsia="Century Schoolbook" w:hAnsi="Century Schoolbook" w:cs="Century Schoolbook"/>
          <w:b/>
          <w:bCs/>
          <w:color w:val="156082"/>
        </w:rPr>
      </w:pPr>
    </w:p>
    <w:p w14:paraId="08F11DFC" w14:textId="77777777" w:rsidR="00D25CE6" w:rsidRDefault="00D25CE6" w:rsidP="00D25CE6">
      <w:pPr>
        <w:ind w:left="851" w:hanging="851"/>
        <w:rPr>
          <w:rFonts w:ascii="Century Schoolbook" w:eastAsia="Century Schoolbook" w:hAnsi="Century Schoolbook" w:cs="Century Schoolbook"/>
          <w:b/>
          <w:bCs/>
          <w:color w:val="156082"/>
        </w:rPr>
      </w:pPr>
    </w:p>
    <w:p w14:paraId="236147E4" w14:textId="77777777" w:rsidR="00D25CE6" w:rsidRDefault="00D25CE6" w:rsidP="00D25CE6">
      <w:pPr>
        <w:ind w:left="851" w:hanging="851"/>
        <w:rPr>
          <w:rFonts w:ascii="Century Schoolbook" w:eastAsia="Century Schoolbook" w:hAnsi="Century Schoolbook" w:cs="Century Schoolbook"/>
          <w:b/>
          <w:bCs/>
          <w:color w:val="156082"/>
        </w:rPr>
      </w:pPr>
    </w:p>
    <w:p w14:paraId="03A51294" w14:textId="77777777" w:rsidR="00D25CE6" w:rsidRDefault="00D25CE6" w:rsidP="00D25CE6">
      <w:pPr>
        <w:ind w:left="851" w:hanging="851"/>
        <w:rPr>
          <w:rFonts w:ascii="Century Schoolbook" w:eastAsia="Century Schoolbook" w:hAnsi="Century Schoolbook" w:cs="Century Schoolbook"/>
          <w:b/>
          <w:bCs/>
          <w:color w:val="156082"/>
        </w:rPr>
      </w:pPr>
    </w:p>
    <w:p w14:paraId="4D23FA29" w14:textId="77777777" w:rsidR="00D25CE6" w:rsidRDefault="00D25CE6" w:rsidP="00D25CE6">
      <w:pPr>
        <w:ind w:left="851" w:hanging="851"/>
        <w:rPr>
          <w:rFonts w:ascii="Century Schoolbook" w:eastAsia="Century Schoolbook" w:hAnsi="Century Schoolbook" w:cs="Century Schoolbook"/>
          <w:b/>
          <w:bCs/>
          <w:color w:val="156082"/>
        </w:rPr>
      </w:pPr>
    </w:p>
    <w:p w14:paraId="6A52456E" w14:textId="77777777" w:rsidR="00D25CE6" w:rsidRDefault="00D25CE6" w:rsidP="00D25CE6">
      <w:pPr>
        <w:ind w:left="851" w:hanging="851"/>
        <w:rPr>
          <w:rFonts w:ascii="Century Schoolbook" w:eastAsia="Century Schoolbook" w:hAnsi="Century Schoolbook" w:cs="Century Schoolbook"/>
          <w:b/>
          <w:bCs/>
          <w:color w:val="156082"/>
        </w:rPr>
      </w:pPr>
    </w:p>
    <w:p w14:paraId="0724DCA9" w14:textId="77777777" w:rsidR="00D25CE6" w:rsidRDefault="00D25CE6" w:rsidP="00D25CE6">
      <w:pPr>
        <w:ind w:left="851" w:hanging="851"/>
        <w:rPr>
          <w:rFonts w:ascii="Century Schoolbook" w:eastAsia="Century Schoolbook" w:hAnsi="Century Schoolbook" w:cs="Century Schoolbook"/>
          <w:b/>
          <w:bCs/>
          <w:color w:val="156082"/>
        </w:rPr>
      </w:pPr>
    </w:p>
    <w:p w14:paraId="10CC82E1" w14:textId="77777777" w:rsidR="00D25CE6" w:rsidRDefault="00D25CE6" w:rsidP="00D25CE6">
      <w:pPr>
        <w:ind w:left="851" w:hanging="851"/>
        <w:rPr>
          <w:rFonts w:ascii="Century Schoolbook" w:eastAsia="Century Schoolbook" w:hAnsi="Century Schoolbook" w:cs="Century Schoolbook"/>
          <w:b/>
          <w:bCs/>
          <w:color w:val="156082"/>
        </w:rPr>
      </w:pPr>
    </w:p>
    <w:p w14:paraId="0BB5E5C2" w14:textId="77777777" w:rsidR="00D25CE6" w:rsidRDefault="00D25CE6" w:rsidP="00D25CE6">
      <w:pPr>
        <w:ind w:left="851" w:hanging="851"/>
        <w:rPr>
          <w:rFonts w:ascii="Century Schoolbook" w:eastAsia="Century Schoolbook" w:hAnsi="Century Schoolbook" w:cs="Century Schoolbook"/>
          <w:b/>
          <w:bCs/>
          <w:color w:val="156082"/>
        </w:rPr>
      </w:pPr>
    </w:p>
    <w:p w14:paraId="017297DB" w14:textId="77777777" w:rsidR="00D25CE6" w:rsidRDefault="00D25CE6" w:rsidP="00D25CE6">
      <w:pPr>
        <w:ind w:left="851" w:hanging="851"/>
        <w:rPr>
          <w:rFonts w:ascii="Century Schoolbook" w:eastAsia="Century Schoolbook" w:hAnsi="Century Schoolbook" w:cs="Century Schoolbook"/>
          <w:b/>
          <w:bCs/>
          <w:color w:val="156082"/>
        </w:rPr>
      </w:pPr>
    </w:p>
    <w:p w14:paraId="3B908A59" w14:textId="77777777" w:rsidR="00D25CE6" w:rsidRDefault="00D25CE6" w:rsidP="00D25CE6">
      <w:pPr>
        <w:ind w:left="851" w:hanging="851"/>
        <w:rPr>
          <w:rFonts w:ascii="Century Schoolbook" w:eastAsia="Century Schoolbook" w:hAnsi="Century Schoolbook" w:cs="Century Schoolbook"/>
          <w:b/>
          <w:bCs/>
          <w:color w:val="156082"/>
        </w:rPr>
      </w:pPr>
    </w:p>
    <w:p w14:paraId="476B6FC7" w14:textId="77777777" w:rsidR="00D25CE6" w:rsidRDefault="00D25CE6" w:rsidP="00D25CE6">
      <w:pPr>
        <w:ind w:left="851" w:hanging="851"/>
        <w:rPr>
          <w:rFonts w:ascii="Century Schoolbook" w:eastAsia="Century Schoolbook" w:hAnsi="Century Schoolbook" w:cs="Century Schoolbook"/>
          <w:b/>
          <w:bCs/>
          <w:color w:val="156082"/>
        </w:rPr>
      </w:pPr>
    </w:p>
    <w:p w14:paraId="030E9C8C" w14:textId="77777777" w:rsidR="00D25CE6" w:rsidRDefault="00D25CE6" w:rsidP="00D25CE6">
      <w:pPr>
        <w:ind w:left="851" w:hanging="851"/>
        <w:rPr>
          <w:rFonts w:ascii="Century Schoolbook" w:eastAsia="Century Schoolbook" w:hAnsi="Century Schoolbook" w:cs="Century Schoolbook"/>
          <w:b/>
          <w:bCs/>
          <w:color w:val="156082"/>
        </w:rPr>
      </w:pPr>
    </w:p>
    <w:p w14:paraId="091C2EF0" w14:textId="77777777" w:rsidR="00D25CE6" w:rsidRDefault="00D25CE6" w:rsidP="00D25CE6">
      <w:pPr>
        <w:ind w:left="851" w:hanging="851"/>
        <w:rPr>
          <w:rFonts w:ascii="Century Schoolbook" w:eastAsia="Century Schoolbook" w:hAnsi="Century Schoolbook" w:cs="Century Schoolbook"/>
          <w:b/>
          <w:bCs/>
          <w:color w:val="156082"/>
        </w:rPr>
      </w:pPr>
    </w:p>
    <w:p w14:paraId="2EF2B8AC" w14:textId="77777777" w:rsidR="00D25CE6" w:rsidRDefault="00D25CE6" w:rsidP="00D25CE6">
      <w:pPr>
        <w:rPr>
          <w:rFonts w:ascii="Century Schoolbook" w:eastAsia="Century Schoolbook" w:hAnsi="Century Schoolbook" w:cs="Century Schoolbook"/>
          <w:b/>
          <w:bCs/>
          <w:color w:val="156082"/>
        </w:rPr>
      </w:pPr>
    </w:p>
    <w:p w14:paraId="10ECB5F8" w14:textId="77777777" w:rsidR="00D25CE6" w:rsidRPr="00D25CE6" w:rsidRDefault="00D25CE6" w:rsidP="00D25CE6">
      <w:pPr>
        <w:rPr>
          <w:rFonts w:ascii="Century Schoolbook" w:eastAsia="Century Schoolbook" w:hAnsi="Century Schoolbook" w:cs="Century Schoolbook"/>
          <w:b/>
          <w:bCs/>
          <w:color w:val="156082"/>
        </w:rPr>
      </w:pPr>
    </w:p>
    <w:p w14:paraId="640DB6B2" w14:textId="77777777" w:rsidR="00D25CE6" w:rsidRPr="00D25CE6" w:rsidRDefault="00D25CE6" w:rsidP="00D25CE6">
      <w:pPr>
        <w:rPr>
          <w:rFonts w:ascii="Century Schoolbook" w:eastAsia="Century Schoolbook" w:hAnsi="Century Schoolbook" w:cs="Century Schoolbook"/>
          <w:b/>
          <w:bCs/>
          <w:color w:val="156082"/>
        </w:rPr>
      </w:pPr>
      <w:r w:rsidRPr="00D25CE6">
        <w:rPr>
          <w:rFonts w:ascii="Century Schoolbook" w:eastAsia="Century Schoolbook" w:hAnsi="Century Schoolbook" w:cs="Century Schoolbook"/>
          <w:b/>
          <w:bCs/>
          <w:color w:val="156082"/>
        </w:rPr>
        <w:t>3.3 Targeting of Non-Nationals for Deportation</w:t>
      </w:r>
    </w:p>
    <w:p w14:paraId="7D26AF11" w14:textId="77777777" w:rsidR="00D25CE6" w:rsidRDefault="00D25CE6" w:rsidP="00D25CE6">
      <w:pPr>
        <w:rPr>
          <w:rFonts w:ascii="Century Schoolbook" w:eastAsia="Century Schoolbook" w:hAnsi="Century Schoolbook" w:cs="Century Schoolbook"/>
          <w:b/>
          <w:bCs/>
        </w:rPr>
      </w:pPr>
    </w:p>
    <w:p w14:paraId="5017084D" w14:textId="77777777" w:rsidR="00D25CE6" w:rsidRDefault="00D25CE6" w:rsidP="00D25CE6">
      <w:pPr>
        <w:ind w:left="851" w:hanging="851"/>
        <w:rPr>
          <w:rFonts w:ascii="Century Schoolbook" w:eastAsia="Century Schoolbook" w:hAnsi="Century Schoolbook" w:cs="Century Schoolbook"/>
        </w:rPr>
      </w:pPr>
      <w:r>
        <w:rPr>
          <w:rFonts w:ascii="Century Schoolbook" w:eastAsia="Century Schoolbook" w:hAnsi="Century Schoolbook" w:cs="Century Schoolbook"/>
        </w:rPr>
        <w:t>3.</w:t>
      </w:r>
      <w:proofErr w:type="gramStart"/>
      <w:r>
        <w:rPr>
          <w:rFonts w:ascii="Century Schoolbook" w:eastAsia="Century Schoolbook" w:hAnsi="Century Schoolbook" w:cs="Century Schoolbook"/>
        </w:rPr>
        <w:t>3.a</w:t>
      </w:r>
      <w:proofErr w:type="gramEnd"/>
      <w:r>
        <w:rPr>
          <w:rFonts w:ascii="Century Schoolbook" w:eastAsia="Century Schoolbook" w:hAnsi="Century Schoolbook" w:cs="Century Schoolbook"/>
        </w:rPr>
        <w:tab/>
        <w:t>Kuwait regularly conducts large-scale enforcement campaigns targeting irregular migrants. In the first half of 2025, some 19,000 were arrested and deported.</w:t>
      </w:r>
      <w:r>
        <w:rPr>
          <w:rFonts w:ascii="Century Schoolbook" w:eastAsia="Century Schoolbook" w:hAnsi="Century Schoolbook" w:cs="Century Schoolbook"/>
          <w:vertAlign w:val="superscript"/>
        </w:rPr>
        <w:footnoteReference w:id="8"/>
      </w:r>
      <w:r>
        <w:rPr>
          <w:rFonts w:ascii="Century Schoolbook" w:eastAsia="Century Schoolbook" w:hAnsi="Century Schoolbook" w:cs="Century Schoolbook"/>
        </w:rPr>
        <w:t xml:space="preserve"> In 2024, the Director of the country’s Deportation Department (within the Ministry of Interior) claimed that Kuwait had deported more than 595,000 people over 33 years, including 354,168 men and 230,411 women.</w:t>
      </w:r>
      <w:r>
        <w:rPr>
          <w:rFonts w:ascii="Century Schoolbook" w:eastAsia="Century Schoolbook" w:hAnsi="Century Schoolbook" w:cs="Century Schoolbook"/>
          <w:vertAlign w:val="superscript"/>
        </w:rPr>
        <w:footnoteReference w:id="9"/>
      </w:r>
      <w:r>
        <w:rPr>
          <w:rFonts w:ascii="Century Schoolbook" w:eastAsia="Century Schoolbook" w:hAnsi="Century Schoolbook" w:cs="Century Schoolbook"/>
        </w:rPr>
        <w:t xml:space="preserve"> These enforcement cycles are closely linked to Kuwait’s broader “</w:t>
      </w:r>
      <w:proofErr w:type="spellStart"/>
      <w:r>
        <w:rPr>
          <w:rFonts w:ascii="Century Schoolbook" w:eastAsia="Century Schoolbook" w:hAnsi="Century Schoolbook" w:cs="Century Schoolbook"/>
        </w:rPr>
        <w:t>Kuwaitisation</w:t>
      </w:r>
      <w:proofErr w:type="spellEnd"/>
      <w:r>
        <w:rPr>
          <w:rFonts w:ascii="Century Schoolbook" w:eastAsia="Century Schoolbook" w:hAnsi="Century Schoolbook" w:cs="Century Schoolbook"/>
        </w:rPr>
        <w:t>” (nationalisation of the labour market) policy</w:t>
      </w:r>
      <w:r>
        <w:rPr>
          <w:rFonts w:ascii="Century Schoolbook" w:eastAsia="Century Schoolbook" w:hAnsi="Century Schoolbook" w:cs="Century Schoolbook"/>
          <w:b/>
          <w:bCs/>
        </w:rPr>
        <w:t>,</w:t>
      </w:r>
      <w:r>
        <w:rPr>
          <w:rFonts w:ascii="Century Schoolbook" w:eastAsia="Century Schoolbook" w:hAnsi="Century Schoolbook" w:cs="Century Schoolbook"/>
        </w:rPr>
        <w:t xml:space="preserve"> which prioritises increasing the proportion of Kuwaiti nationals in the workforce and reducing reliance on migrant labour.</w:t>
      </w:r>
    </w:p>
    <w:p w14:paraId="1EA645D2" w14:textId="77777777" w:rsidR="00D25CE6" w:rsidRDefault="00D25CE6" w:rsidP="00D25CE6">
      <w:pPr>
        <w:ind w:left="851" w:hanging="851"/>
        <w:rPr>
          <w:rFonts w:ascii="Century Schoolbook" w:eastAsia="Century Schoolbook" w:hAnsi="Century Schoolbook" w:cs="Century Schoolbook"/>
        </w:rPr>
      </w:pPr>
    </w:p>
    <w:p w14:paraId="6BD14694" w14:textId="77777777" w:rsidR="00D25CE6" w:rsidRDefault="00D25CE6" w:rsidP="00D25CE6">
      <w:pPr>
        <w:ind w:left="851" w:hanging="851"/>
        <w:rPr>
          <w:rFonts w:ascii="Century Schoolbook" w:eastAsia="Century Schoolbook" w:hAnsi="Century Schoolbook" w:cs="Century Schoolbook"/>
        </w:rPr>
      </w:pPr>
      <w:r>
        <w:rPr>
          <w:rFonts w:ascii="Century Schoolbook" w:eastAsia="Century Schoolbook" w:hAnsi="Century Schoolbook" w:cs="Century Schoolbook"/>
        </w:rPr>
        <w:t>3.3.b</w:t>
      </w:r>
      <w:r>
        <w:rPr>
          <w:rFonts w:ascii="Century Schoolbook" w:eastAsia="Century Schoolbook" w:hAnsi="Century Schoolbook" w:cs="Century Schoolbook"/>
        </w:rPr>
        <w:tab/>
        <w:t xml:space="preserve">Often, these campaigns–presented as “cleaning the </w:t>
      </w:r>
      <w:proofErr w:type="spellStart"/>
      <w:r>
        <w:rPr>
          <w:rFonts w:ascii="Century Schoolbook" w:eastAsia="Century Schoolbook" w:hAnsi="Century Schoolbook" w:cs="Century Schoolbook"/>
        </w:rPr>
        <w:t>labor</w:t>
      </w:r>
      <w:proofErr w:type="spellEnd"/>
      <w:r>
        <w:rPr>
          <w:rFonts w:ascii="Century Schoolbook" w:eastAsia="Century Schoolbook" w:hAnsi="Century Schoolbook" w:cs="Century Schoolbook"/>
        </w:rPr>
        <w:t xml:space="preserve"> market”</w:t>
      </w:r>
      <w:r>
        <w:rPr>
          <w:rFonts w:ascii="Century Schoolbook" w:eastAsia="Century Schoolbook" w:hAnsi="Century Schoolbook" w:cs="Century Schoolbook"/>
          <w:vertAlign w:val="superscript"/>
        </w:rPr>
        <w:footnoteReference w:id="10"/>
      </w:r>
      <w:r>
        <w:rPr>
          <w:rFonts w:ascii="Century Schoolbook" w:eastAsia="Century Schoolbook" w:hAnsi="Century Schoolbook" w:cs="Century Schoolbook"/>
        </w:rPr>
        <w:t>–occur after regularisation campaigns, with authorities announcing that remaining undocumented migrants would be subject to deportation.</w:t>
      </w:r>
      <w:r>
        <w:rPr>
          <w:rFonts w:ascii="Century Schoolbook" w:eastAsia="Century Schoolbook" w:hAnsi="Century Schoolbook" w:cs="Century Schoolbook"/>
          <w:vertAlign w:val="superscript"/>
        </w:rPr>
        <w:footnoteReference w:id="11"/>
      </w:r>
      <w:r>
        <w:rPr>
          <w:rFonts w:ascii="Century Schoolbook" w:eastAsia="Century Schoolbook" w:hAnsi="Century Schoolbook" w:cs="Century Schoolbook"/>
        </w:rPr>
        <w:t xml:space="preserve">  In March 2020 for example, amidst the growing Covid-19 crisis, Kuwait announced an amnesty for irregular  migrants between 1 – 30 April, permitting those who had overstayed their visas or who had otherwise </w:t>
      </w:r>
      <w:r>
        <w:rPr>
          <w:rFonts w:ascii="Century Schoolbook" w:eastAsia="Century Schoolbook" w:hAnsi="Century Schoolbook" w:cs="Century Schoolbook"/>
        </w:rPr>
        <w:lastRenderedPageBreak/>
        <w:t>become undocumented to leave without paying fines. However, those who did not leave would be deported and banned from re-entry.</w:t>
      </w:r>
      <w:r>
        <w:rPr>
          <w:rFonts w:ascii="Century Schoolbook" w:eastAsia="Century Schoolbook" w:hAnsi="Century Schoolbook" w:cs="Century Schoolbook"/>
          <w:vertAlign w:val="superscript"/>
        </w:rPr>
        <w:footnoteReference w:id="12"/>
      </w:r>
      <w:r>
        <w:rPr>
          <w:rFonts w:ascii="Century Schoolbook" w:eastAsia="Century Schoolbook" w:hAnsi="Century Schoolbook" w:cs="Century Schoolbook"/>
        </w:rPr>
        <w:t xml:space="preserve"> </w:t>
      </w:r>
    </w:p>
    <w:p w14:paraId="568D8BEF" w14:textId="77777777" w:rsidR="00D25CE6" w:rsidRDefault="00D25CE6" w:rsidP="00D25CE6">
      <w:pPr>
        <w:ind w:left="851" w:hanging="851"/>
        <w:rPr>
          <w:rFonts w:ascii="Century Schoolbook" w:eastAsia="Century Schoolbook" w:hAnsi="Century Schoolbook" w:cs="Century Schoolbook"/>
        </w:rPr>
      </w:pPr>
    </w:p>
    <w:p w14:paraId="0F3E2685" w14:textId="77777777" w:rsidR="00D25CE6" w:rsidRDefault="00D25CE6" w:rsidP="00D25CE6">
      <w:pPr>
        <w:ind w:left="851" w:hanging="851"/>
        <w:rPr>
          <w:rFonts w:ascii="Century Schoolbook" w:eastAsia="Century Schoolbook" w:hAnsi="Century Schoolbook" w:cs="Century Schoolbook"/>
        </w:rPr>
      </w:pPr>
      <w:r>
        <w:rPr>
          <w:rFonts w:ascii="Century Schoolbook" w:eastAsia="Century Schoolbook" w:hAnsi="Century Schoolbook" w:cs="Century Schoolbook"/>
        </w:rPr>
        <w:t>3.3.c</w:t>
      </w:r>
      <w:r>
        <w:rPr>
          <w:rFonts w:ascii="Century Schoolbook" w:eastAsia="Century Schoolbook" w:hAnsi="Century Schoolbook" w:cs="Century Schoolbook"/>
        </w:rPr>
        <w:tab/>
        <w:t xml:space="preserve">Operations typically include workplace and residential raids, with migrants stopped on the spot to show their documents and limited procedural safeguards in place. These have commonly targeted migrant-dense neighbourhoods, like </w:t>
      </w:r>
      <w:proofErr w:type="spellStart"/>
      <w:r>
        <w:rPr>
          <w:rFonts w:ascii="Century Schoolbook" w:eastAsia="Century Schoolbook" w:hAnsi="Century Schoolbook" w:cs="Century Schoolbook"/>
        </w:rPr>
        <w:t>Jleeb</w:t>
      </w:r>
      <w:proofErr w:type="spellEnd"/>
      <w:r>
        <w:rPr>
          <w:rFonts w:ascii="Century Schoolbook" w:eastAsia="Century Schoolbook" w:hAnsi="Century Schoolbook" w:cs="Century Schoolbook"/>
        </w:rPr>
        <w:t xml:space="preserve"> al-</w:t>
      </w:r>
      <w:proofErr w:type="spellStart"/>
      <w:r>
        <w:rPr>
          <w:rFonts w:ascii="Century Schoolbook" w:eastAsia="Century Schoolbook" w:hAnsi="Century Schoolbook" w:cs="Century Schoolbook"/>
        </w:rPr>
        <w:t>Shuyoukh</w:t>
      </w:r>
      <w:proofErr w:type="spellEnd"/>
      <w:r>
        <w:rPr>
          <w:rFonts w:ascii="Century Schoolbook" w:eastAsia="Century Schoolbook" w:hAnsi="Century Schoolbook" w:cs="Century Schoolbook"/>
          <w:b/>
          <w:bCs/>
        </w:rPr>
        <w:t xml:space="preserve"> </w:t>
      </w:r>
      <w:r>
        <w:rPr>
          <w:rFonts w:ascii="Century Schoolbook" w:eastAsia="Century Schoolbook" w:hAnsi="Century Schoolbook" w:cs="Century Schoolbook"/>
        </w:rPr>
        <w:t xml:space="preserve">and </w:t>
      </w:r>
      <w:proofErr w:type="spellStart"/>
      <w:r>
        <w:rPr>
          <w:rFonts w:ascii="Century Schoolbook" w:eastAsia="Century Schoolbook" w:hAnsi="Century Schoolbook" w:cs="Century Schoolbook"/>
        </w:rPr>
        <w:t>Mahboula</w:t>
      </w:r>
      <w:proofErr w:type="spellEnd"/>
      <w:r>
        <w:rPr>
          <w:rFonts w:ascii="Century Schoolbook" w:eastAsia="Century Schoolbook" w:hAnsi="Century Schoolbook" w:cs="Century Schoolbook"/>
        </w:rPr>
        <w:t>.</w:t>
      </w:r>
      <w:r>
        <w:rPr>
          <w:rFonts w:ascii="Century Schoolbook" w:eastAsia="Century Schoolbook" w:hAnsi="Century Schoolbook" w:cs="Century Schoolbook"/>
          <w:vertAlign w:val="superscript"/>
        </w:rPr>
        <w:footnoteReference w:id="13"/>
      </w:r>
      <w:r>
        <w:rPr>
          <w:rFonts w:ascii="Century Schoolbook" w:eastAsia="Century Schoolbook" w:hAnsi="Century Schoolbook" w:cs="Century Schoolbook"/>
          <w:b/>
          <w:bCs/>
        </w:rPr>
        <w:t xml:space="preserve"> </w:t>
      </w:r>
      <w:r>
        <w:rPr>
          <w:rFonts w:ascii="Century Schoolbook" w:eastAsia="Century Schoolbook" w:hAnsi="Century Schoolbook" w:cs="Century Schoolbook"/>
          <w:color w:val="000000"/>
        </w:rPr>
        <w:t>Violence has been documented in these raids.</w:t>
      </w:r>
      <w:r>
        <w:rPr>
          <w:rFonts w:ascii="Century Schoolbook" w:eastAsia="Century Schoolbook" w:hAnsi="Century Schoolbook" w:cs="Century Schoolbook"/>
          <w:color w:val="000000"/>
          <w:vertAlign w:val="superscript"/>
        </w:rPr>
        <w:footnoteReference w:id="14"/>
      </w:r>
      <w:r>
        <w:rPr>
          <w:rFonts w:ascii="Century Schoolbook" w:eastAsia="Century Schoolbook" w:hAnsi="Century Schoolbook" w:cs="Century Schoolbook"/>
          <w:color w:val="000000"/>
        </w:rPr>
        <w:t xml:space="preserve"> In line with Article 20 of the Foreigners’ Residency Law, deportees are not guaranteed a right to challenge the legality of their removal. </w:t>
      </w:r>
    </w:p>
    <w:p w14:paraId="5E5875DC" w14:textId="77777777" w:rsidR="00D25CE6" w:rsidRDefault="00D25CE6" w:rsidP="00D25CE6">
      <w:pPr>
        <w:rPr>
          <w:rFonts w:ascii="Century Schoolbook" w:eastAsia="Century Schoolbook" w:hAnsi="Century Schoolbook" w:cs="Century Schoolbook"/>
        </w:rPr>
      </w:pPr>
    </w:p>
    <w:p w14:paraId="02AE65F2" w14:textId="77777777" w:rsidR="00D25CE6" w:rsidRDefault="00D25CE6" w:rsidP="00D25CE6">
      <w:pPr>
        <w:ind w:left="851" w:hanging="851"/>
        <w:rPr>
          <w:rFonts w:ascii="Century Schoolbook" w:eastAsia="Century Schoolbook" w:hAnsi="Century Schoolbook" w:cs="Century Schoolbook"/>
          <w:highlight w:val="yellow"/>
        </w:rPr>
      </w:pPr>
      <w:r>
        <w:rPr>
          <w:rFonts w:ascii="Century Schoolbook" w:eastAsia="Century Schoolbook" w:hAnsi="Century Schoolbook" w:cs="Century Schoolbook"/>
        </w:rPr>
        <w:t>3.</w:t>
      </w:r>
      <w:proofErr w:type="gramStart"/>
      <w:r>
        <w:rPr>
          <w:rFonts w:ascii="Century Schoolbook" w:eastAsia="Century Schoolbook" w:hAnsi="Century Schoolbook" w:cs="Century Schoolbook"/>
        </w:rPr>
        <w:t>3.d</w:t>
      </w:r>
      <w:proofErr w:type="gramEnd"/>
      <w:r>
        <w:rPr>
          <w:rFonts w:ascii="Century Schoolbook" w:eastAsia="Century Schoolbook" w:hAnsi="Century Schoolbook" w:cs="Century Schoolbook"/>
        </w:rPr>
        <w:tab/>
        <w:t>Such campaigns have frequently been accompanied by hate speech and xenophobic rhetoric.</w:t>
      </w:r>
      <w:r>
        <w:t xml:space="preserve"> </w:t>
      </w:r>
      <w:r>
        <w:rPr>
          <w:rFonts w:ascii="Century Schoolbook" w:eastAsia="Century Schoolbook" w:hAnsi="Century Schoolbook" w:cs="Century Schoolbook"/>
        </w:rPr>
        <w:t>While Decree-Law No. 19 of 2012 prohibits hate speech, authorities have continued to propagate hate speech and discrimination against migrant workers since the Committee’s last review of the State party in 2017. Notably, in 2019 the government launched the ‘Be Assured’ campaign targeting low-income, unaccompanied male migrant workers. Billboards were erected across the country, encouraging nationals to report ‘bachelors’ in residential areas, and authorities evicted hundreds of migrant workers, often shutting off water and electricity to force workers out of their accommodation.</w:t>
      </w:r>
      <w:r>
        <w:rPr>
          <w:rFonts w:ascii="Century Schoolbook" w:eastAsia="Century Schoolbook" w:hAnsi="Century Schoolbook" w:cs="Century Schoolbook"/>
          <w:vertAlign w:val="superscript"/>
        </w:rPr>
        <w:footnoteReference w:id="15"/>
      </w:r>
      <w:r>
        <w:rPr>
          <w:rFonts w:ascii="Century Schoolbook" w:eastAsia="Century Schoolbook" w:hAnsi="Century Schoolbook" w:cs="Century Schoolbook"/>
        </w:rPr>
        <w:t xml:space="preserve"> </w:t>
      </w:r>
      <w:r>
        <w:rPr>
          <w:rFonts w:ascii="Century Schoolbook" w:eastAsia="Century Schoolbook" w:hAnsi="Century Schoolbook" w:cs="Century Schoolbook"/>
          <w:highlight w:val="white"/>
        </w:rPr>
        <w:t xml:space="preserve">Similar discriminatory narratives were evident during the Covid-19 pandemic (see </w:t>
      </w:r>
      <w:r>
        <w:rPr>
          <w:rFonts w:ascii="Century Schoolbook" w:eastAsia="Century Schoolbook" w:hAnsi="Century Schoolbook" w:cs="Century Schoolbook"/>
          <w:b/>
          <w:bCs/>
          <w:highlight w:val="white"/>
        </w:rPr>
        <w:t xml:space="preserve">3.4 </w:t>
      </w:r>
      <w:r>
        <w:rPr>
          <w:rFonts w:ascii="Century Schoolbook" w:eastAsia="Century Schoolbook" w:hAnsi="Century Schoolbook" w:cs="Century Schoolbook"/>
          <w:b/>
          <w:bCs/>
        </w:rPr>
        <w:t>Disproportionate Impact of Covid-19 Pandemic on Migrant Workers</w:t>
      </w:r>
      <w:r>
        <w:rPr>
          <w:rFonts w:ascii="Century Schoolbook" w:eastAsia="Century Schoolbook" w:hAnsi="Century Schoolbook" w:cs="Century Schoolbook"/>
        </w:rPr>
        <w:t>)</w:t>
      </w:r>
      <w:r>
        <w:rPr>
          <w:rFonts w:ascii="Century Schoolbook" w:eastAsia="Century Schoolbook" w:hAnsi="Century Schoolbook" w:cs="Century Schoolbook"/>
          <w:highlight w:val="white"/>
        </w:rPr>
        <w:t xml:space="preserve">. </w:t>
      </w:r>
    </w:p>
    <w:p w14:paraId="7789B367" w14:textId="06168F5F" w:rsidR="00D25CE6" w:rsidRDefault="00D25CE6" w:rsidP="00D25CE6">
      <w:pPr>
        <w:ind w:left="851" w:hanging="851"/>
        <w:rPr>
          <w:rFonts w:ascii="Century Schoolbook" w:eastAsia="Century Schoolbook" w:hAnsi="Century Schoolbook" w:cs="Century Schoolbook"/>
        </w:rPr>
      </w:pPr>
    </w:p>
    <w:p w14:paraId="209B7C10" w14:textId="2A86F592" w:rsidR="00D25CE6" w:rsidRDefault="00D25CE6" w:rsidP="00D25CE6">
      <w:pPr>
        <w:ind w:left="851" w:hanging="851"/>
        <w:rPr>
          <w:rFonts w:ascii="Century Schoolbook" w:eastAsia="Century Schoolbook" w:hAnsi="Century Schoolbook" w:cs="Century Schoolbook"/>
          <w:b/>
          <w:bCs/>
          <w:color w:val="156082"/>
        </w:rPr>
      </w:pPr>
      <w:r>
        <w:rPr>
          <w:rFonts w:ascii="Century Schoolbook" w:hAnsi="Century Schoolbook"/>
          <w:b/>
          <w:bCs/>
          <w:noProof/>
          <w:sz w:val="22"/>
          <w:szCs w:val="22"/>
        </w:rPr>
        <mc:AlternateContent>
          <mc:Choice Requires="wps">
            <w:drawing>
              <wp:anchor distT="0" distB="0" distL="114300" distR="114300" simplePos="0" relativeHeight="251670528" behindDoc="0" locked="0" layoutInCell="1" allowOverlap="1" wp14:anchorId="3BA51F7B" wp14:editId="4366FD9F">
                <wp:simplePos x="0" y="0"/>
                <wp:positionH relativeFrom="column">
                  <wp:posOffset>-127000</wp:posOffset>
                </wp:positionH>
                <wp:positionV relativeFrom="paragraph">
                  <wp:posOffset>93345</wp:posOffset>
                </wp:positionV>
                <wp:extent cx="6096000" cy="1993900"/>
                <wp:effectExtent l="0" t="0" r="12700" b="12700"/>
                <wp:wrapNone/>
                <wp:docPr id="1170309432" name="Text Box 3"/>
                <wp:cNvGraphicFramePr/>
                <a:graphic xmlns:a="http://schemas.openxmlformats.org/drawingml/2006/main">
                  <a:graphicData uri="http://schemas.microsoft.com/office/word/2010/wordprocessingShape">
                    <wps:wsp>
                      <wps:cNvSpPr txBox="1"/>
                      <wps:spPr>
                        <a:xfrm>
                          <a:off x="0" y="0"/>
                          <a:ext cx="6096000" cy="1993900"/>
                        </a:xfrm>
                        <a:prstGeom prst="rect">
                          <a:avLst/>
                        </a:prstGeom>
                        <a:solidFill>
                          <a:schemeClr val="bg2"/>
                        </a:solidFill>
                        <a:ln w="6350">
                          <a:solidFill>
                            <a:schemeClr val="accent1"/>
                          </a:solidFill>
                        </a:ln>
                      </wps:spPr>
                      <wps:txbx>
                        <w:txbxContent>
                          <w:p w14:paraId="14D08693" w14:textId="77777777" w:rsidR="00D25CE6" w:rsidRDefault="00D25CE6" w:rsidP="00D25CE6">
                            <w:pPr>
                              <w:ind w:left="851" w:hanging="851"/>
                              <w:rPr>
                                <w:rFonts w:ascii="Century Schoolbook" w:eastAsia="Century Schoolbook" w:hAnsi="Century Schoolbook" w:cs="Century Schoolbook"/>
                                <w:b/>
                                <w:bCs/>
                                <w:color w:val="156082"/>
                              </w:rPr>
                            </w:pPr>
                          </w:p>
                          <w:p w14:paraId="61F2BE36" w14:textId="77777777" w:rsidR="00D25CE6" w:rsidRDefault="00D25CE6" w:rsidP="00D25CE6">
                            <w:pPr>
                              <w:rPr>
                                <w:rFonts w:ascii="Century Schoolbook" w:eastAsia="Century Schoolbook" w:hAnsi="Century Schoolbook" w:cs="Century Schoolbook"/>
                                <w:b/>
                                <w:bCs/>
                                <w:color w:val="156082"/>
                              </w:rPr>
                            </w:pPr>
                            <w:r>
                              <w:rPr>
                                <w:rFonts w:ascii="Century Schoolbook" w:eastAsia="Century Schoolbook" w:hAnsi="Century Schoolbook" w:cs="Century Schoolbook"/>
                                <w:b/>
                                <w:bCs/>
                                <w:color w:val="156082"/>
                              </w:rPr>
                              <w:t>Recommendations:</w:t>
                            </w:r>
                          </w:p>
                          <w:p w14:paraId="38780F5C" w14:textId="77777777" w:rsidR="00D25CE6" w:rsidRDefault="00D25CE6" w:rsidP="00D25CE6">
                            <w:pPr>
                              <w:ind w:left="851" w:hanging="851"/>
                              <w:rPr>
                                <w:rFonts w:ascii="Century Schoolbook" w:eastAsia="Century Schoolbook" w:hAnsi="Century Schoolbook" w:cs="Century Schoolbook"/>
                                <w:b/>
                                <w:bCs/>
                                <w:color w:val="156082"/>
                              </w:rPr>
                            </w:pPr>
                          </w:p>
                          <w:p w14:paraId="70F20BEB" w14:textId="77777777" w:rsidR="00D25CE6" w:rsidRDefault="00D25CE6" w:rsidP="00D25CE6">
                            <w:pPr>
                              <w:rPr>
                                <w:rFonts w:ascii="Century Schoolbook" w:eastAsia="Century Schoolbook" w:hAnsi="Century Schoolbook" w:cs="Century Schoolbook"/>
                                <w:color w:val="156082"/>
                              </w:rPr>
                            </w:pPr>
                            <w:r>
                              <w:rPr>
                                <w:rFonts w:ascii="Century Schoolbook" w:eastAsia="Century Schoolbook" w:hAnsi="Century Schoolbook" w:cs="Century Schoolbook"/>
                                <w:color w:val="156082"/>
                              </w:rPr>
                              <w:t xml:space="preserve">We urge the Committee to recommend that Kuwait: </w:t>
                            </w:r>
                          </w:p>
                          <w:p w14:paraId="10C02BDD" w14:textId="77777777" w:rsidR="00D25CE6" w:rsidRDefault="00D25CE6" w:rsidP="00D25CE6">
                            <w:pPr>
                              <w:rPr>
                                <w:rFonts w:ascii="Century Schoolbook" w:eastAsia="Century Schoolbook" w:hAnsi="Century Schoolbook" w:cs="Century Schoolbook"/>
                                <w:color w:val="156082"/>
                              </w:rPr>
                            </w:pPr>
                          </w:p>
                          <w:p w14:paraId="375F6992" w14:textId="77777777" w:rsidR="00D25CE6" w:rsidRDefault="00D25CE6" w:rsidP="00D25CE6">
                            <w:pPr>
                              <w:numPr>
                                <w:ilvl w:val="0"/>
                                <w:numId w:val="7"/>
                              </w:numPr>
                              <w:pBdr>
                                <w:top w:val="nil"/>
                                <w:left w:val="nil"/>
                                <w:bottom w:val="nil"/>
                                <w:right w:val="nil"/>
                                <w:between w:val="nil"/>
                              </w:pBdr>
                              <w:rPr>
                                <w:rFonts w:ascii="Century Schoolbook" w:eastAsia="Century Schoolbook" w:hAnsi="Century Schoolbook" w:cs="Century Schoolbook"/>
                                <w:color w:val="156082"/>
                              </w:rPr>
                            </w:pPr>
                            <w:r>
                              <w:rPr>
                                <w:rFonts w:ascii="Century Schoolbook" w:eastAsia="Century Schoolbook" w:hAnsi="Century Schoolbook" w:cs="Century Schoolbook"/>
                                <w:color w:val="156082"/>
                              </w:rPr>
                              <w:t xml:space="preserve">Cease mass arrests of suspected irregular migrants, and instead ensure that the people are arrested on the basis of individual warrants, ensuring compliance with the principles of legality, necessity, proportionality, and non-discrimination. </w:t>
                            </w:r>
                          </w:p>
                          <w:p w14:paraId="4EB5D532" w14:textId="77777777" w:rsidR="00D25CE6" w:rsidRDefault="00D25CE6" w:rsidP="00D25C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A51F7B" id="_x0000_s1030" type="#_x0000_t202" style="position:absolute;left:0;text-align:left;margin-left:-10pt;margin-top:7.35pt;width:480pt;height:15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" fillcolor="#e8e8e8 [3214]" strokecolor="#156082 [3204]" strokeweight=".5pt">
                <v:textbox>
                  <w:txbxContent>
                    <w:p w14:paraId="14D08693" w14:textId="77777777" w:rsidR="00D25CE6" w:rsidRDefault="00D25CE6" w:rsidP="00D25CE6">
                      <w:pPr>
                        <w:ind w:left="851" w:hanging="851"/>
                        <w:rPr>
                          <w:rFonts w:ascii="Century Schoolbook" w:eastAsia="Century Schoolbook" w:hAnsi="Century Schoolbook" w:cs="Century Schoolbook"/>
                          <w:b/>
                          <w:bCs/>
                          <w:color w:val="156082"/>
                        </w:rPr>
                      </w:pPr>
                    </w:p>
                    <w:p w14:paraId="61F2BE36" w14:textId="77777777" w:rsidR="00D25CE6" w:rsidRDefault="00D25CE6" w:rsidP="00D25CE6">
                      <w:pPr>
                        <w:rPr>
                          <w:rFonts w:ascii="Century Schoolbook" w:eastAsia="Century Schoolbook" w:hAnsi="Century Schoolbook" w:cs="Century Schoolbook"/>
                          <w:b/>
                          <w:bCs/>
                          <w:color w:val="156082"/>
                        </w:rPr>
                      </w:pPr>
                      <w:r>
                        <w:rPr>
                          <w:rFonts w:ascii="Century Schoolbook" w:eastAsia="Century Schoolbook" w:hAnsi="Century Schoolbook" w:cs="Century Schoolbook"/>
                          <w:b/>
                          <w:bCs/>
                          <w:color w:val="156082"/>
                        </w:rPr>
                        <w:t>Recommendations:</w:t>
                      </w:r>
                    </w:p>
                    <w:p w14:paraId="38780F5C" w14:textId="77777777" w:rsidR="00D25CE6" w:rsidRDefault="00D25CE6" w:rsidP="00D25CE6">
                      <w:pPr>
                        <w:ind w:left="851" w:hanging="851"/>
                        <w:rPr>
                          <w:rFonts w:ascii="Century Schoolbook" w:eastAsia="Century Schoolbook" w:hAnsi="Century Schoolbook" w:cs="Century Schoolbook"/>
                          <w:b/>
                          <w:bCs/>
                          <w:color w:val="156082"/>
                        </w:rPr>
                      </w:pPr>
                    </w:p>
                    <w:p w14:paraId="70F20BEB" w14:textId="77777777" w:rsidR="00D25CE6" w:rsidRDefault="00D25CE6" w:rsidP="00D25CE6">
                      <w:pPr>
                        <w:rPr>
                          <w:rFonts w:ascii="Century Schoolbook" w:eastAsia="Century Schoolbook" w:hAnsi="Century Schoolbook" w:cs="Century Schoolbook"/>
                          <w:color w:val="156082"/>
                        </w:rPr>
                      </w:pPr>
                      <w:r>
                        <w:rPr>
                          <w:rFonts w:ascii="Century Schoolbook" w:eastAsia="Century Schoolbook" w:hAnsi="Century Schoolbook" w:cs="Century Schoolbook"/>
                          <w:color w:val="156082"/>
                        </w:rPr>
                        <w:t xml:space="preserve">We urge the Committee to recommend that Kuwait: </w:t>
                      </w:r>
                    </w:p>
                    <w:p w14:paraId="10C02BDD" w14:textId="77777777" w:rsidR="00D25CE6" w:rsidRDefault="00D25CE6" w:rsidP="00D25CE6">
                      <w:pPr>
                        <w:rPr>
                          <w:rFonts w:ascii="Century Schoolbook" w:eastAsia="Century Schoolbook" w:hAnsi="Century Schoolbook" w:cs="Century Schoolbook"/>
                          <w:color w:val="156082"/>
                        </w:rPr>
                      </w:pPr>
                    </w:p>
                    <w:p w14:paraId="375F6992" w14:textId="77777777" w:rsidR="00D25CE6" w:rsidRDefault="00D25CE6" w:rsidP="00D25CE6">
                      <w:pPr>
                        <w:numPr>
                          <w:ilvl w:val="0"/>
                          <w:numId w:val="7"/>
                        </w:numPr>
                        <w:pBdr>
                          <w:top w:val="nil"/>
                          <w:left w:val="nil"/>
                          <w:bottom w:val="nil"/>
                          <w:right w:val="nil"/>
                          <w:between w:val="nil"/>
                        </w:pBdr>
                        <w:rPr>
                          <w:rFonts w:ascii="Century Schoolbook" w:eastAsia="Century Schoolbook" w:hAnsi="Century Schoolbook" w:cs="Century Schoolbook"/>
                          <w:color w:val="156082"/>
                        </w:rPr>
                      </w:pPr>
                      <w:r>
                        <w:rPr>
                          <w:rFonts w:ascii="Century Schoolbook" w:eastAsia="Century Schoolbook" w:hAnsi="Century Schoolbook" w:cs="Century Schoolbook"/>
                          <w:color w:val="156082"/>
                        </w:rPr>
                        <w:t xml:space="preserve">Cease mass arrests of suspected irregular </w:t>
                      </w:r>
                      <w:proofErr w:type="gramStart"/>
                      <w:r>
                        <w:rPr>
                          <w:rFonts w:ascii="Century Schoolbook" w:eastAsia="Century Schoolbook" w:hAnsi="Century Schoolbook" w:cs="Century Schoolbook"/>
                          <w:color w:val="156082"/>
                        </w:rPr>
                        <w:t>migrants, and</w:t>
                      </w:r>
                      <w:proofErr w:type="gramEnd"/>
                      <w:r>
                        <w:rPr>
                          <w:rFonts w:ascii="Century Schoolbook" w:eastAsia="Century Schoolbook" w:hAnsi="Century Schoolbook" w:cs="Century Schoolbook"/>
                          <w:color w:val="156082"/>
                        </w:rPr>
                        <w:t xml:space="preserve"> instead ensure that the people are arrested </w:t>
                      </w:r>
                      <w:proofErr w:type="gramStart"/>
                      <w:r>
                        <w:rPr>
                          <w:rFonts w:ascii="Century Schoolbook" w:eastAsia="Century Schoolbook" w:hAnsi="Century Schoolbook" w:cs="Century Schoolbook"/>
                          <w:color w:val="156082"/>
                        </w:rPr>
                        <w:t>on the basis of</w:t>
                      </w:r>
                      <w:proofErr w:type="gramEnd"/>
                      <w:r>
                        <w:rPr>
                          <w:rFonts w:ascii="Century Schoolbook" w:eastAsia="Century Schoolbook" w:hAnsi="Century Schoolbook" w:cs="Century Schoolbook"/>
                          <w:color w:val="156082"/>
                        </w:rPr>
                        <w:t xml:space="preserve"> individual warrants, ensuring compliance with the principles of legality, necessity, proportionality, and non-discrimination. </w:t>
                      </w:r>
                    </w:p>
                    <w:p w14:paraId="4EB5D532" w14:textId="77777777" w:rsidR="00D25CE6" w:rsidRDefault="00D25CE6" w:rsidP="00D25CE6"/>
                  </w:txbxContent>
                </v:textbox>
              </v:shape>
            </w:pict>
          </mc:Fallback>
        </mc:AlternateContent>
      </w:r>
    </w:p>
    <w:p w14:paraId="1ADB20A7" w14:textId="15C2EEBB" w:rsidR="00D25CE6" w:rsidRDefault="00D25CE6" w:rsidP="00D25CE6">
      <w:pPr>
        <w:ind w:left="851" w:hanging="851"/>
        <w:rPr>
          <w:rFonts w:ascii="Century Schoolbook" w:eastAsia="Century Schoolbook" w:hAnsi="Century Schoolbook" w:cs="Century Schoolbook"/>
          <w:b/>
          <w:bCs/>
          <w:color w:val="156082"/>
        </w:rPr>
      </w:pPr>
    </w:p>
    <w:p w14:paraId="52369F43" w14:textId="770D279A" w:rsidR="00D25CE6" w:rsidRDefault="00D25CE6" w:rsidP="00D25CE6">
      <w:pPr>
        <w:ind w:left="851" w:hanging="851"/>
        <w:rPr>
          <w:rFonts w:ascii="Century Schoolbook" w:eastAsia="Century Schoolbook" w:hAnsi="Century Schoolbook" w:cs="Century Schoolbook"/>
          <w:b/>
          <w:bCs/>
          <w:color w:val="156082"/>
        </w:rPr>
      </w:pPr>
    </w:p>
    <w:p w14:paraId="5AE6D158" w14:textId="18828090" w:rsidR="00D25CE6" w:rsidRDefault="00D25CE6" w:rsidP="00D25CE6">
      <w:pPr>
        <w:ind w:left="851" w:hanging="851"/>
        <w:rPr>
          <w:rFonts w:ascii="Century Schoolbook" w:eastAsia="Century Schoolbook" w:hAnsi="Century Schoolbook" w:cs="Century Schoolbook"/>
          <w:b/>
          <w:bCs/>
          <w:color w:val="156082"/>
        </w:rPr>
      </w:pPr>
    </w:p>
    <w:p w14:paraId="0B5548A5" w14:textId="77777777" w:rsidR="00D25CE6" w:rsidRDefault="00D25CE6" w:rsidP="00D25CE6">
      <w:pPr>
        <w:ind w:left="851" w:hanging="851"/>
        <w:rPr>
          <w:rFonts w:ascii="Century Schoolbook" w:eastAsia="Century Schoolbook" w:hAnsi="Century Schoolbook" w:cs="Century Schoolbook"/>
          <w:b/>
          <w:bCs/>
          <w:color w:val="156082"/>
        </w:rPr>
      </w:pPr>
    </w:p>
    <w:p w14:paraId="1B70EAFE" w14:textId="61201848" w:rsidR="00D25CE6" w:rsidRDefault="00D25CE6" w:rsidP="00D25CE6">
      <w:pPr>
        <w:ind w:left="851" w:hanging="851"/>
        <w:rPr>
          <w:rFonts w:ascii="Century Schoolbook" w:eastAsia="Century Schoolbook" w:hAnsi="Century Schoolbook" w:cs="Century Schoolbook"/>
          <w:b/>
          <w:bCs/>
          <w:color w:val="156082"/>
        </w:rPr>
      </w:pPr>
    </w:p>
    <w:p w14:paraId="0554D8A6" w14:textId="5F7519D6" w:rsidR="00D25CE6" w:rsidRDefault="00D25CE6" w:rsidP="00D25CE6">
      <w:pPr>
        <w:ind w:left="851" w:hanging="851"/>
        <w:rPr>
          <w:rFonts w:ascii="Century Schoolbook" w:eastAsia="Century Schoolbook" w:hAnsi="Century Schoolbook" w:cs="Century Schoolbook"/>
          <w:b/>
          <w:bCs/>
          <w:color w:val="156082"/>
        </w:rPr>
      </w:pPr>
    </w:p>
    <w:p w14:paraId="060C5117" w14:textId="2CEF5D02" w:rsidR="00D25CE6" w:rsidRDefault="00D25CE6" w:rsidP="00D25CE6">
      <w:pPr>
        <w:ind w:left="851" w:hanging="851"/>
        <w:rPr>
          <w:rFonts w:ascii="Century Schoolbook" w:eastAsia="Century Schoolbook" w:hAnsi="Century Schoolbook" w:cs="Century Schoolbook"/>
          <w:b/>
          <w:bCs/>
          <w:color w:val="156082"/>
        </w:rPr>
      </w:pPr>
    </w:p>
    <w:p w14:paraId="1E7EEA58" w14:textId="77777777" w:rsidR="00D25CE6" w:rsidRDefault="00D25CE6" w:rsidP="00D25CE6">
      <w:pPr>
        <w:ind w:left="851" w:hanging="851"/>
        <w:rPr>
          <w:rFonts w:ascii="Century Schoolbook" w:eastAsia="Century Schoolbook" w:hAnsi="Century Schoolbook" w:cs="Century Schoolbook"/>
          <w:b/>
          <w:bCs/>
          <w:color w:val="156082"/>
        </w:rPr>
      </w:pPr>
    </w:p>
    <w:p w14:paraId="066E0EC7" w14:textId="77777777" w:rsidR="00D25CE6" w:rsidRDefault="00D25CE6" w:rsidP="00D25CE6">
      <w:pPr>
        <w:ind w:left="851" w:hanging="851"/>
        <w:rPr>
          <w:rFonts w:ascii="Century Schoolbook" w:eastAsia="Century Schoolbook" w:hAnsi="Century Schoolbook" w:cs="Century Schoolbook"/>
          <w:b/>
          <w:bCs/>
          <w:color w:val="156082"/>
        </w:rPr>
      </w:pPr>
    </w:p>
    <w:p w14:paraId="098F556E" w14:textId="77777777" w:rsidR="00D25CE6" w:rsidRDefault="00D25CE6" w:rsidP="00D25CE6">
      <w:pPr>
        <w:ind w:left="851" w:hanging="851"/>
        <w:rPr>
          <w:rFonts w:ascii="Century Schoolbook" w:eastAsia="Century Schoolbook" w:hAnsi="Century Schoolbook" w:cs="Century Schoolbook"/>
          <w:b/>
          <w:bCs/>
          <w:color w:val="156082"/>
        </w:rPr>
      </w:pPr>
    </w:p>
    <w:p w14:paraId="081EE8D0" w14:textId="77777777" w:rsidR="00D25CE6" w:rsidRDefault="00D25CE6" w:rsidP="00D25CE6">
      <w:pPr>
        <w:ind w:left="851" w:hanging="851"/>
        <w:rPr>
          <w:rFonts w:ascii="Century Schoolbook" w:eastAsia="Century Schoolbook" w:hAnsi="Century Schoolbook" w:cs="Century Schoolbook"/>
          <w:b/>
          <w:bCs/>
          <w:color w:val="156082"/>
        </w:rPr>
      </w:pPr>
    </w:p>
    <w:p w14:paraId="44E9D039" w14:textId="275543C8" w:rsidR="00D25CE6" w:rsidRDefault="00D25CE6" w:rsidP="00D25CE6">
      <w:pPr>
        <w:ind w:left="851" w:hanging="851"/>
        <w:rPr>
          <w:rFonts w:ascii="Century Schoolbook" w:eastAsia="Century Schoolbook" w:hAnsi="Century Schoolbook" w:cs="Century Schoolbook"/>
          <w:b/>
          <w:bCs/>
          <w:color w:val="156082"/>
        </w:rPr>
      </w:pPr>
      <w:r>
        <w:rPr>
          <w:rFonts w:ascii="Century Schoolbook" w:hAnsi="Century Schoolbook"/>
          <w:b/>
          <w:bCs/>
          <w:noProof/>
          <w:sz w:val="22"/>
          <w:szCs w:val="22"/>
        </w:rPr>
        <w:lastRenderedPageBreak/>
        <mc:AlternateContent>
          <mc:Choice Requires="wps">
            <w:drawing>
              <wp:anchor distT="0" distB="0" distL="114300" distR="114300" simplePos="0" relativeHeight="251672576" behindDoc="0" locked="0" layoutInCell="1" allowOverlap="1" wp14:anchorId="0D160C6D" wp14:editId="7EFD3D41">
                <wp:simplePos x="0" y="0"/>
                <wp:positionH relativeFrom="column">
                  <wp:posOffset>-63500</wp:posOffset>
                </wp:positionH>
                <wp:positionV relativeFrom="paragraph">
                  <wp:posOffset>-241300</wp:posOffset>
                </wp:positionV>
                <wp:extent cx="6096000" cy="2247900"/>
                <wp:effectExtent l="0" t="0" r="12700" b="12700"/>
                <wp:wrapNone/>
                <wp:docPr id="1699440469" name="Text Box 3"/>
                <wp:cNvGraphicFramePr/>
                <a:graphic xmlns:a="http://schemas.openxmlformats.org/drawingml/2006/main">
                  <a:graphicData uri="http://schemas.microsoft.com/office/word/2010/wordprocessingShape">
                    <wps:wsp>
                      <wps:cNvSpPr txBox="1"/>
                      <wps:spPr>
                        <a:xfrm>
                          <a:off x="0" y="0"/>
                          <a:ext cx="6096000" cy="2247900"/>
                        </a:xfrm>
                        <a:prstGeom prst="rect">
                          <a:avLst/>
                        </a:prstGeom>
                        <a:solidFill>
                          <a:schemeClr val="bg2"/>
                        </a:solidFill>
                        <a:ln w="6350">
                          <a:solidFill>
                            <a:schemeClr val="accent1"/>
                          </a:solidFill>
                        </a:ln>
                      </wps:spPr>
                      <wps:txbx>
                        <w:txbxContent>
                          <w:p w14:paraId="2CACCBC6" w14:textId="77777777" w:rsidR="00D25CE6" w:rsidRDefault="00D25CE6" w:rsidP="00D25CE6">
                            <w:pPr>
                              <w:ind w:left="851" w:hanging="851"/>
                              <w:rPr>
                                <w:rFonts w:ascii="Century Schoolbook" w:eastAsia="Century Schoolbook" w:hAnsi="Century Schoolbook" w:cs="Century Schoolbook"/>
                                <w:b/>
                                <w:bCs/>
                                <w:color w:val="156082"/>
                              </w:rPr>
                            </w:pPr>
                          </w:p>
                          <w:p w14:paraId="69007100" w14:textId="77777777" w:rsidR="00D25CE6" w:rsidRDefault="00D25CE6" w:rsidP="00D25CE6">
                            <w:pPr>
                              <w:numPr>
                                <w:ilvl w:val="0"/>
                                <w:numId w:val="7"/>
                              </w:numPr>
                              <w:pBdr>
                                <w:top w:val="nil"/>
                                <w:left w:val="nil"/>
                                <w:bottom w:val="nil"/>
                                <w:right w:val="nil"/>
                                <w:between w:val="nil"/>
                              </w:pBdr>
                              <w:rPr>
                                <w:rFonts w:ascii="Century Schoolbook" w:eastAsia="Century Schoolbook" w:hAnsi="Century Schoolbook" w:cs="Century Schoolbook"/>
                                <w:color w:val="156082"/>
                              </w:rPr>
                            </w:pPr>
                            <w:r>
                              <w:rPr>
                                <w:rFonts w:ascii="Century Schoolbook" w:eastAsia="Century Schoolbook" w:hAnsi="Century Schoolbook" w:cs="Century Schoolbook"/>
                                <w:color w:val="156082"/>
                              </w:rPr>
                              <w:t xml:space="preserve">Given that a lack of guaranteed judicial review contributes to a risk of arbitrary removal, particularly in the context of large-scale enforcement campaigns, Kuwait must ensure that any non-national subject to removal is guaranteed access to an effective remedy. </w:t>
                            </w:r>
                          </w:p>
                          <w:p w14:paraId="50FBEE55" w14:textId="77777777" w:rsidR="00D25CE6" w:rsidRDefault="00D25CE6" w:rsidP="00D25CE6">
                            <w:pPr>
                              <w:numPr>
                                <w:ilvl w:val="0"/>
                                <w:numId w:val="7"/>
                              </w:numPr>
                              <w:pBdr>
                                <w:top w:val="nil"/>
                                <w:left w:val="nil"/>
                                <w:bottom w:val="nil"/>
                                <w:right w:val="nil"/>
                                <w:between w:val="nil"/>
                              </w:pBdr>
                              <w:rPr>
                                <w:rFonts w:ascii="Century Schoolbook" w:eastAsia="Century Schoolbook" w:hAnsi="Century Schoolbook" w:cs="Century Schoolbook"/>
                                <w:color w:val="156082"/>
                              </w:rPr>
                            </w:pPr>
                            <w:r>
                              <w:rPr>
                                <w:rFonts w:ascii="Century Schoolbook" w:eastAsia="Century Schoolbook" w:hAnsi="Century Schoolbook" w:cs="Century Schoolbook"/>
                                <w:color w:val="156082"/>
                              </w:rPr>
                              <w:t>Immediately adopt measures to prevent and combat racist and xenophobic hate speech against migrant workers, including by ensuring that public officials refrain from promoting discriminatory narratives against migrants. The State party should strengthen the implementation of Decree-Law No. 19 of 2012 by investigating, prosecuting, and sanctioning acts of incitement to hatred, discrimination, and violence.</w:t>
                            </w:r>
                          </w:p>
                          <w:p w14:paraId="6768930A" w14:textId="77777777" w:rsidR="00D25CE6" w:rsidRDefault="00D25CE6" w:rsidP="00D25C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160C6D" id="_x0000_s1031" type="#_x0000_t202" style="position:absolute;left:0;text-align:left;margin-left:-5pt;margin-top:-19pt;width:480pt;height:17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" fillcolor="#e8e8e8 [3214]" strokecolor="#156082 [3204]" strokeweight=".5pt">
                <v:textbox>
                  <w:txbxContent>
                    <w:p w14:paraId="2CACCBC6" w14:textId="77777777" w:rsidR="00D25CE6" w:rsidRDefault="00D25CE6" w:rsidP="00D25CE6">
                      <w:pPr>
                        <w:ind w:left="851" w:hanging="851"/>
                        <w:rPr>
                          <w:rFonts w:ascii="Century Schoolbook" w:eastAsia="Century Schoolbook" w:hAnsi="Century Schoolbook" w:cs="Century Schoolbook"/>
                          <w:b/>
                          <w:bCs/>
                          <w:color w:val="156082"/>
                        </w:rPr>
                      </w:pPr>
                    </w:p>
                    <w:p w14:paraId="69007100" w14:textId="77777777" w:rsidR="00D25CE6" w:rsidRDefault="00D25CE6" w:rsidP="00D25CE6">
                      <w:pPr>
                        <w:numPr>
                          <w:ilvl w:val="0"/>
                          <w:numId w:val="7"/>
                        </w:numPr>
                        <w:pBdr>
                          <w:top w:val="nil"/>
                          <w:left w:val="nil"/>
                          <w:bottom w:val="nil"/>
                          <w:right w:val="nil"/>
                          <w:between w:val="nil"/>
                        </w:pBdr>
                        <w:rPr>
                          <w:rFonts w:ascii="Century Schoolbook" w:eastAsia="Century Schoolbook" w:hAnsi="Century Schoolbook" w:cs="Century Schoolbook"/>
                          <w:color w:val="156082"/>
                        </w:rPr>
                      </w:pPr>
                      <w:r>
                        <w:rPr>
                          <w:rFonts w:ascii="Century Schoolbook" w:eastAsia="Century Schoolbook" w:hAnsi="Century Schoolbook" w:cs="Century Schoolbook"/>
                          <w:color w:val="156082"/>
                        </w:rPr>
                        <w:t xml:space="preserve">Given that a lack of guaranteed judicial review contributes to a risk of arbitrary removal, particularly in the context of large-scale enforcement campaigns, Kuwait must ensure that any non-national subject to removal is guaranteed access to an effective remedy. </w:t>
                      </w:r>
                    </w:p>
                    <w:p w14:paraId="50FBEE55" w14:textId="77777777" w:rsidR="00D25CE6" w:rsidRDefault="00D25CE6" w:rsidP="00D25CE6">
                      <w:pPr>
                        <w:numPr>
                          <w:ilvl w:val="0"/>
                          <w:numId w:val="7"/>
                        </w:numPr>
                        <w:pBdr>
                          <w:top w:val="nil"/>
                          <w:left w:val="nil"/>
                          <w:bottom w:val="nil"/>
                          <w:right w:val="nil"/>
                          <w:between w:val="nil"/>
                        </w:pBdr>
                        <w:rPr>
                          <w:rFonts w:ascii="Century Schoolbook" w:eastAsia="Century Schoolbook" w:hAnsi="Century Schoolbook" w:cs="Century Schoolbook"/>
                          <w:color w:val="156082"/>
                        </w:rPr>
                      </w:pPr>
                      <w:r>
                        <w:rPr>
                          <w:rFonts w:ascii="Century Schoolbook" w:eastAsia="Century Schoolbook" w:hAnsi="Century Schoolbook" w:cs="Century Schoolbook"/>
                          <w:color w:val="156082"/>
                        </w:rPr>
                        <w:t>Immediately adopt measures to prevent and combat racist and xenophobic hate speech against migrant workers, including by ensuring that public officials refrain from promoting discriminatory narratives against migrants. The State party should strengthen the implementation of Decree-Law No. 19 of 2012 by investigating, prosecuting, and sanctioning acts of incitement to hatred, discrimination, and violence.</w:t>
                      </w:r>
                    </w:p>
                    <w:p w14:paraId="6768930A" w14:textId="77777777" w:rsidR="00D25CE6" w:rsidRDefault="00D25CE6" w:rsidP="00D25CE6"/>
                  </w:txbxContent>
                </v:textbox>
              </v:shape>
            </w:pict>
          </mc:Fallback>
        </mc:AlternateContent>
      </w:r>
    </w:p>
    <w:p w14:paraId="06318F93" w14:textId="77777777" w:rsidR="00D25CE6" w:rsidRDefault="00D25CE6" w:rsidP="00D25CE6">
      <w:pPr>
        <w:ind w:left="851" w:hanging="851"/>
        <w:rPr>
          <w:rFonts w:ascii="Century Schoolbook" w:eastAsia="Century Schoolbook" w:hAnsi="Century Schoolbook" w:cs="Century Schoolbook"/>
          <w:b/>
          <w:bCs/>
          <w:color w:val="156082"/>
        </w:rPr>
      </w:pPr>
    </w:p>
    <w:p w14:paraId="419131AC" w14:textId="77777777" w:rsidR="00D25CE6" w:rsidRDefault="00D25CE6" w:rsidP="00D25CE6">
      <w:pPr>
        <w:ind w:left="851" w:hanging="851"/>
        <w:rPr>
          <w:rFonts w:ascii="Century Schoolbook" w:eastAsia="Century Schoolbook" w:hAnsi="Century Schoolbook" w:cs="Century Schoolbook"/>
          <w:b/>
          <w:bCs/>
          <w:color w:val="156082"/>
        </w:rPr>
      </w:pPr>
    </w:p>
    <w:p w14:paraId="5AA631CA" w14:textId="77777777" w:rsidR="00D25CE6" w:rsidRDefault="00D25CE6" w:rsidP="00D25CE6">
      <w:pPr>
        <w:ind w:left="851" w:hanging="851"/>
        <w:rPr>
          <w:rFonts w:ascii="Century Schoolbook" w:eastAsia="Century Schoolbook" w:hAnsi="Century Schoolbook" w:cs="Century Schoolbook"/>
          <w:b/>
          <w:bCs/>
          <w:color w:val="156082"/>
        </w:rPr>
      </w:pPr>
    </w:p>
    <w:p w14:paraId="50D497EB" w14:textId="77777777" w:rsidR="00D25CE6" w:rsidRDefault="00D25CE6" w:rsidP="00D25CE6">
      <w:pPr>
        <w:ind w:left="851" w:hanging="851"/>
        <w:rPr>
          <w:rFonts w:ascii="Century Schoolbook" w:eastAsia="Century Schoolbook" w:hAnsi="Century Schoolbook" w:cs="Century Schoolbook"/>
          <w:b/>
          <w:bCs/>
          <w:color w:val="156082"/>
        </w:rPr>
      </w:pPr>
    </w:p>
    <w:p w14:paraId="319C039C" w14:textId="77777777" w:rsidR="00D25CE6" w:rsidRDefault="00D25CE6" w:rsidP="00D25CE6">
      <w:pPr>
        <w:ind w:left="851" w:hanging="851"/>
        <w:rPr>
          <w:rFonts w:ascii="Century Schoolbook" w:eastAsia="Century Schoolbook" w:hAnsi="Century Schoolbook" w:cs="Century Schoolbook"/>
          <w:b/>
          <w:bCs/>
          <w:color w:val="156082"/>
        </w:rPr>
      </w:pPr>
    </w:p>
    <w:p w14:paraId="34421B4B" w14:textId="77777777" w:rsidR="00D25CE6" w:rsidRDefault="00D25CE6" w:rsidP="00D25CE6">
      <w:pPr>
        <w:ind w:left="851" w:hanging="851"/>
        <w:rPr>
          <w:rFonts w:ascii="Century Schoolbook" w:eastAsia="Century Schoolbook" w:hAnsi="Century Schoolbook" w:cs="Century Schoolbook"/>
          <w:b/>
          <w:bCs/>
          <w:color w:val="156082"/>
        </w:rPr>
      </w:pPr>
    </w:p>
    <w:p w14:paraId="7DD7B0C7" w14:textId="77777777" w:rsidR="00D25CE6" w:rsidRDefault="00D25CE6" w:rsidP="00D25CE6">
      <w:pPr>
        <w:ind w:left="851" w:hanging="851"/>
        <w:rPr>
          <w:rFonts w:ascii="Century Schoolbook" w:eastAsia="Century Schoolbook" w:hAnsi="Century Schoolbook" w:cs="Century Schoolbook"/>
          <w:b/>
          <w:bCs/>
          <w:color w:val="156082"/>
        </w:rPr>
      </w:pPr>
    </w:p>
    <w:p w14:paraId="2F17FFD6" w14:textId="77777777" w:rsidR="00D25CE6" w:rsidRDefault="00D25CE6" w:rsidP="00D25CE6">
      <w:pPr>
        <w:ind w:left="851" w:hanging="851"/>
        <w:rPr>
          <w:rFonts w:ascii="Century Schoolbook" w:eastAsia="Century Schoolbook" w:hAnsi="Century Schoolbook" w:cs="Century Schoolbook"/>
          <w:b/>
          <w:bCs/>
          <w:color w:val="156082"/>
        </w:rPr>
      </w:pPr>
    </w:p>
    <w:p w14:paraId="17511D3A" w14:textId="77777777" w:rsidR="00D25CE6" w:rsidRDefault="00D25CE6" w:rsidP="00D25CE6">
      <w:pPr>
        <w:ind w:left="851" w:hanging="851"/>
        <w:rPr>
          <w:rFonts w:ascii="Century Schoolbook" w:eastAsia="Century Schoolbook" w:hAnsi="Century Schoolbook" w:cs="Century Schoolbook"/>
          <w:b/>
          <w:bCs/>
          <w:color w:val="156082"/>
        </w:rPr>
      </w:pPr>
    </w:p>
    <w:p w14:paraId="73D1FA47" w14:textId="77777777" w:rsidR="00D25CE6" w:rsidRDefault="00D25CE6" w:rsidP="00D25CE6">
      <w:pPr>
        <w:ind w:left="851" w:hanging="851"/>
        <w:rPr>
          <w:rFonts w:ascii="Century Schoolbook" w:eastAsia="Century Schoolbook" w:hAnsi="Century Schoolbook" w:cs="Century Schoolbook"/>
          <w:b/>
          <w:bCs/>
          <w:color w:val="156082"/>
        </w:rPr>
      </w:pPr>
    </w:p>
    <w:p w14:paraId="6E5C80F9" w14:textId="77777777" w:rsidR="00D25CE6" w:rsidRDefault="00D25CE6" w:rsidP="00D25CE6">
      <w:pPr>
        <w:ind w:left="851" w:hanging="851"/>
        <w:rPr>
          <w:rFonts w:ascii="Century Schoolbook" w:eastAsia="Century Schoolbook" w:hAnsi="Century Schoolbook" w:cs="Century Schoolbook"/>
          <w:b/>
          <w:bCs/>
          <w:color w:val="156082"/>
        </w:rPr>
      </w:pPr>
    </w:p>
    <w:p w14:paraId="4816B1EC" w14:textId="77777777" w:rsidR="00D25CE6" w:rsidRDefault="00D25CE6" w:rsidP="00D25CE6">
      <w:pPr>
        <w:rPr>
          <w:rFonts w:ascii="Century Schoolbook" w:eastAsia="Century Schoolbook" w:hAnsi="Century Schoolbook" w:cs="Century Schoolbook"/>
        </w:rPr>
      </w:pPr>
    </w:p>
    <w:p w14:paraId="29B48553" w14:textId="77777777" w:rsidR="00D25CE6" w:rsidRPr="00D25CE6" w:rsidRDefault="00D25CE6" w:rsidP="00D25CE6">
      <w:pPr>
        <w:rPr>
          <w:rFonts w:ascii="Century Schoolbook" w:eastAsia="Century Schoolbook" w:hAnsi="Century Schoolbook" w:cs="Century Schoolbook"/>
          <w:b/>
          <w:bCs/>
          <w:color w:val="156082"/>
        </w:rPr>
      </w:pPr>
      <w:r w:rsidRPr="00D25CE6">
        <w:rPr>
          <w:rFonts w:ascii="Century Schoolbook" w:eastAsia="Century Schoolbook" w:hAnsi="Century Schoolbook" w:cs="Century Schoolbook"/>
          <w:b/>
          <w:bCs/>
          <w:color w:val="156082"/>
        </w:rPr>
        <w:t xml:space="preserve">3.4 Disproportionate Impact of Covid-19 Pandemic on Migrant Workers </w:t>
      </w:r>
    </w:p>
    <w:p w14:paraId="0D6B8BC9" w14:textId="77777777" w:rsidR="00D25CE6" w:rsidRDefault="00D25CE6" w:rsidP="00D25CE6">
      <w:pPr>
        <w:rPr>
          <w:rFonts w:ascii="Century Schoolbook" w:eastAsia="Century Schoolbook" w:hAnsi="Century Schoolbook" w:cs="Century Schoolbook"/>
          <w:b/>
          <w:bCs/>
        </w:rPr>
      </w:pPr>
    </w:p>
    <w:p w14:paraId="71DE4E32" w14:textId="77777777" w:rsidR="00D25CE6" w:rsidRDefault="00D25CE6" w:rsidP="00D25CE6">
      <w:pPr>
        <w:ind w:left="851" w:hanging="851"/>
        <w:rPr>
          <w:rFonts w:ascii="Century Schoolbook" w:eastAsia="Century Schoolbook" w:hAnsi="Century Schoolbook" w:cs="Century Schoolbook"/>
        </w:rPr>
      </w:pPr>
      <w:r>
        <w:rPr>
          <w:rFonts w:ascii="Century Schoolbook" w:eastAsia="Century Schoolbook" w:hAnsi="Century Schoolbook" w:cs="Century Schoolbook"/>
        </w:rPr>
        <w:t>3.</w:t>
      </w:r>
      <w:proofErr w:type="gramStart"/>
      <w:r>
        <w:rPr>
          <w:rFonts w:ascii="Century Schoolbook" w:eastAsia="Century Schoolbook" w:hAnsi="Century Schoolbook" w:cs="Century Schoolbook"/>
        </w:rPr>
        <w:t>4.a</w:t>
      </w:r>
      <w:proofErr w:type="gramEnd"/>
      <w:r>
        <w:rPr>
          <w:rFonts w:ascii="Century Schoolbook" w:eastAsia="Century Schoolbook" w:hAnsi="Century Schoolbook" w:cs="Century Schoolbook"/>
        </w:rPr>
        <w:tab/>
        <w:t xml:space="preserve">The Covid-19 pandemic both exposed, and intensified, the structural discrimination experienced by migrant workers in Kuwait. </w:t>
      </w:r>
    </w:p>
    <w:p w14:paraId="786ACC7F" w14:textId="77777777" w:rsidR="00D25CE6" w:rsidRDefault="00D25CE6" w:rsidP="00D25CE6">
      <w:pPr>
        <w:ind w:left="851" w:hanging="851"/>
        <w:rPr>
          <w:rFonts w:ascii="Century Schoolbook" w:eastAsia="Century Schoolbook" w:hAnsi="Century Schoolbook" w:cs="Century Schoolbook"/>
        </w:rPr>
      </w:pPr>
    </w:p>
    <w:p w14:paraId="34341967" w14:textId="77777777" w:rsidR="00D25CE6" w:rsidRDefault="00D25CE6" w:rsidP="00D25CE6">
      <w:pPr>
        <w:ind w:left="851" w:hanging="851"/>
        <w:rPr>
          <w:rFonts w:ascii="Century Schoolbook" w:eastAsia="Century Schoolbook" w:hAnsi="Century Schoolbook" w:cs="Century Schoolbook"/>
          <w:vertAlign w:val="superscript"/>
        </w:rPr>
      </w:pPr>
      <w:r>
        <w:rPr>
          <w:rFonts w:ascii="Century Schoolbook" w:eastAsia="Century Schoolbook" w:hAnsi="Century Schoolbook" w:cs="Century Schoolbook"/>
        </w:rPr>
        <w:t>3.</w:t>
      </w:r>
      <w:proofErr w:type="gramStart"/>
      <w:r>
        <w:rPr>
          <w:rFonts w:ascii="Century Schoolbook" w:eastAsia="Century Schoolbook" w:hAnsi="Century Schoolbook" w:cs="Century Schoolbook"/>
        </w:rPr>
        <w:t>4.b</w:t>
      </w:r>
      <w:proofErr w:type="gramEnd"/>
      <w:r>
        <w:rPr>
          <w:rFonts w:ascii="Century Schoolbook" w:eastAsia="Century Schoolbook" w:hAnsi="Century Schoolbook" w:cs="Century Schoolbook"/>
        </w:rPr>
        <w:tab/>
        <w:t xml:space="preserve">The migrant population experienced </w:t>
      </w:r>
      <w:proofErr w:type="gramStart"/>
      <w:r>
        <w:rPr>
          <w:rFonts w:ascii="Century Schoolbook" w:eastAsia="Century Schoolbook" w:hAnsi="Century Schoolbook" w:cs="Century Schoolbook"/>
        </w:rPr>
        <w:t>particular vulnerabilities</w:t>
      </w:r>
      <w:proofErr w:type="gramEnd"/>
      <w:r>
        <w:rPr>
          <w:rFonts w:ascii="Century Schoolbook" w:eastAsia="Century Schoolbook" w:hAnsi="Century Schoolbook" w:cs="Century Schoolbook"/>
        </w:rPr>
        <w:t xml:space="preserve"> </w:t>
      </w:r>
      <w:proofErr w:type="gramStart"/>
      <w:r>
        <w:rPr>
          <w:rFonts w:ascii="Century Schoolbook" w:eastAsia="Century Schoolbook" w:hAnsi="Century Schoolbook" w:cs="Century Schoolbook"/>
        </w:rPr>
        <w:t>as a result of</w:t>
      </w:r>
      <w:proofErr w:type="gramEnd"/>
      <w:r>
        <w:rPr>
          <w:rFonts w:ascii="Century Schoolbook" w:eastAsia="Century Schoolbook" w:hAnsi="Century Schoolbook" w:cs="Century Schoolbook"/>
        </w:rPr>
        <w:t xml:space="preserve"> the </w:t>
      </w:r>
      <w:r>
        <w:rPr>
          <w:rFonts w:ascii="Century Schoolbook" w:eastAsia="Century Schoolbook" w:hAnsi="Century Schoolbook" w:cs="Century Schoolbook"/>
          <w:i/>
          <w:iCs/>
        </w:rPr>
        <w:t>kafala</w:t>
      </w:r>
      <w:r>
        <w:rPr>
          <w:rFonts w:ascii="Century Schoolbook" w:eastAsia="Century Schoolbook" w:hAnsi="Century Schoolbook" w:cs="Century Schoolbook"/>
        </w:rPr>
        <w:t xml:space="preserve"> system. Indeed, many lost </w:t>
      </w:r>
      <w:proofErr w:type="gramStart"/>
      <w:r>
        <w:rPr>
          <w:rFonts w:ascii="Century Schoolbook" w:eastAsia="Century Schoolbook" w:hAnsi="Century Schoolbook" w:cs="Century Schoolbook"/>
        </w:rPr>
        <w:t>employment</w:t>
      </w:r>
      <w:proofErr w:type="gramEnd"/>
      <w:r>
        <w:rPr>
          <w:rFonts w:ascii="Century Schoolbook" w:eastAsia="Century Schoolbook" w:hAnsi="Century Schoolbook" w:cs="Century Schoolbook"/>
        </w:rPr>
        <w:t xml:space="preserve"> as businesses closed or shrank staff amidst the crisis, leaving workers without legal status and vulnerable to detention and deportation. Although authorities declared an amnesty for irregular migrants in April 2020, allowing those who had overstayed their visas or who had otherwise become undocumented to leave the country without paying fines,</w:t>
      </w:r>
      <w:r>
        <w:rPr>
          <w:rFonts w:ascii="Century Schoolbook" w:eastAsia="Century Schoolbook" w:hAnsi="Century Schoolbook" w:cs="Century Schoolbook"/>
          <w:vertAlign w:val="superscript"/>
        </w:rPr>
        <w:footnoteReference w:id="16"/>
      </w:r>
      <w:r>
        <w:rPr>
          <w:rFonts w:ascii="Century Schoolbook" w:eastAsia="Century Schoolbook" w:hAnsi="Century Schoolbook" w:cs="Century Schoolbook"/>
        </w:rPr>
        <w:t xml:space="preserve"> many remained </w:t>
      </w:r>
      <w:proofErr w:type="gramStart"/>
      <w:r>
        <w:rPr>
          <w:rFonts w:ascii="Century Schoolbook" w:eastAsia="Century Schoolbook" w:hAnsi="Century Schoolbook" w:cs="Century Schoolbook"/>
        </w:rPr>
        <w:t>irregular–leading</w:t>
      </w:r>
      <w:proofErr w:type="gramEnd"/>
      <w:r>
        <w:rPr>
          <w:rFonts w:ascii="Century Schoolbook" w:eastAsia="Century Schoolbook" w:hAnsi="Century Schoolbook" w:cs="Century Schoolbook"/>
        </w:rPr>
        <w:t xml:space="preserve"> to increased arrests and detentions. Given the limited flights available to return detainees to their home countries, numerous reports indicated that the (now-closed) Talha Deportation Centre suffered from extensive overcrowding.</w:t>
      </w:r>
      <w:r>
        <w:rPr>
          <w:rFonts w:ascii="Century Schoolbook" w:eastAsia="Century Schoolbook" w:hAnsi="Century Schoolbook" w:cs="Century Schoolbook"/>
          <w:vertAlign w:val="superscript"/>
        </w:rPr>
        <w:footnoteReference w:id="17"/>
      </w:r>
      <w:r>
        <w:rPr>
          <w:rFonts w:ascii="Century Schoolbook" w:eastAsia="Century Schoolbook" w:hAnsi="Century Schoolbook" w:cs="Century Schoolbook"/>
        </w:rPr>
        <w:t xml:space="preserve"> As international flights resumed and Covid-19 cases dropped, Kuwait–like other GCC states–escalated its deportation efforts: 18,221 were deported in 2021 alone.</w:t>
      </w:r>
      <w:r>
        <w:rPr>
          <w:rFonts w:ascii="Century Schoolbook" w:eastAsia="Century Schoolbook" w:hAnsi="Century Schoolbook" w:cs="Century Schoolbook"/>
          <w:vertAlign w:val="superscript"/>
        </w:rPr>
        <w:footnoteReference w:id="18"/>
      </w:r>
    </w:p>
    <w:p w14:paraId="4DBF423C" w14:textId="77777777" w:rsidR="00D25CE6" w:rsidRDefault="00D25CE6" w:rsidP="00D25CE6">
      <w:pPr>
        <w:ind w:left="851" w:hanging="851"/>
        <w:rPr>
          <w:rFonts w:ascii="Century Schoolbook" w:eastAsia="Century Schoolbook" w:hAnsi="Century Schoolbook" w:cs="Century Schoolbook"/>
          <w:vertAlign w:val="superscript"/>
        </w:rPr>
      </w:pPr>
    </w:p>
    <w:p w14:paraId="3D5CCC04" w14:textId="77777777" w:rsidR="00D25CE6" w:rsidRPr="00E12D2D" w:rsidRDefault="00D25CE6" w:rsidP="00D25CE6">
      <w:pPr>
        <w:ind w:left="851" w:hanging="851"/>
        <w:rPr>
          <w:rFonts w:ascii="Century Schoolbook" w:eastAsia="Century Schoolbook" w:hAnsi="Century Schoolbook" w:cs="Century Schoolbook"/>
          <w:vertAlign w:val="superscript"/>
        </w:rPr>
      </w:pPr>
      <w:r>
        <w:rPr>
          <w:rFonts w:ascii="Century Schoolbook" w:eastAsia="Century Schoolbook" w:hAnsi="Century Schoolbook" w:cs="Century Schoolbook"/>
        </w:rPr>
        <w:t>3.4.c</w:t>
      </w:r>
      <w:r>
        <w:rPr>
          <w:rFonts w:ascii="Century Schoolbook" w:eastAsia="Century Schoolbook" w:hAnsi="Century Schoolbook" w:cs="Century Schoolbook"/>
        </w:rPr>
        <w:tab/>
        <w:t>Migrants also experienced a surge in xenophobic hate speech. Thousands of posts on social media propagated hateful rhetoric and incited violence against migrants,</w:t>
      </w:r>
      <w:r>
        <w:rPr>
          <w:rFonts w:ascii="Century Schoolbook" w:eastAsia="Century Schoolbook" w:hAnsi="Century Schoolbook" w:cs="Century Schoolbook"/>
          <w:vertAlign w:val="superscript"/>
        </w:rPr>
        <w:footnoteReference w:id="19"/>
      </w:r>
      <w:r>
        <w:rPr>
          <w:rFonts w:ascii="Century Schoolbook" w:eastAsia="Century Schoolbook" w:hAnsi="Century Schoolbook" w:cs="Century Schoolbook"/>
        </w:rPr>
        <w:t xml:space="preserve"> and public figures frequently used the pandemic to </w:t>
      </w:r>
      <w:r>
        <w:rPr>
          <w:rFonts w:ascii="Century Schoolbook" w:eastAsia="Century Schoolbook" w:hAnsi="Century Schoolbook" w:cs="Century Schoolbook"/>
        </w:rPr>
        <w:lastRenderedPageBreak/>
        <w:t>incite fears of “demographic imbalance” and to call for efforts “to purify the country from illegal workers.”</w:t>
      </w:r>
      <w:r>
        <w:rPr>
          <w:rFonts w:ascii="Century Schoolbook" w:eastAsia="Century Schoolbook" w:hAnsi="Century Schoolbook" w:cs="Century Schoolbook"/>
          <w:vertAlign w:val="superscript"/>
        </w:rPr>
        <w:footnoteReference w:id="20"/>
      </w:r>
      <w:r>
        <w:rPr>
          <w:rFonts w:ascii="Century Schoolbook" w:eastAsia="Century Schoolbook" w:hAnsi="Century Schoolbook" w:cs="Century Schoolbook"/>
        </w:rPr>
        <w:t xml:space="preserve"> On one occasion, Kuwaiti actress Hayat Al-Fahad called for migrants to be deported to the desert in order to save hospital beds for Kuwaiti nationals who tested positive for Covid-19.</w:t>
      </w:r>
      <w:r>
        <w:rPr>
          <w:rFonts w:ascii="Century Schoolbook" w:eastAsia="Century Schoolbook" w:hAnsi="Century Schoolbook" w:cs="Century Schoolbook"/>
          <w:vertAlign w:val="superscript"/>
        </w:rPr>
        <w:t xml:space="preserve"> </w:t>
      </w:r>
      <w:r>
        <w:rPr>
          <w:rFonts w:ascii="Century Schoolbook" w:eastAsia="Century Schoolbook" w:hAnsi="Century Schoolbook" w:cs="Century Schoolbook"/>
          <w:vertAlign w:val="superscript"/>
        </w:rPr>
        <w:footnoteReference w:id="21"/>
      </w:r>
      <w:r>
        <w:rPr>
          <w:rFonts w:ascii="Century Schoolbook" w:eastAsia="Century Schoolbook" w:hAnsi="Century Schoolbook" w:cs="Century Schoolbook"/>
        </w:rPr>
        <w:t xml:space="preserve"> A 2020 poll by Kuwait University found that 64.77 percent of Kuwaiti citizens believed migrant workers were to blame for spreading the virus in the country, and 76.25 percent agreed to deporting them.</w:t>
      </w:r>
      <w:r>
        <w:rPr>
          <w:rFonts w:ascii="Century Schoolbook" w:eastAsia="Century Schoolbook" w:hAnsi="Century Schoolbook" w:cs="Century Schoolbook"/>
          <w:vertAlign w:val="superscript"/>
        </w:rPr>
        <w:footnoteReference w:id="22"/>
      </w:r>
    </w:p>
    <w:p w14:paraId="2C0B9596" w14:textId="77777777" w:rsidR="00D25CE6" w:rsidRDefault="00D25CE6" w:rsidP="00D25CE6">
      <w:pPr>
        <w:ind w:left="851" w:hanging="851"/>
        <w:rPr>
          <w:rFonts w:ascii="Century Schoolbook" w:eastAsia="Century Schoolbook" w:hAnsi="Century Schoolbook" w:cs="Century Schoolbook"/>
          <w:highlight w:val="yellow"/>
          <w:vertAlign w:val="superscript"/>
        </w:rPr>
      </w:pPr>
    </w:p>
    <w:p w14:paraId="5376770E" w14:textId="77777777" w:rsidR="00D25CE6" w:rsidRDefault="00D25CE6" w:rsidP="00D25CE6">
      <w:pPr>
        <w:ind w:left="851" w:hanging="851"/>
        <w:rPr>
          <w:rFonts w:ascii="Century Schoolbook" w:eastAsia="Century Schoolbook" w:hAnsi="Century Schoolbook" w:cs="Century Schoolbook"/>
        </w:rPr>
      </w:pPr>
      <w:r>
        <w:rPr>
          <w:rFonts w:ascii="Century Schoolbook" w:eastAsia="Century Schoolbook" w:hAnsi="Century Schoolbook" w:cs="Century Schoolbook"/>
        </w:rPr>
        <w:t>3.</w:t>
      </w:r>
      <w:proofErr w:type="gramStart"/>
      <w:r>
        <w:rPr>
          <w:rFonts w:ascii="Century Schoolbook" w:eastAsia="Century Schoolbook" w:hAnsi="Century Schoolbook" w:cs="Century Schoolbook"/>
        </w:rPr>
        <w:t>4.d</w:t>
      </w:r>
      <w:proofErr w:type="gramEnd"/>
      <w:r>
        <w:rPr>
          <w:rFonts w:ascii="Century Schoolbook" w:eastAsia="Century Schoolbook" w:hAnsi="Century Schoolbook" w:cs="Century Schoolbook"/>
        </w:rPr>
        <w:tab/>
        <w:t xml:space="preserve">The Kuwaiti government's response to the pandemic also exemplified the entrenched discrimination between citizens and non-citizens embedded in government policies. In April 2020, the government fenced off </w:t>
      </w:r>
      <w:proofErr w:type="spellStart"/>
      <w:r>
        <w:rPr>
          <w:rFonts w:ascii="Century Schoolbook" w:eastAsia="Century Schoolbook" w:hAnsi="Century Schoolbook" w:cs="Century Schoolbook"/>
        </w:rPr>
        <w:t>Jleeb</w:t>
      </w:r>
      <w:proofErr w:type="spellEnd"/>
      <w:r>
        <w:rPr>
          <w:rFonts w:ascii="Century Schoolbook" w:eastAsia="Century Schoolbook" w:hAnsi="Century Schoolbook" w:cs="Century Schoolbook"/>
        </w:rPr>
        <w:t xml:space="preserve"> al-</w:t>
      </w:r>
      <w:proofErr w:type="spellStart"/>
      <w:r>
        <w:rPr>
          <w:rFonts w:ascii="Century Schoolbook" w:eastAsia="Century Schoolbook" w:hAnsi="Century Schoolbook" w:cs="Century Schoolbook"/>
        </w:rPr>
        <w:t>Shuyoukh</w:t>
      </w:r>
      <w:proofErr w:type="spellEnd"/>
      <w:r>
        <w:rPr>
          <w:rFonts w:ascii="Century Schoolbook" w:eastAsia="Century Schoolbook" w:hAnsi="Century Schoolbook" w:cs="Century Schoolbook"/>
        </w:rPr>
        <w:t>, a district predominantly inhabited by low-income migrants, preventing residents from entering or leaving the area for several months. While imposing these restrictions, the government took limited measures to ensure that those confined within the lockdown zone could effectively practice social distancing or access adequate health care. Given the already overcrowded and substandard housing conditions in these migrant-populated neighbourhoods, the lockdown created conditions that facilitated the rapid spread of Covid-19. Comparable restrictions were not imposed on neighbourhoods predominantly inhabited by Kuwaiti citizens.</w:t>
      </w:r>
      <w:r>
        <w:rPr>
          <w:rFonts w:ascii="Century Schoolbook" w:eastAsia="Century Schoolbook" w:hAnsi="Century Schoolbook" w:cs="Century Schoolbook"/>
          <w:vertAlign w:val="superscript"/>
        </w:rPr>
        <w:footnoteReference w:id="23"/>
      </w:r>
      <w:r>
        <w:rPr>
          <w:rFonts w:ascii="Century Schoolbook" w:eastAsia="Century Schoolbook" w:hAnsi="Century Schoolbook" w:cs="Century Schoolbook"/>
        </w:rPr>
        <w:t xml:space="preserve"> </w:t>
      </w:r>
    </w:p>
    <w:p w14:paraId="02C22C95" w14:textId="77777777" w:rsidR="00D25CE6" w:rsidRDefault="00D25CE6" w:rsidP="00D25CE6">
      <w:pPr>
        <w:ind w:left="851" w:hanging="851"/>
        <w:rPr>
          <w:rFonts w:ascii="Century Schoolbook" w:eastAsia="Century Schoolbook" w:hAnsi="Century Schoolbook" w:cs="Century Schoolbook"/>
        </w:rPr>
      </w:pPr>
    </w:p>
    <w:p w14:paraId="6E34F118" w14:textId="77777777" w:rsidR="00D25CE6" w:rsidRDefault="00D25CE6" w:rsidP="00D25CE6">
      <w:pPr>
        <w:ind w:left="851" w:hanging="851"/>
        <w:rPr>
          <w:rFonts w:ascii="Century Schoolbook" w:eastAsia="Century Schoolbook" w:hAnsi="Century Schoolbook" w:cs="Century Schoolbook"/>
        </w:rPr>
      </w:pPr>
      <w:r>
        <w:rPr>
          <w:rFonts w:ascii="Century Schoolbook" w:eastAsia="Century Schoolbook" w:hAnsi="Century Schoolbook" w:cs="Century Schoolbook"/>
        </w:rPr>
        <w:t>3.</w:t>
      </w:r>
      <w:proofErr w:type="gramStart"/>
      <w:r>
        <w:rPr>
          <w:rFonts w:ascii="Century Schoolbook" w:eastAsia="Century Schoolbook" w:hAnsi="Century Schoolbook" w:cs="Century Schoolbook"/>
        </w:rPr>
        <w:t>4.e</w:t>
      </w:r>
      <w:proofErr w:type="gramEnd"/>
      <w:r>
        <w:rPr>
          <w:rFonts w:ascii="Century Schoolbook" w:eastAsia="Century Schoolbook" w:hAnsi="Century Schoolbook" w:cs="Century Schoolbook"/>
        </w:rPr>
        <w:tab/>
        <w:t>These disparities also extended to Kuwait's vaccination campaign. When the Ministry of Health began rolling out Covid-19 vaccines, Kuwaiti citizens were prioritized for vaccination, while migrant workers were initially excluded from the campaign, even when they belonged to high-risk groups. By February 2021, reports indicated that Kuwaiti citizens were being vaccinated at approximately six times the rate of migrant workers, despite migrants constituting the majority of the country's population.</w:t>
      </w:r>
      <w:r>
        <w:rPr>
          <w:rFonts w:ascii="Century Schoolbook" w:eastAsia="Century Schoolbook" w:hAnsi="Century Schoolbook" w:cs="Century Schoolbook"/>
          <w:vertAlign w:val="superscript"/>
        </w:rPr>
        <w:footnoteReference w:id="24"/>
      </w:r>
      <w:r>
        <w:rPr>
          <w:rFonts w:ascii="Century Schoolbook" w:eastAsia="Century Schoolbook" w:hAnsi="Century Schoolbook" w:cs="Century Schoolbook"/>
        </w:rPr>
        <w:t xml:space="preserve"> The unequal impact of these policies is reflected in </w:t>
      </w:r>
      <w:r>
        <w:rPr>
          <w:rFonts w:ascii="Century Schoolbook" w:eastAsia="Century Schoolbook" w:hAnsi="Century Schoolbook" w:cs="Century Schoolbook"/>
        </w:rPr>
        <w:lastRenderedPageBreak/>
        <w:t>mortality data: a study by physicians and public health researchers estimated that excess deaths during the pandemic increased by 71.9% among migrant workers, compared with 32.4% among Kuwaiti citizens.</w:t>
      </w:r>
      <w:r>
        <w:rPr>
          <w:rFonts w:ascii="Century Schoolbook" w:eastAsia="Century Schoolbook" w:hAnsi="Century Schoolbook" w:cs="Century Schoolbook"/>
          <w:vertAlign w:val="superscript"/>
        </w:rPr>
        <w:footnoteReference w:id="25"/>
      </w:r>
    </w:p>
    <w:p w14:paraId="001222EE" w14:textId="77777777" w:rsidR="00D25CE6" w:rsidRDefault="00D25CE6" w:rsidP="00D25CE6">
      <w:pPr>
        <w:ind w:left="851" w:hanging="851"/>
        <w:rPr>
          <w:rFonts w:ascii="Century Schoolbook" w:eastAsia="Century Schoolbook" w:hAnsi="Century Schoolbook" w:cs="Century Schoolbook"/>
        </w:rPr>
      </w:pPr>
    </w:p>
    <w:p w14:paraId="52D2BC95" w14:textId="77777777" w:rsidR="00D25CE6" w:rsidRDefault="00D25CE6" w:rsidP="00D25CE6">
      <w:pPr>
        <w:ind w:left="851" w:hanging="851"/>
        <w:rPr>
          <w:rFonts w:ascii="Century Schoolbook" w:eastAsia="Century Schoolbook" w:hAnsi="Century Schoolbook" w:cs="Century Schoolbook"/>
        </w:rPr>
      </w:pPr>
      <w:r>
        <w:rPr>
          <w:rFonts w:ascii="Century Schoolbook" w:eastAsia="Century Schoolbook" w:hAnsi="Century Schoolbook" w:cs="Century Schoolbook"/>
        </w:rPr>
        <w:t>3.</w:t>
      </w:r>
      <w:proofErr w:type="gramStart"/>
      <w:r>
        <w:rPr>
          <w:rFonts w:ascii="Century Schoolbook" w:eastAsia="Century Schoolbook" w:hAnsi="Century Schoolbook" w:cs="Century Schoolbook"/>
        </w:rPr>
        <w:t>4.f</w:t>
      </w:r>
      <w:proofErr w:type="gramEnd"/>
      <w:r>
        <w:rPr>
          <w:rFonts w:ascii="Century Schoolbook" w:eastAsia="Century Schoolbook" w:hAnsi="Century Schoolbook" w:cs="Century Schoolbook"/>
        </w:rPr>
        <w:tab/>
        <w:t>Beyond its COVID-19 response, the Kuwaiti government has continued to pursue health care policies that discriminate against non-citizens. In December 2022, the Ministry of Health introduced new fees for the dispensing of prescription medicines to non-Kuwaiti residents covered by the public health insurance system, while prescription medications remained free of charge for Kuwaiti citizens. Under the new policy, non-citizens were required to pay a flat fee of 5 Kuwaiti dinars for medicines dispensed at primary health care centres and hospital emergency departments, and 10 Kuwaiti dinars for medicines dispensed through outpatient clinics. The policy also expanded restrictions on the dispensing of certain medicines to non-citizens, reserving access to some medications exclusively for Kuwaiti citizens.</w:t>
      </w:r>
      <w:r>
        <w:rPr>
          <w:rFonts w:ascii="Century Schoolbook" w:eastAsia="Century Schoolbook" w:hAnsi="Century Schoolbook" w:cs="Century Schoolbook"/>
          <w:vertAlign w:val="superscript"/>
        </w:rPr>
        <w:footnoteReference w:id="26"/>
      </w:r>
    </w:p>
    <w:p w14:paraId="79997BD7" w14:textId="122965ED" w:rsidR="00D25CE6" w:rsidRDefault="00D25CE6" w:rsidP="00D25CE6">
      <w:pPr>
        <w:ind w:left="851" w:hanging="851"/>
        <w:rPr>
          <w:rFonts w:ascii="Century Schoolbook" w:eastAsia="Century Schoolbook" w:hAnsi="Century Schoolbook" w:cs="Century Schoolbook"/>
        </w:rPr>
      </w:pPr>
    </w:p>
    <w:p w14:paraId="3E0260A3" w14:textId="593801AC" w:rsidR="00D25CE6" w:rsidRDefault="00D25CE6" w:rsidP="00D25CE6">
      <w:pPr>
        <w:rPr>
          <w:rFonts w:ascii="Century Schoolbook" w:eastAsia="Century Schoolbook" w:hAnsi="Century Schoolbook" w:cs="Century Schoolbook"/>
          <w:b/>
          <w:bCs/>
          <w:color w:val="156082"/>
        </w:rPr>
      </w:pPr>
      <w:r>
        <w:rPr>
          <w:rFonts w:ascii="Century Schoolbook" w:hAnsi="Century Schoolbook"/>
          <w:b/>
          <w:bCs/>
          <w:noProof/>
          <w:sz w:val="22"/>
          <w:szCs w:val="22"/>
        </w:rPr>
        <mc:AlternateContent>
          <mc:Choice Requires="wps">
            <w:drawing>
              <wp:anchor distT="0" distB="0" distL="114300" distR="114300" simplePos="0" relativeHeight="251674624" behindDoc="0" locked="0" layoutInCell="1" allowOverlap="1" wp14:anchorId="3191DC8C" wp14:editId="64BC334D">
                <wp:simplePos x="0" y="0"/>
                <wp:positionH relativeFrom="column">
                  <wp:posOffset>-139700</wp:posOffset>
                </wp:positionH>
                <wp:positionV relativeFrom="paragraph">
                  <wp:posOffset>136525</wp:posOffset>
                </wp:positionV>
                <wp:extent cx="6096000" cy="2489200"/>
                <wp:effectExtent l="0" t="0" r="12700" b="12700"/>
                <wp:wrapNone/>
                <wp:docPr id="1766906362" name="Text Box 3"/>
                <wp:cNvGraphicFramePr/>
                <a:graphic xmlns:a="http://schemas.openxmlformats.org/drawingml/2006/main">
                  <a:graphicData uri="http://schemas.microsoft.com/office/word/2010/wordprocessingShape">
                    <wps:wsp>
                      <wps:cNvSpPr txBox="1"/>
                      <wps:spPr>
                        <a:xfrm>
                          <a:off x="0" y="0"/>
                          <a:ext cx="6096000" cy="2489200"/>
                        </a:xfrm>
                        <a:prstGeom prst="rect">
                          <a:avLst/>
                        </a:prstGeom>
                        <a:solidFill>
                          <a:schemeClr val="bg2"/>
                        </a:solidFill>
                        <a:ln w="6350">
                          <a:solidFill>
                            <a:schemeClr val="accent1"/>
                          </a:solidFill>
                        </a:ln>
                      </wps:spPr>
                      <wps:txbx>
                        <w:txbxContent>
                          <w:p w14:paraId="252FDA13" w14:textId="77777777" w:rsidR="00D25CE6" w:rsidRPr="00D25CE6" w:rsidRDefault="00D25CE6" w:rsidP="00D25CE6">
                            <w:pPr>
                              <w:rPr>
                                <w:rFonts w:ascii="Century Schoolbook" w:eastAsia="Century Schoolbook" w:hAnsi="Century Schoolbook" w:cs="Century Schoolbook"/>
                                <w:b/>
                                <w:bCs/>
                                <w:color w:val="156082"/>
                              </w:rPr>
                            </w:pPr>
                            <w:r w:rsidRPr="00D25CE6">
                              <w:rPr>
                                <w:rFonts w:ascii="Century Schoolbook" w:eastAsia="Century Schoolbook" w:hAnsi="Century Schoolbook" w:cs="Century Schoolbook"/>
                                <w:b/>
                                <w:bCs/>
                                <w:color w:val="156082"/>
                              </w:rPr>
                              <w:t xml:space="preserve">Recommendations: </w:t>
                            </w:r>
                          </w:p>
                          <w:p w14:paraId="37CDE3B1" w14:textId="77777777" w:rsidR="00D25CE6" w:rsidRPr="00D25CE6" w:rsidRDefault="00D25CE6" w:rsidP="00D25CE6">
                            <w:pPr>
                              <w:rPr>
                                <w:rFonts w:ascii="Century Schoolbook" w:eastAsia="Century Schoolbook" w:hAnsi="Century Schoolbook" w:cs="Century Schoolbook"/>
                                <w:b/>
                                <w:bCs/>
                                <w:color w:val="156082"/>
                              </w:rPr>
                            </w:pPr>
                          </w:p>
                          <w:p w14:paraId="70A4E081" w14:textId="77777777" w:rsidR="00D25CE6" w:rsidRPr="00D25CE6" w:rsidRDefault="00D25CE6" w:rsidP="00D25CE6">
                            <w:pPr>
                              <w:rPr>
                                <w:rFonts w:ascii="Century Schoolbook" w:eastAsia="Century Schoolbook" w:hAnsi="Century Schoolbook" w:cs="Century Schoolbook"/>
                                <w:color w:val="156082"/>
                              </w:rPr>
                            </w:pPr>
                            <w:r w:rsidRPr="00D25CE6">
                              <w:rPr>
                                <w:rFonts w:ascii="Century Schoolbook" w:eastAsia="Century Schoolbook" w:hAnsi="Century Schoolbook" w:cs="Century Schoolbook"/>
                                <w:color w:val="156082"/>
                              </w:rPr>
                              <w:t xml:space="preserve">In light of this information, the GDP and MRRORS encourage the Committee to recommend that Kuwait: </w:t>
                            </w:r>
                          </w:p>
                          <w:p w14:paraId="0045A197" w14:textId="77777777" w:rsidR="00D25CE6" w:rsidRPr="00D25CE6" w:rsidRDefault="00D25CE6" w:rsidP="00D25CE6">
                            <w:pPr>
                              <w:rPr>
                                <w:rFonts w:ascii="Century Schoolbook" w:eastAsia="Century Schoolbook" w:hAnsi="Century Schoolbook" w:cs="Century Schoolbook"/>
                                <w:color w:val="156082"/>
                              </w:rPr>
                            </w:pPr>
                          </w:p>
                          <w:p w14:paraId="0A54C08D" w14:textId="77777777" w:rsidR="00D25CE6" w:rsidRPr="00D25CE6" w:rsidRDefault="00D25CE6" w:rsidP="00D25CE6">
                            <w:pPr>
                              <w:numPr>
                                <w:ilvl w:val="0"/>
                                <w:numId w:val="3"/>
                              </w:numPr>
                              <w:rPr>
                                <w:rFonts w:ascii="Century Schoolbook" w:eastAsia="Century Schoolbook" w:hAnsi="Century Schoolbook" w:cs="Century Schoolbook"/>
                                <w:color w:val="156082"/>
                              </w:rPr>
                            </w:pPr>
                            <w:r w:rsidRPr="00D25CE6">
                              <w:rPr>
                                <w:rFonts w:ascii="Century Schoolbook" w:eastAsia="Century Schoolbook" w:hAnsi="Century Schoolbook" w:cs="Century Schoolbook"/>
                                <w:color w:val="156082"/>
                              </w:rPr>
                              <w:t xml:space="preserve">As recommended above, abolish all aspects of the </w:t>
                            </w:r>
                            <w:r w:rsidRPr="00D25CE6">
                              <w:rPr>
                                <w:rFonts w:ascii="Century Schoolbook" w:eastAsia="Century Schoolbook" w:hAnsi="Century Schoolbook" w:cs="Century Schoolbook"/>
                                <w:i/>
                                <w:iCs/>
                                <w:color w:val="156082"/>
                              </w:rPr>
                              <w:t xml:space="preserve">kafala </w:t>
                            </w:r>
                            <w:r w:rsidRPr="00D25CE6">
                              <w:rPr>
                                <w:rFonts w:ascii="Century Schoolbook" w:eastAsia="Century Schoolbook" w:hAnsi="Century Schoolbook" w:cs="Century Schoolbook"/>
                                <w:color w:val="156082"/>
                              </w:rPr>
                              <w:t xml:space="preserve">system in law and practice, ensuring that loss of employment does not immediately lead to loss of legal status. </w:t>
                            </w:r>
                          </w:p>
                          <w:p w14:paraId="706B9885" w14:textId="77777777" w:rsidR="00D25CE6" w:rsidRPr="00D25CE6" w:rsidRDefault="00D25CE6" w:rsidP="00D25CE6">
                            <w:pPr>
                              <w:numPr>
                                <w:ilvl w:val="0"/>
                                <w:numId w:val="3"/>
                              </w:numPr>
                              <w:rPr>
                                <w:rFonts w:ascii="Century Schoolbook" w:eastAsia="Century Schoolbook" w:hAnsi="Century Schoolbook" w:cs="Century Schoolbook"/>
                                <w:color w:val="156082"/>
                              </w:rPr>
                            </w:pPr>
                            <w:r w:rsidRPr="00D25CE6">
                              <w:rPr>
                                <w:rFonts w:ascii="Century Schoolbook" w:eastAsia="Century Schoolbook" w:hAnsi="Century Schoolbook" w:cs="Century Schoolbook"/>
                                <w:color w:val="156082"/>
                              </w:rPr>
                              <w:t xml:space="preserve">Adopt measures to guarantee access to health care regardless of migration status. In particular, Kuwait should review its differential fees and restrictions on medicines, to ensure that health care policies do not discriminate against non-citizens. </w:t>
                            </w:r>
                          </w:p>
                          <w:p w14:paraId="64C8DC5C" w14:textId="77777777" w:rsidR="00D25CE6" w:rsidRDefault="00D25CE6" w:rsidP="00D25C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91DC8C" id="_x0000_s1032" type="#_x0000_t202" style="position:absolute;margin-left:-11pt;margin-top:10.75pt;width:480pt;height:19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" fillcolor="#e8e8e8 [3214]" strokecolor="#156082 [3204]" strokeweight=".5pt">
                <v:textbox>
                  <w:txbxContent>
                    <w:p w14:paraId="252FDA13" w14:textId="77777777" w:rsidR="00D25CE6" w:rsidRPr="00D25CE6" w:rsidRDefault="00D25CE6" w:rsidP="00D25CE6">
                      <w:pPr>
                        <w:rPr>
                          <w:rFonts w:ascii="Century Schoolbook" w:eastAsia="Century Schoolbook" w:hAnsi="Century Schoolbook" w:cs="Century Schoolbook"/>
                          <w:b/>
                          <w:bCs/>
                          <w:color w:val="156082"/>
                        </w:rPr>
                      </w:pPr>
                      <w:r w:rsidRPr="00D25CE6">
                        <w:rPr>
                          <w:rFonts w:ascii="Century Schoolbook" w:eastAsia="Century Schoolbook" w:hAnsi="Century Schoolbook" w:cs="Century Schoolbook"/>
                          <w:b/>
                          <w:bCs/>
                          <w:color w:val="156082"/>
                        </w:rPr>
                        <w:t xml:space="preserve">Recommendations: </w:t>
                      </w:r>
                    </w:p>
                    <w:p w14:paraId="37CDE3B1" w14:textId="77777777" w:rsidR="00D25CE6" w:rsidRPr="00D25CE6" w:rsidRDefault="00D25CE6" w:rsidP="00D25CE6">
                      <w:pPr>
                        <w:rPr>
                          <w:rFonts w:ascii="Century Schoolbook" w:eastAsia="Century Schoolbook" w:hAnsi="Century Schoolbook" w:cs="Century Schoolbook"/>
                          <w:b/>
                          <w:bCs/>
                          <w:color w:val="156082"/>
                        </w:rPr>
                      </w:pPr>
                    </w:p>
                    <w:p w14:paraId="70A4E081" w14:textId="77777777" w:rsidR="00D25CE6" w:rsidRPr="00D25CE6" w:rsidRDefault="00D25CE6" w:rsidP="00D25CE6">
                      <w:pPr>
                        <w:rPr>
                          <w:rFonts w:ascii="Century Schoolbook" w:eastAsia="Century Schoolbook" w:hAnsi="Century Schoolbook" w:cs="Century Schoolbook"/>
                          <w:color w:val="156082"/>
                        </w:rPr>
                      </w:pPr>
                      <w:proofErr w:type="gramStart"/>
                      <w:r w:rsidRPr="00D25CE6">
                        <w:rPr>
                          <w:rFonts w:ascii="Century Schoolbook" w:eastAsia="Century Schoolbook" w:hAnsi="Century Schoolbook" w:cs="Century Schoolbook"/>
                          <w:color w:val="156082"/>
                        </w:rPr>
                        <w:t>In light of</w:t>
                      </w:r>
                      <w:proofErr w:type="gramEnd"/>
                      <w:r w:rsidRPr="00D25CE6">
                        <w:rPr>
                          <w:rFonts w:ascii="Century Schoolbook" w:eastAsia="Century Schoolbook" w:hAnsi="Century Schoolbook" w:cs="Century Schoolbook"/>
                          <w:color w:val="156082"/>
                        </w:rPr>
                        <w:t xml:space="preserve"> this information, the GDP and MRRORS encourage the Committee to recommend that Kuwait: </w:t>
                      </w:r>
                    </w:p>
                    <w:p w14:paraId="0045A197" w14:textId="77777777" w:rsidR="00D25CE6" w:rsidRPr="00D25CE6" w:rsidRDefault="00D25CE6" w:rsidP="00D25CE6">
                      <w:pPr>
                        <w:rPr>
                          <w:rFonts w:ascii="Century Schoolbook" w:eastAsia="Century Schoolbook" w:hAnsi="Century Schoolbook" w:cs="Century Schoolbook"/>
                          <w:color w:val="156082"/>
                        </w:rPr>
                      </w:pPr>
                    </w:p>
                    <w:p w14:paraId="0A54C08D" w14:textId="77777777" w:rsidR="00D25CE6" w:rsidRPr="00D25CE6" w:rsidRDefault="00D25CE6" w:rsidP="00D25CE6">
                      <w:pPr>
                        <w:numPr>
                          <w:ilvl w:val="0"/>
                          <w:numId w:val="3"/>
                        </w:numPr>
                        <w:rPr>
                          <w:rFonts w:ascii="Century Schoolbook" w:eastAsia="Century Schoolbook" w:hAnsi="Century Schoolbook" w:cs="Century Schoolbook"/>
                          <w:color w:val="156082"/>
                        </w:rPr>
                      </w:pPr>
                      <w:r w:rsidRPr="00D25CE6">
                        <w:rPr>
                          <w:rFonts w:ascii="Century Schoolbook" w:eastAsia="Century Schoolbook" w:hAnsi="Century Schoolbook" w:cs="Century Schoolbook"/>
                          <w:color w:val="156082"/>
                        </w:rPr>
                        <w:t xml:space="preserve">As recommended above, abolish all aspects of the </w:t>
                      </w:r>
                      <w:r w:rsidRPr="00D25CE6">
                        <w:rPr>
                          <w:rFonts w:ascii="Century Schoolbook" w:eastAsia="Century Schoolbook" w:hAnsi="Century Schoolbook" w:cs="Century Schoolbook"/>
                          <w:i/>
                          <w:iCs/>
                          <w:color w:val="156082"/>
                        </w:rPr>
                        <w:t xml:space="preserve">kafala </w:t>
                      </w:r>
                      <w:r w:rsidRPr="00D25CE6">
                        <w:rPr>
                          <w:rFonts w:ascii="Century Schoolbook" w:eastAsia="Century Schoolbook" w:hAnsi="Century Schoolbook" w:cs="Century Schoolbook"/>
                          <w:color w:val="156082"/>
                        </w:rPr>
                        <w:t xml:space="preserve">system in law and practice, ensuring that loss of employment does not immediately lead to loss of legal status. </w:t>
                      </w:r>
                    </w:p>
                    <w:p w14:paraId="706B9885" w14:textId="77777777" w:rsidR="00D25CE6" w:rsidRPr="00D25CE6" w:rsidRDefault="00D25CE6" w:rsidP="00D25CE6">
                      <w:pPr>
                        <w:numPr>
                          <w:ilvl w:val="0"/>
                          <w:numId w:val="3"/>
                        </w:numPr>
                        <w:rPr>
                          <w:rFonts w:ascii="Century Schoolbook" w:eastAsia="Century Schoolbook" w:hAnsi="Century Schoolbook" w:cs="Century Schoolbook"/>
                          <w:color w:val="156082"/>
                        </w:rPr>
                      </w:pPr>
                      <w:r w:rsidRPr="00D25CE6">
                        <w:rPr>
                          <w:rFonts w:ascii="Century Schoolbook" w:eastAsia="Century Schoolbook" w:hAnsi="Century Schoolbook" w:cs="Century Schoolbook"/>
                          <w:color w:val="156082"/>
                        </w:rPr>
                        <w:t xml:space="preserve">Adopt measures to guarantee access to health care regardless of migration status. </w:t>
                      </w:r>
                      <w:proofErr w:type="gramStart"/>
                      <w:r w:rsidRPr="00D25CE6">
                        <w:rPr>
                          <w:rFonts w:ascii="Century Schoolbook" w:eastAsia="Century Schoolbook" w:hAnsi="Century Schoolbook" w:cs="Century Schoolbook"/>
                          <w:color w:val="156082"/>
                        </w:rPr>
                        <w:t>In particular, Kuwait</w:t>
                      </w:r>
                      <w:proofErr w:type="gramEnd"/>
                      <w:r w:rsidRPr="00D25CE6">
                        <w:rPr>
                          <w:rFonts w:ascii="Century Schoolbook" w:eastAsia="Century Schoolbook" w:hAnsi="Century Schoolbook" w:cs="Century Schoolbook"/>
                          <w:color w:val="156082"/>
                        </w:rPr>
                        <w:t xml:space="preserve"> should review its differential fees and restrictions on medicines, to ensure that health care policies do not discriminate against non-citizens. </w:t>
                      </w:r>
                    </w:p>
                    <w:p w14:paraId="64C8DC5C" w14:textId="77777777" w:rsidR="00D25CE6" w:rsidRDefault="00D25CE6" w:rsidP="00D25CE6"/>
                  </w:txbxContent>
                </v:textbox>
              </v:shape>
            </w:pict>
          </mc:Fallback>
        </mc:AlternateContent>
      </w:r>
    </w:p>
    <w:p w14:paraId="108519E6" w14:textId="77777777" w:rsidR="00D25CE6" w:rsidRDefault="00D25CE6" w:rsidP="00D25CE6">
      <w:pPr>
        <w:rPr>
          <w:rFonts w:ascii="Century Schoolbook" w:eastAsia="Century Schoolbook" w:hAnsi="Century Schoolbook" w:cs="Century Schoolbook"/>
          <w:b/>
          <w:bCs/>
          <w:color w:val="156082"/>
        </w:rPr>
      </w:pPr>
    </w:p>
    <w:p w14:paraId="60FAE862" w14:textId="77777777" w:rsidR="00D25CE6" w:rsidRDefault="00D25CE6" w:rsidP="00D25CE6">
      <w:pPr>
        <w:rPr>
          <w:rFonts w:ascii="Century Schoolbook" w:eastAsia="Century Schoolbook" w:hAnsi="Century Schoolbook" w:cs="Century Schoolbook"/>
          <w:b/>
          <w:bCs/>
          <w:color w:val="156082"/>
        </w:rPr>
      </w:pPr>
    </w:p>
    <w:p w14:paraId="080407F7" w14:textId="77777777" w:rsidR="00D25CE6" w:rsidRDefault="00D25CE6" w:rsidP="00D25CE6">
      <w:pPr>
        <w:rPr>
          <w:rFonts w:ascii="Century Schoolbook" w:eastAsia="Century Schoolbook" w:hAnsi="Century Schoolbook" w:cs="Century Schoolbook"/>
          <w:b/>
          <w:bCs/>
          <w:color w:val="156082"/>
        </w:rPr>
      </w:pPr>
    </w:p>
    <w:p w14:paraId="58751604" w14:textId="77777777" w:rsidR="00D25CE6" w:rsidRDefault="00D25CE6" w:rsidP="00D25CE6">
      <w:pPr>
        <w:rPr>
          <w:rFonts w:ascii="Century Schoolbook" w:eastAsia="Century Schoolbook" w:hAnsi="Century Schoolbook" w:cs="Century Schoolbook"/>
          <w:b/>
          <w:bCs/>
          <w:color w:val="156082"/>
        </w:rPr>
      </w:pPr>
    </w:p>
    <w:p w14:paraId="3C3C274D" w14:textId="77777777" w:rsidR="00D25CE6" w:rsidRDefault="00D25CE6" w:rsidP="00D25CE6">
      <w:pPr>
        <w:rPr>
          <w:rFonts w:ascii="Century Schoolbook" w:eastAsia="Century Schoolbook" w:hAnsi="Century Schoolbook" w:cs="Century Schoolbook"/>
          <w:b/>
          <w:bCs/>
          <w:color w:val="156082"/>
        </w:rPr>
      </w:pPr>
    </w:p>
    <w:p w14:paraId="5B897838" w14:textId="77777777" w:rsidR="00D25CE6" w:rsidRDefault="00D25CE6" w:rsidP="00D25CE6">
      <w:pPr>
        <w:rPr>
          <w:rFonts w:ascii="Century Schoolbook" w:eastAsia="Century Schoolbook" w:hAnsi="Century Schoolbook" w:cs="Century Schoolbook"/>
          <w:b/>
          <w:bCs/>
          <w:color w:val="156082"/>
        </w:rPr>
      </w:pPr>
    </w:p>
    <w:p w14:paraId="019CEBAD" w14:textId="77777777" w:rsidR="00D25CE6" w:rsidRDefault="00D25CE6" w:rsidP="00D25CE6">
      <w:pPr>
        <w:rPr>
          <w:rFonts w:ascii="Century Schoolbook" w:eastAsia="Century Schoolbook" w:hAnsi="Century Schoolbook" w:cs="Century Schoolbook"/>
          <w:b/>
          <w:bCs/>
          <w:color w:val="156082"/>
        </w:rPr>
      </w:pPr>
    </w:p>
    <w:p w14:paraId="25EE2C54" w14:textId="77777777" w:rsidR="00D25CE6" w:rsidRDefault="00D25CE6" w:rsidP="00D25CE6">
      <w:pPr>
        <w:rPr>
          <w:rFonts w:ascii="Century Schoolbook" w:eastAsia="Century Schoolbook" w:hAnsi="Century Schoolbook" w:cs="Century Schoolbook"/>
          <w:b/>
          <w:bCs/>
          <w:color w:val="156082"/>
        </w:rPr>
      </w:pPr>
    </w:p>
    <w:p w14:paraId="29B1908C" w14:textId="77777777" w:rsidR="00D25CE6" w:rsidRDefault="00D25CE6" w:rsidP="00D25CE6">
      <w:pPr>
        <w:rPr>
          <w:rFonts w:ascii="Century Schoolbook" w:eastAsia="Century Schoolbook" w:hAnsi="Century Schoolbook" w:cs="Century Schoolbook"/>
          <w:b/>
          <w:bCs/>
          <w:color w:val="156082"/>
        </w:rPr>
      </w:pPr>
    </w:p>
    <w:p w14:paraId="3C455F7F" w14:textId="77777777" w:rsidR="00D25CE6" w:rsidRDefault="00D25CE6" w:rsidP="00D25CE6">
      <w:pPr>
        <w:rPr>
          <w:rFonts w:ascii="Century Schoolbook" w:eastAsia="Century Schoolbook" w:hAnsi="Century Schoolbook" w:cs="Century Schoolbook"/>
          <w:b/>
          <w:bCs/>
          <w:color w:val="156082"/>
        </w:rPr>
      </w:pPr>
    </w:p>
    <w:p w14:paraId="1D03CE45" w14:textId="77777777" w:rsidR="00D25CE6" w:rsidRDefault="00D25CE6" w:rsidP="00D25CE6">
      <w:pPr>
        <w:rPr>
          <w:rFonts w:ascii="Century Schoolbook" w:eastAsia="Century Schoolbook" w:hAnsi="Century Schoolbook" w:cs="Century Schoolbook"/>
          <w:b/>
          <w:bCs/>
          <w:color w:val="156082"/>
        </w:rPr>
      </w:pPr>
    </w:p>
    <w:p w14:paraId="280BFACA" w14:textId="77777777" w:rsidR="00D25CE6" w:rsidRDefault="00D25CE6" w:rsidP="00D25CE6">
      <w:pPr>
        <w:rPr>
          <w:rFonts w:ascii="Century Schoolbook" w:eastAsia="Century Schoolbook" w:hAnsi="Century Schoolbook" w:cs="Century Schoolbook"/>
          <w:b/>
          <w:bCs/>
          <w:color w:val="156082"/>
        </w:rPr>
      </w:pPr>
    </w:p>
    <w:p w14:paraId="2CA6C829" w14:textId="77777777" w:rsidR="00D25CE6" w:rsidRDefault="00D25CE6" w:rsidP="00D25CE6">
      <w:pPr>
        <w:rPr>
          <w:rFonts w:ascii="Century Schoolbook" w:eastAsia="Century Schoolbook" w:hAnsi="Century Schoolbook" w:cs="Century Schoolbook"/>
          <w:b/>
          <w:bCs/>
          <w:color w:val="156082"/>
        </w:rPr>
      </w:pPr>
    </w:p>
    <w:p w14:paraId="28CEE975" w14:textId="77777777" w:rsidR="00D25CE6" w:rsidRDefault="00D25CE6" w:rsidP="00D25CE6">
      <w:pPr>
        <w:rPr>
          <w:rFonts w:ascii="Century Schoolbook" w:eastAsia="Century Schoolbook" w:hAnsi="Century Schoolbook" w:cs="Century Schoolbook"/>
          <w:b/>
          <w:bCs/>
          <w:color w:val="156082"/>
        </w:rPr>
      </w:pPr>
    </w:p>
    <w:p w14:paraId="182CEF0B" w14:textId="77777777" w:rsidR="00D25CE6" w:rsidRDefault="00D25CE6" w:rsidP="00D25CE6">
      <w:pPr>
        <w:rPr>
          <w:rFonts w:ascii="Century Schoolbook" w:eastAsia="Century Schoolbook" w:hAnsi="Century Schoolbook" w:cs="Century Schoolbook"/>
          <w:b/>
          <w:bCs/>
          <w:color w:val="156082"/>
        </w:rPr>
      </w:pPr>
    </w:p>
    <w:sectPr w:rsidR="00D25C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49A28" w14:textId="77777777" w:rsidR="00395F1C" w:rsidRDefault="00395F1C" w:rsidP="0008130E">
      <w:r>
        <w:separator/>
      </w:r>
    </w:p>
  </w:endnote>
  <w:endnote w:type="continuationSeparator" w:id="0">
    <w:p w14:paraId="1BD43631" w14:textId="77777777" w:rsidR="00395F1C" w:rsidRDefault="00395F1C" w:rsidP="00081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venir Next Condensed">
    <w:panose1 w:val="020B0506020202020204"/>
    <w:charset w:val="00"/>
    <w:family w:val="swiss"/>
    <w:pitch w:val="variable"/>
    <w:sig w:usb0="8000002F" w:usb1="5000204A" w:usb2="00000000" w:usb3="00000000" w:csb0="0000009B" w:csb1="00000000"/>
  </w:font>
  <w:font w:name="Century Schoolbook">
    <w:panose1 w:val="02040604050505020304"/>
    <w:charset w:val="00"/>
    <w:family w:val="roman"/>
    <w:pitch w:val="variable"/>
    <w:sig w:usb0="00000287" w:usb1="00000000" w:usb2="00000000" w:usb3="00000000" w:csb0="0000009F" w:csb1="00000000"/>
  </w:font>
  <w:font w:name="Avenir">
    <w:panose1 w:val="02000503020000020003"/>
    <w:charset w:val="4D"/>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90674369"/>
      <w:docPartObj>
        <w:docPartGallery w:val="Page Numbers (Bottom of Page)"/>
        <w:docPartUnique/>
      </w:docPartObj>
    </w:sdtPr>
    <w:sdtContent>
      <w:p w14:paraId="70403578" w14:textId="77777777" w:rsidR="0008130E" w:rsidRDefault="0008130E" w:rsidP="003D38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6A503A8C" w14:textId="77777777" w:rsidR="0008130E" w:rsidRDefault="0008130E" w:rsidP="00DF298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6CF64" w14:textId="77777777" w:rsidR="0008130E" w:rsidRDefault="0008130E" w:rsidP="007B7335">
    <w:pPr>
      <w:pStyle w:val="Footer"/>
      <w:ind w:right="360"/>
      <w:rPr>
        <w:rStyle w:val="PageNumber"/>
        <w:rFonts w:ascii="Avenir Next Condensed" w:hAnsi="Avenir Next Condensed"/>
        <w:color w:val="ADADAD" w:themeColor="background2" w:themeShade="BF"/>
        <w:sz w:val="20"/>
        <w:szCs w:val="20"/>
      </w:rPr>
    </w:pPr>
  </w:p>
  <w:sdt>
    <w:sdtPr>
      <w:rPr>
        <w:rStyle w:val="PageNumber"/>
      </w:rPr>
      <w:id w:val="1324165558"/>
      <w:docPartObj>
        <w:docPartGallery w:val="Page Numbers (Bottom of Page)"/>
        <w:docPartUnique/>
      </w:docPartObj>
    </w:sdtPr>
    <w:sdtContent>
      <w:p w14:paraId="103F1875" w14:textId="77777777" w:rsidR="0008130E" w:rsidRDefault="0008130E" w:rsidP="007B7335">
        <w:pPr>
          <w:pStyle w:val="Footer"/>
          <w:framePr w:wrap="none" w:vAnchor="text" w:hAnchor="margin" w:xAlign="right" w:y="13"/>
          <w:jc w:val="right"/>
          <w:rPr>
            <w:rStyle w:val="PageNumber"/>
          </w:rPr>
        </w:pPr>
        <w:r w:rsidRPr="007B7335">
          <w:rPr>
            <w:rStyle w:val="PageNumber"/>
            <w:rFonts w:ascii="Avenir Next Condensed" w:hAnsi="Avenir Next Condensed"/>
            <w:color w:val="595959" w:themeColor="text1" w:themeTint="A6"/>
            <w:sz w:val="20"/>
            <w:szCs w:val="20"/>
          </w:rPr>
          <w:fldChar w:fldCharType="begin"/>
        </w:r>
        <w:r w:rsidRPr="007B7335">
          <w:rPr>
            <w:rStyle w:val="PageNumber"/>
            <w:rFonts w:ascii="Avenir Next Condensed" w:hAnsi="Avenir Next Condensed"/>
            <w:color w:val="595959" w:themeColor="text1" w:themeTint="A6"/>
            <w:sz w:val="20"/>
            <w:szCs w:val="20"/>
          </w:rPr>
          <w:instrText xml:space="preserve"> PAGE </w:instrText>
        </w:r>
        <w:r w:rsidRPr="007B7335">
          <w:rPr>
            <w:rStyle w:val="PageNumber"/>
            <w:rFonts w:ascii="Avenir Next Condensed" w:hAnsi="Avenir Next Condensed"/>
            <w:color w:val="595959" w:themeColor="text1" w:themeTint="A6"/>
            <w:sz w:val="20"/>
            <w:szCs w:val="20"/>
          </w:rPr>
          <w:fldChar w:fldCharType="separate"/>
        </w:r>
        <w:r w:rsidRPr="007B7335">
          <w:rPr>
            <w:rStyle w:val="PageNumber"/>
            <w:rFonts w:ascii="Avenir Next Condensed" w:hAnsi="Avenir Next Condensed"/>
            <w:noProof/>
            <w:color w:val="595959" w:themeColor="text1" w:themeTint="A6"/>
            <w:sz w:val="20"/>
            <w:szCs w:val="20"/>
          </w:rPr>
          <w:t>2</w:t>
        </w:r>
        <w:r w:rsidRPr="007B7335">
          <w:rPr>
            <w:rStyle w:val="PageNumber"/>
            <w:rFonts w:ascii="Avenir Next Condensed" w:hAnsi="Avenir Next Condensed"/>
            <w:color w:val="595959" w:themeColor="text1" w:themeTint="A6"/>
            <w:sz w:val="20"/>
            <w:szCs w:val="20"/>
          </w:rPr>
          <w:fldChar w:fldCharType="end"/>
        </w:r>
      </w:p>
    </w:sdtContent>
  </w:sdt>
  <w:p w14:paraId="5F99EDE9" w14:textId="6F21A1D2" w:rsidR="0008130E" w:rsidRPr="00D25CE6" w:rsidRDefault="0008130E" w:rsidP="00DF298B">
    <w:pPr>
      <w:pStyle w:val="Footer"/>
      <w:ind w:right="360"/>
      <w:rPr>
        <w:rFonts w:ascii="Avenir Next Condensed" w:hAnsi="Avenir Next Condensed"/>
        <w:color w:val="ADADAD" w:themeColor="background2" w:themeShade="BF"/>
        <w:sz w:val="18"/>
        <w:szCs w:val="18"/>
      </w:rPr>
    </w:pPr>
    <w:r w:rsidRPr="00D25CE6">
      <w:rPr>
        <w:rStyle w:val="PageNumber"/>
        <w:rFonts w:ascii="Avenir Next Condensed" w:hAnsi="Avenir Next Condensed"/>
        <w:color w:val="ADADAD" w:themeColor="background2" w:themeShade="BF"/>
        <w:sz w:val="18"/>
        <w:szCs w:val="18"/>
      </w:rPr>
      <w:t xml:space="preserve">© </w:t>
    </w:r>
    <w:r w:rsidR="00D25CE6" w:rsidRPr="00D25CE6">
      <w:rPr>
        <w:rFonts w:ascii="Avenir Next Condensed" w:eastAsia="Century Schoolbook" w:hAnsi="Avenir Next Condensed" w:cs="Century Schoolbook"/>
        <w:color w:val="ADADAD" w:themeColor="background2" w:themeShade="BF"/>
        <w:sz w:val="18"/>
        <w:szCs w:val="18"/>
      </w:rPr>
      <w:t>Global Detention Project (GDP) and Migrant Rights Research open Repository (MRRORS)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Avenir Next Condensed" w:hAnsi="Avenir Next Condensed"/>
      </w:rPr>
      <w:id w:val="-336765713"/>
      <w:docPartObj>
        <w:docPartGallery w:val="Page Numbers (Bottom of Page)"/>
        <w:docPartUnique/>
      </w:docPartObj>
    </w:sdtPr>
    <w:sdtContent>
      <w:p w14:paraId="19D2EACF" w14:textId="77777777" w:rsidR="0008130E" w:rsidRPr="003D38C0" w:rsidRDefault="0008130E" w:rsidP="003D38C0">
        <w:pPr>
          <w:pStyle w:val="Footer"/>
          <w:framePr w:wrap="none" w:vAnchor="text" w:hAnchor="margin" w:xAlign="right" w:y="1"/>
          <w:rPr>
            <w:rStyle w:val="PageNumber"/>
            <w:rFonts w:ascii="Avenir Next Condensed" w:hAnsi="Avenir Next Condensed"/>
          </w:rPr>
        </w:pPr>
        <w:r w:rsidRPr="003D38C0">
          <w:rPr>
            <w:rStyle w:val="PageNumber"/>
            <w:rFonts w:ascii="Avenir Next Condensed" w:hAnsi="Avenir Next Condensed"/>
          </w:rPr>
          <w:fldChar w:fldCharType="begin"/>
        </w:r>
        <w:r w:rsidRPr="003D38C0">
          <w:rPr>
            <w:rStyle w:val="PageNumber"/>
            <w:rFonts w:ascii="Avenir Next Condensed" w:hAnsi="Avenir Next Condensed"/>
          </w:rPr>
          <w:instrText xml:space="preserve"> PAGE </w:instrText>
        </w:r>
        <w:r w:rsidRPr="003D38C0">
          <w:rPr>
            <w:rStyle w:val="PageNumber"/>
            <w:rFonts w:ascii="Avenir Next Condensed" w:hAnsi="Avenir Next Condensed"/>
          </w:rPr>
          <w:fldChar w:fldCharType="separate"/>
        </w:r>
        <w:r w:rsidRPr="003D38C0">
          <w:rPr>
            <w:rStyle w:val="PageNumber"/>
            <w:rFonts w:ascii="Avenir Next Condensed" w:hAnsi="Avenir Next Condensed"/>
          </w:rPr>
          <w:t>2</w:t>
        </w:r>
        <w:r w:rsidRPr="003D38C0">
          <w:rPr>
            <w:rStyle w:val="PageNumber"/>
            <w:rFonts w:ascii="Avenir Next Condensed" w:hAnsi="Avenir Next Condensed"/>
          </w:rPr>
          <w:fldChar w:fldCharType="end"/>
        </w:r>
      </w:p>
    </w:sdtContent>
  </w:sdt>
  <w:p w14:paraId="4B86B714" w14:textId="77777777" w:rsidR="0008130E" w:rsidRDefault="0008130E" w:rsidP="003D38C0">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5796D" w14:textId="77777777" w:rsidR="00395F1C" w:rsidRDefault="00395F1C" w:rsidP="0008130E">
      <w:r>
        <w:separator/>
      </w:r>
    </w:p>
  </w:footnote>
  <w:footnote w:type="continuationSeparator" w:id="0">
    <w:p w14:paraId="0292BAAA" w14:textId="77777777" w:rsidR="00395F1C" w:rsidRDefault="00395F1C" w:rsidP="0008130E">
      <w:r>
        <w:continuationSeparator/>
      </w:r>
    </w:p>
  </w:footnote>
  <w:footnote w:id="1">
    <w:p w14:paraId="701FE2BC" w14:textId="77777777" w:rsidR="00D25CE6" w:rsidRPr="00E12D2D" w:rsidRDefault="00D25CE6" w:rsidP="00D25CE6">
      <w:pPr>
        <w:pBdr>
          <w:top w:val="nil"/>
          <w:left w:val="nil"/>
          <w:bottom w:val="nil"/>
          <w:right w:val="nil"/>
          <w:between w:val="nil"/>
        </w:pBdr>
        <w:spacing w:afterLines="60" w:after="144"/>
        <w:rPr>
          <w:rFonts w:ascii="Century Schoolbook" w:eastAsia="Century Schoolbook" w:hAnsi="Century Schoolbook" w:cs="Century Schoolbook"/>
          <w:color w:val="000000"/>
          <w:sz w:val="20"/>
          <w:szCs w:val="20"/>
        </w:rPr>
      </w:pPr>
      <w:r w:rsidRPr="00E12D2D">
        <w:rPr>
          <w:rFonts w:ascii="Century Schoolbook" w:hAnsi="Century Schoolbook"/>
          <w:sz w:val="20"/>
          <w:szCs w:val="20"/>
          <w:vertAlign w:val="superscript"/>
        </w:rPr>
        <w:footnoteRef/>
      </w:r>
      <w:r w:rsidRPr="00E12D2D">
        <w:rPr>
          <w:rFonts w:ascii="Century Schoolbook" w:eastAsia="Century Schoolbook" w:hAnsi="Century Schoolbook" w:cs="Century Schoolbook"/>
          <w:color w:val="000000"/>
          <w:sz w:val="20"/>
          <w:szCs w:val="20"/>
        </w:rPr>
        <w:t xml:space="preserve"> Central Statistical Bureau, “Population Estimates in Kuwait by Age, Nationality and Sex at 1-1-2025,” accessed 30 June 2026, </w:t>
      </w:r>
      <w:hyperlink r:id="rId1">
        <w:r w:rsidRPr="00E12D2D">
          <w:rPr>
            <w:rFonts w:ascii="Century Schoolbook" w:eastAsia="Century Schoolbook" w:hAnsi="Century Schoolbook" w:cs="Century Schoolbook"/>
            <w:color w:val="467886"/>
            <w:sz w:val="20"/>
            <w:szCs w:val="20"/>
            <w:u w:val="single"/>
          </w:rPr>
          <w:t>https://www.csb.gov.kw/Pages/Statistics_en?ID=67&amp;ParentCatID=1</w:t>
        </w:r>
      </w:hyperlink>
      <w:r w:rsidRPr="00E12D2D">
        <w:rPr>
          <w:rFonts w:ascii="Century Schoolbook" w:eastAsia="Century Schoolbook" w:hAnsi="Century Schoolbook" w:cs="Century Schoolbook"/>
          <w:color w:val="000000"/>
          <w:sz w:val="20"/>
          <w:szCs w:val="20"/>
        </w:rPr>
        <w:t xml:space="preserve"> </w:t>
      </w:r>
    </w:p>
  </w:footnote>
  <w:footnote w:id="2">
    <w:p w14:paraId="124A2AB4" w14:textId="77777777" w:rsidR="00D25CE6" w:rsidRPr="00E12D2D" w:rsidRDefault="00D25CE6" w:rsidP="00D25CE6">
      <w:pPr>
        <w:pBdr>
          <w:top w:val="nil"/>
          <w:left w:val="nil"/>
          <w:bottom w:val="nil"/>
          <w:right w:val="nil"/>
          <w:between w:val="nil"/>
        </w:pBdr>
        <w:spacing w:afterLines="60" w:after="144"/>
        <w:rPr>
          <w:rFonts w:ascii="Century Schoolbook" w:eastAsia="Century Schoolbook" w:hAnsi="Century Schoolbook" w:cs="Century Schoolbook"/>
          <w:color w:val="000000"/>
          <w:sz w:val="20"/>
          <w:szCs w:val="20"/>
        </w:rPr>
      </w:pPr>
      <w:r w:rsidRPr="00E12D2D">
        <w:rPr>
          <w:rFonts w:ascii="Century Schoolbook" w:hAnsi="Century Schoolbook"/>
          <w:sz w:val="20"/>
          <w:szCs w:val="20"/>
          <w:vertAlign w:val="superscript"/>
        </w:rPr>
        <w:footnoteRef/>
      </w:r>
      <w:r w:rsidRPr="00E12D2D">
        <w:rPr>
          <w:rFonts w:ascii="Century Schoolbook" w:eastAsia="Century Schoolbook" w:hAnsi="Century Schoolbook" w:cs="Century Schoolbook"/>
          <w:color w:val="000000"/>
          <w:sz w:val="20"/>
          <w:szCs w:val="20"/>
        </w:rPr>
        <w:t xml:space="preserve"> Middle East Monitor, “Kuwait Sets New Conditions for Accepting Egyptian Workers,” 7 December 2022, </w:t>
      </w:r>
      <w:hyperlink r:id="rId2">
        <w:r w:rsidRPr="00E12D2D">
          <w:rPr>
            <w:rFonts w:ascii="Century Schoolbook" w:eastAsia="Century Schoolbook" w:hAnsi="Century Schoolbook" w:cs="Century Schoolbook"/>
            <w:color w:val="467886"/>
            <w:sz w:val="20"/>
            <w:szCs w:val="20"/>
            <w:u w:val="single"/>
          </w:rPr>
          <w:t>https://www.middleeastmonitor.com/20221207-kuwait-sets-new-conditions-for-accepting-egyptian-workers/</w:t>
        </w:r>
      </w:hyperlink>
      <w:r w:rsidRPr="00E12D2D">
        <w:rPr>
          <w:rFonts w:ascii="Century Schoolbook" w:eastAsia="Century Schoolbook" w:hAnsi="Century Schoolbook" w:cs="Century Schoolbook"/>
          <w:color w:val="000000"/>
          <w:sz w:val="20"/>
          <w:szCs w:val="20"/>
        </w:rPr>
        <w:t xml:space="preserve"> </w:t>
      </w:r>
    </w:p>
  </w:footnote>
  <w:footnote w:id="3">
    <w:p w14:paraId="4254FE27" w14:textId="77777777" w:rsidR="00D25CE6" w:rsidRPr="00E12D2D" w:rsidRDefault="00D25CE6" w:rsidP="00D25CE6">
      <w:pPr>
        <w:pBdr>
          <w:top w:val="nil"/>
          <w:left w:val="nil"/>
          <w:bottom w:val="nil"/>
          <w:right w:val="nil"/>
          <w:between w:val="nil"/>
        </w:pBdr>
        <w:spacing w:afterLines="60" w:after="144"/>
        <w:rPr>
          <w:rFonts w:ascii="Century Schoolbook" w:hAnsi="Century Schoolbook"/>
          <w:color w:val="000000"/>
          <w:sz w:val="20"/>
          <w:szCs w:val="20"/>
        </w:rPr>
      </w:pPr>
      <w:r w:rsidRPr="00E12D2D">
        <w:rPr>
          <w:rFonts w:ascii="Century Schoolbook" w:hAnsi="Century Schoolbook"/>
          <w:sz w:val="20"/>
          <w:szCs w:val="20"/>
          <w:vertAlign w:val="superscript"/>
        </w:rPr>
        <w:footnoteRef/>
      </w:r>
      <w:r w:rsidRPr="00E12D2D">
        <w:rPr>
          <w:rFonts w:ascii="Century Schoolbook" w:eastAsia="Times New Roman" w:hAnsi="Century Schoolbook" w:cs="Times New Roman"/>
          <w:color w:val="000000"/>
          <w:sz w:val="20"/>
          <w:szCs w:val="20"/>
        </w:rPr>
        <w:t xml:space="preserve"> Gulf News, “Kuwait Restricts Domestic Worker Recruitment to 10 Countries,” 9 June 2026, </w:t>
      </w:r>
      <w:hyperlink r:id="rId3" w:history="1">
        <w:r w:rsidRPr="00E12D2D">
          <w:rPr>
            <w:rStyle w:val="Hyperlink"/>
            <w:rFonts w:ascii="Century Schoolbook" w:hAnsi="Century Schoolbook"/>
            <w:color w:val="156082"/>
            <w:sz w:val="20"/>
            <w:szCs w:val="20"/>
          </w:rPr>
          <w:t>https://gulfnews.com/world/gulf/kuwait/kuwait-restricts-domestic-worker-recruitment-to-10-countries-1.500568209</w:t>
        </w:r>
      </w:hyperlink>
      <w:r w:rsidRPr="00E12D2D">
        <w:rPr>
          <w:rFonts w:ascii="Century Schoolbook" w:hAnsi="Century Schoolbook"/>
          <w:color w:val="156082"/>
          <w:sz w:val="20"/>
          <w:szCs w:val="20"/>
        </w:rPr>
        <w:t xml:space="preserve"> </w:t>
      </w:r>
    </w:p>
  </w:footnote>
  <w:footnote w:id="4">
    <w:p w14:paraId="51A6F1F0" w14:textId="77777777" w:rsidR="00D25CE6" w:rsidRPr="00E12D2D" w:rsidRDefault="00D25CE6" w:rsidP="00D25CE6">
      <w:pPr>
        <w:pBdr>
          <w:top w:val="nil"/>
          <w:left w:val="nil"/>
          <w:bottom w:val="nil"/>
          <w:right w:val="nil"/>
          <w:between w:val="nil"/>
        </w:pBdr>
        <w:spacing w:afterLines="60" w:after="144"/>
        <w:rPr>
          <w:rFonts w:ascii="Century Schoolbook" w:eastAsia="Century Schoolbook" w:hAnsi="Century Schoolbook" w:cs="Century Schoolbook"/>
          <w:color w:val="000000"/>
          <w:sz w:val="20"/>
          <w:szCs w:val="20"/>
        </w:rPr>
      </w:pPr>
      <w:r w:rsidRPr="00E12D2D">
        <w:rPr>
          <w:rFonts w:ascii="Century Schoolbook" w:hAnsi="Century Schoolbook"/>
          <w:sz w:val="20"/>
          <w:szCs w:val="20"/>
          <w:vertAlign w:val="superscript"/>
        </w:rPr>
        <w:footnoteRef/>
      </w:r>
      <w:r w:rsidRPr="00E12D2D">
        <w:rPr>
          <w:rFonts w:ascii="Century Schoolbook" w:eastAsia="Century Schoolbook" w:hAnsi="Century Schoolbook" w:cs="Century Schoolbook"/>
          <w:color w:val="000000"/>
          <w:sz w:val="20"/>
          <w:szCs w:val="20"/>
        </w:rPr>
        <w:t xml:space="preserve"> See, for example, UN Human Rights Committee, “Concluding Observations on the Fourth Periodic Report of Kuwait,” CCPR/C/KWT/CO/4, 22 November 2023, </w:t>
      </w:r>
      <w:hyperlink r:id="rId4">
        <w:r w:rsidRPr="00E12D2D">
          <w:rPr>
            <w:rFonts w:ascii="Century Schoolbook" w:eastAsia="Century Schoolbook" w:hAnsi="Century Schoolbook" w:cs="Century Schoolbook"/>
            <w:color w:val="467886"/>
            <w:sz w:val="20"/>
            <w:szCs w:val="20"/>
            <w:u w:val="single"/>
          </w:rPr>
          <w:t>https://docs.un.org/en/CCPR/C/KWT/CO/4</w:t>
        </w:r>
      </w:hyperlink>
      <w:r w:rsidRPr="00E12D2D">
        <w:rPr>
          <w:rFonts w:ascii="Century Schoolbook" w:eastAsia="Century Schoolbook" w:hAnsi="Century Schoolbook" w:cs="Century Schoolbook"/>
          <w:color w:val="000000"/>
          <w:sz w:val="20"/>
          <w:szCs w:val="20"/>
        </w:rPr>
        <w:t xml:space="preserve"> </w:t>
      </w:r>
    </w:p>
  </w:footnote>
  <w:footnote w:id="5">
    <w:p w14:paraId="0C9C60E1" w14:textId="77777777" w:rsidR="00D25CE6" w:rsidRPr="00E12D2D" w:rsidRDefault="00D25CE6" w:rsidP="00D25CE6">
      <w:pPr>
        <w:pBdr>
          <w:top w:val="nil"/>
          <w:left w:val="nil"/>
          <w:bottom w:val="nil"/>
          <w:right w:val="nil"/>
          <w:between w:val="nil"/>
        </w:pBdr>
        <w:spacing w:afterLines="60" w:after="144"/>
        <w:rPr>
          <w:rFonts w:ascii="Century Schoolbook" w:hAnsi="Century Schoolbook"/>
          <w:color w:val="000000"/>
          <w:sz w:val="20"/>
          <w:szCs w:val="20"/>
        </w:rPr>
      </w:pPr>
      <w:r w:rsidRPr="00E12D2D">
        <w:rPr>
          <w:rFonts w:ascii="Century Schoolbook" w:hAnsi="Century Schoolbook"/>
          <w:sz w:val="20"/>
          <w:szCs w:val="20"/>
          <w:vertAlign w:val="superscript"/>
        </w:rPr>
        <w:footnoteRef/>
      </w:r>
      <w:r w:rsidRPr="00E12D2D">
        <w:rPr>
          <w:rFonts w:ascii="Century Schoolbook" w:eastAsia="Times New Roman" w:hAnsi="Century Schoolbook" w:cs="Times New Roman"/>
          <w:color w:val="000000"/>
          <w:sz w:val="20"/>
          <w:szCs w:val="20"/>
        </w:rPr>
        <w:t xml:space="preserve"> </w:t>
      </w:r>
      <w:r w:rsidRPr="00E12D2D">
        <w:rPr>
          <w:rFonts w:ascii="Century Schoolbook" w:eastAsia="Century Schoolbook" w:hAnsi="Century Schoolbook" w:cs="Century Schoolbook"/>
          <w:color w:val="000000"/>
          <w:sz w:val="20"/>
          <w:szCs w:val="20"/>
        </w:rPr>
        <w:t xml:space="preserve">Arab Times, “Kuwait Expels 127 Bangladeshi Workers Following Wage Protest,” 7 August 2025, </w:t>
      </w:r>
      <w:hyperlink r:id="rId5">
        <w:r w:rsidRPr="00E12D2D">
          <w:rPr>
            <w:rFonts w:ascii="Century Schoolbook" w:eastAsia="Century Schoolbook" w:hAnsi="Century Schoolbook" w:cs="Century Schoolbook"/>
            <w:color w:val="467886"/>
            <w:sz w:val="20"/>
            <w:szCs w:val="20"/>
            <w:u w:val="single"/>
          </w:rPr>
          <w:t>https://www.arabtimesonline.com/news/kuwait-expels-127-bangladeshi-workers-following-wage-protest/</w:t>
        </w:r>
      </w:hyperlink>
      <w:r w:rsidRPr="00E12D2D">
        <w:rPr>
          <w:rFonts w:ascii="Century Schoolbook" w:eastAsia="Times New Roman" w:hAnsi="Century Schoolbook" w:cs="Times New Roman"/>
          <w:color w:val="000000"/>
          <w:sz w:val="20"/>
          <w:szCs w:val="20"/>
        </w:rPr>
        <w:t xml:space="preserve"> </w:t>
      </w:r>
    </w:p>
  </w:footnote>
  <w:footnote w:id="6">
    <w:p w14:paraId="663D3F4C" w14:textId="77777777" w:rsidR="00D25CE6" w:rsidRPr="00E12D2D" w:rsidRDefault="00D25CE6" w:rsidP="00D25CE6">
      <w:pPr>
        <w:pBdr>
          <w:top w:val="nil"/>
          <w:left w:val="nil"/>
          <w:bottom w:val="nil"/>
          <w:right w:val="nil"/>
          <w:between w:val="nil"/>
        </w:pBdr>
        <w:spacing w:afterLines="60" w:after="144"/>
        <w:rPr>
          <w:rFonts w:ascii="Century Schoolbook" w:hAnsi="Century Schoolbook"/>
          <w:color w:val="000000"/>
          <w:sz w:val="20"/>
          <w:szCs w:val="20"/>
        </w:rPr>
      </w:pPr>
      <w:r w:rsidRPr="00E12D2D">
        <w:rPr>
          <w:rFonts w:ascii="Century Schoolbook" w:hAnsi="Century Schoolbook"/>
          <w:sz w:val="20"/>
          <w:szCs w:val="20"/>
          <w:vertAlign w:val="superscript"/>
        </w:rPr>
        <w:footnoteRef/>
      </w:r>
      <w:r w:rsidRPr="00E12D2D">
        <w:rPr>
          <w:rFonts w:ascii="Century Schoolbook" w:eastAsia="Times New Roman" w:hAnsi="Century Schoolbook" w:cs="Times New Roman"/>
          <w:color w:val="000000"/>
          <w:sz w:val="20"/>
          <w:szCs w:val="20"/>
        </w:rPr>
        <w:t xml:space="preserve"> Americans for Democracy and Human Rights in Bahrain, “Despite Reforms, Migrant Workers in Kuwait Continue to Endure Unfair and Abusive Practices,” 12 November 2025, </w:t>
      </w:r>
      <w:hyperlink r:id="rId6" w:history="1">
        <w:r w:rsidRPr="00E12D2D">
          <w:rPr>
            <w:rStyle w:val="Hyperlink"/>
            <w:rFonts w:ascii="Century Schoolbook" w:hAnsi="Century Schoolbook"/>
            <w:color w:val="156082"/>
            <w:sz w:val="20"/>
            <w:szCs w:val="20"/>
          </w:rPr>
          <w:t>https://www.adhrb.org/2025/11/despite-reforms-migrant-workers-in-kuwait-continue-to-endure-unfair-and-abusive-practices/</w:t>
        </w:r>
      </w:hyperlink>
      <w:r w:rsidRPr="00E12D2D">
        <w:rPr>
          <w:rFonts w:ascii="Century Schoolbook" w:hAnsi="Century Schoolbook"/>
          <w:color w:val="156082"/>
          <w:sz w:val="20"/>
          <w:szCs w:val="20"/>
        </w:rPr>
        <w:t xml:space="preserve"> </w:t>
      </w:r>
    </w:p>
  </w:footnote>
  <w:footnote w:id="7">
    <w:p w14:paraId="56B24337" w14:textId="77777777" w:rsidR="00D25CE6" w:rsidRPr="00E12D2D" w:rsidRDefault="00D25CE6" w:rsidP="00D25CE6">
      <w:pPr>
        <w:pBdr>
          <w:top w:val="nil"/>
          <w:left w:val="nil"/>
          <w:bottom w:val="nil"/>
          <w:right w:val="nil"/>
          <w:between w:val="nil"/>
        </w:pBdr>
        <w:spacing w:afterLines="60" w:after="144"/>
        <w:rPr>
          <w:rFonts w:ascii="Century Schoolbook" w:eastAsia="Century Schoolbook" w:hAnsi="Century Schoolbook" w:cs="Century Schoolbook"/>
          <w:color w:val="000000"/>
          <w:sz w:val="20"/>
          <w:szCs w:val="20"/>
        </w:rPr>
      </w:pPr>
      <w:r w:rsidRPr="00E12D2D">
        <w:rPr>
          <w:rFonts w:ascii="Century Schoolbook" w:hAnsi="Century Schoolbook"/>
          <w:sz w:val="20"/>
          <w:szCs w:val="20"/>
          <w:vertAlign w:val="superscript"/>
        </w:rPr>
        <w:footnoteRef/>
      </w:r>
      <w:r w:rsidRPr="00E12D2D">
        <w:rPr>
          <w:rFonts w:ascii="Century Schoolbook" w:eastAsia="Century Schoolbook" w:hAnsi="Century Schoolbook" w:cs="Century Schoolbook"/>
          <w:color w:val="000000"/>
          <w:sz w:val="20"/>
          <w:szCs w:val="20"/>
        </w:rPr>
        <w:t xml:space="preserve"> MRRORS, “Kuwait Reinstates Exit Permit, Tightening the Grip of Kafala,” 29 October 2025, </w:t>
      </w:r>
      <w:hyperlink r:id="rId7">
        <w:r w:rsidRPr="00E12D2D">
          <w:rPr>
            <w:rFonts w:ascii="Century Schoolbook" w:eastAsia="Century Schoolbook" w:hAnsi="Century Schoolbook" w:cs="Century Schoolbook"/>
            <w:color w:val="467886"/>
            <w:sz w:val="20"/>
            <w:szCs w:val="20"/>
            <w:u w:val="single"/>
          </w:rPr>
          <w:t>https://www.mrrors.org/2025/10/kuwait-reinstates-exit-permit-tightening-the-grip-of-kafala/</w:t>
        </w:r>
      </w:hyperlink>
      <w:r w:rsidRPr="00E12D2D">
        <w:rPr>
          <w:rFonts w:ascii="Century Schoolbook" w:eastAsia="Century Schoolbook" w:hAnsi="Century Schoolbook" w:cs="Century Schoolbook"/>
          <w:color w:val="000000"/>
          <w:sz w:val="20"/>
          <w:szCs w:val="20"/>
        </w:rPr>
        <w:t xml:space="preserve"> </w:t>
      </w:r>
    </w:p>
  </w:footnote>
  <w:footnote w:id="8">
    <w:p w14:paraId="0FC97172" w14:textId="77777777" w:rsidR="00D25CE6" w:rsidRPr="00E12D2D" w:rsidRDefault="00D25CE6" w:rsidP="00D25CE6">
      <w:pPr>
        <w:pBdr>
          <w:top w:val="nil"/>
          <w:left w:val="nil"/>
          <w:bottom w:val="nil"/>
          <w:right w:val="nil"/>
          <w:between w:val="nil"/>
        </w:pBdr>
        <w:spacing w:afterLines="60" w:after="144"/>
        <w:rPr>
          <w:rFonts w:ascii="Century Schoolbook" w:eastAsia="Century Schoolbook" w:hAnsi="Century Schoolbook" w:cs="Century Schoolbook"/>
          <w:color w:val="000000"/>
          <w:sz w:val="20"/>
          <w:szCs w:val="20"/>
        </w:rPr>
      </w:pPr>
      <w:r w:rsidRPr="00E12D2D">
        <w:rPr>
          <w:rFonts w:ascii="Century Schoolbook" w:hAnsi="Century Schoolbook"/>
          <w:sz w:val="20"/>
          <w:szCs w:val="20"/>
          <w:vertAlign w:val="superscript"/>
        </w:rPr>
        <w:footnoteRef/>
      </w:r>
      <w:r w:rsidRPr="00E12D2D">
        <w:rPr>
          <w:rFonts w:ascii="Century Schoolbook" w:eastAsia="Century Schoolbook" w:hAnsi="Century Schoolbook" w:cs="Century Schoolbook"/>
          <w:color w:val="000000"/>
          <w:sz w:val="20"/>
          <w:szCs w:val="20"/>
        </w:rPr>
        <w:t xml:space="preserve"> The Times, “Security Campaigns in 2025 Lead to Arrest and Deportation of Thousands,” 4 August 2025, </w:t>
      </w:r>
      <w:hyperlink r:id="rId8">
        <w:r w:rsidRPr="00E12D2D">
          <w:rPr>
            <w:rFonts w:ascii="Century Schoolbook" w:eastAsia="Century Schoolbook" w:hAnsi="Century Schoolbook" w:cs="Century Schoolbook"/>
            <w:color w:val="467886"/>
            <w:sz w:val="20"/>
            <w:szCs w:val="20"/>
            <w:u w:val="single"/>
          </w:rPr>
          <w:t>https://timeskuwait.com/security-campaigns-in-2025-lead-to-arrest-and-deportation-of-thousands</w:t>
        </w:r>
      </w:hyperlink>
      <w:r w:rsidRPr="00E12D2D">
        <w:rPr>
          <w:rFonts w:ascii="Century Schoolbook" w:eastAsia="Century Schoolbook" w:hAnsi="Century Schoolbook" w:cs="Century Schoolbook"/>
          <w:color w:val="000000"/>
          <w:sz w:val="20"/>
          <w:szCs w:val="20"/>
        </w:rPr>
        <w:t xml:space="preserve"> </w:t>
      </w:r>
    </w:p>
  </w:footnote>
  <w:footnote w:id="9">
    <w:p w14:paraId="3E11DB6F" w14:textId="77777777" w:rsidR="00D25CE6" w:rsidRPr="00E12D2D" w:rsidRDefault="00D25CE6" w:rsidP="00D25CE6">
      <w:pPr>
        <w:pBdr>
          <w:top w:val="nil"/>
          <w:left w:val="nil"/>
          <w:bottom w:val="nil"/>
          <w:right w:val="nil"/>
          <w:between w:val="nil"/>
        </w:pBdr>
        <w:spacing w:afterLines="60" w:after="144"/>
        <w:rPr>
          <w:rFonts w:ascii="Century Schoolbook" w:eastAsia="Century Schoolbook" w:hAnsi="Century Schoolbook" w:cs="Century Schoolbook"/>
          <w:color w:val="000000"/>
          <w:sz w:val="20"/>
          <w:szCs w:val="20"/>
        </w:rPr>
      </w:pPr>
      <w:r w:rsidRPr="00E12D2D">
        <w:rPr>
          <w:rFonts w:ascii="Century Schoolbook" w:hAnsi="Century Schoolbook"/>
          <w:sz w:val="20"/>
          <w:szCs w:val="20"/>
          <w:vertAlign w:val="superscript"/>
        </w:rPr>
        <w:footnoteRef/>
      </w:r>
      <w:r w:rsidRPr="00E12D2D">
        <w:rPr>
          <w:rFonts w:ascii="Century Schoolbook" w:eastAsia="Century Schoolbook" w:hAnsi="Century Schoolbook" w:cs="Century Schoolbook"/>
          <w:color w:val="000000"/>
          <w:sz w:val="20"/>
          <w:szCs w:val="20"/>
        </w:rPr>
        <w:t xml:space="preserve"> The Times, “Kuwait Deports Over 595,000 People in 33 Years; 25,000 More Sent Out Since Start of 2024,” 20 October 2024, </w:t>
      </w:r>
      <w:hyperlink r:id="rId9">
        <w:r w:rsidRPr="00E12D2D">
          <w:rPr>
            <w:rFonts w:ascii="Century Schoolbook" w:eastAsia="Century Schoolbook" w:hAnsi="Century Schoolbook" w:cs="Century Schoolbook"/>
            <w:color w:val="467886"/>
            <w:sz w:val="20"/>
            <w:szCs w:val="20"/>
            <w:u w:val="single"/>
          </w:rPr>
          <w:t>https://timeskuwait.com/kuwait-deports-over-595000-people-in-33-years-25000-more-sent-out-since-start-of-2024/</w:t>
        </w:r>
      </w:hyperlink>
      <w:r w:rsidRPr="00E12D2D">
        <w:rPr>
          <w:rFonts w:ascii="Century Schoolbook" w:eastAsia="Century Schoolbook" w:hAnsi="Century Schoolbook" w:cs="Century Schoolbook"/>
          <w:color w:val="000000"/>
          <w:sz w:val="20"/>
          <w:szCs w:val="20"/>
        </w:rPr>
        <w:t xml:space="preserve"> </w:t>
      </w:r>
    </w:p>
  </w:footnote>
  <w:footnote w:id="10">
    <w:p w14:paraId="4E1C13EE" w14:textId="77777777" w:rsidR="00D25CE6" w:rsidRPr="00E12D2D" w:rsidRDefault="00D25CE6" w:rsidP="00D25CE6">
      <w:pPr>
        <w:pBdr>
          <w:top w:val="nil"/>
          <w:left w:val="nil"/>
          <w:bottom w:val="nil"/>
          <w:right w:val="nil"/>
          <w:between w:val="nil"/>
        </w:pBdr>
        <w:spacing w:afterLines="60" w:after="144"/>
        <w:rPr>
          <w:rFonts w:ascii="Century Schoolbook" w:eastAsia="Century Schoolbook" w:hAnsi="Century Schoolbook" w:cs="Century Schoolbook"/>
          <w:color w:val="000000"/>
          <w:sz w:val="20"/>
          <w:szCs w:val="20"/>
        </w:rPr>
      </w:pPr>
      <w:r w:rsidRPr="00E12D2D">
        <w:rPr>
          <w:rFonts w:ascii="Century Schoolbook" w:hAnsi="Century Schoolbook"/>
          <w:sz w:val="20"/>
          <w:szCs w:val="20"/>
          <w:vertAlign w:val="superscript"/>
        </w:rPr>
        <w:footnoteRef/>
      </w:r>
      <w:r w:rsidRPr="00E12D2D">
        <w:rPr>
          <w:rFonts w:ascii="Century Schoolbook" w:eastAsia="Century Schoolbook" w:hAnsi="Century Schoolbook" w:cs="Century Schoolbook"/>
          <w:color w:val="000000"/>
          <w:sz w:val="20"/>
          <w:szCs w:val="20"/>
        </w:rPr>
        <w:t xml:space="preserve"> The Times, “42,000 Violating Expatriates Deported in 2023, 6 January 2024, </w:t>
      </w:r>
      <w:hyperlink r:id="rId10">
        <w:r w:rsidRPr="00E12D2D">
          <w:rPr>
            <w:rFonts w:ascii="Century Schoolbook" w:eastAsia="Century Schoolbook" w:hAnsi="Century Schoolbook" w:cs="Century Schoolbook"/>
            <w:color w:val="467886"/>
            <w:sz w:val="20"/>
            <w:szCs w:val="20"/>
            <w:u w:val="single"/>
          </w:rPr>
          <w:t>https://timeskuwait.com/42000-violating-expatriates-deported-in-2023/</w:t>
        </w:r>
      </w:hyperlink>
      <w:r w:rsidRPr="00E12D2D">
        <w:rPr>
          <w:rFonts w:ascii="Century Schoolbook" w:eastAsia="Century Schoolbook" w:hAnsi="Century Schoolbook" w:cs="Century Schoolbook"/>
          <w:color w:val="000000"/>
          <w:sz w:val="20"/>
          <w:szCs w:val="20"/>
        </w:rPr>
        <w:t xml:space="preserve"> </w:t>
      </w:r>
    </w:p>
  </w:footnote>
  <w:footnote w:id="11">
    <w:p w14:paraId="26356CCD" w14:textId="77777777" w:rsidR="00D25CE6" w:rsidRPr="00E12D2D" w:rsidRDefault="00D25CE6" w:rsidP="00D25CE6">
      <w:pPr>
        <w:pBdr>
          <w:top w:val="nil"/>
          <w:left w:val="nil"/>
          <w:bottom w:val="nil"/>
          <w:right w:val="nil"/>
          <w:between w:val="nil"/>
        </w:pBdr>
        <w:spacing w:afterLines="60" w:after="144"/>
        <w:rPr>
          <w:rFonts w:ascii="Century Schoolbook" w:eastAsia="Century Schoolbook" w:hAnsi="Century Schoolbook" w:cs="Century Schoolbook"/>
          <w:color w:val="000000"/>
          <w:sz w:val="20"/>
          <w:szCs w:val="20"/>
        </w:rPr>
      </w:pPr>
      <w:r w:rsidRPr="00E12D2D">
        <w:rPr>
          <w:rFonts w:ascii="Century Schoolbook" w:hAnsi="Century Schoolbook"/>
          <w:sz w:val="20"/>
          <w:szCs w:val="20"/>
          <w:vertAlign w:val="superscript"/>
        </w:rPr>
        <w:footnoteRef/>
      </w:r>
      <w:r w:rsidRPr="00E12D2D">
        <w:rPr>
          <w:rFonts w:ascii="Century Schoolbook" w:eastAsia="Century Schoolbook" w:hAnsi="Century Schoolbook" w:cs="Century Schoolbook"/>
          <w:color w:val="000000"/>
          <w:sz w:val="20"/>
          <w:szCs w:val="20"/>
        </w:rPr>
        <w:t xml:space="preserve"> 1 Arabia, “Kuwait Ends Amnesty Program for Undocumented Migrants,” 3 June 2024, </w:t>
      </w:r>
      <w:hyperlink r:id="rId11">
        <w:r w:rsidRPr="00E12D2D">
          <w:rPr>
            <w:rFonts w:ascii="Century Schoolbook" w:eastAsia="Century Schoolbook" w:hAnsi="Century Schoolbook" w:cs="Century Schoolbook"/>
            <w:color w:val="467886"/>
            <w:sz w:val="20"/>
            <w:szCs w:val="20"/>
            <w:u w:val="single"/>
          </w:rPr>
          <w:t>https://www.1arabia.com/2024/06/kuwait-ends-amnesty-program-for.html</w:t>
        </w:r>
      </w:hyperlink>
      <w:r w:rsidRPr="00E12D2D">
        <w:rPr>
          <w:rFonts w:ascii="Century Schoolbook" w:eastAsia="Century Schoolbook" w:hAnsi="Century Schoolbook" w:cs="Century Schoolbook"/>
          <w:color w:val="000000"/>
          <w:sz w:val="20"/>
          <w:szCs w:val="20"/>
        </w:rPr>
        <w:t xml:space="preserve"> </w:t>
      </w:r>
    </w:p>
  </w:footnote>
  <w:footnote w:id="12">
    <w:p w14:paraId="6A9BB80E" w14:textId="77777777" w:rsidR="00D25CE6" w:rsidRPr="00E12D2D" w:rsidRDefault="00D25CE6" w:rsidP="00D25CE6">
      <w:pPr>
        <w:pBdr>
          <w:top w:val="nil"/>
          <w:left w:val="nil"/>
          <w:bottom w:val="nil"/>
          <w:right w:val="nil"/>
          <w:between w:val="nil"/>
        </w:pBdr>
        <w:spacing w:afterLines="60" w:after="144"/>
        <w:rPr>
          <w:rFonts w:ascii="Century Schoolbook" w:hAnsi="Century Schoolbook"/>
          <w:color w:val="000000"/>
          <w:sz w:val="20"/>
          <w:szCs w:val="20"/>
        </w:rPr>
      </w:pPr>
      <w:r w:rsidRPr="00E12D2D">
        <w:rPr>
          <w:rFonts w:ascii="Century Schoolbook" w:hAnsi="Century Schoolbook"/>
          <w:sz w:val="20"/>
          <w:szCs w:val="20"/>
          <w:vertAlign w:val="superscript"/>
        </w:rPr>
        <w:footnoteRef/>
      </w:r>
      <w:r w:rsidRPr="00E12D2D">
        <w:rPr>
          <w:rFonts w:ascii="Century Schoolbook" w:eastAsia="Times New Roman" w:hAnsi="Century Schoolbook" w:cs="Times New Roman"/>
          <w:color w:val="000000"/>
          <w:sz w:val="20"/>
          <w:szCs w:val="20"/>
        </w:rPr>
        <w:t xml:space="preserve"> MRRORS, “Kuwait Announces Amnesty for Irregular Migrants,” 27 March 2020, </w:t>
      </w:r>
      <w:hyperlink r:id="rId12" w:history="1">
        <w:r w:rsidRPr="00E12D2D">
          <w:rPr>
            <w:rStyle w:val="Hyperlink"/>
            <w:rFonts w:ascii="Century Schoolbook" w:hAnsi="Century Schoolbook"/>
            <w:color w:val="156082"/>
            <w:sz w:val="20"/>
            <w:szCs w:val="20"/>
          </w:rPr>
          <w:t>https://www.mrrors.org/2020/03/kuwait-announces-amnesty-for-irregular-migrants/</w:t>
        </w:r>
      </w:hyperlink>
      <w:r w:rsidRPr="00E12D2D">
        <w:rPr>
          <w:rFonts w:ascii="Century Schoolbook" w:hAnsi="Century Schoolbook"/>
          <w:color w:val="156082"/>
          <w:sz w:val="20"/>
          <w:szCs w:val="20"/>
        </w:rPr>
        <w:t xml:space="preserve"> </w:t>
      </w:r>
    </w:p>
  </w:footnote>
  <w:footnote w:id="13">
    <w:p w14:paraId="72F0EB24" w14:textId="77777777" w:rsidR="00D25CE6" w:rsidRPr="00E12D2D" w:rsidRDefault="00D25CE6" w:rsidP="00D25CE6">
      <w:pPr>
        <w:pBdr>
          <w:top w:val="nil"/>
          <w:left w:val="nil"/>
          <w:bottom w:val="nil"/>
          <w:right w:val="nil"/>
          <w:between w:val="nil"/>
        </w:pBdr>
        <w:spacing w:afterLines="60" w:after="144"/>
        <w:rPr>
          <w:rFonts w:ascii="Century Schoolbook" w:eastAsia="Century Schoolbook" w:hAnsi="Century Schoolbook" w:cs="Century Schoolbook"/>
          <w:color w:val="000000"/>
          <w:sz w:val="20"/>
          <w:szCs w:val="20"/>
        </w:rPr>
      </w:pPr>
      <w:r w:rsidRPr="00E12D2D">
        <w:rPr>
          <w:rFonts w:ascii="Century Schoolbook" w:hAnsi="Century Schoolbook"/>
          <w:sz w:val="20"/>
          <w:szCs w:val="20"/>
          <w:vertAlign w:val="superscript"/>
        </w:rPr>
        <w:footnoteRef/>
      </w:r>
      <w:r w:rsidRPr="00E12D2D">
        <w:rPr>
          <w:rFonts w:ascii="Century Schoolbook" w:eastAsia="Century Schoolbook" w:hAnsi="Century Schoolbook" w:cs="Century Schoolbook"/>
          <w:color w:val="000000"/>
          <w:sz w:val="20"/>
          <w:szCs w:val="20"/>
        </w:rPr>
        <w:t xml:space="preserve"> Kuwait Times, “394 Arrested in </w:t>
      </w:r>
      <w:proofErr w:type="spellStart"/>
      <w:r w:rsidRPr="00E12D2D">
        <w:rPr>
          <w:rFonts w:ascii="Century Schoolbook" w:eastAsia="Century Schoolbook" w:hAnsi="Century Schoolbook" w:cs="Century Schoolbook"/>
          <w:color w:val="000000"/>
          <w:sz w:val="20"/>
          <w:szCs w:val="20"/>
        </w:rPr>
        <w:t>Mahboula</w:t>
      </w:r>
      <w:proofErr w:type="spellEnd"/>
      <w:r w:rsidRPr="00E12D2D">
        <w:rPr>
          <w:rFonts w:ascii="Century Schoolbook" w:eastAsia="Century Schoolbook" w:hAnsi="Century Schoolbook" w:cs="Century Schoolbook"/>
          <w:color w:val="000000"/>
          <w:sz w:val="20"/>
          <w:szCs w:val="20"/>
        </w:rPr>
        <w:t xml:space="preserve">, </w:t>
      </w:r>
      <w:proofErr w:type="spellStart"/>
      <w:r w:rsidRPr="00E12D2D">
        <w:rPr>
          <w:rFonts w:ascii="Century Schoolbook" w:eastAsia="Century Schoolbook" w:hAnsi="Century Schoolbook" w:cs="Century Schoolbook"/>
          <w:color w:val="000000"/>
          <w:sz w:val="20"/>
          <w:szCs w:val="20"/>
        </w:rPr>
        <w:t>Jleeb</w:t>
      </w:r>
      <w:proofErr w:type="spellEnd"/>
      <w:r w:rsidRPr="00E12D2D">
        <w:rPr>
          <w:rFonts w:ascii="Century Schoolbook" w:eastAsia="Century Schoolbook" w:hAnsi="Century Schoolbook" w:cs="Century Schoolbook"/>
          <w:color w:val="000000"/>
          <w:sz w:val="20"/>
          <w:szCs w:val="20"/>
        </w:rPr>
        <w:t xml:space="preserve"> Amid MOI Crackdown,” 14 August 2022, </w:t>
      </w:r>
      <w:hyperlink r:id="rId13">
        <w:r w:rsidRPr="00E12D2D">
          <w:rPr>
            <w:rFonts w:ascii="Century Schoolbook" w:eastAsia="Century Schoolbook" w:hAnsi="Century Schoolbook" w:cs="Century Schoolbook"/>
            <w:color w:val="467886"/>
            <w:sz w:val="20"/>
            <w:szCs w:val="20"/>
            <w:u w:val="single"/>
          </w:rPr>
          <w:t>https://kuwaittimes.com/uploads/imported_images/pdf/2022/aug/14/kt.pdf</w:t>
        </w:r>
      </w:hyperlink>
      <w:r w:rsidRPr="00E12D2D">
        <w:rPr>
          <w:rFonts w:ascii="Century Schoolbook" w:eastAsia="Century Schoolbook" w:hAnsi="Century Schoolbook" w:cs="Century Schoolbook"/>
          <w:color w:val="000000"/>
          <w:sz w:val="20"/>
          <w:szCs w:val="20"/>
        </w:rPr>
        <w:t xml:space="preserve"> </w:t>
      </w:r>
    </w:p>
  </w:footnote>
  <w:footnote w:id="14">
    <w:p w14:paraId="1F79C029" w14:textId="77777777" w:rsidR="00D25CE6" w:rsidRPr="00E12D2D" w:rsidRDefault="00D25CE6" w:rsidP="00D25CE6">
      <w:pPr>
        <w:pBdr>
          <w:top w:val="nil"/>
          <w:left w:val="nil"/>
          <w:bottom w:val="nil"/>
          <w:right w:val="nil"/>
          <w:between w:val="nil"/>
        </w:pBdr>
        <w:spacing w:afterLines="60" w:after="144"/>
        <w:rPr>
          <w:rFonts w:ascii="Century Schoolbook" w:hAnsi="Century Schoolbook"/>
          <w:color w:val="000000"/>
          <w:sz w:val="20"/>
          <w:szCs w:val="20"/>
        </w:rPr>
      </w:pPr>
      <w:r w:rsidRPr="00E12D2D">
        <w:rPr>
          <w:rFonts w:ascii="Century Schoolbook" w:hAnsi="Century Schoolbook"/>
          <w:sz w:val="20"/>
          <w:szCs w:val="20"/>
          <w:vertAlign w:val="superscript"/>
        </w:rPr>
        <w:footnoteRef/>
      </w:r>
      <w:r w:rsidRPr="00E12D2D">
        <w:rPr>
          <w:rFonts w:ascii="Century Schoolbook" w:eastAsia="Times New Roman" w:hAnsi="Century Schoolbook" w:cs="Times New Roman"/>
          <w:color w:val="000000"/>
          <w:sz w:val="20"/>
          <w:szCs w:val="20"/>
        </w:rPr>
        <w:t xml:space="preserve"> MRRORS, “Op-Ed: Kuwait’s Backtracking on ‘Pay-For-Amnesty’ Policy Fails to Protect Rights of Migrants,” 20 February 2024, </w:t>
      </w:r>
      <w:hyperlink r:id="rId14">
        <w:r w:rsidRPr="00E12D2D">
          <w:rPr>
            <w:rFonts w:ascii="Century Schoolbook" w:eastAsia="Times New Roman" w:hAnsi="Century Schoolbook" w:cs="Times New Roman"/>
            <w:color w:val="467886"/>
            <w:sz w:val="20"/>
            <w:szCs w:val="20"/>
          </w:rPr>
          <w:t>https://www.mrrors.org/2024/02/op-ed-kuwaits-backtracking-on-pay-for-amnesty-policy-fails-to-protect-rights-of-migrants/</w:t>
        </w:r>
      </w:hyperlink>
      <w:r w:rsidRPr="00E12D2D">
        <w:rPr>
          <w:rFonts w:ascii="Century Schoolbook" w:eastAsia="Times New Roman" w:hAnsi="Century Schoolbook" w:cs="Times New Roman"/>
          <w:color w:val="000000"/>
          <w:sz w:val="20"/>
          <w:szCs w:val="20"/>
        </w:rPr>
        <w:t xml:space="preserve"> </w:t>
      </w:r>
    </w:p>
  </w:footnote>
  <w:footnote w:id="15">
    <w:p w14:paraId="1CCDB6F2" w14:textId="77777777" w:rsidR="00D25CE6" w:rsidRPr="00E12D2D" w:rsidRDefault="00D25CE6" w:rsidP="00D25CE6">
      <w:pPr>
        <w:pBdr>
          <w:top w:val="nil"/>
          <w:left w:val="nil"/>
          <w:bottom w:val="nil"/>
          <w:right w:val="nil"/>
          <w:between w:val="nil"/>
        </w:pBdr>
        <w:spacing w:afterLines="60" w:after="144"/>
        <w:rPr>
          <w:rFonts w:ascii="Century Schoolbook" w:eastAsia="Century Schoolbook" w:hAnsi="Century Schoolbook" w:cs="Century Schoolbook"/>
          <w:color w:val="000000"/>
          <w:sz w:val="20"/>
          <w:szCs w:val="20"/>
        </w:rPr>
      </w:pPr>
      <w:r w:rsidRPr="00E12D2D">
        <w:rPr>
          <w:rFonts w:ascii="Century Schoolbook" w:hAnsi="Century Schoolbook"/>
          <w:sz w:val="20"/>
          <w:szCs w:val="20"/>
          <w:vertAlign w:val="superscript"/>
        </w:rPr>
        <w:footnoteRef/>
      </w:r>
      <w:r w:rsidRPr="00E12D2D">
        <w:rPr>
          <w:rFonts w:ascii="Century Schoolbook" w:eastAsia="Century Schoolbook" w:hAnsi="Century Schoolbook" w:cs="Century Schoolbook"/>
          <w:color w:val="000000"/>
          <w:sz w:val="20"/>
          <w:szCs w:val="20"/>
        </w:rPr>
        <w:t xml:space="preserve"> MRRORS, “Forced Evictions: Kuwait’s Dehumanising Campaign Targets Male Migrants,” 19 September 2019, </w:t>
      </w:r>
      <w:hyperlink r:id="rId15">
        <w:r w:rsidRPr="00E12D2D">
          <w:rPr>
            <w:rFonts w:ascii="Century Schoolbook" w:eastAsia="Century Schoolbook" w:hAnsi="Century Schoolbook" w:cs="Century Schoolbook"/>
            <w:color w:val="467886"/>
            <w:sz w:val="20"/>
            <w:szCs w:val="20"/>
            <w:u w:val="single"/>
          </w:rPr>
          <w:t>https://www.mrrors.org/2019/09/forced-evictions-kuwaits-dehumanising-campaign-targets-male-migrants</w:t>
        </w:r>
      </w:hyperlink>
      <w:r w:rsidRPr="00E12D2D">
        <w:rPr>
          <w:rFonts w:ascii="Century Schoolbook" w:eastAsia="Century Schoolbook" w:hAnsi="Century Schoolbook" w:cs="Century Schoolbook"/>
          <w:color w:val="000000"/>
          <w:sz w:val="20"/>
          <w:szCs w:val="20"/>
        </w:rPr>
        <w:t xml:space="preserve"> </w:t>
      </w:r>
    </w:p>
  </w:footnote>
  <w:footnote w:id="16">
    <w:p w14:paraId="1AF0116C" w14:textId="77777777" w:rsidR="00D25CE6" w:rsidRPr="00E12D2D" w:rsidRDefault="00D25CE6" w:rsidP="00D25CE6">
      <w:pPr>
        <w:spacing w:afterLines="60" w:after="144"/>
        <w:rPr>
          <w:rFonts w:ascii="Century Schoolbook" w:hAnsi="Century Schoolbook"/>
          <w:sz w:val="20"/>
          <w:szCs w:val="20"/>
        </w:rPr>
      </w:pPr>
      <w:r w:rsidRPr="00E12D2D">
        <w:rPr>
          <w:rFonts w:ascii="Century Schoolbook" w:hAnsi="Century Schoolbook"/>
          <w:sz w:val="20"/>
          <w:szCs w:val="20"/>
          <w:vertAlign w:val="superscript"/>
        </w:rPr>
        <w:footnoteRef/>
      </w:r>
      <w:r w:rsidRPr="00E12D2D">
        <w:rPr>
          <w:rFonts w:ascii="Century Schoolbook" w:hAnsi="Century Schoolbook"/>
          <w:sz w:val="20"/>
          <w:szCs w:val="20"/>
        </w:rPr>
        <w:t xml:space="preserve"> MRRORS, “Kuwait’s Amnesty Provides a Risky </w:t>
      </w:r>
      <w:proofErr w:type="spellStart"/>
      <w:r w:rsidRPr="00E12D2D">
        <w:rPr>
          <w:rFonts w:ascii="Century Schoolbook" w:hAnsi="Century Schoolbook"/>
          <w:sz w:val="20"/>
          <w:szCs w:val="20"/>
        </w:rPr>
        <w:t>Repreive</w:t>
      </w:r>
      <w:proofErr w:type="spellEnd"/>
      <w:r w:rsidRPr="00E12D2D">
        <w:rPr>
          <w:rFonts w:ascii="Century Schoolbook" w:hAnsi="Century Schoolbook"/>
          <w:sz w:val="20"/>
          <w:szCs w:val="20"/>
        </w:rPr>
        <w:t xml:space="preserve"> for Some Migrant Workers,” 10 April 2020, </w:t>
      </w:r>
      <w:hyperlink r:id="rId16" w:history="1">
        <w:r w:rsidRPr="00E12D2D">
          <w:rPr>
            <w:rStyle w:val="Hyperlink"/>
            <w:rFonts w:ascii="Century Schoolbook" w:hAnsi="Century Schoolbook"/>
            <w:color w:val="156082"/>
            <w:sz w:val="20"/>
            <w:szCs w:val="20"/>
          </w:rPr>
          <w:t>https://www.mrrors.org/2020/04/kuwaits-amnesty-provides-a-risky-reprieve-for-some-migrant-workers/</w:t>
        </w:r>
      </w:hyperlink>
      <w:r w:rsidRPr="00E12D2D">
        <w:rPr>
          <w:rFonts w:ascii="Century Schoolbook" w:hAnsi="Century Schoolbook"/>
          <w:color w:val="156082"/>
          <w:sz w:val="20"/>
          <w:szCs w:val="20"/>
        </w:rPr>
        <w:t xml:space="preserve"> </w:t>
      </w:r>
    </w:p>
  </w:footnote>
  <w:footnote w:id="17">
    <w:p w14:paraId="06D915DC" w14:textId="77777777" w:rsidR="00D25CE6" w:rsidRPr="00E12D2D" w:rsidRDefault="00D25CE6" w:rsidP="00D25CE6">
      <w:pPr>
        <w:spacing w:afterLines="60" w:after="144"/>
        <w:rPr>
          <w:rFonts w:ascii="Century Schoolbook" w:hAnsi="Century Schoolbook"/>
          <w:sz w:val="20"/>
          <w:szCs w:val="20"/>
        </w:rPr>
      </w:pPr>
      <w:r w:rsidRPr="00E12D2D">
        <w:rPr>
          <w:rFonts w:ascii="Century Schoolbook" w:hAnsi="Century Schoolbook"/>
          <w:sz w:val="20"/>
          <w:szCs w:val="20"/>
          <w:vertAlign w:val="superscript"/>
        </w:rPr>
        <w:footnoteRef/>
      </w:r>
      <w:r w:rsidRPr="00E12D2D">
        <w:rPr>
          <w:rFonts w:ascii="Century Schoolbook" w:hAnsi="Century Schoolbook"/>
          <w:sz w:val="20"/>
          <w:szCs w:val="20"/>
        </w:rPr>
        <w:t xml:space="preserve"> See, for example, U.S State Department, “2021 Country Reports on Human Rights Practices: Kuwait,” 2022, </w:t>
      </w:r>
      <w:hyperlink r:id="rId17" w:history="1">
        <w:r w:rsidRPr="00E12D2D">
          <w:rPr>
            <w:rStyle w:val="Hyperlink"/>
            <w:rFonts w:ascii="Century Schoolbook" w:hAnsi="Century Schoolbook"/>
            <w:color w:val="156082"/>
            <w:sz w:val="20"/>
            <w:szCs w:val="20"/>
          </w:rPr>
          <w:t>https://2021-2025.state.gov/reports/2021-country-reports-on-human-rights-practices/kuwait/?safe=1</w:t>
        </w:r>
      </w:hyperlink>
      <w:r w:rsidRPr="00E12D2D">
        <w:rPr>
          <w:rFonts w:ascii="Century Schoolbook" w:hAnsi="Century Schoolbook"/>
          <w:color w:val="156082"/>
          <w:sz w:val="20"/>
          <w:szCs w:val="20"/>
        </w:rPr>
        <w:t xml:space="preserve"> </w:t>
      </w:r>
    </w:p>
  </w:footnote>
  <w:footnote w:id="18">
    <w:p w14:paraId="5128402F" w14:textId="77777777" w:rsidR="00D25CE6" w:rsidRPr="00E12D2D" w:rsidRDefault="00D25CE6" w:rsidP="00D25CE6">
      <w:pPr>
        <w:spacing w:afterLines="60" w:after="144"/>
        <w:rPr>
          <w:rFonts w:ascii="Century Schoolbook" w:hAnsi="Century Schoolbook"/>
          <w:sz w:val="20"/>
          <w:szCs w:val="20"/>
        </w:rPr>
      </w:pPr>
      <w:r w:rsidRPr="00E12D2D">
        <w:rPr>
          <w:rFonts w:ascii="Century Schoolbook" w:hAnsi="Century Schoolbook"/>
          <w:sz w:val="20"/>
          <w:szCs w:val="20"/>
          <w:vertAlign w:val="superscript"/>
        </w:rPr>
        <w:footnoteRef/>
      </w:r>
      <w:r w:rsidRPr="00E12D2D">
        <w:rPr>
          <w:rFonts w:ascii="Century Schoolbook" w:hAnsi="Century Schoolbook"/>
          <w:sz w:val="20"/>
          <w:szCs w:val="20"/>
        </w:rPr>
        <w:t xml:space="preserve"> MRRORS, “Gulf States Ramping Up Deportation Campaigns Despite Rising Covid-19 Cases,” 23 January 2022, </w:t>
      </w:r>
      <w:hyperlink r:id="rId18" w:history="1">
        <w:r w:rsidRPr="00E12D2D">
          <w:rPr>
            <w:rStyle w:val="Hyperlink"/>
            <w:rFonts w:ascii="Century Schoolbook" w:hAnsi="Century Schoolbook"/>
            <w:color w:val="156082"/>
            <w:sz w:val="20"/>
            <w:szCs w:val="20"/>
          </w:rPr>
          <w:t>https://www.mrrors.org/2022/01/gulf-states-ramping-up-deportation-campaigns-despite-rising-covid-19-cases/</w:t>
        </w:r>
      </w:hyperlink>
      <w:r w:rsidRPr="00E12D2D">
        <w:rPr>
          <w:rFonts w:ascii="Century Schoolbook" w:hAnsi="Century Schoolbook"/>
          <w:color w:val="156082"/>
          <w:sz w:val="20"/>
          <w:szCs w:val="20"/>
        </w:rPr>
        <w:t xml:space="preserve"> </w:t>
      </w:r>
    </w:p>
  </w:footnote>
  <w:footnote w:id="19">
    <w:p w14:paraId="10332BCF" w14:textId="77777777" w:rsidR="00D25CE6" w:rsidRPr="00E12D2D" w:rsidRDefault="00D25CE6" w:rsidP="00D25CE6">
      <w:pPr>
        <w:spacing w:afterLines="60" w:after="144"/>
        <w:rPr>
          <w:rFonts w:ascii="Century Schoolbook" w:hAnsi="Century Schoolbook"/>
          <w:sz w:val="20"/>
          <w:szCs w:val="20"/>
        </w:rPr>
      </w:pPr>
      <w:r w:rsidRPr="00E12D2D">
        <w:rPr>
          <w:rFonts w:ascii="Century Schoolbook" w:hAnsi="Century Schoolbook"/>
          <w:sz w:val="20"/>
          <w:szCs w:val="20"/>
          <w:vertAlign w:val="superscript"/>
        </w:rPr>
        <w:footnoteRef/>
      </w:r>
      <w:r w:rsidRPr="00E12D2D">
        <w:rPr>
          <w:rFonts w:ascii="Century Schoolbook" w:hAnsi="Century Schoolbook"/>
          <w:sz w:val="20"/>
          <w:szCs w:val="20"/>
        </w:rPr>
        <w:t xml:space="preserve"> The United Nations Office at Geneva, “In Dialogue with Kuwait, Experts of the Human Rights Committee Commend the State’s Support for Victims of Domestic Violence, Raise Issues Concerning Xenophobic Hate Speech and the Resumption of Executions,” 17 October 2023, </w:t>
      </w:r>
      <w:hyperlink r:id="rId19" w:history="1">
        <w:r w:rsidRPr="00E12D2D">
          <w:rPr>
            <w:rStyle w:val="Hyperlink"/>
            <w:rFonts w:ascii="Century Schoolbook" w:hAnsi="Century Schoolbook"/>
            <w:color w:val="156082"/>
            <w:sz w:val="20"/>
            <w:szCs w:val="20"/>
          </w:rPr>
          <w:t>https://www.ungeneva.org/en/news-media/meeting-summary/2023/10/examen-du-koweit-devant-le-comite-des-droits-de-lhomme-la</w:t>
        </w:r>
      </w:hyperlink>
      <w:r w:rsidRPr="00E12D2D">
        <w:rPr>
          <w:rFonts w:ascii="Century Schoolbook" w:hAnsi="Century Schoolbook"/>
          <w:color w:val="156082"/>
          <w:sz w:val="20"/>
          <w:szCs w:val="20"/>
        </w:rPr>
        <w:t xml:space="preserve"> </w:t>
      </w:r>
    </w:p>
  </w:footnote>
  <w:footnote w:id="20">
    <w:p w14:paraId="16246AC9" w14:textId="77777777" w:rsidR="00D25CE6" w:rsidRPr="00E12D2D" w:rsidRDefault="00D25CE6" w:rsidP="00D25CE6">
      <w:pPr>
        <w:spacing w:afterLines="60" w:after="144"/>
        <w:rPr>
          <w:rFonts w:ascii="Century Schoolbook" w:hAnsi="Century Schoolbook"/>
          <w:sz w:val="20"/>
          <w:szCs w:val="20"/>
        </w:rPr>
      </w:pPr>
      <w:r w:rsidRPr="00E12D2D">
        <w:rPr>
          <w:rFonts w:ascii="Century Schoolbook" w:hAnsi="Century Schoolbook"/>
          <w:sz w:val="20"/>
          <w:szCs w:val="20"/>
          <w:vertAlign w:val="superscript"/>
        </w:rPr>
        <w:footnoteRef/>
      </w:r>
      <w:r w:rsidRPr="00E12D2D">
        <w:rPr>
          <w:rFonts w:ascii="Century Schoolbook" w:hAnsi="Century Schoolbook"/>
          <w:sz w:val="20"/>
          <w:szCs w:val="20"/>
        </w:rPr>
        <w:t xml:space="preserve"> MRRORS, “The COVID-19 Crisis is </w:t>
      </w:r>
      <w:proofErr w:type="spellStart"/>
      <w:r w:rsidRPr="00E12D2D">
        <w:rPr>
          <w:rFonts w:ascii="Century Schoolbook" w:hAnsi="Century Schoolbook"/>
          <w:sz w:val="20"/>
          <w:szCs w:val="20"/>
        </w:rPr>
        <w:t>Fueling</w:t>
      </w:r>
      <w:proofErr w:type="spellEnd"/>
      <w:r w:rsidRPr="00E12D2D">
        <w:rPr>
          <w:rFonts w:ascii="Century Schoolbook" w:hAnsi="Century Schoolbook"/>
          <w:sz w:val="20"/>
          <w:szCs w:val="20"/>
        </w:rPr>
        <w:t xml:space="preserve"> More Racist Discourse Towards Migrant Workers in the Gulf,” 5 April 2020, </w:t>
      </w:r>
      <w:hyperlink r:id="rId20" w:history="1">
        <w:r w:rsidRPr="00E12D2D">
          <w:rPr>
            <w:rStyle w:val="Hyperlink"/>
            <w:rFonts w:ascii="Century Schoolbook" w:hAnsi="Century Schoolbook"/>
            <w:color w:val="156082"/>
            <w:sz w:val="20"/>
            <w:szCs w:val="20"/>
          </w:rPr>
          <w:t>https://www.mrrors.org/2020/04/the-covid-19-crisis-is-fueling-more-racist-discourse-towards-migrant-workers-in-the-gulf/</w:t>
        </w:r>
      </w:hyperlink>
      <w:r w:rsidRPr="00E12D2D">
        <w:rPr>
          <w:rFonts w:ascii="Century Schoolbook" w:hAnsi="Century Schoolbook"/>
          <w:color w:val="156082"/>
          <w:sz w:val="20"/>
          <w:szCs w:val="20"/>
        </w:rPr>
        <w:t xml:space="preserve"> </w:t>
      </w:r>
    </w:p>
  </w:footnote>
  <w:footnote w:id="21">
    <w:p w14:paraId="0E21588B" w14:textId="77777777" w:rsidR="00D25CE6" w:rsidRPr="00E12D2D" w:rsidRDefault="00D25CE6" w:rsidP="00D25CE6">
      <w:pPr>
        <w:spacing w:afterLines="60" w:after="144"/>
        <w:rPr>
          <w:rFonts w:ascii="Century Schoolbook" w:eastAsia="Century Schoolbook" w:hAnsi="Century Schoolbook" w:cs="Century Schoolbook"/>
          <w:sz w:val="20"/>
          <w:szCs w:val="20"/>
        </w:rPr>
      </w:pPr>
      <w:r w:rsidRPr="00E12D2D">
        <w:rPr>
          <w:rFonts w:ascii="Century Schoolbook" w:hAnsi="Century Schoolbook"/>
          <w:sz w:val="20"/>
          <w:szCs w:val="20"/>
          <w:vertAlign w:val="superscript"/>
        </w:rPr>
        <w:footnoteRef/>
      </w:r>
      <w:r w:rsidRPr="00E12D2D">
        <w:rPr>
          <w:rFonts w:ascii="Century Schoolbook" w:eastAsia="Century Schoolbook" w:hAnsi="Century Schoolbook" w:cs="Century Schoolbook"/>
          <w:sz w:val="20"/>
          <w:szCs w:val="20"/>
        </w:rPr>
        <w:t xml:space="preserve"> MRRORS, “The COVID-19 Crisis is </w:t>
      </w:r>
      <w:proofErr w:type="spellStart"/>
      <w:r w:rsidRPr="00E12D2D">
        <w:rPr>
          <w:rFonts w:ascii="Century Schoolbook" w:eastAsia="Century Schoolbook" w:hAnsi="Century Schoolbook" w:cs="Century Schoolbook"/>
          <w:sz w:val="20"/>
          <w:szCs w:val="20"/>
        </w:rPr>
        <w:t>Fueling</w:t>
      </w:r>
      <w:proofErr w:type="spellEnd"/>
      <w:r w:rsidRPr="00E12D2D">
        <w:rPr>
          <w:rFonts w:ascii="Century Schoolbook" w:eastAsia="Century Schoolbook" w:hAnsi="Century Schoolbook" w:cs="Century Schoolbook"/>
          <w:sz w:val="20"/>
          <w:szCs w:val="20"/>
        </w:rPr>
        <w:t xml:space="preserve"> More Racist Discourse Towards Migrant Workers in the Gulf,” 5 April 2020, </w:t>
      </w:r>
      <w:hyperlink r:id="rId21">
        <w:r w:rsidRPr="00E12D2D">
          <w:rPr>
            <w:rFonts w:ascii="Century Schoolbook" w:eastAsia="Century Schoolbook" w:hAnsi="Century Schoolbook" w:cs="Century Schoolbook"/>
            <w:color w:val="467886"/>
            <w:sz w:val="20"/>
            <w:szCs w:val="20"/>
            <w:u w:val="single"/>
          </w:rPr>
          <w:t>https://www.mrrors.org/2020/04/the-covid-19-crisis-is-fueling-more-racist-discourse-towards-migrant-workers-in-the-gulf/</w:t>
        </w:r>
      </w:hyperlink>
      <w:r w:rsidRPr="00E12D2D">
        <w:rPr>
          <w:rFonts w:ascii="Century Schoolbook" w:eastAsia="Century Schoolbook" w:hAnsi="Century Schoolbook" w:cs="Century Schoolbook"/>
          <w:sz w:val="20"/>
          <w:szCs w:val="20"/>
        </w:rPr>
        <w:t xml:space="preserve"> </w:t>
      </w:r>
    </w:p>
  </w:footnote>
  <w:footnote w:id="22">
    <w:p w14:paraId="304E96D4" w14:textId="77777777" w:rsidR="00D25CE6" w:rsidRPr="00E12D2D" w:rsidRDefault="00D25CE6" w:rsidP="00D25CE6">
      <w:pPr>
        <w:spacing w:afterLines="60" w:after="144"/>
        <w:rPr>
          <w:rFonts w:ascii="Century Schoolbook" w:hAnsi="Century Schoolbook"/>
          <w:sz w:val="20"/>
          <w:szCs w:val="20"/>
        </w:rPr>
      </w:pPr>
      <w:r w:rsidRPr="00E12D2D">
        <w:rPr>
          <w:rFonts w:ascii="Century Schoolbook" w:hAnsi="Century Schoolbook"/>
          <w:sz w:val="20"/>
          <w:szCs w:val="20"/>
          <w:vertAlign w:val="superscript"/>
        </w:rPr>
        <w:footnoteRef/>
      </w:r>
      <w:r w:rsidRPr="00E12D2D">
        <w:rPr>
          <w:rFonts w:ascii="Century Schoolbook" w:hAnsi="Century Schoolbook"/>
          <w:sz w:val="20"/>
          <w:szCs w:val="20"/>
        </w:rPr>
        <w:t xml:space="preserve"> Kuwait Times, “65% of Kuwaitis Blame Expats for Spreading COVID,” 25 August 2020, </w:t>
      </w:r>
      <w:hyperlink r:id="rId22" w:history="1">
        <w:r w:rsidRPr="00E12D2D">
          <w:rPr>
            <w:rStyle w:val="Hyperlink"/>
            <w:rFonts w:ascii="Century Schoolbook" w:hAnsi="Century Schoolbook"/>
            <w:color w:val="156082"/>
            <w:sz w:val="20"/>
            <w:szCs w:val="20"/>
          </w:rPr>
          <w:t>https://kuwaittimes.com/65-of-kuwaitis-blame-expats-for-spreading-covid/</w:t>
        </w:r>
      </w:hyperlink>
      <w:r w:rsidRPr="00E12D2D">
        <w:rPr>
          <w:rFonts w:ascii="Century Schoolbook" w:hAnsi="Century Schoolbook"/>
          <w:color w:val="156082"/>
          <w:sz w:val="20"/>
          <w:szCs w:val="20"/>
        </w:rPr>
        <w:t xml:space="preserve"> </w:t>
      </w:r>
    </w:p>
  </w:footnote>
  <w:footnote w:id="23">
    <w:p w14:paraId="51FCFDAF" w14:textId="77777777" w:rsidR="00D25CE6" w:rsidRPr="00E12D2D" w:rsidRDefault="00D25CE6" w:rsidP="00D25CE6">
      <w:pPr>
        <w:spacing w:afterLines="60" w:after="144"/>
        <w:rPr>
          <w:rFonts w:ascii="Century Schoolbook" w:hAnsi="Century Schoolbook"/>
          <w:sz w:val="20"/>
          <w:szCs w:val="20"/>
        </w:rPr>
      </w:pPr>
      <w:r w:rsidRPr="00E12D2D">
        <w:rPr>
          <w:rFonts w:ascii="Century Schoolbook" w:hAnsi="Century Schoolbook"/>
          <w:sz w:val="20"/>
          <w:szCs w:val="20"/>
          <w:vertAlign w:val="superscript"/>
        </w:rPr>
        <w:footnoteRef/>
      </w:r>
      <w:r w:rsidRPr="00E12D2D">
        <w:rPr>
          <w:rFonts w:ascii="Century Schoolbook" w:hAnsi="Century Schoolbook"/>
          <w:sz w:val="20"/>
          <w:szCs w:val="20"/>
        </w:rPr>
        <w:t xml:space="preserve"> London School of Economics, “COVID-19 in Kuwait: How Poor Urban Planning and Divisive Polices Helped the Virus Spread,” 16 September 2020, </w:t>
      </w:r>
      <w:hyperlink r:id="rId23">
        <w:r w:rsidRPr="00E12D2D">
          <w:rPr>
            <w:rFonts w:ascii="Century Schoolbook" w:hAnsi="Century Schoolbook"/>
            <w:color w:val="156082"/>
            <w:sz w:val="20"/>
            <w:szCs w:val="20"/>
            <w:u w:val="single"/>
          </w:rPr>
          <w:t>https://blogs.lse.ac.uk/covid19/2020/09/16/covid-19-in-kuwait-how-poor-urban-planning-and-divisive-policies-helped-the-virus-spread</w:t>
        </w:r>
      </w:hyperlink>
      <w:r w:rsidRPr="00E12D2D">
        <w:rPr>
          <w:rFonts w:ascii="Century Schoolbook" w:hAnsi="Century Schoolbook"/>
          <w:color w:val="156082"/>
          <w:sz w:val="20"/>
          <w:szCs w:val="20"/>
        </w:rPr>
        <w:t xml:space="preserve"> /  </w:t>
      </w:r>
    </w:p>
  </w:footnote>
  <w:footnote w:id="24">
    <w:p w14:paraId="719D0507" w14:textId="77777777" w:rsidR="00D25CE6" w:rsidRPr="00E12D2D" w:rsidRDefault="00D25CE6" w:rsidP="00D25CE6">
      <w:pPr>
        <w:spacing w:afterLines="60" w:after="144"/>
        <w:rPr>
          <w:rFonts w:ascii="Century Schoolbook" w:hAnsi="Century Schoolbook"/>
          <w:sz w:val="20"/>
          <w:szCs w:val="20"/>
        </w:rPr>
      </w:pPr>
      <w:r w:rsidRPr="00E12D2D">
        <w:rPr>
          <w:rFonts w:ascii="Century Schoolbook" w:hAnsi="Century Schoolbook"/>
          <w:sz w:val="20"/>
          <w:szCs w:val="20"/>
          <w:vertAlign w:val="superscript"/>
        </w:rPr>
        <w:footnoteRef/>
      </w:r>
      <w:r w:rsidRPr="00E12D2D">
        <w:rPr>
          <w:rFonts w:ascii="Century Schoolbook" w:hAnsi="Century Schoolbook"/>
          <w:sz w:val="20"/>
          <w:szCs w:val="20"/>
        </w:rPr>
        <w:t xml:space="preserve"> Bloomberg UK, “Kuwait Puts Citizens Before Expats as Vaccine Push Stirs Anger,” 18 February 2021, </w:t>
      </w:r>
      <w:hyperlink r:id="rId24">
        <w:r w:rsidRPr="00E12D2D">
          <w:rPr>
            <w:rFonts w:ascii="Century Schoolbook" w:hAnsi="Century Schoolbook"/>
            <w:color w:val="156082"/>
            <w:sz w:val="20"/>
            <w:szCs w:val="20"/>
            <w:u w:val="single"/>
          </w:rPr>
          <w:t>https://www.bloomberg.com/news/articles/2021-02-18/kuwait-puts-citizens-before-expats-as-vaccine-push-stirs-anger</w:t>
        </w:r>
      </w:hyperlink>
      <w:r w:rsidRPr="00E12D2D">
        <w:rPr>
          <w:rFonts w:ascii="Century Schoolbook" w:hAnsi="Century Schoolbook"/>
          <w:color w:val="156082"/>
          <w:sz w:val="20"/>
          <w:szCs w:val="20"/>
        </w:rPr>
        <w:t xml:space="preserve">  </w:t>
      </w:r>
    </w:p>
  </w:footnote>
  <w:footnote w:id="25">
    <w:p w14:paraId="2FD6D14F" w14:textId="77777777" w:rsidR="00D25CE6" w:rsidRPr="00E12D2D" w:rsidRDefault="00D25CE6" w:rsidP="00D25CE6">
      <w:pPr>
        <w:spacing w:afterLines="60" w:after="144"/>
        <w:rPr>
          <w:rFonts w:ascii="Century Schoolbook" w:hAnsi="Century Schoolbook"/>
          <w:sz w:val="20"/>
          <w:szCs w:val="20"/>
        </w:rPr>
      </w:pPr>
      <w:r w:rsidRPr="00E12D2D">
        <w:rPr>
          <w:rFonts w:ascii="Century Schoolbook" w:hAnsi="Century Schoolbook"/>
          <w:sz w:val="20"/>
          <w:szCs w:val="20"/>
          <w:vertAlign w:val="superscript"/>
        </w:rPr>
        <w:footnoteRef/>
      </w:r>
      <w:r w:rsidRPr="00E12D2D">
        <w:rPr>
          <w:rFonts w:ascii="Century Schoolbook" w:hAnsi="Century Schoolbook"/>
          <w:sz w:val="20"/>
          <w:szCs w:val="20"/>
        </w:rPr>
        <w:t xml:space="preserve"> B. Alahmad B et al, “Disparities in Excess Deaths from the COVID-19 Pandemic Among Migrant Workers in Kuwait,” </w:t>
      </w:r>
      <w:r w:rsidRPr="00E12D2D">
        <w:rPr>
          <w:rFonts w:ascii="Century Schoolbook" w:hAnsi="Century Schoolbook"/>
          <w:i/>
          <w:iCs/>
          <w:sz w:val="20"/>
          <w:szCs w:val="20"/>
        </w:rPr>
        <w:t xml:space="preserve">BMC Public Health, </w:t>
      </w:r>
      <w:r w:rsidRPr="00E12D2D">
        <w:rPr>
          <w:rFonts w:ascii="Century Schoolbook" w:hAnsi="Century Schoolbook"/>
          <w:sz w:val="20"/>
          <w:szCs w:val="20"/>
        </w:rPr>
        <w:t xml:space="preserve">2021, </w:t>
      </w:r>
      <w:hyperlink r:id="rId25" w:history="1">
        <w:r w:rsidRPr="00E12D2D">
          <w:rPr>
            <w:rStyle w:val="Hyperlink"/>
            <w:rFonts w:ascii="Century Schoolbook" w:hAnsi="Century Schoolbook"/>
            <w:color w:val="156082"/>
            <w:sz w:val="20"/>
            <w:szCs w:val="20"/>
          </w:rPr>
          <w:t>https://pmc.ncbi.nlm.nih.gov/articles/PMC8438289/</w:t>
        </w:r>
      </w:hyperlink>
      <w:r w:rsidRPr="00E12D2D">
        <w:rPr>
          <w:rFonts w:ascii="Century Schoolbook" w:hAnsi="Century Schoolbook"/>
          <w:color w:val="156082"/>
          <w:sz w:val="20"/>
          <w:szCs w:val="20"/>
        </w:rPr>
        <w:t xml:space="preserve"> </w:t>
      </w:r>
    </w:p>
  </w:footnote>
  <w:footnote w:id="26">
    <w:p w14:paraId="5F288F9A" w14:textId="77777777" w:rsidR="00D25CE6" w:rsidRDefault="00D25CE6" w:rsidP="00D25CE6">
      <w:pPr>
        <w:spacing w:afterLines="60" w:after="144"/>
        <w:rPr>
          <w:sz w:val="20"/>
          <w:szCs w:val="20"/>
        </w:rPr>
      </w:pPr>
      <w:r w:rsidRPr="00E12D2D">
        <w:rPr>
          <w:rFonts w:ascii="Century Schoolbook" w:hAnsi="Century Schoolbook"/>
          <w:sz w:val="20"/>
          <w:szCs w:val="20"/>
          <w:vertAlign w:val="superscript"/>
        </w:rPr>
        <w:footnoteRef/>
      </w:r>
      <w:r w:rsidRPr="00E12D2D">
        <w:rPr>
          <w:rFonts w:ascii="Century Schoolbook" w:hAnsi="Century Schoolbook"/>
          <w:sz w:val="20"/>
          <w:szCs w:val="20"/>
        </w:rPr>
        <w:t xml:space="preserve"> MRRORS, “The Cost of Good Healthcare for Kuwait’s Migrant Workers,” 12 February 2023,  </w:t>
      </w:r>
      <w:hyperlink r:id="rId26">
        <w:r w:rsidRPr="00E12D2D">
          <w:rPr>
            <w:rFonts w:ascii="Century Schoolbook" w:hAnsi="Century Schoolbook"/>
            <w:color w:val="156082"/>
            <w:sz w:val="20"/>
            <w:szCs w:val="20"/>
            <w:u w:val="single"/>
          </w:rPr>
          <w:t>https://www.mrrors.org/2023/02/the-cost-of-good-health-for-kuwaits-migrant-workers/</w:t>
        </w:r>
      </w:hyperlink>
      <w:r w:rsidRPr="00E12D2D">
        <w:rPr>
          <w:color w:val="156082"/>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2166C"/>
    <w:multiLevelType w:val="multilevel"/>
    <w:tmpl w:val="E0FE1B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7E327BB"/>
    <w:multiLevelType w:val="multilevel"/>
    <w:tmpl w:val="CB2255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C201EFA"/>
    <w:multiLevelType w:val="multilevel"/>
    <w:tmpl w:val="0EF04D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CDD1260"/>
    <w:multiLevelType w:val="multilevel"/>
    <w:tmpl w:val="1C58E2EC"/>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15:restartNumberingAfterBreak="0">
    <w:nsid w:val="505F1459"/>
    <w:multiLevelType w:val="multilevel"/>
    <w:tmpl w:val="BB9E29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9EC6F65"/>
    <w:multiLevelType w:val="hybridMultilevel"/>
    <w:tmpl w:val="D5A0127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 w15:restartNumberingAfterBreak="0">
    <w:nsid w:val="63ED58E9"/>
    <w:multiLevelType w:val="multilevel"/>
    <w:tmpl w:val="66763D40"/>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7" w15:restartNumberingAfterBreak="0">
    <w:nsid w:val="6F596D9B"/>
    <w:multiLevelType w:val="multilevel"/>
    <w:tmpl w:val="60CA7F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841235228">
    <w:abstractNumId w:val="2"/>
  </w:num>
  <w:num w:numId="2" w16cid:durableId="663238755">
    <w:abstractNumId w:val="1"/>
  </w:num>
  <w:num w:numId="3" w16cid:durableId="2104257274">
    <w:abstractNumId w:val="4"/>
  </w:num>
  <w:num w:numId="4" w16cid:durableId="348486128">
    <w:abstractNumId w:val="3"/>
  </w:num>
  <w:num w:numId="5" w16cid:durableId="1680891854">
    <w:abstractNumId w:val="7"/>
  </w:num>
  <w:num w:numId="6" w16cid:durableId="1366176113">
    <w:abstractNumId w:val="6"/>
  </w:num>
  <w:num w:numId="7" w16cid:durableId="828718905">
    <w:abstractNumId w:val="0"/>
  </w:num>
  <w:num w:numId="8" w16cid:durableId="371249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30E"/>
    <w:rsid w:val="0008130E"/>
    <w:rsid w:val="001424E9"/>
    <w:rsid w:val="00260775"/>
    <w:rsid w:val="00297EC9"/>
    <w:rsid w:val="002A076D"/>
    <w:rsid w:val="00307EC7"/>
    <w:rsid w:val="00395F1C"/>
    <w:rsid w:val="005556DF"/>
    <w:rsid w:val="0073697F"/>
    <w:rsid w:val="00904642"/>
    <w:rsid w:val="009F64FD"/>
    <w:rsid w:val="00A22C42"/>
    <w:rsid w:val="00A64710"/>
    <w:rsid w:val="00A966DF"/>
    <w:rsid w:val="00B91098"/>
    <w:rsid w:val="00BC2E77"/>
    <w:rsid w:val="00CA6D5A"/>
    <w:rsid w:val="00D25CE6"/>
    <w:rsid w:val="00D5022B"/>
    <w:rsid w:val="00D92D2E"/>
    <w:rsid w:val="00EC3C5C"/>
    <w:rsid w:val="00ED4596"/>
    <w:rsid w:val="00F95C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5A29C"/>
  <w15:chartTrackingRefBased/>
  <w15:docId w15:val="{46D01625-A4E0-DB4A-9A78-98A37D382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130E"/>
  </w:style>
  <w:style w:type="paragraph" w:styleId="Heading1">
    <w:name w:val="heading 1"/>
    <w:basedOn w:val="Normal"/>
    <w:next w:val="Normal"/>
    <w:link w:val="Heading1Char"/>
    <w:uiPriority w:val="9"/>
    <w:qFormat/>
    <w:rsid w:val="000813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13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13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13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13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130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130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130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130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13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13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13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13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13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13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13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13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130E"/>
    <w:rPr>
      <w:rFonts w:eastAsiaTheme="majorEastAsia" w:cstheme="majorBidi"/>
      <w:color w:val="272727" w:themeColor="text1" w:themeTint="D8"/>
    </w:rPr>
  </w:style>
  <w:style w:type="paragraph" w:styleId="Title">
    <w:name w:val="Title"/>
    <w:basedOn w:val="Normal"/>
    <w:next w:val="Normal"/>
    <w:link w:val="TitleChar"/>
    <w:uiPriority w:val="10"/>
    <w:qFormat/>
    <w:rsid w:val="0008130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13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130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13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130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8130E"/>
    <w:rPr>
      <w:i/>
      <w:iCs/>
      <w:color w:val="404040" w:themeColor="text1" w:themeTint="BF"/>
    </w:rPr>
  </w:style>
  <w:style w:type="paragraph" w:styleId="ListParagraph">
    <w:name w:val="List Paragraph"/>
    <w:basedOn w:val="Normal"/>
    <w:uiPriority w:val="34"/>
    <w:qFormat/>
    <w:rsid w:val="0008130E"/>
    <w:pPr>
      <w:ind w:left="720"/>
      <w:contextualSpacing/>
    </w:pPr>
  </w:style>
  <w:style w:type="character" w:styleId="IntenseEmphasis">
    <w:name w:val="Intense Emphasis"/>
    <w:basedOn w:val="DefaultParagraphFont"/>
    <w:uiPriority w:val="21"/>
    <w:qFormat/>
    <w:rsid w:val="0008130E"/>
    <w:rPr>
      <w:i/>
      <w:iCs/>
      <w:color w:val="0F4761" w:themeColor="accent1" w:themeShade="BF"/>
    </w:rPr>
  </w:style>
  <w:style w:type="paragraph" w:styleId="IntenseQuote">
    <w:name w:val="Intense Quote"/>
    <w:basedOn w:val="Normal"/>
    <w:next w:val="Normal"/>
    <w:link w:val="IntenseQuoteChar"/>
    <w:uiPriority w:val="30"/>
    <w:qFormat/>
    <w:rsid w:val="000813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130E"/>
    <w:rPr>
      <w:i/>
      <w:iCs/>
      <w:color w:val="0F4761" w:themeColor="accent1" w:themeShade="BF"/>
    </w:rPr>
  </w:style>
  <w:style w:type="character" w:styleId="IntenseReference">
    <w:name w:val="Intense Reference"/>
    <w:basedOn w:val="DefaultParagraphFont"/>
    <w:uiPriority w:val="32"/>
    <w:qFormat/>
    <w:rsid w:val="0008130E"/>
    <w:rPr>
      <w:b/>
      <w:bCs/>
      <w:smallCaps/>
      <w:color w:val="0F4761" w:themeColor="accent1" w:themeShade="BF"/>
      <w:spacing w:val="5"/>
    </w:rPr>
  </w:style>
  <w:style w:type="paragraph" w:styleId="Footer">
    <w:name w:val="footer"/>
    <w:basedOn w:val="Normal"/>
    <w:link w:val="FooterChar"/>
    <w:uiPriority w:val="99"/>
    <w:unhideWhenUsed/>
    <w:rsid w:val="0008130E"/>
    <w:pPr>
      <w:tabs>
        <w:tab w:val="center" w:pos="4513"/>
        <w:tab w:val="right" w:pos="9026"/>
      </w:tabs>
    </w:pPr>
  </w:style>
  <w:style w:type="character" w:customStyle="1" w:styleId="FooterChar">
    <w:name w:val="Footer Char"/>
    <w:basedOn w:val="DefaultParagraphFont"/>
    <w:link w:val="Footer"/>
    <w:uiPriority w:val="99"/>
    <w:rsid w:val="0008130E"/>
  </w:style>
  <w:style w:type="character" w:styleId="PageNumber">
    <w:name w:val="page number"/>
    <w:basedOn w:val="DefaultParagraphFont"/>
    <w:uiPriority w:val="99"/>
    <w:semiHidden/>
    <w:unhideWhenUsed/>
    <w:rsid w:val="0008130E"/>
  </w:style>
  <w:style w:type="character" w:styleId="FootnoteReference">
    <w:name w:val="footnote reference"/>
    <w:basedOn w:val="DefaultParagraphFont"/>
    <w:uiPriority w:val="99"/>
    <w:semiHidden/>
    <w:unhideWhenUsed/>
    <w:rsid w:val="0008130E"/>
    <w:rPr>
      <w:vertAlign w:val="superscript"/>
    </w:rPr>
  </w:style>
  <w:style w:type="paragraph" w:styleId="Header">
    <w:name w:val="header"/>
    <w:basedOn w:val="Normal"/>
    <w:link w:val="HeaderChar"/>
    <w:uiPriority w:val="99"/>
    <w:unhideWhenUsed/>
    <w:rsid w:val="0008130E"/>
    <w:pPr>
      <w:tabs>
        <w:tab w:val="center" w:pos="4513"/>
        <w:tab w:val="right" w:pos="9026"/>
      </w:tabs>
    </w:pPr>
  </w:style>
  <w:style w:type="character" w:customStyle="1" w:styleId="HeaderChar">
    <w:name w:val="Header Char"/>
    <w:basedOn w:val="DefaultParagraphFont"/>
    <w:link w:val="Header"/>
    <w:uiPriority w:val="99"/>
    <w:rsid w:val="0008130E"/>
  </w:style>
  <w:style w:type="paragraph" w:styleId="FootnoteText">
    <w:name w:val="footnote text"/>
    <w:basedOn w:val="Normal"/>
    <w:link w:val="FootnoteTextChar"/>
    <w:uiPriority w:val="99"/>
    <w:semiHidden/>
    <w:unhideWhenUsed/>
    <w:rsid w:val="00307EC7"/>
    <w:rPr>
      <w:sz w:val="20"/>
      <w:szCs w:val="20"/>
    </w:rPr>
  </w:style>
  <w:style w:type="character" w:customStyle="1" w:styleId="FootnoteTextChar">
    <w:name w:val="Footnote Text Char"/>
    <w:basedOn w:val="DefaultParagraphFont"/>
    <w:link w:val="FootnoteText"/>
    <w:uiPriority w:val="99"/>
    <w:semiHidden/>
    <w:rsid w:val="00307EC7"/>
    <w:rPr>
      <w:sz w:val="20"/>
      <w:szCs w:val="20"/>
    </w:rPr>
  </w:style>
  <w:style w:type="character" w:styleId="Hyperlink">
    <w:name w:val="Hyperlink"/>
    <w:basedOn w:val="DefaultParagraphFont"/>
    <w:uiPriority w:val="99"/>
    <w:unhideWhenUsed/>
    <w:rsid w:val="00307EC7"/>
    <w:rPr>
      <w:color w:val="467886" w:themeColor="hyperlink"/>
      <w:u w:val="single"/>
    </w:rPr>
  </w:style>
  <w:style w:type="paragraph" w:styleId="NormalWeb">
    <w:name w:val="Normal (Web)"/>
    <w:basedOn w:val="Normal"/>
    <w:uiPriority w:val="99"/>
    <w:semiHidden/>
    <w:unhideWhenUsed/>
    <w:rsid w:val="00D25CE6"/>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astlaws.com/legislation-full-text/ar/kuwait/law-decree/01-12-2024/no-114?id=2151628&amp;type=1"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migrant-rights.org/" TargetMode="External"/><Relationship Id="rId17" Type="http://schemas.openxmlformats.org/officeDocument/2006/relationships/hyperlink" Target="https://lawskw.com/section/%D8%AA%D8%B9%D9%85%D9%8A%D9%85-%D9%88%D8%B2%D8%A7%D8%B1%D9%8A-%D8%B1%D9%82%D9%85----%D9%84%D8%B3%D9%86%D8%A9-2025-%D8%A8%D8%B4%D8%A3%D9%86-%D8%A7%D9%84%D8%B2%D8%A7%D9%85%D9%8A%D8%A9-%D8%A7%D9%84%D8%AD%D8%B5%D9%88%D9%84-%D8%B9%D9%84%D9%89-%D8%A5%D8%B0%D9%86-%D8%A7%D9%84%D9%85%D8%BA%D8%A7%D8%AF%D8%B1%D8%A9-%D9%84%D9%84%D8%B9%D9%85%D8%A7%D9%84%D8%A9-%D8%A7%D9%84%D9%88%D8%A7%D9%81%D8%AF%D8%A9-%D9%82%D8%A8%D9%84-%D9%85%D8%BA%D8%A7%D8%AF%D8%B1%D8%A9-%D8%A7%D9%84%D8%A8%D9%84%D8%A7%D8%AF" TargetMode="External"/><Relationship Id="rId2" Type="http://schemas.openxmlformats.org/officeDocument/2006/relationships/styles" Target="styles.xml"/><Relationship Id="rId16" Type="http://schemas.openxmlformats.org/officeDocument/2006/relationships/hyperlink" Target="https://lawyerq8.com/administrative-claim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law.almohami.com/%D9%82%D8%A7%D9%86%D9%88%D9%86-%D8%B1%D9%82%D9%85-68-%D9%84%D8%B3%D9%86%D8%A9-2015-%D9%81%D9%8A-%D8%B4%D8%A3%D9%86-%D8%A7%D9%84%D8%B9%D9%85%D8%A7%D9%84%D8%A9-%D8%A7%D9%84%D9%85%D9%86%D8%B2%D9%84%D9%8A%D8%A9/"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e.gov.kw/sites/kgoArabic/Forms/KuwaitLaborLaw.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timeskuwait.com/security-campaigns-in-2025-lead-to-arrest-and-deportation-of-thousands" TargetMode="External"/><Relationship Id="rId13" Type="http://schemas.openxmlformats.org/officeDocument/2006/relationships/hyperlink" Target="https://kuwaittimes.com/uploads/imported_images/pdf/2022/aug/14/kt.pdf" TargetMode="External"/><Relationship Id="rId18" Type="http://schemas.openxmlformats.org/officeDocument/2006/relationships/hyperlink" Target="https://www.mrrors.org/2022/01/gulf-states-ramping-up-deportation-campaigns-despite-rising-covid-19-cases/" TargetMode="External"/><Relationship Id="rId26" Type="http://schemas.openxmlformats.org/officeDocument/2006/relationships/hyperlink" Target="https://www.mrrors.org/2023/02/the-cost-of-good-health-for-kuwaits-migrant-workers/" TargetMode="External"/><Relationship Id="rId3" Type="http://schemas.openxmlformats.org/officeDocument/2006/relationships/hyperlink" Target="https://gulfnews.com/world/gulf/kuwait/kuwait-restricts-domestic-worker-recruitment-to-10-countries-1.500568209" TargetMode="External"/><Relationship Id="rId21" Type="http://schemas.openxmlformats.org/officeDocument/2006/relationships/hyperlink" Target="https://www.mrrors.org/2020/04/the-covid-19-crisis-is-fueling-more-racist-discourse-towards-migrant-workers-in-the-gulf/" TargetMode="External"/><Relationship Id="rId7" Type="http://schemas.openxmlformats.org/officeDocument/2006/relationships/hyperlink" Target="https://www.mrrors.org/2025/10/kuwait-reinstates-exit-permit-tightening-the-grip-of-kafala/" TargetMode="External"/><Relationship Id="rId12" Type="http://schemas.openxmlformats.org/officeDocument/2006/relationships/hyperlink" Target="https://www.mrrors.org/2020/03/kuwait-announces-amnesty-for-irregular-migrants/" TargetMode="External"/><Relationship Id="rId17" Type="http://schemas.openxmlformats.org/officeDocument/2006/relationships/hyperlink" Target="https://2021-2025.state.gov/reports/2021-country-reports-on-human-rights-practices/kuwait/?safe=1" TargetMode="External"/><Relationship Id="rId25" Type="http://schemas.openxmlformats.org/officeDocument/2006/relationships/hyperlink" Target="https://pmc.ncbi.nlm.nih.gov/articles/PMC8438289/" TargetMode="External"/><Relationship Id="rId2" Type="http://schemas.openxmlformats.org/officeDocument/2006/relationships/hyperlink" Target="https://www.middleeastmonitor.com/20221207-kuwait-sets-new-conditions-for-accepting-egyptian-workers/" TargetMode="External"/><Relationship Id="rId16" Type="http://schemas.openxmlformats.org/officeDocument/2006/relationships/hyperlink" Target="https://www.mrrors.org/2020/04/kuwaits-amnesty-provides-a-risky-reprieve-for-some-migrant-workers/" TargetMode="External"/><Relationship Id="rId20" Type="http://schemas.openxmlformats.org/officeDocument/2006/relationships/hyperlink" Target="https://www.mrrors.org/2020/04/the-covid-19-crisis-is-fueling-more-racist-discourse-towards-migrant-workers-in-the-gulf/" TargetMode="External"/><Relationship Id="rId1" Type="http://schemas.openxmlformats.org/officeDocument/2006/relationships/hyperlink" Target="https://www.csb.gov.kw/Pages/Statistics_en?ID=67&amp;ParentCatID=1" TargetMode="External"/><Relationship Id="rId6" Type="http://schemas.openxmlformats.org/officeDocument/2006/relationships/hyperlink" Target="https://www.adhrb.org/2025/11/despite-reforms-migrant-workers-in-kuwait-continue-to-endure-unfair-and-abusive-practices/" TargetMode="External"/><Relationship Id="rId11" Type="http://schemas.openxmlformats.org/officeDocument/2006/relationships/hyperlink" Target="https://www.1arabia.com/2024/06/kuwait-ends-amnesty-program-for.html" TargetMode="External"/><Relationship Id="rId24" Type="http://schemas.openxmlformats.org/officeDocument/2006/relationships/hyperlink" Target="https://www.bloomberg.com/news/articles/2021-02-18/kuwait-puts-citizens-before-expats-as-vaccine-push-stirs-anger" TargetMode="External"/><Relationship Id="rId5" Type="http://schemas.openxmlformats.org/officeDocument/2006/relationships/hyperlink" Target="https://www.arabtimesonline.com/news/kuwait-expels-127-bangladeshi-workers-following-wage-protest/" TargetMode="External"/><Relationship Id="rId15" Type="http://schemas.openxmlformats.org/officeDocument/2006/relationships/hyperlink" Target="https://www.mrrors.org/2019/09/forced-evictions-kuwaits-dehumanising-campaign-targets-male-migrants" TargetMode="External"/><Relationship Id="rId23" Type="http://schemas.openxmlformats.org/officeDocument/2006/relationships/hyperlink" Target="https://blogs.lse.ac.uk/covid19/2020/09/16/covid-19-in-kuwait-how-poor-urban-planning-and-divisive-policies-helped-the-virus-spread" TargetMode="External"/><Relationship Id="rId10" Type="http://schemas.openxmlformats.org/officeDocument/2006/relationships/hyperlink" Target="https://timeskuwait.com/42000-violating-expatriates-deported-in-2023/" TargetMode="External"/><Relationship Id="rId19" Type="http://schemas.openxmlformats.org/officeDocument/2006/relationships/hyperlink" Target="https://www.ungeneva.org/en/news-media/meeting-summary/2023/10/examen-du-koweit-devant-le-comite-des-droits-de-lhomme-la" TargetMode="External"/><Relationship Id="rId4" Type="http://schemas.openxmlformats.org/officeDocument/2006/relationships/hyperlink" Target="https://docs.un.org/en/CCPR/C/KWT/CO/4" TargetMode="External"/><Relationship Id="rId9" Type="http://schemas.openxmlformats.org/officeDocument/2006/relationships/hyperlink" Target="https://timeskuwait.com/kuwait-deports-over-595000-people-in-33-years-25000-more-sent-out-since-start-of-2024/" TargetMode="External"/><Relationship Id="rId14" Type="http://schemas.openxmlformats.org/officeDocument/2006/relationships/hyperlink" Target="https://www.mrrors.org/2024/02/op-ed-kuwaits-backtracking-on-pay-for-amnesty-policy-fails-to-protect-rights-of-migrants/" TargetMode="External"/><Relationship Id="rId22" Type="http://schemas.openxmlformats.org/officeDocument/2006/relationships/hyperlink" Target="https://kuwaittimes.com/65-of-kuwaitis-blame-expats-for-spreading-cov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2806</Words>
  <Characters>16724</Characters>
  <Application>Microsoft Office Word</Application>
  <DocSecurity>0</DocSecurity>
  <Lines>477</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Welsford</dc:creator>
  <cp:keywords/>
  <dc:description/>
  <cp:lastModifiedBy>Katie Welsford</cp:lastModifiedBy>
  <cp:revision>4</cp:revision>
  <cp:lastPrinted>2026-07-20T11:56:00Z</cp:lastPrinted>
  <dcterms:created xsi:type="dcterms:W3CDTF">2026-07-20T11:56:00Z</dcterms:created>
  <dcterms:modified xsi:type="dcterms:W3CDTF">2026-07-20T15:17:00Z</dcterms:modified>
</cp:coreProperties>
</file>