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B819E" w14:textId="1F532F57" w:rsidR="003828DC" w:rsidRDefault="008C66FC" w:rsidP="00430990">
      <w:r w:rsidRPr="006B721A">
        <w:rPr>
          <w:noProof/>
        </w:rPr>
        <w:drawing>
          <wp:anchor distT="0" distB="0" distL="114300" distR="114300" simplePos="0" relativeHeight="251655168" behindDoc="1" locked="0" layoutInCell="1" allowOverlap="1" wp14:anchorId="554BCCDC" wp14:editId="736512A6">
            <wp:simplePos x="0" y="0"/>
            <wp:positionH relativeFrom="page">
              <wp:posOffset>914400</wp:posOffset>
            </wp:positionH>
            <wp:positionV relativeFrom="topMargin">
              <wp:posOffset>1201479</wp:posOffset>
            </wp:positionV>
            <wp:extent cx="3421356" cy="466725"/>
            <wp:effectExtent l="0" t="0" r="0" b="0"/>
            <wp:wrapTight wrapText="bothSides">
              <wp:wrapPolygon edited="0">
                <wp:start x="1323" y="0"/>
                <wp:lineTo x="0" y="1763"/>
                <wp:lineTo x="0" y="11461"/>
                <wp:lineTo x="241" y="14106"/>
                <wp:lineTo x="962" y="20278"/>
                <wp:lineTo x="1203" y="20278"/>
                <wp:lineTo x="11548" y="20278"/>
                <wp:lineTo x="20570" y="19396"/>
                <wp:lineTo x="20449" y="6171"/>
                <wp:lineTo x="15638" y="2645"/>
                <wp:lineTo x="3248" y="0"/>
                <wp:lineTo x="1323"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bwMode="auto">
                    <a:xfrm>
                      <a:off x="0" y="0"/>
                      <a:ext cx="3421356" cy="466725"/>
                    </a:xfrm>
                    <a:prstGeom prst="rect">
                      <a:avLst/>
                    </a:prstGeom>
                  </pic:spPr>
                </pic:pic>
              </a:graphicData>
            </a:graphic>
            <wp14:sizeRelH relativeFrom="margin">
              <wp14:pctWidth>0</wp14:pctWidth>
            </wp14:sizeRelH>
            <wp14:sizeRelV relativeFrom="margin">
              <wp14:pctHeight>0</wp14:pctHeight>
            </wp14:sizeRelV>
          </wp:anchor>
        </w:drawing>
      </w:r>
    </w:p>
    <w:p w14:paraId="256F2FFD" w14:textId="30A9792E" w:rsidR="008C1A68" w:rsidRDefault="008C1A68" w:rsidP="00430990">
      <w:pPr>
        <w:rPr>
          <w:rStyle w:val="normaltextrun"/>
          <w:rFonts w:ascii="Calibri" w:hAnsi="Calibri" w:cs="Calibri"/>
          <w:b/>
          <w:bCs/>
          <w:sz w:val="40"/>
          <w:szCs w:val="40"/>
        </w:rPr>
      </w:pPr>
    </w:p>
    <w:p w14:paraId="2408CD6F" w14:textId="2A7CEDDA" w:rsidR="008C66FC" w:rsidRDefault="00430990" w:rsidP="00430990">
      <w:pPr>
        <w:rPr>
          <w:rFonts w:eastAsia="Times New Roman"/>
          <w:sz w:val="56"/>
          <w:szCs w:val="56"/>
        </w:rPr>
      </w:pPr>
      <w:r>
        <w:rPr>
          <w:noProof/>
        </w:rPr>
        <w:drawing>
          <wp:anchor distT="0" distB="0" distL="114300" distR="114300" simplePos="0" relativeHeight="251658240" behindDoc="1" locked="0" layoutInCell="1" allowOverlap="1" wp14:anchorId="6D1EAA1A" wp14:editId="3812C542">
            <wp:simplePos x="0" y="0"/>
            <wp:positionH relativeFrom="column">
              <wp:posOffset>515718</wp:posOffset>
            </wp:positionH>
            <wp:positionV relativeFrom="paragraph">
              <wp:posOffset>234364</wp:posOffset>
            </wp:positionV>
            <wp:extent cx="1637030" cy="1004570"/>
            <wp:effectExtent l="0" t="0" r="0" b="0"/>
            <wp:wrapTight wrapText="bothSides">
              <wp:wrapPolygon edited="0">
                <wp:start x="0" y="0"/>
                <wp:lineTo x="0" y="21300"/>
                <wp:lineTo x="21365" y="21300"/>
                <wp:lineTo x="21365" y="0"/>
                <wp:lineTo x="0" y="0"/>
              </wp:wrapPolygon>
            </wp:wrapTight>
            <wp:docPr id="6" name="Picture 6"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logo&#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1637030" cy="1004570"/>
                    </a:xfrm>
                    <a:prstGeom prst="rect">
                      <a:avLst/>
                    </a:prstGeom>
                  </pic:spPr>
                </pic:pic>
              </a:graphicData>
            </a:graphic>
            <wp14:sizeRelH relativeFrom="page">
              <wp14:pctWidth>0</wp14:pctWidth>
            </wp14:sizeRelH>
            <wp14:sizeRelV relativeFrom="page">
              <wp14:pctHeight>0</wp14:pctHeight>
            </wp14:sizeRelV>
          </wp:anchor>
        </w:drawing>
      </w:r>
      <w:r w:rsidRPr="00806D27">
        <w:rPr>
          <w:noProof/>
        </w:rPr>
        <w:drawing>
          <wp:anchor distT="0" distB="0" distL="114300" distR="114300" simplePos="0" relativeHeight="251657216" behindDoc="1" locked="0" layoutInCell="1" allowOverlap="1" wp14:anchorId="412AEB6C" wp14:editId="4F321C6D">
            <wp:simplePos x="0" y="0"/>
            <wp:positionH relativeFrom="column">
              <wp:posOffset>-2194560</wp:posOffset>
            </wp:positionH>
            <wp:positionV relativeFrom="paragraph">
              <wp:posOffset>480988</wp:posOffset>
            </wp:positionV>
            <wp:extent cx="1975483" cy="633517"/>
            <wp:effectExtent l="0" t="0" r="0" b="0"/>
            <wp:wrapTight wrapText="bothSides">
              <wp:wrapPolygon edited="0">
                <wp:start x="0" y="0"/>
                <wp:lineTo x="0" y="20798"/>
                <wp:lineTo x="21461" y="20798"/>
                <wp:lineTo x="21461" y="0"/>
                <wp:lineTo x="0" y="0"/>
              </wp:wrapPolygon>
            </wp:wrapTight>
            <wp:docPr id="5" name="Picture 5" descr="A picture containing logo&#10;&#10;Description automatically generated">
              <a:extLst xmlns:a="http://schemas.openxmlformats.org/drawingml/2006/main">
                <a:ext uri="{FF2B5EF4-FFF2-40B4-BE49-F238E27FC236}">
                  <a16:creationId xmlns:a16="http://schemas.microsoft.com/office/drawing/2014/main" id="{73E2BBA7-6E1A-44CA-9408-2699BB5AC5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logo&#10;&#10;Description automatically generated">
                      <a:extLst>
                        <a:ext uri="{FF2B5EF4-FFF2-40B4-BE49-F238E27FC236}">
                          <a16:creationId xmlns:a16="http://schemas.microsoft.com/office/drawing/2014/main" id="{73E2BBA7-6E1A-44CA-9408-2699BB5AC5BF}"/>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1975483" cy="633517"/>
                    </a:xfrm>
                    <a:prstGeom prst="rect">
                      <a:avLst/>
                    </a:prstGeom>
                  </pic:spPr>
                </pic:pic>
              </a:graphicData>
            </a:graphic>
            <wp14:sizeRelH relativeFrom="page">
              <wp14:pctWidth>0</wp14:pctWidth>
            </wp14:sizeRelH>
            <wp14:sizeRelV relativeFrom="page">
              <wp14:pctHeight>0</wp14:pctHeight>
            </wp14:sizeRelV>
          </wp:anchor>
        </w:drawing>
      </w:r>
    </w:p>
    <w:p w14:paraId="70BD0F91" w14:textId="04FA41C7" w:rsidR="009F3F92" w:rsidRDefault="009F3F92" w:rsidP="00430990"/>
    <w:p w14:paraId="64AA47FD" w14:textId="0DBEB751" w:rsidR="009F3F92" w:rsidRDefault="009F3F92" w:rsidP="00430990"/>
    <w:p w14:paraId="40837815" w14:textId="56678818" w:rsidR="009F3F92" w:rsidRPr="009F3F92" w:rsidRDefault="001C343A" w:rsidP="00430990">
      <w:r>
        <w:rPr>
          <w:noProof/>
        </w:rPr>
        <w:pict w14:anchorId="1E8FAB26">
          <v:shapetype id="_x0000_t202" coordsize="21600,21600" o:spt="202" path="m,l,21600r21600,l21600,xe">
            <v:stroke joinstyle="miter"/>
            <v:path gradientshapeok="t" o:connecttype="rect"/>
          </v:shapetype>
          <v:shape id="Text Box 2" o:spid="_x0000_s1026" type="#_x0000_t202" style="position:absolute;margin-left:24.45pt;margin-top:26.95pt;width:152.6pt;height:58pt;z-index:-251656192;visibility:visible;mso-wrap-distance-left:9pt;mso-wrap-distance-top:3.6pt;mso-wrap-distance-right:9pt;mso-wrap-distance-bottom:3.6pt;mso-position-horizontal-relative:text;mso-position-vertical-relative:text;mso-width-relative:margin;mso-height-relative:margin;v-text-anchor:top" wrapcoords="-121 -281 -121 21600 21721 21600 21721 -281 -121 -281" strokecolor="white [3212]">
            <v:textbox style="mso-next-textbox:#Text Box 2">
              <w:txbxContent>
                <w:p w14:paraId="6CE42F9D" w14:textId="4ED16C29" w:rsidR="00902AA5" w:rsidRPr="00097131" w:rsidRDefault="00902AA5" w:rsidP="00097131">
                  <w:pPr>
                    <w:contextualSpacing/>
                    <w:jc w:val="center"/>
                    <w:rPr>
                      <w:rFonts w:ascii="Times New Roman" w:hAnsi="Times New Roman" w:cs="Times New Roman"/>
                      <w:noProof/>
                      <w:color w:val="C09200"/>
                      <w:sz w:val="16"/>
                      <w:szCs w:val="16"/>
                      <w:lang w:eastAsia="en-NZ"/>
                    </w:rPr>
                  </w:pPr>
                  <w:r w:rsidRPr="00097131">
                    <w:rPr>
                      <w:rFonts w:ascii="Times New Roman" w:hAnsi="Times New Roman" w:cs="Times New Roman"/>
                      <w:noProof/>
                      <w:color w:val="C09200"/>
                      <w:sz w:val="16"/>
                      <w:szCs w:val="16"/>
                      <w:lang w:eastAsia="en-NZ"/>
                    </w:rPr>
                    <w:t>Tari o Te Kaiwhakawā Ihorei Whānui</w:t>
                  </w:r>
                </w:p>
                <w:p w14:paraId="7709034B" w14:textId="69CC9B60" w:rsidR="00902AA5" w:rsidRPr="00097131" w:rsidRDefault="00902AA5" w:rsidP="00097131">
                  <w:pPr>
                    <w:contextualSpacing/>
                    <w:jc w:val="center"/>
                    <w:rPr>
                      <w:rFonts w:ascii="Times New Roman" w:hAnsi="Times New Roman" w:cs="Times New Roman"/>
                      <w:noProof/>
                      <w:color w:val="C09200"/>
                      <w:sz w:val="16"/>
                      <w:szCs w:val="16"/>
                      <w:lang w:eastAsia="en-NZ"/>
                    </w:rPr>
                  </w:pPr>
                  <w:r w:rsidRPr="00097131">
                    <w:rPr>
                      <w:rFonts w:ascii="Times New Roman" w:hAnsi="Times New Roman" w:cs="Times New Roman"/>
                      <w:noProof/>
                      <w:color w:val="C09200"/>
                      <w:sz w:val="16"/>
                      <w:szCs w:val="16"/>
                      <w:lang w:eastAsia="en-NZ"/>
                    </w:rPr>
                    <w:t>O Te Ope Kātua O Aotearoa |</w:t>
                  </w:r>
                </w:p>
                <w:p w14:paraId="72FFCB49" w14:textId="532F3A5C" w:rsidR="00902AA5" w:rsidRPr="00097131" w:rsidRDefault="00902AA5" w:rsidP="00097131">
                  <w:pPr>
                    <w:contextualSpacing/>
                    <w:jc w:val="center"/>
                    <w:rPr>
                      <w:rFonts w:ascii="Times New Roman" w:hAnsi="Times New Roman" w:cs="Times New Roman"/>
                      <w:noProof/>
                      <w:color w:val="C09200"/>
                      <w:sz w:val="16"/>
                      <w:szCs w:val="16"/>
                      <w:lang w:eastAsia="en-NZ"/>
                    </w:rPr>
                  </w:pPr>
                  <w:r w:rsidRPr="00097131">
                    <w:rPr>
                      <w:rFonts w:ascii="Times New Roman" w:hAnsi="Times New Roman" w:cs="Times New Roman"/>
                      <w:noProof/>
                      <w:color w:val="C09200"/>
                      <w:sz w:val="16"/>
                      <w:szCs w:val="16"/>
                      <w:lang w:eastAsia="en-NZ"/>
                    </w:rPr>
                    <w:t>Office of the Judge Advocate General</w:t>
                  </w:r>
                </w:p>
                <w:p w14:paraId="658F7998" w14:textId="74621D02" w:rsidR="00902AA5" w:rsidRPr="00097131" w:rsidRDefault="00902AA5" w:rsidP="00097131">
                  <w:pPr>
                    <w:contextualSpacing/>
                    <w:jc w:val="center"/>
                    <w:rPr>
                      <w:rFonts w:ascii="Times New Roman" w:hAnsi="Times New Roman" w:cs="Times New Roman"/>
                      <w:noProof/>
                      <w:color w:val="C09200"/>
                      <w:sz w:val="16"/>
                      <w:szCs w:val="16"/>
                      <w:lang w:eastAsia="en-NZ"/>
                    </w:rPr>
                  </w:pPr>
                  <w:r w:rsidRPr="00097131">
                    <w:rPr>
                      <w:rFonts w:ascii="Times New Roman" w:hAnsi="Times New Roman" w:cs="Times New Roman"/>
                      <w:noProof/>
                      <w:color w:val="C09200"/>
                      <w:sz w:val="16"/>
                      <w:szCs w:val="16"/>
                      <w:lang w:eastAsia="en-NZ"/>
                    </w:rPr>
                    <w:t>of the Armed Forces</w:t>
                  </w:r>
                </w:p>
                <w:p w14:paraId="4C86B15E" w14:textId="673E205D" w:rsidR="00902AA5" w:rsidRDefault="00902AA5"/>
              </w:txbxContent>
            </v:textbox>
            <w10:wrap type="tight"/>
          </v:shape>
        </w:pict>
      </w:r>
      <w:r w:rsidR="00FE40F0">
        <w:rPr>
          <w:noProof/>
          <w:lang w:eastAsia="en-NZ"/>
        </w:rPr>
        <w:drawing>
          <wp:anchor distT="0" distB="0" distL="114300" distR="114300" simplePos="0" relativeHeight="251659264" behindDoc="1" locked="0" layoutInCell="1" allowOverlap="1" wp14:anchorId="1E1F8FBB" wp14:editId="7F1ACF05">
            <wp:simplePos x="0" y="0"/>
            <wp:positionH relativeFrom="column">
              <wp:posOffset>2540</wp:posOffset>
            </wp:positionH>
            <wp:positionV relativeFrom="paragraph">
              <wp:posOffset>412912</wp:posOffset>
            </wp:positionV>
            <wp:extent cx="414655" cy="429260"/>
            <wp:effectExtent l="0" t="0" r="0" b="0"/>
            <wp:wrapTight wrapText="bothSides">
              <wp:wrapPolygon edited="0">
                <wp:start x="7939" y="0"/>
                <wp:lineTo x="0" y="959"/>
                <wp:lineTo x="0" y="15337"/>
                <wp:lineTo x="992" y="21089"/>
                <wp:lineTo x="19847" y="21089"/>
                <wp:lineTo x="20839" y="15337"/>
                <wp:lineTo x="20839" y="959"/>
                <wp:lineTo x="19847" y="0"/>
                <wp:lineTo x="12900" y="0"/>
                <wp:lineTo x="7939" y="0"/>
              </wp:wrapPolygon>
            </wp:wrapTight>
            <wp:docPr id="3" name="Picture 3"/>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4655" cy="429260"/>
                    </a:xfrm>
                    <a:prstGeom prst="rect">
                      <a:avLst/>
                    </a:prstGeom>
                    <a:noFill/>
                    <a:ln>
                      <a:noFill/>
                    </a:ln>
                  </pic:spPr>
                </pic:pic>
              </a:graphicData>
            </a:graphic>
            <wp14:sizeRelH relativeFrom="page">
              <wp14:pctWidth>0</wp14:pctWidth>
            </wp14:sizeRelH>
            <wp14:sizeRelV relativeFrom="page">
              <wp14:pctHeight>0</wp14:pctHeight>
            </wp14:sizeRelV>
          </wp:anchor>
        </w:drawing>
      </w:r>
      <w:r w:rsidR="00FE40F0">
        <w:rPr>
          <w:noProof/>
          <w:lang w:eastAsia="en-NZ"/>
        </w:rPr>
        <w:drawing>
          <wp:anchor distT="0" distB="0" distL="114300" distR="114300" simplePos="0" relativeHeight="251656192" behindDoc="0" locked="0" layoutInCell="1" allowOverlap="1" wp14:anchorId="59732D6C" wp14:editId="6377398A">
            <wp:simplePos x="0" y="0"/>
            <wp:positionH relativeFrom="column">
              <wp:posOffset>2666852</wp:posOffset>
            </wp:positionH>
            <wp:positionV relativeFrom="paragraph">
              <wp:posOffset>349885</wp:posOffset>
            </wp:positionV>
            <wp:extent cx="1743075" cy="556895"/>
            <wp:effectExtent l="0" t="0" r="0" b="0"/>
            <wp:wrapNone/>
            <wp:docPr id="4" name="Picture 4" descr="Description: Description: Logo">
              <a:hlinkClick xmlns:a="http://schemas.openxmlformats.org/drawingml/2006/main" r:id="rId1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d0a474-28cd-48c4-909c-d7a934726402" descr="Description: Description: Logo">
                      <a:hlinkClick r:id="rId17" tgtFrame="_blank"/>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4307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CA5F1D" w14:textId="17EF67A3" w:rsidR="008C66FC" w:rsidRPr="004A2AE6" w:rsidRDefault="008C66FC" w:rsidP="00430990">
      <w:pPr>
        <w:rPr>
          <w:rFonts w:ascii="PublicoText-Semibold" w:eastAsiaTheme="minorEastAsia" w:hAnsi="PublicoText-Semibold" w:cs="PublicoText-Semibold"/>
          <w:noProof/>
          <w:color w:val="9C8000"/>
          <w:sz w:val="13"/>
          <w:szCs w:val="13"/>
          <w:lang w:eastAsia="en-NZ"/>
        </w:rPr>
      </w:pPr>
    </w:p>
    <w:p w14:paraId="4CCBFABA" w14:textId="34BDD49F" w:rsidR="008C66FC" w:rsidRDefault="008C66FC" w:rsidP="00430990">
      <w:pPr>
        <w:rPr>
          <w:rFonts w:eastAsia="Times New Roman"/>
          <w:sz w:val="56"/>
          <w:szCs w:val="56"/>
        </w:rPr>
      </w:pPr>
    </w:p>
    <w:p w14:paraId="4E268A54" w14:textId="77777777" w:rsidR="00234C8E" w:rsidRDefault="00234C8E" w:rsidP="00430990">
      <w:pPr>
        <w:rPr>
          <w:rStyle w:val="normaltextrun"/>
          <w:color w:val="44546A" w:themeColor="text2"/>
          <w:sz w:val="52"/>
          <w:szCs w:val="52"/>
        </w:rPr>
      </w:pPr>
    </w:p>
    <w:p w14:paraId="3EB4A313" w14:textId="61211B70" w:rsidR="00A95738" w:rsidRPr="00234C8E" w:rsidRDefault="00A95738" w:rsidP="00430990">
      <w:pPr>
        <w:rPr>
          <w:rStyle w:val="normaltextrun"/>
          <w:color w:val="44546A" w:themeColor="text2"/>
          <w:sz w:val="52"/>
          <w:szCs w:val="52"/>
        </w:rPr>
      </w:pPr>
      <w:r w:rsidRPr="00234C8E">
        <w:rPr>
          <w:rStyle w:val="normaltextrun"/>
          <w:color w:val="44546A" w:themeColor="text2"/>
          <w:sz w:val="52"/>
          <w:szCs w:val="52"/>
        </w:rPr>
        <w:t xml:space="preserve">Aotearoa New Zealand's 7th Periodic Review under the Convention against Torture and Other Cruel, Inhuman or Degrading Treatment or Punishment </w:t>
      </w:r>
    </w:p>
    <w:p w14:paraId="6FB21A52" w14:textId="77777777" w:rsidR="008C66FC" w:rsidRPr="00234C8E" w:rsidRDefault="008C66FC" w:rsidP="00430990">
      <w:pPr>
        <w:rPr>
          <w:rStyle w:val="normaltextrun"/>
          <w:rFonts w:ascii="Calibri" w:hAnsi="Calibri" w:cs="Calibri"/>
          <w:b/>
          <w:bCs/>
          <w:color w:val="44546A" w:themeColor="text2"/>
          <w:sz w:val="40"/>
          <w:szCs w:val="40"/>
        </w:rPr>
      </w:pPr>
    </w:p>
    <w:p w14:paraId="65694F08" w14:textId="7BA80C21" w:rsidR="00C976AD" w:rsidRPr="00234C8E" w:rsidRDefault="00C976AD" w:rsidP="00430990">
      <w:pPr>
        <w:rPr>
          <w:rStyle w:val="normaltextrun"/>
          <w:color w:val="44546A" w:themeColor="text2"/>
          <w:sz w:val="36"/>
          <w:szCs w:val="36"/>
        </w:rPr>
      </w:pPr>
      <w:r w:rsidRPr="00234C8E">
        <w:rPr>
          <w:rStyle w:val="normaltextrun"/>
          <w:color w:val="44546A" w:themeColor="text2"/>
          <w:sz w:val="36"/>
          <w:szCs w:val="36"/>
        </w:rPr>
        <w:t xml:space="preserve">Submission of the </w:t>
      </w:r>
      <w:r w:rsidR="00DB7D13" w:rsidRPr="00234C8E">
        <w:rPr>
          <w:rStyle w:val="normaltextrun"/>
          <w:color w:val="44546A" w:themeColor="text2"/>
          <w:sz w:val="36"/>
          <w:szCs w:val="36"/>
        </w:rPr>
        <w:t xml:space="preserve">Aotearoa New Zealand </w:t>
      </w:r>
      <w:r w:rsidR="00436455" w:rsidRPr="00234C8E">
        <w:rPr>
          <w:rStyle w:val="normaltextrun"/>
          <w:color w:val="44546A" w:themeColor="text2"/>
          <w:sz w:val="36"/>
          <w:szCs w:val="36"/>
        </w:rPr>
        <w:t xml:space="preserve">OPCAT </w:t>
      </w:r>
      <w:r w:rsidR="00DB7D13" w:rsidRPr="00234C8E">
        <w:rPr>
          <w:rStyle w:val="normaltextrun"/>
          <w:color w:val="44546A" w:themeColor="text2"/>
          <w:sz w:val="36"/>
          <w:szCs w:val="36"/>
        </w:rPr>
        <w:t>National Preventive Mechanisms</w:t>
      </w:r>
    </w:p>
    <w:p w14:paraId="481BC9A5" w14:textId="77777777" w:rsidR="008C66FC" w:rsidRPr="00234C8E" w:rsidRDefault="008C66FC" w:rsidP="00430990">
      <w:pPr>
        <w:rPr>
          <w:rStyle w:val="normaltextrun"/>
          <w:color w:val="44546A" w:themeColor="text2"/>
          <w:sz w:val="36"/>
          <w:szCs w:val="36"/>
        </w:rPr>
      </w:pPr>
    </w:p>
    <w:p w14:paraId="5948FA0E" w14:textId="09DB5D0C" w:rsidR="008C1A68" w:rsidRPr="00B77BD6" w:rsidRDefault="00C976AD" w:rsidP="00430990">
      <w:pPr>
        <w:rPr>
          <w:color w:val="44546A" w:themeColor="text2"/>
          <w:sz w:val="36"/>
          <w:szCs w:val="36"/>
        </w:rPr>
      </w:pPr>
      <w:r w:rsidRPr="00234C8E">
        <w:rPr>
          <w:rStyle w:val="normaltextrun"/>
          <w:color w:val="44546A" w:themeColor="text2"/>
          <w:sz w:val="36"/>
          <w:szCs w:val="36"/>
        </w:rPr>
        <w:t>12 June 2023</w:t>
      </w:r>
      <w:r w:rsidR="008C1A68">
        <w:br w:type="page"/>
      </w:r>
    </w:p>
    <w:p w14:paraId="1E04EB7C" w14:textId="77777777" w:rsidR="003828DC" w:rsidRDefault="003828DC"/>
    <w:sdt>
      <w:sdtPr>
        <w:rPr>
          <w:rFonts w:asciiTheme="minorHAnsi" w:eastAsiaTheme="minorHAnsi" w:hAnsiTheme="minorHAnsi" w:cstheme="minorBidi"/>
          <w:color w:val="auto"/>
          <w:sz w:val="22"/>
          <w:szCs w:val="22"/>
          <w:lang w:val="en-NZ"/>
        </w:rPr>
        <w:id w:val="-23869086"/>
        <w:docPartObj>
          <w:docPartGallery w:val="Table of Contents"/>
          <w:docPartUnique/>
        </w:docPartObj>
      </w:sdtPr>
      <w:sdtEndPr>
        <w:rPr>
          <w:b/>
          <w:bCs/>
          <w:noProof/>
        </w:rPr>
      </w:sdtEndPr>
      <w:sdtContent>
        <w:p w14:paraId="7B344868" w14:textId="43ADD829" w:rsidR="00D16F83" w:rsidRDefault="00D16F83">
          <w:pPr>
            <w:pStyle w:val="TOCHeading"/>
          </w:pPr>
          <w:r>
            <w:t>Contents</w:t>
          </w:r>
        </w:p>
        <w:p w14:paraId="4613B84C" w14:textId="760C6D15" w:rsidR="00DB437A" w:rsidRDefault="00D16F83">
          <w:pPr>
            <w:pStyle w:val="TOC1"/>
            <w:tabs>
              <w:tab w:val="left" w:pos="440"/>
              <w:tab w:val="right" w:leader="dot" w:pos="9016"/>
            </w:tabs>
            <w:rPr>
              <w:rFonts w:eastAsiaTheme="minorEastAsia"/>
              <w:noProof/>
              <w:lang w:eastAsia="en-NZ"/>
            </w:rPr>
          </w:pPr>
          <w:r>
            <w:fldChar w:fldCharType="begin"/>
          </w:r>
          <w:r>
            <w:instrText xml:space="preserve"> TOC \o "1-3" \h \z \u </w:instrText>
          </w:r>
          <w:r>
            <w:fldChar w:fldCharType="separate"/>
          </w:r>
          <w:hyperlink w:anchor="_Toc137480586" w:history="1">
            <w:r w:rsidR="00DB437A" w:rsidRPr="00DB2499">
              <w:rPr>
                <w:rStyle w:val="Hyperlink"/>
                <w:noProof/>
              </w:rPr>
              <w:t>I.</w:t>
            </w:r>
            <w:r w:rsidR="00DB437A">
              <w:rPr>
                <w:rFonts w:eastAsiaTheme="minorEastAsia"/>
                <w:noProof/>
                <w:lang w:eastAsia="en-NZ"/>
              </w:rPr>
              <w:tab/>
            </w:r>
            <w:r w:rsidR="00DB437A" w:rsidRPr="00DB2499">
              <w:rPr>
                <w:rStyle w:val="Hyperlink"/>
                <w:noProof/>
              </w:rPr>
              <w:t>Introduction</w:t>
            </w:r>
            <w:r w:rsidR="00DB437A">
              <w:rPr>
                <w:noProof/>
                <w:webHidden/>
              </w:rPr>
              <w:tab/>
            </w:r>
            <w:r w:rsidR="00DB437A">
              <w:rPr>
                <w:noProof/>
                <w:webHidden/>
              </w:rPr>
              <w:fldChar w:fldCharType="begin"/>
            </w:r>
            <w:r w:rsidR="00DB437A">
              <w:rPr>
                <w:noProof/>
                <w:webHidden/>
              </w:rPr>
              <w:instrText xml:space="preserve"> PAGEREF _Toc137480586 \h </w:instrText>
            </w:r>
            <w:r w:rsidR="00DB437A">
              <w:rPr>
                <w:noProof/>
                <w:webHidden/>
              </w:rPr>
            </w:r>
            <w:r w:rsidR="00DB437A">
              <w:rPr>
                <w:noProof/>
                <w:webHidden/>
              </w:rPr>
              <w:fldChar w:fldCharType="separate"/>
            </w:r>
            <w:r w:rsidR="00DB437A">
              <w:rPr>
                <w:noProof/>
                <w:webHidden/>
              </w:rPr>
              <w:t>3</w:t>
            </w:r>
            <w:r w:rsidR="00DB437A">
              <w:rPr>
                <w:noProof/>
                <w:webHidden/>
              </w:rPr>
              <w:fldChar w:fldCharType="end"/>
            </w:r>
          </w:hyperlink>
        </w:p>
        <w:p w14:paraId="7D920F87" w14:textId="7A07D6D3" w:rsidR="00DB437A" w:rsidRDefault="001C343A">
          <w:pPr>
            <w:pStyle w:val="TOC1"/>
            <w:tabs>
              <w:tab w:val="left" w:pos="440"/>
              <w:tab w:val="right" w:leader="dot" w:pos="9016"/>
            </w:tabs>
            <w:rPr>
              <w:rFonts w:eastAsiaTheme="minorEastAsia"/>
              <w:noProof/>
              <w:lang w:eastAsia="en-NZ"/>
            </w:rPr>
          </w:pPr>
          <w:hyperlink w:anchor="_Toc137480587" w:history="1">
            <w:r w:rsidR="00DB437A" w:rsidRPr="00DB2499">
              <w:rPr>
                <w:rStyle w:val="Hyperlink"/>
                <w:noProof/>
              </w:rPr>
              <w:t>II.</w:t>
            </w:r>
            <w:r w:rsidR="00DB437A">
              <w:rPr>
                <w:rFonts w:eastAsiaTheme="minorEastAsia"/>
                <w:noProof/>
                <w:lang w:eastAsia="en-NZ"/>
              </w:rPr>
              <w:tab/>
            </w:r>
            <w:r w:rsidR="00DB437A" w:rsidRPr="00DB2499">
              <w:rPr>
                <w:rStyle w:val="Hyperlink"/>
                <w:noProof/>
              </w:rPr>
              <w:t>Aotearoa New Zealand context</w:t>
            </w:r>
            <w:r w:rsidR="00DB437A">
              <w:rPr>
                <w:noProof/>
                <w:webHidden/>
              </w:rPr>
              <w:tab/>
            </w:r>
            <w:r w:rsidR="00DB437A">
              <w:rPr>
                <w:noProof/>
                <w:webHidden/>
              </w:rPr>
              <w:fldChar w:fldCharType="begin"/>
            </w:r>
            <w:r w:rsidR="00DB437A">
              <w:rPr>
                <w:noProof/>
                <w:webHidden/>
              </w:rPr>
              <w:instrText xml:space="preserve"> PAGEREF _Toc137480587 \h </w:instrText>
            </w:r>
            <w:r w:rsidR="00DB437A">
              <w:rPr>
                <w:noProof/>
                <w:webHidden/>
              </w:rPr>
            </w:r>
            <w:r w:rsidR="00DB437A">
              <w:rPr>
                <w:noProof/>
                <w:webHidden/>
              </w:rPr>
              <w:fldChar w:fldCharType="separate"/>
            </w:r>
            <w:r w:rsidR="00DB437A">
              <w:rPr>
                <w:noProof/>
                <w:webHidden/>
              </w:rPr>
              <w:t>4</w:t>
            </w:r>
            <w:r w:rsidR="00DB437A">
              <w:rPr>
                <w:noProof/>
                <w:webHidden/>
              </w:rPr>
              <w:fldChar w:fldCharType="end"/>
            </w:r>
          </w:hyperlink>
        </w:p>
        <w:p w14:paraId="676A98AA" w14:textId="0C4F46F4" w:rsidR="00DB437A" w:rsidRDefault="001C343A">
          <w:pPr>
            <w:pStyle w:val="TOC2"/>
            <w:tabs>
              <w:tab w:val="right" w:leader="dot" w:pos="9016"/>
            </w:tabs>
            <w:rPr>
              <w:rFonts w:eastAsiaTheme="minorEastAsia"/>
              <w:noProof/>
              <w:lang w:eastAsia="en-NZ"/>
            </w:rPr>
          </w:pPr>
          <w:hyperlink w:anchor="_Toc137480588" w:history="1">
            <w:r w:rsidR="00DB437A" w:rsidRPr="00DB2499">
              <w:rPr>
                <w:rStyle w:val="Hyperlink"/>
                <w:noProof/>
              </w:rPr>
              <w:t>Structure and functions of Aotearoa New Zealand NPMs</w:t>
            </w:r>
            <w:r w:rsidR="00DB437A">
              <w:rPr>
                <w:noProof/>
                <w:webHidden/>
              </w:rPr>
              <w:tab/>
            </w:r>
            <w:r w:rsidR="00DB437A">
              <w:rPr>
                <w:noProof/>
                <w:webHidden/>
              </w:rPr>
              <w:fldChar w:fldCharType="begin"/>
            </w:r>
            <w:r w:rsidR="00DB437A">
              <w:rPr>
                <w:noProof/>
                <w:webHidden/>
              </w:rPr>
              <w:instrText xml:space="preserve"> PAGEREF _Toc137480588 \h </w:instrText>
            </w:r>
            <w:r w:rsidR="00DB437A">
              <w:rPr>
                <w:noProof/>
                <w:webHidden/>
              </w:rPr>
            </w:r>
            <w:r w:rsidR="00DB437A">
              <w:rPr>
                <w:noProof/>
                <w:webHidden/>
              </w:rPr>
              <w:fldChar w:fldCharType="separate"/>
            </w:r>
            <w:r w:rsidR="00DB437A">
              <w:rPr>
                <w:noProof/>
                <w:webHidden/>
              </w:rPr>
              <w:t>4</w:t>
            </w:r>
            <w:r w:rsidR="00DB437A">
              <w:rPr>
                <w:noProof/>
                <w:webHidden/>
              </w:rPr>
              <w:fldChar w:fldCharType="end"/>
            </w:r>
          </w:hyperlink>
        </w:p>
        <w:p w14:paraId="7F6F9DE0" w14:textId="6379D069" w:rsidR="00DB437A" w:rsidRDefault="001C343A">
          <w:pPr>
            <w:pStyle w:val="TOC3"/>
            <w:tabs>
              <w:tab w:val="right" w:leader="dot" w:pos="9016"/>
            </w:tabs>
            <w:rPr>
              <w:rFonts w:eastAsiaTheme="minorEastAsia"/>
              <w:noProof/>
              <w:lang w:eastAsia="en-NZ"/>
            </w:rPr>
          </w:pPr>
          <w:hyperlink w:anchor="_Toc137480589" w:history="1">
            <w:r w:rsidR="00DB437A" w:rsidRPr="00DB2499">
              <w:rPr>
                <w:rStyle w:val="Hyperlink"/>
                <w:noProof/>
              </w:rPr>
              <w:t>Human Rights Commission</w:t>
            </w:r>
            <w:r w:rsidR="00DB437A">
              <w:rPr>
                <w:noProof/>
                <w:webHidden/>
              </w:rPr>
              <w:tab/>
            </w:r>
            <w:r w:rsidR="00DB437A">
              <w:rPr>
                <w:noProof/>
                <w:webHidden/>
              </w:rPr>
              <w:fldChar w:fldCharType="begin"/>
            </w:r>
            <w:r w:rsidR="00DB437A">
              <w:rPr>
                <w:noProof/>
                <w:webHidden/>
              </w:rPr>
              <w:instrText xml:space="preserve"> PAGEREF _Toc137480589 \h </w:instrText>
            </w:r>
            <w:r w:rsidR="00DB437A">
              <w:rPr>
                <w:noProof/>
                <w:webHidden/>
              </w:rPr>
            </w:r>
            <w:r w:rsidR="00DB437A">
              <w:rPr>
                <w:noProof/>
                <w:webHidden/>
              </w:rPr>
              <w:fldChar w:fldCharType="separate"/>
            </w:r>
            <w:r w:rsidR="00DB437A">
              <w:rPr>
                <w:noProof/>
                <w:webHidden/>
              </w:rPr>
              <w:t>4</w:t>
            </w:r>
            <w:r w:rsidR="00DB437A">
              <w:rPr>
                <w:noProof/>
                <w:webHidden/>
              </w:rPr>
              <w:fldChar w:fldCharType="end"/>
            </w:r>
          </w:hyperlink>
        </w:p>
        <w:p w14:paraId="78089EB2" w14:textId="39828A0C" w:rsidR="00DB437A" w:rsidRDefault="001C343A">
          <w:pPr>
            <w:pStyle w:val="TOC3"/>
            <w:tabs>
              <w:tab w:val="right" w:leader="dot" w:pos="9016"/>
            </w:tabs>
            <w:rPr>
              <w:rFonts w:eastAsiaTheme="minorEastAsia"/>
              <w:noProof/>
              <w:lang w:eastAsia="en-NZ"/>
            </w:rPr>
          </w:pPr>
          <w:hyperlink w:anchor="_Toc137480590" w:history="1">
            <w:r w:rsidR="00DB437A" w:rsidRPr="00DB2499">
              <w:rPr>
                <w:rStyle w:val="Hyperlink"/>
                <w:noProof/>
              </w:rPr>
              <w:t>Ombudsman New Zealand</w:t>
            </w:r>
            <w:r w:rsidR="00DB437A">
              <w:rPr>
                <w:noProof/>
                <w:webHidden/>
              </w:rPr>
              <w:tab/>
            </w:r>
            <w:r w:rsidR="00DB437A">
              <w:rPr>
                <w:noProof/>
                <w:webHidden/>
              </w:rPr>
              <w:fldChar w:fldCharType="begin"/>
            </w:r>
            <w:r w:rsidR="00DB437A">
              <w:rPr>
                <w:noProof/>
                <w:webHidden/>
              </w:rPr>
              <w:instrText xml:space="preserve"> PAGEREF _Toc137480590 \h </w:instrText>
            </w:r>
            <w:r w:rsidR="00DB437A">
              <w:rPr>
                <w:noProof/>
                <w:webHidden/>
              </w:rPr>
            </w:r>
            <w:r w:rsidR="00DB437A">
              <w:rPr>
                <w:noProof/>
                <w:webHidden/>
              </w:rPr>
              <w:fldChar w:fldCharType="separate"/>
            </w:r>
            <w:r w:rsidR="00DB437A">
              <w:rPr>
                <w:noProof/>
                <w:webHidden/>
              </w:rPr>
              <w:t>4</w:t>
            </w:r>
            <w:r w:rsidR="00DB437A">
              <w:rPr>
                <w:noProof/>
                <w:webHidden/>
              </w:rPr>
              <w:fldChar w:fldCharType="end"/>
            </w:r>
          </w:hyperlink>
        </w:p>
        <w:p w14:paraId="7DBD0A79" w14:textId="48FC13FC" w:rsidR="00DB437A" w:rsidRDefault="001C343A">
          <w:pPr>
            <w:pStyle w:val="TOC3"/>
            <w:tabs>
              <w:tab w:val="right" w:leader="dot" w:pos="9016"/>
            </w:tabs>
            <w:rPr>
              <w:rFonts w:eastAsiaTheme="minorEastAsia"/>
              <w:noProof/>
              <w:lang w:eastAsia="en-NZ"/>
            </w:rPr>
          </w:pPr>
          <w:hyperlink w:anchor="_Toc137480591" w:history="1">
            <w:r w:rsidR="00DB437A" w:rsidRPr="00DB2499">
              <w:rPr>
                <w:rStyle w:val="Hyperlink"/>
                <w:noProof/>
              </w:rPr>
              <w:t>Independent Police Conduct Authority</w:t>
            </w:r>
            <w:r w:rsidR="00DB437A">
              <w:rPr>
                <w:noProof/>
                <w:webHidden/>
              </w:rPr>
              <w:tab/>
            </w:r>
            <w:r w:rsidR="00DB437A">
              <w:rPr>
                <w:noProof/>
                <w:webHidden/>
              </w:rPr>
              <w:fldChar w:fldCharType="begin"/>
            </w:r>
            <w:r w:rsidR="00DB437A">
              <w:rPr>
                <w:noProof/>
                <w:webHidden/>
              </w:rPr>
              <w:instrText xml:space="preserve"> PAGEREF _Toc137480591 \h </w:instrText>
            </w:r>
            <w:r w:rsidR="00DB437A">
              <w:rPr>
                <w:noProof/>
                <w:webHidden/>
              </w:rPr>
            </w:r>
            <w:r w:rsidR="00DB437A">
              <w:rPr>
                <w:noProof/>
                <w:webHidden/>
              </w:rPr>
              <w:fldChar w:fldCharType="separate"/>
            </w:r>
            <w:r w:rsidR="00DB437A">
              <w:rPr>
                <w:noProof/>
                <w:webHidden/>
              </w:rPr>
              <w:t>5</w:t>
            </w:r>
            <w:r w:rsidR="00DB437A">
              <w:rPr>
                <w:noProof/>
                <w:webHidden/>
              </w:rPr>
              <w:fldChar w:fldCharType="end"/>
            </w:r>
          </w:hyperlink>
        </w:p>
        <w:p w14:paraId="5847AEE1" w14:textId="2FC465A3" w:rsidR="00DB437A" w:rsidRDefault="001C343A">
          <w:pPr>
            <w:pStyle w:val="TOC3"/>
            <w:tabs>
              <w:tab w:val="right" w:leader="dot" w:pos="9016"/>
            </w:tabs>
            <w:rPr>
              <w:rFonts w:eastAsiaTheme="minorEastAsia"/>
              <w:noProof/>
              <w:lang w:eastAsia="en-NZ"/>
            </w:rPr>
          </w:pPr>
          <w:hyperlink w:anchor="_Toc137480592" w:history="1">
            <w:r w:rsidR="00DB437A" w:rsidRPr="00DB2499">
              <w:rPr>
                <w:rStyle w:val="Hyperlink"/>
                <w:noProof/>
              </w:rPr>
              <w:t>Children’s Commissioner</w:t>
            </w:r>
            <w:r w:rsidR="00DB437A">
              <w:rPr>
                <w:noProof/>
                <w:webHidden/>
              </w:rPr>
              <w:tab/>
            </w:r>
            <w:r w:rsidR="00DB437A">
              <w:rPr>
                <w:noProof/>
                <w:webHidden/>
              </w:rPr>
              <w:fldChar w:fldCharType="begin"/>
            </w:r>
            <w:r w:rsidR="00DB437A">
              <w:rPr>
                <w:noProof/>
                <w:webHidden/>
              </w:rPr>
              <w:instrText xml:space="preserve"> PAGEREF _Toc137480592 \h </w:instrText>
            </w:r>
            <w:r w:rsidR="00DB437A">
              <w:rPr>
                <w:noProof/>
                <w:webHidden/>
              </w:rPr>
            </w:r>
            <w:r w:rsidR="00DB437A">
              <w:rPr>
                <w:noProof/>
                <w:webHidden/>
              </w:rPr>
              <w:fldChar w:fldCharType="separate"/>
            </w:r>
            <w:r w:rsidR="00DB437A">
              <w:rPr>
                <w:noProof/>
                <w:webHidden/>
              </w:rPr>
              <w:t>5</w:t>
            </w:r>
            <w:r w:rsidR="00DB437A">
              <w:rPr>
                <w:noProof/>
                <w:webHidden/>
              </w:rPr>
              <w:fldChar w:fldCharType="end"/>
            </w:r>
          </w:hyperlink>
        </w:p>
        <w:p w14:paraId="510CCF5E" w14:textId="32386B69" w:rsidR="00DB437A" w:rsidRDefault="001C343A">
          <w:pPr>
            <w:pStyle w:val="TOC3"/>
            <w:tabs>
              <w:tab w:val="right" w:leader="dot" w:pos="9016"/>
            </w:tabs>
            <w:rPr>
              <w:rFonts w:eastAsiaTheme="minorEastAsia"/>
              <w:noProof/>
              <w:lang w:eastAsia="en-NZ"/>
            </w:rPr>
          </w:pPr>
          <w:hyperlink w:anchor="_Toc137480593" w:history="1">
            <w:r w:rsidR="00DB437A" w:rsidRPr="00DB2499">
              <w:rPr>
                <w:rStyle w:val="Hyperlink"/>
                <w:noProof/>
              </w:rPr>
              <w:t>Inspector of Service Penal Establishments</w:t>
            </w:r>
            <w:r w:rsidR="00DB437A">
              <w:rPr>
                <w:noProof/>
                <w:webHidden/>
              </w:rPr>
              <w:tab/>
            </w:r>
            <w:r w:rsidR="00DB437A">
              <w:rPr>
                <w:noProof/>
                <w:webHidden/>
              </w:rPr>
              <w:fldChar w:fldCharType="begin"/>
            </w:r>
            <w:r w:rsidR="00DB437A">
              <w:rPr>
                <w:noProof/>
                <w:webHidden/>
              </w:rPr>
              <w:instrText xml:space="preserve"> PAGEREF _Toc137480593 \h </w:instrText>
            </w:r>
            <w:r w:rsidR="00DB437A">
              <w:rPr>
                <w:noProof/>
                <w:webHidden/>
              </w:rPr>
            </w:r>
            <w:r w:rsidR="00DB437A">
              <w:rPr>
                <w:noProof/>
                <w:webHidden/>
              </w:rPr>
              <w:fldChar w:fldCharType="separate"/>
            </w:r>
            <w:r w:rsidR="00DB437A">
              <w:rPr>
                <w:noProof/>
                <w:webHidden/>
              </w:rPr>
              <w:t>5</w:t>
            </w:r>
            <w:r w:rsidR="00DB437A">
              <w:rPr>
                <w:noProof/>
                <w:webHidden/>
              </w:rPr>
              <w:fldChar w:fldCharType="end"/>
            </w:r>
          </w:hyperlink>
        </w:p>
        <w:p w14:paraId="737C3CFC" w14:textId="5C6327B9" w:rsidR="00DB437A" w:rsidRDefault="001C343A">
          <w:pPr>
            <w:pStyle w:val="TOC2"/>
            <w:tabs>
              <w:tab w:val="right" w:leader="dot" w:pos="9016"/>
            </w:tabs>
            <w:rPr>
              <w:rFonts w:eastAsiaTheme="minorEastAsia"/>
              <w:noProof/>
              <w:lang w:eastAsia="en-NZ"/>
            </w:rPr>
          </w:pPr>
          <w:hyperlink w:anchor="_Toc137480594" w:history="1">
            <w:r w:rsidR="00DB437A" w:rsidRPr="00DB2499">
              <w:rPr>
                <w:rStyle w:val="Hyperlink"/>
                <w:noProof/>
              </w:rPr>
              <w:t>Te Tiriti o Waitangi</w:t>
            </w:r>
            <w:r w:rsidR="00DB437A">
              <w:rPr>
                <w:noProof/>
                <w:webHidden/>
              </w:rPr>
              <w:tab/>
            </w:r>
            <w:r w:rsidR="00DB437A">
              <w:rPr>
                <w:noProof/>
                <w:webHidden/>
              </w:rPr>
              <w:fldChar w:fldCharType="begin"/>
            </w:r>
            <w:r w:rsidR="00DB437A">
              <w:rPr>
                <w:noProof/>
                <w:webHidden/>
              </w:rPr>
              <w:instrText xml:space="preserve"> PAGEREF _Toc137480594 \h </w:instrText>
            </w:r>
            <w:r w:rsidR="00DB437A">
              <w:rPr>
                <w:noProof/>
                <w:webHidden/>
              </w:rPr>
            </w:r>
            <w:r w:rsidR="00DB437A">
              <w:rPr>
                <w:noProof/>
                <w:webHidden/>
              </w:rPr>
              <w:fldChar w:fldCharType="separate"/>
            </w:r>
            <w:r w:rsidR="00DB437A">
              <w:rPr>
                <w:noProof/>
                <w:webHidden/>
              </w:rPr>
              <w:t>6</w:t>
            </w:r>
            <w:r w:rsidR="00DB437A">
              <w:rPr>
                <w:noProof/>
                <w:webHidden/>
              </w:rPr>
              <w:fldChar w:fldCharType="end"/>
            </w:r>
          </w:hyperlink>
        </w:p>
        <w:p w14:paraId="003C88B6" w14:textId="18F093FF" w:rsidR="00DB437A" w:rsidRDefault="001C343A">
          <w:pPr>
            <w:pStyle w:val="TOC3"/>
            <w:tabs>
              <w:tab w:val="right" w:leader="dot" w:pos="9016"/>
            </w:tabs>
            <w:rPr>
              <w:rFonts w:eastAsiaTheme="minorEastAsia"/>
              <w:noProof/>
              <w:lang w:eastAsia="en-NZ"/>
            </w:rPr>
          </w:pPr>
          <w:hyperlink w:anchor="_Toc137480595" w:history="1">
            <w:r w:rsidR="00DB437A" w:rsidRPr="00DB2499">
              <w:rPr>
                <w:rStyle w:val="Hyperlink"/>
                <w:noProof/>
              </w:rPr>
              <w:t>Government obligations</w:t>
            </w:r>
            <w:r w:rsidR="00DB437A">
              <w:rPr>
                <w:noProof/>
                <w:webHidden/>
              </w:rPr>
              <w:tab/>
            </w:r>
            <w:r w:rsidR="00DB437A">
              <w:rPr>
                <w:noProof/>
                <w:webHidden/>
              </w:rPr>
              <w:fldChar w:fldCharType="begin"/>
            </w:r>
            <w:r w:rsidR="00DB437A">
              <w:rPr>
                <w:noProof/>
                <w:webHidden/>
              </w:rPr>
              <w:instrText xml:space="preserve"> PAGEREF _Toc137480595 \h </w:instrText>
            </w:r>
            <w:r w:rsidR="00DB437A">
              <w:rPr>
                <w:noProof/>
                <w:webHidden/>
              </w:rPr>
            </w:r>
            <w:r w:rsidR="00DB437A">
              <w:rPr>
                <w:noProof/>
                <w:webHidden/>
              </w:rPr>
              <w:fldChar w:fldCharType="separate"/>
            </w:r>
            <w:r w:rsidR="00DB437A">
              <w:rPr>
                <w:noProof/>
                <w:webHidden/>
              </w:rPr>
              <w:t>6</w:t>
            </w:r>
            <w:r w:rsidR="00DB437A">
              <w:rPr>
                <w:noProof/>
                <w:webHidden/>
              </w:rPr>
              <w:fldChar w:fldCharType="end"/>
            </w:r>
          </w:hyperlink>
        </w:p>
        <w:p w14:paraId="2D5556A8" w14:textId="14B415B6" w:rsidR="00DB437A" w:rsidRDefault="001C343A">
          <w:pPr>
            <w:pStyle w:val="TOC3"/>
            <w:tabs>
              <w:tab w:val="right" w:leader="dot" w:pos="9016"/>
            </w:tabs>
            <w:rPr>
              <w:rFonts w:eastAsiaTheme="minorEastAsia"/>
              <w:noProof/>
              <w:lang w:eastAsia="en-NZ"/>
            </w:rPr>
          </w:pPr>
          <w:hyperlink w:anchor="_Toc137480596" w:history="1">
            <w:r w:rsidR="00DB437A" w:rsidRPr="00DB2499">
              <w:rPr>
                <w:rStyle w:val="Hyperlink"/>
                <w:noProof/>
              </w:rPr>
              <w:t>NPM monitoring context</w:t>
            </w:r>
            <w:r w:rsidR="00DB437A">
              <w:rPr>
                <w:noProof/>
                <w:webHidden/>
              </w:rPr>
              <w:tab/>
            </w:r>
            <w:r w:rsidR="00DB437A">
              <w:rPr>
                <w:noProof/>
                <w:webHidden/>
              </w:rPr>
              <w:fldChar w:fldCharType="begin"/>
            </w:r>
            <w:r w:rsidR="00DB437A">
              <w:rPr>
                <w:noProof/>
                <w:webHidden/>
              </w:rPr>
              <w:instrText xml:space="preserve"> PAGEREF _Toc137480596 \h </w:instrText>
            </w:r>
            <w:r w:rsidR="00DB437A">
              <w:rPr>
                <w:noProof/>
                <w:webHidden/>
              </w:rPr>
            </w:r>
            <w:r w:rsidR="00DB437A">
              <w:rPr>
                <w:noProof/>
                <w:webHidden/>
              </w:rPr>
              <w:fldChar w:fldCharType="separate"/>
            </w:r>
            <w:r w:rsidR="00DB437A">
              <w:rPr>
                <w:noProof/>
                <w:webHidden/>
              </w:rPr>
              <w:t>7</w:t>
            </w:r>
            <w:r w:rsidR="00DB437A">
              <w:rPr>
                <w:noProof/>
                <w:webHidden/>
              </w:rPr>
              <w:fldChar w:fldCharType="end"/>
            </w:r>
          </w:hyperlink>
        </w:p>
        <w:p w14:paraId="3DEA28C6" w14:textId="511B6D36" w:rsidR="00DB437A" w:rsidRDefault="001C343A">
          <w:pPr>
            <w:pStyle w:val="TOC3"/>
            <w:tabs>
              <w:tab w:val="right" w:leader="dot" w:pos="9016"/>
            </w:tabs>
            <w:rPr>
              <w:rFonts w:eastAsiaTheme="minorEastAsia"/>
              <w:noProof/>
              <w:lang w:eastAsia="en-NZ"/>
            </w:rPr>
          </w:pPr>
          <w:hyperlink w:anchor="_Toc137480597" w:history="1">
            <w:r w:rsidR="00DB437A" w:rsidRPr="00DB2499">
              <w:rPr>
                <w:rStyle w:val="Hyperlink"/>
                <w:noProof/>
              </w:rPr>
              <w:t>Te Tiriti issues across the monitoring estate</w:t>
            </w:r>
            <w:r w:rsidR="00DB437A">
              <w:rPr>
                <w:noProof/>
                <w:webHidden/>
              </w:rPr>
              <w:tab/>
            </w:r>
            <w:r w:rsidR="00DB437A">
              <w:rPr>
                <w:noProof/>
                <w:webHidden/>
              </w:rPr>
              <w:fldChar w:fldCharType="begin"/>
            </w:r>
            <w:r w:rsidR="00DB437A">
              <w:rPr>
                <w:noProof/>
                <w:webHidden/>
              </w:rPr>
              <w:instrText xml:space="preserve"> PAGEREF _Toc137480597 \h </w:instrText>
            </w:r>
            <w:r w:rsidR="00DB437A">
              <w:rPr>
                <w:noProof/>
                <w:webHidden/>
              </w:rPr>
            </w:r>
            <w:r w:rsidR="00DB437A">
              <w:rPr>
                <w:noProof/>
                <w:webHidden/>
              </w:rPr>
              <w:fldChar w:fldCharType="separate"/>
            </w:r>
            <w:r w:rsidR="00DB437A">
              <w:rPr>
                <w:noProof/>
                <w:webHidden/>
              </w:rPr>
              <w:t>8</w:t>
            </w:r>
            <w:r w:rsidR="00DB437A">
              <w:rPr>
                <w:noProof/>
                <w:webHidden/>
              </w:rPr>
              <w:fldChar w:fldCharType="end"/>
            </w:r>
          </w:hyperlink>
        </w:p>
        <w:p w14:paraId="5B2B0F91" w14:textId="3E433385" w:rsidR="00DB437A" w:rsidRDefault="001C343A">
          <w:pPr>
            <w:pStyle w:val="TOC1"/>
            <w:tabs>
              <w:tab w:val="left" w:pos="660"/>
              <w:tab w:val="right" w:leader="dot" w:pos="9016"/>
            </w:tabs>
            <w:rPr>
              <w:rFonts w:eastAsiaTheme="minorEastAsia"/>
              <w:noProof/>
              <w:lang w:eastAsia="en-NZ"/>
            </w:rPr>
          </w:pPr>
          <w:hyperlink w:anchor="_Toc137480598" w:history="1">
            <w:r w:rsidR="00DB437A" w:rsidRPr="00DB2499">
              <w:rPr>
                <w:rStyle w:val="Hyperlink"/>
                <w:noProof/>
              </w:rPr>
              <w:t>III.</w:t>
            </w:r>
            <w:r w:rsidR="00DB437A">
              <w:rPr>
                <w:rFonts w:eastAsiaTheme="minorEastAsia"/>
                <w:noProof/>
                <w:lang w:eastAsia="en-NZ"/>
              </w:rPr>
              <w:tab/>
            </w:r>
            <w:r w:rsidR="00DB437A" w:rsidRPr="00DB2499">
              <w:rPr>
                <w:rStyle w:val="Hyperlink"/>
                <w:noProof/>
              </w:rPr>
              <w:t>Impacts of COVID-19</w:t>
            </w:r>
            <w:r w:rsidR="00DB437A">
              <w:rPr>
                <w:noProof/>
                <w:webHidden/>
              </w:rPr>
              <w:tab/>
            </w:r>
            <w:r w:rsidR="00DB437A">
              <w:rPr>
                <w:noProof/>
                <w:webHidden/>
              </w:rPr>
              <w:fldChar w:fldCharType="begin"/>
            </w:r>
            <w:r w:rsidR="00DB437A">
              <w:rPr>
                <w:noProof/>
                <w:webHidden/>
              </w:rPr>
              <w:instrText xml:space="preserve"> PAGEREF _Toc137480598 \h </w:instrText>
            </w:r>
            <w:r w:rsidR="00DB437A">
              <w:rPr>
                <w:noProof/>
                <w:webHidden/>
              </w:rPr>
            </w:r>
            <w:r w:rsidR="00DB437A">
              <w:rPr>
                <w:noProof/>
                <w:webHidden/>
              </w:rPr>
              <w:fldChar w:fldCharType="separate"/>
            </w:r>
            <w:r w:rsidR="00DB437A">
              <w:rPr>
                <w:noProof/>
                <w:webHidden/>
              </w:rPr>
              <w:t>9</w:t>
            </w:r>
            <w:r w:rsidR="00DB437A">
              <w:rPr>
                <w:noProof/>
                <w:webHidden/>
              </w:rPr>
              <w:fldChar w:fldCharType="end"/>
            </w:r>
          </w:hyperlink>
        </w:p>
        <w:p w14:paraId="1E010D23" w14:textId="33626414" w:rsidR="00DB437A" w:rsidRDefault="001C343A">
          <w:pPr>
            <w:pStyle w:val="TOC2"/>
            <w:tabs>
              <w:tab w:val="right" w:leader="dot" w:pos="9016"/>
            </w:tabs>
            <w:rPr>
              <w:rFonts w:eastAsiaTheme="minorEastAsia"/>
              <w:noProof/>
              <w:lang w:eastAsia="en-NZ"/>
            </w:rPr>
          </w:pPr>
          <w:hyperlink w:anchor="_Toc137480599" w:history="1">
            <w:r w:rsidR="00DB437A" w:rsidRPr="00DB2499">
              <w:rPr>
                <w:rStyle w:val="Hyperlink"/>
                <w:noProof/>
              </w:rPr>
              <w:t>Impacts on monitoring/changes to monitoring practice</w:t>
            </w:r>
            <w:r w:rsidR="00DB437A">
              <w:rPr>
                <w:noProof/>
                <w:webHidden/>
              </w:rPr>
              <w:tab/>
            </w:r>
            <w:r w:rsidR="00DB437A">
              <w:rPr>
                <w:noProof/>
                <w:webHidden/>
              </w:rPr>
              <w:fldChar w:fldCharType="begin"/>
            </w:r>
            <w:r w:rsidR="00DB437A">
              <w:rPr>
                <w:noProof/>
                <w:webHidden/>
              </w:rPr>
              <w:instrText xml:space="preserve"> PAGEREF _Toc137480599 \h </w:instrText>
            </w:r>
            <w:r w:rsidR="00DB437A">
              <w:rPr>
                <w:noProof/>
                <w:webHidden/>
              </w:rPr>
            </w:r>
            <w:r w:rsidR="00DB437A">
              <w:rPr>
                <w:noProof/>
                <w:webHidden/>
              </w:rPr>
              <w:fldChar w:fldCharType="separate"/>
            </w:r>
            <w:r w:rsidR="00DB437A">
              <w:rPr>
                <w:noProof/>
                <w:webHidden/>
              </w:rPr>
              <w:t>9</w:t>
            </w:r>
            <w:r w:rsidR="00DB437A">
              <w:rPr>
                <w:noProof/>
                <w:webHidden/>
              </w:rPr>
              <w:fldChar w:fldCharType="end"/>
            </w:r>
          </w:hyperlink>
        </w:p>
        <w:p w14:paraId="2961BAED" w14:textId="0E70EDCD" w:rsidR="00DB437A" w:rsidRDefault="001C343A">
          <w:pPr>
            <w:pStyle w:val="TOC2"/>
            <w:tabs>
              <w:tab w:val="right" w:leader="dot" w:pos="9016"/>
            </w:tabs>
            <w:rPr>
              <w:rFonts w:eastAsiaTheme="minorEastAsia"/>
              <w:noProof/>
              <w:lang w:eastAsia="en-NZ"/>
            </w:rPr>
          </w:pPr>
          <w:hyperlink w:anchor="_Toc137480600" w:history="1">
            <w:r w:rsidR="00DB437A" w:rsidRPr="00DB2499">
              <w:rPr>
                <w:rStyle w:val="Hyperlink"/>
                <w:noProof/>
              </w:rPr>
              <w:t>Impact to NPM jurisdiction</w:t>
            </w:r>
            <w:r w:rsidR="00DB437A">
              <w:rPr>
                <w:noProof/>
                <w:webHidden/>
              </w:rPr>
              <w:tab/>
            </w:r>
            <w:r w:rsidR="00DB437A">
              <w:rPr>
                <w:noProof/>
                <w:webHidden/>
              </w:rPr>
              <w:fldChar w:fldCharType="begin"/>
            </w:r>
            <w:r w:rsidR="00DB437A">
              <w:rPr>
                <w:noProof/>
                <w:webHidden/>
              </w:rPr>
              <w:instrText xml:space="preserve"> PAGEREF _Toc137480600 \h </w:instrText>
            </w:r>
            <w:r w:rsidR="00DB437A">
              <w:rPr>
                <w:noProof/>
                <w:webHidden/>
              </w:rPr>
            </w:r>
            <w:r w:rsidR="00DB437A">
              <w:rPr>
                <w:noProof/>
                <w:webHidden/>
              </w:rPr>
              <w:fldChar w:fldCharType="separate"/>
            </w:r>
            <w:r w:rsidR="00DB437A">
              <w:rPr>
                <w:noProof/>
                <w:webHidden/>
              </w:rPr>
              <w:t>10</w:t>
            </w:r>
            <w:r w:rsidR="00DB437A">
              <w:rPr>
                <w:noProof/>
                <w:webHidden/>
              </w:rPr>
              <w:fldChar w:fldCharType="end"/>
            </w:r>
          </w:hyperlink>
        </w:p>
        <w:p w14:paraId="254CED51" w14:textId="2A56CF30" w:rsidR="00DB437A" w:rsidRDefault="001C343A">
          <w:pPr>
            <w:pStyle w:val="TOC2"/>
            <w:tabs>
              <w:tab w:val="right" w:leader="dot" w:pos="9016"/>
            </w:tabs>
            <w:rPr>
              <w:rFonts w:eastAsiaTheme="minorEastAsia"/>
              <w:noProof/>
              <w:lang w:eastAsia="en-NZ"/>
            </w:rPr>
          </w:pPr>
          <w:hyperlink w:anchor="_Toc137480601" w:history="1">
            <w:r w:rsidR="00DB437A" w:rsidRPr="00DB2499">
              <w:rPr>
                <w:rStyle w:val="Hyperlink"/>
                <w:noProof/>
              </w:rPr>
              <w:t>Impacts of COVID-19 on people in places of detention</w:t>
            </w:r>
            <w:r w:rsidR="00DB437A">
              <w:rPr>
                <w:noProof/>
                <w:webHidden/>
              </w:rPr>
              <w:tab/>
            </w:r>
            <w:r w:rsidR="00DB437A">
              <w:rPr>
                <w:noProof/>
                <w:webHidden/>
              </w:rPr>
              <w:fldChar w:fldCharType="begin"/>
            </w:r>
            <w:r w:rsidR="00DB437A">
              <w:rPr>
                <w:noProof/>
                <w:webHidden/>
              </w:rPr>
              <w:instrText xml:space="preserve"> PAGEREF _Toc137480601 \h </w:instrText>
            </w:r>
            <w:r w:rsidR="00DB437A">
              <w:rPr>
                <w:noProof/>
                <w:webHidden/>
              </w:rPr>
            </w:r>
            <w:r w:rsidR="00DB437A">
              <w:rPr>
                <w:noProof/>
                <w:webHidden/>
              </w:rPr>
              <w:fldChar w:fldCharType="separate"/>
            </w:r>
            <w:r w:rsidR="00DB437A">
              <w:rPr>
                <w:noProof/>
                <w:webHidden/>
              </w:rPr>
              <w:t>11</w:t>
            </w:r>
            <w:r w:rsidR="00DB437A">
              <w:rPr>
                <w:noProof/>
                <w:webHidden/>
              </w:rPr>
              <w:fldChar w:fldCharType="end"/>
            </w:r>
          </w:hyperlink>
        </w:p>
        <w:p w14:paraId="13390064" w14:textId="741604B0" w:rsidR="00DB437A" w:rsidRDefault="001C343A">
          <w:pPr>
            <w:pStyle w:val="TOC1"/>
            <w:tabs>
              <w:tab w:val="left" w:pos="660"/>
              <w:tab w:val="right" w:leader="dot" w:pos="9016"/>
            </w:tabs>
            <w:rPr>
              <w:rFonts w:eastAsiaTheme="minorEastAsia"/>
              <w:noProof/>
              <w:lang w:eastAsia="en-NZ"/>
            </w:rPr>
          </w:pPr>
          <w:hyperlink w:anchor="_Toc137480602" w:history="1">
            <w:r w:rsidR="00DB437A" w:rsidRPr="00DB2499">
              <w:rPr>
                <w:rStyle w:val="Hyperlink"/>
                <w:noProof/>
              </w:rPr>
              <w:t>IV.</w:t>
            </w:r>
            <w:r w:rsidR="00DB437A">
              <w:rPr>
                <w:rFonts w:eastAsiaTheme="minorEastAsia"/>
                <w:noProof/>
                <w:lang w:eastAsia="en-NZ"/>
              </w:rPr>
              <w:tab/>
            </w:r>
            <w:r w:rsidR="00DB437A" w:rsidRPr="00DB2499">
              <w:rPr>
                <w:rStyle w:val="Hyperlink"/>
                <w:noProof/>
              </w:rPr>
              <w:t>Rights under the Convention</w:t>
            </w:r>
            <w:r w:rsidR="00DB437A">
              <w:rPr>
                <w:noProof/>
                <w:webHidden/>
              </w:rPr>
              <w:tab/>
            </w:r>
            <w:r w:rsidR="00DB437A">
              <w:rPr>
                <w:noProof/>
                <w:webHidden/>
              </w:rPr>
              <w:fldChar w:fldCharType="begin"/>
            </w:r>
            <w:r w:rsidR="00DB437A">
              <w:rPr>
                <w:noProof/>
                <w:webHidden/>
              </w:rPr>
              <w:instrText xml:space="preserve"> PAGEREF _Toc137480602 \h </w:instrText>
            </w:r>
            <w:r w:rsidR="00DB437A">
              <w:rPr>
                <w:noProof/>
                <w:webHidden/>
              </w:rPr>
            </w:r>
            <w:r w:rsidR="00DB437A">
              <w:rPr>
                <w:noProof/>
                <w:webHidden/>
              </w:rPr>
              <w:fldChar w:fldCharType="separate"/>
            </w:r>
            <w:r w:rsidR="00DB437A">
              <w:rPr>
                <w:noProof/>
                <w:webHidden/>
              </w:rPr>
              <w:t>13</w:t>
            </w:r>
            <w:r w:rsidR="00DB437A">
              <w:rPr>
                <w:noProof/>
                <w:webHidden/>
              </w:rPr>
              <w:fldChar w:fldCharType="end"/>
            </w:r>
          </w:hyperlink>
        </w:p>
        <w:p w14:paraId="0CD0A624" w14:textId="526D4F0C" w:rsidR="00DB437A" w:rsidRDefault="001C343A">
          <w:pPr>
            <w:pStyle w:val="TOC2"/>
            <w:tabs>
              <w:tab w:val="right" w:leader="dot" w:pos="9016"/>
            </w:tabs>
            <w:rPr>
              <w:rFonts w:eastAsiaTheme="minorEastAsia"/>
              <w:noProof/>
              <w:lang w:eastAsia="en-NZ"/>
            </w:rPr>
          </w:pPr>
          <w:hyperlink w:anchor="_Toc137480603" w:history="1">
            <w:r w:rsidR="00DB437A" w:rsidRPr="00DB2499">
              <w:rPr>
                <w:rStyle w:val="Hyperlink"/>
                <w:noProof/>
              </w:rPr>
              <w:t>Article 2 – Preventive measures</w:t>
            </w:r>
            <w:r w:rsidR="00DB437A">
              <w:rPr>
                <w:noProof/>
                <w:webHidden/>
              </w:rPr>
              <w:tab/>
            </w:r>
            <w:r w:rsidR="00DB437A">
              <w:rPr>
                <w:noProof/>
                <w:webHidden/>
              </w:rPr>
              <w:fldChar w:fldCharType="begin"/>
            </w:r>
            <w:r w:rsidR="00DB437A">
              <w:rPr>
                <w:noProof/>
                <w:webHidden/>
              </w:rPr>
              <w:instrText xml:space="preserve"> PAGEREF _Toc137480603 \h </w:instrText>
            </w:r>
            <w:r w:rsidR="00DB437A">
              <w:rPr>
                <w:noProof/>
                <w:webHidden/>
              </w:rPr>
            </w:r>
            <w:r w:rsidR="00DB437A">
              <w:rPr>
                <w:noProof/>
                <w:webHidden/>
              </w:rPr>
              <w:fldChar w:fldCharType="separate"/>
            </w:r>
            <w:r w:rsidR="00DB437A">
              <w:rPr>
                <w:noProof/>
                <w:webHidden/>
              </w:rPr>
              <w:t>13</w:t>
            </w:r>
            <w:r w:rsidR="00DB437A">
              <w:rPr>
                <w:noProof/>
                <w:webHidden/>
              </w:rPr>
              <w:fldChar w:fldCharType="end"/>
            </w:r>
          </w:hyperlink>
        </w:p>
        <w:p w14:paraId="3B827431" w14:textId="44684923" w:rsidR="00DB437A" w:rsidRDefault="001C343A">
          <w:pPr>
            <w:pStyle w:val="TOC3"/>
            <w:tabs>
              <w:tab w:val="right" w:leader="dot" w:pos="9016"/>
            </w:tabs>
            <w:rPr>
              <w:rFonts w:eastAsiaTheme="minorEastAsia"/>
              <w:noProof/>
              <w:lang w:eastAsia="en-NZ"/>
            </w:rPr>
          </w:pPr>
          <w:hyperlink w:anchor="_Toc137480604" w:history="1">
            <w:r w:rsidR="00DB437A" w:rsidRPr="00DB2499">
              <w:rPr>
                <w:rStyle w:val="Hyperlink"/>
                <w:noProof/>
              </w:rPr>
              <w:t>Activities of Aotearoa New Zealand NPMs during reporting period (List of issues, item 4)</w:t>
            </w:r>
            <w:r w:rsidR="00DB437A">
              <w:rPr>
                <w:noProof/>
                <w:webHidden/>
              </w:rPr>
              <w:tab/>
            </w:r>
            <w:r w:rsidR="00DB437A">
              <w:rPr>
                <w:noProof/>
                <w:webHidden/>
              </w:rPr>
              <w:fldChar w:fldCharType="begin"/>
            </w:r>
            <w:r w:rsidR="00DB437A">
              <w:rPr>
                <w:noProof/>
                <w:webHidden/>
              </w:rPr>
              <w:instrText xml:space="preserve"> PAGEREF _Toc137480604 \h </w:instrText>
            </w:r>
            <w:r w:rsidR="00DB437A">
              <w:rPr>
                <w:noProof/>
                <w:webHidden/>
              </w:rPr>
            </w:r>
            <w:r w:rsidR="00DB437A">
              <w:rPr>
                <w:noProof/>
                <w:webHidden/>
              </w:rPr>
              <w:fldChar w:fldCharType="separate"/>
            </w:r>
            <w:r w:rsidR="00DB437A">
              <w:rPr>
                <w:noProof/>
                <w:webHidden/>
              </w:rPr>
              <w:t>13</w:t>
            </w:r>
            <w:r w:rsidR="00DB437A">
              <w:rPr>
                <w:noProof/>
                <w:webHidden/>
              </w:rPr>
              <w:fldChar w:fldCharType="end"/>
            </w:r>
          </w:hyperlink>
        </w:p>
        <w:p w14:paraId="16B04FB9" w14:textId="66587723" w:rsidR="00DB437A" w:rsidRDefault="001C343A">
          <w:pPr>
            <w:pStyle w:val="TOC3"/>
            <w:tabs>
              <w:tab w:val="right" w:leader="dot" w:pos="9016"/>
            </w:tabs>
            <w:rPr>
              <w:rFonts w:eastAsiaTheme="minorEastAsia"/>
              <w:noProof/>
              <w:lang w:eastAsia="en-NZ"/>
            </w:rPr>
          </w:pPr>
          <w:hyperlink w:anchor="_Toc137480605" w:history="1">
            <w:r w:rsidR="00DB437A" w:rsidRPr="00DB2499">
              <w:rPr>
                <w:rStyle w:val="Hyperlink"/>
                <w:noProof/>
              </w:rPr>
              <w:t>Resource allocation to Aotearoa New Zealand NPMs (List of issues, item 4)</w:t>
            </w:r>
            <w:r w:rsidR="00DB437A">
              <w:rPr>
                <w:noProof/>
                <w:webHidden/>
              </w:rPr>
              <w:tab/>
            </w:r>
            <w:r w:rsidR="00DB437A">
              <w:rPr>
                <w:noProof/>
                <w:webHidden/>
              </w:rPr>
              <w:fldChar w:fldCharType="begin"/>
            </w:r>
            <w:r w:rsidR="00DB437A">
              <w:rPr>
                <w:noProof/>
                <w:webHidden/>
              </w:rPr>
              <w:instrText xml:space="preserve"> PAGEREF _Toc137480605 \h </w:instrText>
            </w:r>
            <w:r w:rsidR="00DB437A">
              <w:rPr>
                <w:noProof/>
                <w:webHidden/>
              </w:rPr>
            </w:r>
            <w:r w:rsidR="00DB437A">
              <w:rPr>
                <w:noProof/>
                <w:webHidden/>
              </w:rPr>
              <w:fldChar w:fldCharType="separate"/>
            </w:r>
            <w:r w:rsidR="00DB437A">
              <w:rPr>
                <w:noProof/>
                <w:webHidden/>
              </w:rPr>
              <w:t>17</w:t>
            </w:r>
            <w:r w:rsidR="00DB437A">
              <w:rPr>
                <w:noProof/>
                <w:webHidden/>
              </w:rPr>
              <w:fldChar w:fldCharType="end"/>
            </w:r>
          </w:hyperlink>
        </w:p>
        <w:p w14:paraId="04EF3078" w14:textId="0417DB5A" w:rsidR="00DB437A" w:rsidRDefault="001C343A">
          <w:pPr>
            <w:pStyle w:val="TOC3"/>
            <w:tabs>
              <w:tab w:val="right" w:leader="dot" w:pos="9016"/>
            </w:tabs>
            <w:rPr>
              <w:rFonts w:eastAsiaTheme="minorEastAsia"/>
              <w:noProof/>
              <w:lang w:eastAsia="en-NZ"/>
            </w:rPr>
          </w:pPr>
          <w:hyperlink w:anchor="_Toc137480606" w:history="1">
            <w:r w:rsidR="00DB437A" w:rsidRPr="00DB2499">
              <w:rPr>
                <w:rStyle w:val="Hyperlink"/>
                <w:noProof/>
              </w:rPr>
              <w:t>Reporting and engagement with detaining agencies</w:t>
            </w:r>
            <w:r w:rsidR="00DB437A">
              <w:rPr>
                <w:noProof/>
                <w:webHidden/>
              </w:rPr>
              <w:tab/>
            </w:r>
            <w:r w:rsidR="00DB437A">
              <w:rPr>
                <w:noProof/>
                <w:webHidden/>
              </w:rPr>
              <w:fldChar w:fldCharType="begin"/>
            </w:r>
            <w:r w:rsidR="00DB437A">
              <w:rPr>
                <w:noProof/>
                <w:webHidden/>
              </w:rPr>
              <w:instrText xml:space="preserve"> PAGEREF _Toc137480606 \h </w:instrText>
            </w:r>
            <w:r w:rsidR="00DB437A">
              <w:rPr>
                <w:noProof/>
                <w:webHidden/>
              </w:rPr>
            </w:r>
            <w:r w:rsidR="00DB437A">
              <w:rPr>
                <w:noProof/>
                <w:webHidden/>
              </w:rPr>
              <w:fldChar w:fldCharType="separate"/>
            </w:r>
            <w:r w:rsidR="00DB437A">
              <w:rPr>
                <w:noProof/>
                <w:webHidden/>
              </w:rPr>
              <w:t>18</w:t>
            </w:r>
            <w:r w:rsidR="00DB437A">
              <w:rPr>
                <w:noProof/>
                <w:webHidden/>
              </w:rPr>
              <w:fldChar w:fldCharType="end"/>
            </w:r>
          </w:hyperlink>
        </w:p>
        <w:p w14:paraId="67233146" w14:textId="5703C3B1" w:rsidR="00DB437A" w:rsidRDefault="001C343A">
          <w:pPr>
            <w:pStyle w:val="TOC2"/>
            <w:tabs>
              <w:tab w:val="right" w:leader="dot" w:pos="9016"/>
            </w:tabs>
            <w:rPr>
              <w:rFonts w:eastAsiaTheme="minorEastAsia"/>
              <w:noProof/>
              <w:lang w:eastAsia="en-NZ"/>
            </w:rPr>
          </w:pPr>
          <w:hyperlink w:anchor="_Toc137480607" w:history="1">
            <w:r w:rsidR="00DB437A" w:rsidRPr="00DB2499">
              <w:rPr>
                <w:rStyle w:val="Hyperlink"/>
                <w:noProof/>
              </w:rPr>
              <w:t>Article 10 – Training and education (List of issues, item 14)</w:t>
            </w:r>
            <w:r w:rsidR="00DB437A">
              <w:rPr>
                <w:noProof/>
                <w:webHidden/>
              </w:rPr>
              <w:tab/>
            </w:r>
            <w:r w:rsidR="00DB437A">
              <w:rPr>
                <w:noProof/>
                <w:webHidden/>
              </w:rPr>
              <w:fldChar w:fldCharType="begin"/>
            </w:r>
            <w:r w:rsidR="00DB437A">
              <w:rPr>
                <w:noProof/>
                <w:webHidden/>
              </w:rPr>
              <w:instrText xml:space="preserve"> PAGEREF _Toc137480607 \h </w:instrText>
            </w:r>
            <w:r w:rsidR="00DB437A">
              <w:rPr>
                <w:noProof/>
                <w:webHidden/>
              </w:rPr>
            </w:r>
            <w:r w:rsidR="00DB437A">
              <w:rPr>
                <w:noProof/>
                <w:webHidden/>
              </w:rPr>
              <w:fldChar w:fldCharType="separate"/>
            </w:r>
            <w:r w:rsidR="00DB437A">
              <w:rPr>
                <w:noProof/>
                <w:webHidden/>
              </w:rPr>
              <w:t>20</w:t>
            </w:r>
            <w:r w:rsidR="00DB437A">
              <w:rPr>
                <w:noProof/>
                <w:webHidden/>
              </w:rPr>
              <w:fldChar w:fldCharType="end"/>
            </w:r>
          </w:hyperlink>
        </w:p>
        <w:p w14:paraId="4C2647C9" w14:textId="6D888A88" w:rsidR="00DB437A" w:rsidRDefault="001C343A">
          <w:pPr>
            <w:pStyle w:val="TOC2"/>
            <w:tabs>
              <w:tab w:val="right" w:leader="dot" w:pos="9016"/>
            </w:tabs>
            <w:rPr>
              <w:rFonts w:eastAsiaTheme="minorEastAsia"/>
              <w:noProof/>
              <w:lang w:eastAsia="en-NZ"/>
            </w:rPr>
          </w:pPr>
          <w:hyperlink w:anchor="_Toc137480608" w:history="1">
            <w:r w:rsidR="00DB437A" w:rsidRPr="00DB2499">
              <w:rPr>
                <w:rStyle w:val="Hyperlink"/>
                <w:noProof/>
              </w:rPr>
              <w:t>Articles 12 and 13 – Complaints processes</w:t>
            </w:r>
            <w:r w:rsidR="00DB437A">
              <w:rPr>
                <w:noProof/>
                <w:webHidden/>
              </w:rPr>
              <w:tab/>
            </w:r>
            <w:r w:rsidR="00DB437A">
              <w:rPr>
                <w:noProof/>
                <w:webHidden/>
              </w:rPr>
              <w:fldChar w:fldCharType="begin"/>
            </w:r>
            <w:r w:rsidR="00DB437A">
              <w:rPr>
                <w:noProof/>
                <w:webHidden/>
              </w:rPr>
              <w:instrText xml:space="preserve"> PAGEREF _Toc137480608 \h </w:instrText>
            </w:r>
            <w:r w:rsidR="00DB437A">
              <w:rPr>
                <w:noProof/>
                <w:webHidden/>
              </w:rPr>
            </w:r>
            <w:r w:rsidR="00DB437A">
              <w:rPr>
                <w:noProof/>
                <w:webHidden/>
              </w:rPr>
              <w:fldChar w:fldCharType="separate"/>
            </w:r>
            <w:r w:rsidR="00DB437A">
              <w:rPr>
                <w:noProof/>
                <w:webHidden/>
              </w:rPr>
              <w:t>22</w:t>
            </w:r>
            <w:r w:rsidR="00DB437A">
              <w:rPr>
                <w:noProof/>
                <w:webHidden/>
              </w:rPr>
              <w:fldChar w:fldCharType="end"/>
            </w:r>
          </w:hyperlink>
        </w:p>
        <w:p w14:paraId="739CBF6F" w14:textId="61AAA8F5" w:rsidR="00DB437A" w:rsidRDefault="001C343A">
          <w:pPr>
            <w:pStyle w:val="TOC2"/>
            <w:tabs>
              <w:tab w:val="right" w:leader="dot" w:pos="9016"/>
            </w:tabs>
            <w:rPr>
              <w:rFonts w:eastAsiaTheme="minorEastAsia"/>
              <w:noProof/>
              <w:lang w:eastAsia="en-NZ"/>
            </w:rPr>
          </w:pPr>
          <w:hyperlink w:anchor="_Toc137480609" w:history="1">
            <w:r w:rsidR="00DB437A" w:rsidRPr="00DB2499">
              <w:rPr>
                <w:rStyle w:val="Hyperlink"/>
                <w:noProof/>
              </w:rPr>
              <w:t>Article 16 – Cruel, inhuman or degrading treatment</w:t>
            </w:r>
            <w:r w:rsidR="00DB437A">
              <w:rPr>
                <w:noProof/>
                <w:webHidden/>
              </w:rPr>
              <w:tab/>
            </w:r>
            <w:r w:rsidR="00DB437A">
              <w:rPr>
                <w:noProof/>
                <w:webHidden/>
              </w:rPr>
              <w:fldChar w:fldCharType="begin"/>
            </w:r>
            <w:r w:rsidR="00DB437A">
              <w:rPr>
                <w:noProof/>
                <w:webHidden/>
              </w:rPr>
              <w:instrText xml:space="preserve"> PAGEREF _Toc137480609 \h </w:instrText>
            </w:r>
            <w:r w:rsidR="00DB437A">
              <w:rPr>
                <w:noProof/>
                <w:webHidden/>
              </w:rPr>
            </w:r>
            <w:r w:rsidR="00DB437A">
              <w:rPr>
                <w:noProof/>
                <w:webHidden/>
              </w:rPr>
              <w:fldChar w:fldCharType="separate"/>
            </w:r>
            <w:r w:rsidR="00DB437A">
              <w:rPr>
                <w:noProof/>
                <w:webHidden/>
              </w:rPr>
              <w:t>23</w:t>
            </w:r>
            <w:r w:rsidR="00DB437A">
              <w:rPr>
                <w:noProof/>
                <w:webHidden/>
              </w:rPr>
              <w:fldChar w:fldCharType="end"/>
            </w:r>
          </w:hyperlink>
        </w:p>
        <w:p w14:paraId="5F690839" w14:textId="42CD7655" w:rsidR="00DB437A" w:rsidRDefault="001C343A">
          <w:pPr>
            <w:pStyle w:val="TOC3"/>
            <w:tabs>
              <w:tab w:val="right" w:leader="dot" w:pos="9016"/>
            </w:tabs>
            <w:rPr>
              <w:rFonts w:eastAsiaTheme="minorEastAsia"/>
              <w:noProof/>
              <w:lang w:eastAsia="en-NZ"/>
            </w:rPr>
          </w:pPr>
          <w:hyperlink w:anchor="_Toc137480610" w:history="1">
            <w:r w:rsidR="00DB437A" w:rsidRPr="00DB2499">
              <w:rPr>
                <w:rStyle w:val="Hyperlink"/>
                <w:noProof/>
              </w:rPr>
              <w:t>Mental health in detention</w:t>
            </w:r>
            <w:r w:rsidR="00DB437A">
              <w:rPr>
                <w:noProof/>
                <w:webHidden/>
              </w:rPr>
              <w:tab/>
            </w:r>
            <w:r w:rsidR="00DB437A">
              <w:rPr>
                <w:noProof/>
                <w:webHidden/>
              </w:rPr>
              <w:fldChar w:fldCharType="begin"/>
            </w:r>
            <w:r w:rsidR="00DB437A">
              <w:rPr>
                <w:noProof/>
                <w:webHidden/>
              </w:rPr>
              <w:instrText xml:space="preserve"> PAGEREF _Toc137480610 \h </w:instrText>
            </w:r>
            <w:r w:rsidR="00DB437A">
              <w:rPr>
                <w:noProof/>
                <w:webHidden/>
              </w:rPr>
            </w:r>
            <w:r w:rsidR="00DB437A">
              <w:rPr>
                <w:noProof/>
                <w:webHidden/>
              </w:rPr>
              <w:fldChar w:fldCharType="separate"/>
            </w:r>
            <w:r w:rsidR="00DB437A">
              <w:rPr>
                <w:noProof/>
                <w:webHidden/>
              </w:rPr>
              <w:t>23</w:t>
            </w:r>
            <w:r w:rsidR="00DB437A">
              <w:rPr>
                <w:noProof/>
                <w:webHidden/>
              </w:rPr>
              <w:fldChar w:fldCharType="end"/>
            </w:r>
          </w:hyperlink>
        </w:p>
        <w:p w14:paraId="5B6D5922" w14:textId="762465B5" w:rsidR="00DB437A" w:rsidRDefault="001C343A">
          <w:pPr>
            <w:pStyle w:val="TOC3"/>
            <w:tabs>
              <w:tab w:val="right" w:leader="dot" w:pos="9016"/>
            </w:tabs>
            <w:rPr>
              <w:rFonts w:eastAsiaTheme="minorEastAsia"/>
              <w:noProof/>
              <w:lang w:eastAsia="en-NZ"/>
            </w:rPr>
          </w:pPr>
          <w:hyperlink w:anchor="_Toc137480611" w:history="1">
            <w:r w:rsidR="00DB437A" w:rsidRPr="00DB2499">
              <w:rPr>
                <w:rStyle w:val="Hyperlink"/>
                <w:noProof/>
              </w:rPr>
              <w:t>Material conditions of places of detention</w:t>
            </w:r>
            <w:r w:rsidR="00DB437A">
              <w:rPr>
                <w:noProof/>
                <w:webHidden/>
              </w:rPr>
              <w:tab/>
            </w:r>
            <w:r w:rsidR="00DB437A">
              <w:rPr>
                <w:noProof/>
                <w:webHidden/>
              </w:rPr>
              <w:fldChar w:fldCharType="begin"/>
            </w:r>
            <w:r w:rsidR="00DB437A">
              <w:rPr>
                <w:noProof/>
                <w:webHidden/>
              </w:rPr>
              <w:instrText xml:space="preserve"> PAGEREF _Toc137480611 \h </w:instrText>
            </w:r>
            <w:r w:rsidR="00DB437A">
              <w:rPr>
                <w:noProof/>
                <w:webHidden/>
              </w:rPr>
            </w:r>
            <w:r w:rsidR="00DB437A">
              <w:rPr>
                <w:noProof/>
                <w:webHidden/>
              </w:rPr>
              <w:fldChar w:fldCharType="separate"/>
            </w:r>
            <w:r w:rsidR="00DB437A">
              <w:rPr>
                <w:noProof/>
                <w:webHidden/>
              </w:rPr>
              <w:t>25</w:t>
            </w:r>
            <w:r w:rsidR="00DB437A">
              <w:rPr>
                <w:noProof/>
                <w:webHidden/>
              </w:rPr>
              <w:fldChar w:fldCharType="end"/>
            </w:r>
          </w:hyperlink>
        </w:p>
        <w:p w14:paraId="0D0152CF" w14:textId="6AC57ACD" w:rsidR="00DB437A" w:rsidRDefault="001C343A">
          <w:pPr>
            <w:pStyle w:val="TOC1"/>
            <w:tabs>
              <w:tab w:val="left" w:pos="440"/>
              <w:tab w:val="right" w:leader="dot" w:pos="9016"/>
            </w:tabs>
            <w:rPr>
              <w:rFonts w:eastAsiaTheme="minorEastAsia"/>
              <w:noProof/>
              <w:lang w:eastAsia="en-NZ"/>
            </w:rPr>
          </w:pPr>
          <w:hyperlink w:anchor="_Toc137480612" w:history="1">
            <w:r w:rsidR="00DB437A" w:rsidRPr="00DB2499">
              <w:rPr>
                <w:rStyle w:val="Hyperlink"/>
                <w:noProof/>
              </w:rPr>
              <w:t>V.</w:t>
            </w:r>
            <w:r w:rsidR="00DB437A">
              <w:rPr>
                <w:rFonts w:eastAsiaTheme="minorEastAsia"/>
                <w:noProof/>
                <w:lang w:eastAsia="en-NZ"/>
              </w:rPr>
              <w:tab/>
            </w:r>
            <w:r w:rsidR="00DB437A" w:rsidRPr="00DB2499">
              <w:rPr>
                <w:rStyle w:val="Hyperlink"/>
                <w:noProof/>
              </w:rPr>
              <w:t>Summary of recommendations</w:t>
            </w:r>
            <w:r w:rsidR="00DB437A">
              <w:rPr>
                <w:noProof/>
                <w:webHidden/>
              </w:rPr>
              <w:tab/>
            </w:r>
            <w:r w:rsidR="00DB437A">
              <w:rPr>
                <w:noProof/>
                <w:webHidden/>
              </w:rPr>
              <w:fldChar w:fldCharType="begin"/>
            </w:r>
            <w:r w:rsidR="00DB437A">
              <w:rPr>
                <w:noProof/>
                <w:webHidden/>
              </w:rPr>
              <w:instrText xml:space="preserve"> PAGEREF _Toc137480612 \h </w:instrText>
            </w:r>
            <w:r w:rsidR="00DB437A">
              <w:rPr>
                <w:noProof/>
                <w:webHidden/>
              </w:rPr>
            </w:r>
            <w:r w:rsidR="00DB437A">
              <w:rPr>
                <w:noProof/>
                <w:webHidden/>
              </w:rPr>
              <w:fldChar w:fldCharType="separate"/>
            </w:r>
            <w:r w:rsidR="00DB437A">
              <w:rPr>
                <w:noProof/>
                <w:webHidden/>
              </w:rPr>
              <w:t>27</w:t>
            </w:r>
            <w:r w:rsidR="00DB437A">
              <w:rPr>
                <w:noProof/>
                <w:webHidden/>
              </w:rPr>
              <w:fldChar w:fldCharType="end"/>
            </w:r>
          </w:hyperlink>
        </w:p>
        <w:p w14:paraId="1FCABE49" w14:textId="06D2806E" w:rsidR="00D16F83" w:rsidRDefault="00D16F83">
          <w:r>
            <w:rPr>
              <w:b/>
              <w:bCs/>
              <w:noProof/>
            </w:rPr>
            <w:fldChar w:fldCharType="end"/>
          </w:r>
        </w:p>
      </w:sdtContent>
    </w:sdt>
    <w:p w14:paraId="3ECF0011" w14:textId="57B86D61" w:rsidR="00D43329" w:rsidRDefault="00D43329">
      <w:r>
        <w:br w:type="page"/>
      </w:r>
    </w:p>
    <w:p w14:paraId="35CD2187" w14:textId="77777777" w:rsidR="00D43329" w:rsidRPr="0024395E" w:rsidRDefault="00D43329" w:rsidP="0024395E">
      <w:pPr>
        <w:pStyle w:val="Heading1"/>
        <w:numPr>
          <w:ilvl w:val="0"/>
          <w:numId w:val="2"/>
        </w:numPr>
        <w:tabs>
          <w:tab w:val="num" w:pos="360"/>
        </w:tabs>
        <w:spacing w:after="240"/>
        <w:ind w:left="624" w:hanging="624"/>
        <w:rPr>
          <w:sz w:val="28"/>
          <w:szCs w:val="28"/>
        </w:rPr>
      </w:pPr>
      <w:bookmarkStart w:id="0" w:name="_Toc136352824"/>
      <w:bookmarkStart w:id="1" w:name="_Toc136608726"/>
      <w:bookmarkStart w:id="2" w:name="_Toc136611029"/>
      <w:bookmarkStart w:id="3" w:name="_Toc136611080"/>
      <w:bookmarkStart w:id="4" w:name="_Toc136613287"/>
      <w:bookmarkStart w:id="5" w:name="_Toc137480586"/>
      <w:r w:rsidRPr="0024395E">
        <w:t>Introduction</w:t>
      </w:r>
      <w:bookmarkEnd w:id="0"/>
      <w:bookmarkEnd w:id="1"/>
      <w:bookmarkEnd w:id="2"/>
      <w:bookmarkEnd w:id="3"/>
      <w:bookmarkEnd w:id="4"/>
      <w:bookmarkEnd w:id="5"/>
    </w:p>
    <w:p w14:paraId="3AD0AEF3" w14:textId="52BCB145" w:rsidR="00D43329" w:rsidRDefault="00D43329" w:rsidP="008E66C6">
      <w:pPr>
        <w:numPr>
          <w:ilvl w:val="0"/>
          <w:numId w:val="1"/>
        </w:numPr>
        <w:ind w:left="357" w:hanging="357"/>
        <w:jc w:val="both"/>
      </w:pPr>
      <w:r>
        <w:t>The Aotearoa New Zealand National Preventive Mechanisms (</w:t>
      </w:r>
      <w:r>
        <w:rPr>
          <w:b/>
          <w:bCs/>
        </w:rPr>
        <w:t xml:space="preserve">Aotearoa </w:t>
      </w:r>
      <w:r w:rsidR="00294A3A" w:rsidRPr="00294A3A">
        <w:rPr>
          <w:b/>
          <w:bCs/>
        </w:rPr>
        <w:t xml:space="preserve">New Zealand </w:t>
      </w:r>
      <w:r w:rsidRPr="00D43329">
        <w:rPr>
          <w:b/>
          <w:bCs/>
        </w:rPr>
        <w:t>NPMs</w:t>
      </w:r>
      <w:r>
        <w:t xml:space="preserve">) welcome the </w:t>
      </w:r>
      <w:r w:rsidRPr="00360BAD">
        <w:t>opportunity to provide this</w:t>
      </w:r>
      <w:r w:rsidR="00085732">
        <w:t xml:space="preserve"> joint</w:t>
      </w:r>
      <w:r w:rsidRPr="00360BAD">
        <w:t xml:space="preserve"> submission to the Committee against Torture (</w:t>
      </w:r>
      <w:r>
        <w:t xml:space="preserve">the </w:t>
      </w:r>
      <w:r w:rsidRPr="00360BAD">
        <w:rPr>
          <w:b/>
        </w:rPr>
        <w:t>Committee</w:t>
      </w:r>
      <w:r w:rsidRPr="00360BAD">
        <w:t xml:space="preserve">) ahead of its </w:t>
      </w:r>
      <w:r w:rsidRPr="00796190">
        <w:t>seventh periodic review of Aotearoa New Zealand under the Convention against Torture and Other Cruel, Inhuman or Degrading Treatment or Punishment (</w:t>
      </w:r>
      <w:r w:rsidRPr="00796190">
        <w:rPr>
          <w:b/>
        </w:rPr>
        <w:t>Convention</w:t>
      </w:r>
      <w:r w:rsidRPr="00796190">
        <w:t>).</w:t>
      </w:r>
    </w:p>
    <w:p w14:paraId="7FBD9188" w14:textId="77777777" w:rsidR="00DC0534" w:rsidRDefault="00D43329" w:rsidP="008E66C6">
      <w:pPr>
        <w:numPr>
          <w:ilvl w:val="0"/>
          <w:numId w:val="1"/>
        </w:numPr>
        <w:ind w:left="357" w:hanging="357"/>
        <w:jc w:val="both"/>
      </w:pPr>
      <w:r w:rsidRPr="00360BAD">
        <w:t>This submission is provided in response to the Committee’s List of Issues Prior to Reporting (</w:t>
      </w:r>
      <w:r w:rsidRPr="00D61002">
        <w:rPr>
          <w:b/>
        </w:rPr>
        <w:t>List of Issues</w:t>
      </w:r>
      <w:r>
        <w:rPr>
          <w:bCs/>
        </w:rPr>
        <w:t>)</w:t>
      </w:r>
      <w:r w:rsidRPr="00360BAD">
        <w:t xml:space="preserve"> provided to the </w:t>
      </w:r>
      <w:r>
        <w:t xml:space="preserve">Aotearoa </w:t>
      </w:r>
      <w:r w:rsidRPr="00360BAD">
        <w:t>New Zealand Government</w:t>
      </w:r>
      <w:r>
        <w:t xml:space="preserve"> (</w:t>
      </w:r>
      <w:r w:rsidRPr="00D61002">
        <w:rPr>
          <w:b/>
          <w:bCs/>
        </w:rPr>
        <w:t>Government</w:t>
      </w:r>
      <w:r>
        <w:t>)</w:t>
      </w:r>
      <w:r w:rsidRPr="00360BAD">
        <w:t xml:space="preserve"> on 12 May 2017 and the </w:t>
      </w:r>
      <w:r>
        <w:t>Government’s</w:t>
      </w:r>
      <w:r w:rsidRPr="00360BAD">
        <w:t xml:space="preserve"> Report dated 16 March 2020. </w:t>
      </w:r>
    </w:p>
    <w:p w14:paraId="1039DDA5" w14:textId="43DA7683" w:rsidR="00D43329" w:rsidRDefault="00304380" w:rsidP="008E66C6">
      <w:pPr>
        <w:numPr>
          <w:ilvl w:val="0"/>
          <w:numId w:val="1"/>
        </w:numPr>
        <w:ind w:left="357" w:hanging="357"/>
        <w:jc w:val="both"/>
      </w:pPr>
      <w:r>
        <w:t>This submission does not address every matter raised in the List of Issues</w:t>
      </w:r>
      <w:r w:rsidR="00043A04">
        <w:t xml:space="preserve">, but instead provides comment on </w:t>
      </w:r>
      <w:r w:rsidR="00F33706">
        <w:t xml:space="preserve">a selection of issues that are of key importance to the Aotearoa </w:t>
      </w:r>
      <w:r w:rsidR="00294A3A" w:rsidRPr="00360BAD">
        <w:t xml:space="preserve">New Zealand </w:t>
      </w:r>
      <w:r w:rsidR="00F33706">
        <w:t>NPMs</w:t>
      </w:r>
      <w:r w:rsidR="00DC0534">
        <w:t xml:space="preserve">. </w:t>
      </w:r>
      <w:r w:rsidR="00D43329" w:rsidRPr="00360BAD">
        <w:t>This submission is structured</w:t>
      </w:r>
      <w:r w:rsidR="00D43329">
        <w:t xml:space="preserve"> as follows:</w:t>
      </w:r>
    </w:p>
    <w:p w14:paraId="5E2A7C2A" w14:textId="2F015FE0" w:rsidR="00D43329" w:rsidRDefault="00D43329" w:rsidP="008E66C6">
      <w:pPr>
        <w:numPr>
          <w:ilvl w:val="1"/>
          <w:numId w:val="1"/>
        </w:numPr>
        <w:ind w:left="981" w:hanging="357"/>
        <w:jc w:val="both"/>
      </w:pPr>
      <w:r w:rsidRPr="00701C8A">
        <w:rPr>
          <w:b/>
          <w:bCs/>
        </w:rPr>
        <w:t>Aotearoa</w:t>
      </w:r>
      <w:r w:rsidR="00EC13E3">
        <w:rPr>
          <w:b/>
          <w:bCs/>
        </w:rPr>
        <w:t xml:space="preserve"> </w:t>
      </w:r>
      <w:r w:rsidR="00EC13E3" w:rsidRPr="00EC13E3">
        <w:rPr>
          <w:b/>
          <w:bCs/>
        </w:rPr>
        <w:t>New Zealand</w:t>
      </w:r>
      <w:r w:rsidRPr="00701C8A">
        <w:rPr>
          <w:b/>
          <w:bCs/>
        </w:rPr>
        <w:t xml:space="preserve"> context</w:t>
      </w:r>
      <w:r w:rsidR="00701C8A">
        <w:t xml:space="preserve">, </w:t>
      </w:r>
      <w:r w:rsidR="00AF212B">
        <w:t xml:space="preserve">first outlining the structure and functions of Aotearoa </w:t>
      </w:r>
      <w:r w:rsidR="00294A3A" w:rsidRPr="00360BAD">
        <w:t xml:space="preserve">New Zealand </w:t>
      </w:r>
      <w:r w:rsidR="00AF212B">
        <w:t>NPMs</w:t>
      </w:r>
      <w:r w:rsidR="00C62753">
        <w:t>,</w:t>
      </w:r>
      <w:r w:rsidR="00AF212B">
        <w:t xml:space="preserve"> and</w:t>
      </w:r>
      <w:r w:rsidR="008044BE">
        <w:t xml:space="preserve"> secondly, explaining obligations under Te </w:t>
      </w:r>
      <w:proofErr w:type="spellStart"/>
      <w:r w:rsidR="008044BE">
        <w:t>Tiriti</w:t>
      </w:r>
      <w:proofErr w:type="spellEnd"/>
      <w:r w:rsidR="008044BE">
        <w:t xml:space="preserve"> o Waitangi relevant to </w:t>
      </w:r>
      <w:r w:rsidR="00AC4BA3">
        <w:t>persons deprived of their liberty in Aotearoa</w:t>
      </w:r>
      <w:r w:rsidR="00157AB7">
        <w:t xml:space="preserve"> </w:t>
      </w:r>
      <w:bookmarkStart w:id="6" w:name="_Hlk137035244"/>
      <w:r w:rsidR="00157AB7" w:rsidRPr="00360BAD">
        <w:t>New Zealand</w:t>
      </w:r>
      <w:bookmarkEnd w:id="6"/>
      <w:r w:rsidR="008044BE">
        <w:t xml:space="preserve">. </w:t>
      </w:r>
    </w:p>
    <w:p w14:paraId="48F0F153" w14:textId="75E8B4ED" w:rsidR="00F45AFD" w:rsidRDefault="00286AC7" w:rsidP="008E66C6">
      <w:pPr>
        <w:numPr>
          <w:ilvl w:val="1"/>
          <w:numId w:val="1"/>
        </w:numPr>
        <w:ind w:left="981" w:hanging="357"/>
        <w:jc w:val="both"/>
      </w:pPr>
      <w:r w:rsidRPr="00701C8A">
        <w:rPr>
          <w:b/>
          <w:bCs/>
        </w:rPr>
        <w:t>Impacts of COVID-19</w:t>
      </w:r>
      <w:r w:rsidR="003A2BBF">
        <w:t xml:space="preserve">, discussed in the context of both </w:t>
      </w:r>
      <w:r w:rsidR="00EB769B">
        <w:t xml:space="preserve">the NPM’s </w:t>
      </w:r>
      <w:r w:rsidR="00443CE6">
        <w:t>access</w:t>
      </w:r>
      <w:r w:rsidR="00384A67">
        <w:t xml:space="preserve"> to</w:t>
      </w:r>
      <w:r w:rsidR="00443CE6">
        <w:t xml:space="preserve"> </w:t>
      </w:r>
      <w:r w:rsidR="00EB769B">
        <w:t>and monitoring practices in places of detention</w:t>
      </w:r>
      <w:r w:rsidR="003A2BBF">
        <w:t>,</w:t>
      </w:r>
      <w:r w:rsidR="00FF3BFB">
        <w:t xml:space="preserve"> and </w:t>
      </w:r>
      <w:r w:rsidR="00A22AC1">
        <w:t xml:space="preserve">the </w:t>
      </w:r>
      <w:r w:rsidR="00FF3BFB">
        <w:t>conditions and treatment of persons deprived of their liberty in Aotear</w:t>
      </w:r>
      <w:r w:rsidR="00A22AC1">
        <w:t>o</w:t>
      </w:r>
      <w:r w:rsidR="00FF3BFB">
        <w:t>a</w:t>
      </w:r>
      <w:r w:rsidR="00157AB7">
        <w:t xml:space="preserve"> </w:t>
      </w:r>
      <w:r w:rsidR="00157AB7" w:rsidRPr="00360BAD">
        <w:t>New Zealand</w:t>
      </w:r>
      <w:r w:rsidR="00FF3BFB">
        <w:t xml:space="preserve">. </w:t>
      </w:r>
    </w:p>
    <w:p w14:paraId="229E1F86" w14:textId="49175DF6" w:rsidR="00384A67" w:rsidRDefault="00D43329" w:rsidP="008E66C6">
      <w:pPr>
        <w:numPr>
          <w:ilvl w:val="1"/>
          <w:numId w:val="1"/>
        </w:numPr>
        <w:ind w:left="981" w:hanging="357"/>
        <w:jc w:val="both"/>
      </w:pPr>
      <w:r>
        <w:t xml:space="preserve">Observations in response to some of the thematic issues raised in the List of Issues, </w:t>
      </w:r>
      <w:r w:rsidR="00DD1D3A">
        <w:t>in particular:</w:t>
      </w:r>
    </w:p>
    <w:p w14:paraId="656BAA9C" w14:textId="2697A3EB" w:rsidR="00DD1D3A" w:rsidRDefault="00442299" w:rsidP="008E66C6">
      <w:pPr>
        <w:numPr>
          <w:ilvl w:val="2"/>
          <w:numId w:val="1"/>
        </w:numPr>
        <w:jc w:val="both"/>
      </w:pPr>
      <w:r w:rsidRPr="00442299">
        <w:t>Under</w:t>
      </w:r>
      <w:r>
        <w:rPr>
          <w:b/>
          <w:bCs/>
        </w:rPr>
        <w:t xml:space="preserve"> </w:t>
      </w:r>
      <w:r w:rsidR="00DD1D3A">
        <w:rPr>
          <w:b/>
          <w:bCs/>
        </w:rPr>
        <w:t xml:space="preserve">Article 2 </w:t>
      </w:r>
      <w:r>
        <w:t xml:space="preserve">of the Convention, </w:t>
      </w:r>
      <w:r w:rsidR="009C05FB">
        <w:t xml:space="preserve">a summary of the </w:t>
      </w:r>
      <w:r w:rsidR="009C05FB" w:rsidRPr="00C41C6D">
        <w:rPr>
          <w:b/>
          <w:bCs/>
        </w:rPr>
        <w:t xml:space="preserve">Aotearoa </w:t>
      </w:r>
      <w:r w:rsidR="00294A3A" w:rsidRPr="00294A3A">
        <w:rPr>
          <w:b/>
          <w:bCs/>
        </w:rPr>
        <w:t xml:space="preserve">New Zealand </w:t>
      </w:r>
      <w:r w:rsidR="009C05FB" w:rsidRPr="00C41C6D">
        <w:rPr>
          <w:b/>
          <w:bCs/>
        </w:rPr>
        <w:t>NPMs’ key activities</w:t>
      </w:r>
      <w:r w:rsidR="009C05FB">
        <w:t xml:space="preserve"> over the reporting period, the</w:t>
      </w:r>
      <w:r w:rsidR="001F0B3D">
        <w:t>ir resourcing</w:t>
      </w:r>
      <w:r w:rsidR="00C41C6D">
        <w:t xml:space="preserve">, and engagement with </w:t>
      </w:r>
      <w:r w:rsidR="00FF2FC4">
        <w:t xml:space="preserve">Government </w:t>
      </w:r>
      <w:r w:rsidR="00C41C6D">
        <w:t xml:space="preserve">detaining agencies. </w:t>
      </w:r>
    </w:p>
    <w:p w14:paraId="68F23FF0" w14:textId="094A98A3" w:rsidR="00DD1D3A" w:rsidRDefault="00C41C6D" w:rsidP="008E66C6">
      <w:pPr>
        <w:numPr>
          <w:ilvl w:val="2"/>
          <w:numId w:val="1"/>
        </w:numPr>
        <w:jc w:val="both"/>
      </w:pPr>
      <w:r>
        <w:t xml:space="preserve">Under </w:t>
      </w:r>
      <w:r w:rsidR="00DD1D3A" w:rsidRPr="00C41C6D">
        <w:rPr>
          <w:b/>
          <w:bCs/>
        </w:rPr>
        <w:t>Article 10</w:t>
      </w:r>
      <w:r w:rsidR="00DD1D3A">
        <w:t xml:space="preserve"> </w:t>
      </w:r>
      <w:r>
        <w:t xml:space="preserve">of the Convention, </w:t>
      </w:r>
      <w:r w:rsidR="00583F4D">
        <w:t xml:space="preserve">issues relating to the </w:t>
      </w:r>
      <w:r w:rsidR="00583F4D" w:rsidRPr="00583F4D">
        <w:rPr>
          <w:b/>
          <w:bCs/>
        </w:rPr>
        <w:t>training and education of law enforcement and custodial personnel</w:t>
      </w:r>
      <w:r w:rsidR="00583F4D">
        <w:t xml:space="preserve"> pertaining to human rights obligations and the prevention of torture and cruel, </w:t>
      </w:r>
      <w:proofErr w:type="gramStart"/>
      <w:r w:rsidR="00583F4D">
        <w:t>inhuman</w:t>
      </w:r>
      <w:proofErr w:type="gramEnd"/>
      <w:r w:rsidR="00583F4D">
        <w:t xml:space="preserve"> or degrading treatment (</w:t>
      </w:r>
      <w:r w:rsidR="00583F4D">
        <w:rPr>
          <w:b/>
          <w:bCs/>
        </w:rPr>
        <w:t>ill</w:t>
      </w:r>
      <w:r w:rsidR="000240B8">
        <w:rPr>
          <w:b/>
          <w:bCs/>
        </w:rPr>
        <w:t>-</w:t>
      </w:r>
      <w:r w:rsidR="00583F4D">
        <w:rPr>
          <w:b/>
          <w:bCs/>
        </w:rPr>
        <w:t>treatment</w:t>
      </w:r>
      <w:r w:rsidR="00583F4D">
        <w:t xml:space="preserve">). </w:t>
      </w:r>
    </w:p>
    <w:p w14:paraId="0058EBB7" w14:textId="6090826A" w:rsidR="00DD1D3A" w:rsidRDefault="00583F4D" w:rsidP="008E66C6">
      <w:pPr>
        <w:numPr>
          <w:ilvl w:val="2"/>
          <w:numId w:val="1"/>
        </w:numPr>
        <w:jc w:val="both"/>
      </w:pPr>
      <w:r>
        <w:t xml:space="preserve">Under </w:t>
      </w:r>
      <w:r w:rsidR="00DD1D3A" w:rsidRPr="00583F4D">
        <w:rPr>
          <w:b/>
          <w:bCs/>
        </w:rPr>
        <w:t>Article 16</w:t>
      </w:r>
      <w:r w:rsidR="00DD1D3A">
        <w:t xml:space="preserve"> </w:t>
      </w:r>
      <w:r>
        <w:t xml:space="preserve">of the Convention, </w:t>
      </w:r>
      <w:r w:rsidR="003F366F">
        <w:t xml:space="preserve">key concerns observed by the Aotearoa </w:t>
      </w:r>
      <w:r w:rsidR="00971C07" w:rsidRPr="00360BAD">
        <w:t xml:space="preserve">New Zealand </w:t>
      </w:r>
      <w:r w:rsidR="003F366F">
        <w:t xml:space="preserve">NPMs through their monitoring functions, specifically </w:t>
      </w:r>
      <w:r w:rsidR="00937653">
        <w:t>support for the</w:t>
      </w:r>
      <w:r w:rsidR="00F12CC8">
        <w:t xml:space="preserve"> </w:t>
      </w:r>
      <w:r w:rsidR="00F12CC8" w:rsidRPr="00F12CC8">
        <w:rPr>
          <w:b/>
          <w:bCs/>
        </w:rPr>
        <w:t>mental health</w:t>
      </w:r>
      <w:r w:rsidR="00F12CC8">
        <w:t xml:space="preserve"> of persons deprived of their liberty and </w:t>
      </w:r>
      <w:r w:rsidR="00F12CC8" w:rsidRPr="00F12CC8">
        <w:rPr>
          <w:b/>
          <w:bCs/>
        </w:rPr>
        <w:t>material conditions</w:t>
      </w:r>
      <w:r w:rsidR="00F12CC8">
        <w:t xml:space="preserve"> of detention in Aotearoa</w:t>
      </w:r>
      <w:r w:rsidR="00157AB7">
        <w:t xml:space="preserve"> </w:t>
      </w:r>
      <w:r w:rsidR="00157AB7" w:rsidRPr="00360BAD">
        <w:t>New Zealand</w:t>
      </w:r>
      <w:r w:rsidR="00F12CC8">
        <w:t xml:space="preserve">. </w:t>
      </w:r>
    </w:p>
    <w:p w14:paraId="21A0D3DD" w14:textId="7B97BBA7" w:rsidR="003B1832" w:rsidRDefault="00221952" w:rsidP="008E66C6">
      <w:pPr>
        <w:numPr>
          <w:ilvl w:val="0"/>
          <w:numId w:val="1"/>
        </w:numPr>
        <w:ind w:left="357" w:hanging="357"/>
        <w:jc w:val="both"/>
      </w:pPr>
      <w:r>
        <w:t>The</w:t>
      </w:r>
      <w:r w:rsidR="000E706D">
        <w:t xml:space="preserve"> NPMs</w:t>
      </w:r>
      <w:r w:rsidR="00123549">
        <w:t xml:space="preserve"> seek to </w:t>
      </w:r>
      <w:r>
        <w:t>assist the</w:t>
      </w:r>
      <w:r w:rsidR="00123549">
        <w:t xml:space="preserve"> Committee </w:t>
      </w:r>
      <w:r>
        <w:t xml:space="preserve">in </w:t>
      </w:r>
      <w:r w:rsidR="008C5FE1">
        <w:t>its</w:t>
      </w:r>
      <w:r w:rsidR="00E12643">
        <w:t xml:space="preserve"> review of </w:t>
      </w:r>
      <w:r>
        <w:t>Aotearoa</w:t>
      </w:r>
      <w:r w:rsidR="00157AB7">
        <w:t xml:space="preserve"> </w:t>
      </w:r>
      <w:r w:rsidR="00157AB7" w:rsidRPr="00360BAD">
        <w:t>New Zealand</w:t>
      </w:r>
      <w:r>
        <w:t>,</w:t>
      </w:r>
      <w:r w:rsidR="003B1832">
        <w:t xml:space="preserve"> </w:t>
      </w:r>
      <w:proofErr w:type="gramStart"/>
      <w:r>
        <w:t>in light of</w:t>
      </w:r>
      <w:proofErr w:type="gramEnd"/>
      <w:r>
        <w:t xml:space="preserve"> the </w:t>
      </w:r>
      <w:r w:rsidR="00121482">
        <w:t>vital correlation between deprivation of liberty and risk of torture and ill-treatment</w:t>
      </w:r>
      <w:r w:rsidR="003B1832">
        <w:t xml:space="preserve">. </w:t>
      </w:r>
      <w:r w:rsidR="00121482">
        <w:t xml:space="preserve"> </w:t>
      </w:r>
      <w:r w:rsidR="003B1832">
        <w:t xml:space="preserve">The submission </w:t>
      </w:r>
      <w:r w:rsidR="009C1419">
        <w:t>makes</w:t>
      </w:r>
      <w:r w:rsidR="003B1832">
        <w:t xml:space="preserve"> </w:t>
      </w:r>
      <w:r w:rsidR="0031590A">
        <w:t xml:space="preserve">several </w:t>
      </w:r>
      <w:r w:rsidR="003B1832" w:rsidRPr="00724018">
        <w:t xml:space="preserve">recommendations </w:t>
      </w:r>
      <w:r w:rsidR="009C1419">
        <w:t>f</w:t>
      </w:r>
      <w:r w:rsidR="003B1832" w:rsidRPr="00724018">
        <w:t>or further enquiries the Committee may wish to make to the Government.</w:t>
      </w:r>
    </w:p>
    <w:p w14:paraId="2CEF19B5" w14:textId="22E80DE0" w:rsidR="0015229F" w:rsidRDefault="00F514FA" w:rsidP="008E66C6">
      <w:pPr>
        <w:numPr>
          <w:ilvl w:val="0"/>
          <w:numId w:val="1"/>
        </w:numPr>
        <w:ind w:left="357" w:hanging="357"/>
        <w:jc w:val="both"/>
      </w:pPr>
      <w:r>
        <w:t xml:space="preserve">Individual </w:t>
      </w:r>
      <w:r w:rsidR="0015229F">
        <w:t xml:space="preserve">NPMs have also </w:t>
      </w:r>
      <w:r w:rsidR="00CC28E7">
        <w:t>provided</w:t>
      </w:r>
      <w:r w:rsidR="0015229F">
        <w:t xml:space="preserve"> independent submissions </w:t>
      </w:r>
      <w:r w:rsidR="00CC28E7">
        <w:t>to</w:t>
      </w:r>
      <w:r w:rsidR="0015229F">
        <w:t xml:space="preserve"> the Committee</w:t>
      </w:r>
      <w:r w:rsidR="004233EC">
        <w:t xml:space="preserve"> for its seventh periodic review of Aotearoa</w:t>
      </w:r>
      <w:r w:rsidR="00157AB7">
        <w:t xml:space="preserve"> </w:t>
      </w:r>
      <w:r w:rsidR="00157AB7" w:rsidRPr="00360BAD">
        <w:t>New Zealand</w:t>
      </w:r>
      <w:r w:rsidR="004233EC">
        <w:t>. These independent submissions are cross-referenced through</w:t>
      </w:r>
      <w:r w:rsidR="00CC28E7">
        <w:t>out</w:t>
      </w:r>
      <w:r w:rsidR="004233EC">
        <w:t xml:space="preserve"> this joint submission of the Aotearoa </w:t>
      </w:r>
      <w:r w:rsidR="00971C07" w:rsidRPr="00360BAD">
        <w:t xml:space="preserve">New Zealand </w:t>
      </w:r>
      <w:r w:rsidR="004233EC">
        <w:t>NPMs</w:t>
      </w:r>
      <w:r w:rsidR="00CC28E7">
        <w:t xml:space="preserve"> where </w:t>
      </w:r>
      <w:r w:rsidR="005A18D4">
        <w:t>appropriate</w:t>
      </w:r>
      <w:r w:rsidR="00CC28E7">
        <w:t xml:space="preserve">. </w:t>
      </w:r>
    </w:p>
    <w:p w14:paraId="527932DD" w14:textId="5517AB15" w:rsidR="00F45AFD" w:rsidRDefault="00F45AFD" w:rsidP="008E66C6">
      <w:pPr>
        <w:pStyle w:val="Heading1"/>
        <w:numPr>
          <w:ilvl w:val="0"/>
          <w:numId w:val="2"/>
        </w:numPr>
        <w:tabs>
          <w:tab w:val="num" w:pos="360"/>
        </w:tabs>
        <w:spacing w:after="240"/>
        <w:ind w:left="624" w:hanging="624"/>
        <w:jc w:val="both"/>
        <w:rPr>
          <w:sz w:val="28"/>
          <w:szCs w:val="28"/>
        </w:rPr>
      </w:pPr>
      <w:bookmarkStart w:id="7" w:name="_Toc137480587"/>
      <w:bookmarkStart w:id="8" w:name="_Toc136608727"/>
      <w:bookmarkStart w:id="9" w:name="_Toc136611030"/>
      <w:bookmarkStart w:id="10" w:name="_Toc136611081"/>
      <w:bookmarkStart w:id="11" w:name="_Toc136613288"/>
      <w:r>
        <w:rPr>
          <w:sz w:val="28"/>
          <w:szCs w:val="28"/>
        </w:rPr>
        <w:t xml:space="preserve">Aotearoa </w:t>
      </w:r>
      <w:r w:rsidR="00157AB7" w:rsidRPr="00157AB7">
        <w:rPr>
          <w:sz w:val="28"/>
          <w:szCs w:val="28"/>
        </w:rPr>
        <w:t xml:space="preserve">New Zealand </w:t>
      </w:r>
      <w:r>
        <w:rPr>
          <w:sz w:val="28"/>
          <w:szCs w:val="28"/>
        </w:rPr>
        <w:t>context</w:t>
      </w:r>
      <w:bookmarkEnd w:id="7"/>
    </w:p>
    <w:p w14:paraId="73DBFE41" w14:textId="6C5325D2" w:rsidR="00F45AFD" w:rsidRPr="00B30480" w:rsidRDefault="00F45AFD" w:rsidP="008E66C6">
      <w:pPr>
        <w:pStyle w:val="Heading2"/>
        <w:jc w:val="both"/>
        <w:rPr>
          <w:rStyle w:val="Heading2Char"/>
        </w:rPr>
      </w:pPr>
      <w:bookmarkStart w:id="12" w:name="_Toc137480588"/>
      <w:r w:rsidRPr="00B30480">
        <w:rPr>
          <w:rStyle w:val="Heading2Char"/>
        </w:rPr>
        <w:t xml:space="preserve">Structure and functions of Aotearoa </w:t>
      </w:r>
      <w:r w:rsidR="00971C07" w:rsidRPr="00971C07">
        <w:rPr>
          <w:b w:val="0"/>
          <w:bCs w:val="0"/>
        </w:rPr>
        <w:t xml:space="preserve">New Zealand </w:t>
      </w:r>
      <w:r w:rsidRPr="00B30480">
        <w:rPr>
          <w:rStyle w:val="Heading2Char"/>
        </w:rPr>
        <w:t>NPMs</w:t>
      </w:r>
      <w:bookmarkEnd w:id="12"/>
    </w:p>
    <w:p w14:paraId="1A9DA81C" w14:textId="32531CBC" w:rsidR="00D30027" w:rsidRDefault="006600BC" w:rsidP="008E66C6">
      <w:pPr>
        <w:numPr>
          <w:ilvl w:val="0"/>
          <w:numId w:val="1"/>
        </w:numPr>
        <w:ind w:left="357" w:hanging="357"/>
        <w:jc w:val="both"/>
        <w:rPr>
          <w:rStyle w:val="normaltextrun"/>
        </w:rPr>
      </w:pPr>
      <w:r>
        <w:rPr>
          <w:rStyle w:val="normaltextrun"/>
          <w:lang w:eastAsia="en-NZ"/>
        </w:rPr>
        <w:t xml:space="preserve">Aotearoa </w:t>
      </w:r>
      <w:r w:rsidR="00157AB7" w:rsidRPr="00360BAD">
        <w:t>New Zealand</w:t>
      </w:r>
      <w:r w:rsidR="00157AB7">
        <w:rPr>
          <w:rStyle w:val="normaltextrun"/>
          <w:lang w:eastAsia="en-NZ"/>
        </w:rPr>
        <w:t xml:space="preserve"> </w:t>
      </w:r>
      <w:r>
        <w:rPr>
          <w:rStyle w:val="normaltextrun"/>
          <w:lang w:eastAsia="en-NZ"/>
        </w:rPr>
        <w:t xml:space="preserve">has a multi-body </w:t>
      </w:r>
      <w:r w:rsidR="00586841">
        <w:rPr>
          <w:rStyle w:val="normaltextrun"/>
          <w:lang w:eastAsia="en-NZ"/>
        </w:rPr>
        <w:t>NPM</w:t>
      </w:r>
      <w:r>
        <w:rPr>
          <w:rStyle w:val="normaltextrun"/>
          <w:lang w:eastAsia="en-NZ"/>
        </w:rPr>
        <w:t xml:space="preserve"> which is mandated to carry out the preventive functions established under articles 1 and 3 of </w:t>
      </w:r>
      <w:r w:rsidR="00085732" w:rsidRPr="00360BAD">
        <w:t xml:space="preserve">Optional Protocol to the Convention </w:t>
      </w:r>
      <w:r w:rsidR="00230FD7">
        <w:t>a</w:t>
      </w:r>
      <w:r w:rsidR="00085732" w:rsidRPr="00360BAD">
        <w:t>gainst Torture (</w:t>
      </w:r>
      <w:r w:rsidR="00085732" w:rsidRPr="00D61002">
        <w:rPr>
          <w:b/>
        </w:rPr>
        <w:t>OPCAT</w:t>
      </w:r>
      <w:r w:rsidR="00085732" w:rsidRPr="00360BAD">
        <w:t>)</w:t>
      </w:r>
      <w:r>
        <w:rPr>
          <w:rStyle w:val="normaltextrun"/>
          <w:lang w:eastAsia="en-NZ"/>
        </w:rPr>
        <w:t xml:space="preserve">. This mandate is reflected in </w:t>
      </w:r>
      <w:r w:rsidR="00F8424C">
        <w:rPr>
          <w:rStyle w:val="normaltextrun"/>
          <w:lang w:eastAsia="en-NZ"/>
        </w:rPr>
        <w:t>Aotearoa</w:t>
      </w:r>
      <w:r w:rsidR="00157AB7">
        <w:rPr>
          <w:rStyle w:val="normaltextrun"/>
          <w:lang w:eastAsia="en-NZ"/>
        </w:rPr>
        <w:t xml:space="preserve"> </w:t>
      </w:r>
      <w:r w:rsidR="00157AB7" w:rsidRPr="00360BAD">
        <w:t>New Zealand</w:t>
      </w:r>
      <w:r>
        <w:rPr>
          <w:rStyle w:val="normaltextrun"/>
          <w:lang w:eastAsia="en-NZ"/>
        </w:rPr>
        <w:t>’s domestic legislation through the Crimes of Torture Act 1989 (</w:t>
      </w:r>
      <w:r w:rsidRPr="001406C1">
        <w:rPr>
          <w:rStyle w:val="normaltextrun"/>
          <w:b/>
          <w:bCs/>
          <w:lang w:eastAsia="en-NZ"/>
        </w:rPr>
        <w:t>COTA</w:t>
      </w:r>
      <w:r>
        <w:rPr>
          <w:rStyle w:val="normaltextrun"/>
          <w:lang w:eastAsia="en-NZ"/>
        </w:rPr>
        <w:t xml:space="preserve">). </w:t>
      </w:r>
    </w:p>
    <w:p w14:paraId="10893C85" w14:textId="4C02CAE5" w:rsidR="007D4BC9" w:rsidRDefault="007D4BC9" w:rsidP="008E66C6">
      <w:pPr>
        <w:pStyle w:val="Heading3"/>
        <w:jc w:val="both"/>
        <w:rPr>
          <w:rStyle w:val="normaltextrun"/>
        </w:rPr>
      </w:pPr>
      <w:bookmarkStart w:id="13" w:name="_Toc137480589"/>
      <w:r>
        <w:t>Human Rights Commission</w:t>
      </w:r>
      <w:bookmarkEnd w:id="13"/>
    </w:p>
    <w:p w14:paraId="44FAB02E" w14:textId="1C7A1213" w:rsidR="000365C4" w:rsidRPr="000365C4" w:rsidRDefault="00D30027" w:rsidP="008E66C6">
      <w:pPr>
        <w:numPr>
          <w:ilvl w:val="0"/>
          <w:numId w:val="1"/>
        </w:numPr>
        <w:jc w:val="both"/>
        <w:rPr>
          <w:lang w:eastAsia="en-NZ"/>
        </w:rPr>
      </w:pPr>
      <w:r w:rsidRPr="00D30027">
        <w:rPr>
          <w:rStyle w:val="normaltextrun"/>
          <w:color w:val="221E1F"/>
          <w:shd w:val="clear" w:color="auto" w:fill="FFFFFF"/>
          <w:lang w:val="en-GB"/>
        </w:rPr>
        <w:t>The Te K</w:t>
      </w:r>
      <w:r w:rsidR="00EB428E">
        <w:rPr>
          <w:rStyle w:val="normaltextrun"/>
          <w:rFonts w:cstheme="minorHAnsi"/>
          <w:color w:val="221E1F"/>
          <w:shd w:val="clear" w:color="auto" w:fill="FFFFFF"/>
          <w:lang w:val="en-GB"/>
        </w:rPr>
        <w:t>ā</w:t>
      </w:r>
      <w:r w:rsidRPr="00D30027">
        <w:rPr>
          <w:rStyle w:val="normaltextrun"/>
          <w:color w:val="221E1F"/>
          <w:shd w:val="clear" w:color="auto" w:fill="FFFFFF"/>
          <w:lang w:val="en-GB"/>
        </w:rPr>
        <w:t>h</w:t>
      </w:r>
      <w:r w:rsidR="00EB428E">
        <w:rPr>
          <w:rStyle w:val="normaltextrun"/>
          <w:color w:val="221E1F"/>
          <w:shd w:val="clear" w:color="auto" w:fill="FFFFFF"/>
          <w:lang w:val="en-GB"/>
        </w:rPr>
        <w:t>u</w:t>
      </w:r>
      <w:r w:rsidRPr="00D30027">
        <w:rPr>
          <w:rStyle w:val="normaltextrun"/>
          <w:color w:val="221E1F"/>
          <w:shd w:val="clear" w:color="auto" w:fill="FFFFFF"/>
          <w:lang w:val="en-GB"/>
        </w:rPr>
        <w:t xml:space="preserve">i Tika </w:t>
      </w:r>
      <w:proofErr w:type="spellStart"/>
      <w:r w:rsidRPr="00D30027">
        <w:rPr>
          <w:rStyle w:val="normaltextrun"/>
          <w:color w:val="221E1F"/>
          <w:shd w:val="clear" w:color="auto" w:fill="FFFFFF"/>
          <w:lang w:val="en-GB"/>
        </w:rPr>
        <w:t>T</w:t>
      </w:r>
      <w:r w:rsidR="002E5304">
        <w:rPr>
          <w:rStyle w:val="normaltextrun"/>
          <w:color w:val="221E1F"/>
          <w:shd w:val="clear" w:color="auto" w:fill="FFFFFF"/>
          <w:lang w:val="en-GB"/>
        </w:rPr>
        <w:t>a</w:t>
      </w:r>
      <w:r w:rsidRPr="00D30027">
        <w:rPr>
          <w:rStyle w:val="normaltextrun"/>
          <w:color w:val="221E1F"/>
          <w:shd w:val="clear" w:color="auto" w:fill="FFFFFF"/>
          <w:lang w:val="en-GB"/>
        </w:rPr>
        <w:t>ngata</w:t>
      </w:r>
      <w:proofErr w:type="spellEnd"/>
      <w:r w:rsidRPr="00D30027">
        <w:rPr>
          <w:rStyle w:val="normaltextrun"/>
          <w:color w:val="221E1F"/>
          <w:shd w:val="clear" w:color="auto" w:fill="FFFFFF"/>
          <w:lang w:val="en-GB"/>
        </w:rPr>
        <w:t xml:space="preserve"> | New Zealand Human Rights Commission is Aotearoa</w:t>
      </w:r>
      <w:r w:rsidR="00157AB7">
        <w:rPr>
          <w:rStyle w:val="normaltextrun"/>
          <w:color w:val="221E1F"/>
          <w:shd w:val="clear" w:color="auto" w:fill="FFFFFF"/>
          <w:lang w:val="en-GB"/>
        </w:rPr>
        <w:t xml:space="preserve"> </w:t>
      </w:r>
      <w:r w:rsidR="00157AB7" w:rsidRPr="00360BAD">
        <w:t>New Zealand</w:t>
      </w:r>
      <w:r w:rsidRPr="00D30027">
        <w:rPr>
          <w:rStyle w:val="normaltextrun"/>
          <w:color w:val="221E1F"/>
          <w:shd w:val="clear" w:color="auto" w:fill="FFFFFF"/>
          <w:lang w:val="en-GB"/>
        </w:rPr>
        <w:t xml:space="preserve">’s designated Central NPM under OPCAT and, domestically, the COTA. </w:t>
      </w:r>
      <w:r w:rsidR="00035D65" w:rsidRPr="00035D65">
        <w:rPr>
          <w:color w:val="221E1F"/>
          <w:shd w:val="clear" w:color="auto" w:fill="FFFFFF"/>
        </w:rPr>
        <w:t xml:space="preserve">The CNPM role entails coordinating </w:t>
      </w:r>
      <w:r w:rsidR="00035D65">
        <w:rPr>
          <w:color w:val="221E1F"/>
          <w:shd w:val="clear" w:color="auto" w:fill="FFFFFF"/>
        </w:rPr>
        <w:t xml:space="preserve">the Aotearoa </w:t>
      </w:r>
      <w:r w:rsidR="00971C07" w:rsidRPr="00360BAD">
        <w:t xml:space="preserve">New Zealand </w:t>
      </w:r>
      <w:r w:rsidR="00035D65" w:rsidRPr="00035D65">
        <w:rPr>
          <w:color w:val="221E1F"/>
          <w:shd w:val="clear" w:color="auto" w:fill="FFFFFF"/>
        </w:rPr>
        <w:t>NPMs to identify systemic issues arising in places where people are deprived of their liberty.</w:t>
      </w:r>
      <w:r w:rsidR="00035D65" w:rsidRPr="00035D65">
        <w:rPr>
          <w:rStyle w:val="FootnoteReference"/>
          <w:lang w:eastAsia="en-NZ"/>
        </w:rPr>
        <w:t xml:space="preserve"> </w:t>
      </w:r>
      <w:r w:rsidR="00035D65">
        <w:rPr>
          <w:rStyle w:val="FootnoteReference"/>
          <w:lang w:eastAsia="en-NZ"/>
        </w:rPr>
        <w:footnoteReference w:id="2"/>
      </w:r>
      <w:r w:rsidR="00FF3CE8">
        <w:rPr>
          <w:lang w:eastAsia="en-NZ"/>
        </w:rPr>
        <w:t xml:space="preserve"> </w:t>
      </w:r>
      <w:r w:rsidR="00035D65" w:rsidRPr="00035D65">
        <w:rPr>
          <w:color w:val="221E1F"/>
          <w:shd w:val="clear" w:color="auto" w:fill="FFFFFF"/>
        </w:rPr>
        <w:t xml:space="preserve">The Commission also liaises with </w:t>
      </w:r>
      <w:r w:rsidR="00FF3CE8">
        <w:rPr>
          <w:color w:val="221E1F"/>
          <w:shd w:val="clear" w:color="auto" w:fill="FFFFFF"/>
        </w:rPr>
        <w:t>G</w:t>
      </w:r>
      <w:r w:rsidR="00035D65" w:rsidRPr="00035D65">
        <w:rPr>
          <w:color w:val="221E1F"/>
          <w:shd w:val="clear" w:color="auto" w:fill="FFFFFF"/>
        </w:rPr>
        <w:t xml:space="preserve">overnment and the United Nations </w:t>
      </w:r>
      <w:r w:rsidR="000616C7">
        <w:rPr>
          <w:color w:val="221E1F"/>
          <w:shd w:val="clear" w:color="auto" w:fill="FFFFFF"/>
        </w:rPr>
        <w:t>Subcommittee on Prevention of Torture (</w:t>
      </w:r>
      <w:r w:rsidR="000616C7">
        <w:rPr>
          <w:b/>
          <w:bCs/>
          <w:color w:val="221E1F"/>
          <w:shd w:val="clear" w:color="auto" w:fill="FFFFFF"/>
        </w:rPr>
        <w:t>SPT</w:t>
      </w:r>
      <w:r w:rsidR="000616C7">
        <w:rPr>
          <w:color w:val="221E1F"/>
          <w:shd w:val="clear" w:color="auto" w:fill="FFFFFF"/>
        </w:rPr>
        <w:t>)</w:t>
      </w:r>
      <w:r w:rsidR="00035D65" w:rsidRPr="00035D65">
        <w:rPr>
          <w:color w:val="221E1F"/>
          <w:shd w:val="clear" w:color="auto" w:fill="FFFFFF"/>
        </w:rPr>
        <w:t xml:space="preserve"> to strengthen protections against torture and ill-treatment. </w:t>
      </w:r>
    </w:p>
    <w:p w14:paraId="693895D6" w14:textId="572E8647" w:rsidR="00BE5A42" w:rsidRPr="00BE5A42" w:rsidRDefault="00BE462A" w:rsidP="008E66C6">
      <w:pPr>
        <w:numPr>
          <w:ilvl w:val="0"/>
          <w:numId w:val="1"/>
        </w:numPr>
        <w:jc w:val="both"/>
        <w:rPr>
          <w:lang w:eastAsia="en-NZ"/>
        </w:rPr>
      </w:pPr>
      <w:r>
        <w:rPr>
          <w:lang w:eastAsia="en-NZ"/>
        </w:rPr>
        <w:t>In addition to its role as CNPM, the Commission’s primary function is that of Aotearoa</w:t>
      </w:r>
      <w:r w:rsidR="00157AB7">
        <w:rPr>
          <w:lang w:eastAsia="en-NZ"/>
        </w:rPr>
        <w:t xml:space="preserve"> </w:t>
      </w:r>
      <w:r w:rsidR="00157AB7" w:rsidRPr="00360BAD">
        <w:t>New Zealand</w:t>
      </w:r>
      <w:r>
        <w:rPr>
          <w:lang w:eastAsia="en-NZ"/>
        </w:rPr>
        <w:t>’s National Human Rights Institution</w:t>
      </w:r>
      <w:r w:rsidR="008F6060">
        <w:rPr>
          <w:lang w:eastAsia="en-NZ"/>
        </w:rPr>
        <w:t xml:space="preserve">. </w:t>
      </w:r>
      <w:r w:rsidR="00BE5A42">
        <w:rPr>
          <w:lang w:eastAsia="en-NZ"/>
        </w:rPr>
        <w:t xml:space="preserve">As NHRI, the Commission is </w:t>
      </w:r>
      <w:r w:rsidR="008F6060">
        <w:rPr>
          <w:lang w:eastAsia="en-NZ"/>
        </w:rPr>
        <w:t>responsible for promoting and monitoring the effective implementation of international human rights standards at a national level</w:t>
      </w:r>
      <w:r w:rsidR="00BE5A42">
        <w:rPr>
          <w:lang w:eastAsia="en-NZ"/>
        </w:rPr>
        <w:t xml:space="preserve">. </w:t>
      </w:r>
    </w:p>
    <w:p w14:paraId="4FEE2A0E" w14:textId="2A9F56E6" w:rsidR="006600BC" w:rsidRPr="00BE5A42" w:rsidRDefault="00E63E83" w:rsidP="008E66C6">
      <w:pPr>
        <w:numPr>
          <w:ilvl w:val="0"/>
          <w:numId w:val="1"/>
        </w:numPr>
        <w:jc w:val="both"/>
        <w:rPr>
          <w:rStyle w:val="normaltextrun"/>
          <w:color w:val="221E1F"/>
          <w:shd w:val="clear" w:color="auto" w:fill="FFFFFF"/>
        </w:rPr>
      </w:pPr>
      <w:r>
        <w:rPr>
          <w:rStyle w:val="normaltextrun"/>
          <w:lang w:eastAsia="en-NZ"/>
        </w:rPr>
        <w:t xml:space="preserve">In addition to the </w:t>
      </w:r>
      <w:r w:rsidR="00482B8C">
        <w:rPr>
          <w:rStyle w:val="normaltextrun"/>
          <w:lang w:eastAsia="en-NZ"/>
        </w:rPr>
        <w:t>Commission as CNPM, t</w:t>
      </w:r>
      <w:r w:rsidR="006600BC">
        <w:rPr>
          <w:rStyle w:val="normaltextrun"/>
          <w:lang w:eastAsia="en-NZ"/>
        </w:rPr>
        <w:t xml:space="preserve">he following agencies within </w:t>
      </w:r>
      <w:r w:rsidR="00482B8C">
        <w:rPr>
          <w:rStyle w:val="normaltextrun"/>
          <w:lang w:eastAsia="en-NZ"/>
        </w:rPr>
        <w:t>Aotearoa</w:t>
      </w:r>
      <w:r w:rsidR="00971C07">
        <w:rPr>
          <w:rStyle w:val="normaltextrun"/>
          <w:lang w:eastAsia="en-NZ"/>
        </w:rPr>
        <w:t xml:space="preserve"> </w:t>
      </w:r>
      <w:r w:rsidR="00971C07" w:rsidRPr="00360BAD">
        <w:t>New Zealand</w:t>
      </w:r>
      <w:r w:rsidR="00482B8C">
        <w:rPr>
          <w:rStyle w:val="normaltextrun"/>
          <w:lang w:eastAsia="en-NZ"/>
        </w:rPr>
        <w:t>’s</w:t>
      </w:r>
      <w:r w:rsidR="006600BC">
        <w:rPr>
          <w:rStyle w:val="normaltextrun"/>
          <w:lang w:eastAsia="en-NZ"/>
        </w:rPr>
        <w:t xml:space="preserve"> NPM are designated to carry out a system of regular visits to places where people are deprived of their liberty:</w:t>
      </w:r>
      <w:r w:rsidR="006600BC">
        <w:rPr>
          <w:rStyle w:val="FootnoteReference"/>
          <w:lang w:eastAsia="en-NZ"/>
        </w:rPr>
        <w:footnoteReference w:id="3"/>
      </w:r>
    </w:p>
    <w:p w14:paraId="7E78A41E" w14:textId="688AAC11" w:rsidR="006600BC" w:rsidRDefault="002E5304" w:rsidP="008E66C6">
      <w:pPr>
        <w:numPr>
          <w:ilvl w:val="1"/>
          <w:numId w:val="1"/>
        </w:numPr>
        <w:jc w:val="both"/>
        <w:rPr>
          <w:rStyle w:val="normaltextrun"/>
        </w:rPr>
      </w:pPr>
      <w:r>
        <w:rPr>
          <w:rStyle w:val="normaltextrun"/>
          <w:lang w:eastAsia="en-NZ"/>
        </w:rPr>
        <w:t>Ta</w:t>
      </w:r>
      <w:r w:rsidR="00230FD7">
        <w:rPr>
          <w:rStyle w:val="normaltextrun"/>
          <w:lang w:eastAsia="en-NZ"/>
        </w:rPr>
        <w:t>r</w:t>
      </w:r>
      <w:r>
        <w:rPr>
          <w:rStyle w:val="normaltextrun"/>
          <w:lang w:eastAsia="en-NZ"/>
        </w:rPr>
        <w:t xml:space="preserve">i o te Kaitiaki Mana </w:t>
      </w:r>
      <w:proofErr w:type="spellStart"/>
      <w:r>
        <w:rPr>
          <w:rStyle w:val="normaltextrun"/>
          <w:lang w:eastAsia="en-NZ"/>
        </w:rPr>
        <w:t>Tangata</w:t>
      </w:r>
      <w:proofErr w:type="spellEnd"/>
      <w:r>
        <w:rPr>
          <w:rStyle w:val="normaltextrun"/>
          <w:lang w:eastAsia="en-NZ"/>
        </w:rPr>
        <w:t xml:space="preserve"> | </w:t>
      </w:r>
      <w:r w:rsidR="006600BC">
        <w:rPr>
          <w:rStyle w:val="normaltextrun"/>
          <w:lang w:eastAsia="en-NZ"/>
        </w:rPr>
        <w:t>Ombudsman</w:t>
      </w:r>
      <w:r>
        <w:rPr>
          <w:rStyle w:val="normaltextrun"/>
          <w:lang w:eastAsia="en-NZ"/>
        </w:rPr>
        <w:t xml:space="preserve"> New </w:t>
      </w:r>
      <w:proofErr w:type="gramStart"/>
      <w:r>
        <w:rPr>
          <w:rStyle w:val="normaltextrun"/>
          <w:lang w:eastAsia="en-NZ"/>
        </w:rPr>
        <w:t>Zealand</w:t>
      </w:r>
      <w:r w:rsidR="00DC5A64">
        <w:rPr>
          <w:rStyle w:val="normaltextrun"/>
          <w:lang w:eastAsia="en-NZ"/>
        </w:rPr>
        <w:t>;</w:t>
      </w:r>
      <w:proofErr w:type="gramEnd"/>
    </w:p>
    <w:p w14:paraId="46EA349B" w14:textId="1CB82460" w:rsidR="006600BC" w:rsidRDefault="00F061E6" w:rsidP="008E66C6">
      <w:pPr>
        <w:numPr>
          <w:ilvl w:val="1"/>
          <w:numId w:val="1"/>
        </w:numPr>
        <w:jc w:val="both"/>
        <w:rPr>
          <w:rStyle w:val="normaltextrun"/>
        </w:rPr>
      </w:pPr>
      <w:r>
        <w:rPr>
          <w:rStyle w:val="normaltextrun"/>
          <w:lang w:eastAsia="en-NZ"/>
        </w:rPr>
        <w:t xml:space="preserve">Mana </w:t>
      </w:r>
      <w:proofErr w:type="spellStart"/>
      <w:r>
        <w:rPr>
          <w:rStyle w:val="normaltextrun"/>
          <w:lang w:eastAsia="en-NZ"/>
        </w:rPr>
        <w:t>Whanonga</w:t>
      </w:r>
      <w:proofErr w:type="spellEnd"/>
      <w:r>
        <w:rPr>
          <w:rStyle w:val="normaltextrun"/>
          <w:lang w:eastAsia="en-NZ"/>
        </w:rPr>
        <w:t xml:space="preserve"> </w:t>
      </w:r>
      <w:proofErr w:type="spellStart"/>
      <w:r>
        <w:rPr>
          <w:rStyle w:val="normaltextrun"/>
          <w:lang w:eastAsia="en-NZ"/>
        </w:rPr>
        <w:t>Pirihimana</w:t>
      </w:r>
      <w:proofErr w:type="spellEnd"/>
      <w:r>
        <w:rPr>
          <w:rStyle w:val="normaltextrun"/>
          <w:lang w:eastAsia="en-NZ"/>
        </w:rPr>
        <w:t xml:space="preserve"> Motuhake | </w:t>
      </w:r>
      <w:r w:rsidR="006600BC">
        <w:rPr>
          <w:rStyle w:val="normaltextrun"/>
          <w:lang w:eastAsia="en-NZ"/>
        </w:rPr>
        <w:t xml:space="preserve">Independent Police Conduct </w:t>
      </w:r>
      <w:proofErr w:type="gramStart"/>
      <w:r w:rsidR="006600BC">
        <w:rPr>
          <w:rStyle w:val="normaltextrun"/>
          <w:lang w:eastAsia="en-NZ"/>
        </w:rPr>
        <w:t>Authority</w:t>
      </w:r>
      <w:r w:rsidR="00DC5A64">
        <w:rPr>
          <w:rStyle w:val="normaltextrun"/>
          <w:lang w:eastAsia="en-NZ"/>
        </w:rPr>
        <w:t>;</w:t>
      </w:r>
      <w:proofErr w:type="gramEnd"/>
    </w:p>
    <w:p w14:paraId="31C554B2" w14:textId="2BDF738C" w:rsidR="006600BC" w:rsidRDefault="007D4643" w:rsidP="008E66C6">
      <w:pPr>
        <w:numPr>
          <w:ilvl w:val="1"/>
          <w:numId w:val="1"/>
        </w:numPr>
        <w:jc w:val="both"/>
        <w:rPr>
          <w:rStyle w:val="normaltextrun"/>
        </w:rPr>
      </w:pPr>
      <w:proofErr w:type="spellStart"/>
      <w:r>
        <w:rPr>
          <w:rStyle w:val="normaltextrun"/>
          <w:lang w:eastAsia="en-NZ"/>
        </w:rPr>
        <w:t>Manaakitia</w:t>
      </w:r>
      <w:proofErr w:type="spellEnd"/>
      <w:r>
        <w:rPr>
          <w:rStyle w:val="normaltextrun"/>
          <w:lang w:eastAsia="en-NZ"/>
        </w:rPr>
        <w:t xml:space="preserve"> </w:t>
      </w:r>
      <w:r w:rsidR="00195439">
        <w:rPr>
          <w:rStyle w:val="normaltextrun"/>
          <w:rFonts w:cstheme="minorHAnsi"/>
          <w:lang w:eastAsia="en-NZ"/>
        </w:rPr>
        <w:t>ā</w:t>
      </w:r>
      <w:r>
        <w:rPr>
          <w:rStyle w:val="normaltextrun"/>
          <w:rFonts w:cstheme="minorHAnsi"/>
          <w:lang w:eastAsia="en-NZ"/>
        </w:rPr>
        <w:t xml:space="preserve"> </w:t>
      </w:r>
      <w:proofErr w:type="spellStart"/>
      <w:r>
        <w:rPr>
          <w:rStyle w:val="normaltextrun"/>
          <w:rFonts w:cstheme="minorHAnsi"/>
          <w:lang w:eastAsia="en-NZ"/>
        </w:rPr>
        <w:t>Tātou</w:t>
      </w:r>
      <w:proofErr w:type="spellEnd"/>
      <w:r>
        <w:rPr>
          <w:rStyle w:val="normaltextrun"/>
          <w:rFonts w:cstheme="minorHAnsi"/>
          <w:lang w:eastAsia="en-NZ"/>
        </w:rPr>
        <w:t xml:space="preserve"> </w:t>
      </w:r>
      <w:r w:rsidR="00195439">
        <w:rPr>
          <w:rStyle w:val="normaltextrun"/>
          <w:rFonts w:cstheme="minorHAnsi"/>
          <w:lang w:eastAsia="en-NZ"/>
        </w:rPr>
        <w:t>Tamariki |</w:t>
      </w:r>
      <w:r w:rsidR="006600BC">
        <w:rPr>
          <w:rStyle w:val="normaltextrun"/>
          <w:lang w:eastAsia="en-NZ"/>
        </w:rPr>
        <w:t xml:space="preserve"> Children’s Commissioner</w:t>
      </w:r>
      <w:r w:rsidR="00DC5A64">
        <w:rPr>
          <w:rStyle w:val="normaltextrun"/>
          <w:lang w:eastAsia="en-NZ"/>
        </w:rPr>
        <w:t>;</w:t>
      </w:r>
      <w:r w:rsidR="006600BC">
        <w:rPr>
          <w:rStyle w:val="normaltextrun"/>
          <w:lang w:eastAsia="en-NZ"/>
        </w:rPr>
        <w:t xml:space="preserve"> and</w:t>
      </w:r>
    </w:p>
    <w:p w14:paraId="746B9B13" w14:textId="1CA8B31D" w:rsidR="00D30027" w:rsidRDefault="006600BC" w:rsidP="008E66C6">
      <w:pPr>
        <w:numPr>
          <w:ilvl w:val="1"/>
          <w:numId w:val="1"/>
        </w:numPr>
        <w:jc w:val="both"/>
        <w:rPr>
          <w:rStyle w:val="normaltextrun"/>
        </w:rPr>
      </w:pPr>
      <w:r>
        <w:rPr>
          <w:rStyle w:val="normaltextrun"/>
          <w:lang w:eastAsia="en-NZ"/>
        </w:rPr>
        <w:t xml:space="preserve">the Inspector of Service Penal Establishments (IPSE). </w:t>
      </w:r>
    </w:p>
    <w:p w14:paraId="6F45EED4" w14:textId="173A0C31" w:rsidR="00CA0547" w:rsidRPr="00B30480" w:rsidRDefault="00CA0547" w:rsidP="008E66C6">
      <w:pPr>
        <w:pStyle w:val="Heading3"/>
        <w:jc w:val="both"/>
      </w:pPr>
      <w:bookmarkStart w:id="14" w:name="_Toc137480590"/>
      <w:r w:rsidRPr="00B30480">
        <w:t xml:space="preserve">Ombudsman </w:t>
      </w:r>
      <w:r w:rsidR="00FB0882">
        <w:t>New Zealand</w:t>
      </w:r>
      <w:bookmarkEnd w:id="14"/>
    </w:p>
    <w:p w14:paraId="4099E00D" w14:textId="77777777" w:rsidR="00A11DF2" w:rsidRDefault="00A11DF2" w:rsidP="008E66C6">
      <w:pPr>
        <w:numPr>
          <w:ilvl w:val="0"/>
          <w:numId w:val="1"/>
        </w:numPr>
        <w:jc w:val="both"/>
        <w:rPr>
          <w:rStyle w:val="normaltextrun"/>
        </w:rPr>
      </w:pPr>
      <w:r w:rsidRPr="00A11DF2">
        <w:rPr>
          <w:rStyle w:val="normaltextrun"/>
        </w:rPr>
        <w:t>The Chief Ombudsman is designated as an NPM for examining the conditions and treatment experienced by people detained in:</w:t>
      </w:r>
    </w:p>
    <w:p w14:paraId="5F91D237" w14:textId="56A92480" w:rsidR="00A11DF2" w:rsidRDefault="00A11DF2" w:rsidP="008E66C6">
      <w:pPr>
        <w:numPr>
          <w:ilvl w:val="1"/>
          <w:numId w:val="1"/>
        </w:numPr>
        <w:jc w:val="both"/>
        <w:rPr>
          <w:rStyle w:val="normaltextrun"/>
        </w:rPr>
      </w:pPr>
      <w:r w:rsidRPr="00A11DF2">
        <w:rPr>
          <w:rStyle w:val="normaltextrun"/>
        </w:rPr>
        <w:t xml:space="preserve">prisons and otherwise in the custody of </w:t>
      </w:r>
      <w:r w:rsidR="00F43A57">
        <w:rPr>
          <w:rStyle w:val="normaltextrun"/>
        </w:rPr>
        <w:t>Ara Poutama</w:t>
      </w:r>
      <w:r w:rsidR="00157FF0">
        <w:rPr>
          <w:rStyle w:val="normaltextrun"/>
        </w:rPr>
        <w:t xml:space="preserve"> Aotearoa</w:t>
      </w:r>
      <w:r w:rsidR="00F43A57">
        <w:rPr>
          <w:rStyle w:val="normaltextrun"/>
        </w:rPr>
        <w:t xml:space="preserve"> </w:t>
      </w:r>
      <w:r w:rsidR="00825A23">
        <w:rPr>
          <w:rStyle w:val="normaltextrun"/>
        </w:rPr>
        <w:t xml:space="preserve">| </w:t>
      </w:r>
      <w:r w:rsidRPr="00A11DF2">
        <w:rPr>
          <w:rStyle w:val="normaltextrun"/>
        </w:rPr>
        <w:t xml:space="preserve">the Department of </w:t>
      </w:r>
      <w:proofErr w:type="gramStart"/>
      <w:r w:rsidRPr="00A11DF2">
        <w:rPr>
          <w:rStyle w:val="normaltextrun"/>
        </w:rPr>
        <w:t>Corrections;</w:t>
      </w:r>
      <w:proofErr w:type="gramEnd"/>
    </w:p>
    <w:p w14:paraId="192B8E0B" w14:textId="77777777" w:rsidR="00A11DF2" w:rsidRDefault="00A11DF2" w:rsidP="008E66C6">
      <w:pPr>
        <w:numPr>
          <w:ilvl w:val="1"/>
          <w:numId w:val="1"/>
        </w:numPr>
        <w:jc w:val="both"/>
        <w:rPr>
          <w:rStyle w:val="normaltextrun"/>
        </w:rPr>
      </w:pPr>
      <w:r w:rsidRPr="00A11DF2">
        <w:rPr>
          <w:rStyle w:val="normaltextrun"/>
        </w:rPr>
        <w:t xml:space="preserve">premises approved or agreed under the Immigration Act </w:t>
      </w:r>
      <w:proofErr w:type="gramStart"/>
      <w:r w:rsidRPr="00A11DF2">
        <w:rPr>
          <w:rStyle w:val="normaltextrun"/>
        </w:rPr>
        <w:t>2009;</w:t>
      </w:r>
      <w:proofErr w:type="gramEnd"/>
    </w:p>
    <w:p w14:paraId="725EA739" w14:textId="77777777" w:rsidR="00A11DF2" w:rsidRDefault="00A11DF2" w:rsidP="008E66C6">
      <w:pPr>
        <w:numPr>
          <w:ilvl w:val="1"/>
          <w:numId w:val="1"/>
        </w:numPr>
        <w:jc w:val="both"/>
        <w:rPr>
          <w:rStyle w:val="normaltextrun"/>
        </w:rPr>
      </w:pPr>
      <w:r w:rsidRPr="00A11DF2">
        <w:rPr>
          <w:rStyle w:val="normaltextrun"/>
        </w:rPr>
        <w:t xml:space="preserve">health and disability places of detention, including within privately run aged care </w:t>
      </w:r>
      <w:proofErr w:type="gramStart"/>
      <w:r w:rsidRPr="00A11DF2">
        <w:rPr>
          <w:rStyle w:val="normaltextrun"/>
        </w:rPr>
        <w:t>facilities;</w:t>
      </w:r>
      <w:proofErr w:type="gramEnd"/>
    </w:p>
    <w:p w14:paraId="73C9A7B1" w14:textId="77777777" w:rsidR="00A11DF2" w:rsidRDefault="00A11DF2" w:rsidP="008E66C6">
      <w:pPr>
        <w:numPr>
          <w:ilvl w:val="1"/>
          <w:numId w:val="1"/>
        </w:numPr>
        <w:jc w:val="both"/>
        <w:rPr>
          <w:rStyle w:val="normaltextrun"/>
        </w:rPr>
      </w:pPr>
      <w:r w:rsidRPr="00A11DF2">
        <w:rPr>
          <w:rStyle w:val="normaltextrun"/>
        </w:rPr>
        <w:t>residences established under section 114 of the Public Safety (Public Protection Orders) Act 2014; and</w:t>
      </w:r>
    </w:p>
    <w:p w14:paraId="3879B27E" w14:textId="001D015B" w:rsidR="00A11DF2" w:rsidRDefault="00A11DF2" w:rsidP="008E66C6">
      <w:pPr>
        <w:numPr>
          <w:ilvl w:val="1"/>
          <w:numId w:val="1"/>
        </w:numPr>
        <w:jc w:val="both"/>
        <w:rPr>
          <w:rStyle w:val="normaltextrun"/>
        </w:rPr>
      </w:pPr>
      <w:r w:rsidRPr="00A11DF2">
        <w:rPr>
          <w:rStyle w:val="normaltextrun"/>
        </w:rPr>
        <w:t>court facilities.</w:t>
      </w:r>
    </w:p>
    <w:p w14:paraId="2FC15F52" w14:textId="0A67EF33" w:rsidR="00A11DF2" w:rsidRDefault="00A11DF2" w:rsidP="008E66C6">
      <w:pPr>
        <w:numPr>
          <w:ilvl w:val="0"/>
          <w:numId w:val="1"/>
        </w:numPr>
        <w:jc w:val="both"/>
        <w:rPr>
          <w:rStyle w:val="normaltextrun"/>
        </w:rPr>
      </w:pPr>
      <w:r w:rsidRPr="00A11DF2">
        <w:rPr>
          <w:rStyle w:val="normaltextrun"/>
        </w:rPr>
        <w:t>As an Officer of Parliament, the Chief Ombudsman is appointed by the Governor-General on the recommendation of Parliament. He is responsible to Parliament and independent of the Government. Alongside his role as an NPM, the Chief Ombudsman has other functions related to the implementation of the Convention; these are discussed further in his independent submission to the Committee.</w:t>
      </w:r>
    </w:p>
    <w:p w14:paraId="1717BAD8" w14:textId="116F8D46" w:rsidR="00CA0547" w:rsidRPr="00B30480" w:rsidRDefault="00CA0547" w:rsidP="008E66C6">
      <w:pPr>
        <w:pStyle w:val="Heading3"/>
        <w:jc w:val="both"/>
      </w:pPr>
      <w:bookmarkStart w:id="15" w:name="_Toc137480591"/>
      <w:r w:rsidRPr="00B30480">
        <w:t>Independent Police Conduct Authority</w:t>
      </w:r>
      <w:bookmarkEnd w:id="15"/>
      <w:r w:rsidRPr="00B30480">
        <w:t xml:space="preserve"> </w:t>
      </w:r>
    </w:p>
    <w:p w14:paraId="7918F077" w14:textId="7A3CD8E1" w:rsidR="00534111" w:rsidRDefault="00534111" w:rsidP="008E66C6">
      <w:pPr>
        <w:numPr>
          <w:ilvl w:val="0"/>
          <w:numId w:val="1"/>
        </w:numPr>
        <w:spacing w:line="256" w:lineRule="auto"/>
        <w:jc w:val="both"/>
        <w:rPr>
          <w:rStyle w:val="normaltextrun"/>
        </w:rPr>
      </w:pPr>
      <w:r>
        <w:rPr>
          <w:rStyle w:val="normaltextrun"/>
        </w:rPr>
        <w:t>The Independent Police Conduct Authority (</w:t>
      </w:r>
      <w:r w:rsidR="00835936" w:rsidRPr="00835936">
        <w:rPr>
          <w:rStyle w:val="normaltextrun"/>
          <w:b/>
          <w:bCs/>
        </w:rPr>
        <w:t>IPCA</w:t>
      </w:r>
      <w:r>
        <w:rPr>
          <w:rStyle w:val="normaltextrun"/>
        </w:rPr>
        <w:t xml:space="preserve">) is the designated NPM in relation to people held in </w:t>
      </w:r>
      <w:r w:rsidR="006E22CF">
        <w:rPr>
          <w:rStyle w:val="normaltextrun"/>
        </w:rPr>
        <w:t xml:space="preserve">Nga </w:t>
      </w:r>
      <w:proofErr w:type="spellStart"/>
      <w:r w:rsidR="006E22CF">
        <w:rPr>
          <w:rStyle w:val="normaltextrun"/>
        </w:rPr>
        <w:t>Pirihimana</w:t>
      </w:r>
      <w:proofErr w:type="spellEnd"/>
      <w:r w:rsidR="006E22CF">
        <w:rPr>
          <w:rStyle w:val="normaltextrun"/>
        </w:rPr>
        <w:t xml:space="preserve"> O Aotearoa | New Zealand Police </w:t>
      </w:r>
      <w:r>
        <w:rPr>
          <w:rStyle w:val="normaltextrun"/>
        </w:rPr>
        <w:t>cells and otherwise in the custody of the New Zealand Police.</w:t>
      </w:r>
    </w:p>
    <w:p w14:paraId="4CCDF34D" w14:textId="71448C67" w:rsidR="00534111" w:rsidRDefault="00534111" w:rsidP="008E66C6">
      <w:pPr>
        <w:numPr>
          <w:ilvl w:val="0"/>
          <w:numId w:val="1"/>
        </w:numPr>
        <w:spacing w:line="256" w:lineRule="auto"/>
        <w:jc w:val="both"/>
        <w:rPr>
          <w:rStyle w:val="normaltextrun"/>
        </w:rPr>
      </w:pPr>
      <w:r>
        <w:rPr>
          <w:rStyle w:val="normaltextrun"/>
        </w:rPr>
        <w:t xml:space="preserve">The </w:t>
      </w:r>
      <w:r w:rsidR="00835936">
        <w:rPr>
          <w:rStyle w:val="normaltextrun"/>
        </w:rPr>
        <w:t>IPCA</w:t>
      </w:r>
      <w:r>
        <w:rPr>
          <w:rStyle w:val="normaltextrun"/>
        </w:rPr>
        <w:t xml:space="preserve"> is an independent Crown entity established under the Independent Police Conduct Authority Act 1988.</w:t>
      </w:r>
      <w:r>
        <w:t xml:space="preserve"> </w:t>
      </w:r>
      <w:r w:rsidR="000D5AFC">
        <w:rPr>
          <w:rStyle w:val="normaltextrun"/>
        </w:rPr>
        <w:t xml:space="preserve">The </w:t>
      </w:r>
      <w:r w:rsidR="00835936">
        <w:rPr>
          <w:rStyle w:val="normaltextrun"/>
        </w:rPr>
        <w:t>IPCA</w:t>
      </w:r>
      <w:r w:rsidR="000D5AFC">
        <w:rPr>
          <w:rStyle w:val="normaltextrun"/>
        </w:rPr>
        <w:t xml:space="preserve"> is</w:t>
      </w:r>
      <w:r>
        <w:rPr>
          <w:rStyle w:val="normaltextrun"/>
        </w:rPr>
        <w:t xml:space="preserve"> statutorily independent from Government and the Police by virtue of </w:t>
      </w:r>
      <w:r w:rsidR="000D5AFC">
        <w:rPr>
          <w:rStyle w:val="normaltextrun"/>
        </w:rPr>
        <w:t>its</w:t>
      </w:r>
      <w:r>
        <w:rPr>
          <w:rStyle w:val="normaltextrun"/>
        </w:rPr>
        <w:t xml:space="preserve"> Act and the Crown Entities Act. The </w:t>
      </w:r>
      <w:r w:rsidR="00835936">
        <w:rPr>
          <w:rStyle w:val="normaltextrun"/>
        </w:rPr>
        <w:t>IPCA</w:t>
      </w:r>
      <w:r>
        <w:rPr>
          <w:rStyle w:val="normaltextrun"/>
        </w:rPr>
        <w:t xml:space="preserve"> is headed by Judge Kenneth Johnston KC.</w:t>
      </w:r>
    </w:p>
    <w:p w14:paraId="2DA40A1E" w14:textId="4ED8820F" w:rsidR="00441586" w:rsidRDefault="003E5F97" w:rsidP="008E66C6">
      <w:pPr>
        <w:numPr>
          <w:ilvl w:val="0"/>
          <w:numId w:val="1"/>
        </w:numPr>
        <w:spacing w:line="256" w:lineRule="auto"/>
        <w:jc w:val="both"/>
        <w:rPr>
          <w:rStyle w:val="normaltextrun"/>
        </w:rPr>
      </w:pPr>
      <w:r>
        <w:rPr>
          <w:rStyle w:val="normaltextrun"/>
        </w:rPr>
        <w:t xml:space="preserve">The </w:t>
      </w:r>
      <w:r w:rsidR="00835936">
        <w:rPr>
          <w:rStyle w:val="normaltextrun"/>
        </w:rPr>
        <w:t>IPCA</w:t>
      </w:r>
      <w:r w:rsidR="00534111">
        <w:rPr>
          <w:rStyle w:val="normaltextrun"/>
        </w:rPr>
        <w:t xml:space="preserve"> exist</w:t>
      </w:r>
      <w:r>
        <w:rPr>
          <w:rStyle w:val="normaltextrun"/>
        </w:rPr>
        <w:t>s</w:t>
      </w:r>
      <w:r w:rsidR="00534111">
        <w:rPr>
          <w:rStyle w:val="normaltextrun"/>
        </w:rPr>
        <w:t xml:space="preserve"> to hold New Zealand Police to account, with the aim of maintaining and enhancing public trust and confidence in the Police. </w:t>
      </w:r>
      <w:r>
        <w:rPr>
          <w:rStyle w:val="normaltextrun"/>
        </w:rPr>
        <w:t xml:space="preserve">The </w:t>
      </w:r>
      <w:r w:rsidR="00835936">
        <w:rPr>
          <w:rStyle w:val="normaltextrun"/>
        </w:rPr>
        <w:t>IPCA</w:t>
      </w:r>
      <w:r w:rsidR="00534111">
        <w:rPr>
          <w:rStyle w:val="normaltextrun"/>
        </w:rPr>
        <w:t xml:space="preserve"> handle</w:t>
      </w:r>
      <w:r>
        <w:rPr>
          <w:rStyle w:val="normaltextrun"/>
        </w:rPr>
        <w:t>s</w:t>
      </w:r>
      <w:r w:rsidR="00534111">
        <w:rPr>
          <w:rStyle w:val="normaltextrun"/>
        </w:rPr>
        <w:t xml:space="preserve">, </w:t>
      </w:r>
      <w:proofErr w:type="gramStart"/>
      <w:r w:rsidR="00534111">
        <w:rPr>
          <w:rStyle w:val="normaltextrun"/>
        </w:rPr>
        <w:t>investigate</w:t>
      </w:r>
      <w:r>
        <w:rPr>
          <w:rStyle w:val="normaltextrun"/>
        </w:rPr>
        <w:t>s</w:t>
      </w:r>
      <w:proofErr w:type="gramEnd"/>
      <w:r w:rsidR="00534111">
        <w:rPr>
          <w:rStyle w:val="normaltextrun"/>
        </w:rPr>
        <w:t xml:space="preserve"> and resolve</w:t>
      </w:r>
      <w:r>
        <w:rPr>
          <w:rStyle w:val="normaltextrun"/>
        </w:rPr>
        <w:t>s</w:t>
      </w:r>
      <w:r w:rsidR="00534111">
        <w:rPr>
          <w:rStyle w:val="normaltextrun"/>
        </w:rPr>
        <w:t xml:space="preserve"> complaints about the Police. By law, </w:t>
      </w:r>
      <w:r>
        <w:rPr>
          <w:rStyle w:val="normaltextrun"/>
        </w:rPr>
        <w:t xml:space="preserve">the </w:t>
      </w:r>
      <w:r w:rsidR="00835936">
        <w:rPr>
          <w:rStyle w:val="normaltextrun"/>
        </w:rPr>
        <w:t>IPCA</w:t>
      </w:r>
      <w:r>
        <w:rPr>
          <w:rStyle w:val="normaltextrun"/>
        </w:rPr>
        <w:t xml:space="preserve"> is</w:t>
      </w:r>
      <w:r w:rsidR="00534111">
        <w:rPr>
          <w:rStyle w:val="normaltextrun"/>
        </w:rPr>
        <w:t xml:space="preserve"> also notified of and may investigate incidents where Police have caused death or serious injury.</w:t>
      </w:r>
    </w:p>
    <w:p w14:paraId="5D50EF3A" w14:textId="1E9DCF10" w:rsidR="00CA0547" w:rsidRPr="00B30480" w:rsidRDefault="00CA0547" w:rsidP="008E66C6">
      <w:pPr>
        <w:pStyle w:val="Heading3"/>
        <w:jc w:val="both"/>
      </w:pPr>
      <w:bookmarkStart w:id="16" w:name="_Toc137480592"/>
      <w:r w:rsidRPr="00B30480">
        <w:t>Children’s Commissioner</w:t>
      </w:r>
      <w:bookmarkEnd w:id="16"/>
      <w:r w:rsidRPr="00B30480">
        <w:t xml:space="preserve"> </w:t>
      </w:r>
    </w:p>
    <w:p w14:paraId="2C0ADB26" w14:textId="789AB16E" w:rsidR="002307FC" w:rsidRDefault="00F530ED" w:rsidP="008E66C6">
      <w:pPr>
        <w:numPr>
          <w:ilvl w:val="0"/>
          <w:numId w:val="1"/>
        </w:numPr>
        <w:jc w:val="both"/>
      </w:pPr>
      <w:r>
        <w:t>T</w:t>
      </w:r>
      <w:r w:rsidR="002307FC">
        <w:t xml:space="preserve">he </w:t>
      </w:r>
      <w:r w:rsidR="002307FC" w:rsidRPr="002307FC">
        <w:t>Children’s Commissioner</w:t>
      </w:r>
      <w:r w:rsidR="002307FC">
        <w:t xml:space="preserve"> </w:t>
      </w:r>
      <w:r>
        <w:t xml:space="preserve">is </w:t>
      </w:r>
      <w:r w:rsidR="002307FC">
        <w:t xml:space="preserve">designated to monitor </w:t>
      </w:r>
      <w:r w:rsidR="002307FC" w:rsidRPr="002307FC">
        <w:t>the treatment of children and young persons in:</w:t>
      </w:r>
    </w:p>
    <w:p w14:paraId="7FA655E6" w14:textId="77777777" w:rsidR="002307FC" w:rsidRDefault="002307FC" w:rsidP="008E66C6">
      <w:pPr>
        <w:numPr>
          <w:ilvl w:val="1"/>
          <w:numId w:val="1"/>
        </w:numPr>
        <w:jc w:val="both"/>
      </w:pPr>
      <w:r w:rsidRPr="002307FC">
        <w:t xml:space="preserve">care and protection and youth justice residences established under section 364 of the </w:t>
      </w:r>
      <w:proofErr w:type="spellStart"/>
      <w:r w:rsidRPr="002307FC">
        <w:t>Oranga</w:t>
      </w:r>
      <w:proofErr w:type="spellEnd"/>
      <w:r w:rsidRPr="002307FC">
        <w:t xml:space="preserve"> Tamariki Act </w:t>
      </w:r>
      <w:proofErr w:type="gramStart"/>
      <w:r w:rsidRPr="002307FC">
        <w:t>1989;</w:t>
      </w:r>
      <w:proofErr w:type="gramEnd"/>
    </w:p>
    <w:p w14:paraId="069CCB7F" w14:textId="77777777" w:rsidR="002307FC" w:rsidRDefault="002307FC" w:rsidP="008E66C6">
      <w:pPr>
        <w:numPr>
          <w:ilvl w:val="1"/>
          <w:numId w:val="1"/>
        </w:numPr>
        <w:jc w:val="both"/>
      </w:pPr>
      <w:r w:rsidRPr="002307FC">
        <w:t>community based remand care homes; and</w:t>
      </w:r>
    </w:p>
    <w:p w14:paraId="6D078140" w14:textId="2A9DE667" w:rsidR="002307FC" w:rsidRPr="002307FC" w:rsidRDefault="002307FC" w:rsidP="008E66C6">
      <w:pPr>
        <w:numPr>
          <w:ilvl w:val="1"/>
          <w:numId w:val="1"/>
        </w:numPr>
        <w:jc w:val="both"/>
      </w:pPr>
      <w:r w:rsidRPr="002307FC">
        <w:t>health and disability places of detention established specifically for the care of children and young people, including youth forensic units and child and adolescent mental health units.</w:t>
      </w:r>
    </w:p>
    <w:p w14:paraId="077D146C" w14:textId="0355BFDF" w:rsidR="004B22D5" w:rsidRDefault="00C6009E" w:rsidP="008E66C6">
      <w:pPr>
        <w:numPr>
          <w:ilvl w:val="0"/>
          <w:numId w:val="1"/>
        </w:numPr>
        <w:ind w:left="357" w:hanging="357"/>
        <w:jc w:val="both"/>
      </w:pPr>
      <w:r>
        <w:t>As detailed in the separate submission of the Children’s Commissioner, f</w:t>
      </w:r>
      <w:r w:rsidR="00004996">
        <w:t xml:space="preserve">rom 1 July 2023 </w:t>
      </w:r>
      <w:r w:rsidR="001F65B2">
        <w:t xml:space="preserve">the office will </w:t>
      </w:r>
      <w:r w:rsidR="008C39E4">
        <w:t>b</w:t>
      </w:r>
      <w:r w:rsidR="00997655">
        <w:t xml:space="preserve">e restructured </w:t>
      </w:r>
      <w:r w:rsidR="00D2505F">
        <w:t xml:space="preserve">to become a Commission </w:t>
      </w:r>
      <w:r w:rsidR="00997655">
        <w:t xml:space="preserve">in accordance with the provisions of the </w:t>
      </w:r>
      <w:r w:rsidR="00E300FA">
        <w:t>Children and Young People’s Commission</w:t>
      </w:r>
      <w:r w:rsidR="001420EF">
        <w:t xml:space="preserve"> Act 2022.</w:t>
      </w:r>
      <w:r w:rsidR="008F1A8D">
        <w:t xml:space="preserve"> </w:t>
      </w:r>
      <w:r w:rsidR="008F1A8D">
        <w:rPr>
          <w:lang w:val="en-US"/>
        </w:rPr>
        <w:t>A</w:t>
      </w:r>
      <w:r w:rsidR="008F1A8D" w:rsidRPr="008F1A8D">
        <w:rPr>
          <w:lang w:val="en-US"/>
        </w:rPr>
        <w:t xml:space="preserve"> board will provide governance for the Commission</w:t>
      </w:r>
      <w:r w:rsidR="008F1A8D">
        <w:rPr>
          <w:lang w:val="en-US"/>
        </w:rPr>
        <w:t>.</w:t>
      </w:r>
      <w:r w:rsidR="001420EF">
        <w:t xml:space="preserve"> </w:t>
      </w:r>
      <w:r w:rsidR="008C39E4">
        <w:t>T</w:t>
      </w:r>
      <w:r w:rsidR="007354E1">
        <w:t>h</w:t>
      </w:r>
      <w:r w:rsidR="00F95D8A">
        <w:t xml:space="preserve">is restructure will not </w:t>
      </w:r>
      <w:r w:rsidR="008C39E4">
        <w:t xml:space="preserve">substantively </w:t>
      </w:r>
      <w:r w:rsidR="00F95D8A">
        <w:t>impact the</w:t>
      </w:r>
      <w:r w:rsidR="001420EF">
        <w:t xml:space="preserve"> </w:t>
      </w:r>
      <w:r w:rsidR="00F95D8A">
        <w:t>office’s</w:t>
      </w:r>
      <w:r w:rsidR="007354E1">
        <w:t xml:space="preserve"> OPCAT monitoring functions, </w:t>
      </w:r>
      <w:r w:rsidR="00EC50FD">
        <w:t xml:space="preserve">and </w:t>
      </w:r>
      <w:r w:rsidR="00F95D8A">
        <w:t>the above designations</w:t>
      </w:r>
      <w:r w:rsidR="00EC50FD">
        <w:t xml:space="preserve"> will be carried over to the new entity</w:t>
      </w:r>
      <w:r w:rsidR="007354E1">
        <w:t xml:space="preserve">. </w:t>
      </w:r>
    </w:p>
    <w:p w14:paraId="2F5ACDF0" w14:textId="1DBF66CC" w:rsidR="00CA0547" w:rsidRPr="00B30480" w:rsidRDefault="00CA0547" w:rsidP="008E66C6">
      <w:pPr>
        <w:pStyle w:val="Heading3"/>
        <w:jc w:val="both"/>
      </w:pPr>
      <w:bookmarkStart w:id="17" w:name="_Toc137480593"/>
      <w:r w:rsidRPr="00B30480">
        <w:t>Inspector of Service Penal Establishments</w:t>
      </w:r>
      <w:bookmarkEnd w:id="17"/>
      <w:r w:rsidRPr="00B30480">
        <w:t xml:space="preserve"> </w:t>
      </w:r>
    </w:p>
    <w:p w14:paraId="65B56887" w14:textId="12D8C066" w:rsidR="00DC6754" w:rsidRDefault="002F218E" w:rsidP="008E66C6">
      <w:pPr>
        <w:pStyle w:val="ListParagraph"/>
        <w:numPr>
          <w:ilvl w:val="0"/>
          <w:numId w:val="1"/>
        </w:numPr>
        <w:spacing w:after="120" w:line="276" w:lineRule="auto"/>
        <w:ind w:left="357" w:hanging="357"/>
        <w:contextualSpacing w:val="0"/>
        <w:jc w:val="both"/>
        <w:rPr>
          <w:lang w:eastAsia="en-NZ"/>
        </w:rPr>
      </w:pPr>
      <w:r w:rsidRPr="00F72AA5">
        <w:rPr>
          <w:lang w:eastAsia="en-NZ"/>
        </w:rPr>
        <w:t>The Inspector of Service Penal Establishments (</w:t>
      </w:r>
      <w:r w:rsidRPr="002F218E">
        <w:rPr>
          <w:b/>
          <w:bCs/>
          <w:lang w:eastAsia="en-NZ"/>
        </w:rPr>
        <w:t>ISPE</w:t>
      </w:r>
      <w:r w:rsidRPr="00F72AA5">
        <w:rPr>
          <w:lang w:eastAsia="en-NZ"/>
        </w:rPr>
        <w:t xml:space="preserve">) is the </w:t>
      </w:r>
      <w:r>
        <w:rPr>
          <w:lang w:eastAsia="en-NZ"/>
        </w:rPr>
        <w:t>NPM</w:t>
      </w:r>
      <w:r w:rsidRPr="00F72AA5">
        <w:rPr>
          <w:lang w:eastAsia="en-NZ"/>
        </w:rPr>
        <w:t xml:space="preserve"> charged with monitoring </w:t>
      </w:r>
      <w:r w:rsidR="005A258A">
        <w:rPr>
          <w:lang w:eastAsia="en-NZ"/>
        </w:rPr>
        <w:t xml:space="preserve">Te </w:t>
      </w:r>
      <w:proofErr w:type="spellStart"/>
      <w:r w:rsidR="005A258A">
        <w:rPr>
          <w:lang w:eastAsia="en-NZ"/>
        </w:rPr>
        <w:t>Ope</w:t>
      </w:r>
      <w:proofErr w:type="spellEnd"/>
      <w:r w:rsidR="00AA5F49">
        <w:rPr>
          <w:lang w:eastAsia="en-NZ"/>
        </w:rPr>
        <w:t xml:space="preserve"> </w:t>
      </w:r>
      <w:proofErr w:type="spellStart"/>
      <w:r w:rsidR="00AA5F49">
        <w:rPr>
          <w:lang w:eastAsia="en-NZ"/>
        </w:rPr>
        <w:t>K</w:t>
      </w:r>
      <w:r w:rsidR="00AA5F49">
        <w:rPr>
          <w:rFonts w:cstheme="minorHAnsi"/>
          <w:lang w:eastAsia="en-NZ"/>
        </w:rPr>
        <w:t>ā</w:t>
      </w:r>
      <w:r w:rsidR="00AA5F49">
        <w:rPr>
          <w:lang w:eastAsia="en-NZ"/>
        </w:rPr>
        <w:t>tua</w:t>
      </w:r>
      <w:proofErr w:type="spellEnd"/>
      <w:r w:rsidR="00AA5F49">
        <w:rPr>
          <w:lang w:eastAsia="en-NZ"/>
        </w:rPr>
        <w:t xml:space="preserve"> o Aotearoa | </w:t>
      </w:r>
      <w:r w:rsidRPr="00F72AA5">
        <w:rPr>
          <w:lang w:eastAsia="en-NZ"/>
        </w:rPr>
        <w:t>New Zealand Defence Force (</w:t>
      </w:r>
      <w:r w:rsidRPr="002F218E">
        <w:rPr>
          <w:b/>
          <w:bCs/>
          <w:lang w:eastAsia="en-NZ"/>
        </w:rPr>
        <w:t>NZDF</w:t>
      </w:r>
      <w:r w:rsidRPr="00F72AA5">
        <w:rPr>
          <w:lang w:eastAsia="en-NZ"/>
        </w:rPr>
        <w:t>) detention facilities. The Registrar of the Court Martial is appointed as the ISPE</w:t>
      </w:r>
      <w:r>
        <w:rPr>
          <w:lang w:eastAsia="en-NZ"/>
        </w:rPr>
        <w:t>,</w:t>
      </w:r>
      <w:r w:rsidR="00FC3A35">
        <w:rPr>
          <w:rStyle w:val="FootnoteReference"/>
          <w:lang w:eastAsia="en-NZ"/>
        </w:rPr>
        <w:footnoteReference w:id="4"/>
      </w:r>
      <w:r w:rsidR="00FC3A35">
        <w:rPr>
          <w:lang w:eastAsia="en-NZ"/>
        </w:rPr>
        <w:t xml:space="preserve"> </w:t>
      </w:r>
      <w:r w:rsidRPr="00F72AA5">
        <w:rPr>
          <w:lang w:eastAsia="en-NZ"/>
        </w:rPr>
        <w:t xml:space="preserve">in respect of Service Penal Establishments </w:t>
      </w:r>
      <w:r w:rsidR="003E3425">
        <w:rPr>
          <w:lang w:eastAsia="en-NZ"/>
        </w:rPr>
        <w:t>(</w:t>
      </w:r>
      <w:r w:rsidR="003E3425" w:rsidRPr="00EE1085">
        <w:rPr>
          <w:b/>
          <w:bCs/>
          <w:lang w:eastAsia="en-NZ"/>
        </w:rPr>
        <w:t>SPEs</w:t>
      </w:r>
      <w:r w:rsidR="003E3425">
        <w:rPr>
          <w:lang w:eastAsia="en-NZ"/>
        </w:rPr>
        <w:t>)</w:t>
      </w:r>
      <w:r w:rsidR="00DC6754">
        <w:rPr>
          <w:lang w:eastAsia="en-NZ"/>
        </w:rPr>
        <w:t xml:space="preserve"> which comprise:</w:t>
      </w:r>
      <w:r w:rsidR="003E3425">
        <w:rPr>
          <w:rStyle w:val="FootnoteReference"/>
          <w:lang w:eastAsia="en-NZ"/>
        </w:rPr>
        <w:footnoteReference w:id="5"/>
      </w:r>
    </w:p>
    <w:p w14:paraId="498AEC46" w14:textId="389EF5C5" w:rsidR="00DC6754" w:rsidRDefault="00DC6754" w:rsidP="008E66C6">
      <w:pPr>
        <w:pStyle w:val="ListParagraph"/>
        <w:numPr>
          <w:ilvl w:val="1"/>
          <w:numId w:val="1"/>
        </w:numPr>
        <w:spacing w:after="120" w:line="276" w:lineRule="auto"/>
        <w:contextualSpacing w:val="0"/>
        <w:jc w:val="both"/>
        <w:rPr>
          <w:lang w:eastAsia="en-NZ"/>
        </w:rPr>
      </w:pPr>
      <w:r>
        <w:rPr>
          <w:lang w:eastAsia="en-NZ"/>
        </w:rPr>
        <w:t>all service prison or detention quarters (whether in Aotearoa</w:t>
      </w:r>
      <w:r w:rsidR="00157AB7">
        <w:rPr>
          <w:lang w:eastAsia="en-NZ"/>
        </w:rPr>
        <w:t xml:space="preserve"> </w:t>
      </w:r>
      <w:r w:rsidR="00157AB7" w:rsidRPr="00360BAD">
        <w:t>New Zealand</w:t>
      </w:r>
      <w:r>
        <w:rPr>
          <w:lang w:eastAsia="en-NZ"/>
        </w:rPr>
        <w:t xml:space="preserve"> or elsewhere); and</w:t>
      </w:r>
    </w:p>
    <w:p w14:paraId="24505BAD" w14:textId="5E026AAF" w:rsidR="0023680A" w:rsidRDefault="00DC6754" w:rsidP="008E66C6">
      <w:pPr>
        <w:pStyle w:val="ListParagraph"/>
        <w:numPr>
          <w:ilvl w:val="1"/>
          <w:numId w:val="1"/>
        </w:numPr>
        <w:spacing w:after="120" w:line="276" w:lineRule="auto"/>
        <w:contextualSpacing w:val="0"/>
        <w:jc w:val="both"/>
        <w:rPr>
          <w:lang w:eastAsia="en-NZ"/>
        </w:rPr>
      </w:pPr>
      <w:r>
        <w:rPr>
          <w:lang w:eastAsia="en-NZ"/>
        </w:rPr>
        <w:t xml:space="preserve">all prisons, naval detention quarters, military or air force prisons, detention barracks, corrective training centres, detention rooms, cells, or similar establishments set aside in Aotearoa </w:t>
      </w:r>
      <w:r w:rsidR="00157AB7" w:rsidRPr="00360BAD">
        <w:t>New Zealand</w:t>
      </w:r>
      <w:r w:rsidR="00157AB7">
        <w:rPr>
          <w:lang w:eastAsia="en-NZ"/>
        </w:rPr>
        <w:t xml:space="preserve"> </w:t>
      </w:r>
      <w:r>
        <w:rPr>
          <w:lang w:eastAsia="en-NZ"/>
        </w:rPr>
        <w:t xml:space="preserve">or elsewhere for the confinement of members of the Armed Forces of an allied force undergoing punishment. </w:t>
      </w:r>
      <w:r w:rsidR="002F218E" w:rsidRPr="00F72AA5">
        <w:rPr>
          <w:lang w:eastAsia="en-NZ"/>
        </w:rPr>
        <w:t xml:space="preserve"> </w:t>
      </w:r>
    </w:p>
    <w:p w14:paraId="5D874F77" w14:textId="77777777" w:rsidR="009273F6" w:rsidRPr="00B30480" w:rsidRDefault="009273F6" w:rsidP="008E66C6">
      <w:pPr>
        <w:pStyle w:val="Heading2"/>
        <w:jc w:val="both"/>
        <w:rPr>
          <w:rStyle w:val="Heading2Char"/>
        </w:rPr>
      </w:pPr>
      <w:bookmarkStart w:id="18" w:name="_Toc136352826"/>
      <w:bookmarkStart w:id="19" w:name="_Toc136608729"/>
      <w:bookmarkStart w:id="20" w:name="_Toc136611032"/>
      <w:bookmarkStart w:id="21" w:name="_Toc136611083"/>
      <w:bookmarkStart w:id="22" w:name="_Toc136613290"/>
      <w:bookmarkStart w:id="23" w:name="_Toc137480594"/>
      <w:r w:rsidRPr="00B30480">
        <w:rPr>
          <w:rStyle w:val="Heading2Char"/>
        </w:rPr>
        <w:t xml:space="preserve">Te </w:t>
      </w:r>
      <w:proofErr w:type="spellStart"/>
      <w:r w:rsidRPr="00B30480">
        <w:rPr>
          <w:rStyle w:val="Heading2Char"/>
        </w:rPr>
        <w:t>Tiriti</w:t>
      </w:r>
      <w:proofErr w:type="spellEnd"/>
      <w:r w:rsidRPr="00B30480">
        <w:rPr>
          <w:rStyle w:val="Heading2Char"/>
        </w:rPr>
        <w:t xml:space="preserve"> o Waitangi</w:t>
      </w:r>
      <w:bookmarkEnd w:id="18"/>
      <w:bookmarkEnd w:id="19"/>
      <w:bookmarkEnd w:id="20"/>
      <w:bookmarkEnd w:id="21"/>
      <w:bookmarkEnd w:id="22"/>
      <w:bookmarkEnd w:id="23"/>
    </w:p>
    <w:p w14:paraId="643729B5" w14:textId="0EEAD099" w:rsidR="009273F6" w:rsidRPr="00B30480" w:rsidRDefault="0039735F" w:rsidP="008E66C6">
      <w:pPr>
        <w:pStyle w:val="Heading3"/>
        <w:jc w:val="both"/>
      </w:pPr>
      <w:bookmarkStart w:id="24" w:name="_Toc137480595"/>
      <w:r w:rsidRPr="00B30480">
        <w:t>Government obligations</w:t>
      </w:r>
      <w:bookmarkEnd w:id="24"/>
    </w:p>
    <w:p w14:paraId="331855F8" w14:textId="585E1A1C" w:rsidR="009273F6" w:rsidRPr="00D45F70" w:rsidRDefault="008A07BD" w:rsidP="008E66C6">
      <w:pPr>
        <w:pStyle w:val="ListParagraph"/>
        <w:numPr>
          <w:ilvl w:val="0"/>
          <w:numId w:val="1"/>
        </w:numPr>
        <w:spacing w:after="120" w:line="276" w:lineRule="auto"/>
        <w:ind w:left="357" w:hanging="357"/>
        <w:contextualSpacing w:val="0"/>
        <w:jc w:val="both"/>
        <w:rPr>
          <w:lang w:eastAsia="en-NZ"/>
        </w:rPr>
      </w:pPr>
      <w:r w:rsidRPr="00D45F70">
        <w:t xml:space="preserve">In its report, the Government </w:t>
      </w:r>
      <w:r w:rsidR="00C627AA" w:rsidRPr="00D45F70">
        <w:t>has acknowledged</w:t>
      </w:r>
      <w:r w:rsidRPr="00D45F70">
        <w:t xml:space="preserve"> that Te </w:t>
      </w:r>
      <w:proofErr w:type="spellStart"/>
      <w:r w:rsidRPr="00D45F70">
        <w:t>Tiriti</w:t>
      </w:r>
      <w:proofErr w:type="spellEnd"/>
      <w:r w:rsidRPr="00D45F70">
        <w:t xml:space="preserve"> o Waitangi</w:t>
      </w:r>
      <w:r w:rsidR="002B0906" w:rsidRPr="00D45F70">
        <w:t>/the Treaty of Waitangi,</w:t>
      </w:r>
      <w:r w:rsidR="002B0906" w:rsidRPr="00D45F70">
        <w:rPr>
          <w:vertAlign w:val="superscript"/>
        </w:rPr>
        <w:footnoteReference w:id="6"/>
      </w:r>
      <w:r w:rsidR="002B0906" w:rsidRPr="00D45F70">
        <w:t xml:space="preserve"> </w:t>
      </w:r>
      <w:r w:rsidR="003D6091" w:rsidRPr="00D45F70">
        <w:t xml:space="preserve">is </w:t>
      </w:r>
      <w:r w:rsidR="00BD7958" w:rsidRPr="00D45F70">
        <w:t>Aotearoa</w:t>
      </w:r>
      <w:r w:rsidR="0077133A" w:rsidRPr="00D45F70">
        <w:t xml:space="preserve"> New Zealand</w:t>
      </w:r>
      <w:r w:rsidR="00BD7958" w:rsidRPr="00D45F70">
        <w:t>’s found</w:t>
      </w:r>
      <w:r w:rsidR="003D6091" w:rsidRPr="00D45F70">
        <w:t>ing</w:t>
      </w:r>
      <w:r w:rsidR="00BD7958" w:rsidRPr="00D45F70">
        <w:t xml:space="preserve"> constitutional document</w:t>
      </w:r>
      <w:r w:rsidR="003D6091" w:rsidRPr="00D45F70">
        <w:t xml:space="preserve"> as the 1840 agreement </w:t>
      </w:r>
      <w:r w:rsidR="00D74E17" w:rsidRPr="00D45F70">
        <w:t>between</w:t>
      </w:r>
      <w:r w:rsidR="003D6091" w:rsidRPr="00D45F70">
        <w:t xml:space="preserve"> Māori and the British Crown.</w:t>
      </w:r>
      <w:r w:rsidR="003D6091" w:rsidRPr="00D45F70">
        <w:rPr>
          <w:rStyle w:val="FootnoteReference"/>
        </w:rPr>
        <w:footnoteReference w:id="7"/>
      </w:r>
      <w:r w:rsidR="00167B12" w:rsidRPr="00D45F70">
        <w:t xml:space="preserve"> </w:t>
      </w:r>
    </w:p>
    <w:p w14:paraId="09AD6126" w14:textId="35994386" w:rsidR="00321C91" w:rsidRDefault="00503926" w:rsidP="008E66C6">
      <w:pPr>
        <w:pStyle w:val="ListParagraph"/>
        <w:numPr>
          <w:ilvl w:val="0"/>
          <w:numId w:val="1"/>
        </w:numPr>
        <w:spacing w:after="120" w:line="276" w:lineRule="auto"/>
        <w:ind w:left="357" w:hanging="357"/>
        <w:contextualSpacing w:val="0"/>
        <w:jc w:val="both"/>
        <w:rPr>
          <w:lang w:eastAsia="en-NZ"/>
        </w:rPr>
      </w:pPr>
      <w:r>
        <w:t>Through its detaining agencies, the Government</w:t>
      </w:r>
      <w:r w:rsidR="00D8256A" w:rsidRPr="2F441F70">
        <w:t xml:space="preserve"> has obligations to provide conditions that are culturally appropriate to the needs of Māori in detention, to better support their wellbeing and rehabilitation outcomes.</w:t>
      </w:r>
      <w:r w:rsidR="00D8256A">
        <w:rPr>
          <w:rStyle w:val="FootnoteReference"/>
        </w:rPr>
        <w:footnoteReference w:id="8"/>
      </w:r>
      <w:r w:rsidR="00D8256A">
        <w:t xml:space="preserve"> </w:t>
      </w:r>
      <w:r w:rsidR="00321C91" w:rsidRPr="00321C91">
        <w:t xml:space="preserve">At present, there appears to be a willingness but also uncertainty around what is expected and required of detention facilities to implement the </w:t>
      </w:r>
      <w:r w:rsidR="00534CC3">
        <w:t>Government’s</w:t>
      </w:r>
      <w:r w:rsidR="00321C91" w:rsidRPr="00321C91">
        <w:t xml:space="preserve"> obligations under Te </w:t>
      </w:r>
      <w:proofErr w:type="spellStart"/>
      <w:r w:rsidR="00321C91" w:rsidRPr="00321C91">
        <w:t>Tiriti</w:t>
      </w:r>
      <w:proofErr w:type="spellEnd"/>
      <w:r w:rsidR="00321C91" w:rsidRPr="00321C91">
        <w:t xml:space="preserve"> in places of detention and in relation to incorporating tikanga</w:t>
      </w:r>
      <w:r w:rsidR="0098700E">
        <w:t xml:space="preserve"> </w:t>
      </w:r>
      <w:r w:rsidR="00D0351E">
        <w:t>(</w:t>
      </w:r>
      <w:r w:rsidR="00A25CDB">
        <w:t xml:space="preserve">Māori </w:t>
      </w:r>
      <w:r w:rsidR="00D0351E">
        <w:t xml:space="preserve">customs and protocols) </w:t>
      </w:r>
      <w:r w:rsidR="0098700E">
        <w:t xml:space="preserve">and Te </w:t>
      </w:r>
      <w:proofErr w:type="spellStart"/>
      <w:r w:rsidR="0098700E">
        <w:t>Ao</w:t>
      </w:r>
      <w:proofErr w:type="spellEnd"/>
      <w:r w:rsidR="0098700E">
        <w:t xml:space="preserve"> Māori (</w:t>
      </w:r>
      <w:r w:rsidR="00A25CDB">
        <w:t xml:space="preserve">Māori </w:t>
      </w:r>
      <w:r w:rsidR="0098700E">
        <w:t>world view)</w:t>
      </w:r>
      <w:r w:rsidR="00321C91" w:rsidRPr="00321C91">
        <w:t>, and how these factors may guide the conditions and treatment experienced by people deprived of their liberty.</w:t>
      </w:r>
    </w:p>
    <w:p w14:paraId="5AC10DDA" w14:textId="2958BD08" w:rsidR="009273F6" w:rsidRDefault="009273F6" w:rsidP="008E66C6">
      <w:pPr>
        <w:numPr>
          <w:ilvl w:val="0"/>
          <w:numId w:val="1"/>
        </w:numPr>
        <w:spacing w:after="120" w:line="276" w:lineRule="auto"/>
        <w:ind w:left="357" w:hanging="357"/>
        <w:jc w:val="both"/>
        <w:rPr>
          <w:lang w:eastAsia="en-NZ"/>
        </w:rPr>
      </w:pPr>
      <w:r>
        <w:rPr>
          <w:lang w:eastAsia="en-NZ"/>
        </w:rPr>
        <w:t xml:space="preserve">There is, at present, some Te </w:t>
      </w:r>
      <w:proofErr w:type="spellStart"/>
      <w:r>
        <w:rPr>
          <w:lang w:eastAsia="en-NZ"/>
        </w:rPr>
        <w:t>Tiriti</w:t>
      </w:r>
      <w:proofErr w:type="spellEnd"/>
      <w:r>
        <w:rPr>
          <w:lang w:eastAsia="en-NZ"/>
        </w:rPr>
        <w:t xml:space="preserve"> jurisprudence about the obligations on</w:t>
      </w:r>
      <w:r w:rsidR="00B03A8B">
        <w:rPr>
          <w:lang w:eastAsia="en-NZ"/>
        </w:rPr>
        <w:t xml:space="preserve"> </w:t>
      </w:r>
      <w:proofErr w:type="spellStart"/>
      <w:r w:rsidR="00B03A8B">
        <w:rPr>
          <w:lang w:eastAsia="en-NZ"/>
        </w:rPr>
        <w:t>Oranga</w:t>
      </w:r>
      <w:proofErr w:type="spellEnd"/>
      <w:r w:rsidR="00B03A8B">
        <w:rPr>
          <w:lang w:eastAsia="en-NZ"/>
        </w:rPr>
        <w:t xml:space="preserve"> Tamariki,</w:t>
      </w:r>
      <w:r w:rsidR="00B03A8B">
        <w:rPr>
          <w:rStyle w:val="FootnoteReference"/>
          <w:lang w:eastAsia="en-NZ"/>
        </w:rPr>
        <w:footnoteReference w:id="9"/>
      </w:r>
      <w:r>
        <w:rPr>
          <w:lang w:eastAsia="en-NZ"/>
        </w:rPr>
        <w:t xml:space="preserve"> </w:t>
      </w:r>
      <w:r w:rsidR="00A910F8">
        <w:rPr>
          <w:lang w:eastAsia="en-NZ"/>
        </w:rPr>
        <w:t>an</w:t>
      </w:r>
      <w:r w:rsidR="00D17E90">
        <w:rPr>
          <w:lang w:eastAsia="en-NZ"/>
        </w:rPr>
        <w:t>d</w:t>
      </w:r>
      <w:r w:rsidR="00A910F8">
        <w:rPr>
          <w:lang w:eastAsia="en-NZ"/>
        </w:rPr>
        <w:t xml:space="preserve"> </w:t>
      </w:r>
      <w:r>
        <w:rPr>
          <w:lang w:eastAsia="en-NZ"/>
        </w:rPr>
        <w:t xml:space="preserve">the Department of Corrections, but it is still developing and not yet comprehensive. There also does not appear to be any specific guidance for other places where people may be deprived of liberty, such as health and disability places of detention. In addition, some places of detention are privately run, which may raise other issues regarding any Te </w:t>
      </w:r>
      <w:proofErr w:type="spellStart"/>
      <w:r>
        <w:rPr>
          <w:lang w:eastAsia="en-NZ"/>
        </w:rPr>
        <w:t>Tiriti</w:t>
      </w:r>
      <w:proofErr w:type="spellEnd"/>
      <w:r>
        <w:rPr>
          <w:lang w:eastAsia="en-NZ"/>
        </w:rPr>
        <w:t xml:space="preserve"> obligations.</w:t>
      </w:r>
      <w:r w:rsidR="00FA1CA0">
        <w:rPr>
          <w:lang w:eastAsia="en-NZ"/>
        </w:rPr>
        <w:t xml:space="preserve"> </w:t>
      </w:r>
      <w:r>
        <w:rPr>
          <w:lang w:eastAsia="en-NZ"/>
        </w:rPr>
        <w:t xml:space="preserve">Ultimately, </w:t>
      </w:r>
      <w:proofErr w:type="gramStart"/>
      <w:r>
        <w:rPr>
          <w:lang w:eastAsia="en-NZ"/>
        </w:rPr>
        <w:t>it is clear that the</w:t>
      </w:r>
      <w:proofErr w:type="gramEnd"/>
      <w:r>
        <w:rPr>
          <w:lang w:eastAsia="en-NZ"/>
        </w:rPr>
        <w:t xml:space="preserve"> </w:t>
      </w:r>
      <w:r w:rsidR="00534CC3">
        <w:rPr>
          <w:lang w:eastAsia="en-NZ"/>
        </w:rPr>
        <w:t>Government</w:t>
      </w:r>
      <w:r>
        <w:rPr>
          <w:lang w:eastAsia="en-NZ"/>
        </w:rPr>
        <w:t xml:space="preserve"> has a developing and not yet consistent view on how Te </w:t>
      </w:r>
      <w:proofErr w:type="spellStart"/>
      <w:r>
        <w:rPr>
          <w:lang w:eastAsia="en-NZ"/>
        </w:rPr>
        <w:t>Tiriti</w:t>
      </w:r>
      <w:proofErr w:type="spellEnd"/>
      <w:r>
        <w:rPr>
          <w:lang w:eastAsia="en-NZ"/>
        </w:rPr>
        <w:t xml:space="preserve"> and tikanga ought to apply in places of detention. </w:t>
      </w:r>
    </w:p>
    <w:p w14:paraId="50408CCC" w14:textId="7D8E9404" w:rsidR="00FE0763" w:rsidRDefault="00FE0763" w:rsidP="008E66C6">
      <w:pPr>
        <w:numPr>
          <w:ilvl w:val="0"/>
          <w:numId w:val="1"/>
        </w:numPr>
        <w:ind w:left="357" w:hanging="357"/>
        <w:jc w:val="both"/>
      </w:pPr>
      <w:r w:rsidRPr="00D61002">
        <w:rPr>
          <w:rFonts w:cstheme="minorHAnsi"/>
          <w:b/>
        </w:rPr>
        <w:t xml:space="preserve">The Committee may wish to </w:t>
      </w:r>
      <w:r>
        <w:rPr>
          <w:rFonts w:cstheme="minorHAnsi"/>
          <w:b/>
        </w:rPr>
        <w:t xml:space="preserve">inquire further with the Government as to </w:t>
      </w:r>
      <w:r w:rsidR="00833FA7">
        <w:rPr>
          <w:rFonts w:cstheme="minorHAnsi"/>
          <w:b/>
        </w:rPr>
        <w:t xml:space="preserve">the </w:t>
      </w:r>
      <w:r w:rsidR="00FD2A3C">
        <w:rPr>
          <w:rFonts w:cstheme="minorHAnsi"/>
          <w:b/>
        </w:rPr>
        <w:t>progress it is making</w:t>
      </w:r>
      <w:r w:rsidR="00833FA7">
        <w:rPr>
          <w:rFonts w:cstheme="minorHAnsi"/>
          <w:b/>
        </w:rPr>
        <w:t xml:space="preserve"> to ensure</w:t>
      </w:r>
      <w:r>
        <w:rPr>
          <w:rFonts w:cstheme="minorHAnsi"/>
          <w:b/>
        </w:rPr>
        <w:t xml:space="preserve"> Te </w:t>
      </w:r>
      <w:proofErr w:type="spellStart"/>
      <w:r>
        <w:rPr>
          <w:rFonts w:cstheme="minorHAnsi"/>
          <w:b/>
        </w:rPr>
        <w:t>Tiriti</w:t>
      </w:r>
      <w:proofErr w:type="spellEnd"/>
      <w:r>
        <w:rPr>
          <w:rFonts w:cstheme="minorHAnsi"/>
          <w:b/>
        </w:rPr>
        <w:t xml:space="preserve"> obligations </w:t>
      </w:r>
      <w:r w:rsidR="00833FA7">
        <w:rPr>
          <w:rFonts w:cstheme="minorHAnsi"/>
          <w:b/>
        </w:rPr>
        <w:t xml:space="preserve">are understood and upheld </w:t>
      </w:r>
      <w:r w:rsidR="0044080B">
        <w:rPr>
          <w:rFonts w:cstheme="minorHAnsi"/>
          <w:b/>
        </w:rPr>
        <w:t>in</w:t>
      </w:r>
      <w:r>
        <w:rPr>
          <w:rFonts w:cstheme="minorHAnsi"/>
          <w:b/>
        </w:rPr>
        <w:t xml:space="preserve"> </w:t>
      </w:r>
      <w:r w:rsidR="0044080B">
        <w:rPr>
          <w:rFonts w:cstheme="minorHAnsi"/>
          <w:b/>
        </w:rPr>
        <w:t xml:space="preserve">all </w:t>
      </w:r>
      <w:r>
        <w:rPr>
          <w:rFonts w:cstheme="minorHAnsi"/>
          <w:b/>
        </w:rPr>
        <w:t>places of detention in Aotearoa</w:t>
      </w:r>
      <w:r w:rsidR="00A738A7">
        <w:rPr>
          <w:rFonts w:cstheme="minorHAnsi"/>
          <w:b/>
        </w:rPr>
        <w:t xml:space="preserve"> </w:t>
      </w:r>
      <w:r w:rsidR="00A738A7" w:rsidRPr="00A738A7">
        <w:rPr>
          <w:b/>
          <w:bCs/>
        </w:rPr>
        <w:t>New Zealand</w:t>
      </w:r>
      <w:r>
        <w:rPr>
          <w:rFonts w:cstheme="minorHAnsi"/>
          <w:b/>
        </w:rPr>
        <w:t xml:space="preserve">. </w:t>
      </w:r>
    </w:p>
    <w:p w14:paraId="04E7A633" w14:textId="01C24515" w:rsidR="0039735F" w:rsidRPr="00B30480" w:rsidRDefault="00AA42C0" w:rsidP="008E66C6">
      <w:pPr>
        <w:pStyle w:val="Heading3"/>
        <w:jc w:val="both"/>
      </w:pPr>
      <w:bookmarkStart w:id="25" w:name="_Toc137480596"/>
      <w:r w:rsidRPr="00B30480">
        <w:t>NPM mo</w:t>
      </w:r>
      <w:r w:rsidR="0039735F" w:rsidRPr="00B30480">
        <w:t xml:space="preserve">nitoring </w:t>
      </w:r>
      <w:r w:rsidR="001D7E20" w:rsidRPr="00B30480">
        <w:t>context</w:t>
      </w:r>
      <w:bookmarkEnd w:id="25"/>
      <w:r w:rsidR="0039735F" w:rsidRPr="00B30480">
        <w:t xml:space="preserve"> </w:t>
      </w:r>
    </w:p>
    <w:p w14:paraId="7345E26A" w14:textId="4366D8D3" w:rsidR="00310CCB" w:rsidRDefault="006C4696" w:rsidP="008E66C6">
      <w:pPr>
        <w:numPr>
          <w:ilvl w:val="0"/>
          <w:numId w:val="1"/>
        </w:numPr>
        <w:spacing w:after="120" w:line="276" w:lineRule="auto"/>
        <w:ind w:left="357" w:hanging="357"/>
        <w:jc w:val="both"/>
        <w:rPr>
          <w:lang w:eastAsia="en-NZ"/>
        </w:rPr>
      </w:pPr>
      <w:r>
        <w:rPr>
          <w:lang w:eastAsia="en-NZ"/>
        </w:rPr>
        <w:t xml:space="preserve">The Aotearoa </w:t>
      </w:r>
      <w:r w:rsidR="00971C07" w:rsidRPr="00360BAD">
        <w:t xml:space="preserve">New Zealand </w:t>
      </w:r>
      <w:r>
        <w:rPr>
          <w:lang w:eastAsia="en-NZ"/>
        </w:rPr>
        <w:t xml:space="preserve">NPMs </w:t>
      </w:r>
      <w:r w:rsidR="002B0906" w:rsidRPr="002B0906">
        <w:rPr>
          <w:lang w:eastAsia="en-NZ"/>
        </w:rPr>
        <w:t xml:space="preserve">recognise that Te </w:t>
      </w:r>
      <w:proofErr w:type="spellStart"/>
      <w:r w:rsidR="002B0906" w:rsidRPr="002B0906">
        <w:rPr>
          <w:lang w:eastAsia="en-NZ"/>
        </w:rPr>
        <w:t>Tiriti</w:t>
      </w:r>
      <w:proofErr w:type="spellEnd"/>
      <w:r w:rsidR="002B0906" w:rsidRPr="002B0906">
        <w:rPr>
          <w:lang w:eastAsia="en-NZ"/>
        </w:rPr>
        <w:t xml:space="preserve">, its principles, and tikanga are a source of obligations in a variety of ways for </w:t>
      </w:r>
      <w:r w:rsidR="00D74E17">
        <w:rPr>
          <w:lang w:eastAsia="en-NZ"/>
        </w:rPr>
        <w:t>the Government’s detaining agencies</w:t>
      </w:r>
      <w:r w:rsidR="002B0906" w:rsidRPr="002B0906">
        <w:rPr>
          <w:lang w:eastAsia="en-NZ"/>
        </w:rPr>
        <w:t xml:space="preserve"> and must be factored into </w:t>
      </w:r>
      <w:r w:rsidR="00894576">
        <w:rPr>
          <w:lang w:eastAsia="en-NZ"/>
        </w:rPr>
        <w:t>the</w:t>
      </w:r>
      <w:r w:rsidR="002B0906" w:rsidRPr="002B0906">
        <w:rPr>
          <w:lang w:eastAsia="en-NZ"/>
        </w:rPr>
        <w:t xml:space="preserve"> review and monitoring of those </w:t>
      </w:r>
      <w:r w:rsidR="00D74E17">
        <w:rPr>
          <w:lang w:eastAsia="en-NZ"/>
        </w:rPr>
        <w:t>agencies</w:t>
      </w:r>
      <w:r w:rsidR="00894576">
        <w:rPr>
          <w:lang w:eastAsia="en-NZ"/>
        </w:rPr>
        <w:t xml:space="preserve"> by the NPMs</w:t>
      </w:r>
      <w:r w:rsidR="002B0906" w:rsidRPr="002B0906">
        <w:rPr>
          <w:lang w:eastAsia="en-NZ"/>
        </w:rPr>
        <w:t xml:space="preserve">. </w:t>
      </w:r>
      <w:r w:rsidR="00A80237">
        <w:rPr>
          <w:lang w:eastAsia="en-NZ"/>
        </w:rPr>
        <w:t xml:space="preserve">In this way, the Aotearoa </w:t>
      </w:r>
      <w:r w:rsidR="00971C07" w:rsidRPr="00360BAD">
        <w:t xml:space="preserve">New Zealand </w:t>
      </w:r>
      <w:r w:rsidR="00A80237">
        <w:rPr>
          <w:lang w:eastAsia="en-NZ"/>
        </w:rPr>
        <w:t xml:space="preserve">NPMs </w:t>
      </w:r>
      <w:r w:rsidR="0000414B">
        <w:rPr>
          <w:lang w:eastAsia="en-NZ"/>
        </w:rPr>
        <w:t xml:space="preserve">recognise that they </w:t>
      </w:r>
      <w:r w:rsidR="00A80237">
        <w:rPr>
          <w:lang w:eastAsia="en-NZ"/>
        </w:rPr>
        <w:t xml:space="preserve">can help ensure the </w:t>
      </w:r>
      <w:r w:rsidR="00534CC3">
        <w:rPr>
          <w:lang w:eastAsia="en-NZ"/>
        </w:rPr>
        <w:t>Government’s</w:t>
      </w:r>
      <w:r w:rsidR="00A80237">
        <w:rPr>
          <w:lang w:eastAsia="en-NZ"/>
        </w:rPr>
        <w:t xml:space="preserve"> obligations under Te </w:t>
      </w:r>
      <w:proofErr w:type="spellStart"/>
      <w:r w:rsidR="00A80237">
        <w:rPr>
          <w:lang w:eastAsia="en-NZ"/>
        </w:rPr>
        <w:t>Tiriti</w:t>
      </w:r>
      <w:proofErr w:type="spellEnd"/>
      <w:r w:rsidR="00A80237">
        <w:rPr>
          <w:lang w:eastAsia="en-NZ"/>
        </w:rPr>
        <w:t xml:space="preserve"> are being upheld and applied.</w:t>
      </w:r>
      <w:r w:rsidR="000078C3">
        <w:rPr>
          <w:lang w:eastAsia="en-NZ"/>
        </w:rPr>
        <w:t xml:space="preserve"> </w:t>
      </w:r>
      <w:r w:rsidR="00FC4CDC">
        <w:rPr>
          <w:lang w:eastAsia="en-NZ"/>
        </w:rPr>
        <w:t>The NPMs recognise th</w:t>
      </w:r>
      <w:r w:rsidR="00647E4B">
        <w:rPr>
          <w:lang w:eastAsia="en-NZ"/>
        </w:rPr>
        <w:t xml:space="preserve">e need </w:t>
      </w:r>
      <w:r w:rsidR="000154EB">
        <w:rPr>
          <w:lang w:eastAsia="en-NZ"/>
        </w:rPr>
        <w:t xml:space="preserve">to include </w:t>
      </w:r>
      <w:r w:rsidR="0000414B">
        <w:rPr>
          <w:lang w:eastAsia="en-NZ"/>
        </w:rPr>
        <w:t xml:space="preserve">Te </w:t>
      </w:r>
      <w:proofErr w:type="spellStart"/>
      <w:r w:rsidR="0000414B">
        <w:rPr>
          <w:lang w:eastAsia="en-NZ"/>
        </w:rPr>
        <w:t>Tiriti</w:t>
      </w:r>
      <w:proofErr w:type="spellEnd"/>
      <w:r w:rsidR="0000414B">
        <w:rPr>
          <w:lang w:eastAsia="en-NZ"/>
        </w:rPr>
        <w:t xml:space="preserve"> considerations</w:t>
      </w:r>
      <w:r w:rsidR="000154EB">
        <w:rPr>
          <w:lang w:eastAsia="en-NZ"/>
        </w:rPr>
        <w:t xml:space="preserve"> in their monitoring and reporting o</w:t>
      </w:r>
      <w:r w:rsidR="00A6771C">
        <w:rPr>
          <w:lang w:eastAsia="en-NZ"/>
        </w:rPr>
        <w:t>n</w:t>
      </w:r>
      <w:r w:rsidR="000154EB">
        <w:rPr>
          <w:lang w:eastAsia="en-NZ"/>
        </w:rPr>
        <w:t xml:space="preserve"> the </w:t>
      </w:r>
      <w:r w:rsidR="004E69EA">
        <w:rPr>
          <w:lang w:eastAsia="en-NZ"/>
        </w:rPr>
        <w:t>Government’s</w:t>
      </w:r>
      <w:r w:rsidR="000154EB">
        <w:rPr>
          <w:lang w:eastAsia="en-NZ"/>
        </w:rPr>
        <w:t xml:space="preserve"> treatment of people deprived of their liberty, demonstrate attention to this in their own practice and methodology, and ensure this is included in their recommendations.</w:t>
      </w:r>
      <w:r w:rsidR="00F24E07">
        <w:rPr>
          <w:lang w:eastAsia="en-NZ"/>
        </w:rPr>
        <w:t xml:space="preserve"> </w:t>
      </w:r>
    </w:p>
    <w:p w14:paraId="2CCAD784" w14:textId="5B98DCEF" w:rsidR="000154EB" w:rsidRPr="00BE7A0C" w:rsidRDefault="00F24E07" w:rsidP="008E66C6">
      <w:pPr>
        <w:numPr>
          <w:ilvl w:val="0"/>
          <w:numId w:val="1"/>
        </w:numPr>
        <w:spacing w:after="120" w:line="276" w:lineRule="auto"/>
        <w:ind w:left="357" w:hanging="357"/>
        <w:jc w:val="both"/>
        <w:rPr>
          <w:lang w:eastAsia="en-NZ"/>
        </w:rPr>
      </w:pPr>
      <w:r>
        <w:rPr>
          <w:lang w:eastAsia="en-NZ"/>
        </w:rPr>
        <w:t xml:space="preserve">The Aotearoa </w:t>
      </w:r>
      <w:r w:rsidR="00971C07" w:rsidRPr="00360BAD">
        <w:t xml:space="preserve">New Zealand </w:t>
      </w:r>
      <w:r>
        <w:rPr>
          <w:lang w:eastAsia="en-NZ"/>
        </w:rPr>
        <w:t>NPMs have made a commitment</w:t>
      </w:r>
      <w:r w:rsidR="001302D9">
        <w:rPr>
          <w:lang w:eastAsia="en-NZ"/>
        </w:rPr>
        <w:t xml:space="preserve"> at governance level</w:t>
      </w:r>
      <w:r>
        <w:rPr>
          <w:lang w:eastAsia="en-NZ"/>
        </w:rPr>
        <w:t xml:space="preserve"> to </w:t>
      </w:r>
      <w:r w:rsidR="003F6F70">
        <w:rPr>
          <w:lang w:eastAsia="en-NZ"/>
        </w:rPr>
        <w:t xml:space="preserve">further </w:t>
      </w:r>
      <w:r>
        <w:rPr>
          <w:lang w:eastAsia="en-NZ"/>
        </w:rPr>
        <w:t xml:space="preserve">explore the relationship between their OPCAT monitoring functions and </w:t>
      </w:r>
      <w:r w:rsidR="00642D7F">
        <w:rPr>
          <w:lang w:eastAsia="en-NZ"/>
        </w:rPr>
        <w:t>the role of</w:t>
      </w:r>
      <w:r w:rsidR="003F6F70">
        <w:rPr>
          <w:lang w:eastAsia="en-NZ"/>
        </w:rPr>
        <w:t xml:space="preserve"> Te </w:t>
      </w:r>
      <w:proofErr w:type="spellStart"/>
      <w:r w:rsidR="003F6F70">
        <w:rPr>
          <w:lang w:eastAsia="en-NZ"/>
        </w:rPr>
        <w:t>Tiriti</w:t>
      </w:r>
      <w:proofErr w:type="spellEnd"/>
      <w:r w:rsidR="005C0010">
        <w:rPr>
          <w:lang w:eastAsia="en-NZ"/>
        </w:rPr>
        <w:t xml:space="preserve"> </w:t>
      </w:r>
      <w:r w:rsidR="00DA5076">
        <w:rPr>
          <w:lang w:eastAsia="en-NZ"/>
        </w:rPr>
        <w:t>when</w:t>
      </w:r>
      <w:r w:rsidR="00642D7F">
        <w:rPr>
          <w:lang w:eastAsia="en-NZ"/>
        </w:rPr>
        <w:t xml:space="preserve"> monitoring places of detention</w:t>
      </w:r>
      <w:r w:rsidR="005C0010">
        <w:rPr>
          <w:lang w:eastAsia="en-NZ"/>
        </w:rPr>
        <w:t xml:space="preserve"> in Aotearoa</w:t>
      </w:r>
      <w:r w:rsidR="00B05698">
        <w:rPr>
          <w:lang w:eastAsia="en-NZ"/>
        </w:rPr>
        <w:t xml:space="preserve"> </w:t>
      </w:r>
      <w:r w:rsidR="00B05698" w:rsidRPr="00360BAD">
        <w:t>New Zealand</w:t>
      </w:r>
      <w:r w:rsidR="005C0010">
        <w:rPr>
          <w:lang w:eastAsia="en-NZ"/>
        </w:rPr>
        <w:t xml:space="preserve">. </w:t>
      </w:r>
      <w:r w:rsidR="00AA04CF">
        <w:rPr>
          <w:lang w:eastAsia="en-NZ"/>
        </w:rPr>
        <w:t xml:space="preserve">As </w:t>
      </w:r>
      <w:r w:rsidR="00754C70">
        <w:rPr>
          <w:lang w:eastAsia="en-NZ"/>
        </w:rPr>
        <w:t xml:space="preserve">the CNPM, the Commission is facilitating ongoing discussions </w:t>
      </w:r>
      <w:r w:rsidR="00AE1CF8">
        <w:rPr>
          <w:lang w:eastAsia="en-NZ"/>
        </w:rPr>
        <w:t xml:space="preserve">between NPMs about </w:t>
      </w:r>
      <w:r w:rsidR="00D42393">
        <w:rPr>
          <w:lang w:eastAsia="en-NZ"/>
        </w:rPr>
        <w:t>how this may be implemented</w:t>
      </w:r>
      <w:r w:rsidR="0061413D">
        <w:rPr>
          <w:lang w:eastAsia="en-NZ"/>
        </w:rPr>
        <w:t xml:space="preserve"> in practice</w:t>
      </w:r>
      <w:r w:rsidR="00AE1CF8">
        <w:rPr>
          <w:lang w:eastAsia="en-NZ"/>
        </w:rPr>
        <w:t xml:space="preserve">. </w:t>
      </w:r>
      <w:r w:rsidR="00153CAE">
        <w:rPr>
          <w:lang w:eastAsia="en-NZ"/>
        </w:rPr>
        <w:t>T</w:t>
      </w:r>
      <w:r w:rsidR="0061413D">
        <w:rPr>
          <w:lang w:eastAsia="en-NZ"/>
        </w:rPr>
        <w:t xml:space="preserve">he NPMs are </w:t>
      </w:r>
      <w:r w:rsidR="00153CAE">
        <w:rPr>
          <w:lang w:eastAsia="en-NZ"/>
        </w:rPr>
        <w:t xml:space="preserve">comprised of five distinct statutory bodies, meaning they </w:t>
      </w:r>
      <w:r w:rsidR="002D4324">
        <w:rPr>
          <w:lang w:eastAsia="en-NZ"/>
        </w:rPr>
        <w:t xml:space="preserve">must </w:t>
      </w:r>
      <w:r w:rsidR="00153CAE">
        <w:rPr>
          <w:lang w:eastAsia="en-NZ"/>
        </w:rPr>
        <w:t xml:space="preserve">each </w:t>
      </w:r>
      <w:r w:rsidR="002E7DA8">
        <w:rPr>
          <w:lang w:eastAsia="en-NZ"/>
        </w:rPr>
        <w:t xml:space="preserve">consider </w:t>
      </w:r>
      <w:r w:rsidR="00705BBF">
        <w:rPr>
          <w:lang w:eastAsia="en-NZ"/>
        </w:rPr>
        <w:t xml:space="preserve">how Te </w:t>
      </w:r>
      <w:proofErr w:type="spellStart"/>
      <w:r w:rsidR="00705BBF">
        <w:rPr>
          <w:lang w:eastAsia="en-NZ"/>
        </w:rPr>
        <w:t>Tiriti</w:t>
      </w:r>
      <w:proofErr w:type="spellEnd"/>
      <w:r w:rsidR="00705BBF">
        <w:rPr>
          <w:lang w:eastAsia="en-NZ"/>
        </w:rPr>
        <w:t xml:space="preserve"> applies to thei</w:t>
      </w:r>
      <w:r w:rsidR="002B4214">
        <w:rPr>
          <w:lang w:eastAsia="en-NZ"/>
        </w:rPr>
        <w:t xml:space="preserve">r entities separately and </w:t>
      </w:r>
      <w:r w:rsidR="00DA7F53">
        <w:rPr>
          <w:lang w:eastAsia="en-NZ"/>
        </w:rPr>
        <w:t>the extent to which they can work together</w:t>
      </w:r>
      <w:r w:rsidR="00E93DE3">
        <w:rPr>
          <w:lang w:eastAsia="en-NZ"/>
        </w:rPr>
        <w:t xml:space="preserve"> to uphold Te </w:t>
      </w:r>
      <w:proofErr w:type="spellStart"/>
      <w:r w:rsidR="00E93DE3">
        <w:rPr>
          <w:lang w:eastAsia="en-NZ"/>
        </w:rPr>
        <w:t>Tiriti</w:t>
      </w:r>
      <w:proofErr w:type="spellEnd"/>
      <w:r w:rsidR="00E93DE3">
        <w:rPr>
          <w:lang w:eastAsia="en-NZ"/>
        </w:rPr>
        <w:t xml:space="preserve"> within the OPCAT monitoring framework</w:t>
      </w:r>
      <w:r w:rsidR="002B4214">
        <w:rPr>
          <w:lang w:eastAsia="en-NZ"/>
        </w:rPr>
        <w:t xml:space="preserve">. </w:t>
      </w:r>
    </w:p>
    <w:p w14:paraId="75E8D8A8" w14:textId="3D887D31" w:rsidR="00BE7A0C" w:rsidRDefault="00E83EAD" w:rsidP="008E66C6">
      <w:pPr>
        <w:numPr>
          <w:ilvl w:val="0"/>
          <w:numId w:val="1"/>
        </w:numPr>
        <w:spacing w:after="120" w:line="276" w:lineRule="auto"/>
        <w:ind w:left="357" w:hanging="357"/>
        <w:jc w:val="both"/>
      </w:pPr>
      <w:r>
        <w:t xml:space="preserve">The Chief Ombudsman has embarked on a Te </w:t>
      </w:r>
      <w:proofErr w:type="spellStart"/>
      <w:r>
        <w:t>Ao</w:t>
      </w:r>
      <w:proofErr w:type="spellEnd"/>
      <w:r>
        <w:t xml:space="preserve"> Māori journey within his </w:t>
      </w:r>
      <w:proofErr w:type="gramStart"/>
      <w:r>
        <w:t>office, and</w:t>
      </w:r>
      <w:proofErr w:type="gramEnd"/>
      <w:r>
        <w:t xml:space="preserve"> is committed to including and embedding Te </w:t>
      </w:r>
      <w:proofErr w:type="spellStart"/>
      <w:r>
        <w:t>Ao</w:t>
      </w:r>
      <w:proofErr w:type="spellEnd"/>
      <w:r>
        <w:t xml:space="preserve"> Māori within all aspects of his work, including in his role as an NPM for </w:t>
      </w:r>
      <w:r w:rsidR="002711C7">
        <w:t>Aotearoa</w:t>
      </w:r>
      <w:r w:rsidR="00B05698">
        <w:t xml:space="preserve"> </w:t>
      </w:r>
      <w:r w:rsidR="00B05698" w:rsidRPr="00360BAD">
        <w:t>New Zealand</w:t>
      </w:r>
      <w:r>
        <w:t>.</w:t>
      </w:r>
      <w:r w:rsidR="00BE7A0C">
        <w:t xml:space="preserve"> </w:t>
      </w:r>
      <w:r w:rsidR="00BE7A0C" w:rsidRPr="00BE7A0C">
        <w:t xml:space="preserve">Work is currently underway to embed this within his OPCAT examinations, including engaging with Māori during his OPCAT monitoring, enhancing the monitoring framework for identifying and considering tikanga and Te </w:t>
      </w:r>
      <w:proofErr w:type="spellStart"/>
      <w:r w:rsidR="00BE7A0C" w:rsidRPr="00BE7A0C">
        <w:t>Tiriti</w:t>
      </w:r>
      <w:proofErr w:type="spellEnd"/>
      <w:r w:rsidR="00BE7A0C" w:rsidRPr="00BE7A0C">
        <w:t xml:space="preserve"> issues in places of detention, and implementing initiatives to ensure his staff are appropriately skilled and confident in Te </w:t>
      </w:r>
      <w:proofErr w:type="spellStart"/>
      <w:r w:rsidR="00BE7A0C" w:rsidRPr="00BE7A0C">
        <w:t>Ao</w:t>
      </w:r>
      <w:proofErr w:type="spellEnd"/>
      <w:r w:rsidR="00BE7A0C" w:rsidRPr="00BE7A0C">
        <w:t xml:space="preserve"> Māori, tikanga, and Te </w:t>
      </w:r>
      <w:proofErr w:type="spellStart"/>
      <w:r w:rsidR="00BE7A0C" w:rsidRPr="00BE7A0C">
        <w:t>Tiriti</w:t>
      </w:r>
      <w:proofErr w:type="spellEnd"/>
      <w:r w:rsidR="00BE7A0C" w:rsidRPr="00BE7A0C">
        <w:t>.</w:t>
      </w:r>
    </w:p>
    <w:p w14:paraId="2DEACAB2" w14:textId="470F1201" w:rsidR="002E09F9" w:rsidRPr="00BE7A0C" w:rsidRDefault="00835936" w:rsidP="008E66C6">
      <w:pPr>
        <w:numPr>
          <w:ilvl w:val="0"/>
          <w:numId w:val="1"/>
        </w:numPr>
        <w:spacing w:after="120" w:line="276" w:lineRule="auto"/>
        <w:ind w:left="357" w:hanging="357"/>
        <w:jc w:val="both"/>
      </w:pPr>
      <w:r>
        <w:t xml:space="preserve">The IPCA is committed to enhancing </w:t>
      </w:r>
      <w:r w:rsidR="003C7682">
        <w:t>its</w:t>
      </w:r>
      <w:r>
        <w:t xml:space="preserve"> knowledge of Te </w:t>
      </w:r>
      <w:proofErr w:type="spellStart"/>
      <w:r>
        <w:t>Tiriti</w:t>
      </w:r>
      <w:proofErr w:type="spellEnd"/>
      <w:r>
        <w:t xml:space="preserve"> o Waitangi</w:t>
      </w:r>
      <w:r w:rsidR="00D4106D">
        <w:t xml:space="preserve"> and Te </w:t>
      </w:r>
      <w:proofErr w:type="spellStart"/>
      <w:r w:rsidR="00D4106D">
        <w:t>Ao</w:t>
      </w:r>
      <w:proofErr w:type="spellEnd"/>
      <w:r w:rsidR="00D4106D">
        <w:t xml:space="preserve"> Māori</w:t>
      </w:r>
      <w:r>
        <w:t xml:space="preserve">. </w:t>
      </w:r>
      <w:r w:rsidR="003C7682">
        <w:t>The IPCA has</w:t>
      </w:r>
      <w:r>
        <w:t xml:space="preserve"> just completed all staff workshops on </w:t>
      </w:r>
      <w:r w:rsidR="003C7682">
        <w:t xml:space="preserve">Te </w:t>
      </w:r>
      <w:proofErr w:type="spellStart"/>
      <w:r w:rsidR="003C7682">
        <w:t>Tiriti</w:t>
      </w:r>
      <w:proofErr w:type="spellEnd"/>
      <w:r w:rsidR="003C7682">
        <w:t xml:space="preserve"> </w:t>
      </w:r>
      <w:r>
        <w:t xml:space="preserve">principles. </w:t>
      </w:r>
      <w:r w:rsidR="003C7682">
        <w:t>The IPCA’s</w:t>
      </w:r>
      <w:r>
        <w:t xml:space="preserve"> governing board and leadership team are developing </w:t>
      </w:r>
      <w:r w:rsidR="003C7682">
        <w:t>their</w:t>
      </w:r>
      <w:r>
        <w:t xml:space="preserve"> approach to embedding </w:t>
      </w:r>
      <w:r w:rsidR="003C7682">
        <w:t xml:space="preserve">Te </w:t>
      </w:r>
      <w:proofErr w:type="spellStart"/>
      <w:r w:rsidR="003C7682">
        <w:t>Tiriti</w:t>
      </w:r>
      <w:proofErr w:type="spellEnd"/>
      <w:r>
        <w:t xml:space="preserve"> principles into </w:t>
      </w:r>
      <w:r w:rsidR="003C7682">
        <w:t>the IPCA’s</w:t>
      </w:r>
      <w:r>
        <w:t xml:space="preserve"> work, including </w:t>
      </w:r>
      <w:r w:rsidR="003C7682">
        <w:t>its</w:t>
      </w:r>
      <w:r>
        <w:t xml:space="preserve"> NPM role. </w:t>
      </w:r>
    </w:p>
    <w:p w14:paraId="50E88E10" w14:textId="06675607" w:rsidR="00DB2A10" w:rsidRPr="002B4F0C" w:rsidRDefault="00B42672" w:rsidP="008E66C6">
      <w:pPr>
        <w:numPr>
          <w:ilvl w:val="0"/>
          <w:numId w:val="1"/>
        </w:numPr>
        <w:spacing w:after="120" w:line="276" w:lineRule="auto"/>
        <w:ind w:left="357" w:hanging="357"/>
        <w:jc w:val="both"/>
        <w:rPr>
          <w:lang w:val="en-GB"/>
        </w:rPr>
      </w:pPr>
      <w:r>
        <w:rPr>
          <w:lang w:val="en-GB"/>
        </w:rPr>
        <w:t xml:space="preserve">The Children’s Commissioner has </w:t>
      </w:r>
      <w:r w:rsidR="009939E6">
        <w:rPr>
          <w:lang w:val="en-GB"/>
        </w:rPr>
        <w:t xml:space="preserve">developed </w:t>
      </w:r>
      <w:r w:rsidR="0093550B">
        <w:rPr>
          <w:lang w:val="en-GB"/>
        </w:rPr>
        <w:t>the Mana Mokopuna monitoring framework,</w:t>
      </w:r>
      <w:r w:rsidR="00924C6D">
        <w:rPr>
          <w:lang w:val="en-GB"/>
        </w:rPr>
        <w:t xml:space="preserve"> which</w:t>
      </w:r>
      <w:r w:rsidR="0093550B">
        <w:rPr>
          <w:lang w:val="en-GB"/>
        </w:rPr>
        <w:t xml:space="preserve"> </w:t>
      </w:r>
      <w:r w:rsidR="00924C6D" w:rsidRPr="00924C6D">
        <w:t xml:space="preserve">is based on an expectation that </w:t>
      </w:r>
      <w:r w:rsidR="00924C6D">
        <w:t>people</w:t>
      </w:r>
      <w:r w:rsidR="00924C6D" w:rsidRPr="00924C6D">
        <w:t xml:space="preserve"> working with mokopuna Māori</w:t>
      </w:r>
      <w:r w:rsidR="00833687">
        <w:t xml:space="preserve"> (children and </w:t>
      </w:r>
      <w:r w:rsidR="003B4338">
        <w:t>young people</w:t>
      </w:r>
      <w:r w:rsidR="00833687">
        <w:t>)</w:t>
      </w:r>
      <w:r w:rsidR="00924C6D" w:rsidRPr="00924C6D">
        <w:t xml:space="preserve"> in the care and protection, youth justice and mental health systems, will enable and support positive connections with their whakapapa</w:t>
      </w:r>
      <w:r w:rsidR="0045322F">
        <w:t xml:space="preserve"> (</w:t>
      </w:r>
      <w:r w:rsidR="0022709D">
        <w:t>genealogy and lineage)</w:t>
      </w:r>
      <w:r w:rsidR="00924C6D" w:rsidRPr="00924C6D">
        <w:t>.</w:t>
      </w:r>
      <w:r w:rsidR="003B4338">
        <w:t xml:space="preserve"> </w:t>
      </w:r>
      <w:r w:rsidR="00DB2A10">
        <w:t xml:space="preserve">For mokopuna Māori, being supported to have a positive connection to identity is critical to wellbeing. </w:t>
      </w:r>
      <w:r w:rsidR="003B4338">
        <w:t xml:space="preserve">The Children’s Commissioner has established seven monitoring </w:t>
      </w:r>
      <w:r w:rsidR="00E518BA">
        <w:t>domains</w:t>
      </w:r>
      <w:r w:rsidR="002B4F0C">
        <w:t xml:space="preserve">, and </w:t>
      </w:r>
      <w:r w:rsidR="00DB2A10">
        <w:t>assess</w:t>
      </w:r>
      <w:r w:rsidR="004275B4">
        <w:t>es</w:t>
      </w:r>
      <w:r w:rsidR="00DB2A10">
        <w:t xml:space="preserve"> how facility staff respond, to meet the needs of Māori, throughout </w:t>
      </w:r>
      <w:r w:rsidR="00324031">
        <w:t xml:space="preserve">their </w:t>
      </w:r>
      <w:r w:rsidR="00DB2A10">
        <w:t xml:space="preserve">assessment of all domains. </w:t>
      </w:r>
      <w:r w:rsidR="00324031">
        <w:t>The</w:t>
      </w:r>
      <w:r w:rsidR="00DB2A10">
        <w:t xml:space="preserve"> seventh domain focuses specifically on how secure environments are improving outcomes for mokopuna Māori. To do this</w:t>
      </w:r>
      <w:r w:rsidR="00F27526">
        <w:t>,</w:t>
      </w:r>
      <w:r w:rsidR="00DB2A10">
        <w:t xml:space="preserve"> </w:t>
      </w:r>
      <w:r w:rsidR="00324031">
        <w:t>the Children’s Commissioner</w:t>
      </w:r>
      <w:r w:rsidR="00DB2A10">
        <w:t xml:space="preserve"> assess</w:t>
      </w:r>
      <w:r w:rsidR="00324031">
        <w:t>es</w:t>
      </w:r>
      <w:r w:rsidR="00DB2A10">
        <w:t xml:space="preserve"> four sub domains: Vision and goals for mokopuna Māori, </w:t>
      </w:r>
      <w:proofErr w:type="gramStart"/>
      <w:r w:rsidR="00DB2A10">
        <w:t>Building</w:t>
      </w:r>
      <w:proofErr w:type="gramEnd"/>
      <w:r w:rsidR="00DB2A10">
        <w:t xml:space="preserve"> cultural capability, Values upholding Māori culture and Partnerships with Māori</w:t>
      </w:r>
      <w:r w:rsidR="00602BD0">
        <w:t xml:space="preserve">. </w:t>
      </w:r>
    </w:p>
    <w:p w14:paraId="7D2D3160" w14:textId="32CFE6E7" w:rsidR="00A73EB5" w:rsidRDefault="002E09F9" w:rsidP="008E66C6">
      <w:pPr>
        <w:numPr>
          <w:ilvl w:val="0"/>
          <w:numId w:val="1"/>
        </w:numPr>
        <w:spacing w:after="120" w:line="276" w:lineRule="auto"/>
        <w:ind w:left="357" w:hanging="357"/>
        <w:jc w:val="both"/>
        <w:rPr>
          <w:lang w:val="en-GB"/>
        </w:rPr>
      </w:pPr>
      <w:r>
        <w:rPr>
          <w:lang w:val="en-GB"/>
        </w:rPr>
        <w:t xml:space="preserve">Through his monitoring work, the IPSE has observed that the </w:t>
      </w:r>
      <w:r w:rsidR="00A73EB5" w:rsidRPr="002E09F9">
        <w:rPr>
          <w:lang w:val="en-GB"/>
        </w:rPr>
        <w:t xml:space="preserve">SCE </w:t>
      </w:r>
      <w:r>
        <w:rPr>
          <w:lang w:val="en-GB"/>
        </w:rPr>
        <w:t>is continuing to develop its operating</w:t>
      </w:r>
      <w:r w:rsidR="00A73EB5" w:rsidRPr="002E09F9">
        <w:rPr>
          <w:lang w:val="en-GB"/>
        </w:rPr>
        <w:t xml:space="preserve"> </w:t>
      </w:r>
      <w:r>
        <w:rPr>
          <w:lang w:val="en-GB"/>
        </w:rPr>
        <w:t xml:space="preserve">model to </w:t>
      </w:r>
      <w:proofErr w:type="gramStart"/>
      <w:r>
        <w:rPr>
          <w:lang w:val="en-GB"/>
        </w:rPr>
        <w:t xml:space="preserve">more fully </w:t>
      </w:r>
      <w:r w:rsidR="00A73EB5" w:rsidRPr="002E09F9">
        <w:rPr>
          <w:lang w:val="en-GB"/>
        </w:rPr>
        <w:t xml:space="preserve">reflect the Te </w:t>
      </w:r>
      <w:proofErr w:type="spellStart"/>
      <w:r w:rsidR="00A73EB5" w:rsidRPr="002E09F9">
        <w:rPr>
          <w:lang w:val="en-GB"/>
        </w:rPr>
        <w:t>Tiriti</w:t>
      </w:r>
      <w:proofErr w:type="spellEnd"/>
      <w:r w:rsidR="00A73EB5" w:rsidRPr="002E09F9">
        <w:rPr>
          <w:lang w:val="en-GB"/>
        </w:rPr>
        <w:t xml:space="preserve"> o Waitangi requirements as applicable</w:t>
      </w:r>
      <w:proofErr w:type="gramEnd"/>
      <w:r w:rsidR="00A73EB5" w:rsidRPr="002E09F9">
        <w:rPr>
          <w:lang w:val="en-GB"/>
        </w:rPr>
        <w:t xml:space="preserve"> to the NZDF.</w:t>
      </w:r>
      <w:r w:rsidR="00EF4D64">
        <w:rPr>
          <w:lang w:val="en-GB"/>
        </w:rPr>
        <w:t xml:space="preserve"> The </w:t>
      </w:r>
      <w:r w:rsidR="00EF4D64" w:rsidRPr="002E09F9">
        <w:rPr>
          <w:lang w:val="en-GB"/>
        </w:rPr>
        <w:t xml:space="preserve">SCE appears to have embraced the significance of </w:t>
      </w:r>
      <w:r w:rsidR="003D3D7F">
        <w:rPr>
          <w:lang w:val="en-GB"/>
        </w:rPr>
        <w:t>Māori</w:t>
      </w:r>
      <w:r w:rsidR="00EF4D64" w:rsidRPr="002E09F9">
        <w:rPr>
          <w:lang w:val="en-GB"/>
        </w:rPr>
        <w:t xml:space="preserve"> cultural influences </w:t>
      </w:r>
      <w:r w:rsidR="003D3D7F">
        <w:rPr>
          <w:lang w:val="en-GB"/>
        </w:rPr>
        <w:t>in</w:t>
      </w:r>
      <w:r w:rsidR="00EF4D64" w:rsidRPr="002E09F9">
        <w:rPr>
          <w:lang w:val="en-GB"/>
        </w:rPr>
        <w:t xml:space="preserve"> its correcting training programmes. </w:t>
      </w:r>
      <w:r w:rsidR="00A73EB5" w:rsidRPr="002E09F9">
        <w:rPr>
          <w:lang w:val="en-GB"/>
        </w:rPr>
        <w:t xml:space="preserve">However, the success of this work is dependent on NZDF allocating appropriate resources to </w:t>
      </w:r>
      <w:r w:rsidR="00084978">
        <w:rPr>
          <w:lang w:val="en-GB"/>
        </w:rPr>
        <w:t xml:space="preserve">the </w:t>
      </w:r>
      <w:r w:rsidR="00A73EB5" w:rsidRPr="002E09F9">
        <w:rPr>
          <w:lang w:val="en-GB"/>
        </w:rPr>
        <w:t>SCE</w:t>
      </w:r>
      <w:r w:rsidR="00084978">
        <w:rPr>
          <w:lang w:val="en-GB"/>
        </w:rPr>
        <w:t>,</w:t>
      </w:r>
      <w:r w:rsidR="00A73EB5" w:rsidRPr="002E09F9">
        <w:rPr>
          <w:lang w:val="en-GB"/>
        </w:rPr>
        <w:t xml:space="preserve"> particularly with specialist staff.</w:t>
      </w:r>
      <w:r w:rsidR="00105323">
        <w:rPr>
          <w:lang w:val="en-GB"/>
        </w:rPr>
        <w:t xml:space="preserve"> </w:t>
      </w:r>
      <w:r w:rsidR="0094371A">
        <w:rPr>
          <w:lang w:val="en-GB"/>
        </w:rPr>
        <w:t xml:space="preserve">The SCE has been working closely with the Department of Corrections </w:t>
      </w:r>
      <w:r w:rsidR="00A73EB5" w:rsidRPr="002E09F9">
        <w:rPr>
          <w:lang w:val="en-GB"/>
        </w:rPr>
        <w:t>to identify and adapt workable ideas pertinent to its programme at the local level.</w:t>
      </w:r>
      <w:r w:rsidR="0094371A">
        <w:rPr>
          <w:lang w:val="en-GB"/>
        </w:rPr>
        <w:t xml:space="preserve"> </w:t>
      </w:r>
    </w:p>
    <w:p w14:paraId="0105AA0F" w14:textId="155FA949" w:rsidR="006266D3" w:rsidRPr="00B30480" w:rsidRDefault="006266D3" w:rsidP="008E66C6">
      <w:pPr>
        <w:pStyle w:val="Heading3"/>
        <w:jc w:val="both"/>
      </w:pPr>
      <w:bookmarkStart w:id="26" w:name="_Toc137480597"/>
      <w:r w:rsidRPr="00B30480">
        <w:t xml:space="preserve">Te </w:t>
      </w:r>
      <w:proofErr w:type="spellStart"/>
      <w:r w:rsidRPr="00B30480">
        <w:t>Tiriti</w:t>
      </w:r>
      <w:proofErr w:type="spellEnd"/>
      <w:r w:rsidRPr="00B30480">
        <w:t xml:space="preserve"> issues across the monitoring estate</w:t>
      </w:r>
      <w:bookmarkEnd w:id="26"/>
      <w:r w:rsidRPr="00B30480">
        <w:t xml:space="preserve"> </w:t>
      </w:r>
    </w:p>
    <w:p w14:paraId="0153303F" w14:textId="1260A534" w:rsidR="00175CE3" w:rsidRDefault="00FA5E50" w:rsidP="008E66C6">
      <w:pPr>
        <w:numPr>
          <w:ilvl w:val="0"/>
          <w:numId w:val="1"/>
        </w:numPr>
        <w:spacing w:after="120" w:line="276" w:lineRule="auto"/>
        <w:ind w:left="357" w:hanging="357"/>
        <w:jc w:val="both"/>
      </w:pPr>
      <w:r>
        <w:t xml:space="preserve">The Aotearoa </w:t>
      </w:r>
      <w:r w:rsidR="00971C07" w:rsidRPr="00360BAD">
        <w:t xml:space="preserve">New Zealand </w:t>
      </w:r>
      <w:r>
        <w:t xml:space="preserve">NPMs recognise the over-representation of Māori as a </w:t>
      </w:r>
      <w:r w:rsidR="006266D3">
        <w:t xml:space="preserve">percentage of those deprived of liberty </w:t>
      </w:r>
      <w:r w:rsidR="00A87BC1">
        <w:t xml:space="preserve">as a systemic issue across </w:t>
      </w:r>
      <w:proofErr w:type="gramStart"/>
      <w:r w:rsidR="00600152">
        <w:t>the majority of</w:t>
      </w:r>
      <w:proofErr w:type="gramEnd"/>
      <w:r w:rsidR="00600152">
        <w:t xml:space="preserve"> </w:t>
      </w:r>
      <w:r w:rsidR="00A87BC1">
        <w:t xml:space="preserve">facilities within their </w:t>
      </w:r>
      <w:r w:rsidR="00F42BF7">
        <w:t>monitoring mandate</w:t>
      </w:r>
      <w:r w:rsidR="00EA2F5D">
        <w:t xml:space="preserve"> including </w:t>
      </w:r>
      <w:r w:rsidR="00EE723B">
        <w:t xml:space="preserve">police custody, </w:t>
      </w:r>
      <w:r w:rsidR="00F42BF7">
        <w:t>prisons,</w:t>
      </w:r>
      <w:r w:rsidR="004F2AF0">
        <w:rPr>
          <w:rStyle w:val="FootnoteReference"/>
        </w:rPr>
        <w:footnoteReference w:id="10"/>
      </w:r>
      <w:r w:rsidR="00EE723B">
        <w:t xml:space="preserve"> </w:t>
      </w:r>
      <w:r w:rsidR="00F42BF7">
        <w:t xml:space="preserve">health and disability facilities, </w:t>
      </w:r>
      <w:r w:rsidR="00EA2F5D">
        <w:t xml:space="preserve">child and youth </w:t>
      </w:r>
      <w:r w:rsidR="00CA2C62" w:rsidRPr="00924C6D">
        <w:t xml:space="preserve">care and protection, youth justice and mental health </w:t>
      </w:r>
      <w:r w:rsidR="00175CE3">
        <w:t>facilities</w:t>
      </w:r>
      <w:r w:rsidR="00EA2F5D">
        <w:t>,</w:t>
      </w:r>
      <w:r w:rsidR="00CA2C62">
        <w:t xml:space="preserve"> and the SCE. </w:t>
      </w:r>
    </w:p>
    <w:p w14:paraId="79F0AA77" w14:textId="603B12AF" w:rsidR="00150E66" w:rsidRPr="00175CE3" w:rsidRDefault="006266D3" w:rsidP="008E66C6">
      <w:pPr>
        <w:numPr>
          <w:ilvl w:val="0"/>
          <w:numId w:val="1"/>
        </w:numPr>
        <w:spacing w:after="120" w:line="276" w:lineRule="auto"/>
        <w:ind w:left="357" w:hanging="357"/>
        <w:jc w:val="both"/>
      </w:pPr>
      <w:r>
        <w:t xml:space="preserve">Within places of detention, Māori also experience inequitable treatment. For example, the Chief Ombudsman has often highlighted the disproportionate rate of seclusion of Māori service users in many acute inpatient and forensic mental health </w:t>
      </w:r>
      <w:proofErr w:type="gramStart"/>
      <w:r>
        <w:t>services, and</w:t>
      </w:r>
      <w:proofErr w:type="gramEnd"/>
      <w:r>
        <w:t xml:space="preserve"> has made several recommendations in this regard.</w:t>
      </w:r>
      <w:r w:rsidR="00CE2F41">
        <w:t xml:space="preserve"> </w:t>
      </w:r>
    </w:p>
    <w:p w14:paraId="5965F492" w14:textId="647765E1" w:rsidR="006266D3" w:rsidRPr="00A847FB" w:rsidRDefault="005520A5" w:rsidP="008E66C6">
      <w:pPr>
        <w:numPr>
          <w:ilvl w:val="0"/>
          <w:numId w:val="1"/>
        </w:numPr>
        <w:spacing w:after="120" w:line="276" w:lineRule="auto"/>
        <w:ind w:left="357" w:hanging="357"/>
        <w:jc w:val="both"/>
        <w:rPr>
          <w:lang w:val="en-GB"/>
        </w:rPr>
      </w:pPr>
      <w:r>
        <w:t>The o</w:t>
      </w:r>
      <w:r w:rsidR="00150E66">
        <w:t>ver</w:t>
      </w:r>
      <w:r w:rsidR="005F580F">
        <w:t>-</w:t>
      </w:r>
      <w:r w:rsidR="00150E66">
        <w:t xml:space="preserve">representation of Māori in </w:t>
      </w:r>
      <w:r>
        <w:t xml:space="preserve">the use of </w:t>
      </w:r>
      <w:r w:rsidR="00150E66">
        <w:t xml:space="preserve">restrictive practices including seclusion and restraint </w:t>
      </w:r>
      <w:r w:rsidR="00CE2F41">
        <w:t>are also addressed in the separate submission</w:t>
      </w:r>
      <w:r w:rsidR="00150E66">
        <w:t xml:space="preserve">s to the Committee from </w:t>
      </w:r>
      <w:r w:rsidR="00CE2F41">
        <w:t>the Human Rights Commission</w:t>
      </w:r>
      <w:r w:rsidR="00B059D0">
        <w:t>, the Chief Ombudsman</w:t>
      </w:r>
      <w:r w:rsidR="00CE2F41">
        <w:t xml:space="preserve"> and the Children’s Commissioner. </w:t>
      </w:r>
    </w:p>
    <w:p w14:paraId="76928D52" w14:textId="0A0A2D04" w:rsidR="00A56984" w:rsidRPr="00A56984" w:rsidRDefault="002B1FA9" w:rsidP="008E66C6">
      <w:pPr>
        <w:numPr>
          <w:ilvl w:val="0"/>
          <w:numId w:val="1"/>
        </w:numPr>
        <w:ind w:left="357" w:hanging="357"/>
        <w:jc w:val="both"/>
      </w:pPr>
      <w:r w:rsidRPr="00D61002">
        <w:rPr>
          <w:rFonts w:cstheme="minorHAnsi"/>
          <w:b/>
        </w:rPr>
        <w:t xml:space="preserve">The Committee may wish to </w:t>
      </w:r>
      <w:r w:rsidR="00197443">
        <w:rPr>
          <w:rFonts w:cstheme="minorHAnsi"/>
          <w:b/>
        </w:rPr>
        <w:t xml:space="preserve">inquire further with the Government as to </w:t>
      </w:r>
      <w:r w:rsidR="00B218BC">
        <w:rPr>
          <w:rFonts w:cstheme="minorHAnsi"/>
          <w:b/>
        </w:rPr>
        <w:t xml:space="preserve">timely, </w:t>
      </w:r>
      <w:proofErr w:type="gramStart"/>
      <w:r w:rsidR="00B218BC">
        <w:rPr>
          <w:rFonts w:cstheme="minorHAnsi"/>
          <w:b/>
        </w:rPr>
        <w:t>effective</w:t>
      </w:r>
      <w:proofErr w:type="gramEnd"/>
      <w:r w:rsidR="00B218BC">
        <w:rPr>
          <w:rFonts w:cstheme="minorHAnsi"/>
          <w:b/>
        </w:rPr>
        <w:t xml:space="preserve"> and measurable steps it is taking to:</w:t>
      </w:r>
    </w:p>
    <w:p w14:paraId="10118C69" w14:textId="62AE78D1" w:rsidR="002B1FA9" w:rsidRPr="00A56984" w:rsidRDefault="00197443" w:rsidP="008E66C6">
      <w:pPr>
        <w:numPr>
          <w:ilvl w:val="1"/>
          <w:numId w:val="1"/>
        </w:numPr>
        <w:jc w:val="both"/>
      </w:pPr>
      <w:r>
        <w:rPr>
          <w:rFonts w:cstheme="minorHAnsi"/>
          <w:b/>
        </w:rPr>
        <w:t>reduce the r</w:t>
      </w:r>
      <w:r w:rsidR="004F6025">
        <w:rPr>
          <w:rFonts w:cstheme="minorHAnsi"/>
          <w:b/>
        </w:rPr>
        <w:t xml:space="preserve">ate of detention for Māori </w:t>
      </w:r>
      <w:r w:rsidR="00186621">
        <w:rPr>
          <w:rFonts w:cstheme="minorHAnsi"/>
          <w:b/>
        </w:rPr>
        <w:t>in all</w:t>
      </w:r>
      <w:r w:rsidR="004F6025">
        <w:rPr>
          <w:rFonts w:cstheme="minorHAnsi"/>
          <w:b/>
        </w:rPr>
        <w:t xml:space="preserve"> places within the NPM </w:t>
      </w:r>
      <w:r w:rsidR="00186621">
        <w:rPr>
          <w:rFonts w:cstheme="minorHAnsi"/>
          <w:b/>
        </w:rPr>
        <w:t>m</w:t>
      </w:r>
      <w:r w:rsidR="004F6025">
        <w:rPr>
          <w:rFonts w:cstheme="minorHAnsi"/>
          <w:b/>
        </w:rPr>
        <w:t>onitoring mandate</w:t>
      </w:r>
      <w:r w:rsidR="00186621">
        <w:rPr>
          <w:rFonts w:cstheme="minorHAnsi"/>
          <w:b/>
        </w:rPr>
        <w:t>; and</w:t>
      </w:r>
    </w:p>
    <w:p w14:paraId="1BEDE25B" w14:textId="540BC5C2" w:rsidR="002B1FA9" w:rsidRPr="00150E66" w:rsidRDefault="00A56984" w:rsidP="008E66C6">
      <w:pPr>
        <w:numPr>
          <w:ilvl w:val="1"/>
          <w:numId w:val="1"/>
        </w:numPr>
        <w:jc w:val="both"/>
      </w:pPr>
      <w:r>
        <w:rPr>
          <w:rFonts w:cstheme="minorHAnsi"/>
          <w:b/>
        </w:rPr>
        <w:t xml:space="preserve">reduce the </w:t>
      </w:r>
      <w:r w:rsidR="006817B8">
        <w:rPr>
          <w:rFonts w:cstheme="minorHAnsi"/>
          <w:b/>
        </w:rPr>
        <w:t xml:space="preserve">rate of Māori </w:t>
      </w:r>
      <w:r w:rsidR="00186621">
        <w:rPr>
          <w:rFonts w:cstheme="minorHAnsi"/>
          <w:b/>
        </w:rPr>
        <w:t>experiencing</w:t>
      </w:r>
      <w:r w:rsidR="006817B8">
        <w:rPr>
          <w:rFonts w:cstheme="minorHAnsi"/>
          <w:b/>
        </w:rPr>
        <w:t xml:space="preserve"> restrictive practices in </w:t>
      </w:r>
      <w:r w:rsidR="004A64E8">
        <w:rPr>
          <w:rFonts w:cstheme="minorHAnsi"/>
          <w:b/>
        </w:rPr>
        <w:t xml:space="preserve">all places of </w:t>
      </w:r>
      <w:r w:rsidR="006817B8">
        <w:rPr>
          <w:rFonts w:cstheme="minorHAnsi"/>
          <w:b/>
        </w:rPr>
        <w:t>detention (</w:t>
      </w:r>
      <w:proofErr w:type="gramStart"/>
      <w:r w:rsidR="006817B8">
        <w:rPr>
          <w:rFonts w:cstheme="minorHAnsi"/>
          <w:b/>
        </w:rPr>
        <w:t>e.g.</w:t>
      </w:r>
      <w:proofErr w:type="gramEnd"/>
      <w:r w:rsidR="006817B8">
        <w:rPr>
          <w:rFonts w:cstheme="minorHAnsi"/>
          <w:b/>
        </w:rPr>
        <w:t xml:space="preserve"> seclusion and restraint). </w:t>
      </w:r>
    </w:p>
    <w:p w14:paraId="54751B59" w14:textId="77777777" w:rsidR="001D7E20" w:rsidRPr="009444C9" w:rsidRDefault="001D7E20" w:rsidP="008E66C6">
      <w:pPr>
        <w:keepNext/>
        <w:jc w:val="both"/>
        <w:rPr>
          <w:i/>
          <w:iCs/>
          <w:color w:val="44546A" w:themeColor="text2"/>
        </w:rPr>
      </w:pPr>
      <w:r w:rsidRPr="009444C9">
        <w:rPr>
          <w:i/>
          <w:iCs/>
          <w:color w:val="44546A" w:themeColor="text2"/>
        </w:rPr>
        <w:t>Culturally unsafe practices</w:t>
      </w:r>
    </w:p>
    <w:p w14:paraId="2BA718A6" w14:textId="5423D015" w:rsidR="001D7E20" w:rsidRDefault="001D7E20" w:rsidP="008E66C6">
      <w:pPr>
        <w:numPr>
          <w:ilvl w:val="0"/>
          <w:numId w:val="1"/>
        </w:numPr>
        <w:ind w:left="357" w:hanging="357"/>
        <w:jc w:val="both"/>
      </w:pPr>
      <w:r>
        <w:t xml:space="preserve">The Chief Ombudsman has also raised concerns in his OPCAT reports about cultural safety. In his monitoring of health and disability facilities, these concerns have included the transfer of service users to other services at short notice and without the involvement of cultural support providers, service users being admitted into mental health units through the garage, and a lack of appropriate spaces in facilities to hold </w:t>
      </w:r>
      <w:proofErr w:type="spellStart"/>
      <w:r>
        <w:t>pōwhiri</w:t>
      </w:r>
      <w:proofErr w:type="spellEnd"/>
      <w:r>
        <w:t xml:space="preserve"> or mihi </w:t>
      </w:r>
      <w:proofErr w:type="spellStart"/>
      <w:r>
        <w:t>whakatau</w:t>
      </w:r>
      <w:proofErr w:type="spellEnd"/>
      <w:r w:rsidR="00C5182F">
        <w:t xml:space="preserve"> (welcome ceremonies)</w:t>
      </w:r>
      <w:r>
        <w:t>.</w:t>
      </w:r>
    </w:p>
    <w:p w14:paraId="446960AF" w14:textId="16AEF5F7" w:rsidR="001D7E20" w:rsidRDefault="001D7E20" w:rsidP="008E66C6">
      <w:pPr>
        <w:numPr>
          <w:ilvl w:val="0"/>
          <w:numId w:val="1"/>
        </w:numPr>
        <w:ind w:left="357" w:hanging="357"/>
        <w:jc w:val="both"/>
      </w:pPr>
      <w:proofErr w:type="gramStart"/>
      <w:r>
        <w:t>With regard to</w:t>
      </w:r>
      <w:proofErr w:type="gramEnd"/>
      <w:r>
        <w:t xml:space="preserve"> his monitoring of prisons, the Chief Ombudsman stated in his report from his inspection of </w:t>
      </w:r>
      <w:proofErr w:type="spellStart"/>
      <w:r>
        <w:t>Waikeria</w:t>
      </w:r>
      <w:proofErr w:type="spellEnd"/>
      <w:r>
        <w:t xml:space="preserve"> Prison that:</w:t>
      </w:r>
      <w:r w:rsidR="00A171CD">
        <w:rPr>
          <w:rStyle w:val="FootnoteReference"/>
        </w:rPr>
        <w:footnoteReference w:id="11"/>
      </w:r>
      <w:r>
        <w:t xml:space="preserve"> </w:t>
      </w:r>
    </w:p>
    <w:p w14:paraId="38C728A2" w14:textId="2D793AEA" w:rsidR="00FB2797" w:rsidRPr="00FB2797" w:rsidRDefault="00DB06BF" w:rsidP="008E66C6">
      <w:pPr>
        <w:pStyle w:val="ListParagraph"/>
        <w:jc w:val="both"/>
        <w:rPr>
          <w:i/>
          <w:iCs/>
          <w:sz w:val="20"/>
          <w:szCs w:val="20"/>
        </w:rPr>
      </w:pPr>
      <w:proofErr w:type="spellStart"/>
      <w:r w:rsidRPr="00DB06BF">
        <w:rPr>
          <w:i/>
          <w:iCs/>
          <w:sz w:val="20"/>
          <w:szCs w:val="20"/>
        </w:rPr>
        <w:t>Tāne</w:t>
      </w:r>
      <w:proofErr w:type="spellEnd"/>
      <w:r>
        <w:rPr>
          <w:rStyle w:val="FootnoteReference"/>
          <w:i/>
          <w:iCs/>
          <w:sz w:val="20"/>
          <w:szCs w:val="20"/>
        </w:rPr>
        <w:footnoteReference w:id="12"/>
      </w:r>
      <w:r w:rsidRPr="00DB06BF">
        <w:rPr>
          <w:i/>
          <w:iCs/>
          <w:sz w:val="20"/>
          <w:szCs w:val="20"/>
        </w:rPr>
        <w:t xml:space="preserve"> [in the High Security Complex] were required to receive all meals, other than lunch, in their cells due to the yard-to-cell regime. This meant </w:t>
      </w:r>
      <w:proofErr w:type="spellStart"/>
      <w:r w:rsidRPr="00DB06BF">
        <w:rPr>
          <w:i/>
          <w:iCs/>
          <w:sz w:val="20"/>
          <w:szCs w:val="20"/>
        </w:rPr>
        <w:t>tāne</w:t>
      </w:r>
      <w:proofErr w:type="spellEnd"/>
      <w:r w:rsidRPr="00DB06BF">
        <w:rPr>
          <w:i/>
          <w:iCs/>
          <w:sz w:val="20"/>
          <w:szCs w:val="20"/>
        </w:rPr>
        <w:t xml:space="preserve"> ate meals on their bunks </w:t>
      </w:r>
      <w:proofErr w:type="gramStart"/>
      <w:r w:rsidRPr="00DB06BF">
        <w:rPr>
          <w:i/>
          <w:iCs/>
          <w:sz w:val="20"/>
          <w:szCs w:val="20"/>
        </w:rPr>
        <w:t>in close proximity to</w:t>
      </w:r>
      <w:proofErr w:type="gramEnd"/>
      <w:r w:rsidRPr="00DB06BF">
        <w:rPr>
          <w:i/>
          <w:iCs/>
          <w:sz w:val="20"/>
          <w:szCs w:val="20"/>
        </w:rPr>
        <w:t xml:space="preserve"> an uncovered toilet. </w:t>
      </w:r>
      <w:proofErr w:type="spellStart"/>
      <w:r w:rsidRPr="00DB06BF">
        <w:rPr>
          <w:i/>
          <w:iCs/>
          <w:sz w:val="20"/>
          <w:szCs w:val="20"/>
        </w:rPr>
        <w:t>Tāne</w:t>
      </w:r>
      <w:proofErr w:type="spellEnd"/>
      <w:r w:rsidRPr="00DB06BF">
        <w:rPr>
          <w:i/>
          <w:iCs/>
          <w:sz w:val="20"/>
          <w:szCs w:val="20"/>
        </w:rPr>
        <w:t xml:space="preserve"> having to eat in such </w:t>
      </w:r>
      <w:proofErr w:type="gramStart"/>
      <w:r w:rsidRPr="00DB06BF">
        <w:rPr>
          <w:i/>
          <w:iCs/>
          <w:sz w:val="20"/>
          <w:szCs w:val="20"/>
        </w:rPr>
        <w:t>close proximity</w:t>
      </w:r>
      <w:proofErr w:type="gramEnd"/>
      <w:r w:rsidRPr="00DB06BF">
        <w:rPr>
          <w:i/>
          <w:iCs/>
          <w:sz w:val="20"/>
          <w:szCs w:val="20"/>
        </w:rPr>
        <w:t xml:space="preserve"> to the toilet is, in my opinion, both unsanitary and culturally inappropriate. This arrangement does not align with the Department’s </w:t>
      </w:r>
      <w:proofErr w:type="spellStart"/>
      <w:r w:rsidRPr="00DB06BF">
        <w:rPr>
          <w:i/>
          <w:iCs/>
          <w:sz w:val="20"/>
          <w:szCs w:val="20"/>
        </w:rPr>
        <w:t>Hōkai</w:t>
      </w:r>
      <w:proofErr w:type="spellEnd"/>
      <w:r w:rsidRPr="00DB06BF">
        <w:rPr>
          <w:i/>
          <w:iCs/>
          <w:sz w:val="20"/>
          <w:szCs w:val="20"/>
        </w:rPr>
        <w:t xml:space="preserve"> Rangi strategy relating to the development of minimum ‘Manaaki Standards’.</w:t>
      </w:r>
      <w:r>
        <w:rPr>
          <w:rStyle w:val="FootnoteReference"/>
          <w:i/>
          <w:iCs/>
          <w:sz w:val="20"/>
          <w:szCs w:val="20"/>
        </w:rPr>
        <w:footnoteReference w:id="13"/>
      </w:r>
      <w:r w:rsidRPr="00DB06BF">
        <w:rPr>
          <w:i/>
          <w:iCs/>
          <w:sz w:val="20"/>
          <w:szCs w:val="20"/>
        </w:rPr>
        <w:t xml:space="preserve"> </w:t>
      </w:r>
    </w:p>
    <w:p w14:paraId="6A691C66" w14:textId="77777777" w:rsidR="001D7E20" w:rsidRPr="009444C9" w:rsidRDefault="001D7E20" w:rsidP="008E66C6">
      <w:pPr>
        <w:keepNext/>
        <w:jc w:val="both"/>
        <w:rPr>
          <w:i/>
          <w:iCs/>
          <w:color w:val="44546A" w:themeColor="text2"/>
        </w:rPr>
      </w:pPr>
      <w:r w:rsidRPr="009444C9">
        <w:rPr>
          <w:i/>
          <w:iCs/>
          <w:color w:val="44546A" w:themeColor="text2"/>
        </w:rPr>
        <w:t xml:space="preserve">Access to cultural programmes and </w:t>
      </w:r>
      <w:proofErr w:type="spellStart"/>
      <w:r w:rsidRPr="009444C9">
        <w:rPr>
          <w:i/>
          <w:iCs/>
          <w:color w:val="44546A" w:themeColor="text2"/>
        </w:rPr>
        <w:t>kaupapa</w:t>
      </w:r>
      <w:proofErr w:type="spellEnd"/>
      <w:r w:rsidRPr="009444C9">
        <w:rPr>
          <w:i/>
          <w:iCs/>
          <w:color w:val="44546A" w:themeColor="text2"/>
        </w:rPr>
        <w:t xml:space="preserve"> Māori services</w:t>
      </w:r>
    </w:p>
    <w:p w14:paraId="5D735F14" w14:textId="5EB1B5D0" w:rsidR="001D7E20" w:rsidRDefault="001D7E20" w:rsidP="008E66C6">
      <w:pPr>
        <w:numPr>
          <w:ilvl w:val="0"/>
          <w:numId w:val="1"/>
        </w:numPr>
        <w:jc w:val="both"/>
      </w:pPr>
      <w:r>
        <w:t>The Chief Ombudsman has observed a lack of access to cultural support and provision of cultural programmes for people in custody. For example, in his report of his 2020 inspection of Auckland Prison, the Chief Ombudsman found that the prison did not actively provide cultural support, and there was no evidence of a coordinated approach or institutional commitment to cultural provision.</w:t>
      </w:r>
      <w:r w:rsidR="00A2132A">
        <w:rPr>
          <w:rStyle w:val="FootnoteReference"/>
        </w:rPr>
        <w:footnoteReference w:id="14"/>
      </w:r>
      <w:r>
        <w:t xml:space="preserve">  At the time of the inspection, approximately 53 per</w:t>
      </w:r>
      <w:r w:rsidR="00A22724">
        <w:t xml:space="preserve"> </w:t>
      </w:r>
      <w:r>
        <w:t>cent of the prison population identified as Māori.</w:t>
      </w:r>
    </w:p>
    <w:p w14:paraId="2E135CEE" w14:textId="41FF4E4F" w:rsidR="001D7E20" w:rsidRDefault="001D7E20" w:rsidP="008E66C6">
      <w:pPr>
        <w:numPr>
          <w:ilvl w:val="0"/>
          <w:numId w:val="1"/>
        </w:numPr>
        <w:jc w:val="both"/>
      </w:pPr>
      <w:r>
        <w:t xml:space="preserve">People in custody have also frequently raised concerns with the Chief Ombudsman’s Inspectors about access to cultural support and programmes, specifically around te </w:t>
      </w:r>
      <w:proofErr w:type="spellStart"/>
      <w:r>
        <w:t>reo</w:t>
      </w:r>
      <w:proofErr w:type="spellEnd"/>
      <w:r>
        <w:t xml:space="preserve"> Māori and tikanga. The Chief Ombudsman has made multiple recommendations to </w:t>
      </w:r>
      <w:r w:rsidR="00EE7148">
        <w:t xml:space="preserve">the Department of </w:t>
      </w:r>
      <w:r>
        <w:t>Corrections in this regard. The Chief Ombudsman has also often expressed the view that prison management should build and maintain relationships with iwi to ensure greater support is available to Māori, and to ensure the delivery of culturally appropriate services in prisons.</w:t>
      </w:r>
    </w:p>
    <w:p w14:paraId="0295B787" w14:textId="61C7F688" w:rsidR="00D43329" w:rsidRDefault="001D7E20" w:rsidP="008E66C6">
      <w:pPr>
        <w:numPr>
          <w:ilvl w:val="0"/>
          <w:numId w:val="1"/>
        </w:numPr>
        <w:jc w:val="both"/>
      </w:pPr>
      <w:r>
        <w:t xml:space="preserve">In his monitoring of health and disability places of detention, the Chief Ombudsman has found several instances where there had been minimal assessment of residents’ cultural and spiritual needs, and where opportunities existed to incorporate Te </w:t>
      </w:r>
      <w:proofErr w:type="spellStart"/>
      <w:r>
        <w:t>Ao</w:t>
      </w:r>
      <w:proofErr w:type="spellEnd"/>
      <w:r>
        <w:t xml:space="preserve"> Māori perspectives into the care and support of </w:t>
      </w:r>
      <w:proofErr w:type="spellStart"/>
      <w:r>
        <w:t>tāngata</w:t>
      </w:r>
      <w:proofErr w:type="spellEnd"/>
      <w:r>
        <w:t xml:space="preserve"> </w:t>
      </w:r>
      <w:proofErr w:type="spellStart"/>
      <w:r>
        <w:t>whai</w:t>
      </w:r>
      <w:proofErr w:type="spellEnd"/>
      <w:r>
        <w:t xml:space="preserve"> </w:t>
      </w:r>
      <w:proofErr w:type="spellStart"/>
      <w:r>
        <w:t>ora</w:t>
      </w:r>
      <w:proofErr w:type="spellEnd"/>
      <w:r>
        <w:t xml:space="preserve"> </w:t>
      </w:r>
      <w:r w:rsidR="0066748A">
        <w:t xml:space="preserve">(service users) </w:t>
      </w:r>
      <w:r>
        <w:t xml:space="preserve">to a greater degree. The Chief Ombudsman has highlighted the view that recognition of cultural identity, including participation in </w:t>
      </w:r>
      <w:proofErr w:type="spellStart"/>
      <w:r>
        <w:t>whānau</w:t>
      </w:r>
      <w:proofErr w:type="spellEnd"/>
      <w:r>
        <w:t xml:space="preserve"> and wider Māori communities, is central to enhanced wellbeing for Māori service users.</w:t>
      </w:r>
      <w:r w:rsidR="00BA072D">
        <w:rPr>
          <w:rStyle w:val="FootnoteReference"/>
        </w:rPr>
        <w:footnoteReference w:id="15"/>
      </w:r>
      <w:r>
        <w:t xml:space="preserve">  The Chief Ombudsman has made several recommendations related to this, specifically that services prioritise, </w:t>
      </w:r>
      <w:proofErr w:type="gramStart"/>
      <w:r>
        <w:t>implement</w:t>
      </w:r>
      <w:proofErr w:type="gramEnd"/>
      <w:r>
        <w:t xml:space="preserve"> and protect an increased range of </w:t>
      </w:r>
      <w:proofErr w:type="spellStart"/>
      <w:r>
        <w:t>kaupapa</w:t>
      </w:r>
      <w:proofErr w:type="spellEnd"/>
      <w:r>
        <w:t xml:space="preserve"> Māori practices and programmes, and that the day-to-day running of services incorporate tikanga Māori and cultural support.</w:t>
      </w:r>
      <w:bookmarkEnd w:id="8"/>
      <w:bookmarkEnd w:id="9"/>
      <w:bookmarkEnd w:id="10"/>
      <w:bookmarkEnd w:id="11"/>
    </w:p>
    <w:p w14:paraId="7870B0B3" w14:textId="44975239" w:rsidR="005C4221" w:rsidRDefault="00D522F1" w:rsidP="008E66C6">
      <w:pPr>
        <w:numPr>
          <w:ilvl w:val="0"/>
          <w:numId w:val="1"/>
        </w:numPr>
        <w:ind w:left="357" w:hanging="357"/>
        <w:jc w:val="both"/>
      </w:pPr>
      <w:r w:rsidRPr="00D61002">
        <w:rPr>
          <w:rFonts w:cstheme="minorHAnsi"/>
          <w:b/>
        </w:rPr>
        <w:t xml:space="preserve">The Committee may wish to </w:t>
      </w:r>
      <w:r>
        <w:rPr>
          <w:rFonts w:cstheme="minorHAnsi"/>
          <w:b/>
        </w:rPr>
        <w:t xml:space="preserve">inquire further with the Government as to timely, </w:t>
      </w:r>
      <w:proofErr w:type="gramStart"/>
      <w:r>
        <w:rPr>
          <w:rFonts w:cstheme="minorHAnsi"/>
          <w:b/>
        </w:rPr>
        <w:t>effective</w:t>
      </w:r>
      <w:proofErr w:type="gramEnd"/>
      <w:r>
        <w:rPr>
          <w:rFonts w:cstheme="minorHAnsi"/>
          <w:b/>
        </w:rPr>
        <w:t xml:space="preserve"> and measurable steps it is taking to </w:t>
      </w:r>
      <w:r w:rsidR="0008523D">
        <w:rPr>
          <w:rFonts w:cstheme="minorHAnsi"/>
          <w:b/>
        </w:rPr>
        <w:t>provide</w:t>
      </w:r>
      <w:r>
        <w:rPr>
          <w:rFonts w:cstheme="minorHAnsi"/>
          <w:b/>
        </w:rPr>
        <w:t xml:space="preserve"> cultural </w:t>
      </w:r>
      <w:r w:rsidR="0008523D">
        <w:rPr>
          <w:rFonts w:cstheme="minorHAnsi"/>
          <w:b/>
        </w:rPr>
        <w:t>support</w:t>
      </w:r>
      <w:r>
        <w:rPr>
          <w:rFonts w:cstheme="minorHAnsi"/>
          <w:b/>
        </w:rPr>
        <w:t xml:space="preserve">, </w:t>
      </w:r>
      <w:r w:rsidR="007D1886">
        <w:rPr>
          <w:rFonts w:cstheme="minorHAnsi"/>
          <w:b/>
        </w:rPr>
        <w:t xml:space="preserve">including </w:t>
      </w:r>
      <w:r>
        <w:rPr>
          <w:rFonts w:cstheme="minorHAnsi"/>
          <w:b/>
        </w:rPr>
        <w:t xml:space="preserve">with respect to tikanga and Te </w:t>
      </w:r>
      <w:proofErr w:type="spellStart"/>
      <w:r>
        <w:rPr>
          <w:rFonts w:cstheme="minorHAnsi"/>
          <w:b/>
        </w:rPr>
        <w:t>Ao</w:t>
      </w:r>
      <w:proofErr w:type="spellEnd"/>
      <w:r>
        <w:rPr>
          <w:rFonts w:cstheme="minorHAnsi"/>
          <w:b/>
        </w:rPr>
        <w:t xml:space="preserve"> Māori, </w:t>
      </w:r>
      <w:r w:rsidRPr="00163123">
        <w:rPr>
          <w:rFonts w:cstheme="minorHAnsi"/>
          <w:b/>
        </w:rPr>
        <w:t xml:space="preserve">in </w:t>
      </w:r>
      <w:r w:rsidR="0008523D">
        <w:rPr>
          <w:rFonts w:cstheme="minorHAnsi"/>
          <w:b/>
        </w:rPr>
        <w:t xml:space="preserve">all </w:t>
      </w:r>
      <w:r w:rsidRPr="00163123">
        <w:rPr>
          <w:rFonts w:cstheme="minorHAnsi"/>
          <w:b/>
        </w:rPr>
        <w:t>places of detention in Aotearoa</w:t>
      </w:r>
      <w:r w:rsidR="00B05698">
        <w:rPr>
          <w:rFonts w:cstheme="minorHAnsi"/>
          <w:b/>
        </w:rPr>
        <w:t xml:space="preserve"> </w:t>
      </w:r>
      <w:r w:rsidR="00B05698" w:rsidRPr="00B05698">
        <w:rPr>
          <w:b/>
          <w:bCs/>
        </w:rPr>
        <w:t>New Zealand</w:t>
      </w:r>
      <w:r w:rsidRPr="00163123">
        <w:rPr>
          <w:rFonts w:cstheme="minorHAnsi"/>
          <w:b/>
        </w:rPr>
        <w:t xml:space="preserve">. </w:t>
      </w:r>
    </w:p>
    <w:p w14:paraId="23B5BB61" w14:textId="74957B78" w:rsidR="00542CA1" w:rsidRPr="00542CA1" w:rsidRDefault="00542CA1" w:rsidP="008E66C6">
      <w:pPr>
        <w:pStyle w:val="Heading1"/>
        <w:numPr>
          <w:ilvl w:val="0"/>
          <w:numId w:val="2"/>
        </w:numPr>
        <w:tabs>
          <w:tab w:val="num" w:pos="360"/>
        </w:tabs>
        <w:spacing w:after="240"/>
        <w:ind w:left="624" w:hanging="624"/>
        <w:jc w:val="both"/>
        <w:rPr>
          <w:sz w:val="28"/>
          <w:szCs w:val="28"/>
        </w:rPr>
      </w:pPr>
      <w:bookmarkStart w:id="27" w:name="_Toc137480598"/>
      <w:r>
        <w:rPr>
          <w:sz w:val="28"/>
          <w:szCs w:val="28"/>
        </w:rPr>
        <w:t>Impacts of COVID-19</w:t>
      </w:r>
      <w:bookmarkEnd w:id="27"/>
    </w:p>
    <w:p w14:paraId="4BCA1261" w14:textId="77777777" w:rsidR="009F2B3F" w:rsidRPr="00B30480" w:rsidRDefault="009F2B3F" w:rsidP="008E66C6">
      <w:pPr>
        <w:pStyle w:val="Heading2"/>
        <w:jc w:val="both"/>
        <w:rPr>
          <w:rStyle w:val="Heading2Char"/>
        </w:rPr>
      </w:pPr>
      <w:bookmarkStart w:id="28" w:name="_Toc137480599"/>
      <w:r w:rsidRPr="00B30480">
        <w:rPr>
          <w:rStyle w:val="Heading2Char"/>
        </w:rPr>
        <w:t>Impacts on monitoring/changes to monitoring practice</w:t>
      </w:r>
      <w:bookmarkEnd w:id="28"/>
    </w:p>
    <w:p w14:paraId="5DE4F191" w14:textId="25A4456A" w:rsidR="00103A3F" w:rsidRDefault="009F2B3F" w:rsidP="008E66C6">
      <w:pPr>
        <w:numPr>
          <w:ilvl w:val="0"/>
          <w:numId w:val="1"/>
        </w:numPr>
        <w:ind w:left="357" w:hanging="357"/>
        <w:jc w:val="both"/>
      </w:pPr>
      <w:r>
        <w:t xml:space="preserve">The global COVID-19 outbreak and subsequent ‘lockdowns’ demanded different approaches to OPCAT monitoring. </w:t>
      </w:r>
      <w:r w:rsidR="00103A3F">
        <w:t>Throughout this period, the Human Rights Commission supported the NPMs to interpret and apply international guidance on monitoring during a pandemic which had at the forefront the “Do No Harm” principle. The Commission supported NPMs</w:t>
      </w:r>
      <w:r w:rsidR="00AF5BC0">
        <w:t xml:space="preserve"> to</w:t>
      </w:r>
      <w:r w:rsidR="00103A3F">
        <w:t xml:space="preserve"> implement alternative ways of monitoring and COVID-19 specific monitoring.</w:t>
      </w:r>
    </w:p>
    <w:p w14:paraId="7DB13066" w14:textId="4EBBB876" w:rsidR="00EA21E2" w:rsidRDefault="00AB65DD" w:rsidP="008E66C6">
      <w:pPr>
        <w:numPr>
          <w:ilvl w:val="0"/>
          <w:numId w:val="1"/>
        </w:numPr>
        <w:jc w:val="both"/>
      </w:pPr>
      <w:r>
        <w:t xml:space="preserve">Following lockdown announcements by the New Zealand government, most </w:t>
      </w:r>
      <w:r w:rsidR="0092472B">
        <w:t xml:space="preserve">detaining </w:t>
      </w:r>
      <w:r>
        <w:t xml:space="preserve">agencies closed their facilities to the public and made efforts to limit movements in and out of places of detention. </w:t>
      </w:r>
      <w:r w:rsidR="00760CC8">
        <w:t xml:space="preserve">In response, the </w:t>
      </w:r>
      <w:proofErr w:type="spellStart"/>
      <w:r w:rsidR="00760CC8">
        <w:t>Aoteaora</w:t>
      </w:r>
      <w:proofErr w:type="spellEnd"/>
      <w:r w:rsidR="00760CC8">
        <w:t xml:space="preserve"> NPMs </w:t>
      </w:r>
      <w:r w:rsidR="0092472B">
        <w:t>elected</w:t>
      </w:r>
      <w:r w:rsidR="00760CC8">
        <w:t xml:space="preserve"> to undertake </w:t>
      </w:r>
      <w:r w:rsidR="009F2B3F">
        <w:t xml:space="preserve">shorter, targeted inspections with an enhanced focus on health and safety (including providing Inspectors with training on the proper use of personal protective equipment). Furthermore, to ensure that Inspectors could comply with the health and safety arrangements of places of detention in line with the </w:t>
      </w:r>
      <w:r w:rsidR="00257F50">
        <w:t>“D</w:t>
      </w:r>
      <w:r w:rsidR="009F2B3F">
        <w:t xml:space="preserve">o </w:t>
      </w:r>
      <w:r w:rsidR="00257F50">
        <w:t>N</w:t>
      </w:r>
      <w:r w:rsidR="009F2B3F">
        <w:t xml:space="preserve">o </w:t>
      </w:r>
      <w:r w:rsidR="00257F50">
        <w:t>H</w:t>
      </w:r>
      <w:r w:rsidR="009F2B3F">
        <w:t>arm</w:t>
      </w:r>
      <w:r w:rsidR="00257F50">
        <w:t>”</w:t>
      </w:r>
      <w:r w:rsidR="009F2B3F">
        <w:t xml:space="preserve"> principle, </w:t>
      </w:r>
      <w:proofErr w:type="gramStart"/>
      <w:r w:rsidR="009F2B3F">
        <w:t>a large number of</w:t>
      </w:r>
      <w:proofErr w:type="gramEnd"/>
      <w:r w:rsidR="009F2B3F">
        <w:t xml:space="preserve"> these inspections were announced.</w:t>
      </w:r>
    </w:p>
    <w:p w14:paraId="5398B825" w14:textId="0F9005B5" w:rsidR="0098297F" w:rsidRDefault="009F2B3F" w:rsidP="008E66C6">
      <w:pPr>
        <w:numPr>
          <w:ilvl w:val="0"/>
          <w:numId w:val="1"/>
        </w:numPr>
        <w:jc w:val="both"/>
      </w:pPr>
      <w:r>
        <w:t xml:space="preserve">Throughout 2020, the Chief Ombudsman undertook targeted COVID-19 inspections of nine prisons, six health and disability places of detention, and 12 aged care facilities. </w:t>
      </w:r>
      <w:r w:rsidR="00E216A0">
        <w:t xml:space="preserve">These inspections were conducted by way of physical visits combined with virtual interviews. </w:t>
      </w:r>
      <w:r>
        <w:t xml:space="preserve">The Chief Ombudsman produced and published thematic reports about his observations and recommendations for the three facility types with a view to providing insight into how these sectors were managing </w:t>
      </w:r>
      <w:proofErr w:type="gramStart"/>
      <w:r>
        <w:t>as a whole during</w:t>
      </w:r>
      <w:proofErr w:type="gramEnd"/>
      <w:r>
        <w:t xml:space="preserve"> the pandemic.</w:t>
      </w:r>
    </w:p>
    <w:p w14:paraId="56C6E1DA" w14:textId="61AC5797" w:rsidR="0098297F" w:rsidRDefault="000B746D" w:rsidP="008E66C6">
      <w:pPr>
        <w:numPr>
          <w:ilvl w:val="0"/>
          <w:numId w:val="1"/>
        </w:numPr>
        <w:jc w:val="both"/>
      </w:pPr>
      <w:r>
        <w:t>During the period of enhanced COVID-19 public health measures, the IPCA continued its monitoring activities by conducting remote inspections of Police custody units, conducting audits of custodial records</w:t>
      </w:r>
      <w:r w:rsidR="00105F87">
        <w:t>,</w:t>
      </w:r>
      <w:r>
        <w:t xml:space="preserve"> and maintaining close contact with </w:t>
      </w:r>
      <w:r w:rsidR="00F614E5">
        <w:t>c</w:t>
      </w:r>
      <w:r>
        <w:t xml:space="preserve">ustody managers. </w:t>
      </w:r>
      <w:r w:rsidR="00105F87">
        <w:t xml:space="preserve">The IPCA was </w:t>
      </w:r>
      <w:r>
        <w:t xml:space="preserve">able to provide advice and guidance to Police in relation to the impact of new health protocols on the care of detainees. </w:t>
      </w:r>
    </w:p>
    <w:p w14:paraId="3F22D3AD" w14:textId="0CB48672" w:rsidR="00B47BB0" w:rsidRDefault="00942D4C" w:rsidP="008E66C6">
      <w:pPr>
        <w:pStyle w:val="ListParagraph"/>
        <w:numPr>
          <w:ilvl w:val="0"/>
          <w:numId w:val="1"/>
        </w:numPr>
        <w:spacing w:after="200" w:line="240" w:lineRule="atLeast"/>
        <w:ind w:left="357" w:hanging="357"/>
        <w:contextualSpacing w:val="0"/>
        <w:jc w:val="both"/>
        <w:rPr>
          <w:lang w:eastAsia="en-GB"/>
        </w:rPr>
      </w:pPr>
      <w:r w:rsidRPr="00DB1EBE">
        <w:rPr>
          <w:lang w:eastAsia="en-GB"/>
        </w:rPr>
        <w:t>The Office of the Children’s Commissioner conducted eight ‘virtual’ visits to places of detention</w:t>
      </w:r>
      <w:r>
        <w:rPr>
          <w:lang w:eastAsia="en-GB"/>
        </w:rPr>
        <w:t xml:space="preserve"> </w:t>
      </w:r>
      <w:r w:rsidR="00350F6A">
        <w:rPr>
          <w:lang w:eastAsia="en-GB"/>
        </w:rPr>
        <w:t>between March and May 2020</w:t>
      </w:r>
      <w:r w:rsidRPr="00DB1EBE">
        <w:rPr>
          <w:lang w:eastAsia="en-GB"/>
        </w:rPr>
        <w:t xml:space="preserve">. These visits were solely focussed on children and young people’s experiences of lockdown in secure facilities and how facilities responded to </w:t>
      </w:r>
      <w:r w:rsidRPr="00DB1EBE">
        <w:t>COVID</w:t>
      </w:r>
      <w:r w:rsidRPr="00DB1EBE">
        <w:rPr>
          <w:lang w:eastAsia="en-GB"/>
        </w:rPr>
        <w:t xml:space="preserve">-19 during </w:t>
      </w:r>
      <w:r w:rsidR="00561707">
        <w:rPr>
          <w:lang w:eastAsia="en-GB"/>
        </w:rPr>
        <w:t>the ‘lockdown’</w:t>
      </w:r>
      <w:r w:rsidRPr="00DB1EBE">
        <w:rPr>
          <w:lang w:eastAsia="en-GB"/>
        </w:rPr>
        <w:t xml:space="preserve">. </w:t>
      </w:r>
      <w:r w:rsidR="00490AD0">
        <w:rPr>
          <w:lang w:eastAsia="en-GB"/>
        </w:rPr>
        <w:t xml:space="preserve">From July 2020 to May 2021, </w:t>
      </w:r>
      <w:r w:rsidR="00351F47">
        <w:rPr>
          <w:lang w:eastAsia="en-GB"/>
        </w:rPr>
        <w:t xml:space="preserve">the Children’s Commissioner </w:t>
      </w:r>
      <w:r w:rsidR="00A942CD">
        <w:rPr>
          <w:lang w:eastAsia="en-GB"/>
        </w:rPr>
        <w:t xml:space="preserve">developed a new </w:t>
      </w:r>
      <w:r w:rsidR="00A942CD">
        <w:t>risk matrix to determine which facilities required immediate face to face monitoring once lockdown measures were eased.</w:t>
      </w:r>
      <w:r w:rsidR="0053012B">
        <w:t xml:space="preserve"> </w:t>
      </w:r>
      <w:r w:rsidR="0053012B" w:rsidRPr="00DB1EBE">
        <w:rPr>
          <w:lang w:eastAsia="en-GB"/>
        </w:rPr>
        <w:t xml:space="preserve">During </w:t>
      </w:r>
      <w:r w:rsidR="0053012B">
        <w:t>the initial ‘lockdown’ period,</w:t>
      </w:r>
      <w:r w:rsidR="0053012B" w:rsidRPr="00DB1EBE">
        <w:rPr>
          <w:lang w:eastAsia="en-GB"/>
        </w:rPr>
        <w:t xml:space="preserve"> the numbers of young people entering secure youth justice residential detention reduced and in June 2020, when New Zealand </w:t>
      </w:r>
      <w:r w:rsidR="0053012B">
        <w:rPr>
          <w:lang w:eastAsia="en-GB"/>
        </w:rPr>
        <w:t>came out of ‘lockdown’</w:t>
      </w:r>
      <w:r w:rsidR="0053012B" w:rsidRPr="00DB1EBE">
        <w:rPr>
          <w:lang w:eastAsia="en-GB"/>
        </w:rPr>
        <w:t>, only around 50-60% of beds in youth justice facilities were in use.</w:t>
      </w:r>
      <w:r w:rsidR="00A171D5">
        <w:rPr>
          <w:lang w:eastAsia="en-GB"/>
        </w:rPr>
        <w:t xml:space="preserve"> From July 2020 to May 2021</w:t>
      </w:r>
      <w:r w:rsidR="00356F8E">
        <w:rPr>
          <w:lang w:eastAsia="en-GB"/>
        </w:rPr>
        <w:t xml:space="preserve"> </w:t>
      </w:r>
      <w:r w:rsidR="00356F8E">
        <w:rPr>
          <w:szCs w:val="20"/>
        </w:rPr>
        <w:t xml:space="preserve">Police, the </w:t>
      </w:r>
      <w:r w:rsidR="001A2536">
        <w:rPr>
          <w:szCs w:val="20"/>
        </w:rPr>
        <w:t>j</w:t>
      </w:r>
      <w:r w:rsidR="00356F8E">
        <w:rPr>
          <w:szCs w:val="20"/>
        </w:rPr>
        <w:t xml:space="preserve">udiciary, </w:t>
      </w:r>
      <w:proofErr w:type="spellStart"/>
      <w:r w:rsidR="00356F8E">
        <w:rPr>
          <w:szCs w:val="20"/>
        </w:rPr>
        <w:t>Oranga</w:t>
      </w:r>
      <w:proofErr w:type="spellEnd"/>
      <w:r w:rsidR="00356F8E">
        <w:rPr>
          <w:szCs w:val="20"/>
        </w:rPr>
        <w:t xml:space="preserve"> Tamariki and Youth Advocates limit</w:t>
      </w:r>
      <w:r w:rsidR="002B56A5">
        <w:rPr>
          <w:szCs w:val="20"/>
        </w:rPr>
        <w:t>ed</w:t>
      </w:r>
      <w:r w:rsidR="00356F8E">
        <w:rPr>
          <w:szCs w:val="20"/>
        </w:rPr>
        <w:t xml:space="preserve"> the number of </w:t>
      </w:r>
      <w:r w:rsidR="00804D95">
        <w:rPr>
          <w:szCs w:val="20"/>
        </w:rPr>
        <w:t xml:space="preserve">children and young people </w:t>
      </w:r>
      <w:r w:rsidR="00356F8E">
        <w:rPr>
          <w:szCs w:val="20"/>
        </w:rPr>
        <w:t>entering secure residences.</w:t>
      </w:r>
      <w:r w:rsidR="008E5416">
        <w:rPr>
          <w:szCs w:val="20"/>
        </w:rPr>
        <w:t xml:space="preserve"> </w:t>
      </w:r>
    </w:p>
    <w:p w14:paraId="246E8A75" w14:textId="59587323" w:rsidR="002B0AD8" w:rsidRPr="00DB1EBE" w:rsidRDefault="002B0AD8" w:rsidP="008E66C6">
      <w:pPr>
        <w:pStyle w:val="ListParagraph"/>
        <w:numPr>
          <w:ilvl w:val="0"/>
          <w:numId w:val="1"/>
        </w:numPr>
        <w:spacing w:after="200" w:line="240" w:lineRule="atLeast"/>
        <w:ind w:left="357" w:hanging="357"/>
        <w:contextualSpacing w:val="0"/>
        <w:jc w:val="both"/>
        <w:rPr>
          <w:lang w:eastAsia="en-GB"/>
        </w:rPr>
      </w:pPr>
      <w:r w:rsidRPr="002B0AD8">
        <w:rPr>
          <w:lang w:eastAsia="en-GB"/>
        </w:rPr>
        <w:t xml:space="preserve">The Inspector of Service Penal Establishments noted the proactive measures taken by the </w:t>
      </w:r>
      <w:r w:rsidR="007F3FB4">
        <w:rPr>
          <w:lang w:eastAsia="en-GB"/>
        </w:rPr>
        <w:t>NZDF</w:t>
      </w:r>
      <w:r w:rsidRPr="002B0AD8">
        <w:rPr>
          <w:lang w:eastAsia="en-GB"/>
        </w:rPr>
        <w:t xml:space="preserve"> to establish an Isolation Wing and acquire physical training equipment for use by detainees while the camp gym was closed. External specialist support was provided by Zoom and detainees were allocated daily access to Zoom to contact their </w:t>
      </w:r>
      <w:proofErr w:type="spellStart"/>
      <w:r w:rsidRPr="002B0AD8">
        <w:rPr>
          <w:lang w:eastAsia="en-GB"/>
        </w:rPr>
        <w:t>whānau</w:t>
      </w:r>
      <w:proofErr w:type="spellEnd"/>
      <w:r w:rsidRPr="002B0AD8">
        <w:rPr>
          <w:lang w:eastAsia="en-GB"/>
        </w:rPr>
        <w:t xml:space="preserve"> and friends during the COVID-19 Alert Levels.</w:t>
      </w:r>
    </w:p>
    <w:p w14:paraId="205BFB43" w14:textId="779D805D" w:rsidR="00C344B6" w:rsidRPr="00B30480" w:rsidRDefault="00C344B6" w:rsidP="008E66C6">
      <w:pPr>
        <w:pStyle w:val="Heading2"/>
        <w:jc w:val="both"/>
        <w:rPr>
          <w:rStyle w:val="Heading2Char"/>
        </w:rPr>
      </w:pPr>
      <w:bookmarkStart w:id="29" w:name="_Toc137480600"/>
      <w:r w:rsidRPr="00B30480">
        <w:rPr>
          <w:rStyle w:val="Heading2Char"/>
        </w:rPr>
        <w:t>Impact to NPM jurisdiction</w:t>
      </w:r>
      <w:bookmarkEnd w:id="29"/>
    </w:p>
    <w:p w14:paraId="76CD4348" w14:textId="20AE7058" w:rsidR="00D4783C" w:rsidRDefault="00D4783C" w:rsidP="008E66C6">
      <w:pPr>
        <w:numPr>
          <w:ilvl w:val="0"/>
          <w:numId w:val="1"/>
        </w:numPr>
        <w:jc w:val="both"/>
      </w:pPr>
      <w:r>
        <w:t>As part of its COVID-19 response, t</w:t>
      </w:r>
      <w:r w:rsidRPr="00FE036E">
        <w:t xml:space="preserve">he </w:t>
      </w:r>
      <w:r>
        <w:t>G</w:t>
      </w:r>
      <w:r w:rsidRPr="00FE036E">
        <w:t>overnment established a system of managed isolation and quarantine (</w:t>
      </w:r>
      <w:r w:rsidRPr="00F20275">
        <w:rPr>
          <w:b/>
          <w:bCs/>
        </w:rPr>
        <w:t>MIQ</w:t>
      </w:r>
      <w:r w:rsidRPr="00FE036E">
        <w:t xml:space="preserve">) for all persons entering </w:t>
      </w:r>
      <w:r>
        <w:t>Aotearoa</w:t>
      </w:r>
      <w:r w:rsidRPr="00FE036E">
        <w:t xml:space="preserve"> </w:t>
      </w:r>
      <w:r w:rsidR="00971C07" w:rsidRPr="00360BAD">
        <w:t xml:space="preserve">New Zealand </w:t>
      </w:r>
      <w:r w:rsidRPr="00FE036E">
        <w:t xml:space="preserve">from overseas. From </w:t>
      </w:r>
      <w:r w:rsidR="00C43C70">
        <w:t>July</w:t>
      </w:r>
      <w:r w:rsidR="00C43C70" w:rsidRPr="00FE036E">
        <w:t xml:space="preserve"> </w:t>
      </w:r>
      <w:r w:rsidRPr="00FE036E">
        <w:t xml:space="preserve">2020, </w:t>
      </w:r>
      <w:proofErr w:type="spellStart"/>
      <w:r w:rsidR="00664259">
        <w:t>H</w:t>
      </w:r>
      <w:r w:rsidR="00D502CA">
        <w:rPr>
          <w:rFonts w:cstheme="minorHAnsi"/>
        </w:rPr>
        <w:t>ī</w:t>
      </w:r>
      <w:r w:rsidR="00664259">
        <w:t>kina</w:t>
      </w:r>
      <w:proofErr w:type="spellEnd"/>
      <w:r w:rsidR="00664259">
        <w:t xml:space="preserve"> </w:t>
      </w:r>
      <w:proofErr w:type="spellStart"/>
      <w:r w:rsidR="00664259">
        <w:t>Whakatutuki</w:t>
      </w:r>
      <w:proofErr w:type="spellEnd"/>
      <w:r w:rsidR="00664259">
        <w:t xml:space="preserve"> </w:t>
      </w:r>
      <w:r w:rsidR="00664259">
        <w:rPr>
          <w:rStyle w:val="normaltextrun"/>
          <w:color w:val="221E1F"/>
          <w:shd w:val="clear" w:color="auto" w:fill="FFFFFF"/>
          <w:lang w:val="en-GB"/>
        </w:rPr>
        <w:t xml:space="preserve">| the </w:t>
      </w:r>
      <w:r w:rsidR="00664259">
        <w:t>Ministry of Business, Innovation and Employment (MBIE) was the lead agency for MIQ, with significant assistance from NZDF.</w:t>
      </w:r>
      <w:r w:rsidR="00664259">
        <w:rPr>
          <w:rStyle w:val="FootnoteReference"/>
        </w:rPr>
        <w:footnoteReference w:id="16"/>
      </w:r>
    </w:p>
    <w:p w14:paraId="7D33655A" w14:textId="2ED803D1" w:rsidR="00EA21E2" w:rsidRDefault="00C344B6" w:rsidP="008E66C6">
      <w:pPr>
        <w:numPr>
          <w:ilvl w:val="0"/>
          <w:numId w:val="1"/>
        </w:numPr>
        <w:jc w:val="both"/>
      </w:pPr>
      <w:r w:rsidRPr="00C344B6">
        <w:t xml:space="preserve">At the outset of the pandemic, the Chief Ombudsman reviewed his existing designation with respect to health and disability places of </w:t>
      </w:r>
      <w:proofErr w:type="gramStart"/>
      <w:r w:rsidRPr="00C344B6">
        <w:t>detention, and</w:t>
      </w:r>
      <w:proofErr w:type="gramEnd"/>
      <w:r w:rsidRPr="00C344B6">
        <w:t xml:space="preserve"> concluded that it included </w:t>
      </w:r>
      <w:r w:rsidR="00EA1578">
        <w:t>MIQ</w:t>
      </w:r>
      <w:r w:rsidRPr="00C344B6">
        <w:t xml:space="preserve"> facilities. The </w:t>
      </w:r>
      <w:r w:rsidR="00577690">
        <w:t xml:space="preserve">Chief </w:t>
      </w:r>
      <w:r w:rsidRPr="00C344B6">
        <w:t>Ombudsman commenced a new work programme of visiting MIQ facilities from July 2020 until their discontinuation in June 2022. The Chief Ombudsman made over 80 recommendations for improvement, a significant number of which were implemented by the relevant authorities.</w:t>
      </w:r>
    </w:p>
    <w:p w14:paraId="51E86BBC" w14:textId="7AD2A8B8" w:rsidR="007B0409" w:rsidRDefault="00C344B6" w:rsidP="008E66C6">
      <w:pPr>
        <w:numPr>
          <w:ilvl w:val="0"/>
          <w:numId w:val="1"/>
        </w:numPr>
        <w:jc w:val="both"/>
      </w:pPr>
      <w:r w:rsidRPr="00C344B6">
        <w:t>The Chief Ombudsman also determined that COVID-19 ‘Alternative Isolation Accommodation’ (</w:t>
      </w:r>
      <w:r w:rsidRPr="00C344B6">
        <w:rPr>
          <w:b/>
          <w:bCs/>
        </w:rPr>
        <w:t>AIA</w:t>
      </w:r>
      <w:r w:rsidRPr="00C344B6">
        <w:t>) facilities</w:t>
      </w:r>
      <w:r w:rsidRPr="00C344B6">
        <w:rPr>
          <w:vertAlign w:val="superscript"/>
        </w:rPr>
        <w:footnoteReference w:id="17"/>
      </w:r>
      <w:r w:rsidRPr="00C344B6">
        <w:t xml:space="preserve"> fall within his jurisdiction as an NPM on the basis that, in practice, people using AIA may face barriers to leaving such facilities at will. The Chief Ombudsman advised </w:t>
      </w:r>
      <w:r w:rsidR="00AF71D2">
        <w:t>MBIE</w:t>
      </w:r>
      <w:r w:rsidRPr="00C344B6">
        <w:t xml:space="preserve">, as the responsible government agency, of his intention to monitor AIA facilities to provide independent assurance to Parliament and the public regarding the conditions and treatment of people accommodated there. The Chief Ombudsman’s Inspectors have carried out </w:t>
      </w:r>
      <w:r w:rsidR="00AF71D2">
        <w:t>nine</w:t>
      </w:r>
      <w:r w:rsidRPr="00C344B6">
        <w:t xml:space="preserve"> visits to AIA facilities.</w:t>
      </w:r>
    </w:p>
    <w:p w14:paraId="08EC70E5" w14:textId="77777777" w:rsidR="007B0409" w:rsidRPr="00B30480" w:rsidRDefault="00C344B6" w:rsidP="008E66C6">
      <w:pPr>
        <w:pStyle w:val="Heading2"/>
        <w:jc w:val="both"/>
        <w:rPr>
          <w:rStyle w:val="Heading2Char"/>
        </w:rPr>
      </w:pPr>
      <w:bookmarkStart w:id="30" w:name="_Toc137480601"/>
      <w:r w:rsidRPr="00C344B6">
        <w:rPr>
          <w:rStyle w:val="Heading2Char"/>
        </w:rPr>
        <w:t>Impacts of COVID-19 on people in places of detention</w:t>
      </w:r>
      <w:bookmarkEnd w:id="30"/>
    </w:p>
    <w:p w14:paraId="4A433E0D" w14:textId="4CCC8484" w:rsidR="008223F7" w:rsidRDefault="00AF71D2" w:rsidP="008E66C6">
      <w:pPr>
        <w:pStyle w:val="ListParagraph"/>
        <w:numPr>
          <w:ilvl w:val="0"/>
          <w:numId w:val="1"/>
        </w:numPr>
        <w:jc w:val="both"/>
      </w:pPr>
      <w:r>
        <w:t>Detaining</w:t>
      </w:r>
      <w:r w:rsidRPr="00DB1EBE">
        <w:t xml:space="preserve"> </w:t>
      </w:r>
      <w:r w:rsidR="008223F7" w:rsidRPr="00DB1EBE">
        <w:t>agencies</w:t>
      </w:r>
      <w:r w:rsidR="00354E64">
        <w:t xml:space="preserve"> throughout Aotearoa</w:t>
      </w:r>
      <w:r w:rsidR="008223F7" w:rsidRPr="00DB1EBE">
        <w:t xml:space="preserve"> </w:t>
      </w:r>
      <w:r w:rsidR="00B05698" w:rsidRPr="00360BAD">
        <w:t>New Zealand</w:t>
      </w:r>
      <w:r w:rsidR="00B05698" w:rsidRPr="00DB1EBE">
        <w:t xml:space="preserve"> </w:t>
      </w:r>
      <w:r w:rsidR="008223F7" w:rsidRPr="00DB1EBE">
        <w:t xml:space="preserve">implemented various measures to prevent spread of COVID-19 within places of detention </w:t>
      </w:r>
      <w:proofErr w:type="gramStart"/>
      <w:r w:rsidR="008223F7" w:rsidRPr="00DB1EBE">
        <w:t>including:</w:t>
      </w:r>
      <w:proofErr w:type="gramEnd"/>
      <w:r w:rsidR="008223F7" w:rsidRPr="00DB1EBE">
        <w:t xml:space="preserve"> limiting movements in and out of places of detention; minimising detention numbers; implementing quarantine or isolation protocols; and, in some instances, introducing video calls to </w:t>
      </w:r>
      <w:proofErr w:type="spellStart"/>
      <w:r w:rsidR="008223F7" w:rsidRPr="00DB1EBE">
        <w:t>whānau</w:t>
      </w:r>
      <w:proofErr w:type="spellEnd"/>
      <w:r w:rsidR="008223F7" w:rsidRPr="00DB1EBE">
        <w:t xml:space="preserve"> and support services.</w:t>
      </w:r>
    </w:p>
    <w:p w14:paraId="68D4372A" w14:textId="77777777" w:rsidR="0001247B" w:rsidRPr="004816B5" w:rsidRDefault="0001247B" w:rsidP="008E66C6">
      <w:pPr>
        <w:jc w:val="both"/>
        <w:rPr>
          <w:i/>
          <w:iCs/>
          <w:color w:val="44546A" w:themeColor="text2"/>
        </w:rPr>
      </w:pPr>
      <w:r w:rsidRPr="004816B5">
        <w:rPr>
          <w:i/>
          <w:iCs/>
          <w:color w:val="44546A" w:themeColor="text2"/>
        </w:rPr>
        <w:t>Police custody</w:t>
      </w:r>
    </w:p>
    <w:p w14:paraId="30553DFF" w14:textId="6F48AFF3" w:rsidR="0001247B" w:rsidRDefault="0001247B" w:rsidP="008E66C6">
      <w:pPr>
        <w:numPr>
          <w:ilvl w:val="0"/>
          <w:numId w:val="1"/>
        </w:numPr>
        <w:jc w:val="both"/>
      </w:pPr>
      <w:r>
        <w:t>Aotearoa</w:t>
      </w:r>
      <w:r w:rsidR="00971C07">
        <w:t xml:space="preserve"> </w:t>
      </w:r>
      <w:r w:rsidR="00971C07" w:rsidRPr="00360BAD">
        <w:t>New Zealand</w:t>
      </w:r>
      <w:r>
        <w:t>’s public health response to COVID-19 led to a reduction in the number of people being arrested and detained by New Zealand Police.</w:t>
      </w:r>
      <w:r>
        <w:rPr>
          <w:rStyle w:val="FootnoteReference"/>
        </w:rPr>
        <w:footnoteReference w:id="18"/>
      </w:r>
      <w:r>
        <w:t xml:space="preserve"> Whilst restrictions on domestic travel and other movements will have contributed to this decline, Police also implemented temporary policies to limit the number of arrests and detentions made. Police officers were encouraged to find alternative ways to manage low level offences without bringing people into Police custody. The IPCA considers that many of the practices implemented by Police during </w:t>
      </w:r>
      <w:r w:rsidR="001B39BA">
        <w:t xml:space="preserve">COVID-19 </w:t>
      </w:r>
      <w:r>
        <w:t xml:space="preserve">restrictions to divert people (especially vulnerable detainees) away from custody could be retained and become part of normal operational practice. </w:t>
      </w:r>
    </w:p>
    <w:p w14:paraId="51381D27" w14:textId="13DCFB9D" w:rsidR="0001247B" w:rsidRDefault="0001247B" w:rsidP="008E66C6">
      <w:pPr>
        <w:numPr>
          <w:ilvl w:val="0"/>
          <w:numId w:val="1"/>
        </w:numPr>
        <w:jc w:val="both"/>
      </w:pPr>
      <w:r>
        <w:t>Another impact of COVID-19 public health restrictions was the increase in the use of Audio-Visual Links (</w:t>
      </w:r>
      <w:r w:rsidRPr="007A4CDF">
        <w:rPr>
          <w:b/>
          <w:bCs/>
        </w:rPr>
        <w:t>AVL</w:t>
      </w:r>
      <w:r>
        <w:t xml:space="preserve">) for court appearances. Detainees would appear at court remotely by video link from Police custody units and </w:t>
      </w:r>
      <w:r w:rsidR="00EE7148">
        <w:t xml:space="preserve">the Department of </w:t>
      </w:r>
      <w:r>
        <w:t xml:space="preserve">Corrections facilities. This reduced the need to transfer detainees to court and would often avoid detainees having to spend additional nights in Police cells. Many older Police cells do not meet the IPCA’s expectations and are not suitable for holding detainees for longer periods. Detainees on remand being held in Police cells also do not have the same entitlements as those being held in the custody of </w:t>
      </w:r>
      <w:r w:rsidR="00EE7148">
        <w:t xml:space="preserve">the Department of </w:t>
      </w:r>
      <w:r>
        <w:t>Corrections.</w:t>
      </w:r>
    </w:p>
    <w:p w14:paraId="418A11A8" w14:textId="6C3887AC" w:rsidR="0001247B" w:rsidRPr="0001247B" w:rsidRDefault="0001247B" w:rsidP="008E66C6">
      <w:pPr>
        <w:numPr>
          <w:ilvl w:val="0"/>
          <w:numId w:val="1"/>
        </w:numPr>
        <w:jc w:val="both"/>
      </w:pPr>
      <w:r>
        <w:t xml:space="preserve">Now that </w:t>
      </w:r>
      <w:r w:rsidR="00D12ACB">
        <w:t xml:space="preserve">COVID-19 </w:t>
      </w:r>
      <w:r>
        <w:t>restrictions have ended</w:t>
      </w:r>
      <w:r w:rsidR="00D12ACB">
        <w:t>,</w:t>
      </w:r>
      <w:r>
        <w:t xml:space="preserve"> the use of AVL has also declined. The IPCA believes that there are many circumstances when it would be appropriate to provide detainees with the option to appear in court by video link, especially for shorter administrative hearings. Whilst this is a matter for the </w:t>
      </w:r>
      <w:r w:rsidR="00971D94">
        <w:t>j</w:t>
      </w:r>
      <w:r>
        <w:t>udiciary, more could be done to ensure presiding judges are aware of the potential negative outcomes for detainees who are being transported for long distances and then held in poorer conditions in many of the older Police custodial facilities.</w:t>
      </w:r>
    </w:p>
    <w:p w14:paraId="365DE15E" w14:textId="44C7D6D9" w:rsidR="004816B5" w:rsidRPr="004816B5" w:rsidRDefault="004816B5" w:rsidP="008E66C6">
      <w:pPr>
        <w:jc w:val="both"/>
        <w:rPr>
          <w:i/>
          <w:iCs/>
          <w:color w:val="44546A" w:themeColor="text2"/>
        </w:rPr>
      </w:pPr>
      <w:r w:rsidRPr="004816B5">
        <w:rPr>
          <w:i/>
          <w:iCs/>
          <w:color w:val="44546A" w:themeColor="text2"/>
        </w:rPr>
        <w:t xml:space="preserve">Prisons </w:t>
      </w:r>
    </w:p>
    <w:p w14:paraId="6FDDCB52" w14:textId="5B5CC9C6" w:rsidR="007B0409" w:rsidRDefault="00B426AC" w:rsidP="008E66C6">
      <w:pPr>
        <w:numPr>
          <w:ilvl w:val="0"/>
          <w:numId w:val="1"/>
        </w:numPr>
        <w:jc w:val="both"/>
      </w:pPr>
      <w:r>
        <w:t>Both the Human Rights Commission and the</w:t>
      </w:r>
      <w:r w:rsidR="00C344B6" w:rsidRPr="00C344B6">
        <w:t xml:space="preserve"> Chief Ombudsman </w:t>
      </w:r>
      <w:r>
        <w:t>have</w:t>
      </w:r>
      <w:r w:rsidR="00C344B6" w:rsidRPr="00C344B6">
        <w:t xml:space="preserve"> expressed concerns to the Department of Corrections regarding the proportionality of some COVID-19 related restrictions and their impacts on the human rights of people in custody, particularly regarding:</w:t>
      </w:r>
    </w:p>
    <w:p w14:paraId="25E07F8C" w14:textId="77777777" w:rsidR="007B0409" w:rsidRDefault="00C344B6" w:rsidP="008E66C6">
      <w:pPr>
        <w:numPr>
          <w:ilvl w:val="1"/>
          <w:numId w:val="1"/>
        </w:numPr>
        <w:jc w:val="both"/>
      </w:pPr>
      <w:r w:rsidRPr="00C344B6">
        <w:t xml:space="preserve">minimum time spent out of cell and access to exercise in the fresh </w:t>
      </w:r>
      <w:proofErr w:type="gramStart"/>
      <w:r w:rsidRPr="00C344B6">
        <w:t>air;</w:t>
      </w:r>
      <w:proofErr w:type="gramEnd"/>
    </w:p>
    <w:p w14:paraId="7BC27A6D" w14:textId="77777777" w:rsidR="007B0409" w:rsidRDefault="00C344B6" w:rsidP="008E66C6">
      <w:pPr>
        <w:numPr>
          <w:ilvl w:val="1"/>
          <w:numId w:val="1"/>
        </w:numPr>
        <w:jc w:val="both"/>
      </w:pPr>
      <w:r w:rsidRPr="00C344B6">
        <w:t>safe in-person visits and access to alternative methods of communication; and</w:t>
      </w:r>
    </w:p>
    <w:p w14:paraId="2BF21682" w14:textId="4A38AFF1" w:rsidR="00C344B6" w:rsidRDefault="00C344B6" w:rsidP="008E66C6">
      <w:pPr>
        <w:numPr>
          <w:ilvl w:val="1"/>
          <w:numId w:val="1"/>
        </w:numPr>
        <w:jc w:val="both"/>
      </w:pPr>
      <w:r w:rsidRPr="00C344B6">
        <w:t>continued access to rehabilitation and reintegration services.</w:t>
      </w:r>
    </w:p>
    <w:p w14:paraId="15C004BF" w14:textId="77777777" w:rsidR="00962DFE" w:rsidRDefault="00C344B6" w:rsidP="008E66C6">
      <w:pPr>
        <w:numPr>
          <w:ilvl w:val="0"/>
          <w:numId w:val="1"/>
        </w:numPr>
        <w:jc w:val="both"/>
      </w:pPr>
      <w:r w:rsidRPr="00C344B6">
        <w:t xml:space="preserve">These issues have been further exacerbated and prolonged by acute staffing shortages in New Zealand prisons. As at May 2023, in-person visits were still not fully occurring in several prisons across the country, and a substantial number of prisoners across several units continued to be denied access to one hour of outdoor physical exercise, provided for in law, over consecutive weeks. These issues are discussed further in the </w:t>
      </w:r>
      <w:r w:rsidR="0080458A">
        <w:t>separate s</w:t>
      </w:r>
      <w:r w:rsidRPr="00C344B6">
        <w:t>ubmissio</w:t>
      </w:r>
      <w:r w:rsidR="0080458A">
        <w:t>ns of the Human Rights Commission and the</w:t>
      </w:r>
      <w:r w:rsidRPr="00C344B6">
        <w:t xml:space="preserve"> Chief Ombudsman to the Committee.</w:t>
      </w:r>
    </w:p>
    <w:p w14:paraId="094E1C37" w14:textId="58523E2F" w:rsidR="00794F28" w:rsidRPr="00794F28" w:rsidRDefault="00794F28" w:rsidP="008E66C6">
      <w:pPr>
        <w:jc w:val="both"/>
        <w:rPr>
          <w:i/>
          <w:iCs/>
          <w:color w:val="44546A" w:themeColor="text2"/>
        </w:rPr>
      </w:pPr>
      <w:r w:rsidRPr="00794F28">
        <w:rPr>
          <w:i/>
          <w:iCs/>
          <w:color w:val="44546A" w:themeColor="text2"/>
        </w:rPr>
        <w:t>Children and young person’s places of detention</w:t>
      </w:r>
    </w:p>
    <w:p w14:paraId="7CB25B40" w14:textId="3E74D0C9" w:rsidR="001A4B68" w:rsidRDefault="000C4E63" w:rsidP="008E66C6">
      <w:pPr>
        <w:numPr>
          <w:ilvl w:val="0"/>
          <w:numId w:val="1"/>
        </w:numPr>
        <w:jc w:val="both"/>
      </w:pPr>
      <w:r>
        <w:t>The Children’s Commissioner found that COVID</w:t>
      </w:r>
      <w:r w:rsidR="007B0409" w:rsidRPr="001A4B68">
        <w:t xml:space="preserve">-19 amplified the systemic issues around staffing shortages and inadequate facilities </w:t>
      </w:r>
      <w:r w:rsidR="00E963E1">
        <w:t xml:space="preserve">in </w:t>
      </w:r>
      <w:r w:rsidR="00E963E1" w:rsidRPr="00924C6D">
        <w:t>care and protection, youth justice and mental health</w:t>
      </w:r>
      <w:r w:rsidR="00E963E1">
        <w:t xml:space="preserve"> facilities for children and young people in Aotearoa</w:t>
      </w:r>
      <w:r w:rsidR="00B05698">
        <w:t xml:space="preserve"> </w:t>
      </w:r>
      <w:r w:rsidR="00B05698" w:rsidRPr="00360BAD">
        <w:t>New Zealand</w:t>
      </w:r>
      <w:r w:rsidR="00E963E1">
        <w:t xml:space="preserve">. </w:t>
      </w:r>
      <w:r w:rsidR="00704285" w:rsidRPr="00704285">
        <w:t xml:space="preserve">Given significant pressures on residential facility staff </w:t>
      </w:r>
      <w:r w:rsidR="00691F92">
        <w:t>during the pandemic response</w:t>
      </w:r>
      <w:r w:rsidR="00704285" w:rsidRPr="00704285">
        <w:t xml:space="preserve">, </w:t>
      </w:r>
      <w:r w:rsidR="00704285">
        <w:t>the Children’s Commissioner</w:t>
      </w:r>
      <w:r w:rsidR="00704285" w:rsidRPr="00704285">
        <w:t xml:space="preserve"> focus</w:t>
      </w:r>
      <w:r w:rsidR="00704285">
        <w:t>sed</w:t>
      </w:r>
      <w:r w:rsidR="00704285" w:rsidRPr="00704285">
        <w:t xml:space="preserve"> on interviewing children and young people and understanding their experience of the lockdown environment. </w:t>
      </w:r>
      <w:r w:rsidR="00962DFE">
        <w:t>The Children’s Commissioner found</w:t>
      </w:r>
      <w:r w:rsidR="007B0409" w:rsidRPr="001A4B68">
        <w:t xml:space="preserve"> negative impacts on </w:t>
      </w:r>
      <w:r w:rsidR="00804D95">
        <w:t>children and young people’s</w:t>
      </w:r>
      <w:r w:rsidR="00804D95" w:rsidRPr="001A4B68">
        <w:t xml:space="preserve"> </w:t>
      </w:r>
      <w:r w:rsidR="007B0409" w:rsidRPr="001A4B68">
        <w:t xml:space="preserve">access to programmes, education, and external visitors (including independent advocates </w:t>
      </w:r>
      <w:proofErr w:type="spellStart"/>
      <w:r w:rsidR="007B0409" w:rsidRPr="001A4B68">
        <w:t>Voyce</w:t>
      </w:r>
      <w:proofErr w:type="spellEnd"/>
      <w:r w:rsidR="007B0409" w:rsidRPr="001A4B68">
        <w:t xml:space="preserve"> </w:t>
      </w:r>
      <w:proofErr w:type="spellStart"/>
      <w:r w:rsidR="007B0409" w:rsidRPr="001A4B68">
        <w:t>Whakarongo</w:t>
      </w:r>
      <w:proofErr w:type="spellEnd"/>
      <w:r w:rsidR="007B0409" w:rsidRPr="001A4B68">
        <w:t xml:space="preserve"> Mai).</w:t>
      </w:r>
    </w:p>
    <w:p w14:paraId="470589B3" w14:textId="0174B70F" w:rsidR="009054EE" w:rsidRPr="00DB12D1" w:rsidRDefault="00DB12D1" w:rsidP="008E66C6">
      <w:pPr>
        <w:numPr>
          <w:ilvl w:val="0"/>
          <w:numId w:val="1"/>
        </w:numPr>
        <w:spacing w:line="256" w:lineRule="auto"/>
        <w:jc w:val="both"/>
        <w:rPr>
          <w:b/>
          <w:bCs/>
        </w:rPr>
      </w:pPr>
      <w:r>
        <w:rPr>
          <w:b/>
          <w:bCs/>
        </w:rPr>
        <w:t>In respect of all places of detention in Aotearoa New Zealand, the Committee may wish to make further inquiries with the Government as to the timely, effective and measurable steps being taken to ensure that all ongoing COVID-19 related restrictions are consistent with international human rights standards and obligations, including the United Nations Standard Minimum Rules for the Treatment of Prisoners (Nelson Mandela Rules) and for the Protection of Juvenile</w:t>
      </w:r>
      <w:r w:rsidR="00892607">
        <w:rPr>
          <w:b/>
          <w:bCs/>
        </w:rPr>
        <w:t>s</w:t>
      </w:r>
      <w:r>
        <w:rPr>
          <w:b/>
          <w:bCs/>
        </w:rPr>
        <w:t xml:space="preserve"> Deprived of their Liberty, and adhere to the principles of lawfulness, necessity, proportionality, and accountability.</w:t>
      </w:r>
    </w:p>
    <w:p w14:paraId="2FE597AB" w14:textId="227A93F3" w:rsidR="002B31B9" w:rsidRPr="008B7F7D" w:rsidRDefault="004D6280" w:rsidP="008E66C6">
      <w:pPr>
        <w:numPr>
          <w:ilvl w:val="0"/>
          <w:numId w:val="1"/>
        </w:numPr>
        <w:jc w:val="both"/>
        <w:rPr>
          <w:b/>
          <w:bCs/>
        </w:rPr>
      </w:pPr>
      <w:r w:rsidRPr="008B7F7D">
        <w:rPr>
          <w:b/>
          <w:bCs/>
        </w:rPr>
        <w:t xml:space="preserve">In respect of prisons, </w:t>
      </w:r>
      <w:r w:rsidR="00DC7531">
        <w:rPr>
          <w:b/>
          <w:bCs/>
        </w:rPr>
        <w:t xml:space="preserve">and </w:t>
      </w:r>
      <w:r w:rsidRPr="008B7F7D">
        <w:rPr>
          <w:b/>
          <w:bCs/>
        </w:rPr>
        <w:t xml:space="preserve">care and protection, youth justice and mental health facilities </w:t>
      </w:r>
      <w:r w:rsidR="00AF7418">
        <w:rPr>
          <w:b/>
          <w:bCs/>
        </w:rPr>
        <w:t>for</w:t>
      </w:r>
      <w:r w:rsidR="00DC7531">
        <w:rPr>
          <w:b/>
          <w:bCs/>
        </w:rPr>
        <w:t xml:space="preserve"> children and young people</w:t>
      </w:r>
      <w:r w:rsidR="00AF7418">
        <w:rPr>
          <w:b/>
          <w:bCs/>
        </w:rPr>
        <w:t xml:space="preserve"> </w:t>
      </w:r>
      <w:r w:rsidRPr="008B7F7D">
        <w:rPr>
          <w:b/>
          <w:bCs/>
        </w:rPr>
        <w:t>in Aotearoa</w:t>
      </w:r>
      <w:r w:rsidR="00B05698">
        <w:rPr>
          <w:b/>
          <w:bCs/>
        </w:rPr>
        <w:t xml:space="preserve"> </w:t>
      </w:r>
      <w:r w:rsidR="00B05698" w:rsidRPr="00B05698">
        <w:rPr>
          <w:b/>
          <w:bCs/>
        </w:rPr>
        <w:t>New Zealand</w:t>
      </w:r>
      <w:r w:rsidRPr="00B05698">
        <w:rPr>
          <w:b/>
          <w:bCs/>
        </w:rPr>
        <w:t>,</w:t>
      </w:r>
      <w:r w:rsidRPr="008B7F7D">
        <w:rPr>
          <w:b/>
          <w:bCs/>
        </w:rPr>
        <w:t xml:space="preserve"> the Committee </w:t>
      </w:r>
      <w:r w:rsidR="002B31B9" w:rsidRPr="008B7F7D">
        <w:rPr>
          <w:b/>
          <w:bCs/>
        </w:rPr>
        <w:t>may wish to</w:t>
      </w:r>
      <w:r w:rsidR="00773207">
        <w:rPr>
          <w:b/>
          <w:bCs/>
        </w:rPr>
        <w:t xml:space="preserve"> </w:t>
      </w:r>
      <w:r w:rsidR="00773207">
        <w:rPr>
          <w:rStyle w:val="normaltextrun"/>
          <w:rFonts w:ascii="Calibri" w:hAnsi="Calibri" w:cs="Calibri"/>
          <w:b/>
          <w:bCs/>
        </w:rPr>
        <w:t>urge the Government to lift the restrictions on the minimum entitlements of persons deprived of their liberty in these settings as a matter of urgency</w:t>
      </w:r>
      <w:r w:rsidR="00773207">
        <w:rPr>
          <w:b/>
          <w:bCs/>
        </w:rPr>
        <w:t>.</w:t>
      </w:r>
    </w:p>
    <w:p w14:paraId="37A5E42A" w14:textId="78DA7681" w:rsidR="00794F28" w:rsidRPr="00794F28" w:rsidRDefault="00794F28" w:rsidP="008E66C6">
      <w:pPr>
        <w:keepNext/>
        <w:jc w:val="both"/>
        <w:rPr>
          <w:i/>
          <w:iCs/>
          <w:color w:val="44546A" w:themeColor="text2"/>
        </w:rPr>
      </w:pPr>
      <w:r w:rsidRPr="00794F28">
        <w:rPr>
          <w:i/>
          <w:iCs/>
          <w:color w:val="44546A" w:themeColor="text2"/>
        </w:rPr>
        <w:t>NZDF detention facilities</w:t>
      </w:r>
    </w:p>
    <w:p w14:paraId="18A43EF1" w14:textId="350BC2B8" w:rsidR="00933AF8" w:rsidRPr="00C04E2F" w:rsidRDefault="005E57FA" w:rsidP="008E66C6">
      <w:pPr>
        <w:numPr>
          <w:ilvl w:val="0"/>
          <w:numId w:val="1"/>
        </w:numPr>
        <w:jc w:val="both"/>
      </w:pPr>
      <w:r>
        <w:t>Over the 2019 to 2021 period, the IPSE found that</w:t>
      </w:r>
      <w:r w:rsidR="002026F5">
        <w:t xml:space="preserve"> the</w:t>
      </w:r>
      <w:r>
        <w:t xml:space="preserve"> </w:t>
      </w:r>
      <w:r w:rsidR="002026F5">
        <w:t xml:space="preserve">SCE had a robust programme to meet the prevailing requirements issued by the Ministry of Health and NZDF with respect to COVID-19, and it was able to adapt the programme depending on the restrictions imposed. </w:t>
      </w:r>
      <w:r w:rsidR="00933AF8">
        <w:t>Detainees were tasked with developing their own</w:t>
      </w:r>
      <w:r w:rsidR="00033FD5">
        <w:t xml:space="preserve"> personal training</w:t>
      </w:r>
      <w:r w:rsidR="00933AF8">
        <w:t xml:space="preserve"> programmes, under supervision from </w:t>
      </w:r>
      <w:r w:rsidR="00796688">
        <w:t xml:space="preserve">the </w:t>
      </w:r>
      <w:r w:rsidR="00933AF8">
        <w:t>SCE</w:t>
      </w:r>
      <w:r w:rsidR="00796688">
        <w:t>’s</w:t>
      </w:r>
      <w:r w:rsidR="00933AF8">
        <w:t xml:space="preserve"> resident Instructor. External specialist support </w:t>
      </w:r>
      <w:r w:rsidR="00796688">
        <w:t>was provided including</w:t>
      </w:r>
      <w:r w:rsidR="00933AF8">
        <w:t xml:space="preserve"> padre, physio sessions and visiting officer interviews were conducted via video conferencing.  </w:t>
      </w:r>
      <w:r w:rsidR="00E36C35">
        <w:t>D</w:t>
      </w:r>
      <w:r w:rsidR="00933AF8">
        <w:t xml:space="preserve">aily access to video conferencing </w:t>
      </w:r>
      <w:r w:rsidR="00E36C35">
        <w:t>was also provided for</w:t>
      </w:r>
      <w:r w:rsidR="00933AF8">
        <w:t xml:space="preserve"> contact with </w:t>
      </w:r>
      <w:proofErr w:type="spellStart"/>
      <w:r w:rsidR="00933AF8">
        <w:t>whānau</w:t>
      </w:r>
      <w:proofErr w:type="spellEnd"/>
      <w:r w:rsidR="00933AF8">
        <w:t xml:space="preserve"> and friends.  This aspect of regular contact appear</w:t>
      </w:r>
      <w:r w:rsidR="0041138D">
        <w:t>ed</w:t>
      </w:r>
      <w:r w:rsidR="00933AF8">
        <w:t xml:space="preserve"> to have positive results on the rehabilitation programme.</w:t>
      </w:r>
    </w:p>
    <w:p w14:paraId="307DBF30" w14:textId="77777777" w:rsidR="00D43329" w:rsidRPr="007651D8" w:rsidRDefault="00D43329" w:rsidP="008E66C6">
      <w:pPr>
        <w:pStyle w:val="Heading1"/>
        <w:numPr>
          <w:ilvl w:val="0"/>
          <w:numId w:val="2"/>
        </w:numPr>
        <w:tabs>
          <w:tab w:val="num" w:pos="360"/>
        </w:tabs>
        <w:ind w:left="624" w:hanging="624"/>
        <w:jc w:val="both"/>
        <w:rPr>
          <w:sz w:val="28"/>
          <w:szCs w:val="28"/>
        </w:rPr>
      </w:pPr>
      <w:bookmarkStart w:id="31" w:name="_Toc136352829"/>
      <w:bookmarkStart w:id="32" w:name="_Toc136608731"/>
      <w:bookmarkStart w:id="33" w:name="_Toc136611034"/>
      <w:bookmarkStart w:id="34" w:name="_Toc136611085"/>
      <w:bookmarkStart w:id="35" w:name="_Toc136613292"/>
      <w:bookmarkStart w:id="36" w:name="_Toc137480602"/>
      <w:r w:rsidRPr="007651D8">
        <w:rPr>
          <w:sz w:val="28"/>
          <w:szCs w:val="28"/>
        </w:rPr>
        <w:t>Rights under the Convention</w:t>
      </w:r>
      <w:bookmarkEnd w:id="31"/>
      <w:bookmarkEnd w:id="32"/>
      <w:bookmarkEnd w:id="33"/>
      <w:bookmarkEnd w:id="34"/>
      <w:bookmarkEnd w:id="35"/>
      <w:bookmarkEnd w:id="36"/>
      <w:r w:rsidRPr="007651D8">
        <w:rPr>
          <w:sz w:val="28"/>
          <w:szCs w:val="28"/>
        </w:rPr>
        <w:t xml:space="preserve"> </w:t>
      </w:r>
    </w:p>
    <w:p w14:paraId="631C6AAE" w14:textId="386B4FFD" w:rsidR="00D43329" w:rsidRPr="00DC51ED" w:rsidRDefault="00D43329" w:rsidP="008E66C6">
      <w:pPr>
        <w:pStyle w:val="Heading2"/>
        <w:jc w:val="both"/>
        <w:rPr>
          <w:rStyle w:val="Heading2Char"/>
        </w:rPr>
      </w:pPr>
      <w:bookmarkStart w:id="37" w:name="_Toc136352830"/>
      <w:bookmarkStart w:id="38" w:name="_Toc136608732"/>
      <w:bookmarkStart w:id="39" w:name="_Toc136611035"/>
      <w:bookmarkStart w:id="40" w:name="_Toc136611086"/>
      <w:bookmarkStart w:id="41" w:name="_Toc136613293"/>
      <w:bookmarkStart w:id="42" w:name="_Toc137480603"/>
      <w:r w:rsidRPr="00DC51ED">
        <w:rPr>
          <w:rStyle w:val="Heading2Char"/>
        </w:rPr>
        <w:t>Article</w:t>
      </w:r>
      <w:bookmarkEnd w:id="37"/>
      <w:bookmarkEnd w:id="38"/>
      <w:bookmarkEnd w:id="39"/>
      <w:bookmarkEnd w:id="40"/>
      <w:bookmarkEnd w:id="41"/>
      <w:r w:rsidR="00715E1B">
        <w:rPr>
          <w:rStyle w:val="Heading2Char"/>
        </w:rPr>
        <w:t xml:space="preserve"> 2 </w:t>
      </w:r>
      <w:r w:rsidR="004D4399">
        <w:rPr>
          <w:rStyle w:val="Heading2Char"/>
        </w:rPr>
        <w:t>–</w:t>
      </w:r>
      <w:r w:rsidR="00715E1B">
        <w:rPr>
          <w:rStyle w:val="Heading2Char"/>
        </w:rPr>
        <w:t xml:space="preserve"> </w:t>
      </w:r>
      <w:r w:rsidR="004D4399">
        <w:rPr>
          <w:rStyle w:val="Heading2Char"/>
        </w:rPr>
        <w:t>Preventive measures</w:t>
      </w:r>
      <w:bookmarkEnd w:id="42"/>
      <w:r w:rsidR="004D4399">
        <w:rPr>
          <w:rStyle w:val="Heading2Char"/>
        </w:rPr>
        <w:t xml:space="preserve"> </w:t>
      </w:r>
    </w:p>
    <w:p w14:paraId="330C37AA" w14:textId="1DF0EB13" w:rsidR="00484454" w:rsidRDefault="00B30480" w:rsidP="008E66C6">
      <w:pPr>
        <w:pStyle w:val="Heading3"/>
        <w:jc w:val="both"/>
      </w:pPr>
      <w:bookmarkStart w:id="43" w:name="_Toc137480604"/>
      <w:bookmarkStart w:id="44" w:name="_Toc136352831"/>
      <w:bookmarkStart w:id="45" w:name="_Toc136608733"/>
      <w:bookmarkStart w:id="46" w:name="_Toc136611036"/>
      <w:bookmarkStart w:id="47" w:name="_Toc136611087"/>
      <w:bookmarkStart w:id="48" w:name="_Toc136613294"/>
      <w:r>
        <w:t xml:space="preserve">Activities of </w:t>
      </w:r>
      <w:r w:rsidR="00D314C4">
        <w:t xml:space="preserve">Aotearoa </w:t>
      </w:r>
      <w:r w:rsidR="00971C07" w:rsidRPr="00360BAD">
        <w:t xml:space="preserve">New Zealand </w:t>
      </w:r>
      <w:r>
        <w:t>NPMs during reporting period (List of issues, item 4)</w:t>
      </w:r>
      <w:bookmarkEnd w:id="43"/>
    </w:p>
    <w:p w14:paraId="66F6FD35" w14:textId="0A591962" w:rsidR="00F324F0" w:rsidRPr="00F324F0" w:rsidRDefault="00F324F0" w:rsidP="008E66C6">
      <w:pPr>
        <w:keepNext/>
        <w:jc w:val="both"/>
        <w:rPr>
          <w:i/>
          <w:iCs/>
          <w:color w:val="44546A" w:themeColor="text2"/>
        </w:rPr>
      </w:pPr>
      <w:r w:rsidRPr="00F324F0">
        <w:rPr>
          <w:i/>
          <w:iCs/>
          <w:color w:val="44546A" w:themeColor="text2"/>
        </w:rPr>
        <w:t xml:space="preserve">Human Rights Commission </w:t>
      </w:r>
    </w:p>
    <w:bookmarkEnd w:id="44"/>
    <w:bookmarkEnd w:id="45"/>
    <w:bookmarkEnd w:id="46"/>
    <w:bookmarkEnd w:id="47"/>
    <w:bookmarkEnd w:id="48"/>
    <w:p w14:paraId="50A210FF" w14:textId="0630BB42" w:rsidR="00CA1AD6" w:rsidRPr="00D91DA5" w:rsidRDefault="00CA1AD6" w:rsidP="008E66C6">
      <w:pPr>
        <w:numPr>
          <w:ilvl w:val="0"/>
          <w:numId w:val="1"/>
        </w:numPr>
        <w:jc w:val="both"/>
      </w:pPr>
      <w:r>
        <w:t>Throughout the reporting period the Commission</w:t>
      </w:r>
      <w:r w:rsidR="00AD7CDE">
        <w:t xml:space="preserve"> facilitated</w:t>
      </w:r>
      <w:r w:rsidR="001D109B">
        <w:t xml:space="preserve"> regular meetings between the Aotearoa </w:t>
      </w:r>
      <w:r w:rsidR="00572527" w:rsidRPr="00360BAD">
        <w:t xml:space="preserve">New Zealand </w:t>
      </w:r>
      <w:r w:rsidR="001D109B">
        <w:t>NPMs. The</w:t>
      </w:r>
      <w:r w:rsidR="00AD7CDE">
        <w:t xml:space="preserve"> Aotearoa </w:t>
      </w:r>
      <w:r w:rsidR="00971C07" w:rsidRPr="00360BAD">
        <w:t xml:space="preserve">New Zealand </w:t>
      </w:r>
      <w:r w:rsidR="00AD7CDE">
        <w:t>NPMs meet bi-annually at Chairs level</w:t>
      </w:r>
      <w:r w:rsidR="00407C39">
        <w:t xml:space="preserve">, to share monitoring developments among each of the agencies and discuss key issues arising in detention facilities. </w:t>
      </w:r>
      <w:r w:rsidR="00913036">
        <w:t>The NPMs also meet three to four times annual</w:t>
      </w:r>
      <w:r w:rsidR="00D13361">
        <w:t xml:space="preserve">ly at the operational level, </w:t>
      </w:r>
      <w:r w:rsidR="00D13361" w:rsidRPr="0066121A">
        <w:rPr>
          <w:lang w:val="en-GB"/>
        </w:rPr>
        <w:t>to increase collaboration</w:t>
      </w:r>
      <w:r w:rsidR="00D13361">
        <w:rPr>
          <w:lang w:val="en-GB"/>
        </w:rPr>
        <w:t xml:space="preserve">, </w:t>
      </w:r>
      <w:r w:rsidR="00D13361" w:rsidRPr="0066121A">
        <w:rPr>
          <w:lang w:val="en-GB"/>
        </w:rPr>
        <w:t>share experiences</w:t>
      </w:r>
      <w:r w:rsidR="00D13361">
        <w:rPr>
          <w:lang w:val="en-GB"/>
        </w:rPr>
        <w:t xml:space="preserve">, and </w:t>
      </w:r>
      <w:r w:rsidR="00D13361" w:rsidRPr="0066121A">
        <w:rPr>
          <w:lang w:val="en-GB"/>
        </w:rPr>
        <w:t xml:space="preserve">identify ways to work together more effectively and progress work requested by the NPM Chairs.  </w:t>
      </w:r>
    </w:p>
    <w:p w14:paraId="5B37CF14" w14:textId="620437DB" w:rsidR="00D91DA5" w:rsidRDefault="00963400" w:rsidP="008E66C6">
      <w:pPr>
        <w:numPr>
          <w:ilvl w:val="0"/>
          <w:numId w:val="1"/>
        </w:numPr>
        <w:jc w:val="both"/>
      </w:pPr>
      <w:r>
        <w:t xml:space="preserve">At the domestic level, the Commission has also </w:t>
      </w:r>
      <w:r w:rsidR="00E944F1">
        <w:t>undertaken</w:t>
      </w:r>
      <w:r>
        <w:t xml:space="preserve"> the following OPCAT-related work:</w:t>
      </w:r>
    </w:p>
    <w:p w14:paraId="42EB89A5" w14:textId="0E5C34B6" w:rsidR="00497CFC" w:rsidRDefault="0067248C" w:rsidP="008E66C6">
      <w:pPr>
        <w:numPr>
          <w:ilvl w:val="1"/>
          <w:numId w:val="1"/>
        </w:numPr>
        <w:jc w:val="both"/>
      </w:pPr>
      <w:r>
        <w:t xml:space="preserve">In 2016 the Commission successfully applied for funding from the Office of the United Nations High Commissioner for Human Rights, through the Special Fund for OPCAT. This funding was used to Commission </w:t>
      </w:r>
      <w:r w:rsidR="00E944F1">
        <w:t xml:space="preserve">a report by </w:t>
      </w:r>
      <w:r w:rsidR="00E944F1" w:rsidRPr="000D0465">
        <w:rPr>
          <w:lang w:val="en-GB"/>
        </w:rPr>
        <w:t xml:space="preserve">Dr </w:t>
      </w:r>
      <w:r w:rsidR="00E944F1">
        <w:rPr>
          <w:lang w:val="en-GB"/>
        </w:rPr>
        <w:t xml:space="preserve">Sharon </w:t>
      </w:r>
      <w:r w:rsidR="00E944F1" w:rsidRPr="000D0465">
        <w:rPr>
          <w:lang w:val="en-GB"/>
        </w:rPr>
        <w:t xml:space="preserve">Shalev, </w:t>
      </w:r>
      <w:r w:rsidR="00E944F1" w:rsidRPr="00E944F1">
        <w:rPr>
          <w:i/>
          <w:iCs/>
          <w:lang w:val="en-GB"/>
        </w:rPr>
        <w:t>Thinking Outside the Box – A review of seclusion and restraint practices in New Zealand</w:t>
      </w:r>
      <w:r w:rsidR="00E944F1">
        <w:rPr>
          <w:lang w:val="en-GB"/>
        </w:rPr>
        <w:t xml:space="preserve">, which was released in April 2017. </w:t>
      </w:r>
      <w:r w:rsidR="006D3F7C">
        <w:rPr>
          <w:lang w:val="en-GB"/>
        </w:rPr>
        <w:t>The</w:t>
      </w:r>
      <w:r w:rsidR="00F04387">
        <w:rPr>
          <w:lang w:val="en-GB"/>
        </w:rPr>
        <w:t xml:space="preserve"> Commission engaged</w:t>
      </w:r>
      <w:r w:rsidR="00CA030D">
        <w:rPr>
          <w:lang w:val="en-GB"/>
        </w:rPr>
        <w:t xml:space="preserve"> Dr Shalev to prepare two follow-up reports</w:t>
      </w:r>
      <w:r w:rsidR="006C287D">
        <w:rPr>
          <w:lang w:val="en-GB"/>
        </w:rPr>
        <w:t xml:space="preserve">: </w:t>
      </w:r>
      <w:r w:rsidR="006C287D" w:rsidRPr="007E0C28">
        <w:rPr>
          <w:i/>
          <w:iCs/>
        </w:rPr>
        <w:t>Time for a Paradigm Shift</w:t>
      </w:r>
      <w:r w:rsidR="00CD1E2B">
        <w:rPr>
          <w:i/>
          <w:iCs/>
        </w:rPr>
        <w:t>:</w:t>
      </w:r>
      <w:r w:rsidR="006C287D" w:rsidRPr="007E0C28">
        <w:rPr>
          <w:i/>
          <w:iCs/>
        </w:rPr>
        <w:t xml:space="preserve"> A Follow Up Review of Seclusion and Restraint Practices in New Zealand</w:t>
      </w:r>
      <w:r w:rsidR="006C287D" w:rsidRPr="007E0C28">
        <w:t xml:space="preserve"> (released December 2020) and </w:t>
      </w:r>
      <w:r w:rsidR="006C287D" w:rsidRPr="007E0C28">
        <w:rPr>
          <w:i/>
          <w:iCs/>
        </w:rPr>
        <w:t>First, Do No Harm</w:t>
      </w:r>
      <w:r w:rsidR="007E0C28">
        <w:rPr>
          <w:i/>
          <w:iCs/>
        </w:rPr>
        <w:t xml:space="preserve">: Segregation, </w:t>
      </w:r>
      <w:proofErr w:type="gramStart"/>
      <w:r w:rsidR="007E0C28">
        <w:rPr>
          <w:i/>
          <w:iCs/>
        </w:rPr>
        <w:t>restraint</w:t>
      </w:r>
      <w:proofErr w:type="gramEnd"/>
      <w:r w:rsidR="007E0C28">
        <w:rPr>
          <w:i/>
          <w:iCs/>
        </w:rPr>
        <w:t xml:space="preserve"> and pepper spray use in Women’s prisons in New Zealand</w:t>
      </w:r>
      <w:r w:rsidR="006C287D" w:rsidRPr="007E0C28">
        <w:rPr>
          <w:i/>
          <w:iCs/>
        </w:rPr>
        <w:t xml:space="preserve"> </w:t>
      </w:r>
      <w:r w:rsidR="006C287D" w:rsidRPr="007E0C28">
        <w:t>(released November 2021)</w:t>
      </w:r>
      <w:r w:rsidR="007E0C28">
        <w:t>.</w:t>
      </w:r>
      <w:r w:rsidR="007E0C28" w:rsidRPr="007E0C28">
        <w:rPr>
          <w:rStyle w:val="FootnoteReference"/>
          <w:lang w:val="en-GB"/>
        </w:rPr>
        <w:t xml:space="preserve"> </w:t>
      </w:r>
      <w:r w:rsidR="007E0C28">
        <w:rPr>
          <w:rStyle w:val="FootnoteReference"/>
          <w:lang w:val="en-GB"/>
        </w:rPr>
        <w:footnoteReference w:id="19"/>
      </w:r>
      <w:r w:rsidR="007E0C28">
        <w:rPr>
          <w:lang w:val="en-GB"/>
        </w:rPr>
        <w:t xml:space="preserve"> </w:t>
      </w:r>
      <w:r w:rsidR="007E0C28">
        <w:t xml:space="preserve"> The </w:t>
      </w:r>
      <w:r w:rsidR="006D3F7C" w:rsidRPr="007E0C28">
        <w:t>findings</w:t>
      </w:r>
      <w:r w:rsidR="006D3F7C">
        <w:rPr>
          <w:lang w:val="en-GB"/>
        </w:rPr>
        <w:t xml:space="preserve"> from </w:t>
      </w:r>
      <w:r w:rsidR="007E0C28">
        <w:rPr>
          <w:lang w:val="en-GB"/>
        </w:rPr>
        <w:t xml:space="preserve">Dr Shalev’s three reports </w:t>
      </w:r>
      <w:r w:rsidR="006D3F7C">
        <w:rPr>
          <w:lang w:val="en-GB"/>
        </w:rPr>
        <w:t xml:space="preserve">are discussed in detail in the Commission’s separate submission to the Committee. </w:t>
      </w:r>
    </w:p>
    <w:p w14:paraId="11864232" w14:textId="298397C9" w:rsidR="00115A33" w:rsidRPr="00E944F1" w:rsidRDefault="00291704" w:rsidP="008E66C6">
      <w:pPr>
        <w:numPr>
          <w:ilvl w:val="1"/>
          <w:numId w:val="1"/>
        </w:numPr>
        <w:jc w:val="both"/>
      </w:pPr>
      <w:r>
        <w:rPr>
          <w:lang w:val="en-GB"/>
        </w:rPr>
        <w:t xml:space="preserve">In March 2021, the </w:t>
      </w:r>
      <w:r>
        <w:rPr>
          <w:rStyle w:val="normaltextrun"/>
          <w:rFonts w:ascii="Calibri" w:hAnsi="Calibri" w:cs="Calibri"/>
          <w:color w:val="000000"/>
          <w:shd w:val="clear" w:color="auto" w:fill="FFFFFF"/>
        </w:rPr>
        <w:t>Commission was granted core participant status to the Royal Commission of Inquiry into Abuse in Care’s (</w:t>
      </w:r>
      <w:r w:rsidRPr="008734BA">
        <w:rPr>
          <w:rStyle w:val="normaltextrun"/>
          <w:rFonts w:ascii="Calibri" w:hAnsi="Calibri" w:cs="Calibri"/>
          <w:b/>
          <w:bCs/>
          <w:color w:val="000000"/>
          <w:shd w:val="clear" w:color="auto" w:fill="FFFFFF"/>
        </w:rPr>
        <w:t>RCOI</w:t>
      </w:r>
      <w:r>
        <w:rPr>
          <w:rStyle w:val="normaltextrun"/>
          <w:rFonts w:ascii="Calibri" w:hAnsi="Calibri" w:cs="Calibri"/>
          <w:color w:val="000000"/>
          <w:shd w:val="clear" w:color="auto" w:fill="FFFFFF"/>
        </w:rPr>
        <w:t xml:space="preserve">) </w:t>
      </w:r>
      <w:r w:rsidR="00262D21">
        <w:rPr>
          <w:rStyle w:val="normaltextrun"/>
          <w:rFonts w:ascii="Calibri" w:hAnsi="Calibri" w:cs="Calibri"/>
          <w:color w:val="000000"/>
          <w:shd w:val="clear" w:color="auto" w:fill="FFFFFF"/>
        </w:rPr>
        <w:t>investigations into psychiatric facilities and redress for those survivors</w:t>
      </w:r>
      <w:r w:rsidR="00AF15FA">
        <w:rPr>
          <w:rStyle w:val="normaltextrun"/>
          <w:rFonts w:ascii="Calibri" w:hAnsi="Calibri" w:cs="Calibri"/>
          <w:color w:val="000000"/>
          <w:shd w:val="clear" w:color="auto" w:fill="FFFFFF"/>
        </w:rPr>
        <w:t>. This</w:t>
      </w:r>
      <w:r w:rsidR="00262D21">
        <w:rPr>
          <w:rStyle w:val="normaltextrun"/>
          <w:rFonts w:ascii="Calibri" w:hAnsi="Calibri" w:cs="Calibri"/>
          <w:color w:val="000000"/>
          <w:shd w:val="clear" w:color="auto" w:fill="FFFFFF"/>
        </w:rPr>
        <w:t xml:space="preserve"> included redress for survivors of Lake Alice, a psychiatric facility where children were alleged to have been tortured and administered paralysing drugs in the 1970s. </w:t>
      </w:r>
      <w:r w:rsidR="00262D21">
        <w:rPr>
          <w:rStyle w:val="normaltextrun"/>
          <w:rFonts w:ascii="Calibri" w:hAnsi="Calibri" w:cs="Calibri"/>
          <w:color w:val="000000"/>
          <w:shd w:val="clear" w:color="auto" w:fill="FFFFFF"/>
          <w:lang w:val="en-GB"/>
        </w:rPr>
        <w:t>The Commission made legal submissions on Aotearoa</w:t>
      </w:r>
      <w:r w:rsidR="00B05698">
        <w:rPr>
          <w:rStyle w:val="normaltextrun"/>
          <w:rFonts w:ascii="Calibri" w:hAnsi="Calibri" w:cs="Calibri"/>
          <w:color w:val="000000"/>
          <w:shd w:val="clear" w:color="auto" w:fill="FFFFFF"/>
          <w:lang w:val="en-GB"/>
        </w:rPr>
        <w:t xml:space="preserve"> </w:t>
      </w:r>
      <w:r w:rsidR="00B05698" w:rsidRPr="00360BAD">
        <w:t>New Zealand</w:t>
      </w:r>
      <w:r w:rsidR="00262D21">
        <w:rPr>
          <w:rStyle w:val="normaltextrun"/>
          <w:rFonts w:ascii="Calibri" w:hAnsi="Calibri" w:cs="Calibri"/>
          <w:color w:val="000000"/>
          <w:shd w:val="clear" w:color="auto" w:fill="FFFFFF"/>
          <w:lang w:val="en-GB"/>
        </w:rPr>
        <w:t>’s human rights obligations relevant to torture</w:t>
      </w:r>
      <w:r w:rsidR="00403A70">
        <w:rPr>
          <w:rStyle w:val="normaltextrun"/>
          <w:rFonts w:ascii="Calibri" w:hAnsi="Calibri" w:cs="Calibri"/>
          <w:color w:val="000000"/>
          <w:shd w:val="clear" w:color="auto" w:fill="FFFFFF"/>
          <w:lang w:val="en-GB"/>
        </w:rPr>
        <w:t xml:space="preserve"> and ill-treatment</w:t>
      </w:r>
      <w:r w:rsidR="00262D21">
        <w:rPr>
          <w:rStyle w:val="normaltextrun"/>
          <w:rFonts w:ascii="Calibri" w:hAnsi="Calibri" w:cs="Calibri"/>
          <w:color w:val="000000"/>
          <w:shd w:val="clear" w:color="auto" w:fill="FFFFFF"/>
          <w:lang w:val="en-GB"/>
        </w:rPr>
        <w:t>, as well as outlining a human rights-based framework to providing substantive redress to victims of torture.</w:t>
      </w:r>
      <w:r w:rsidR="0023754E">
        <w:rPr>
          <w:rStyle w:val="normaltextrun"/>
          <w:rFonts w:ascii="Calibri" w:hAnsi="Calibri" w:cs="Calibri"/>
          <w:color w:val="000000"/>
          <w:shd w:val="clear" w:color="auto" w:fill="FFFFFF"/>
          <w:lang w:val="en-GB"/>
        </w:rPr>
        <w:t xml:space="preserve"> </w:t>
      </w:r>
      <w:r w:rsidR="008734BA">
        <w:rPr>
          <w:rStyle w:val="eop"/>
          <w:rFonts w:ascii="Calibri" w:hAnsi="Calibri" w:cs="Calibri"/>
          <w:color w:val="000000"/>
          <w:shd w:val="clear" w:color="auto" w:fill="FFFFFF"/>
        </w:rPr>
        <w:t xml:space="preserve">The RCOI investigation and findings are discussed in further detail in the Commission’s separate submission to the Committee. </w:t>
      </w:r>
    </w:p>
    <w:p w14:paraId="4E6AF588" w14:textId="0C96F612" w:rsidR="00E944F1" w:rsidRDefault="008673F5" w:rsidP="008E66C6">
      <w:pPr>
        <w:numPr>
          <w:ilvl w:val="0"/>
          <w:numId w:val="1"/>
        </w:numPr>
        <w:jc w:val="both"/>
      </w:pPr>
      <w:r>
        <w:t xml:space="preserve">Throughout the reporting period, the Commission has </w:t>
      </w:r>
      <w:r w:rsidRPr="00EE37CA">
        <w:rPr>
          <w:rStyle w:val="normaltextrun"/>
          <w:rFonts w:ascii="Calibri" w:hAnsi="Calibri" w:cs="Calibri"/>
          <w:color w:val="000000"/>
          <w:shd w:val="clear" w:color="auto" w:fill="FFFFFF"/>
        </w:rPr>
        <w:t xml:space="preserve">utilised </w:t>
      </w:r>
      <w:r w:rsidR="0023754E">
        <w:rPr>
          <w:rStyle w:val="normaltextrun"/>
          <w:rFonts w:ascii="Calibri" w:hAnsi="Calibri" w:cs="Calibri"/>
          <w:color w:val="000000"/>
          <w:shd w:val="clear" w:color="auto" w:fill="FFFFFF"/>
        </w:rPr>
        <w:t>several</w:t>
      </w:r>
      <w:r w:rsidRPr="00EE37CA">
        <w:rPr>
          <w:rStyle w:val="normaltextrun"/>
          <w:rFonts w:ascii="Calibri" w:hAnsi="Calibri" w:cs="Calibri"/>
          <w:color w:val="000000"/>
          <w:shd w:val="clear" w:color="auto" w:fill="FFFFFF"/>
        </w:rPr>
        <w:t xml:space="preserve"> opportunities to raise OPCAT related issues in its broader United Nations human rights treaty monitoring work</w:t>
      </w:r>
      <w:r w:rsidR="00EE37CA" w:rsidRPr="00EE37CA">
        <w:rPr>
          <w:rStyle w:val="normaltextrun"/>
          <w:rFonts w:ascii="Calibri" w:hAnsi="Calibri" w:cs="Calibri"/>
          <w:color w:val="000000"/>
          <w:shd w:val="clear" w:color="auto" w:fill="FFFFFF"/>
        </w:rPr>
        <w:t xml:space="preserve">, including before the </w:t>
      </w:r>
      <w:r w:rsidRPr="00EE37CA">
        <w:rPr>
          <w:rStyle w:val="normaltextrun"/>
          <w:rFonts w:ascii="Calibri" w:hAnsi="Calibri" w:cs="Calibri"/>
          <w:color w:val="000000"/>
          <w:shd w:val="clear" w:color="auto" w:fill="FFFFFF"/>
        </w:rPr>
        <w:t>H</w:t>
      </w:r>
      <w:r w:rsidR="00EE37CA" w:rsidRPr="00EE37CA">
        <w:rPr>
          <w:rStyle w:val="normaltextrun"/>
          <w:rFonts w:ascii="Calibri" w:hAnsi="Calibri" w:cs="Calibri"/>
          <w:color w:val="000000"/>
          <w:shd w:val="clear" w:color="auto" w:fill="FFFFFF"/>
        </w:rPr>
        <w:t xml:space="preserve">uman </w:t>
      </w:r>
      <w:r w:rsidRPr="00EE37CA">
        <w:rPr>
          <w:rStyle w:val="normaltextrun"/>
          <w:rFonts w:ascii="Calibri" w:hAnsi="Calibri" w:cs="Calibri"/>
          <w:color w:val="000000"/>
          <w:shd w:val="clear" w:color="auto" w:fill="FFFFFF"/>
        </w:rPr>
        <w:t>R</w:t>
      </w:r>
      <w:r w:rsidR="00EE37CA" w:rsidRPr="00EE37CA">
        <w:rPr>
          <w:rStyle w:val="normaltextrun"/>
          <w:rFonts w:ascii="Calibri" w:hAnsi="Calibri" w:cs="Calibri"/>
          <w:color w:val="000000"/>
          <w:shd w:val="clear" w:color="auto" w:fill="FFFFFF"/>
        </w:rPr>
        <w:t xml:space="preserve">ights </w:t>
      </w:r>
      <w:r w:rsidR="003B1268">
        <w:rPr>
          <w:rStyle w:val="normaltextrun"/>
          <w:rFonts w:ascii="Calibri" w:hAnsi="Calibri" w:cs="Calibri"/>
          <w:color w:val="000000"/>
          <w:shd w:val="clear" w:color="auto" w:fill="FFFFFF"/>
        </w:rPr>
        <w:t>Committee</w:t>
      </w:r>
      <w:r w:rsidRPr="00EE37CA">
        <w:rPr>
          <w:rStyle w:val="normaltextrun"/>
          <w:rFonts w:ascii="Calibri" w:hAnsi="Calibri" w:cs="Calibri"/>
          <w:color w:val="000000"/>
          <w:shd w:val="clear" w:color="auto" w:fill="FFFFFF"/>
        </w:rPr>
        <w:t>,</w:t>
      </w:r>
      <w:r w:rsidR="001179BD">
        <w:rPr>
          <w:rStyle w:val="FootnoteReference"/>
          <w:rFonts w:ascii="Calibri" w:hAnsi="Calibri" w:cs="Calibri"/>
          <w:color w:val="000000"/>
          <w:shd w:val="clear" w:color="auto" w:fill="FFFFFF"/>
        </w:rPr>
        <w:footnoteReference w:id="20"/>
      </w:r>
      <w:r w:rsidRPr="00EE37CA">
        <w:rPr>
          <w:rStyle w:val="normaltextrun"/>
          <w:rFonts w:ascii="Calibri" w:hAnsi="Calibri" w:cs="Calibri"/>
          <w:color w:val="000000"/>
          <w:shd w:val="clear" w:color="auto" w:fill="FFFFFF"/>
        </w:rPr>
        <w:t xml:space="preserve"> C</w:t>
      </w:r>
      <w:r w:rsidR="00EE37CA" w:rsidRPr="00EE37CA">
        <w:rPr>
          <w:rStyle w:val="normaltextrun"/>
          <w:rFonts w:ascii="Calibri" w:hAnsi="Calibri" w:cs="Calibri"/>
          <w:color w:val="000000"/>
          <w:shd w:val="clear" w:color="auto" w:fill="FFFFFF"/>
        </w:rPr>
        <w:t>ommittee on the Elimination of Racial Discrimination</w:t>
      </w:r>
      <w:r w:rsidRPr="00EE37CA">
        <w:rPr>
          <w:rStyle w:val="normaltextrun"/>
          <w:rFonts w:ascii="Calibri" w:hAnsi="Calibri" w:cs="Calibri"/>
          <w:color w:val="000000"/>
          <w:shd w:val="clear" w:color="auto" w:fill="FFFFFF"/>
        </w:rPr>
        <w:t>,</w:t>
      </w:r>
      <w:r w:rsidR="00E326B5">
        <w:rPr>
          <w:rStyle w:val="FootnoteReference"/>
          <w:rFonts w:ascii="Calibri" w:hAnsi="Calibri" w:cs="Calibri"/>
          <w:color w:val="000000"/>
          <w:shd w:val="clear" w:color="auto" w:fill="FFFFFF"/>
        </w:rPr>
        <w:footnoteReference w:id="21"/>
      </w:r>
      <w:r w:rsidRPr="00EE37CA">
        <w:rPr>
          <w:rStyle w:val="normaltextrun"/>
          <w:rFonts w:ascii="Calibri" w:hAnsi="Calibri" w:cs="Calibri"/>
          <w:color w:val="000000"/>
          <w:shd w:val="clear" w:color="auto" w:fill="FFFFFF"/>
        </w:rPr>
        <w:t xml:space="preserve"> C</w:t>
      </w:r>
      <w:r w:rsidR="00EE37CA" w:rsidRPr="00EE37CA">
        <w:rPr>
          <w:rStyle w:val="normaltextrun"/>
          <w:rFonts w:ascii="Calibri" w:hAnsi="Calibri" w:cs="Calibri"/>
          <w:color w:val="000000"/>
          <w:shd w:val="clear" w:color="auto" w:fill="FFFFFF"/>
        </w:rPr>
        <w:t>ommittee on the Rights of the Child</w:t>
      </w:r>
      <w:r w:rsidRPr="00EE37CA">
        <w:rPr>
          <w:rStyle w:val="normaltextrun"/>
          <w:rFonts w:ascii="Calibri" w:hAnsi="Calibri" w:cs="Calibri"/>
          <w:color w:val="000000"/>
          <w:shd w:val="clear" w:color="auto" w:fill="FFFFFF"/>
        </w:rPr>
        <w:t>,</w:t>
      </w:r>
      <w:r w:rsidR="0002065C">
        <w:rPr>
          <w:rStyle w:val="FootnoteReference"/>
          <w:rFonts w:ascii="Calibri" w:hAnsi="Calibri" w:cs="Calibri"/>
          <w:color w:val="000000"/>
          <w:shd w:val="clear" w:color="auto" w:fill="FFFFFF"/>
        </w:rPr>
        <w:footnoteReference w:id="22"/>
      </w:r>
      <w:r w:rsidRPr="00EE37CA">
        <w:rPr>
          <w:rStyle w:val="normaltextrun"/>
          <w:rFonts w:ascii="Calibri" w:hAnsi="Calibri" w:cs="Calibri"/>
          <w:color w:val="000000"/>
          <w:shd w:val="clear" w:color="auto" w:fill="FFFFFF"/>
        </w:rPr>
        <w:t xml:space="preserve"> </w:t>
      </w:r>
      <w:r w:rsidR="00EE37CA" w:rsidRPr="00EE37CA">
        <w:rPr>
          <w:rStyle w:val="normaltextrun"/>
          <w:rFonts w:ascii="Calibri" w:hAnsi="Calibri" w:cs="Calibri"/>
          <w:color w:val="000000"/>
          <w:shd w:val="clear" w:color="auto" w:fill="FFFFFF"/>
        </w:rPr>
        <w:t xml:space="preserve">and the </w:t>
      </w:r>
      <w:r w:rsidRPr="00EE37CA">
        <w:rPr>
          <w:rStyle w:val="normaltextrun"/>
          <w:rFonts w:ascii="Calibri" w:hAnsi="Calibri" w:cs="Calibri"/>
          <w:color w:val="000000"/>
          <w:shd w:val="clear" w:color="auto" w:fill="FFFFFF"/>
        </w:rPr>
        <w:t>U</w:t>
      </w:r>
      <w:r w:rsidR="00EE37CA" w:rsidRPr="00EE37CA">
        <w:rPr>
          <w:rStyle w:val="normaltextrun"/>
          <w:rFonts w:ascii="Calibri" w:hAnsi="Calibri" w:cs="Calibri"/>
          <w:color w:val="000000"/>
          <w:shd w:val="clear" w:color="auto" w:fill="FFFFFF"/>
        </w:rPr>
        <w:t xml:space="preserve">niversal </w:t>
      </w:r>
      <w:r w:rsidRPr="00EE37CA">
        <w:rPr>
          <w:rStyle w:val="normaltextrun"/>
          <w:rFonts w:ascii="Calibri" w:hAnsi="Calibri" w:cs="Calibri"/>
          <w:color w:val="000000"/>
          <w:shd w:val="clear" w:color="auto" w:fill="FFFFFF"/>
        </w:rPr>
        <w:t>P</w:t>
      </w:r>
      <w:r w:rsidR="00EE37CA" w:rsidRPr="00EE37CA">
        <w:rPr>
          <w:rStyle w:val="normaltextrun"/>
          <w:rFonts w:ascii="Calibri" w:hAnsi="Calibri" w:cs="Calibri"/>
          <w:color w:val="000000"/>
          <w:shd w:val="clear" w:color="auto" w:fill="FFFFFF"/>
        </w:rPr>
        <w:t xml:space="preserve">eriodic </w:t>
      </w:r>
      <w:r w:rsidRPr="00EE37CA">
        <w:rPr>
          <w:rStyle w:val="normaltextrun"/>
          <w:rFonts w:ascii="Calibri" w:hAnsi="Calibri" w:cs="Calibri"/>
          <w:color w:val="000000"/>
          <w:shd w:val="clear" w:color="auto" w:fill="FFFFFF"/>
        </w:rPr>
        <w:t>R</w:t>
      </w:r>
      <w:r w:rsidR="00EE37CA" w:rsidRPr="00EE37CA">
        <w:rPr>
          <w:rStyle w:val="normaltextrun"/>
          <w:rFonts w:ascii="Calibri" w:hAnsi="Calibri" w:cs="Calibri"/>
          <w:color w:val="000000"/>
          <w:shd w:val="clear" w:color="auto" w:fill="FFFFFF"/>
        </w:rPr>
        <w:t>eview process.</w:t>
      </w:r>
      <w:r w:rsidR="000E77D6">
        <w:rPr>
          <w:rStyle w:val="FootnoteReference"/>
          <w:rFonts w:ascii="Calibri" w:hAnsi="Calibri" w:cs="Calibri"/>
          <w:color w:val="000000"/>
          <w:shd w:val="clear" w:color="auto" w:fill="FFFFFF"/>
        </w:rPr>
        <w:footnoteReference w:id="23"/>
      </w:r>
      <w:r w:rsidR="00EE37CA" w:rsidRPr="00EE37CA">
        <w:rPr>
          <w:rStyle w:val="normaltextrun"/>
          <w:rFonts w:ascii="Calibri" w:hAnsi="Calibri" w:cs="Calibri"/>
          <w:color w:val="000000"/>
          <w:shd w:val="clear" w:color="auto" w:fill="FFFFFF"/>
        </w:rPr>
        <w:t xml:space="preserve"> </w:t>
      </w:r>
      <w:r w:rsidR="00EE37CA">
        <w:rPr>
          <w:rStyle w:val="normaltextrun"/>
          <w:rFonts w:ascii="Calibri" w:hAnsi="Calibri" w:cs="Calibri"/>
          <w:color w:val="000000"/>
          <w:shd w:val="clear" w:color="auto" w:fill="FFFFFF"/>
        </w:rPr>
        <w:t>T</w:t>
      </w:r>
      <w:r w:rsidR="00173F65">
        <w:t xml:space="preserve">he Commission has </w:t>
      </w:r>
      <w:r>
        <w:t xml:space="preserve">also </w:t>
      </w:r>
      <w:r w:rsidR="00173F65">
        <w:t>undertaken the following OPCAT-related work</w:t>
      </w:r>
      <w:r>
        <w:t xml:space="preserve"> at the international level</w:t>
      </w:r>
      <w:r w:rsidR="00173F65">
        <w:t>:</w:t>
      </w:r>
    </w:p>
    <w:p w14:paraId="04F445FA" w14:textId="1AF32D06" w:rsidR="008A62A7" w:rsidRDefault="00173F65" w:rsidP="008E66C6">
      <w:pPr>
        <w:numPr>
          <w:ilvl w:val="1"/>
          <w:numId w:val="1"/>
        </w:numPr>
        <w:jc w:val="both"/>
      </w:pPr>
      <w:r>
        <w:t xml:space="preserve">In 2016 the Commission released </w:t>
      </w:r>
      <w:r>
        <w:rPr>
          <w:i/>
          <w:iCs/>
        </w:rPr>
        <w:t>He Ara Tik</w:t>
      </w:r>
      <w:r w:rsidR="00A41124">
        <w:rPr>
          <w:i/>
          <w:iCs/>
        </w:rPr>
        <w:t>a</w:t>
      </w:r>
      <w:r>
        <w:rPr>
          <w:i/>
          <w:iCs/>
        </w:rPr>
        <w:t xml:space="preserve"> – A Pathway Forward</w:t>
      </w:r>
      <w:r w:rsidR="006E08D0">
        <w:t xml:space="preserve">, </w:t>
      </w:r>
      <w:r>
        <w:t>its report on the Torture Ambassador Project, produced in collaboration with the Association for the Prevention of Torture and Asia Pacific Forum.</w:t>
      </w:r>
      <w:r w:rsidR="000B669F">
        <w:rPr>
          <w:rStyle w:val="FootnoteReference"/>
        </w:rPr>
        <w:footnoteReference w:id="24"/>
      </w:r>
      <w:r>
        <w:t xml:space="preserve"> </w:t>
      </w:r>
      <w:r w:rsidRPr="003E0549">
        <w:rPr>
          <w:lang w:val="en-GB"/>
        </w:rPr>
        <w:t>The report recommended that an NPM be designated to monitor a wider range of places where people may be deprived of their liberty in the aged care and disability services sectors.</w:t>
      </w:r>
      <w:r w:rsidR="007E21D1" w:rsidRPr="007E21D1">
        <w:rPr>
          <w:vertAlign w:val="superscript"/>
          <w:lang w:val="en-GB"/>
        </w:rPr>
        <w:t xml:space="preserve"> </w:t>
      </w:r>
      <w:r w:rsidR="007E21D1" w:rsidRPr="007E21D1">
        <w:rPr>
          <w:vertAlign w:val="superscript"/>
          <w:lang w:val="en-GB"/>
        </w:rPr>
        <w:footnoteReference w:id="25"/>
      </w:r>
      <w:r w:rsidR="007E21D1" w:rsidRPr="007E21D1">
        <w:t xml:space="preserve"> </w:t>
      </w:r>
    </w:p>
    <w:p w14:paraId="147018F7" w14:textId="1C370EB6" w:rsidR="00C3430C" w:rsidRDefault="00C3430C" w:rsidP="008E66C6">
      <w:pPr>
        <w:numPr>
          <w:ilvl w:val="1"/>
          <w:numId w:val="1"/>
        </w:numPr>
        <w:jc w:val="both"/>
      </w:pPr>
      <w:r>
        <w:t xml:space="preserve">In 2018, the Commission participated in the </w:t>
      </w:r>
      <w:r w:rsidRPr="003952C1">
        <w:rPr>
          <w:lang w:val="en-GB"/>
        </w:rPr>
        <w:t xml:space="preserve">the Asia Pacific Regional Seminar on the Convention Against </w:t>
      </w:r>
      <w:proofErr w:type="gramStart"/>
      <w:r w:rsidRPr="003952C1">
        <w:rPr>
          <w:lang w:val="en-GB"/>
        </w:rPr>
        <w:t>Torture</w:t>
      </w:r>
      <w:r w:rsidR="00995C3F">
        <w:rPr>
          <w:lang w:val="en-GB"/>
        </w:rPr>
        <w:t>,</w:t>
      </w:r>
      <w:r>
        <w:rPr>
          <w:lang w:val="en-GB"/>
        </w:rPr>
        <w:t xml:space="preserve"> and</w:t>
      </w:r>
      <w:proofErr w:type="gramEnd"/>
      <w:r>
        <w:rPr>
          <w:lang w:val="en-GB"/>
        </w:rPr>
        <w:t xml:space="preserve"> </w:t>
      </w:r>
      <w:r w:rsidR="00554764">
        <w:rPr>
          <w:lang w:val="en-GB"/>
        </w:rPr>
        <w:t xml:space="preserve">hosted a </w:t>
      </w:r>
      <w:r w:rsidR="00554764" w:rsidRPr="003952C1">
        <w:rPr>
          <w:lang w:val="en-GB"/>
        </w:rPr>
        <w:t>Churchill Fellow who was investigating overseas practices of monitoring under OPCAT</w:t>
      </w:r>
      <w:r w:rsidR="00554764">
        <w:rPr>
          <w:lang w:val="en-GB"/>
        </w:rPr>
        <w:t>.</w:t>
      </w:r>
      <w:r w:rsidR="00554764">
        <w:rPr>
          <w:rStyle w:val="FootnoteReference"/>
          <w:lang w:val="en-GB"/>
        </w:rPr>
        <w:footnoteReference w:id="26"/>
      </w:r>
    </w:p>
    <w:p w14:paraId="62BC50F2" w14:textId="75B77CCF" w:rsidR="00173F65" w:rsidRDefault="002F1EE4" w:rsidP="008E66C6">
      <w:pPr>
        <w:numPr>
          <w:ilvl w:val="1"/>
          <w:numId w:val="1"/>
        </w:numPr>
        <w:jc w:val="both"/>
      </w:pPr>
      <w:r>
        <w:t xml:space="preserve">In February 2019, Commission representatives </w:t>
      </w:r>
      <w:r w:rsidR="006F108F">
        <w:t xml:space="preserve">and the General Manager of the IPCA met with the </w:t>
      </w:r>
      <w:r w:rsidR="007B7761">
        <w:t>then-</w:t>
      </w:r>
      <w:r w:rsidR="006F108F">
        <w:t>Chair of the SPT, Dr Malco</w:t>
      </w:r>
      <w:r w:rsidR="002B56A5">
        <w:t>l</w:t>
      </w:r>
      <w:r w:rsidR="006F108F">
        <w:t xml:space="preserve">m Evans. The Commission </w:t>
      </w:r>
      <w:r w:rsidR="00995C3F">
        <w:t xml:space="preserve">continues to facilitate </w:t>
      </w:r>
      <w:r w:rsidR="006F108F">
        <w:t xml:space="preserve">engagements between the Aotearoa </w:t>
      </w:r>
      <w:r w:rsidR="00971C07" w:rsidRPr="00360BAD">
        <w:t xml:space="preserve">New Zealand </w:t>
      </w:r>
      <w:r w:rsidR="006F108F">
        <w:t xml:space="preserve">NPMs and the </w:t>
      </w:r>
      <w:r w:rsidR="00F62A17">
        <w:t xml:space="preserve">SPT, </w:t>
      </w:r>
      <w:r w:rsidR="00995C3F">
        <w:t>attending annual meetings hosted by the SPT with NPMs across the Asia Pacific Region</w:t>
      </w:r>
      <w:r w:rsidR="00674F83">
        <w:t xml:space="preserve"> in 2022 and 2023</w:t>
      </w:r>
      <w:r w:rsidR="00F62A17">
        <w:t xml:space="preserve">. </w:t>
      </w:r>
    </w:p>
    <w:p w14:paraId="0A0A31CA" w14:textId="5B30F1BF" w:rsidR="00497CFC" w:rsidRDefault="00995C3F" w:rsidP="008E66C6">
      <w:pPr>
        <w:numPr>
          <w:ilvl w:val="1"/>
          <w:numId w:val="1"/>
        </w:numPr>
        <w:jc w:val="both"/>
      </w:pPr>
      <w:r>
        <w:t xml:space="preserve">The </w:t>
      </w:r>
      <w:r w:rsidR="00497CFC">
        <w:t xml:space="preserve">Commission </w:t>
      </w:r>
      <w:r w:rsidR="00906860">
        <w:t>maintains</w:t>
      </w:r>
      <w:r w:rsidR="00497CFC">
        <w:t xml:space="preserve"> ongoing </w:t>
      </w:r>
      <w:r w:rsidR="00C3430C">
        <w:t>correspondence</w:t>
      </w:r>
      <w:r w:rsidR="008249BF">
        <w:t xml:space="preserve"> with NPMs from other jurisdictions</w:t>
      </w:r>
      <w:r w:rsidR="00906860">
        <w:t xml:space="preserve">, </w:t>
      </w:r>
      <w:r w:rsidR="008249BF">
        <w:t>to share experience and best-practice</w:t>
      </w:r>
      <w:r w:rsidR="00C3430C">
        <w:t xml:space="preserve">. </w:t>
      </w:r>
    </w:p>
    <w:p w14:paraId="1D3C06C0" w14:textId="7E131019" w:rsidR="00FE69FA" w:rsidRPr="00F324F0" w:rsidRDefault="00FE69FA" w:rsidP="008E66C6">
      <w:pPr>
        <w:keepNext/>
        <w:jc w:val="both"/>
        <w:rPr>
          <w:i/>
          <w:iCs/>
          <w:color w:val="44546A" w:themeColor="text2"/>
        </w:rPr>
      </w:pPr>
      <w:r w:rsidRPr="00F324F0">
        <w:rPr>
          <w:i/>
          <w:iCs/>
          <w:color w:val="44546A" w:themeColor="text2"/>
        </w:rPr>
        <w:t xml:space="preserve">Ombudsman </w:t>
      </w:r>
      <w:r w:rsidR="006B7798">
        <w:rPr>
          <w:i/>
          <w:iCs/>
          <w:color w:val="44546A" w:themeColor="text2"/>
        </w:rPr>
        <w:t>New Zealand</w:t>
      </w:r>
    </w:p>
    <w:p w14:paraId="6075D0AE" w14:textId="5AE096F5" w:rsidR="00AF3C0C" w:rsidRDefault="00AF3C0C" w:rsidP="008E66C6">
      <w:pPr>
        <w:numPr>
          <w:ilvl w:val="0"/>
          <w:numId w:val="1"/>
        </w:numPr>
        <w:jc w:val="both"/>
      </w:pPr>
      <w:r>
        <w:t>Since July 2015, the Chief Ombudsman and his predecessor have conducted 504 visits to and inspections of facilities within his jurisdiction</w:t>
      </w:r>
      <w:r w:rsidR="00A43967">
        <w:t>, including prisons, health and disability facilities, isolation and quarantine facilities, and immigration detention facilities</w:t>
      </w:r>
      <w:r>
        <w:t>. He has made 1</w:t>
      </w:r>
      <w:r w:rsidR="00C9599B">
        <w:t>,</w:t>
      </w:r>
      <w:r>
        <w:t>334 recommendations to improve the conditions and treatment experienced by detainees, 1</w:t>
      </w:r>
      <w:r w:rsidR="00C9599B">
        <w:t>,</w:t>
      </w:r>
      <w:r>
        <w:t>110 (83 per</w:t>
      </w:r>
      <w:r w:rsidR="00A22724">
        <w:t xml:space="preserve"> </w:t>
      </w:r>
      <w:r>
        <w:t>cent) of which have been accepted or partially accepted by the relevant detaining agencies.</w:t>
      </w:r>
    </w:p>
    <w:p w14:paraId="6A925EC2" w14:textId="5BD17F02" w:rsidR="002740AE" w:rsidRDefault="00CF3EE0" w:rsidP="008E66C6">
      <w:pPr>
        <w:numPr>
          <w:ilvl w:val="0"/>
          <w:numId w:val="1"/>
        </w:numPr>
        <w:jc w:val="both"/>
      </w:pPr>
      <w:r>
        <w:t>During the reporting period</w:t>
      </w:r>
      <w:r w:rsidR="007F28DA">
        <w:t>,</w:t>
      </w:r>
      <w:r>
        <w:t xml:space="preserve"> the Chief Ombudsman has also undertaken a range of activities aligned with the advisory and educative functions of NPMs, including providing comments on policy proposals and draft legislation related to the rights of people in detention, regularly engaging with staff and senior management of detaining agencies to discuss his observations and concerns, and hosting and participating in </w:t>
      </w:r>
      <w:proofErr w:type="gramStart"/>
      <w:r>
        <w:t>a number of</w:t>
      </w:r>
      <w:proofErr w:type="gramEnd"/>
      <w:r>
        <w:t xml:space="preserve"> webinars and conferences related to OPCAT.</w:t>
      </w:r>
    </w:p>
    <w:p w14:paraId="2606D22E" w14:textId="2D58732B" w:rsidR="00AF3C0C" w:rsidRDefault="00AF3C0C" w:rsidP="008E66C6">
      <w:pPr>
        <w:numPr>
          <w:ilvl w:val="0"/>
          <w:numId w:val="1"/>
        </w:numPr>
        <w:jc w:val="both"/>
      </w:pPr>
      <w:r>
        <w:t xml:space="preserve">In 2018, the Ombudsman’s </w:t>
      </w:r>
      <w:r w:rsidR="00A61ED2">
        <w:t xml:space="preserve">designation </w:t>
      </w:r>
      <w:r>
        <w:t xml:space="preserve">as an NPM was </w:t>
      </w:r>
      <w:r w:rsidR="00A61ED2">
        <w:t xml:space="preserve">updated </w:t>
      </w:r>
      <w:r>
        <w:t xml:space="preserve">to </w:t>
      </w:r>
      <w:r w:rsidR="00A61ED2">
        <w:t xml:space="preserve">explicitly include </w:t>
      </w:r>
      <w:r>
        <w:t xml:space="preserve">privately run aged care facilities, </w:t>
      </w:r>
      <w:r w:rsidR="00A61ED2">
        <w:t xml:space="preserve">and extended to </w:t>
      </w:r>
      <w:r>
        <w:t>court cells, and residences established under section 114 of the Public Safety (Public Protection Orders) Act 2014.</w:t>
      </w:r>
      <w:r w:rsidR="003F40C6">
        <w:t xml:space="preserve"> </w:t>
      </w:r>
      <w:r>
        <w:t>Since receiving confirmation that the Ombudsman’s health and disability designation included the examination of facilities and treatment of people detained</w:t>
      </w:r>
      <w:r w:rsidR="00A61ED2">
        <w:t xml:space="preserve"> in</w:t>
      </w:r>
      <w:r>
        <w:t xml:space="preserve"> privately run aged care facilities, the Chief Ombudsman has developed his </w:t>
      </w:r>
      <w:r w:rsidRPr="003F40C6">
        <w:rPr>
          <w:i/>
          <w:iCs/>
        </w:rPr>
        <w:t>Expectations for conditions and treatment of residents in health and disability places of detention – aged care</w:t>
      </w:r>
      <w:r w:rsidR="007873E3">
        <w:rPr>
          <w:rStyle w:val="FootnoteReference"/>
          <w:i/>
          <w:iCs/>
        </w:rPr>
        <w:footnoteReference w:id="27"/>
      </w:r>
      <w:r>
        <w:t xml:space="preserve"> in consultation with key stakeholders, established an inspection methodology, conducted ‘orientation visits’ to several facilities</w:t>
      </w:r>
      <w:r w:rsidR="00240B3C">
        <w:t>,</w:t>
      </w:r>
      <w:r w:rsidR="00240B3C" w:rsidRPr="00240B3C">
        <w:rPr>
          <w:rStyle w:val="FootnoteReference"/>
        </w:rPr>
        <w:t xml:space="preserve"> </w:t>
      </w:r>
      <w:r w:rsidR="00240B3C">
        <w:rPr>
          <w:rStyle w:val="FootnoteReference"/>
        </w:rPr>
        <w:footnoteReference w:id="28"/>
      </w:r>
      <w:r w:rsidR="00FE4077">
        <w:t xml:space="preserve"> and commenced inspections</w:t>
      </w:r>
      <w:r>
        <w:t xml:space="preserve">.  </w:t>
      </w:r>
      <w:r w:rsidR="00FE4077">
        <w:t xml:space="preserve">In total, the </w:t>
      </w:r>
      <w:r>
        <w:t xml:space="preserve">Chief Ombudsman’s Inspectors have undertaken 132 visits </w:t>
      </w:r>
      <w:r w:rsidR="00FE4077">
        <w:t xml:space="preserve">and inspections of </w:t>
      </w:r>
      <w:r>
        <w:t>aged care facilities since 2020.</w:t>
      </w:r>
    </w:p>
    <w:p w14:paraId="6EBA0720" w14:textId="580E5585" w:rsidR="00AF3C0C" w:rsidRDefault="00AF3C0C" w:rsidP="008E66C6">
      <w:pPr>
        <w:numPr>
          <w:ilvl w:val="0"/>
          <w:numId w:val="1"/>
        </w:numPr>
        <w:jc w:val="both"/>
      </w:pPr>
      <w:r>
        <w:t>The Ombudsman’s designation has also expanded to include residences established under section 114 of the Public Safety (Public Protection Orders) Act.</w:t>
      </w:r>
      <w:r w:rsidR="00F81412" w:rsidRPr="00F81412">
        <w:rPr>
          <w:vertAlign w:val="superscript"/>
        </w:rPr>
        <w:t xml:space="preserve"> </w:t>
      </w:r>
      <w:r w:rsidR="00F81412" w:rsidRPr="00F81412">
        <w:rPr>
          <w:vertAlign w:val="superscript"/>
        </w:rPr>
        <w:footnoteReference w:id="29"/>
      </w:r>
      <w:r w:rsidR="00F81412" w:rsidRPr="00F81412">
        <w:t xml:space="preserve"> </w:t>
      </w:r>
      <w:r>
        <w:t xml:space="preserve">There is currently one such residence in New Zealand – </w:t>
      </w:r>
      <w:proofErr w:type="spellStart"/>
      <w:r>
        <w:t>Matawhāiti</w:t>
      </w:r>
      <w:proofErr w:type="spellEnd"/>
      <w:r>
        <w:t xml:space="preserve"> Residence, located on the grounds of Christchurch Men’s Prison. This was first inspected in 2020, with a follow-up inspection taking place in 2022.</w:t>
      </w:r>
    </w:p>
    <w:p w14:paraId="74A00C07" w14:textId="38F3AA48" w:rsidR="00FE69FA" w:rsidRDefault="00AF3C0C" w:rsidP="008E66C6">
      <w:pPr>
        <w:numPr>
          <w:ilvl w:val="0"/>
          <w:numId w:val="1"/>
        </w:numPr>
        <w:jc w:val="both"/>
      </w:pPr>
      <w:r>
        <w:t>In June 2018, the Ombudsman was also designated to monitor court cells under OPCAT, a responsibility shared with the I</w:t>
      </w:r>
      <w:r w:rsidR="00852892">
        <w:t>PCA</w:t>
      </w:r>
      <w:r>
        <w:t>. In 2020/21, Ombudsman and IPCA staff jointly visited three court facilities in Hamilton, the Hutt District, and the Wellington District. The purpose of these orientation visits was to gain familiarity with the facilities and to gather information to inform the development of the inspection process, as well as the expectations that will be used to assess the treatment and conditions of people in court cells. In 2022, the Ombudsman and IPCA finalised a framework to conduct inspections of court facilities, including draft expectations. Visits to court facilities have commenced under this framework, with five drop-in visits completed so far.</w:t>
      </w:r>
    </w:p>
    <w:p w14:paraId="6EFFA6A4" w14:textId="60A8D0D8" w:rsidR="00F324F0" w:rsidRPr="00F324F0" w:rsidRDefault="00F324F0" w:rsidP="008E66C6">
      <w:pPr>
        <w:keepNext/>
        <w:jc w:val="both"/>
        <w:rPr>
          <w:i/>
          <w:iCs/>
          <w:color w:val="44546A" w:themeColor="text2"/>
        </w:rPr>
      </w:pPr>
      <w:r w:rsidRPr="00F324F0">
        <w:rPr>
          <w:i/>
          <w:iCs/>
          <w:color w:val="44546A" w:themeColor="text2"/>
        </w:rPr>
        <w:t>IPCA</w:t>
      </w:r>
    </w:p>
    <w:p w14:paraId="6EDA4FBA" w14:textId="69AAE365" w:rsidR="000814F7" w:rsidRPr="000814F7" w:rsidRDefault="000814F7" w:rsidP="008E66C6">
      <w:pPr>
        <w:numPr>
          <w:ilvl w:val="0"/>
          <w:numId w:val="1"/>
        </w:numPr>
        <w:jc w:val="both"/>
      </w:pPr>
      <w:r>
        <w:t>The IPCA’s</w:t>
      </w:r>
      <w:r w:rsidRPr="000814F7">
        <w:t xml:space="preserve"> focus for this reporting period has been to follow up on </w:t>
      </w:r>
      <w:r>
        <w:t>its</w:t>
      </w:r>
      <w:r w:rsidRPr="000814F7">
        <w:t xml:space="preserve"> recommendations regarding the condition of custodial facilities and the need for more dedicated custodial training. </w:t>
      </w:r>
      <w:r>
        <w:t>The IPCA</w:t>
      </w:r>
      <w:r w:rsidRPr="000814F7">
        <w:t xml:space="preserve"> completed an extensive programme of inspections covering all overnight custodial facilities in 2019 and in subsequent years </w:t>
      </w:r>
      <w:r w:rsidR="007A1483">
        <w:t>has</w:t>
      </w:r>
      <w:r w:rsidRPr="000814F7">
        <w:t xml:space="preserve"> been conducting further targeted inspections and follow</w:t>
      </w:r>
      <w:r w:rsidR="00A821D9">
        <w:t>-</w:t>
      </w:r>
      <w:r w:rsidRPr="000814F7">
        <w:t xml:space="preserve">up visits. </w:t>
      </w:r>
    </w:p>
    <w:p w14:paraId="48318DD4" w14:textId="5BE287C2" w:rsidR="000814F7" w:rsidRPr="000814F7" w:rsidRDefault="007A1483" w:rsidP="008E66C6">
      <w:pPr>
        <w:numPr>
          <w:ilvl w:val="0"/>
          <w:numId w:val="1"/>
        </w:numPr>
        <w:jc w:val="both"/>
      </w:pPr>
      <w:r>
        <w:t>The IPCA has</w:t>
      </w:r>
      <w:r w:rsidR="000814F7" w:rsidRPr="000814F7">
        <w:t xml:space="preserve"> also updated </w:t>
      </w:r>
      <w:r>
        <w:t>its</w:t>
      </w:r>
      <w:r w:rsidR="000814F7" w:rsidRPr="000814F7">
        <w:t xml:space="preserve"> inspection methodology to enhance the quality of </w:t>
      </w:r>
      <w:r>
        <w:t>its</w:t>
      </w:r>
      <w:r w:rsidR="000814F7" w:rsidRPr="000814F7">
        <w:t xml:space="preserve"> monitoring work and </w:t>
      </w:r>
      <w:r>
        <w:t>is</w:t>
      </w:r>
      <w:r w:rsidR="000814F7" w:rsidRPr="000814F7">
        <w:t xml:space="preserve"> working co-operatively with Police to support and participate in Police’s Custody Quality Assurance and Improvement framework (</w:t>
      </w:r>
      <w:r w:rsidR="000814F7" w:rsidRPr="008A6254">
        <w:rPr>
          <w:b/>
          <w:bCs/>
        </w:rPr>
        <w:t>QAIF</w:t>
      </w:r>
      <w:r w:rsidR="000814F7" w:rsidRPr="000814F7">
        <w:t xml:space="preserve">). This new national audit and assurance process is led by the national custody team at </w:t>
      </w:r>
      <w:r w:rsidR="008A6254">
        <w:t>Police National Headquarters</w:t>
      </w:r>
      <w:r w:rsidR="000814F7" w:rsidRPr="000814F7">
        <w:t xml:space="preserve"> and covers all 12 Police districts. Both district level and national actions plans are generated to address identified issues. Recent QAIFs have focused on at-risk and vulnerable groups who have been in Police custody, includ</w:t>
      </w:r>
      <w:r w:rsidR="00585018">
        <w:t>ing</w:t>
      </w:r>
      <w:r w:rsidR="000814F7" w:rsidRPr="000814F7">
        <w:t xml:space="preserve"> mental health detentions, persons under the influence of alcohol or other drugs</w:t>
      </w:r>
      <w:r w:rsidR="00585018">
        <w:t>,</w:t>
      </w:r>
      <w:r w:rsidR="000814F7" w:rsidRPr="000814F7">
        <w:t xml:space="preserve"> and children and young people.  </w:t>
      </w:r>
    </w:p>
    <w:p w14:paraId="269D8093" w14:textId="7B12795F" w:rsidR="00F324F0" w:rsidRDefault="000814F7" w:rsidP="008E66C6">
      <w:pPr>
        <w:numPr>
          <w:ilvl w:val="0"/>
          <w:numId w:val="1"/>
        </w:numPr>
        <w:jc w:val="both"/>
      </w:pPr>
      <w:r w:rsidRPr="000814F7">
        <w:t xml:space="preserve">Further information on </w:t>
      </w:r>
      <w:r w:rsidR="00585018">
        <w:t>the IPCA’s</w:t>
      </w:r>
      <w:r w:rsidRPr="000814F7">
        <w:t xml:space="preserve"> monitoring activities can be found in the </w:t>
      </w:r>
      <w:r w:rsidR="00585018">
        <w:t>A</w:t>
      </w:r>
      <w:r w:rsidRPr="000814F7">
        <w:t>nnual NPM reports on the Human Rights Commission</w:t>
      </w:r>
      <w:r w:rsidR="00585018">
        <w:t>’</w:t>
      </w:r>
      <w:r w:rsidRPr="000814F7">
        <w:t>s website.</w:t>
      </w:r>
      <w:r w:rsidR="00585018">
        <w:rPr>
          <w:rStyle w:val="FootnoteReference"/>
        </w:rPr>
        <w:footnoteReference w:id="30"/>
      </w:r>
    </w:p>
    <w:p w14:paraId="7A887CFD" w14:textId="4A5A3B2F" w:rsidR="00F324F0" w:rsidRPr="00F324F0" w:rsidRDefault="00F324F0" w:rsidP="008E66C6">
      <w:pPr>
        <w:keepNext/>
        <w:jc w:val="both"/>
        <w:rPr>
          <w:i/>
          <w:iCs/>
          <w:color w:val="44546A" w:themeColor="text2"/>
        </w:rPr>
      </w:pPr>
      <w:r w:rsidRPr="00F324F0">
        <w:rPr>
          <w:i/>
          <w:iCs/>
          <w:color w:val="44546A" w:themeColor="text2"/>
        </w:rPr>
        <w:t xml:space="preserve">Children’s Commissioner </w:t>
      </w:r>
    </w:p>
    <w:p w14:paraId="35DB1719" w14:textId="04BD1EE5" w:rsidR="008146FA" w:rsidRPr="008146FA" w:rsidRDefault="002B56A5" w:rsidP="008E66C6">
      <w:pPr>
        <w:numPr>
          <w:ilvl w:val="0"/>
          <w:numId w:val="1"/>
        </w:numPr>
        <w:jc w:val="both"/>
      </w:pPr>
      <w:r>
        <w:t>Between</w:t>
      </w:r>
      <w:r w:rsidR="0051739F">
        <w:t xml:space="preserve"> July 2015 and June 2022, the Children’s Commissioner completed 81 NPM visits.</w:t>
      </w:r>
      <w:r w:rsidR="008146FA" w:rsidRPr="008146FA">
        <w:t xml:space="preserve"> </w:t>
      </w:r>
      <w:r w:rsidR="002D66B2">
        <w:t>T</w:t>
      </w:r>
      <w:r w:rsidR="008146FA" w:rsidRPr="008146FA">
        <w:t xml:space="preserve">he </w:t>
      </w:r>
      <w:r w:rsidR="006D0258">
        <w:t>Children’s Commissioner</w:t>
      </w:r>
      <w:r w:rsidR="008146FA" w:rsidRPr="008146FA">
        <w:t xml:space="preserve"> continue</w:t>
      </w:r>
      <w:r w:rsidR="006D0258">
        <w:t>s</w:t>
      </w:r>
      <w:r w:rsidR="008146FA" w:rsidRPr="008146FA">
        <w:t xml:space="preserve"> to see recurring themes and issues around staffing shortages and training, use of seclusion and restraint, lack of therapeutic models or interventions, inadequate complaints processes, overrepresentation of Māori as well as disabled and neurodiverse children and lack of support to meet their unique needs – this is despite a decision to publish reports from 2020 onwards.</w:t>
      </w:r>
    </w:p>
    <w:p w14:paraId="15DC1809" w14:textId="328B4251" w:rsidR="008146FA" w:rsidRPr="008146FA" w:rsidRDefault="008146FA" w:rsidP="008E66C6">
      <w:pPr>
        <w:numPr>
          <w:ilvl w:val="0"/>
          <w:numId w:val="1"/>
        </w:numPr>
        <w:jc w:val="both"/>
      </w:pPr>
      <w:r w:rsidRPr="008146FA">
        <w:t xml:space="preserve">In 2020, the </w:t>
      </w:r>
      <w:r w:rsidR="006D0258">
        <w:t>Children’s Commissioner’s</w:t>
      </w:r>
      <w:r w:rsidRPr="008146FA">
        <w:t xml:space="preserve"> </w:t>
      </w:r>
      <w:r w:rsidR="002D66B2">
        <w:t xml:space="preserve">NPM </w:t>
      </w:r>
      <w:r w:rsidRPr="008146FA">
        <w:t>designations increased to include community</w:t>
      </w:r>
      <w:r w:rsidR="00FF6140">
        <w:t>-</w:t>
      </w:r>
      <w:r w:rsidRPr="008146FA">
        <w:t xml:space="preserve">based remand care homes; and health and disability places of detention established specifically for the care of children and young people, including youth forensic units and child and adolescent mental health units. COVID-19 impacted on the daily operations of these facilities as well as the </w:t>
      </w:r>
      <w:r w:rsidR="0012657C">
        <w:t>Children’s Commissioner’s</w:t>
      </w:r>
      <w:r w:rsidR="0012657C" w:rsidRPr="008146FA">
        <w:t xml:space="preserve"> </w:t>
      </w:r>
      <w:r w:rsidRPr="008146FA">
        <w:t>monitoring approach, which included remote monitoring and C</w:t>
      </w:r>
      <w:r w:rsidR="00AB65EC">
        <w:t>OVID</w:t>
      </w:r>
      <w:r w:rsidRPr="008146FA">
        <w:t>-19 focussed visits, in line with government guidelines.</w:t>
      </w:r>
    </w:p>
    <w:p w14:paraId="280FC410" w14:textId="6656DAA1" w:rsidR="000C4495" w:rsidRPr="008146FA" w:rsidRDefault="006D0258" w:rsidP="008E66C6">
      <w:pPr>
        <w:numPr>
          <w:ilvl w:val="0"/>
          <w:numId w:val="1"/>
        </w:numPr>
        <w:jc w:val="both"/>
      </w:pPr>
      <w:r>
        <w:t>As noted above, t</w:t>
      </w:r>
      <w:r w:rsidR="008146FA" w:rsidRPr="008146FA">
        <w:t xml:space="preserve">he </w:t>
      </w:r>
      <w:r w:rsidR="0012657C">
        <w:t>Children’s Commissioner’s</w:t>
      </w:r>
      <w:r w:rsidR="0012657C" w:rsidRPr="008146FA">
        <w:t xml:space="preserve"> </w:t>
      </w:r>
      <w:r w:rsidR="008146FA" w:rsidRPr="008146FA">
        <w:t>is currently transitioning to a Children and Young Person’s Commission as of 1 July 2023 and will become part of the Oversight System</w:t>
      </w:r>
      <w:r w:rsidR="0012657C">
        <w:t>. This issue</w:t>
      </w:r>
      <w:r w:rsidR="002D66B2">
        <w:t>, as well as the Children’s Commissioner NPM activities,</w:t>
      </w:r>
      <w:r w:rsidR="0012657C">
        <w:t xml:space="preserve"> </w:t>
      </w:r>
      <w:r w:rsidR="002D66B2">
        <w:t>are</w:t>
      </w:r>
      <w:r w:rsidR="0012657C">
        <w:t xml:space="preserve"> addressed in more detail in the Children’s Commissioner’s</w:t>
      </w:r>
      <w:r w:rsidR="0012657C" w:rsidRPr="008146FA">
        <w:t xml:space="preserve"> </w:t>
      </w:r>
      <w:r w:rsidR="0012657C">
        <w:t>separate submission to the Committee.</w:t>
      </w:r>
    </w:p>
    <w:p w14:paraId="3102A6A5" w14:textId="788A4F6B" w:rsidR="00426170" w:rsidRPr="00F324F0" w:rsidRDefault="00426170" w:rsidP="008E66C6">
      <w:pPr>
        <w:keepNext/>
        <w:jc w:val="both"/>
        <w:rPr>
          <w:i/>
          <w:iCs/>
          <w:color w:val="44546A" w:themeColor="text2"/>
        </w:rPr>
      </w:pPr>
      <w:r>
        <w:rPr>
          <w:i/>
          <w:iCs/>
          <w:color w:val="44546A" w:themeColor="text2"/>
        </w:rPr>
        <w:t>IPSE</w:t>
      </w:r>
    </w:p>
    <w:p w14:paraId="6E893802" w14:textId="50A2783D" w:rsidR="00286CB5" w:rsidRDefault="00286CB5" w:rsidP="008E66C6">
      <w:pPr>
        <w:numPr>
          <w:ilvl w:val="0"/>
          <w:numId w:val="1"/>
        </w:numPr>
        <w:jc w:val="both"/>
      </w:pPr>
      <w:r>
        <w:t>Between June 2015 and</w:t>
      </w:r>
      <w:r w:rsidRPr="007610A4">
        <w:t xml:space="preserve"> December 2022, </w:t>
      </w:r>
      <w:r>
        <w:t xml:space="preserve">the IPSE conducted a total of </w:t>
      </w:r>
      <w:r w:rsidR="009468BA">
        <w:t>20</w:t>
      </w:r>
      <w:r>
        <w:t xml:space="preserve"> no</w:t>
      </w:r>
      <w:r w:rsidR="00EE3B30">
        <w:t xml:space="preserve"> notice inspections </w:t>
      </w:r>
      <w:r w:rsidR="002C6099">
        <w:t xml:space="preserve">of NZDF detention facilities (between two to four inspections </w:t>
      </w:r>
      <w:r w:rsidR="002C0B17">
        <w:t>each</w:t>
      </w:r>
      <w:r w:rsidR="002C6099">
        <w:t xml:space="preserve"> year)</w:t>
      </w:r>
      <w:r w:rsidR="00EE3B30">
        <w:t>. These inspections generally involve a physical review of the facilities, a discussion with the Officer-In- Charge (</w:t>
      </w:r>
      <w:r w:rsidR="00EE3B30" w:rsidRPr="00336684">
        <w:rPr>
          <w:b/>
          <w:bCs/>
        </w:rPr>
        <w:t>OIC</w:t>
      </w:r>
      <w:r w:rsidR="00EE3B30">
        <w:t xml:space="preserve">) of the facilities and staff, reviewing documentation, and a private interview with those undergoing punishment. Feedback is provided routinely after the inspection to the Officer Commanding of SCE. </w:t>
      </w:r>
      <w:r w:rsidR="005E4190">
        <w:t>Any significant concern identified is reported in writing, without delay, directly to the Chief of Defence Force</w:t>
      </w:r>
      <w:r w:rsidR="004002C3">
        <w:t xml:space="preserve">. </w:t>
      </w:r>
    </w:p>
    <w:p w14:paraId="04BA5AE4" w14:textId="1B3C0A70" w:rsidR="000C4495" w:rsidRDefault="00D314C4" w:rsidP="008E66C6">
      <w:pPr>
        <w:pStyle w:val="Heading3"/>
        <w:keepLines w:val="0"/>
        <w:jc w:val="both"/>
      </w:pPr>
      <w:bookmarkStart w:id="49" w:name="_Toc137480605"/>
      <w:r>
        <w:t xml:space="preserve">Resource allocation to Aotearoa </w:t>
      </w:r>
      <w:r w:rsidR="00971C07" w:rsidRPr="00360BAD">
        <w:t xml:space="preserve">New Zealand </w:t>
      </w:r>
      <w:r>
        <w:t>NPMs</w:t>
      </w:r>
      <w:r w:rsidR="00195F8C">
        <w:t xml:space="preserve"> (List of issues, item 4)</w:t>
      </w:r>
      <w:bookmarkEnd w:id="49"/>
    </w:p>
    <w:p w14:paraId="3D82359F" w14:textId="3A9A94B2" w:rsidR="00C24AD3" w:rsidRDefault="001B5837" w:rsidP="008E66C6">
      <w:pPr>
        <w:pStyle w:val="ListParagraph"/>
        <w:numPr>
          <w:ilvl w:val="0"/>
          <w:numId w:val="1"/>
        </w:numPr>
        <w:spacing w:after="120"/>
        <w:ind w:left="357" w:hanging="357"/>
        <w:contextualSpacing w:val="0"/>
        <w:jc w:val="both"/>
      </w:pPr>
      <w:r w:rsidRPr="001B5837">
        <w:t xml:space="preserve">It is of critical importance that NPMs </w:t>
      </w:r>
      <w:r w:rsidR="007C76E7">
        <w:t xml:space="preserve">have the necessary human and financial resources to discharge </w:t>
      </w:r>
      <w:r w:rsidRPr="001B5837">
        <w:t xml:space="preserve">their preventive mandates effectively and in accordance with the expectations of the </w:t>
      </w:r>
      <w:r w:rsidR="00590261">
        <w:t>SPT</w:t>
      </w:r>
      <w:r w:rsidRPr="001B5837">
        <w:t>.</w:t>
      </w:r>
      <w:r w:rsidR="00C24AD3">
        <w:t xml:space="preserve"> </w:t>
      </w:r>
    </w:p>
    <w:p w14:paraId="0C4CC356" w14:textId="002189A9" w:rsidR="00D13B54" w:rsidRDefault="001B5837" w:rsidP="008E66C6">
      <w:pPr>
        <w:pStyle w:val="ListParagraph"/>
        <w:numPr>
          <w:ilvl w:val="0"/>
          <w:numId w:val="1"/>
        </w:numPr>
        <w:spacing w:after="120"/>
        <w:ind w:left="357" w:hanging="357"/>
        <w:contextualSpacing w:val="0"/>
        <w:jc w:val="both"/>
      </w:pPr>
      <w:r w:rsidRPr="001B5837">
        <w:t>Given the multibody NPM structure adopted by New Zealand, individual NPMs have different budget processes they are required to follow.</w:t>
      </w:r>
      <w:r w:rsidR="00C24AD3">
        <w:t xml:space="preserve"> All of the Aotearoa </w:t>
      </w:r>
      <w:r w:rsidR="00971C07" w:rsidRPr="00360BAD">
        <w:t xml:space="preserve">New Zealand </w:t>
      </w:r>
      <w:r w:rsidR="00C24AD3">
        <w:t xml:space="preserve">NPMs </w:t>
      </w:r>
      <w:r w:rsidR="0014120A">
        <w:t xml:space="preserve">are organisations which pre-existed their OPCAT </w:t>
      </w:r>
      <w:proofErr w:type="gramStart"/>
      <w:r w:rsidR="0014120A">
        <w:t>designation, and</w:t>
      </w:r>
      <w:proofErr w:type="gramEnd"/>
      <w:r w:rsidR="0014120A">
        <w:t xml:space="preserve"> continue to maintain </w:t>
      </w:r>
      <w:r w:rsidR="00097784">
        <w:t>separate statutory functions. This means th</w:t>
      </w:r>
      <w:r w:rsidR="00676F37">
        <w:t xml:space="preserve">at not </w:t>
      </w:r>
      <w:proofErr w:type="gramStart"/>
      <w:r w:rsidR="00676F37">
        <w:t>all of</w:t>
      </w:r>
      <w:proofErr w:type="gramEnd"/>
      <w:r w:rsidR="00676F37">
        <w:t xml:space="preserve"> the </w:t>
      </w:r>
      <w:r w:rsidR="00097784">
        <w:t xml:space="preserve">Aotearoa </w:t>
      </w:r>
      <w:r w:rsidR="00971C07" w:rsidRPr="00360BAD">
        <w:t xml:space="preserve">New Zealand </w:t>
      </w:r>
      <w:r w:rsidR="00097784">
        <w:t>NPMs</w:t>
      </w:r>
      <w:r w:rsidR="00036F17">
        <w:t xml:space="preserve"> receive </w:t>
      </w:r>
      <w:r w:rsidR="0067582E">
        <w:t xml:space="preserve">their </w:t>
      </w:r>
      <w:r w:rsidR="00036F17">
        <w:t xml:space="preserve">funding from a single source, and not </w:t>
      </w:r>
      <w:r w:rsidR="00676F37">
        <w:t xml:space="preserve">all </w:t>
      </w:r>
      <w:r w:rsidR="00036F17">
        <w:t xml:space="preserve">receive a budget </w:t>
      </w:r>
      <w:r w:rsidR="00676F37">
        <w:t xml:space="preserve">that is </w:t>
      </w:r>
      <w:r w:rsidR="00036F17">
        <w:t xml:space="preserve">specifically allocated for </w:t>
      </w:r>
      <w:r w:rsidR="00816983">
        <w:t xml:space="preserve">their OPCAT function. </w:t>
      </w:r>
      <w:r w:rsidR="00036F17">
        <w:t xml:space="preserve"> </w:t>
      </w:r>
    </w:p>
    <w:p w14:paraId="7E968D1D" w14:textId="709018C1" w:rsidR="00714C03" w:rsidRDefault="00714C03" w:rsidP="008E66C6">
      <w:pPr>
        <w:pStyle w:val="ListParagraph"/>
        <w:numPr>
          <w:ilvl w:val="0"/>
          <w:numId w:val="1"/>
        </w:numPr>
        <w:spacing w:after="120"/>
        <w:ind w:left="357" w:hanging="357"/>
        <w:contextualSpacing w:val="0"/>
        <w:jc w:val="both"/>
      </w:pPr>
      <w:r w:rsidRPr="001B5837">
        <w:t>Funding for the Ombudsman</w:t>
      </w:r>
      <w:r w:rsidR="00240B3C">
        <w:t xml:space="preserve"> New Zealand</w:t>
      </w:r>
      <w:r w:rsidRPr="001B5837">
        <w:t xml:space="preserve">, as an Officer of Parliament, is determined by Parliament through the Officers of Parliament Committee annual budget process. </w:t>
      </w:r>
    </w:p>
    <w:p w14:paraId="7AE115B4" w14:textId="21AABB8A" w:rsidR="009B1A41" w:rsidRDefault="00885075" w:rsidP="008E66C6">
      <w:pPr>
        <w:pStyle w:val="ListParagraph"/>
        <w:numPr>
          <w:ilvl w:val="0"/>
          <w:numId w:val="1"/>
        </w:numPr>
        <w:spacing w:after="120"/>
        <w:ind w:left="357" w:hanging="357"/>
        <w:contextualSpacing w:val="0"/>
        <w:jc w:val="both"/>
      </w:pPr>
      <w:r>
        <w:t>T</w:t>
      </w:r>
      <w:r w:rsidR="0067582E">
        <w:t>he most recent funding allocations for each of the</w:t>
      </w:r>
      <w:r w:rsidR="00047239">
        <w:t xml:space="preserve"> other</w:t>
      </w:r>
      <w:r w:rsidR="0067582E">
        <w:t xml:space="preserve"> Aotearoa </w:t>
      </w:r>
      <w:r w:rsidR="00971C07" w:rsidRPr="00360BAD">
        <w:t xml:space="preserve">New Zealand </w:t>
      </w:r>
      <w:r w:rsidR="0067582E">
        <w:t xml:space="preserve">NPMs </w:t>
      </w:r>
      <w:r w:rsidR="000002F4">
        <w:t>is</w:t>
      </w:r>
      <w:r w:rsidR="0067582E">
        <w:t xml:space="preserve"> outlined below:</w:t>
      </w:r>
    </w:p>
    <w:p w14:paraId="71D0A2B9" w14:textId="0E10FBCF" w:rsidR="005004C9" w:rsidRPr="005004C9" w:rsidRDefault="005358DD" w:rsidP="008E66C6">
      <w:pPr>
        <w:keepNext/>
        <w:ind w:left="357"/>
        <w:jc w:val="both"/>
        <w:rPr>
          <w:i/>
          <w:iCs/>
          <w:color w:val="44546A" w:themeColor="text2"/>
        </w:rPr>
      </w:pPr>
      <w:r w:rsidRPr="005358DD">
        <w:rPr>
          <w:rFonts w:cstheme="minorHAnsi"/>
          <w:b/>
          <w:bCs/>
          <w:color w:val="000000" w:themeColor="text1"/>
        </w:rPr>
        <w:t xml:space="preserve">Table 1: </w:t>
      </w:r>
      <w:r w:rsidR="00F032C3" w:rsidRPr="005358DD">
        <w:rPr>
          <w:rFonts w:cstheme="minorHAnsi"/>
          <w:b/>
          <w:bCs/>
          <w:color w:val="000000" w:themeColor="text1"/>
        </w:rPr>
        <w:t xml:space="preserve">Annual </w:t>
      </w:r>
      <w:r w:rsidR="005004C9" w:rsidRPr="005358DD">
        <w:rPr>
          <w:rFonts w:cstheme="minorHAnsi"/>
          <w:b/>
          <w:bCs/>
          <w:color w:val="000000" w:themeColor="text1"/>
        </w:rPr>
        <w:t xml:space="preserve">NPM funding </w:t>
      </w:r>
      <w:r w:rsidR="00F032C3" w:rsidRPr="005358DD">
        <w:rPr>
          <w:rFonts w:cstheme="minorHAnsi"/>
          <w:b/>
          <w:bCs/>
          <w:color w:val="000000" w:themeColor="text1"/>
        </w:rPr>
        <w:t xml:space="preserve">for </w:t>
      </w:r>
      <w:r w:rsidR="005004C9" w:rsidRPr="005358DD">
        <w:rPr>
          <w:rFonts w:cstheme="minorHAnsi"/>
          <w:b/>
          <w:bCs/>
          <w:color w:val="000000" w:themeColor="text1"/>
        </w:rPr>
        <w:t>20</w:t>
      </w:r>
      <w:r w:rsidR="004A55D1" w:rsidRPr="005358DD">
        <w:rPr>
          <w:rFonts w:cstheme="minorHAnsi"/>
          <w:b/>
          <w:bCs/>
          <w:color w:val="000000" w:themeColor="text1"/>
        </w:rPr>
        <w:t>22</w:t>
      </w:r>
      <w:r w:rsidR="005004C9" w:rsidRPr="005358DD">
        <w:rPr>
          <w:rFonts w:cstheme="minorHAnsi"/>
          <w:b/>
          <w:bCs/>
          <w:color w:val="000000" w:themeColor="text1"/>
        </w:rPr>
        <w:t>/</w:t>
      </w:r>
      <w:r w:rsidR="004A55D1" w:rsidRPr="005358DD">
        <w:rPr>
          <w:rFonts w:cstheme="minorHAnsi"/>
          <w:b/>
          <w:bCs/>
          <w:color w:val="000000" w:themeColor="text1"/>
        </w:rPr>
        <w:t>23</w:t>
      </w:r>
      <w:r w:rsidR="00F032C3" w:rsidRPr="005358DD">
        <w:rPr>
          <w:rFonts w:cstheme="minorHAnsi"/>
          <w:b/>
          <w:bCs/>
          <w:color w:val="000000" w:themeColor="text1"/>
        </w:rPr>
        <w:t xml:space="preserve"> financial year</w:t>
      </w:r>
      <w:r w:rsidR="005D3C5C">
        <w:rPr>
          <w:rFonts w:cstheme="minorHAnsi"/>
          <w:i/>
          <w:iCs/>
          <w:color w:val="44546A" w:themeColor="text2"/>
        </w:rPr>
        <w:t xml:space="preserve"> </w:t>
      </w:r>
    </w:p>
    <w:tbl>
      <w:tblPr>
        <w:tblStyle w:val="TableGrid"/>
        <w:tblW w:w="736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5"/>
        <w:gridCol w:w="2454"/>
      </w:tblGrid>
      <w:tr w:rsidR="005004C9" w:rsidRPr="004A5ACA" w14:paraId="7B412F2F" w14:textId="77777777" w:rsidTr="001B17A5">
        <w:trPr>
          <w:tblHeader/>
        </w:trPr>
        <w:tc>
          <w:tcPr>
            <w:tcW w:w="1667" w:type="pct"/>
            <w:tcBorders>
              <w:top w:val="single" w:sz="4" w:space="0" w:color="auto"/>
              <w:left w:val="nil"/>
              <w:bottom w:val="single" w:sz="12" w:space="0" w:color="auto"/>
              <w:right w:val="nil"/>
            </w:tcBorders>
            <w:vAlign w:val="bottom"/>
          </w:tcPr>
          <w:p w14:paraId="6BFF87DE" w14:textId="77777777" w:rsidR="005004C9" w:rsidRPr="004A5ACA" w:rsidRDefault="005004C9" w:rsidP="008E66C6">
            <w:pPr>
              <w:spacing w:before="80" w:after="80" w:line="200" w:lineRule="exact"/>
              <w:ind w:right="113"/>
              <w:jc w:val="both"/>
              <w:rPr>
                <w:rFonts w:asciiTheme="minorHAnsi" w:hAnsiTheme="minorHAnsi" w:cstheme="minorHAnsi"/>
                <w:i/>
                <w:sz w:val="16"/>
              </w:rPr>
            </w:pPr>
          </w:p>
        </w:tc>
        <w:tc>
          <w:tcPr>
            <w:tcW w:w="1667" w:type="pct"/>
            <w:tcBorders>
              <w:top w:val="single" w:sz="4" w:space="0" w:color="auto"/>
              <w:left w:val="nil"/>
              <w:bottom w:val="single" w:sz="12" w:space="0" w:color="auto"/>
              <w:right w:val="nil"/>
            </w:tcBorders>
            <w:vAlign w:val="bottom"/>
            <w:hideMark/>
          </w:tcPr>
          <w:p w14:paraId="450C48CF" w14:textId="77777777" w:rsidR="005004C9" w:rsidRPr="004A5ACA" w:rsidRDefault="005004C9" w:rsidP="008E66C6">
            <w:pPr>
              <w:suppressAutoHyphens w:val="0"/>
              <w:spacing w:before="80" w:after="80" w:line="200" w:lineRule="exact"/>
              <w:ind w:right="113"/>
              <w:jc w:val="both"/>
              <w:rPr>
                <w:rFonts w:asciiTheme="minorHAnsi" w:hAnsiTheme="minorHAnsi" w:cstheme="minorHAnsi"/>
                <w:i/>
                <w:sz w:val="16"/>
              </w:rPr>
            </w:pPr>
            <w:r w:rsidRPr="004A5ACA">
              <w:rPr>
                <w:rFonts w:asciiTheme="minorHAnsi" w:hAnsiTheme="minorHAnsi" w:cstheme="minorHAnsi"/>
                <w:i/>
                <w:sz w:val="16"/>
              </w:rPr>
              <w:t>Funding for all functions</w:t>
            </w:r>
          </w:p>
        </w:tc>
        <w:tc>
          <w:tcPr>
            <w:tcW w:w="1666" w:type="pct"/>
            <w:tcBorders>
              <w:top w:val="single" w:sz="4" w:space="0" w:color="auto"/>
              <w:left w:val="nil"/>
              <w:bottom w:val="single" w:sz="12" w:space="0" w:color="auto"/>
              <w:right w:val="nil"/>
            </w:tcBorders>
            <w:vAlign w:val="bottom"/>
            <w:hideMark/>
          </w:tcPr>
          <w:p w14:paraId="0351FC1A" w14:textId="77777777" w:rsidR="005004C9" w:rsidRPr="004A5ACA" w:rsidRDefault="005004C9" w:rsidP="008E66C6">
            <w:pPr>
              <w:suppressAutoHyphens w:val="0"/>
              <w:spacing w:before="80" w:after="80" w:line="200" w:lineRule="exact"/>
              <w:ind w:right="113"/>
              <w:jc w:val="both"/>
              <w:rPr>
                <w:rFonts w:asciiTheme="minorHAnsi" w:hAnsiTheme="minorHAnsi" w:cstheme="minorHAnsi"/>
                <w:i/>
                <w:sz w:val="16"/>
              </w:rPr>
            </w:pPr>
            <w:r w:rsidRPr="004A5ACA">
              <w:rPr>
                <w:rFonts w:asciiTheme="minorHAnsi" w:hAnsiTheme="minorHAnsi" w:cstheme="minorHAnsi"/>
                <w:i/>
                <w:sz w:val="16"/>
              </w:rPr>
              <w:t>OPCAT appropriation</w:t>
            </w:r>
          </w:p>
        </w:tc>
      </w:tr>
      <w:tr w:rsidR="005004C9" w:rsidRPr="004A5ACA" w14:paraId="7462A55A" w14:textId="77777777" w:rsidTr="001B17A5">
        <w:tc>
          <w:tcPr>
            <w:tcW w:w="1667" w:type="pct"/>
            <w:tcBorders>
              <w:top w:val="single" w:sz="12" w:space="0" w:color="auto"/>
              <w:left w:val="nil"/>
              <w:bottom w:val="nil"/>
              <w:right w:val="nil"/>
            </w:tcBorders>
            <w:hideMark/>
          </w:tcPr>
          <w:p w14:paraId="0EBC11B2" w14:textId="77777777" w:rsidR="005004C9" w:rsidRPr="004A5ACA" w:rsidRDefault="005004C9" w:rsidP="008E66C6">
            <w:pPr>
              <w:suppressAutoHyphens w:val="0"/>
              <w:spacing w:before="40" w:after="120" w:line="220" w:lineRule="exact"/>
              <w:ind w:right="113"/>
              <w:jc w:val="both"/>
              <w:rPr>
                <w:rFonts w:asciiTheme="minorHAnsi" w:hAnsiTheme="minorHAnsi" w:cstheme="minorHAnsi"/>
              </w:rPr>
            </w:pPr>
            <w:r w:rsidRPr="004A5ACA">
              <w:rPr>
                <w:rFonts w:asciiTheme="minorHAnsi" w:hAnsiTheme="minorHAnsi" w:cstheme="minorHAnsi"/>
              </w:rPr>
              <w:t>Human Rights Commission (HRC)</w:t>
            </w:r>
          </w:p>
        </w:tc>
        <w:tc>
          <w:tcPr>
            <w:tcW w:w="1667" w:type="pct"/>
            <w:tcBorders>
              <w:top w:val="single" w:sz="12" w:space="0" w:color="auto"/>
              <w:left w:val="nil"/>
              <w:bottom w:val="nil"/>
              <w:right w:val="nil"/>
            </w:tcBorders>
            <w:hideMark/>
          </w:tcPr>
          <w:p w14:paraId="5FFF8831" w14:textId="0BD82050" w:rsidR="005004C9" w:rsidRPr="004A5ACA" w:rsidRDefault="005004C9" w:rsidP="008E66C6">
            <w:pPr>
              <w:suppressAutoHyphens w:val="0"/>
              <w:spacing w:before="40" w:after="120" w:line="220" w:lineRule="exact"/>
              <w:ind w:right="113"/>
              <w:jc w:val="both"/>
              <w:rPr>
                <w:rFonts w:asciiTheme="minorHAnsi" w:hAnsiTheme="minorHAnsi" w:cstheme="minorHAnsi"/>
              </w:rPr>
            </w:pPr>
            <w:r w:rsidRPr="004A5ACA">
              <w:rPr>
                <w:rFonts w:asciiTheme="minorHAnsi" w:hAnsiTheme="minorHAnsi" w:cstheme="minorHAnsi"/>
              </w:rPr>
              <w:t>Approx. $1</w:t>
            </w:r>
            <w:r w:rsidR="000D49CB">
              <w:rPr>
                <w:rFonts w:asciiTheme="minorHAnsi" w:hAnsiTheme="minorHAnsi" w:cstheme="minorHAnsi"/>
              </w:rPr>
              <w:t>5.329</w:t>
            </w:r>
            <w:r w:rsidRPr="004A5ACA">
              <w:rPr>
                <w:rFonts w:asciiTheme="minorHAnsi" w:hAnsiTheme="minorHAnsi" w:cstheme="minorHAnsi"/>
              </w:rPr>
              <w:t>m</w:t>
            </w:r>
          </w:p>
        </w:tc>
        <w:tc>
          <w:tcPr>
            <w:tcW w:w="1666" w:type="pct"/>
            <w:tcBorders>
              <w:top w:val="single" w:sz="12" w:space="0" w:color="auto"/>
              <w:left w:val="nil"/>
              <w:bottom w:val="nil"/>
              <w:right w:val="nil"/>
            </w:tcBorders>
            <w:hideMark/>
          </w:tcPr>
          <w:p w14:paraId="6918B849" w14:textId="457AC922" w:rsidR="005004C9" w:rsidRPr="004A5ACA" w:rsidRDefault="005004C9" w:rsidP="008E66C6">
            <w:pPr>
              <w:suppressAutoHyphens w:val="0"/>
              <w:spacing w:before="40" w:after="120" w:line="220" w:lineRule="exact"/>
              <w:ind w:right="113"/>
              <w:jc w:val="both"/>
              <w:rPr>
                <w:rFonts w:asciiTheme="minorHAnsi" w:hAnsiTheme="minorHAnsi" w:cstheme="minorHAnsi"/>
              </w:rPr>
            </w:pPr>
            <w:r w:rsidRPr="004A5ACA">
              <w:rPr>
                <w:rFonts w:asciiTheme="minorHAnsi" w:hAnsiTheme="minorHAnsi" w:cstheme="minorHAnsi"/>
              </w:rPr>
              <w:t>Approx. $5–10,000 for operational cost</w:t>
            </w:r>
            <w:r w:rsidR="00173BE9">
              <w:rPr>
                <w:rFonts w:asciiTheme="minorHAnsi" w:hAnsiTheme="minorHAnsi" w:cstheme="minorHAnsi"/>
              </w:rPr>
              <w:t>s</w:t>
            </w:r>
            <w:r w:rsidRPr="004A5ACA">
              <w:rPr>
                <w:rFonts w:asciiTheme="minorHAnsi" w:hAnsiTheme="minorHAnsi" w:cstheme="minorHAnsi"/>
              </w:rPr>
              <w:t xml:space="preserve"> but excluding personnel cost (not budgeted separately)</w:t>
            </w:r>
          </w:p>
        </w:tc>
      </w:tr>
      <w:tr w:rsidR="005004C9" w:rsidRPr="004A5ACA" w14:paraId="33B9E882" w14:textId="77777777" w:rsidTr="001B17A5">
        <w:tc>
          <w:tcPr>
            <w:tcW w:w="1667" w:type="pct"/>
            <w:tcBorders>
              <w:top w:val="nil"/>
              <w:left w:val="nil"/>
              <w:bottom w:val="nil"/>
              <w:right w:val="nil"/>
            </w:tcBorders>
            <w:hideMark/>
          </w:tcPr>
          <w:p w14:paraId="1902E8D8" w14:textId="77777777" w:rsidR="005004C9" w:rsidRPr="004A5ACA" w:rsidRDefault="005004C9" w:rsidP="008E66C6">
            <w:pPr>
              <w:suppressAutoHyphens w:val="0"/>
              <w:spacing w:before="40" w:after="120" w:line="220" w:lineRule="exact"/>
              <w:ind w:right="113"/>
              <w:jc w:val="both"/>
              <w:rPr>
                <w:rFonts w:asciiTheme="minorHAnsi" w:hAnsiTheme="minorHAnsi" w:cstheme="minorHAnsi"/>
              </w:rPr>
            </w:pPr>
            <w:r w:rsidRPr="004A5ACA">
              <w:rPr>
                <w:rFonts w:asciiTheme="minorHAnsi" w:hAnsiTheme="minorHAnsi" w:cstheme="minorHAnsi"/>
              </w:rPr>
              <w:t>Independent Police Conduct Authority (IPCA)</w:t>
            </w:r>
          </w:p>
        </w:tc>
        <w:tc>
          <w:tcPr>
            <w:tcW w:w="1667" w:type="pct"/>
            <w:tcBorders>
              <w:top w:val="nil"/>
              <w:left w:val="nil"/>
              <w:bottom w:val="nil"/>
              <w:right w:val="nil"/>
            </w:tcBorders>
            <w:hideMark/>
          </w:tcPr>
          <w:p w14:paraId="1FAB5826" w14:textId="55F1CDA8" w:rsidR="005004C9" w:rsidRPr="00047239" w:rsidRDefault="005004C9" w:rsidP="008E66C6">
            <w:pPr>
              <w:suppressAutoHyphens w:val="0"/>
              <w:spacing w:before="40" w:after="120" w:line="220" w:lineRule="exact"/>
              <w:ind w:right="113"/>
              <w:jc w:val="both"/>
              <w:rPr>
                <w:rFonts w:asciiTheme="minorHAnsi" w:hAnsiTheme="minorHAnsi" w:cstheme="minorHAnsi"/>
              </w:rPr>
            </w:pPr>
            <w:r w:rsidRPr="00047239">
              <w:rPr>
                <w:rFonts w:asciiTheme="minorHAnsi" w:hAnsiTheme="minorHAnsi" w:cstheme="minorHAnsi"/>
              </w:rPr>
              <w:t>$</w:t>
            </w:r>
            <w:r w:rsidR="00F628C0" w:rsidRPr="00047239">
              <w:rPr>
                <w:rFonts w:asciiTheme="minorHAnsi" w:hAnsiTheme="minorHAnsi" w:cstheme="minorHAnsi"/>
              </w:rPr>
              <w:t>9.49m</w:t>
            </w:r>
            <w:r w:rsidR="00E920AF" w:rsidRPr="00047239">
              <w:rPr>
                <w:rStyle w:val="FootnoteReference"/>
                <w:rFonts w:asciiTheme="minorHAnsi" w:hAnsiTheme="minorHAnsi" w:cstheme="minorHAnsi"/>
              </w:rPr>
              <w:footnoteReference w:id="31"/>
            </w:r>
          </w:p>
        </w:tc>
        <w:tc>
          <w:tcPr>
            <w:tcW w:w="1666" w:type="pct"/>
            <w:tcBorders>
              <w:top w:val="nil"/>
              <w:left w:val="nil"/>
              <w:bottom w:val="nil"/>
              <w:right w:val="nil"/>
            </w:tcBorders>
            <w:hideMark/>
          </w:tcPr>
          <w:p w14:paraId="0B616DB1" w14:textId="08FFD6E7" w:rsidR="005004C9" w:rsidRPr="004A5ACA" w:rsidRDefault="00F628C0" w:rsidP="008E66C6">
            <w:pPr>
              <w:suppressAutoHyphens w:val="0"/>
              <w:spacing w:before="40" w:after="120" w:line="220" w:lineRule="exact"/>
              <w:ind w:right="113"/>
              <w:jc w:val="both"/>
              <w:rPr>
                <w:rFonts w:asciiTheme="minorHAnsi" w:hAnsiTheme="minorHAnsi" w:cstheme="minorHAnsi"/>
              </w:rPr>
            </w:pPr>
            <w:r>
              <w:rPr>
                <w:rFonts w:asciiTheme="minorHAnsi" w:hAnsiTheme="minorHAnsi" w:cstheme="minorHAnsi"/>
              </w:rPr>
              <w:t xml:space="preserve">No specific appropriation </w:t>
            </w:r>
          </w:p>
        </w:tc>
      </w:tr>
      <w:tr w:rsidR="005004C9" w:rsidRPr="004A5ACA" w14:paraId="056E4D0C" w14:textId="77777777" w:rsidTr="001B17A5">
        <w:tc>
          <w:tcPr>
            <w:tcW w:w="1667" w:type="pct"/>
            <w:tcBorders>
              <w:top w:val="nil"/>
              <w:left w:val="nil"/>
              <w:bottom w:val="nil"/>
              <w:right w:val="nil"/>
            </w:tcBorders>
            <w:hideMark/>
          </w:tcPr>
          <w:p w14:paraId="7E198875" w14:textId="77777777" w:rsidR="005004C9" w:rsidRPr="004A5ACA" w:rsidRDefault="005004C9" w:rsidP="008E66C6">
            <w:pPr>
              <w:suppressAutoHyphens w:val="0"/>
              <w:spacing w:before="40" w:after="120" w:line="220" w:lineRule="exact"/>
              <w:ind w:right="113"/>
              <w:jc w:val="both"/>
              <w:rPr>
                <w:rFonts w:asciiTheme="minorHAnsi" w:hAnsiTheme="minorHAnsi" w:cstheme="minorHAnsi"/>
              </w:rPr>
            </w:pPr>
            <w:r w:rsidRPr="004A5ACA">
              <w:rPr>
                <w:rFonts w:asciiTheme="minorHAnsi" w:hAnsiTheme="minorHAnsi" w:cstheme="minorHAnsi"/>
              </w:rPr>
              <w:t>Office of the Children’s Commissioner (OCC)</w:t>
            </w:r>
          </w:p>
        </w:tc>
        <w:tc>
          <w:tcPr>
            <w:tcW w:w="1667" w:type="pct"/>
            <w:tcBorders>
              <w:top w:val="nil"/>
              <w:left w:val="nil"/>
              <w:bottom w:val="nil"/>
              <w:right w:val="nil"/>
            </w:tcBorders>
            <w:hideMark/>
          </w:tcPr>
          <w:p w14:paraId="3494EA6A" w14:textId="30EE21FE" w:rsidR="005004C9" w:rsidRPr="00047239" w:rsidRDefault="005004C9" w:rsidP="008E66C6">
            <w:pPr>
              <w:suppressAutoHyphens w:val="0"/>
              <w:spacing w:before="40" w:after="120" w:line="220" w:lineRule="exact"/>
              <w:ind w:right="113"/>
              <w:jc w:val="both"/>
              <w:rPr>
                <w:rFonts w:asciiTheme="minorHAnsi" w:hAnsiTheme="minorHAnsi" w:cstheme="minorHAnsi"/>
              </w:rPr>
            </w:pPr>
            <w:r w:rsidRPr="00047239">
              <w:rPr>
                <w:rFonts w:asciiTheme="minorHAnsi" w:hAnsiTheme="minorHAnsi" w:cstheme="minorHAnsi"/>
              </w:rPr>
              <w:t>$</w:t>
            </w:r>
            <w:r w:rsidR="008150EA" w:rsidRPr="00047239">
              <w:rPr>
                <w:rFonts w:asciiTheme="minorHAnsi" w:hAnsiTheme="minorHAnsi" w:cstheme="minorHAnsi"/>
              </w:rPr>
              <w:t>4</w:t>
            </w:r>
            <w:r w:rsidR="00047239">
              <w:rPr>
                <w:rFonts w:asciiTheme="minorHAnsi" w:hAnsiTheme="minorHAnsi" w:cstheme="minorHAnsi"/>
              </w:rPr>
              <w:t>.</w:t>
            </w:r>
            <w:r w:rsidR="008150EA" w:rsidRPr="00047239">
              <w:rPr>
                <w:rFonts w:asciiTheme="minorHAnsi" w:hAnsiTheme="minorHAnsi" w:cstheme="minorHAnsi"/>
              </w:rPr>
              <w:t>797</w:t>
            </w:r>
            <w:r w:rsidR="00047239">
              <w:rPr>
                <w:rFonts w:asciiTheme="minorHAnsi" w:hAnsiTheme="minorHAnsi" w:cstheme="minorHAnsi"/>
              </w:rPr>
              <w:t>m</w:t>
            </w:r>
          </w:p>
        </w:tc>
        <w:tc>
          <w:tcPr>
            <w:tcW w:w="1666" w:type="pct"/>
            <w:tcBorders>
              <w:top w:val="nil"/>
              <w:left w:val="nil"/>
              <w:bottom w:val="nil"/>
              <w:right w:val="nil"/>
            </w:tcBorders>
            <w:hideMark/>
          </w:tcPr>
          <w:p w14:paraId="4FF1AC5D" w14:textId="1AAAAD29" w:rsidR="005004C9" w:rsidRPr="004A5ACA" w:rsidRDefault="008150EA" w:rsidP="008E66C6">
            <w:pPr>
              <w:suppressAutoHyphens w:val="0"/>
              <w:spacing w:before="40" w:after="120" w:line="220" w:lineRule="exact"/>
              <w:ind w:right="113"/>
              <w:jc w:val="both"/>
              <w:rPr>
                <w:rFonts w:asciiTheme="minorHAnsi" w:hAnsiTheme="minorHAnsi" w:cstheme="minorHAnsi"/>
              </w:rPr>
            </w:pPr>
            <w:r>
              <w:rPr>
                <w:rFonts w:asciiTheme="minorHAnsi" w:hAnsiTheme="minorHAnsi" w:cstheme="minorHAnsi"/>
              </w:rPr>
              <w:t>$1</w:t>
            </w:r>
            <w:r w:rsidR="00047239">
              <w:rPr>
                <w:rFonts w:asciiTheme="minorHAnsi" w:hAnsiTheme="minorHAnsi" w:cstheme="minorHAnsi"/>
              </w:rPr>
              <w:t>.</w:t>
            </w:r>
            <w:r>
              <w:rPr>
                <w:rFonts w:asciiTheme="minorHAnsi" w:hAnsiTheme="minorHAnsi" w:cstheme="minorHAnsi"/>
              </w:rPr>
              <w:t>640</w:t>
            </w:r>
            <w:r w:rsidR="00047239">
              <w:rPr>
                <w:rFonts w:asciiTheme="minorHAnsi" w:hAnsiTheme="minorHAnsi" w:cstheme="minorHAnsi"/>
              </w:rPr>
              <w:t>m</w:t>
            </w:r>
            <w:r w:rsidR="00173BE9">
              <w:rPr>
                <w:rFonts w:asciiTheme="minorHAnsi" w:hAnsiTheme="minorHAnsi" w:cstheme="minorHAnsi"/>
              </w:rPr>
              <w:t xml:space="preserve"> </w:t>
            </w:r>
            <w:r>
              <w:rPr>
                <w:rFonts w:asciiTheme="minorHAnsi" w:hAnsiTheme="minorHAnsi" w:cstheme="minorHAnsi"/>
              </w:rPr>
              <w:t>(one off funding applied for annually)</w:t>
            </w:r>
          </w:p>
        </w:tc>
      </w:tr>
      <w:tr w:rsidR="005004C9" w:rsidRPr="004A5ACA" w14:paraId="0191CFDC" w14:textId="77777777" w:rsidTr="001B17A5">
        <w:tc>
          <w:tcPr>
            <w:tcW w:w="1667" w:type="pct"/>
            <w:tcBorders>
              <w:top w:val="nil"/>
              <w:left w:val="nil"/>
              <w:bottom w:val="single" w:sz="12" w:space="0" w:color="auto"/>
              <w:right w:val="nil"/>
            </w:tcBorders>
            <w:hideMark/>
          </w:tcPr>
          <w:p w14:paraId="738E6FFE" w14:textId="77777777" w:rsidR="005004C9" w:rsidRPr="004A5ACA" w:rsidRDefault="005004C9" w:rsidP="008E66C6">
            <w:pPr>
              <w:suppressAutoHyphens w:val="0"/>
              <w:spacing w:before="40" w:after="120" w:line="220" w:lineRule="exact"/>
              <w:ind w:right="113"/>
              <w:jc w:val="both"/>
              <w:rPr>
                <w:rFonts w:asciiTheme="minorHAnsi" w:hAnsiTheme="minorHAnsi" w:cstheme="minorHAnsi"/>
              </w:rPr>
            </w:pPr>
            <w:r w:rsidRPr="004A5ACA">
              <w:rPr>
                <w:rFonts w:asciiTheme="minorHAnsi" w:hAnsiTheme="minorHAnsi" w:cstheme="minorHAnsi"/>
              </w:rPr>
              <w:t>Inspector of Service Penal Establishment (ISPE)</w:t>
            </w:r>
          </w:p>
        </w:tc>
        <w:tc>
          <w:tcPr>
            <w:tcW w:w="1667" w:type="pct"/>
            <w:tcBorders>
              <w:top w:val="nil"/>
              <w:left w:val="nil"/>
              <w:bottom w:val="single" w:sz="12" w:space="0" w:color="auto"/>
              <w:right w:val="nil"/>
            </w:tcBorders>
            <w:hideMark/>
          </w:tcPr>
          <w:p w14:paraId="3A6B4AAD" w14:textId="63C46B19" w:rsidR="005004C9" w:rsidRPr="004A5ACA" w:rsidRDefault="005004C9" w:rsidP="008E66C6">
            <w:pPr>
              <w:suppressAutoHyphens w:val="0"/>
              <w:spacing w:before="40" w:after="120" w:line="220" w:lineRule="exact"/>
              <w:ind w:right="113"/>
              <w:jc w:val="both"/>
              <w:rPr>
                <w:rFonts w:asciiTheme="minorHAnsi" w:hAnsiTheme="minorHAnsi" w:cstheme="minorHAnsi"/>
              </w:rPr>
            </w:pPr>
            <w:r w:rsidRPr="004A5ACA">
              <w:rPr>
                <w:rFonts w:asciiTheme="minorHAnsi" w:hAnsiTheme="minorHAnsi" w:cstheme="minorHAnsi"/>
              </w:rPr>
              <w:t>N</w:t>
            </w:r>
            <w:r w:rsidR="005D3C5C">
              <w:rPr>
                <w:rFonts w:asciiTheme="minorHAnsi" w:hAnsiTheme="minorHAnsi" w:cstheme="minorHAnsi"/>
              </w:rPr>
              <w:t>/A</w:t>
            </w:r>
          </w:p>
        </w:tc>
        <w:tc>
          <w:tcPr>
            <w:tcW w:w="1666" w:type="pct"/>
            <w:tcBorders>
              <w:top w:val="nil"/>
              <w:left w:val="nil"/>
              <w:bottom w:val="single" w:sz="12" w:space="0" w:color="auto"/>
              <w:right w:val="nil"/>
            </w:tcBorders>
            <w:hideMark/>
          </w:tcPr>
          <w:p w14:paraId="411C9BCD" w14:textId="77777777" w:rsidR="005004C9" w:rsidRPr="004A5ACA" w:rsidRDefault="005004C9" w:rsidP="008E66C6">
            <w:pPr>
              <w:suppressAutoHyphens w:val="0"/>
              <w:spacing w:before="40" w:after="120" w:line="220" w:lineRule="exact"/>
              <w:ind w:right="113"/>
              <w:jc w:val="both"/>
              <w:rPr>
                <w:rFonts w:asciiTheme="minorHAnsi" w:hAnsiTheme="minorHAnsi" w:cstheme="minorHAnsi"/>
              </w:rPr>
            </w:pPr>
            <w:r w:rsidRPr="004A5ACA">
              <w:rPr>
                <w:rFonts w:asciiTheme="minorHAnsi" w:hAnsiTheme="minorHAnsi" w:cstheme="minorHAnsi"/>
              </w:rPr>
              <w:t>Performs functions within general budget as Registrar of the Court Martial</w:t>
            </w:r>
          </w:p>
        </w:tc>
      </w:tr>
    </w:tbl>
    <w:p w14:paraId="66590D19" w14:textId="092B00C5" w:rsidR="001B17A5" w:rsidRDefault="001B17A5" w:rsidP="008E66C6">
      <w:pPr>
        <w:pStyle w:val="ListParagraph"/>
        <w:spacing w:after="120"/>
        <w:ind w:left="357"/>
        <w:contextualSpacing w:val="0"/>
        <w:jc w:val="both"/>
      </w:pPr>
    </w:p>
    <w:p w14:paraId="2898FBC9" w14:textId="2F639038" w:rsidR="00B9437C" w:rsidRDefault="00B9437C" w:rsidP="008E66C6">
      <w:pPr>
        <w:pStyle w:val="ListParagraph"/>
        <w:numPr>
          <w:ilvl w:val="0"/>
          <w:numId w:val="1"/>
        </w:numPr>
        <w:spacing w:after="120"/>
        <w:ind w:left="357" w:hanging="357"/>
        <w:contextualSpacing w:val="0"/>
        <w:jc w:val="both"/>
      </w:pPr>
      <w:r>
        <w:t xml:space="preserve">Funding for the Human Rights Commission is determined </w:t>
      </w:r>
      <w:r w:rsidR="00AD6CE2">
        <w:t xml:space="preserve">in consultation and </w:t>
      </w:r>
      <w:r w:rsidR="00DF5C75" w:rsidRPr="00DF5C75">
        <w:t>according to the Ministry of Justice</w:t>
      </w:r>
      <w:r w:rsidR="00DF5C75">
        <w:t xml:space="preserve">’s </w:t>
      </w:r>
      <w:r w:rsidR="004363EA">
        <w:t xml:space="preserve">annual </w:t>
      </w:r>
      <w:r w:rsidR="008E00AC">
        <w:t>b</w:t>
      </w:r>
      <w:r w:rsidR="004363EA">
        <w:t>udget process</w:t>
      </w:r>
      <w:r w:rsidR="00DF5C75" w:rsidRPr="00DF5C75">
        <w:t>, as the Crown monitoring</w:t>
      </w:r>
      <w:r w:rsidR="004363EA">
        <w:t xml:space="preserve"> </w:t>
      </w:r>
      <w:r w:rsidR="00DF5C75" w:rsidRPr="00DF5C75">
        <w:t xml:space="preserve">agency responsible for facilitating engagement with </w:t>
      </w:r>
      <w:r w:rsidR="00FA20BB">
        <w:t xml:space="preserve">Te Tai </w:t>
      </w:r>
      <w:proofErr w:type="spellStart"/>
      <w:r w:rsidR="00FA20BB">
        <w:rPr>
          <w:rFonts w:cstheme="minorHAnsi"/>
        </w:rPr>
        <w:t>Ōhanga</w:t>
      </w:r>
      <w:proofErr w:type="spellEnd"/>
      <w:r w:rsidR="00FA20BB">
        <w:rPr>
          <w:rFonts w:cstheme="minorHAnsi"/>
        </w:rPr>
        <w:t xml:space="preserve"> | </w:t>
      </w:r>
      <w:r w:rsidR="00DF5C75" w:rsidRPr="00DF5C75">
        <w:t>The Treasury</w:t>
      </w:r>
      <w:r w:rsidR="00FA20BB">
        <w:t xml:space="preserve"> New Zealand</w:t>
      </w:r>
      <w:r w:rsidR="00094BAA" w:rsidRPr="001B5837">
        <w:t>.</w:t>
      </w:r>
      <w:r w:rsidR="00D75E54">
        <w:t xml:space="preserve"> Funding is not specifically allocated for the Commission to undertake its CNPM function. </w:t>
      </w:r>
    </w:p>
    <w:p w14:paraId="68E7ABEB" w14:textId="7DE4BE4C" w:rsidR="008D7D60" w:rsidRDefault="008B2F2A" w:rsidP="008E66C6">
      <w:pPr>
        <w:numPr>
          <w:ilvl w:val="0"/>
          <w:numId w:val="1"/>
        </w:numPr>
        <w:jc w:val="both"/>
      </w:pPr>
      <w:r>
        <w:t xml:space="preserve">The </w:t>
      </w:r>
      <w:r w:rsidR="00B22905" w:rsidRPr="00B22905">
        <w:t xml:space="preserve">IPCA is funded via the </w:t>
      </w:r>
      <w:r w:rsidR="003B1ECD">
        <w:t>Ministry of Justice’s annual</w:t>
      </w:r>
      <w:r w:rsidR="00B22905" w:rsidRPr="00B22905">
        <w:t xml:space="preserve"> </w:t>
      </w:r>
      <w:r w:rsidR="008E00AC">
        <w:t>b</w:t>
      </w:r>
      <w:r w:rsidR="00B22905" w:rsidRPr="00B22905">
        <w:t xml:space="preserve">udget appropriation. </w:t>
      </w:r>
      <w:r w:rsidR="008E00AC">
        <w:t xml:space="preserve">The IPCA does </w:t>
      </w:r>
      <w:r w:rsidR="00B22905" w:rsidRPr="00B22905">
        <w:t xml:space="preserve">not receive a specific appropriation for OPCAT work and </w:t>
      </w:r>
      <w:r w:rsidR="008E00AC">
        <w:t>must therefore</w:t>
      </w:r>
      <w:r w:rsidR="00B22905" w:rsidRPr="00B22905">
        <w:t xml:space="preserve"> determine</w:t>
      </w:r>
      <w:r w:rsidR="008E00AC">
        <w:t xml:space="preserve"> internally</w:t>
      </w:r>
      <w:r w:rsidR="00B22905" w:rsidRPr="00B22905">
        <w:t xml:space="preserve"> how much </w:t>
      </w:r>
      <w:r w:rsidR="008E00AC">
        <w:t>it</w:t>
      </w:r>
      <w:r w:rsidR="00B22905" w:rsidRPr="00B22905">
        <w:t xml:space="preserve"> spend</w:t>
      </w:r>
      <w:r w:rsidR="008E00AC">
        <w:t>s</w:t>
      </w:r>
      <w:r w:rsidR="00B22905" w:rsidRPr="00B22905">
        <w:t xml:space="preserve"> on </w:t>
      </w:r>
      <w:r w:rsidR="008E00AC">
        <w:t>its</w:t>
      </w:r>
      <w:r w:rsidR="00B22905" w:rsidRPr="00B22905">
        <w:t xml:space="preserve"> NPM role </w:t>
      </w:r>
      <w:r w:rsidR="008E00AC">
        <w:t>from its total</w:t>
      </w:r>
      <w:r w:rsidR="00B22905" w:rsidRPr="00B22905">
        <w:t xml:space="preserve"> annual IPCA governme</w:t>
      </w:r>
      <w:r w:rsidR="008E00AC">
        <w:t>n</w:t>
      </w:r>
      <w:r w:rsidR="00B22905" w:rsidRPr="00B22905">
        <w:t>t funding.</w:t>
      </w:r>
      <w:r w:rsidR="00B22905">
        <w:t xml:space="preserve"> </w:t>
      </w:r>
      <w:r w:rsidR="00B22905" w:rsidRPr="00B22905">
        <w:t xml:space="preserve">The current level of baseline funding </w:t>
      </w:r>
      <w:r w:rsidR="008E00AC">
        <w:t>makes it difficult for IPCA to</w:t>
      </w:r>
      <w:r w:rsidR="00B22905" w:rsidRPr="00B22905">
        <w:t xml:space="preserve"> conduct the level of regular inspection visits </w:t>
      </w:r>
      <w:r w:rsidR="008124FE">
        <w:t xml:space="preserve">it </w:t>
      </w:r>
      <w:r w:rsidR="00F109FC">
        <w:t>believes is necessary</w:t>
      </w:r>
      <w:r w:rsidR="00B22905" w:rsidRPr="00B22905">
        <w:t xml:space="preserve">. Police operate approximately 135 custodial management facilities, containing approximately 816 usable cells, nationwide. </w:t>
      </w:r>
      <w:r w:rsidR="008124FE">
        <w:t>The IPCA has</w:t>
      </w:r>
      <w:r w:rsidR="00B22905" w:rsidRPr="00B22905">
        <w:t xml:space="preserve"> committed to inspecting </w:t>
      </w:r>
      <w:r w:rsidR="0012275A">
        <w:t>four</w:t>
      </w:r>
      <w:r w:rsidR="008124FE">
        <w:t> </w:t>
      </w:r>
      <w:r w:rsidR="00B22905" w:rsidRPr="00B22905">
        <w:t xml:space="preserve">Police districts per year, meaning </w:t>
      </w:r>
      <w:r w:rsidR="008124FE">
        <w:t>it</w:t>
      </w:r>
      <w:r w:rsidR="00B22905" w:rsidRPr="00B22905">
        <w:t xml:space="preserve"> cover</w:t>
      </w:r>
      <w:r w:rsidR="00F109FC">
        <w:t>s</w:t>
      </w:r>
      <w:r w:rsidR="00B22905" w:rsidRPr="00B22905">
        <w:t xml:space="preserve"> all 12 districts </w:t>
      </w:r>
      <w:r w:rsidR="0012275A">
        <w:t>e</w:t>
      </w:r>
      <w:r w:rsidR="00B22905" w:rsidRPr="00B22905">
        <w:t xml:space="preserve">very </w:t>
      </w:r>
      <w:r w:rsidR="0012275A">
        <w:t>three</w:t>
      </w:r>
      <w:r w:rsidR="00B22905" w:rsidRPr="00B22905">
        <w:t xml:space="preserve"> years.</w:t>
      </w:r>
      <w:r w:rsidR="008B6985">
        <w:t xml:space="preserve"> </w:t>
      </w:r>
      <w:r w:rsidR="0012275A">
        <w:t xml:space="preserve">A major change for the IPCA from 2023 has been </w:t>
      </w:r>
      <w:r w:rsidR="0012275A">
        <w:rPr>
          <w:color w:val="000000"/>
          <w:lang w:val="en-GB"/>
        </w:rPr>
        <w:t>the allocation of</w:t>
      </w:r>
      <w:r w:rsidR="008B6985">
        <w:rPr>
          <w:color w:val="000000"/>
          <w:lang w:val="en-GB"/>
        </w:rPr>
        <w:t xml:space="preserve"> OPCAT budget to cover </w:t>
      </w:r>
      <w:r w:rsidR="0012275A">
        <w:rPr>
          <w:color w:val="000000"/>
          <w:lang w:val="en-GB"/>
        </w:rPr>
        <w:t xml:space="preserve">additional </w:t>
      </w:r>
      <w:r w:rsidR="008B6985">
        <w:rPr>
          <w:color w:val="000000"/>
          <w:lang w:val="en-GB"/>
        </w:rPr>
        <w:t>staff (3 FTE) and travel.</w:t>
      </w:r>
    </w:p>
    <w:p w14:paraId="2CC9C3E0" w14:textId="2A08DFB6" w:rsidR="001B17A5" w:rsidRDefault="00B16EC3" w:rsidP="008E66C6">
      <w:pPr>
        <w:numPr>
          <w:ilvl w:val="0"/>
          <w:numId w:val="1"/>
        </w:numPr>
        <w:jc w:val="both"/>
      </w:pPr>
      <w:r>
        <w:t>As outlined in its separate submission to the Committee, the</w:t>
      </w:r>
      <w:r w:rsidR="001B17A5">
        <w:t xml:space="preserve"> </w:t>
      </w:r>
      <w:r>
        <w:t xml:space="preserve">Children’s Commissioner’s </w:t>
      </w:r>
      <w:r w:rsidR="00D75E54">
        <w:t>NPM</w:t>
      </w:r>
      <w:r w:rsidR="001B17A5">
        <w:t xml:space="preserve"> function has historically been underfunded and undertaken alongside other statutory functions. While the </w:t>
      </w:r>
      <w:r w:rsidR="0079570E">
        <w:t>Children’s Commissioner</w:t>
      </w:r>
      <w:r w:rsidR="001B17A5">
        <w:t xml:space="preserve"> welcome</w:t>
      </w:r>
      <w:r w:rsidR="00F373F5">
        <w:t>s</w:t>
      </w:r>
      <w:r w:rsidR="001B17A5">
        <w:t xml:space="preserve"> recent increases in funding, th</w:t>
      </w:r>
      <w:r w:rsidR="0079570E">
        <w:t>e funding it receives</w:t>
      </w:r>
      <w:r w:rsidR="001B17A5">
        <w:t xml:space="preserve"> only allows </w:t>
      </w:r>
      <w:r w:rsidR="0079570E">
        <w:t xml:space="preserve">its OPCAT team </w:t>
      </w:r>
      <w:r w:rsidR="001B17A5">
        <w:t>to undertake minimum requirements for monitoring (i.e., visits only</w:t>
      </w:r>
      <w:r w:rsidR="008B5E2E">
        <w:t xml:space="preserve">, with </w:t>
      </w:r>
      <w:r w:rsidR="001B17A5">
        <w:t xml:space="preserve">limited capacity for thematic work, developing new frameworks, or other </w:t>
      </w:r>
      <w:r w:rsidR="00D75E54">
        <w:t>NPM</w:t>
      </w:r>
      <w:r w:rsidR="001B17A5">
        <w:t xml:space="preserve"> activities). Additionally, this funding is not secure</w:t>
      </w:r>
      <w:r w:rsidR="008B5E2E">
        <w:t xml:space="preserve"> as e</w:t>
      </w:r>
      <w:r w:rsidR="001B17A5">
        <w:t xml:space="preserve">very year the </w:t>
      </w:r>
      <w:r w:rsidR="00B764CD">
        <w:t xml:space="preserve">Children’s Commissioner </w:t>
      </w:r>
      <w:r w:rsidR="001B17A5">
        <w:t xml:space="preserve">needs to reapply to meet ongoing cost pressures and capacity. More funding is needed for </w:t>
      </w:r>
      <w:r w:rsidR="000939C2">
        <w:t xml:space="preserve">the Children’s Commissioner’s </w:t>
      </w:r>
      <w:r w:rsidR="00D75E54">
        <w:t>NPM</w:t>
      </w:r>
      <w:r w:rsidR="001B17A5">
        <w:t xml:space="preserve"> </w:t>
      </w:r>
      <w:r w:rsidR="000939C2">
        <w:t xml:space="preserve">function </w:t>
      </w:r>
      <w:r w:rsidR="001B17A5">
        <w:t xml:space="preserve">to be truly effective and result in meaningful change for </w:t>
      </w:r>
      <w:r w:rsidR="00B764CD">
        <w:t xml:space="preserve">children and young people </w:t>
      </w:r>
      <w:r w:rsidR="001B17A5">
        <w:t xml:space="preserve">in detention. </w:t>
      </w:r>
      <w:r w:rsidR="000939C2">
        <w:t>Any</w:t>
      </w:r>
      <w:r w:rsidR="001B17A5">
        <w:t xml:space="preserve"> future increase in designations </w:t>
      </w:r>
      <w:r w:rsidR="000939C2">
        <w:t xml:space="preserve">also </w:t>
      </w:r>
      <w:r w:rsidR="001B17A5">
        <w:t>need</w:t>
      </w:r>
      <w:r w:rsidR="009A0C8A">
        <w:t>s</w:t>
      </w:r>
      <w:r w:rsidR="001B17A5">
        <w:t xml:space="preserve"> to be reflected through funding.</w:t>
      </w:r>
    </w:p>
    <w:p w14:paraId="536C4283" w14:textId="150322AF" w:rsidR="001B17A5" w:rsidRDefault="008D7D60" w:rsidP="008E66C6">
      <w:pPr>
        <w:numPr>
          <w:ilvl w:val="0"/>
          <w:numId w:val="1"/>
        </w:numPr>
        <w:jc w:val="both"/>
      </w:pPr>
      <w:r>
        <w:t>The IPSE</w:t>
      </w:r>
      <w:r w:rsidR="009A5EE8">
        <w:t xml:space="preserve">’s </w:t>
      </w:r>
      <w:r w:rsidR="00D75E54">
        <w:t>NPM</w:t>
      </w:r>
      <w:r w:rsidR="009A5EE8">
        <w:t xml:space="preserve"> </w:t>
      </w:r>
      <w:r w:rsidR="002755E7">
        <w:t xml:space="preserve">functions are </w:t>
      </w:r>
      <w:r w:rsidR="00C809AD">
        <w:t>restricted</w:t>
      </w:r>
      <w:r w:rsidR="002755E7">
        <w:t xml:space="preserve"> by </w:t>
      </w:r>
      <w:r w:rsidR="00FC1057">
        <w:t xml:space="preserve">a </w:t>
      </w:r>
      <w:r w:rsidR="00C809AD">
        <w:t>limited</w:t>
      </w:r>
      <w:r w:rsidR="00FC1057">
        <w:t xml:space="preserve"> staffing resource. </w:t>
      </w:r>
      <w:r w:rsidR="00B8600F">
        <w:t xml:space="preserve">The </w:t>
      </w:r>
      <w:r w:rsidR="00CA0B50" w:rsidRPr="001A70E2">
        <w:t xml:space="preserve">Office of the Judge Advocate General of the Armed Forces of </w:t>
      </w:r>
      <w:r w:rsidR="00CA0B50">
        <w:t xml:space="preserve">New Zealand </w:t>
      </w:r>
      <w:r w:rsidR="00B8600F">
        <w:t>(</w:t>
      </w:r>
      <w:r w:rsidR="00B8600F" w:rsidRPr="00B8600F">
        <w:rPr>
          <w:b/>
          <w:bCs/>
        </w:rPr>
        <w:t>OJAG</w:t>
      </w:r>
      <w:r w:rsidR="00B8600F">
        <w:t xml:space="preserve">) </w:t>
      </w:r>
      <w:r w:rsidR="00CA0B50">
        <w:t xml:space="preserve">has two vacant positions </w:t>
      </w:r>
      <w:proofErr w:type="gramStart"/>
      <w:r w:rsidR="00CA0B50">
        <w:t>established</w:t>
      </w:r>
      <w:r w:rsidR="00B8600F">
        <w:t>,</w:t>
      </w:r>
      <w:proofErr w:type="gramEnd"/>
      <w:r w:rsidR="00B8600F">
        <w:t xml:space="preserve"> however these have not been filled by the administering agency. </w:t>
      </w:r>
      <w:r w:rsidR="00FC1057">
        <w:t xml:space="preserve">The </w:t>
      </w:r>
      <w:r w:rsidR="008F620D">
        <w:t>IPSE is the only staff member</w:t>
      </w:r>
      <w:r w:rsidR="00C809AD">
        <w:t xml:space="preserve"> within the OJAG</w:t>
      </w:r>
      <w:r w:rsidR="008F620D">
        <w:t xml:space="preserve"> allocated to undertake OPCAT monitoring of NZDF detention facilities. </w:t>
      </w:r>
      <w:r w:rsidR="00E55144">
        <w:t>This has meant the IPSE frequently has to reprioritise work</w:t>
      </w:r>
      <w:r w:rsidR="003F7CD2">
        <w:t xml:space="preserve"> to ensure minimum compliance is being met</w:t>
      </w:r>
      <w:r w:rsidR="00C809AD">
        <w:t xml:space="preserve">, leaving </w:t>
      </w:r>
      <w:r w:rsidR="003F7CD2">
        <w:t>limited capacity to engage in</w:t>
      </w:r>
      <w:r w:rsidR="001B17A5" w:rsidRPr="0074636A">
        <w:t xml:space="preserve"> long term policy development or process improvement work. </w:t>
      </w:r>
      <w:r w:rsidR="001B17A5" w:rsidRPr="001A70E2">
        <w:t xml:space="preserve">The ISPE’s annual budget is subsumed in the overall budget of the </w:t>
      </w:r>
      <w:r w:rsidR="00C809AD">
        <w:t>OJAG</w:t>
      </w:r>
      <w:r w:rsidR="001B17A5" w:rsidRPr="001A70E2">
        <w:t xml:space="preserve">.  The IPSE operating expense (inclusive of </w:t>
      </w:r>
      <w:r w:rsidR="00C809AD">
        <w:t>NPM</w:t>
      </w:r>
      <w:r w:rsidR="001B17A5" w:rsidRPr="001A70E2">
        <w:t xml:space="preserve"> activities) is generally a maximum of 10</w:t>
      </w:r>
      <w:r w:rsidR="00090122">
        <w:t> </w:t>
      </w:r>
      <w:r w:rsidR="00C809AD">
        <w:t>per cent</w:t>
      </w:r>
      <w:r w:rsidR="001B17A5" w:rsidRPr="001A70E2">
        <w:t xml:space="preserve"> of the OJAG annual operating budget, which has been more than sufficient to meet ISPE’s activity requirements.  </w:t>
      </w:r>
    </w:p>
    <w:p w14:paraId="29A66872" w14:textId="35B92002" w:rsidR="00090122" w:rsidRDefault="00FF6849" w:rsidP="008E66C6">
      <w:pPr>
        <w:numPr>
          <w:ilvl w:val="0"/>
          <w:numId w:val="1"/>
        </w:numPr>
        <w:jc w:val="both"/>
      </w:pPr>
      <w:r>
        <w:rPr>
          <w:b/>
          <w:bCs/>
        </w:rPr>
        <w:t xml:space="preserve">The Committee may wish to recommend that the Government take steps to ensure </w:t>
      </w:r>
      <w:proofErr w:type="gramStart"/>
      <w:r>
        <w:rPr>
          <w:b/>
          <w:bCs/>
        </w:rPr>
        <w:t>all of</w:t>
      </w:r>
      <w:proofErr w:type="gramEnd"/>
      <w:r>
        <w:rPr>
          <w:b/>
          <w:bCs/>
        </w:rPr>
        <w:t xml:space="preserve"> the Aotearoa</w:t>
      </w:r>
      <w:r w:rsidR="00971C07">
        <w:rPr>
          <w:b/>
          <w:bCs/>
        </w:rPr>
        <w:t xml:space="preserve"> </w:t>
      </w:r>
      <w:r w:rsidR="00971C07" w:rsidRPr="00971C07">
        <w:rPr>
          <w:b/>
          <w:bCs/>
        </w:rPr>
        <w:t>New Zealand</w:t>
      </w:r>
      <w:r>
        <w:rPr>
          <w:b/>
          <w:bCs/>
        </w:rPr>
        <w:t xml:space="preserve"> NPMs are allocated </w:t>
      </w:r>
      <w:r w:rsidR="00E1327A">
        <w:rPr>
          <w:b/>
          <w:bCs/>
        </w:rPr>
        <w:t>the necessary</w:t>
      </w:r>
      <w:r>
        <w:rPr>
          <w:b/>
          <w:bCs/>
        </w:rPr>
        <w:t xml:space="preserve"> financial and </w:t>
      </w:r>
      <w:r w:rsidR="00E1327A">
        <w:rPr>
          <w:b/>
          <w:bCs/>
        </w:rPr>
        <w:t xml:space="preserve">staffing resource to effectively carry out their </w:t>
      </w:r>
      <w:r w:rsidR="00E7642B">
        <w:rPr>
          <w:b/>
          <w:bCs/>
        </w:rPr>
        <w:t xml:space="preserve">preventive mandates under OPCAT. </w:t>
      </w:r>
    </w:p>
    <w:p w14:paraId="32F3704C" w14:textId="20C36519" w:rsidR="00945363" w:rsidRDefault="00945363" w:rsidP="008E66C6">
      <w:pPr>
        <w:pStyle w:val="Heading3"/>
        <w:jc w:val="both"/>
      </w:pPr>
      <w:bookmarkStart w:id="50" w:name="_Toc137480606"/>
      <w:r>
        <w:t>Reporting and engagement with detaining agencies</w:t>
      </w:r>
      <w:bookmarkEnd w:id="50"/>
    </w:p>
    <w:p w14:paraId="3BA04E88" w14:textId="0AD0208D" w:rsidR="00273201" w:rsidRPr="00273201" w:rsidRDefault="00273201" w:rsidP="008E66C6">
      <w:pPr>
        <w:keepNext/>
        <w:jc w:val="both"/>
        <w:rPr>
          <w:i/>
          <w:iCs/>
          <w:color w:val="44546A" w:themeColor="text2"/>
        </w:rPr>
      </w:pPr>
      <w:r>
        <w:rPr>
          <w:i/>
          <w:iCs/>
          <w:color w:val="44546A" w:themeColor="text2"/>
        </w:rPr>
        <w:t>Publication of reports</w:t>
      </w:r>
    </w:p>
    <w:p w14:paraId="5C57A46E" w14:textId="253FAB12" w:rsidR="00CB0626" w:rsidRPr="004265B3" w:rsidRDefault="00CB0626" w:rsidP="008E66C6">
      <w:pPr>
        <w:pStyle w:val="Number1"/>
        <w:numPr>
          <w:ilvl w:val="0"/>
          <w:numId w:val="1"/>
        </w:numPr>
        <w:jc w:val="both"/>
        <w:rPr>
          <w:rFonts w:asciiTheme="minorHAnsi" w:hAnsiTheme="minorHAnsi"/>
          <w:color w:val="auto"/>
          <w:sz w:val="22"/>
        </w:rPr>
      </w:pPr>
      <w:r w:rsidRPr="004265B3">
        <w:rPr>
          <w:rFonts w:asciiTheme="minorHAnsi" w:hAnsiTheme="minorHAnsi"/>
          <w:color w:val="auto"/>
          <w:sz w:val="22"/>
        </w:rPr>
        <w:t xml:space="preserve">While there is no legal requirement to make OPCAT reports </w:t>
      </w:r>
      <w:r w:rsidR="00A31369" w:rsidRPr="004265B3">
        <w:rPr>
          <w:rFonts w:asciiTheme="minorHAnsi" w:hAnsiTheme="minorHAnsi"/>
          <w:color w:val="auto"/>
          <w:sz w:val="22"/>
        </w:rPr>
        <w:t xml:space="preserve">publicly </w:t>
      </w:r>
      <w:r w:rsidRPr="004265B3">
        <w:rPr>
          <w:rFonts w:asciiTheme="minorHAnsi" w:hAnsiTheme="minorHAnsi"/>
          <w:color w:val="auto"/>
          <w:sz w:val="22"/>
        </w:rPr>
        <w:t xml:space="preserve">available, the Aotearoa </w:t>
      </w:r>
      <w:r w:rsidR="00971C07" w:rsidRPr="00F57B14">
        <w:rPr>
          <w:rFonts w:asciiTheme="minorHAnsi" w:hAnsiTheme="minorHAnsi"/>
          <w:color w:val="auto"/>
          <w:sz w:val="22"/>
        </w:rPr>
        <w:t xml:space="preserve">New Zealand </w:t>
      </w:r>
      <w:r w:rsidRPr="004265B3">
        <w:rPr>
          <w:rFonts w:asciiTheme="minorHAnsi" w:hAnsiTheme="minorHAnsi"/>
          <w:color w:val="auto"/>
          <w:sz w:val="22"/>
        </w:rPr>
        <w:t xml:space="preserve">NPMs have been exploring the benefits of publication </w:t>
      </w:r>
      <w:r w:rsidR="00A31369" w:rsidRPr="004265B3">
        <w:rPr>
          <w:rFonts w:asciiTheme="minorHAnsi" w:hAnsiTheme="minorHAnsi"/>
          <w:color w:val="auto"/>
          <w:sz w:val="22"/>
        </w:rPr>
        <w:t>to promote awareness and transparency</w:t>
      </w:r>
      <w:r w:rsidR="006254EB">
        <w:rPr>
          <w:rFonts w:asciiTheme="minorHAnsi" w:hAnsiTheme="minorHAnsi"/>
          <w:color w:val="auto"/>
          <w:sz w:val="22"/>
        </w:rPr>
        <w:t xml:space="preserve"> of their </w:t>
      </w:r>
      <w:r w:rsidR="009C000C">
        <w:rPr>
          <w:rFonts w:asciiTheme="minorHAnsi" w:hAnsiTheme="minorHAnsi"/>
          <w:color w:val="auto"/>
          <w:sz w:val="22"/>
        </w:rPr>
        <w:t xml:space="preserve">observations </w:t>
      </w:r>
      <w:r w:rsidR="006254EB">
        <w:rPr>
          <w:rFonts w:asciiTheme="minorHAnsi" w:hAnsiTheme="minorHAnsi"/>
          <w:color w:val="auto"/>
          <w:sz w:val="22"/>
        </w:rPr>
        <w:t>and recommendations</w:t>
      </w:r>
      <w:r w:rsidR="004265B3" w:rsidRPr="004265B3">
        <w:rPr>
          <w:rFonts w:asciiTheme="minorHAnsi" w:hAnsiTheme="minorHAnsi"/>
          <w:color w:val="auto"/>
          <w:sz w:val="22"/>
        </w:rPr>
        <w:t xml:space="preserve">. </w:t>
      </w:r>
      <w:r w:rsidR="004265B3">
        <w:rPr>
          <w:rFonts w:asciiTheme="minorHAnsi" w:hAnsiTheme="minorHAnsi"/>
          <w:color w:val="auto"/>
          <w:sz w:val="22"/>
        </w:rPr>
        <w:t xml:space="preserve">In deciding whether to publish a report, the Aotearoa </w:t>
      </w:r>
      <w:r w:rsidR="00F57B14" w:rsidRPr="00F57B14">
        <w:rPr>
          <w:rFonts w:asciiTheme="minorHAnsi" w:hAnsiTheme="minorHAnsi"/>
          <w:color w:val="auto"/>
          <w:sz w:val="22"/>
        </w:rPr>
        <w:t xml:space="preserve">New Zealand </w:t>
      </w:r>
      <w:r w:rsidR="004265B3">
        <w:rPr>
          <w:rFonts w:asciiTheme="minorHAnsi" w:hAnsiTheme="minorHAnsi"/>
          <w:color w:val="auto"/>
          <w:sz w:val="22"/>
        </w:rPr>
        <w:t xml:space="preserve">NPMs </w:t>
      </w:r>
      <w:r w:rsidRPr="004265B3">
        <w:rPr>
          <w:rFonts w:asciiTheme="minorHAnsi" w:hAnsiTheme="minorHAnsi"/>
          <w:color w:val="auto"/>
          <w:sz w:val="22"/>
        </w:rPr>
        <w:t xml:space="preserve">weigh the risks and benefits for </w:t>
      </w:r>
      <w:r w:rsidR="006254EB">
        <w:rPr>
          <w:rFonts w:asciiTheme="minorHAnsi" w:hAnsiTheme="minorHAnsi"/>
          <w:color w:val="auto"/>
          <w:sz w:val="22"/>
        </w:rPr>
        <w:t xml:space="preserve">achieving </w:t>
      </w:r>
      <w:r w:rsidRPr="004265B3">
        <w:rPr>
          <w:rFonts w:asciiTheme="minorHAnsi" w:hAnsiTheme="minorHAnsi"/>
          <w:color w:val="auto"/>
          <w:sz w:val="22"/>
        </w:rPr>
        <w:t>the preventive objectives of OPCAT.</w:t>
      </w:r>
    </w:p>
    <w:p w14:paraId="761166F2" w14:textId="41786217" w:rsidR="0033665C" w:rsidRDefault="00C959EC" w:rsidP="008E66C6">
      <w:pPr>
        <w:pStyle w:val="Number1"/>
        <w:numPr>
          <w:ilvl w:val="0"/>
          <w:numId w:val="1"/>
        </w:numPr>
        <w:jc w:val="both"/>
        <w:rPr>
          <w:rFonts w:asciiTheme="minorHAnsi" w:hAnsiTheme="minorHAnsi"/>
          <w:color w:val="auto"/>
          <w:sz w:val="22"/>
        </w:rPr>
      </w:pPr>
      <w:r w:rsidRPr="00B87957">
        <w:rPr>
          <w:rFonts w:asciiTheme="minorHAnsi" w:hAnsiTheme="minorHAnsi"/>
          <w:color w:val="auto"/>
          <w:sz w:val="22"/>
        </w:rPr>
        <w:t xml:space="preserve">Since 2017, the Chief Ombudsman has routinely published his individual </w:t>
      </w:r>
      <w:r w:rsidR="009C000C">
        <w:rPr>
          <w:rFonts w:asciiTheme="minorHAnsi" w:hAnsiTheme="minorHAnsi"/>
          <w:color w:val="auto"/>
          <w:sz w:val="22"/>
        </w:rPr>
        <w:t>inspection</w:t>
      </w:r>
      <w:r w:rsidR="009C000C" w:rsidRPr="00B87957">
        <w:rPr>
          <w:rFonts w:asciiTheme="minorHAnsi" w:hAnsiTheme="minorHAnsi"/>
          <w:color w:val="auto"/>
          <w:sz w:val="22"/>
        </w:rPr>
        <w:t xml:space="preserve"> </w:t>
      </w:r>
      <w:r w:rsidRPr="00B87957">
        <w:rPr>
          <w:rFonts w:asciiTheme="minorHAnsi" w:hAnsiTheme="minorHAnsi"/>
          <w:color w:val="auto"/>
          <w:sz w:val="22"/>
        </w:rPr>
        <w:t>reports for prisons. The first report for mental health facilities was published in 2020. Since then, the Chief Ombudsman has regularly published reports from inspections of inpatient mental health and intellectual disability places of detention. He has also published thematic and summary reports, such as his Thematic report on inspections of secure intellectual disability facilities,</w:t>
      </w:r>
      <w:r w:rsidRPr="00C959EC">
        <w:rPr>
          <w:rFonts w:asciiTheme="minorHAnsi" w:hAnsiTheme="minorHAnsi"/>
          <w:color w:val="auto"/>
          <w:sz w:val="22"/>
          <w:vertAlign w:val="superscript"/>
        </w:rPr>
        <w:footnoteReference w:id="32"/>
      </w:r>
      <w:r w:rsidRPr="00B87957">
        <w:rPr>
          <w:rFonts w:asciiTheme="minorHAnsi" w:hAnsiTheme="minorHAnsi"/>
          <w:color w:val="auto"/>
          <w:sz w:val="22"/>
          <w:vertAlign w:val="superscript"/>
        </w:rPr>
        <w:t xml:space="preserve"> </w:t>
      </w:r>
      <w:r w:rsidRPr="00B87957">
        <w:rPr>
          <w:rFonts w:asciiTheme="minorHAnsi" w:hAnsiTheme="minorHAnsi"/>
          <w:color w:val="auto"/>
          <w:sz w:val="22"/>
        </w:rPr>
        <w:t>and a series of COVID-19 reports for different areas of inspection, including aged care,</w:t>
      </w:r>
      <w:r w:rsidRPr="00C959EC">
        <w:rPr>
          <w:rFonts w:asciiTheme="minorHAnsi" w:hAnsiTheme="minorHAnsi"/>
          <w:color w:val="auto"/>
          <w:sz w:val="22"/>
          <w:vertAlign w:val="superscript"/>
        </w:rPr>
        <w:footnoteReference w:id="33"/>
      </w:r>
      <w:r w:rsidRPr="00B87957">
        <w:rPr>
          <w:rFonts w:asciiTheme="minorHAnsi" w:hAnsiTheme="minorHAnsi"/>
          <w:color w:val="auto"/>
          <w:sz w:val="22"/>
          <w:vertAlign w:val="superscript"/>
        </w:rPr>
        <w:t xml:space="preserve"> </w:t>
      </w:r>
      <w:r w:rsidRPr="00B87957">
        <w:rPr>
          <w:rFonts w:asciiTheme="minorHAnsi" w:hAnsiTheme="minorHAnsi"/>
          <w:color w:val="auto"/>
          <w:sz w:val="22"/>
        </w:rPr>
        <w:t>mental health,</w:t>
      </w:r>
      <w:r w:rsidRPr="00C959EC">
        <w:rPr>
          <w:rFonts w:asciiTheme="minorHAnsi" w:hAnsiTheme="minorHAnsi"/>
          <w:color w:val="auto"/>
          <w:sz w:val="22"/>
          <w:vertAlign w:val="superscript"/>
        </w:rPr>
        <w:footnoteReference w:id="34"/>
      </w:r>
      <w:r w:rsidRPr="00B87957">
        <w:rPr>
          <w:rFonts w:asciiTheme="minorHAnsi" w:hAnsiTheme="minorHAnsi"/>
          <w:color w:val="auto"/>
          <w:sz w:val="22"/>
          <w:vertAlign w:val="superscript"/>
        </w:rPr>
        <w:t xml:space="preserve"> </w:t>
      </w:r>
      <w:r w:rsidRPr="00B87957">
        <w:rPr>
          <w:rFonts w:asciiTheme="minorHAnsi" w:hAnsiTheme="minorHAnsi"/>
          <w:color w:val="auto"/>
          <w:sz w:val="22"/>
        </w:rPr>
        <w:t>and prisons.</w:t>
      </w:r>
      <w:r w:rsidRPr="00C959EC">
        <w:rPr>
          <w:rFonts w:asciiTheme="minorHAnsi" w:hAnsiTheme="minorHAnsi"/>
          <w:color w:val="auto"/>
          <w:sz w:val="22"/>
          <w:vertAlign w:val="superscript"/>
        </w:rPr>
        <w:footnoteReference w:id="35"/>
      </w:r>
      <w:r w:rsidRPr="00B87957">
        <w:rPr>
          <w:rFonts w:asciiTheme="minorHAnsi" w:hAnsiTheme="minorHAnsi"/>
          <w:color w:val="auto"/>
          <w:sz w:val="22"/>
        </w:rPr>
        <w:t xml:space="preserve"> In each case, the decision whether to publish is informed by relevant legislation and </w:t>
      </w:r>
      <w:r w:rsidR="009C000C">
        <w:rPr>
          <w:rFonts w:asciiTheme="minorHAnsi" w:hAnsiTheme="minorHAnsi"/>
          <w:color w:val="auto"/>
          <w:sz w:val="22"/>
        </w:rPr>
        <w:t xml:space="preserve">whether </w:t>
      </w:r>
      <w:r w:rsidRPr="00B87957">
        <w:rPr>
          <w:rFonts w:asciiTheme="minorHAnsi" w:hAnsiTheme="minorHAnsi"/>
          <w:color w:val="auto"/>
          <w:sz w:val="22"/>
        </w:rPr>
        <w:t>publication will assist the preventive objective of OPCAT.</w:t>
      </w:r>
    </w:p>
    <w:p w14:paraId="65C9BAD5" w14:textId="2DB3C455" w:rsidR="00915901" w:rsidRDefault="000F2A66" w:rsidP="008E66C6">
      <w:pPr>
        <w:pStyle w:val="Number1"/>
        <w:numPr>
          <w:ilvl w:val="0"/>
          <w:numId w:val="1"/>
        </w:numPr>
        <w:jc w:val="both"/>
        <w:rPr>
          <w:rFonts w:asciiTheme="minorHAnsi" w:hAnsiTheme="minorHAnsi"/>
          <w:color w:val="auto"/>
          <w:sz w:val="22"/>
        </w:rPr>
      </w:pPr>
      <w:r>
        <w:rPr>
          <w:rFonts w:asciiTheme="minorHAnsi" w:hAnsiTheme="minorHAnsi"/>
          <w:color w:val="auto"/>
          <w:sz w:val="22"/>
        </w:rPr>
        <w:t>The IPCA</w:t>
      </w:r>
      <w:r w:rsidR="00096A1E">
        <w:rPr>
          <w:rFonts w:asciiTheme="minorHAnsi" w:hAnsiTheme="minorHAnsi"/>
          <w:color w:val="auto"/>
          <w:sz w:val="22"/>
        </w:rPr>
        <w:t xml:space="preserve"> currently</w:t>
      </w:r>
      <w:r>
        <w:rPr>
          <w:rFonts w:asciiTheme="minorHAnsi" w:hAnsiTheme="minorHAnsi"/>
          <w:color w:val="auto"/>
          <w:sz w:val="22"/>
        </w:rPr>
        <w:t xml:space="preserve"> does not publi</w:t>
      </w:r>
      <w:r w:rsidR="000B3B09">
        <w:rPr>
          <w:rFonts w:asciiTheme="minorHAnsi" w:hAnsiTheme="minorHAnsi"/>
          <w:color w:val="auto"/>
          <w:sz w:val="22"/>
        </w:rPr>
        <w:t>sh</w:t>
      </w:r>
      <w:r>
        <w:rPr>
          <w:rFonts w:asciiTheme="minorHAnsi" w:hAnsiTheme="minorHAnsi"/>
          <w:color w:val="auto"/>
          <w:sz w:val="22"/>
        </w:rPr>
        <w:t xml:space="preserve"> its individual inspection reports</w:t>
      </w:r>
      <w:r w:rsidR="000B3B09">
        <w:rPr>
          <w:rFonts w:asciiTheme="minorHAnsi" w:hAnsiTheme="minorHAnsi"/>
          <w:color w:val="auto"/>
          <w:sz w:val="22"/>
        </w:rPr>
        <w:t xml:space="preserve"> </w:t>
      </w:r>
      <w:r>
        <w:rPr>
          <w:rFonts w:asciiTheme="minorHAnsi" w:hAnsiTheme="minorHAnsi"/>
          <w:color w:val="auto"/>
          <w:sz w:val="22"/>
        </w:rPr>
        <w:t xml:space="preserve">but </w:t>
      </w:r>
      <w:r w:rsidR="000B3B09">
        <w:rPr>
          <w:rFonts w:asciiTheme="minorHAnsi" w:hAnsiTheme="minorHAnsi"/>
          <w:color w:val="auto"/>
          <w:sz w:val="22"/>
        </w:rPr>
        <w:t xml:space="preserve">has published thematic reports, most recently </w:t>
      </w:r>
      <w:r w:rsidR="00255873">
        <w:rPr>
          <w:rFonts w:asciiTheme="minorHAnsi" w:hAnsiTheme="minorHAnsi"/>
          <w:color w:val="auto"/>
          <w:sz w:val="22"/>
        </w:rPr>
        <w:t xml:space="preserve">a </w:t>
      </w:r>
      <w:r w:rsidR="00255873">
        <w:rPr>
          <w:rFonts w:asciiTheme="minorHAnsi" w:hAnsiTheme="minorHAnsi"/>
          <w:i/>
          <w:iCs/>
          <w:color w:val="auto"/>
          <w:sz w:val="22"/>
        </w:rPr>
        <w:t xml:space="preserve">Review of Police Custodial Management </w:t>
      </w:r>
      <w:r w:rsidR="00255873">
        <w:rPr>
          <w:rFonts w:asciiTheme="minorHAnsi" w:hAnsiTheme="minorHAnsi"/>
          <w:color w:val="auto"/>
          <w:sz w:val="22"/>
        </w:rPr>
        <w:t>(2015).</w:t>
      </w:r>
      <w:r w:rsidR="00255873">
        <w:rPr>
          <w:rStyle w:val="FootnoteReference"/>
          <w:rFonts w:asciiTheme="minorHAnsi" w:hAnsiTheme="minorHAnsi"/>
          <w:color w:val="auto"/>
          <w:sz w:val="22"/>
        </w:rPr>
        <w:footnoteReference w:id="36"/>
      </w:r>
      <w:r w:rsidR="000B3B09">
        <w:rPr>
          <w:rFonts w:asciiTheme="minorHAnsi" w:hAnsiTheme="minorHAnsi"/>
          <w:color w:val="auto"/>
          <w:sz w:val="22"/>
        </w:rPr>
        <w:t xml:space="preserve"> </w:t>
      </w:r>
      <w:r w:rsidR="00094673" w:rsidRPr="00094673">
        <w:rPr>
          <w:rFonts w:asciiTheme="minorHAnsi" w:hAnsiTheme="minorHAnsi"/>
          <w:color w:val="auto"/>
          <w:sz w:val="22"/>
        </w:rPr>
        <w:t>Individual inspection reports will be published form 2023/2024.</w:t>
      </w:r>
    </w:p>
    <w:p w14:paraId="661B11CF" w14:textId="4257F628" w:rsidR="000112A5" w:rsidRPr="00B87957" w:rsidRDefault="00594878" w:rsidP="008E66C6">
      <w:pPr>
        <w:pStyle w:val="Number1"/>
        <w:numPr>
          <w:ilvl w:val="0"/>
          <w:numId w:val="1"/>
        </w:numPr>
        <w:jc w:val="both"/>
        <w:rPr>
          <w:rFonts w:asciiTheme="minorHAnsi" w:hAnsiTheme="minorHAnsi"/>
          <w:color w:val="auto"/>
          <w:sz w:val="22"/>
        </w:rPr>
      </w:pPr>
      <w:r>
        <w:rPr>
          <w:rFonts w:asciiTheme="minorHAnsi" w:hAnsiTheme="minorHAnsi"/>
          <w:color w:val="auto"/>
          <w:sz w:val="22"/>
        </w:rPr>
        <w:t>From</w:t>
      </w:r>
      <w:r w:rsidR="002C2E3C">
        <w:rPr>
          <w:rFonts w:asciiTheme="minorHAnsi" w:hAnsiTheme="minorHAnsi"/>
          <w:color w:val="auto"/>
          <w:sz w:val="22"/>
        </w:rPr>
        <w:t xml:space="preserve"> </w:t>
      </w:r>
      <w:r w:rsidR="000872F0">
        <w:rPr>
          <w:rFonts w:asciiTheme="minorHAnsi" w:hAnsiTheme="minorHAnsi"/>
          <w:color w:val="auto"/>
          <w:sz w:val="22"/>
        </w:rPr>
        <w:t>December 2021</w:t>
      </w:r>
      <w:r>
        <w:rPr>
          <w:rFonts w:asciiTheme="minorHAnsi" w:hAnsiTheme="minorHAnsi"/>
          <w:color w:val="auto"/>
          <w:sz w:val="22"/>
        </w:rPr>
        <w:t xml:space="preserve">, the Children’s Commissioner </w:t>
      </w:r>
      <w:r w:rsidR="006F2E9E">
        <w:rPr>
          <w:rFonts w:asciiTheme="minorHAnsi" w:hAnsiTheme="minorHAnsi"/>
          <w:color w:val="auto"/>
          <w:sz w:val="22"/>
        </w:rPr>
        <w:t>began</w:t>
      </w:r>
      <w:r w:rsidR="002C2E3C">
        <w:rPr>
          <w:rFonts w:asciiTheme="minorHAnsi" w:hAnsiTheme="minorHAnsi"/>
          <w:color w:val="auto"/>
          <w:sz w:val="22"/>
        </w:rPr>
        <w:t xml:space="preserve"> publishing </w:t>
      </w:r>
      <w:r w:rsidR="00915901">
        <w:rPr>
          <w:rFonts w:asciiTheme="minorHAnsi" w:hAnsiTheme="minorHAnsi"/>
          <w:color w:val="auto"/>
          <w:sz w:val="22"/>
        </w:rPr>
        <w:t xml:space="preserve">its </w:t>
      </w:r>
      <w:r w:rsidR="002C2E3C">
        <w:rPr>
          <w:rFonts w:asciiTheme="minorHAnsi" w:hAnsiTheme="minorHAnsi"/>
          <w:color w:val="auto"/>
          <w:sz w:val="22"/>
        </w:rPr>
        <w:t>OPCAT monitoring reports.</w:t>
      </w:r>
      <w:r w:rsidR="002C2E3C">
        <w:rPr>
          <w:rStyle w:val="FootnoteReference"/>
          <w:rFonts w:asciiTheme="minorHAnsi" w:hAnsiTheme="minorHAnsi"/>
          <w:color w:val="auto"/>
          <w:sz w:val="22"/>
        </w:rPr>
        <w:footnoteReference w:id="37"/>
      </w:r>
    </w:p>
    <w:p w14:paraId="3A91EC8C" w14:textId="5A47F74D" w:rsidR="00B87957" w:rsidRDefault="00915901" w:rsidP="008E66C6">
      <w:pPr>
        <w:pStyle w:val="Number1"/>
        <w:numPr>
          <w:ilvl w:val="0"/>
          <w:numId w:val="1"/>
        </w:numPr>
        <w:jc w:val="both"/>
        <w:rPr>
          <w:rFonts w:asciiTheme="minorHAnsi" w:hAnsiTheme="minorHAnsi"/>
          <w:color w:val="auto"/>
          <w:sz w:val="22"/>
        </w:rPr>
      </w:pPr>
      <w:r>
        <w:rPr>
          <w:rFonts w:asciiTheme="minorHAnsi" w:hAnsiTheme="minorHAnsi"/>
          <w:color w:val="auto"/>
          <w:sz w:val="22"/>
        </w:rPr>
        <w:t xml:space="preserve">The IPSE does not publish individual monitoring reports. </w:t>
      </w:r>
      <w:r w:rsidR="00F42222">
        <w:rPr>
          <w:rFonts w:asciiTheme="minorHAnsi" w:hAnsiTheme="minorHAnsi"/>
          <w:color w:val="auto"/>
          <w:sz w:val="22"/>
        </w:rPr>
        <w:t>However, i</w:t>
      </w:r>
      <w:r>
        <w:rPr>
          <w:rFonts w:asciiTheme="minorHAnsi" w:hAnsiTheme="minorHAnsi"/>
          <w:color w:val="auto"/>
          <w:sz w:val="22"/>
        </w:rPr>
        <w:t xml:space="preserve">n January 2022, the IPSE </w:t>
      </w:r>
      <w:r w:rsidRPr="00E00FD2">
        <w:rPr>
          <w:rFonts w:asciiTheme="minorHAnsi" w:hAnsiTheme="minorHAnsi"/>
          <w:color w:val="auto"/>
          <w:sz w:val="22"/>
        </w:rPr>
        <w:t xml:space="preserve">produced an ‘Expectations’ document: </w:t>
      </w:r>
      <w:r w:rsidRPr="00915901">
        <w:rPr>
          <w:rFonts w:asciiTheme="minorHAnsi" w:hAnsiTheme="minorHAnsi"/>
          <w:i/>
          <w:iCs/>
          <w:color w:val="auto"/>
          <w:sz w:val="22"/>
        </w:rPr>
        <w:t>OPCAT – Expectations for Conditions and Treatment of Detainees in Service Penal Establishment</w:t>
      </w:r>
      <w:r w:rsidRPr="00E00FD2">
        <w:rPr>
          <w:rFonts w:asciiTheme="minorHAnsi" w:hAnsiTheme="minorHAnsi"/>
          <w:color w:val="auto"/>
          <w:sz w:val="22"/>
        </w:rPr>
        <w:t>s</w:t>
      </w:r>
      <w:r w:rsidR="00F42222">
        <w:rPr>
          <w:rFonts w:asciiTheme="minorHAnsi" w:hAnsiTheme="minorHAnsi"/>
          <w:color w:val="auto"/>
          <w:sz w:val="22"/>
        </w:rPr>
        <w:t xml:space="preserve"> </w:t>
      </w:r>
      <w:r w:rsidRPr="00E00FD2">
        <w:rPr>
          <w:rFonts w:asciiTheme="minorHAnsi" w:hAnsiTheme="minorHAnsi"/>
          <w:color w:val="auto"/>
          <w:sz w:val="22"/>
        </w:rPr>
        <w:t xml:space="preserve">to provide a guide to the elements of </w:t>
      </w:r>
      <w:r w:rsidR="00F42222">
        <w:rPr>
          <w:rFonts w:asciiTheme="minorHAnsi" w:hAnsiTheme="minorHAnsi"/>
          <w:color w:val="auto"/>
          <w:sz w:val="22"/>
        </w:rPr>
        <w:t>its OPCAT</w:t>
      </w:r>
      <w:r w:rsidRPr="00E00FD2">
        <w:rPr>
          <w:rFonts w:asciiTheme="minorHAnsi" w:hAnsiTheme="minorHAnsi"/>
          <w:color w:val="auto"/>
          <w:sz w:val="22"/>
        </w:rPr>
        <w:t xml:space="preserve"> inspection</w:t>
      </w:r>
      <w:r w:rsidR="00F42222">
        <w:rPr>
          <w:rFonts w:asciiTheme="minorHAnsi" w:hAnsiTheme="minorHAnsi"/>
          <w:color w:val="auto"/>
          <w:sz w:val="22"/>
        </w:rPr>
        <w:t>s</w:t>
      </w:r>
      <w:r w:rsidRPr="00E00FD2">
        <w:rPr>
          <w:rFonts w:asciiTheme="minorHAnsi" w:hAnsiTheme="minorHAnsi"/>
          <w:color w:val="auto"/>
          <w:sz w:val="22"/>
        </w:rPr>
        <w:t>.</w:t>
      </w:r>
      <w:r w:rsidR="00EC4D8C">
        <w:rPr>
          <w:rFonts w:asciiTheme="minorHAnsi" w:hAnsiTheme="minorHAnsi"/>
          <w:color w:val="auto"/>
          <w:sz w:val="22"/>
        </w:rPr>
        <w:t xml:space="preserve"> T</w:t>
      </w:r>
      <w:r w:rsidRPr="00E00FD2">
        <w:rPr>
          <w:rFonts w:asciiTheme="minorHAnsi" w:hAnsiTheme="minorHAnsi"/>
          <w:color w:val="auto"/>
          <w:sz w:val="22"/>
        </w:rPr>
        <w:t xml:space="preserve">he idea is that the inspections of these elements would provide a basis of the compliance requirements of OPCAT as well as some of the key obligations under Te </w:t>
      </w:r>
      <w:proofErr w:type="spellStart"/>
      <w:r w:rsidRPr="00E00FD2">
        <w:rPr>
          <w:rFonts w:asciiTheme="minorHAnsi" w:hAnsiTheme="minorHAnsi"/>
          <w:color w:val="auto"/>
          <w:sz w:val="22"/>
        </w:rPr>
        <w:t>Tiriti</w:t>
      </w:r>
      <w:proofErr w:type="spellEnd"/>
      <w:r w:rsidRPr="00E00FD2">
        <w:rPr>
          <w:rFonts w:asciiTheme="minorHAnsi" w:hAnsiTheme="minorHAnsi"/>
          <w:color w:val="auto"/>
          <w:sz w:val="22"/>
        </w:rPr>
        <w:t xml:space="preserve"> o Waitangi. </w:t>
      </w:r>
      <w:r w:rsidRPr="00915901">
        <w:rPr>
          <w:rFonts w:asciiTheme="minorHAnsi" w:hAnsiTheme="minorHAnsi"/>
          <w:color w:val="auto"/>
          <w:sz w:val="22"/>
        </w:rPr>
        <w:t xml:space="preserve">Feedback from the SCE staff is that the document has provided a good foundation and reassurance for the Establishment’s corrective training strategy especially </w:t>
      </w:r>
      <w:proofErr w:type="gramStart"/>
      <w:r w:rsidRPr="00915901">
        <w:rPr>
          <w:rFonts w:asciiTheme="minorHAnsi" w:hAnsiTheme="minorHAnsi"/>
          <w:color w:val="auto"/>
          <w:sz w:val="22"/>
        </w:rPr>
        <w:t>in the area of</w:t>
      </w:r>
      <w:proofErr w:type="gramEnd"/>
      <w:r w:rsidRPr="00915901">
        <w:rPr>
          <w:rFonts w:asciiTheme="minorHAnsi" w:hAnsiTheme="minorHAnsi"/>
          <w:color w:val="auto"/>
          <w:sz w:val="22"/>
        </w:rPr>
        <w:t xml:space="preserve"> its key obligations under the Te </w:t>
      </w:r>
      <w:proofErr w:type="spellStart"/>
      <w:r w:rsidRPr="00915901">
        <w:rPr>
          <w:rFonts w:asciiTheme="minorHAnsi" w:hAnsiTheme="minorHAnsi"/>
          <w:color w:val="auto"/>
          <w:sz w:val="22"/>
        </w:rPr>
        <w:t>Tiriti</w:t>
      </w:r>
      <w:proofErr w:type="spellEnd"/>
      <w:r w:rsidRPr="00915901">
        <w:rPr>
          <w:rFonts w:asciiTheme="minorHAnsi" w:hAnsiTheme="minorHAnsi"/>
          <w:color w:val="auto"/>
          <w:sz w:val="22"/>
        </w:rPr>
        <w:t>.</w:t>
      </w:r>
    </w:p>
    <w:p w14:paraId="0109C7AB" w14:textId="559FADDB" w:rsidR="00273201" w:rsidRPr="00273201" w:rsidRDefault="00273201" w:rsidP="008E66C6">
      <w:pPr>
        <w:pStyle w:val="Number1"/>
        <w:numPr>
          <w:ilvl w:val="0"/>
          <w:numId w:val="0"/>
        </w:numPr>
        <w:ind w:left="567" w:hanging="567"/>
        <w:jc w:val="both"/>
        <w:rPr>
          <w:rFonts w:asciiTheme="minorHAnsi" w:hAnsiTheme="minorHAnsi"/>
          <w:i/>
          <w:iCs/>
          <w:color w:val="44546A" w:themeColor="text2"/>
          <w:sz w:val="22"/>
        </w:rPr>
      </w:pPr>
      <w:r w:rsidRPr="00273201">
        <w:rPr>
          <w:rFonts w:asciiTheme="minorHAnsi" w:hAnsiTheme="minorHAnsi"/>
          <w:i/>
          <w:iCs/>
          <w:color w:val="44546A" w:themeColor="text2"/>
          <w:sz w:val="22"/>
        </w:rPr>
        <w:t xml:space="preserve">Engagement with detaining agencies </w:t>
      </w:r>
    </w:p>
    <w:p w14:paraId="7D7954D5" w14:textId="6A13FB48" w:rsidR="00A9686B" w:rsidRPr="00E41FCF" w:rsidRDefault="00273201" w:rsidP="008E66C6">
      <w:pPr>
        <w:pStyle w:val="Number1"/>
        <w:numPr>
          <w:ilvl w:val="0"/>
          <w:numId w:val="1"/>
        </w:numPr>
        <w:jc w:val="both"/>
        <w:rPr>
          <w:rStyle w:val="normaltextrun"/>
          <w:rFonts w:asciiTheme="minorHAnsi" w:hAnsiTheme="minorHAnsi"/>
          <w:color w:val="auto"/>
          <w:sz w:val="22"/>
        </w:rPr>
      </w:pPr>
      <w:r>
        <w:rPr>
          <w:rFonts w:asciiTheme="minorHAnsi" w:hAnsiTheme="minorHAnsi"/>
          <w:color w:val="auto"/>
          <w:sz w:val="22"/>
        </w:rPr>
        <w:t xml:space="preserve">The Aotearoa </w:t>
      </w:r>
      <w:r w:rsidR="00F57B14" w:rsidRPr="00F57B14">
        <w:rPr>
          <w:rFonts w:asciiTheme="minorHAnsi" w:hAnsiTheme="minorHAnsi"/>
          <w:color w:val="auto"/>
          <w:sz w:val="22"/>
        </w:rPr>
        <w:t xml:space="preserve">New Zealand </w:t>
      </w:r>
      <w:r>
        <w:rPr>
          <w:rFonts w:asciiTheme="minorHAnsi" w:hAnsiTheme="minorHAnsi"/>
          <w:color w:val="auto"/>
          <w:sz w:val="22"/>
        </w:rPr>
        <w:t>NPMs strive to maintain constructive relationship</w:t>
      </w:r>
      <w:r w:rsidR="00131440">
        <w:rPr>
          <w:rFonts w:asciiTheme="minorHAnsi" w:hAnsiTheme="minorHAnsi"/>
          <w:color w:val="auto"/>
          <w:sz w:val="22"/>
        </w:rPr>
        <w:t>s</w:t>
      </w:r>
      <w:r>
        <w:rPr>
          <w:rFonts w:asciiTheme="minorHAnsi" w:hAnsiTheme="minorHAnsi"/>
          <w:color w:val="auto"/>
          <w:sz w:val="22"/>
        </w:rPr>
        <w:t xml:space="preserve"> with the Government’s detaining agencies</w:t>
      </w:r>
      <w:r w:rsidR="00131440">
        <w:rPr>
          <w:rFonts w:asciiTheme="minorHAnsi" w:hAnsiTheme="minorHAnsi"/>
          <w:color w:val="auto"/>
          <w:sz w:val="22"/>
        </w:rPr>
        <w:t xml:space="preserve"> across their NPM designations</w:t>
      </w:r>
      <w:r>
        <w:rPr>
          <w:rFonts w:asciiTheme="minorHAnsi" w:hAnsiTheme="minorHAnsi"/>
          <w:color w:val="auto"/>
          <w:sz w:val="22"/>
        </w:rPr>
        <w:t xml:space="preserve"> to effectively </w:t>
      </w:r>
      <w:r w:rsidR="00FC5A2B">
        <w:rPr>
          <w:rFonts w:asciiTheme="minorHAnsi" w:hAnsiTheme="minorHAnsi"/>
          <w:color w:val="auto"/>
          <w:sz w:val="22"/>
        </w:rPr>
        <w:t>meet their preventive function under OPCAT. For example, the Commission has maintained an ongoing relationship with the Department of Corrections</w:t>
      </w:r>
      <w:r w:rsidR="001966AB">
        <w:rPr>
          <w:rFonts w:asciiTheme="minorHAnsi" w:hAnsiTheme="minorHAnsi"/>
          <w:color w:val="auto"/>
          <w:sz w:val="22"/>
        </w:rPr>
        <w:t xml:space="preserve">, providing feedback to the Department on its </w:t>
      </w:r>
      <w:r w:rsidR="001966AB">
        <w:rPr>
          <w:rStyle w:val="normaltextrun"/>
          <w:rFonts w:cs="Calibri"/>
          <w:i/>
          <w:iCs/>
          <w:color w:val="000000"/>
          <w:sz w:val="22"/>
          <w:shd w:val="clear" w:color="auto" w:fill="FFFFFF"/>
        </w:rPr>
        <w:t>Management of Transgender Prisoners</w:t>
      </w:r>
      <w:r w:rsidR="001966AB">
        <w:rPr>
          <w:rStyle w:val="normaltextrun"/>
          <w:rFonts w:cs="Calibri"/>
          <w:color w:val="000000"/>
          <w:sz w:val="22"/>
          <w:shd w:val="clear" w:color="auto" w:fill="FFFFFF"/>
        </w:rPr>
        <w:t xml:space="preserve"> policy in 2018 and, more recently</w:t>
      </w:r>
      <w:r w:rsidR="00892A78">
        <w:rPr>
          <w:rStyle w:val="normaltextrun"/>
          <w:rFonts w:cs="Calibri"/>
          <w:color w:val="000000"/>
          <w:sz w:val="22"/>
          <w:shd w:val="clear" w:color="auto" w:fill="FFFFFF"/>
        </w:rPr>
        <w:t xml:space="preserve"> and in conjunction with the Ombudsman, on the Department’s regulation and use of pepper spray and less-lethal weapons. </w:t>
      </w:r>
    </w:p>
    <w:p w14:paraId="21F2528F" w14:textId="7BA40F93" w:rsidR="00E41FCF" w:rsidRPr="00F97459" w:rsidRDefault="0032361F" w:rsidP="008E66C6">
      <w:pPr>
        <w:pStyle w:val="Number1"/>
        <w:numPr>
          <w:ilvl w:val="0"/>
          <w:numId w:val="1"/>
        </w:numPr>
        <w:jc w:val="both"/>
        <w:rPr>
          <w:rStyle w:val="normaltextrun"/>
          <w:rFonts w:asciiTheme="minorHAnsi" w:hAnsiTheme="minorHAnsi"/>
          <w:color w:val="auto"/>
          <w:sz w:val="22"/>
        </w:rPr>
      </w:pPr>
      <w:r w:rsidRPr="0032361F">
        <w:rPr>
          <w:rStyle w:val="normaltextrun"/>
          <w:rFonts w:asciiTheme="minorHAnsi" w:hAnsiTheme="minorHAnsi"/>
          <w:color w:val="auto"/>
          <w:sz w:val="22"/>
        </w:rPr>
        <w:t>An important part of the IPCA’s NPM role is to work co-operatively with Police to improve Police custodial policy, practice and procedures and follow up on our previous recommendations.</w:t>
      </w:r>
      <w:r>
        <w:rPr>
          <w:rStyle w:val="normaltextrun"/>
          <w:rFonts w:asciiTheme="minorHAnsi" w:hAnsiTheme="minorHAnsi"/>
          <w:color w:val="auto"/>
          <w:sz w:val="22"/>
        </w:rPr>
        <w:t xml:space="preserve"> </w:t>
      </w:r>
      <w:r w:rsidRPr="0032361F">
        <w:rPr>
          <w:rStyle w:val="normaltextrun"/>
          <w:rFonts w:asciiTheme="minorHAnsi" w:hAnsiTheme="minorHAnsi"/>
          <w:color w:val="auto"/>
          <w:sz w:val="22"/>
        </w:rPr>
        <w:t xml:space="preserve">There are several </w:t>
      </w:r>
      <w:r w:rsidRPr="00D0213E">
        <w:rPr>
          <w:rStyle w:val="normaltextrun"/>
          <w:rFonts w:asciiTheme="minorHAnsi" w:hAnsiTheme="minorHAnsi"/>
          <w:color w:val="auto"/>
          <w:sz w:val="22"/>
        </w:rPr>
        <w:t xml:space="preserve">areas where </w:t>
      </w:r>
      <w:r w:rsidR="00D0213E" w:rsidRPr="00D0213E">
        <w:rPr>
          <w:rStyle w:val="normaltextrun"/>
          <w:rFonts w:asciiTheme="minorHAnsi" w:hAnsiTheme="minorHAnsi"/>
          <w:color w:val="auto"/>
          <w:sz w:val="22"/>
        </w:rPr>
        <w:t>the IPCA</w:t>
      </w:r>
      <w:r w:rsidRPr="00D0213E">
        <w:rPr>
          <w:rStyle w:val="normaltextrun"/>
          <w:rFonts w:asciiTheme="minorHAnsi" w:hAnsiTheme="minorHAnsi"/>
          <w:color w:val="auto"/>
          <w:sz w:val="22"/>
        </w:rPr>
        <w:t xml:space="preserve"> </w:t>
      </w:r>
      <w:r w:rsidR="00A60D1F">
        <w:rPr>
          <w:rStyle w:val="normaltextrun"/>
          <w:rFonts w:asciiTheme="minorHAnsi" w:hAnsiTheme="minorHAnsi"/>
          <w:color w:val="auto"/>
          <w:sz w:val="22"/>
        </w:rPr>
        <w:t>has</w:t>
      </w:r>
      <w:r w:rsidRPr="00D0213E">
        <w:rPr>
          <w:rStyle w:val="normaltextrun"/>
          <w:rFonts w:asciiTheme="minorHAnsi" w:hAnsiTheme="minorHAnsi"/>
          <w:color w:val="auto"/>
          <w:sz w:val="22"/>
        </w:rPr>
        <w:t xml:space="preserve"> worked with Police to support policy development and operational improvements.</w:t>
      </w:r>
      <w:r w:rsidR="00F02F60" w:rsidRPr="00D0213E">
        <w:rPr>
          <w:rStyle w:val="normaltextrun"/>
          <w:rFonts w:asciiTheme="minorHAnsi" w:hAnsiTheme="minorHAnsi"/>
          <w:color w:val="auto"/>
          <w:sz w:val="22"/>
        </w:rPr>
        <w:t xml:space="preserve"> </w:t>
      </w:r>
      <w:r w:rsidR="00D0213E" w:rsidRPr="00F97459">
        <w:rPr>
          <w:rStyle w:val="normaltextrun"/>
          <w:rFonts w:asciiTheme="minorHAnsi" w:hAnsiTheme="minorHAnsi"/>
          <w:color w:val="auto"/>
          <w:sz w:val="22"/>
        </w:rPr>
        <w:t>The IPCA</w:t>
      </w:r>
      <w:r w:rsidR="00F02F60" w:rsidRPr="00F97459">
        <w:rPr>
          <w:rStyle w:val="normaltextrun"/>
          <w:rFonts w:asciiTheme="minorHAnsi" w:hAnsiTheme="minorHAnsi"/>
          <w:color w:val="auto"/>
          <w:sz w:val="22"/>
        </w:rPr>
        <w:t xml:space="preserve"> </w:t>
      </w:r>
      <w:r w:rsidR="00433AE7">
        <w:rPr>
          <w:rStyle w:val="normaltextrun"/>
          <w:rFonts w:asciiTheme="minorHAnsi" w:hAnsiTheme="minorHAnsi"/>
          <w:color w:val="auto"/>
          <w:sz w:val="22"/>
        </w:rPr>
        <w:t>has</w:t>
      </w:r>
      <w:r w:rsidR="00F02F60" w:rsidRPr="00F97459">
        <w:rPr>
          <w:rStyle w:val="normaltextrun"/>
          <w:rFonts w:asciiTheme="minorHAnsi" w:hAnsiTheme="minorHAnsi"/>
          <w:color w:val="auto"/>
          <w:sz w:val="22"/>
        </w:rPr>
        <w:t xml:space="preserve"> been consulted and </w:t>
      </w:r>
      <w:r w:rsidR="00433AE7">
        <w:rPr>
          <w:rStyle w:val="normaltextrun"/>
          <w:rFonts w:asciiTheme="minorHAnsi" w:hAnsiTheme="minorHAnsi"/>
          <w:color w:val="auto"/>
          <w:sz w:val="22"/>
        </w:rPr>
        <w:t>has</w:t>
      </w:r>
      <w:r w:rsidR="00F97459">
        <w:rPr>
          <w:rStyle w:val="normaltextrun"/>
          <w:rFonts w:asciiTheme="minorHAnsi" w:hAnsiTheme="minorHAnsi"/>
          <w:color w:val="auto"/>
          <w:sz w:val="22"/>
        </w:rPr>
        <w:t xml:space="preserve"> </w:t>
      </w:r>
      <w:r w:rsidR="00F02F60" w:rsidRPr="00F97459">
        <w:rPr>
          <w:rStyle w:val="normaltextrun"/>
          <w:rFonts w:asciiTheme="minorHAnsi" w:hAnsiTheme="minorHAnsi"/>
          <w:color w:val="auto"/>
          <w:sz w:val="22"/>
        </w:rPr>
        <w:t>provided feedback on a range of initiatives and workstreams including:</w:t>
      </w:r>
    </w:p>
    <w:p w14:paraId="00E25B61" w14:textId="633AC450" w:rsidR="00A56F6E" w:rsidRPr="00A56F6E" w:rsidRDefault="00A56F6E" w:rsidP="008E66C6">
      <w:pPr>
        <w:pStyle w:val="Number1"/>
        <w:numPr>
          <w:ilvl w:val="1"/>
          <w:numId w:val="1"/>
        </w:numPr>
        <w:jc w:val="both"/>
        <w:rPr>
          <w:rFonts w:asciiTheme="minorHAnsi" w:hAnsiTheme="minorHAnsi"/>
          <w:color w:val="auto"/>
          <w:sz w:val="22"/>
        </w:rPr>
      </w:pPr>
      <w:r w:rsidRPr="00A56F6E">
        <w:rPr>
          <w:rFonts w:asciiTheme="minorHAnsi" w:hAnsiTheme="minorHAnsi"/>
          <w:color w:val="auto"/>
          <w:sz w:val="22"/>
        </w:rPr>
        <w:t>New custody training modules for all frontline staff (Assessing risk and monitoring</w:t>
      </w:r>
      <w:proofErr w:type="gramStart"/>
      <w:r w:rsidRPr="00A56F6E">
        <w:rPr>
          <w:rFonts w:asciiTheme="minorHAnsi" w:hAnsiTheme="minorHAnsi"/>
          <w:color w:val="auto"/>
          <w:sz w:val="22"/>
        </w:rPr>
        <w:t>)</w:t>
      </w:r>
      <w:r w:rsidR="00E37403">
        <w:rPr>
          <w:rFonts w:asciiTheme="minorHAnsi" w:hAnsiTheme="minorHAnsi"/>
          <w:color w:val="auto"/>
          <w:sz w:val="22"/>
        </w:rPr>
        <w:t>;</w:t>
      </w:r>
      <w:proofErr w:type="gramEnd"/>
    </w:p>
    <w:p w14:paraId="06D8584E" w14:textId="2FCA784D" w:rsidR="00A56F6E" w:rsidRPr="00A56F6E" w:rsidRDefault="00A56F6E" w:rsidP="008E66C6">
      <w:pPr>
        <w:pStyle w:val="Number1"/>
        <w:numPr>
          <w:ilvl w:val="1"/>
          <w:numId w:val="1"/>
        </w:numPr>
        <w:jc w:val="both"/>
        <w:rPr>
          <w:rFonts w:asciiTheme="minorHAnsi" w:hAnsiTheme="minorHAnsi"/>
          <w:color w:val="auto"/>
          <w:sz w:val="22"/>
        </w:rPr>
      </w:pPr>
      <w:r w:rsidRPr="00A56F6E">
        <w:rPr>
          <w:rFonts w:asciiTheme="minorHAnsi" w:hAnsiTheme="minorHAnsi"/>
          <w:color w:val="auto"/>
          <w:sz w:val="22"/>
        </w:rPr>
        <w:t xml:space="preserve">Development of a custody supervisors’ </w:t>
      </w:r>
      <w:proofErr w:type="gramStart"/>
      <w:r w:rsidRPr="00A56F6E">
        <w:rPr>
          <w:rFonts w:asciiTheme="minorHAnsi" w:hAnsiTheme="minorHAnsi"/>
          <w:color w:val="auto"/>
          <w:sz w:val="22"/>
        </w:rPr>
        <w:t>course</w:t>
      </w:r>
      <w:r w:rsidR="00E37403">
        <w:rPr>
          <w:rFonts w:asciiTheme="minorHAnsi" w:hAnsiTheme="minorHAnsi"/>
          <w:color w:val="auto"/>
          <w:sz w:val="22"/>
        </w:rPr>
        <w:t>;</w:t>
      </w:r>
      <w:proofErr w:type="gramEnd"/>
    </w:p>
    <w:p w14:paraId="34C0676E" w14:textId="0321BCD8" w:rsidR="00A56F6E" w:rsidRPr="00A56F6E" w:rsidRDefault="00A56F6E" w:rsidP="008E66C6">
      <w:pPr>
        <w:pStyle w:val="Number1"/>
        <w:numPr>
          <w:ilvl w:val="1"/>
          <w:numId w:val="1"/>
        </w:numPr>
        <w:jc w:val="both"/>
        <w:rPr>
          <w:rFonts w:asciiTheme="minorHAnsi" w:hAnsiTheme="minorHAnsi"/>
          <w:color w:val="auto"/>
          <w:sz w:val="22"/>
        </w:rPr>
      </w:pPr>
      <w:r w:rsidRPr="00A56F6E">
        <w:rPr>
          <w:rFonts w:asciiTheme="minorHAnsi" w:hAnsiTheme="minorHAnsi"/>
          <w:color w:val="auto"/>
          <w:sz w:val="22"/>
        </w:rPr>
        <w:t>Updated guidance on man</w:t>
      </w:r>
      <w:r w:rsidR="0003382D">
        <w:rPr>
          <w:rFonts w:asciiTheme="minorHAnsi" w:hAnsiTheme="minorHAnsi"/>
          <w:color w:val="auto"/>
          <w:sz w:val="22"/>
        </w:rPr>
        <w:t>a</w:t>
      </w:r>
      <w:r w:rsidRPr="00A56F6E">
        <w:rPr>
          <w:rFonts w:asciiTheme="minorHAnsi" w:hAnsiTheme="minorHAnsi"/>
          <w:color w:val="auto"/>
          <w:sz w:val="22"/>
        </w:rPr>
        <w:t xml:space="preserve">ging intoxicated </w:t>
      </w:r>
      <w:proofErr w:type="gramStart"/>
      <w:r w:rsidRPr="00A56F6E">
        <w:rPr>
          <w:rFonts w:asciiTheme="minorHAnsi" w:hAnsiTheme="minorHAnsi"/>
          <w:color w:val="auto"/>
          <w:sz w:val="22"/>
        </w:rPr>
        <w:t>detainees</w:t>
      </w:r>
      <w:r w:rsidR="00E37403">
        <w:rPr>
          <w:rFonts w:asciiTheme="minorHAnsi" w:hAnsiTheme="minorHAnsi"/>
          <w:color w:val="auto"/>
          <w:sz w:val="22"/>
        </w:rPr>
        <w:t>;</w:t>
      </w:r>
      <w:proofErr w:type="gramEnd"/>
    </w:p>
    <w:p w14:paraId="544CA3B0" w14:textId="76217869" w:rsidR="00A56F6E" w:rsidRPr="00A56F6E" w:rsidRDefault="00A56F6E" w:rsidP="008E66C6">
      <w:pPr>
        <w:pStyle w:val="Number1"/>
        <w:numPr>
          <w:ilvl w:val="1"/>
          <w:numId w:val="1"/>
        </w:numPr>
        <w:jc w:val="both"/>
        <w:rPr>
          <w:rFonts w:asciiTheme="minorHAnsi" w:hAnsiTheme="minorHAnsi"/>
          <w:color w:val="auto"/>
          <w:sz w:val="22"/>
        </w:rPr>
      </w:pPr>
      <w:r w:rsidRPr="00A56F6E">
        <w:rPr>
          <w:rFonts w:asciiTheme="minorHAnsi" w:hAnsiTheme="minorHAnsi"/>
          <w:color w:val="auto"/>
          <w:sz w:val="22"/>
        </w:rPr>
        <w:t>Changes to the Electronic Custody Module (custodial records</w:t>
      </w:r>
      <w:proofErr w:type="gramStart"/>
      <w:r w:rsidRPr="00A56F6E">
        <w:rPr>
          <w:rFonts w:asciiTheme="minorHAnsi" w:hAnsiTheme="minorHAnsi"/>
          <w:color w:val="auto"/>
          <w:sz w:val="22"/>
        </w:rPr>
        <w:t>)</w:t>
      </w:r>
      <w:r w:rsidR="00E37403">
        <w:rPr>
          <w:rFonts w:asciiTheme="minorHAnsi" w:hAnsiTheme="minorHAnsi"/>
          <w:color w:val="auto"/>
          <w:sz w:val="22"/>
        </w:rPr>
        <w:t>;</w:t>
      </w:r>
      <w:proofErr w:type="gramEnd"/>
    </w:p>
    <w:p w14:paraId="1B308C64" w14:textId="3543783D" w:rsidR="00A56F6E" w:rsidRPr="00A56F6E" w:rsidRDefault="00A56F6E" w:rsidP="008E66C6">
      <w:pPr>
        <w:pStyle w:val="Number1"/>
        <w:numPr>
          <w:ilvl w:val="1"/>
          <w:numId w:val="1"/>
        </w:numPr>
        <w:jc w:val="both"/>
        <w:rPr>
          <w:rFonts w:asciiTheme="minorHAnsi" w:hAnsiTheme="minorHAnsi"/>
          <w:color w:val="auto"/>
          <w:sz w:val="22"/>
        </w:rPr>
      </w:pPr>
      <w:r w:rsidRPr="00A56F6E">
        <w:rPr>
          <w:rFonts w:asciiTheme="minorHAnsi" w:hAnsiTheme="minorHAnsi"/>
          <w:color w:val="auto"/>
          <w:sz w:val="22"/>
        </w:rPr>
        <w:t xml:space="preserve">Police National infrastructure Remediation Programme for custodial </w:t>
      </w:r>
      <w:proofErr w:type="gramStart"/>
      <w:r w:rsidRPr="00A56F6E">
        <w:rPr>
          <w:rFonts w:asciiTheme="minorHAnsi" w:hAnsiTheme="minorHAnsi"/>
          <w:color w:val="auto"/>
          <w:sz w:val="22"/>
        </w:rPr>
        <w:t>facilities</w:t>
      </w:r>
      <w:r w:rsidR="00E37403">
        <w:rPr>
          <w:rFonts w:asciiTheme="minorHAnsi" w:hAnsiTheme="minorHAnsi"/>
          <w:color w:val="auto"/>
          <w:sz w:val="22"/>
        </w:rPr>
        <w:t>;</w:t>
      </w:r>
      <w:proofErr w:type="gramEnd"/>
    </w:p>
    <w:p w14:paraId="30869446" w14:textId="1FFCCF0B" w:rsidR="00A56F6E" w:rsidRPr="00A56F6E" w:rsidRDefault="00A56F6E" w:rsidP="008E66C6">
      <w:pPr>
        <w:pStyle w:val="Number1"/>
        <w:numPr>
          <w:ilvl w:val="1"/>
          <w:numId w:val="1"/>
        </w:numPr>
        <w:jc w:val="both"/>
        <w:rPr>
          <w:rFonts w:asciiTheme="minorHAnsi" w:hAnsiTheme="minorHAnsi"/>
          <w:color w:val="auto"/>
          <w:sz w:val="22"/>
        </w:rPr>
      </w:pPr>
      <w:r w:rsidRPr="00A56F6E">
        <w:rPr>
          <w:rFonts w:asciiTheme="minorHAnsi" w:hAnsiTheme="minorHAnsi"/>
          <w:color w:val="auto"/>
          <w:sz w:val="22"/>
        </w:rPr>
        <w:t xml:space="preserve">Design of new custodial facilities to ensure facilities meet our NPM </w:t>
      </w:r>
      <w:proofErr w:type="gramStart"/>
      <w:r w:rsidRPr="00A56F6E">
        <w:rPr>
          <w:rFonts w:asciiTheme="minorHAnsi" w:hAnsiTheme="minorHAnsi"/>
          <w:color w:val="auto"/>
          <w:sz w:val="22"/>
        </w:rPr>
        <w:t>expectations</w:t>
      </w:r>
      <w:r w:rsidR="00E37403">
        <w:rPr>
          <w:rFonts w:asciiTheme="minorHAnsi" w:hAnsiTheme="minorHAnsi"/>
          <w:color w:val="auto"/>
          <w:sz w:val="22"/>
        </w:rPr>
        <w:t>;</w:t>
      </w:r>
      <w:proofErr w:type="gramEnd"/>
      <w:r w:rsidRPr="00A56F6E">
        <w:rPr>
          <w:rFonts w:asciiTheme="minorHAnsi" w:hAnsiTheme="minorHAnsi"/>
          <w:color w:val="auto"/>
          <w:sz w:val="22"/>
        </w:rPr>
        <w:t xml:space="preserve"> </w:t>
      </w:r>
    </w:p>
    <w:p w14:paraId="35F300E5" w14:textId="148F1F5B" w:rsidR="00A56F6E" w:rsidRPr="00A56F6E" w:rsidRDefault="00A56F6E" w:rsidP="008E66C6">
      <w:pPr>
        <w:pStyle w:val="Number1"/>
        <w:numPr>
          <w:ilvl w:val="1"/>
          <w:numId w:val="1"/>
        </w:numPr>
        <w:jc w:val="both"/>
        <w:rPr>
          <w:rFonts w:asciiTheme="minorHAnsi" w:hAnsiTheme="minorHAnsi"/>
          <w:color w:val="auto"/>
          <w:sz w:val="22"/>
        </w:rPr>
      </w:pPr>
      <w:r w:rsidRPr="00A56F6E">
        <w:rPr>
          <w:rFonts w:asciiTheme="minorHAnsi" w:hAnsiTheme="minorHAnsi"/>
          <w:color w:val="auto"/>
          <w:sz w:val="22"/>
        </w:rPr>
        <w:t xml:space="preserve">Implementation of a Custody Quality Assurance and Improvement Framework (an audit and assurance process led by the Police National Custody team) </w:t>
      </w:r>
      <w:r w:rsidR="000F59F7">
        <w:rPr>
          <w:rFonts w:asciiTheme="minorHAnsi" w:hAnsiTheme="minorHAnsi"/>
          <w:color w:val="auto"/>
          <w:sz w:val="22"/>
        </w:rPr>
        <w:t>as well as representation on</w:t>
      </w:r>
      <w:r w:rsidRPr="00A56F6E">
        <w:rPr>
          <w:rFonts w:asciiTheme="minorHAnsi" w:hAnsiTheme="minorHAnsi"/>
          <w:color w:val="auto"/>
          <w:sz w:val="22"/>
        </w:rPr>
        <w:t xml:space="preserve"> the national panel to review results and make recommendations</w:t>
      </w:r>
      <w:r w:rsidR="000F59F7">
        <w:rPr>
          <w:rFonts w:asciiTheme="minorHAnsi" w:hAnsiTheme="minorHAnsi"/>
          <w:color w:val="auto"/>
          <w:sz w:val="22"/>
        </w:rPr>
        <w:t>; and</w:t>
      </w:r>
    </w:p>
    <w:p w14:paraId="10EC58E1" w14:textId="1EEC784E" w:rsidR="00F02F60" w:rsidRPr="00F02F60" w:rsidRDefault="00A12863" w:rsidP="008E66C6">
      <w:pPr>
        <w:pStyle w:val="Number1"/>
        <w:numPr>
          <w:ilvl w:val="1"/>
          <w:numId w:val="1"/>
        </w:numPr>
        <w:jc w:val="both"/>
        <w:rPr>
          <w:rFonts w:asciiTheme="minorHAnsi" w:hAnsiTheme="minorHAnsi"/>
          <w:color w:val="auto"/>
          <w:sz w:val="22"/>
        </w:rPr>
      </w:pPr>
      <w:r>
        <w:rPr>
          <w:rFonts w:asciiTheme="minorHAnsi" w:hAnsiTheme="minorHAnsi"/>
          <w:color w:val="auto"/>
          <w:sz w:val="22"/>
        </w:rPr>
        <w:t>Police</w:t>
      </w:r>
      <w:r w:rsidR="00A56F6E" w:rsidRPr="00A56F6E">
        <w:rPr>
          <w:rFonts w:asciiTheme="minorHAnsi" w:hAnsiTheme="minorHAnsi"/>
          <w:color w:val="auto"/>
          <w:sz w:val="22"/>
        </w:rPr>
        <w:t xml:space="preserve"> National Fleet Services group</w:t>
      </w:r>
      <w:r>
        <w:rPr>
          <w:rFonts w:asciiTheme="minorHAnsi" w:hAnsiTheme="minorHAnsi"/>
          <w:color w:val="auto"/>
          <w:sz w:val="22"/>
        </w:rPr>
        <w:t>’s ongoing project to</w:t>
      </w:r>
      <w:r w:rsidR="00A56F6E" w:rsidRPr="00A56F6E">
        <w:rPr>
          <w:rFonts w:asciiTheme="minorHAnsi" w:hAnsiTheme="minorHAnsi"/>
          <w:color w:val="auto"/>
          <w:sz w:val="22"/>
        </w:rPr>
        <w:t xml:space="preserve"> improv</w:t>
      </w:r>
      <w:r>
        <w:rPr>
          <w:rFonts w:asciiTheme="minorHAnsi" w:hAnsiTheme="minorHAnsi"/>
          <w:color w:val="auto"/>
          <w:sz w:val="22"/>
        </w:rPr>
        <w:t>e</w:t>
      </w:r>
      <w:r w:rsidR="00A56F6E" w:rsidRPr="00A56F6E">
        <w:rPr>
          <w:rFonts w:asciiTheme="minorHAnsi" w:hAnsiTheme="minorHAnsi"/>
          <w:color w:val="auto"/>
          <w:sz w:val="22"/>
        </w:rPr>
        <w:t xml:space="preserve"> conditions for detainees being transported in custody escort vehicles (cell vans).</w:t>
      </w:r>
    </w:p>
    <w:p w14:paraId="1C268EB4" w14:textId="5B761D59" w:rsidR="0074636A" w:rsidRDefault="00E41FCF" w:rsidP="008E66C6">
      <w:pPr>
        <w:pStyle w:val="Number1"/>
        <w:numPr>
          <w:ilvl w:val="0"/>
          <w:numId w:val="1"/>
        </w:numPr>
        <w:jc w:val="both"/>
        <w:rPr>
          <w:rFonts w:asciiTheme="minorHAnsi" w:hAnsiTheme="minorHAnsi"/>
          <w:color w:val="auto"/>
          <w:sz w:val="22"/>
        </w:rPr>
      </w:pPr>
      <w:r>
        <w:rPr>
          <w:rFonts w:asciiTheme="minorHAnsi" w:hAnsiTheme="minorHAnsi"/>
          <w:color w:val="auto"/>
          <w:sz w:val="22"/>
        </w:rPr>
        <w:t xml:space="preserve">With the </w:t>
      </w:r>
      <w:r w:rsidR="00494EFF">
        <w:rPr>
          <w:rFonts w:asciiTheme="minorHAnsi" w:hAnsiTheme="minorHAnsi"/>
          <w:color w:val="auto"/>
          <w:sz w:val="22"/>
        </w:rPr>
        <w:t xml:space="preserve">notable </w:t>
      </w:r>
      <w:r>
        <w:rPr>
          <w:rFonts w:asciiTheme="minorHAnsi" w:hAnsiTheme="minorHAnsi"/>
          <w:color w:val="auto"/>
          <w:sz w:val="22"/>
        </w:rPr>
        <w:t>exception of the IPCA</w:t>
      </w:r>
      <w:r w:rsidR="00A56F6E">
        <w:rPr>
          <w:rFonts w:asciiTheme="minorHAnsi" w:hAnsiTheme="minorHAnsi"/>
          <w:color w:val="auto"/>
          <w:sz w:val="22"/>
        </w:rPr>
        <w:t xml:space="preserve">’s </w:t>
      </w:r>
      <w:r w:rsidR="00AE7B4F">
        <w:rPr>
          <w:rFonts w:asciiTheme="minorHAnsi" w:hAnsiTheme="minorHAnsi"/>
          <w:color w:val="auto"/>
          <w:sz w:val="22"/>
        </w:rPr>
        <w:t>work</w:t>
      </w:r>
      <w:r w:rsidR="00A56F6E">
        <w:rPr>
          <w:rFonts w:asciiTheme="minorHAnsi" w:hAnsiTheme="minorHAnsi"/>
          <w:color w:val="auto"/>
          <w:sz w:val="22"/>
        </w:rPr>
        <w:t xml:space="preserve"> with the </w:t>
      </w:r>
      <w:r w:rsidR="007962E0">
        <w:rPr>
          <w:rFonts w:asciiTheme="minorHAnsi" w:hAnsiTheme="minorHAnsi"/>
          <w:color w:val="auto"/>
          <w:sz w:val="22"/>
        </w:rPr>
        <w:t>Police</w:t>
      </w:r>
      <w:r>
        <w:rPr>
          <w:rFonts w:asciiTheme="minorHAnsi" w:hAnsiTheme="minorHAnsi"/>
          <w:color w:val="auto"/>
          <w:sz w:val="22"/>
        </w:rPr>
        <w:t>,</w:t>
      </w:r>
      <w:r w:rsidR="00885202">
        <w:rPr>
          <w:rFonts w:asciiTheme="minorHAnsi" w:hAnsiTheme="minorHAnsi"/>
          <w:color w:val="auto"/>
          <w:sz w:val="22"/>
        </w:rPr>
        <w:t xml:space="preserve"> </w:t>
      </w:r>
      <w:r w:rsidR="001B0C7A">
        <w:rPr>
          <w:rFonts w:asciiTheme="minorHAnsi" w:hAnsiTheme="minorHAnsi"/>
          <w:color w:val="auto"/>
          <w:sz w:val="22"/>
        </w:rPr>
        <w:t xml:space="preserve">Aotearoa </w:t>
      </w:r>
      <w:r w:rsidR="00F57B14" w:rsidRPr="00F57B14">
        <w:rPr>
          <w:rFonts w:asciiTheme="minorHAnsi" w:hAnsiTheme="minorHAnsi"/>
          <w:color w:val="auto"/>
          <w:sz w:val="22"/>
        </w:rPr>
        <w:t xml:space="preserve">New Zealand </w:t>
      </w:r>
      <w:r w:rsidR="001B0C7A">
        <w:rPr>
          <w:rFonts w:asciiTheme="minorHAnsi" w:hAnsiTheme="minorHAnsi"/>
          <w:color w:val="auto"/>
          <w:sz w:val="22"/>
        </w:rPr>
        <w:t>NPMs have</w:t>
      </w:r>
      <w:r>
        <w:rPr>
          <w:rFonts w:asciiTheme="minorHAnsi" w:hAnsiTheme="minorHAnsi"/>
          <w:color w:val="auto"/>
          <w:sz w:val="22"/>
        </w:rPr>
        <w:t xml:space="preserve"> generally</w:t>
      </w:r>
      <w:r w:rsidR="001B0C7A">
        <w:rPr>
          <w:rFonts w:asciiTheme="minorHAnsi" w:hAnsiTheme="minorHAnsi"/>
          <w:color w:val="auto"/>
          <w:sz w:val="22"/>
        </w:rPr>
        <w:t xml:space="preserve"> </w:t>
      </w:r>
      <w:r w:rsidR="00E10ACF">
        <w:rPr>
          <w:rFonts w:asciiTheme="minorHAnsi" w:hAnsiTheme="minorHAnsi"/>
          <w:color w:val="auto"/>
          <w:sz w:val="22"/>
        </w:rPr>
        <w:t>had only</w:t>
      </w:r>
      <w:r w:rsidR="001B0C7A">
        <w:rPr>
          <w:rFonts w:asciiTheme="minorHAnsi" w:hAnsiTheme="minorHAnsi"/>
          <w:color w:val="auto"/>
          <w:sz w:val="22"/>
        </w:rPr>
        <w:t xml:space="preserve"> </w:t>
      </w:r>
      <w:r w:rsidR="006C7E6B">
        <w:rPr>
          <w:rFonts w:asciiTheme="minorHAnsi" w:hAnsiTheme="minorHAnsi"/>
          <w:color w:val="auto"/>
          <w:sz w:val="22"/>
        </w:rPr>
        <w:t xml:space="preserve">mixed </w:t>
      </w:r>
      <w:r w:rsidR="0077632A">
        <w:rPr>
          <w:rFonts w:asciiTheme="minorHAnsi" w:hAnsiTheme="minorHAnsi"/>
          <w:color w:val="auto"/>
          <w:sz w:val="22"/>
        </w:rPr>
        <w:t>success in</w:t>
      </w:r>
      <w:r w:rsidR="001B0C7A">
        <w:rPr>
          <w:rFonts w:asciiTheme="minorHAnsi" w:hAnsiTheme="minorHAnsi"/>
          <w:color w:val="auto"/>
          <w:sz w:val="22"/>
        </w:rPr>
        <w:t xml:space="preserve"> effecti</w:t>
      </w:r>
      <w:r w:rsidR="00E10ACF">
        <w:rPr>
          <w:rFonts w:asciiTheme="minorHAnsi" w:hAnsiTheme="minorHAnsi"/>
          <w:color w:val="auto"/>
          <w:sz w:val="22"/>
        </w:rPr>
        <w:t>ng</w:t>
      </w:r>
      <w:r w:rsidR="001B0C7A">
        <w:rPr>
          <w:rFonts w:asciiTheme="minorHAnsi" w:hAnsiTheme="minorHAnsi"/>
          <w:color w:val="auto"/>
          <w:sz w:val="22"/>
        </w:rPr>
        <w:t xml:space="preserve"> change </w:t>
      </w:r>
      <w:r w:rsidR="00AE7B4F">
        <w:rPr>
          <w:rFonts w:asciiTheme="minorHAnsi" w:hAnsiTheme="minorHAnsi"/>
          <w:color w:val="auto"/>
          <w:sz w:val="22"/>
        </w:rPr>
        <w:t>when engaging with Government detaining agencies</w:t>
      </w:r>
      <w:r w:rsidR="001B0C7A">
        <w:rPr>
          <w:rFonts w:asciiTheme="minorHAnsi" w:hAnsiTheme="minorHAnsi"/>
          <w:color w:val="auto"/>
          <w:sz w:val="22"/>
        </w:rPr>
        <w:t>. C</w:t>
      </w:r>
      <w:r w:rsidR="003D24E4" w:rsidRPr="001B0C7A">
        <w:rPr>
          <w:rFonts w:asciiTheme="minorHAnsi" w:hAnsiTheme="minorHAnsi"/>
          <w:color w:val="auto"/>
          <w:sz w:val="22"/>
        </w:rPr>
        <w:t xml:space="preserve">oncern remains about the extent to which the proactive purpose of OPCAT is understood at </w:t>
      </w:r>
      <w:r w:rsidR="00F332C9">
        <w:rPr>
          <w:rFonts w:asciiTheme="minorHAnsi" w:hAnsiTheme="minorHAnsi"/>
          <w:color w:val="auto"/>
          <w:sz w:val="22"/>
        </w:rPr>
        <w:t>G</w:t>
      </w:r>
      <w:r w:rsidR="003D24E4" w:rsidRPr="001B0C7A">
        <w:rPr>
          <w:rFonts w:asciiTheme="minorHAnsi" w:hAnsiTheme="minorHAnsi"/>
          <w:color w:val="auto"/>
          <w:sz w:val="22"/>
        </w:rPr>
        <w:t>overnment level, and the limited awareness of the expertise that the NPMs have in steps required to prevent torture and ill</w:t>
      </w:r>
      <w:r w:rsidR="00240B3C">
        <w:rPr>
          <w:rFonts w:asciiTheme="minorHAnsi" w:hAnsiTheme="minorHAnsi"/>
          <w:color w:val="auto"/>
          <w:sz w:val="22"/>
        </w:rPr>
        <w:t>-</w:t>
      </w:r>
      <w:r w:rsidR="003D24E4" w:rsidRPr="001B0C7A">
        <w:rPr>
          <w:rFonts w:asciiTheme="minorHAnsi" w:hAnsiTheme="minorHAnsi"/>
          <w:color w:val="auto"/>
          <w:sz w:val="22"/>
        </w:rPr>
        <w:t xml:space="preserve">treatment. </w:t>
      </w:r>
    </w:p>
    <w:p w14:paraId="3203CABA" w14:textId="1BA22C53" w:rsidR="00885202" w:rsidRPr="00885202" w:rsidRDefault="00885202" w:rsidP="008E66C6">
      <w:pPr>
        <w:numPr>
          <w:ilvl w:val="0"/>
          <w:numId w:val="1"/>
        </w:numPr>
        <w:jc w:val="both"/>
      </w:pPr>
      <w:r>
        <w:rPr>
          <w:b/>
          <w:bCs/>
        </w:rPr>
        <w:t xml:space="preserve">The Committee </w:t>
      </w:r>
      <w:r w:rsidR="00AA795F">
        <w:rPr>
          <w:b/>
          <w:bCs/>
        </w:rPr>
        <w:t xml:space="preserve">may </w:t>
      </w:r>
      <w:r w:rsidR="006C7E6B">
        <w:rPr>
          <w:b/>
          <w:bCs/>
        </w:rPr>
        <w:t xml:space="preserve">wish to </w:t>
      </w:r>
      <w:r w:rsidR="00AA795F">
        <w:rPr>
          <w:b/>
          <w:bCs/>
        </w:rPr>
        <w:t xml:space="preserve">recommend that the Government, through its detaining agencies, undertake to </w:t>
      </w:r>
      <w:r w:rsidR="00605787">
        <w:rPr>
          <w:b/>
          <w:bCs/>
        </w:rPr>
        <w:t xml:space="preserve">engage </w:t>
      </w:r>
      <w:r w:rsidR="00AA795F">
        <w:rPr>
          <w:b/>
          <w:bCs/>
        </w:rPr>
        <w:t>further</w:t>
      </w:r>
      <w:r w:rsidR="00605787">
        <w:rPr>
          <w:b/>
          <w:bCs/>
        </w:rPr>
        <w:t xml:space="preserve"> with </w:t>
      </w:r>
      <w:r w:rsidR="00AA795F">
        <w:rPr>
          <w:b/>
          <w:bCs/>
        </w:rPr>
        <w:t xml:space="preserve">the </w:t>
      </w:r>
      <w:r w:rsidR="00605787">
        <w:rPr>
          <w:b/>
          <w:bCs/>
        </w:rPr>
        <w:t xml:space="preserve">Aotearoa </w:t>
      </w:r>
      <w:r w:rsidR="00F57B14" w:rsidRPr="00F57B14">
        <w:rPr>
          <w:b/>
          <w:bCs/>
        </w:rPr>
        <w:t xml:space="preserve">New Zealand </w:t>
      </w:r>
      <w:r w:rsidR="00605787">
        <w:rPr>
          <w:b/>
          <w:bCs/>
        </w:rPr>
        <w:t xml:space="preserve">NPMs </w:t>
      </w:r>
      <w:r w:rsidR="00395452">
        <w:rPr>
          <w:b/>
          <w:bCs/>
        </w:rPr>
        <w:t xml:space="preserve">in relation to </w:t>
      </w:r>
      <w:r>
        <w:rPr>
          <w:b/>
          <w:bCs/>
        </w:rPr>
        <w:t xml:space="preserve">preventive </w:t>
      </w:r>
      <w:r w:rsidR="00395452">
        <w:rPr>
          <w:b/>
          <w:bCs/>
        </w:rPr>
        <w:t>measures</w:t>
      </w:r>
      <w:r>
        <w:rPr>
          <w:b/>
          <w:bCs/>
        </w:rPr>
        <w:t xml:space="preserve"> under OPCAT. </w:t>
      </w:r>
    </w:p>
    <w:p w14:paraId="4B03BEAB" w14:textId="3B93AD77" w:rsidR="00E847ED" w:rsidRPr="00DC51ED" w:rsidRDefault="00E847ED" w:rsidP="008E66C6">
      <w:pPr>
        <w:pStyle w:val="Heading2"/>
        <w:jc w:val="both"/>
        <w:rPr>
          <w:rStyle w:val="Heading2Char"/>
        </w:rPr>
      </w:pPr>
      <w:bookmarkStart w:id="51" w:name="_Toc137480607"/>
      <w:bookmarkStart w:id="52" w:name="_Hlk136955073"/>
      <w:r w:rsidRPr="00DC51ED">
        <w:rPr>
          <w:rStyle w:val="Heading2Char"/>
        </w:rPr>
        <w:t>Article</w:t>
      </w:r>
      <w:r>
        <w:rPr>
          <w:rStyle w:val="Heading2Char"/>
        </w:rPr>
        <w:t xml:space="preserve"> </w:t>
      </w:r>
      <w:r w:rsidR="003F7A52">
        <w:rPr>
          <w:rStyle w:val="Heading2Char"/>
        </w:rPr>
        <w:t>10</w:t>
      </w:r>
      <w:r>
        <w:rPr>
          <w:rStyle w:val="Heading2Char"/>
        </w:rPr>
        <w:t xml:space="preserve"> – </w:t>
      </w:r>
      <w:r w:rsidR="003F58AD">
        <w:rPr>
          <w:rStyle w:val="Heading2Char"/>
        </w:rPr>
        <w:t xml:space="preserve">Training and education </w:t>
      </w:r>
      <w:r w:rsidR="00414F3B">
        <w:rPr>
          <w:rStyle w:val="Heading2Char"/>
        </w:rPr>
        <w:t xml:space="preserve">(List of issues, item </w:t>
      </w:r>
      <w:r w:rsidR="00B2377F">
        <w:rPr>
          <w:rStyle w:val="Heading2Char"/>
        </w:rPr>
        <w:t>14)</w:t>
      </w:r>
      <w:bookmarkEnd w:id="51"/>
      <w:r>
        <w:rPr>
          <w:rStyle w:val="Heading2Char"/>
        </w:rPr>
        <w:t xml:space="preserve"> </w:t>
      </w:r>
    </w:p>
    <w:bookmarkEnd w:id="52"/>
    <w:p w14:paraId="45CA1EC1" w14:textId="733FE781" w:rsidR="00756B04" w:rsidRPr="005A2B11" w:rsidRDefault="00170C6C" w:rsidP="008E66C6">
      <w:pPr>
        <w:numPr>
          <w:ilvl w:val="0"/>
          <w:numId w:val="1"/>
        </w:numPr>
        <w:jc w:val="both"/>
        <w:rPr>
          <w:b/>
          <w:bCs/>
          <w:lang w:val="en-US"/>
        </w:rPr>
      </w:pPr>
      <w:r>
        <w:t xml:space="preserve">The Aotearoa </w:t>
      </w:r>
      <w:r w:rsidR="00F57B14" w:rsidRPr="00360BAD">
        <w:t xml:space="preserve">New Zealand </w:t>
      </w:r>
      <w:r>
        <w:t xml:space="preserve">NPMs </w:t>
      </w:r>
      <w:r w:rsidR="00AA66B9">
        <w:t xml:space="preserve">have observed </w:t>
      </w:r>
      <w:r w:rsidR="00AA66B9" w:rsidRPr="0029399B">
        <w:rPr>
          <w:lang w:val="en-US"/>
        </w:rPr>
        <w:t xml:space="preserve">a lack of training and professional development for law enforcement and custodial personnel </w:t>
      </w:r>
      <w:r w:rsidR="00586320">
        <w:rPr>
          <w:lang w:val="en-US"/>
        </w:rPr>
        <w:t>about</w:t>
      </w:r>
      <w:r w:rsidR="0029399B" w:rsidRPr="0029399B">
        <w:rPr>
          <w:lang w:val="en-US"/>
        </w:rPr>
        <w:t xml:space="preserve"> human rights obligations. </w:t>
      </w:r>
      <w:r w:rsidR="002656FA">
        <w:rPr>
          <w:lang w:val="en-US"/>
        </w:rPr>
        <w:t xml:space="preserve">Inadequate training, exacerbated by ongoing staff shortages, </w:t>
      </w:r>
      <w:r w:rsidR="00C96183">
        <w:rPr>
          <w:lang w:val="en-US"/>
        </w:rPr>
        <w:t xml:space="preserve">has negative impacts on the treatment of persons deprived of their liberty. </w:t>
      </w:r>
    </w:p>
    <w:p w14:paraId="61BDA5CC" w14:textId="057730E9" w:rsidR="00756B04" w:rsidRPr="0023528D" w:rsidRDefault="001C73DD" w:rsidP="008E66C6">
      <w:pPr>
        <w:numPr>
          <w:ilvl w:val="0"/>
          <w:numId w:val="1"/>
        </w:numPr>
        <w:jc w:val="both"/>
        <w:rPr>
          <w:b/>
          <w:bCs/>
          <w:lang w:val="en-US"/>
        </w:rPr>
      </w:pPr>
      <w:r>
        <w:rPr>
          <w:lang w:val="en-US"/>
        </w:rPr>
        <w:t>T</w:t>
      </w:r>
      <w:r w:rsidR="005A2B11" w:rsidRPr="00383DBD">
        <w:rPr>
          <w:lang w:val="en-US"/>
        </w:rPr>
        <w:t xml:space="preserve">he Children’s Commissioner has observed a </w:t>
      </w:r>
      <w:r w:rsidR="00756B04" w:rsidRPr="00383DBD">
        <w:rPr>
          <w:lang w:val="en-US"/>
        </w:rPr>
        <w:t>lack of quality recruitment, training, professional development, and retention of quality staff</w:t>
      </w:r>
      <w:r w:rsidR="005A2B11" w:rsidRPr="00383DBD">
        <w:rPr>
          <w:lang w:val="en-US"/>
        </w:rPr>
        <w:t xml:space="preserve"> across </w:t>
      </w:r>
      <w:r w:rsidR="00663BAA">
        <w:t>c</w:t>
      </w:r>
      <w:r w:rsidR="005A2B11" w:rsidRPr="005A2B11">
        <w:t xml:space="preserve">are and protection, youth justice and mental health settings for children and young people </w:t>
      </w:r>
      <w:r w:rsidR="005A2B11">
        <w:t>in Aotearoa</w:t>
      </w:r>
      <w:r w:rsidR="00B05698">
        <w:t xml:space="preserve"> </w:t>
      </w:r>
      <w:r w:rsidR="00B05698" w:rsidRPr="00360BAD">
        <w:t>New Zealand</w:t>
      </w:r>
      <w:r w:rsidR="005A2B11">
        <w:t xml:space="preserve">. </w:t>
      </w:r>
      <w:r w:rsidR="00D7659A">
        <w:t>S</w:t>
      </w:r>
      <w:proofErr w:type="spellStart"/>
      <w:r w:rsidR="00756B04" w:rsidRPr="00383DBD">
        <w:rPr>
          <w:lang w:val="en-US"/>
        </w:rPr>
        <w:t>taff</w:t>
      </w:r>
      <w:proofErr w:type="spellEnd"/>
      <w:r w:rsidR="00756B04" w:rsidRPr="00383DBD">
        <w:rPr>
          <w:lang w:val="en-US"/>
        </w:rPr>
        <w:t xml:space="preserve"> have</w:t>
      </w:r>
      <w:r w:rsidR="00383DBD">
        <w:rPr>
          <w:lang w:val="en-US"/>
        </w:rPr>
        <w:t xml:space="preserve"> advised the Children’s Commissioner on OPCAT </w:t>
      </w:r>
      <w:r w:rsidR="00756B04" w:rsidRPr="00383DBD">
        <w:rPr>
          <w:lang w:val="en-US"/>
        </w:rPr>
        <w:t xml:space="preserve">monitoring visits </w:t>
      </w:r>
      <w:r w:rsidR="00756B04" w:rsidRPr="00383DBD">
        <w:rPr>
          <w:i/>
          <w:iCs/>
          <w:lang w:val="en-US"/>
        </w:rPr>
        <w:t xml:space="preserve">‘[these facilities] have the </w:t>
      </w:r>
      <w:r w:rsidR="00CE7F75">
        <w:rPr>
          <w:i/>
          <w:iCs/>
          <w:lang w:val="en-US"/>
        </w:rPr>
        <w:t xml:space="preserve">highest need </w:t>
      </w:r>
      <w:proofErr w:type="spellStart"/>
      <w:r w:rsidR="00CE7F75">
        <w:rPr>
          <w:i/>
          <w:iCs/>
          <w:lang w:val="en-US"/>
        </w:rPr>
        <w:t>rangatahi</w:t>
      </w:r>
      <w:proofErr w:type="spellEnd"/>
      <w:r w:rsidR="00CE7F75">
        <w:rPr>
          <w:i/>
          <w:iCs/>
          <w:lang w:val="en-US"/>
        </w:rPr>
        <w:t xml:space="preserve"> [children and young people] with the </w:t>
      </w:r>
      <w:r w:rsidR="00756B04" w:rsidRPr="00383DBD">
        <w:rPr>
          <w:i/>
          <w:iCs/>
          <w:lang w:val="en-US"/>
        </w:rPr>
        <w:t>least qualified’</w:t>
      </w:r>
      <w:r w:rsidR="00756B04" w:rsidRPr="00383DBD">
        <w:rPr>
          <w:lang w:val="en-US"/>
        </w:rPr>
        <w:t>.</w:t>
      </w:r>
      <w:r w:rsidR="00383DBD" w:rsidRPr="00383DBD">
        <w:rPr>
          <w:rStyle w:val="FootnoteReference"/>
          <w:lang w:val="en-US"/>
        </w:rPr>
        <w:footnoteReference w:id="38"/>
      </w:r>
    </w:p>
    <w:p w14:paraId="539ADF44" w14:textId="1EC813FD" w:rsidR="0023528D" w:rsidRDefault="0023528D" w:rsidP="008E66C6">
      <w:pPr>
        <w:numPr>
          <w:ilvl w:val="0"/>
          <w:numId w:val="1"/>
        </w:numPr>
        <w:jc w:val="both"/>
      </w:pPr>
      <w:r w:rsidRPr="0023528D">
        <w:t>The IPCA has made several recommendations to the Commissioner of Police to increase the delivery of custodial training. In response</w:t>
      </w:r>
      <w:r w:rsidR="00E12A4D">
        <w:t>,</w:t>
      </w:r>
      <w:r w:rsidRPr="0023528D">
        <w:t xml:space="preserve"> Police have introduced more comprehensive face-to face training for custody officers and custody supervisors. Additional online training modules have also been developed that all frontline staff are required to complete. Whilst </w:t>
      </w:r>
      <w:r w:rsidR="004B0076">
        <w:t>the IPCA</w:t>
      </w:r>
      <w:r w:rsidRPr="0023528D">
        <w:t xml:space="preserve"> support</w:t>
      </w:r>
      <w:r w:rsidR="004B0076">
        <w:t>s</w:t>
      </w:r>
      <w:r w:rsidRPr="0023528D">
        <w:t xml:space="preserve"> these improvements, </w:t>
      </w:r>
      <w:r w:rsidR="004B0076">
        <w:t>it</w:t>
      </w:r>
      <w:r w:rsidRPr="0023528D">
        <w:t xml:space="preserve"> remain</w:t>
      </w:r>
      <w:r w:rsidR="004B0076">
        <w:t>s</w:t>
      </w:r>
      <w:r w:rsidRPr="0023528D">
        <w:t xml:space="preserve"> concerned that the level of training provided is still insufficient. </w:t>
      </w:r>
      <w:r w:rsidR="004B0076">
        <w:t>The IPCA</w:t>
      </w:r>
      <w:r w:rsidRPr="0023528D">
        <w:t xml:space="preserve"> </w:t>
      </w:r>
      <w:r w:rsidR="00FD6DF0">
        <w:t>has</w:t>
      </w:r>
      <w:r w:rsidRPr="0023528D">
        <w:t xml:space="preserve"> identified that staff require further training in completing health and welfare risk assessments and in formulating care plans to mitigate identified risks. More specialist training in the care and management of detainees with</w:t>
      </w:r>
      <w:r w:rsidR="00F97527">
        <w:t xml:space="preserve"> both physical and</w:t>
      </w:r>
      <w:r w:rsidRPr="0023528D">
        <w:t xml:space="preserve"> mental health issues and those under the influence of alcohol or other drugs is also needed.   </w:t>
      </w:r>
    </w:p>
    <w:p w14:paraId="682DB873" w14:textId="3F11F0FE" w:rsidR="00DD5947" w:rsidRPr="0023528D" w:rsidRDefault="00F16EC8" w:rsidP="008E66C6">
      <w:pPr>
        <w:numPr>
          <w:ilvl w:val="0"/>
          <w:numId w:val="1"/>
        </w:numPr>
        <w:spacing w:line="256" w:lineRule="auto"/>
        <w:jc w:val="both"/>
      </w:pPr>
      <w:r>
        <w:t>The Chief Ombudsman has often raised concerns about the lack of specific intellectual disability training for clinical staff working in intellectual disability services, and has noted an apparent lack of clarity in ownership of standard setting for training and support for nurses providing care for people with intellectual disabilities.</w:t>
      </w:r>
      <w:r>
        <w:rPr>
          <w:rStyle w:val="FootnoteReference"/>
        </w:rPr>
        <w:footnoteReference w:id="39"/>
      </w:r>
      <w:r>
        <w:t xml:space="preserve"> The Chief Ombudsman has also frequently raised his concerns regarding staff in health and disability services not having completed, or being out of date with, Safe Practice and Effective Communication (SPEC) training.</w:t>
      </w:r>
      <w:r>
        <w:rPr>
          <w:rStyle w:val="FootnoteReference"/>
        </w:rPr>
        <w:footnoteReference w:id="40"/>
      </w:r>
      <w:r>
        <w:t xml:space="preserve"> Both of these issues are discussed further in the Submission of the Chief Ombudsman to the Committee.</w:t>
      </w:r>
    </w:p>
    <w:p w14:paraId="2789D64F" w14:textId="75A142AF" w:rsidR="0023528D" w:rsidRDefault="0029399B" w:rsidP="008E66C6">
      <w:pPr>
        <w:numPr>
          <w:ilvl w:val="0"/>
          <w:numId w:val="1"/>
        </w:numPr>
        <w:jc w:val="both"/>
      </w:pPr>
      <w:r>
        <w:rPr>
          <w:lang w:val="en-US"/>
        </w:rPr>
        <w:t xml:space="preserve">Through their preventive function, </w:t>
      </w:r>
      <w:r w:rsidR="00383DBD">
        <w:rPr>
          <w:lang w:val="en-US"/>
        </w:rPr>
        <w:t xml:space="preserve">the Aotearoa </w:t>
      </w:r>
      <w:r w:rsidR="00F57B14" w:rsidRPr="00360BAD">
        <w:t xml:space="preserve">New Zealand </w:t>
      </w:r>
      <w:r w:rsidR="004163FC">
        <w:t xml:space="preserve">NPMs </w:t>
      </w:r>
      <w:r w:rsidR="00383DBD">
        <w:t xml:space="preserve">consider they </w:t>
      </w:r>
      <w:r w:rsidR="004163FC">
        <w:t xml:space="preserve">can play a critical role in </w:t>
      </w:r>
      <w:r w:rsidR="00A450D5">
        <w:t xml:space="preserve">assisting with the provision of training </w:t>
      </w:r>
      <w:r w:rsidR="00DF2D58">
        <w:t xml:space="preserve">about human rights obligations including the prevention of torture and ill-treatment. </w:t>
      </w:r>
      <w:r w:rsidR="006C005D">
        <w:t xml:space="preserve">By way of example, </w:t>
      </w:r>
      <w:r w:rsidR="001C73DD">
        <w:t xml:space="preserve">the </w:t>
      </w:r>
      <w:r w:rsidR="006C005D">
        <w:t xml:space="preserve">IPCA presents to each </w:t>
      </w:r>
      <w:r w:rsidR="001C73DD">
        <w:t xml:space="preserve">Police </w:t>
      </w:r>
      <w:r w:rsidR="006C005D">
        <w:t xml:space="preserve">Custody Supervisors Course on the provisions of CAT and the OPCAT. </w:t>
      </w:r>
      <w:r w:rsidR="00993448">
        <w:t>In these sessions the IPCA’s</w:t>
      </w:r>
      <w:r w:rsidR="006C005D">
        <w:t xml:space="preserve"> NPM inspection methodology and complaint and investigation process is also covered. Scenarios are used to demonstrate the importance of meeting detainees</w:t>
      </w:r>
      <w:r w:rsidR="00993448">
        <w:t>’</w:t>
      </w:r>
      <w:r w:rsidR="006C005D">
        <w:t xml:space="preserve"> individual needs and the negative outcomes that can be created by processes and practices that do not comply with Police policy or </w:t>
      </w:r>
      <w:r w:rsidR="00993448">
        <w:t>the IPCA’s</w:t>
      </w:r>
      <w:r w:rsidR="006C005D">
        <w:t xml:space="preserve"> NPM expectations for Police custody.</w:t>
      </w:r>
    </w:p>
    <w:p w14:paraId="57F12915" w14:textId="46883979" w:rsidR="00F2674D" w:rsidRDefault="00586320" w:rsidP="008E66C6">
      <w:pPr>
        <w:numPr>
          <w:ilvl w:val="0"/>
          <w:numId w:val="1"/>
        </w:numPr>
        <w:jc w:val="both"/>
      </w:pPr>
      <w:r>
        <w:t xml:space="preserve">The Aotearoa </w:t>
      </w:r>
      <w:r w:rsidR="00F57B14" w:rsidRPr="00360BAD">
        <w:t xml:space="preserve">New Zealand </w:t>
      </w:r>
      <w:r>
        <w:t xml:space="preserve">NPMs consider that </w:t>
      </w:r>
      <w:r w:rsidR="0012541D">
        <w:t xml:space="preserve">staff working within detaining agencies in Aotearoa </w:t>
      </w:r>
      <w:r w:rsidR="00B05698" w:rsidRPr="00360BAD">
        <w:t>New Zealand</w:t>
      </w:r>
      <w:r w:rsidR="00B05698">
        <w:t xml:space="preserve"> </w:t>
      </w:r>
      <w:r w:rsidR="0012541D">
        <w:t xml:space="preserve">would benefit from </w:t>
      </w:r>
      <w:r w:rsidR="007962E0">
        <w:t xml:space="preserve">further </w:t>
      </w:r>
      <w:r w:rsidR="0012541D">
        <w:t xml:space="preserve">training on the following </w:t>
      </w:r>
      <w:r w:rsidR="00F2674D">
        <w:t>thematic issues:</w:t>
      </w:r>
    </w:p>
    <w:p w14:paraId="55C1BE16" w14:textId="06289819" w:rsidR="00F2674D" w:rsidRDefault="00F2674D" w:rsidP="008E66C6">
      <w:pPr>
        <w:numPr>
          <w:ilvl w:val="1"/>
          <w:numId w:val="1"/>
        </w:numPr>
        <w:jc w:val="both"/>
        <w:rPr>
          <w:rStyle w:val="normaltextrun"/>
        </w:rPr>
      </w:pPr>
      <w:r>
        <w:t>A h</w:t>
      </w:r>
      <w:r w:rsidR="003F3A95">
        <w:rPr>
          <w:rStyle w:val="normaltextrun"/>
        </w:rPr>
        <w:t xml:space="preserve">uman rights-based approach to the treatment of persons deprived of their liberty, </w:t>
      </w:r>
      <w:r w:rsidR="0072621E">
        <w:rPr>
          <w:rStyle w:val="normaltextrun"/>
        </w:rPr>
        <w:t xml:space="preserve">including </w:t>
      </w:r>
      <w:r>
        <w:rPr>
          <w:rStyle w:val="normaltextrun"/>
        </w:rPr>
        <w:t>rights under</w:t>
      </w:r>
      <w:r w:rsidR="0072621E">
        <w:rPr>
          <w:rStyle w:val="normaltextrun"/>
        </w:rPr>
        <w:t xml:space="preserve"> the Convention and OPCAT and the role of NPMs in monitoring places of </w:t>
      </w:r>
      <w:proofErr w:type="gramStart"/>
      <w:r w:rsidR="0072621E">
        <w:rPr>
          <w:rStyle w:val="normaltextrun"/>
        </w:rPr>
        <w:t>detention</w:t>
      </w:r>
      <w:r w:rsidR="00DB7C1C">
        <w:rPr>
          <w:rStyle w:val="normaltextrun"/>
        </w:rPr>
        <w:t>;</w:t>
      </w:r>
      <w:proofErr w:type="gramEnd"/>
    </w:p>
    <w:p w14:paraId="6C527F63" w14:textId="47577544" w:rsidR="002A7BFE" w:rsidRPr="00015143" w:rsidRDefault="0072621E" w:rsidP="008E66C6">
      <w:pPr>
        <w:numPr>
          <w:ilvl w:val="1"/>
          <w:numId w:val="1"/>
        </w:numPr>
        <w:jc w:val="both"/>
        <w:rPr>
          <w:rStyle w:val="normaltextrun"/>
        </w:rPr>
      </w:pPr>
      <w:r w:rsidRPr="00F2674D">
        <w:rPr>
          <w:rStyle w:val="normaltextrun"/>
          <w:rFonts w:ascii="Calibri" w:hAnsi="Calibri" w:cs="Calibri"/>
          <w:color w:val="000000"/>
          <w:shd w:val="clear" w:color="auto" w:fill="FFFFFF"/>
        </w:rPr>
        <w:t xml:space="preserve">Cultural </w:t>
      </w:r>
      <w:r w:rsidR="00F2674D">
        <w:rPr>
          <w:rStyle w:val="normaltextrun"/>
          <w:rFonts w:ascii="Calibri" w:hAnsi="Calibri" w:cs="Calibri"/>
          <w:color w:val="000000"/>
          <w:shd w:val="clear" w:color="auto" w:fill="FFFFFF"/>
        </w:rPr>
        <w:t xml:space="preserve">awareness and </w:t>
      </w:r>
      <w:r w:rsidRPr="00F2674D">
        <w:rPr>
          <w:rStyle w:val="normaltextrun"/>
          <w:rFonts w:ascii="Calibri" w:hAnsi="Calibri" w:cs="Calibri"/>
          <w:color w:val="000000"/>
          <w:shd w:val="clear" w:color="auto" w:fill="FFFFFF"/>
        </w:rPr>
        <w:t>competency, including</w:t>
      </w:r>
      <w:r w:rsidR="00F2674D">
        <w:rPr>
          <w:rStyle w:val="normaltextrun"/>
          <w:rFonts w:ascii="Calibri" w:hAnsi="Calibri" w:cs="Calibri"/>
          <w:color w:val="000000"/>
          <w:shd w:val="clear" w:color="auto" w:fill="FFFFFF"/>
        </w:rPr>
        <w:t xml:space="preserve"> obligations under Te </w:t>
      </w:r>
      <w:proofErr w:type="spellStart"/>
      <w:r w:rsidR="00F2674D">
        <w:rPr>
          <w:rStyle w:val="normaltextrun"/>
          <w:rFonts w:ascii="Calibri" w:hAnsi="Calibri" w:cs="Calibri"/>
          <w:color w:val="000000"/>
          <w:shd w:val="clear" w:color="auto" w:fill="FFFFFF"/>
        </w:rPr>
        <w:t>Tiriti</w:t>
      </w:r>
      <w:proofErr w:type="spellEnd"/>
      <w:r w:rsidR="00F2674D">
        <w:rPr>
          <w:rStyle w:val="normaltextrun"/>
          <w:rFonts w:ascii="Calibri" w:hAnsi="Calibri" w:cs="Calibri"/>
          <w:color w:val="000000"/>
          <w:shd w:val="clear" w:color="auto" w:fill="FFFFFF"/>
        </w:rPr>
        <w:t xml:space="preserve"> o Waitangi and the</w:t>
      </w:r>
      <w:r w:rsidRPr="00F2674D">
        <w:rPr>
          <w:rStyle w:val="normaltextrun"/>
          <w:rFonts w:ascii="Calibri" w:hAnsi="Calibri" w:cs="Calibri"/>
          <w:color w:val="000000"/>
          <w:shd w:val="clear" w:color="auto" w:fill="FFFFFF"/>
        </w:rPr>
        <w:t xml:space="preserve"> </w:t>
      </w:r>
      <w:r w:rsidR="002A7BFE" w:rsidRPr="00F2674D">
        <w:rPr>
          <w:rStyle w:val="normaltextrun"/>
          <w:rFonts w:ascii="Calibri" w:hAnsi="Calibri" w:cs="Calibri"/>
          <w:color w:val="000000"/>
          <w:shd w:val="clear" w:color="auto" w:fill="FFFFFF"/>
        </w:rPr>
        <w:t xml:space="preserve">United Nations Declaration on the Rights of Indigenous </w:t>
      </w:r>
      <w:proofErr w:type="gramStart"/>
      <w:r w:rsidR="002A7BFE" w:rsidRPr="00F2674D">
        <w:rPr>
          <w:rStyle w:val="normaltextrun"/>
          <w:rFonts w:ascii="Calibri" w:hAnsi="Calibri" w:cs="Calibri"/>
          <w:color w:val="000000"/>
          <w:shd w:val="clear" w:color="auto" w:fill="FFFFFF"/>
        </w:rPr>
        <w:t>Peoples</w:t>
      </w:r>
      <w:r w:rsidR="00DB7C1C">
        <w:rPr>
          <w:rStyle w:val="normaltextrun"/>
          <w:rFonts w:ascii="Calibri" w:hAnsi="Calibri" w:cs="Calibri"/>
          <w:color w:val="000000"/>
          <w:shd w:val="clear" w:color="auto" w:fill="FFFFFF"/>
        </w:rPr>
        <w:t>;</w:t>
      </w:r>
      <w:proofErr w:type="gramEnd"/>
    </w:p>
    <w:p w14:paraId="05FB22D7" w14:textId="3F9D72EF" w:rsidR="00015143" w:rsidRPr="002A7BFE" w:rsidRDefault="00E8285E" w:rsidP="008E66C6">
      <w:pPr>
        <w:numPr>
          <w:ilvl w:val="1"/>
          <w:numId w:val="1"/>
        </w:numPr>
        <w:jc w:val="both"/>
        <w:rPr>
          <w:rStyle w:val="normaltextrun"/>
        </w:rPr>
      </w:pPr>
      <w:r>
        <w:rPr>
          <w:rStyle w:val="normaltextrun"/>
          <w:rFonts w:ascii="Calibri" w:hAnsi="Calibri" w:cs="Calibri"/>
          <w:color w:val="000000"/>
          <w:shd w:val="clear" w:color="auto" w:fill="FFFFFF"/>
        </w:rPr>
        <w:t xml:space="preserve">The Convention on the Rights of the </w:t>
      </w:r>
      <w:proofErr w:type="gramStart"/>
      <w:r>
        <w:rPr>
          <w:rStyle w:val="normaltextrun"/>
          <w:rFonts w:ascii="Calibri" w:hAnsi="Calibri" w:cs="Calibri"/>
          <w:color w:val="000000"/>
          <w:shd w:val="clear" w:color="auto" w:fill="FFFFFF"/>
        </w:rPr>
        <w:t>Child</w:t>
      </w:r>
      <w:r w:rsidR="00DB7C1C">
        <w:rPr>
          <w:rStyle w:val="normaltextrun"/>
          <w:rFonts w:ascii="Calibri" w:hAnsi="Calibri" w:cs="Calibri"/>
          <w:color w:val="000000"/>
          <w:shd w:val="clear" w:color="auto" w:fill="FFFFFF"/>
        </w:rPr>
        <w:t>;</w:t>
      </w:r>
      <w:proofErr w:type="gramEnd"/>
    </w:p>
    <w:p w14:paraId="29CD6CDB" w14:textId="2581AD3A" w:rsidR="00015143" w:rsidRPr="00E8285E" w:rsidRDefault="00E8285E" w:rsidP="008E66C6">
      <w:pPr>
        <w:numPr>
          <w:ilvl w:val="1"/>
          <w:numId w:val="1"/>
        </w:numPr>
        <w:jc w:val="both"/>
        <w:rPr>
          <w:rStyle w:val="normaltextrun"/>
        </w:rPr>
      </w:pPr>
      <w:r>
        <w:rPr>
          <w:rStyle w:val="normaltextrun"/>
          <w:rFonts w:ascii="Calibri" w:hAnsi="Calibri" w:cs="Calibri"/>
          <w:color w:val="000000"/>
          <w:shd w:val="clear" w:color="auto" w:fill="FFFFFF"/>
        </w:rPr>
        <w:t>T</w:t>
      </w:r>
      <w:r w:rsidR="007E556E">
        <w:rPr>
          <w:rStyle w:val="normaltextrun"/>
          <w:rFonts w:ascii="Calibri" w:hAnsi="Calibri" w:cs="Calibri"/>
          <w:color w:val="000000"/>
          <w:shd w:val="clear" w:color="auto" w:fill="FFFFFF"/>
        </w:rPr>
        <w:t>he Convention on the Rights of Persons with Disabilities</w:t>
      </w:r>
      <w:r w:rsidR="00DB7C1C">
        <w:rPr>
          <w:rStyle w:val="normaltextrun"/>
          <w:rFonts w:ascii="Calibri" w:hAnsi="Calibri" w:cs="Calibri"/>
          <w:color w:val="000000"/>
          <w:shd w:val="clear" w:color="auto" w:fill="FFFFFF"/>
        </w:rPr>
        <w:t>; and</w:t>
      </w:r>
    </w:p>
    <w:p w14:paraId="5FEC939A" w14:textId="3ADA745E" w:rsidR="0072621E" w:rsidRPr="00D91DA5" w:rsidRDefault="00E8285E" w:rsidP="008E66C6">
      <w:pPr>
        <w:numPr>
          <w:ilvl w:val="1"/>
          <w:numId w:val="1"/>
        </w:numPr>
        <w:jc w:val="both"/>
      </w:pPr>
      <w:r>
        <w:rPr>
          <w:rStyle w:val="normaltextrun"/>
          <w:rFonts w:ascii="Calibri" w:hAnsi="Calibri" w:cs="Calibri"/>
          <w:color w:val="000000"/>
          <w:shd w:val="clear" w:color="auto" w:fill="FFFFFF"/>
        </w:rPr>
        <w:t>The use of de-escalation techniques</w:t>
      </w:r>
      <w:r w:rsidR="00475C74">
        <w:rPr>
          <w:rStyle w:val="normaltextrun"/>
          <w:rFonts w:ascii="Calibri" w:hAnsi="Calibri" w:cs="Calibri"/>
          <w:color w:val="000000"/>
          <w:shd w:val="clear" w:color="auto" w:fill="FFFFFF"/>
        </w:rPr>
        <w:t xml:space="preserve"> and therapeutic interventions,</w:t>
      </w:r>
      <w:r>
        <w:rPr>
          <w:rStyle w:val="normaltextrun"/>
          <w:rFonts w:ascii="Calibri" w:hAnsi="Calibri" w:cs="Calibri"/>
          <w:color w:val="000000"/>
          <w:shd w:val="clear" w:color="auto" w:fill="FFFFFF"/>
        </w:rPr>
        <w:t xml:space="preserve"> and the </w:t>
      </w:r>
      <w:r w:rsidR="003A3057">
        <w:rPr>
          <w:rStyle w:val="normaltextrun"/>
          <w:rFonts w:ascii="Calibri" w:hAnsi="Calibri" w:cs="Calibri"/>
          <w:color w:val="000000"/>
          <w:shd w:val="clear" w:color="auto" w:fill="FFFFFF"/>
        </w:rPr>
        <w:t xml:space="preserve">impacts on </w:t>
      </w:r>
      <w:r w:rsidR="00843E62">
        <w:rPr>
          <w:rStyle w:val="normaltextrun"/>
          <w:rFonts w:ascii="Calibri" w:hAnsi="Calibri" w:cs="Calibri"/>
          <w:color w:val="000000"/>
          <w:shd w:val="clear" w:color="auto" w:fill="FFFFFF"/>
        </w:rPr>
        <w:t xml:space="preserve">detainees </w:t>
      </w:r>
      <w:r w:rsidR="003A3057">
        <w:rPr>
          <w:rStyle w:val="normaltextrun"/>
          <w:rFonts w:ascii="Calibri" w:hAnsi="Calibri" w:cs="Calibri"/>
          <w:color w:val="000000"/>
          <w:shd w:val="clear" w:color="auto" w:fill="FFFFFF"/>
        </w:rPr>
        <w:t>arising from the use of force</w:t>
      </w:r>
      <w:r w:rsidR="00252A4D">
        <w:t xml:space="preserve"> </w:t>
      </w:r>
      <w:r w:rsidR="00843E62">
        <w:t xml:space="preserve">or restraint </w:t>
      </w:r>
      <w:r w:rsidR="00252A4D" w:rsidRPr="005A3BE8">
        <w:t xml:space="preserve">(including </w:t>
      </w:r>
      <w:r w:rsidR="003A3057">
        <w:t>impacts on</w:t>
      </w:r>
      <w:r w:rsidR="00252A4D" w:rsidRPr="005A3BE8">
        <w:t xml:space="preserve"> their physical and mental health).</w:t>
      </w:r>
    </w:p>
    <w:p w14:paraId="54F0095C" w14:textId="3E94B1C8" w:rsidR="00E847ED" w:rsidRPr="0069104F" w:rsidRDefault="00F11DD7" w:rsidP="008E66C6">
      <w:pPr>
        <w:pStyle w:val="ListParagraph"/>
        <w:numPr>
          <w:ilvl w:val="0"/>
          <w:numId w:val="1"/>
        </w:numPr>
        <w:jc w:val="both"/>
        <w:rPr>
          <w:b/>
          <w:bCs/>
        </w:rPr>
      </w:pPr>
      <w:r>
        <w:rPr>
          <w:b/>
          <w:bCs/>
        </w:rPr>
        <w:t xml:space="preserve">The Committee may </w:t>
      </w:r>
      <w:r w:rsidR="00843E62">
        <w:rPr>
          <w:b/>
          <w:bCs/>
        </w:rPr>
        <w:t xml:space="preserve">wish to </w:t>
      </w:r>
      <w:r>
        <w:rPr>
          <w:b/>
          <w:bCs/>
        </w:rPr>
        <w:t xml:space="preserve">recommend that the Government engage further with the Aotearoa </w:t>
      </w:r>
      <w:r w:rsidR="00F57B14" w:rsidRPr="00F57B14">
        <w:rPr>
          <w:b/>
          <w:bCs/>
        </w:rPr>
        <w:t xml:space="preserve">New Zealand </w:t>
      </w:r>
      <w:r>
        <w:rPr>
          <w:b/>
          <w:bCs/>
        </w:rPr>
        <w:t>NPMs to e</w:t>
      </w:r>
      <w:r w:rsidR="0069104F" w:rsidRPr="0069104F">
        <w:rPr>
          <w:b/>
          <w:bCs/>
        </w:rPr>
        <w:t xml:space="preserve">nsure all </w:t>
      </w:r>
      <w:r>
        <w:rPr>
          <w:b/>
          <w:bCs/>
        </w:rPr>
        <w:t xml:space="preserve">law enforcement and custodial personnel </w:t>
      </w:r>
      <w:r w:rsidR="00290FFD">
        <w:rPr>
          <w:b/>
          <w:bCs/>
        </w:rPr>
        <w:t>rec</w:t>
      </w:r>
      <w:r w:rsidR="0069104F" w:rsidRPr="0069104F">
        <w:rPr>
          <w:b/>
          <w:bCs/>
        </w:rPr>
        <w:t xml:space="preserve">eive adequate training in human rights obligations including the </w:t>
      </w:r>
      <w:r w:rsidR="002B0DC1">
        <w:rPr>
          <w:b/>
          <w:bCs/>
        </w:rPr>
        <w:t>prevention of</w:t>
      </w:r>
      <w:r w:rsidR="0069104F" w:rsidRPr="0069104F">
        <w:rPr>
          <w:b/>
          <w:bCs/>
        </w:rPr>
        <w:t xml:space="preserve"> torture and ill-treatment. </w:t>
      </w:r>
    </w:p>
    <w:p w14:paraId="1998735D" w14:textId="624CCEAC" w:rsidR="00254D5A" w:rsidRPr="00DC51ED" w:rsidRDefault="00254D5A" w:rsidP="008E66C6">
      <w:pPr>
        <w:pStyle w:val="Heading2"/>
        <w:jc w:val="both"/>
        <w:rPr>
          <w:rStyle w:val="Heading2Char"/>
        </w:rPr>
      </w:pPr>
      <w:bookmarkStart w:id="53" w:name="_Toc137480608"/>
      <w:r w:rsidRPr="00DC51ED">
        <w:rPr>
          <w:rStyle w:val="Heading2Char"/>
        </w:rPr>
        <w:t>Article</w:t>
      </w:r>
      <w:r w:rsidR="0065556F">
        <w:rPr>
          <w:rStyle w:val="Heading2Char"/>
        </w:rPr>
        <w:t>s</w:t>
      </w:r>
      <w:r>
        <w:rPr>
          <w:rStyle w:val="Heading2Char"/>
        </w:rPr>
        <w:t xml:space="preserve"> 1</w:t>
      </w:r>
      <w:r w:rsidR="0065556F">
        <w:rPr>
          <w:rStyle w:val="Heading2Char"/>
        </w:rPr>
        <w:t>2 and 13</w:t>
      </w:r>
      <w:r>
        <w:rPr>
          <w:rStyle w:val="Heading2Char"/>
        </w:rPr>
        <w:t xml:space="preserve"> – </w:t>
      </w:r>
      <w:r w:rsidR="0065556F">
        <w:rPr>
          <w:rStyle w:val="Heading2Char"/>
        </w:rPr>
        <w:t xml:space="preserve">Complaints </w:t>
      </w:r>
      <w:r w:rsidR="00E46A5E">
        <w:rPr>
          <w:rStyle w:val="Heading2Char"/>
        </w:rPr>
        <w:t>processes</w:t>
      </w:r>
      <w:bookmarkEnd w:id="53"/>
      <w:r w:rsidR="00E46A5E">
        <w:rPr>
          <w:rStyle w:val="Heading2Char"/>
        </w:rPr>
        <w:t xml:space="preserve"> </w:t>
      </w:r>
      <w:r>
        <w:rPr>
          <w:rStyle w:val="Heading2Char"/>
        </w:rPr>
        <w:t xml:space="preserve"> </w:t>
      </w:r>
    </w:p>
    <w:p w14:paraId="7A6BACCF" w14:textId="4D62DB84" w:rsidR="00675C1F" w:rsidRDefault="00E46A5E" w:rsidP="008E66C6">
      <w:pPr>
        <w:pStyle w:val="ListParagraph"/>
        <w:numPr>
          <w:ilvl w:val="0"/>
          <w:numId w:val="1"/>
        </w:numPr>
        <w:ind w:left="357" w:hanging="357"/>
        <w:contextualSpacing w:val="0"/>
        <w:jc w:val="both"/>
      </w:pPr>
      <w:r>
        <w:t xml:space="preserve">The Aotearoa </w:t>
      </w:r>
      <w:r w:rsidR="00F57B14" w:rsidRPr="00360BAD">
        <w:t xml:space="preserve">New Zealand </w:t>
      </w:r>
      <w:r w:rsidR="0068467B">
        <w:t xml:space="preserve">NPMs have </w:t>
      </w:r>
      <w:r w:rsidR="00095A6D">
        <w:t xml:space="preserve">ongoing </w:t>
      </w:r>
      <w:r w:rsidR="0068467B">
        <w:t>c</w:t>
      </w:r>
      <w:r w:rsidR="00D36FB7">
        <w:t>oncerns regarding</w:t>
      </w:r>
      <w:r w:rsidR="00F36AD5">
        <w:t xml:space="preserve"> access to and</w:t>
      </w:r>
      <w:r w:rsidR="00D36FB7">
        <w:t xml:space="preserve"> independence of complaints processes </w:t>
      </w:r>
      <w:r w:rsidR="00095A6D">
        <w:t xml:space="preserve">for people deprived of their liberty across </w:t>
      </w:r>
      <w:r w:rsidR="002A6EB9">
        <w:t xml:space="preserve">different </w:t>
      </w:r>
      <w:r w:rsidR="0068467B">
        <w:t>detention settings in Aotearoa</w:t>
      </w:r>
      <w:r w:rsidR="00B05698">
        <w:t xml:space="preserve"> </w:t>
      </w:r>
      <w:r w:rsidR="00B05698" w:rsidRPr="00360BAD">
        <w:t>New Zealand</w:t>
      </w:r>
      <w:r w:rsidR="0068467B">
        <w:t xml:space="preserve">. </w:t>
      </w:r>
    </w:p>
    <w:p w14:paraId="5E974FEA" w14:textId="69AF0407" w:rsidR="00502EF1" w:rsidRDefault="00DF1555" w:rsidP="008E66C6">
      <w:pPr>
        <w:pStyle w:val="ListParagraph"/>
        <w:numPr>
          <w:ilvl w:val="0"/>
          <w:numId w:val="1"/>
        </w:numPr>
        <w:ind w:left="357" w:hanging="357"/>
        <w:contextualSpacing w:val="0"/>
        <w:jc w:val="both"/>
      </w:pPr>
      <w:r>
        <w:t>In both prisons and health and disability places of detention, the Chief Ombudsman has repeatedly raised concerns about independent access to complaints systems, including the provision of information about complaints processes and the ability of people deprived of liberty to raise complaints. Since 2015, the Chief Ombudsman has made over 80 recommendations related to access to complaints processes and the handling of complaints.</w:t>
      </w:r>
    </w:p>
    <w:p w14:paraId="33F938AB" w14:textId="31AFBB52" w:rsidR="00502EF1" w:rsidRDefault="00DF1555" w:rsidP="008E66C6">
      <w:pPr>
        <w:pStyle w:val="ListParagraph"/>
        <w:numPr>
          <w:ilvl w:val="0"/>
          <w:numId w:val="1"/>
        </w:numPr>
        <w:ind w:left="357" w:hanging="357"/>
        <w:contextualSpacing w:val="0"/>
        <w:jc w:val="both"/>
      </w:pPr>
      <w:r>
        <w:t xml:space="preserve">In health and disability places of detention, the Chief Ombudsman has often noted that people deprived of liberty may not have accessible, </w:t>
      </w:r>
      <w:proofErr w:type="gramStart"/>
      <w:r>
        <w:t>independent</w:t>
      </w:r>
      <w:proofErr w:type="gramEnd"/>
      <w:r>
        <w:t xml:space="preserve"> and confidential methods of making a complaint readily available to them. Similarly, the Chief Ombudsman has frequently highlighted his concerns regarding the provision of information to </w:t>
      </w:r>
      <w:r w:rsidR="00C350E7">
        <w:t>service users</w:t>
      </w:r>
      <w:r>
        <w:t xml:space="preserve"> about complaints processes.</w:t>
      </w:r>
    </w:p>
    <w:p w14:paraId="133E56D5" w14:textId="77777777" w:rsidR="003E7F5B" w:rsidRDefault="00DF1555" w:rsidP="008E66C6">
      <w:pPr>
        <w:pStyle w:val="ListParagraph"/>
        <w:numPr>
          <w:ilvl w:val="0"/>
          <w:numId w:val="1"/>
        </w:numPr>
        <w:ind w:left="357" w:hanging="499"/>
        <w:contextualSpacing w:val="0"/>
        <w:jc w:val="both"/>
      </w:pPr>
      <w:r>
        <w:t xml:space="preserve">The Chief Ombudsman has raised similar concerns to the Department of Corrections in the context of prison complaints processes. In response to these concerns, the Department of Corrections has advised the Chief Ombudsman of systemic work underway to review </w:t>
      </w:r>
      <w:r w:rsidR="00A31CB4">
        <w:t xml:space="preserve">and implement improvements to the </w:t>
      </w:r>
      <w:r>
        <w:t>complaints processes for people in its custody.</w:t>
      </w:r>
    </w:p>
    <w:p w14:paraId="186AA5C1" w14:textId="4A04599B" w:rsidR="003E7F5B" w:rsidRDefault="00A4281F" w:rsidP="008E66C6">
      <w:pPr>
        <w:pStyle w:val="ListParagraph"/>
        <w:numPr>
          <w:ilvl w:val="0"/>
          <w:numId w:val="1"/>
        </w:numPr>
        <w:ind w:left="357" w:hanging="499"/>
        <w:contextualSpacing w:val="0"/>
        <w:jc w:val="both"/>
      </w:pPr>
      <w:r>
        <w:t xml:space="preserve">As the IPCA is the Police oversight body, people can make a complaint regarding the Police directly to the IPCA. Any complaints made directly to Police must also be referred to the IPCA. The IPCA and Police have recently updated their </w:t>
      </w:r>
      <w:r w:rsidR="00F97527">
        <w:t>M</w:t>
      </w:r>
      <w:r>
        <w:t xml:space="preserve">emorandum of </w:t>
      </w:r>
      <w:r w:rsidR="00F97527">
        <w:t>U</w:t>
      </w:r>
      <w:r>
        <w:t xml:space="preserve">nderstanding to expand the types of incidents that will be referred to the </w:t>
      </w:r>
      <w:r w:rsidR="005C1928">
        <w:t>IPCA</w:t>
      </w:r>
      <w:r>
        <w:t xml:space="preserve">. </w:t>
      </w:r>
      <w:proofErr w:type="gramStart"/>
      <w:r>
        <w:t>In particular</w:t>
      </w:r>
      <w:r w:rsidR="005C1928">
        <w:t>,</w:t>
      </w:r>
      <w:r>
        <w:t xml:space="preserve"> Police</w:t>
      </w:r>
      <w:proofErr w:type="gramEnd"/>
      <w:r>
        <w:t xml:space="preserve"> will report to the IPCA any incidents where people in their care and custody have attempted suicide or self-harmed.</w:t>
      </w:r>
    </w:p>
    <w:p w14:paraId="0E800436" w14:textId="23EE79C9" w:rsidR="003E7F5B" w:rsidRDefault="00A4281F" w:rsidP="008E66C6">
      <w:pPr>
        <w:pStyle w:val="ListParagraph"/>
        <w:numPr>
          <w:ilvl w:val="0"/>
          <w:numId w:val="1"/>
        </w:numPr>
        <w:ind w:left="357" w:hanging="499"/>
        <w:contextualSpacing w:val="0"/>
        <w:jc w:val="both"/>
      </w:pPr>
      <w:r>
        <w:t>Police staff receiv</w:t>
      </w:r>
      <w:r w:rsidR="005C1928">
        <w:t>e</w:t>
      </w:r>
      <w:r>
        <w:t xml:space="preserve"> training and have access to online instructions on how to manage complaints. Police custody staff receive additional guidance on ensuring complaints from detainees are recorded and evidence secured. As part of </w:t>
      </w:r>
      <w:r w:rsidR="005C1928">
        <w:t>its</w:t>
      </w:r>
      <w:r>
        <w:t xml:space="preserve"> inspection programme the IPCA regularly reviews the ability for Police detainees to make complaints and the effectiveness of the Police complaints processes. The IPCA is also looking at ways it can improve access for detainees to its services.  </w:t>
      </w:r>
    </w:p>
    <w:p w14:paraId="6DE68284" w14:textId="77777777" w:rsidR="003E7F5B" w:rsidRPr="003E7F5B" w:rsidRDefault="00720712" w:rsidP="008E66C6">
      <w:pPr>
        <w:pStyle w:val="ListParagraph"/>
        <w:numPr>
          <w:ilvl w:val="0"/>
          <w:numId w:val="1"/>
        </w:numPr>
        <w:ind w:left="357" w:hanging="499"/>
        <w:contextualSpacing w:val="0"/>
        <w:jc w:val="both"/>
      </w:pPr>
      <w:r>
        <w:t>The Children’s Commission</w:t>
      </w:r>
      <w:r w:rsidR="00D6298A">
        <w:t>er</w:t>
      </w:r>
      <w:r>
        <w:t xml:space="preserve"> has similar concerns </w:t>
      </w:r>
      <w:r w:rsidR="00C65E7D" w:rsidRPr="003E7F5B">
        <w:rPr>
          <w:lang w:val="en-US"/>
        </w:rPr>
        <w:t>regarding the complaints process</w:t>
      </w:r>
      <w:r w:rsidRPr="003E7F5B">
        <w:rPr>
          <w:lang w:val="en-US"/>
        </w:rPr>
        <w:t xml:space="preserve">es for children </w:t>
      </w:r>
      <w:r w:rsidR="00D6298A" w:rsidRPr="003E7F5B">
        <w:rPr>
          <w:lang w:val="en-US"/>
        </w:rPr>
        <w:t xml:space="preserve">and young people </w:t>
      </w:r>
      <w:r w:rsidRPr="003E7F5B">
        <w:rPr>
          <w:lang w:val="en-US"/>
        </w:rPr>
        <w:t>in detention in Aotearoa</w:t>
      </w:r>
      <w:r w:rsidR="00B05698" w:rsidRPr="003E7F5B">
        <w:rPr>
          <w:lang w:val="en-US"/>
        </w:rPr>
        <w:t xml:space="preserve"> </w:t>
      </w:r>
      <w:r w:rsidR="00B05698" w:rsidRPr="00360BAD">
        <w:t>New Zealand</w:t>
      </w:r>
      <w:r w:rsidRPr="003E7F5B">
        <w:rPr>
          <w:lang w:val="en-US"/>
        </w:rPr>
        <w:t xml:space="preserve">. The Children’s Commissioner has found complaints processes often lack sufficient </w:t>
      </w:r>
      <w:r w:rsidR="00C65E7D" w:rsidRPr="003E7F5B">
        <w:rPr>
          <w:lang w:val="en-US"/>
        </w:rPr>
        <w:t>independen</w:t>
      </w:r>
      <w:r w:rsidRPr="003E7F5B">
        <w:rPr>
          <w:lang w:val="en-US"/>
        </w:rPr>
        <w:t>ce</w:t>
      </w:r>
      <w:r w:rsidR="00C65E7D" w:rsidRPr="003E7F5B">
        <w:rPr>
          <w:lang w:val="en-US"/>
        </w:rPr>
        <w:t>, confidential</w:t>
      </w:r>
      <w:r w:rsidRPr="003E7F5B">
        <w:rPr>
          <w:lang w:val="en-US"/>
        </w:rPr>
        <w:t>ity</w:t>
      </w:r>
      <w:r w:rsidR="00C65E7D" w:rsidRPr="003E7F5B">
        <w:rPr>
          <w:lang w:val="en-US"/>
        </w:rPr>
        <w:t>, or consistent appli</w:t>
      </w:r>
      <w:r w:rsidRPr="003E7F5B">
        <w:rPr>
          <w:lang w:val="en-US"/>
        </w:rPr>
        <w:t>cation</w:t>
      </w:r>
      <w:r w:rsidR="00C65E7D" w:rsidRPr="003E7F5B">
        <w:rPr>
          <w:lang w:val="en-US"/>
        </w:rPr>
        <w:t xml:space="preserve">. </w:t>
      </w:r>
      <w:r w:rsidR="009E56FA" w:rsidRPr="003E7F5B">
        <w:rPr>
          <w:lang w:val="en-US"/>
        </w:rPr>
        <w:t xml:space="preserve">For example, </w:t>
      </w:r>
      <w:r w:rsidR="00D6298A" w:rsidRPr="003E7F5B">
        <w:rPr>
          <w:lang w:val="en-US"/>
        </w:rPr>
        <w:t xml:space="preserve">children and young people </w:t>
      </w:r>
      <w:proofErr w:type="gramStart"/>
      <w:r w:rsidR="00C65E7D" w:rsidRPr="003E7F5B">
        <w:rPr>
          <w:lang w:val="en-US"/>
        </w:rPr>
        <w:t>have to</w:t>
      </w:r>
      <w:proofErr w:type="gramEnd"/>
      <w:r w:rsidR="00C65E7D" w:rsidRPr="003E7F5B">
        <w:rPr>
          <w:lang w:val="en-US"/>
        </w:rPr>
        <w:t xml:space="preserve"> lodge complaint</w:t>
      </w:r>
      <w:r w:rsidR="009E56FA" w:rsidRPr="003E7F5B">
        <w:rPr>
          <w:lang w:val="en-US"/>
        </w:rPr>
        <w:t>s</w:t>
      </w:r>
      <w:r w:rsidR="00C65E7D" w:rsidRPr="003E7F5B">
        <w:rPr>
          <w:lang w:val="en-US"/>
        </w:rPr>
        <w:t xml:space="preserve"> through staff at </w:t>
      </w:r>
      <w:proofErr w:type="spellStart"/>
      <w:r w:rsidR="00C65E7D" w:rsidRPr="003E7F5B">
        <w:rPr>
          <w:lang w:val="en-US"/>
        </w:rPr>
        <w:t>Oranga</w:t>
      </w:r>
      <w:proofErr w:type="spellEnd"/>
      <w:r w:rsidR="00C65E7D" w:rsidRPr="003E7F5B">
        <w:rPr>
          <w:lang w:val="en-US"/>
        </w:rPr>
        <w:t xml:space="preserve"> Tamariki residences. </w:t>
      </w:r>
    </w:p>
    <w:p w14:paraId="3C930BAE" w14:textId="77777777" w:rsidR="003E7F5B" w:rsidRDefault="00E969F0" w:rsidP="008E66C6">
      <w:pPr>
        <w:pStyle w:val="ListParagraph"/>
        <w:numPr>
          <w:ilvl w:val="0"/>
          <w:numId w:val="1"/>
        </w:numPr>
        <w:ind w:left="357" w:hanging="499"/>
        <w:contextualSpacing w:val="0"/>
        <w:jc w:val="both"/>
      </w:pPr>
      <w:r>
        <w:t xml:space="preserve">Within NZDF detention facilities, the IPSE has </w:t>
      </w:r>
      <w:r w:rsidR="001C2000" w:rsidRPr="001C2000">
        <w:t xml:space="preserve">noted that the detainees needed to be made fully aware of the formal procedures for lodging a complaint regarding any aspect of their treatment.   </w:t>
      </w:r>
      <w:r w:rsidR="001C2000" w:rsidRPr="00077A80">
        <w:t xml:space="preserve">Currently, </w:t>
      </w:r>
      <w:r w:rsidR="00DB7709" w:rsidRPr="00077A80">
        <w:t xml:space="preserve">there is a process for </w:t>
      </w:r>
      <w:r w:rsidR="001C2000" w:rsidRPr="00077A80">
        <w:t>internal complaints to be raised to the Officer-In-Charge</w:t>
      </w:r>
      <w:r w:rsidR="00DB7709" w:rsidRPr="00077A80">
        <w:t xml:space="preserve"> and </w:t>
      </w:r>
      <w:r w:rsidR="001C2000" w:rsidRPr="00077A80">
        <w:t>detainees appear to know the internal process very well.  However,</w:t>
      </w:r>
      <w:r w:rsidR="00077A80" w:rsidRPr="00077A80">
        <w:t xml:space="preserve"> </w:t>
      </w:r>
      <w:r w:rsidR="00DB7709" w:rsidRPr="00077A80">
        <w:t>the</w:t>
      </w:r>
      <w:r w:rsidR="001C2000" w:rsidRPr="00077A80">
        <w:t xml:space="preserve"> process </w:t>
      </w:r>
      <w:r w:rsidR="00077A80" w:rsidRPr="00077A80">
        <w:t>for</w:t>
      </w:r>
      <w:r w:rsidR="001C2000" w:rsidRPr="00077A80">
        <w:t xml:space="preserve"> raising complaints externally </w:t>
      </w:r>
      <w:r w:rsidR="00077A80" w:rsidRPr="00077A80">
        <w:t>(</w:t>
      </w:r>
      <w:r w:rsidR="001C2000" w:rsidRPr="00077A80">
        <w:t>outside of SCE</w:t>
      </w:r>
      <w:r w:rsidR="00077A80" w:rsidRPr="00077A80">
        <w:t>) needs further development</w:t>
      </w:r>
      <w:r w:rsidR="001C2000" w:rsidRPr="00077A80">
        <w:t xml:space="preserve">.  ISPE understood that NZDF was to review this area of current policy, but to date no formal feedback </w:t>
      </w:r>
      <w:r w:rsidR="00077A80" w:rsidRPr="00077A80">
        <w:t>has been provided to</w:t>
      </w:r>
      <w:r w:rsidR="001C2000" w:rsidRPr="00077A80">
        <w:t xml:space="preserve"> ISPE.</w:t>
      </w:r>
    </w:p>
    <w:p w14:paraId="76EF8DFF" w14:textId="64EDFD4F" w:rsidR="00D920AD" w:rsidRPr="00D920AD" w:rsidRDefault="00CA2BEB" w:rsidP="008E66C6">
      <w:pPr>
        <w:pStyle w:val="ListParagraph"/>
        <w:numPr>
          <w:ilvl w:val="0"/>
          <w:numId w:val="1"/>
        </w:numPr>
        <w:ind w:left="357" w:hanging="499"/>
        <w:contextualSpacing w:val="0"/>
        <w:jc w:val="both"/>
      </w:pPr>
      <w:r w:rsidRPr="003E7F5B">
        <w:rPr>
          <w:b/>
          <w:bCs/>
        </w:rPr>
        <w:t xml:space="preserve">The Committee may </w:t>
      </w:r>
      <w:r w:rsidR="005544E1" w:rsidRPr="003E7F5B">
        <w:rPr>
          <w:b/>
          <w:bCs/>
        </w:rPr>
        <w:t>wish to inquire further with the Government as to</w:t>
      </w:r>
      <w:r w:rsidR="002D36F5" w:rsidRPr="003E7F5B">
        <w:rPr>
          <w:b/>
          <w:bCs/>
        </w:rPr>
        <w:t xml:space="preserve"> timely, </w:t>
      </w:r>
      <w:proofErr w:type="gramStart"/>
      <w:r w:rsidR="002D36F5" w:rsidRPr="003E7F5B">
        <w:rPr>
          <w:b/>
          <w:bCs/>
        </w:rPr>
        <w:t>effective</w:t>
      </w:r>
      <w:proofErr w:type="gramEnd"/>
      <w:r w:rsidR="002D36F5" w:rsidRPr="003E7F5B">
        <w:rPr>
          <w:b/>
          <w:bCs/>
        </w:rPr>
        <w:t xml:space="preserve"> and measur</w:t>
      </w:r>
      <w:r w:rsidR="00A31CB4" w:rsidRPr="003E7F5B">
        <w:rPr>
          <w:b/>
          <w:bCs/>
        </w:rPr>
        <w:t>able</w:t>
      </w:r>
      <w:r w:rsidR="002D36F5" w:rsidRPr="003E7F5B">
        <w:rPr>
          <w:b/>
          <w:bCs/>
        </w:rPr>
        <w:t xml:space="preserve"> steps being taken by </w:t>
      </w:r>
      <w:r w:rsidR="00BB5283" w:rsidRPr="003E7F5B">
        <w:rPr>
          <w:b/>
          <w:bCs/>
        </w:rPr>
        <w:t xml:space="preserve">its </w:t>
      </w:r>
      <w:r w:rsidR="002D36F5" w:rsidRPr="003E7F5B">
        <w:rPr>
          <w:b/>
          <w:bCs/>
        </w:rPr>
        <w:t>detaining agencies to improve access to, independence, and confidentiality of complaints processes for persons deprived of their liberty in Aotearoa</w:t>
      </w:r>
      <w:r w:rsidR="00F57B14">
        <w:rPr>
          <w:b/>
          <w:bCs/>
        </w:rPr>
        <w:t xml:space="preserve"> </w:t>
      </w:r>
      <w:r w:rsidR="00F57B14" w:rsidRPr="00F57B14">
        <w:rPr>
          <w:b/>
          <w:bCs/>
        </w:rPr>
        <w:t>New Zealand</w:t>
      </w:r>
      <w:r w:rsidR="002D36F5" w:rsidRPr="003E7F5B">
        <w:rPr>
          <w:b/>
          <w:bCs/>
        </w:rPr>
        <w:t xml:space="preserve">. </w:t>
      </w:r>
    </w:p>
    <w:p w14:paraId="2C5ECE47" w14:textId="21778503" w:rsidR="00D920AD" w:rsidRPr="00DC51ED" w:rsidRDefault="00D920AD" w:rsidP="008E66C6">
      <w:pPr>
        <w:pStyle w:val="Heading2"/>
        <w:keepLines w:val="0"/>
        <w:jc w:val="both"/>
        <w:rPr>
          <w:rStyle w:val="Heading2Char"/>
        </w:rPr>
      </w:pPr>
      <w:bookmarkStart w:id="54" w:name="_Toc137480609"/>
      <w:r w:rsidRPr="00DC51ED">
        <w:rPr>
          <w:rStyle w:val="Heading2Char"/>
        </w:rPr>
        <w:t>Article</w:t>
      </w:r>
      <w:r>
        <w:rPr>
          <w:rStyle w:val="Heading2Char"/>
        </w:rPr>
        <w:t xml:space="preserve"> 16 – </w:t>
      </w:r>
      <w:r w:rsidR="00876E73">
        <w:rPr>
          <w:b w:val="0"/>
          <w:bCs w:val="0"/>
        </w:rPr>
        <w:t>C</w:t>
      </w:r>
      <w:r w:rsidR="00876E73" w:rsidRPr="00876E73">
        <w:rPr>
          <w:b w:val="0"/>
          <w:bCs w:val="0"/>
        </w:rPr>
        <w:t xml:space="preserve">ruel, </w:t>
      </w:r>
      <w:proofErr w:type="gramStart"/>
      <w:r w:rsidR="00876E73" w:rsidRPr="00876E73">
        <w:rPr>
          <w:b w:val="0"/>
          <w:bCs w:val="0"/>
        </w:rPr>
        <w:t>inhuman</w:t>
      </w:r>
      <w:proofErr w:type="gramEnd"/>
      <w:r w:rsidR="00876E73" w:rsidRPr="00876E73">
        <w:rPr>
          <w:b w:val="0"/>
          <w:bCs w:val="0"/>
        </w:rPr>
        <w:t xml:space="preserve"> or degrading treatment</w:t>
      </w:r>
      <w:bookmarkEnd w:id="54"/>
    </w:p>
    <w:p w14:paraId="0847CDDB" w14:textId="3C4A4F87" w:rsidR="00D920AD" w:rsidRPr="00D920AD" w:rsidRDefault="00D920AD" w:rsidP="008E66C6">
      <w:pPr>
        <w:pStyle w:val="Heading3"/>
        <w:keepLines w:val="0"/>
        <w:jc w:val="both"/>
      </w:pPr>
      <w:bookmarkStart w:id="55" w:name="_Toc137480610"/>
      <w:r>
        <w:t>Mental health in detention</w:t>
      </w:r>
      <w:bookmarkEnd w:id="55"/>
      <w:r>
        <w:t xml:space="preserve"> </w:t>
      </w:r>
    </w:p>
    <w:p w14:paraId="7F8EA088" w14:textId="270416BE" w:rsidR="001D1F1D" w:rsidRPr="008F6467" w:rsidRDefault="008F6467" w:rsidP="008E66C6">
      <w:pPr>
        <w:pStyle w:val="Number1"/>
        <w:keepNext/>
        <w:numPr>
          <w:ilvl w:val="0"/>
          <w:numId w:val="0"/>
        </w:numPr>
        <w:ind w:left="567" w:hanging="567"/>
        <w:jc w:val="both"/>
        <w:rPr>
          <w:rFonts w:asciiTheme="minorHAnsi" w:hAnsiTheme="minorHAnsi"/>
          <w:i/>
          <w:iCs/>
          <w:color w:val="44546A" w:themeColor="text2"/>
          <w:sz w:val="22"/>
        </w:rPr>
      </w:pPr>
      <w:r>
        <w:rPr>
          <w:rFonts w:asciiTheme="minorHAnsi" w:hAnsiTheme="minorHAnsi"/>
          <w:i/>
          <w:iCs/>
          <w:color w:val="44546A" w:themeColor="text2"/>
          <w:sz w:val="22"/>
        </w:rPr>
        <w:t xml:space="preserve">Prisons </w:t>
      </w:r>
    </w:p>
    <w:p w14:paraId="1A789D18" w14:textId="1FA22C1A" w:rsidR="004F0F88" w:rsidRDefault="00A77618" w:rsidP="008E66C6">
      <w:pPr>
        <w:pStyle w:val="ListParagraph"/>
        <w:numPr>
          <w:ilvl w:val="0"/>
          <w:numId w:val="1"/>
        </w:numPr>
        <w:ind w:left="357" w:hanging="499"/>
        <w:contextualSpacing w:val="0"/>
        <w:jc w:val="both"/>
      </w:pPr>
      <w:r>
        <w:t xml:space="preserve">Mental health support for people in the custody of the Department of Corrections is variable across the country. In response to recent OPCAT reports, the Department of Corrections has highlighted several initiatives to support the mental health of people in its custody, including the rollout of ‘Mental Health 101’ training for frontline staff and the recruitment of specialist mental health clinical staff. Additionally, the new </w:t>
      </w:r>
      <w:proofErr w:type="spellStart"/>
      <w:r>
        <w:t>Waikeria</w:t>
      </w:r>
      <w:proofErr w:type="spellEnd"/>
      <w:r>
        <w:t xml:space="preserve"> Prison facility currently under construction will include a 100-bed specialist mental health and substance addiction facility, co-designed and co-run by the Department of Corrections and Te </w:t>
      </w:r>
      <w:proofErr w:type="spellStart"/>
      <w:r>
        <w:t>Whatu</w:t>
      </w:r>
      <w:proofErr w:type="spellEnd"/>
      <w:r>
        <w:t xml:space="preserve"> Ora </w:t>
      </w:r>
      <w:r w:rsidR="00EE7148">
        <w:t>|</w:t>
      </w:r>
      <w:r>
        <w:t xml:space="preserve"> Health New Zealand Waikato (formerly the Waikato District Health Board).</w:t>
      </w:r>
      <w:r>
        <w:rPr>
          <w:rStyle w:val="FootnoteReference"/>
        </w:rPr>
        <w:footnoteReference w:id="41"/>
      </w:r>
    </w:p>
    <w:p w14:paraId="5AED0376" w14:textId="6A9112E2" w:rsidR="00E8567C" w:rsidRDefault="00A77618" w:rsidP="008E66C6">
      <w:pPr>
        <w:pStyle w:val="ListParagraph"/>
        <w:numPr>
          <w:ilvl w:val="0"/>
          <w:numId w:val="1"/>
        </w:numPr>
        <w:ind w:left="357" w:hanging="499"/>
        <w:contextualSpacing w:val="0"/>
        <w:jc w:val="both"/>
      </w:pPr>
      <w:r>
        <w:t xml:space="preserve">While these are welcome initiatives, the Chief Ombudsman has also raised multiple concerns and made several recommendations related to improving the mental health of people deprived of their liberty in prisons. These include ensuring that access to mental health services is formalised, and that staff working in specialist Intervention and Support Units (ISUs) have appropriate skills and training to work with people experiencing acute mental distress. These issues are discussed in greater depth in the </w:t>
      </w:r>
      <w:r w:rsidR="007E0C05">
        <w:t>separate s</w:t>
      </w:r>
      <w:r>
        <w:t>ubmission of the Chief Ombudsman to the Committee.</w:t>
      </w:r>
    </w:p>
    <w:p w14:paraId="77417832" w14:textId="591A3D62" w:rsidR="00A77618" w:rsidRDefault="00A77618" w:rsidP="008E66C6">
      <w:pPr>
        <w:pStyle w:val="ListParagraph"/>
        <w:numPr>
          <w:ilvl w:val="0"/>
          <w:numId w:val="1"/>
        </w:numPr>
        <w:ind w:left="357" w:hanging="499"/>
        <w:contextualSpacing w:val="0"/>
        <w:jc w:val="both"/>
      </w:pPr>
      <w:r>
        <w:t>Between 2017 and 2022, responses to prison surveys conducted across eight prison sites indicated that an average of 74 per</w:t>
      </w:r>
      <w:r w:rsidR="00A22724">
        <w:t xml:space="preserve"> </w:t>
      </w:r>
      <w:r>
        <w:t xml:space="preserve">cent of survey respondents did not feel supported with their emotional or mental health needs whilst in prison, as outlined in Table </w:t>
      </w:r>
      <w:r w:rsidR="004F0F88">
        <w:t>2</w:t>
      </w:r>
      <w:r>
        <w:t>.</w:t>
      </w:r>
    </w:p>
    <w:p w14:paraId="25AD05BC" w14:textId="21E80300" w:rsidR="00A77618" w:rsidRDefault="00A77618" w:rsidP="00D73A92">
      <w:pPr>
        <w:pStyle w:val="Number1"/>
        <w:keepNext/>
        <w:numPr>
          <w:ilvl w:val="0"/>
          <w:numId w:val="0"/>
        </w:numPr>
        <w:tabs>
          <w:tab w:val="left" w:pos="720"/>
        </w:tabs>
        <w:jc w:val="both"/>
        <w:rPr>
          <w:b/>
        </w:rPr>
      </w:pPr>
      <w:r>
        <w:rPr>
          <w:b/>
        </w:rPr>
        <w:t xml:space="preserve">Table </w:t>
      </w:r>
      <w:r w:rsidR="004F0F88">
        <w:rPr>
          <w:b/>
        </w:rPr>
        <w:t>2</w:t>
      </w:r>
      <w:r>
        <w:rPr>
          <w:b/>
        </w:rPr>
        <w:t xml:space="preserve">: Selected </w:t>
      </w:r>
      <w:r w:rsidR="00AD75E7">
        <w:rPr>
          <w:b/>
        </w:rPr>
        <w:t xml:space="preserve">Ombudsman prison </w:t>
      </w:r>
      <w:r>
        <w:rPr>
          <w:b/>
        </w:rPr>
        <w:t xml:space="preserve">survey results </w:t>
      </w:r>
    </w:p>
    <w:tbl>
      <w:tblPr>
        <w:tblStyle w:val="TableGridSOI"/>
        <w:tblW w:w="9255" w:type="dxa"/>
        <w:tblInd w:w="250" w:type="dxa"/>
        <w:tblLayout w:type="fixed"/>
        <w:tblLook w:val="0420" w:firstRow="1" w:lastRow="0" w:firstColumn="0" w:lastColumn="0" w:noHBand="0" w:noVBand="1"/>
      </w:tblPr>
      <w:tblGrid>
        <w:gridCol w:w="851"/>
        <w:gridCol w:w="3282"/>
        <w:gridCol w:w="1280"/>
        <w:gridCol w:w="1281"/>
        <w:gridCol w:w="1280"/>
        <w:gridCol w:w="1281"/>
      </w:tblGrid>
      <w:tr w:rsidR="00A77618" w14:paraId="2ADD842B" w14:textId="77777777" w:rsidTr="00602D84">
        <w:trPr>
          <w:cnfStyle w:val="100000000000" w:firstRow="1" w:lastRow="0" w:firstColumn="0" w:lastColumn="0" w:oddVBand="0" w:evenVBand="0" w:oddHBand="0" w:evenHBand="0" w:firstRowFirstColumn="0" w:firstRowLastColumn="0" w:lastRowFirstColumn="0" w:lastRowLastColumn="0"/>
          <w:cantSplit/>
          <w:tblHeader/>
        </w:trPr>
        <w:tc>
          <w:tcPr>
            <w:tcW w:w="851" w:type="dxa"/>
            <w:vMerge w:val="restart"/>
            <w:shd w:val="clear" w:color="auto" w:fill="4472C4" w:themeFill="accent1"/>
            <w:hideMark/>
          </w:tcPr>
          <w:p w14:paraId="79C1C29A" w14:textId="77777777" w:rsidR="00A77618" w:rsidRPr="00602D84" w:rsidRDefault="00A77618" w:rsidP="00D73A92">
            <w:pPr>
              <w:pStyle w:val="Tableheadingrow1"/>
              <w:jc w:val="both"/>
              <w:rPr>
                <w:sz w:val="20"/>
                <w:szCs w:val="20"/>
              </w:rPr>
            </w:pPr>
            <w:r w:rsidRPr="00602D84">
              <w:rPr>
                <w:sz w:val="20"/>
                <w:szCs w:val="20"/>
              </w:rPr>
              <w:t>Year</w:t>
            </w:r>
          </w:p>
        </w:tc>
        <w:tc>
          <w:tcPr>
            <w:tcW w:w="3282" w:type="dxa"/>
            <w:vMerge w:val="restart"/>
            <w:shd w:val="clear" w:color="auto" w:fill="4472C4" w:themeFill="accent1"/>
            <w:hideMark/>
          </w:tcPr>
          <w:p w14:paraId="19538ED3" w14:textId="77777777" w:rsidR="00A77618" w:rsidRPr="00602D84" w:rsidRDefault="00A77618" w:rsidP="00D73A92">
            <w:pPr>
              <w:pStyle w:val="Tableheadingrow1"/>
              <w:jc w:val="both"/>
              <w:rPr>
                <w:sz w:val="20"/>
                <w:szCs w:val="20"/>
              </w:rPr>
            </w:pPr>
            <w:r w:rsidRPr="00602D84">
              <w:rPr>
                <w:sz w:val="20"/>
                <w:szCs w:val="20"/>
              </w:rPr>
              <w:t>Facility</w:t>
            </w:r>
          </w:p>
        </w:tc>
        <w:tc>
          <w:tcPr>
            <w:tcW w:w="2561" w:type="dxa"/>
            <w:gridSpan w:val="2"/>
            <w:shd w:val="clear" w:color="auto" w:fill="4472C4" w:themeFill="accent1"/>
            <w:hideMark/>
          </w:tcPr>
          <w:p w14:paraId="359AF850" w14:textId="77777777" w:rsidR="00A77618" w:rsidRPr="00602D84" w:rsidRDefault="00A77618" w:rsidP="00D73A92">
            <w:pPr>
              <w:pStyle w:val="Tableheadingrow1"/>
              <w:jc w:val="both"/>
              <w:rPr>
                <w:sz w:val="20"/>
                <w:szCs w:val="20"/>
              </w:rPr>
            </w:pPr>
            <w:r w:rsidRPr="00602D84">
              <w:rPr>
                <w:sz w:val="20"/>
                <w:szCs w:val="20"/>
              </w:rPr>
              <w:t>Survey question: Do you feel you have any emotional well-being/ mental health issues?</w:t>
            </w:r>
          </w:p>
        </w:tc>
        <w:tc>
          <w:tcPr>
            <w:tcW w:w="2561" w:type="dxa"/>
            <w:gridSpan w:val="2"/>
            <w:shd w:val="clear" w:color="auto" w:fill="4472C4" w:themeFill="accent1"/>
            <w:hideMark/>
          </w:tcPr>
          <w:p w14:paraId="1534EFBB" w14:textId="77777777" w:rsidR="00A77618" w:rsidRPr="00602D84" w:rsidRDefault="00A77618" w:rsidP="00D73A92">
            <w:pPr>
              <w:pStyle w:val="Tableheadingrow1"/>
              <w:jc w:val="both"/>
              <w:rPr>
                <w:sz w:val="20"/>
                <w:szCs w:val="20"/>
              </w:rPr>
            </w:pPr>
            <w:r w:rsidRPr="00602D84">
              <w:rPr>
                <w:sz w:val="20"/>
                <w:szCs w:val="20"/>
              </w:rPr>
              <w:t>Survey question: Do you feel supported with your emotional/ mental health needs?</w:t>
            </w:r>
          </w:p>
        </w:tc>
      </w:tr>
      <w:tr w:rsidR="00A77618" w14:paraId="7613ECC6" w14:textId="77777777" w:rsidTr="00602D84">
        <w:trPr>
          <w:cnfStyle w:val="000000100000" w:firstRow="0" w:lastRow="0" w:firstColumn="0" w:lastColumn="0" w:oddVBand="0" w:evenVBand="0" w:oddHBand="1" w:evenHBand="0" w:firstRowFirstColumn="0" w:firstRowLastColumn="0" w:lastRowFirstColumn="0" w:lastRowLastColumn="0"/>
          <w:cantSplit/>
        </w:trPr>
        <w:tc>
          <w:tcPr>
            <w:tcW w:w="851" w:type="dxa"/>
            <w:vMerge/>
            <w:vAlign w:val="center"/>
            <w:hideMark/>
          </w:tcPr>
          <w:p w14:paraId="0F24380C" w14:textId="77777777" w:rsidR="00A77618" w:rsidRPr="00602D84" w:rsidRDefault="00A77618" w:rsidP="00D73A92">
            <w:pPr>
              <w:keepNext/>
              <w:jc w:val="both"/>
              <w:rPr>
                <w:rFonts w:ascii="Calibri" w:hAnsi="Calibri"/>
                <w:color w:val="FFFFFF" w:themeColor="background1"/>
                <w:sz w:val="20"/>
                <w:szCs w:val="20"/>
              </w:rPr>
            </w:pPr>
          </w:p>
        </w:tc>
        <w:tc>
          <w:tcPr>
            <w:tcW w:w="3282" w:type="dxa"/>
            <w:vMerge/>
            <w:vAlign w:val="center"/>
            <w:hideMark/>
          </w:tcPr>
          <w:p w14:paraId="7B86D057" w14:textId="77777777" w:rsidR="00A77618" w:rsidRPr="00602D84" w:rsidRDefault="00A77618" w:rsidP="00D73A92">
            <w:pPr>
              <w:keepNext/>
              <w:jc w:val="both"/>
              <w:rPr>
                <w:rFonts w:ascii="Calibri" w:hAnsi="Calibri"/>
                <w:color w:val="FFFFFF" w:themeColor="background1"/>
                <w:sz w:val="20"/>
                <w:szCs w:val="20"/>
              </w:rPr>
            </w:pPr>
          </w:p>
        </w:tc>
        <w:tc>
          <w:tcPr>
            <w:tcW w:w="1280" w:type="dxa"/>
            <w:shd w:val="clear" w:color="auto" w:fill="BFBFBF" w:themeFill="background1" w:themeFillShade="BF"/>
            <w:hideMark/>
          </w:tcPr>
          <w:p w14:paraId="7DF38B58" w14:textId="77777777" w:rsidR="00A77618" w:rsidRPr="00602D84" w:rsidRDefault="00A77618" w:rsidP="00D73A92">
            <w:pPr>
              <w:pStyle w:val="Tableheadingrow1"/>
              <w:jc w:val="both"/>
              <w:rPr>
                <w:color w:val="auto"/>
                <w:sz w:val="20"/>
                <w:szCs w:val="20"/>
              </w:rPr>
            </w:pPr>
            <w:r w:rsidRPr="00602D84">
              <w:rPr>
                <w:color w:val="auto"/>
                <w:sz w:val="20"/>
                <w:szCs w:val="20"/>
              </w:rPr>
              <w:t>Yes</w:t>
            </w:r>
          </w:p>
        </w:tc>
        <w:tc>
          <w:tcPr>
            <w:tcW w:w="1281" w:type="dxa"/>
            <w:shd w:val="clear" w:color="auto" w:fill="BFBFBF" w:themeFill="background1" w:themeFillShade="BF"/>
            <w:hideMark/>
          </w:tcPr>
          <w:p w14:paraId="0335A4FC" w14:textId="77777777" w:rsidR="00A77618" w:rsidRPr="00602D84" w:rsidRDefault="00A77618" w:rsidP="00D73A92">
            <w:pPr>
              <w:pStyle w:val="Tableheadingrow1"/>
              <w:jc w:val="both"/>
              <w:rPr>
                <w:color w:val="auto"/>
                <w:sz w:val="20"/>
                <w:szCs w:val="20"/>
              </w:rPr>
            </w:pPr>
            <w:r w:rsidRPr="00602D84">
              <w:rPr>
                <w:color w:val="auto"/>
                <w:sz w:val="20"/>
                <w:szCs w:val="20"/>
              </w:rPr>
              <w:t>No</w:t>
            </w:r>
          </w:p>
        </w:tc>
        <w:tc>
          <w:tcPr>
            <w:tcW w:w="1280" w:type="dxa"/>
            <w:shd w:val="clear" w:color="auto" w:fill="BFBFBF" w:themeFill="background1" w:themeFillShade="BF"/>
            <w:hideMark/>
          </w:tcPr>
          <w:p w14:paraId="3C070E52" w14:textId="77777777" w:rsidR="00A77618" w:rsidRPr="00602D84" w:rsidRDefault="00A77618" w:rsidP="00D73A92">
            <w:pPr>
              <w:pStyle w:val="Tableheadingrow1"/>
              <w:jc w:val="both"/>
              <w:rPr>
                <w:color w:val="auto"/>
                <w:sz w:val="20"/>
                <w:szCs w:val="20"/>
              </w:rPr>
            </w:pPr>
            <w:r w:rsidRPr="00602D84">
              <w:rPr>
                <w:color w:val="auto"/>
                <w:sz w:val="20"/>
                <w:szCs w:val="20"/>
              </w:rPr>
              <w:t>Yes</w:t>
            </w:r>
          </w:p>
        </w:tc>
        <w:tc>
          <w:tcPr>
            <w:tcW w:w="1281" w:type="dxa"/>
            <w:shd w:val="clear" w:color="auto" w:fill="BFBFBF" w:themeFill="background1" w:themeFillShade="BF"/>
            <w:hideMark/>
          </w:tcPr>
          <w:p w14:paraId="75BD3129" w14:textId="77777777" w:rsidR="00A77618" w:rsidRPr="00602D84" w:rsidRDefault="00A77618" w:rsidP="00D73A92">
            <w:pPr>
              <w:pStyle w:val="Tableheadingrow1"/>
              <w:jc w:val="both"/>
              <w:rPr>
                <w:color w:val="auto"/>
                <w:sz w:val="20"/>
                <w:szCs w:val="20"/>
              </w:rPr>
            </w:pPr>
            <w:r w:rsidRPr="00602D84">
              <w:rPr>
                <w:color w:val="auto"/>
                <w:sz w:val="20"/>
                <w:szCs w:val="20"/>
              </w:rPr>
              <w:t>No</w:t>
            </w:r>
          </w:p>
        </w:tc>
      </w:tr>
      <w:tr w:rsidR="00A77618" w14:paraId="3C76E531" w14:textId="77777777" w:rsidTr="00602D84">
        <w:trPr>
          <w:cnfStyle w:val="000000010000" w:firstRow="0" w:lastRow="0" w:firstColumn="0" w:lastColumn="0" w:oddVBand="0" w:evenVBand="0" w:oddHBand="0" w:evenHBand="1" w:firstRowFirstColumn="0" w:firstRowLastColumn="0" w:lastRowFirstColumn="0" w:lastRowLastColumn="0"/>
          <w:cantSplit/>
        </w:trPr>
        <w:tc>
          <w:tcPr>
            <w:tcW w:w="851" w:type="dxa"/>
            <w:hideMark/>
          </w:tcPr>
          <w:p w14:paraId="756F63EF" w14:textId="77777777" w:rsidR="00A77618" w:rsidRPr="00602D84" w:rsidRDefault="00A77618" w:rsidP="00D73A92">
            <w:pPr>
              <w:pStyle w:val="Tablesinglespacedparagraph"/>
              <w:keepNext/>
              <w:jc w:val="both"/>
              <w:rPr>
                <w:sz w:val="20"/>
                <w:szCs w:val="20"/>
              </w:rPr>
            </w:pPr>
            <w:r w:rsidRPr="00602D84">
              <w:rPr>
                <w:sz w:val="20"/>
                <w:szCs w:val="20"/>
              </w:rPr>
              <w:t>2022</w:t>
            </w:r>
          </w:p>
        </w:tc>
        <w:tc>
          <w:tcPr>
            <w:tcW w:w="3282" w:type="dxa"/>
            <w:hideMark/>
          </w:tcPr>
          <w:p w14:paraId="4D59B957" w14:textId="77777777" w:rsidR="00A77618" w:rsidRPr="00602D84" w:rsidRDefault="00A77618" w:rsidP="00D73A92">
            <w:pPr>
              <w:pStyle w:val="Tablesinglespacedparagraph"/>
              <w:keepNext/>
              <w:jc w:val="both"/>
              <w:rPr>
                <w:sz w:val="20"/>
                <w:szCs w:val="20"/>
              </w:rPr>
            </w:pPr>
            <w:r w:rsidRPr="00602D84">
              <w:rPr>
                <w:sz w:val="20"/>
                <w:szCs w:val="20"/>
              </w:rPr>
              <w:t>Otago Corrections Facility</w:t>
            </w:r>
          </w:p>
        </w:tc>
        <w:tc>
          <w:tcPr>
            <w:tcW w:w="1280" w:type="dxa"/>
            <w:hideMark/>
          </w:tcPr>
          <w:p w14:paraId="06281FA4" w14:textId="77777777" w:rsidR="00A77618" w:rsidRPr="00602D84" w:rsidRDefault="00A77618" w:rsidP="00D73A92">
            <w:pPr>
              <w:pStyle w:val="Tablesinglespacedparagraph"/>
              <w:keepNext/>
              <w:jc w:val="both"/>
              <w:rPr>
                <w:sz w:val="20"/>
                <w:szCs w:val="20"/>
              </w:rPr>
            </w:pPr>
            <w:r w:rsidRPr="00602D84">
              <w:rPr>
                <w:sz w:val="20"/>
                <w:szCs w:val="20"/>
              </w:rPr>
              <w:t>67% (109)</w:t>
            </w:r>
          </w:p>
        </w:tc>
        <w:tc>
          <w:tcPr>
            <w:tcW w:w="1281" w:type="dxa"/>
            <w:hideMark/>
          </w:tcPr>
          <w:p w14:paraId="4C5292AC" w14:textId="77777777" w:rsidR="00A77618" w:rsidRPr="00602D84" w:rsidRDefault="00A77618" w:rsidP="00D73A92">
            <w:pPr>
              <w:pStyle w:val="Tablesinglespacedparagraph"/>
              <w:keepNext/>
              <w:jc w:val="both"/>
              <w:rPr>
                <w:sz w:val="20"/>
                <w:szCs w:val="20"/>
              </w:rPr>
            </w:pPr>
            <w:r w:rsidRPr="00602D84">
              <w:rPr>
                <w:sz w:val="20"/>
                <w:szCs w:val="20"/>
              </w:rPr>
              <w:t>33% (82)</w:t>
            </w:r>
          </w:p>
        </w:tc>
        <w:tc>
          <w:tcPr>
            <w:tcW w:w="1280" w:type="dxa"/>
            <w:hideMark/>
          </w:tcPr>
          <w:p w14:paraId="16D19DE3" w14:textId="77777777" w:rsidR="00A77618" w:rsidRPr="00602D84" w:rsidRDefault="00A77618" w:rsidP="00D73A92">
            <w:pPr>
              <w:pStyle w:val="Tablesinglespacedparagraph"/>
              <w:keepNext/>
              <w:jc w:val="both"/>
              <w:rPr>
                <w:sz w:val="20"/>
                <w:szCs w:val="20"/>
              </w:rPr>
            </w:pPr>
            <w:r w:rsidRPr="00602D84">
              <w:rPr>
                <w:sz w:val="20"/>
                <w:szCs w:val="20"/>
              </w:rPr>
              <w:t>23% (25)</w:t>
            </w:r>
          </w:p>
        </w:tc>
        <w:tc>
          <w:tcPr>
            <w:tcW w:w="1281" w:type="dxa"/>
            <w:hideMark/>
          </w:tcPr>
          <w:p w14:paraId="02A2D94C" w14:textId="77777777" w:rsidR="00A77618" w:rsidRPr="00602D84" w:rsidRDefault="00A77618" w:rsidP="00D73A92">
            <w:pPr>
              <w:pStyle w:val="Tablesinglespacedparagraph"/>
              <w:keepNext/>
              <w:jc w:val="both"/>
              <w:rPr>
                <w:sz w:val="20"/>
                <w:szCs w:val="20"/>
              </w:rPr>
            </w:pPr>
            <w:r w:rsidRPr="00602D84">
              <w:rPr>
                <w:sz w:val="20"/>
                <w:szCs w:val="20"/>
              </w:rPr>
              <w:t>77% (82)</w:t>
            </w:r>
          </w:p>
        </w:tc>
      </w:tr>
      <w:tr w:rsidR="00A77618" w14:paraId="6C8C6C8F" w14:textId="77777777" w:rsidTr="00602D84">
        <w:trPr>
          <w:cnfStyle w:val="000000100000" w:firstRow="0" w:lastRow="0" w:firstColumn="0" w:lastColumn="0" w:oddVBand="0" w:evenVBand="0" w:oddHBand="1" w:evenHBand="0" w:firstRowFirstColumn="0" w:firstRowLastColumn="0" w:lastRowFirstColumn="0" w:lastRowLastColumn="0"/>
          <w:cantSplit/>
        </w:trPr>
        <w:tc>
          <w:tcPr>
            <w:tcW w:w="851" w:type="dxa"/>
            <w:hideMark/>
          </w:tcPr>
          <w:p w14:paraId="38436591" w14:textId="77777777" w:rsidR="00A77618" w:rsidRPr="00602D84" w:rsidRDefault="00A77618" w:rsidP="008E66C6">
            <w:pPr>
              <w:pStyle w:val="Tablesinglespacedparagraph"/>
              <w:jc w:val="both"/>
              <w:rPr>
                <w:sz w:val="20"/>
                <w:szCs w:val="20"/>
              </w:rPr>
            </w:pPr>
            <w:r w:rsidRPr="00602D84">
              <w:rPr>
                <w:sz w:val="20"/>
                <w:szCs w:val="20"/>
              </w:rPr>
              <w:t>2020</w:t>
            </w:r>
          </w:p>
        </w:tc>
        <w:tc>
          <w:tcPr>
            <w:tcW w:w="3282" w:type="dxa"/>
            <w:hideMark/>
          </w:tcPr>
          <w:p w14:paraId="0C9C3136" w14:textId="77777777" w:rsidR="00A77618" w:rsidRPr="00602D84" w:rsidRDefault="00A77618" w:rsidP="008E66C6">
            <w:pPr>
              <w:pStyle w:val="Tablesinglespacedparagraph"/>
              <w:jc w:val="both"/>
              <w:rPr>
                <w:sz w:val="20"/>
                <w:szCs w:val="20"/>
              </w:rPr>
            </w:pPr>
            <w:r w:rsidRPr="00602D84">
              <w:rPr>
                <w:sz w:val="20"/>
                <w:szCs w:val="20"/>
              </w:rPr>
              <w:t xml:space="preserve">Auckland Prison </w:t>
            </w:r>
          </w:p>
        </w:tc>
        <w:tc>
          <w:tcPr>
            <w:tcW w:w="1280" w:type="dxa"/>
            <w:hideMark/>
          </w:tcPr>
          <w:p w14:paraId="5F18ADAC" w14:textId="77777777" w:rsidR="00A77618" w:rsidRPr="00602D84" w:rsidRDefault="00A77618" w:rsidP="008E66C6">
            <w:pPr>
              <w:pStyle w:val="Tablesinglespacedparagraph"/>
              <w:jc w:val="both"/>
              <w:rPr>
                <w:sz w:val="20"/>
                <w:szCs w:val="20"/>
              </w:rPr>
            </w:pPr>
            <w:r w:rsidRPr="00602D84">
              <w:rPr>
                <w:sz w:val="20"/>
                <w:szCs w:val="20"/>
              </w:rPr>
              <w:t>55% (140)</w:t>
            </w:r>
          </w:p>
        </w:tc>
        <w:tc>
          <w:tcPr>
            <w:tcW w:w="1281" w:type="dxa"/>
            <w:hideMark/>
          </w:tcPr>
          <w:p w14:paraId="50CB7D25" w14:textId="77777777" w:rsidR="00A77618" w:rsidRPr="00602D84" w:rsidRDefault="00A77618" w:rsidP="008E66C6">
            <w:pPr>
              <w:pStyle w:val="Tablesinglespacedparagraph"/>
              <w:jc w:val="both"/>
              <w:rPr>
                <w:sz w:val="20"/>
                <w:szCs w:val="20"/>
              </w:rPr>
            </w:pPr>
            <w:r w:rsidRPr="00602D84">
              <w:rPr>
                <w:sz w:val="20"/>
                <w:szCs w:val="20"/>
              </w:rPr>
              <w:t>45% (115)</w:t>
            </w:r>
          </w:p>
        </w:tc>
        <w:tc>
          <w:tcPr>
            <w:tcW w:w="1280" w:type="dxa"/>
            <w:hideMark/>
          </w:tcPr>
          <w:p w14:paraId="298CD03B" w14:textId="77777777" w:rsidR="00A77618" w:rsidRPr="00602D84" w:rsidRDefault="00A77618" w:rsidP="008E66C6">
            <w:pPr>
              <w:pStyle w:val="Tablesinglespacedparagraph"/>
              <w:jc w:val="both"/>
              <w:rPr>
                <w:sz w:val="20"/>
                <w:szCs w:val="20"/>
              </w:rPr>
            </w:pPr>
            <w:r w:rsidRPr="00602D84">
              <w:rPr>
                <w:sz w:val="20"/>
                <w:szCs w:val="20"/>
              </w:rPr>
              <w:t>27% (35)</w:t>
            </w:r>
          </w:p>
        </w:tc>
        <w:tc>
          <w:tcPr>
            <w:tcW w:w="1281" w:type="dxa"/>
            <w:hideMark/>
          </w:tcPr>
          <w:p w14:paraId="1A1D2E78" w14:textId="77777777" w:rsidR="00A77618" w:rsidRPr="00602D84" w:rsidRDefault="00A77618" w:rsidP="008E66C6">
            <w:pPr>
              <w:pStyle w:val="Tablesinglespacedparagraph"/>
              <w:jc w:val="both"/>
              <w:rPr>
                <w:sz w:val="20"/>
                <w:szCs w:val="20"/>
              </w:rPr>
            </w:pPr>
            <w:r w:rsidRPr="00602D84">
              <w:rPr>
                <w:sz w:val="20"/>
                <w:szCs w:val="20"/>
              </w:rPr>
              <w:t>73% (94)</w:t>
            </w:r>
          </w:p>
        </w:tc>
      </w:tr>
      <w:tr w:rsidR="00A77618" w14:paraId="62911801" w14:textId="77777777" w:rsidTr="00602D84">
        <w:trPr>
          <w:cnfStyle w:val="000000010000" w:firstRow="0" w:lastRow="0" w:firstColumn="0" w:lastColumn="0" w:oddVBand="0" w:evenVBand="0" w:oddHBand="0" w:evenHBand="1" w:firstRowFirstColumn="0" w:firstRowLastColumn="0" w:lastRowFirstColumn="0" w:lastRowLastColumn="0"/>
          <w:cantSplit/>
        </w:trPr>
        <w:tc>
          <w:tcPr>
            <w:tcW w:w="851" w:type="dxa"/>
            <w:hideMark/>
          </w:tcPr>
          <w:p w14:paraId="622DA847" w14:textId="77777777" w:rsidR="00A77618" w:rsidRPr="00602D84" w:rsidRDefault="00A77618" w:rsidP="008E66C6">
            <w:pPr>
              <w:pStyle w:val="Tablesinglespacedparagraph"/>
              <w:jc w:val="both"/>
              <w:rPr>
                <w:sz w:val="20"/>
                <w:szCs w:val="20"/>
              </w:rPr>
            </w:pPr>
            <w:r w:rsidRPr="00602D84">
              <w:rPr>
                <w:sz w:val="20"/>
                <w:szCs w:val="20"/>
              </w:rPr>
              <w:t>2020</w:t>
            </w:r>
          </w:p>
        </w:tc>
        <w:tc>
          <w:tcPr>
            <w:tcW w:w="3282" w:type="dxa"/>
            <w:hideMark/>
          </w:tcPr>
          <w:p w14:paraId="0C9D8F3A" w14:textId="77777777" w:rsidR="00A77618" w:rsidRPr="00602D84" w:rsidRDefault="00A77618" w:rsidP="008E66C6">
            <w:pPr>
              <w:pStyle w:val="Tablesinglespacedparagraph"/>
              <w:jc w:val="both"/>
              <w:rPr>
                <w:sz w:val="20"/>
                <w:szCs w:val="20"/>
              </w:rPr>
            </w:pPr>
            <w:proofErr w:type="spellStart"/>
            <w:r w:rsidRPr="00602D84">
              <w:rPr>
                <w:sz w:val="20"/>
                <w:szCs w:val="20"/>
              </w:rPr>
              <w:t>Waikeria</w:t>
            </w:r>
            <w:proofErr w:type="spellEnd"/>
            <w:r w:rsidRPr="00602D84">
              <w:rPr>
                <w:sz w:val="20"/>
                <w:szCs w:val="20"/>
              </w:rPr>
              <w:t xml:space="preserve"> Prison</w:t>
            </w:r>
          </w:p>
        </w:tc>
        <w:tc>
          <w:tcPr>
            <w:tcW w:w="1280" w:type="dxa"/>
            <w:hideMark/>
          </w:tcPr>
          <w:p w14:paraId="138C58F9" w14:textId="77777777" w:rsidR="00A77618" w:rsidRPr="00602D84" w:rsidRDefault="00A77618" w:rsidP="008E66C6">
            <w:pPr>
              <w:pStyle w:val="Tablesinglespacedparagraph"/>
              <w:jc w:val="both"/>
              <w:rPr>
                <w:sz w:val="20"/>
                <w:szCs w:val="20"/>
              </w:rPr>
            </w:pPr>
            <w:r w:rsidRPr="00602D84">
              <w:rPr>
                <w:sz w:val="20"/>
                <w:szCs w:val="20"/>
              </w:rPr>
              <w:t>52% (183)</w:t>
            </w:r>
          </w:p>
        </w:tc>
        <w:tc>
          <w:tcPr>
            <w:tcW w:w="1281" w:type="dxa"/>
            <w:hideMark/>
          </w:tcPr>
          <w:p w14:paraId="0A3E0514" w14:textId="77777777" w:rsidR="00A77618" w:rsidRPr="00602D84" w:rsidRDefault="00A77618" w:rsidP="008E66C6">
            <w:pPr>
              <w:pStyle w:val="Tablesinglespacedparagraph"/>
              <w:jc w:val="both"/>
              <w:rPr>
                <w:sz w:val="20"/>
                <w:szCs w:val="20"/>
              </w:rPr>
            </w:pPr>
            <w:r w:rsidRPr="00602D84">
              <w:rPr>
                <w:sz w:val="20"/>
                <w:szCs w:val="20"/>
              </w:rPr>
              <w:t>48% (168)</w:t>
            </w:r>
          </w:p>
        </w:tc>
        <w:tc>
          <w:tcPr>
            <w:tcW w:w="1280" w:type="dxa"/>
            <w:hideMark/>
          </w:tcPr>
          <w:p w14:paraId="085581B9" w14:textId="77777777" w:rsidR="00A77618" w:rsidRPr="00602D84" w:rsidRDefault="00A77618" w:rsidP="008E66C6">
            <w:pPr>
              <w:pStyle w:val="Tablesinglespacedparagraph"/>
              <w:jc w:val="both"/>
              <w:rPr>
                <w:sz w:val="20"/>
                <w:szCs w:val="20"/>
              </w:rPr>
            </w:pPr>
            <w:r w:rsidRPr="00602D84">
              <w:rPr>
                <w:sz w:val="20"/>
                <w:szCs w:val="20"/>
              </w:rPr>
              <w:t>26% (45)</w:t>
            </w:r>
          </w:p>
        </w:tc>
        <w:tc>
          <w:tcPr>
            <w:tcW w:w="1281" w:type="dxa"/>
            <w:hideMark/>
          </w:tcPr>
          <w:p w14:paraId="535E4530" w14:textId="77777777" w:rsidR="00A77618" w:rsidRPr="00602D84" w:rsidRDefault="00A77618" w:rsidP="008E66C6">
            <w:pPr>
              <w:pStyle w:val="Tablesinglespacedparagraph"/>
              <w:jc w:val="both"/>
              <w:rPr>
                <w:sz w:val="20"/>
                <w:szCs w:val="20"/>
              </w:rPr>
            </w:pPr>
            <w:r w:rsidRPr="00602D84">
              <w:rPr>
                <w:sz w:val="20"/>
                <w:szCs w:val="20"/>
              </w:rPr>
              <w:t>74% (130)</w:t>
            </w:r>
          </w:p>
        </w:tc>
      </w:tr>
      <w:tr w:rsidR="00A77618" w14:paraId="0393E79E" w14:textId="77777777" w:rsidTr="00602D84">
        <w:trPr>
          <w:cnfStyle w:val="000000100000" w:firstRow="0" w:lastRow="0" w:firstColumn="0" w:lastColumn="0" w:oddVBand="0" w:evenVBand="0" w:oddHBand="1" w:evenHBand="0" w:firstRowFirstColumn="0" w:firstRowLastColumn="0" w:lastRowFirstColumn="0" w:lastRowLastColumn="0"/>
          <w:cantSplit/>
        </w:trPr>
        <w:tc>
          <w:tcPr>
            <w:tcW w:w="851" w:type="dxa"/>
            <w:hideMark/>
          </w:tcPr>
          <w:p w14:paraId="7352C8D5" w14:textId="77777777" w:rsidR="00A77618" w:rsidRPr="00602D84" w:rsidRDefault="00A77618" w:rsidP="008E66C6">
            <w:pPr>
              <w:pStyle w:val="Tablesinglespacedparagraph"/>
              <w:jc w:val="both"/>
              <w:rPr>
                <w:sz w:val="20"/>
                <w:szCs w:val="20"/>
              </w:rPr>
            </w:pPr>
            <w:r w:rsidRPr="00602D84">
              <w:rPr>
                <w:sz w:val="20"/>
                <w:szCs w:val="20"/>
              </w:rPr>
              <w:t>2019</w:t>
            </w:r>
          </w:p>
        </w:tc>
        <w:tc>
          <w:tcPr>
            <w:tcW w:w="3282" w:type="dxa"/>
            <w:hideMark/>
          </w:tcPr>
          <w:p w14:paraId="49EF97DA" w14:textId="77777777" w:rsidR="00A77618" w:rsidRPr="00602D84" w:rsidRDefault="00A77618" w:rsidP="008E66C6">
            <w:pPr>
              <w:pStyle w:val="Tablesinglespacedparagraph"/>
              <w:jc w:val="both"/>
              <w:rPr>
                <w:sz w:val="20"/>
                <w:szCs w:val="20"/>
              </w:rPr>
            </w:pPr>
            <w:r w:rsidRPr="00602D84">
              <w:rPr>
                <w:sz w:val="20"/>
                <w:szCs w:val="20"/>
              </w:rPr>
              <w:t>Tongariro Prison</w:t>
            </w:r>
          </w:p>
        </w:tc>
        <w:tc>
          <w:tcPr>
            <w:tcW w:w="1280" w:type="dxa"/>
            <w:hideMark/>
          </w:tcPr>
          <w:p w14:paraId="07A1656F" w14:textId="77777777" w:rsidR="00A77618" w:rsidRPr="00602D84" w:rsidRDefault="00A77618" w:rsidP="008E66C6">
            <w:pPr>
              <w:pStyle w:val="Tablesinglespacedparagraph"/>
              <w:jc w:val="both"/>
              <w:rPr>
                <w:sz w:val="20"/>
                <w:szCs w:val="20"/>
              </w:rPr>
            </w:pPr>
            <w:r w:rsidRPr="00602D84">
              <w:rPr>
                <w:sz w:val="20"/>
                <w:szCs w:val="20"/>
              </w:rPr>
              <w:t>43% (82)</w:t>
            </w:r>
          </w:p>
        </w:tc>
        <w:tc>
          <w:tcPr>
            <w:tcW w:w="1281" w:type="dxa"/>
            <w:hideMark/>
          </w:tcPr>
          <w:p w14:paraId="55BD01A1" w14:textId="77777777" w:rsidR="00A77618" w:rsidRPr="00602D84" w:rsidRDefault="00A77618" w:rsidP="008E66C6">
            <w:pPr>
              <w:pStyle w:val="Tablesinglespacedparagraph"/>
              <w:jc w:val="both"/>
              <w:rPr>
                <w:sz w:val="20"/>
                <w:szCs w:val="20"/>
              </w:rPr>
            </w:pPr>
            <w:r w:rsidRPr="00602D84">
              <w:rPr>
                <w:sz w:val="20"/>
                <w:szCs w:val="20"/>
              </w:rPr>
              <w:t>57% (110)</w:t>
            </w:r>
          </w:p>
        </w:tc>
        <w:tc>
          <w:tcPr>
            <w:tcW w:w="1280" w:type="dxa"/>
            <w:hideMark/>
          </w:tcPr>
          <w:p w14:paraId="4EF46111" w14:textId="77777777" w:rsidR="00A77618" w:rsidRPr="00602D84" w:rsidRDefault="00A77618" w:rsidP="008E66C6">
            <w:pPr>
              <w:pStyle w:val="Tablesinglespacedparagraph"/>
              <w:jc w:val="both"/>
              <w:rPr>
                <w:sz w:val="20"/>
                <w:szCs w:val="20"/>
              </w:rPr>
            </w:pPr>
            <w:r w:rsidRPr="00602D84">
              <w:rPr>
                <w:sz w:val="20"/>
                <w:szCs w:val="20"/>
              </w:rPr>
              <w:t>39% (31)</w:t>
            </w:r>
          </w:p>
        </w:tc>
        <w:tc>
          <w:tcPr>
            <w:tcW w:w="1281" w:type="dxa"/>
            <w:hideMark/>
          </w:tcPr>
          <w:p w14:paraId="103CB261" w14:textId="77777777" w:rsidR="00A77618" w:rsidRPr="00602D84" w:rsidRDefault="00A77618" w:rsidP="008E66C6">
            <w:pPr>
              <w:pStyle w:val="Tablesinglespacedparagraph"/>
              <w:jc w:val="both"/>
              <w:rPr>
                <w:sz w:val="20"/>
                <w:szCs w:val="20"/>
              </w:rPr>
            </w:pPr>
            <w:r w:rsidRPr="00602D84">
              <w:rPr>
                <w:sz w:val="20"/>
                <w:szCs w:val="20"/>
              </w:rPr>
              <w:t>61% (49)</w:t>
            </w:r>
          </w:p>
        </w:tc>
      </w:tr>
      <w:tr w:rsidR="00A77618" w14:paraId="7880AE91" w14:textId="77777777" w:rsidTr="00602D84">
        <w:trPr>
          <w:cnfStyle w:val="000000010000" w:firstRow="0" w:lastRow="0" w:firstColumn="0" w:lastColumn="0" w:oddVBand="0" w:evenVBand="0" w:oddHBand="0" w:evenHBand="1" w:firstRowFirstColumn="0" w:firstRowLastColumn="0" w:lastRowFirstColumn="0" w:lastRowLastColumn="0"/>
          <w:cantSplit/>
        </w:trPr>
        <w:tc>
          <w:tcPr>
            <w:tcW w:w="851" w:type="dxa"/>
            <w:hideMark/>
          </w:tcPr>
          <w:p w14:paraId="5C294A99" w14:textId="77777777" w:rsidR="00A77618" w:rsidRPr="00602D84" w:rsidRDefault="00A77618" w:rsidP="008E66C6">
            <w:pPr>
              <w:pStyle w:val="Tablesinglespacedparagraph"/>
              <w:jc w:val="both"/>
              <w:rPr>
                <w:sz w:val="20"/>
                <w:szCs w:val="20"/>
              </w:rPr>
            </w:pPr>
            <w:r w:rsidRPr="00602D84">
              <w:rPr>
                <w:sz w:val="20"/>
                <w:szCs w:val="20"/>
              </w:rPr>
              <w:t>2019</w:t>
            </w:r>
          </w:p>
        </w:tc>
        <w:tc>
          <w:tcPr>
            <w:tcW w:w="3282" w:type="dxa"/>
            <w:hideMark/>
          </w:tcPr>
          <w:p w14:paraId="371FC43F" w14:textId="77777777" w:rsidR="00A77618" w:rsidRPr="00602D84" w:rsidRDefault="00A77618" w:rsidP="008E66C6">
            <w:pPr>
              <w:pStyle w:val="Tablesinglespacedparagraph"/>
              <w:jc w:val="both"/>
              <w:rPr>
                <w:sz w:val="20"/>
                <w:szCs w:val="20"/>
              </w:rPr>
            </w:pPr>
            <w:r w:rsidRPr="00602D84">
              <w:rPr>
                <w:sz w:val="20"/>
                <w:szCs w:val="20"/>
              </w:rPr>
              <w:t>Northland Region Corrections Facility</w:t>
            </w:r>
          </w:p>
        </w:tc>
        <w:tc>
          <w:tcPr>
            <w:tcW w:w="1280" w:type="dxa"/>
            <w:hideMark/>
          </w:tcPr>
          <w:p w14:paraId="58B8779B" w14:textId="77777777" w:rsidR="00A77618" w:rsidRPr="00602D84" w:rsidRDefault="00A77618" w:rsidP="008E66C6">
            <w:pPr>
              <w:pStyle w:val="Tablesinglespacedparagraph"/>
              <w:jc w:val="both"/>
              <w:rPr>
                <w:sz w:val="20"/>
                <w:szCs w:val="20"/>
              </w:rPr>
            </w:pPr>
            <w:r w:rsidRPr="00602D84">
              <w:rPr>
                <w:sz w:val="20"/>
                <w:szCs w:val="20"/>
              </w:rPr>
              <w:t>41% (164)</w:t>
            </w:r>
          </w:p>
        </w:tc>
        <w:tc>
          <w:tcPr>
            <w:tcW w:w="1281" w:type="dxa"/>
            <w:hideMark/>
          </w:tcPr>
          <w:p w14:paraId="37D16387" w14:textId="77777777" w:rsidR="00A77618" w:rsidRPr="00602D84" w:rsidRDefault="00A77618" w:rsidP="008E66C6">
            <w:pPr>
              <w:pStyle w:val="Tablesinglespacedparagraph"/>
              <w:jc w:val="both"/>
              <w:rPr>
                <w:sz w:val="20"/>
                <w:szCs w:val="20"/>
              </w:rPr>
            </w:pPr>
            <w:r w:rsidRPr="00602D84">
              <w:rPr>
                <w:sz w:val="20"/>
                <w:szCs w:val="20"/>
              </w:rPr>
              <w:t>59% (235)</w:t>
            </w:r>
          </w:p>
        </w:tc>
        <w:tc>
          <w:tcPr>
            <w:tcW w:w="1280" w:type="dxa"/>
            <w:hideMark/>
          </w:tcPr>
          <w:p w14:paraId="76E4134C" w14:textId="77777777" w:rsidR="00A77618" w:rsidRPr="00602D84" w:rsidRDefault="00A77618" w:rsidP="008E66C6">
            <w:pPr>
              <w:pStyle w:val="Tablesinglespacedparagraph"/>
              <w:jc w:val="both"/>
              <w:rPr>
                <w:sz w:val="20"/>
                <w:szCs w:val="20"/>
              </w:rPr>
            </w:pPr>
            <w:r w:rsidRPr="00602D84">
              <w:rPr>
                <w:sz w:val="20"/>
                <w:szCs w:val="20"/>
              </w:rPr>
              <w:t>25% (39)</w:t>
            </w:r>
          </w:p>
        </w:tc>
        <w:tc>
          <w:tcPr>
            <w:tcW w:w="1281" w:type="dxa"/>
            <w:hideMark/>
          </w:tcPr>
          <w:p w14:paraId="26C541F9" w14:textId="77777777" w:rsidR="00A77618" w:rsidRPr="00602D84" w:rsidRDefault="00A77618" w:rsidP="008E66C6">
            <w:pPr>
              <w:pStyle w:val="Tablesinglespacedparagraph"/>
              <w:jc w:val="both"/>
              <w:rPr>
                <w:sz w:val="20"/>
                <w:szCs w:val="20"/>
              </w:rPr>
            </w:pPr>
            <w:r w:rsidRPr="00602D84">
              <w:rPr>
                <w:sz w:val="20"/>
                <w:szCs w:val="20"/>
              </w:rPr>
              <w:t>75% (119)</w:t>
            </w:r>
          </w:p>
        </w:tc>
      </w:tr>
      <w:tr w:rsidR="00A77618" w14:paraId="106FC942" w14:textId="77777777" w:rsidTr="00602D84">
        <w:trPr>
          <w:cnfStyle w:val="000000100000" w:firstRow="0" w:lastRow="0" w:firstColumn="0" w:lastColumn="0" w:oddVBand="0" w:evenVBand="0" w:oddHBand="1" w:evenHBand="0" w:firstRowFirstColumn="0" w:firstRowLastColumn="0" w:lastRowFirstColumn="0" w:lastRowLastColumn="0"/>
          <w:cantSplit/>
        </w:trPr>
        <w:tc>
          <w:tcPr>
            <w:tcW w:w="851" w:type="dxa"/>
            <w:hideMark/>
          </w:tcPr>
          <w:p w14:paraId="7BB5EAF5" w14:textId="77777777" w:rsidR="00A77618" w:rsidRPr="00602D84" w:rsidRDefault="00A77618" w:rsidP="008E66C6">
            <w:pPr>
              <w:pStyle w:val="Tablesinglespacedparagraph"/>
              <w:jc w:val="both"/>
              <w:rPr>
                <w:sz w:val="20"/>
                <w:szCs w:val="20"/>
              </w:rPr>
            </w:pPr>
            <w:r w:rsidRPr="00602D84">
              <w:rPr>
                <w:sz w:val="20"/>
                <w:szCs w:val="20"/>
              </w:rPr>
              <w:t>2019</w:t>
            </w:r>
          </w:p>
        </w:tc>
        <w:tc>
          <w:tcPr>
            <w:tcW w:w="3282" w:type="dxa"/>
            <w:hideMark/>
          </w:tcPr>
          <w:p w14:paraId="0D03A3A1" w14:textId="77777777" w:rsidR="00A77618" w:rsidRPr="00602D84" w:rsidRDefault="00A77618" w:rsidP="008E66C6">
            <w:pPr>
              <w:pStyle w:val="Tablesinglespacedparagraph"/>
              <w:jc w:val="both"/>
              <w:rPr>
                <w:sz w:val="20"/>
                <w:szCs w:val="20"/>
              </w:rPr>
            </w:pPr>
            <w:r w:rsidRPr="00602D84">
              <w:rPr>
                <w:sz w:val="20"/>
                <w:szCs w:val="20"/>
              </w:rPr>
              <w:t>Auckland South Corrections Facility</w:t>
            </w:r>
          </w:p>
        </w:tc>
        <w:tc>
          <w:tcPr>
            <w:tcW w:w="1280" w:type="dxa"/>
            <w:hideMark/>
          </w:tcPr>
          <w:p w14:paraId="5FA91D3F" w14:textId="77777777" w:rsidR="00A77618" w:rsidRPr="00602D84" w:rsidRDefault="00A77618" w:rsidP="008E66C6">
            <w:pPr>
              <w:pStyle w:val="Tablesinglespacedparagraph"/>
              <w:jc w:val="both"/>
              <w:rPr>
                <w:sz w:val="20"/>
                <w:szCs w:val="20"/>
              </w:rPr>
            </w:pPr>
            <w:r w:rsidRPr="00602D84">
              <w:rPr>
                <w:sz w:val="20"/>
                <w:szCs w:val="20"/>
              </w:rPr>
              <w:t>38% (209)</w:t>
            </w:r>
          </w:p>
        </w:tc>
        <w:tc>
          <w:tcPr>
            <w:tcW w:w="1281" w:type="dxa"/>
            <w:hideMark/>
          </w:tcPr>
          <w:p w14:paraId="75D3D7D8" w14:textId="77777777" w:rsidR="00A77618" w:rsidRPr="00602D84" w:rsidRDefault="00A77618" w:rsidP="008E66C6">
            <w:pPr>
              <w:pStyle w:val="Tablesinglespacedparagraph"/>
              <w:jc w:val="both"/>
              <w:rPr>
                <w:sz w:val="20"/>
                <w:szCs w:val="20"/>
              </w:rPr>
            </w:pPr>
            <w:r w:rsidRPr="00602D84">
              <w:rPr>
                <w:sz w:val="20"/>
                <w:szCs w:val="20"/>
              </w:rPr>
              <w:t>62% (338)</w:t>
            </w:r>
          </w:p>
        </w:tc>
        <w:tc>
          <w:tcPr>
            <w:tcW w:w="1280" w:type="dxa"/>
            <w:hideMark/>
          </w:tcPr>
          <w:p w14:paraId="5B0C7121" w14:textId="77777777" w:rsidR="00A77618" w:rsidRPr="00602D84" w:rsidRDefault="00A77618" w:rsidP="008E66C6">
            <w:pPr>
              <w:pStyle w:val="Tablesinglespacedparagraph"/>
              <w:jc w:val="both"/>
              <w:rPr>
                <w:sz w:val="20"/>
                <w:szCs w:val="20"/>
              </w:rPr>
            </w:pPr>
            <w:r w:rsidRPr="00602D84">
              <w:rPr>
                <w:sz w:val="20"/>
                <w:szCs w:val="20"/>
              </w:rPr>
              <w:t>19% (39)</w:t>
            </w:r>
          </w:p>
        </w:tc>
        <w:tc>
          <w:tcPr>
            <w:tcW w:w="1281" w:type="dxa"/>
            <w:hideMark/>
          </w:tcPr>
          <w:p w14:paraId="075CDBFA" w14:textId="77777777" w:rsidR="00A77618" w:rsidRPr="00602D84" w:rsidRDefault="00A77618" w:rsidP="008E66C6">
            <w:pPr>
              <w:pStyle w:val="Tablesinglespacedparagraph"/>
              <w:jc w:val="both"/>
              <w:rPr>
                <w:sz w:val="20"/>
                <w:szCs w:val="20"/>
              </w:rPr>
            </w:pPr>
            <w:r w:rsidRPr="00602D84">
              <w:rPr>
                <w:sz w:val="20"/>
                <w:szCs w:val="20"/>
              </w:rPr>
              <w:t>81% (163)</w:t>
            </w:r>
          </w:p>
        </w:tc>
      </w:tr>
      <w:tr w:rsidR="00A77618" w14:paraId="73569521" w14:textId="77777777" w:rsidTr="00602D84">
        <w:trPr>
          <w:cnfStyle w:val="000000010000" w:firstRow="0" w:lastRow="0" w:firstColumn="0" w:lastColumn="0" w:oddVBand="0" w:evenVBand="0" w:oddHBand="0" w:evenHBand="1" w:firstRowFirstColumn="0" w:firstRowLastColumn="0" w:lastRowFirstColumn="0" w:lastRowLastColumn="0"/>
          <w:cantSplit/>
        </w:trPr>
        <w:tc>
          <w:tcPr>
            <w:tcW w:w="851" w:type="dxa"/>
            <w:hideMark/>
          </w:tcPr>
          <w:p w14:paraId="2B88AEBD" w14:textId="77777777" w:rsidR="00A77618" w:rsidRPr="00602D84" w:rsidRDefault="00A77618" w:rsidP="008E66C6">
            <w:pPr>
              <w:pStyle w:val="Tablesinglespacedparagraph"/>
              <w:jc w:val="both"/>
              <w:rPr>
                <w:sz w:val="20"/>
                <w:szCs w:val="20"/>
              </w:rPr>
            </w:pPr>
            <w:r w:rsidRPr="00602D84">
              <w:rPr>
                <w:sz w:val="20"/>
                <w:szCs w:val="20"/>
              </w:rPr>
              <w:t>2018</w:t>
            </w:r>
          </w:p>
        </w:tc>
        <w:tc>
          <w:tcPr>
            <w:tcW w:w="3282" w:type="dxa"/>
            <w:hideMark/>
          </w:tcPr>
          <w:p w14:paraId="35A44042" w14:textId="77777777" w:rsidR="00A77618" w:rsidRPr="00602D84" w:rsidRDefault="00A77618" w:rsidP="008E66C6">
            <w:pPr>
              <w:pStyle w:val="Tablesinglespacedparagraph"/>
              <w:jc w:val="both"/>
              <w:rPr>
                <w:sz w:val="20"/>
                <w:szCs w:val="20"/>
              </w:rPr>
            </w:pPr>
            <w:proofErr w:type="spellStart"/>
            <w:r w:rsidRPr="00602D84">
              <w:rPr>
                <w:sz w:val="20"/>
                <w:szCs w:val="20"/>
              </w:rPr>
              <w:t>Arohata</w:t>
            </w:r>
            <w:proofErr w:type="spellEnd"/>
            <w:r w:rsidRPr="00602D84">
              <w:rPr>
                <w:sz w:val="20"/>
                <w:szCs w:val="20"/>
              </w:rPr>
              <w:t xml:space="preserve"> (Upper Prison)</w:t>
            </w:r>
          </w:p>
        </w:tc>
        <w:tc>
          <w:tcPr>
            <w:tcW w:w="1280" w:type="dxa"/>
            <w:hideMark/>
          </w:tcPr>
          <w:p w14:paraId="7941F545" w14:textId="77777777" w:rsidR="00A77618" w:rsidRPr="00602D84" w:rsidRDefault="00A77618" w:rsidP="008E66C6">
            <w:pPr>
              <w:pStyle w:val="Tablesinglespacedparagraph"/>
              <w:jc w:val="both"/>
              <w:rPr>
                <w:sz w:val="20"/>
                <w:szCs w:val="20"/>
              </w:rPr>
            </w:pPr>
            <w:r w:rsidRPr="00602D84">
              <w:rPr>
                <w:sz w:val="20"/>
                <w:szCs w:val="20"/>
              </w:rPr>
              <w:t>58% (41)</w:t>
            </w:r>
          </w:p>
        </w:tc>
        <w:tc>
          <w:tcPr>
            <w:tcW w:w="1281" w:type="dxa"/>
            <w:hideMark/>
          </w:tcPr>
          <w:p w14:paraId="726B5B57" w14:textId="77777777" w:rsidR="00A77618" w:rsidRPr="00602D84" w:rsidRDefault="00A77618" w:rsidP="008E66C6">
            <w:pPr>
              <w:pStyle w:val="Tablesinglespacedparagraph"/>
              <w:jc w:val="both"/>
              <w:rPr>
                <w:sz w:val="20"/>
                <w:szCs w:val="20"/>
              </w:rPr>
            </w:pPr>
            <w:r w:rsidRPr="00602D84">
              <w:rPr>
                <w:sz w:val="20"/>
                <w:szCs w:val="20"/>
              </w:rPr>
              <w:t>42% (30)</w:t>
            </w:r>
          </w:p>
        </w:tc>
        <w:tc>
          <w:tcPr>
            <w:tcW w:w="1280" w:type="dxa"/>
            <w:hideMark/>
          </w:tcPr>
          <w:p w14:paraId="1B9BFB70" w14:textId="77777777" w:rsidR="00A77618" w:rsidRPr="00602D84" w:rsidRDefault="00A77618" w:rsidP="008E66C6">
            <w:pPr>
              <w:pStyle w:val="Tablesinglespacedparagraph"/>
              <w:jc w:val="both"/>
              <w:rPr>
                <w:sz w:val="20"/>
                <w:szCs w:val="20"/>
              </w:rPr>
            </w:pPr>
            <w:r w:rsidRPr="00602D84">
              <w:rPr>
                <w:sz w:val="20"/>
                <w:szCs w:val="20"/>
              </w:rPr>
              <w:t>29% (11)</w:t>
            </w:r>
          </w:p>
        </w:tc>
        <w:tc>
          <w:tcPr>
            <w:tcW w:w="1281" w:type="dxa"/>
            <w:hideMark/>
          </w:tcPr>
          <w:p w14:paraId="4A09C1A4" w14:textId="77777777" w:rsidR="00A77618" w:rsidRPr="00602D84" w:rsidRDefault="00A77618" w:rsidP="008E66C6">
            <w:pPr>
              <w:pStyle w:val="Tablesinglespacedparagraph"/>
              <w:jc w:val="both"/>
              <w:rPr>
                <w:sz w:val="20"/>
                <w:szCs w:val="20"/>
              </w:rPr>
            </w:pPr>
            <w:r w:rsidRPr="00602D84">
              <w:rPr>
                <w:sz w:val="20"/>
                <w:szCs w:val="20"/>
              </w:rPr>
              <w:t>71% (27)</w:t>
            </w:r>
          </w:p>
        </w:tc>
      </w:tr>
      <w:tr w:rsidR="00A77618" w14:paraId="13686819" w14:textId="77777777" w:rsidTr="00602D84">
        <w:trPr>
          <w:cnfStyle w:val="000000100000" w:firstRow="0" w:lastRow="0" w:firstColumn="0" w:lastColumn="0" w:oddVBand="0" w:evenVBand="0" w:oddHBand="1" w:evenHBand="0" w:firstRowFirstColumn="0" w:firstRowLastColumn="0" w:lastRowFirstColumn="0" w:lastRowLastColumn="0"/>
          <w:cantSplit/>
        </w:trPr>
        <w:tc>
          <w:tcPr>
            <w:tcW w:w="851" w:type="dxa"/>
            <w:hideMark/>
          </w:tcPr>
          <w:p w14:paraId="5BA40A0C" w14:textId="77777777" w:rsidR="00A77618" w:rsidRPr="00602D84" w:rsidRDefault="00A77618" w:rsidP="008E66C6">
            <w:pPr>
              <w:pStyle w:val="Tablesinglespacedparagraph"/>
              <w:jc w:val="both"/>
              <w:rPr>
                <w:sz w:val="20"/>
                <w:szCs w:val="20"/>
              </w:rPr>
            </w:pPr>
            <w:r w:rsidRPr="00602D84">
              <w:rPr>
                <w:sz w:val="20"/>
                <w:szCs w:val="20"/>
              </w:rPr>
              <w:t>2017</w:t>
            </w:r>
          </w:p>
        </w:tc>
        <w:tc>
          <w:tcPr>
            <w:tcW w:w="3282" w:type="dxa"/>
            <w:hideMark/>
          </w:tcPr>
          <w:p w14:paraId="3F226053" w14:textId="77777777" w:rsidR="00A77618" w:rsidRPr="00602D84" w:rsidRDefault="00A77618" w:rsidP="008E66C6">
            <w:pPr>
              <w:pStyle w:val="Tablesinglespacedparagraph"/>
              <w:jc w:val="both"/>
              <w:rPr>
                <w:sz w:val="20"/>
                <w:szCs w:val="20"/>
              </w:rPr>
            </w:pPr>
            <w:r w:rsidRPr="00602D84">
              <w:rPr>
                <w:sz w:val="20"/>
                <w:szCs w:val="20"/>
              </w:rPr>
              <w:t>Christchurch Men’s Prison</w:t>
            </w:r>
          </w:p>
        </w:tc>
        <w:tc>
          <w:tcPr>
            <w:tcW w:w="1280" w:type="dxa"/>
            <w:hideMark/>
          </w:tcPr>
          <w:p w14:paraId="24D6348F" w14:textId="77777777" w:rsidR="00A77618" w:rsidRPr="00602D84" w:rsidRDefault="00A77618" w:rsidP="008E66C6">
            <w:pPr>
              <w:pStyle w:val="Tablesinglespacedparagraph"/>
              <w:jc w:val="both"/>
              <w:rPr>
                <w:sz w:val="20"/>
                <w:szCs w:val="20"/>
              </w:rPr>
            </w:pPr>
            <w:r w:rsidRPr="00602D84">
              <w:rPr>
                <w:sz w:val="20"/>
                <w:szCs w:val="20"/>
              </w:rPr>
              <w:t>47% (234)</w:t>
            </w:r>
          </w:p>
        </w:tc>
        <w:tc>
          <w:tcPr>
            <w:tcW w:w="1281" w:type="dxa"/>
            <w:hideMark/>
          </w:tcPr>
          <w:p w14:paraId="48AB14B6" w14:textId="77777777" w:rsidR="00A77618" w:rsidRPr="00602D84" w:rsidRDefault="00A77618" w:rsidP="008E66C6">
            <w:pPr>
              <w:pStyle w:val="Tablesinglespacedparagraph"/>
              <w:jc w:val="both"/>
              <w:rPr>
                <w:sz w:val="20"/>
                <w:szCs w:val="20"/>
              </w:rPr>
            </w:pPr>
            <w:r w:rsidRPr="00602D84">
              <w:rPr>
                <w:sz w:val="20"/>
                <w:szCs w:val="20"/>
              </w:rPr>
              <w:t>53% (263)</w:t>
            </w:r>
          </w:p>
        </w:tc>
        <w:tc>
          <w:tcPr>
            <w:tcW w:w="1280" w:type="dxa"/>
            <w:hideMark/>
          </w:tcPr>
          <w:p w14:paraId="66465DE3" w14:textId="77777777" w:rsidR="00A77618" w:rsidRPr="00602D84" w:rsidRDefault="00A77618" w:rsidP="008E66C6">
            <w:pPr>
              <w:pStyle w:val="Tablesinglespacedparagraph"/>
              <w:jc w:val="both"/>
              <w:rPr>
                <w:sz w:val="20"/>
                <w:szCs w:val="20"/>
              </w:rPr>
            </w:pPr>
            <w:r w:rsidRPr="00602D84">
              <w:rPr>
                <w:sz w:val="20"/>
                <w:szCs w:val="20"/>
              </w:rPr>
              <w:t>24% (61)</w:t>
            </w:r>
          </w:p>
        </w:tc>
        <w:tc>
          <w:tcPr>
            <w:tcW w:w="1281" w:type="dxa"/>
            <w:hideMark/>
          </w:tcPr>
          <w:p w14:paraId="348CAA27" w14:textId="77777777" w:rsidR="00A77618" w:rsidRPr="00602D84" w:rsidRDefault="00A77618" w:rsidP="008E66C6">
            <w:pPr>
              <w:pStyle w:val="Tablesinglespacedparagraph"/>
              <w:jc w:val="both"/>
              <w:rPr>
                <w:sz w:val="20"/>
                <w:szCs w:val="20"/>
              </w:rPr>
            </w:pPr>
            <w:r w:rsidRPr="00602D84">
              <w:rPr>
                <w:sz w:val="20"/>
                <w:szCs w:val="20"/>
              </w:rPr>
              <w:t>76% (193)</w:t>
            </w:r>
          </w:p>
        </w:tc>
      </w:tr>
      <w:tr w:rsidR="00A77618" w14:paraId="5A6EA3E2" w14:textId="77777777" w:rsidTr="00602D84">
        <w:trPr>
          <w:cnfStyle w:val="000000010000" w:firstRow="0" w:lastRow="0" w:firstColumn="0" w:lastColumn="0" w:oddVBand="0" w:evenVBand="0" w:oddHBand="0" w:evenHBand="1" w:firstRowFirstColumn="0" w:firstRowLastColumn="0" w:lastRowFirstColumn="0" w:lastRowLastColumn="0"/>
          <w:cantSplit/>
        </w:trPr>
        <w:tc>
          <w:tcPr>
            <w:tcW w:w="4133" w:type="dxa"/>
            <w:gridSpan w:val="2"/>
            <w:hideMark/>
          </w:tcPr>
          <w:p w14:paraId="276E36F7" w14:textId="77777777" w:rsidR="00A77618" w:rsidRPr="00602D84" w:rsidRDefault="00A77618" w:rsidP="008E66C6">
            <w:pPr>
              <w:pStyle w:val="Tablesinglespacedparagraph"/>
              <w:jc w:val="both"/>
              <w:rPr>
                <w:b/>
                <w:sz w:val="20"/>
                <w:szCs w:val="20"/>
              </w:rPr>
            </w:pPr>
            <w:r w:rsidRPr="00602D84">
              <w:rPr>
                <w:b/>
                <w:sz w:val="20"/>
                <w:szCs w:val="20"/>
              </w:rPr>
              <w:t>Average:</w:t>
            </w:r>
          </w:p>
        </w:tc>
        <w:tc>
          <w:tcPr>
            <w:tcW w:w="1280" w:type="dxa"/>
            <w:hideMark/>
          </w:tcPr>
          <w:p w14:paraId="4A3F57D4" w14:textId="77777777" w:rsidR="00A77618" w:rsidRPr="00602D84" w:rsidRDefault="00A77618" w:rsidP="008E66C6">
            <w:pPr>
              <w:pStyle w:val="Tablesinglespacedparagraph"/>
              <w:jc w:val="both"/>
              <w:rPr>
                <w:b/>
                <w:sz w:val="20"/>
                <w:szCs w:val="20"/>
              </w:rPr>
            </w:pPr>
            <w:r w:rsidRPr="00602D84">
              <w:rPr>
                <w:b/>
                <w:sz w:val="20"/>
                <w:szCs w:val="20"/>
              </w:rPr>
              <w:t>50%</w:t>
            </w:r>
          </w:p>
        </w:tc>
        <w:tc>
          <w:tcPr>
            <w:tcW w:w="1281" w:type="dxa"/>
            <w:hideMark/>
          </w:tcPr>
          <w:p w14:paraId="7B193F65" w14:textId="77777777" w:rsidR="00A77618" w:rsidRPr="00602D84" w:rsidRDefault="00A77618" w:rsidP="008E66C6">
            <w:pPr>
              <w:pStyle w:val="Tablesinglespacedparagraph"/>
              <w:jc w:val="both"/>
              <w:rPr>
                <w:b/>
                <w:sz w:val="20"/>
                <w:szCs w:val="20"/>
              </w:rPr>
            </w:pPr>
            <w:r w:rsidRPr="00602D84">
              <w:rPr>
                <w:b/>
                <w:sz w:val="20"/>
                <w:szCs w:val="20"/>
              </w:rPr>
              <w:t>50%</w:t>
            </w:r>
          </w:p>
        </w:tc>
        <w:tc>
          <w:tcPr>
            <w:tcW w:w="1280" w:type="dxa"/>
            <w:hideMark/>
          </w:tcPr>
          <w:p w14:paraId="12A20EAA" w14:textId="77777777" w:rsidR="00A77618" w:rsidRPr="00602D84" w:rsidRDefault="00A77618" w:rsidP="008E66C6">
            <w:pPr>
              <w:pStyle w:val="Tablesinglespacedparagraph"/>
              <w:jc w:val="both"/>
              <w:rPr>
                <w:b/>
                <w:sz w:val="20"/>
                <w:szCs w:val="20"/>
              </w:rPr>
            </w:pPr>
            <w:r w:rsidRPr="00602D84">
              <w:rPr>
                <w:b/>
                <w:sz w:val="20"/>
                <w:szCs w:val="20"/>
              </w:rPr>
              <w:t>26%</w:t>
            </w:r>
          </w:p>
        </w:tc>
        <w:tc>
          <w:tcPr>
            <w:tcW w:w="1281" w:type="dxa"/>
            <w:hideMark/>
          </w:tcPr>
          <w:p w14:paraId="6E1944BB" w14:textId="77777777" w:rsidR="00A77618" w:rsidRPr="00602D84" w:rsidRDefault="00A77618" w:rsidP="008E66C6">
            <w:pPr>
              <w:pStyle w:val="Tablesinglespacedparagraph"/>
              <w:jc w:val="both"/>
              <w:rPr>
                <w:b/>
                <w:sz w:val="20"/>
                <w:szCs w:val="20"/>
              </w:rPr>
            </w:pPr>
            <w:r w:rsidRPr="00602D84">
              <w:rPr>
                <w:b/>
                <w:sz w:val="20"/>
                <w:szCs w:val="20"/>
              </w:rPr>
              <w:t>74%</w:t>
            </w:r>
          </w:p>
        </w:tc>
      </w:tr>
    </w:tbl>
    <w:p w14:paraId="6191E8F2" w14:textId="77777777" w:rsidR="00A77618" w:rsidRDefault="00A77618" w:rsidP="008E66C6">
      <w:pPr>
        <w:jc w:val="both"/>
        <w:rPr>
          <w:rFonts w:cstheme="minorHAnsi"/>
        </w:rPr>
      </w:pPr>
    </w:p>
    <w:p w14:paraId="2CDDCDA8" w14:textId="77777777" w:rsidR="00DD27B4" w:rsidRPr="00DA0A8A" w:rsidRDefault="00DD27B4" w:rsidP="008E66C6">
      <w:pPr>
        <w:keepNext/>
        <w:jc w:val="both"/>
        <w:rPr>
          <w:i/>
          <w:iCs/>
          <w:color w:val="44546A" w:themeColor="text2"/>
        </w:rPr>
      </w:pPr>
      <w:r w:rsidRPr="00DA0A8A">
        <w:rPr>
          <w:i/>
          <w:iCs/>
          <w:color w:val="44546A" w:themeColor="text2"/>
        </w:rPr>
        <w:t>Police custodial settings</w:t>
      </w:r>
    </w:p>
    <w:p w14:paraId="05C42D21" w14:textId="6DC5E316" w:rsidR="007D20AA" w:rsidRDefault="002D2B63" w:rsidP="008E66C6">
      <w:pPr>
        <w:numPr>
          <w:ilvl w:val="0"/>
          <w:numId w:val="1"/>
        </w:numPr>
        <w:ind w:hanging="502"/>
        <w:jc w:val="both"/>
      </w:pPr>
      <w:r w:rsidRPr="0023528D">
        <w:t>Police are regularly required to respond to situations where there are concerns for a person’s mental health. Police have powers to detain</w:t>
      </w:r>
      <w:r w:rsidRPr="0023528D">
        <w:rPr>
          <w:vertAlign w:val="superscript"/>
        </w:rPr>
        <w:footnoteReference w:id="42"/>
      </w:r>
      <w:r w:rsidR="007D20AA">
        <w:t xml:space="preserve"> </w:t>
      </w:r>
      <w:r w:rsidRPr="0023528D">
        <w:t xml:space="preserve">a person they believe is </w:t>
      </w:r>
      <w:r w:rsidRPr="0023528D">
        <w:rPr>
          <w:i/>
          <w:iCs/>
        </w:rPr>
        <w:t>“mentally disordered”</w:t>
      </w:r>
      <w:r w:rsidRPr="0023528D">
        <w:t xml:space="preserve"> so that they can be taken to a “</w:t>
      </w:r>
      <w:r w:rsidRPr="0023528D">
        <w:rPr>
          <w:i/>
          <w:iCs/>
        </w:rPr>
        <w:t>Police station, hospital, or surgery, or to some other appropriate place”</w:t>
      </w:r>
      <w:r w:rsidRPr="0023528D">
        <w:t xml:space="preserve"> for a mental health assessment. </w:t>
      </w:r>
      <w:r w:rsidR="00C025E9">
        <w:t>T</w:t>
      </w:r>
      <w:r w:rsidR="007D20AA">
        <w:t>he IPCA</w:t>
      </w:r>
      <w:r w:rsidRPr="0023528D">
        <w:t xml:space="preserve"> regularly see</w:t>
      </w:r>
      <w:r w:rsidR="007D20AA">
        <w:t>s</w:t>
      </w:r>
      <w:r w:rsidRPr="0023528D">
        <w:t xml:space="preserve"> people being taken to a Police custody unit to await the arrival of a mental health assessment team rather than being taken to a hospital or dedicated mental health facility. It is </w:t>
      </w:r>
      <w:r w:rsidR="007D20AA">
        <w:t>the IPCA’s</w:t>
      </w:r>
      <w:r w:rsidRPr="0023528D">
        <w:t xml:space="preserve"> view that Police custody units are not suitable environments for mental health assessments and that Police should be able to take a person detained under the Mental Health Act to a medical facility instead. </w:t>
      </w:r>
    </w:p>
    <w:p w14:paraId="07EEBBE1" w14:textId="68222E22" w:rsidR="00DD27B4" w:rsidRDefault="007D20AA" w:rsidP="008E66C6">
      <w:pPr>
        <w:numPr>
          <w:ilvl w:val="0"/>
          <w:numId w:val="1"/>
        </w:numPr>
        <w:ind w:hanging="502"/>
        <w:jc w:val="both"/>
      </w:pPr>
      <w:r>
        <w:t>The IPCA has</w:t>
      </w:r>
      <w:r w:rsidR="002D2B63" w:rsidRPr="0023528D">
        <w:t xml:space="preserve"> examined the number of mental health detentions across the 12 Policing districts and note that in Auckland</w:t>
      </w:r>
      <w:r w:rsidR="002D2B63" w:rsidRPr="0023528D">
        <w:rPr>
          <w:vertAlign w:val="superscript"/>
        </w:rPr>
        <w:footnoteReference w:id="43"/>
      </w:r>
      <w:r w:rsidR="002D2B63" w:rsidRPr="0023528D">
        <w:t xml:space="preserve"> very few people are taken to the Police cells. This is due to local arrangements with health authorities who have agreements in place with Police that people should be taken to hospital. </w:t>
      </w:r>
      <w:r w:rsidR="006D5FFC">
        <w:t>The IPCA</w:t>
      </w:r>
      <w:r w:rsidR="002D2B63" w:rsidRPr="0023528D">
        <w:t xml:space="preserve"> would like to see similar arrangements put in place whenever possible in other parts of the country. </w:t>
      </w:r>
    </w:p>
    <w:p w14:paraId="6CAA69CC" w14:textId="77777777" w:rsidR="00DD27B4" w:rsidRDefault="00DD27B4" w:rsidP="008E66C6">
      <w:pPr>
        <w:keepNext/>
        <w:jc w:val="both"/>
      </w:pPr>
      <w:r>
        <w:rPr>
          <w:i/>
          <w:iCs/>
          <w:color w:val="44546A" w:themeColor="text2"/>
        </w:rPr>
        <w:t>C</w:t>
      </w:r>
      <w:r w:rsidRPr="00DA0A8A">
        <w:rPr>
          <w:i/>
          <w:iCs/>
          <w:color w:val="44546A" w:themeColor="text2"/>
        </w:rPr>
        <w:t xml:space="preserve">are and protection, youth justice and mental health </w:t>
      </w:r>
      <w:r>
        <w:rPr>
          <w:i/>
          <w:iCs/>
          <w:color w:val="44546A" w:themeColor="text2"/>
        </w:rPr>
        <w:t>settings for children and young people</w:t>
      </w:r>
      <w:r>
        <w:t xml:space="preserve"> </w:t>
      </w:r>
    </w:p>
    <w:p w14:paraId="60A9A6C0" w14:textId="4297A536" w:rsidR="00DD27B4" w:rsidRPr="008359C6" w:rsidRDefault="00DD27B4" w:rsidP="008E66C6">
      <w:pPr>
        <w:pStyle w:val="ListParagraph"/>
        <w:numPr>
          <w:ilvl w:val="0"/>
          <w:numId w:val="1"/>
        </w:numPr>
        <w:ind w:hanging="502"/>
        <w:jc w:val="both"/>
      </w:pPr>
      <w:r>
        <w:rPr>
          <w:lang w:val="en-US"/>
        </w:rPr>
        <w:t xml:space="preserve">The Children’s Commissioner has observed that there is </w:t>
      </w:r>
      <w:r w:rsidRPr="00F70655">
        <w:t xml:space="preserve">a lack of specialist intervention and care for </w:t>
      </w:r>
      <w:r w:rsidR="009418C8">
        <w:t>children and young people</w:t>
      </w:r>
      <w:r w:rsidR="009418C8" w:rsidRPr="00F70655">
        <w:t xml:space="preserve"> </w:t>
      </w:r>
      <w:r w:rsidRPr="00F70655">
        <w:t xml:space="preserve">with mental health needs, neurodiversity, disabilities, and other high and complex needs. This need is not being met by facilities and they are often treated as behavioural issues (due to the lack of training to support). Additionally, </w:t>
      </w:r>
      <w:r w:rsidR="008359C6">
        <w:t>the Children’s Commissioners has observed that there</w:t>
      </w:r>
      <w:r w:rsidRPr="00F70655">
        <w:t xml:space="preserve"> are limited transitional or community mental health services to support </w:t>
      </w:r>
      <w:r w:rsidR="009418C8">
        <w:t>children and young people</w:t>
      </w:r>
      <w:r w:rsidR="009418C8" w:rsidRPr="00F70655">
        <w:t xml:space="preserve"> </w:t>
      </w:r>
      <w:r w:rsidRPr="00F70655">
        <w:t xml:space="preserve">once they transition out of </w:t>
      </w:r>
      <w:r w:rsidR="009418C8">
        <w:t>secure</w:t>
      </w:r>
      <w:r w:rsidR="009418C8" w:rsidRPr="00F70655">
        <w:t xml:space="preserve"> </w:t>
      </w:r>
      <w:r w:rsidRPr="00F70655">
        <w:t>facilities.</w:t>
      </w:r>
    </w:p>
    <w:p w14:paraId="676F0677" w14:textId="77777777" w:rsidR="00DD27B4" w:rsidRPr="00DA0A8A" w:rsidRDefault="00DD27B4" w:rsidP="008E66C6">
      <w:pPr>
        <w:keepNext/>
        <w:jc w:val="both"/>
        <w:rPr>
          <w:i/>
          <w:iCs/>
          <w:color w:val="44546A" w:themeColor="text2"/>
        </w:rPr>
      </w:pPr>
      <w:r>
        <w:rPr>
          <w:i/>
          <w:iCs/>
          <w:color w:val="44546A" w:themeColor="text2"/>
        </w:rPr>
        <w:t>NZDF detention facilities</w:t>
      </w:r>
    </w:p>
    <w:p w14:paraId="45DA62B6" w14:textId="36CEF645" w:rsidR="003551B2" w:rsidRDefault="00811E6D" w:rsidP="008E66C6">
      <w:pPr>
        <w:pStyle w:val="ListParagraph"/>
        <w:numPr>
          <w:ilvl w:val="0"/>
          <w:numId w:val="1"/>
        </w:numPr>
        <w:ind w:hanging="502"/>
        <w:contextualSpacing w:val="0"/>
        <w:jc w:val="both"/>
      </w:pPr>
      <w:r>
        <w:t>The IPSE</w:t>
      </w:r>
      <w:r w:rsidR="00EF77EF">
        <w:t xml:space="preserve"> considers</w:t>
      </w:r>
      <w:r>
        <w:t xml:space="preserve"> </w:t>
      </w:r>
      <w:r w:rsidR="00C65155">
        <w:t xml:space="preserve">the </w:t>
      </w:r>
      <w:r w:rsidR="00C65155" w:rsidRPr="00C65155">
        <w:t xml:space="preserve">SCE </w:t>
      </w:r>
      <w:r w:rsidR="00EF77EF">
        <w:t>has made good</w:t>
      </w:r>
      <w:r w:rsidR="00C65155" w:rsidRPr="00C65155">
        <w:t xml:space="preserve"> progress in establishing robust processes to assist individuals dealing with mental health concerns. Staff have received some professional development in this area through the Mental Health Education and Resource Centre.  SCE is also well</w:t>
      </w:r>
      <w:r w:rsidR="00613575">
        <w:t>-</w:t>
      </w:r>
      <w:r w:rsidR="00C65155" w:rsidRPr="00C65155">
        <w:t>placed to utilise the full suite of internal and external support network as part of its rehabilitation/reintegration programme. One notable aspect of assisting in this area is the community service work that the detainees do regularly.</w:t>
      </w:r>
      <w:r w:rsidR="006F216E">
        <w:t xml:space="preserve"> </w:t>
      </w:r>
      <w:r w:rsidR="00C65155" w:rsidRPr="00C65155">
        <w:t>Helping others freely seems to help the wellbeing of detainees.</w:t>
      </w:r>
    </w:p>
    <w:p w14:paraId="6D9F1DC0" w14:textId="1FFE54A5" w:rsidR="006F216E" w:rsidRDefault="006F216E" w:rsidP="008E66C6">
      <w:pPr>
        <w:pStyle w:val="ListParagraph"/>
        <w:numPr>
          <w:ilvl w:val="0"/>
          <w:numId w:val="1"/>
        </w:numPr>
        <w:ind w:hanging="502"/>
        <w:jc w:val="both"/>
      </w:pPr>
      <w:r>
        <w:rPr>
          <w:b/>
          <w:bCs/>
        </w:rPr>
        <w:t>The Committee may wish to make further inquiries with the Government as to the</w:t>
      </w:r>
      <w:r w:rsidR="007D20AA">
        <w:rPr>
          <w:b/>
          <w:bCs/>
        </w:rPr>
        <w:t xml:space="preserve"> timely, </w:t>
      </w:r>
      <w:proofErr w:type="gramStart"/>
      <w:r w:rsidR="007D20AA">
        <w:rPr>
          <w:b/>
          <w:bCs/>
        </w:rPr>
        <w:t>effective</w:t>
      </w:r>
      <w:proofErr w:type="gramEnd"/>
      <w:r w:rsidR="007D20AA">
        <w:rPr>
          <w:b/>
          <w:bCs/>
        </w:rPr>
        <w:t xml:space="preserve"> and measurable</w:t>
      </w:r>
      <w:r>
        <w:rPr>
          <w:b/>
          <w:bCs/>
        </w:rPr>
        <w:t xml:space="preserve"> steps </w:t>
      </w:r>
      <w:r w:rsidR="004823EF">
        <w:rPr>
          <w:b/>
          <w:bCs/>
        </w:rPr>
        <w:t>it is taking</w:t>
      </w:r>
      <w:r>
        <w:rPr>
          <w:b/>
          <w:bCs/>
        </w:rPr>
        <w:t xml:space="preserve"> to </w:t>
      </w:r>
      <w:r w:rsidR="004823EF">
        <w:rPr>
          <w:b/>
          <w:bCs/>
        </w:rPr>
        <w:t xml:space="preserve">ensure all </w:t>
      </w:r>
      <w:r w:rsidR="007D20AA">
        <w:rPr>
          <w:b/>
          <w:bCs/>
        </w:rPr>
        <w:t xml:space="preserve">of its </w:t>
      </w:r>
      <w:r w:rsidR="004823EF">
        <w:rPr>
          <w:b/>
          <w:bCs/>
        </w:rPr>
        <w:t xml:space="preserve">detaining agencies are equipped to </w:t>
      </w:r>
      <w:r>
        <w:rPr>
          <w:b/>
          <w:bCs/>
        </w:rPr>
        <w:t>provide adequate mental health support to persons deprived of their liberty in Aotearoa</w:t>
      </w:r>
      <w:r w:rsidR="00B05698">
        <w:rPr>
          <w:b/>
          <w:bCs/>
        </w:rPr>
        <w:t xml:space="preserve"> </w:t>
      </w:r>
      <w:r w:rsidR="00B05698" w:rsidRPr="00B05698">
        <w:rPr>
          <w:b/>
          <w:bCs/>
        </w:rPr>
        <w:t>New Zealand</w:t>
      </w:r>
      <w:r>
        <w:rPr>
          <w:b/>
          <w:bCs/>
        </w:rPr>
        <w:t xml:space="preserve">. </w:t>
      </w:r>
    </w:p>
    <w:p w14:paraId="3C696B33" w14:textId="5D0EB584" w:rsidR="00DA0A8A" w:rsidRPr="00DA0A8A" w:rsidRDefault="00DA0A8A" w:rsidP="008E66C6">
      <w:pPr>
        <w:pStyle w:val="Heading3"/>
        <w:keepLines w:val="0"/>
        <w:jc w:val="both"/>
      </w:pPr>
      <w:bookmarkStart w:id="56" w:name="_Toc137480611"/>
      <w:r>
        <w:t>Material conditions of places of detention</w:t>
      </w:r>
      <w:bookmarkEnd w:id="56"/>
    </w:p>
    <w:p w14:paraId="7D9E2358" w14:textId="77777777" w:rsidR="00DA0A8A" w:rsidRPr="00DA0A8A" w:rsidRDefault="00DA0A8A" w:rsidP="008E66C6">
      <w:pPr>
        <w:keepNext/>
        <w:jc w:val="both"/>
        <w:rPr>
          <w:i/>
          <w:iCs/>
          <w:color w:val="44546A" w:themeColor="text2"/>
        </w:rPr>
      </w:pPr>
      <w:r w:rsidRPr="00DA0A8A">
        <w:rPr>
          <w:i/>
          <w:iCs/>
          <w:color w:val="44546A" w:themeColor="text2"/>
        </w:rPr>
        <w:t>Health and disability places of detention</w:t>
      </w:r>
    </w:p>
    <w:p w14:paraId="4C851687" w14:textId="4EA9D545" w:rsidR="00613575" w:rsidRDefault="00DA0A8A" w:rsidP="008E66C6">
      <w:pPr>
        <w:pStyle w:val="ListParagraph"/>
        <w:numPr>
          <w:ilvl w:val="0"/>
          <w:numId w:val="1"/>
        </w:numPr>
        <w:ind w:hanging="502"/>
        <w:contextualSpacing w:val="0"/>
        <w:jc w:val="both"/>
      </w:pPr>
      <w:r w:rsidRPr="00DA0A8A">
        <w:t xml:space="preserve">The material conditions of health and disability places of detention continue to be of </w:t>
      </w:r>
      <w:r w:rsidR="00D054FB">
        <w:t xml:space="preserve">serious </w:t>
      </w:r>
      <w:r w:rsidRPr="00DA0A8A">
        <w:t xml:space="preserve">concern </w:t>
      </w:r>
      <w:r w:rsidR="00D054FB">
        <w:t>to</w:t>
      </w:r>
      <w:r w:rsidR="00D054FB" w:rsidRPr="00DA0A8A">
        <w:t xml:space="preserve"> </w:t>
      </w:r>
      <w:r w:rsidRPr="00DA0A8A">
        <w:t xml:space="preserve">the Chief Ombudsman. While </w:t>
      </w:r>
      <w:proofErr w:type="gramStart"/>
      <w:r w:rsidRPr="00DA0A8A">
        <w:t>a number of</w:t>
      </w:r>
      <w:proofErr w:type="gramEnd"/>
      <w:r w:rsidRPr="00DA0A8A">
        <w:t xml:space="preserve"> new health and disability facilities have been commissioned since 2015, the Chief Ombudsman has raised multiple concerns regarding poor material conditions and outdated facilities that negatively impact on the wellbeing of people deprived of liberty.</w:t>
      </w:r>
    </w:p>
    <w:p w14:paraId="46F59248" w14:textId="0B0EA964" w:rsidR="00DA0A8A" w:rsidRDefault="00DA0A8A" w:rsidP="008E66C6">
      <w:pPr>
        <w:pStyle w:val="ListParagraph"/>
        <w:numPr>
          <w:ilvl w:val="0"/>
          <w:numId w:val="1"/>
        </w:numPr>
        <w:ind w:hanging="502"/>
        <w:contextualSpacing w:val="0"/>
        <w:jc w:val="both"/>
      </w:pPr>
      <w:r w:rsidRPr="00DA0A8A">
        <w:t>Specific concerns raised by the Chief Ombudsman across various facilities include:</w:t>
      </w:r>
    </w:p>
    <w:p w14:paraId="204E8252" w14:textId="77777777" w:rsidR="00DA0A8A" w:rsidRDefault="00DA0A8A" w:rsidP="008E66C6">
      <w:pPr>
        <w:pStyle w:val="ListParagraph"/>
        <w:numPr>
          <w:ilvl w:val="1"/>
          <w:numId w:val="1"/>
        </w:numPr>
        <w:contextualSpacing w:val="0"/>
        <w:jc w:val="both"/>
      </w:pPr>
      <w:r w:rsidRPr="00DA0A8A">
        <w:t xml:space="preserve">Poor cleanliness and repair of furniture, fixtures and carpets, and general maintenance </w:t>
      </w:r>
      <w:proofErr w:type="gramStart"/>
      <w:r w:rsidRPr="00DA0A8A">
        <w:t>concerns;</w:t>
      </w:r>
      <w:proofErr w:type="gramEnd"/>
    </w:p>
    <w:p w14:paraId="71D1F201" w14:textId="77777777" w:rsidR="00DA0A8A" w:rsidRDefault="00DA0A8A" w:rsidP="008E66C6">
      <w:pPr>
        <w:pStyle w:val="ListParagraph"/>
        <w:numPr>
          <w:ilvl w:val="1"/>
          <w:numId w:val="1"/>
        </w:numPr>
        <w:contextualSpacing w:val="0"/>
        <w:jc w:val="both"/>
      </w:pPr>
      <w:r w:rsidRPr="00DA0A8A">
        <w:t xml:space="preserve">Layout of facilities that do not enable gender separation or line-of-sight </w:t>
      </w:r>
      <w:proofErr w:type="gramStart"/>
      <w:r w:rsidRPr="00DA0A8A">
        <w:t>supervision;</w:t>
      </w:r>
      <w:proofErr w:type="gramEnd"/>
    </w:p>
    <w:p w14:paraId="4672023C" w14:textId="6A1024FE" w:rsidR="00DA0A8A" w:rsidRDefault="00DA0A8A" w:rsidP="008E66C6">
      <w:pPr>
        <w:pStyle w:val="ListParagraph"/>
        <w:numPr>
          <w:ilvl w:val="1"/>
          <w:numId w:val="1"/>
        </w:numPr>
        <w:contextualSpacing w:val="0"/>
        <w:jc w:val="both"/>
      </w:pPr>
      <w:r w:rsidRPr="00DA0A8A">
        <w:t>Layout and conditions of de-escalation areas and seclusion rooms, including insufficient physical space and natural light,</w:t>
      </w:r>
      <w:r w:rsidR="009F4762">
        <w:t xml:space="preserve"> a lack of access to toilet facilities,</w:t>
      </w:r>
      <w:r w:rsidRPr="00DA0A8A">
        <w:t xml:space="preserve"> the presence of graffiti, and inadequate sound-</w:t>
      </w:r>
      <w:proofErr w:type="gramStart"/>
      <w:r w:rsidRPr="00DA0A8A">
        <w:t>proofing;</w:t>
      </w:r>
      <w:proofErr w:type="gramEnd"/>
    </w:p>
    <w:p w14:paraId="112BE321" w14:textId="7501BB31" w:rsidR="00DA0A8A" w:rsidRDefault="00DA0A8A" w:rsidP="008E66C6">
      <w:pPr>
        <w:pStyle w:val="ListParagraph"/>
        <w:numPr>
          <w:ilvl w:val="1"/>
          <w:numId w:val="1"/>
        </w:numPr>
        <w:contextualSpacing w:val="0"/>
        <w:jc w:val="both"/>
      </w:pPr>
      <w:r w:rsidRPr="00DA0A8A">
        <w:t xml:space="preserve">Lack of privacy blinds or curtains in observation windows of bedrooms, impacting on the privacy of </w:t>
      </w:r>
      <w:r w:rsidR="009F4762">
        <w:t>service users</w:t>
      </w:r>
      <w:r w:rsidRPr="00DA0A8A">
        <w:t>; and</w:t>
      </w:r>
    </w:p>
    <w:p w14:paraId="573B3102" w14:textId="740223FF" w:rsidR="00DA0A8A" w:rsidRDefault="00DA0A8A" w:rsidP="008E66C6">
      <w:pPr>
        <w:pStyle w:val="ListParagraph"/>
        <w:numPr>
          <w:ilvl w:val="1"/>
          <w:numId w:val="1"/>
        </w:numPr>
        <w:contextualSpacing w:val="0"/>
        <w:jc w:val="both"/>
      </w:pPr>
      <w:r w:rsidRPr="00DA0A8A">
        <w:t>Lack of ventilation and/or faulty air conditioning systems.</w:t>
      </w:r>
    </w:p>
    <w:p w14:paraId="3F6E58E6" w14:textId="77777777" w:rsidR="00DA0A8A" w:rsidRDefault="00DA0A8A" w:rsidP="008E66C6">
      <w:pPr>
        <w:pStyle w:val="ListParagraph"/>
        <w:numPr>
          <w:ilvl w:val="0"/>
          <w:numId w:val="1"/>
        </w:numPr>
        <w:ind w:hanging="502"/>
        <w:contextualSpacing w:val="0"/>
        <w:jc w:val="both"/>
      </w:pPr>
      <w:r w:rsidRPr="00DA0A8A">
        <w:t xml:space="preserve">The Chief Ombudsman has highlighted his view that all people accessing health and disability services are entitled, and should expect, to receive health care in a clean, </w:t>
      </w:r>
      <w:proofErr w:type="gramStart"/>
      <w:r w:rsidRPr="00DA0A8A">
        <w:t>safe</w:t>
      </w:r>
      <w:proofErr w:type="gramEnd"/>
      <w:r w:rsidRPr="00DA0A8A">
        <w:t xml:space="preserve"> and well-maintained environment. He is also of the view that health facilities should have accommodation options that meet the needs of all groups, including women, people with disabilities, and otherwise vulnerable individuals.</w:t>
      </w:r>
    </w:p>
    <w:p w14:paraId="5328471A" w14:textId="77777777" w:rsidR="00DA0A8A" w:rsidRPr="00DA0A8A" w:rsidRDefault="00DA0A8A" w:rsidP="008E66C6">
      <w:pPr>
        <w:jc w:val="both"/>
        <w:rPr>
          <w:i/>
          <w:iCs/>
          <w:color w:val="44546A" w:themeColor="text2"/>
        </w:rPr>
      </w:pPr>
      <w:r w:rsidRPr="00DA0A8A">
        <w:rPr>
          <w:i/>
          <w:iCs/>
          <w:color w:val="44546A" w:themeColor="text2"/>
        </w:rPr>
        <w:t>Prisons</w:t>
      </w:r>
    </w:p>
    <w:p w14:paraId="7A8915FD" w14:textId="77777777" w:rsidR="00DA0A8A" w:rsidRDefault="00DA0A8A" w:rsidP="008E66C6">
      <w:pPr>
        <w:pStyle w:val="ListParagraph"/>
        <w:numPr>
          <w:ilvl w:val="0"/>
          <w:numId w:val="1"/>
        </w:numPr>
        <w:ind w:hanging="502"/>
        <w:contextualSpacing w:val="0"/>
        <w:jc w:val="both"/>
      </w:pPr>
      <w:r w:rsidRPr="00DA0A8A">
        <w:t>The Chief Ombudsman has noted a wide variation in accommodation standards both within and between prisons. In many of his OPCAT reports, the Chief Ombudsman has expressed his concerns that while some prison units are no longer fit for purpose and in poor condition, they continue to be used to accommodate people in the custody of the Department of Corrections. Specific concerns raised by the Chief Ombudsman include:</w:t>
      </w:r>
    </w:p>
    <w:p w14:paraId="0EC10E98" w14:textId="77777777" w:rsidR="00DA0A8A" w:rsidRDefault="00DA0A8A" w:rsidP="008E66C6">
      <w:pPr>
        <w:pStyle w:val="ListParagraph"/>
        <w:numPr>
          <w:ilvl w:val="1"/>
          <w:numId w:val="1"/>
        </w:numPr>
        <w:contextualSpacing w:val="0"/>
        <w:jc w:val="both"/>
      </w:pPr>
      <w:r w:rsidRPr="00DA0A8A">
        <w:t xml:space="preserve">A lack of ventilation in cells leading to excessive temperatures, condensation, dampness, and/or the growth of black </w:t>
      </w:r>
      <w:proofErr w:type="gramStart"/>
      <w:r w:rsidRPr="00DA0A8A">
        <w:t>mould;</w:t>
      </w:r>
      <w:proofErr w:type="gramEnd"/>
    </w:p>
    <w:p w14:paraId="05998AE2" w14:textId="77777777" w:rsidR="00DA0A8A" w:rsidRDefault="00DA0A8A" w:rsidP="008E66C6">
      <w:pPr>
        <w:pStyle w:val="ListParagraph"/>
        <w:numPr>
          <w:ilvl w:val="1"/>
          <w:numId w:val="1"/>
        </w:numPr>
        <w:contextualSpacing w:val="0"/>
        <w:jc w:val="both"/>
      </w:pPr>
      <w:r w:rsidRPr="00DA0A8A">
        <w:t>The use of ‘single double’ cells (single cells modified to accommodate two people), resulting in a lack of adequate space for two people and confined conditions; and</w:t>
      </w:r>
    </w:p>
    <w:p w14:paraId="4B25D99B" w14:textId="02D3776F" w:rsidR="00DA0A8A" w:rsidRDefault="00DA0A8A" w:rsidP="008E66C6">
      <w:pPr>
        <w:pStyle w:val="ListParagraph"/>
        <w:numPr>
          <w:ilvl w:val="1"/>
          <w:numId w:val="1"/>
        </w:numPr>
        <w:contextualSpacing w:val="0"/>
        <w:jc w:val="both"/>
      </w:pPr>
      <w:r w:rsidRPr="00DA0A8A">
        <w:t>Cells with flaking paint, excessive graffiti on walls, doors and windows, and a lack of curtains on windows.</w:t>
      </w:r>
    </w:p>
    <w:p w14:paraId="0619F152" w14:textId="3FC1AAE6" w:rsidR="00DA0A8A" w:rsidRDefault="00DA0A8A" w:rsidP="008E66C6">
      <w:pPr>
        <w:pStyle w:val="ListParagraph"/>
        <w:numPr>
          <w:ilvl w:val="0"/>
          <w:numId w:val="1"/>
        </w:numPr>
        <w:ind w:hanging="502"/>
        <w:contextualSpacing w:val="0"/>
        <w:jc w:val="both"/>
      </w:pPr>
      <w:r w:rsidRPr="00DA0A8A">
        <w:t xml:space="preserve">Such standards of accommodation are concerning in and of themselves. The risk of such conditions amounting to cruel, </w:t>
      </w:r>
      <w:proofErr w:type="gramStart"/>
      <w:r w:rsidRPr="00DA0A8A">
        <w:t>inhuman</w:t>
      </w:r>
      <w:proofErr w:type="gramEnd"/>
      <w:r w:rsidRPr="00DA0A8A">
        <w:t xml:space="preserve"> or degrading treatment is further exacerbated by the prolonged periods of time that many people in the custody of the Department spend locked in their cells. This issue is discussed further in the </w:t>
      </w:r>
      <w:r w:rsidR="00085CE9">
        <w:t>separate s</w:t>
      </w:r>
      <w:r w:rsidRPr="00DA0A8A">
        <w:t>ubmission of the Chief Ombudsman to the Committee.</w:t>
      </w:r>
    </w:p>
    <w:p w14:paraId="57FE52FF" w14:textId="41C3644E" w:rsidR="00DA0A8A" w:rsidRPr="00DA0A8A" w:rsidRDefault="00DA0A8A" w:rsidP="008E66C6">
      <w:pPr>
        <w:keepNext/>
        <w:jc w:val="both"/>
        <w:rPr>
          <w:i/>
          <w:iCs/>
          <w:color w:val="44546A" w:themeColor="text2"/>
        </w:rPr>
      </w:pPr>
      <w:r w:rsidRPr="00DA0A8A">
        <w:rPr>
          <w:i/>
          <w:iCs/>
          <w:color w:val="44546A" w:themeColor="text2"/>
        </w:rPr>
        <w:t>Police custodial settings</w:t>
      </w:r>
    </w:p>
    <w:p w14:paraId="731D5FF5" w14:textId="52B5E1A3" w:rsidR="00DA0A8A" w:rsidRDefault="00047BDA" w:rsidP="008E66C6">
      <w:pPr>
        <w:pStyle w:val="ListParagraph"/>
        <w:numPr>
          <w:ilvl w:val="0"/>
          <w:numId w:val="1"/>
        </w:numPr>
        <w:ind w:hanging="502"/>
        <w:contextualSpacing w:val="0"/>
        <w:jc w:val="both"/>
      </w:pPr>
      <w:r>
        <w:rPr>
          <w:rFonts w:cstheme="minorHAnsi"/>
        </w:rPr>
        <w:t xml:space="preserve">The condition of Police cells varies significantly from facility to facility. Poorer conditions are often found in many provincial centres around the country. Many older facilities do not have adequate CCTV coverage, have no call buttons or other means for detainees to seek help in an emergency and the built environment does not meet modern standards. These older facilities do not meet </w:t>
      </w:r>
      <w:r w:rsidR="00916A41">
        <w:rPr>
          <w:rFonts w:cstheme="minorHAnsi"/>
        </w:rPr>
        <w:t>the IPCA’s</w:t>
      </w:r>
      <w:r>
        <w:rPr>
          <w:rFonts w:cstheme="minorHAnsi"/>
        </w:rPr>
        <w:t xml:space="preserve"> NPM expectation that detainees are held in a custody unit that is safe, </w:t>
      </w:r>
      <w:proofErr w:type="gramStart"/>
      <w:r>
        <w:rPr>
          <w:rFonts w:cstheme="minorHAnsi"/>
        </w:rPr>
        <w:t>in  good</w:t>
      </w:r>
      <w:proofErr w:type="gramEnd"/>
      <w:r>
        <w:rPr>
          <w:rFonts w:cstheme="minorHAnsi"/>
        </w:rPr>
        <w:t xml:space="preserve"> condition and that promotes their security, privacy and dignity.</w:t>
      </w:r>
      <w:r w:rsidR="00916A41">
        <w:rPr>
          <w:rFonts w:cstheme="minorHAnsi"/>
        </w:rPr>
        <w:t xml:space="preserve"> The IPCA is </w:t>
      </w:r>
      <w:r>
        <w:rPr>
          <w:rFonts w:cstheme="minorHAnsi"/>
        </w:rPr>
        <w:t xml:space="preserve">concerned that the poor physical environments </w:t>
      </w:r>
      <w:r w:rsidR="00975CEE">
        <w:rPr>
          <w:rFonts w:cstheme="minorHAnsi"/>
        </w:rPr>
        <w:t>can affect</w:t>
      </w:r>
      <w:r>
        <w:rPr>
          <w:rFonts w:cstheme="minorHAnsi"/>
        </w:rPr>
        <w:t xml:space="preserve"> the health and wellbeing of detainees and create additional challenges for staff charged with managing detainees.</w:t>
      </w:r>
    </w:p>
    <w:p w14:paraId="5ADFE425" w14:textId="281693A1" w:rsidR="00DA0A8A" w:rsidRDefault="00DA0A8A" w:rsidP="008E66C6">
      <w:pPr>
        <w:jc w:val="both"/>
      </w:pPr>
      <w:r>
        <w:rPr>
          <w:i/>
          <w:iCs/>
          <w:color w:val="44546A" w:themeColor="text2"/>
        </w:rPr>
        <w:t>C</w:t>
      </w:r>
      <w:r w:rsidRPr="00DA0A8A">
        <w:rPr>
          <w:i/>
          <w:iCs/>
          <w:color w:val="44546A" w:themeColor="text2"/>
        </w:rPr>
        <w:t xml:space="preserve">are and protection, youth justice and mental health </w:t>
      </w:r>
      <w:r w:rsidR="00671CF3">
        <w:rPr>
          <w:i/>
          <w:iCs/>
          <w:color w:val="44546A" w:themeColor="text2"/>
        </w:rPr>
        <w:t>settings for children and young people</w:t>
      </w:r>
      <w:r>
        <w:t xml:space="preserve"> </w:t>
      </w:r>
    </w:p>
    <w:p w14:paraId="5A403502" w14:textId="5E773578" w:rsidR="00DA0A8A" w:rsidRPr="00502BE6" w:rsidRDefault="00DA0A8A" w:rsidP="008E66C6">
      <w:pPr>
        <w:pStyle w:val="ListParagraph"/>
        <w:numPr>
          <w:ilvl w:val="0"/>
          <w:numId w:val="1"/>
        </w:numPr>
        <w:ind w:hanging="502"/>
        <w:contextualSpacing w:val="0"/>
        <w:jc w:val="both"/>
        <w:rPr>
          <w:lang w:val="en-US"/>
        </w:rPr>
      </w:pPr>
      <w:r>
        <w:t xml:space="preserve"> </w:t>
      </w:r>
      <w:r w:rsidR="00F871FA">
        <w:t xml:space="preserve">The Children’s Commissioner has observed that </w:t>
      </w:r>
      <w:proofErr w:type="gramStart"/>
      <w:r w:rsidR="00F871FA">
        <w:t>a number of</w:t>
      </w:r>
      <w:proofErr w:type="gramEnd"/>
      <w:r w:rsidR="00F871FA">
        <w:t xml:space="preserve"> the care and protection, youth justice and mental health settings for children and young people are not </w:t>
      </w:r>
      <w:r w:rsidR="00502BE6" w:rsidRPr="00502BE6">
        <w:rPr>
          <w:lang w:val="en-US"/>
        </w:rPr>
        <w:t>fit for purpose</w:t>
      </w:r>
      <w:r w:rsidR="00F871FA">
        <w:rPr>
          <w:lang w:val="en-US"/>
        </w:rPr>
        <w:t xml:space="preserve">. In particular, the Children’s Commissioner has observed that </w:t>
      </w:r>
      <w:proofErr w:type="gramStart"/>
      <w:r w:rsidR="00F871FA">
        <w:rPr>
          <w:lang w:val="en-US"/>
        </w:rPr>
        <w:t>a number of</w:t>
      </w:r>
      <w:proofErr w:type="gramEnd"/>
      <w:r w:rsidR="00502BE6" w:rsidRPr="00502BE6">
        <w:rPr>
          <w:lang w:val="en-US"/>
        </w:rPr>
        <w:t xml:space="preserve"> </w:t>
      </w:r>
      <w:proofErr w:type="spellStart"/>
      <w:r w:rsidR="00502BE6" w:rsidRPr="00502BE6">
        <w:rPr>
          <w:lang w:val="en-US"/>
        </w:rPr>
        <w:t>Oranga</w:t>
      </w:r>
      <w:proofErr w:type="spellEnd"/>
      <w:r w:rsidR="00502BE6" w:rsidRPr="00502BE6">
        <w:rPr>
          <w:lang w:val="en-US"/>
        </w:rPr>
        <w:t xml:space="preserve"> Tamariki residences are akin to prisons for </w:t>
      </w:r>
      <w:r w:rsidR="009418C8">
        <w:rPr>
          <w:lang w:val="en-US"/>
        </w:rPr>
        <w:t>children and young people</w:t>
      </w:r>
      <w:r w:rsidR="00502BE6" w:rsidRPr="00502BE6">
        <w:rPr>
          <w:lang w:val="en-US"/>
        </w:rPr>
        <w:t>.</w:t>
      </w:r>
    </w:p>
    <w:p w14:paraId="656C5779" w14:textId="1D4CB1B4" w:rsidR="00DA0A8A" w:rsidRPr="00DA0A8A" w:rsidRDefault="00DA0A8A" w:rsidP="008E66C6">
      <w:pPr>
        <w:keepNext/>
        <w:jc w:val="both"/>
        <w:rPr>
          <w:i/>
          <w:iCs/>
          <w:color w:val="44546A" w:themeColor="text2"/>
        </w:rPr>
      </w:pPr>
      <w:r>
        <w:rPr>
          <w:i/>
          <w:iCs/>
          <w:color w:val="44546A" w:themeColor="text2"/>
        </w:rPr>
        <w:t>NZDF detention facilities</w:t>
      </w:r>
    </w:p>
    <w:p w14:paraId="0622C0A7" w14:textId="3E9FCA75" w:rsidR="00845997" w:rsidRPr="00845997" w:rsidRDefault="00375F14" w:rsidP="008E66C6">
      <w:pPr>
        <w:pStyle w:val="ListParagraph"/>
        <w:numPr>
          <w:ilvl w:val="0"/>
          <w:numId w:val="1"/>
        </w:numPr>
        <w:ind w:hanging="502"/>
        <w:contextualSpacing w:val="0"/>
        <w:jc w:val="both"/>
      </w:pPr>
      <w:r w:rsidRPr="006A7481">
        <w:t xml:space="preserve">The NZDF continues to have just one dedicated facility that caters for </w:t>
      </w:r>
      <w:r>
        <w:t xml:space="preserve">the </w:t>
      </w:r>
      <w:r w:rsidRPr="006A7481">
        <w:t xml:space="preserve">military punishment </w:t>
      </w:r>
      <w:r>
        <w:t>of</w:t>
      </w:r>
      <w:r w:rsidRPr="006A7481">
        <w:t xml:space="preserve"> detention.  The SCE is based at Burnham Military Camp</w:t>
      </w:r>
      <w:r w:rsidRPr="00375F14">
        <w:t>, Christchurch.  However, as the trend for long</w:t>
      </w:r>
      <w:r w:rsidR="003A34B0">
        <w:t>-</w:t>
      </w:r>
      <w:r w:rsidRPr="00375F14">
        <w:t>term detainees are on the rise, the NZDF appear to be looking at plans for the extension of the facility to accommodate more long</w:t>
      </w:r>
      <w:r w:rsidRPr="00664C77">
        <w:t xml:space="preserve">-term detainees. </w:t>
      </w:r>
      <w:r w:rsidR="00FD083F">
        <w:t xml:space="preserve">The </w:t>
      </w:r>
      <w:r w:rsidR="00FD083F" w:rsidRPr="00FD083F">
        <w:t>C</w:t>
      </w:r>
      <w:r w:rsidR="00903C88">
        <w:t xml:space="preserve">hief of </w:t>
      </w:r>
      <w:r w:rsidR="00FD083F" w:rsidRPr="00FD083F">
        <w:t>D</w:t>
      </w:r>
      <w:r w:rsidR="00903C88">
        <w:t xml:space="preserve">efence </w:t>
      </w:r>
      <w:r w:rsidR="00FD083F" w:rsidRPr="00FD083F">
        <w:t>F</w:t>
      </w:r>
      <w:r w:rsidR="00903C88">
        <w:t>orce has recently written to the IPSE</w:t>
      </w:r>
      <w:r w:rsidR="00FD083F" w:rsidRPr="00FD083F">
        <w:t xml:space="preserve"> </w:t>
      </w:r>
      <w:r w:rsidR="00903C88">
        <w:t xml:space="preserve">to advise </w:t>
      </w:r>
      <w:r w:rsidR="00FD083F" w:rsidRPr="00FD083F">
        <w:t xml:space="preserve">that he has instructed a feasibility review </w:t>
      </w:r>
      <w:r w:rsidR="00903C88">
        <w:t xml:space="preserve">to </w:t>
      </w:r>
      <w:r w:rsidR="00FD083F" w:rsidRPr="00FD083F">
        <w:t>be conducted to determine the building requirements of a</w:t>
      </w:r>
      <w:r w:rsidR="00903C88">
        <w:t xml:space="preserve"> facility for</w:t>
      </w:r>
      <w:r w:rsidR="00FD083F" w:rsidRPr="00FD083F">
        <w:t xml:space="preserve"> long</w:t>
      </w:r>
      <w:r w:rsidR="00903C88">
        <w:t>-</w:t>
      </w:r>
      <w:r w:rsidR="00FD083F" w:rsidRPr="00FD083F">
        <w:t>term detainee</w:t>
      </w:r>
      <w:r w:rsidR="00903C88">
        <w:t>s</w:t>
      </w:r>
      <w:r w:rsidR="00FD083F" w:rsidRPr="00FD083F">
        <w:t xml:space="preserve">.  </w:t>
      </w:r>
    </w:p>
    <w:p w14:paraId="6C9C2708" w14:textId="68012BCC" w:rsidR="00845997" w:rsidRDefault="00845997" w:rsidP="008E66C6">
      <w:pPr>
        <w:pStyle w:val="ListParagraph"/>
        <w:numPr>
          <w:ilvl w:val="0"/>
          <w:numId w:val="1"/>
        </w:numPr>
        <w:ind w:hanging="502"/>
        <w:contextualSpacing w:val="0"/>
        <w:jc w:val="both"/>
      </w:pPr>
      <w:r w:rsidRPr="00845997">
        <w:t>Members of the NZDF can also be confined in Ship, Camp and Base facilities when close arrest is ordered. However, these periods of confinement are rarely ordered and confinement exceeding 12 hours is highly unusual.</w:t>
      </w:r>
      <w:r>
        <w:t xml:space="preserve"> </w:t>
      </w:r>
      <w:r w:rsidRPr="00845997">
        <w:t>The NZDF also has holding cell facilities on its Bases and Camps.</w:t>
      </w:r>
      <w:r>
        <w:t xml:space="preserve"> The IPSE considers that t</w:t>
      </w:r>
      <w:r w:rsidRPr="00845997">
        <w:t xml:space="preserve">he facilities at RNZAF Base OHAKEA, Linton and Trentham Military Camp and RNZAF Base AUCKLAND are the only </w:t>
      </w:r>
      <w:r w:rsidR="006D2CD5">
        <w:t>Bases</w:t>
      </w:r>
      <w:r w:rsidRPr="00845997">
        <w:t xml:space="preserve"> considered as being fit for purpose.</w:t>
      </w:r>
      <w:r w:rsidR="00F57217">
        <w:t xml:space="preserve"> In relation to the other holding cell facilities on NZDF Cases and Camps:</w:t>
      </w:r>
    </w:p>
    <w:p w14:paraId="155DE912" w14:textId="20FD2110" w:rsidR="00F57217" w:rsidRDefault="00845997" w:rsidP="008E66C6">
      <w:pPr>
        <w:pStyle w:val="ListParagraph"/>
        <w:numPr>
          <w:ilvl w:val="1"/>
          <w:numId w:val="1"/>
        </w:numPr>
        <w:contextualSpacing w:val="0"/>
        <w:jc w:val="both"/>
      </w:pPr>
      <w:r w:rsidRPr="00F57217">
        <w:rPr>
          <w:i/>
          <w:iCs/>
        </w:rPr>
        <w:t>HMNZS PHILOMEL</w:t>
      </w:r>
      <w:r w:rsidRPr="00845997">
        <w:t xml:space="preserve"> cells remain closed as they are no longer fit for purpose and if required the cells at RNZAF Base AUCKLAND can be utilised until a new </w:t>
      </w:r>
      <w:proofErr w:type="gramStart"/>
      <w:r w:rsidRPr="00845997">
        <w:t>purpose built</w:t>
      </w:r>
      <w:proofErr w:type="gramEnd"/>
      <w:r w:rsidRPr="00845997">
        <w:t xml:space="preserve"> facility </w:t>
      </w:r>
      <w:r w:rsidR="00981584">
        <w:t xml:space="preserve">is </w:t>
      </w:r>
      <w:r w:rsidRPr="00845997">
        <w:t xml:space="preserve">delivered for the Devonport Naval Base. </w:t>
      </w:r>
      <w:r w:rsidR="00F57217">
        <w:t xml:space="preserve">The IPSE has recommended that the </w:t>
      </w:r>
      <w:r w:rsidRPr="00845997">
        <w:t>NZDF consider permanently clos</w:t>
      </w:r>
      <w:r w:rsidR="00F57217">
        <w:t xml:space="preserve">ing </w:t>
      </w:r>
      <w:r w:rsidRPr="00845997">
        <w:t>this detention facility</w:t>
      </w:r>
      <w:r w:rsidR="00F57217">
        <w:t xml:space="preserve">. </w:t>
      </w:r>
      <w:r w:rsidRPr="00845997">
        <w:t xml:space="preserve"> </w:t>
      </w:r>
    </w:p>
    <w:p w14:paraId="1DABC3D6" w14:textId="77777777" w:rsidR="00F57217" w:rsidRDefault="00845997" w:rsidP="008E66C6">
      <w:pPr>
        <w:pStyle w:val="ListParagraph"/>
        <w:numPr>
          <w:ilvl w:val="1"/>
          <w:numId w:val="1"/>
        </w:numPr>
        <w:contextualSpacing w:val="0"/>
        <w:jc w:val="both"/>
      </w:pPr>
      <w:r w:rsidRPr="00F57217">
        <w:rPr>
          <w:i/>
          <w:iCs/>
        </w:rPr>
        <w:t>Papakura Military Camp</w:t>
      </w:r>
      <w:r w:rsidRPr="00845997">
        <w:t xml:space="preserve"> does not have dedicated cells and if required the cells at RNZAF Base AUCKLAND can be utilised</w:t>
      </w:r>
      <w:r w:rsidR="00F57217">
        <w:t xml:space="preserve">. </w:t>
      </w:r>
    </w:p>
    <w:p w14:paraId="4C9D088C" w14:textId="77777777" w:rsidR="00F57217" w:rsidRDefault="00845997" w:rsidP="008E66C6">
      <w:pPr>
        <w:pStyle w:val="ListParagraph"/>
        <w:numPr>
          <w:ilvl w:val="1"/>
          <w:numId w:val="1"/>
        </w:numPr>
        <w:contextualSpacing w:val="0"/>
        <w:jc w:val="both"/>
      </w:pPr>
      <w:proofErr w:type="spellStart"/>
      <w:r w:rsidRPr="00F57217">
        <w:rPr>
          <w:i/>
          <w:iCs/>
        </w:rPr>
        <w:t>Waiouru</w:t>
      </w:r>
      <w:proofErr w:type="spellEnd"/>
      <w:r w:rsidRPr="00F57217">
        <w:rPr>
          <w:i/>
          <w:iCs/>
        </w:rPr>
        <w:t xml:space="preserve"> Military Camp</w:t>
      </w:r>
      <w:r w:rsidR="00F57217">
        <w:t xml:space="preserve"> </w:t>
      </w:r>
      <w:r w:rsidRPr="00845997">
        <w:t>cells are closed and if required the cells at RNZAF Base OHAKEA can be utilised</w:t>
      </w:r>
      <w:r w:rsidR="00F57217">
        <w:t xml:space="preserve">. </w:t>
      </w:r>
    </w:p>
    <w:p w14:paraId="6B6D6D01" w14:textId="77777777" w:rsidR="00F57217" w:rsidRDefault="00845997" w:rsidP="008E66C6">
      <w:pPr>
        <w:pStyle w:val="ListParagraph"/>
        <w:numPr>
          <w:ilvl w:val="1"/>
          <w:numId w:val="1"/>
        </w:numPr>
        <w:contextualSpacing w:val="0"/>
        <w:jc w:val="both"/>
      </w:pPr>
      <w:r w:rsidRPr="00F57217">
        <w:rPr>
          <w:i/>
          <w:iCs/>
        </w:rPr>
        <w:t>RNZAF Base Woodbourne</w:t>
      </w:r>
      <w:r w:rsidRPr="00845997">
        <w:t xml:space="preserve"> has no dedicated cells. Plans are underway to install temporary facilities that comply with extant specifications but still no fixed completion date has been provided to ISPE</w:t>
      </w:r>
      <w:r w:rsidR="00F57217">
        <w:t xml:space="preserve">. </w:t>
      </w:r>
    </w:p>
    <w:p w14:paraId="6F2EEB8B" w14:textId="0F83A5E0" w:rsidR="00845997" w:rsidRPr="00845997" w:rsidRDefault="00845997" w:rsidP="008E66C6">
      <w:pPr>
        <w:pStyle w:val="ListParagraph"/>
        <w:numPr>
          <w:ilvl w:val="1"/>
          <w:numId w:val="1"/>
        </w:numPr>
        <w:contextualSpacing w:val="0"/>
        <w:jc w:val="both"/>
      </w:pPr>
      <w:r w:rsidRPr="00F57217">
        <w:rPr>
          <w:i/>
          <w:iCs/>
        </w:rPr>
        <w:t>Burnham Military Camp</w:t>
      </w:r>
      <w:r w:rsidRPr="00845997">
        <w:t xml:space="preserve"> cells can be used but are scheduled for remediation</w:t>
      </w:r>
      <w:r w:rsidR="007956A0">
        <w:t>,</w:t>
      </w:r>
      <w:r w:rsidRPr="00845997">
        <w:t xml:space="preserve"> although the urgency is somewhat mitigated by the presence of SCE on Camp. However, still no fixed completion date has been provided to ISPE.</w:t>
      </w:r>
    </w:p>
    <w:p w14:paraId="161C603B" w14:textId="64E34510" w:rsidR="00DA0A8A" w:rsidRDefault="007956A0" w:rsidP="008E66C6">
      <w:pPr>
        <w:pStyle w:val="ListParagraph"/>
        <w:numPr>
          <w:ilvl w:val="0"/>
          <w:numId w:val="1"/>
        </w:numPr>
        <w:ind w:hanging="502"/>
        <w:contextualSpacing w:val="0"/>
        <w:jc w:val="both"/>
      </w:pPr>
      <w:r>
        <w:t>W</w:t>
      </w:r>
      <w:r w:rsidR="00845997" w:rsidRPr="00845997">
        <w:t xml:space="preserve">hile remediation plans for various facilities appear to have been signalled, a definitive funded remediation programme is still to be published by the NZDF. </w:t>
      </w:r>
    </w:p>
    <w:p w14:paraId="31F27FBC" w14:textId="1540FFEA" w:rsidR="007956A0" w:rsidRPr="007956A0" w:rsidRDefault="008B4B96" w:rsidP="008E66C6">
      <w:pPr>
        <w:pStyle w:val="ListParagraph"/>
        <w:numPr>
          <w:ilvl w:val="0"/>
          <w:numId w:val="1"/>
        </w:numPr>
        <w:ind w:hanging="502"/>
        <w:jc w:val="both"/>
      </w:pPr>
      <w:r>
        <w:rPr>
          <w:b/>
          <w:bCs/>
        </w:rPr>
        <w:t xml:space="preserve">The Committee may wish to make further inquiries with the Government as to the steps it is taking to ensure </w:t>
      </w:r>
      <w:proofErr w:type="gramStart"/>
      <w:r>
        <w:rPr>
          <w:b/>
          <w:bCs/>
        </w:rPr>
        <w:t xml:space="preserve">all </w:t>
      </w:r>
      <w:r w:rsidR="006D2CD5">
        <w:rPr>
          <w:b/>
          <w:bCs/>
        </w:rPr>
        <w:t>of</w:t>
      </w:r>
      <w:proofErr w:type="gramEnd"/>
      <w:r w:rsidR="006D2CD5">
        <w:rPr>
          <w:b/>
          <w:bCs/>
        </w:rPr>
        <w:t xml:space="preserve"> its </w:t>
      </w:r>
      <w:r w:rsidR="007956A0">
        <w:rPr>
          <w:b/>
          <w:bCs/>
        </w:rPr>
        <w:t xml:space="preserve">detention facilities in Aotearoa </w:t>
      </w:r>
      <w:r w:rsidR="00B05698" w:rsidRPr="00B05698">
        <w:rPr>
          <w:b/>
          <w:bCs/>
        </w:rPr>
        <w:t>New Zealand</w:t>
      </w:r>
      <w:r w:rsidR="00B05698">
        <w:rPr>
          <w:b/>
          <w:bCs/>
        </w:rPr>
        <w:t xml:space="preserve"> </w:t>
      </w:r>
      <w:r w:rsidR="007956A0">
        <w:rPr>
          <w:b/>
          <w:bCs/>
        </w:rPr>
        <w:t xml:space="preserve">are fit </w:t>
      </w:r>
      <w:r w:rsidR="00D45ABD">
        <w:rPr>
          <w:b/>
          <w:bCs/>
        </w:rPr>
        <w:t xml:space="preserve">to house persons deprived of their liberty in accordance with the Convention and OPCAT. </w:t>
      </w:r>
    </w:p>
    <w:p w14:paraId="2C5E4DA2" w14:textId="56341B32" w:rsidR="00C77F81" w:rsidRPr="00C77F81" w:rsidRDefault="00C77F81" w:rsidP="008E66C6">
      <w:pPr>
        <w:pStyle w:val="Heading1"/>
        <w:keepLines w:val="0"/>
        <w:numPr>
          <w:ilvl w:val="0"/>
          <w:numId w:val="2"/>
        </w:numPr>
        <w:tabs>
          <w:tab w:val="num" w:pos="360"/>
        </w:tabs>
        <w:ind w:left="624" w:hanging="624"/>
        <w:jc w:val="both"/>
        <w:rPr>
          <w:sz w:val="28"/>
          <w:szCs w:val="28"/>
        </w:rPr>
      </w:pPr>
      <w:bookmarkStart w:id="57" w:name="_Toc137480612"/>
      <w:r>
        <w:rPr>
          <w:sz w:val="28"/>
          <w:szCs w:val="28"/>
        </w:rPr>
        <w:t>Summary of recommendations</w:t>
      </w:r>
      <w:bookmarkEnd w:id="57"/>
    </w:p>
    <w:p w14:paraId="4178ED1F" w14:textId="77777777" w:rsidR="00C77F81" w:rsidRDefault="00C77F81" w:rsidP="008E66C6">
      <w:pPr>
        <w:pStyle w:val="ListParagraph"/>
        <w:ind w:left="360"/>
        <w:jc w:val="both"/>
      </w:pPr>
    </w:p>
    <w:p w14:paraId="6951638B" w14:textId="580B392F" w:rsidR="003E7F5B" w:rsidRDefault="00C77F81" w:rsidP="0010032A">
      <w:pPr>
        <w:pStyle w:val="ListParagraph"/>
        <w:numPr>
          <w:ilvl w:val="0"/>
          <w:numId w:val="1"/>
        </w:numPr>
        <w:ind w:hanging="502"/>
        <w:contextualSpacing w:val="0"/>
        <w:jc w:val="both"/>
      </w:pPr>
      <w:r>
        <w:t xml:space="preserve">By way of summary, the Aotearoa </w:t>
      </w:r>
      <w:r w:rsidR="00F57B14" w:rsidRPr="00360BAD">
        <w:t xml:space="preserve">New Zealand </w:t>
      </w:r>
      <w:r>
        <w:t>NPMs recommend that the Committee</w:t>
      </w:r>
      <w:r w:rsidR="003E7F5B">
        <w:t xml:space="preserve"> may wish to</w:t>
      </w:r>
      <w:r>
        <w:t xml:space="preserve">: </w:t>
      </w:r>
    </w:p>
    <w:p w14:paraId="330AF229" w14:textId="77777777" w:rsidR="00EE5B43" w:rsidRPr="003E7F5B" w:rsidRDefault="00EE5B43" w:rsidP="00EE5B43">
      <w:pPr>
        <w:pStyle w:val="ListParagraph"/>
        <w:numPr>
          <w:ilvl w:val="1"/>
          <w:numId w:val="1"/>
        </w:numPr>
        <w:contextualSpacing w:val="0"/>
        <w:jc w:val="both"/>
      </w:pPr>
      <w:r>
        <w:rPr>
          <w:rFonts w:cstheme="minorHAnsi"/>
          <w:b/>
        </w:rPr>
        <w:t>I</w:t>
      </w:r>
      <w:r w:rsidRPr="003E7F5B">
        <w:rPr>
          <w:rFonts w:cstheme="minorHAnsi"/>
          <w:b/>
        </w:rPr>
        <w:t xml:space="preserve">nquire further with the Government as to the progress it is making to ensure Te </w:t>
      </w:r>
      <w:proofErr w:type="spellStart"/>
      <w:r w:rsidRPr="003E7F5B">
        <w:rPr>
          <w:rFonts w:cstheme="minorHAnsi"/>
          <w:b/>
        </w:rPr>
        <w:t>Tiriti</w:t>
      </w:r>
      <w:proofErr w:type="spellEnd"/>
      <w:r w:rsidRPr="003E7F5B">
        <w:rPr>
          <w:rFonts w:cstheme="minorHAnsi"/>
          <w:b/>
        </w:rPr>
        <w:t xml:space="preserve"> obligations are understood and upheld in all places of detention in Aotearoa </w:t>
      </w:r>
      <w:r w:rsidRPr="003E7F5B">
        <w:rPr>
          <w:b/>
          <w:bCs/>
        </w:rPr>
        <w:t>New Zealand</w:t>
      </w:r>
      <w:r w:rsidRPr="003E7F5B">
        <w:rPr>
          <w:rFonts w:cstheme="minorHAnsi"/>
          <w:b/>
        </w:rPr>
        <w:t xml:space="preserve">. </w:t>
      </w:r>
    </w:p>
    <w:p w14:paraId="45F8E25D" w14:textId="77777777" w:rsidR="00EE5B43" w:rsidRPr="003E7F5B" w:rsidRDefault="00EE5B43" w:rsidP="00EE5B43">
      <w:pPr>
        <w:pStyle w:val="ListParagraph"/>
        <w:numPr>
          <w:ilvl w:val="1"/>
          <w:numId w:val="1"/>
        </w:numPr>
        <w:contextualSpacing w:val="0"/>
        <w:jc w:val="both"/>
      </w:pPr>
      <w:r>
        <w:rPr>
          <w:rFonts w:cstheme="minorHAnsi"/>
          <w:b/>
        </w:rPr>
        <w:t>I</w:t>
      </w:r>
      <w:r w:rsidRPr="003E7F5B">
        <w:rPr>
          <w:rFonts w:cstheme="minorHAnsi"/>
          <w:b/>
        </w:rPr>
        <w:t xml:space="preserve">nquire further with the Government as to timely, </w:t>
      </w:r>
      <w:proofErr w:type="gramStart"/>
      <w:r w:rsidRPr="003E7F5B">
        <w:rPr>
          <w:rFonts w:cstheme="minorHAnsi"/>
          <w:b/>
        </w:rPr>
        <w:t>effective</w:t>
      </w:r>
      <w:proofErr w:type="gramEnd"/>
      <w:r w:rsidRPr="003E7F5B">
        <w:rPr>
          <w:rFonts w:cstheme="minorHAnsi"/>
          <w:b/>
        </w:rPr>
        <w:t xml:space="preserve"> and measurable steps it is taking to:</w:t>
      </w:r>
    </w:p>
    <w:p w14:paraId="7810F0F5" w14:textId="77777777" w:rsidR="00EE5B43" w:rsidRPr="003E7F5B" w:rsidRDefault="00EE5B43" w:rsidP="00EE5B43">
      <w:pPr>
        <w:pStyle w:val="ListParagraph"/>
        <w:numPr>
          <w:ilvl w:val="2"/>
          <w:numId w:val="1"/>
        </w:numPr>
        <w:contextualSpacing w:val="0"/>
        <w:jc w:val="both"/>
      </w:pPr>
      <w:r w:rsidRPr="003E7F5B">
        <w:rPr>
          <w:rFonts w:cstheme="minorHAnsi"/>
          <w:b/>
        </w:rPr>
        <w:t>reduce the rate of detention for Māori in all places within the NPM monitoring mandate; and</w:t>
      </w:r>
    </w:p>
    <w:p w14:paraId="3CF8EBC7" w14:textId="77777777" w:rsidR="00EE5B43" w:rsidRPr="003E7F5B" w:rsidRDefault="00EE5B43" w:rsidP="00EE5B43">
      <w:pPr>
        <w:pStyle w:val="ListParagraph"/>
        <w:numPr>
          <w:ilvl w:val="2"/>
          <w:numId w:val="1"/>
        </w:numPr>
        <w:contextualSpacing w:val="0"/>
        <w:jc w:val="both"/>
      </w:pPr>
      <w:r w:rsidRPr="003E7F5B">
        <w:rPr>
          <w:rFonts w:cstheme="minorHAnsi"/>
          <w:b/>
        </w:rPr>
        <w:t>reduce the rate of Māori experiencing restrictive practices in all places of detention (</w:t>
      </w:r>
      <w:proofErr w:type="gramStart"/>
      <w:r w:rsidRPr="003E7F5B">
        <w:rPr>
          <w:rFonts w:cstheme="minorHAnsi"/>
          <w:b/>
        </w:rPr>
        <w:t>e.g.</w:t>
      </w:r>
      <w:proofErr w:type="gramEnd"/>
      <w:r w:rsidRPr="003E7F5B">
        <w:rPr>
          <w:rFonts w:cstheme="minorHAnsi"/>
          <w:b/>
        </w:rPr>
        <w:t xml:space="preserve"> seclusion and restraint). </w:t>
      </w:r>
    </w:p>
    <w:p w14:paraId="347A060A" w14:textId="77777777" w:rsidR="00EE5B43" w:rsidRPr="003E7F5B" w:rsidRDefault="00EE5B43" w:rsidP="00EE5B43">
      <w:pPr>
        <w:pStyle w:val="ListParagraph"/>
        <w:numPr>
          <w:ilvl w:val="1"/>
          <w:numId w:val="1"/>
        </w:numPr>
        <w:contextualSpacing w:val="0"/>
        <w:jc w:val="both"/>
      </w:pPr>
      <w:r>
        <w:rPr>
          <w:rFonts w:cstheme="minorHAnsi"/>
          <w:b/>
        </w:rPr>
        <w:t>I</w:t>
      </w:r>
      <w:r w:rsidRPr="003E7F5B">
        <w:rPr>
          <w:rFonts w:cstheme="minorHAnsi"/>
          <w:b/>
        </w:rPr>
        <w:t xml:space="preserve">nquire further with the Government as to timely, </w:t>
      </w:r>
      <w:proofErr w:type="gramStart"/>
      <w:r w:rsidRPr="003E7F5B">
        <w:rPr>
          <w:rFonts w:cstheme="minorHAnsi"/>
          <w:b/>
        </w:rPr>
        <w:t>effective</w:t>
      </w:r>
      <w:proofErr w:type="gramEnd"/>
      <w:r w:rsidRPr="003E7F5B">
        <w:rPr>
          <w:rFonts w:cstheme="minorHAnsi"/>
          <w:b/>
        </w:rPr>
        <w:t xml:space="preserve"> and measurable steps it is taking to provide cultural support, </w:t>
      </w:r>
      <w:r>
        <w:rPr>
          <w:rFonts w:cstheme="minorHAnsi"/>
          <w:b/>
        </w:rPr>
        <w:t xml:space="preserve">including </w:t>
      </w:r>
      <w:r w:rsidRPr="003E7F5B">
        <w:rPr>
          <w:rFonts w:cstheme="minorHAnsi"/>
          <w:b/>
        </w:rPr>
        <w:t xml:space="preserve">with respect to tikanga and Te </w:t>
      </w:r>
      <w:proofErr w:type="spellStart"/>
      <w:r w:rsidRPr="003E7F5B">
        <w:rPr>
          <w:rFonts w:cstheme="minorHAnsi"/>
          <w:b/>
        </w:rPr>
        <w:t>Ao</w:t>
      </w:r>
      <w:proofErr w:type="spellEnd"/>
      <w:r w:rsidRPr="003E7F5B">
        <w:rPr>
          <w:rFonts w:cstheme="minorHAnsi"/>
          <w:b/>
        </w:rPr>
        <w:t xml:space="preserve"> Māori, in all places of detention in Aotearoa </w:t>
      </w:r>
      <w:r w:rsidRPr="003E7F5B">
        <w:rPr>
          <w:b/>
          <w:bCs/>
        </w:rPr>
        <w:t>New Zealand</w:t>
      </w:r>
      <w:r w:rsidRPr="003E7F5B">
        <w:rPr>
          <w:rFonts w:cstheme="minorHAnsi"/>
          <w:b/>
        </w:rPr>
        <w:t xml:space="preserve">. </w:t>
      </w:r>
    </w:p>
    <w:p w14:paraId="484671D1" w14:textId="77777777" w:rsidR="00EE5B43" w:rsidRPr="003E7F5B" w:rsidRDefault="00EE5B43" w:rsidP="00EE5B43">
      <w:pPr>
        <w:pStyle w:val="ListParagraph"/>
        <w:numPr>
          <w:ilvl w:val="1"/>
          <w:numId w:val="1"/>
        </w:numPr>
        <w:contextualSpacing w:val="0"/>
        <w:jc w:val="both"/>
      </w:pPr>
      <w:r w:rsidRPr="003E7F5B">
        <w:rPr>
          <w:b/>
          <w:bCs/>
        </w:rPr>
        <w:t>In respect of all places of detention in Aotearoa New Zealand, make further inquiries with the Government as to the timely, effective and measurable steps being taken to ensure that all ongoing COVID-19 related restrictions are consistent with international human rights standards and obligations, including the United Nations Standard Minimum Rules for the Treatment of Prisoners (Nelson Mandela Rules) and for the Protection of Juvenile</w:t>
      </w:r>
      <w:r>
        <w:rPr>
          <w:b/>
          <w:bCs/>
        </w:rPr>
        <w:t>s</w:t>
      </w:r>
      <w:r w:rsidRPr="003E7F5B">
        <w:rPr>
          <w:b/>
          <w:bCs/>
        </w:rPr>
        <w:t xml:space="preserve"> Deprived of their Liberty, and adhere to the principles of lawfulness, necessity, proportionality, and accountability.</w:t>
      </w:r>
    </w:p>
    <w:p w14:paraId="51894401" w14:textId="77777777" w:rsidR="00EE5B43" w:rsidRPr="003E7F5B" w:rsidRDefault="00EE5B43" w:rsidP="00EE5B43">
      <w:pPr>
        <w:pStyle w:val="ListParagraph"/>
        <w:numPr>
          <w:ilvl w:val="1"/>
          <w:numId w:val="1"/>
        </w:numPr>
        <w:contextualSpacing w:val="0"/>
        <w:jc w:val="both"/>
      </w:pPr>
      <w:r w:rsidRPr="003E7F5B">
        <w:rPr>
          <w:b/>
          <w:bCs/>
        </w:rPr>
        <w:t xml:space="preserve">In respect of prisons, and care and protection, youth justice and mental health facilities for children and young people in Aotearoa New Zealand, </w:t>
      </w:r>
      <w:r w:rsidRPr="003E7F5B">
        <w:rPr>
          <w:rStyle w:val="normaltextrun"/>
          <w:rFonts w:ascii="Calibri" w:hAnsi="Calibri" w:cs="Calibri"/>
          <w:b/>
          <w:bCs/>
        </w:rPr>
        <w:t>urge the Government to lift the restrictions on the minimum entitlements of persons deprived of their liberty in these settings as a matter of urgency</w:t>
      </w:r>
      <w:r w:rsidRPr="003E7F5B">
        <w:rPr>
          <w:b/>
          <w:bCs/>
        </w:rPr>
        <w:t>.</w:t>
      </w:r>
    </w:p>
    <w:p w14:paraId="1A02B57B" w14:textId="77777777" w:rsidR="00EE5B43" w:rsidRPr="003E7F5B" w:rsidRDefault="00EE5B43" w:rsidP="00EE5B43">
      <w:pPr>
        <w:pStyle w:val="ListParagraph"/>
        <w:numPr>
          <w:ilvl w:val="1"/>
          <w:numId w:val="1"/>
        </w:numPr>
        <w:contextualSpacing w:val="0"/>
        <w:jc w:val="both"/>
      </w:pPr>
      <w:r>
        <w:rPr>
          <w:b/>
          <w:bCs/>
        </w:rPr>
        <w:t>R</w:t>
      </w:r>
      <w:r w:rsidRPr="003E7F5B">
        <w:rPr>
          <w:b/>
          <w:bCs/>
        </w:rPr>
        <w:t xml:space="preserve">ecommend that the Government take steps to ensure </w:t>
      </w:r>
      <w:proofErr w:type="gramStart"/>
      <w:r w:rsidRPr="003E7F5B">
        <w:rPr>
          <w:b/>
          <w:bCs/>
        </w:rPr>
        <w:t>all of</w:t>
      </w:r>
      <w:proofErr w:type="gramEnd"/>
      <w:r w:rsidRPr="003E7F5B">
        <w:rPr>
          <w:b/>
          <w:bCs/>
        </w:rPr>
        <w:t xml:space="preserve"> the Aotearoa </w:t>
      </w:r>
      <w:r w:rsidRPr="00F57B14">
        <w:rPr>
          <w:b/>
          <w:bCs/>
        </w:rPr>
        <w:t xml:space="preserve">New Zealand </w:t>
      </w:r>
      <w:r w:rsidRPr="003E7F5B">
        <w:rPr>
          <w:b/>
          <w:bCs/>
        </w:rPr>
        <w:t xml:space="preserve">NPMs are allocated the necessary </w:t>
      </w:r>
      <w:r>
        <w:rPr>
          <w:b/>
          <w:bCs/>
        </w:rPr>
        <w:t>human and financial</w:t>
      </w:r>
      <w:r w:rsidRPr="003E7F5B">
        <w:rPr>
          <w:b/>
          <w:bCs/>
        </w:rPr>
        <w:t xml:space="preserve"> resource</w:t>
      </w:r>
      <w:r>
        <w:rPr>
          <w:b/>
          <w:bCs/>
        </w:rPr>
        <w:t>s</w:t>
      </w:r>
      <w:r w:rsidRPr="003E7F5B">
        <w:rPr>
          <w:b/>
          <w:bCs/>
        </w:rPr>
        <w:t xml:space="preserve"> to effectively carry out their preventive mandates under OPCAT. </w:t>
      </w:r>
    </w:p>
    <w:p w14:paraId="74F8DE5C" w14:textId="77777777" w:rsidR="00EE5B43" w:rsidRPr="003E7F5B" w:rsidRDefault="00EE5B43" w:rsidP="00EE5B43">
      <w:pPr>
        <w:pStyle w:val="ListParagraph"/>
        <w:numPr>
          <w:ilvl w:val="1"/>
          <w:numId w:val="1"/>
        </w:numPr>
        <w:contextualSpacing w:val="0"/>
        <w:jc w:val="both"/>
      </w:pPr>
      <w:r>
        <w:rPr>
          <w:b/>
          <w:bCs/>
        </w:rPr>
        <w:t>R</w:t>
      </w:r>
      <w:r w:rsidRPr="003E7F5B">
        <w:rPr>
          <w:b/>
          <w:bCs/>
        </w:rPr>
        <w:t xml:space="preserve">ecommend that the Government, through its detaining agencies, undertake to engage further with the Aotearoa </w:t>
      </w:r>
      <w:r w:rsidRPr="00F57B14">
        <w:rPr>
          <w:b/>
          <w:bCs/>
        </w:rPr>
        <w:t xml:space="preserve">New Zealand </w:t>
      </w:r>
      <w:r w:rsidRPr="003E7F5B">
        <w:rPr>
          <w:b/>
          <w:bCs/>
        </w:rPr>
        <w:t xml:space="preserve">NPMs in relation to preventive measures under OPCAT. </w:t>
      </w:r>
    </w:p>
    <w:p w14:paraId="0A7775D9" w14:textId="77777777" w:rsidR="00EE5B43" w:rsidRPr="003E7F5B" w:rsidRDefault="00EE5B43" w:rsidP="00EE5B43">
      <w:pPr>
        <w:pStyle w:val="ListParagraph"/>
        <w:numPr>
          <w:ilvl w:val="1"/>
          <w:numId w:val="1"/>
        </w:numPr>
        <w:contextualSpacing w:val="0"/>
        <w:jc w:val="both"/>
      </w:pPr>
      <w:r>
        <w:rPr>
          <w:b/>
          <w:bCs/>
        </w:rPr>
        <w:t>R</w:t>
      </w:r>
      <w:r w:rsidRPr="003E7F5B">
        <w:rPr>
          <w:b/>
          <w:bCs/>
        </w:rPr>
        <w:t xml:space="preserve">ecommend that the Government engage further with the Aotearoa </w:t>
      </w:r>
      <w:r w:rsidRPr="00F57B14">
        <w:rPr>
          <w:b/>
          <w:bCs/>
        </w:rPr>
        <w:t xml:space="preserve">New Zealand </w:t>
      </w:r>
      <w:r w:rsidRPr="003E7F5B">
        <w:rPr>
          <w:b/>
          <w:bCs/>
        </w:rPr>
        <w:t xml:space="preserve">NPMs to ensure all law enforcement and custodial personnel receive adequate training in human rights obligations including the prevention of torture and ill-treatment. </w:t>
      </w:r>
    </w:p>
    <w:p w14:paraId="23F0B437" w14:textId="77777777" w:rsidR="00EE5B43" w:rsidRPr="003E7F5B" w:rsidRDefault="00EE5B43" w:rsidP="00EE5B43">
      <w:pPr>
        <w:pStyle w:val="ListParagraph"/>
        <w:numPr>
          <w:ilvl w:val="1"/>
          <w:numId w:val="1"/>
        </w:numPr>
        <w:contextualSpacing w:val="0"/>
        <w:jc w:val="both"/>
      </w:pPr>
      <w:r>
        <w:rPr>
          <w:b/>
          <w:bCs/>
        </w:rPr>
        <w:t>I</w:t>
      </w:r>
      <w:r w:rsidRPr="003E7F5B">
        <w:rPr>
          <w:b/>
          <w:bCs/>
        </w:rPr>
        <w:t xml:space="preserve">nquire further with the Government as to timely, </w:t>
      </w:r>
      <w:proofErr w:type="gramStart"/>
      <w:r w:rsidRPr="003E7F5B">
        <w:rPr>
          <w:b/>
          <w:bCs/>
        </w:rPr>
        <w:t>effective</w:t>
      </w:r>
      <w:proofErr w:type="gramEnd"/>
      <w:r w:rsidRPr="003E7F5B">
        <w:rPr>
          <w:b/>
          <w:bCs/>
        </w:rPr>
        <w:t xml:space="preserve"> and measurable steps being taken by its detaining agencies to improve access to, independence, and confidentiality of complaints processes for persons deprived of their liberty in Aotearoa</w:t>
      </w:r>
      <w:r>
        <w:rPr>
          <w:b/>
          <w:bCs/>
        </w:rPr>
        <w:t xml:space="preserve"> </w:t>
      </w:r>
      <w:r w:rsidRPr="00572527">
        <w:rPr>
          <w:b/>
          <w:bCs/>
        </w:rPr>
        <w:t>New Zealand</w:t>
      </w:r>
      <w:r w:rsidRPr="003E7F5B">
        <w:rPr>
          <w:b/>
          <w:bCs/>
        </w:rPr>
        <w:t xml:space="preserve">. </w:t>
      </w:r>
    </w:p>
    <w:p w14:paraId="643E662A" w14:textId="77777777" w:rsidR="00EE5B43" w:rsidRPr="003E7F5B" w:rsidRDefault="00EE5B43" w:rsidP="00EE5B43">
      <w:pPr>
        <w:pStyle w:val="ListParagraph"/>
        <w:numPr>
          <w:ilvl w:val="1"/>
          <w:numId w:val="1"/>
        </w:numPr>
        <w:contextualSpacing w:val="0"/>
        <w:jc w:val="both"/>
      </w:pPr>
      <w:r>
        <w:rPr>
          <w:b/>
          <w:bCs/>
        </w:rPr>
        <w:t>Inquire further</w:t>
      </w:r>
      <w:r w:rsidRPr="003E7F5B">
        <w:rPr>
          <w:b/>
          <w:bCs/>
        </w:rPr>
        <w:t xml:space="preserve"> with the Government as to the timely, </w:t>
      </w:r>
      <w:proofErr w:type="gramStart"/>
      <w:r w:rsidRPr="003E7F5B">
        <w:rPr>
          <w:b/>
          <w:bCs/>
        </w:rPr>
        <w:t>effective</w:t>
      </w:r>
      <w:proofErr w:type="gramEnd"/>
      <w:r w:rsidRPr="003E7F5B">
        <w:rPr>
          <w:b/>
          <w:bCs/>
        </w:rPr>
        <w:t xml:space="preserve"> and measurable steps it is taking to ensure all of its detaining agencies are equipped to provide adequate mental health support to persons deprived of their liberty in Aotearoa New Zealand. </w:t>
      </w:r>
    </w:p>
    <w:p w14:paraId="1E8C0331" w14:textId="0871F5CE" w:rsidR="00B209B7" w:rsidRDefault="00EE5B43" w:rsidP="00EE5B43">
      <w:pPr>
        <w:pStyle w:val="ListParagraph"/>
        <w:numPr>
          <w:ilvl w:val="1"/>
          <w:numId w:val="1"/>
        </w:numPr>
        <w:contextualSpacing w:val="0"/>
        <w:jc w:val="both"/>
      </w:pPr>
      <w:r>
        <w:rPr>
          <w:b/>
          <w:bCs/>
        </w:rPr>
        <w:t>I</w:t>
      </w:r>
      <w:r w:rsidRPr="003E7F5B">
        <w:rPr>
          <w:b/>
          <w:bCs/>
        </w:rPr>
        <w:t>nquir</w:t>
      </w:r>
      <w:r>
        <w:rPr>
          <w:b/>
          <w:bCs/>
        </w:rPr>
        <w:t>e further</w:t>
      </w:r>
      <w:r w:rsidRPr="003E7F5B">
        <w:rPr>
          <w:b/>
          <w:bCs/>
        </w:rPr>
        <w:t xml:space="preserve"> with the Government as to the steps it is taking to ensure </w:t>
      </w:r>
      <w:proofErr w:type="gramStart"/>
      <w:r w:rsidRPr="003E7F5B">
        <w:rPr>
          <w:b/>
          <w:bCs/>
        </w:rPr>
        <w:t>all of</w:t>
      </w:r>
      <w:proofErr w:type="gramEnd"/>
      <w:r w:rsidRPr="003E7F5B">
        <w:rPr>
          <w:b/>
          <w:bCs/>
        </w:rPr>
        <w:t xml:space="preserve"> its detention facilities in Aotearoa New Zealand are fit to house persons deprived of their liberty in accordance with the Convention and OPCAT. </w:t>
      </w:r>
    </w:p>
    <w:sectPr w:rsidR="00B209B7" w:rsidSect="00430990">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A8189" w14:textId="77777777" w:rsidR="001C343A" w:rsidRDefault="001C343A" w:rsidP="00D43329">
      <w:pPr>
        <w:spacing w:after="0" w:line="240" w:lineRule="auto"/>
      </w:pPr>
      <w:r>
        <w:separator/>
      </w:r>
    </w:p>
  </w:endnote>
  <w:endnote w:type="continuationSeparator" w:id="0">
    <w:p w14:paraId="2F173F20" w14:textId="77777777" w:rsidR="001C343A" w:rsidRDefault="001C343A" w:rsidP="00D43329">
      <w:pPr>
        <w:spacing w:after="0" w:line="240" w:lineRule="auto"/>
      </w:pPr>
      <w:r>
        <w:continuationSeparator/>
      </w:r>
    </w:p>
  </w:endnote>
  <w:endnote w:type="continuationNotice" w:id="1">
    <w:p w14:paraId="33056C30" w14:textId="77777777" w:rsidR="001C343A" w:rsidRDefault="001C34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ublicoText-Semibold">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44546A" w:themeColor="text2"/>
      </w:rPr>
      <w:id w:val="89432523"/>
      <w:docPartObj>
        <w:docPartGallery w:val="Page Numbers (Bottom of Page)"/>
        <w:docPartUnique/>
      </w:docPartObj>
    </w:sdtPr>
    <w:sdtEndPr/>
    <w:sdtContent>
      <w:sdt>
        <w:sdtPr>
          <w:rPr>
            <w:color w:val="44546A" w:themeColor="text2"/>
          </w:rPr>
          <w:id w:val="-1769616900"/>
          <w:docPartObj>
            <w:docPartGallery w:val="Page Numbers (Top of Page)"/>
            <w:docPartUnique/>
          </w:docPartObj>
        </w:sdtPr>
        <w:sdtEndPr/>
        <w:sdtContent>
          <w:p w14:paraId="606B4CA7" w14:textId="7C3E720B" w:rsidR="00AB5523" w:rsidRPr="00AB5523" w:rsidRDefault="00AB5523">
            <w:pPr>
              <w:pStyle w:val="Footer"/>
              <w:jc w:val="right"/>
              <w:rPr>
                <w:color w:val="44546A" w:themeColor="text2"/>
              </w:rPr>
            </w:pPr>
            <w:r w:rsidRPr="00AB5523">
              <w:rPr>
                <w:color w:val="44546A" w:themeColor="text2"/>
              </w:rPr>
              <w:t xml:space="preserve">Page </w:t>
            </w:r>
            <w:r w:rsidRPr="00AB5523">
              <w:rPr>
                <w:b/>
                <w:bCs/>
                <w:color w:val="44546A" w:themeColor="text2"/>
                <w:sz w:val="24"/>
                <w:szCs w:val="24"/>
              </w:rPr>
              <w:fldChar w:fldCharType="begin"/>
            </w:r>
            <w:r w:rsidRPr="00AB5523">
              <w:rPr>
                <w:b/>
                <w:bCs/>
                <w:color w:val="44546A" w:themeColor="text2"/>
              </w:rPr>
              <w:instrText xml:space="preserve"> PAGE </w:instrText>
            </w:r>
            <w:r w:rsidRPr="00AB5523">
              <w:rPr>
                <w:b/>
                <w:bCs/>
                <w:color w:val="44546A" w:themeColor="text2"/>
                <w:sz w:val="24"/>
                <w:szCs w:val="24"/>
              </w:rPr>
              <w:fldChar w:fldCharType="separate"/>
            </w:r>
            <w:r w:rsidRPr="00AB5523">
              <w:rPr>
                <w:b/>
                <w:bCs/>
                <w:noProof/>
                <w:color w:val="44546A" w:themeColor="text2"/>
              </w:rPr>
              <w:t>2</w:t>
            </w:r>
            <w:r w:rsidRPr="00AB5523">
              <w:rPr>
                <w:b/>
                <w:bCs/>
                <w:color w:val="44546A" w:themeColor="text2"/>
                <w:sz w:val="24"/>
                <w:szCs w:val="24"/>
              </w:rPr>
              <w:fldChar w:fldCharType="end"/>
            </w:r>
            <w:r w:rsidRPr="00AB5523">
              <w:rPr>
                <w:color w:val="44546A" w:themeColor="text2"/>
              </w:rPr>
              <w:t xml:space="preserve"> of </w:t>
            </w:r>
            <w:r w:rsidRPr="00AB5523">
              <w:rPr>
                <w:b/>
                <w:bCs/>
                <w:color w:val="44546A" w:themeColor="text2"/>
                <w:sz w:val="24"/>
                <w:szCs w:val="24"/>
              </w:rPr>
              <w:fldChar w:fldCharType="begin"/>
            </w:r>
            <w:r w:rsidRPr="00AB5523">
              <w:rPr>
                <w:b/>
                <w:bCs/>
                <w:color w:val="44546A" w:themeColor="text2"/>
              </w:rPr>
              <w:instrText xml:space="preserve"> NUMPAGES  </w:instrText>
            </w:r>
            <w:r w:rsidRPr="00AB5523">
              <w:rPr>
                <w:b/>
                <w:bCs/>
                <w:color w:val="44546A" w:themeColor="text2"/>
                <w:sz w:val="24"/>
                <w:szCs w:val="24"/>
              </w:rPr>
              <w:fldChar w:fldCharType="separate"/>
            </w:r>
            <w:r w:rsidRPr="00AB5523">
              <w:rPr>
                <w:b/>
                <w:bCs/>
                <w:noProof/>
                <w:color w:val="44546A" w:themeColor="text2"/>
              </w:rPr>
              <w:t>2</w:t>
            </w:r>
            <w:r w:rsidRPr="00AB5523">
              <w:rPr>
                <w:b/>
                <w:bCs/>
                <w:color w:val="44546A" w:themeColor="text2"/>
                <w:sz w:val="24"/>
                <w:szCs w:val="24"/>
              </w:rPr>
              <w:fldChar w:fldCharType="end"/>
            </w:r>
          </w:p>
        </w:sdtContent>
      </w:sdt>
    </w:sdtContent>
  </w:sdt>
  <w:p w14:paraId="696B6182" w14:textId="77777777" w:rsidR="00AB5523" w:rsidRDefault="00AB55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3F72A" w14:textId="77777777" w:rsidR="001C343A" w:rsidRDefault="001C343A" w:rsidP="00D43329">
      <w:pPr>
        <w:spacing w:after="0" w:line="240" w:lineRule="auto"/>
      </w:pPr>
      <w:r>
        <w:separator/>
      </w:r>
    </w:p>
  </w:footnote>
  <w:footnote w:type="continuationSeparator" w:id="0">
    <w:p w14:paraId="3709C656" w14:textId="77777777" w:rsidR="001C343A" w:rsidRDefault="001C343A" w:rsidP="00D43329">
      <w:pPr>
        <w:spacing w:after="0" w:line="240" w:lineRule="auto"/>
      </w:pPr>
      <w:r>
        <w:continuationSeparator/>
      </w:r>
    </w:p>
  </w:footnote>
  <w:footnote w:type="continuationNotice" w:id="1">
    <w:p w14:paraId="6BE7E698" w14:textId="77777777" w:rsidR="001C343A" w:rsidRDefault="001C343A">
      <w:pPr>
        <w:spacing w:after="0" w:line="240" w:lineRule="auto"/>
      </w:pPr>
    </w:p>
  </w:footnote>
  <w:footnote w:id="2">
    <w:p w14:paraId="04E05C94" w14:textId="21C4DEAC" w:rsidR="00035D65" w:rsidRPr="008E66C6" w:rsidRDefault="00035D65"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Crimes of Torture Act 1989</w:t>
      </w:r>
      <w:r w:rsidR="0097500C" w:rsidRPr="008E66C6">
        <w:rPr>
          <w:rFonts w:asciiTheme="minorHAnsi" w:hAnsiTheme="minorHAnsi" w:cstheme="minorHAnsi"/>
          <w:sz w:val="18"/>
          <w:szCs w:val="18"/>
        </w:rPr>
        <w:t xml:space="preserve"> (New Zealand)</w:t>
      </w:r>
      <w:r w:rsidRPr="008E66C6">
        <w:rPr>
          <w:rFonts w:asciiTheme="minorHAnsi" w:hAnsiTheme="minorHAnsi" w:cstheme="minorHAnsi"/>
          <w:sz w:val="18"/>
          <w:szCs w:val="18"/>
        </w:rPr>
        <w:t xml:space="preserve">, s 32(1). </w:t>
      </w:r>
    </w:p>
  </w:footnote>
  <w:footnote w:id="3">
    <w:p w14:paraId="1C2E40F1" w14:textId="5344F1A7" w:rsidR="006600BC" w:rsidRPr="008E66C6" w:rsidRDefault="006600BC"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BE4032" w:rsidRPr="008E66C6">
        <w:rPr>
          <w:rFonts w:asciiTheme="minorHAnsi" w:hAnsiTheme="minorHAnsi" w:cstheme="minorHAnsi"/>
          <w:sz w:val="18"/>
          <w:szCs w:val="18"/>
        </w:rPr>
        <w:tab/>
      </w:r>
      <w:r w:rsidRPr="008E66C6">
        <w:rPr>
          <w:rFonts w:asciiTheme="minorHAnsi" w:hAnsiTheme="minorHAnsi" w:cstheme="minorHAnsi"/>
          <w:sz w:val="18"/>
          <w:szCs w:val="18"/>
        </w:rPr>
        <w:t xml:space="preserve">See Crimes of Torture Act, ss27 to 30. See also </w:t>
      </w:r>
      <w:r w:rsidRPr="008E66C6">
        <w:rPr>
          <w:rFonts w:asciiTheme="minorHAnsi" w:hAnsiTheme="minorHAnsi" w:cstheme="minorHAnsi"/>
          <w:i/>
          <w:iCs/>
          <w:sz w:val="18"/>
          <w:szCs w:val="18"/>
        </w:rPr>
        <w:t xml:space="preserve">New Zealand Gazette </w:t>
      </w:r>
      <w:r w:rsidRPr="008E66C6">
        <w:rPr>
          <w:rFonts w:asciiTheme="minorHAnsi" w:hAnsiTheme="minorHAnsi" w:cstheme="minorHAnsi"/>
          <w:sz w:val="18"/>
          <w:szCs w:val="18"/>
        </w:rPr>
        <w:t>‘</w:t>
      </w:r>
      <w:hyperlink r:id="rId1" w:history="1">
        <w:r w:rsidRPr="008E66C6">
          <w:rPr>
            <w:rStyle w:val="Hyperlink"/>
            <w:rFonts w:asciiTheme="minorHAnsi" w:hAnsiTheme="minorHAnsi" w:cstheme="minorHAnsi"/>
            <w:sz w:val="18"/>
            <w:szCs w:val="18"/>
          </w:rPr>
          <w:t>Designation of National Preventive Mechanisms</w:t>
        </w:r>
      </w:hyperlink>
      <w:r w:rsidRPr="008E66C6">
        <w:rPr>
          <w:rFonts w:asciiTheme="minorHAnsi" w:hAnsiTheme="minorHAnsi" w:cstheme="minorHAnsi"/>
          <w:sz w:val="18"/>
          <w:szCs w:val="18"/>
        </w:rPr>
        <w:t xml:space="preserve">’ (Notice No. 2020-go2845, 2 July 2020). </w:t>
      </w:r>
    </w:p>
  </w:footnote>
  <w:footnote w:id="4">
    <w:p w14:paraId="547A2246" w14:textId="01B61594" w:rsidR="00FC3A35" w:rsidRPr="008E66C6" w:rsidRDefault="00FC3A35"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BE4032" w:rsidRPr="008E66C6">
        <w:rPr>
          <w:rFonts w:asciiTheme="minorHAnsi" w:hAnsiTheme="minorHAnsi" w:cstheme="minorHAnsi"/>
          <w:sz w:val="18"/>
          <w:szCs w:val="18"/>
        </w:rPr>
        <w:tab/>
      </w:r>
      <w:r w:rsidRPr="008E66C6">
        <w:rPr>
          <w:rFonts w:asciiTheme="minorHAnsi" w:hAnsiTheme="minorHAnsi" w:cstheme="minorHAnsi"/>
          <w:sz w:val="18"/>
          <w:szCs w:val="18"/>
          <w:lang w:eastAsia="en-NZ"/>
        </w:rPr>
        <w:t>Court Martial Act 2007, s 80(1).</w:t>
      </w:r>
    </w:p>
  </w:footnote>
  <w:footnote w:id="5">
    <w:p w14:paraId="7A1FF3D4" w14:textId="416672F5" w:rsidR="003E3425" w:rsidRPr="008E66C6" w:rsidRDefault="003E3425"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BE4032" w:rsidRPr="008E66C6">
        <w:rPr>
          <w:rFonts w:asciiTheme="minorHAnsi" w:hAnsiTheme="minorHAnsi" w:cstheme="minorHAnsi"/>
          <w:sz w:val="18"/>
          <w:szCs w:val="18"/>
        </w:rPr>
        <w:tab/>
      </w:r>
      <w:r w:rsidRPr="008E66C6">
        <w:rPr>
          <w:rFonts w:asciiTheme="minorHAnsi" w:hAnsiTheme="minorHAnsi" w:cstheme="minorHAnsi"/>
          <w:sz w:val="18"/>
          <w:szCs w:val="18"/>
          <w:lang w:eastAsia="en-NZ"/>
        </w:rPr>
        <w:t xml:space="preserve">Armed Forces Discipline Act 1971, s 2(1). </w:t>
      </w:r>
    </w:p>
  </w:footnote>
  <w:footnote w:id="6">
    <w:p w14:paraId="659C1421" w14:textId="77777777" w:rsidR="002B0906" w:rsidRPr="008E66C6" w:rsidRDefault="002B0906"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 xml:space="preserve">It is acknowledged there are two texts with different meanings. </w:t>
      </w:r>
    </w:p>
  </w:footnote>
  <w:footnote w:id="7">
    <w:p w14:paraId="27693776" w14:textId="1254F095" w:rsidR="003D6091" w:rsidRPr="008E66C6" w:rsidRDefault="003D6091"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BE4032" w:rsidRPr="008E66C6">
        <w:rPr>
          <w:rFonts w:asciiTheme="minorHAnsi" w:hAnsiTheme="minorHAnsi" w:cstheme="minorHAnsi"/>
          <w:sz w:val="18"/>
          <w:szCs w:val="18"/>
        </w:rPr>
        <w:tab/>
      </w:r>
      <w:r w:rsidR="000570C2" w:rsidRPr="008E66C6">
        <w:rPr>
          <w:rFonts w:asciiTheme="minorHAnsi" w:hAnsiTheme="minorHAnsi" w:cstheme="minorHAnsi"/>
          <w:sz w:val="18"/>
          <w:szCs w:val="18"/>
        </w:rPr>
        <w:t>New Zealand Government “Seventh periodic report submitted by New Zealand under article 19 of the Convention pursuant to the simplified reporting procedure” CAT/C/NZL/7 (16 March 2020), a</w:t>
      </w:r>
      <w:r w:rsidRPr="008E66C6">
        <w:rPr>
          <w:rFonts w:asciiTheme="minorHAnsi" w:hAnsiTheme="minorHAnsi" w:cstheme="minorHAnsi"/>
          <w:sz w:val="18"/>
          <w:szCs w:val="18"/>
        </w:rPr>
        <w:t xml:space="preserve">t [6]. </w:t>
      </w:r>
    </w:p>
  </w:footnote>
  <w:footnote w:id="8">
    <w:p w14:paraId="7E88BAA5" w14:textId="73402356" w:rsidR="00D8256A" w:rsidRPr="008E66C6" w:rsidRDefault="00D8256A"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BE4032" w:rsidRPr="008E66C6">
        <w:rPr>
          <w:rFonts w:asciiTheme="minorHAnsi" w:hAnsiTheme="minorHAnsi" w:cstheme="minorHAnsi"/>
          <w:sz w:val="18"/>
          <w:szCs w:val="18"/>
        </w:rPr>
        <w:tab/>
      </w:r>
      <w:r w:rsidRPr="008E66C6">
        <w:rPr>
          <w:rFonts w:asciiTheme="minorHAnsi" w:eastAsia="Calibri" w:hAnsiTheme="minorHAnsi" w:cstheme="minorHAnsi"/>
          <w:sz w:val="18"/>
          <w:szCs w:val="18"/>
        </w:rPr>
        <w:t xml:space="preserve">Article 3 of Te Tiriti affords tangata whenua </w:t>
      </w:r>
      <w:r w:rsidR="00063C52" w:rsidRPr="008E66C6">
        <w:rPr>
          <w:rFonts w:asciiTheme="minorHAnsi" w:eastAsia="Calibri" w:hAnsiTheme="minorHAnsi" w:cstheme="minorHAnsi"/>
          <w:sz w:val="18"/>
          <w:szCs w:val="18"/>
        </w:rPr>
        <w:t xml:space="preserve">(people of the land) </w:t>
      </w:r>
      <w:r w:rsidRPr="008E66C6">
        <w:rPr>
          <w:rFonts w:asciiTheme="minorHAnsi" w:eastAsia="Calibri" w:hAnsiTheme="minorHAnsi" w:cstheme="minorHAnsi"/>
          <w:sz w:val="18"/>
          <w:szCs w:val="18"/>
        </w:rPr>
        <w:t>ngā tikanga katoa rite tahi (all the rights and privileges) on an equal basis with tangata Tiriti</w:t>
      </w:r>
      <w:r w:rsidR="00ED17E8" w:rsidRPr="008E66C6">
        <w:rPr>
          <w:rFonts w:asciiTheme="minorHAnsi" w:eastAsia="Calibri" w:hAnsiTheme="minorHAnsi" w:cstheme="minorHAnsi"/>
          <w:sz w:val="18"/>
          <w:szCs w:val="18"/>
        </w:rPr>
        <w:t xml:space="preserve"> (New Zealanders of non-Māori origin)</w:t>
      </w:r>
      <w:r w:rsidRPr="008E66C6">
        <w:rPr>
          <w:rFonts w:asciiTheme="minorHAnsi" w:eastAsia="Calibri" w:hAnsiTheme="minorHAnsi" w:cstheme="minorHAnsi"/>
          <w:sz w:val="18"/>
          <w:szCs w:val="18"/>
        </w:rPr>
        <w:t>, while article 4 protects te retinga Māori (Māori customs).</w:t>
      </w:r>
    </w:p>
  </w:footnote>
  <w:footnote w:id="9">
    <w:p w14:paraId="202E7ECC" w14:textId="653B3069" w:rsidR="00B03A8B" w:rsidRPr="008E66C6" w:rsidRDefault="00B03A8B"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A910F8" w:rsidRPr="008E66C6">
        <w:rPr>
          <w:rFonts w:asciiTheme="minorHAnsi" w:hAnsiTheme="minorHAnsi" w:cstheme="minorHAnsi"/>
          <w:sz w:val="18"/>
          <w:szCs w:val="18"/>
        </w:rPr>
        <w:tab/>
        <w:t xml:space="preserve">Oranga Tamariki Act 1989, s 7AA. </w:t>
      </w:r>
    </w:p>
  </w:footnote>
  <w:footnote w:id="10">
    <w:p w14:paraId="7D25DA41" w14:textId="769B18EE" w:rsidR="004F2AF0" w:rsidRPr="008E66C6" w:rsidRDefault="004F2AF0"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AF7049" w:rsidRPr="008E66C6">
        <w:rPr>
          <w:rFonts w:asciiTheme="minorHAnsi" w:hAnsiTheme="minorHAnsi" w:cstheme="minorHAnsi"/>
          <w:sz w:val="18"/>
          <w:szCs w:val="18"/>
        </w:rPr>
        <w:tab/>
        <w:t>For example, in March 2023 Māori made up 53 per</w:t>
      </w:r>
      <w:r w:rsidR="00A22724" w:rsidRPr="008E66C6">
        <w:rPr>
          <w:rFonts w:asciiTheme="minorHAnsi" w:hAnsiTheme="minorHAnsi" w:cstheme="minorHAnsi"/>
          <w:sz w:val="18"/>
          <w:szCs w:val="18"/>
        </w:rPr>
        <w:t xml:space="preserve"> </w:t>
      </w:r>
      <w:r w:rsidR="00AF7049" w:rsidRPr="008E66C6">
        <w:rPr>
          <w:rFonts w:asciiTheme="minorHAnsi" w:hAnsiTheme="minorHAnsi" w:cstheme="minorHAnsi"/>
          <w:sz w:val="18"/>
          <w:szCs w:val="18"/>
        </w:rPr>
        <w:t>cent of people in prison, despite being approximately 17 per</w:t>
      </w:r>
      <w:r w:rsidR="00A22724" w:rsidRPr="008E66C6">
        <w:rPr>
          <w:rFonts w:asciiTheme="minorHAnsi" w:hAnsiTheme="minorHAnsi" w:cstheme="minorHAnsi"/>
          <w:sz w:val="18"/>
          <w:szCs w:val="18"/>
        </w:rPr>
        <w:t xml:space="preserve"> </w:t>
      </w:r>
      <w:r w:rsidR="00AF7049" w:rsidRPr="008E66C6">
        <w:rPr>
          <w:rFonts w:asciiTheme="minorHAnsi" w:hAnsiTheme="minorHAnsi" w:cstheme="minorHAnsi"/>
          <w:sz w:val="18"/>
          <w:szCs w:val="18"/>
        </w:rPr>
        <w:t xml:space="preserve">cent of the general New Zealand population. See Department of Corrections, Prison facts and statistics – March 2023. Available: </w:t>
      </w:r>
      <w:hyperlink r:id="rId2" w:history="1">
        <w:r w:rsidR="00AF7049" w:rsidRPr="008E66C6">
          <w:rPr>
            <w:rStyle w:val="Hyperlink"/>
            <w:rFonts w:asciiTheme="minorHAnsi" w:hAnsiTheme="minorHAnsi" w:cstheme="minorHAnsi"/>
            <w:sz w:val="18"/>
            <w:szCs w:val="18"/>
          </w:rPr>
          <w:t>https://www.corrections.govt.nz/resources/statistics/quarterly_prison_statistics/prison_stats_march_2023</w:t>
        </w:r>
      </w:hyperlink>
      <w:r w:rsidR="00AF7049" w:rsidRPr="008E66C6">
        <w:rPr>
          <w:rFonts w:asciiTheme="minorHAnsi" w:hAnsiTheme="minorHAnsi" w:cstheme="minorHAnsi"/>
          <w:sz w:val="18"/>
          <w:szCs w:val="18"/>
        </w:rPr>
        <w:t>.</w:t>
      </w:r>
    </w:p>
  </w:footnote>
  <w:footnote w:id="11">
    <w:p w14:paraId="511ED308" w14:textId="3DDC1214" w:rsidR="00A171CD" w:rsidRPr="008E66C6" w:rsidRDefault="00A171CD"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Ombudsman</w:t>
      </w:r>
      <w:r w:rsidR="006F666A" w:rsidRPr="008E66C6">
        <w:rPr>
          <w:rFonts w:asciiTheme="minorHAnsi" w:hAnsiTheme="minorHAnsi" w:cstheme="minorHAnsi"/>
          <w:sz w:val="18"/>
          <w:szCs w:val="18"/>
        </w:rPr>
        <w:t xml:space="preserve"> New Zealand</w:t>
      </w:r>
      <w:r w:rsidRPr="008E66C6">
        <w:rPr>
          <w:rFonts w:asciiTheme="minorHAnsi" w:hAnsiTheme="minorHAnsi" w:cstheme="minorHAnsi"/>
          <w:sz w:val="18"/>
          <w:szCs w:val="18"/>
        </w:rPr>
        <w:t xml:space="preserve">. 2020. </w:t>
      </w:r>
      <w:r w:rsidRPr="008E66C6">
        <w:rPr>
          <w:rFonts w:asciiTheme="minorHAnsi" w:hAnsiTheme="minorHAnsi" w:cstheme="minorHAnsi"/>
          <w:i/>
          <w:sz w:val="18"/>
          <w:szCs w:val="18"/>
        </w:rPr>
        <w:t xml:space="preserve">Final report on an unannounced inspection of Waikeria Prison under the Crimes of Torture Act 1989. </w:t>
      </w:r>
      <w:r w:rsidRPr="008E66C6">
        <w:rPr>
          <w:rFonts w:asciiTheme="minorHAnsi" w:hAnsiTheme="minorHAnsi" w:cstheme="minorHAnsi"/>
          <w:sz w:val="18"/>
          <w:szCs w:val="18"/>
        </w:rPr>
        <w:t>Wellington: Ombudsman</w:t>
      </w:r>
      <w:r w:rsidR="003B2796" w:rsidRPr="008E66C6">
        <w:rPr>
          <w:rFonts w:asciiTheme="minorHAnsi" w:hAnsiTheme="minorHAnsi" w:cstheme="minorHAnsi"/>
          <w:sz w:val="18"/>
          <w:szCs w:val="18"/>
        </w:rPr>
        <w:t xml:space="preserve"> New Zealand</w:t>
      </w:r>
      <w:r w:rsidRPr="008E66C6">
        <w:rPr>
          <w:rFonts w:asciiTheme="minorHAnsi" w:hAnsiTheme="minorHAnsi" w:cstheme="minorHAnsi"/>
          <w:sz w:val="18"/>
          <w:szCs w:val="18"/>
        </w:rPr>
        <w:t xml:space="preserve">. Available: </w:t>
      </w:r>
      <w:hyperlink r:id="rId3" w:history="1">
        <w:r w:rsidRPr="008E66C6">
          <w:rPr>
            <w:rStyle w:val="Hyperlink"/>
            <w:rFonts w:asciiTheme="minorHAnsi" w:hAnsiTheme="minorHAnsi" w:cstheme="minorHAnsi"/>
            <w:sz w:val="18"/>
            <w:szCs w:val="18"/>
          </w:rPr>
          <w:t>https://www.ombudsman.parliament.nz/resources/final-report-unannounced-inspection-waikeria-prison-under-crimes-torture-act-1989</w:t>
        </w:r>
      </w:hyperlink>
      <w:r w:rsidRPr="008E66C6">
        <w:rPr>
          <w:rFonts w:asciiTheme="minorHAnsi" w:hAnsiTheme="minorHAnsi" w:cstheme="minorHAnsi"/>
          <w:sz w:val="18"/>
          <w:szCs w:val="18"/>
        </w:rPr>
        <w:t>.</w:t>
      </w:r>
    </w:p>
  </w:footnote>
  <w:footnote w:id="12">
    <w:p w14:paraId="294695AA" w14:textId="77777777" w:rsidR="00DB06BF" w:rsidRPr="008E66C6" w:rsidRDefault="00DB06BF"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Tāne is the term that was used by the prison to describe people detained there at the time of inspection. Tāne, in te reo Māori, means man/male.</w:t>
      </w:r>
    </w:p>
  </w:footnote>
  <w:footnote w:id="13">
    <w:p w14:paraId="13E86F0E" w14:textId="77777777" w:rsidR="00DB06BF" w:rsidRPr="008E66C6" w:rsidRDefault="00DB06BF"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Manaaki Standards for people in the care and management of the Department, which includes standards around health and hygiene.</w:t>
      </w:r>
    </w:p>
  </w:footnote>
  <w:footnote w:id="14">
    <w:p w14:paraId="07D2BADF" w14:textId="433C730F" w:rsidR="00A2132A" w:rsidRPr="008E66C6" w:rsidRDefault="00A2132A"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5E7F7D" w:rsidRPr="008E66C6">
        <w:rPr>
          <w:rFonts w:asciiTheme="minorHAnsi" w:hAnsiTheme="minorHAnsi" w:cstheme="minorHAnsi"/>
          <w:sz w:val="18"/>
          <w:szCs w:val="18"/>
        </w:rPr>
        <w:tab/>
        <w:t>Ombudsman</w:t>
      </w:r>
      <w:r w:rsidR="003B2796" w:rsidRPr="008E66C6">
        <w:rPr>
          <w:rFonts w:asciiTheme="minorHAnsi" w:hAnsiTheme="minorHAnsi" w:cstheme="minorHAnsi"/>
          <w:sz w:val="18"/>
          <w:szCs w:val="18"/>
        </w:rPr>
        <w:t xml:space="preserve"> New Zealand</w:t>
      </w:r>
      <w:r w:rsidR="005E7F7D" w:rsidRPr="008E66C6">
        <w:rPr>
          <w:rFonts w:asciiTheme="minorHAnsi" w:hAnsiTheme="minorHAnsi" w:cstheme="minorHAnsi"/>
          <w:sz w:val="18"/>
          <w:szCs w:val="18"/>
        </w:rPr>
        <w:t xml:space="preserve">. 2020. </w:t>
      </w:r>
      <w:r w:rsidR="005E7F7D" w:rsidRPr="008E66C6">
        <w:rPr>
          <w:rFonts w:asciiTheme="minorHAnsi" w:hAnsiTheme="minorHAnsi" w:cstheme="minorHAnsi"/>
          <w:i/>
          <w:sz w:val="18"/>
          <w:szCs w:val="18"/>
        </w:rPr>
        <w:t xml:space="preserve">Final report on an unannounced inspection of Auckland Prison under the Crimes of Torture Act 1989. </w:t>
      </w:r>
      <w:r w:rsidR="005E7F7D" w:rsidRPr="008E66C6">
        <w:rPr>
          <w:rFonts w:asciiTheme="minorHAnsi" w:hAnsiTheme="minorHAnsi" w:cstheme="minorHAnsi"/>
          <w:sz w:val="18"/>
          <w:szCs w:val="18"/>
        </w:rPr>
        <w:t>Wellington: Ombudsman</w:t>
      </w:r>
      <w:r w:rsidR="003B2796" w:rsidRPr="008E66C6">
        <w:rPr>
          <w:rFonts w:asciiTheme="minorHAnsi" w:hAnsiTheme="minorHAnsi" w:cstheme="minorHAnsi"/>
          <w:sz w:val="18"/>
          <w:szCs w:val="18"/>
        </w:rPr>
        <w:t xml:space="preserve"> New Zealand</w:t>
      </w:r>
      <w:r w:rsidR="005E7F7D" w:rsidRPr="008E66C6">
        <w:rPr>
          <w:rFonts w:asciiTheme="minorHAnsi" w:hAnsiTheme="minorHAnsi" w:cstheme="minorHAnsi"/>
          <w:sz w:val="18"/>
          <w:szCs w:val="18"/>
        </w:rPr>
        <w:t xml:space="preserve">. Available: </w:t>
      </w:r>
      <w:hyperlink r:id="rId4" w:history="1">
        <w:r w:rsidR="005E7F7D" w:rsidRPr="008E66C6">
          <w:rPr>
            <w:rStyle w:val="Hyperlink"/>
            <w:rFonts w:asciiTheme="minorHAnsi" w:hAnsiTheme="minorHAnsi" w:cstheme="minorHAnsi"/>
            <w:sz w:val="18"/>
            <w:szCs w:val="18"/>
          </w:rPr>
          <w:t>https://www.ombudsman.parliament.nz/resources/final-report-unannounced-inspection-auckland-prison-under-crimes-torture-act-1989</w:t>
        </w:r>
      </w:hyperlink>
      <w:r w:rsidR="005E7F7D" w:rsidRPr="008E66C6">
        <w:rPr>
          <w:rFonts w:asciiTheme="minorHAnsi" w:hAnsiTheme="minorHAnsi" w:cstheme="minorHAnsi"/>
          <w:sz w:val="18"/>
          <w:szCs w:val="18"/>
        </w:rPr>
        <w:t>.</w:t>
      </w:r>
    </w:p>
  </w:footnote>
  <w:footnote w:id="15">
    <w:p w14:paraId="3FCDFE2B" w14:textId="5FDC00DB" w:rsidR="00BA072D" w:rsidRPr="008E66C6" w:rsidRDefault="00BA072D"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C34E44" w:rsidRPr="008E66C6">
        <w:rPr>
          <w:rFonts w:asciiTheme="minorHAnsi" w:hAnsiTheme="minorHAnsi" w:cstheme="minorHAnsi"/>
          <w:sz w:val="18"/>
          <w:szCs w:val="18"/>
        </w:rPr>
        <w:tab/>
        <w:t xml:space="preserve">Ratima K. and Ratima M. 2007. Māori Experience of Disability and Disability Support Services. In B. Robson &amp; Harris R. (eds.) </w:t>
      </w:r>
      <w:r w:rsidR="00C34E44" w:rsidRPr="008E66C6">
        <w:rPr>
          <w:rFonts w:asciiTheme="minorHAnsi" w:hAnsiTheme="minorHAnsi" w:cstheme="minorHAnsi"/>
          <w:i/>
          <w:sz w:val="18"/>
          <w:szCs w:val="18"/>
        </w:rPr>
        <w:t>Hauora: Māori Standards of Health IV: A study of the years 2000-200.</w:t>
      </w:r>
      <w:r w:rsidR="00C34E44" w:rsidRPr="008E66C6">
        <w:rPr>
          <w:rFonts w:asciiTheme="minorHAnsi" w:hAnsiTheme="minorHAnsi" w:cstheme="minorHAnsi"/>
          <w:sz w:val="18"/>
          <w:szCs w:val="18"/>
        </w:rPr>
        <w:t xml:space="preserve"> Wellington: Te Rōpū Rangahau Hauora a Eru Pōmare. Available: </w:t>
      </w:r>
      <w:hyperlink r:id="rId5" w:history="1">
        <w:r w:rsidR="00C34E44" w:rsidRPr="008E66C6">
          <w:rPr>
            <w:rStyle w:val="Hyperlink"/>
            <w:rFonts w:asciiTheme="minorHAnsi" w:hAnsiTheme="minorHAnsi" w:cstheme="minorHAnsi"/>
            <w:sz w:val="18"/>
            <w:szCs w:val="18"/>
          </w:rPr>
          <w:t>https://www.otago.ac.nz/wellington/otago067751.pdf</w:t>
        </w:r>
      </w:hyperlink>
      <w:r w:rsidR="00C34E44" w:rsidRPr="008E66C6">
        <w:rPr>
          <w:rFonts w:asciiTheme="minorHAnsi" w:hAnsiTheme="minorHAnsi" w:cstheme="minorHAnsi"/>
          <w:sz w:val="18"/>
          <w:szCs w:val="18"/>
        </w:rPr>
        <w:t>.</w:t>
      </w:r>
    </w:p>
  </w:footnote>
  <w:footnote w:id="16">
    <w:p w14:paraId="32267A97" w14:textId="341589A1" w:rsidR="00664259" w:rsidRPr="008E66C6" w:rsidRDefault="00664259"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AF71D2" w:rsidRPr="008E66C6">
        <w:rPr>
          <w:rFonts w:asciiTheme="minorHAnsi" w:hAnsiTheme="minorHAnsi" w:cstheme="minorHAnsi"/>
          <w:sz w:val="18"/>
          <w:szCs w:val="18"/>
        </w:rPr>
        <w:tab/>
        <w:t xml:space="preserve">A number of other public and private agencies and organisations were also involved in the MIQ system, including Manatū Hauora </w:t>
      </w:r>
      <w:r w:rsidR="00AF71D2" w:rsidRPr="008E66C6">
        <w:rPr>
          <w:rStyle w:val="normaltextrun"/>
          <w:rFonts w:asciiTheme="minorHAnsi" w:hAnsiTheme="minorHAnsi" w:cstheme="minorHAnsi"/>
          <w:color w:val="221E1F"/>
          <w:sz w:val="18"/>
          <w:szCs w:val="18"/>
          <w:shd w:val="clear" w:color="auto" w:fill="FFFFFF"/>
          <w:lang w:val="en-GB"/>
        </w:rPr>
        <w:t xml:space="preserve">| the </w:t>
      </w:r>
      <w:r w:rsidR="00AF71D2" w:rsidRPr="008E66C6">
        <w:rPr>
          <w:rFonts w:asciiTheme="minorHAnsi" w:hAnsiTheme="minorHAnsi" w:cstheme="minorHAnsi"/>
          <w:sz w:val="18"/>
          <w:szCs w:val="18"/>
        </w:rPr>
        <w:t xml:space="preserve">Ministry of Health, individual District Health Boards, the Aviation Security Service, New Zealand Police, Te Mana Ārai o Aotearoa </w:t>
      </w:r>
      <w:r w:rsidR="00AF71D2" w:rsidRPr="008E66C6">
        <w:rPr>
          <w:rStyle w:val="normaltextrun"/>
          <w:rFonts w:asciiTheme="minorHAnsi" w:hAnsiTheme="minorHAnsi" w:cstheme="minorHAnsi"/>
          <w:color w:val="221E1F"/>
          <w:sz w:val="18"/>
          <w:szCs w:val="18"/>
          <w:shd w:val="clear" w:color="auto" w:fill="FFFFFF"/>
          <w:lang w:val="en-GB"/>
        </w:rPr>
        <w:t xml:space="preserve">| </w:t>
      </w:r>
      <w:r w:rsidR="00AF71D2" w:rsidRPr="008E66C6">
        <w:rPr>
          <w:rFonts w:asciiTheme="minorHAnsi" w:hAnsiTheme="minorHAnsi" w:cstheme="minorHAnsi"/>
          <w:sz w:val="18"/>
          <w:szCs w:val="18"/>
        </w:rPr>
        <w:t>New Zealand Customs Service, hotels contracted to provide MIQ facilities, and private security firms.</w:t>
      </w:r>
    </w:p>
  </w:footnote>
  <w:footnote w:id="17">
    <w:p w14:paraId="67C34496" w14:textId="77777777" w:rsidR="00C344B6" w:rsidRPr="008E66C6" w:rsidRDefault="00C344B6"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AIA facilities provide emergency accommodation for individuals required to self-isolate under the under the New Zealand COVID-19 Public Health Response (Self-isolation Requirements and Permitted Work) Order 2022.</w:t>
      </w:r>
    </w:p>
  </w:footnote>
  <w:footnote w:id="18">
    <w:p w14:paraId="0D7664FF" w14:textId="601C9ECA" w:rsidR="0001247B" w:rsidRPr="008E66C6" w:rsidRDefault="0001247B"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7D20AA" w:rsidRPr="008E66C6">
        <w:rPr>
          <w:rFonts w:asciiTheme="minorHAnsi" w:hAnsiTheme="minorHAnsi" w:cstheme="minorHAnsi"/>
          <w:sz w:val="18"/>
          <w:szCs w:val="18"/>
        </w:rPr>
        <w:tab/>
      </w:r>
      <w:r w:rsidRPr="008E66C6">
        <w:rPr>
          <w:rFonts w:asciiTheme="minorHAnsi" w:hAnsiTheme="minorHAnsi" w:cstheme="minorHAnsi"/>
          <w:sz w:val="18"/>
          <w:szCs w:val="18"/>
        </w:rPr>
        <w:t xml:space="preserve">Numbers of </w:t>
      </w:r>
      <w:r w:rsidR="00613E46">
        <w:rPr>
          <w:rFonts w:asciiTheme="minorHAnsi" w:hAnsiTheme="minorHAnsi" w:cstheme="minorHAnsi"/>
          <w:sz w:val="18"/>
          <w:szCs w:val="18"/>
        </w:rPr>
        <w:t xml:space="preserve">Police </w:t>
      </w:r>
      <w:r w:rsidRPr="008E66C6">
        <w:rPr>
          <w:rFonts w:asciiTheme="minorHAnsi" w:hAnsiTheme="minorHAnsi" w:cstheme="minorHAnsi"/>
          <w:sz w:val="18"/>
          <w:szCs w:val="18"/>
        </w:rPr>
        <w:t>custody records created (per calendar year):</w:t>
      </w:r>
    </w:p>
    <w:p w14:paraId="120D3E6A" w14:textId="77777777" w:rsidR="0001247B" w:rsidRPr="008E66C6" w:rsidRDefault="0001247B" w:rsidP="008E66C6">
      <w:pPr>
        <w:pStyle w:val="FootnoteText"/>
        <w:ind w:firstLine="0"/>
        <w:jc w:val="left"/>
        <w:rPr>
          <w:rFonts w:asciiTheme="minorHAnsi" w:hAnsiTheme="minorHAnsi" w:cstheme="minorHAnsi"/>
          <w:sz w:val="18"/>
          <w:szCs w:val="18"/>
        </w:rPr>
      </w:pPr>
      <w:r w:rsidRPr="008E66C6">
        <w:rPr>
          <w:rFonts w:asciiTheme="minorHAnsi" w:hAnsiTheme="minorHAnsi" w:cstheme="minorHAnsi"/>
          <w:b/>
          <w:bCs/>
          <w:sz w:val="18"/>
          <w:szCs w:val="18"/>
        </w:rPr>
        <w:t xml:space="preserve">Year </w:t>
      </w:r>
      <w:r w:rsidRPr="008E66C6">
        <w:rPr>
          <w:rFonts w:asciiTheme="minorHAnsi" w:eastAsia="Wingdings" w:hAnsiTheme="minorHAnsi" w:cstheme="minorHAnsi"/>
          <w:b/>
          <w:sz w:val="18"/>
          <w:szCs w:val="18"/>
        </w:rPr>
        <w:sym w:font="Wingdings" w:char="F0E0"/>
      </w:r>
      <w:r w:rsidRPr="008E66C6">
        <w:rPr>
          <w:rFonts w:asciiTheme="minorHAnsi" w:hAnsiTheme="minorHAnsi" w:cstheme="minorHAnsi"/>
          <w:b/>
          <w:bCs/>
          <w:sz w:val="18"/>
          <w:szCs w:val="18"/>
        </w:rPr>
        <w:t xml:space="preserve"> Total records created</w:t>
      </w:r>
    </w:p>
    <w:p w14:paraId="21202FB1" w14:textId="77777777" w:rsidR="0001247B" w:rsidRPr="008E66C6" w:rsidRDefault="0001247B" w:rsidP="008E66C6">
      <w:pPr>
        <w:pStyle w:val="FootnoteText"/>
        <w:ind w:firstLine="0"/>
        <w:jc w:val="left"/>
        <w:rPr>
          <w:rFonts w:asciiTheme="minorHAnsi" w:hAnsiTheme="minorHAnsi" w:cstheme="minorHAnsi"/>
          <w:sz w:val="18"/>
          <w:szCs w:val="18"/>
        </w:rPr>
      </w:pPr>
      <w:r w:rsidRPr="008E66C6">
        <w:rPr>
          <w:rFonts w:asciiTheme="minorHAnsi" w:hAnsiTheme="minorHAnsi" w:cstheme="minorHAnsi"/>
          <w:sz w:val="18"/>
          <w:szCs w:val="18"/>
        </w:rPr>
        <w:t>2018 - 125,701</w:t>
      </w:r>
    </w:p>
    <w:p w14:paraId="6AD26234" w14:textId="77777777" w:rsidR="0001247B" w:rsidRPr="008E66C6" w:rsidRDefault="0001247B" w:rsidP="008E66C6">
      <w:pPr>
        <w:pStyle w:val="FootnoteText"/>
        <w:ind w:firstLine="0"/>
        <w:jc w:val="left"/>
        <w:rPr>
          <w:rFonts w:asciiTheme="minorHAnsi" w:hAnsiTheme="minorHAnsi" w:cstheme="minorHAnsi"/>
          <w:sz w:val="18"/>
          <w:szCs w:val="18"/>
        </w:rPr>
      </w:pPr>
      <w:r w:rsidRPr="008E66C6">
        <w:rPr>
          <w:rFonts w:asciiTheme="minorHAnsi" w:hAnsiTheme="minorHAnsi" w:cstheme="minorHAnsi"/>
          <w:sz w:val="18"/>
          <w:szCs w:val="18"/>
        </w:rPr>
        <w:t>2019 - 128,278</w:t>
      </w:r>
    </w:p>
    <w:p w14:paraId="240E5AFB" w14:textId="77777777" w:rsidR="0001247B" w:rsidRPr="008E66C6" w:rsidRDefault="0001247B" w:rsidP="008E66C6">
      <w:pPr>
        <w:pStyle w:val="FootnoteText"/>
        <w:ind w:firstLine="0"/>
        <w:jc w:val="left"/>
        <w:rPr>
          <w:rFonts w:asciiTheme="minorHAnsi" w:hAnsiTheme="minorHAnsi" w:cstheme="minorHAnsi"/>
          <w:sz w:val="18"/>
          <w:szCs w:val="18"/>
        </w:rPr>
      </w:pPr>
      <w:r w:rsidRPr="008E66C6">
        <w:rPr>
          <w:rFonts w:asciiTheme="minorHAnsi" w:hAnsiTheme="minorHAnsi" w:cstheme="minorHAnsi"/>
          <w:sz w:val="18"/>
          <w:szCs w:val="18"/>
        </w:rPr>
        <w:t>2020 - 110,719</w:t>
      </w:r>
    </w:p>
    <w:p w14:paraId="55C50CD9" w14:textId="77777777" w:rsidR="0001247B" w:rsidRPr="008E66C6" w:rsidRDefault="0001247B" w:rsidP="008E66C6">
      <w:pPr>
        <w:pStyle w:val="FootnoteText"/>
        <w:ind w:firstLine="0"/>
        <w:jc w:val="left"/>
        <w:rPr>
          <w:rFonts w:asciiTheme="minorHAnsi" w:hAnsiTheme="minorHAnsi" w:cstheme="minorHAnsi"/>
          <w:sz w:val="18"/>
          <w:szCs w:val="18"/>
        </w:rPr>
      </w:pPr>
      <w:r w:rsidRPr="008E66C6">
        <w:rPr>
          <w:rFonts w:asciiTheme="minorHAnsi" w:hAnsiTheme="minorHAnsi" w:cstheme="minorHAnsi"/>
          <w:sz w:val="18"/>
          <w:szCs w:val="18"/>
        </w:rPr>
        <w:t>2021- 88,232</w:t>
      </w:r>
    </w:p>
    <w:p w14:paraId="038ACD7B" w14:textId="77777777" w:rsidR="0001247B" w:rsidRPr="008E66C6" w:rsidRDefault="0001247B" w:rsidP="008E66C6">
      <w:pPr>
        <w:pStyle w:val="FootnoteText"/>
        <w:ind w:firstLine="0"/>
        <w:jc w:val="left"/>
        <w:rPr>
          <w:rFonts w:asciiTheme="minorHAnsi" w:hAnsiTheme="minorHAnsi" w:cstheme="minorHAnsi"/>
          <w:sz w:val="18"/>
          <w:szCs w:val="18"/>
        </w:rPr>
      </w:pPr>
      <w:r w:rsidRPr="008E66C6">
        <w:rPr>
          <w:rFonts w:asciiTheme="minorHAnsi" w:hAnsiTheme="minorHAnsi" w:cstheme="minorHAnsi"/>
          <w:sz w:val="18"/>
          <w:szCs w:val="18"/>
        </w:rPr>
        <w:t xml:space="preserve">2022 - 89,594. </w:t>
      </w:r>
    </w:p>
  </w:footnote>
  <w:footnote w:id="19">
    <w:p w14:paraId="3B20FF99" w14:textId="6CAB5949" w:rsidR="007E0C28" w:rsidRPr="008E66C6" w:rsidRDefault="007E0C28"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 xml:space="preserve">All three of Dr Shalev’s reports are available at </w:t>
      </w:r>
      <w:hyperlink r:id="rId6" w:history="1">
        <w:r w:rsidRPr="008E66C6">
          <w:rPr>
            <w:rStyle w:val="Hyperlink"/>
            <w:rFonts w:asciiTheme="minorHAnsi" w:hAnsiTheme="minorHAnsi" w:cstheme="minorHAnsi"/>
            <w:sz w:val="18"/>
            <w:szCs w:val="18"/>
          </w:rPr>
          <w:t>https://www.solitaryconfinement.org/solitary-confinement-in-new-zealand</w:t>
        </w:r>
      </w:hyperlink>
      <w:r w:rsidRPr="008E66C6">
        <w:rPr>
          <w:rFonts w:asciiTheme="minorHAnsi" w:hAnsiTheme="minorHAnsi" w:cstheme="minorHAnsi"/>
          <w:sz w:val="18"/>
          <w:szCs w:val="18"/>
        </w:rPr>
        <w:t xml:space="preserve">. </w:t>
      </w:r>
    </w:p>
  </w:footnote>
  <w:footnote w:id="20">
    <w:p w14:paraId="185ED264" w14:textId="0116D8E0" w:rsidR="001179BD" w:rsidRPr="008E66C6" w:rsidRDefault="001179BD"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3B1268" w:rsidRPr="008E66C6">
        <w:rPr>
          <w:rFonts w:asciiTheme="minorHAnsi" w:hAnsiTheme="minorHAnsi" w:cstheme="minorHAnsi"/>
          <w:sz w:val="18"/>
          <w:szCs w:val="18"/>
        </w:rPr>
        <w:tab/>
        <w:t>Human Rights Committee “Concluding observations on the sixth periodic report of New Zealand” CCPR/C/NZL/CO/6</w:t>
      </w:r>
      <w:r w:rsidR="009351CF" w:rsidRPr="008E66C6">
        <w:rPr>
          <w:rFonts w:asciiTheme="minorHAnsi" w:hAnsiTheme="minorHAnsi" w:cstheme="minorHAnsi"/>
          <w:sz w:val="18"/>
          <w:szCs w:val="18"/>
        </w:rPr>
        <w:t xml:space="preserve"> (28 April 2016) which recommended that </w:t>
      </w:r>
      <w:r w:rsidR="00E617DB" w:rsidRPr="008E66C6">
        <w:rPr>
          <w:rFonts w:asciiTheme="minorHAnsi" w:hAnsiTheme="minorHAnsi" w:cstheme="minorHAnsi"/>
          <w:sz w:val="18"/>
          <w:szCs w:val="18"/>
        </w:rPr>
        <w:t>“</w:t>
      </w:r>
      <w:r w:rsidR="00E617DB" w:rsidRPr="008E66C6">
        <w:rPr>
          <w:rFonts w:asciiTheme="minorHAnsi" w:hAnsiTheme="minorHAnsi" w:cstheme="minorHAnsi"/>
          <w:i/>
          <w:iCs/>
          <w:sz w:val="18"/>
          <w:szCs w:val="18"/>
        </w:rPr>
        <w:t xml:space="preserve">The State party should take all appropriate measures to ensure that the human rights of persons deprived of their liberty are respected and protected in all places of deprivation of liberty, including private penitentiary institutions, in line with the established international standards, including the revised United Nations Standard Minimum Rules for the Treatment of Prisoners (the Nelson Mandela Rules). The State party should also provide adequate human and financial resources to the Ombudsman </w:t>
      </w:r>
      <w:r w:rsidR="00074B57" w:rsidRPr="008E66C6">
        <w:rPr>
          <w:rFonts w:asciiTheme="minorHAnsi" w:hAnsiTheme="minorHAnsi" w:cstheme="minorHAnsi"/>
          <w:i/>
          <w:iCs/>
          <w:sz w:val="18"/>
          <w:szCs w:val="18"/>
        </w:rPr>
        <w:t xml:space="preserve">New Zealand </w:t>
      </w:r>
      <w:r w:rsidR="00E617DB" w:rsidRPr="008E66C6">
        <w:rPr>
          <w:rFonts w:asciiTheme="minorHAnsi" w:hAnsiTheme="minorHAnsi" w:cstheme="minorHAnsi"/>
          <w:i/>
          <w:iCs/>
          <w:sz w:val="18"/>
          <w:szCs w:val="18"/>
        </w:rPr>
        <w:t>to enable it to discharge its monitoring and reporting mandate effectively</w:t>
      </w:r>
      <w:r w:rsidR="00E617DB" w:rsidRPr="008E66C6">
        <w:rPr>
          <w:rFonts w:asciiTheme="minorHAnsi" w:hAnsiTheme="minorHAnsi" w:cstheme="minorHAnsi"/>
          <w:sz w:val="18"/>
          <w:szCs w:val="18"/>
        </w:rPr>
        <w:t xml:space="preserve">” at [42]. </w:t>
      </w:r>
    </w:p>
  </w:footnote>
  <w:footnote w:id="21">
    <w:p w14:paraId="1EF2D0B4" w14:textId="51649E45" w:rsidR="00E326B5" w:rsidRPr="008E66C6" w:rsidRDefault="00E326B5"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r>
      <w:r w:rsidR="00614515" w:rsidRPr="008E66C6">
        <w:rPr>
          <w:rFonts w:asciiTheme="minorHAnsi" w:hAnsiTheme="minorHAnsi" w:cstheme="minorHAnsi"/>
          <w:sz w:val="18"/>
          <w:szCs w:val="18"/>
        </w:rPr>
        <w:t xml:space="preserve">Committee on the Elimination of Racial Discrimination </w:t>
      </w:r>
      <w:r w:rsidR="00BF5F6F" w:rsidRPr="008E66C6">
        <w:rPr>
          <w:rFonts w:asciiTheme="minorHAnsi" w:hAnsiTheme="minorHAnsi" w:cstheme="minorHAnsi"/>
          <w:sz w:val="18"/>
          <w:szCs w:val="18"/>
        </w:rPr>
        <w:t>“Concluding observations on the combined twenty-first and twenty-second periodic reports of New Zealand” CERD/C/NZL/CO/21-22 (22 September 2017) “</w:t>
      </w:r>
      <w:r w:rsidR="00BF5F6F" w:rsidRPr="008E66C6">
        <w:rPr>
          <w:rFonts w:asciiTheme="minorHAnsi" w:hAnsiTheme="minorHAnsi" w:cstheme="minorHAnsi"/>
          <w:i/>
          <w:iCs/>
          <w:sz w:val="18"/>
          <w:szCs w:val="18"/>
        </w:rPr>
        <w:t xml:space="preserve">the Committee recommends that the State party strengthen its efforts to address the root causes leading to disproportionate incarceration rates of </w:t>
      </w:r>
      <w:r w:rsidR="00F84563" w:rsidRPr="008E66C6">
        <w:rPr>
          <w:rFonts w:asciiTheme="minorHAnsi" w:hAnsiTheme="minorHAnsi" w:cstheme="minorHAnsi"/>
          <w:i/>
          <w:iCs/>
          <w:sz w:val="18"/>
          <w:szCs w:val="18"/>
        </w:rPr>
        <w:t>Māori</w:t>
      </w:r>
      <w:r w:rsidR="00BF5F6F" w:rsidRPr="008E66C6">
        <w:rPr>
          <w:rFonts w:asciiTheme="minorHAnsi" w:hAnsiTheme="minorHAnsi" w:cstheme="minorHAnsi"/>
          <w:i/>
          <w:iCs/>
          <w:sz w:val="18"/>
          <w:szCs w:val="18"/>
        </w:rPr>
        <w:t xml:space="preserve">. It further recommends that the State party ensure that justice, social sector and care and protection initiatives for </w:t>
      </w:r>
      <w:r w:rsidR="00F84563" w:rsidRPr="008E66C6">
        <w:rPr>
          <w:rFonts w:asciiTheme="minorHAnsi" w:hAnsiTheme="minorHAnsi" w:cstheme="minorHAnsi"/>
          <w:i/>
          <w:iCs/>
          <w:sz w:val="18"/>
          <w:szCs w:val="18"/>
        </w:rPr>
        <w:t xml:space="preserve">Māori </w:t>
      </w:r>
      <w:r w:rsidR="00BF5F6F" w:rsidRPr="008E66C6">
        <w:rPr>
          <w:rFonts w:asciiTheme="minorHAnsi" w:hAnsiTheme="minorHAnsi" w:cstheme="minorHAnsi"/>
          <w:i/>
          <w:iCs/>
          <w:sz w:val="18"/>
          <w:szCs w:val="18"/>
        </w:rPr>
        <w:t xml:space="preserve">are connected, have transparent governance frameworks and are based on partnerships with and inclusion of </w:t>
      </w:r>
      <w:r w:rsidR="00F84563" w:rsidRPr="008E66C6">
        <w:rPr>
          <w:rFonts w:asciiTheme="minorHAnsi" w:hAnsiTheme="minorHAnsi" w:cstheme="minorHAnsi"/>
          <w:i/>
          <w:iCs/>
          <w:sz w:val="18"/>
          <w:szCs w:val="18"/>
        </w:rPr>
        <w:t>Māori</w:t>
      </w:r>
      <w:r w:rsidR="00BF5F6F" w:rsidRPr="008E66C6">
        <w:rPr>
          <w:rFonts w:asciiTheme="minorHAnsi" w:hAnsiTheme="minorHAnsi" w:cstheme="minorHAnsi"/>
          <w:i/>
          <w:iCs/>
          <w:sz w:val="18"/>
          <w:szCs w:val="18"/>
        </w:rPr>
        <w:t xml:space="preserve">. The Committee also recommends that the State party take robust measures to increase the representation of </w:t>
      </w:r>
      <w:r w:rsidR="00F84563" w:rsidRPr="008E66C6">
        <w:rPr>
          <w:rFonts w:asciiTheme="minorHAnsi" w:hAnsiTheme="minorHAnsi" w:cstheme="minorHAnsi"/>
          <w:i/>
          <w:iCs/>
          <w:sz w:val="18"/>
          <w:szCs w:val="18"/>
        </w:rPr>
        <w:t>Māori</w:t>
      </w:r>
      <w:r w:rsidR="00BF5F6F" w:rsidRPr="008E66C6">
        <w:rPr>
          <w:rFonts w:asciiTheme="minorHAnsi" w:hAnsiTheme="minorHAnsi" w:cstheme="minorHAnsi"/>
          <w:i/>
          <w:iCs/>
          <w:sz w:val="18"/>
          <w:szCs w:val="18"/>
        </w:rPr>
        <w:t>, Pasifika and other minority groups as decision makers, including as prosecutors and judges, at all levels of the criminal justice system</w:t>
      </w:r>
      <w:r w:rsidR="00BF5F6F" w:rsidRPr="008E66C6">
        <w:rPr>
          <w:rFonts w:asciiTheme="minorHAnsi" w:hAnsiTheme="minorHAnsi" w:cstheme="minorHAnsi"/>
          <w:sz w:val="18"/>
          <w:szCs w:val="18"/>
        </w:rPr>
        <w:t xml:space="preserve">” at [25]. </w:t>
      </w:r>
    </w:p>
  </w:footnote>
  <w:footnote w:id="22">
    <w:p w14:paraId="0DF970F0" w14:textId="6C8F6522" w:rsidR="0002065C" w:rsidRPr="008E66C6" w:rsidRDefault="0002065C"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A92EF5" w:rsidRPr="008E66C6">
        <w:rPr>
          <w:rFonts w:asciiTheme="minorHAnsi" w:hAnsiTheme="minorHAnsi" w:cstheme="minorHAnsi"/>
          <w:sz w:val="18"/>
          <w:szCs w:val="18"/>
        </w:rPr>
        <w:tab/>
      </w:r>
      <w:r w:rsidR="00996515" w:rsidRPr="008E66C6">
        <w:rPr>
          <w:rFonts w:asciiTheme="minorHAnsi" w:hAnsiTheme="minorHAnsi" w:cstheme="minorHAnsi"/>
          <w:sz w:val="18"/>
          <w:szCs w:val="18"/>
        </w:rPr>
        <w:t>Committee on the Rights of the Child “</w:t>
      </w:r>
      <w:r w:rsidR="00543640" w:rsidRPr="008E66C6">
        <w:rPr>
          <w:rFonts w:asciiTheme="minorHAnsi" w:hAnsiTheme="minorHAnsi" w:cstheme="minorHAnsi"/>
          <w:sz w:val="18"/>
          <w:szCs w:val="18"/>
        </w:rPr>
        <w:t>Concluding observations on the sixth periodic report of New Zealand</w:t>
      </w:r>
      <w:r w:rsidR="00996515" w:rsidRPr="008E66C6">
        <w:rPr>
          <w:rFonts w:asciiTheme="minorHAnsi" w:hAnsiTheme="minorHAnsi" w:cstheme="minorHAnsi"/>
          <w:sz w:val="18"/>
          <w:szCs w:val="18"/>
        </w:rPr>
        <w:t>”</w:t>
      </w:r>
      <w:r w:rsidR="00543640" w:rsidRPr="008E66C6">
        <w:rPr>
          <w:rFonts w:asciiTheme="minorHAnsi" w:hAnsiTheme="minorHAnsi" w:cstheme="minorHAnsi"/>
          <w:sz w:val="18"/>
          <w:szCs w:val="18"/>
        </w:rPr>
        <w:t xml:space="preserve"> CRC/C/NZL/CO/6 (28 February 2023)</w:t>
      </w:r>
      <w:r w:rsidR="00996515" w:rsidRPr="008E66C6">
        <w:rPr>
          <w:rFonts w:asciiTheme="minorHAnsi" w:hAnsiTheme="minorHAnsi" w:cstheme="minorHAnsi"/>
          <w:sz w:val="18"/>
          <w:szCs w:val="18"/>
        </w:rPr>
        <w:t xml:space="preserve"> </w:t>
      </w:r>
      <w:r w:rsidR="00A92EF5" w:rsidRPr="008E66C6">
        <w:rPr>
          <w:rFonts w:asciiTheme="minorHAnsi" w:hAnsiTheme="minorHAnsi" w:cstheme="minorHAnsi"/>
          <w:sz w:val="18"/>
          <w:szCs w:val="18"/>
        </w:rPr>
        <w:t>“</w:t>
      </w:r>
      <w:r w:rsidR="00A92EF5" w:rsidRPr="008E66C6">
        <w:rPr>
          <w:rFonts w:asciiTheme="minorHAnsi" w:hAnsiTheme="minorHAnsi" w:cstheme="minorHAnsi"/>
          <w:i/>
          <w:iCs/>
          <w:sz w:val="18"/>
          <w:szCs w:val="18"/>
        </w:rPr>
        <w:t>For the few situations where deprivation of liberty is used as a measure of last resort, to continue to strive for full compliance with the international requirement to detain children separately from adults and ensure that detention conditions are compliant with international standards, including with regard to access to education and health services, and, for pretrial detention, that detention is reviewed on a regular basis with a view to its withdrawal</w:t>
      </w:r>
      <w:r w:rsidR="00A92EF5" w:rsidRPr="008E66C6">
        <w:rPr>
          <w:rFonts w:asciiTheme="minorHAnsi" w:hAnsiTheme="minorHAnsi" w:cstheme="minorHAnsi"/>
          <w:sz w:val="18"/>
          <w:szCs w:val="18"/>
        </w:rPr>
        <w:t>” and “</w:t>
      </w:r>
      <w:r w:rsidR="00696A3A" w:rsidRPr="008E66C6">
        <w:rPr>
          <w:rFonts w:asciiTheme="minorHAnsi" w:hAnsiTheme="minorHAnsi" w:cstheme="minorHAnsi"/>
          <w:i/>
          <w:iCs/>
          <w:sz w:val="18"/>
          <w:szCs w:val="18"/>
        </w:rPr>
        <w:t>To develop an effective action plan aimed at eliminating the disparity in the rates of sentencing, incarceration and survival in detention of Maori children by addressing the connections between offending and neuro-disability, alienation from whanau (family), school and community, substance abuse, family violence, removal into State care and intergenerational issues</w:t>
      </w:r>
      <w:r w:rsidR="00696A3A" w:rsidRPr="008E66C6">
        <w:rPr>
          <w:rFonts w:asciiTheme="minorHAnsi" w:hAnsiTheme="minorHAnsi" w:cstheme="minorHAnsi"/>
          <w:sz w:val="18"/>
          <w:szCs w:val="18"/>
        </w:rPr>
        <w:t xml:space="preserve">” at [43(c) and (e)]. </w:t>
      </w:r>
    </w:p>
  </w:footnote>
  <w:footnote w:id="23">
    <w:p w14:paraId="166ACDE8" w14:textId="0DEECEE2" w:rsidR="000E77D6" w:rsidRPr="008E66C6" w:rsidRDefault="000E77D6"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r>
      <w:r w:rsidR="004C0B6F" w:rsidRPr="008E66C6">
        <w:rPr>
          <w:rFonts w:asciiTheme="minorHAnsi" w:hAnsiTheme="minorHAnsi" w:cstheme="minorHAnsi"/>
          <w:sz w:val="18"/>
          <w:szCs w:val="18"/>
        </w:rPr>
        <w:t>Human Rights Council “</w:t>
      </w:r>
      <w:r w:rsidR="00443BA5" w:rsidRPr="008E66C6">
        <w:rPr>
          <w:rFonts w:asciiTheme="minorHAnsi" w:hAnsiTheme="minorHAnsi" w:cstheme="minorHAnsi"/>
          <w:sz w:val="18"/>
          <w:szCs w:val="18"/>
        </w:rPr>
        <w:t xml:space="preserve">Report of the Working Group on the Universal Periodic Review </w:t>
      </w:r>
      <w:r w:rsidR="00190C02" w:rsidRPr="008E66C6">
        <w:rPr>
          <w:rFonts w:asciiTheme="minorHAnsi" w:hAnsiTheme="minorHAnsi" w:cstheme="minorHAnsi"/>
          <w:sz w:val="18"/>
          <w:szCs w:val="18"/>
        </w:rPr>
        <w:t>of New Zealand – Third Cycle” A/HRC/41/4 (1 April 2019) “</w:t>
      </w:r>
      <w:r w:rsidR="00847184" w:rsidRPr="008E66C6">
        <w:rPr>
          <w:rFonts w:asciiTheme="minorHAnsi" w:hAnsiTheme="minorHAnsi" w:cstheme="minorHAnsi"/>
          <w:i/>
          <w:iCs/>
          <w:sz w:val="18"/>
          <w:szCs w:val="18"/>
        </w:rPr>
        <w:t>Put an end to discrimination against Māori, and ensure that all prisoners receive equal treatment in accordance with minimum standards for humane treatment and that conditions in prisons and detention centres comply with international human rights standards, including the United Nations Standard Minimum Rules for the Treatment of Prisoners</w:t>
      </w:r>
      <w:r w:rsidR="0004291F" w:rsidRPr="008E66C6">
        <w:rPr>
          <w:rFonts w:asciiTheme="minorHAnsi" w:hAnsiTheme="minorHAnsi" w:cstheme="minorHAnsi"/>
          <w:sz w:val="18"/>
          <w:szCs w:val="18"/>
        </w:rPr>
        <w:t>”</w:t>
      </w:r>
      <w:r w:rsidR="00847184" w:rsidRPr="008E66C6">
        <w:rPr>
          <w:rFonts w:asciiTheme="minorHAnsi" w:hAnsiTheme="minorHAnsi" w:cstheme="minorHAnsi"/>
          <w:sz w:val="18"/>
          <w:szCs w:val="18"/>
        </w:rPr>
        <w:t xml:space="preserve"> (Bolivarian Republic of Venezuela) at [</w:t>
      </w:r>
      <w:r w:rsidR="000D346E" w:rsidRPr="008E66C6">
        <w:rPr>
          <w:rFonts w:asciiTheme="minorHAnsi" w:hAnsiTheme="minorHAnsi" w:cstheme="minorHAnsi"/>
          <w:sz w:val="18"/>
          <w:szCs w:val="18"/>
        </w:rPr>
        <w:t xml:space="preserve">122.65]; </w:t>
      </w:r>
      <w:r w:rsidR="00A05392" w:rsidRPr="008E66C6">
        <w:rPr>
          <w:rFonts w:asciiTheme="minorHAnsi" w:hAnsiTheme="minorHAnsi" w:cstheme="minorHAnsi"/>
          <w:sz w:val="18"/>
          <w:szCs w:val="18"/>
        </w:rPr>
        <w:t>“</w:t>
      </w:r>
      <w:r w:rsidR="00A05392" w:rsidRPr="008E66C6">
        <w:rPr>
          <w:rFonts w:asciiTheme="minorHAnsi" w:hAnsiTheme="minorHAnsi" w:cstheme="minorHAnsi"/>
          <w:i/>
          <w:iCs/>
          <w:sz w:val="18"/>
          <w:szCs w:val="18"/>
        </w:rPr>
        <w:t>Continue to work to enhance the rights of Māori and other indigenous minority groups in New Zealand, and provide increased rehabilitative support for Māori prisoners</w:t>
      </w:r>
      <w:r w:rsidR="0004291F" w:rsidRPr="008E66C6">
        <w:rPr>
          <w:rFonts w:asciiTheme="minorHAnsi" w:hAnsiTheme="minorHAnsi" w:cstheme="minorHAnsi"/>
          <w:sz w:val="18"/>
          <w:szCs w:val="18"/>
        </w:rPr>
        <w:t>”</w:t>
      </w:r>
      <w:r w:rsidR="00A05392" w:rsidRPr="008E66C6">
        <w:rPr>
          <w:rFonts w:asciiTheme="minorHAnsi" w:hAnsiTheme="minorHAnsi" w:cstheme="minorHAnsi"/>
          <w:sz w:val="18"/>
          <w:szCs w:val="18"/>
        </w:rPr>
        <w:t xml:space="preserve"> (Ireland)</w:t>
      </w:r>
      <w:r w:rsidR="0004291F" w:rsidRPr="008E66C6">
        <w:rPr>
          <w:rFonts w:asciiTheme="minorHAnsi" w:hAnsiTheme="minorHAnsi" w:cstheme="minorHAnsi"/>
          <w:sz w:val="18"/>
          <w:szCs w:val="18"/>
        </w:rPr>
        <w:t xml:space="preserve"> at [122.66]; “</w:t>
      </w:r>
      <w:r w:rsidR="000D346E" w:rsidRPr="008E66C6">
        <w:rPr>
          <w:rFonts w:asciiTheme="minorHAnsi" w:hAnsiTheme="minorHAnsi" w:cstheme="minorHAnsi"/>
          <w:i/>
          <w:iCs/>
          <w:sz w:val="18"/>
          <w:szCs w:val="18"/>
        </w:rPr>
        <w:t>Take action to ensure the provision of physical and mental health services for those in detention facilities, as well as to reduce overcrowding in prisons</w:t>
      </w:r>
      <w:r w:rsidR="0004291F" w:rsidRPr="008E66C6">
        <w:rPr>
          <w:rFonts w:asciiTheme="minorHAnsi" w:hAnsiTheme="minorHAnsi" w:cstheme="minorHAnsi"/>
          <w:sz w:val="18"/>
          <w:szCs w:val="18"/>
        </w:rPr>
        <w:t>”</w:t>
      </w:r>
      <w:r w:rsidR="000D346E" w:rsidRPr="008E66C6">
        <w:rPr>
          <w:rFonts w:asciiTheme="minorHAnsi" w:hAnsiTheme="minorHAnsi" w:cstheme="minorHAnsi"/>
          <w:sz w:val="18"/>
          <w:szCs w:val="18"/>
        </w:rPr>
        <w:t xml:space="preserve"> (United States of America) at [122.67]; </w:t>
      </w:r>
      <w:r w:rsidR="00C66847" w:rsidRPr="008E66C6">
        <w:rPr>
          <w:rFonts w:asciiTheme="minorHAnsi" w:hAnsiTheme="minorHAnsi" w:cstheme="minorHAnsi"/>
          <w:sz w:val="18"/>
          <w:szCs w:val="18"/>
        </w:rPr>
        <w:t>“</w:t>
      </w:r>
      <w:r w:rsidR="00C66847" w:rsidRPr="008E66C6">
        <w:rPr>
          <w:rFonts w:asciiTheme="minorHAnsi" w:hAnsiTheme="minorHAnsi" w:cstheme="minorHAnsi"/>
          <w:i/>
          <w:iCs/>
          <w:sz w:val="18"/>
          <w:szCs w:val="18"/>
        </w:rPr>
        <w:t>Carry out further work to reduce prison overcrowding and improve the access of convicted persons to quality medical services</w:t>
      </w:r>
      <w:r w:rsidR="00C66847" w:rsidRPr="008E66C6">
        <w:rPr>
          <w:rFonts w:asciiTheme="minorHAnsi" w:hAnsiTheme="minorHAnsi" w:cstheme="minorHAnsi"/>
          <w:sz w:val="18"/>
          <w:szCs w:val="18"/>
        </w:rPr>
        <w:t xml:space="preserve">” (Belarus) at [122.68]. </w:t>
      </w:r>
    </w:p>
  </w:footnote>
  <w:footnote w:id="24">
    <w:p w14:paraId="59B59816" w14:textId="03A8D7D8" w:rsidR="000B669F" w:rsidRPr="008E66C6" w:rsidRDefault="000B669F"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 xml:space="preserve">New Zealand Human Rights Commission </w:t>
      </w:r>
      <w:r w:rsidR="00965050" w:rsidRPr="008E66C6">
        <w:rPr>
          <w:rFonts w:asciiTheme="minorHAnsi" w:hAnsiTheme="minorHAnsi" w:cstheme="minorHAnsi"/>
          <w:sz w:val="18"/>
          <w:szCs w:val="18"/>
        </w:rPr>
        <w:t>“He Ara Tika: A Pathway Forward”</w:t>
      </w:r>
      <w:r w:rsidR="000F7475" w:rsidRPr="008E66C6">
        <w:rPr>
          <w:rFonts w:asciiTheme="minorHAnsi" w:hAnsiTheme="minorHAnsi" w:cstheme="minorHAnsi"/>
          <w:sz w:val="18"/>
          <w:szCs w:val="18"/>
        </w:rPr>
        <w:t xml:space="preserve">. </w:t>
      </w:r>
      <w:r w:rsidR="00965050" w:rsidRPr="008E66C6">
        <w:rPr>
          <w:rFonts w:asciiTheme="minorHAnsi" w:hAnsiTheme="minorHAnsi" w:cstheme="minorHAnsi"/>
          <w:sz w:val="18"/>
          <w:szCs w:val="18"/>
        </w:rPr>
        <w:t>October 2016</w:t>
      </w:r>
      <w:r w:rsidR="000F7475" w:rsidRPr="008E66C6">
        <w:rPr>
          <w:rFonts w:asciiTheme="minorHAnsi" w:hAnsiTheme="minorHAnsi" w:cstheme="minorHAnsi"/>
          <w:sz w:val="18"/>
          <w:szCs w:val="18"/>
        </w:rPr>
        <w:t>.</w:t>
      </w:r>
      <w:r w:rsidR="00965050" w:rsidRPr="008E66C6">
        <w:rPr>
          <w:rFonts w:asciiTheme="minorHAnsi" w:hAnsiTheme="minorHAnsi" w:cstheme="minorHAnsi"/>
          <w:sz w:val="18"/>
          <w:szCs w:val="18"/>
        </w:rPr>
        <w:t xml:space="preserve"> </w:t>
      </w:r>
      <w:r w:rsidR="000F7475" w:rsidRPr="008E66C6">
        <w:rPr>
          <w:rFonts w:asciiTheme="minorHAnsi" w:hAnsiTheme="minorHAnsi" w:cstheme="minorHAnsi"/>
          <w:sz w:val="18"/>
          <w:szCs w:val="18"/>
        </w:rPr>
        <w:t>Available:</w:t>
      </w:r>
      <w:r w:rsidR="00965050" w:rsidRPr="008E66C6">
        <w:rPr>
          <w:rFonts w:asciiTheme="minorHAnsi" w:hAnsiTheme="minorHAnsi" w:cstheme="minorHAnsi"/>
          <w:sz w:val="18"/>
          <w:szCs w:val="18"/>
        </w:rPr>
        <w:t xml:space="preserve"> </w:t>
      </w:r>
      <w:hyperlink r:id="rId7" w:history="1">
        <w:r w:rsidR="00965050" w:rsidRPr="008E66C6">
          <w:rPr>
            <w:rStyle w:val="Hyperlink"/>
            <w:rFonts w:asciiTheme="minorHAnsi" w:hAnsiTheme="minorHAnsi" w:cstheme="minorHAnsi"/>
            <w:sz w:val="18"/>
            <w:szCs w:val="18"/>
          </w:rPr>
          <w:t>https://www.asiapacificforum.net/resources/he-ara-tika-pathway-forward/</w:t>
        </w:r>
      </w:hyperlink>
      <w:r w:rsidR="00965050" w:rsidRPr="008E66C6">
        <w:rPr>
          <w:rFonts w:asciiTheme="minorHAnsi" w:hAnsiTheme="minorHAnsi" w:cstheme="minorHAnsi"/>
          <w:sz w:val="18"/>
          <w:szCs w:val="18"/>
        </w:rPr>
        <w:t xml:space="preserve">. </w:t>
      </w:r>
    </w:p>
  </w:footnote>
  <w:footnote w:id="25">
    <w:p w14:paraId="5CCD2A35" w14:textId="77777777" w:rsidR="007E21D1" w:rsidRPr="008E66C6" w:rsidRDefault="007E21D1"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The Ombudsman’s NPM designation was subsequently updated in 2018 to explicitly include privately run aged care facilities.</w:t>
      </w:r>
    </w:p>
  </w:footnote>
  <w:footnote w:id="26">
    <w:p w14:paraId="5AAC98A2" w14:textId="393E3B0B" w:rsidR="00554764" w:rsidRPr="008E66C6" w:rsidRDefault="00554764"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 xml:space="preserve">See report of </w:t>
      </w:r>
      <w:r w:rsidRPr="008E66C6">
        <w:rPr>
          <w:rFonts w:asciiTheme="minorHAnsi" w:hAnsiTheme="minorHAnsi" w:cstheme="minorHAnsi"/>
          <w:sz w:val="18"/>
          <w:szCs w:val="18"/>
          <w:lang w:val="en-GB"/>
        </w:rPr>
        <w:t>Andreea Lachsz “2018 Churchill Fellowship To Investigate Overseas Practices Of Monitoring Places Of Detention”</w:t>
      </w:r>
      <w:r w:rsidR="003D6BE3" w:rsidRPr="008E66C6">
        <w:rPr>
          <w:rFonts w:asciiTheme="minorHAnsi" w:hAnsiTheme="minorHAnsi" w:cstheme="minorHAnsi"/>
          <w:sz w:val="18"/>
          <w:szCs w:val="18"/>
          <w:lang w:val="en-GB"/>
        </w:rPr>
        <w:t xml:space="preserve">. </w:t>
      </w:r>
      <w:r w:rsidRPr="008E66C6">
        <w:rPr>
          <w:rFonts w:asciiTheme="minorHAnsi" w:hAnsiTheme="minorHAnsi" w:cstheme="minorHAnsi"/>
          <w:sz w:val="18"/>
          <w:szCs w:val="18"/>
          <w:lang w:val="en-GB"/>
        </w:rPr>
        <w:t>November 2019</w:t>
      </w:r>
      <w:r w:rsidR="003D6BE3" w:rsidRPr="008E66C6">
        <w:rPr>
          <w:rFonts w:asciiTheme="minorHAnsi" w:hAnsiTheme="minorHAnsi" w:cstheme="minorHAnsi"/>
          <w:sz w:val="18"/>
          <w:szCs w:val="18"/>
          <w:lang w:val="en-GB"/>
        </w:rPr>
        <w:t xml:space="preserve">. Available: </w:t>
      </w:r>
      <w:hyperlink r:id="rId8" w:history="1">
        <w:r w:rsidR="008673F5" w:rsidRPr="008E66C6">
          <w:rPr>
            <w:rStyle w:val="Hyperlink"/>
            <w:rFonts w:asciiTheme="minorHAnsi" w:hAnsiTheme="minorHAnsi" w:cstheme="minorHAnsi"/>
            <w:sz w:val="18"/>
            <w:szCs w:val="18"/>
            <w:lang w:val="en-GB"/>
          </w:rPr>
          <w:t>https://www.churchilltrust.com.au/fellow/andreea-lachsz-nt-2018/</w:t>
        </w:r>
      </w:hyperlink>
      <w:r w:rsidRPr="008E66C6">
        <w:rPr>
          <w:rFonts w:asciiTheme="minorHAnsi" w:hAnsiTheme="minorHAnsi" w:cstheme="minorHAnsi"/>
          <w:sz w:val="18"/>
          <w:szCs w:val="18"/>
          <w:lang w:val="en-GB"/>
        </w:rPr>
        <w:t xml:space="preserve">. </w:t>
      </w:r>
    </w:p>
  </w:footnote>
  <w:footnote w:id="27">
    <w:p w14:paraId="1BDA4C25" w14:textId="4ED7C9BC" w:rsidR="007873E3" w:rsidRPr="008E66C6" w:rsidRDefault="007873E3"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153AA1" w:rsidRPr="008E66C6">
        <w:rPr>
          <w:rFonts w:asciiTheme="minorHAnsi" w:hAnsiTheme="minorHAnsi" w:cstheme="minorHAnsi"/>
          <w:sz w:val="18"/>
          <w:szCs w:val="18"/>
        </w:rPr>
        <w:tab/>
        <w:t>Ombudsman</w:t>
      </w:r>
      <w:r w:rsidR="00FB0882" w:rsidRPr="008E66C6">
        <w:rPr>
          <w:rFonts w:asciiTheme="minorHAnsi" w:hAnsiTheme="minorHAnsi" w:cstheme="minorHAnsi"/>
          <w:sz w:val="18"/>
          <w:szCs w:val="18"/>
        </w:rPr>
        <w:t xml:space="preserve"> New Zealand</w:t>
      </w:r>
      <w:r w:rsidR="00153AA1" w:rsidRPr="008E66C6">
        <w:rPr>
          <w:rFonts w:asciiTheme="minorHAnsi" w:hAnsiTheme="minorHAnsi" w:cstheme="minorHAnsi"/>
          <w:sz w:val="18"/>
          <w:szCs w:val="18"/>
        </w:rPr>
        <w:t xml:space="preserve">. 2022. </w:t>
      </w:r>
      <w:r w:rsidR="00153AA1" w:rsidRPr="008E66C6">
        <w:rPr>
          <w:rFonts w:asciiTheme="minorHAnsi" w:hAnsiTheme="minorHAnsi" w:cstheme="minorHAnsi"/>
          <w:i/>
          <w:sz w:val="18"/>
          <w:szCs w:val="18"/>
        </w:rPr>
        <w:t>Expectations for conditions and treatment of residents in health and disability places of detention – aged care.</w:t>
      </w:r>
      <w:r w:rsidR="00153AA1" w:rsidRPr="008E66C6">
        <w:rPr>
          <w:rFonts w:asciiTheme="minorHAnsi" w:hAnsiTheme="minorHAnsi" w:cstheme="minorHAnsi"/>
          <w:sz w:val="18"/>
          <w:szCs w:val="18"/>
        </w:rPr>
        <w:t xml:space="preserve"> Wellington: Ombudsman</w:t>
      </w:r>
      <w:r w:rsidR="00FB0882" w:rsidRPr="008E66C6">
        <w:rPr>
          <w:rFonts w:asciiTheme="minorHAnsi" w:hAnsiTheme="minorHAnsi" w:cstheme="minorHAnsi"/>
          <w:sz w:val="18"/>
          <w:szCs w:val="18"/>
        </w:rPr>
        <w:t xml:space="preserve"> New Zealand</w:t>
      </w:r>
      <w:r w:rsidR="00153AA1" w:rsidRPr="008E66C6">
        <w:rPr>
          <w:rFonts w:asciiTheme="minorHAnsi" w:hAnsiTheme="minorHAnsi" w:cstheme="minorHAnsi"/>
          <w:sz w:val="18"/>
          <w:szCs w:val="18"/>
        </w:rPr>
        <w:t xml:space="preserve">. Available: </w:t>
      </w:r>
      <w:hyperlink r:id="rId9" w:history="1">
        <w:r w:rsidR="00153AA1" w:rsidRPr="008E66C6">
          <w:rPr>
            <w:rStyle w:val="Hyperlink"/>
            <w:rFonts w:asciiTheme="minorHAnsi" w:hAnsiTheme="minorHAnsi" w:cstheme="minorHAnsi"/>
            <w:sz w:val="18"/>
            <w:szCs w:val="18"/>
          </w:rPr>
          <w:t>https://www.ombudsman.parliament.nz/resources/expectations-conditions-and-treatment-residents-health-and-disability-places-detention</w:t>
        </w:r>
      </w:hyperlink>
      <w:r w:rsidR="00153AA1" w:rsidRPr="008E66C6">
        <w:rPr>
          <w:rFonts w:asciiTheme="minorHAnsi" w:hAnsiTheme="minorHAnsi" w:cstheme="minorHAnsi"/>
          <w:sz w:val="18"/>
          <w:szCs w:val="18"/>
        </w:rPr>
        <w:t>.</w:t>
      </w:r>
    </w:p>
  </w:footnote>
  <w:footnote w:id="28">
    <w:p w14:paraId="707AAD54" w14:textId="77777777" w:rsidR="00240B3C" w:rsidRPr="008E66C6" w:rsidRDefault="00240B3C"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These orientation visits provided a greater understanding of the facilities that provide specialised secure dementia and psychogeriatric care, including their size and ownership structures.</w:t>
      </w:r>
    </w:p>
  </w:footnote>
  <w:footnote w:id="29">
    <w:p w14:paraId="621A3322" w14:textId="4407BD0C" w:rsidR="00F81412" w:rsidRPr="008E66C6" w:rsidRDefault="00F81412"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Under the Public Safety (Public Protection Orders) Act, a Public Protection Order (PPO) can be imposed by the High Court and allows for ‘</w:t>
      </w:r>
      <w:r w:rsidRPr="008E66C6">
        <w:rPr>
          <w:rFonts w:asciiTheme="minorHAnsi" w:hAnsiTheme="minorHAnsi" w:cstheme="minorHAnsi"/>
          <w:i/>
          <w:sz w:val="18"/>
          <w:szCs w:val="18"/>
        </w:rPr>
        <w:t>the detention, management, and support of individuals who have served a finite prison sentence, but still pose a very high risk of imminent and serious offending, and for whom no other regulated oversight, such as long</w:t>
      </w:r>
      <w:r w:rsidR="009D3658" w:rsidRPr="008E66C6">
        <w:rPr>
          <w:rFonts w:asciiTheme="minorHAnsi" w:hAnsiTheme="minorHAnsi" w:cstheme="minorHAnsi"/>
          <w:i/>
          <w:sz w:val="18"/>
          <w:szCs w:val="18"/>
        </w:rPr>
        <w:t>-</w:t>
      </w:r>
      <w:r w:rsidRPr="008E66C6">
        <w:rPr>
          <w:rFonts w:asciiTheme="minorHAnsi" w:hAnsiTheme="minorHAnsi" w:cstheme="minorHAnsi"/>
          <w:i/>
          <w:sz w:val="18"/>
          <w:szCs w:val="18"/>
        </w:rPr>
        <w:t>term parole or extended supervision, would be available or adequate’</w:t>
      </w:r>
      <w:r w:rsidRPr="008E66C6">
        <w:rPr>
          <w:rFonts w:asciiTheme="minorHAnsi" w:hAnsiTheme="minorHAnsi" w:cstheme="minorHAnsi"/>
          <w:sz w:val="18"/>
          <w:szCs w:val="18"/>
        </w:rPr>
        <w:t xml:space="preserve">. See Pullan L. and Burger A. 2019. ‘Matawhāiti Residence – Public Protection Orders’. </w:t>
      </w:r>
      <w:r w:rsidRPr="008E66C6">
        <w:rPr>
          <w:rFonts w:asciiTheme="minorHAnsi" w:hAnsiTheme="minorHAnsi" w:cstheme="minorHAnsi"/>
          <w:i/>
          <w:sz w:val="18"/>
          <w:szCs w:val="18"/>
        </w:rPr>
        <w:t>Practice: The New Zealand Corrections Journal</w:t>
      </w:r>
      <w:r w:rsidRPr="008E66C6">
        <w:rPr>
          <w:rFonts w:asciiTheme="minorHAnsi" w:hAnsiTheme="minorHAnsi" w:cstheme="minorHAnsi"/>
          <w:sz w:val="18"/>
          <w:szCs w:val="18"/>
        </w:rPr>
        <w:t xml:space="preserve">, Vol. 7, Issue 1. Available: </w:t>
      </w:r>
      <w:hyperlink r:id="rId10" w:anchor=":~:text=Matawh%C4%81iti%5B1%5D%20is%20New%20Zealand's,on%20one%20hectare%20of%20land" w:history="1">
        <w:r w:rsidRPr="008E66C6">
          <w:rPr>
            <w:rStyle w:val="Hyperlink"/>
            <w:rFonts w:asciiTheme="minorHAnsi" w:hAnsiTheme="minorHAnsi" w:cstheme="minorHAnsi"/>
            <w:sz w:val="18"/>
            <w:szCs w:val="18"/>
          </w:rPr>
          <w:t>https://www.corrections.govt.nz/resources/research/journal/volume_7_issue_1_july_2019/matawhiti_residence_public_protection_orders#:~:text=Matawh%C4%81iti%5B1%5D%20is%20New%20Zealand's,on%20one%20hectare%20of%20land</w:t>
        </w:r>
      </w:hyperlink>
      <w:r w:rsidRPr="008E66C6">
        <w:rPr>
          <w:rFonts w:asciiTheme="minorHAnsi" w:hAnsiTheme="minorHAnsi" w:cstheme="minorHAnsi"/>
          <w:sz w:val="18"/>
          <w:szCs w:val="18"/>
        </w:rPr>
        <w:t xml:space="preserve">.. </w:t>
      </w:r>
    </w:p>
  </w:footnote>
  <w:footnote w:id="30">
    <w:p w14:paraId="0EC73D1B" w14:textId="78B76598" w:rsidR="00585018" w:rsidRPr="008E66C6" w:rsidRDefault="00585018"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193AC2">
        <w:rPr>
          <w:rFonts w:asciiTheme="minorHAnsi" w:hAnsiTheme="minorHAnsi" w:cstheme="minorHAnsi"/>
          <w:sz w:val="18"/>
          <w:szCs w:val="18"/>
        </w:rPr>
        <w:tab/>
      </w:r>
      <w:r w:rsidR="009B7B7A" w:rsidRPr="008E66C6">
        <w:rPr>
          <w:rFonts w:asciiTheme="minorHAnsi" w:hAnsiTheme="minorHAnsi" w:cstheme="minorHAnsi"/>
          <w:sz w:val="18"/>
          <w:szCs w:val="18"/>
        </w:rPr>
        <w:t xml:space="preserve">See </w:t>
      </w:r>
      <w:r w:rsidRPr="008E66C6">
        <w:rPr>
          <w:rFonts w:asciiTheme="minorHAnsi" w:hAnsiTheme="minorHAnsi" w:cstheme="minorHAnsi"/>
          <w:sz w:val="18"/>
          <w:szCs w:val="18"/>
        </w:rPr>
        <w:t xml:space="preserve">Aotearoa New Zealand Human Rights Commission </w:t>
      </w:r>
      <w:r w:rsidR="001A1EEA" w:rsidRPr="008E66C6">
        <w:rPr>
          <w:rFonts w:asciiTheme="minorHAnsi" w:hAnsiTheme="minorHAnsi" w:cstheme="minorHAnsi"/>
          <w:sz w:val="18"/>
          <w:szCs w:val="18"/>
        </w:rPr>
        <w:t>“Monitoring Places of Detention”</w:t>
      </w:r>
      <w:r w:rsidR="006126EB" w:rsidRPr="008E66C6">
        <w:rPr>
          <w:rFonts w:asciiTheme="minorHAnsi" w:hAnsiTheme="minorHAnsi" w:cstheme="minorHAnsi"/>
          <w:sz w:val="18"/>
          <w:szCs w:val="18"/>
        </w:rPr>
        <w:t xml:space="preserve">. Available: </w:t>
      </w:r>
      <w:hyperlink r:id="rId11" w:history="1">
        <w:r w:rsidR="001A1EEA" w:rsidRPr="008E66C6">
          <w:rPr>
            <w:rStyle w:val="Hyperlink"/>
            <w:rFonts w:asciiTheme="minorHAnsi" w:hAnsiTheme="minorHAnsi" w:cstheme="minorHAnsi"/>
            <w:sz w:val="18"/>
            <w:szCs w:val="18"/>
          </w:rPr>
          <w:t>https://tikatangata.org.nz/our-work/monitoring-places-of-detention</w:t>
        </w:r>
      </w:hyperlink>
      <w:r w:rsidR="001A1EEA" w:rsidRPr="008E66C6">
        <w:rPr>
          <w:rFonts w:asciiTheme="minorHAnsi" w:hAnsiTheme="minorHAnsi" w:cstheme="minorHAnsi"/>
          <w:sz w:val="18"/>
          <w:szCs w:val="18"/>
        </w:rPr>
        <w:t xml:space="preserve">. </w:t>
      </w:r>
    </w:p>
  </w:footnote>
  <w:footnote w:id="31">
    <w:p w14:paraId="560FF6CD" w14:textId="4F18E361" w:rsidR="00E920AF" w:rsidRPr="008E66C6" w:rsidRDefault="00E920AF"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FC0161" w:rsidRPr="008E66C6">
        <w:rPr>
          <w:rFonts w:asciiTheme="minorHAnsi" w:hAnsiTheme="minorHAnsi" w:cstheme="minorHAnsi"/>
          <w:sz w:val="18"/>
          <w:szCs w:val="18"/>
        </w:rPr>
        <w:tab/>
        <w:t>This figure includes one off funding received for the “</w:t>
      </w:r>
      <w:r w:rsidR="00FC0161" w:rsidRPr="008E66C6">
        <w:rPr>
          <w:rFonts w:asciiTheme="minorHAnsi" w:hAnsiTheme="minorHAnsi" w:cstheme="minorHAnsi"/>
          <w:i/>
          <w:iCs/>
          <w:sz w:val="18"/>
          <w:szCs w:val="18"/>
        </w:rPr>
        <w:t>Review of the Policing of the Protest and Occupation at Parliament 2022</w:t>
      </w:r>
      <w:r w:rsidR="000829BC" w:rsidRPr="008E66C6">
        <w:rPr>
          <w:rFonts w:asciiTheme="minorHAnsi" w:hAnsiTheme="minorHAnsi" w:cstheme="minorHAnsi"/>
          <w:i/>
          <w:iCs/>
          <w:sz w:val="18"/>
          <w:szCs w:val="18"/>
        </w:rPr>
        <w:t>.</w:t>
      </w:r>
      <w:r w:rsidR="00FC0161" w:rsidRPr="008E66C6">
        <w:rPr>
          <w:rFonts w:asciiTheme="minorHAnsi" w:hAnsiTheme="minorHAnsi" w:cstheme="minorHAnsi"/>
          <w:i/>
          <w:iCs/>
          <w:sz w:val="18"/>
          <w:szCs w:val="18"/>
        </w:rPr>
        <w:t xml:space="preserve">” </w:t>
      </w:r>
      <w:r w:rsidR="00FC0161" w:rsidRPr="008E66C6">
        <w:rPr>
          <w:rFonts w:asciiTheme="minorHAnsi" w:hAnsiTheme="minorHAnsi" w:cstheme="minorHAnsi"/>
          <w:sz w:val="18"/>
          <w:szCs w:val="18"/>
        </w:rPr>
        <w:t xml:space="preserve">Baseline funding was $6.49m. </w:t>
      </w:r>
    </w:p>
  </w:footnote>
  <w:footnote w:id="32">
    <w:p w14:paraId="65DFC0C7" w14:textId="385C55CD" w:rsidR="00C959EC" w:rsidRPr="008E66C6" w:rsidRDefault="00C959EC"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Ombudsman</w:t>
      </w:r>
      <w:r w:rsidR="006659BA" w:rsidRPr="008E66C6">
        <w:rPr>
          <w:rFonts w:asciiTheme="minorHAnsi" w:hAnsiTheme="minorHAnsi" w:cstheme="minorHAnsi"/>
          <w:sz w:val="18"/>
          <w:szCs w:val="18"/>
        </w:rPr>
        <w:t xml:space="preserve"> New Zealand</w:t>
      </w:r>
      <w:r w:rsidRPr="008E66C6">
        <w:rPr>
          <w:rFonts w:asciiTheme="minorHAnsi" w:hAnsiTheme="minorHAnsi" w:cstheme="minorHAnsi"/>
          <w:sz w:val="18"/>
          <w:szCs w:val="18"/>
        </w:rPr>
        <w:t xml:space="preserve">. 2022. </w:t>
      </w:r>
      <w:r w:rsidRPr="008E66C6">
        <w:rPr>
          <w:rFonts w:asciiTheme="minorHAnsi" w:hAnsiTheme="minorHAnsi" w:cstheme="minorHAnsi"/>
          <w:i/>
          <w:sz w:val="18"/>
          <w:szCs w:val="18"/>
        </w:rPr>
        <w:t>Thematic report on inspections of secure intellectual disability facilities under the Crimes of Torture Act 1989.</w:t>
      </w:r>
      <w:r w:rsidRPr="008E66C6">
        <w:rPr>
          <w:rFonts w:asciiTheme="minorHAnsi" w:hAnsiTheme="minorHAnsi" w:cstheme="minorHAnsi"/>
          <w:sz w:val="18"/>
          <w:szCs w:val="18"/>
        </w:rPr>
        <w:t xml:space="preserve"> Wellington: Ombudsman</w:t>
      </w:r>
      <w:r w:rsidR="006659BA" w:rsidRPr="008E66C6">
        <w:rPr>
          <w:rFonts w:asciiTheme="minorHAnsi" w:hAnsiTheme="minorHAnsi" w:cstheme="minorHAnsi"/>
          <w:sz w:val="18"/>
          <w:szCs w:val="18"/>
        </w:rPr>
        <w:t xml:space="preserve"> New Zealand</w:t>
      </w:r>
      <w:r w:rsidRPr="008E66C6">
        <w:rPr>
          <w:rFonts w:asciiTheme="minorHAnsi" w:hAnsiTheme="minorHAnsi" w:cstheme="minorHAnsi"/>
          <w:sz w:val="18"/>
          <w:szCs w:val="18"/>
        </w:rPr>
        <w:t xml:space="preserve">. Available: </w:t>
      </w:r>
      <w:hyperlink r:id="rId12" w:history="1">
        <w:r w:rsidRPr="008E66C6">
          <w:rPr>
            <w:rStyle w:val="Hyperlink"/>
            <w:rFonts w:asciiTheme="minorHAnsi" w:hAnsiTheme="minorHAnsi" w:cstheme="minorHAnsi"/>
            <w:sz w:val="18"/>
            <w:szCs w:val="18"/>
          </w:rPr>
          <w:t>https://www.ombudsman.parliament.nz/resources/opcat-report-thematic-report-inspections-secure-intellectual-disability-facilities-under</w:t>
        </w:r>
      </w:hyperlink>
      <w:r w:rsidRPr="008E66C6">
        <w:rPr>
          <w:rFonts w:asciiTheme="minorHAnsi" w:hAnsiTheme="minorHAnsi" w:cstheme="minorHAnsi"/>
          <w:sz w:val="18"/>
          <w:szCs w:val="18"/>
        </w:rPr>
        <w:t xml:space="preserve">. </w:t>
      </w:r>
    </w:p>
  </w:footnote>
  <w:footnote w:id="33">
    <w:p w14:paraId="53F371AD" w14:textId="4803B3CB" w:rsidR="00C959EC" w:rsidRPr="008E66C6" w:rsidRDefault="00C959EC"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Ombudsman</w:t>
      </w:r>
      <w:r w:rsidR="006659BA" w:rsidRPr="008E66C6">
        <w:rPr>
          <w:rFonts w:asciiTheme="minorHAnsi" w:hAnsiTheme="minorHAnsi" w:cstheme="minorHAnsi"/>
          <w:sz w:val="18"/>
          <w:szCs w:val="18"/>
        </w:rPr>
        <w:t xml:space="preserve"> New Zealand</w:t>
      </w:r>
      <w:r w:rsidRPr="008E66C6">
        <w:rPr>
          <w:rFonts w:asciiTheme="minorHAnsi" w:hAnsiTheme="minorHAnsi" w:cstheme="minorHAnsi"/>
          <w:sz w:val="18"/>
          <w:szCs w:val="18"/>
        </w:rPr>
        <w:t xml:space="preserve">. 2021. </w:t>
      </w:r>
      <w:r w:rsidRPr="008E66C6">
        <w:rPr>
          <w:rFonts w:asciiTheme="minorHAnsi" w:hAnsiTheme="minorHAnsi" w:cstheme="minorHAnsi"/>
          <w:i/>
          <w:sz w:val="18"/>
          <w:szCs w:val="18"/>
        </w:rPr>
        <w:t>OPCAT COVID-19 report: Report on inspections of aged care facilities under the Crimes of Torture Act 1989</w:t>
      </w:r>
      <w:r w:rsidRPr="008E66C6">
        <w:rPr>
          <w:rFonts w:asciiTheme="minorHAnsi" w:hAnsiTheme="minorHAnsi" w:cstheme="minorHAnsi"/>
          <w:sz w:val="18"/>
          <w:szCs w:val="18"/>
        </w:rPr>
        <w:t>. Wellington: Ombudsman</w:t>
      </w:r>
      <w:r w:rsidR="006659BA" w:rsidRPr="008E66C6">
        <w:rPr>
          <w:rFonts w:asciiTheme="minorHAnsi" w:hAnsiTheme="minorHAnsi" w:cstheme="minorHAnsi"/>
          <w:sz w:val="18"/>
          <w:szCs w:val="18"/>
        </w:rPr>
        <w:t xml:space="preserve"> New Zealand</w:t>
      </w:r>
      <w:r w:rsidRPr="008E66C6">
        <w:rPr>
          <w:rFonts w:asciiTheme="minorHAnsi" w:hAnsiTheme="minorHAnsi" w:cstheme="minorHAnsi"/>
          <w:sz w:val="18"/>
          <w:szCs w:val="18"/>
        </w:rPr>
        <w:t xml:space="preserve">. Available: </w:t>
      </w:r>
      <w:hyperlink r:id="rId13" w:history="1">
        <w:r w:rsidRPr="008E66C6">
          <w:rPr>
            <w:rStyle w:val="Hyperlink"/>
            <w:rFonts w:asciiTheme="minorHAnsi" w:hAnsiTheme="minorHAnsi" w:cstheme="minorHAnsi"/>
            <w:sz w:val="18"/>
            <w:szCs w:val="18"/>
          </w:rPr>
          <w:t>https://www.ombudsman.parliament.nz/resources/opcat-covid-19-report-report-inspections-aged-care-facilities-under-crimes-torture-act</w:t>
        </w:r>
      </w:hyperlink>
      <w:r w:rsidRPr="008E66C6">
        <w:rPr>
          <w:rFonts w:asciiTheme="minorHAnsi" w:hAnsiTheme="minorHAnsi" w:cstheme="minorHAnsi"/>
          <w:sz w:val="18"/>
          <w:szCs w:val="18"/>
        </w:rPr>
        <w:t xml:space="preserve">. </w:t>
      </w:r>
    </w:p>
  </w:footnote>
  <w:footnote w:id="34">
    <w:p w14:paraId="3D5CDC74" w14:textId="3B52AF34" w:rsidR="00C959EC" w:rsidRPr="008E66C6" w:rsidRDefault="00C959EC"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Ombudsman</w:t>
      </w:r>
      <w:r w:rsidR="006659BA" w:rsidRPr="008E66C6">
        <w:rPr>
          <w:rFonts w:asciiTheme="minorHAnsi" w:hAnsiTheme="minorHAnsi" w:cstheme="minorHAnsi"/>
          <w:sz w:val="18"/>
          <w:szCs w:val="18"/>
        </w:rPr>
        <w:t xml:space="preserve"> New Zealand</w:t>
      </w:r>
      <w:r w:rsidRPr="008E66C6">
        <w:rPr>
          <w:rFonts w:asciiTheme="minorHAnsi" w:hAnsiTheme="minorHAnsi" w:cstheme="minorHAnsi"/>
          <w:sz w:val="18"/>
          <w:szCs w:val="18"/>
        </w:rPr>
        <w:t xml:space="preserve">. 2021. </w:t>
      </w:r>
      <w:r w:rsidRPr="008E66C6">
        <w:rPr>
          <w:rFonts w:asciiTheme="minorHAnsi" w:hAnsiTheme="minorHAnsi" w:cstheme="minorHAnsi"/>
          <w:i/>
          <w:sz w:val="18"/>
          <w:szCs w:val="18"/>
        </w:rPr>
        <w:t>OPCAT COVID-19 report: Report on inspections of mental health facilities under the Crimes of Torture Act 1989</w:t>
      </w:r>
      <w:r w:rsidRPr="008E66C6">
        <w:rPr>
          <w:rFonts w:asciiTheme="minorHAnsi" w:hAnsiTheme="minorHAnsi" w:cstheme="minorHAnsi"/>
          <w:sz w:val="18"/>
          <w:szCs w:val="18"/>
        </w:rPr>
        <w:t>. Wellington: Ombudsman</w:t>
      </w:r>
      <w:r w:rsidR="006659BA" w:rsidRPr="008E66C6">
        <w:rPr>
          <w:rFonts w:asciiTheme="minorHAnsi" w:hAnsiTheme="minorHAnsi" w:cstheme="minorHAnsi"/>
          <w:sz w:val="18"/>
          <w:szCs w:val="18"/>
        </w:rPr>
        <w:t xml:space="preserve"> New Zealand</w:t>
      </w:r>
      <w:r w:rsidRPr="008E66C6">
        <w:rPr>
          <w:rFonts w:asciiTheme="minorHAnsi" w:hAnsiTheme="minorHAnsi" w:cstheme="minorHAnsi"/>
          <w:sz w:val="18"/>
          <w:szCs w:val="18"/>
        </w:rPr>
        <w:t xml:space="preserve">. Available: </w:t>
      </w:r>
      <w:hyperlink r:id="rId14" w:history="1">
        <w:r w:rsidRPr="008E66C6">
          <w:rPr>
            <w:rStyle w:val="Hyperlink"/>
            <w:rFonts w:asciiTheme="minorHAnsi" w:hAnsiTheme="minorHAnsi" w:cstheme="minorHAnsi"/>
            <w:sz w:val="18"/>
            <w:szCs w:val="18"/>
          </w:rPr>
          <w:t>https://www.ombudsman.parliament.nz/resources/opcat-covid-19-report-report-inspections-mental-health-facilities-under-crimes-torture</w:t>
        </w:r>
      </w:hyperlink>
      <w:r w:rsidRPr="008E66C6">
        <w:rPr>
          <w:rFonts w:asciiTheme="minorHAnsi" w:hAnsiTheme="minorHAnsi" w:cstheme="minorHAnsi"/>
          <w:sz w:val="18"/>
          <w:szCs w:val="18"/>
        </w:rPr>
        <w:t xml:space="preserve">. </w:t>
      </w:r>
    </w:p>
  </w:footnote>
  <w:footnote w:id="35">
    <w:p w14:paraId="2E82297B" w14:textId="339761AA" w:rsidR="00C959EC" w:rsidRPr="008E66C6" w:rsidRDefault="00C959EC"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Ombudsman</w:t>
      </w:r>
      <w:r w:rsidR="006659BA" w:rsidRPr="008E66C6">
        <w:rPr>
          <w:rFonts w:asciiTheme="minorHAnsi" w:hAnsiTheme="minorHAnsi" w:cstheme="minorHAnsi"/>
          <w:sz w:val="18"/>
          <w:szCs w:val="18"/>
        </w:rPr>
        <w:t xml:space="preserve"> New Zealand</w:t>
      </w:r>
      <w:r w:rsidRPr="008E66C6">
        <w:rPr>
          <w:rFonts w:asciiTheme="minorHAnsi" w:hAnsiTheme="minorHAnsi" w:cstheme="minorHAnsi"/>
          <w:sz w:val="18"/>
          <w:szCs w:val="18"/>
        </w:rPr>
        <w:t xml:space="preserve">. 2021. </w:t>
      </w:r>
      <w:r w:rsidRPr="008E66C6">
        <w:rPr>
          <w:rFonts w:asciiTheme="minorHAnsi" w:hAnsiTheme="minorHAnsi" w:cstheme="minorHAnsi"/>
          <w:i/>
          <w:sz w:val="18"/>
          <w:szCs w:val="18"/>
        </w:rPr>
        <w:t>OPCAT COVID-19 report: Report on inspections of prisons under the Crimes of Torture Act 1989</w:t>
      </w:r>
      <w:r w:rsidRPr="008E66C6">
        <w:rPr>
          <w:rFonts w:asciiTheme="minorHAnsi" w:hAnsiTheme="minorHAnsi" w:cstheme="minorHAnsi"/>
          <w:sz w:val="18"/>
          <w:szCs w:val="18"/>
        </w:rPr>
        <w:t>. Wellington: Ombudsman</w:t>
      </w:r>
      <w:r w:rsidR="006659BA" w:rsidRPr="008E66C6">
        <w:rPr>
          <w:rFonts w:asciiTheme="minorHAnsi" w:hAnsiTheme="minorHAnsi" w:cstheme="minorHAnsi"/>
          <w:sz w:val="18"/>
          <w:szCs w:val="18"/>
        </w:rPr>
        <w:t xml:space="preserve"> New Zealand</w:t>
      </w:r>
      <w:r w:rsidRPr="008E66C6">
        <w:rPr>
          <w:rFonts w:asciiTheme="minorHAnsi" w:hAnsiTheme="minorHAnsi" w:cstheme="minorHAnsi"/>
          <w:sz w:val="18"/>
          <w:szCs w:val="18"/>
        </w:rPr>
        <w:t xml:space="preserve">. Available: </w:t>
      </w:r>
      <w:hyperlink r:id="rId15" w:history="1">
        <w:r w:rsidRPr="008E66C6">
          <w:rPr>
            <w:rStyle w:val="Hyperlink"/>
            <w:rFonts w:asciiTheme="minorHAnsi" w:hAnsiTheme="minorHAnsi" w:cstheme="minorHAnsi"/>
            <w:sz w:val="18"/>
            <w:szCs w:val="18"/>
          </w:rPr>
          <w:t>https://www.ombudsman.parliament.nz/resources/opcat-covid-19-report-report-inspections-prisons-under-crimes-torture-act-1989</w:t>
        </w:r>
      </w:hyperlink>
      <w:r w:rsidRPr="008E66C6">
        <w:rPr>
          <w:rFonts w:asciiTheme="minorHAnsi" w:hAnsiTheme="minorHAnsi" w:cstheme="minorHAnsi"/>
          <w:sz w:val="18"/>
          <w:szCs w:val="18"/>
        </w:rPr>
        <w:t xml:space="preserve">. </w:t>
      </w:r>
    </w:p>
  </w:footnote>
  <w:footnote w:id="36">
    <w:p w14:paraId="1A3BB817" w14:textId="34652D70" w:rsidR="00255873" w:rsidRPr="008E66C6" w:rsidRDefault="00255873"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Independent Police Conduct Authority “Reports on places of Police detention”</w:t>
      </w:r>
      <w:r w:rsidR="001A0827" w:rsidRPr="008E66C6">
        <w:rPr>
          <w:rFonts w:asciiTheme="minorHAnsi" w:hAnsiTheme="minorHAnsi" w:cstheme="minorHAnsi"/>
          <w:sz w:val="18"/>
          <w:szCs w:val="18"/>
        </w:rPr>
        <w:t xml:space="preserve">. Available: </w:t>
      </w:r>
      <w:hyperlink r:id="rId16" w:history="1">
        <w:r w:rsidR="00915901" w:rsidRPr="008E66C6">
          <w:rPr>
            <w:rStyle w:val="Hyperlink"/>
            <w:rFonts w:asciiTheme="minorHAnsi" w:hAnsiTheme="minorHAnsi" w:cstheme="minorHAnsi"/>
            <w:sz w:val="18"/>
            <w:szCs w:val="18"/>
          </w:rPr>
          <w:t>https://www.ipca.govt.nz/Site/publications-and-media/Reports-on-places-of-Police-detention.aspx</w:t>
        </w:r>
      </w:hyperlink>
      <w:r w:rsidR="00915901" w:rsidRPr="008E66C6">
        <w:rPr>
          <w:rFonts w:asciiTheme="minorHAnsi" w:hAnsiTheme="minorHAnsi" w:cstheme="minorHAnsi"/>
          <w:sz w:val="18"/>
          <w:szCs w:val="18"/>
        </w:rPr>
        <w:t xml:space="preserve">. </w:t>
      </w:r>
    </w:p>
  </w:footnote>
  <w:footnote w:id="37">
    <w:p w14:paraId="295D2BB4" w14:textId="4F3D9D4A" w:rsidR="002C2E3C" w:rsidRPr="008E66C6" w:rsidRDefault="002C2E3C"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t xml:space="preserve">Office of the Children’s Commissioner </w:t>
      </w:r>
      <w:r w:rsidR="00C92686" w:rsidRPr="008E66C6">
        <w:rPr>
          <w:rFonts w:asciiTheme="minorHAnsi" w:hAnsiTheme="minorHAnsi" w:cstheme="minorHAnsi"/>
          <w:sz w:val="18"/>
          <w:szCs w:val="18"/>
        </w:rPr>
        <w:t>“Reports”</w:t>
      </w:r>
      <w:r w:rsidR="001A0827" w:rsidRPr="008E66C6">
        <w:rPr>
          <w:rFonts w:asciiTheme="minorHAnsi" w:hAnsiTheme="minorHAnsi" w:cstheme="minorHAnsi"/>
          <w:sz w:val="18"/>
          <w:szCs w:val="18"/>
        </w:rPr>
        <w:t xml:space="preserve">. Available: </w:t>
      </w:r>
      <w:hyperlink r:id="rId17" w:history="1">
        <w:r w:rsidR="00246FC9" w:rsidRPr="008E66C6">
          <w:rPr>
            <w:rStyle w:val="Hyperlink"/>
            <w:rFonts w:asciiTheme="minorHAnsi" w:hAnsiTheme="minorHAnsi" w:cstheme="minorHAnsi"/>
            <w:sz w:val="18"/>
            <w:szCs w:val="18"/>
          </w:rPr>
          <w:t>https://www.occ.org.nz/publications/reports/</w:t>
        </w:r>
      </w:hyperlink>
      <w:r w:rsidR="00246FC9" w:rsidRPr="008E66C6">
        <w:rPr>
          <w:rFonts w:asciiTheme="minorHAnsi" w:hAnsiTheme="minorHAnsi" w:cstheme="minorHAnsi"/>
          <w:sz w:val="18"/>
          <w:szCs w:val="18"/>
        </w:rPr>
        <w:t xml:space="preserve">. </w:t>
      </w:r>
    </w:p>
  </w:footnote>
  <w:footnote w:id="38">
    <w:p w14:paraId="142D0283" w14:textId="6B8EF491" w:rsidR="00383DBD" w:rsidRPr="008E66C6" w:rsidRDefault="00383DBD"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Pr="008E66C6">
        <w:rPr>
          <w:rFonts w:asciiTheme="minorHAnsi" w:hAnsiTheme="minorHAnsi" w:cstheme="minorHAnsi"/>
          <w:sz w:val="18"/>
          <w:szCs w:val="18"/>
        </w:rPr>
        <w:tab/>
      </w:r>
      <w:r w:rsidR="005D7BCF" w:rsidRPr="008E66C6">
        <w:rPr>
          <w:rFonts w:asciiTheme="minorHAnsi" w:hAnsiTheme="minorHAnsi" w:cstheme="minorHAnsi"/>
          <w:sz w:val="18"/>
          <w:szCs w:val="18"/>
        </w:rPr>
        <w:t xml:space="preserve">Children’s Commissioner. </w:t>
      </w:r>
      <w:r w:rsidR="00D6298A" w:rsidRPr="008E66C6">
        <w:rPr>
          <w:rFonts w:asciiTheme="minorHAnsi" w:hAnsiTheme="minorHAnsi" w:cstheme="minorHAnsi"/>
          <w:sz w:val="18"/>
          <w:szCs w:val="18"/>
        </w:rPr>
        <w:t xml:space="preserve">2021. </w:t>
      </w:r>
      <w:hyperlink r:id="rId18" w:history="1">
        <w:r w:rsidR="00D6298A" w:rsidRPr="008E66C6">
          <w:rPr>
            <w:rStyle w:val="Hyperlink"/>
            <w:rFonts w:asciiTheme="minorHAnsi" w:hAnsiTheme="minorHAnsi" w:cstheme="minorHAnsi"/>
            <w:sz w:val="18"/>
            <w:szCs w:val="18"/>
          </w:rPr>
          <w:t>Te Au rere a te Tonga OPCAT Monitoring report | Office of the Children’s Commissioner (occ.org.nz)</w:t>
        </w:r>
      </w:hyperlink>
      <w:r w:rsidR="00D6298A" w:rsidRPr="008E66C6">
        <w:rPr>
          <w:rFonts w:asciiTheme="minorHAnsi" w:hAnsiTheme="minorHAnsi" w:cstheme="minorHAnsi"/>
          <w:sz w:val="18"/>
          <w:szCs w:val="18"/>
        </w:rPr>
        <w:t xml:space="preserve">. </w:t>
      </w:r>
      <w:r w:rsidRPr="008E66C6">
        <w:rPr>
          <w:rFonts w:asciiTheme="minorHAnsi" w:hAnsiTheme="minorHAnsi" w:cstheme="minorHAnsi"/>
          <w:sz w:val="18"/>
          <w:szCs w:val="18"/>
        </w:rPr>
        <w:t xml:space="preserve"> </w:t>
      </w:r>
    </w:p>
  </w:footnote>
  <w:footnote w:id="39">
    <w:p w14:paraId="68CFC582" w14:textId="5D33ED29" w:rsidR="00F16EC8" w:rsidRPr="008E66C6" w:rsidRDefault="00F16EC8"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874770" w:rsidRPr="008E66C6">
        <w:rPr>
          <w:rFonts w:asciiTheme="minorHAnsi" w:hAnsiTheme="minorHAnsi" w:cstheme="minorHAnsi"/>
          <w:sz w:val="18"/>
          <w:szCs w:val="18"/>
        </w:rPr>
        <w:tab/>
      </w:r>
      <w:r w:rsidRPr="008E66C6">
        <w:rPr>
          <w:rFonts w:asciiTheme="minorHAnsi" w:hAnsiTheme="minorHAnsi" w:cstheme="minorHAnsi"/>
          <w:sz w:val="18"/>
          <w:szCs w:val="18"/>
        </w:rPr>
        <w:t xml:space="preserve">See, for example, Ombudsman New Zealand. 2022. </w:t>
      </w:r>
      <w:r w:rsidRPr="008E66C6">
        <w:rPr>
          <w:rFonts w:asciiTheme="minorHAnsi" w:hAnsiTheme="minorHAnsi" w:cstheme="minorHAnsi"/>
          <w:i/>
          <w:sz w:val="18"/>
          <w:szCs w:val="18"/>
        </w:rPr>
        <w:t xml:space="preserve">Report on an unannounced inspection of Ward 10a and Helensburgh Cottage, Wakari Hospital Dunedin, under the Crimes of Torture Act 1989. </w:t>
      </w:r>
      <w:r w:rsidRPr="008E66C6">
        <w:rPr>
          <w:rFonts w:asciiTheme="minorHAnsi" w:hAnsiTheme="minorHAnsi" w:cstheme="minorHAnsi"/>
          <w:sz w:val="18"/>
          <w:szCs w:val="18"/>
        </w:rPr>
        <w:t>Wellington: Ombudsman New Zealand.</w:t>
      </w:r>
    </w:p>
  </w:footnote>
  <w:footnote w:id="40">
    <w:p w14:paraId="05D90743" w14:textId="2C1E2692" w:rsidR="00F16EC8" w:rsidRPr="008E66C6" w:rsidRDefault="00F16EC8"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874770" w:rsidRPr="008E66C6">
        <w:rPr>
          <w:rFonts w:asciiTheme="minorHAnsi" w:hAnsiTheme="minorHAnsi" w:cstheme="minorHAnsi"/>
          <w:sz w:val="18"/>
          <w:szCs w:val="18"/>
        </w:rPr>
        <w:tab/>
      </w:r>
      <w:r w:rsidRPr="008E66C6">
        <w:rPr>
          <w:rFonts w:asciiTheme="minorHAnsi" w:hAnsiTheme="minorHAnsi" w:cstheme="minorHAnsi"/>
          <w:sz w:val="18"/>
          <w:szCs w:val="18"/>
          <w:lang w:val="en-US"/>
        </w:rPr>
        <w:t xml:space="preserve">The SPEC programme includes training in restraint minimisation, communication, de-escalation, collaborative ways of working, and the teaching of personal restraint and breakaway techniques. For more information see </w:t>
      </w:r>
      <w:hyperlink r:id="rId19" w:history="1">
        <w:r w:rsidR="00925C86" w:rsidRPr="008E66C6">
          <w:rPr>
            <w:rStyle w:val="Hyperlink"/>
            <w:rFonts w:asciiTheme="minorHAnsi" w:hAnsiTheme="minorHAnsi" w:cstheme="minorHAnsi"/>
            <w:sz w:val="18"/>
            <w:szCs w:val="18"/>
            <w:lang w:val="en-US"/>
          </w:rPr>
          <w:t>https://www.tepou.co.nz/initiatives/reducing-seclusion-and-restraint/safe-practice-effective-communication</w:t>
        </w:r>
      </w:hyperlink>
      <w:r w:rsidRPr="008E66C6">
        <w:rPr>
          <w:rFonts w:asciiTheme="minorHAnsi" w:hAnsiTheme="minorHAnsi" w:cstheme="minorHAnsi"/>
          <w:sz w:val="18"/>
          <w:szCs w:val="18"/>
          <w:lang w:val="en-US"/>
        </w:rPr>
        <w:t>.</w:t>
      </w:r>
    </w:p>
  </w:footnote>
  <w:footnote w:id="41">
    <w:p w14:paraId="35A26F92" w14:textId="7F158223" w:rsidR="00A77618" w:rsidRPr="008E66C6" w:rsidRDefault="00A77618" w:rsidP="008E66C6">
      <w:pPr>
        <w:pStyle w:val="FootnoteText"/>
        <w:jc w:val="left"/>
        <w:rPr>
          <w:rFonts w:asciiTheme="minorHAnsi" w:hAnsiTheme="minorHAnsi" w:cstheme="minorHAnsi"/>
          <w:color w:val="4D4D4D"/>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8E66C6" w:rsidRPr="008E66C6">
        <w:rPr>
          <w:rFonts w:asciiTheme="minorHAnsi" w:hAnsiTheme="minorHAnsi" w:cstheme="minorHAnsi"/>
          <w:sz w:val="18"/>
          <w:szCs w:val="18"/>
        </w:rPr>
        <w:tab/>
      </w:r>
      <w:r w:rsidRPr="008E66C6">
        <w:rPr>
          <w:rFonts w:asciiTheme="minorHAnsi" w:hAnsiTheme="minorHAnsi" w:cstheme="minorHAnsi"/>
          <w:sz w:val="18"/>
          <w:szCs w:val="18"/>
        </w:rPr>
        <w:t>Ombudsman</w:t>
      </w:r>
      <w:r w:rsidR="0024264A" w:rsidRPr="008E66C6">
        <w:rPr>
          <w:rFonts w:asciiTheme="minorHAnsi" w:hAnsiTheme="minorHAnsi" w:cstheme="minorHAnsi"/>
          <w:sz w:val="18"/>
          <w:szCs w:val="18"/>
        </w:rPr>
        <w:t xml:space="preserve"> New Zealand</w:t>
      </w:r>
      <w:r w:rsidRPr="008E66C6">
        <w:rPr>
          <w:rFonts w:asciiTheme="minorHAnsi" w:hAnsiTheme="minorHAnsi" w:cstheme="minorHAnsi"/>
          <w:sz w:val="18"/>
          <w:szCs w:val="18"/>
        </w:rPr>
        <w:t xml:space="preserve">. 2020. </w:t>
      </w:r>
      <w:r w:rsidRPr="008E66C6">
        <w:rPr>
          <w:rFonts w:asciiTheme="minorHAnsi" w:hAnsiTheme="minorHAnsi" w:cstheme="minorHAnsi"/>
          <w:i/>
          <w:sz w:val="18"/>
          <w:szCs w:val="18"/>
        </w:rPr>
        <w:t xml:space="preserve">Final report on an unannounced inspection of Waikeria Prison under the Crimes of Torture Act 1989. </w:t>
      </w:r>
      <w:r w:rsidRPr="008E66C6">
        <w:rPr>
          <w:rFonts w:asciiTheme="minorHAnsi" w:hAnsiTheme="minorHAnsi" w:cstheme="minorHAnsi"/>
          <w:sz w:val="18"/>
          <w:szCs w:val="18"/>
        </w:rPr>
        <w:t>Wellington: Ombudsman</w:t>
      </w:r>
      <w:r w:rsidR="0024264A" w:rsidRPr="008E66C6">
        <w:rPr>
          <w:rFonts w:asciiTheme="minorHAnsi" w:hAnsiTheme="minorHAnsi" w:cstheme="minorHAnsi"/>
          <w:sz w:val="18"/>
          <w:szCs w:val="18"/>
        </w:rPr>
        <w:t xml:space="preserve"> New Zealand</w:t>
      </w:r>
      <w:r w:rsidRPr="008E66C6">
        <w:rPr>
          <w:rFonts w:asciiTheme="minorHAnsi" w:hAnsiTheme="minorHAnsi" w:cstheme="minorHAnsi"/>
          <w:sz w:val="18"/>
          <w:szCs w:val="18"/>
        </w:rPr>
        <w:t xml:space="preserve">. Available: </w:t>
      </w:r>
      <w:hyperlink r:id="rId20" w:history="1">
        <w:r w:rsidRPr="008E66C6">
          <w:rPr>
            <w:rStyle w:val="Hyperlink"/>
            <w:rFonts w:asciiTheme="minorHAnsi" w:hAnsiTheme="minorHAnsi" w:cstheme="minorHAnsi"/>
            <w:sz w:val="18"/>
            <w:szCs w:val="18"/>
          </w:rPr>
          <w:t>https://www.ombudsman.parliament.nz/resources/final-report-unannounced-inspection-waikeria-prison-under-crimes-torture-act-1989</w:t>
        </w:r>
      </w:hyperlink>
      <w:r w:rsidRPr="008E66C6">
        <w:rPr>
          <w:rFonts w:asciiTheme="minorHAnsi" w:hAnsiTheme="minorHAnsi" w:cstheme="minorHAnsi"/>
          <w:sz w:val="18"/>
          <w:szCs w:val="18"/>
        </w:rPr>
        <w:t>.</w:t>
      </w:r>
    </w:p>
  </w:footnote>
  <w:footnote w:id="42">
    <w:p w14:paraId="7B6AA023" w14:textId="594B0322" w:rsidR="002D2B63" w:rsidRPr="008E66C6" w:rsidRDefault="002D2B63"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7D20AA" w:rsidRPr="008E66C6">
        <w:rPr>
          <w:rFonts w:asciiTheme="minorHAnsi" w:hAnsiTheme="minorHAnsi" w:cstheme="minorHAnsi"/>
          <w:sz w:val="18"/>
          <w:szCs w:val="18"/>
        </w:rPr>
        <w:tab/>
      </w:r>
      <w:r w:rsidRPr="008E66C6">
        <w:rPr>
          <w:rFonts w:asciiTheme="minorHAnsi" w:hAnsiTheme="minorHAnsi" w:cstheme="minorHAnsi"/>
          <w:sz w:val="18"/>
          <w:szCs w:val="18"/>
        </w:rPr>
        <w:t>Mental Health (Compulsory Assessment and Treatment) Act 1992</w:t>
      </w:r>
      <w:r w:rsidR="00214A2F" w:rsidRPr="008E66C6">
        <w:rPr>
          <w:rFonts w:asciiTheme="minorHAnsi" w:hAnsiTheme="minorHAnsi" w:cstheme="minorHAnsi"/>
          <w:sz w:val="18"/>
          <w:szCs w:val="18"/>
        </w:rPr>
        <w:t xml:space="preserve">, s 109. </w:t>
      </w:r>
    </w:p>
  </w:footnote>
  <w:footnote w:id="43">
    <w:p w14:paraId="448E4F7B" w14:textId="1BC6EEBD" w:rsidR="002D2B63" w:rsidRPr="008E66C6" w:rsidRDefault="002D2B63" w:rsidP="008E66C6">
      <w:pPr>
        <w:pStyle w:val="FootnoteText"/>
        <w:jc w:val="left"/>
        <w:rPr>
          <w:rFonts w:asciiTheme="minorHAnsi" w:hAnsiTheme="minorHAnsi" w:cstheme="minorHAnsi"/>
          <w:sz w:val="18"/>
          <w:szCs w:val="18"/>
        </w:rPr>
      </w:pPr>
      <w:r w:rsidRPr="008E66C6">
        <w:rPr>
          <w:rStyle w:val="FootnoteReference"/>
          <w:rFonts w:asciiTheme="minorHAnsi" w:hAnsiTheme="minorHAnsi" w:cstheme="minorHAnsi"/>
          <w:sz w:val="18"/>
          <w:szCs w:val="18"/>
        </w:rPr>
        <w:footnoteRef/>
      </w:r>
      <w:r w:rsidRPr="008E66C6">
        <w:rPr>
          <w:rFonts w:asciiTheme="minorHAnsi" w:hAnsiTheme="minorHAnsi" w:cstheme="minorHAnsi"/>
          <w:sz w:val="18"/>
          <w:szCs w:val="18"/>
        </w:rPr>
        <w:t xml:space="preserve"> </w:t>
      </w:r>
      <w:r w:rsidR="007D20AA" w:rsidRPr="008E66C6">
        <w:rPr>
          <w:rFonts w:asciiTheme="minorHAnsi" w:hAnsiTheme="minorHAnsi" w:cstheme="minorHAnsi"/>
          <w:sz w:val="18"/>
          <w:szCs w:val="18"/>
        </w:rPr>
        <w:tab/>
      </w:r>
      <w:r w:rsidRPr="008E66C6">
        <w:rPr>
          <w:rFonts w:asciiTheme="minorHAnsi" w:hAnsiTheme="minorHAnsi" w:cstheme="minorHAnsi"/>
          <w:sz w:val="18"/>
          <w:szCs w:val="18"/>
        </w:rPr>
        <w:t>Counties Manakau and Waitemata police districts</w:t>
      </w:r>
      <w:r w:rsidR="00140A9E" w:rsidRPr="008E66C6">
        <w:rPr>
          <w:rFonts w:asciiTheme="minorHAnsi" w:hAnsiTheme="minorHAnsi" w:cstheme="minorHAnsi"/>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26C90"/>
    <w:multiLevelType w:val="hybridMultilevel"/>
    <w:tmpl w:val="78689522"/>
    <w:lvl w:ilvl="0" w:tplc="EC7AACE8">
      <w:numFmt w:val="bullet"/>
      <w:lvlText w:val="•"/>
      <w:lvlJc w:val="left"/>
      <w:pPr>
        <w:ind w:left="720" w:hanging="360"/>
      </w:pPr>
      <w:rPr>
        <w:rFonts w:ascii="Calibri" w:eastAsiaTheme="minorHAnsi" w:hAnsi="Calibri" w:cs="Calibri"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0C6C37F2"/>
    <w:multiLevelType w:val="hybridMultilevel"/>
    <w:tmpl w:val="6A48E0A6"/>
    <w:lvl w:ilvl="0" w:tplc="DFFC407E">
      <w:start w:val="1"/>
      <w:numFmt w:val="decimal"/>
      <w:lvlText w:val="%1."/>
      <w:lvlJc w:val="left"/>
      <w:pPr>
        <w:ind w:left="720" w:hanging="360"/>
      </w:pPr>
      <w:rPr>
        <w:rFonts w:asciiTheme="minorHAnsi" w:eastAsiaTheme="minorHAnsi" w:hAnsiTheme="minorHAnsi" w:cstheme="minorBidi"/>
        <w:b w:val="0"/>
        <w:bCs w:val="0"/>
      </w:rPr>
    </w:lvl>
    <w:lvl w:ilvl="1" w:tplc="14090017">
      <w:start w:val="1"/>
      <w:numFmt w:val="lowerLetter"/>
      <w:lvlText w:val="%2)"/>
      <w:lvlJc w:val="left"/>
      <w:pPr>
        <w:ind w:left="1440" w:hanging="360"/>
      </w:p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0DC31866"/>
    <w:multiLevelType w:val="multilevel"/>
    <w:tmpl w:val="595A47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205B6A80"/>
    <w:multiLevelType w:val="hybridMultilevel"/>
    <w:tmpl w:val="2EB2B6B6"/>
    <w:lvl w:ilvl="0" w:tplc="2E329BD2">
      <w:numFmt w:val="bullet"/>
      <w:lvlText w:val="-"/>
      <w:lvlJc w:val="left"/>
      <w:pPr>
        <w:ind w:left="720" w:hanging="360"/>
      </w:pPr>
      <w:rPr>
        <w:rFonts w:ascii="Calibri" w:eastAsiaTheme="minorHAnsi" w:hAnsi="Calibri" w:cs="Calibri"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250617BB"/>
    <w:multiLevelType w:val="hybridMultilevel"/>
    <w:tmpl w:val="0FC699DC"/>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5" w15:restartNumberingAfterBreak="0">
    <w:nsid w:val="25461F84"/>
    <w:multiLevelType w:val="multilevel"/>
    <w:tmpl w:val="69044A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66D5BFA"/>
    <w:multiLevelType w:val="hybridMultilevel"/>
    <w:tmpl w:val="A70AD88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3CDB5F61"/>
    <w:multiLevelType w:val="hybridMultilevel"/>
    <w:tmpl w:val="0E82015C"/>
    <w:lvl w:ilvl="0" w:tplc="2E329BD2">
      <w:numFmt w:val="bullet"/>
      <w:lvlText w:val="-"/>
      <w:lvlJc w:val="left"/>
      <w:pPr>
        <w:ind w:left="720" w:hanging="360"/>
      </w:pPr>
      <w:rPr>
        <w:rFonts w:ascii="Calibri" w:eastAsiaTheme="minorHAnsi" w:hAnsi="Calibri" w:cs="Calibri"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15:restartNumberingAfterBreak="0">
    <w:nsid w:val="3E260021"/>
    <w:multiLevelType w:val="multilevel"/>
    <w:tmpl w:val="27ECE664"/>
    <w:lvl w:ilvl="0">
      <w:start w:val="10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104A04"/>
    <w:multiLevelType w:val="hybridMultilevel"/>
    <w:tmpl w:val="866E88A0"/>
    <w:lvl w:ilvl="0" w:tplc="33B62408">
      <w:start w:val="1"/>
      <w:numFmt w:val="decimal"/>
      <w:lvlText w:val="%1."/>
      <w:lvlJc w:val="left"/>
      <w:pPr>
        <w:ind w:left="360" w:hanging="360"/>
      </w:pPr>
      <w:rPr>
        <w:rFonts w:asciiTheme="minorHAnsi" w:hAnsiTheme="minorHAnsi" w:cstheme="minorHAnsi" w:hint="default"/>
        <w:b w:val="0"/>
        <w:bCs w:val="0"/>
        <w:i w:val="0"/>
        <w:iCs w:val="0"/>
        <w:color w:val="auto"/>
        <w:sz w:val="22"/>
        <w:szCs w:val="22"/>
      </w:rPr>
    </w:lvl>
    <w:lvl w:ilvl="1" w:tplc="093E1118">
      <w:start w:val="1"/>
      <w:numFmt w:val="lowerLetter"/>
      <w:lvlText w:val="(%2)"/>
      <w:lvlJc w:val="left"/>
      <w:pPr>
        <w:ind w:left="1080" w:hanging="360"/>
      </w:pPr>
      <w:rPr>
        <w:rFonts w:asciiTheme="minorHAnsi" w:eastAsiaTheme="minorHAnsi" w:hAnsiTheme="minorHAnsi" w:cstheme="minorBidi"/>
        <w:b w:val="0"/>
        <w:bCs w:val="0"/>
        <w:i w:val="0"/>
        <w:iCs w:val="0"/>
      </w:rPr>
    </w:lvl>
    <w:lvl w:ilvl="2" w:tplc="E4844758">
      <w:start w:val="1"/>
      <w:numFmt w:val="lowerRoman"/>
      <w:lvlText w:val="%3."/>
      <w:lvlJc w:val="right"/>
      <w:pPr>
        <w:ind w:left="1800" w:hanging="180"/>
      </w:pPr>
      <w:rPr>
        <w:b w:val="0"/>
        <w:bCs w:val="0"/>
      </w:rPr>
    </w:lvl>
    <w:lvl w:ilvl="3" w:tplc="14090001">
      <w:start w:val="1"/>
      <w:numFmt w:val="bullet"/>
      <w:lvlText w:val=""/>
      <w:lvlJc w:val="left"/>
      <w:pPr>
        <w:ind w:left="2520" w:hanging="360"/>
      </w:pPr>
      <w:rPr>
        <w:rFonts w:ascii="Symbol" w:hAnsi="Symbol" w:hint="default"/>
      </w:r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0" w15:restartNumberingAfterBreak="0">
    <w:nsid w:val="4A985DBB"/>
    <w:multiLevelType w:val="hybridMultilevel"/>
    <w:tmpl w:val="21F2BF9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4FC32322"/>
    <w:multiLevelType w:val="multilevel"/>
    <w:tmpl w:val="336C06E8"/>
    <w:lvl w:ilvl="0">
      <w:start w:val="1"/>
      <w:numFmt w:val="decimal"/>
      <w:pStyle w:val="Number1"/>
      <w:lvlText w:val="%1."/>
      <w:lvlJc w:val="left"/>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1">
      <w:start w:val="1"/>
      <w:numFmt w:val="lowerLetter"/>
      <w:pStyle w:val="Number2"/>
      <w:lvlText w:val="%2."/>
      <w:lvlJc w:val="left"/>
      <w:pPr>
        <w:tabs>
          <w:tab w:val="num" w:pos="1134"/>
        </w:tabs>
        <w:ind w:left="1134" w:hanging="567"/>
      </w:pPr>
    </w:lvl>
    <w:lvl w:ilvl="2">
      <w:start w:val="1"/>
      <w:numFmt w:val="lowerRoman"/>
      <w:pStyle w:val="Number3"/>
      <w:lvlText w:val="%3."/>
      <w:lvlJc w:val="left"/>
      <w:pPr>
        <w:tabs>
          <w:tab w:val="num" w:pos="1701"/>
        </w:tabs>
        <w:ind w:left="1701" w:hanging="567"/>
      </w:pPr>
    </w:lvl>
    <w:lvl w:ilvl="3">
      <w:start w:val="1"/>
      <w:numFmt w:val="none"/>
      <w:suff w:val="nothing"/>
      <w:lvlText w:val=""/>
      <w:lvlJc w:val="left"/>
      <w:pPr>
        <w:ind w:left="1701" w:firstLine="0"/>
      </w:pPr>
    </w:lvl>
    <w:lvl w:ilvl="4">
      <w:start w:val="1"/>
      <w:numFmt w:val="none"/>
      <w:suff w:val="nothing"/>
      <w:lvlText w:val=""/>
      <w:lvlJc w:val="left"/>
      <w:pPr>
        <w:ind w:left="1701" w:firstLine="0"/>
      </w:pPr>
    </w:lvl>
    <w:lvl w:ilvl="5">
      <w:start w:val="1"/>
      <w:numFmt w:val="none"/>
      <w:suff w:val="nothing"/>
      <w:lvlText w:val=""/>
      <w:lvlJc w:val="left"/>
      <w:pPr>
        <w:ind w:left="1701" w:firstLine="0"/>
      </w:pPr>
    </w:lvl>
    <w:lvl w:ilvl="6">
      <w:start w:val="1"/>
      <w:numFmt w:val="none"/>
      <w:suff w:val="nothing"/>
      <w:lvlText w:val=""/>
      <w:lvlJc w:val="left"/>
      <w:pPr>
        <w:ind w:left="1701" w:firstLine="0"/>
      </w:pPr>
    </w:lvl>
    <w:lvl w:ilvl="7">
      <w:start w:val="1"/>
      <w:numFmt w:val="none"/>
      <w:suff w:val="nothing"/>
      <w:lvlText w:val=""/>
      <w:lvlJc w:val="left"/>
      <w:pPr>
        <w:ind w:left="1701" w:firstLine="0"/>
      </w:pPr>
    </w:lvl>
    <w:lvl w:ilvl="8">
      <w:start w:val="1"/>
      <w:numFmt w:val="none"/>
      <w:suff w:val="nothing"/>
      <w:lvlText w:val=""/>
      <w:lvlJc w:val="left"/>
      <w:pPr>
        <w:ind w:left="1701" w:firstLine="0"/>
      </w:pPr>
    </w:lvl>
  </w:abstractNum>
  <w:abstractNum w:abstractNumId="12" w15:restartNumberingAfterBreak="0">
    <w:nsid w:val="53040532"/>
    <w:multiLevelType w:val="hybridMultilevel"/>
    <w:tmpl w:val="E56C043C"/>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13" w15:restartNumberingAfterBreak="0">
    <w:nsid w:val="563F78B9"/>
    <w:multiLevelType w:val="hybridMultilevel"/>
    <w:tmpl w:val="42841D10"/>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14" w15:restartNumberingAfterBreak="0">
    <w:nsid w:val="6C070A9B"/>
    <w:multiLevelType w:val="hybridMultilevel"/>
    <w:tmpl w:val="9DE62512"/>
    <w:lvl w:ilvl="0" w:tplc="2E329BD2">
      <w:numFmt w:val="bullet"/>
      <w:lvlText w:val="-"/>
      <w:lvlJc w:val="left"/>
      <w:pPr>
        <w:ind w:left="720" w:hanging="360"/>
      </w:pPr>
      <w:rPr>
        <w:rFonts w:ascii="Calibri" w:eastAsiaTheme="minorHAnsi" w:hAnsi="Calibri" w:cs="Calibri"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5" w15:restartNumberingAfterBreak="0">
    <w:nsid w:val="7C087FF1"/>
    <w:multiLevelType w:val="multilevel"/>
    <w:tmpl w:val="4E547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205A82"/>
    <w:multiLevelType w:val="hybridMultilevel"/>
    <w:tmpl w:val="803E724E"/>
    <w:lvl w:ilvl="0" w:tplc="097C38F8">
      <w:start w:val="1"/>
      <w:numFmt w:val="upperRoman"/>
      <w:lvlText w:val="%1."/>
      <w:lvlJc w:val="left"/>
      <w:pPr>
        <w:ind w:left="2138" w:hanging="720"/>
      </w:pPr>
      <w:rPr>
        <w:rFonts w:asciiTheme="majorHAnsi" w:eastAsiaTheme="majorEastAsia" w:hAnsiTheme="majorHAnsi" w:cstheme="majorBidi" w:hint="default"/>
        <w:b/>
        <w:color w:val="2F5496" w:themeColor="accent1" w:themeShade="BF"/>
        <w:sz w:val="28"/>
        <w:szCs w:val="28"/>
      </w:rPr>
    </w:lvl>
    <w:lvl w:ilvl="1" w:tplc="14090019" w:tentative="1">
      <w:start w:val="1"/>
      <w:numFmt w:val="lowerLetter"/>
      <w:lvlText w:val="%2."/>
      <w:lvlJc w:val="left"/>
      <w:pPr>
        <w:ind w:left="2952" w:hanging="360"/>
      </w:pPr>
    </w:lvl>
    <w:lvl w:ilvl="2" w:tplc="1409001B" w:tentative="1">
      <w:start w:val="1"/>
      <w:numFmt w:val="lowerRoman"/>
      <w:lvlText w:val="%3."/>
      <w:lvlJc w:val="right"/>
      <w:pPr>
        <w:ind w:left="3672" w:hanging="180"/>
      </w:pPr>
    </w:lvl>
    <w:lvl w:ilvl="3" w:tplc="1409000F" w:tentative="1">
      <w:start w:val="1"/>
      <w:numFmt w:val="decimal"/>
      <w:lvlText w:val="%4."/>
      <w:lvlJc w:val="left"/>
      <w:pPr>
        <w:ind w:left="4392" w:hanging="360"/>
      </w:pPr>
    </w:lvl>
    <w:lvl w:ilvl="4" w:tplc="14090019" w:tentative="1">
      <w:start w:val="1"/>
      <w:numFmt w:val="lowerLetter"/>
      <w:lvlText w:val="%5."/>
      <w:lvlJc w:val="left"/>
      <w:pPr>
        <w:ind w:left="5112" w:hanging="360"/>
      </w:pPr>
    </w:lvl>
    <w:lvl w:ilvl="5" w:tplc="1409001B" w:tentative="1">
      <w:start w:val="1"/>
      <w:numFmt w:val="lowerRoman"/>
      <w:lvlText w:val="%6."/>
      <w:lvlJc w:val="right"/>
      <w:pPr>
        <w:ind w:left="5832" w:hanging="180"/>
      </w:pPr>
    </w:lvl>
    <w:lvl w:ilvl="6" w:tplc="1409000F" w:tentative="1">
      <w:start w:val="1"/>
      <w:numFmt w:val="decimal"/>
      <w:lvlText w:val="%7."/>
      <w:lvlJc w:val="left"/>
      <w:pPr>
        <w:ind w:left="6552" w:hanging="360"/>
      </w:pPr>
    </w:lvl>
    <w:lvl w:ilvl="7" w:tplc="14090019" w:tentative="1">
      <w:start w:val="1"/>
      <w:numFmt w:val="lowerLetter"/>
      <w:lvlText w:val="%8."/>
      <w:lvlJc w:val="left"/>
      <w:pPr>
        <w:ind w:left="7272" w:hanging="360"/>
      </w:pPr>
    </w:lvl>
    <w:lvl w:ilvl="8" w:tplc="1409001B" w:tentative="1">
      <w:start w:val="1"/>
      <w:numFmt w:val="lowerRoman"/>
      <w:lvlText w:val="%9."/>
      <w:lvlJc w:val="right"/>
      <w:pPr>
        <w:ind w:left="7992" w:hanging="180"/>
      </w:pPr>
    </w:lvl>
  </w:abstractNum>
  <w:num w:numId="1" w16cid:durableId="1708942348">
    <w:abstractNumId w:val="9"/>
  </w:num>
  <w:num w:numId="2" w16cid:durableId="1993410085">
    <w:abstractNumId w:val="16"/>
  </w:num>
  <w:num w:numId="3" w16cid:durableId="2132506586">
    <w:abstractNumId w:val="1"/>
  </w:num>
  <w:num w:numId="4" w16cid:durableId="941187789">
    <w:abstractNumId w:val="15"/>
  </w:num>
  <w:num w:numId="5" w16cid:durableId="638413727">
    <w:abstractNumId w:val="13"/>
  </w:num>
  <w:num w:numId="6" w16cid:durableId="940793955">
    <w:abstractNumId w:val="14"/>
  </w:num>
  <w:num w:numId="7" w16cid:durableId="1007366480">
    <w:abstractNumId w:val="4"/>
  </w:num>
  <w:num w:numId="8" w16cid:durableId="267860366">
    <w:abstractNumId w:val="0"/>
  </w:num>
  <w:num w:numId="9" w16cid:durableId="730662583">
    <w:abstractNumId w:val="10"/>
  </w:num>
  <w:num w:numId="10" w16cid:durableId="1965042486">
    <w:abstractNumId w:val="6"/>
  </w:num>
  <w:num w:numId="11" w16cid:durableId="18093208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95639958">
    <w:abstractNumId w:val="3"/>
  </w:num>
  <w:num w:numId="13" w16cid:durableId="16844742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201595">
    <w:abstractNumId w:val="7"/>
  </w:num>
  <w:num w:numId="15" w16cid:durableId="1193038733">
    <w:abstractNumId w:val="12"/>
  </w:num>
  <w:num w:numId="16" w16cid:durableId="298803415">
    <w:abstractNumId w:val="8"/>
  </w:num>
  <w:num w:numId="17" w16cid:durableId="1711759134">
    <w:abstractNumId w:val="5"/>
  </w:num>
  <w:num w:numId="18" w16cid:durableId="1037586352">
    <w:abstractNumId w:val="2"/>
  </w:num>
  <w:num w:numId="19" w16cid:durableId="1465468644">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9065431">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D43329"/>
    <w:rsid w:val="000002F4"/>
    <w:rsid w:val="000014B6"/>
    <w:rsid w:val="00003CD3"/>
    <w:rsid w:val="0000414B"/>
    <w:rsid w:val="00004996"/>
    <w:rsid w:val="000078C3"/>
    <w:rsid w:val="000112A5"/>
    <w:rsid w:val="0001247B"/>
    <w:rsid w:val="00015143"/>
    <w:rsid w:val="000154EB"/>
    <w:rsid w:val="00016AF8"/>
    <w:rsid w:val="0002065C"/>
    <w:rsid w:val="0002084C"/>
    <w:rsid w:val="000240B8"/>
    <w:rsid w:val="00031E8E"/>
    <w:rsid w:val="0003382D"/>
    <w:rsid w:val="00033FD5"/>
    <w:rsid w:val="00035717"/>
    <w:rsid w:val="00035D65"/>
    <w:rsid w:val="000365C4"/>
    <w:rsid w:val="00036AB1"/>
    <w:rsid w:val="00036F17"/>
    <w:rsid w:val="0004291F"/>
    <w:rsid w:val="00043A04"/>
    <w:rsid w:val="000444A9"/>
    <w:rsid w:val="00047239"/>
    <w:rsid w:val="00047BDA"/>
    <w:rsid w:val="0005379E"/>
    <w:rsid w:val="00053D1B"/>
    <w:rsid w:val="000570C2"/>
    <w:rsid w:val="000616C7"/>
    <w:rsid w:val="00063C52"/>
    <w:rsid w:val="00065AE8"/>
    <w:rsid w:val="00073A9F"/>
    <w:rsid w:val="00074B57"/>
    <w:rsid w:val="00077A80"/>
    <w:rsid w:val="000814F7"/>
    <w:rsid w:val="000829BC"/>
    <w:rsid w:val="00084978"/>
    <w:rsid w:val="0008523D"/>
    <w:rsid w:val="00085732"/>
    <w:rsid w:val="00085CE9"/>
    <w:rsid w:val="000872F0"/>
    <w:rsid w:val="00090122"/>
    <w:rsid w:val="000939C2"/>
    <w:rsid w:val="00094673"/>
    <w:rsid w:val="000949CB"/>
    <w:rsid w:val="00094BAA"/>
    <w:rsid w:val="00095A6D"/>
    <w:rsid w:val="00096A1E"/>
    <w:rsid w:val="00097131"/>
    <w:rsid w:val="00097784"/>
    <w:rsid w:val="000A11AE"/>
    <w:rsid w:val="000A5749"/>
    <w:rsid w:val="000B3B09"/>
    <w:rsid w:val="000B669F"/>
    <w:rsid w:val="000B746D"/>
    <w:rsid w:val="000C4495"/>
    <w:rsid w:val="000C4E63"/>
    <w:rsid w:val="000D0465"/>
    <w:rsid w:val="000D2708"/>
    <w:rsid w:val="000D346E"/>
    <w:rsid w:val="000D49CB"/>
    <w:rsid w:val="000D5AFC"/>
    <w:rsid w:val="000E312D"/>
    <w:rsid w:val="000E706D"/>
    <w:rsid w:val="000E77D6"/>
    <w:rsid w:val="000F2A66"/>
    <w:rsid w:val="000F2FF0"/>
    <w:rsid w:val="000F52DD"/>
    <w:rsid w:val="000F5688"/>
    <w:rsid w:val="000F59F7"/>
    <w:rsid w:val="000F61A4"/>
    <w:rsid w:val="000F71E7"/>
    <w:rsid w:val="000F7475"/>
    <w:rsid w:val="0010032A"/>
    <w:rsid w:val="00101913"/>
    <w:rsid w:val="00103A3F"/>
    <w:rsid w:val="00105323"/>
    <w:rsid w:val="00105F87"/>
    <w:rsid w:val="00112B6C"/>
    <w:rsid w:val="00115A33"/>
    <w:rsid w:val="001179BD"/>
    <w:rsid w:val="00121482"/>
    <w:rsid w:val="0012275A"/>
    <w:rsid w:val="00123549"/>
    <w:rsid w:val="0012526B"/>
    <w:rsid w:val="0012541D"/>
    <w:rsid w:val="0012657C"/>
    <w:rsid w:val="001302D9"/>
    <w:rsid w:val="00131440"/>
    <w:rsid w:val="00131A59"/>
    <w:rsid w:val="0013604F"/>
    <w:rsid w:val="00136641"/>
    <w:rsid w:val="001406C1"/>
    <w:rsid w:val="00140A9E"/>
    <w:rsid w:val="0014120A"/>
    <w:rsid w:val="001420EF"/>
    <w:rsid w:val="0014467A"/>
    <w:rsid w:val="0014531B"/>
    <w:rsid w:val="00150E66"/>
    <w:rsid w:val="0015229F"/>
    <w:rsid w:val="0015391B"/>
    <w:rsid w:val="00153AA1"/>
    <w:rsid w:val="00153CAE"/>
    <w:rsid w:val="00156CB8"/>
    <w:rsid w:val="00157AB7"/>
    <w:rsid w:val="00157FF0"/>
    <w:rsid w:val="00161943"/>
    <w:rsid w:val="001626A1"/>
    <w:rsid w:val="00163123"/>
    <w:rsid w:val="00167348"/>
    <w:rsid w:val="00167B12"/>
    <w:rsid w:val="0017019F"/>
    <w:rsid w:val="0017091C"/>
    <w:rsid w:val="00170C6C"/>
    <w:rsid w:val="00171E5C"/>
    <w:rsid w:val="00173BE9"/>
    <w:rsid w:val="00173F65"/>
    <w:rsid w:val="00175CE3"/>
    <w:rsid w:val="00186621"/>
    <w:rsid w:val="00190C02"/>
    <w:rsid w:val="00191526"/>
    <w:rsid w:val="00193AC2"/>
    <w:rsid w:val="00193F25"/>
    <w:rsid w:val="00195439"/>
    <w:rsid w:val="00195F8C"/>
    <w:rsid w:val="001966AB"/>
    <w:rsid w:val="00197443"/>
    <w:rsid w:val="001A0827"/>
    <w:rsid w:val="001A196A"/>
    <w:rsid w:val="001A1EEA"/>
    <w:rsid w:val="001A2536"/>
    <w:rsid w:val="001A371B"/>
    <w:rsid w:val="001A4592"/>
    <w:rsid w:val="001A4B68"/>
    <w:rsid w:val="001A70E2"/>
    <w:rsid w:val="001B0C7A"/>
    <w:rsid w:val="001B17A5"/>
    <w:rsid w:val="001B39BA"/>
    <w:rsid w:val="001B3D1A"/>
    <w:rsid w:val="001B5837"/>
    <w:rsid w:val="001B74B8"/>
    <w:rsid w:val="001C2000"/>
    <w:rsid w:val="001C343A"/>
    <w:rsid w:val="001C4459"/>
    <w:rsid w:val="001C73DD"/>
    <w:rsid w:val="001D109B"/>
    <w:rsid w:val="001D1F1D"/>
    <w:rsid w:val="001D25AE"/>
    <w:rsid w:val="001D302A"/>
    <w:rsid w:val="001D4F29"/>
    <w:rsid w:val="001D5762"/>
    <w:rsid w:val="001D7B21"/>
    <w:rsid w:val="001D7E20"/>
    <w:rsid w:val="001F0B3D"/>
    <w:rsid w:val="001F37F6"/>
    <w:rsid w:val="001F47D1"/>
    <w:rsid w:val="001F4CD5"/>
    <w:rsid w:val="001F5F33"/>
    <w:rsid w:val="001F65B2"/>
    <w:rsid w:val="00201B46"/>
    <w:rsid w:val="002026F5"/>
    <w:rsid w:val="00203853"/>
    <w:rsid w:val="00205B4D"/>
    <w:rsid w:val="00206734"/>
    <w:rsid w:val="00214A2F"/>
    <w:rsid w:val="00217DE8"/>
    <w:rsid w:val="00221952"/>
    <w:rsid w:val="0022709D"/>
    <w:rsid w:val="002307FC"/>
    <w:rsid w:val="00230D87"/>
    <w:rsid w:val="00230FD7"/>
    <w:rsid w:val="00234C8E"/>
    <w:rsid w:val="0023528D"/>
    <w:rsid w:val="0023680A"/>
    <w:rsid w:val="0023754E"/>
    <w:rsid w:val="00240B3C"/>
    <w:rsid w:val="0024264A"/>
    <w:rsid w:val="0024395E"/>
    <w:rsid w:val="00246FC9"/>
    <w:rsid w:val="002470B1"/>
    <w:rsid w:val="00252A4D"/>
    <w:rsid w:val="00254A9D"/>
    <w:rsid w:val="00254D5A"/>
    <w:rsid w:val="00255862"/>
    <w:rsid w:val="00255873"/>
    <w:rsid w:val="00257F50"/>
    <w:rsid w:val="00262D21"/>
    <w:rsid w:val="002656FA"/>
    <w:rsid w:val="00267E34"/>
    <w:rsid w:val="0027101F"/>
    <w:rsid w:val="002711C7"/>
    <w:rsid w:val="00273201"/>
    <w:rsid w:val="002740AE"/>
    <w:rsid w:val="002755E7"/>
    <w:rsid w:val="00286AC7"/>
    <w:rsid w:val="00286CB5"/>
    <w:rsid w:val="00290FFD"/>
    <w:rsid w:val="00291704"/>
    <w:rsid w:val="00291B3E"/>
    <w:rsid w:val="0029399B"/>
    <w:rsid w:val="002940D5"/>
    <w:rsid w:val="00294A3A"/>
    <w:rsid w:val="002964D5"/>
    <w:rsid w:val="002A06C3"/>
    <w:rsid w:val="002A4770"/>
    <w:rsid w:val="002A489E"/>
    <w:rsid w:val="002A4FED"/>
    <w:rsid w:val="002A6EB9"/>
    <w:rsid w:val="002A7BFE"/>
    <w:rsid w:val="002B0906"/>
    <w:rsid w:val="002B0AD8"/>
    <w:rsid w:val="002B0DC1"/>
    <w:rsid w:val="002B1FA9"/>
    <w:rsid w:val="002B31B9"/>
    <w:rsid w:val="002B4214"/>
    <w:rsid w:val="002B4288"/>
    <w:rsid w:val="002B4F0C"/>
    <w:rsid w:val="002B56A5"/>
    <w:rsid w:val="002C0B17"/>
    <w:rsid w:val="002C2E3C"/>
    <w:rsid w:val="002C6099"/>
    <w:rsid w:val="002D2B63"/>
    <w:rsid w:val="002D36F5"/>
    <w:rsid w:val="002D4324"/>
    <w:rsid w:val="002D66B2"/>
    <w:rsid w:val="002E0451"/>
    <w:rsid w:val="002E04E6"/>
    <w:rsid w:val="002E09F9"/>
    <w:rsid w:val="002E2946"/>
    <w:rsid w:val="002E5304"/>
    <w:rsid w:val="002E7DA8"/>
    <w:rsid w:val="002F00CB"/>
    <w:rsid w:val="002F0C72"/>
    <w:rsid w:val="002F1EE4"/>
    <w:rsid w:val="002F218E"/>
    <w:rsid w:val="00304380"/>
    <w:rsid w:val="00310CCB"/>
    <w:rsid w:val="0031511D"/>
    <w:rsid w:val="0031590A"/>
    <w:rsid w:val="00320D2F"/>
    <w:rsid w:val="00321C91"/>
    <w:rsid w:val="0032361F"/>
    <w:rsid w:val="00324031"/>
    <w:rsid w:val="00333703"/>
    <w:rsid w:val="00334347"/>
    <w:rsid w:val="0033446D"/>
    <w:rsid w:val="00334850"/>
    <w:rsid w:val="0033665C"/>
    <w:rsid w:val="00336684"/>
    <w:rsid w:val="00343E05"/>
    <w:rsid w:val="003444FE"/>
    <w:rsid w:val="00350F6A"/>
    <w:rsid w:val="00351F47"/>
    <w:rsid w:val="00354E64"/>
    <w:rsid w:val="003551B2"/>
    <w:rsid w:val="00356F8E"/>
    <w:rsid w:val="00361DC6"/>
    <w:rsid w:val="00373FA6"/>
    <w:rsid w:val="0037500A"/>
    <w:rsid w:val="00375F14"/>
    <w:rsid w:val="00376C58"/>
    <w:rsid w:val="003828DC"/>
    <w:rsid w:val="00383DBD"/>
    <w:rsid w:val="00384A67"/>
    <w:rsid w:val="00385A30"/>
    <w:rsid w:val="003952C1"/>
    <w:rsid w:val="00395452"/>
    <w:rsid w:val="0039735F"/>
    <w:rsid w:val="003A2BBF"/>
    <w:rsid w:val="003A3057"/>
    <w:rsid w:val="003A34B0"/>
    <w:rsid w:val="003A3DE7"/>
    <w:rsid w:val="003A5D37"/>
    <w:rsid w:val="003A7EB6"/>
    <w:rsid w:val="003B1268"/>
    <w:rsid w:val="003B1832"/>
    <w:rsid w:val="003B1ECD"/>
    <w:rsid w:val="003B2796"/>
    <w:rsid w:val="003B2FC8"/>
    <w:rsid w:val="003B4338"/>
    <w:rsid w:val="003B4C55"/>
    <w:rsid w:val="003C018D"/>
    <w:rsid w:val="003C139A"/>
    <w:rsid w:val="003C2186"/>
    <w:rsid w:val="003C2660"/>
    <w:rsid w:val="003C3395"/>
    <w:rsid w:val="003C7682"/>
    <w:rsid w:val="003D24E4"/>
    <w:rsid w:val="003D3D7F"/>
    <w:rsid w:val="003D6091"/>
    <w:rsid w:val="003D6706"/>
    <w:rsid w:val="003D6BE3"/>
    <w:rsid w:val="003E0549"/>
    <w:rsid w:val="003E3425"/>
    <w:rsid w:val="003E3A89"/>
    <w:rsid w:val="003E449E"/>
    <w:rsid w:val="003E5F97"/>
    <w:rsid w:val="003E715E"/>
    <w:rsid w:val="003E7F5B"/>
    <w:rsid w:val="003F366F"/>
    <w:rsid w:val="003F3A95"/>
    <w:rsid w:val="003F40C6"/>
    <w:rsid w:val="003F58AD"/>
    <w:rsid w:val="003F6F70"/>
    <w:rsid w:val="003F7A52"/>
    <w:rsid w:val="003F7A9C"/>
    <w:rsid w:val="003F7CD2"/>
    <w:rsid w:val="004002C3"/>
    <w:rsid w:val="004007BB"/>
    <w:rsid w:val="00403A70"/>
    <w:rsid w:val="00407C39"/>
    <w:rsid w:val="0041138D"/>
    <w:rsid w:val="00414F3B"/>
    <w:rsid w:val="004163FC"/>
    <w:rsid w:val="00417614"/>
    <w:rsid w:val="004233EC"/>
    <w:rsid w:val="00426170"/>
    <w:rsid w:val="004265B3"/>
    <w:rsid w:val="004275B4"/>
    <w:rsid w:val="00430990"/>
    <w:rsid w:val="0043236C"/>
    <w:rsid w:val="00433AE7"/>
    <w:rsid w:val="004342C5"/>
    <w:rsid w:val="00434823"/>
    <w:rsid w:val="004355CE"/>
    <w:rsid w:val="004363EA"/>
    <w:rsid w:val="00436455"/>
    <w:rsid w:val="0044080B"/>
    <w:rsid w:val="00441586"/>
    <w:rsid w:val="00442299"/>
    <w:rsid w:val="00443BA5"/>
    <w:rsid w:val="00443CE6"/>
    <w:rsid w:val="00447BB2"/>
    <w:rsid w:val="0045322F"/>
    <w:rsid w:val="00460CF4"/>
    <w:rsid w:val="0046278D"/>
    <w:rsid w:val="00462E8D"/>
    <w:rsid w:val="004661A9"/>
    <w:rsid w:val="00467905"/>
    <w:rsid w:val="004727F3"/>
    <w:rsid w:val="00475C74"/>
    <w:rsid w:val="00475DE0"/>
    <w:rsid w:val="0048090F"/>
    <w:rsid w:val="004816B5"/>
    <w:rsid w:val="004823EF"/>
    <w:rsid w:val="00482B8C"/>
    <w:rsid w:val="00484454"/>
    <w:rsid w:val="00487811"/>
    <w:rsid w:val="00490AD0"/>
    <w:rsid w:val="00492FA3"/>
    <w:rsid w:val="00494EFF"/>
    <w:rsid w:val="00496D2D"/>
    <w:rsid w:val="00497CFC"/>
    <w:rsid w:val="004A2AE6"/>
    <w:rsid w:val="004A55D1"/>
    <w:rsid w:val="004A5625"/>
    <w:rsid w:val="004A64E8"/>
    <w:rsid w:val="004B0076"/>
    <w:rsid w:val="004B22D5"/>
    <w:rsid w:val="004B4795"/>
    <w:rsid w:val="004C0B6F"/>
    <w:rsid w:val="004C429B"/>
    <w:rsid w:val="004D2039"/>
    <w:rsid w:val="004D4399"/>
    <w:rsid w:val="004D6280"/>
    <w:rsid w:val="004E0452"/>
    <w:rsid w:val="004E12EC"/>
    <w:rsid w:val="004E2444"/>
    <w:rsid w:val="004E2B0F"/>
    <w:rsid w:val="004E69EA"/>
    <w:rsid w:val="004F0F88"/>
    <w:rsid w:val="004F2AF0"/>
    <w:rsid w:val="004F6025"/>
    <w:rsid w:val="005004C9"/>
    <w:rsid w:val="0050143D"/>
    <w:rsid w:val="00502BE6"/>
    <w:rsid w:val="00502EF1"/>
    <w:rsid w:val="00503926"/>
    <w:rsid w:val="00504488"/>
    <w:rsid w:val="00513CBE"/>
    <w:rsid w:val="005169BC"/>
    <w:rsid w:val="0051739F"/>
    <w:rsid w:val="00517DD1"/>
    <w:rsid w:val="005239DA"/>
    <w:rsid w:val="00526A62"/>
    <w:rsid w:val="0053012B"/>
    <w:rsid w:val="005316A7"/>
    <w:rsid w:val="00534111"/>
    <w:rsid w:val="00534422"/>
    <w:rsid w:val="00534CC3"/>
    <w:rsid w:val="005358DD"/>
    <w:rsid w:val="00541E9F"/>
    <w:rsid w:val="00542CA1"/>
    <w:rsid w:val="00543640"/>
    <w:rsid w:val="00544CD1"/>
    <w:rsid w:val="00551091"/>
    <w:rsid w:val="005520A5"/>
    <w:rsid w:val="00553CFC"/>
    <w:rsid w:val="005544E1"/>
    <w:rsid w:val="00554764"/>
    <w:rsid w:val="00556303"/>
    <w:rsid w:val="005577CF"/>
    <w:rsid w:val="00561707"/>
    <w:rsid w:val="0056207B"/>
    <w:rsid w:val="00562D7B"/>
    <w:rsid w:val="00564F15"/>
    <w:rsid w:val="005675A5"/>
    <w:rsid w:val="0057014B"/>
    <w:rsid w:val="0057031A"/>
    <w:rsid w:val="0057112B"/>
    <w:rsid w:val="005712E2"/>
    <w:rsid w:val="00572527"/>
    <w:rsid w:val="0057746B"/>
    <w:rsid w:val="00577690"/>
    <w:rsid w:val="00581073"/>
    <w:rsid w:val="005824EB"/>
    <w:rsid w:val="00583A87"/>
    <w:rsid w:val="00583F4D"/>
    <w:rsid w:val="00585018"/>
    <w:rsid w:val="00586320"/>
    <w:rsid w:val="00586841"/>
    <w:rsid w:val="00587E8A"/>
    <w:rsid w:val="00590261"/>
    <w:rsid w:val="00591828"/>
    <w:rsid w:val="00594878"/>
    <w:rsid w:val="005A18D4"/>
    <w:rsid w:val="005A258A"/>
    <w:rsid w:val="005A2980"/>
    <w:rsid w:val="005A2B11"/>
    <w:rsid w:val="005A676D"/>
    <w:rsid w:val="005B54D1"/>
    <w:rsid w:val="005B5E9F"/>
    <w:rsid w:val="005C0010"/>
    <w:rsid w:val="005C025E"/>
    <w:rsid w:val="005C1928"/>
    <w:rsid w:val="005C2DF9"/>
    <w:rsid w:val="005C3DB2"/>
    <w:rsid w:val="005C4221"/>
    <w:rsid w:val="005C5E77"/>
    <w:rsid w:val="005D01F2"/>
    <w:rsid w:val="005D2252"/>
    <w:rsid w:val="005D3C5C"/>
    <w:rsid w:val="005D7BCF"/>
    <w:rsid w:val="005E4190"/>
    <w:rsid w:val="005E46EB"/>
    <w:rsid w:val="005E57FA"/>
    <w:rsid w:val="005E7F7D"/>
    <w:rsid w:val="005F580F"/>
    <w:rsid w:val="00600152"/>
    <w:rsid w:val="00602BD0"/>
    <w:rsid w:val="00602D84"/>
    <w:rsid w:val="00605787"/>
    <w:rsid w:val="006126EB"/>
    <w:rsid w:val="00613575"/>
    <w:rsid w:val="00613E46"/>
    <w:rsid w:val="0061413D"/>
    <w:rsid w:val="00614515"/>
    <w:rsid w:val="0061492D"/>
    <w:rsid w:val="00624D84"/>
    <w:rsid w:val="006254EB"/>
    <w:rsid w:val="006266D3"/>
    <w:rsid w:val="0063474E"/>
    <w:rsid w:val="00642D7F"/>
    <w:rsid w:val="0064316D"/>
    <w:rsid w:val="00647E4B"/>
    <w:rsid w:val="0065133E"/>
    <w:rsid w:val="00651FF2"/>
    <w:rsid w:val="0065556F"/>
    <w:rsid w:val="006600BC"/>
    <w:rsid w:val="0066121A"/>
    <w:rsid w:val="00661D9A"/>
    <w:rsid w:val="0066259C"/>
    <w:rsid w:val="00663BAA"/>
    <w:rsid w:val="00664259"/>
    <w:rsid w:val="00664C77"/>
    <w:rsid w:val="006659BA"/>
    <w:rsid w:val="0066748A"/>
    <w:rsid w:val="00671CF3"/>
    <w:rsid w:val="0067248C"/>
    <w:rsid w:val="00674F83"/>
    <w:rsid w:val="0067582E"/>
    <w:rsid w:val="00675C1F"/>
    <w:rsid w:val="00676F37"/>
    <w:rsid w:val="006817B8"/>
    <w:rsid w:val="0068467B"/>
    <w:rsid w:val="006872E1"/>
    <w:rsid w:val="0069104F"/>
    <w:rsid w:val="00691F92"/>
    <w:rsid w:val="00696A3A"/>
    <w:rsid w:val="006A76CE"/>
    <w:rsid w:val="006B44DF"/>
    <w:rsid w:val="006B7798"/>
    <w:rsid w:val="006B7CC3"/>
    <w:rsid w:val="006C005D"/>
    <w:rsid w:val="006C0307"/>
    <w:rsid w:val="006C287D"/>
    <w:rsid w:val="006C34BD"/>
    <w:rsid w:val="006C4696"/>
    <w:rsid w:val="006C4B9F"/>
    <w:rsid w:val="006C7E6B"/>
    <w:rsid w:val="006D0258"/>
    <w:rsid w:val="006D23D4"/>
    <w:rsid w:val="006D2CD5"/>
    <w:rsid w:val="006D3F22"/>
    <w:rsid w:val="006D3F7C"/>
    <w:rsid w:val="006D4A84"/>
    <w:rsid w:val="006D53E7"/>
    <w:rsid w:val="006D5FFC"/>
    <w:rsid w:val="006E08D0"/>
    <w:rsid w:val="006E22CF"/>
    <w:rsid w:val="006F0EB7"/>
    <w:rsid w:val="006F108F"/>
    <w:rsid w:val="006F216E"/>
    <w:rsid w:val="006F2E9E"/>
    <w:rsid w:val="006F666A"/>
    <w:rsid w:val="00701C8A"/>
    <w:rsid w:val="00704285"/>
    <w:rsid w:val="00705BBF"/>
    <w:rsid w:val="0071023B"/>
    <w:rsid w:val="00714C03"/>
    <w:rsid w:val="00715E1B"/>
    <w:rsid w:val="00720712"/>
    <w:rsid w:val="00724018"/>
    <w:rsid w:val="0072621E"/>
    <w:rsid w:val="00726ABE"/>
    <w:rsid w:val="00733191"/>
    <w:rsid w:val="007354E1"/>
    <w:rsid w:val="00745081"/>
    <w:rsid w:val="00745998"/>
    <w:rsid w:val="0074636A"/>
    <w:rsid w:val="00752806"/>
    <w:rsid w:val="00754618"/>
    <w:rsid w:val="00754C70"/>
    <w:rsid w:val="00756B04"/>
    <w:rsid w:val="00760CC8"/>
    <w:rsid w:val="00766BA2"/>
    <w:rsid w:val="0077133A"/>
    <w:rsid w:val="00773207"/>
    <w:rsid w:val="00775A1C"/>
    <w:rsid w:val="0077632A"/>
    <w:rsid w:val="007873E3"/>
    <w:rsid w:val="00790F58"/>
    <w:rsid w:val="00794F28"/>
    <w:rsid w:val="007956A0"/>
    <w:rsid w:val="0079570E"/>
    <w:rsid w:val="007962E0"/>
    <w:rsid w:val="00796688"/>
    <w:rsid w:val="00796C96"/>
    <w:rsid w:val="007A1483"/>
    <w:rsid w:val="007A4CDF"/>
    <w:rsid w:val="007A4EA2"/>
    <w:rsid w:val="007A62CB"/>
    <w:rsid w:val="007B0409"/>
    <w:rsid w:val="007B41CD"/>
    <w:rsid w:val="007B7761"/>
    <w:rsid w:val="007C4AC4"/>
    <w:rsid w:val="007C76E7"/>
    <w:rsid w:val="007D1886"/>
    <w:rsid w:val="007D20AA"/>
    <w:rsid w:val="007D2E0A"/>
    <w:rsid w:val="007D4643"/>
    <w:rsid w:val="007D4BC9"/>
    <w:rsid w:val="007D6220"/>
    <w:rsid w:val="007D6EEC"/>
    <w:rsid w:val="007E0C05"/>
    <w:rsid w:val="007E0C28"/>
    <w:rsid w:val="007E21D1"/>
    <w:rsid w:val="007E296E"/>
    <w:rsid w:val="007E3123"/>
    <w:rsid w:val="007E36F2"/>
    <w:rsid w:val="007E556E"/>
    <w:rsid w:val="007E6190"/>
    <w:rsid w:val="007E6A81"/>
    <w:rsid w:val="007E7165"/>
    <w:rsid w:val="007F28DA"/>
    <w:rsid w:val="007F3FB4"/>
    <w:rsid w:val="007F4CF9"/>
    <w:rsid w:val="00800BF4"/>
    <w:rsid w:val="008025F8"/>
    <w:rsid w:val="008044BE"/>
    <w:rsid w:val="0080458A"/>
    <w:rsid w:val="00804D95"/>
    <w:rsid w:val="0080607C"/>
    <w:rsid w:val="0080660C"/>
    <w:rsid w:val="00806D27"/>
    <w:rsid w:val="00807689"/>
    <w:rsid w:val="00807D4B"/>
    <w:rsid w:val="00811E6D"/>
    <w:rsid w:val="008124FE"/>
    <w:rsid w:val="008146FA"/>
    <w:rsid w:val="008150EA"/>
    <w:rsid w:val="00816983"/>
    <w:rsid w:val="008177E2"/>
    <w:rsid w:val="00817D7B"/>
    <w:rsid w:val="008223F7"/>
    <w:rsid w:val="008249BF"/>
    <w:rsid w:val="00825A23"/>
    <w:rsid w:val="00832567"/>
    <w:rsid w:val="00833687"/>
    <w:rsid w:val="00833FA7"/>
    <w:rsid w:val="00835936"/>
    <w:rsid w:val="008359C6"/>
    <w:rsid w:val="00843E62"/>
    <w:rsid w:val="00845997"/>
    <w:rsid w:val="00846D93"/>
    <w:rsid w:val="00847184"/>
    <w:rsid w:val="00847939"/>
    <w:rsid w:val="00852892"/>
    <w:rsid w:val="00853556"/>
    <w:rsid w:val="00853F00"/>
    <w:rsid w:val="00854EA4"/>
    <w:rsid w:val="008553F2"/>
    <w:rsid w:val="0085635F"/>
    <w:rsid w:val="00863B02"/>
    <w:rsid w:val="00863EA8"/>
    <w:rsid w:val="008673F5"/>
    <w:rsid w:val="008734BA"/>
    <w:rsid w:val="00874770"/>
    <w:rsid w:val="00876E73"/>
    <w:rsid w:val="0088072C"/>
    <w:rsid w:val="00885075"/>
    <w:rsid w:val="00885202"/>
    <w:rsid w:val="008925DF"/>
    <w:rsid w:val="00892607"/>
    <w:rsid w:val="00892A78"/>
    <w:rsid w:val="00894576"/>
    <w:rsid w:val="008A062E"/>
    <w:rsid w:val="008A07BD"/>
    <w:rsid w:val="008A313F"/>
    <w:rsid w:val="008A6254"/>
    <w:rsid w:val="008A62A7"/>
    <w:rsid w:val="008B0DED"/>
    <w:rsid w:val="008B2F2A"/>
    <w:rsid w:val="008B4B96"/>
    <w:rsid w:val="008B5E2E"/>
    <w:rsid w:val="008B6411"/>
    <w:rsid w:val="008B6985"/>
    <w:rsid w:val="008B7F7D"/>
    <w:rsid w:val="008C1A68"/>
    <w:rsid w:val="008C39E4"/>
    <w:rsid w:val="008C49CF"/>
    <w:rsid w:val="008C4C92"/>
    <w:rsid w:val="008C5827"/>
    <w:rsid w:val="008C5FE1"/>
    <w:rsid w:val="008C66FC"/>
    <w:rsid w:val="008C6AA8"/>
    <w:rsid w:val="008D2167"/>
    <w:rsid w:val="008D4241"/>
    <w:rsid w:val="008D44B9"/>
    <w:rsid w:val="008D7D60"/>
    <w:rsid w:val="008E00AC"/>
    <w:rsid w:val="008E11E9"/>
    <w:rsid w:val="008E20B4"/>
    <w:rsid w:val="008E3E3D"/>
    <w:rsid w:val="008E3EEC"/>
    <w:rsid w:val="008E4694"/>
    <w:rsid w:val="008E5416"/>
    <w:rsid w:val="008E66C6"/>
    <w:rsid w:val="008F1A8D"/>
    <w:rsid w:val="008F6060"/>
    <w:rsid w:val="008F620D"/>
    <w:rsid w:val="008F6467"/>
    <w:rsid w:val="009000E4"/>
    <w:rsid w:val="009014ED"/>
    <w:rsid w:val="00902687"/>
    <w:rsid w:val="00902AA5"/>
    <w:rsid w:val="00903252"/>
    <w:rsid w:val="00903C88"/>
    <w:rsid w:val="00903EA8"/>
    <w:rsid w:val="009054EE"/>
    <w:rsid w:val="00906860"/>
    <w:rsid w:val="00907319"/>
    <w:rsid w:val="009114EB"/>
    <w:rsid w:val="00913036"/>
    <w:rsid w:val="00915901"/>
    <w:rsid w:val="00916A41"/>
    <w:rsid w:val="00920D60"/>
    <w:rsid w:val="0092472B"/>
    <w:rsid w:val="00924C6D"/>
    <w:rsid w:val="00925C86"/>
    <w:rsid w:val="00925FDC"/>
    <w:rsid w:val="009273F6"/>
    <w:rsid w:val="00933217"/>
    <w:rsid w:val="00933AF8"/>
    <w:rsid w:val="00933F1F"/>
    <w:rsid w:val="009351CF"/>
    <w:rsid w:val="0093550B"/>
    <w:rsid w:val="00937653"/>
    <w:rsid w:val="009418C8"/>
    <w:rsid w:val="009422DD"/>
    <w:rsid w:val="00942D4C"/>
    <w:rsid w:val="0094371A"/>
    <w:rsid w:val="009444C9"/>
    <w:rsid w:val="00945363"/>
    <w:rsid w:val="009468BA"/>
    <w:rsid w:val="00954254"/>
    <w:rsid w:val="00962DFE"/>
    <w:rsid w:val="00963400"/>
    <w:rsid w:val="00965050"/>
    <w:rsid w:val="00971C07"/>
    <w:rsid w:val="00971D94"/>
    <w:rsid w:val="00972B36"/>
    <w:rsid w:val="0097500C"/>
    <w:rsid w:val="00975CEE"/>
    <w:rsid w:val="0097755B"/>
    <w:rsid w:val="00981584"/>
    <w:rsid w:val="0098297F"/>
    <w:rsid w:val="0098700E"/>
    <w:rsid w:val="00992F03"/>
    <w:rsid w:val="00993448"/>
    <w:rsid w:val="009939E6"/>
    <w:rsid w:val="00995C3F"/>
    <w:rsid w:val="00996515"/>
    <w:rsid w:val="00997655"/>
    <w:rsid w:val="009A0C8A"/>
    <w:rsid w:val="009A0E03"/>
    <w:rsid w:val="009A5EE8"/>
    <w:rsid w:val="009B1A41"/>
    <w:rsid w:val="009B7B7A"/>
    <w:rsid w:val="009C000C"/>
    <w:rsid w:val="009C05FB"/>
    <w:rsid w:val="009C1419"/>
    <w:rsid w:val="009D0493"/>
    <w:rsid w:val="009D0D89"/>
    <w:rsid w:val="009D3658"/>
    <w:rsid w:val="009D782D"/>
    <w:rsid w:val="009E56FA"/>
    <w:rsid w:val="009F192B"/>
    <w:rsid w:val="009F2B3F"/>
    <w:rsid w:val="009F3F92"/>
    <w:rsid w:val="009F4762"/>
    <w:rsid w:val="00A003D4"/>
    <w:rsid w:val="00A0137C"/>
    <w:rsid w:val="00A02BC4"/>
    <w:rsid w:val="00A03FC7"/>
    <w:rsid w:val="00A04B96"/>
    <w:rsid w:val="00A05392"/>
    <w:rsid w:val="00A068AB"/>
    <w:rsid w:val="00A11DF2"/>
    <w:rsid w:val="00A12863"/>
    <w:rsid w:val="00A12D29"/>
    <w:rsid w:val="00A171CD"/>
    <w:rsid w:val="00A171D5"/>
    <w:rsid w:val="00A2132A"/>
    <w:rsid w:val="00A22724"/>
    <w:rsid w:val="00A22AC1"/>
    <w:rsid w:val="00A236DD"/>
    <w:rsid w:val="00A25CDB"/>
    <w:rsid w:val="00A2762C"/>
    <w:rsid w:val="00A31097"/>
    <w:rsid w:val="00A31369"/>
    <w:rsid w:val="00A319C5"/>
    <w:rsid w:val="00A31CB4"/>
    <w:rsid w:val="00A35527"/>
    <w:rsid w:val="00A407E7"/>
    <w:rsid w:val="00A41124"/>
    <w:rsid w:val="00A4281F"/>
    <w:rsid w:val="00A43967"/>
    <w:rsid w:val="00A450D5"/>
    <w:rsid w:val="00A54DF6"/>
    <w:rsid w:val="00A56984"/>
    <w:rsid w:val="00A56F6E"/>
    <w:rsid w:val="00A60D1F"/>
    <w:rsid w:val="00A61ED2"/>
    <w:rsid w:val="00A624B3"/>
    <w:rsid w:val="00A6771C"/>
    <w:rsid w:val="00A724F1"/>
    <w:rsid w:val="00A738A7"/>
    <w:rsid w:val="00A73EB5"/>
    <w:rsid w:val="00A77618"/>
    <w:rsid w:val="00A77B0B"/>
    <w:rsid w:val="00A80237"/>
    <w:rsid w:val="00A821D9"/>
    <w:rsid w:val="00A847FB"/>
    <w:rsid w:val="00A87BC1"/>
    <w:rsid w:val="00A910F8"/>
    <w:rsid w:val="00A92EF5"/>
    <w:rsid w:val="00A942CD"/>
    <w:rsid w:val="00A95137"/>
    <w:rsid w:val="00A95738"/>
    <w:rsid w:val="00A9686B"/>
    <w:rsid w:val="00AA04CF"/>
    <w:rsid w:val="00AA42C0"/>
    <w:rsid w:val="00AA58E7"/>
    <w:rsid w:val="00AA5F49"/>
    <w:rsid w:val="00AA66B9"/>
    <w:rsid w:val="00AA795F"/>
    <w:rsid w:val="00AB0A22"/>
    <w:rsid w:val="00AB179B"/>
    <w:rsid w:val="00AB3175"/>
    <w:rsid w:val="00AB534C"/>
    <w:rsid w:val="00AB5523"/>
    <w:rsid w:val="00AB5856"/>
    <w:rsid w:val="00AB65DD"/>
    <w:rsid w:val="00AB65EC"/>
    <w:rsid w:val="00AB7DFE"/>
    <w:rsid w:val="00AC007D"/>
    <w:rsid w:val="00AC3BBF"/>
    <w:rsid w:val="00AC4BA3"/>
    <w:rsid w:val="00AD6CE2"/>
    <w:rsid w:val="00AD75E7"/>
    <w:rsid w:val="00AD7CDE"/>
    <w:rsid w:val="00AE1CF8"/>
    <w:rsid w:val="00AE2445"/>
    <w:rsid w:val="00AE3F8A"/>
    <w:rsid w:val="00AE7B4F"/>
    <w:rsid w:val="00AF15FA"/>
    <w:rsid w:val="00AF212B"/>
    <w:rsid w:val="00AF3C0C"/>
    <w:rsid w:val="00AF47B2"/>
    <w:rsid w:val="00AF5BC0"/>
    <w:rsid w:val="00AF7049"/>
    <w:rsid w:val="00AF71D2"/>
    <w:rsid w:val="00AF7418"/>
    <w:rsid w:val="00B03A8B"/>
    <w:rsid w:val="00B05698"/>
    <w:rsid w:val="00B059D0"/>
    <w:rsid w:val="00B13137"/>
    <w:rsid w:val="00B13579"/>
    <w:rsid w:val="00B139EC"/>
    <w:rsid w:val="00B16EC3"/>
    <w:rsid w:val="00B16ED2"/>
    <w:rsid w:val="00B1712D"/>
    <w:rsid w:val="00B209B7"/>
    <w:rsid w:val="00B218BC"/>
    <w:rsid w:val="00B22905"/>
    <w:rsid w:val="00B2377F"/>
    <w:rsid w:val="00B30480"/>
    <w:rsid w:val="00B327E4"/>
    <w:rsid w:val="00B42672"/>
    <w:rsid w:val="00B426AC"/>
    <w:rsid w:val="00B46F2F"/>
    <w:rsid w:val="00B47BB0"/>
    <w:rsid w:val="00B56B8F"/>
    <w:rsid w:val="00B631FC"/>
    <w:rsid w:val="00B764CD"/>
    <w:rsid w:val="00B77BD6"/>
    <w:rsid w:val="00B82C85"/>
    <w:rsid w:val="00B8600F"/>
    <w:rsid w:val="00B87957"/>
    <w:rsid w:val="00B90A08"/>
    <w:rsid w:val="00B92141"/>
    <w:rsid w:val="00B93730"/>
    <w:rsid w:val="00B9437C"/>
    <w:rsid w:val="00BA072D"/>
    <w:rsid w:val="00BA3F2B"/>
    <w:rsid w:val="00BB23C2"/>
    <w:rsid w:val="00BB2E10"/>
    <w:rsid w:val="00BB5283"/>
    <w:rsid w:val="00BC40D1"/>
    <w:rsid w:val="00BD0BDF"/>
    <w:rsid w:val="00BD410B"/>
    <w:rsid w:val="00BD7958"/>
    <w:rsid w:val="00BE2D99"/>
    <w:rsid w:val="00BE4032"/>
    <w:rsid w:val="00BE462A"/>
    <w:rsid w:val="00BE5A42"/>
    <w:rsid w:val="00BE7A0C"/>
    <w:rsid w:val="00BF477D"/>
    <w:rsid w:val="00BF5F6F"/>
    <w:rsid w:val="00C025E9"/>
    <w:rsid w:val="00C04E2F"/>
    <w:rsid w:val="00C058E7"/>
    <w:rsid w:val="00C075C9"/>
    <w:rsid w:val="00C168C1"/>
    <w:rsid w:val="00C22535"/>
    <w:rsid w:val="00C24AD3"/>
    <w:rsid w:val="00C300CF"/>
    <w:rsid w:val="00C30439"/>
    <w:rsid w:val="00C3430C"/>
    <w:rsid w:val="00C344B6"/>
    <w:rsid w:val="00C34E44"/>
    <w:rsid w:val="00C350E7"/>
    <w:rsid w:val="00C35103"/>
    <w:rsid w:val="00C41C6D"/>
    <w:rsid w:val="00C43C70"/>
    <w:rsid w:val="00C5182F"/>
    <w:rsid w:val="00C54883"/>
    <w:rsid w:val="00C6009E"/>
    <w:rsid w:val="00C6122B"/>
    <w:rsid w:val="00C62753"/>
    <w:rsid w:val="00C627AA"/>
    <w:rsid w:val="00C65155"/>
    <w:rsid w:val="00C65E7D"/>
    <w:rsid w:val="00C66847"/>
    <w:rsid w:val="00C737FA"/>
    <w:rsid w:val="00C77F81"/>
    <w:rsid w:val="00C809AD"/>
    <w:rsid w:val="00C85FD6"/>
    <w:rsid w:val="00C91A51"/>
    <w:rsid w:val="00C92686"/>
    <w:rsid w:val="00C954D1"/>
    <w:rsid w:val="00C9599B"/>
    <w:rsid w:val="00C959EC"/>
    <w:rsid w:val="00C95F2A"/>
    <w:rsid w:val="00C96183"/>
    <w:rsid w:val="00C976AD"/>
    <w:rsid w:val="00CA030D"/>
    <w:rsid w:val="00CA0547"/>
    <w:rsid w:val="00CA08A8"/>
    <w:rsid w:val="00CA0B50"/>
    <w:rsid w:val="00CA1AD6"/>
    <w:rsid w:val="00CA2BEB"/>
    <w:rsid w:val="00CA2C62"/>
    <w:rsid w:val="00CB0626"/>
    <w:rsid w:val="00CC28E7"/>
    <w:rsid w:val="00CC698A"/>
    <w:rsid w:val="00CD0751"/>
    <w:rsid w:val="00CD1E2B"/>
    <w:rsid w:val="00CD2E76"/>
    <w:rsid w:val="00CD7A43"/>
    <w:rsid w:val="00CE2F41"/>
    <w:rsid w:val="00CE4160"/>
    <w:rsid w:val="00CE501C"/>
    <w:rsid w:val="00CE7B92"/>
    <w:rsid w:val="00CE7F75"/>
    <w:rsid w:val="00CF1C7F"/>
    <w:rsid w:val="00CF32B5"/>
    <w:rsid w:val="00CF3EE0"/>
    <w:rsid w:val="00D0213E"/>
    <w:rsid w:val="00D0351E"/>
    <w:rsid w:val="00D054FB"/>
    <w:rsid w:val="00D11852"/>
    <w:rsid w:val="00D11F61"/>
    <w:rsid w:val="00D12ACB"/>
    <w:rsid w:val="00D13361"/>
    <w:rsid w:val="00D13B54"/>
    <w:rsid w:val="00D14521"/>
    <w:rsid w:val="00D16F83"/>
    <w:rsid w:val="00D17E90"/>
    <w:rsid w:val="00D23279"/>
    <w:rsid w:val="00D2505F"/>
    <w:rsid w:val="00D26905"/>
    <w:rsid w:val="00D30027"/>
    <w:rsid w:val="00D314C4"/>
    <w:rsid w:val="00D33989"/>
    <w:rsid w:val="00D36FB7"/>
    <w:rsid w:val="00D4088D"/>
    <w:rsid w:val="00D4106D"/>
    <w:rsid w:val="00D42393"/>
    <w:rsid w:val="00D43329"/>
    <w:rsid w:val="00D439E7"/>
    <w:rsid w:val="00D45ABD"/>
    <w:rsid w:val="00D45F70"/>
    <w:rsid w:val="00D4783C"/>
    <w:rsid w:val="00D47913"/>
    <w:rsid w:val="00D502CA"/>
    <w:rsid w:val="00D522F1"/>
    <w:rsid w:val="00D52DB1"/>
    <w:rsid w:val="00D6298A"/>
    <w:rsid w:val="00D73A92"/>
    <w:rsid w:val="00D74E17"/>
    <w:rsid w:val="00D75375"/>
    <w:rsid w:val="00D75E54"/>
    <w:rsid w:val="00D7659A"/>
    <w:rsid w:val="00D8256A"/>
    <w:rsid w:val="00D83A4C"/>
    <w:rsid w:val="00D86770"/>
    <w:rsid w:val="00D8738F"/>
    <w:rsid w:val="00D91DA5"/>
    <w:rsid w:val="00D920AD"/>
    <w:rsid w:val="00D940EF"/>
    <w:rsid w:val="00D95611"/>
    <w:rsid w:val="00DA0A8A"/>
    <w:rsid w:val="00DA5076"/>
    <w:rsid w:val="00DA682A"/>
    <w:rsid w:val="00DA7F53"/>
    <w:rsid w:val="00DB0401"/>
    <w:rsid w:val="00DB06BF"/>
    <w:rsid w:val="00DB12D1"/>
    <w:rsid w:val="00DB2A10"/>
    <w:rsid w:val="00DB437A"/>
    <w:rsid w:val="00DB7334"/>
    <w:rsid w:val="00DB7709"/>
    <w:rsid w:val="00DB7C1C"/>
    <w:rsid w:val="00DB7D13"/>
    <w:rsid w:val="00DC0534"/>
    <w:rsid w:val="00DC09FA"/>
    <w:rsid w:val="00DC5A64"/>
    <w:rsid w:val="00DC6754"/>
    <w:rsid w:val="00DC6AC2"/>
    <w:rsid w:val="00DC7531"/>
    <w:rsid w:val="00DC7DA4"/>
    <w:rsid w:val="00DD1D3A"/>
    <w:rsid w:val="00DD27B4"/>
    <w:rsid w:val="00DD5947"/>
    <w:rsid w:val="00DE2B91"/>
    <w:rsid w:val="00DF1555"/>
    <w:rsid w:val="00DF2659"/>
    <w:rsid w:val="00DF2D58"/>
    <w:rsid w:val="00DF5C75"/>
    <w:rsid w:val="00DF709D"/>
    <w:rsid w:val="00DF7683"/>
    <w:rsid w:val="00E00FD2"/>
    <w:rsid w:val="00E045B8"/>
    <w:rsid w:val="00E04B0E"/>
    <w:rsid w:val="00E077EF"/>
    <w:rsid w:val="00E10ACF"/>
    <w:rsid w:val="00E12643"/>
    <w:rsid w:val="00E12A4D"/>
    <w:rsid w:val="00E1327A"/>
    <w:rsid w:val="00E20981"/>
    <w:rsid w:val="00E216A0"/>
    <w:rsid w:val="00E24A7F"/>
    <w:rsid w:val="00E25D96"/>
    <w:rsid w:val="00E300FA"/>
    <w:rsid w:val="00E326B5"/>
    <w:rsid w:val="00E346BE"/>
    <w:rsid w:val="00E36C35"/>
    <w:rsid w:val="00E37403"/>
    <w:rsid w:val="00E37D49"/>
    <w:rsid w:val="00E40393"/>
    <w:rsid w:val="00E41FCF"/>
    <w:rsid w:val="00E42DAE"/>
    <w:rsid w:val="00E46A5E"/>
    <w:rsid w:val="00E518BA"/>
    <w:rsid w:val="00E55144"/>
    <w:rsid w:val="00E5541A"/>
    <w:rsid w:val="00E56F10"/>
    <w:rsid w:val="00E5777B"/>
    <w:rsid w:val="00E617DB"/>
    <w:rsid w:val="00E63E83"/>
    <w:rsid w:val="00E729D0"/>
    <w:rsid w:val="00E7609E"/>
    <w:rsid w:val="00E7642B"/>
    <w:rsid w:val="00E77962"/>
    <w:rsid w:val="00E8285E"/>
    <w:rsid w:val="00E83EAA"/>
    <w:rsid w:val="00E83EAD"/>
    <w:rsid w:val="00E847ED"/>
    <w:rsid w:val="00E8567C"/>
    <w:rsid w:val="00E920AF"/>
    <w:rsid w:val="00E93DE3"/>
    <w:rsid w:val="00E944F1"/>
    <w:rsid w:val="00E94541"/>
    <w:rsid w:val="00E963E1"/>
    <w:rsid w:val="00E969F0"/>
    <w:rsid w:val="00EA00E6"/>
    <w:rsid w:val="00EA1578"/>
    <w:rsid w:val="00EA21E2"/>
    <w:rsid w:val="00EA2618"/>
    <w:rsid w:val="00EA2F5D"/>
    <w:rsid w:val="00EA326E"/>
    <w:rsid w:val="00EB10E8"/>
    <w:rsid w:val="00EB1B5E"/>
    <w:rsid w:val="00EB345B"/>
    <w:rsid w:val="00EB428E"/>
    <w:rsid w:val="00EB6AFB"/>
    <w:rsid w:val="00EB769B"/>
    <w:rsid w:val="00EC13E3"/>
    <w:rsid w:val="00EC4D8C"/>
    <w:rsid w:val="00EC50FD"/>
    <w:rsid w:val="00ED17E8"/>
    <w:rsid w:val="00ED339C"/>
    <w:rsid w:val="00ED7CDE"/>
    <w:rsid w:val="00EE1085"/>
    <w:rsid w:val="00EE37CA"/>
    <w:rsid w:val="00EE3A21"/>
    <w:rsid w:val="00EE3B30"/>
    <w:rsid w:val="00EE5B43"/>
    <w:rsid w:val="00EE7148"/>
    <w:rsid w:val="00EE723B"/>
    <w:rsid w:val="00EF4D64"/>
    <w:rsid w:val="00EF74E1"/>
    <w:rsid w:val="00EF77EF"/>
    <w:rsid w:val="00F02F60"/>
    <w:rsid w:val="00F032C3"/>
    <w:rsid w:val="00F04387"/>
    <w:rsid w:val="00F05E4F"/>
    <w:rsid w:val="00F061E6"/>
    <w:rsid w:val="00F109FC"/>
    <w:rsid w:val="00F11DD7"/>
    <w:rsid w:val="00F12CC8"/>
    <w:rsid w:val="00F149BD"/>
    <w:rsid w:val="00F16C4E"/>
    <w:rsid w:val="00F16EC8"/>
    <w:rsid w:val="00F206BC"/>
    <w:rsid w:val="00F20C9A"/>
    <w:rsid w:val="00F20E43"/>
    <w:rsid w:val="00F24E07"/>
    <w:rsid w:val="00F2674D"/>
    <w:rsid w:val="00F27526"/>
    <w:rsid w:val="00F324F0"/>
    <w:rsid w:val="00F332C9"/>
    <w:rsid w:val="00F33706"/>
    <w:rsid w:val="00F36AD5"/>
    <w:rsid w:val="00F373F5"/>
    <w:rsid w:val="00F42222"/>
    <w:rsid w:val="00F425C6"/>
    <w:rsid w:val="00F42BCD"/>
    <w:rsid w:val="00F42BF7"/>
    <w:rsid w:val="00F43A57"/>
    <w:rsid w:val="00F4406B"/>
    <w:rsid w:val="00F44902"/>
    <w:rsid w:val="00F45AFD"/>
    <w:rsid w:val="00F514FA"/>
    <w:rsid w:val="00F51AD7"/>
    <w:rsid w:val="00F530ED"/>
    <w:rsid w:val="00F54EEE"/>
    <w:rsid w:val="00F57217"/>
    <w:rsid w:val="00F57B14"/>
    <w:rsid w:val="00F614E5"/>
    <w:rsid w:val="00F628C0"/>
    <w:rsid w:val="00F62A17"/>
    <w:rsid w:val="00F70655"/>
    <w:rsid w:val="00F73D35"/>
    <w:rsid w:val="00F80FDF"/>
    <w:rsid w:val="00F81412"/>
    <w:rsid w:val="00F8424C"/>
    <w:rsid w:val="00F84563"/>
    <w:rsid w:val="00F871CF"/>
    <w:rsid w:val="00F871FA"/>
    <w:rsid w:val="00F9190D"/>
    <w:rsid w:val="00F9261C"/>
    <w:rsid w:val="00F94A7A"/>
    <w:rsid w:val="00F95D8A"/>
    <w:rsid w:val="00F97459"/>
    <w:rsid w:val="00F97527"/>
    <w:rsid w:val="00FA14E3"/>
    <w:rsid w:val="00FA1CA0"/>
    <w:rsid w:val="00FA20BB"/>
    <w:rsid w:val="00FA5E50"/>
    <w:rsid w:val="00FB02D0"/>
    <w:rsid w:val="00FB0882"/>
    <w:rsid w:val="00FB2797"/>
    <w:rsid w:val="00FB45F9"/>
    <w:rsid w:val="00FC0161"/>
    <w:rsid w:val="00FC1057"/>
    <w:rsid w:val="00FC320E"/>
    <w:rsid w:val="00FC3A35"/>
    <w:rsid w:val="00FC4CDC"/>
    <w:rsid w:val="00FC5A2B"/>
    <w:rsid w:val="00FD083F"/>
    <w:rsid w:val="00FD2A3C"/>
    <w:rsid w:val="00FD51DF"/>
    <w:rsid w:val="00FD6DF0"/>
    <w:rsid w:val="00FD721D"/>
    <w:rsid w:val="00FE0763"/>
    <w:rsid w:val="00FE07BB"/>
    <w:rsid w:val="00FE3EDA"/>
    <w:rsid w:val="00FE4077"/>
    <w:rsid w:val="00FE40F0"/>
    <w:rsid w:val="00FE58D0"/>
    <w:rsid w:val="00FE69FA"/>
    <w:rsid w:val="00FF1598"/>
    <w:rsid w:val="00FF2FC4"/>
    <w:rsid w:val="00FF3BFB"/>
    <w:rsid w:val="00FF3CE8"/>
    <w:rsid w:val="00FF6140"/>
    <w:rsid w:val="00FF6849"/>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92C1A9"/>
  <w15:chartTrackingRefBased/>
  <w15:docId w15:val="{1DED0439-3A3B-43D0-9EF4-D09353241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7"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329"/>
    <w:pPr>
      <w:keepNext/>
      <w:keepLines/>
      <w:spacing w:before="240" w:after="0"/>
      <w:outlineLvl w:val="0"/>
    </w:pPr>
    <w:rPr>
      <w:rFonts w:asciiTheme="majorHAnsi" w:eastAsiaTheme="majorEastAsia" w:hAnsiTheme="majorHAnsi" w:cstheme="majorBidi"/>
      <w:b/>
      <w:bCs/>
      <w:color w:val="2F5496" w:themeColor="accent1" w:themeShade="BF"/>
      <w:sz w:val="32"/>
      <w:szCs w:val="32"/>
    </w:rPr>
  </w:style>
  <w:style w:type="paragraph" w:styleId="Heading2">
    <w:name w:val="heading 2"/>
    <w:basedOn w:val="Heading3"/>
    <w:next w:val="Normal"/>
    <w:link w:val="Heading2Char"/>
    <w:uiPriority w:val="9"/>
    <w:unhideWhenUsed/>
    <w:qFormat/>
    <w:rsid w:val="00D43329"/>
    <w:pPr>
      <w:spacing w:before="120" w:after="120"/>
      <w:outlineLvl w:val="1"/>
    </w:pPr>
    <w:rPr>
      <w:b/>
      <w:bCs/>
      <w:sz w:val="26"/>
      <w:szCs w:val="26"/>
    </w:rPr>
  </w:style>
  <w:style w:type="paragraph" w:styleId="Heading3">
    <w:name w:val="heading 3"/>
    <w:basedOn w:val="Normal"/>
    <w:next w:val="Normal"/>
    <w:link w:val="Heading3Char"/>
    <w:uiPriority w:val="9"/>
    <w:unhideWhenUsed/>
    <w:qFormat/>
    <w:rsid w:val="00D43329"/>
    <w:pPr>
      <w:keepNext/>
      <w:keepLines/>
      <w:spacing w:before="40" w:after="24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DC675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329"/>
    <w:rPr>
      <w:rFonts w:asciiTheme="majorHAnsi" w:eastAsiaTheme="majorEastAsia" w:hAnsiTheme="majorHAnsi" w:cstheme="majorBidi"/>
      <w:b/>
      <w:bCs/>
      <w:color w:val="2F5496" w:themeColor="accent1" w:themeShade="BF"/>
      <w:sz w:val="32"/>
      <w:szCs w:val="32"/>
    </w:rPr>
  </w:style>
  <w:style w:type="character" w:customStyle="1" w:styleId="Heading2Char">
    <w:name w:val="Heading 2 Char"/>
    <w:basedOn w:val="DefaultParagraphFont"/>
    <w:link w:val="Heading2"/>
    <w:uiPriority w:val="9"/>
    <w:rsid w:val="00D43329"/>
    <w:rPr>
      <w:rFonts w:asciiTheme="majorHAnsi" w:eastAsiaTheme="majorEastAsia" w:hAnsiTheme="majorHAnsi" w:cstheme="majorBidi"/>
      <w:b/>
      <w:bCs/>
      <w:color w:val="1F3763" w:themeColor="accent1" w:themeShade="7F"/>
      <w:sz w:val="26"/>
      <w:szCs w:val="26"/>
    </w:rPr>
  </w:style>
  <w:style w:type="character" w:customStyle="1" w:styleId="Heading3Char">
    <w:name w:val="Heading 3 Char"/>
    <w:basedOn w:val="DefaultParagraphFont"/>
    <w:link w:val="Heading3"/>
    <w:uiPriority w:val="9"/>
    <w:rsid w:val="00D43329"/>
    <w:rPr>
      <w:rFonts w:asciiTheme="majorHAnsi" w:eastAsiaTheme="majorEastAsia" w:hAnsiTheme="majorHAnsi" w:cstheme="majorBidi"/>
      <w:color w:val="1F3763" w:themeColor="accent1" w:themeShade="7F"/>
      <w:sz w:val="24"/>
      <w:szCs w:val="24"/>
    </w:rPr>
  </w:style>
  <w:style w:type="paragraph" w:styleId="ListParagraph">
    <w:name w:val="List Paragraph"/>
    <w:aliases w:val="List Paragraph1,List Paragraph11,Recommendation,First level bullet point,Level 3,List Paragraph numbered,List Bullet indent"/>
    <w:basedOn w:val="Normal"/>
    <w:link w:val="ListParagraphChar"/>
    <w:uiPriority w:val="34"/>
    <w:qFormat/>
    <w:rsid w:val="00D43329"/>
    <w:pPr>
      <w:ind w:left="720"/>
      <w:contextualSpacing/>
    </w:pPr>
  </w:style>
  <w:style w:type="paragraph" w:styleId="CommentText">
    <w:name w:val="annotation text"/>
    <w:basedOn w:val="Normal"/>
    <w:link w:val="CommentTextChar"/>
    <w:uiPriority w:val="99"/>
    <w:unhideWhenUsed/>
    <w:rsid w:val="00D43329"/>
    <w:pPr>
      <w:spacing w:line="240" w:lineRule="auto"/>
    </w:pPr>
    <w:rPr>
      <w:sz w:val="20"/>
      <w:szCs w:val="20"/>
    </w:rPr>
  </w:style>
  <w:style w:type="character" w:customStyle="1" w:styleId="CommentTextChar">
    <w:name w:val="Comment Text Char"/>
    <w:basedOn w:val="DefaultParagraphFont"/>
    <w:link w:val="CommentText"/>
    <w:uiPriority w:val="99"/>
    <w:rsid w:val="00D43329"/>
    <w:rPr>
      <w:sz w:val="20"/>
      <w:szCs w:val="20"/>
    </w:rPr>
  </w:style>
  <w:style w:type="character" w:styleId="CommentReference">
    <w:name w:val="annotation reference"/>
    <w:basedOn w:val="DefaultParagraphFont"/>
    <w:uiPriority w:val="99"/>
    <w:semiHidden/>
    <w:unhideWhenUsed/>
    <w:rsid w:val="00D43329"/>
    <w:rPr>
      <w:sz w:val="16"/>
      <w:szCs w:val="16"/>
    </w:rPr>
  </w:style>
  <w:style w:type="character" w:styleId="Hyperlink">
    <w:name w:val="Hyperlink"/>
    <w:basedOn w:val="DefaultParagraphFont"/>
    <w:uiPriority w:val="99"/>
    <w:unhideWhenUsed/>
    <w:rsid w:val="00D43329"/>
    <w:rPr>
      <w:color w:val="0563C1" w:themeColor="hyperlink"/>
      <w:u w:val="single"/>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5_"/>
    <w:basedOn w:val="Normal"/>
    <w:link w:val="FootnoteTextChar"/>
    <w:uiPriority w:val="7"/>
    <w:unhideWhenUsed/>
    <w:qFormat/>
    <w:rsid w:val="00D43329"/>
    <w:pPr>
      <w:spacing w:after="0" w:line="240" w:lineRule="auto"/>
      <w:ind w:left="357" w:hanging="357"/>
      <w:jc w:val="both"/>
    </w:pPr>
    <w:rPr>
      <w:rFonts w:ascii="Calibri" w:hAnsi="Calibri" w:cs="Calibri"/>
      <w:sz w:val="20"/>
      <w:szCs w:val="20"/>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 Char Char,FA Fu Char"/>
    <w:basedOn w:val="DefaultParagraphFont"/>
    <w:link w:val="FootnoteText"/>
    <w:uiPriority w:val="7"/>
    <w:rsid w:val="00D43329"/>
    <w:rPr>
      <w:rFonts w:ascii="Calibri" w:hAnsi="Calibri" w:cs="Calibri"/>
      <w:sz w:val="20"/>
      <w:szCs w:val="20"/>
    </w:rPr>
  </w:style>
  <w:style w:type="character" w:styleId="FootnoteReference">
    <w:name w:val="footnote reference"/>
    <w:aliases w:val="4_G,Footnote Refernece,Footnote number,Footnotes refss,16 Point,Superscript 6 Point,ftref,referencia nota al pie,BVI fnr,4_Footnote text,Footnote text,Appel note de bas de p.,callout,nota pié di pagina,Fußnotenzeichen DISS,Footnote,Re"/>
    <w:basedOn w:val="DefaultParagraphFont"/>
    <w:link w:val="4GCharCharChar"/>
    <w:uiPriority w:val="7"/>
    <w:unhideWhenUsed/>
    <w:qFormat/>
    <w:rsid w:val="00D43329"/>
    <w:rPr>
      <w:vertAlign w:val="superscript"/>
    </w:rPr>
  </w:style>
  <w:style w:type="character" w:customStyle="1" w:styleId="ListParagraphChar">
    <w:name w:val="List Paragraph Char"/>
    <w:aliases w:val="List Paragraph1 Char,List Paragraph11 Char,Recommendation Char,First level bullet point Char,Level 3 Char,List Paragraph numbered Char,List Bullet indent Char"/>
    <w:link w:val="ListParagraph"/>
    <w:uiPriority w:val="34"/>
    <w:locked/>
    <w:rsid w:val="00D43329"/>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7"/>
    <w:rsid w:val="00D43329"/>
    <w:pPr>
      <w:spacing w:line="240" w:lineRule="exact"/>
      <w:jc w:val="both"/>
    </w:pPr>
    <w:rPr>
      <w:vertAlign w:val="superscript"/>
    </w:rPr>
  </w:style>
  <w:style w:type="paragraph" w:styleId="Footer">
    <w:name w:val="footer"/>
    <w:basedOn w:val="Normal"/>
    <w:link w:val="FooterChar"/>
    <w:uiPriority w:val="99"/>
    <w:unhideWhenUsed/>
    <w:rsid w:val="00D4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3329"/>
  </w:style>
  <w:style w:type="character" w:customStyle="1" w:styleId="normaltextrun">
    <w:name w:val="normaltextrun"/>
    <w:basedOn w:val="DefaultParagraphFont"/>
    <w:rsid w:val="00D43329"/>
  </w:style>
  <w:style w:type="character" w:styleId="Mention">
    <w:name w:val="Mention"/>
    <w:basedOn w:val="DefaultParagraphFont"/>
    <w:uiPriority w:val="99"/>
    <w:unhideWhenUsed/>
    <w:rsid w:val="00D43329"/>
    <w:rPr>
      <w:color w:val="2B579A"/>
      <w:shd w:val="clear" w:color="auto" w:fill="E1DFDD"/>
    </w:rPr>
  </w:style>
  <w:style w:type="character" w:styleId="FollowedHyperlink">
    <w:name w:val="FollowedHyperlink"/>
    <w:basedOn w:val="DefaultParagraphFont"/>
    <w:uiPriority w:val="99"/>
    <w:semiHidden/>
    <w:unhideWhenUsed/>
    <w:rsid w:val="000D2708"/>
    <w:rPr>
      <w:color w:val="954F72" w:themeColor="followedHyperlink"/>
      <w:u w:val="single"/>
    </w:rPr>
  </w:style>
  <w:style w:type="character" w:customStyle="1" w:styleId="Heading5Char">
    <w:name w:val="Heading 5 Char"/>
    <w:basedOn w:val="DefaultParagraphFont"/>
    <w:link w:val="Heading5"/>
    <w:uiPriority w:val="9"/>
    <w:semiHidden/>
    <w:rsid w:val="00DC6754"/>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2307FC"/>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BE4032"/>
    <w:rPr>
      <w:color w:val="605E5C"/>
      <w:shd w:val="clear" w:color="auto" w:fill="E1DFDD"/>
    </w:rPr>
  </w:style>
  <w:style w:type="paragraph" w:customStyle="1" w:styleId="H23G">
    <w:name w:val="_ H_2/3_G"/>
    <w:basedOn w:val="Normal"/>
    <w:next w:val="Normal"/>
    <w:qFormat/>
    <w:rsid w:val="005004C9"/>
    <w:pPr>
      <w:keepNext/>
      <w:keepLines/>
      <w:tabs>
        <w:tab w:val="right" w:pos="851"/>
      </w:tabs>
      <w:spacing w:before="240" w:after="120" w:line="240" w:lineRule="exact"/>
      <w:ind w:left="1134" w:right="1134" w:hanging="1134"/>
    </w:pPr>
    <w:rPr>
      <w:rFonts w:ascii="Times New Roman" w:eastAsia="SimSun" w:hAnsi="Times New Roman" w:cs="Times New Roman"/>
      <w:b/>
      <w:sz w:val="20"/>
      <w:szCs w:val="20"/>
      <w:lang w:val="en-GB" w:eastAsia="zh-CN"/>
    </w:rPr>
  </w:style>
  <w:style w:type="table" w:styleId="TableGrid">
    <w:name w:val="Table Grid"/>
    <w:basedOn w:val="TableNormal"/>
    <w:uiPriority w:val="39"/>
    <w:rsid w:val="005004C9"/>
    <w:pPr>
      <w:suppressAutoHyphens/>
      <w:spacing w:after="0" w:line="240" w:lineRule="atLeast"/>
    </w:pPr>
    <w:rPr>
      <w:rFonts w:ascii="Times New Roman" w:eastAsia="Times New Roman" w:hAnsi="Times New Roman" w:cs="Times New Roman"/>
      <w:sz w:val="20"/>
      <w:szCs w:val="20"/>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1">
    <w:name w:val="Number 1"/>
    <w:basedOn w:val="Normal"/>
    <w:uiPriority w:val="5"/>
    <w:rsid w:val="00C959EC"/>
    <w:pPr>
      <w:numPr>
        <w:numId w:val="11"/>
      </w:numPr>
      <w:spacing w:line="300" w:lineRule="atLeast"/>
    </w:pPr>
    <w:rPr>
      <w:rFonts w:ascii="Calibri" w:hAnsi="Calibri"/>
      <w:color w:val="1E1E1E"/>
      <w:sz w:val="24"/>
    </w:rPr>
  </w:style>
  <w:style w:type="paragraph" w:customStyle="1" w:styleId="Number2">
    <w:name w:val="Number 2"/>
    <w:basedOn w:val="Normal"/>
    <w:uiPriority w:val="5"/>
    <w:rsid w:val="00C959EC"/>
    <w:pPr>
      <w:numPr>
        <w:ilvl w:val="1"/>
        <w:numId w:val="11"/>
      </w:numPr>
      <w:spacing w:line="300" w:lineRule="atLeast"/>
    </w:pPr>
    <w:rPr>
      <w:rFonts w:ascii="Calibri" w:hAnsi="Calibri"/>
      <w:color w:val="1E1E1E"/>
      <w:sz w:val="24"/>
    </w:rPr>
  </w:style>
  <w:style w:type="paragraph" w:customStyle="1" w:styleId="Number3">
    <w:name w:val="Number 3"/>
    <w:basedOn w:val="Normal"/>
    <w:uiPriority w:val="5"/>
    <w:rsid w:val="00C959EC"/>
    <w:pPr>
      <w:numPr>
        <w:ilvl w:val="2"/>
        <w:numId w:val="11"/>
      </w:numPr>
      <w:spacing w:line="300" w:lineRule="atLeast"/>
    </w:pPr>
    <w:rPr>
      <w:rFonts w:ascii="Calibri" w:hAnsi="Calibri"/>
      <w:color w:val="1E1E1E"/>
      <w:sz w:val="24"/>
    </w:rPr>
  </w:style>
  <w:style w:type="character" w:customStyle="1" w:styleId="eop">
    <w:name w:val="eop"/>
    <w:basedOn w:val="DefaultParagraphFont"/>
    <w:rsid w:val="005B5E9F"/>
  </w:style>
  <w:style w:type="paragraph" w:customStyle="1" w:styleId="Tableheadingrow1">
    <w:name w:val="Table heading row 1"/>
    <w:basedOn w:val="Normal"/>
    <w:uiPriority w:val="1"/>
    <w:rsid w:val="00A77618"/>
    <w:pPr>
      <w:keepNext/>
      <w:spacing w:before="60" w:after="60" w:line="240" w:lineRule="auto"/>
    </w:pPr>
    <w:rPr>
      <w:rFonts w:ascii="Calibri" w:hAnsi="Calibri"/>
      <w:color w:val="FFFFFF" w:themeColor="background1"/>
      <w:sz w:val="24"/>
    </w:rPr>
  </w:style>
  <w:style w:type="paragraph" w:customStyle="1" w:styleId="Tablesinglespacedparagraph">
    <w:name w:val="Table single spaced paragraph"/>
    <w:basedOn w:val="BodyText"/>
    <w:uiPriority w:val="2"/>
    <w:rsid w:val="00A77618"/>
    <w:pPr>
      <w:spacing w:before="40" w:after="40" w:line="300" w:lineRule="atLeast"/>
    </w:pPr>
    <w:rPr>
      <w:rFonts w:ascii="Calibri" w:hAnsi="Calibri"/>
      <w:color w:val="1E1E1E"/>
    </w:rPr>
  </w:style>
  <w:style w:type="table" w:customStyle="1" w:styleId="TableGridSOI">
    <w:name w:val="Table Grid (SOI)"/>
    <w:basedOn w:val="TableNormal"/>
    <w:uiPriority w:val="99"/>
    <w:rsid w:val="00A77618"/>
    <w:pPr>
      <w:spacing w:after="0" w:line="240" w:lineRule="auto"/>
    </w:pPr>
    <w:tblPr>
      <w:tblStyleRowBandSize w:val="1"/>
      <w:tblStyleColBandSize w:val="1"/>
      <w:tblInd w:w="0" w:type="nil"/>
    </w:tblPr>
    <w:tblStylePr w:type="firstRow">
      <w:rPr>
        <w:sz w:val="22"/>
        <w:szCs w:val="22"/>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l2br w:val="nil"/>
          <w:tr2bl w:val="nil"/>
        </w:tcBorders>
        <w:shd w:val="clear" w:color="auto" w:fill="2BB673"/>
      </w:tcPr>
    </w:tblStylePr>
    <w:tblStylePr w:type="lastRow">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BFBFBF"/>
      </w:tcPr>
    </w:tblStylePr>
    <w:tblStylePr w:type="firstCol">
      <w:tblPr/>
      <w:tcPr>
        <w:tcBorders>
          <w:top w:val="nil"/>
          <w:left w:val="single" w:sz="8" w:space="0" w:color="FFFFFF" w:themeColor="background1"/>
          <w:bottom w:val="single" w:sz="8" w:space="0" w:color="FFFFFF" w:themeColor="background1"/>
          <w:right w:val="nil"/>
          <w:insideH w:val="nil"/>
          <w:insideV w:val="nil"/>
          <w:tl2br w:val="nil"/>
          <w:tr2bl w:val="nil"/>
        </w:tcBorders>
        <w:shd w:val="clear" w:color="auto" w:fill="BFBFBF"/>
      </w:tcPr>
    </w:tblStylePr>
    <w:tblStylePr w:type="lastCol">
      <w:tblPr/>
      <w:tcPr>
        <w:tcBorders>
          <w:top w:val="nil"/>
          <w:left w:val="single" w:sz="8" w:space="0" w:color="FFFFFF" w:themeColor="background1"/>
          <w:bottom w:val="single" w:sz="8" w:space="0" w:color="FFFFFF" w:themeColor="background1"/>
          <w:right w:val="single" w:sz="8" w:space="0" w:color="FFFFFF" w:themeColor="background1"/>
          <w:insideH w:val="nil"/>
          <w:insideV w:val="nil"/>
          <w:tl2br w:val="nil"/>
          <w:tr2bl w:val="nil"/>
        </w:tcBorders>
        <w:shd w:val="clear" w:color="auto" w:fill="BFBFBF"/>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l2br w:val="nil"/>
          <w:tr2bl w:val="nil"/>
        </w:tcBorders>
        <w:shd w:val="clear" w:color="auto" w:fill="E9E9E9"/>
      </w:tcPr>
    </w:tblStylePr>
    <w:tblStylePr w:type="band2Vert">
      <w:tblPr/>
      <w:tcPr>
        <w:tcBorders>
          <w:top w:val="single" w:sz="8" w:space="0" w:color="FFFFFF" w:themeColor="background1"/>
          <w:left w:val="nil"/>
          <w:bottom w:val="nil"/>
          <w:right w:val="nil"/>
          <w:insideH w:val="nil"/>
          <w:insideV w:val="nil"/>
          <w:tl2br w:val="nil"/>
          <w:tr2bl w:val="nil"/>
        </w:tcBorders>
        <w:shd w:val="clear" w:color="auto" w:fill="E9E9E9"/>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E9E9E9"/>
      </w:tcPr>
    </w:tblStylePr>
    <w:tblStylePr w:type="band2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E9E9E9"/>
      </w:tcPr>
    </w:tblStylePr>
  </w:style>
  <w:style w:type="paragraph" w:styleId="BodyText">
    <w:name w:val="Body Text"/>
    <w:basedOn w:val="Normal"/>
    <w:link w:val="BodyTextChar"/>
    <w:uiPriority w:val="99"/>
    <w:semiHidden/>
    <w:unhideWhenUsed/>
    <w:rsid w:val="00A77618"/>
    <w:pPr>
      <w:spacing w:after="120"/>
    </w:pPr>
  </w:style>
  <w:style w:type="character" w:customStyle="1" w:styleId="BodyTextChar">
    <w:name w:val="Body Text Char"/>
    <w:basedOn w:val="DefaultParagraphFont"/>
    <w:link w:val="BodyText"/>
    <w:uiPriority w:val="99"/>
    <w:semiHidden/>
    <w:rsid w:val="00A77618"/>
  </w:style>
  <w:style w:type="paragraph" w:styleId="Header">
    <w:name w:val="header"/>
    <w:basedOn w:val="Normal"/>
    <w:link w:val="HeaderChar"/>
    <w:uiPriority w:val="99"/>
    <w:unhideWhenUsed/>
    <w:rsid w:val="00AB55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523"/>
  </w:style>
  <w:style w:type="paragraph" w:styleId="TOCHeading">
    <w:name w:val="TOC Heading"/>
    <w:basedOn w:val="Heading1"/>
    <w:next w:val="Normal"/>
    <w:uiPriority w:val="39"/>
    <w:unhideWhenUsed/>
    <w:qFormat/>
    <w:rsid w:val="00D16F83"/>
    <w:pPr>
      <w:outlineLvl w:val="9"/>
    </w:pPr>
    <w:rPr>
      <w:b w:val="0"/>
      <w:bCs w:val="0"/>
      <w:lang w:val="en-US"/>
    </w:rPr>
  </w:style>
  <w:style w:type="paragraph" w:styleId="TOC1">
    <w:name w:val="toc 1"/>
    <w:basedOn w:val="Normal"/>
    <w:next w:val="Normal"/>
    <w:autoRedefine/>
    <w:uiPriority w:val="39"/>
    <w:unhideWhenUsed/>
    <w:rsid w:val="00D16F83"/>
    <w:pPr>
      <w:spacing w:after="100"/>
    </w:pPr>
  </w:style>
  <w:style w:type="paragraph" w:styleId="TOC2">
    <w:name w:val="toc 2"/>
    <w:basedOn w:val="Normal"/>
    <w:next w:val="Normal"/>
    <w:autoRedefine/>
    <w:uiPriority w:val="39"/>
    <w:unhideWhenUsed/>
    <w:rsid w:val="00D16F83"/>
    <w:pPr>
      <w:spacing w:after="100"/>
      <w:ind w:left="220"/>
    </w:pPr>
  </w:style>
  <w:style w:type="paragraph" w:styleId="TOC3">
    <w:name w:val="toc 3"/>
    <w:basedOn w:val="Normal"/>
    <w:next w:val="Normal"/>
    <w:autoRedefine/>
    <w:uiPriority w:val="39"/>
    <w:unhideWhenUsed/>
    <w:rsid w:val="00D16F83"/>
    <w:pPr>
      <w:spacing w:after="100"/>
      <w:ind w:left="440"/>
    </w:pPr>
  </w:style>
  <w:style w:type="paragraph" w:styleId="CommentSubject">
    <w:name w:val="annotation subject"/>
    <w:basedOn w:val="CommentText"/>
    <w:next w:val="CommentText"/>
    <w:link w:val="CommentSubjectChar"/>
    <w:uiPriority w:val="99"/>
    <w:semiHidden/>
    <w:unhideWhenUsed/>
    <w:rsid w:val="00E20981"/>
    <w:rPr>
      <w:b/>
      <w:bCs/>
    </w:rPr>
  </w:style>
  <w:style w:type="character" w:customStyle="1" w:styleId="CommentSubjectChar">
    <w:name w:val="Comment Subject Char"/>
    <w:basedOn w:val="CommentTextChar"/>
    <w:link w:val="CommentSubject"/>
    <w:uiPriority w:val="99"/>
    <w:semiHidden/>
    <w:rsid w:val="00E20981"/>
    <w:rPr>
      <w:b/>
      <w:bCs/>
      <w:sz w:val="20"/>
      <w:szCs w:val="20"/>
    </w:rPr>
  </w:style>
  <w:style w:type="paragraph" w:customStyle="1" w:styleId="paragraph">
    <w:name w:val="paragraph"/>
    <w:basedOn w:val="Normal"/>
    <w:rsid w:val="002B31B9"/>
    <w:pPr>
      <w:spacing w:before="100" w:beforeAutospacing="1" w:after="100" w:afterAutospacing="1" w:line="240" w:lineRule="auto"/>
    </w:pPr>
    <w:rPr>
      <w:rFonts w:ascii="Times New Roman" w:eastAsia="Times New Roman" w:hAnsi="Times New Roman" w:cs="Times New Roman"/>
      <w:sz w:val="24"/>
      <w:szCs w:val="24"/>
      <w:lang w:eastAsia="en-NZ"/>
    </w:rPr>
  </w:style>
  <w:style w:type="paragraph" w:styleId="Revision">
    <w:name w:val="Revision"/>
    <w:hidden/>
    <w:uiPriority w:val="99"/>
    <w:semiHidden/>
    <w:rsid w:val="00FD08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20236">
      <w:bodyDiv w:val="1"/>
      <w:marLeft w:val="0"/>
      <w:marRight w:val="0"/>
      <w:marTop w:val="0"/>
      <w:marBottom w:val="0"/>
      <w:divBdr>
        <w:top w:val="none" w:sz="0" w:space="0" w:color="auto"/>
        <w:left w:val="none" w:sz="0" w:space="0" w:color="auto"/>
        <w:bottom w:val="none" w:sz="0" w:space="0" w:color="auto"/>
        <w:right w:val="none" w:sz="0" w:space="0" w:color="auto"/>
      </w:divBdr>
    </w:div>
    <w:div w:id="205140033">
      <w:bodyDiv w:val="1"/>
      <w:marLeft w:val="0"/>
      <w:marRight w:val="0"/>
      <w:marTop w:val="0"/>
      <w:marBottom w:val="0"/>
      <w:divBdr>
        <w:top w:val="none" w:sz="0" w:space="0" w:color="auto"/>
        <w:left w:val="none" w:sz="0" w:space="0" w:color="auto"/>
        <w:bottom w:val="none" w:sz="0" w:space="0" w:color="auto"/>
        <w:right w:val="none" w:sz="0" w:space="0" w:color="auto"/>
      </w:divBdr>
    </w:div>
    <w:div w:id="213084324">
      <w:bodyDiv w:val="1"/>
      <w:marLeft w:val="0"/>
      <w:marRight w:val="0"/>
      <w:marTop w:val="0"/>
      <w:marBottom w:val="0"/>
      <w:divBdr>
        <w:top w:val="none" w:sz="0" w:space="0" w:color="auto"/>
        <w:left w:val="none" w:sz="0" w:space="0" w:color="auto"/>
        <w:bottom w:val="none" w:sz="0" w:space="0" w:color="auto"/>
        <w:right w:val="none" w:sz="0" w:space="0" w:color="auto"/>
      </w:divBdr>
    </w:div>
    <w:div w:id="277151896">
      <w:bodyDiv w:val="1"/>
      <w:marLeft w:val="0"/>
      <w:marRight w:val="0"/>
      <w:marTop w:val="0"/>
      <w:marBottom w:val="0"/>
      <w:divBdr>
        <w:top w:val="none" w:sz="0" w:space="0" w:color="auto"/>
        <w:left w:val="none" w:sz="0" w:space="0" w:color="auto"/>
        <w:bottom w:val="none" w:sz="0" w:space="0" w:color="auto"/>
        <w:right w:val="none" w:sz="0" w:space="0" w:color="auto"/>
      </w:divBdr>
    </w:div>
    <w:div w:id="357315373">
      <w:bodyDiv w:val="1"/>
      <w:marLeft w:val="0"/>
      <w:marRight w:val="0"/>
      <w:marTop w:val="0"/>
      <w:marBottom w:val="0"/>
      <w:divBdr>
        <w:top w:val="none" w:sz="0" w:space="0" w:color="auto"/>
        <w:left w:val="none" w:sz="0" w:space="0" w:color="auto"/>
        <w:bottom w:val="none" w:sz="0" w:space="0" w:color="auto"/>
        <w:right w:val="none" w:sz="0" w:space="0" w:color="auto"/>
      </w:divBdr>
    </w:div>
    <w:div w:id="457770901">
      <w:bodyDiv w:val="1"/>
      <w:marLeft w:val="0"/>
      <w:marRight w:val="0"/>
      <w:marTop w:val="0"/>
      <w:marBottom w:val="0"/>
      <w:divBdr>
        <w:top w:val="none" w:sz="0" w:space="0" w:color="auto"/>
        <w:left w:val="none" w:sz="0" w:space="0" w:color="auto"/>
        <w:bottom w:val="none" w:sz="0" w:space="0" w:color="auto"/>
        <w:right w:val="none" w:sz="0" w:space="0" w:color="auto"/>
      </w:divBdr>
    </w:div>
    <w:div w:id="471023322">
      <w:bodyDiv w:val="1"/>
      <w:marLeft w:val="0"/>
      <w:marRight w:val="0"/>
      <w:marTop w:val="0"/>
      <w:marBottom w:val="0"/>
      <w:divBdr>
        <w:top w:val="none" w:sz="0" w:space="0" w:color="auto"/>
        <w:left w:val="none" w:sz="0" w:space="0" w:color="auto"/>
        <w:bottom w:val="none" w:sz="0" w:space="0" w:color="auto"/>
        <w:right w:val="none" w:sz="0" w:space="0" w:color="auto"/>
      </w:divBdr>
    </w:div>
    <w:div w:id="519586992">
      <w:bodyDiv w:val="1"/>
      <w:marLeft w:val="0"/>
      <w:marRight w:val="0"/>
      <w:marTop w:val="0"/>
      <w:marBottom w:val="0"/>
      <w:divBdr>
        <w:top w:val="none" w:sz="0" w:space="0" w:color="auto"/>
        <w:left w:val="none" w:sz="0" w:space="0" w:color="auto"/>
        <w:bottom w:val="none" w:sz="0" w:space="0" w:color="auto"/>
        <w:right w:val="none" w:sz="0" w:space="0" w:color="auto"/>
      </w:divBdr>
    </w:div>
    <w:div w:id="761805725">
      <w:bodyDiv w:val="1"/>
      <w:marLeft w:val="0"/>
      <w:marRight w:val="0"/>
      <w:marTop w:val="0"/>
      <w:marBottom w:val="0"/>
      <w:divBdr>
        <w:top w:val="none" w:sz="0" w:space="0" w:color="auto"/>
        <w:left w:val="none" w:sz="0" w:space="0" w:color="auto"/>
        <w:bottom w:val="none" w:sz="0" w:space="0" w:color="auto"/>
        <w:right w:val="none" w:sz="0" w:space="0" w:color="auto"/>
      </w:divBdr>
    </w:div>
    <w:div w:id="819543510">
      <w:bodyDiv w:val="1"/>
      <w:marLeft w:val="0"/>
      <w:marRight w:val="0"/>
      <w:marTop w:val="0"/>
      <w:marBottom w:val="0"/>
      <w:divBdr>
        <w:top w:val="none" w:sz="0" w:space="0" w:color="auto"/>
        <w:left w:val="none" w:sz="0" w:space="0" w:color="auto"/>
        <w:bottom w:val="none" w:sz="0" w:space="0" w:color="auto"/>
        <w:right w:val="none" w:sz="0" w:space="0" w:color="auto"/>
      </w:divBdr>
    </w:div>
    <w:div w:id="837497339">
      <w:bodyDiv w:val="1"/>
      <w:marLeft w:val="0"/>
      <w:marRight w:val="0"/>
      <w:marTop w:val="0"/>
      <w:marBottom w:val="0"/>
      <w:divBdr>
        <w:top w:val="none" w:sz="0" w:space="0" w:color="auto"/>
        <w:left w:val="none" w:sz="0" w:space="0" w:color="auto"/>
        <w:bottom w:val="none" w:sz="0" w:space="0" w:color="auto"/>
        <w:right w:val="none" w:sz="0" w:space="0" w:color="auto"/>
      </w:divBdr>
    </w:div>
    <w:div w:id="883059831">
      <w:bodyDiv w:val="1"/>
      <w:marLeft w:val="0"/>
      <w:marRight w:val="0"/>
      <w:marTop w:val="0"/>
      <w:marBottom w:val="0"/>
      <w:divBdr>
        <w:top w:val="none" w:sz="0" w:space="0" w:color="auto"/>
        <w:left w:val="none" w:sz="0" w:space="0" w:color="auto"/>
        <w:bottom w:val="none" w:sz="0" w:space="0" w:color="auto"/>
        <w:right w:val="none" w:sz="0" w:space="0" w:color="auto"/>
      </w:divBdr>
      <w:divsChild>
        <w:div w:id="553009679">
          <w:marLeft w:val="0"/>
          <w:marRight w:val="0"/>
          <w:marTop w:val="0"/>
          <w:marBottom w:val="0"/>
          <w:divBdr>
            <w:top w:val="none" w:sz="0" w:space="0" w:color="auto"/>
            <w:left w:val="none" w:sz="0" w:space="0" w:color="auto"/>
            <w:bottom w:val="none" w:sz="0" w:space="0" w:color="auto"/>
            <w:right w:val="none" w:sz="0" w:space="0" w:color="auto"/>
          </w:divBdr>
        </w:div>
        <w:div w:id="1224364713">
          <w:marLeft w:val="0"/>
          <w:marRight w:val="0"/>
          <w:marTop w:val="0"/>
          <w:marBottom w:val="0"/>
          <w:divBdr>
            <w:top w:val="none" w:sz="0" w:space="0" w:color="auto"/>
            <w:left w:val="none" w:sz="0" w:space="0" w:color="auto"/>
            <w:bottom w:val="none" w:sz="0" w:space="0" w:color="auto"/>
            <w:right w:val="none" w:sz="0" w:space="0" w:color="auto"/>
          </w:divBdr>
        </w:div>
        <w:div w:id="904338911">
          <w:marLeft w:val="0"/>
          <w:marRight w:val="0"/>
          <w:marTop w:val="0"/>
          <w:marBottom w:val="0"/>
          <w:divBdr>
            <w:top w:val="none" w:sz="0" w:space="0" w:color="auto"/>
            <w:left w:val="none" w:sz="0" w:space="0" w:color="auto"/>
            <w:bottom w:val="none" w:sz="0" w:space="0" w:color="auto"/>
            <w:right w:val="none" w:sz="0" w:space="0" w:color="auto"/>
          </w:divBdr>
        </w:div>
        <w:div w:id="330260074">
          <w:marLeft w:val="0"/>
          <w:marRight w:val="0"/>
          <w:marTop w:val="0"/>
          <w:marBottom w:val="0"/>
          <w:divBdr>
            <w:top w:val="none" w:sz="0" w:space="0" w:color="auto"/>
            <w:left w:val="none" w:sz="0" w:space="0" w:color="auto"/>
            <w:bottom w:val="none" w:sz="0" w:space="0" w:color="auto"/>
            <w:right w:val="none" w:sz="0" w:space="0" w:color="auto"/>
          </w:divBdr>
        </w:div>
      </w:divsChild>
    </w:div>
    <w:div w:id="958873613">
      <w:bodyDiv w:val="1"/>
      <w:marLeft w:val="0"/>
      <w:marRight w:val="0"/>
      <w:marTop w:val="0"/>
      <w:marBottom w:val="0"/>
      <w:divBdr>
        <w:top w:val="none" w:sz="0" w:space="0" w:color="auto"/>
        <w:left w:val="none" w:sz="0" w:space="0" w:color="auto"/>
        <w:bottom w:val="none" w:sz="0" w:space="0" w:color="auto"/>
        <w:right w:val="none" w:sz="0" w:space="0" w:color="auto"/>
      </w:divBdr>
    </w:div>
    <w:div w:id="971132825">
      <w:bodyDiv w:val="1"/>
      <w:marLeft w:val="0"/>
      <w:marRight w:val="0"/>
      <w:marTop w:val="0"/>
      <w:marBottom w:val="0"/>
      <w:divBdr>
        <w:top w:val="none" w:sz="0" w:space="0" w:color="auto"/>
        <w:left w:val="none" w:sz="0" w:space="0" w:color="auto"/>
        <w:bottom w:val="none" w:sz="0" w:space="0" w:color="auto"/>
        <w:right w:val="none" w:sz="0" w:space="0" w:color="auto"/>
      </w:divBdr>
    </w:div>
    <w:div w:id="1078357111">
      <w:bodyDiv w:val="1"/>
      <w:marLeft w:val="0"/>
      <w:marRight w:val="0"/>
      <w:marTop w:val="0"/>
      <w:marBottom w:val="0"/>
      <w:divBdr>
        <w:top w:val="none" w:sz="0" w:space="0" w:color="auto"/>
        <w:left w:val="none" w:sz="0" w:space="0" w:color="auto"/>
        <w:bottom w:val="none" w:sz="0" w:space="0" w:color="auto"/>
        <w:right w:val="none" w:sz="0" w:space="0" w:color="auto"/>
      </w:divBdr>
    </w:div>
    <w:div w:id="1212423968">
      <w:bodyDiv w:val="1"/>
      <w:marLeft w:val="0"/>
      <w:marRight w:val="0"/>
      <w:marTop w:val="0"/>
      <w:marBottom w:val="0"/>
      <w:divBdr>
        <w:top w:val="none" w:sz="0" w:space="0" w:color="auto"/>
        <w:left w:val="none" w:sz="0" w:space="0" w:color="auto"/>
        <w:bottom w:val="none" w:sz="0" w:space="0" w:color="auto"/>
        <w:right w:val="none" w:sz="0" w:space="0" w:color="auto"/>
      </w:divBdr>
    </w:div>
    <w:div w:id="1218855062">
      <w:bodyDiv w:val="1"/>
      <w:marLeft w:val="0"/>
      <w:marRight w:val="0"/>
      <w:marTop w:val="0"/>
      <w:marBottom w:val="0"/>
      <w:divBdr>
        <w:top w:val="none" w:sz="0" w:space="0" w:color="auto"/>
        <w:left w:val="none" w:sz="0" w:space="0" w:color="auto"/>
        <w:bottom w:val="none" w:sz="0" w:space="0" w:color="auto"/>
        <w:right w:val="none" w:sz="0" w:space="0" w:color="auto"/>
      </w:divBdr>
    </w:div>
    <w:div w:id="1258713022">
      <w:bodyDiv w:val="1"/>
      <w:marLeft w:val="0"/>
      <w:marRight w:val="0"/>
      <w:marTop w:val="0"/>
      <w:marBottom w:val="0"/>
      <w:divBdr>
        <w:top w:val="none" w:sz="0" w:space="0" w:color="auto"/>
        <w:left w:val="none" w:sz="0" w:space="0" w:color="auto"/>
        <w:bottom w:val="none" w:sz="0" w:space="0" w:color="auto"/>
        <w:right w:val="none" w:sz="0" w:space="0" w:color="auto"/>
      </w:divBdr>
    </w:div>
    <w:div w:id="1310594878">
      <w:bodyDiv w:val="1"/>
      <w:marLeft w:val="0"/>
      <w:marRight w:val="0"/>
      <w:marTop w:val="0"/>
      <w:marBottom w:val="0"/>
      <w:divBdr>
        <w:top w:val="none" w:sz="0" w:space="0" w:color="auto"/>
        <w:left w:val="none" w:sz="0" w:space="0" w:color="auto"/>
        <w:bottom w:val="none" w:sz="0" w:space="0" w:color="auto"/>
        <w:right w:val="none" w:sz="0" w:space="0" w:color="auto"/>
      </w:divBdr>
    </w:div>
    <w:div w:id="1452242876">
      <w:bodyDiv w:val="1"/>
      <w:marLeft w:val="0"/>
      <w:marRight w:val="0"/>
      <w:marTop w:val="0"/>
      <w:marBottom w:val="0"/>
      <w:divBdr>
        <w:top w:val="none" w:sz="0" w:space="0" w:color="auto"/>
        <w:left w:val="none" w:sz="0" w:space="0" w:color="auto"/>
        <w:bottom w:val="none" w:sz="0" w:space="0" w:color="auto"/>
        <w:right w:val="none" w:sz="0" w:space="0" w:color="auto"/>
      </w:divBdr>
    </w:div>
    <w:div w:id="1572035205">
      <w:bodyDiv w:val="1"/>
      <w:marLeft w:val="0"/>
      <w:marRight w:val="0"/>
      <w:marTop w:val="0"/>
      <w:marBottom w:val="0"/>
      <w:divBdr>
        <w:top w:val="none" w:sz="0" w:space="0" w:color="auto"/>
        <w:left w:val="none" w:sz="0" w:space="0" w:color="auto"/>
        <w:bottom w:val="none" w:sz="0" w:space="0" w:color="auto"/>
        <w:right w:val="none" w:sz="0" w:space="0" w:color="auto"/>
      </w:divBdr>
    </w:div>
    <w:div w:id="1640453925">
      <w:bodyDiv w:val="1"/>
      <w:marLeft w:val="0"/>
      <w:marRight w:val="0"/>
      <w:marTop w:val="0"/>
      <w:marBottom w:val="0"/>
      <w:divBdr>
        <w:top w:val="none" w:sz="0" w:space="0" w:color="auto"/>
        <w:left w:val="none" w:sz="0" w:space="0" w:color="auto"/>
        <w:bottom w:val="none" w:sz="0" w:space="0" w:color="auto"/>
        <w:right w:val="none" w:sz="0" w:space="0" w:color="auto"/>
      </w:divBdr>
    </w:div>
    <w:div w:id="1664701828">
      <w:bodyDiv w:val="1"/>
      <w:marLeft w:val="0"/>
      <w:marRight w:val="0"/>
      <w:marTop w:val="0"/>
      <w:marBottom w:val="0"/>
      <w:divBdr>
        <w:top w:val="none" w:sz="0" w:space="0" w:color="auto"/>
        <w:left w:val="none" w:sz="0" w:space="0" w:color="auto"/>
        <w:bottom w:val="none" w:sz="0" w:space="0" w:color="auto"/>
        <w:right w:val="none" w:sz="0" w:space="0" w:color="auto"/>
      </w:divBdr>
    </w:div>
    <w:div w:id="1814827842">
      <w:bodyDiv w:val="1"/>
      <w:marLeft w:val="0"/>
      <w:marRight w:val="0"/>
      <w:marTop w:val="0"/>
      <w:marBottom w:val="0"/>
      <w:divBdr>
        <w:top w:val="none" w:sz="0" w:space="0" w:color="auto"/>
        <w:left w:val="none" w:sz="0" w:space="0" w:color="auto"/>
        <w:bottom w:val="none" w:sz="0" w:space="0" w:color="auto"/>
        <w:right w:val="none" w:sz="0" w:space="0" w:color="auto"/>
      </w:divBdr>
      <w:divsChild>
        <w:div w:id="317273849">
          <w:marLeft w:val="0"/>
          <w:marRight w:val="0"/>
          <w:marTop w:val="83"/>
          <w:marBottom w:val="0"/>
          <w:divBdr>
            <w:top w:val="none" w:sz="0" w:space="0" w:color="auto"/>
            <w:left w:val="none" w:sz="0" w:space="0" w:color="auto"/>
            <w:bottom w:val="none" w:sz="0" w:space="0" w:color="auto"/>
            <w:right w:val="none" w:sz="0" w:space="0" w:color="auto"/>
          </w:divBdr>
        </w:div>
        <w:div w:id="390883188">
          <w:marLeft w:val="0"/>
          <w:marRight w:val="0"/>
          <w:marTop w:val="83"/>
          <w:marBottom w:val="0"/>
          <w:divBdr>
            <w:top w:val="none" w:sz="0" w:space="0" w:color="auto"/>
            <w:left w:val="none" w:sz="0" w:space="0" w:color="auto"/>
            <w:bottom w:val="none" w:sz="0" w:space="0" w:color="auto"/>
            <w:right w:val="none" w:sz="0" w:space="0" w:color="auto"/>
          </w:divBdr>
        </w:div>
      </w:divsChild>
    </w:div>
    <w:div w:id="1829058528">
      <w:bodyDiv w:val="1"/>
      <w:marLeft w:val="0"/>
      <w:marRight w:val="0"/>
      <w:marTop w:val="0"/>
      <w:marBottom w:val="0"/>
      <w:divBdr>
        <w:top w:val="none" w:sz="0" w:space="0" w:color="auto"/>
        <w:left w:val="none" w:sz="0" w:space="0" w:color="auto"/>
        <w:bottom w:val="none" w:sz="0" w:space="0" w:color="auto"/>
        <w:right w:val="none" w:sz="0" w:space="0" w:color="auto"/>
      </w:divBdr>
    </w:div>
    <w:div w:id="1863476874">
      <w:bodyDiv w:val="1"/>
      <w:marLeft w:val="0"/>
      <w:marRight w:val="0"/>
      <w:marTop w:val="0"/>
      <w:marBottom w:val="0"/>
      <w:divBdr>
        <w:top w:val="none" w:sz="0" w:space="0" w:color="auto"/>
        <w:left w:val="none" w:sz="0" w:space="0" w:color="auto"/>
        <w:bottom w:val="none" w:sz="0" w:space="0" w:color="auto"/>
        <w:right w:val="none" w:sz="0" w:space="0" w:color="auto"/>
      </w:divBdr>
    </w:div>
    <w:div w:id="1885865012">
      <w:bodyDiv w:val="1"/>
      <w:marLeft w:val="0"/>
      <w:marRight w:val="0"/>
      <w:marTop w:val="0"/>
      <w:marBottom w:val="0"/>
      <w:divBdr>
        <w:top w:val="none" w:sz="0" w:space="0" w:color="auto"/>
        <w:left w:val="none" w:sz="0" w:space="0" w:color="auto"/>
        <w:bottom w:val="none" w:sz="0" w:space="0" w:color="auto"/>
        <w:right w:val="none" w:sz="0" w:space="0" w:color="auto"/>
      </w:divBdr>
    </w:div>
    <w:div w:id="1938320457">
      <w:bodyDiv w:val="1"/>
      <w:marLeft w:val="0"/>
      <w:marRight w:val="0"/>
      <w:marTop w:val="0"/>
      <w:marBottom w:val="0"/>
      <w:divBdr>
        <w:top w:val="none" w:sz="0" w:space="0" w:color="auto"/>
        <w:left w:val="none" w:sz="0" w:space="0" w:color="auto"/>
        <w:bottom w:val="none" w:sz="0" w:space="0" w:color="auto"/>
        <w:right w:val="none" w:sz="0" w:space="0" w:color="auto"/>
      </w:divBdr>
    </w:div>
    <w:div w:id="1940988481">
      <w:bodyDiv w:val="1"/>
      <w:marLeft w:val="0"/>
      <w:marRight w:val="0"/>
      <w:marTop w:val="0"/>
      <w:marBottom w:val="0"/>
      <w:divBdr>
        <w:top w:val="none" w:sz="0" w:space="0" w:color="auto"/>
        <w:left w:val="none" w:sz="0" w:space="0" w:color="auto"/>
        <w:bottom w:val="none" w:sz="0" w:space="0" w:color="auto"/>
        <w:right w:val="none" w:sz="0" w:space="0" w:color="auto"/>
      </w:divBdr>
    </w:div>
    <w:div w:id="1945648485">
      <w:bodyDiv w:val="1"/>
      <w:marLeft w:val="0"/>
      <w:marRight w:val="0"/>
      <w:marTop w:val="0"/>
      <w:marBottom w:val="0"/>
      <w:divBdr>
        <w:top w:val="none" w:sz="0" w:space="0" w:color="auto"/>
        <w:left w:val="none" w:sz="0" w:space="0" w:color="auto"/>
        <w:bottom w:val="none" w:sz="0" w:space="0" w:color="auto"/>
        <w:right w:val="none" w:sz="0" w:space="0" w:color="auto"/>
      </w:divBdr>
    </w:div>
    <w:div w:id="2113240516">
      <w:bodyDiv w:val="1"/>
      <w:marLeft w:val="0"/>
      <w:marRight w:val="0"/>
      <w:marTop w:val="0"/>
      <w:marBottom w:val="0"/>
      <w:divBdr>
        <w:top w:val="none" w:sz="0" w:space="0" w:color="auto"/>
        <w:left w:val="none" w:sz="0" w:space="0" w:color="auto"/>
        <w:bottom w:val="none" w:sz="0" w:space="0" w:color="auto"/>
        <w:right w:val="none" w:sz="0" w:space="0" w:color="auto"/>
      </w:divBdr>
    </w:div>
    <w:div w:id="2124808990">
      <w:bodyDiv w:val="1"/>
      <w:marLeft w:val="0"/>
      <w:marRight w:val="0"/>
      <w:marTop w:val="0"/>
      <w:marBottom w:val="0"/>
      <w:divBdr>
        <w:top w:val="none" w:sz="0" w:space="0" w:color="auto"/>
        <w:left w:val="none" w:sz="0" w:space="0" w:color="auto"/>
        <w:bottom w:val="none" w:sz="0" w:space="0" w:color="auto"/>
        <w:right w:val="none" w:sz="0" w:space="0" w:color="auto"/>
      </w:divBdr>
    </w:div>
    <w:div w:id="2127386711">
      <w:bodyDiv w:val="1"/>
      <w:marLeft w:val="0"/>
      <w:marRight w:val="0"/>
      <w:marTop w:val="0"/>
      <w:marBottom w:val="0"/>
      <w:divBdr>
        <w:top w:val="none" w:sz="0" w:space="0" w:color="auto"/>
        <w:left w:val="none" w:sz="0" w:space="0" w:color="auto"/>
        <w:bottom w:val="none" w:sz="0" w:space="0" w:color="auto"/>
        <w:right w:val="none" w:sz="0" w:space="0" w:color="auto"/>
      </w:divBdr>
    </w:div>
    <w:div w:id="213582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sv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occ.org.nz/"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s>
</file>

<file path=word/_rels/footnotes.xml.rels><?xml version="1.0" encoding="UTF-8" standalone="yes"?>
<Relationships xmlns="http://schemas.openxmlformats.org/package/2006/relationships"><Relationship Id="rId8" Type="http://schemas.openxmlformats.org/officeDocument/2006/relationships/hyperlink" Target="https://www.churchilltrust.com.au/fellow/andreea-lachsz-nt-2018/" TargetMode="External"/><Relationship Id="rId13" Type="http://schemas.openxmlformats.org/officeDocument/2006/relationships/hyperlink" Target="https://www.ombudsman.parliament.nz/resources/opcat-covid-19-report-report-inspections-aged-care-facilities-under-crimes-torture-act" TargetMode="External"/><Relationship Id="rId18" Type="http://schemas.openxmlformats.org/officeDocument/2006/relationships/hyperlink" Target="https://www.occ.org.nz/publications/reports/te-au-rere-a-te-tonga-opcat-monitoring-report/" TargetMode="External"/><Relationship Id="rId3" Type="http://schemas.openxmlformats.org/officeDocument/2006/relationships/hyperlink" Target="https://www.ombudsman.parliament.nz/resources/final-report-unannounced-inspection-waikeria-prison-under-crimes-torture-act-1989" TargetMode="External"/><Relationship Id="rId7" Type="http://schemas.openxmlformats.org/officeDocument/2006/relationships/hyperlink" Target="https://www.asiapacificforum.net/resources/he-ara-tika-pathway-forward/" TargetMode="External"/><Relationship Id="rId12" Type="http://schemas.openxmlformats.org/officeDocument/2006/relationships/hyperlink" Target="https://www.ombudsman.parliament.nz/resources/opcat-report-thematic-report-inspections-secure-intellectual-disability-facilities-under" TargetMode="External"/><Relationship Id="rId17" Type="http://schemas.openxmlformats.org/officeDocument/2006/relationships/hyperlink" Target="https://www.occ.org.nz/publications/reports/" TargetMode="External"/><Relationship Id="rId2" Type="http://schemas.openxmlformats.org/officeDocument/2006/relationships/hyperlink" Target="https://www.corrections.govt.nz/resources/statistics/quarterly_prison_statistics/prison_stats_march_2023" TargetMode="External"/><Relationship Id="rId16" Type="http://schemas.openxmlformats.org/officeDocument/2006/relationships/hyperlink" Target="https://www.ipca.govt.nz/Site/publications-and-media/Reports-on-places-of-Police-detention.aspx" TargetMode="External"/><Relationship Id="rId20" Type="http://schemas.openxmlformats.org/officeDocument/2006/relationships/hyperlink" Target="https://www.ombudsman.parliament.nz/resources/final-report-unannounced-inspection-waikeria-prison-under-crimes-torture-act-1989" TargetMode="External"/><Relationship Id="rId1" Type="http://schemas.openxmlformats.org/officeDocument/2006/relationships/hyperlink" Target="https://gazette.govt.nz/notice/id/2020-go2845" TargetMode="External"/><Relationship Id="rId6" Type="http://schemas.openxmlformats.org/officeDocument/2006/relationships/hyperlink" Target="https://www.solitaryconfinement.org/solitary-confinement-in-new-zealand" TargetMode="External"/><Relationship Id="rId11" Type="http://schemas.openxmlformats.org/officeDocument/2006/relationships/hyperlink" Target="https://tikatangata.org.nz/our-work/monitoring-places-of-detention" TargetMode="External"/><Relationship Id="rId5" Type="http://schemas.openxmlformats.org/officeDocument/2006/relationships/hyperlink" Target="https://www.otago.ac.nz/wellington/otago067751.pdf" TargetMode="External"/><Relationship Id="rId15" Type="http://schemas.openxmlformats.org/officeDocument/2006/relationships/hyperlink" Target="https://www.ombudsman.parliament.nz/resources/opcat-covid-19-report-report-inspections-prisons-under-crimes-torture-act-1989" TargetMode="External"/><Relationship Id="rId10" Type="http://schemas.openxmlformats.org/officeDocument/2006/relationships/hyperlink" Target="https://www.corrections.govt.nz/resources/research/journal/volume_7_issue_1_july_2019/matawhiti_residence_public_protection_orders" TargetMode="External"/><Relationship Id="rId19" Type="http://schemas.openxmlformats.org/officeDocument/2006/relationships/hyperlink" Target="https://www.tepou.co.nz/initiatives/reducing-seclusion-and-restraint/safe-practice-effective-communication" TargetMode="External"/><Relationship Id="rId4" Type="http://schemas.openxmlformats.org/officeDocument/2006/relationships/hyperlink" Target="https://www.ombudsman.parliament.nz/resources/final-report-unannounced-inspection-auckland-prison-under-crimes-torture-act-1989" TargetMode="External"/><Relationship Id="rId9" Type="http://schemas.openxmlformats.org/officeDocument/2006/relationships/hyperlink" Target="https://www.ombudsman.parliament.nz/resources/expectations-conditions-and-treatment-residents-health-and-disability-places-detention" TargetMode="External"/><Relationship Id="rId14" Type="http://schemas.openxmlformats.org/officeDocument/2006/relationships/hyperlink" Target="https://www.ombudsman.parliament.nz/resources/opcat-covid-19-report-report-inspections-mental-health-facilities-under-crimes-tor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4bf6e64-41b1-4008-8b31-81e768f35d2f">
      <Value>340</Value>
    </TaxCatchAll>
    <i0f84bba906045b4af568ee102a52dcb xmlns="14bf6e64-41b1-4008-8b31-81e768f35d2f">
      <Terms xmlns="http://schemas.microsoft.com/office/infopath/2007/PartnerControls">
        <TermInfo xmlns="http://schemas.microsoft.com/office/infopath/2007/PartnerControls">
          <TermName xmlns="http://schemas.microsoft.com/office/infopath/2007/PartnerControls">International Monitoring ＆ Submissions</TermName>
          <TermId xmlns="http://schemas.microsoft.com/office/infopath/2007/PartnerControls">2a22f43d-b086-4b03-9efa-1cfb9a62dde0</TermId>
        </TermInfo>
      </Terms>
    </i0f84bba906045b4af568ee102a52dcb>
    <FinancialYear xmlns="14bf6e64-41b1-4008-8b31-81e768f35d2f" xsi:nil="true"/>
    <lcf76f155ced4ddcb4097134ff3c332f xmlns="7fa524cd-5488-4231-a774-088743c0689c">
      <Terms xmlns="http://schemas.microsoft.com/office/infopath/2007/PartnerControls"/>
    </lcf76f155ced4ddcb4097134ff3c332f>
    <_dlc_DocId xmlns="14bf6e64-41b1-4008-8b31-81e768f35d2f">WVJMT6KT2DMM-2137168152-13011</_dlc_DocId>
    <_dlc_DocIdUrl xmlns="14bf6e64-41b1-4008-8b31-81e768f35d2f">
      <Url>https://hrcnz.sharepoint.com/sites/t/PromotionAdvocacyMonitoring/_layouts/15/DocIdRedir.aspx?ID=WVJMT6KT2DMM-2137168152-13011</Url>
      <Description>WVJMT6KT2DMM-2137168152-13011</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96A6F5F0E5872D4FBC99FF82404852FC" ma:contentTypeVersion="44" ma:contentTypeDescription="Create a new document." ma:contentTypeScope="" ma:versionID="241b04f81498c48d22a62c9ea3cc2719">
  <xsd:schema xmlns:xsd="http://www.w3.org/2001/XMLSchema" xmlns:xs="http://www.w3.org/2001/XMLSchema" xmlns:p="http://schemas.microsoft.com/office/2006/metadata/properties" xmlns:ns2="14bf6e64-41b1-4008-8b31-81e768f35d2f" xmlns:ns3="0a28ad9b-b50f-45c7-9909-b90a4cda4617" xmlns:ns4="7fa524cd-5488-4231-a774-088743c0689c" targetNamespace="http://schemas.microsoft.com/office/2006/metadata/properties" ma:root="true" ma:fieldsID="d02a2ff4566b0327123ef943af0419d6" ns2:_="" ns3:_="" ns4:_="">
    <xsd:import namespace="14bf6e64-41b1-4008-8b31-81e768f35d2f"/>
    <xsd:import namespace="0a28ad9b-b50f-45c7-9909-b90a4cda4617"/>
    <xsd:import namespace="7fa524cd-5488-4231-a774-088743c0689c"/>
    <xsd:element name="properties">
      <xsd:complexType>
        <xsd:sequence>
          <xsd:element name="documentManagement">
            <xsd:complexType>
              <xsd:all>
                <xsd:element ref="ns2:_dlc_DocId" minOccurs="0"/>
                <xsd:element ref="ns2:_dlc_DocIdUrl" minOccurs="0"/>
                <xsd:element ref="ns2:_dlc_DocIdPersistId" minOccurs="0"/>
                <xsd:element ref="ns2:FinancialYear" minOccurs="0"/>
                <xsd:element ref="ns3:SharedWithUsers" minOccurs="0"/>
                <xsd:element ref="ns3:SharedWithDetails" minOccurs="0"/>
                <xsd:element ref="ns2:i0f84bba906045b4af568ee102a52dcb" minOccurs="0"/>
                <xsd:element ref="ns2:TaxCatchAll" minOccurs="0"/>
                <xsd:element ref="ns4:MediaServiceMetadata" minOccurs="0"/>
                <xsd:element ref="ns4:MediaServiceFastMetadata" minOccurs="0"/>
                <xsd:element ref="ns4:MediaServiceAutoTags" minOccurs="0"/>
                <xsd:element ref="ns4:MediaServiceEventHashCode" minOccurs="0"/>
                <xsd:element ref="ns4:MediaServiceGenerationTime" minOccurs="0"/>
                <xsd:element ref="ns4:MediaServiceDateTaken" minOccurs="0"/>
                <xsd:element ref="ns4:MediaServiceAutoKeyPoints" minOccurs="0"/>
                <xsd:element ref="ns4:MediaServiceKeyPoints" minOccurs="0"/>
                <xsd:element ref="ns4:MediaServiceOCR" minOccurs="0"/>
                <xsd:element ref="ns4:MediaServiceLocation" minOccurs="0"/>
                <xsd:element ref="ns4:MediaLengthInSeconds"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bf6e64-41b1-4008-8b31-81e768f35d2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FinancialYear" ma:index="11" nillable="true" ma:displayName="Financial Year" ma:description="Financial Year" ma:format="Dropdown" ma:internalName="FinancialYear">
      <xsd:simpleType>
        <xsd:restriction base="dms:Choice">
          <xsd:enumeration value="2000-01"/>
          <xsd:enumeration value="2001-02"/>
          <xsd:enumeration value="2002-03"/>
          <xsd:enumeration value="2003-04"/>
          <xsd:enumeration value="2004-05"/>
          <xsd:enumeration value="2005-06"/>
          <xsd:enumeration value="2006-07"/>
          <xsd:enumeration value="2007-08"/>
          <xsd:enumeration value="2008-09"/>
          <xsd:enumeration value="2009-10"/>
          <xsd:enumeration value="2010-11"/>
          <xsd:enumeration value="2011-12"/>
          <xsd:enumeration value="2012-13"/>
          <xsd:enumeration value="2013-14"/>
          <xsd:enumeration value="2014-15"/>
          <xsd:enumeration value="2015-16"/>
          <xsd:enumeration value="2016-17"/>
          <xsd:enumeration value="2017-18"/>
          <xsd:enumeration value="2018-19"/>
          <xsd:enumeration value="2019-20"/>
          <xsd:enumeration value="2020-21"/>
          <xsd:enumeration value="2021-22"/>
          <xsd:enumeration value="2022-23"/>
          <xsd:enumeration value="2023-24"/>
          <xsd:enumeration value="2024-25"/>
        </xsd:restriction>
      </xsd:simpleType>
    </xsd:element>
    <xsd:element name="i0f84bba906045b4af568ee102a52dcb" ma:index="15" nillable="true" ma:taxonomy="true" ma:internalName="i0f84bba906045b4af568ee102a52dcb" ma:taxonomyFieldName="RevIMBCS" ma:displayName="HRC Taxonomy" ma:indexed="true" ma:readOnly="false" ma:default="340;#International Monitoring ＆ Submissions|2a22f43d-b086-4b03-9efa-1cfb9a62dde0" ma:fieldId="{20f84bba-9060-45b4-af56-8ee102a52dcb}" ma:sspId="b81e6a3b-7119-479f-a0a1-d1ace2e3d91a" ma:termSetId="b5c58978-aacf-4d49-9597-114f1244351d" ma:anchorId="95e39927-8a8a-49bd-969d-d6280031797e" ma:open="false" ma:isKeyword="false">
      <xsd:complexType>
        <xsd:sequence>
          <xsd:element ref="pc:Terms" minOccurs="0" maxOccurs="1"/>
        </xsd:sequence>
      </xsd:complexType>
    </xsd:element>
    <xsd:element name="TaxCatchAll" ma:index="16" nillable="true" ma:displayName="Taxonomy Catch All Column" ma:description="" ma:hidden="true" ma:list="{e98d8594-ac13-4827-9ccc-f6e688be706a}" ma:internalName="TaxCatchAll" ma:showField="CatchAllData" ma:web="14bf6e64-41b1-4008-8b31-81e768f35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28ad9b-b50f-45c7-9909-b90a4cda4617"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a524cd-5488-4231-a774-088743c0689c" elementFormDefault="qualified">
    <xsd:import namespace="http://schemas.microsoft.com/office/2006/documentManagement/types"/>
    <xsd:import namespace="http://schemas.microsoft.com/office/infopath/2007/PartnerControls"/>
    <xsd:element name="MediaServiceMetadata" ma:index="17" nillable="true" ma:displayName="MediaServiceMetadata" ma:description="" ma:hidden="true" ma:internalName="MediaServiceMetadata" ma:readOnly="true">
      <xsd:simpleType>
        <xsd:restriction base="dms:Note"/>
      </xsd:simpleType>
    </xsd:element>
    <xsd:element name="MediaServiceFastMetadata" ma:index="18" nillable="true" ma:displayName="MediaServiceFastMetadata" ma:description="" ma:hidden="true" ma:internalName="MediaServiceFastMetadata" ma:readOnly="true">
      <xsd:simpleType>
        <xsd:restriction base="dms:Note"/>
      </xsd:simpleType>
    </xsd:element>
    <xsd:element name="MediaServiceAutoTags" ma:index="19" nillable="true" ma:displayName="MediaServiceAutoTags" ma:internalName="MediaServiceAutoTags"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DateTaken" ma:index="22" nillable="true" ma:displayName="MediaServiceDateTaken" ma:hidden="true" ma:internalName="MediaServiceDateTake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b81e6a3b-7119-479f-a0a1-d1ace2e3d91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1CB24D-E1AC-4AFB-AF28-BEC00A60E6FE}">
  <ds:schemaRefs>
    <ds:schemaRef ds:uri="http://schemas.microsoft.com/office/2006/metadata/properties"/>
    <ds:schemaRef ds:uri="http://schemas.microsoft.com/office/infopath/2007/PartnerControls"/>
    <ds:schemaRef ds:uri="14bf6e64-41b1-4008-8b31-81e768f35d2f"/>
    <ds:schemaRef ds:uri="7fa524cd-5488-4231-a774-088743c0689c"/>
  </ds:schemaRefs>
</ds:datastoreItem>
</file>

<file path=customXml/itemProps2.xml><?xml version="1.0" encoding="utf-8"?>
<ds:datastoreItem xmlns:ds="http://schemas.openxmlformats.org/officeDocument/2006/customXml" ds:itemID="{6131D6F0-4513-4F21-A311-1510F332FA56}">
  <ds:schemaRefs>
    <ds:schemaRef ds:uri="http://schemas.openxmlformats.org/officeDocument/2006/bibliography"/>
  </ds:schemaRefs>
</ds:datastoreItem>
</file>

<file path=customXml/itemProps3.xml><?xml version="1.0" encoding="utf-8"?>
<ds:datastoreItem xmlns:ds="http://schemas.openxmlformats.org/officeDocument/2006/customXml" ds:itemID="{17448063-7877-457F-BA6F-A2B07031A840}">
  <ds:schemaRefs>
    <ds:schemaRef ds:uri="http://schemas.microsoft.com/sharepoint/v3/contenttype/forms"/>
  </ds:schemaRefs>
</ds:datastoreItem>
</file>

<file path=customXml/itemProps4.xml><?xml version="1.0" encoding="utf-8"?>
<ds:datastoreItem xmlns:ds="http://schemas.openxmlformats.org/officeDocument/2006/customXml" ds:itemID="{61C05D2B-EE7B-42D8-8AFC-2C1C5A4D4D5C}">
  <ds:schemaRefs>
    <ds:schemaRef ds:uri="http://schemas.microsoft.com/sharepoint/events"/>
  </ds:schemaRefs>
</ds:datastoreItem>
</file>

<file path=customXml/itemProps5.xml><?xml version="1.0" encoding="utf-8"?>
<ds:datastoreItem xmlns:ds="http://schemas.openxmlformats.org/officeDocument/2006/customXml" ds:itemID="{947929F1-4102-4528-988C-B2BA619B1A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bf6e64-41b1-4008-8b31-81e768f35d2f"/>
    <ds:schemaRef ds:uri="0a28ad9b-b50f-45c7-9909-b90a4cda4617"/>
    <ds:schemaRef ds:uri="7fa524cd-5488-4231-a774-088743c06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11169</Words>
  <Characters>62106</Characters>
  <Application>Microsoft Office Word</Application>
  <DocSecurity>0</DocSecurity>
  <Lines>1052</Lines>
  <Paragraphs>421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72854</CharactersWithSpaces>
  <SharedDoc>false</SharedDoc>
  <HLinks>
    <vt:vector size="282" baseType="variant">
      <vt:variant>
        <vt:i4>1114169</vt:i4>
      </vt:variant>
      <vt:variant>
        <vt:i4>158</vt:i4>
      </vt:variant>
      <vt:variant>
        <vt:i4>0</vt:i4>
      </vt:variant>
      <vt:variant>
        <vt:i4>5</vt:i4>
      </vt:variant>
      <vt:variant>
        <vt:lpwstr/>
      </vt:variant>
      <vt:variant>
        <vt:lpwstr>_Toc137465940</vt:lpwstr>
      </vt:variant>
      <vt:variant>
        <vt:i4>1441849</vt:i4>
      </vt:variant>
      <vt:variant>
        <vt:i4>152</vt:i4>
      </vt:variant>
      <vt:variant>
        <vt:i4>0</vt:i4>
      </vt:variant>
      <vt:variant>
        <vt:i4>5</vt:i4>
      </vt:variant>
      <vt:variant>
        <vt:lpwstr/>
      </vt:variant>
      <vt:variant>
        <vt:lpwstr>_Toc137465939</vt:lpwstr>
      </vt:variant>
      <vt:variant>
        <vt:i4>1441849</vt:i4>
      </vt:variant>
      <vt:variant>
        <vt:i4>146</vt:i4>
      </vt:variant>
      <vt:variant>
        <vt:i4>0</vt:i4>
      </vt:variant>
      <vt:variant>
        <vt:i4>5</vt:i4>
      </vt:variant>
      <vt:variant>
        <vt:lpwstr/>
      </vt:variant>
      <vt:variant>
        <vt:lpwstr>_Toc137465938</vt:lpwstr>
      </vt:variant>
      <vt:variant>
        <vt:i4>1441849</vt:i4>
      </vt:variant>
      <vt:variant>
        <vt:i4>140</vt:i4>
      </vt:variant>
      <vt:variant>
        <vt:i4>0</vt:i4>
      </vt:variant>
      <vt:variant>
        <vt:i4>5</vt:i4>
      </vt:variant>
      <vt:variant>
        <vt:lpwstr/>
      </vt:variant>
      <vt:variant>
        <vt:lpwstr>_Toc137465937</vt:lpwstr>
      </vt:variant>
      <vt:variant>
        <vt:i4>1441849</vt:i4>
      </vt:variant>
      <vt:variant>
        <vt:i4>134</vt:i4>
      </vt:variant>
      <vt:variant>
        <vt:i4>0</vt:i4>
      </vt:variant>
      <vt:variant>
        <vt:i4>5</vt:i4>
      </vt:variant>
      <vt:variant>
        <vt:lpwstr/>
      </vt:variant>
      <vt:variant>
        <vt:lpwstr>_Toc137465936</vt:lpwstr>
      </vt:variant>
      <vt:variant>
        <vt:i4>1441849</vt:i4>
      </vt:variant>
      <vt:variant>
        <vt:i4>128</vt:i4>
      </vt:variant>
      <vt:variant>
        <vt:i4>0</vt:i4>
      </vt:variant>
      <vt:variant>
        <vt:i4>5</vt:i4>
      </vt:variant>
      <vt:variant>
        <vt:lpwstr/>
      </vt:variant>
      <vt:variant>
        <vt:lpwstr>_Toc137465935</vt:lpwstr>
      </vt:variant>
      <vt:variant>
        <vt:i4>1441849</vt:i4>
      </vt:variant>
      <vt:variant>
        <vt:i4>122</vt:i4>
      </vt:variant>
      <vt:variant>
        <vt:i4>0</vt:i4>
      </vt:variant>
      <vt:variant>
        <vt:i4>5</vt:i4>
      </vt:variant>
      <vt:variant>
        <vt:lpwstr/>
      </vt:variant>
      <vt:variant>
        <vt:lpwstr>_Toc137465934</vt:lpwstr>
      </vt:variant>
      <vt:variant>
        <vt:i4>1441849</vt:i4>
      </vt:variant>
      <vt:variant>
        <vt:i4>116</vt:i4>
      </vt:variant>
      <vt:variant>
        <vt:i4>0</vt:i4>
      </vt:variant>
      <vt:variant>
        <vt:i4>5</vt:i4>
      </vt:variant>
      <vt:variant>
        <vt:lpwstr/>
      </vt:variant>
      <vt:variant>
        <vt:lpwstr>_Toc137465933</vt:lpwstr>
      </vt:variant>
      <vt:variant>
        <vt:i4>1441849</vt:i4>
      </vt:variant>
      <vt:variant>
        <vt:i4>110</vt:i4>
      </vt:variant>
      <vt:variant>
        <vt:i4>0</vt:i4>
      </vt:variant>
      <vt:variant>
        <vt:i4>5</vt:i4>
      </vt:variant>
      <vt:variant>
        <vt:lpwstr/>
      </vt:variant>
      <vt:variant>
        <vt:lpwstr>_Toc137465932</vt:lpwstr>
      </vt:variant>
      <vt:variant>
        <vt:i4>1441849</vt:i4>
      </vt:variant>
      <vt:variant>
        <vt:i4>104</vt:i4>
      </vt:variant>
      <vt:variant>
        <vt:i4>0</vt:i4>
      </vt:variant>
      <vt:variant>
        <vt:i4>5</vt:i4>
      </vt:variant>
      <vt:variant>
        <vt:lpwstr/>
      </vt:variant>
      <vt:variant>
        <vt:lpwstr>_Toc137465931</vt:lpwstr>
      </vt:variant>
      <vt:variant>
        <vt:i4>1441849</vt:i4>
      </vt:variant>
      <vt:variant>
        <vt:i4>98</vt:i4>
      </vt:variant>
      <vt:variant>
        <vt:i4>0</vt:i4>
      </vt:variant>
      <vt:variant>
        <vt:i4>5</vt:i4>
      </vt:variant>
      <vt:variant>
        <vt:lpwstr/>
      </vt:variant>
      <vt:variant>
        <vt:lpwstr>_Toc137465930</vt:lpwstr>
      </vt:variant>
      <vt:variant>
        <vt:i4>1507385</vt:i4>
      </vt:variant>
      <vt:variant>
        <vt:i4>92</vt:i4>
      </vt:variant>
      <vt:variant>
        <vt:i4>0</vt:i4>
      </vt:variant>
      <vt:variant>
        <vt:i4>5</vt:i4>
      </vt:variant>
      <vt:variant>
        <vt:lpwstr/>
      </vt:variant>
      <vt:variant>
        <vt:lpwstr>_Toc137465929</vt:lpwstr>
      </vt:variant>
      <vt:variant>
        <vt:i4>1507385</vt:i4>
      </vt:variant>
      <vt:variant>
        <vt:i4>86</vt:i4>
      </vt:variant>
      <vt:variant>
        <vt:i4>0</vt:i4>
      </vt:variant>
      <vt:variant>
        <vt:i4>5</vt:i4>
      </vt:variant>
      <vt:variant>
        <vt:lpwstr/>
      </vt:variant>
      <vt:variant>
        <vt:lpwstr>_Toc137465928</vt:lpwstr>
      </vt:variant>
      <vt:variant>
        <vt:i4>1507385</vt:i4>
      </vt:variant>
      <vt:variant>
        <vt:i4>80</vt:i4>
      </vt:variant>
      <vt:variant>
        <vt:i4>0</vt:i4>
      </vt:variant>
      <vt:variant>
        <vt:i4>5</vt:i4>
      </vt:variant>
      <vt:variant>
        <vt:lpwstr/>
      </vt:variant>
      <vt:variant>
        <vt:lpwstr>_Toc137465927</vt:lpwstr>
      </vt:variant>
      <vt:variant>
        <vt:i4>1507385</vt:i4>
      </vt:variant>
      <vt:variant>
        <vt:i4>74</vt:i4>
      </vt:variant>
      <vt:variant>
        <vt:i4>0</vt:i4>
      </vt:variant>
      <vt:variant>
        <vt:i4>5</vt:i4>
      </vt:variant>
      <vt:variant>
        <vt:lpwstr/>
      </vt:variant>
      <vt:variant>
        <vt:lpwstr>_Toc137465926</vt:lpwstr>
      </vt:variant>
      <vt:variant>
        <vt:i4>1507385</vt:i4>
      </vt:variant>
      <vt:variant>
        <vt:i4>68</vt:i4>
      </vt:variant>
      <vt:variant>
        <vt:i4>0</vt:i4>
      </vt:variant>
      <vt:variant>
        <vt:i4>5</vt:i4>
      </vt:variant>
      <vt:variant>
        <vt:lpwstr/>
      </vt:variant>
      <vt:variant>
        <vt:lpwstr>_Toc137465925</vt:lpwstr>
      </vt:variant>
      <vt:variant>
        <vt:i4>1507385</vt:i4>
      </vt:variant>
      <vt:variant>
        <vt:i4>62</vt:i4>
      </vt:variant>
      <vt:variant>
        <vt:i4>0</vt:i4>
      </vt:variant>
      <vt:variant>
        <vt:i4>5</vt:i4>
      </vt:variant>
      <vt:variant>
        <vt:lpwstr/>
      </vt:variant>
      <vt:variant>
        <vt:lpwstr>_Toc137465924</vt:lpwstr>
      </vt:variant>
      <vt:variant>
        <vt:i4>1507385</vt:i4>
      </vt:variant>
      <vt:variant>
        <vt:i4>56</vt:i4>
      </vt:variant>
      <vt:variant>
        <vt:i4>0</vt:i4>
      </vt:variant>
      <vt:variant>
        <vt:i4>5</vt:i4>
      </vt:variant>
      <vt:variant>
        <vt:lpwstr/>
      </vt:variant>
      <vt:variant>
        <vt:lpwstr>_Toc137465923</vt:lpwstr>
      </vt:variant>
      <vt:variant>
        <vt:i4>1507385</vt:i4>
      </vt:variant>
      <vt:variant>
        <vt:i4>50</vt:i4>
      </vt:variant>
      <vt:variant>
        <vt:i4>0</vt:i4>
      </vt:variant>
      <vt:variant>
        <vt:i4>5</vt:i4>
      </vt:variant>
      <vt:variant>
        <vt:lpwstr/>
      </vt:variant>
      <vt:variant>
        <vt:lpwstr>_Toc137465922</vt:lpwstr>
      </vt:variant>
      <vt:variant>
        <vt:i4>1507385</vt:i4>
      </vt:variant>
      <vt:variant>
        <vt:i4>44</vt:i4>
      </vt:variant>
      <vt:variant>
        <vt:i4>0</vt:i4>
      </vt:variant>
      <vt:variant>
        <vt:i4>5</vt:i4>
      </vt:variant>
      <vt:variant>
        <vt:lpwstr/>
      </vt:variant>
      <vt:variant>
        <vt:lpwstr>_Toc137465921</vt:lpwstr>
      </vt:variant>
      <vt:variant>
        <vt:i4>1507385</vt:i4>
      </vt:variant>
      <vt:variant>
        <vt:i4>38</vt:i4>
      </vt:variant>
      <vt:variant>
        <vt:i4>0</vt:i4>
      </vt:variant>
      <vt:variant>
        <vt:i4>5</vt:i4>
      </vt:variant>
      <vt:variant>
        <vt:lpwstr/>
      </vt:variant>
      <vt:variant>
        <vt:lpwstr>_Toc137465920</vt:lpwstr>
      </vt:variant>
      <vt:variant>
        <vt:i4>1310777</vt:i4>
      </vt:variant>
      <vt:variant>
        <vt:i4>32</vt:i4>
      </vt:variant>
      <vt:variant>
        <vt:i4>0</vt:i4>
      </vt:variant>
      <vt:variant>
        <vt:i4>5</vt:i4>
      </vt:variant>
      <vt:variant>
        <vt:lpwstr/>
      </vt:variant>
      <vt:variant>
        <vt:lpwstr>_Toc137465919</vt:lpwstr>
      </vt:variant>
      <vt:variant>
        <vt:i4>1310777</vt:i4>
      </vt:variant>
      <vt:variant>
        <vt:i4>26</vt:i4>
      </vt:variant>
      <vt:variant>
        <vt:i4>0</vt:i4>
      </vt:variant>
      <vt:variant>
        <vt:i4>5</vt:i4>
      </vt:variant>
      <vt:variant>
        <vt:lpwstr/>
      </vt:variant>
      <vt:variant>
        <vt:lpwstr>_Toc137465918</vt:lpwstr>
      </vt:variant>
      <vt:variant>
        <vt:i4>1310777</vt:i4>
      </vt:variant>
      <vt:variant>
        <vt:i4>20</vt:i4>
      </vt:variant>
      <vt:variant>
        <vt:i4>0</vt:i4>
      </vt:variant>
      <vt:variant>
        <vt:i4>5</vt:i4>
      </vt:variant>
      <vt:variant>
        <vt:lpwstr/>
      </vt:variant>
      <vt:variant>
        <vt:lpwstr>_Toc137465917</vt:lpwstr>
      </vt:variant>
      <vt:variant>
        <vt:i4>1310777</vt:i4>
      </vt:variant>
      <vt:variant>
        <vt:i4>14</vt:i4>
      </vt:variant>
      <vt:variant>
        <vt:i4>0</vt:i4>
      </vt:variant>
      <vt:variant>
        <vt:i4>5</vt:i4>
      </vt:variant>
      <vt:variant>
        <vt:lpwstr/>
      </vt:variant>
      <vt:variant>
        <vt:lpwstr>_Toc137465916</vt:lpwstr>
      </vt:variant>
      <vt:variant>
        <vt:i4>1310777</vt:i4>
      </vt:variant>
      <vt:variant>
        <vt:i4>8</vt:i4>
      </vt:variant>
      <vt:variant>
        <vt:i4>0</vt:i4>
      </vt:variant>
      <vt:variant>
        <vt:i4>5</vt:i4>
      </vt:variant>
      <vt:variant>
        <vt:lpwstr/>
      </vt:variant>
      <vt:variant>
        <vt:lpwstr>_Toc137465915</vt:lpwstr>
      </vt:variant>
      <vt:variant>
        <vt:i4>1310777</vt:i4>
      </vt:variant>
      <vt:variant>
        <vt:i4>2</vt:i4>
      </vt:variant>
      <vt:variant>
        <vt:i4>0</vt:i4>
      </vt:variant>
      <vt:variant>
        <vt:i4>5</vt:i4>
      </vt:variant>
      <vt:variant>
        <vt:lpwstr/>
      </vt:variant>
      <vt:variant>
        <vt:lpwstr>_Toc137465914</vt:lpwstr>
      </vt:variant>
      <vt:variant>
        <vt:i4>7995450</vt:i4>
      </vt:variant>
      <vt:variant>
        <vt:i4>57</vt:i4>
      </vt:variant>
      <vt:variant>
        <vt:i4>0</vt:i4>
      </vt:variant>
      <vt:variant>
        <vt:i4>5</vt:i4>
      </vt:variant>
      <vt:variant>
        <vt:lpwstr>https://www.ombudsman.parliament.nz/resources/final-report-unannounced-inspection-waikeria-prison-under-crimes-torture-act-1989</vt:lpwstr>
      </vt:variant>
      <vt:variant>
        <vt:lpwstr/>
      </vt:variant>
      <vt:variant>
        <vt:i4>3145845</vt:i4>
      </vt:variant>
      <vt:variant>
        <vt:i4>54</vt:i4>
      </vt:variant>
      <vt:variant>
        <vt:i4>0</vt:i4>
      </vt:variant>
      <vt:variant>
        <vt:i4>5</vt:i4>
      </vt:variant>
      <vt:variant>
        <vt:lpwstr>https://www.tepou.co.nz/initiatives/reducing-seclusion-and-restraint/safe-practice-effective-communication</vt:lpwstr>
      </vt:variant>
      <vt:variant>
        <vt:lpwstr/>
      </vt:variant>
      <vt:variant>
        <vt:i4>7340134</vt:i4>
      </vt:variant>
      <vt:variant>
        <vt:i4>51</vt:i4>
      </vt:variant>
      <vt:variant>
        <vt:i4>0</vt:i4>
      </vt:variant>
      <vt:variant>
        <vt:i4>5</vt:i4>
      </vt:variant>
      <vt:variant>
        <vt:lpwstr>https://www.occ.org.nz/publications/reports/te-au-rere-a-te-tonga-opcat-monitoring-report/</vt:lpwstr>
      </vt:variant>
      <vt:variant>
        <vt:lpwstr/>
      </vt:variant>
      <vt:variant>
        <vt:i4>4194324</vt:i4>
      </vt:variant>
      <vt:variant>
        <vt:i4>48</vt:i4>
      </vt:variant>
      <vt:variant>
        <vt:i4>0</vt:i4>
      </vt:variant>
      <vt:variant>
        <vt:i4>5</vt:i4>
      </vt:variant>
      <vt:variant>
        <vt:lpwstr>https://www.occ.org.nz/publications/reports/</vt:lpwstr>
      </vt:variant>
      <vt:variant>
        <vt:lpwstr/>
      </vt:variant>
      <vt:variant>
        <vt:i4>4128884</vt:i4>
      </vt:variant>
      <vt:variant>
        <vt:i4>45</vt:i4>
      </vt:variant>
      <vt:variant>
        <vt:i4>0</vt:i4>
      </vt:variant>
      <vt:variant>
        <vt:i4>5</vt:i4>
      </vt:variant>
      <vt:variant>
        <vt:lpwstr>https://www.ipca.govt.nz/Site/publications-and-media/Reports-on-places-of-Police-detention.aspx</vt:lpwstr>
      </vt:variant>
      <vt:variant>
        <vt:lpwstr/>
      </vt:variant>
      <vt:variant>
        <vt:i4>5636113</vt:i4>
      </vt:variant>
      <vt:variant>
        <vt:i4>42</vt:i4>
      </vt:variant>
      <vt:variant>
        <vt:i4>0</vt:i4>
      </vt:variant>
      <vt:variant>
        <vt:i4>5</vt:i4>
      </vt:variant>
      <vt:variant>
        <vt:lpwstr>https://www.ombudsman.parliament.nz/resources/opcat-covid-19-report-report-inspections-prisons-under-crimes-torture-act-1989</vt:lpwstr>
      </vt:variant>
      <vt:variant>
        <vt:lpwstr/>
      </vt:variant>
      <vt:variant>
        <vt:i4>6225933</vt:i4>
      </vt:variant>
      <vt:variant>
        <vt:i4>39</vt:i4>
      </vt:variant>
      <vt:variant>
        <vt:i4>0</vt:i4>
      </vt:variant>
      <vt:variant>
        <vt:i4>5</vt:i4>
      </vt:variant>
      <vt:variant>
        <vt:lpwstr>https://www.ombudsman.parliament.nz/resources/opcat-covid-19-report-report-inspections-mental-health-facilities-under-crimes-torture</vt:lpwstr>
      </vt:variant>
      <vt:variant>
        <vt:lpwstr/>
      </vt:variant>
      <vt:variant>
        <vt:i4>4784209</vt:i4>
      </vt:variant>
      <vt:variant>
        <vt:i4>36</vt:i4>
      </vt:variant>
      <vt:variant>
        <vt:i4>0</vt:i4>
      </vt:variant>
      <vt:variant>
        <vt:i4>5</vt:i4>
      </vt:variant>
      <vt:variant>
        <vt:lpwstr>https://www.ombudsman.parliament.nz/resources/opcat-covid-19-report-report-inspections-aged-care-facilities-under-crimes-torture-act</vt:lpwstr>
      </vt:variant>
      <vt:variant>
        <vt:lpwstr/>
      </vt:variant>
      <vt:variant>
        <vt:i4>7798841</vt:i4>
      </vt:variant>
      <vt:variant>
        <vt:i4>33</vt:i4>
      </vt:variant>
      <vt:variant>
        <vt:i4>0</vt:i4>
      </vt:variant>
      <vt:variant>
        <vt:i4>5</vt:i4>
      </vt:variant>
      <vt:variant>
        <vt:lpwstr>https://www.ombudsman.parliament.nz/resources/opcat-report-thematic-report-inspections-secure-intellectual-disability-facilities-under</vt:lpwstr>
      </vt:variant>
      <vt:variant>
        <vt:lpwstr/>
      </vt:variant>
      <vt:variant>
        <vt:i4>7667763</vt:i4>
      </vt:variant>
      <vt:variant>
        <vt:i4>30</vt:i4>
      </vt:variant>
      <vt:variant>
        <vt:i4>0</vt:i4>
      </vt:variant>
      <vt:variant>
        <vt:i4>5</vt:i4>
      </vt:variant>
      <vt:variant>
        <vt:lpwstr>https://tikatangata.org.nz/our-work/monitoring-places-of-detention</vt:lpwstr>
      </vt:variant>
      <vt:variant>
        <vt:lpwstr/>
      </vt:variant>
      <vt:variant>
        <vt:i4>4259903</vt:i4>
      </vt:variant>
      <vt:variant>
        <vt:i4>27</vt:i4>
      </vt:variant>
      <vt:variant>
        <vt:i4>0</vt:i4>
      </vt:variant>
      <vt:variant>
        <vt:i4>5</vt:i4>
      </vt:variant>
      <vt:variant>
        <vt:lpwstr>https://www.corrections.govt.nz/resources/research/journal/volume_7_issue_1_july_2019/matawhiti_residence_public_protection_orders</vt:lpwstr>
      </vt:variant>
      <vt:variant>
        <vt:lpwstr>:~:text=Matawh%C4%81iti%5B1%5D%20is%20New%20Zealand's,on%20one%20hectare%20of%20land</vt:lpwstr>
      </vt:variant>
      <vt:variant>
        <vt:i4>4325381</vt:i4>
      </vt:variant>
      <vt:variant>
        <vt:i4>24</vt:i4>
      </vt:variant>
      <vt:variant>
        <vt:i4>0</vt:i4>
      </vt:variant>
      <vt:variant>
        <vt:i4>5</vt:i4>
      </vt:variant>
      <vt:variant>
        <vt:lpwstr>https://www.ombudsman.parliament.nz/resources/expectations-conditions-and-treatment-residents-health-and-disability-places-detention</vt:lpwstr>
      </vt:variant>
      <vt:variant>
        <vt:lpwstr/>
      </vt:variant>
      <vt:variant>
        <vt:i4>1376269</vt:i4>
      </vt:variant>
      <vt:variant>
        <vt:i4>21</vt:i4>
      </vt:variant>
      <vt:variant>
        <vt:i4>0</vt:i4>
      </vt:variant>
      <vt:variant>
        <vt:i4>5</vt:i4>
      </vt:variant>
      <vt:variant>
        <vt:lpwstr>https://www.churchilltrust.com.au/fellow/andreea-lachsz-nt-2018/</vt:lpwstr>
      </vt:variant>
      <vt:variant>
        <vt:lpwstr/>
      </vt:variant>
      <vt:variant>
        <vt:i4>3473514</vt:i4>
      </vt:variant>
      <vt:variant>
        <vt:i4>18</vt:i4>
      </vt:variant>
      <vt:variant>
        <vt:i4>0</vt:i4>
      </vt:variant>
      <vt:variant>
        <vt:i4>5</vt:i4>
      </vt:variant>
      <vt:variant>
        <vt:lpwstr>https://www.asiapacificforum.net/resources/he-ara-tika-pathway-forward/</vt:lpwstr>
      </vt:variant>
      <vt:variant>
        <vt:lpwstr/>
      </vt:variant>
      <vt:variant>
        <vt:i4>2359345</vt:i4>
      </vt:variant>
      <vt:variant>
        <vt:i4>15</vt:i4>
      </vt:variant>
      <vt:variant>
        <vt:i4>0</vt:i4>
      </vt:variant>
      <vt:variant>
        <vt:i4>5</vt:i4>
      </vt:variant>
      <vt:variant>
        <vt:lpwstr>https://www.solitaryconfinement.org/solitary-confinement-in-new-zealand</vt:lpwstr>
      </vt:variant>
      <vt:variant>
        <vt:lpwstr/>
      </vt:variant>
      <vt:variant>
        <vt:i4>7143466</vt:i4>
      </vt:variant>
      <vt:variant>
        <vt:i4>12</vt:i4>
      </vt:variant>
      <vt:variant>
        <vt:i4>0</vt:i4>
      </vt:variant>
      <vt:variant>
        <vt:i4>5</vt:i4>
      </vt:variant>
      <vt:variant>
        <vt:lpwstr>https://www.otago.ac.nz/wellington/otago067751.pdf</vt:lpwstr>
      </vt:variant>
      <vt:variant>
        <vt:lpwstr/>
      </vt:variant>
      <vt:variant>
        <vt:i4>7864360</vt:i4>
      </vt:variant>
      <vt:variant>
        <vt:i4>9</vt:i4>
      </vt:variant>
      <vt:variant>
        <vt:i4>0</vt:i4>
      </vt:variant>
      <vt:variant>
        <vt:i4>5</vt:i4>
      </vt:variant>
      <vt:variant>
        <vt:lpwstr>https://www.ombudsman.parliament.nz/resources/final-report-unannounced-inspection-auckland-prison-under-crimes-torture-act-1989</vt:lpwstr>
      </vt:variant>
      <vt:variant>
        <vt:lpwstr/>
      </vt:variant>
      <vt:variant>
        <vt:i4>7995450</vt:i4>
      </vt:variant>
      <vt:variant>
        <vt:i4>6</vt:i4>
      </vt:variant>
      <vt:variant>
        <vt:i4>0</vt:i4>
      </vt:variant>
      <vt:variant>
        <vt:i4>5</vt:i4>
      </vt:variant>
      <vt:variant>
        <vt:lpwstr>https://www.ombudsman.parliament.nz/resources/final-report-unannounced-inspection-waikeria-prison-under-crimes-torture-act-1989</vt:lpwstr>
      </vt:variant>
      <vt:variant>
        <vt:lpwstr/>
      </vt:variant>
      <vt:variant>
        <vt:i4>1638458</vt:i4>
      </vt:variant>
      <vt:variant>
        <vt:i4>3</vt:i4>
      </vt:variant>
      <vt:variant>
        <vt:i4>0</vt:i4>
      </vt:variant>
      <vt:variant>
        <vt:i4>5</vt:i4>
      </vt:variant>
      <vt:variant>
        <vt:lpwstr>https://www.corrections.govt.nz/resources/statistics/quarterly_prison_statistics/prison_stats_march_2023</vt:lpwstr>
      </vt:variant>
      <vt:variant>
        <vt:lpwstr/>
      </vt:variant>
      <vt:variant>
        <vt:i4>5308481</vt:i4>
      </vt:variant>
      <vt:variant>
        <vt:i4>0</vt:i4>
      </vt:variant>
      <vt:variant>
        <vt:i4>0</vt:i4>
      </vt:variant>
      <vt:variant>
        <vt:i4>5</vt:i4>
      </vt:variant>
      <vt:variant>
        <vt:lpwstr>https://gazette.govt.nz/notice/id/2020-go2845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Moran</dc:creator>
  <cp:keywords/>
  <dc:description/>
  <cp:lastModifiedBy>Philippa Moran</cp:lastModifiedBy>
  <cp:revision>12</cp:revision>
  <dcterms:created xsi:type="dcterms:W3CDTF">2023-06-12T04:38:00Z</dcterms:created>
  <dcterms:modified xsi:type="dcterms:W3CDTF">2023-07-10T04:28:00Z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0x01010096A6F5F0E5872D4FBC99FF82404852FC</vt:lpwstr>
  </property>
  <property fmtid="{D5CDD505-2E9C-101B-9397-08002B2CF9AE}" pid="3" name="MediaServiceImageTags">
    <vt:lpwstr/>
  </property>
  <property fmtid="{D5CDD505-2E9C-101B-9397-08002B2CF9AE}" pid="4" name="RevIMBCS">
    <vt:lpwstr>340;#International Monitoring ＆ Submissions|2a22f43d-b086-4b03-9efa-1cfb9a62dde0</vt:lpwstr>
  </property>
  <property fmtid="{D5CDD505-2E9C-101B-9397-08002B2CF9AE}" pid="5" name="_dlc_DocIdItemGuid">
    <vt:lpwstr>33bff862-d4e0-4484-9e7d-1d3467d9f212</vt:lpwstr>
  </property>
</Properties>
</file>