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DFD8B" w14:textId="77777777" w:rsidR="0050540F" w:rsidRDefault="00D35BAB">
      <w:pPr>
        <w:pStyle w:val="Heading1"/>
      </w:pPr>
      <w:r>
        <w:t xml:space="preserve">Written Contribution for the Adoption of The List of Issues for the Republic of Uganda </w:t>
      </w:r>
    </w:p>
    <w:p w14:paraId="17ADFD8C" w14:textId="77777777" w:rsidR="0050540F" w:rsidRDefault="00D35BAB">
      <w:pPr>
        <w:pStyle w:val="Heading1"/>
      </w:pPr>
      <w:r>
        <w:t>135</w:t>
      </w:r>
      <w:r>
        <w:rPr>
          <w:vertAlign w:val="superscript"/>
        </w:rPr>
        <w:t>th</w:t>
      </w:r>
      <w:r>
        <w:t xml:space="preserve"> Session of the Human Rights Committee </w:t>
      </w:r>
    </w:p>
    <w:p w14:paraId="17ADFD8D" w14:textId="77777777" w:rsidR="0050540F" w:rsidRDefault="00D35BAB">
      <w:pPr>
        <w:pStyle w:val="Heading2"/>
        <w:jc w:val="center"/>
      </w:pPr>
      <w:r>
        <w:t>(27</w:t>
      </w:r>
      <w:r>
        <w:rPr>
          <w:vertAlign w:val="superscript"/>
        </w:rPr>
        <w:t>th</w:t>
      </w:r>
      <w:r>
        <w:t xml:space="preserve"> June- 29</w:t>
      </w:r>
      <w:r>
        <w:rPr>
          <w:vertAlign w:val="superscript"/>
        </w:rPr>
        <w:t>th</w:t>
      </w:r>
      <w:r>
        <w:t xml:space="preserve"> July 2022)</w:t>
      </w:r>
    </w:p>
    <w:p w14:paraId="17ADFD8E" w14:textId="248E496C" w:rsidR="0050540F" w:rsidRDefault="00D35BAB">
      <w:r>
        <w:t xml:space="preserve">Dear </w:t>
      </w:r>
      <w:r w:rsidR="00A176FA">
        <w:t>Honourable</w:t>
      </w:r>
      <w:r>
        <w:t xml:space="preserve"> members of the Committee, </w:t>
      </w:r>
    </w:p>
    <w:p w14:paraId="17ADFD8F" w14:textId="77777777" w:rsidR="0050540F" w:rsidRDefault="00D35BAB">
      <w:pPr>
        <w:pStyle w:val="Heading2"/>
      </w:pPr>
      <w:r>
        <w:t>Introduction</w:t>
      </w:r>
    </w:p>
    <w:p w14:paraId="17ADFD90" w14:textId="3B378C14" w:rsidR="0050540F" w:rsidRDefault="00D35BAB">
      <w:r>
        <w:t>The Center for Reproductive Rights (“</w:t>
      </w:r>
      <w:r>
        <w:rPr>
          <w:b/>
        </w:rPr>
        <w:t>the Center</w:t>
      </w:r>
      <w:r>
        <w:t>”) submit</w:t>
      </w:r>
      <w:r w:rsidR="00F67B3F">
        <w:t>s</w:t>
      </w:r>
      <w:r>
        <w:t xml:space="preserve"> this letter to provide the Human Rights Committee (“</w:t>
      </w:r>
      <w:r>
        <w:rPr>
          <w:b/>
        </w:rPr>
        <w:t>the Committee</w:t>
      </w:r>
      <w:r>
        <w:t>”) with relevant information about the status of compliance by the Republic of Uganda (“</w:t>
      </w:r>
      <w:r>
        <w:rPr>
          <w:b/>
        </w:rPr>
        <w:t>Uganda</w:t>
      </w:r>
      <w:r>
        <w:t>”) with its obligations under the International Covenant on Civil and Political Rights (“</w:t>
      </w:r>
      <w:r>
        <w:rPr>
          <w:b/>
        </w:rPr>
        <w:t>ICCPR</w:t>
      </w:r>
      <w:r>
        <w:t>”) to assist the Committee with the adoption of list of issues in preparation for the Committee’s review of  Uganda.</w:t>
      </w:r>
    </w:p>
    <w:p w14:paraId="17ADFD91" w14:textId="5D05A97D" w:rsidR="0050540F" w:rsidRDefault="00D35BAB">
      <w:r>
        <w:t>The Center is an international non–governmental legal advocacy organization that uses the law to advance reproductive freedom as a fundamental human right that all governments are legally obligated to respect, protect and fulfill. Thus, this contribution will focus on the rights in the ICCPR that are most indivisible from the right to the highest attainable standard of sexual and reproductive health.</w:t>
      </w:r>
    </w:p>
    <w:p w14:paraId="17ADFD92" w14:textId="77777777" w:rsidR="0050540F" w:rsidRDefault="00D35BAB">
      <w:pPr>
        <w:pStyle w:val="Heading2"/>
      </w:pPr>
      <w:r>
        <w:t>Background</w:t>
      </w:r>
    </w:p>
    <w:p w14:paraId="17ADFD93" w14:textId="77777777" w:rsidR="0050540F" w:rsidRDefault="00D35BAB">
      <w:r>
        <w:t>Uganda assented to the ICCPR on 21</w:t>
      </w:r>
      <w:r>
        <w:rPr>
          <w:vertAlign w:val="superscript"/>
        </w:rPr>
        <w:t>st</w:t>
      </w:r>
      <w:r>
        <w:t xml:space="preserve"> June 1995. It has, since then taken steps to domesticate the provisions of the ICCPR including enacting legislation to operationalize the rights in the ICCPR.</w:t>
      </w:r>
      <w:r>
        <w:rPr>
          <w:vertAlign w:val="superscript"/>
        </w:rPr>
        <w:footnoteReference w:id="1"/>
      </w:r>
      <w:r>
        <w:t xml:space="preserve"> Furthermore, the rights enshrined in the ICCPR are also recognized in the Constitution of Uganda which is the supreme law of the land</w:t>
      </w:r>
      <w:r>
        <w:rPr>
          <w:vertAlign w:val="superscript"/>
        </w:rPr>
        <w:footnoteReference w:id="2"/>
      </w:r>
      <w:r>
        <w:t xml:space="preserve"> including the right to life (Article 22); the right to liberty (Article 23); right to dignity and protection from torture, cruel, degrading and inhumane treatment (Article 24); right to equality and freedom from discrimination (Article 21); the right to privacy (Article 27); and the right to access information (Article 41). Article 20 of the Constitution recognizes that human rights are inherent to every person and not guaranteed by the state. It also mandates all organs of state and agencies of the government to respect, uphold and promote the rights enshrined thereafter.</w:t>
      </w:r>
    </w:p>
    <w:p w14:paraId="17ADFD94" w14:textId="77777777" w:rsidR="0050540F" w:rsidRDefault="00D35BAB">
      <w:r>
        <w:lastRenderedPageBreak/>
        <w:t>At a regional level, Uganda is also bound by the African Charter on Human and People’s Rights, the Protocol to the African Charter on Human and People’s Rights on the Rights of Women in Africa and the African Charter on the Rights and Welfare of the Child. These instruments also recognize and place on the state, the obligation to protect, respect and fulfill civil and political rights. This contribution shall address the gaps in the Uganda’s fulfillment of its obligations in this regard specifically:</w:t>
      </w:r>
    </w:p>
    <w:p w14:paraId="17ADFD95" w14:textId="77777777" w:rsidR="0050540F" w:rsidRDefault="00D35BAB">
      <w:pPr>
        <w:numPr>
          <w:ilvl w:val="0"/>
          <w:numId w:val="1"/>
        </w:numPr>
        <w:pBdr>
          <w:top w:val="nil"/>
          <w:left w:val="nil"/>
          <w:bottom w:val="nil"/>
          <w:right w:val="nil"/>
          <w:between w:val="nil"/>
        </w:pBdr>
        <w:spacing w:after="0"/>
        <w:ind w:left="567" w:hanging="567"/>
        <w:rPr>
          <w:color w:val="000000"/>
        </w:rPr>
      </w:pPr>
      <w:r>
        <w:rPr>
          <w:color w:val="000000"/>
        </w:rPr>
        <w:t>The failure to ensure access to information;</w:t>
      </w:r>
    </w:p>
    <w:p w14:paraId="17ADFD96" w14:textId="77777777" w:rsidR="0050540F" w:rsidRDefault="00D35BAB">
      <w:pPr>
        <w:numPr>
          <w:ilvl w:val="0"/>
          <w:numId w:val="1"/>
        </w:numPr>
        <w:pBdr>
          <w:top w:val="nil"/>
          <w:left w:val="nil"/>
          <w:bottom w:val="nil"/>
          <w:right w:val="nil"/>
          <w:between w:val="nil"/>
        </w:pBdr>
        <w:spacing w:after="0"/>
        <w:ind w:left="567" w:hanging="567"/>
        <w:rPr>
          <w:color w:val="000000"/>
        </w:rPr>
      </w:pPr>
      <w:r>
        <w:rPr>
          <w:color w:val="000000"/>
        </w:rPr>
        <w:t>The failure to safeguard the right to privacy;</w:t>
      </w:r>
    </w:p>
    <w:p w14:paraId="17ADFD97" w14:textId="488862BB" w:rsidR="0050540F" w:rsidRDefault="00D35BAB">
      <w:pPr>
        <w:numPr>
          <w:ilvl w:val="0"/>
          <w:numId w:val="1"/>
        </w:numPr>
        <w:pBdr>
          <w:top w:val="nil"/>
          <w:left w:val="nil"/>
          <w:bottom w:val="nil"/>
          <w:right w:val="nil"/>
          <w:between w:val="nil"/>
        </w:pBdr>
        <w:spacing w:after="0"/>
        <w:ind w:left="567" w:hanging="567"/>
        <w:rPr>
          <w:color w:val="000000"/>
        </w:rPr>
      </w:pPr>
      <w:r>
        <w:rPr>
          <w:color w:val="000000"/>
        </w:rPr>
        <w:t>Failure to safeguard the right to life;</w:t>
      </w:r>
      <w:r w:rsidR="00FB46E0">
        <w:rPr>
          <w:color w:val="000000"/>
        </w:rPr>
        <w:t xml:space="preserve"> and</w:t>
      </w:r>
    </w:p>
    <w:p w14:paraId="17ADFD99" w14:textId="7C6A8D9F" w:rsidR="0050540F" w:rsidRPr="00FB46E0" w:rsidRDefault="00D35BAB" w:rsidP="00FB46E0">
      <w:pPr>
        <w:numPr>
          <w:ilvl w:val="0"/>
          <w:numId w:val="1"/>
        </w:numPr>
        <w:pBdr>
          <w:top w:val="nil"/>
          <w:left w:val="nil"/>
          <w:bottom w:val="nil"/>
          <w:right w:val="nil"/>
          <w:between w:val="nil"/>
        </w:pBdr>
        <w:spacing w:after="0"/>
        <w:ind w:left="567" w:hanging="567"/>
        <w:rPr>
          <w:color w:val="000000"/>
        </w:rPr>
      </w:pPr>
      <w:r>
        <w:rPr>
          <w:color w:val="000000"/>
        </w:rPr>
        <w:t>Failure to prevent and address torture, cruel, inhumane, and degrading treatment</w:t>
      </w:r>
      <w:r w:rsidR="00FB46E0">
        <w:rPr>
          <w:color w:val="000000"/>
        </w:rPr>
        <w:t>.</w:t>
      </w:r>
    </w:p>
    <w:p w14:paraId="17ADFD9A" w14:textId="77777777" w:rsidR="0050540F" w:rsidRDefault="00D35BAB">
      <w:pPr>
        <w:pStyle w:val="Heading2"/>
      </w:pPr>
      <w:r>
        <w:t xml:space="preserve">Failure to ensure access to information </w:t>
      </w:r>
    </w:p>
    <w:p w14:paraId="17ADFD9B" w14:textId="77777777" w:rsidR="0050540F" w:rsidRDefault="00D35BAB">
      <w:r>
        <w:t>In its state report, the Government of Uganda states that it enacted the Access to Information Act 2005 and the Access to Information Regulations 2011 as legislative measures to ensure the realization of the right to access information which is guaranteed by Article 41 of the Constitution of Uganda and Article 19 of the ICCPR.</w:t>
      </w:r>
      <w:r>
        <w:rPr>
          <w:vertAlign w:val="superscript"/>
        </w:rPr>
        <w:footnoteReference w:id="3"/>
      </w:r>
      <w:r>
        <w:t xml:space="preserve"> While these are commendable measures, they are not adequate to ensure access to information on sexual and reproductive health. As the Committee notes in its General Comment No. 34, the right to access information also imposes on states a proactive obligation to ensure that information that is of public interest is put in the public domain which includes ensuring easy, prompt, effective and practical access to such information.</w:t>
      </w:r>
      <w:r>
        <w:rPr>
          <w:vertAlign w:val="superscript"/>
        </w:rPr>
        <w:footnoteReference w:id="4"/>
      </w:r>
      <w:r>
        <w:t xml:space="preserve"> The obligation to ensure access to information in the context of sexual and reproductive health includes “…</w:t>
      </w:r>
      <w:r>
        <w:rPr>
          <w:i/>
        </w:rPr>
        <w:t xml:space="preserve"> the right to </w:t>
      </w:r>
      <w:r>
        <w:rPr>
          <w:i/>
          <w:u w:val="single"/>
        </w:rPr>
        <w:t>seek, receive and disseminate information and ideas concerning sexual and reproductive health issues generally</w:t>
      </w:r>
      <w:r>
        <w:rPr>
          <w:i/>
        </w:rPr>
        <w:t xml:space="preserve">, and also for individuals </w:t>
      </w:r>
      <w:r>
        <w:rPr>
          <w:i/>
          <w:u w:val="single"/>
        </w:rPr>
        <w:t>to receive specific information on their particular health status</w:t>
      </w:r>
      <w:r>
        <w:rPr>
          <w:i/>
        </w:rPr>
        <w:t xml:space="preserve">. </w:t>
      </w:r>
      <w:r>
        <w:rPr>
          <w:i/>
          <w:u w:val="single"/>
        </w:rPr>
        <w:t>All individuals and groups, including adolescents and youth, have the right to evidence-based information on all aspects of sexual and reproductive health</w:t>
      </w:r>
      <w:r>
        <w:rPr>
          <w:i/>
        </w:rPr>
        <w:t xml:space="preserve">, including maternal health, contraceptives, family planning, sexually transmitted infections, HIV prevention, safe abortion and post-abortion care, infertility and fertility options, and reproductive cancer. Such information must be provided in a manner consistent with the needs of the individual and the </w:t>
      </w:r>
      <w:r>
        <w:rPr>
          <w:i/>
        </w:rPr>
        <w:lastRenderedPageBreak/>
        <w:t>community, taking into consideration, for example, age, gender, language ability, educational level, disability, sexual orientation, gender identity and intersex status</w:t>
      </w:r>
      <w:r>
        <w:t>…”</w:t>
      </w:r>
      <w:r>
        <w:rPr>
          <w:vertAlign w:val="superscript"/>
        </w:rPr>
        <w:footnoteReference w:id="5"/>
      </w:r>
    </w:p>
    <w:p w14:paraId="17ADFD9C" w14:textId="77777777" w:rsidR="0050540F" w:rsidRDefault="00D35BAB">
      <w:r>
        <w:t xml:space="preserve"> The government of Uganda has failed to fulfill its obligations in this regard. In 2016, the government banned the provision of comprehensive sexuality education and mandated that schools could only provide students with abstinence-only sexuality education.</w:t>
      </w:r>
      <w:r>
        <w:rPr>
          <w:vertAlign w:val="superscript"/>
        </w:rPr>
        <w:footnoteReference w:id="6"/>
      </w:r>
      <w:r>
        <w:t xml:space="preserve"> This prompted the filing of the case of </w:t>
      </w:r>
      <w:r>
        <w:rPr>
          <w:b/>
          <w:i/>
          <w:u w:val="single"/>
        </w:rPr>
        <w:t>Centre for Health, Human Rights and Development (CEHURD) v Attorney General and Family Life Network</w:t>
      </w:r>
      <w:r>
        <w:t xml:space="preserve"> (“</w:t>
      </w:r>
      <w:r>
        <w:rPr>
          <w:b/>
        </w:rPr>
        <w:t>the</w:t>
      </w:r>
      <w:r>
        <w:t xml:space="preserve"> </w:t>
      </w:r>
      <w:r>
        <w:rPr>
          <w:b/>
        </w:rPr>
        <w:t>CEHURD</w:t>
      </w:r>
      <w:r>
        <w:t xml:space="preserve"> </w:t>
      </w:r>
      <w:r>
        <w:rPr>
          <w:b/>
        </w:rPr>
        <w:t>Case</w:t>
      </w:r>
      <w:r>
        <w:t>”).</w:t>
      </w:r>
      <w:r>
        <w:rPr>
          <w:vertAlign w:val="superscript"/>
        </w:rPr>
        <w:footnoteReference w:id="7"/>
      </w:r>
      <w:r>
        <w:t xml:space="preserve"> In 2018, before the case was heard to completion, the Ministry adopted the National Sexuality Education Framework (“</w:t>
      </w:r>
      <w:r>
        <w:rPr>
          <w:b/>
        </w:rPr>
        <w:t>the</w:t>
      </w:r>
      <w:r>
        <w:t xml:space="preserve"> </w:t>
      </w:r>
      <w:r>
        <w:rPr>
          <w:b/>
        </w:rPr>
        <w:t>Framework</w:t>
      </w:r>
      <w:r>
        <w:t>”) with the purpose of standardizing sexuality education as a measure to reduce teenage pregnancy through education. Unfortunately, the framework has a number of gaps:</w:t>
      </w:r>
    </w:p>
    <w:p w14:paraId="17ADFD9D" w14:textId="77777777" w:rsidR="0050540F" w:rsidRDefault="00D35BAB">
      <w:pPr>
        <w:numPr>
          <w:ilvl w:val="0"/>
          <w:numId w:val="3"/>
        </w:numPr>
        <w:pBdr>
          <w:top w:val="nil"/>
          <w:left w:val="nil"/>
          <w:bottom w:val="nil"/>
          <w:right w:val="nil"/>
          <w:between w:val="nil"/>
        </w:pBdr>
        <w:spacing w:after="0"/>
        <w:ind w:left="567" w:hanging="567"/>
        <w:rPr>
          <w:color w:val="000000"/>
        </w:rPr>
      </w:pPr>
      <w:r>
        <w:rPr>
          <w:color w:val="000000"/>
        </w:rPr>
        <w:t>As was noted in the CEHURD Case, Uganda has an obligation to ensure that adolescents, both in school and out of school, are provided with neutral information on how to protect their health and development and practice healthy behaviors. The Framework does not meet these criteria as its first principle of interpretation and application is the principle of being God fearing.</w:t>
      </w:r>
      <w:r>
        <w:rPr>
          <w:color w:val="000000"/>
          <w:vertAlign w:val="superscript"/>
        </w:rPr>
        <w:footnoteReference w:id="8"/>
      </w:r>
      <w:r>
        <w:rPr>
          <w:color w:val="000000"/>
        </w:rPr>
        <w:t xml:space="preserve"> The application of this principle can be seen throughout the Framework. For instance, the values to be fostered in all age groups include that “</w:t>
      </w:r>
      <w:r>
        <w:rPr>
          <w:i/>
          <w:color w:val="000000"/>
        </w:rPr>
        <w:t>mankind is created and purposed by God</w:t>
      </w:r>
      <w:r>
        <w:rPr>
          <w:color w:val="000000"/>
        </w:rPr>
        <w:t>”.</w:t>
      </w:r>
      <w:r>
        <w:rPr>
          <w:color w:val="000000"/>
          <w:vertAlign w:val="superscript"/>
        </w:rPr>
        <w:footnoteReference w:id="9"/>
      </w:r>
      <w:r>
        <w:rPr>
          <w:color w:val="000000"/>
        </w:rPr>
        <w:t xml:space="preserve"> The inclusion and implementation of the principle of being god-fearing contradicts the criteria of neutrality that was specified by the Court in the CEHURD Case. It also contradicts the provisions of Article 7 of the Constitution of Uganda which states that Uganda shall not adopt a state religion which infers an obligation to enact religiously neutral laws and policy.</w:t>
      </w:r>
    </w:p>
    <w:p w14:paraId="17ADFD9E" w14:textId="4A61383B" w:rsidR="0050540F" w:rsidRDefault="00D35BAB">
      <w:pPr>
        <w:numPr>
          <w:ilvl w:val="0"/>
          <w:numId w:val="3"/>
        </w:numPr>
        <w:pBdr>
          <w:top w:val="nil"/>
          <w:left w:val="nil"/>
          <w:bottom w:val="nil"/>
          <w:right w:val="nil"/>
          <w:between w:val="nil"/>
        </w:pBdr>
        <w:spacing w:after="0"/>
        <w:ind w:left="567" w:hanging="567"/>
        <w:rPr>
          <w:color w:val="000000"/>
        </w:rPr>
      </w:pPr>
      <w:r>
        <w:rPr>
          <w:color w:val="000000"/>
        </w:rPr>
        <w:lastRenderedPageBreak/>
        <w:t>The Framework only makes reference to boy and girl genders,</w:t>
      </w:r>
      <w:r>
        <w:rPr>
          <w:color w:val="000000"/>
          <w:vertAlign w:val="superscript"/>
        </w:rPr>
        <w:footnoteReference w:id="10"/>
      </w:r>
      <w:r>
        <w:rPr>
          <w:color w:val="000000"/>
        </w:rPr>
        <w:t xml:space="preserve"> male and female anatomy and physiology</w:t>
      </w:r>
      <w:r>
        <w:rPr>
          <w:color w:val="000000"/>
          <w:vertAlign w:val="superscript"/>
        </w:rPr>
        <w:footnoteReference w:id="11"/>
      </w:r>
      <w:r>
        <w:rPr>
          <w:color w:val="000000"/>
        </w:rPr>
        <w:t xml:space="preserve"> and relations between male and female persons.</w:t>
      </w:r>
      <w:r>
        <w:rPr>
          <w:color w:val="000000"/>
          <w:vertAlign w:val="superscript"/>
        </w:rPr>
        <w:footnoteReference w:id="12"/>
      </w:r>
      <w:r>
        <w:rPr>
          <w:color w:val="000000"/>
        </w:rPr>
        <w:t xml:space="preserve"> As a result, it excludes all persons that do not fall within these gender and sex binaries. It also goes further to stigmatize non-heteronormative relationships by requiring that children be taught that only opposite sex attraction is natural.</w:t>
      </w:r>
      <w:r>
        <w:rPr>
          <w:color w:val="000000"/>
          <w:vertAlign w:val="superscript"/>
        </w:rPr>
        <w:footnoteReference w:id="13"/>
      </w:r>
      <w:r>
        <w:rPr>
          <w:color w:val="000000"/>
        </w:rPr>
        <w:t xml:space="preserve"> This is especially concerning given that the Framework requires that children be taught to avoid ”</w:t>
      </w:r>
      <w:r>
        <w:rPr>
          <w:i/>
          <w:color w:val="000000"/>
        </w:rPr>
        <w:t>deviant sexual behavior</w:t>
      </w:r>
      <w:r>
        <w:rPr>
          <w:color w:val="000000"/>
        </w:rPr>
        <w:t>“,</w:t>
      </w:r>
      <w:r>
        <w:rPr>
          <w:color w:val="000000"/>
          <w:vertAlign w:val="superscript"/>
        </w:rPr>
        <w:footnoteReference w:id="14"/>
      </w:r>
      <w:r>
        <w:rPr>
          <w:color w:val="000000"/>
        </w:rPr>
        <w:t xml:space="preserve"> a term which is undefined and, given the strong heteronormative provisions of the Framework, subject to abuse and misinterpretation in a manner that discriminates against LGBTIQ+ children and adolescents</w:t>
      </w:r>
      <w:r w:rsidR="00D53AA6">
        <w:rPr>
          <w:color w:val="000000"/>
        </w:rPr>
        <w:t xml:space="preserve">. </w:t>
      </w:r>
      <w:r w:rsidR="00323CCF">
        <w:rPr>
          <w:color w:val="000000"/>
        </w:rPr>
        <w:t xml:space="preserve">The abuse and misinterpretation of such </w:t>
      </w:r>
      <w:r w:rsidR="006B4DBC">
        <w:rPr>
          <w:color w:val="000000"/>
        </w:rPr>
        <w:t>terms</w:t>
      </w:r>
      <w:r w:rsidR="00D53AA6">
        <w:rPr>
          <w:color w:val="000000"/>
        </w:rPr>
        <w:t xml:space="preserve"> contributes to the </w:t>
      </w:r>
      <w:r w:rsidR="00E55918">
        <w:rPr>
          <w:color w:val="000000"/>
        </w:rPr>
        <w:t xml:space="preserve">stigma </w:t>
      </w:r>
      <w:r w:rsidR="00BD6A8B">
        <w:rPr>
          <w:color w:val="000000"/>
        </w:rPr>
        <w:t>against LGBTIQ+ persons thus laying the foundation for the enactment of</w:t>
      </w:r>
      <w:r w:rsidR="003118EC">
        <w:rPr>
          <w:color w:val="000000"/>
        </w:rPr>
        <w:t xml:space="preserve"> laws that criminalise them such as the Sexual Offences Bill</w:t>
      </w:r>
      <w:r w:rsidR="006B4DBC">
        <w:rPr>
          <w:color w:val="000000"/>
        </w:rPr>
        <w:t xml:space="preserve"> (2019)</w:t>
      </w:r>
      <w:r w:rsidR="003118EC">
        <w:rPr>
          <w:color w:val="000000"/>
        </w:rPr>
        <w:t xml:space="preserve"> which was passed by Parliament in </w:t>
      </w:r>
      <w:r w:rsidR="00C57CFF">
        <w:rPr>
          <w:color w:val="000000"/>
        </w:rPr>
        <w:t>2021 and only</w:t>
      </w:r>
      <w:r w:rsidR="006D1369">
        <w:rPr>
          <w:color w:val="000000"/>
        </w:rPr>
        <w:t xml:space="preserve"> failed to become law because the president declined to sign it</w:t>
      </w:r>
      <w:r w:rsidR="00116E0D">
        <w:rPr>
          <w:color w:val="000000"/>
        </w:rPr>
        <w:t>. This stigma in turn prevents LGBTIQ+ persons from accessing health services, especially, sexual and reproductive health services.</w:t>
      </w:r>
    </w:p>
    <w:p w14:paraId="17ADFD9F" w14:textId="77777777" w:rsidR="0050540F" w:rsidRDefault="00D35BAB">
      <w:pPr>
        <w:numPr>
          <w:ilvl w:val="0"/>
          <w:numId w:val="3"/>
        </w:numPr>
        <w:pBdr>
          <w:top w:val="nil"/>
          <w:left w:val="nil"/>
          <w:bottom w:val="nil"/>
          <w:right w:val="nil"/>
          <w:between w:val="nil"/>
        </w:pBdr>
        <w:spacing w:after="0"/>
        <w:ind w:left="567" w:hanging="567"/>
        <w:rPr>
          <w:color w:val="000000"/>
        </w:rPr>
      </w:pPr>
      <w:r>
        <w:rPr>
          <w:color w:val="000000"/>
        </w:rPr>
        <w:t>The Framework is not geared towards providing adolescents with comprehensive information to enable them to make responsible and healthy sexual choices</w:t>
      </w:r>
      <w:r>
        <w:rPr>
          <w:color w:val="000000"/>
          <w:vertAlign w:val="superscript"/>
        </w:rPr>
        <w:footnoteReference w:id="15"/>
      </w:r>
      <w:r>
        <w:rPr>
          <w:color w:val="000000"/>
        </w:rPr>
        <w:t xml:space="preserve"> but rather to ensure that adolescents uphold the values of purity and virginity</w:t>
      </w:r>
      <w:r>
        <w:rPr>
          <w:color w:val="000000"/>
          <w:vertAlign w:val="superscript"/>
        </w:rPr>
        <w:footnoteReference w:id="16"/>
      </w:r>
      <w:r>
        <w:rPr>
          <w:color w:val="000000"/>
        </w:rPr>
        <w:t xml:space="preserve"> by committing to premarital abstinence and marital faithfulness.</w:t>
      </w:r>
      <w:r>
        <w:rPr>
          <w:color w:val="000000"/>
          <w:vertAlign w:val="superscript"/>
        </w:rPr>
        <w:footnoteReference w:id="17"/>
      </w:r>
      <w:r>
        <w:rPr>
          <w:color w:val="000000"/>
        </w:rPr>
        <w:t xml:space="preserve"> Thus, key messages </w:t>
      </w:r>
      <w:r>
        <w:rPr>
          <w:color w:val="000000"/>
        </w:rPr>
        <w:lastRenderedPageBreak/>
        <w:t>that adolescents and children are taught include that abstinence is the primary method of preventing pregnancy.</w:t>
      </w:r>
      <w:r>
        <w:rPr>
          <w:color w:val="000000"/>
          <w:vertAlign w:val="superscript"/>
        </w:rPr>
        <w:footnoteReference w:id="18"/>
      </w:r>
    </w:p>
    <w:p w14:paraId="17ADFDA0" w14:textId="77777777" w:rsidR="0050540F" w:rsidRDefault="00D35BAB">
      <w:pPr>
        <w:numPr>
          <w:ilvl w:val="0"/>
          <w:numId w:val="3"/>
        </w:numPr>
        <w:pBdr>
          <w:top w:val="nil"/>
          <w:left w:val="nil"/>
          <w:bottom w:val="nil"/>
          <w:right w:val="nil"/>
          <w:between w:val="nil"/>
        </w:pBdr>
        <w:ind w:left="567" w:hanging="567"/>
      </w:pPr>
      <w:r>
        <w:rPr>
          <w:color w:val="000000"/>
        </w:rPr>
        <w:t>Contrary to Uganda’s obligations, the Framework encourages attitudes, values, and beliefs that are based in patriarchy and have been recognized as underlying drivers of gender-based violence, especially against women and girls.</w:t>
      </w:r>
      <w:r>
        <w:rPr>
          <w:color w:val="000000"/>
          <w:vertAlign w:val="superscript"/>
        </w:rPr>
        <w:footnoteReference w:id="19"/>
      </w:r>
      <w:r>
        <w:rPr>
          <w:color w:val="000000"/>
        </w:rPr>
        <w:t xml:space="preserve"> It also encourages beliefs, attitudes and values that stigmatise survivors of sexual violence and encourage victim-blaming.</w:t>
      </w:r>
      <w:r>
        <w:rPr>
          <w:color w:val="000000"/>
          <w:vertAlign w:val="superscript"/>
        </w:rPr>
        <w:footnoteReference w:id="20"/>
      </w:r>
      <w:r>
        <w:rPr>
          <w:color w:val="000000"/>
        </w:rPr>
        <w:t xml:space="preserve"> For instance, it requires that children and adolescents be taught to identify traditionally assigned gender roles and abide by them</w:t>
      </w:r>
      <w:r>
        <w:rPr>
          <w:color w:val="000000"/>
          <w:vertAlign w:val="superscript"/>
        </w:rPr>
        <w:footnoteReference w:id="21"/>
      </w:r>
      <w:r>
        <w:rPr>
          <w:color w:val="000000"/>
        </w:rPr>
        <w:t xml:space="preserve"> and that women and girls can protect themselves from sexual and gender-based violence by being assertive, resisting unwanted sexual pressure and avoiding alcohol, drugs and other “</w:t>
      </w:r>
      <w:r>
        <w:rPr>
          <w:i/>
          <w:color w:val="000000"/>
        </w:rPr>
        <w:t>dangerous</w:t>
      </w:r>
      <w:r>
        <w:rPr>
          <w:color w:val="000000"/>
        </w:rPr>
        <w:t>” situations.</w:t>
      </w:r>
      <w:r>
        <w:rPr>
          <w:color w:val="000000"/>
          <w:vertAlign w:val="superscript"/>
        </w:rPr>
        <w:footnoteReference w:id="22"/>
      </w:r>
    </w:p>
    <w:p w14:paraId="17ADFDA1" w14:textId="77777777" w:rsidR="0050540F" w:rsidRDefault="00D35BAB">
      <w:pPr>
        <w:rPr>
          <w:vertAlign w:val="superscript"/>
        </w:rPr>
      </w:pPr>
      <w:r>
        <w:t>This lack of comprehensive, evidence-based, and scientifically accurate information extends beyond schools to healthcare providers as well. For example, few women and girls receive information on contraception from credible sources. Instead, they are forced to learn about contraceptives from their peers, family or community, many of whom are unlikely to have accurate information partly due to negative attitudes towards contraception because of misinformation, disinformation, religious and cultural influences. Others learn through self-experimentation, which is not a source of comprehensive information.</w:t>
      </w:r>
      <w:r>
        <w:rPr>
          <w:vertAlign w:val="superscript"/>
        </w:rPr>
        <w:footnoteReference w:id="23"/>
      </w:r>
      <w:r>
        <w:t xml:space="preserve"> As a result, there is both a lack of information and rampant misinformation on contraceptives. For instance, it is a common belief among women and girls that using modern contraception causes cancer, permanent infertility, foetal </w:t>
      </w:r>
      <w:r>
        <w:lastRenderedPageBreak/>
        <w:t>abnormalities in future children and even death.</w:t>
      </w:r>
      <w:r>
        <w:rPr>
          <w:vertAlign w:val="superscript"/>
        </w:rPr>
        <w:footnoteReference w:id="24"/>
      </w:r>
      <w:r>
        <w:t xml:space="preserve"> This contributes to the low rates of modern contraceptive use of 9.4% among girls aged 15-19 years and 28.3% among women aged 20-24 years.</w:t>
      </w:r>
      <w:r>
        <w:rPr>
          <w:vertAlign w:val="superscript"/>
        </w:rPr>
        <w:footnoteReference w:id="25"/>
      </w:r>
      <w:r>
        <w:t xml:space="preserve">  Similarly, with regards to safe abortion services only half of Ugandan opinion leaders including national and district policy makers, service providers and cultural leaders know that women have a right to access safe abortion services where their life or health is endangered by the pregnancy- with 25% of leaders believing that abortion is illegal in all circumstances.</w:t>
      </w:r>
      <w:r>
        <w:rPr>
          <w:vertAlign w:val="superscript"/>
        </w:rPr>
        <w:footnoteReference w:id="26"/>
      </w:r>
      <w:r>
        <w:rPr>
          <w:vertAlign w:val="superscript"/>
        </w:rPr>
        <w:t xml:space="preserve"> </w:t>
      </w:r>
    </w:p>
    <w:p w14:paraId="17ADFDA2" w14:textId="11872741" w:rsidR="0050540F" w:rsidRDefault="00E41A25">
      <w:sdt>
        <w:sdtPr>
          <w:tag w:val="goog_rdk_1"/>
          <w:id w:val="2001083496"/>
        </w:sdtPr>
        <w:sdtEndPr/>
        <w:sdtContent/>
      </w:sdt>
      <w:r w:rsidR="00D35BAB">
        <w:t>This lack of information contributes to the high rate of teen pregnancy in Uganda:  25% of adolescent girls have had their first child by age 19.</w:t>
      </w:r>
      <w:r w:rsidR="00D35BAB">
        <w:rPr>
          <w:vertAlign w:val="superscript"/>
        </w:rPr>
        <w:footnoteReference w:id="27"/>
      </w:r>
      <w:r w:rsidR="00D35BAB">
        <w:t xml:space="preserve"> Half of these pregnancies are unintended</w:t>
      </w:r>
      <w:r w:rsidR="00D35BAB">
        <w:rPr>
          <w:vertAlign w:val="superscript"/>
        </w:rPr>
        <w:footnoteReference w:id="28"/>
      </w:r>
      <w:r w:rsidR="00D35BAB">
        <w:t xml:space="preserve"> which exposes women and girls, especially adolescent girls, to emotional and psychological abuse in the form of stigma, rejection and ostracization from family, partners, schools and their community; physical abuse in the form of beatings from parents and partners; and forced marriage.</w:t>
      </w:r>
      <w:r w:rsidR="00D35BAB">
        <w:rPr>
          <w:vertAlign w:val="superscript"/>
        </w:rPr>
        <w:footnoteReference w:id="29"/>
      </w:r>
      <w:r w:rsidR="00D35BAB">
        <w:t xml:space="preserve"> Furthermore, 15% of unintended pregnancies end in induced abortion majority of which are unsafe</w:t>
      </w:r>
      <w:r w:rsidR="00D35BAB">
        <w:rPr>
          <w:vertAlign w:val="superscript"/>
        </w:rPr>
        <w:footnoteReference w:id="30"/>
      </w:r>
      <w:r w:rsidR="00D35BAB">
        <w:t xml:space="preserve">. In this way, lack of information on sexual and reproductive health snowballs into violations </w:t>
      </w:r>
      <w:r>
        <w:t>against</w:t>
      </w:r>
      <w:r w:rsidR="00D35BAB">
        <w:t xml:space="preserve"> adolescents’ right to life, </w:t>
      </w:r>
      <w:r w:rsidR="00777D7A">
        <w:t>security</w:t>
      </w:r>
      <w:r w:rsidR="00D35BAB">
        <w:t xml:space="preserve"> of the person and freedom from torture, cruel, inhuman, degrading treatment.</w:t>
      </w:r>
    </w:p>
    <w:p w14:paraId="17ADFDA3" w14:textId="77777777" w:rsidR="0050540F" w:rsidRDefault="00D35BAB">
      <w:pPr>
        <w:pStyle w:val="Heading2"/>
      </w:pPr>
      <w:r>
        <w:lastRenderedPageBreak/>
        <w:t>Failure to Safeguard the Right to Privacy</w:t>
      </w:r>
    </w:p>
    <w:p w14:paraId="17ADFDA4" w14:textId="77777777" w:rsidR="0050540F" w:rsidRDefault="00D35BAB">
      <w:r>
        <w:t xml:space="preserve">The ICCPR recognizes the right to protection from arbitrary or unlawful interference with privacy in Article 17. The provisions of this article are domesticated in Article 27 of the Constitution of Uganda. In its report of measures that it has taken to safeguard the right to privacy, the state only mentions the court decision in the case of </w:t>
      </w:r>
      <w:r>
        <w:rPr>
          <w:b/>
          <w:i/>
          <w:u w:val="single"/>
        </w:rPr>
        <w:t>Basajjabaka v MTN UG LTD</w:t>
      </w:r>
      <w:r>
        <w:rPr>
          <w:b/>
          <w:i/>
          <w:u w:val="single"/>
          <w:vertAlign w:val="superscript"/>
        </w:rPr>
        <w:footnoteReference w:id="31"/>
      </w:r>
      <w:r>
        <w:t xml:space="preserve"> which clarified when the use of photographs violates the right to privacy.</w:t>
      </w:r>
      <w:r>
        <w:rPr>
          <w:vertAlign w:val="superscript"/>
        </w:rPr>
        <w:t xml:space="preserve"> </w:t>
      </w:r>
      <w:r>
        <w:rPr>
          <w:vertAlign w:val="superscript"/>
        </w:rPr>
        <w:footnoteReference w:id="32"/>
      </w:r>
      <w:r>
        <w:t xml:space="preserve"> </w:t>
      </w:r>
    </w:p>
    <w:p w14:paraId="17ADFDA5" w14:textId="77777777" w:rsidR="0050540F" w:rsidRDefault="00D35BAB">
      <w:r>
        <w:t>The state report does not provide information on measures that have been taken to safeguard the right to privacy in other spheres, including health. The Special Rapporteur on the right to privacy explains that taking a gendered approach to defining health-related violations to the right to privacy includes recognizing that the right to privacy is violated by laws and practices that nullify decisions made by individuals regarding their health on the basis of age or gender or any other prohibited ground of discrimination.</w:t>
      </w:r>
      <w:r>
        <w:rPr>
          <w:vertAlign w:val="superscript"/>
        </w:rPr>
        <w:footnoteReference w:id="33"/>
      </w:r>
      <w:r>
        <w:t xml:space="preserve"> The right to privacy is also breached by laws and practices that require healthcare professionals to report women who have sought abortion services.</w:t>
      </w:r>
      <w:r>
        <w:rPr>
          <w:vertAlign w:val="superscript"/>
        </w:rPr>
        <w:footnoteReference w:id="34"/>
      </w:r>
      <w:r>
        <w:t xml:space="preserve"> Similar guidance has been given by the Committee on Economic, Social and Cultural Rights (“</w:t>
      </w:r>
      <w:r>
        <w:rPr>
          <w:b/>
        </w:rPr>
        <w:t>CESCR</w:t>
      </w:r>
      <w:r>
        <w:t>”) which recognizes that requiring adolescents to seek third-party authorization in order to access sexual and reproductive health services and information</w:t>
      </w:r>
      <w:r>
        <w:rPr>
          <w:vertAlign w:val="superscript"/>
        </w:rPr>
        <w:footnoteReference w:id="35"/>
      </w:r>
      <w:r>
        <w:t xml:space="preserve"> or sharing the personal health data or information of adolescents without prior, informed, freely given consent</w:t>
      </w:r>
      <w:r>
        <w:rPr>
          <w:vertAlign w:val="superscript"/>
        </w:rPr>
        <w:footnoteReference w:id="36"/>
      </w:r>
      <w:r>
        <w:t xml:space="preserve"> violate the right to privacy.</w:t>
      </w:r>
    </w:p>
    <w:p w14:paraId="17ADFDA6" w14:textId="77777777" w:rsidR="0050540F" w:rsidRDefault="00D35BAB">
      <w:r>
        <w:t>Unfortunately, not only are such breaches of the right to privacy common for adolescents in Uganda, but they also</w:t>
      </w:r>
      <w:r>
        <w:tab/>
        <w:t xml:space="preserve"> hinder access to health services and information including:</w:t>
      </w:r>
    </w:p>
    <w:p w14:paraId="17ADFDA7" w14:textId="77777777" w:rsidR="0050540F" w:rsidRDefault="00D35BAB">
      <w:pPr>
        <w:numPr>
          <w:ilvl w:val="0"/>
          <w:numId w:val="4"/>
        </w:numPr>
        <w:pBdr>
          <w:top w:val="nil"/>
          <w:left w:val="nil"/>
          <w:bottom w:val="nil"/>
          <w:right w:val="nil"/>
          <w:between w:val="nil"/>
        </w:pBdr>
        <w:spacing w:after="0"/>
        <w:ind w:left="567" w:hanging="567"/>
      </w:pPr>
      <w:r>
        <w:rPr>
          <w:b/>
          <w:i/>
          <w:color w:val="000000"/>
        </w:rPr>
        <w:lastRenderedPageBreak/>
        <w:t>Comprehensive abortion services:</w:t>
      </w:r>
      <w:r>
        <w:rPr>
          <w:color w:val="000000"/>
        </w:rPr>
        <w:t xml:space="preserve"> Research conducted by the Center in Adjumani district found that although post abortion care is legal in all circumstances, adolescent girls in in some refugee settlements cannot seek post-abortion care confidentially. This is because healthcare workers inform adolescents’ families whenever they provide post-abortion care services to adolescents in order to prevent a situation where they (the healthcare workers) get a reputation in the community, for “</w:t>
      </w:r>
      <w:r>
        <w:rPr>
          <w:i/>
          <w:color w:val="000000"/>
        </w:rPr>
        <w:t>carrying out abortion</w:t>
      </w:r>
      <w:r>
        <w:rPr>
          <w:color w:val="000000"/>
        </w:rPr>
        <w:t>”.</w:t>
      </w:r>
      <w:r>
        <w:rPr>
          <w:color w:val="000000"/>
          <w:vertAlign w:val="superscript"/>
        </w:rPr>
        <w:footnoteReference w:id="37"/>
      </w:r>
      <w:r>
        <w:rPr>
          <w:color w:val="000000"/>
        </w:rPr>
        <w:t xml:space="preserve"> </w:t>
      </w:r>
    </w:p>
    <w:p w14:paraId="17ADFDA8" w14:textId="77777777" w:rsidR="0050540F" w:rsidRDefault="00D35BAB">
      <w:pPr>
        <w:numPr>
          <w:ilvl w:val="0"/>
          <w:numId w:val="4"/>
        </w:numPr>
        <w:pBdr>
          <w:top w:val="nil"/>
          <w:left w:val="nil"/>
          <w:bottom w:val="nil"/>
          <w:right w:val="nil"/>
          <w:between w:val="nil"/>
        </w:pBdr>
        <w:spacing w:after="0"/>
        <w:ind w:left="567" w:hanging="567"/>
      </w:pPr>
      <w:r>
        <w:rPr>
          <w:b/>
          <w:i/>
          <w:color w:val="000000"/>
        </w:rPr>
        <w:t>Contraceptive Services:</w:t>
      </w:r>
      <w:r>
        <w:rPr>
          <w:color w:val="000000"/>
        </w:rPr>
        <w:t xml:space="preserve"> Adolescents are required to obtain third party authorisation in order to access contraceptive services. Research has shown that 38%, that is, over one third of healthcare providers from both private and public institutions will not provide contraceptive services to any persons below the age of 18, without consent from either a parent or spouse.</w:t>
      </w:r>
      <w:r>
        <w:rPr>
          <w:color w:val="000000"/>
          <w:vertAlign w:val="superscript"/>
        </w:rPr>
        <w:footnoteReference w:id="38"/>
      </w:r>
      <w:r>
        <w:rPr>
          <w:color w:val="000000"/>
        </w:rPr>
        <w:t xml:space="preserve"> </w:t>
      </w:r>
    </w:p>
    <w:p w14:paraId="17ADFDA9" w14:textId="77777777" w:rsidR="0050540F" w:rsidRDefault="00D35BAB">
      <w:pPr>
        <w:numPr>
          <w:ilvl w:val="0"/>
          <w:numId w:val="4"/>
        </w:numPr>
        <w:pBdr>
          <w:top w:val="nil"/>
          <w:left w:val="nil"/>
          <w:bottom w:val="nil"/>
          <w:right w:val="nil"/>
          <w:between w:val="nil"/>
        </w:pBdr>
        <w:ind w:left="567" w:hanging="567"/>
      </w:pPr>
      <w:r>
        <w:rPr>
          <w:b/>
          <w:i/>
          <w:color w:val="000000"/>
        </w:rPr>
        <w:t>Maternal healthcare:</w:t>
      </w:r>
      <w:r>
        <w:rPr>
          <w:color w:val="000000"/>
        </w:rPr>
        <w:t xml:space="preserve"> It is common practice for healthcare providers to refuse to provide antenatal services to adolescents who do not attend clinics with their partners. Additionally, hospitals and clinics do not have the adequate facilities to guarantee audio or visual privacy during antenatal clinics.</w:t>
      </w:r>
      <w:r>
        <w:rPr>
          <w:color w:val="000000"/>
          <w:vertAlign w:val="superscript"/>
        </w:rPr>
        <w:footnoteReference w:id="39"/>
      </w:r>
    </w:p>
    <w:p w14:paraId="17ADFDAA" w14:textId="77777777" w:rsidR="0050540F" w:rsidRDefault="00D35BAB">
      <w:pPr>
        <w:pStyle w:val="Heading2"/>
      </w:pPr>
      <w:r>
        <w:t>Failure to safeguard the right to life:</w:t>
      </w:r>
    </w:p>
    <w:p w14:paraId="17ADFDAB" w14:textId="77777777" w:rsidR="0050540F" w:rsidRDefault="00D35BAB">
      <w:r>
        <w:t>There have been positive developments in the provision of maternal health services in Uganda as is evidenced by the decrease of the maternal mortality rate from 438 deaths per 100,000 live births in 2011</w:t>
      </w:r>
      <w:r>
        <w:rPr>
          <w:vertAlign w:val="superscript"/>
        </w:rPr>
        <w:footnoteReference w:id="40"/>
      </w:r>
      <w:r>
        <w:t xml:space="preserve"> to 336 deaths per 100,000 live births in 2016.</w:t>
      </w:r>
      <w:r>
        <w:rPr>
          <w:vertAlign w:val="superscript"/>
        </w:rPr>
        <w:footnoteReference w:id="41"/>
      </w:r>
      <w:r>
        <w:t xml:space="preserve"> However, this ratio is still almost 5 times higher than the ratio of 70 deaths per 100,000 births aspired to in the Sustainable Development Goal 3.1. A significant amount of the maternal mortality in Uganda is preventable. For instance, unsafe abortion contributes to 26% of </w:t>
      </w:r>
      <w:r>
        <w:lastRenderedPageBreak/>
        <w:t>maternal mortality in the country and results in even more short-term and long-term morbidities.</w:t>
      </w:r>
      <w:r>
        <w:rPr>
          <w:vertAlign w:val="superscript"/>
        </w:rPr>
        <w:footnoteReference w:id="42"/>
      </w:r>
      <w:r>
        <w:t xml:space="preserve"> Also, research shows there is a higher rate of maternal mortality among women with lower education levels, women in rural areas, girls younger than 15</w:t>
      </w:r>
      <w:r>
        <w:rPr>
          <w:vertAlign w:val="superscript"/>
        </w:rPr>
        <w:footnoteReference w:id="43"/>
      </w:r>
      <w:r>
        <w:t xml:space="preserve"> and women from lower wealth quintiles.</w:t>
      </w:r>
      <w:r>
        <w:rPr>
          <w:vertAlign w:val="superscript"/>
        </w:rPr>
        <w:footnoteReference w:id="44"/>
      </w:r>
      <w:r>
        <w:t xml:space="preserve"> </w:t>
      </w:r>
    </w:p>
    <w:p w14:paraId="17ADFDAC" w14:textId="17C656F1" w:rsidR="0050540F" w:rsidRDefault="00D35BAB">
      <w:r>
        <w:t>The right to life is enshrined in Article 6 of the ICCPR and Article 22 of the Constitution of Uganda. The right to life imposes on states the obligation to take appropriate measures to address conditions in society that threaten life or the ability for one to live their life with dignity.</w:t>
      </w:r>
      <w:r>
        <w:rPr>
          <w:vertAlign w:val="superscript"/>
        </w:rPr>
        <w:footnoteReference w:id="45"/>
      </w:r>
      <w:r>
        <w:t xml:space="preserve"> Thus the State’s failure to address maternal mortality and morbidity by, for instance, ensuring access to safe abortion to the full extent allowed by the laws of Uganda, expanding access to safe abortion in line with regional and international standards to ensure that more women and girls are able to access care, and ensuring the lack of equitable access to quality and skilled maternal healthcare, violates these obligations. This can also be clearly seen in the accounts of women and girls interviewed as part of research conducted by the Center. These women met the criteria specified by national law and international normative standards to access abortion services but because of stigma and the criminalisation of abortion in Uganda, were forced to resort to unsafe abortion: one woman reports suffering excessive bleeding that resulted in her </w:t>
      </w:r>
      <w:r w:rsidR="005B5DF5">
        <w:t>being</w:t>
      </w:r>
      <w:r>
        <w:t xml:space="preserve"> hospitalised for 2 weeks while another reports 8 years of uncontrolled bleeding brought on by simple everyday actions such as standing, coughing, and laughing.</w:t>
      </w:r>
      <w:r>
        <w:rPr>
          <w:vertAlign w:val="superscript"/>
        </w:rPr>
        <w:footnoteReference w:id="46"/>
      </w:r>
    </w:p>
    <w:p w14:paraId="17ADFDAD" w14:textId="77777777" w:rsidR="0050540F" w:rsidRDefault="00D35BAB">
      <w:r>
        <w:lastRenderedPageBreak/>
        <w:t>It is also of note that the state’s failure to address maternal mortality and morbidity contravenes its obligation to prevent torture, cruel, inhuman, and degrading treatment.</w:t>
      </w:r>
      <w:r>
        <w:rPr>
          <w:vertAlign w:val="superscript"/>
        </w:rPr>
        <w:footnoteReference w:id="47"/>
      </w:r>
      <w:r>
        <w:rPr>
          <w:vertAlign w:val="superscript"/>
        </w:rPr>
        <w:t>,</w:t>
      </w:r>
      <w:r>
        <w:rPr>
          <w:vertAlign w:val="superscript"/>
        </w:rPr>
        <w:footnoteReference w:id="48"/>
      </w:r>
      <w:r>
        <w:t xml:space="preserve"> </w:t>
      </w:r>
    </w:p>
    <w:p w14:paraId="17ADFDAE" w14:textId="77777777" w:rsidR="0050540F" w:rsidRDefault="00D35BAB">
      <w:pPr>
        <w:pStyle w:val="Heading2"/>
      </w:pPr>
      <w:r>
        <w:t>Failure to Prevent and Address Torture, Cruel, Inhumane and Degrading Treatment</w:t>
      </w:r>
    </w:p>
    <w:p w14:paraId="17ADFDAF" w14:textId="77777777" w:rsidR="0050540F" w:rsidRDefault="00D35BAB">
      <w:r>
        <w:t>Article 7 of the ICCPR and Article 24 of the Constitution of Uganda recognise the right to freedom from torture, cruel, inhumane, and degrading treatment (“</w:t>
      </w:r>
      <w:r>
        <w:rPr>
          <w:b/>
        </w:rPr>
        <w:t>TCIDT</w:t>
      </w:r>
      <w:r>
        <w:t>”). The Committee defines violations to the right to protection from TCIDT as “…</w:t>
      </w:r>
      <w:r>
        <w:rPr>
          <w:i/>
        </w:rPr>
        <w:t>acts that cause physical pain but also to acts that cause mental suffering to the victim</w:t>
      </w:r>
      <w:r>
        <w:t>…” where the distinction is determined by the nature, purpose and severity of the treatment applied.</w:t>
      </w:r>
      <w:r>
        <w:rPr>
          <w:vertAlign w:val="superscript"/>
        </w:rPr>
        <w:footnoteReference w:id="49"/>
      </w:r>
      <w:r>
        <w:t xml:space="preserve"> </w:t>
      </w:r>
    </w:p>
    <w:p w14:paraId="17ADFDB0" w14:textId="77777777" w:rsidR="0050540F" w:rsidRDefault="00D35BAB">
      <w:r>
        <w:t>Women who seek maternal health services in Uganda are oftentimes exposed to obstetric violence by healthcare providers. This violence is disproportionately meted out against women and girls in humanitarian settings who receive disrespectful and undignified treatment from healthcare providers, especially during the intrapartum period such as verbal abuse including insults; being told “</w:t>
      </w:r>
      <w:r>
        <w:rPr>
          <w:i/>
        </w:rPr>
        <w:t>not to make noise</w:t>
      </w:r>
      <w:r>
        <w:t>” and to “</w:t>
      </w:r>
      <w:r>
        <w:rPr>
          <w:i/>
        </w:rPr>
        <w:t>tolerate the pain</w:t>
      </w:r>
      <w:r>
        <w:t>” during particularly painful deliveries rather than being assisted to manage the pain.</w:t>
      </w:r>
      <w:r>
        <w:rPr>
          <w:vertAlign w:val="superscript"/>
        </w:rPr>
        <w:footnoteReference w:id="50"/>
      </w:r>
    </w:p>
    <w:p w14:paraId="17ADFDB1" w14:textId="77777777" w:rsidR="0050540F" w:rsidRDefault="00D35BAB">
      <w:r>
        <w:t>Women with disabilities also report having similar experiences including rude and insulting treatment by healthcare workers especially when they are seeking maternal health services. This treatment arises in part from the assumption that because they have disabilities, they must be asexual or sexually inactive. Women report being treated like they have done</w:t>
      </w:r>
      <w:r>
        <w:rPr>
          <w:i/>
        </w:rPr>
        <w:t xml:space="preserve"> “something wrong</w:t>
      </w:r>
      <w:r>
        <w:t>” by being pregnant and being told that sexual and reproductive health information is not useful to them because of their disabilities.</w:t>
      </w:r>
      <w:r>
        <w:rPr>
          <w:vertAlign w:val="superscript"/>
        </w:rPr>
        <w:footnoteReference w:id="51"/>
      </w:r>
      <w:r>
        <w:t xml:space="preserve"> Such </w:t>
      </w:r>
      <w:r>
        <w:lastRenderedPageBreak/>
        <w:t>treatment is cruel, degrading, and inhumane thus in violation of the government of Uganda’s obligations under Article 7 of the ICCPR.</w:t>
      </w:r>
    </w:p>
    <w:p w14:paraId="17ADFDB2" w14:textId="77777777" w:rsidR="0050540F" w:rsidRDefault="00D35BAB">
      <w:r>
        <w:t>This treatment is further compounded by the inability of many healthcare providers to provide services to women with disabilities. For instance, women with disabilities report being forced to deliver by c-section rather than through vaginal delivery because providers  lack the skills, knowledge to assist them to deliver vaginally.</w:t>
      </w:r>
      <w:r>
        <w:rPr>
          <w:vertAlign w:val="superscript"/>
        </w:rPr>
        <w:footnoteReference w:id="52"/>
      </w:r>
      <w:r>
        <w:t xml:space="preserve"> This is a violation of their right to consent to medical procedures, their right to autonomy and their right to acceptable healthcare which has been acknowledged to meet the threshold of TCDIT.</w:t>
      </w:r>
      <w:r>
        <w:rPr>
          <w:vertAlign w:val="superscript"/>
        </w:rPr>
        <w:footnoteReference w:id="53"/>
      </w:r>
    </w:p>
    <w:p w14:paraId="17ADFDB3" w14:textId="77777777" w:rsidR="0050540F" w:rsidRDefault="00E41A25">
      <w:pPr>
        <w:pStyle w:val="Heading2"/>
      </w:pPr>
      <w:sdt>
        <w:sdtPr>
          <w:tag w:val="goog_rdk_2"/>
          <w:id w:val="-1246337150"/>
        </w:sdtPr>
        <w:sdtEndPr/>
        <w:sdtContent/>
      </w:sdt>
      <w:r w:rsidR="00D35BAB">
        <w:t>Failure to ensure freedom from discrimination</w:t>
      </w:r>
    </w:p>
    <w:p w14:paraId="17ADFDB4" w14:textId="77777777" w:rsidR="0050540F" w:rsidRDefault="0050540F"/>
    <w:p w14:paraId="17ADFDB5" w14:textId="77777777" w:rsidR="0050540F" w:rsidRDefault="00D35BAB">
      <w:pPr>
        <w:pStyle w:val="Heading2"/>
      </w:pPr>
      <w:r>
        <w:t xml:space="preserve">Proposed Questions </w:t>
      </w:r>
    </w:p>
    <w:p w14:paraId="17ADFDB6" w14:textId="4B1520A2" w:rsidR="0050540F" w:rsidRDefault="00D35BAB">
      <w:r>
        <w:t>The Center hope</w:t>
      </w:r>
      <w:r w:rsidR="008A5DC2">
        <w:t>s</w:t>
      </w:r>
      <w:r>
        <w:t xml:space="preserve"> that the Committee will consider addressing the following questions to the Government of Uganda in the list of issues:</w:t>
      </w:r>
    </w:p>
    <w:p w14:paraId="17ADFDB7" w14:textId="66FD64F9" w:rsidR="0050540F" w:rsidRDefault="00D35BAB">
      <w:pPr>
        <w:numPr>
          <w:ilvl w:val="0"/>
          <w:numId w:val="2"/>
        </w:numPr>
        <w:pBdr>
          <w:top w:val="nil"/>
          <w:left w:val="nil"/>
          <w:bottom w:val="nil"/>
          <w:right w:val="nil"/>
          <w:between w:val="nil"/>
        </w:pBdr>
        <w:spacing w:after="0"/>
        <w:ind w:left="426"/>
        <w:rPr>
          <w:color w:val="000000"/>
        </w:rPr>
      </w:pPr>
      <w:r>
        <w:rPr>
          <w:color w:val="000000"/>
        </w:rPr>
        <w:t>What measures are being put in place to ensure access to comprehensive, scientifically accurate and evidence-based information on sexual and reproductive health including maternal health, contraceptives, family planning, sexually transmitted infections, HIV prevention, safe abortion and post-abortion care, infertility and fertility options, menstrual health and reproductive cancers?</w:t>
      </w:r>
    </w:p>
    <w:p w14:paraId="22179168" w14:textId="3ABE171F" w:rsidR="007F23D5" w:rsidRDefault="007F23D5">
      <w:pPr>
        <w:numPr>
          <w:ilvl w:val="0"/>
          <w:numId w:val="2"/>
        </w:numPr>
        <w:pBdr>
          <w:top w:val="nil"/>
          <w:left w:val="nil"/>
          <w:bottom w:val="nil"/>
          <w:right w:val="nil"/>
          <w:between w:val="nil"/>
        </w:pBdr>
        <w:spacing w:after="0"/>
        <w:ind w:left="426"/>
        <w:rPr>
          <w:color w:val="000000"/>
        </w:rPr>
      </w:pPr>
      <w:r>
        <w:rPr>
          <w:color w:val="000000"/>
        </w:rPr>
        <w:t>What measures are being put in place to address stigma against</w:t>
      </w:r>
      <w:r w:rsidR="00B8419D">
        <w:rPr>
          <w:color w:val="000000"/>
        </w:rPr>
        <w:t xml:space="preserve"> </w:t>
      </w:r>
      <w:r w:rsidR="004F540B">
        <w:rPr>
          <w:color w:val="000000"/>
        </w:rPr>
        <w:t xml:space="preserve">sexual minorities including, </w:t>
      </w:r>
      <w:r w:rsidR="000F4BA6">
        <w:rPr>
          <w:color w:val="000000"/>
        </w:rPr>
        <w:t>LGBTIQ+ adolescents</w:t>
      </w:r>
      <w:r w:rsidR="004F540B">
        <w:rPr>
          <w:color w:val="000000"/>
        </w:rPr>
        <w:t>,</w:t>
      </w:r>
      <w:r w:rsidR="000F4BA6">
        <w:rPr>
          <w:color w:val="000000"/>
        </w:rPr>
        <w:t xml:space="preserve"> </w:t>
      </w:r>
      <w:r w:rsidR="00B8419D">
        <w:rPr>
          <w:color w:val="000000"/>
        </w:rPr>
        <w:t>and ensure</w:t>
      </w:r>
      <w:r w:rsidR="004F540B">
        <w:rPr>
          <w:color w:val="000000"/>
        </w:rPr>
        <w:t xml:space="preserve"> that</w:t>
      </w:r>
      <w:r w:rsidR="00B8419D">
        <w:rPr>
          <w:color w:val="000000"/>
        </w:rPr>
        <w:t xml:space="preserve"> </w:t>
      </w:r>
      <w:r w:rsidR="00614B4E">
        <w:rPr>
          <w:color w:val="000000"/>
        </w:rPr>
        <w:t xml:space="preserve">all persons can </w:t>
      </w:r>
      <w:r w:rsidR="00B8419D">
        <w:rPr>
          <w:color w:val="000000"/>
        </w:rPr>
        <w:t xml:space="preserve">access </w:t>
      </w:r>
      <w:r w:rsidR="00EB2735">
        <w:rPr>
          <w:color w:val="000000"/>
        </w:rPr>
        <w:t>inclusive and</w:t>
      </w:r>
      <w:r w:rsidR="00B8419D">
        <w:rPr>
          <w:color w:val="000000"/>
        </w:rPr>
        <w:t xml:space="preserve"> non-judgemental sexual and reproductive health information</w:t>
      </w:r>
      <w:r w:rsidR="000B3079">
        <w:rPr>
          <w:color w:val="000000"/>
        </w:rPr>
        <w:t xml:space="preserve"> which challenges </w:t>
      </w:r>
      <w:r w:rsidR="000B3079" w:rsidRPr="000B3079">
        <w:rPr>
          <w:color w:val="000000"/>
        </w:rPr>
        <w:t xml:space="preserve">long-standing discrimination and entrenched stereotypes </w:t>
      </w:r>
      <w:r w:rsidR="005A750F" w:rsidRPr="000B3079">
        <w:rPr>
          <w:color w:val="000000"/>
        </w:rPr>
        <w:t>against</w:t>
      </w:r>
      <w:r w:rsidR="005A750F">
        <w:rPr>
          <w:color w:val="000000"/>
        </w:rPr>
        <w:t xml:space="preserve"> LGBTIQ+ persons</w:t>
      </w:r>
      <w:r w:rsidR="000F4BA6">
        <w:rPr>
          <w:color w:val="000000"/>
        </w:rPr>
        <w:t>?</w:t>
      </w:r>
    </w:p>
    <w:p w14:paraId="17ADFDB8" w14:textId="77777777" w:rsidR="0050540F" w:rsidRDefault="00D35BAB">
      <w:pPr>
        <w:numPr>
          <w:ilvl w:val="0"/>
          <w:numId w:val="2"/>
        </w:numPr>
        <w:pBdr>
          <w:top w:val="nil"/>
          <w:left w:val="nil"/>
          <w:bottom w:val="nil"/>
          <w:right w:val="nil"/>
          <w:between w:val="nil"/>
        </w:pBdr>
        <w:spacing w:after="0"/>
        <w:ind w:left="426"/>
        <w:rPr>
          <w:color w:val="000000"/>
        </w:rPr>
      </w:pPr>
      <w:r>
        <w:rPr>
          <w:color w:val="000000"/>
        </w:rPr>
        <w:t>What measures are being put in place to ensure the protection of the right to privacy of women and girls who seek reproductive health services, specifically for adolescents, what measures are being put in place to:</w:t>
      </w:r>
    </w:p>
    <w:p w14:paraId="17ADFDB9" w14:textId="77777777" w:rsidR="0050540F" w:rsidRDefault="00D35BAB">
      <w:pPr>
        <w:numPr>
          <w:ilvl w:val="1"/>
          <w:numId w:val="2"/>
        </w:numPr>
        <w:pBdr>
          <w:top w:val="nil"/>
          <w:left w:val="nil"/>
          <w:bottom w:val="nil"/>
          <w:right w:val="nil"/>
          <w:between w:val="nil"/>
        </w:pBdr>
        <w:spacing w:after="0"/>
        <w:ind w:left="851" w:hanging="425"/>
        <w:rPr>
          <w:color w:val="000000"/>
        </w:rPr>
      </w:pPr>
      <w:r>
        <w:rPr>
          <w:color w:val="000000"/>
        </w:rPr>
        <w:lastRenderedPageBreak/>
        <w:t>ensure that healthcare facilities ensure privacy and confidentiality during visits?</w:t>
      </w:r>
    </w:p>
    <w:p w14:paraId="17ADFDBA" w14:textId="77777777" w:rsidR="0050540F" w:rsidRDefault="00D35BAB">
      <w:pPr>
        <w:numPr>
          <w:ilvl w:val="1"/>
          <w:numId w:val="2"/>
        </w:numPr>
        <w:pBdr>
          <w:top w:val="nil"/>
          <w:left w:val="nil"/>
          <w:bottom w:val="nil"/>
          <w:right w:val="nil"/>
          <w:between w:val="nil"/>
        </w:pBdr>
        <w:spacing w:after="0"/>
        <w:ind w:left="851" w:hanging="425"/>
        <w:rPr>
          <w:color w:val="000000"/>
        </w:rPr>
      </w:pPr>
      <w:r>
        <w:rPr>
          <w:color w:val="000000"/>
        </w:rPr>
        <w:t>Ensure healthcare providers do not disclose patient information without freely given, prior, informed consent? and</w:t>
      </w:r>
    </w:p>
    <w:p w14:paraId="17ADFDBB" w14:textId="77777777" w:rsidR="0050540F" w:rsidRDefault="00D35BAB">
      <w:pPr>
        <w:numPr>
          <w:ilvl w:val="1"/>
          <w:numId w:val="2"/>
        </w:numPr>
        <w:pBdr>
          <w:top w:val="nil"/>
          <w:left w:val="nil"/>
          <w:bottom w:val="nil"/>
          <w:right w:val="nil"/>
          <w:between w:val="nil"/>
        </w:pBdr>
        <w:spacing w:after="0"/>
        <w:ind w:left="851" w:hanging="425"/>
        <w:rPr>
          <w:color w:val="000000"/>
        </w:rPr>
      </w:pPr>
      <w:r>
        <w:rPr>
          <w:color w:val="000000"/>
        </w:rPr>
        <w:t>Ensure that healthcare providers and facilities are barred from requiring women and girls to seek authorization from third parties before they can access services?</w:t>
      </w:r>
    </w:p>
    <w:p w14:paraId="17ADFDBC" w14:textId="77777777" w:rsidR="0050540F" w:rsidRDefault="00D35BAB">
      <w:pPr>
        <w:numPr>
          <w:ilvl w:val="0"/>
          <w:numId w:val="2"/>
        </w:numPr>
        <w:pBdr>
          <w:top w:val="nil"/>
          <w:left w:val="nil"/>
          <w:bottom w:val="nil"/>
          <w:right w:val="nil"/>
          <w:between w:val="nil"/>
        </w:pBdr>
        <w:spacing w:after="0"/>
        <w:ind w:left="426"/>
        <w:rPr>
          <w:color w:val="000000"/>
        </w:rPr>
      </w:pPr>
      <w:r>
        <w:rPr>
          <w:color w:val="000000"/>
        </w:rPr>
        <w:t>What measures are being put in place to address preventable maternal mortality and morbidity, including th</w:t>
      </w:r>
      <w:r>
        <w:t xml:space="preserve">ose caused by unsafe abortion, </w:t>
      </w:r>
      <w:r>
        <w:rPr>
          <w:color w:val="000000"/>
        </w:rPr>
        <w:t>and thus safeguard women and girls’ right to life and freedom from torture, cruel, inhumane, and degrading treatment?</w:t>
      </w:r>
    </w:p>
    <w:p w14:paraId="17ADFDBD" w14:textId="77777777" w:rsidR="0050540F" w:rsidRDefault="00D35BAB">
      <w:pPr>
        <w:numPr>
          <w:ilvl w:val="0"/>
          <w:numId w:val="2"/>
        </w:numPr>
        <w:pBdr>
          <w:top w:val="nil"/>
          <w:left w:val="nil"/>
          <w:bottom w:val="nil"/>
          <w:right w:val="nil"/>
          <w:between w:val="nil"/>
        </w:pBdr>
        <w:spacing w:after="0"/>
        <w:ind w:left="426"/>
        <w:rPr>
          <w:color w:val="000000"/>
        </w:rPr>
      </w:pPr>
      <w:r>
        <w:rPr>
          <w:color w:val="000000"/>
        </w:rPr>
        <w:t>What measures are being put in place to address the quality of maternal health services and thus, safeguard the right to freedom from torture, cruel, inhumane, and degrading treatment especially for women living with disabilities and asylum-seeking and refugee women?</w:t>
      </w:r>
    </w:p>
    <w:p w14:paraId="17ADFDBE" w14:textId="4B46237C" w:rsidR="0050540F" w:rsidRDefault="00E41A25" w:rsidP="008A5DC2">
      <w:pPr>
        <w:pBdr>
          <w:top w:val="nil"/>
          <w:left w:val="nil"/>
          <w:bottom w:val="nil"/>
          <w:right w:val="nil"/>
          <w:between w:val="nil"/>
        </w:pBdr>
        <w:rPr>
          <w:color w:val="000000"/>
        </w:rPr>
      </w:pPr>
      <w:sdt>
        <w:sdtPr>
          <w:tag w:val="goog_rdk_3"/>
          <w:id w:val="-1451850802"/>
        </w:sdtPr>
        <w:sdtEndPr/>
        <w:sdtContent/>
      </w:sdt>
    </w:p>
    <w:sectPr w:rsidR="0050540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86745" w14:textId="77777777" w:rsidR="00D35BAB" w:rsidRDefault="00D35BAB">
      <w:pPr>
        <w:spacing w:after="0" w:line="240" w:lineRule="auto"/>
      </w:pPr>
      <w:r>
        <w:separator/>
      </w:r>
    </w:p>
  </w:endnote>
  <w:endnote w:type="continuationSeparator" w:id="0">
    <w:p w14:paraId="198A4652" w14:textId="77777777" w:rsidR="00D35BAB" w:rsidRDefault="00D35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FECDE" w14:textId="77777777" w:rsidR="00D35BAB" w:rsidRDefault="00D35BAB">
      <w:pPr>
        <w:spacing w:after="0" w:line="240" w:lineRule="auto"/>
      </w:pPr>
      <w:r>
        <w:separator/>
      </w:r>
    </w:p>
  </w:footnote>
  <w:footnote w:type="continuationSeparator" w:id="0">
    <w:p w14:paraId="491B6B2A" w14:textId="77777777" w:rsidR="00D35BAB" w:rsidRDefault="00D35BAB">
      <w:pPr>
        <w:spacing w:after="0" w:line="240" w:lineRule="auto"/>
      </w:pPr>
      <w:r>
        <w:continuationSeparator/>
      </w:r>
    </w:p>
  </w:footnote>
  <w:footnote w:id="1">
    <w:p w14:paraId="17ADFDC4"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Paragraph 42, Second periodic report submitted by Uganda under article 40 of the Covenant, due in 2008. Submitted on 17</w:t>
      </w:r>
      <w:r>
        <w:rPr>
          <w:color w:val="000000"/>
          <w:sz w:val="20"/>
          <w:szCs w:val="20"/>
          <w:vertAlign w:val="superscript"/>
        </w:rPr>
        <w:t>th</w:t>
      </w:r>
      <w:r>
        <w:rPr>
          <w:color w:val="000000"/>
          <w:sz w:val="20"/>
          <w:szCs w:val="20"/>
        </w:rPr>
        <w:t xml:space="preserve"> August 2020.  U.N. Document CCPR/C/UGA/2</w:t>
      </w:r>
    </w:p>
  </w:footnote>
  <w:footnote w:id="2">
    <w:p w14:paraId="17ADFDC5"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Article 2, Constitution of the Republic of Uganda</w:t>
      </w:r>
    </w:p>
  </w:footnote>
  <w:footnote w:id="3">
    <w:p w14:paraId="17ADFDC6"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Paragraph 26, Second periodic report submitted by Uganda under article 40 of the Covenant, due in 2008. Submitted on 17</w:t>
      </w:r>
      <w:r>
        <w:rPr>
          <w:color w:val="000000"/>
          <w:sz w:val="20"/>
          <w:szCs w:val="20"/>
          <w:vertAlign w:val="superscript"/>
        </w:rPr>
        <w:t>th</w:t>
      </w:r>
      <w:r>
        <w:rPr>
          <w:color w:val="000000"/>
          <w:sz w:val="20"/>
          <w:szCs w:val="20"/>
        </w:rPr>
        <w:t xml:space="preserve"> August 2020.  U.N. Document CCPR/C/UGA/2</w:t>
      </w:r>
    </w:p>
  </w:footnote>
  <w:footnote w:id="4">
    <w:p w14:paraId="17ADFDC7"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Committee, General comment No. 34 Article 19: Freedoms of opinion and expression (2011). Paragraph 19, U.N Document CCPR/C/GC/34.</w:t>
      </w:r>
    </w:p>
  </w:footnote>
  <w:footnote w:id="5">
    <w:p w14:paraId="17ADFDC8"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18-19, U.N Document E/C.12/GC/22</w:t>
      </w:r>
    </w:p>
  </w:footnote>
  <w:footnote w:id="6">
    <w:p w14:paraId="17ADFDC9"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Centre for Health, Human Rights and Development v Attorney General and Family Life Network</w:t>
      </w:r>
      <w:r>
        <w:rPr>
          <w:color w:val="000000"/>
          <w:sz w:val="20"/>
          <w:szCs w:val="20"/>
        </w:rPr>
        <w:t xml:space="preserve"> Miscellaneous Cause 309 of 2016</w:t>
      </w:r>
    </w:p>
  </w:footnote>
  <w:footnote w:id="7">
    <w:p w14:paraId="17ADFDCA"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Miscellaneous Cause 309 of 2016.</w:t>
      </w:r>
    </w:p>
  </w:footnote>
  <w:footnote w:id="8">
    <w:p w14:paraId="17ADFDCB"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5, National Sexuality Education Framework, Ministry of Education and Sports, Republic of Uganda (2018).</w:t>
      </w:r>
    </w:p>
  </w:footnote>
  <w:footnote w:id="9">
    <w:p w14:paraId="17ADFDCC"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20, National Sexuality Education Framework, Ministry of Education and Sports, Republic of Uganda (2018).</w:t>
      </w:r>
    </w:p>
  </w:footnote>
  <w:footnote w:id="10">
    <w:p w14:paraId="17ADFDCD"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13, National Sexuality Education Framework, Ministry of Education and Sports, Republic of Uganda (2018).</w:t>
      </w:r>
    </w:p>
  </w:footnote>
  <w:footnote w:id="11">
    <w:p w14:paraId="17ADFDCE"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19, National Sexuality Education Framework, Ministry of Education and Sports, Republic of Uganda (2018).</w:t>
      </w:r>
    </w:p>
  </w:footnote>
  <w:footnote w:id="12">
    <w:p w14:paraId="17ADFDCF"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21, National Sexuality Education Framework, Ministry of Education and Sports, Republic of Uganda (2018).</w:t>
      </w:r>
    </w:p>
  </w:footnote>
  <w:footnote w:id="13">
    <w:p w14:paraId="17ADFDD0"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21, National Sexuality Education Framework, Ministry of Education and Sports, Republic of Uganda (2018).</w:t>
      </w:r>
    </w:p>
  </w:footnote>
  <w:footnote w:id="14">
    <w:p w14:paraId="17ADFDD1"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37, National Sexuality Education Framework, Ministry of Education and Sports, Republic of Uganda (2018).</w:t>
      </w:r>
    </w:p>
  </w:footnote>
  <w:footnote w:id="15">
    <w:p w14:paraId="17ADFDD2"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16-17, </w:t>
      </w:r>
      <w:r>
        <w:rPr>
          <w:i/>
          <w:color w:val="000000"/>
          <w:sz w:val="20"/>
          <w:szCs w:val="20"/>
        </w:rPr>
        <w:t>International Technical Guidance on Sexuality Education: An Evidence-Informed Approach</w:t>
      </w:r>
      <w:r>
        <w:rPr>
          <w:color w:val="000000"/>
          <w:sz w:val="20"/>
          <w:szCs w:val="20"/>
        </w:rPr>
        <w:t>, United Nations Educational, Scientific and Cultural Organization (2018)</w:t>
      </w:r>
    </w:p>
  </w:footnote>
  <w:footnote w:id="16">
    <w:p w14:paraId="17ADFDD3"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26, National Sexuality Education Framework, Ministry of Education and Sports, Republic of Uganda (2018).</w:t>
      </w:r>
    </w:p>
  </w:footnote>
  <w:footnote w:id="17">
    <w:p w14:paraId="17ADFDD4"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9, National Sexuality Education Framework, Ministry of Education and Sports, Republic of Uganda (2018).</w:t>
      </w:r>
    </w:p>
  </w:footnote>
  <w:footnote w:id="18">
    <w:p w14:paraId="17ADFDD5"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24, National Sexuality Education Framework, Ministry of Education and Sports, Republic of Uganda (2018).</w:t>
      </w:r>
    </w:p>
  </w:footnote>
  <w:footnote w:id="19">
    <w:p w14:paraId="17ADFDD6"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the Elimination of Discrimination against Women, General recommendation No. 35 on Gender-Based Violence Against Women, Updating General Recommendation No. 19 (2017). Paragraph 34, U.N. Document CEDAW/C/GC/35.</w:t>
      </w:r>
    </w:p>
  </w:footnote>
  <w:footnote w:id="20">
    <w:p w14:paraId="17ADFDD7"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the Elimination of Discrimination against Women, General recommendation No. 35 on Gender-Based Violence Against Women, Updating General Recommendation No. 19 (2017). Paragraph 35(b), U.N. Document CEDAW/C/GC/35.</w:t>
      </w:r>
    </w:p>
  </w:footnote>
  <w:footnote w:id="21">
    <w:p w14:paraId="17ADFDD8"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22, National Sexuality Education Framework, Ministry of Education and Sports, Republic of Uganda (2018).</w:t>
      </w:r>
    </w:p>
  </w:footnote>
  <w:footnote w:id="22">
    <w:p w14:paraId="17ADFDD9"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Pg. 31, National Sexuality Education Framework, Ministry of Education and Sports, Republic of Uganda (2018).</w:t>
      </w:r>
    </w:p>
  </w:footnote>
  <w:footnote w:id="23">
    <w:p w14:paraId="17ADFDDA"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Mulubwa C., Munakampe M. et al., </w:t>
      </w:r>
      <w:r>
        <w:rPr>
          <w:i/>
          <w:color w:val="000000"/>
          <w:sz w:val="20"/>
          <w:szCs w:val="20"/>
        </w:rPr>
        <w:t>Framing Contraceptive Use Motivations Among Adolescents and Young Adults Living in Informal Settlements in Kira Municipality, Wakiso District, Uganda,</w:t>
      </w:r>
      <w:r>
        <w:rPr>
          <w:color w:val="000000"/>
          <w:sz w:val="20"/>
          <w:szCs w:val="20"/>
        </w:rPr>
        <w:t xml:space="preserve"> Frontiers in Global Women’s Health (2021).  Accessed on 26</w:t>
      </w:r>
      <w:r>
        <w:rPr>
          <w:color w:val="000000"/>
          <w:sz w:val="20"/>
          <w:szCs w:val="20"/>
          <w:vertAlign w:val="superscript"/>
        </w:rPr>
        <w:t>th</w:t>
      </w:r>
      <w:r>
        <w:rPr>
          <w:color w:val="000000"/>
          <w:sz w:val="20"/>
          <w:szCs w:val="20"/>
        </w:rPr>
        <w:t xml:space="preserve"> April 2022. Available at: https://www.frontiersin.org/articles/10.3389/fgwh.2021.658515/full</w:t>
      </w:r>
    </w:p>
  </w:footnote>
  <w:footnote w:id="24">
    <w:p w14:paraId="17ADFDDB"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 Potasse and S. Yaya, </w:t>
      </w:r>
      <w:r>
        <w:rPr>
          <w:i/>
          <w:color w:val="000000"/>
          <w:sz w:val="20"/>
          <w:szCs w:val="20"/>
        </w:rPr>
        <w:t>Understanding perceived access barriers to contraception through an African feminist lens: a qualitative study in Uganda</w:t>
      </w:r>
      <w:r>
        <w:rPr>
          <w:color w:val="000000"/>
          <w:sz w:val="20"/>
          <w:szCs w:val="20"/>
        </w:rPr>
        <w:t>, BMC Public Health (2021) at pg. 6. Accessed on 27</w:t>
      </w:r>
      <w:r>
        <w:rPr>
          <w:color w:val="000000"/>
          <w:sz w:val="20"/>
          <w:szCs w:val="20"/>
          <w:vertAlign w:val="superscript"/>
        </w:rPr>
        <w:t>th</w:t>
      </w:r>
      <w:r>
        <w:rPr>
          <w:color w:val="000000"/>
          <w:sz w:val="20"/>
          <w:szCs w:val="20"/>
        </w:rPr>
        <w:t xml:space="preserve"> April 2022. Available at: https://bmcpublichealth.biomedcentral.com/articles/10.1186/s12889-021-10315-9</w:t>
      </w:r>
    </w:p>
  </w:footnote>
  <w:footnote w:id="25">
    <w:p w14:paraId="17ADFDDC"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Uganda Demographic and Health Survey (2016), Table 7.3 at pg. 120</w:t>
      </w:r>
    </w:p>
  </w:footnote>
  <w:footnote w:id="26">
    <w:p w14:paraId="17ADFDDD"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Moore A, Kibombo R et al., </w:t>
      </w:r>
      <w:r>
        <w:rPr>
          <w:i/>
          <w:color w:val="000000"/>
          <w:sz w:val="20"/>
          <w:szCs w:val="20"/>
        </w:rPr>
        <w:t>Ugandan opinion-leaders’ knowledge and perceptions of unsafe abortion</w:t>
      </w:r>
      <w:r>
        <w:rPr>
          <w:color w:val="000000"/>
          <w:sz w:val="20"/>
          <w:szCs w:val="20"/>
        </w:rPr>
        <w:t>, Health Policy and Planning, Volume 29, Issue 7 (2014). Accessed on 26</w:t>
      </w:r>
      <w:r>
        <w:rPr>
          <w:color w:val="000000"/>
          <w:sz w:val="20"/>
          <w:szCs w:val="20"/>
          <w:vertAlign w:val="superscript"/>
        </w:rPr>
        <w:t xml:space="preserve">th </w:t>
      </w:r>
      <w:r>
        <w:rPr>
          <w:color w:val="000000"/>
          <w:sz w:val="20"/>
          <w:szCs w:val="20"/>
        </w:rPr>
        <w:t>April 2022. Available at: https://academic.oup.com/heapol/article/29/7/893/556812</w:t>
      </w:r>
    </w:p>
  </w:footnote>
  <w:footnote w:id="27">
    <w:p w14:paraId="17ADFDDE" w14:textId="77777777" w:rsidR="0050540F" w:rsidRDefault="00D35BAB">
      <w:pPr>
        <w:spacing w:after="0" w:line="240" w:lineRule="auto"/>
        <w:rPr>
          <w:sz w:val="20"/>
          <w:szCs w:val="20"/>
        </w:rPr>
      </w:pPr>
      <w:r>
        <w:rPr>
          <w:vertAlign w:val="superscript"/>
        </w:rPr>
        <w:footnoteRef/>
      </w:r>
      <w:r>
        <w:rPr>
          <w:sz w:val="20"/>
          <w:szCs w:val="20"/>
        </w:rPr>
        <w:t xml:space="preserve"> Uganda Demographic and Health Survey (2016), Pg. 89</w:t>
      </w:r>
    </w:p>
  </w:footnote>
  <w:footnote w:id="28">
    <w:p w14:paraId="17ADFDDF" w14:textId="77777777" w:rsidR="0050540F" w:rsidRDefault="00D35BAB">
      <w:pPr>
        <w:spacing w:after="0" w:line="240" w:lineRule="auto"/>
        <w:rPr>
          <w:sz w:val="20"/>
          <w:szCs w:val="20"/>
        </w:rPr>
      </w:pPr>
      <w:r>
        <w:rPr>
          <w:vertAlign w:val="superscript"/>
        </w:rPr>
        <w:footnoteRef/>
      </w:r>
      <w:r>
        <w:rPr>
          <w:sz w:val="20"/>
          <w:szCs w:val="20"/>
        </w:rPr>
        <w:t xml:space="preserve"> Sully E., Atuyambe l. et al., Estimating Abortion Incidence Among Adolescents and Differences in Postabortion Care by Age: A Cross-Sectional Study of Postabortion Care Patients in Uganda, Contraception Journal (2018). Accessed on 1st December 2021. Available at: https://www.contraceptionjournal.org/action/showPdf?pii=S0010-7824%2818%2930388-3</w:t>
      </w:r>
    </w:p>
  </w:footnote>
  <w:footnote w:id="29">
    <w:p w14:paraId="17ADFDE0" w14:textId="77777777" w:rsidR="0050540F" w:rsidRDefault="00D35BAB">
      <w:pPr>
        <w:spacing w:after="0" w:line="240" w:lineRule="auto"/>
        <w:rPr>
          <w:sz w:val="20"/>
          <w:szCs w:val="20"/>
        </w:rPr>
      </w:pPr>
      <w:r>
        <w:rPr>
          <w:vertAlign w:val="superscript"/>
        </w:rPr>
        <w:footnoteRef/>
      </w:r>
      <w:r>
        <w:rPr>
          <w:sz w:val="20"/>
          <w:szCs w:val="20"/>
        </w:rPr>
        <w:t xml:space="preserve"> Apolot R., Tetui M, et al., Maternal health challenges experienced by adolescents; could community score cards address them? A case study of Kibuku District– Uganda, International Journal for Equity in Health (2020). Accessed on 1st March 2022. Available at: https://equityhealthj.biomedcentral.com/track/pdf/10.1186/s12939-020-01267-4.pdf</w:t>
      </w:r>
    </w:p>
  </w:footnote>
  <w:footnote w:id="30">
    <w:p w14:paraId="17ADFDE1" w14:textId="77777777" w:rsidR="0050540F" w:rsidRDefault="00D35BAB">
      <w:pPr>
        <w:spacing w:after="0" w:line="240" w:lineRule="auto"/>
        <w:rPr>
          <w:sz w:val="20"/>
          <w:szCs w:val="20"/>
        </w:rPr>
      </w:pPr>
      <w:r>
        <w:rPr>
          <w:vertAlign w:val="superscript"/>
        </w:rPr>
        <w:footnoteRef/>
      </w:r>
      <w:r>
        <w:rPr>
          <w:sz w:val="20"/>
          <w:szCs w:val="20"/>
        </w:rPr>
        <w:t xml:space="preserve"> Sully E., Atuyambe l. et al., Estimating Abortion Incidence Among Adolescents and Differences in Postabortion Care by Age: A Cross-Sectional Study of Postabortion Care Patients in Uganda, Contraception Journal (2018). Accessed on 1st December 2021. Available at: https://www.contraceptionjournal.org/action/showPdf?pii=S0010-7824%2818%2930388-3</w:t>
      </w:r>
    </w:p>
  </w:footnote>
  <w:footnote w:id="31">
    <w:p w14:paraId="17ADFDE2"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(HCCS. NO. 100 OF 2012) [2018] UGHCCD 22.</w:t>
      </w:r>
    </w:p>
  </w:footnote>
  <w:footnote w:id="32">
    <w:p w14:paraId="17ADFDE3"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Paragraph 40, Second periodic report submitted by Uganda under article 40 of the Covenant, due in 2008. Submitted on 17</w:t>
      </w:r>
      <w:r>
        <w:rPr>
          <w:color w:val="000000"/>
          <w:sz w:val="20"/>
          <w:szCs w:val="20"/>
          <w:vertAlign w:val="superscript"/>
        </w:rPr>
        <w:t>th</w:t>
      </w:r>
      <w:r>
        <w:rPr>
          <w:color w:val="000000"/>
          <w:sz w:val="20"/>
          <w:szCs w:val="20"/>
        </w:rPr>
        <w:t xml:space="preserve"> August 2020.  U.N. Document CCPR/C/UGA/2</w:t>
      </w:r>
    </w:p>
  </w:footnote>
  <w:footnote w:id="33">
    <w:p w14:paraId="17ADFDE4"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Report of the Special Rapporteur on the Right to Privacy (2020). Paragraph 41(b), U.N. Document A/HRC/43/52.</w:t>
      </w:r>
    </w:p>
  </w:footnote>
  <w:footnote w:id="34">
    <w:p w14:paraId="17ADFDE5"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Report of the Special Rapporteur on the Right to Privacy (2020). Paragraph 39(a)-(b), U.N. Document A/HRC/43/52.</w:t>
      </w:r>
    </w:p>
  </w:footnote>
  <w:footnote w:id="35">
    <w:p w14:paraId="17ADFDE6"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44, U.N Document E/C.12/GC/22</w:t>
      </w:r>
    </w:p>
  </w:footnote>
  <w:footnote w:id="36">
    <w:p w14:paraId="17ADFDE7"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19, U.N Document E/C.12/GC/22</w:t>
      </w:r>
    </w:p>
  </w:footnote>
  <w:footnote w:id="37">
    <w:p w14:paraId="17ADFDE8"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Implementing Rights-Based Accountability for Sexual and Reproductive Health and Rights in Humanitarian Settings: Good-practice case study from Adjumani District, Northern Uganda</w:t>
      </w:r>
      <w:r>
        <w:rPr>
          <w:color w:val="000000"/>
          <w:sz w:val="20"/>
          <w:szCs w:val="20"/>
        </w:rPr>
        <w:t>, Center for Reproductive Rights (2019).</w:t>
      </w:r>
    </w:p>
  </w:footnote>
  <w:footnote w:id="38">
    <w:p w14:paraId="17ADFDE9"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Nalwadda G., Mirembe F. et al., </w:t>
      </w:r>
      <w:r>
        <w:rPr>
          <w:i/>
          <w:color w:val="000000"/>
          <w:sz w:val="20"/>
          <w:szCs w:val="20"/>
        </w:rPr>
        <w:t>Constraints and Prospects for Contraceptive Service Provision to Young People in Uganda: Providers’ Perspectives</w:t>
      </w:r>
      <w:r>
        <w:rPr>
          <w:color w:val="000000"/>
          <w:sz w:val="20"/>
          <w:szCs w:val="20"/>
        </w:rPr>
        <w:t>, BMC Women’s Health Journal (2011). Accessed on 26</w:t>
      </w:r>
      <w:r>
        <w:rPr>
          <w:color w:val="000000"/>
          <w:sz w:val="20"/>
          <w:szCs w:val="20"/>
          <w:vertAlign w:val="superscript"/>
        </w:rPr>
        <w:t>th</w:t>
      </w:r>
      <w:r>
        <w:rPr>
          <w:color w:val="000000"/>
          <w:sz w:val="20"/>
          <w:szCs w:val="20"/>
        </w:rPr>
        <w:t xml:space="preserve"> April 2022. Available at: https://bmchealthservres.biomedcentral.com/articles/10.1186/1472-6963-11-220</w:t>
      </w:r>
    </w:p>
  </w:footnote>
  <w:footnote w:id="39">
    <w:p w14:paraId="17ADFDEA"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Apolot R., Tetui M, et al., </w:t>
      </w:r>
      <w:r>
        <w:rPr>
          <w:i/>
          <w:color w:val="000000"/>
          <w:sz w:val="20"/>
          <w:szCs w:val="20"/>
        </w:rPr>
        <w:t>Maternal health challenges experienced by adolescents; could community score cards address them? A case study of Kibuku District– Uganda,</w:t>
      </w:r>
      <w:r>
        <w:rPr>
          <w:color w:val="000000"/>
          <w:sz w:val="20"/>
          <w:szCs w:val="20"/>
        </w:rPr>
        <w:t xml:space="preserve"> International Journal for Equity in Health (2020). Accessed on 26</w:t>
      </w:r>
      <w:r>
        <w:rPr>
          <w:color w:val="000000"/>
          <w:sz w:val="20"/>
          <w:szCs w:val="20"/>
          <w:vertAlign w:val="superscript"/>
        </w:rPr>
        <w:t>th</w:t>
      </w:r>
      <w:r>
        <w:rPr>
          <w:color w:val="000000"/>
          <w:sz w:val="20"/>
          <w:szCs w:val="20"/>
        </w:rPr>
        <w:t xml:space="preserve"> April 2022. Available at: https://equityhealthj.biomedcentral.com/track/pdf/10.1186/s12939-020-01267-4.pdf</w:t>
      </w:r>
    </w:p>
  </w:footnote>
  <w:footnote w:id="40">
    <w:p w14:paraId="17ADFDEB"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Uganda Demographic and Health Survey (2011), Pg. 238</w:t>
      </w:r>
    </w:p>
  </w:footnote>
  <w:footnote w:id="41">
    <w:p w14:paraId="17ADFDEC"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Uganda Demographic and Health Survey (2016), Pg. 308</w:t>
      </w:r>
    </w:p>
  </w:footnote>
  <w:footnote w:id="42">
    <w:p w14:paraId="17ADFDED"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i/>
          <w:color w:val="000000"/>
          <w:sz w:val="20"/>
          <w:szCs w:val="20"/>
        </w:rPr>
        <w:t>Facing Uganda’s Law on Abortion: Experiences from Women &amp; Service Providers</w:t>
      </w:r>
      <w:r>
        <w:rPr>
          <w:color w:val="000000"/>
          <w:sz w:val="20"/>
          <w:szCs w:val="20"/>
        </w:rPr>
        <w:t>, the Center for Reproductive Rights and the Center for Health Human Rights and Development (2016), at pg. 10. Accessed on 27</w:t>
      </w:r>
      <w:r>
        <w:rPr>
          <w:color w:val="000000"/>
          <w:sz w:val="20"/>
          <w:szCs w:val="20"/>
          <w:vertAlign w:val="superscript"/>
        </w:rPr>
        <w:t>th</w:t>
      </w:r>
      <w:r>
        <w:rPr>
          <w:color w:val="000000"/>
          <w:sz w:val="20"/>
          <w:szCs w:val="20"/>
        </w:rPr>
        <w:t xml:space="preserve"> April 2022. Available at: https://www.reproductiverights.org/sites/crr.civicactions.net/files/documents/Uganda-Abortion-Law-Experiences.pdf</w:t>
      </w:r>
    </w:p>
  </w:footnote>
  <w:footnote w:id="43">
    <w:p w14:paraId="17ADFDEE"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Atuhaire R. and Kaberuka W., </w:t>
      </w:r>
      <w:r>
        <w:rPr>
          <w:i/>
          <w:color w:val="000000"/>
          <w:sz w:val="20"/>
          <w:szCs w:val="20"/>
        </w:rPr>
        <w:t>Factors Contributing to Maternal Mortality in Uganda</w:t>
      </w:r>
      <w:r>
        <w:rPr>
          <w:color w:val="000000"/>
          <w:sz w:val="20"/>
          <w:szCs w:val="20"/>
        </w:rPr>
        <w:t>, African Journal of Economic Review, Volume IV, Issue 2 (2016). Accessed on 27</w:t>
      </w:r>
      <w:r>
        <w:rPr>
          <w:color w:val="000000"/>
          <w:sz w:val="20"/>
          <w:szCs w:val="20"/>
          <w:vertAlign w:val="superscript"/>
        </w:rPr>
        <w:t>th</w:t>
      </w:r>
      <w:r>
        <w:rPr>
          <w:color w:val="000000"/>
          <w:sz w:val="20"/>
          <w:szCs w:val="20"/>
        </w:rPr>
        <w:t xml:space="preserve"> April 2022. Available at: https://www.ajol.info/index.php/ajer/article/view/136040</w:t>
      </w:r>
    </w:p>
  </w:footnote>
  <w:footnote w:id="44">
    <w:p w14:paraId="17ADFDEF"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Apolot R., Tetui M, et al., </w:t>
      </w:r>
      <w:r>
        <w:rPr>
          <w:i/>
          <w:color w:val="000000"/>
          <w:sz w:val="20"/>
          <w:szCs w:val="20"/>
        </w:rPr>
        <w:t>Maternal health challenges experienced by adolescents; could community score cards address them? A case study of Kibuku District– Uganda,</w:t>
      </w:r>
      <w:r>
        <w:rPr>
          <w:color w:val="000000"/>
          <w:sz w:val="20"/>
          <w:szCs w:val="20"/>
        </w:rPr>
        <w:t xml:space="preserve"> International Journal for Equity in Health (2020). Accessed on 26</w:t>
      </w:r>
      <w:r>
        <w:rPr>
          <w:color w:val="000000"/>
          <w:sz w:val="20"/>
          <w:szCs w:val="20"/>
          <w:vertAlign w:val="superscript"/>
        </w:rPr>
        <w:t>th</w:t>
      </w:r>
      <w:r>
        <w:rPr>
          <w:color w:val="000000"/>
          <w:sz w:val="20"/>
          <w:szCs w:val="20"/>
        </w:rPr>
        <w:t xml:space="preserve"> April 2022. Available at: https://equityhealthj.biomedcentral.com/track/pdf/10.1186/s12939-020-01267-4.pdf</w:t>
      </w:r>
    </w:p>
  </w:footnote>
  <w:footnote w:id="45">
    <w:p w14:paraId="17ADFDF0"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Committee, General comment No. 36 on article 6 of the International Covenant on Civil and Political Rights, on the right to life (2018). Paragraph 26, U.N Document CCPR/C/GC/36.</w:t>
      </w:r>
    </w:p>
  </w:footnote>
  <w:footnote w:id="46">
    <w:p w14:paraId="17ADFDF1"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Facing Uganda’s Law on Abortion: Experiences from Women &amp; Service Providers</w:t>
      </w:r>
      <w:r>
        <w:rPr>
          <w:color w:val="000000"/>
          <w:sz w:val="20"/>
          <w:szCs w:val="20"/>
        </w:rPr>
        <w:t>, the Center for Reproductive Rights and the Center for Health Human Rights and Development (2016), at pg. 10. Accessed on 27</w:t>
      </w:r>
      <w:r>
        <w:rPr>
          <w:color w:val="000000"/>
          <w:sz w:val="20"/>
          <w:szCs w:val="20"/>
          <w:vertAlign w:val="superscript"/>
        </w:rPr>
        <w:t>th</w:t>
      </w:r>
      <w:r>
        <w:rPr>
          <w:color w:val="000000"/>
          <w:sz w:val="20"/>
          <w:szCs w:val="20"/>
        </w:rPr>
        <w:t xml:space="preserve"> April 2022. Available at: https://www.reproductiverights.org/sites/crr.civicactions.net/files/documents/Uganda-Abortion-Law-Experiences.pdf</w:t>
      </w:r>
    </w:p>
  </w:footnote>
  <w:footnote w:id="47">
    <w:p w14:paraId="17ADFDF2"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28, U.N Document E/C.12/GC/22</w:t>
      </w:r>
    </w:p>
  </w:footnote>
  <w:footnote w:id="48">
    <w:p w14:paraId="17ADFDF3"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Committee, General comment No. 36 on article 6 of the International Covenant on Civil and Political Rights, on the right to life (2018). Paragraph 56, U.N Document CCPR/C/GC/36.</w:t>
      </w:r>
    </w:p>
  </w:footnote>
  <w:footnote w:id="49">
    <w:p w14:paraId="17ADFDF4"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Committee, General comment No. 20: Article 7 (Prohibition of torture, or other cruel, inhuman, or degrading treatment or punishment) (1992). Paragraph 4-5.</w:t>
      </w:r>
    </w:p>
  </w:footnote>
  <w:footnote w:id="50">
    <w:p w14:paraId="17ADFDF5"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Implementing Rights-Based Accountability for Sexual and Reproductive Health and Rights in Humanitarian Settings: Good-practice case study from Adjumani District, Northern Uganda</w:t>
      </w:r>
      <w:r>
        <w:rPr>
          <w:color w:val="000000"/>
          <w:sz w:val="20"/>
          <w:szCs w:val="20"/>
        </w:rPr>
        <w:t>, Center for Reproductive Rights (2019).</w:t>
      </w:r>
    </w:p>
  </w:footnote>
  <w:footnote w:id="51">
    <w:p w14:paraId="17ADFDF6"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Ahumuza S., Matovu J. et al., </w:t>
      </w:r>
      <w:r>
        <w:rPr>
          <w:i/>
          <w:color w:val="000000"/>
          <w:sz w:val="20"/>
          <w:szCs w:val="20"/>
        </w:rPr>
        <w:t>Challenges in Accessing Sexual and Reproductive Health Services by People with Physical Disabilities in Kampala, Uganda,</w:t>
      </w:r>
      <w:r>
        <w:rPr>
          <w:color w:val="000000"/>
          <w:sz w:val="20"/>
          <w:szCs w:val="20"/>
        </w:rPr>
        <w:t xml:space="preserve"> Reproductive Health Journal (2014). Accessed on 27</w:t>
      </w:r>
      <w:r>
        <w:rPr>
          <w:color w:val="000000"/>
          <w:sz w:val="20"/>
          <w:szCs w:val="20"/>
          <w:vertAlign w:val="superscript"/>
        </w:rPr>
        <w:t>th</w:t>
      </w:r>
      <w:r>
        <w:rPr>
          <w:color w:val="000000"/>
          <w:sz w:val="20"/>
          <w:szCs w:val="20"/>
        </w:rPr>
        <w:t xml:space="preserve"> April 2022. Available at: https://reproductive-health-journal.biomedcentral.com/track/pdf/10.1186/1742-4755-11-59.pdf</w:t>
      </w:r>
      <w:r>
        <w:rPr>
          <w:i/>
          <w:color w:val="000000"/>
          <w:sz w:val="20"/>
          <w:szCs w:val="20"/>
        </w:rPr>
        <w:t xml:space="preserve"> </w:t>
      </w:r>
    </w:p>
  </w:footnote>
  <w:footnote w:id="52">
    <w:p w14:paraId="17ADFDF7" w14:textId="77777777" w:rsidR="0050540F" w:rsidRDefault="00D35BAB">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Ahumuza S., Matovu J. et al., </w:t>
      </w:r>
      <w:r>
        <w:rPr>
          <w:i/>
          <w:color w:val="000000"/>
          <w:sz w:val="20"/>
          <w:szCs w:val="20"/>
        </w:rPr>
        <w:t>Challenges in Accessing Sexual and Reproductive Health Services by People with Physical Disabilities in Kampala, Uganda,</w:t>
      </w:r>
      <w:r>
        <w:rPr>
          <w:color w:val="000000"/>
          <w:sz w:val="20"/>
          <w:szCs w:val="20"/>
        </w:rPr>
        <w:t xml:space="preserve"> Reproductive Health Journal (2014). Accessed on 27</w:t>
      </w:r>
      <w:r>
        <w:rPr>
          <w:color w:val="000000"/>
          <w:sz w:val="20"/>
          <w:szCs w:val="20"/>
          <w:vertAlign w:val="superscript"/>
        </w:rPr>
        <w:t>th</w:t>
      </w:r>
      <w:r>
        <w:rPr>
          <w:color w:val="000000"/>
          <w:sz w:val="20"/>
          <w:szCs w:val="20"/>
        </w:rPr>
        <w:t xml:space="preserve"> April 2022. Available at: https://reproductive-health-journal.biomedcentral.com/track/pdf/10.1186/1742-4755-11-59.pdf</w:t>
      </w:r>
      <w:r>
        <w:rPr>
          <w:i/>
          <w:color w:val="000000"/>
          <w:sz w:val="20"/>
          <w:szCs w:val="20"/>
        </w:rPr>
        <w:t xml:space="preserve"> </w:t>
      </w:r>
    </w:p>
  </w:footnote>
  <w:footnote w:id="53">
    <w:p w14:paraId="17ADFDF8" w14:textId="77777777" w:rsidR="0050540F" w:rsidRDefault="00D35BA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Committee on the Elimination of Discrimination Against Women, General recommendation No. 35 on gender-based violence against women, updating general recommendation No. 19 (2017). Paragraph 18, U.N Document CEDAW/C/GC/35.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44191"/>
    <w:multiLevelType w:val="multilevel"/>
    <w:tmpl w:val="2E12DEEA"/>
    <w:lvl w:ilvl="0">
      <w:start w:val="1"/>
      <w:numFmt w:val="decimal"/>
      <w:lvlText w:val="%1."/>
      <w:lvlJc w:val="left"/>
      <w:pPr>
        <w:ind w:left="778" w:hanging="360"/>
      </w:pPr>
    </w:lvl>
    <w:lvl w:ilvl="1">
      <w:start w:val="1"/>
      <w:numFmt w:val="lowerLetter"/>
      <w:lvlText w:val="%2."/>
      <w:lvlJc w:val="left"/>
      <w:pPr>
        <w:ind w:left="1498" w:hanging="360"/>
      </w:p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abstractNum w:abstractNumId="1" w15:restartNumberingAfterBreak="0">
    <w:nsid w:val="093C0060"/>
    <w:multiLevelType w:val="multilevel"/>
    <w:tmpl w:val="3E525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EC773F"/>
    <w:multiLevelType w:val="multilevel"/>
    <w:tmpl w:val="F2B8141A"/>
    <w:lvl w:ilvl="0">
      <w:start w:val="1"/>
      <w:numFmt w:val="decimal"/>
      <w:lvlText w:val="%1."/>
      <w:lvlJc w:val="left"/>
      <w:pPr>
        <w:ind w:left="778" w:hanging="360"/>
      </w:pPr>
    </w:lvl>
    <w:lvl w:ilvl="1">
      <w:start w:val="1"/>
      <w:numFmt w:val="lowerLetter"/>
      <w:lvlText w:val="%2."/>
      <w:lvlJc w:val="left"/>
      <w:pPr>
        <w:ind w:left="1498" w:hanging="360"/>
      </w:p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abstractNum w:abstractNumId="3" w15:restartNumberingAfterBreak="0">
    <w:nsid w:val="558926A0"/>
    <w:multiLevelType w:val="multilevel"/>
    <w:tmpl w:val="0EE0F954"/>
    <w:lvl w:ilvl="0">
      <w:start w:val="1"/>
      <w:numFmt w:val="decimal"/>
      <w:lvlText w:val="%1."/>
      <w:lvlJc w:val="left"/>
      <w:pPr>
        <w:ind w:left="778" w:hanging="360"/>
      </w:pPr>
    </w:lvl>
    <w:lvl w:ilvl="1">
      <w:start w:val="1"/>
      <w:numFmt w:val="lowerLetter"/>
      <w:lvlText w:val="%2."/>
      <w:lvlJc w:val="left"/>
      <w:pPr>
        <w:ind w:left="1498" w:hanging="360"/>
      </w:p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num w:numId="1" w16cid:durableId="475147656">
    <w:abstractNumId w:val="0"/>
  </w:num>
  <w:num w:numId="2" w16cid:durableId="1958485855">
    <w:abstractNumId w:val="1"/>
  </w:num>
  <w:num w:numId="3" w16cid:durableId="1414858721">
    <w:abstractNumId w:val="3"/>
  </w:num>
  <w:num w:numId="4" w16cid:durableId="803348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40F"/>
    <w:rsid w:val="000B3079"/>
    <w:rsid w:val="000F4BA6"/>
    <w:rsid w:val="00116E0D"/>
    <w:rsid w:val="003118EC"/>
    <w:rsid w:val="00323CCF"/>
    <w:rsid w:val="004F540B"/>
    <w:rsid w:val="0050540F"/>
    <w:rsid w:val="005A750F"/>
    <w:rsid w:val="005B5DF5"/>
    <w:rsid w:val="00614B4E"/>
    <w:rsid w:val="006B4DBC"/>
    <w:rsid w:val="006D1369"/>
    <w:rsid w:val="00777D7A"/>
    <w:rsid w:val="007F23D5"/>
    <w:rsid w:val="008A5DC2"/>
    <w:rsid w:val="009B746B"/>
    <w:rsid w:val="00A176FA"/>
    <w:rsid w:val="00B8419D"/>
    <w:rsid w:val="00BD6A8B"/>
    <w:rsid w:val="00C57CFF"/>
    <w:rsid w:val="00CB52E8"/>
    <w:rsid w:val="00D35BAB"/>
    <w:rsid w:val="00D53AA6"/>
    <w:rsid w:val="00E41A25"/>
    <w:rsid w:val="00E55918"/>
    <w:rsid w:val="00EB2735"/>
    <w:rsid w:val="00F67B3F"/>
    <w:rsid w:val="00FB4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FD8B"/>
  <w15:docId w15:val="{803F2E42-37C6-49D8-9E49-90695B98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4"/>
        <w:szCs w:val="24"/>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EAD"/>
    <w:rPr>
      <w:lang w:val="en-GB"/>
    </w:rPr>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rPr>
  </w:style>
  <w:style w:type="paragraph" w:styleId="Heading4">
    <w:name w:val="heading 4"/>
    <w:basedOn w:val="Normal"/>
    <w:next w:val="Normal"/>
    <w:link w:val="Heading4Char"/>
    <w:uiPriority w:val="9"/>
    <w:semiHidden/>
    <w:unhideWhenUsed/>
    <w:qFormat/>
    <w:rsid w:val="002572E3"/>
    <w:pPr>
      <w:keepNext/>
      <w:keepLines/>
      <w:spacing w:before="40" w:after="0"/>
      <w:outlineLvl w:val="3"/>
    </w:pPr>
    <w:rPr>
      <w:rFonts w:eastAsiaTheme="majorEastAsia" w:cstheme="majorBidi"/>
      <w:b/>
      <w:i/>
      <w:iCs/>
      <w:color w:val="1F3864" w:themeColor="accent1" w:themeShade="80"/>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2572E3"/>
    <w:rPr>
      <w:rFonts w:ascii="Palatino Linotype" w:eastAsiaTheme="majorEastAsia" w:hAnsi="Palatino Linotype" w:cstheme="majorBidi"/>
      <w:b/>
      <w:i/>
      <w:iCs/>
      <w:color w:val="1F3864" w:themeColor="accent1" w:themeShade="80"/>
      <w:sz w:val="24"/>
      <w:lang w:val="en-GB"/>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EndnoteText">
    <w:name w:val="endnote text"/>
    <w:basedOn w:val="Normal"/>
    <w:link w:val="EndnoteTextChar"/>
    <w:uiPriority w:val="99"/>
    <w:semiHidden/>
    <w:unhideWhenUsed/>
    <w:rsid w:val="00ED35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3547"/>
    <w:rPr>
      <w:rFonts w:ascii="Palatino Linotype" w:hAnsi="Palatino Linotype"/>
      <w:sz w:val="20"/>
      <w:szCs w:val="20"/>
      <w:lang w:val="en-GB"/>
    </w:rPr>
  </w:style>
  <w:style w:type="character" w:styleId="EndnoteReference">
    <w:name w:val="endnote reference"/>
    <w:basedOn w:val="DefaultParagraphFont"/>
    <w:uiPriority w:val="99"/>
    <w:semiHidden/>
    <w:unhideWhenUsed/>
    <w:rsid w:val="00ED3547"/>
    <w:rPr>
      <w:vertAlign w:val="superscript"/>
    </w:rPr>
  </w:style>
  <w:style w:type="paragraph" w:styleId="ListParagraph">
    <w:name w:val="List Paragraph"/>
    <w:basedOn w:val="Normal"/>
    <w:uiPriority w:val="34"/>
    <w:qFormat/>
    <w:rsid w:val="00C04B7B"/>
    <w:pPr>
      <w:ind w:left="720"/>
      <w:contextualSpacing/>
    </w:pPr>
  </w:style>
  <w:style w:type="character" w:styleId="CommentReference">
    <w:name w:val="annotation reference"/>
    <w:basedOn w:val="DefaultParagraphFont"/>
    <w:uiPriority w:val="99"/>
    <w:semiHidden/>
    <w:unhideWhenUsed/>
    <w:rsid w:val="003F2FD7"/>
    <w:rPr>
      <w:sz w:val="16"/>
      <w:szCs w:val="16"/>
    </w:rPr>
  </w:style>
  <w:style w:type="paragraph" w:styleId="CommentText">
    <w:name w:val="annotation text"/>
    <w:basedOn w:val="Normal"/>
    <w:link w:val="CommentTextChar"/>
    <w:uiPriority w:val="99"/>
    <w:unhideWhenUsed/>
    <w:rsid w:val="003F2FD7"/>
    <w:pPr>
      <w:spacing w:line="240" w:lineRule="auto"/>
    </w:pPr>
    <w:rPr>
      <w:sz w:val="20"/>
      <w:szCs w:val="20"/>
    </w:rPr>
  </w:style>
  <w:style w:type="character" w:customStyle="1" w:styleId="CommentTextChar">
    <w:name w:val="Comment Text Char"/>
    <w:basedOn w:val="DefaultParagraphFont"/>
    <w:link w:val="CommentText"/>
    <w:uiPriority w:val="99"/>
    <w:rsid w:val="003F2FD7"/>
    <w:rPr>
      <w:rFonts w:ascii="Palatino Linotype" w:hAnsi="Palatino Linotype"/>
      <w:sz w:val="20"/>
      <w:szCs w:val="20"/>
      <w:lang w:val="en-GB"/>
    </w:rPr>
  </w:style>
  <w:style w:type="paragraph" w:styleId="CommentSubject">
    <w:name w:val="annotation subject"/>
    <w:basedOn w:val="CommentText"/>
    <w:next w:val="CommentText"/>
    <w:link w:val="CommentSubjectChar"/>
    <w:uiPriority w:val="99"/>
    <w:semiHidden/>
    <w:unhideWhenUsed/>
    <w:rsid w:val="003F2FD7"/>
    <w:rPr>
      <w:b/>
      <w:bCs/>
    </w:rPr>
  </w:style>
  <w:style w:type="character" w:customStyle="1" w:styleId="CommentSubjectChar">
    <w:name w:val="Comment Subject Char"/>
    <w:basedOn w:val="CommentTextChar"/>
    <w:link w:val="CommentSubject"/>
    <w:uiPriority w:val="99"/>
    <w:semiHidden/>
    <w:rsid w:val="003F2FD7"/>
    <w:rPr>
      <w:rFonts w:ascii="Palatino Linotype" w:hAnsi="Palatino Linotype"/>
      <w:b/>
      <w:bCs/>
      <w:sz w:val="20"/>
      <w:szCs w:val="20"/>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ZsN/YEMfIZl6MGCmV1Q5E4nw2w==">AMUW2mWIpL5facFppKdKdB6asXOAeIk2y66yp4IM+6APQFzJzX+T9KhEOd5uGvipzPuU+lRC92abfj0uxebvPP+IjpOI7dS+QajBI7P9H8c8T9e9FaI4x9oImKFBYY4SctUvmaKzF51PNOUv+isnIxq93UuFLlf+QTyDQxDuks/VJWw5KtmgDq2oYLgMHuxYwOsZzecG23yMoFA91UFxDwtY7I3IOV1Co0V3wo5bzhcgzFaYg2IvqOSJIijPuHOnUK8F+weIu7IGkyhxJas3eh2O1+jTAmih1Pp4GoDyAEsnDMz/5SQCxGMt9/zVfISvSmf4n3LtDJyudBBSq2EaRfxGUuik9GAOz+7rHxdyFh2Qvqj0SYbcIFdZ40W4wcU35j0BXuz4rxxd0+cNZB5kXky7vO5dp6gfQgaJNgNU+ji1f16Ua6W9JSvsprl4sDYoQWIv/HIe4i6YAUTiWznaqsqm30lcVeD1GNBWccsxbpTKAfxWNUMoY7cn0Wg5tunOWdNihK94vHJCH3qdBEX5uU9cNOQWOr+mf6lXh34WUKYxRaV+H4QSGuiy0hvlg5wfgnPYlFtLOly3zqPbjdUzZC4iWBcaMYw33KqAJU6tOs55+LE9ql8fvBa4D8NGmPoa4kVshWDo4vw810PDzTCD+FfKid3N0o+IwmLWFHjgt+TP/ysvLE5yAAapNlYm0EDw54C9zs09kMfBr7bcRA3jFcOIW9WcMhja8OBHQlZs8V40S4hvhBW/QURKW7Eu5VpnADeHawtUn/Nk7yHy4vvyFrFcMs/f7iudQcTS6zjIpFtzbDjyfVEt5nR2LJT2DQ6Awfe5qFhM4HjuRSEbO+51G/txZ8Hg3N6tRXEf4WA4eVxRFRMC5tHkZvjr6nXrhDR2i2n2JPPRyKobUwaNk5nvZAxfKvn7Yyxzh8dQXdXd1Hjjc814E+dqntlMvtsEwuFOof424E6Ea1teF68p/2EvHJSGUVWso7bJXcrx8bAcCWdoToO8rqUjdS5Zz4JNMJSAz+oN0WOPAKl4WX2jiqIzkCfbtPD7MJGigjz5jauLhg3V2JnGGEmZOSimHDgT5mFilx85Ep63LfefYF4S+alKWfcvqfMU1Qe7QiR9y6qCpwvOiGoux7FdzuDDj5Cjl75EEcl82erxktEdzIFeAp1Ty85MbJooSitb0HHqKPPLYZ1Otcf4U0dlM/IHjYvjSKb5pXo8r/BC9oJycTj3peoXUPyrF9KcFOOgsvwvIYFg3++l/iwhOOi8Yr6o6QmWO6SJQFYs2eIZC7dAut64/a3xAz3fFr6Wo7yik/0yRplVqiCbUSkIwkq6d0yZsNZGJmUitfTDXDjKqos75Y3wzhf9NWdE4bpPYfRh16V5gsN9/xeMPWl2FalO7L2jhE4N2HYnCfAz3zcHchKFiVI5Bl3m+aZfrs9TpI7RRmMN96UwoXZf+XNX81dWeQlwZEWMrz2SgkASBnwsHts355MQE+TKQmTxKNM76YR1WgThgr1fSF4SYmo8kgfEyDHxY/P+JacBa8atGdvGkkoe09oT+XIOTfMX1ackWG4SpfQGdC6TMfAnq17+GdcvMthJ2ExNLWoH7LYkYopsnjFOAqetXCRfuoxv4d43Pju6z+nNbAggArkBLSN30tIJyadztm493E2P+LSN8Qj9FPvBOlGhbBAxC21/yt4njKtbhlMRaMimoFiGvostR6EB6lgV3lfrhuTcZjA+Kz+lo5GeSf7yRUDDqDgaHQXJ99esqWogf5CQlpnEA3S1Zj9AMpDOtGpH0f0kx1TMDWPBQHrCl3L9SyTzb6pmANtqrHy8rFDNrbRacqWyPYl09xZWoK6vmE2GtAf3EfKBRb/sXaAmhSlxr26KzdlbXYp+syiWN59/mVsVYOEAmthtzCsXw/zzMEhw/lMjoVajN7ur8od619yegTdtghdkN3Shs1mCujluXWkkTF5Okg1ALyyZ89D8MDNi/EISYvACAJtwjIUCELcj9Xvyq7RkMMb8ULQjGdcdcr7FuTleDnzPBglo5gNv+3N/jVkER1d2LN6paUDXHd7JE38bhDfLvm0TtUt8HuBph6FwJ6P6JPdrEb59DDFq1/iSDqLcKeO1j4IowyifNL6fLVAJqeR0ckrqNrflpMF4HbZ7nd7APcJzSQ3tCTCGSY6sExLpx3DLj2GZmS7IShFDcPYArC2qIyhr31xIqxpXaPbeSZG4pEf8blY0Y15FbVwazu8L8MjqHx3kp5D2iUU8ElQjm1sONcIx29LPerfeupFFgclk2PrSUf1cT/MrNfeBz2J1oomhQPLYyLoS2id0QYx7/nEaRE70eiXq9aj3yK835C+c4nd4YZV+ROAthmIlgX3/3ZDsi+h9yOA1/VI4tSLrYMBwPxM8lz0OIwn+/6vw10QjUyvNbqtQjau/HuNxJREDaytPc8z1pBS0c36DWD9yNRcygajLdCdBG5grkJCaLPV30s9GYKK650uav1mJk8SyHD0vgE75xjErEyZa4QxiT65RUbc7fsNCYOOSa/3Nobl8hupDGI5SR49Pod0OvwmIgolntmF21zazbfmFeIcrP83r9iCaZEKqAoY3lXrHGKX2BhzeOqI7qUfKY81qyzgv0Qs09feeKCaNz011vN+Aa5HtjlR7rCxISTehg/UIgN0OEJFa29mAWmZgj9jHgHgCoC7j1VK0xLI/Y7WE39441oShMsNWzVAbicXzGhuH12c9NtmcllFyQ+i91bMVdx+zmffHcArnCzlevJ6uHUWZpRSDIwmMpCvUZlbgbPJ/g9usOS8Dw+9M/dpjGakpolJ7J/GaqfTMOAvRg6SXOv+rpgRSB3hfaOawirvJLkHHUo3zRPPpAce1PLElM2znQlxqb4UNKEppr7EE2MaOxenQciblK+yTFd70eMUEdbaOFmqaxymSFFtwDF8AURRVknIl8Cx3dlQgAJIrz61iOVF3CzUFKgwOvDSu3Egt48t8J3hBXqNqlTVpzJD+0b4IOd/Uy+yDOf7mM9I/NBGTtUEqtJ8pxpXKLVWBeFWK8gSDD5uZ3uIKKcAVLO3NYAhKqtR+Aur0z1x9jY6Tv9+lqHVLIocm9cwp5m+LXOaZM+0sy9BTx10UK3dA3WjvjZ3RVheKaCXaGE9aL5vqFLxeI2oD9pFOutBdgAYvFUE7fo9BdfceRyyLt5k4+VSWWI+O5zxS/RuADg20rDkppUFhLTA7q6RzpeciISMmdGfUK6j2j/hZXb+d58A6O3OPHRd7Qz4wsQpTeEKhEKY/qxsyPo6rj9tOw4oV9rl/AX+t5INzw3HO3FGKVKdjqsZJrofaokDInkmit0hoIPfMDuUP1gM/IoNerb1bH7OrZyNXZFQMXncHuRpddxrq9wuQue9TCyJjbxK5mviZ+3gCmMECHO/3evdTh4sCWkTb9/1ruc+fbpav5g4CTORsa38yRgkF93CobNSGWgPwnQDVrPPnHAN7bbhtoZ/Zm5cXGKDg3Zr4NrYxZqAfN2ep+pYIaS9j51e0LK59CLN+IeffPYPiSrtye+aw9e1T/Cvurbx6c/R51z0YQHYwTStuyVuCcHFfw8QEh2z2vFe8yvmi1I/nzdzpjPZTO3gbEWGPF6WiRbLv+3U4yfQW6nkiXgBbz8W0Tuvc2Xl4bTnFbcWYbc77rOvv2un81ryqmW9WMy2sn4hufKpQITguQm25T1p/UIcktNfGOoBPjBZItxCeenLAEwNP3d7Kb7kYHgZPKrtx1gykzX7NSFiSl1WnSp8N6UjUmWLmfeVwEv5wDzJwl8RzrUby8uUDhpZ44bfJdiyy4qN+8aR7fC/XbNP3ySpfvCRFKgnx5Jrpig40JpcQe5dXH6WCRkquI5jIMePAWAvS4GVqaAJglK8/ZO1Z9koBPYlgAIuqB4EdEubK/IYvNmg+8203EeFJQdCJDmHHUdwnT5k4sOxhttFWA2dQDHKLLD6Zlu1oJ6vl4+Jj/3Fk/ZXX+4cLjUsw3sUrk0cPtNumFy6j/A1kXkH3p5WXRmouJpu8lI4yy+NBl2PxK3t/ZLNNKcoSdl1FJrtp39ne6ICcshGA1DT+0IBRw1MejkibnjH+PS7VCB/lhJ1MbLMKr9vTUe62tN9///0DS7MBM7IYEfWUatEf5ITB2n3F3ARAMp4kdGV6PhhQIauQ6BJf9UZN18aNZf4Kd07Sii/HuP6GawwFK4ADlpfacsg5dC0c8noC+m0JNqD21tdrjzsUL9XXgbEzqhIAXYu6lkdrWQnhJbi+2KOxDsq7LXJcq6YPT8hKjuD7MvEza/3vgCKiBotxSP5mau4KY8gZ+MHcE7VGxgWAYNof1dzUpE/kq3lKEjpgIB9biczMIhabzBVG9JQmnyL1W5f14oOLH+IAQPSuz0X3HJAYAwrEAvkcY7rxphAsviMd6w9YahJeSTQ8FfisZX9/aO7TgBJwQRqnqmiSlb0u3fPebLSU2kUaxfPLw64XTrrxRfreMyeLTDNMVu+kFGHLnN2tvFpdKtCXF1hruXaPQ6yeahp2N78ojIucUxNGr1QvOyp8EEODP3FivZO3d47ZSTNuwImQrgmpOECYU7lEe2X5bCFk0MgMn5dlNx71l3zG6GD+vYRyaGDT+2YoTDmIdSEKQyhl/eVN6TAeZNzfB9O9sd+xlIwaVvFSkR9kG8OpOpwjesnSIn13dyz/c+b5cvkXMaJtV47qepRpis27WxOqcMURUqerUEJQPvob3nguWG4AKp15ki0mDCzC8mMC7QxLw6U1mt3fD1r/a3FlnuJZeQKNEjq3IRQ7UakZufxXVd/3XrO640jjA8lkwazPL1eccz1+H/MAz73AcOvDQjVIDwqwns4PyfPzFhdkXctnzAfbMM9X3AH6wxMaOFJT5Q4oU8yYuYdUhzxzshe/GdM+oA2qDUIKyHL9CbxMlz1/KuhN9hZhE7vET0bTgqb22cLUfcSTgPCkeT6Ivl6dbA/UI0HcTbAEb6Rt6DACj+nSwyZiO0Sa8YXN8aNLeAzppKfOThx6OtJy/YryXVxSo/6Cpys68WwYM0O1NKV2wfV6mYXqzDM59mRIqi69lY5y0P6qcvLmJOhQd/5wuaDpK72Eo9NCqjZZHkldrqq5zJuO7972MzC1y4zExmRzeyYVeYfZUq4/66slpYdzT9zOmXSLe6XwpAzpv/OuaHdafP2gr9Dx2+lTf9JPFcpjAEJQdYJQCyAu9+rSYnW4jLJRRdkD1JQKB+FeEvZCWgXgPqeU3G3uaaxQ+LQwRSp6uaSfn5MXm/xzc/agjxQE5zS8AwJg4ZQSGDHXGsjZ9uYGGUQD+XxqjZliLvpOsZwYSZqgbb7Naq+07QvY3/iDdcJ5RoEtfr+Sop3Q78dGJ4dOc94x/truU3+1ns5KvAPLJo2ffyZB/nbbS41MBB2WnsFyfcHXqoZufmx1nizLyT2QBkUTpqFaoEksKtefbJJFHs270x16b7D+D8WOCEdclhevijnNl7hsViQZhSjNSSjP5bnlTc3Sanp0YgoHg7T8um9MSii7DesV1QV98Vga31A6Iv0GXJHyJWrLBJg6XXka86VlNtgXYjDBuftRIoKCY2Y8TJ0i7s6kNAQhabvBnO6QBC3hQxv7n2E8oI/4svdCx6lCiJO0tH5ALjvSXRgmarXmGJDgTZpRl+04enTdqmgU1h+f3fS/Bq8UkRrqxONeF/lwN4+rPyKX/QgCx9vUNxJUaIhcebgB2WRnkdDHF7ugmFP1adYB2HIrHTh8UD5V4NPoIz37WDcox/zDy9JvyVkcs98BXFpAzgXlDgr3IKPl3xSjcFHsKZhByYlK/GNFuG40a8c0oXBGXFN2I/MojyzZXXdyjKYV8wtrE4PeI18Gc8z/F/lnRYVYHBpKlWgcuLmwI5PAWt8+xOxd5mD4Dx3Q+hxKsXhOh24o6I+JnABXGB+O0y/yGY7cGiP3rVIGezQ8HtXXrMapGkfSb9ePLELX6TBgI6gsRdR9gpakzEF7CelfUMUsDKeI/8rhJLoLLNdjqa4592CagQ+IawnscPsKcBDVP/E6G5oDV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BCFBDF-2F83-477A-8D6B-34473C697FFF}"/>
</file>

<file path=customXml/itemProps3.xml><?xml version="1.0" encoding="utf-8"?>
<ds:datastoreItem xmlns:ds="http://schemas.openxmlformats.org/officeDocument/2006/customXml" ds:itemID="{3A9A8FBB-2486-4CB6-9EEA-057F0F45FF39}"/>
</file>

<file path=customXml/itemProps4.xml><?xml version="1.0" encoding="utf-8"?>
<ds:datastoreItem xmlns:ds="http://schemas.openxmlformats.org/officeDocument/2006/customXml" ds:itemID="{692C7EC8-F6E0-4FF3-8237-5CBE23908276}"/>
</file>

<file path=docProps/app.xml><?xml version="1.0" encoding="utf-8"?>
<Properties xmlns="http://schemas.openxmlformats.org/officeDocument/2006/extended-properties" xmlns:vt="http://schemas.openxmlformats.org/officeDocument/2006/docPropsVTypes">
  <Template>Normal</Template>
  <TotalTime>23</TotalTime>
  <Pages>12</Pages>
  <Words>3002</Words>
  <Characters>17114</Characters>
  <Application>Microsoft Office Word</Application>
  <DocSecurity>0</DocSecurity>
  <Lines>142</Lines>
  <Paragraphs>40</Paragraphs>
  <ScaleCrop>false</ScaleCrop>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27</cp:revision>
  <dcterms:created xsi:type="dcterms:W3CDTF">2022-04-26T08:12:00Z</dcterms:created>
  <dcterms:modified xsi:type="dcterms:W3CDTF">2022-05-02T18:18:00Z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