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72647283"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7267B3">
        <w:rPr>
          <w:rFonts w:ascii="Proxima Nova Rg" w:hAnsi="Proxima Nova Rg" w:cstheme="minorHAnsi"/>
          <w:b/>
          <w:sz w:val="32"/>
          <w:szCs w:val="32"/>
          <w:u w:val="single"/>
          <w:lang w:val="fr-FR"/>
        </w:rPr>
        <w:t>KUWAIT</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DE79AD">
        <w:rPr>
          <w:rFonts w:ascii="Proxima Nova Rg" w:hAnsi="Proxima Nova Rg" w:cstheme="minorHAnsi"/>
          <w:b/>
          <w:sz w:val="32"/>
          <w:szCs w:val="32"/>
          <w:lang w:val="fr-FR"/>
        </w:rPr>
        <w:t>81</w:t>
      </w:r>
      <w:r w:rsidR="000C2495" w:rsidRPr="00E35A27">
        <w:rPr>
          <w:rFonts w:ascii="Proxima Nova Rg" w:hAnsi="Proxima Nova Rg" w:cstheme="minorHAnsi"/>
          <w:b/>
          <w:sz w:val="32"/>
          <w:szCs w:val="32"/>
          <w:lang w:val="fr-FR"/>
        </w:rPr>
        <w:t xml:space="preserve"> </w:t>
      </w:r>
      <w:r w:rsidR="0088636E">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7267B3">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88636E">
        <w:rPr>
          <w:rFonts w:ascii="Proxima Nova Rg" w:hAnsi="Proxima Nova Rg" w:cstheme="minorHAnsi"/>
          <w:b/>
          <w:sz w:val="32"/>
          <w:szCs w:val="32"/>
          <w:u w:val="single"/>
        </w:rPr>
        <w:t>4</w:t>
      </w:r>
      <w:r w:rsidRPr="00E35A27">
        <w:rPr>
          <w:rFonts w:ascii="Proxima Nova Rg" w:hAnsi="Proxima Nova Rg" w:cstheme="minorHAnsi"/>
          <w:b/>
          <w:sz w:val="32"/>
          <w:szCs w:val="32"/>
        </w:rPr>
        <w:t xml:space="preserve"> </w:t>
      </w:r>
    </w:p>
    <w:p w14:paraId="0DD5D7E9" w14:textId="370489EE"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7267B3">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D877E0">
        <w:rPr>
          <w:rFonts w:ascii="Proxima Nova Rg" w:hAnsi="Proxima Nova Rg" w:cstheme="minorHAnsi"/>
          <w:i/>
        </w:rPr>
        <w:t>4</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2DC821CA"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266048">
        <w:rPr>
          <w:rFonts w:ascii="Proxima Nova Rg" w:hAnsi="Proxima Nova Rg"/>
          <w:b/>
          <w:sz w:val="28"/>
          <w:szCs w:val="28"/>
        </w:rPr>
        <w:t>Kuwait</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266048">
        <w:rPr>
          <w:rFonts w:ascii="Proxima Nova Rg" w:hAnsi="Proxima Nova Rg"/>
          <w:b/>
          <w:sz w:val="28"/>
          <w:szCs w:val="28"/>
        </w:rPr>
        <w:t>Kuwait</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1A50940A"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B57E33">
        <w:rPr>
          <w:rFonts w:ascii="Proxima Nova Rg" w:hAnsi="Proxima Nova Rg"/>
          <w:b/>
          <w:sz w:val="28"/>
          <w:szCs w:val="28"/>
        </w:rPr>
        <w:t>fifth</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266048">
        <w:rPr>
          <w:rFonts w:ascii="Proxima Nova Rg" w:hAnsi="Proxima Nova Rg"/>
          <w:b/>
          <w:sz w:val="28"/>
          <w:szCs w:val="28"/>
        </w:rPr>
        <w:t>Kuwait</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F506FAC" w14:textId="77777777" w:rsidR="00B57E33" w:rsidRPr="00B57E33" w:rsidRDefault="00B57E33" w:rsidP="00B57E33"/>
    <w:p w14:paraId="1A95BE87" w14:textId="77777777" w:rsidR="00B57E33" w:rsidRDefault="00B57E33" w:rsidP="00B57E33"/>
    <w:p w14:paraId="441AB64F" w14:textId="77777777" w:rsidR="00B57E33" w:rsidRPr="00B57E33" w:rsidRDefault="00B57E33" w:rsidP="00B57E33"/>
    <w:p w14:paraId="0EB7BB3A" w14:textId="77777777" w:rsidR="00B57E33" w:rsidRPr="00B57E33"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normaltextrun"/>
          <w:rFonts w:ascii="Proxima Nova Rg" w:hAnsi="Proxima Nova Rg"/>
          <w:b/>
          <w:bCs/>
          <w:color w:val="000000"/>
          <w:sz w:val="28"/>
          <w:szCs w:val="28"/>
          <w:shd w:val="clear" w:color="auto" w:fill="FFFFFF"/>
        </w:rPr>
      </w:pPr>
      <w:r w:rsidRPr="00B57E33">
        <w:rPr>
          <w:rStyle w:val="normaltextrun"/>
          <w:rFonts w:ascii="Proxima Nova Rg" w:hAnsi="Proxima Nova Rg"/>
          <w:b/>
          <w:bCs/>
          <w:color w:val="000000"/>
          <w:sz w:val="28"/>
          <w:szCs w:val="28"/>
          <w:shd w:val="clear" w:color="auto" w:fill="FFFFFF"/>
        </w:rPr>
        <w:t>Summary of necessary legal reform to achieve full prohibition</w:t>
      </w:r>
    </w:p>
    <w:p w14:paraId="1573FB82" w14:textId="5BA4BB8C" w:rsidR="00B57E33" w:rsidRPr="006C2BF8" w:rsidRDefault="00B57E33" w:rsidP="00B57E33">
      <w:pPr>
        <w:pBdr>
          <w:top w:val="single" w:sz="24" w:space="14" w:color="0096A3"/>
          <w:left w:val="single" w:sz="24" w:space="10" w:color="0096A3"/>
          <w:bottom w:val="single" w:sz="24" w:space="0" w:color="0096A3"/>
          <w:right w:val="single" w:sz="24" w:space="10" w:color="0096A3"/>
        </w:pBdr>
        <w:spacing w:before="120" w:after="120"/>
        <w:rPr>
          <w:rStyle w:val="eop"/>
          <w:rFonts w:ascii="Proxima Nova Rg" w:hAnsi="Proxima Nova Rg"/>
          <w:color w:val="000000"/>
          <w:shd w:val="clear" w:color="auto" w:fill="FFFFFF"/>
        </w:rPr>
      </w:pPr>
      <w:r w:rsidRPr="006C2BF8">
        <w:rPr>
          <w:rStyle w:val="normaltextrun"/>
          <w:rFonts w:ascii="Proxima Nova Rg" w:hAnsi="Proxima Nova Rg"/>
          <w:color w:val="000000"/>
          <w:shd w:val="clear" w:color="auto" w:fill="FFFFFF"/>
        </w:rPr>
        <w:t>Prohibition is still to be achieved in the home, alternative care settings</w:t>
      </w:r>
      <w:r w:rsidR="0086318D">
        <w:rPr>
          <w:rStyle w:val="normaltextrun"/>
          <w:rFonts w:ascii="Proxima Nova Rg" w:hAnsi="Proxima Nova Rg"/>
          <w:color w:val="000000"/>
          <w:shd w:val="clear" w:color="auto" w:fill="FFFFFF"/>
        </w:rPr>
        <w:t xml:space="preserve">, </w:t>
      </w:r>
      <w:r w:rsidRPr="006C2BF8">
        <w:rPr>
          <w:rStyle w:val="normaltextrun"/>
          <w:rFonts w:ascii="Proxima Nova Rg" w:hAnsi="Proxima Nova Rg"/>
          <w:color w:val="000000"/>
          <w:shd w:val="clear" w:color="auto" w:fill="FFFFFF"/>
        </w:rPr>
        <w:t>day care</w:t>
      </w:r>
      <w:r w:rsidR="0086318D">
        <w:rPr>
          <w:rStyle w:val="normaltextrun"/>
          <w:rFonts w:ascii="Proxima Nova Rg" w:hAnsi="Proxima Nova Rg"/>
          <w:color w:val="000000"/>
          <w:shd w:val="clear" w:color="auto" w:fill="FFFFFF"/>
        </w:rPr>
        <w:t xml:space="preserve"> and penal institutions</w:t>
      </w:r>
      <w:r w:rsidRPr="006C2BF8">
        <w:rPr>
          <w:rStyle w:val="normaltextrun"/>
          <w:rFonts w:ascii="Proxima Nova Rg" w:hAnsi="Proxima Nova Rg"/>
          <w:color w:val="000000"/>
          <w:shd w:val="clear" w:color="auto" w:fill="FFFFFF"/>
        </w:rPr>
        <w:t>.</w:t>
      </w:r>
      <w:r w:rsidRPr="006C2BF8">
        <w:rPr>
          <w:rStyle w:val="eop"/>
          <w:rFonts w:ascii="Proxima Nova Rg" w:hAnsi="Proxima Nova Rg"/>
          <w:color w:val="000000"/>
          <w:shd w:val="clear" w:color="auto" w:fill="FFFFFF"/>
        </w:rPr>
        <w:t> </w:t>
      </w:r>
    </w:p>
    <w:p w14:paraId="05197DC1" w14:textId="77777777" w:rsidR="0086318D" w:rsidRPr="0086318D" w:rsidRDefault="0086318D" w:rsidP="0086318D">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86318D">
        <w:rPr>
          <w:rFonts w:ascii="Proxima Nova Rg" w:hAnsi="Proxima Nova Rg"/>
          <w:color w:val="000000"/>
          <w:shd w:val="clear" w:color="auto" w:fill="FFFFFF"/>
        </w:rPr>
        <w:t>Article 29 of the Criminal Code and article 6 of the Child Rights Act provide for the “right” of parents to discipline children and legal provisions against violence and assault are not interpreted as prohibiting all corporal punishment. The near universal acceptance of corporal punishment in “disciplining” children necessitates clarity in law that no degree or kind of such punishment is acceptable or lawful. Article 29 of the Criminal Code should be repealed, and prohibition enacted of all corporal punishment, however light and whoever the perpetrator.</w:t>
      </w:r>
      <w:r w:rsidRPr="0086318D">
        <w:rPr>
          <w:rFonts w:ascii="Proxima Nova Rg" w:hAnsi="Proxima Nova Rg"/>
          <w:color w:val="000000"/>
          <w:shd w:val="clear" w:color="auto" w:fill="FFFFFF"/>
          <w:lang w:val="en-US"/>
        </w:rPr>
        <w:t> </w:t>
      </w:r>
    </w:p>
    <w:p w14:paraId="3DFA0D4F" w14:textId="77777777" w:rsidR="0086318D" w:rsidRPr="0086318D" w:rsidRDefault="0086318D" w:rsidP="0086318D">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86318D">
        <w:rPr>
          <w:rFonts w:ascii="Proxima Nova Rg" w:hAnsi="Proxima Nova Rg"/>
          <w:i/>
          <w:iCs/>
          <w:color w:val="000000"/>
          <w:shd w:val="clear" w:color="auto" w:fill="FFFFFF"/>
        </w:rPr>
        <w:t>Alternative care settings</w:t>
      </w:r>
      <w:r w:rsidRPr="0086318D">
        <w:rPr>
          <w:rFonts w:ascii="Proxima Nova Rg" w:hAnsi="Proxima Nova Rg"/>
          <w:color w:val="000000"/>
          <w:shd w:val="clear" w:color="auto" w:fill="FFFFFF"/>
        </w:rPr>
        <w:t xml:space="preserve"> – Prohibition should also be enacted in relation to all alternative care settings (foster care, institutions, places of safety, emergency care, etc).</w:t>
      </w:r>
      <w:r w:rsidRPr="0086318D">
        <w:rPr>
          <w:rFonts w:ascii="Proxima Nova Rg" w:hAnsi="Proxima Nova Rg"/>
          <w:color w:val="000000"/>
          <w:shd w:val="clear" w:color="auto" w:fill="FFFFFF"/>
          <w:lang w:val="en-US"/>
        </w:rPr>
        <w:t> </w:t>
      </w:r>
    </w:p>
    <w:p w14:paraId="3CDD7261" w14:textId="77777777" w:rsidR="0086318D" w:rsidRPr="0086318D" w:rsidRDefault="0086318D" w:rsidP="0086318D">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86318D">
        <w:rPr>
          <w:rFonts w:ascii="Proxima Nova Rg" w:hAnsi="Proxima Nova Rg"/>
          <w:i/>
          <w:iCs/>
          <w:color w:val="000000"/>
          <w:shd w:val="clear" w:color="auto" w:fill="FFFFFF"/>
        </w:rPr>
        <w:t>Day care</w:t>
      </w:r>
      <w:r w:rsidRPr="0086318D">
        <w:rPr>
          <w:rFonts w:ascii="Proxima Nova Rg" w:hAnsi="Proxima Nova Rg"/>
          <w:color w:val="000000"/>
          <w:shd w:val="clear" w:color="auto" w:fill="FFFFFF"/>
        </w:rPr>
        <w:t xml:space="preserve"> – Corporal punishment should be prohibited in all early childhood care (nurseries, crèches, kindergartens, preschools, family centres, etc) and </w:t>
      </w:r>
      <w:proofErr w:type="gramStart"/>
      <w:r w:rsidRPr="0086318D">
        <w:rPr>
          <w:rFonts w:ascii="Proxima Nova Rg" w:hAnsi="Proxima Nova Rg"/>
          <w:color w:val="000000"/>
          <w:shd w:val="clear" w:color="auto" w:fill="FFFFFF"/>
        </w:rPr>
        <w:t>all day</w:t>
      </w:r>
      <w:proofErr w:type="gramEnd"/>
      <w:r w:rsidRPr="0086318D">
        <w:rPr>
          <w:rFonts w:ascii="Proxima Nova Rg" w:hAnsi="Proxima Nova Rg"/>
          <w:color w:val="000000"/>
          <w:shd w:val="clear" w:color="auto" w:fill="FFFFFF"/>
        </w:rPr>
        <w:t xml:space="preserve"> care for older children (day centres, after-school childcare, childminding, etc).</w:t>
      </w:r>
      <w:r w:rsidRPr="0086318D">
        <w:rPr>
          <w:rFonts w:ascii="Proxima Nova Rg" w:hAnsi="Proxima Nova Rg"/>
          <w:color w:val="000000"/>
          <w:shd w:val="clear" w:color="auto" w:fill="FFFFFF"/>
          <w:lang w:val="en-US"/>
        </w:rPr>
        <w:t> </w:t>
      </w:r>
    </w:p>
    <w:p w14:paraId="1679D58C" w14:textId="77777777" w:rsidR="0086318D" w:rsidRPr="0086318D" w:rsidRDefault="0086318D" w:rsidP="0086318D">
      <w:pPr>
        <w:pBdr>
          <w:top w:val="single" w:sz="24" w:space="14" w:color="0096A3"/>
          <w:left w:val="single" w:sz="24" w:space="10" w:color="0096A3"/>
          <w:bottom w:val="single" w:sz="24" w:space="0" w:color="0096A3"/>
          <w:right w:val="single" w:sz="24" w:space="10" w:color="0096A3"/>
        </w:pBdr>
        <w:spacing w:before="120" w:after="120"/>
        <w:rPr>
          <w:rFonts w:ascii="Proxima Nova Rg" w:hAnsi="Proxima Nova Rg"/>
          <w:color w:val="000000"/>
          <w:shd w:val="clear" w:color="auto" w:fill="FFFFFF"/>
          <w:lang w:val="en-US"/>
        </w:rPr>
      </w:pPr>
      <w:r w:rsidRPr="0086318D">
        <w:rPr>
          <w:rFonts w:ascii="Proxima Nova Rg" w:hAnsi="Proxima Nova Rg"/>
          <w:i/>
          <w:iCs/>
          <w:color w:val="000000"/>
          <w:shd w:val="clear" w:color="auto" w:fill="FFFFFF"/>
        </w:rPr>
        <w:lastRenderedPageBreak/>
        <w:t>Penal institutions</w:t>
      </w:r>
      <w:r w:rsidRPr="0086318D">
        <w:rPr>
          <w:rFonts w:ascii="Proxima Nova Rg" w:hAnsi="Proxima Nova Rg"/>
          <w:color w:val="000000"/>
          <w:shd w:val="clear" w:color="auto" w:fill="FFFFFF"/>
        </w:rPr>
        <w:t xml:space="preserve"> – Prohibition should be enacted in relation to the disciplinary measures permitted in all institutions accommodating children in conflict with the law.</w:t>
      </w:r>
      <w:r w:rsidRPr="0086318D">
        <w:rPr>
          <w:rFonts w:ascii="Proxima Nova Rg" w:hAnsi="Proxima Nova Rg"/>
          <w:color w:val="000000"/>
          <w:shd w:val="clear" w:color="auto" w:fill="FFFFFF"/>
          <w:lang w:val="en-US"/>
        </w:rPr>
        <w:t> </w:t>
      </w:r>
    </w:p>
    <w:p w14:paraId="5004230A" w14:textId="77777777" w:rsidR="00B57E33" w:rsidRPr="0097656A" w:rsidRDefault="00B57E33" w:rsidP="00B57E33">
      <w:pPr>
        <w:pBdr>
          <w:top w:val="single" w:sz="24" w:space="14" w:color="0096A3"/>
          <w:left w:val="single" w:sz="24" w:space="10" w:color="0096A3"/>
          <w:bottom w:val="single" w:sz="24" w:space="0" w:color="0096A3"/>
          <w:right w:val="single" w:sz="24" w:space="10" w:color="0096A3"/>
        </w:pBdr>
        <w:spacing w:before="120" w:after="120"/>
        <w:rPr>
          <w:rFonts w:asciiTheme="minorHAnsi" w:hAnsiTheme="minorHAnsi"/>
        </w:rPr>
      </w:pPr>
    </w:p>
    <w:p w14:paraId="6A253E45" w14:textId="77777777" w:rsidR="00733C93"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3B3381D3" w14:textId="77777777" w:rsidR="006C2BF8" w:rsidRPr="00E35A27" w:rsidRDefault="006C2BF8"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543014D2"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86318D">
        <w:rPr>
          <w:rFonts w:ascii="Proxima Nova Rg" w:hAnsi="Proxima Nova Rg"/>
          <w:b/>
          <w:sz w:val="28"/>
          <w:szCs w:val="28"/>
        </w:rPr>
        <w:t>Kuwait</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5E12C4E8" w14:textId="2C984FB7" w:rsidR="00D81651" w:rsidRDefault="00D81651" w:rsidP="00D81651">
      <w:pPr>
        <w:pStyle w:val="ListParagraph"/>
        <w:numPr>
          <w:ilvl w:val="1"/>
          <w:numId w:val="23"/>
        </w:numPr>
        <w:rPr>
          <w:rFonts w:ascii="Proxima Nova Rg" w:hAnsi="Proxima Nova Rg"/>
          <w:sz w:val="22"/>
          <w:szCs w:val="22"/>
        </w:rPr>
      </w:pPr>
      <w:r w:rsidRPr="00D81651">
        <w:rPr>
          <w:rFonts w:ascii="Proxima Nova Rg" w:hAnsi="Proxima Nova Rg" w:cstheme="minorHAnsi"/>
          <w:sz w:val="22"/>
          <w:szCs w:val="22"/>
        </w:rPr>
        <w:t xml:space="preserve">The </w:t>
      </w:r>
      <w:r w:rsidR="006C2BF8">
        <w:rPr>
          <w:rFonts w:ascii="Proxima Nova Rg" w:hAnsi="Proxima Nova Rg" w:cstheme="minorHAnsi"/>
          <w:sz w:val="22"/>
          <w:szCs w:val="22"/>
        </w:rPr>
        <w:t>f</w:t>
      </w:r>
      <w:r w:rsidR="0086318D">
        <w:rPr>
          <w:rFonts w:ascii="Proxima Nova Rg" w:hAnsi="Proxima Nova Rg" w:cstheme="minorHAnsi"/>
          <w:sz w:val="22"/>
          <w:szCs w:val="22"/>
        </w:rPr>
        <w:t>our</w:t>
      </w:r>
      <w:r w:rsidR="006C2BF8">
        <w:rPr>
          <w:rFonts w:ascii="Proxima Nova Rg" w:hAnsi="Proxima Nova Rg" w:cstheme="minorHAnsi"/>
          <w:sz w:val="22"/>
          <w:szCs w:val="22"/>
        </w:rPr>
        <w:t>th</w:t>
      </w:r>
      <w:r w:rsidRPr="00D81651">
        <w:rPr>
          <w:rFonts w:ascii="Proxima Nova Rg" w:hAnsi="Proxima Nova Rg" w:cstheme="minorHAnsi"/>
          <w:sz w:val="22"/>
          <w:szCs w:val="22"/>
        </w:rPr>
        <w:t xml:space="preserve"> report of </w:t>
      </w:r>
      <w:r w:rsidR="0086318D">
        <w:rPr>
          <w:rFonts w:ascii="Proxima Nova Rg" w:hAnsi="Proxima Nova Rg" w:cstheme="minorHAnsi"/>
          <w:sz w:val="22"/>
          <w:szCs w:val="22"/>
        </w:rPr>
        <w:t>Kuwait</w:t>
      </w:r>
      <w:r w:rsidR="006C2BF8">
        <w:rPr>
          <w:rFonts w:ascii="Proxima Nova Rg" w:hAnsi="Proxima Nova Rg" w:cstheme="minorHAnsi"/>
          <w:sz w:val="22"/>
          <w:szCs w:val="22"/>
        </w:rPr>
        <w:t xml:space="preserve"> </w:t>
      </w:r>
      <w:r w:rsidRPr="00D81651">
        <w:rPr>
          <w:rFonts w:ascii="Proxima Nova Rg" w:hAnsi="Proxima Nova Rg" w:cstheme="minorHAnsi"/>
          <w:sz w:val="22"/>
          <w:szCs w:val="22"/>
        </w:rPr>
        <w:t xml:space="preserve">states that the </w:t>
      </w:r>
      <w:r w:rsidR="0086318D">
        <w:rPr>
          <w:rFonts w:ascii="Proxima Nova Rg" w:hAnsi="Proxima Nova Rg" w:cstheme="minorHAnsi"/>
          <w:sz w:val="22"/>
          <w:szCs w:val="22"/>
        </w:rPr>
        <w:t>Criminal Code</w:t>
      </w:r>
      <w:r w:rsidR="00483885">
        <w:rPr>
          <w:rFonts w:ascii="Proxima Nova Rg" w:hAnsi="Proxima Nova Rg" w:cstheme="minorHAnsi"/>
          <w:sz w:val="22"/>
          <w:szCs w:val="22"/>
        </w:rPr>
        <w:t xml:space="preserve"> punishes </w:t>
      </w:r>
      <w:r w:rsidR="0086318D">
        <w:rPr>
          <w:rFonts w:ascii="Proxima Nova Rg" w:hAnsi="Proxima Nova Rg" w:cstheme="minorHAnsi"/>
          <w:sz w:val="22"/>
          <w:szCs w:val="22"/>
        </w:rPr>
        <w:t>all acts of domestic and sexual violence, whatever form they take, against women and children, within their family environment</w:t>
      </w:r>
      <w:r w:rsidR="00483885" w:rsidRPr="00483885">
        <w:rPr>
          <w:rFonts w:ascii="Proxima Nova Rg" w:hAnsi="Proxima Nova Rg" w:cstheme="minorHAnsi"/>
          <w:sz w:val="22"/>
          <w:szCs w:val="22"/>
        </w:rPr>
        <w:t>.</w:t>
      </w:r>
      <w:r w:rsidR="00483885" w:rsidRPr="00483885">
        <w:rPr>
          <w:rStyle w:val="FootnoteReference"/>
          <w:rFonts w:ascii="Proxima Nova Rg" w:hAnsi="Proxima Nova Rg"/>
          <w:sz w:val="22"/>
          <w:szCs w:val="22"/>
        </w:rPr>
        <w:t xml:space="preserve"> </w:t>
      </w:r>
      <w:r w:rsidR="00483885" w:rsidRPr="00483885">
        <w:rPr>
          <w:rStyle w:val="FootnoteReference"/>
          <w:rFonts w:ascii="Proxima Nova Rg" w:hAnsi="Proxima Nova Rg"/>
          <w:sz w:val="22"/>
          <w:szCs w:val="22"/>
        </w:rPr>
        <w:footnoteReference w:id="2"/>
      </w:r>
      <w:r w:rsidR="00483885" w:rsidRPr="00483885">
        <w:rPr>
          <w:rFonts w:ascii="Proxima Nova Rg" w:hAnsi="Proxima Nova Rg" w:cstheme="minorHAnsi"/>
          <w:sz w:val="22"/>
          <w:szCs w:val="22"/>
        </w:rPr>
        <w:t xml:space="preserve"> However, </w:t>
      </w:r>
      <w:r w:rsidRPr="00483885">
        <w:rPr>
          <w:rFonts w:ascii="Proxima Nova Rg" w:hAnsi="Proxima Nova Rg"/>
          <w:sz w:val="22"/>
          <w:szCs w:val="22"/>
        </w:rPr>
        <w:t>the report does</w:t>
      </w:r>
      <w:r w:rsidRPr="00D81651">
        <w:rPr>
          <w:rFonts w:ascii="Proxima Nova Rg" w:hAnsi="Proxima Nova Rg"/>
          <w:sz w:val="22"/>
          <w:szCs w:val="22"/>
        </w:rPr>
        <w:t xml:space="preserve"> not refer to prohibition of corporal punishment of children in all settings</w:t>
      </w:r>
      <w:r w:rsidR="0086318D">
        <w:rPr>
          <w:rFonts w:ascii="Proxima Nova Rg" w:hAnsi="Proxima Nova Rg"/>
          <w:sz w:val="22"/>
          <w:szCs w:val="22"/>
        </w:rPr>
        <w:t>, however light</w:t>
      </w:r>
      <w:r w:rsidRPr="00D81651">
        <w:rPr>
          <w:rFonts w:ascii="Proxima Nova Rg" w:hAnsi="Proxima Nova Rg"/>
          <w:sz w:val="22"/>
          <w:szCs w:val="22"/>
        </w:rPr>
        <w:t>.</w:t>
      </w:r>
    </w:p>
    <w:p w14:paraId="2AE63F07" w14:textId="77777777" w:rsidR="00483885" w:rsidRPr="00D81651" w:rsidRDefault="00483885" w:rsidP="00483885">
      <w:pPr>
        <w:pStyle w:val="ListParagraph"/>
        <w:ind w:left="1080"/>
        <w:rPr>
          <w:rFonts w:ascii="Proxima Nova Rg" w:hAnsi="Proxima Nova Rg"/>
          <w:sz w:val="22"/>
          <w:szCs w:val="22"/>
        </w:rPr>
      </w:pPr>
    </w:p>
    <w:p w14:paraId="11BA9209" w14:textId="5576D33B" w:rsidR="00C47964" w:rsidRPr="00E35A27" w:rsidRDefault="00B439AA" w:rsidP="00D81651">
      <w:pPr>
        <w:pStyle w:val="BodyText1"/>
        <w:numPr>
          <w:ilvl w:val="0"/>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86318D">
        <w:rPr>
          <w:rFonts w:ascii="Proxima Nova Rg" w:hAnsi="Proxima Nova Rg" w:cstheme="minorHAnsi"/>
          <w:b/>
          <w:sz w:val="28"/>
          <w:szCs w:val="28"/>
        </w:rPr>
        <w:t>Kuwait</w:t>
      </w:r>
    </w:p>
    <w:p w14:paraId="72671B97" w14:textId="79941E7D" w:rsidR="0086318D" w:rsidRPr="0086318D" w:rsidRDefault="00EE5054" w:rsidP="0086318D">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86318D" w:rsidRPr="0086318D">
        <w:rPr>
          <w:rFonts w:ascii="Proxima Nova Rg" w:hAnsi="Proxima Nova Rg" w:cstheme="minorHAnsi"/>
          <w:bCs/>
          <w:sz w:val="22"/>
          <w:szCs w:val="22"/>
        </w:rPr>
        <w:t>Corporal punishment is lawful in the home. Under examination by the Human</w:t>
      </w:r>
      <w:r w:rsidR="0086318D" w:rsidRPr="0086318D">
        <w:rPr>
          <w:rFonts w:ascii="Proxima Nova Rg" w:hAnsi="Proxima Nova Rg" w:cstheme="minorHAnsi"/>
          <w:b/>
          <w:sz w:val="22"/>
          <w:szCs w:val="22"/>
        </w:rPr>
        <w:t xml:space="preserve"> </w:t>
      </w:r>
      <w:r w:rsidR="0086318D" w:rsidRPr="0086318D">
        <w:rPr>
          <w:rFonts w:ascii="Proxima Nova Rg" w:hAnsi="Proxima Nova Rg" w:cstheme="minorHAnsi"/>
          <w:bCs/>
          <w:sz w:val="22"/>
          <w:szCs w:val="22"/>
        </w:rPr>
        <w:t>Rights Committee in 2011, the Government indicated that corporal punishment is unlawful under the Criminal Code Act No. 16 1960</w:t>
      </w:r>
      <w:r w:rsidR="0085590C">
        <w:rPr>
          <w:rFonts w:ascii="Proxima Nova Rg" w:hAnsi="Proxima Nova Rg" w:cstheme="minorHAnsi"/>
          <w:bCs/>
          <w:sz w:val="22"/>
          <w:szCs w:val="22"/>
        </w:rPr>
        <w:t>.</w:t>
      </w:r>
      <w:r w:rsidR="0085590C">
        <w:rPr>
          <w:rStyle w:val="FootnoteReference"/>
          <w:rFonts w:ascii="Proxima Nova Rg" w:hAnsi="Proxima Nova Rg"/>
          <w:bCs/>
          <w:sz w:val="22"/>
          <w:szCs w:val="22"/>
        </w:rPr>
        <w:footnoteReference w:id="3"/>
      </w:r>
      <w:r w:rsidR="0085590C">
        <w:rPr>
          <w:rFonts w:ascii="Proxima Nova Rg" w:hAnsi="Proxima Nova Rg" w:cstheme="minorHAnsi"/>
          <w:bCs/>
          <w:sz w:val="22"/>
          <w:szCs w:val="22"/>
        </w:rPr>
        <w:t xml:space="preserve"> </w:t>
      </w:r>
      <w:r w:rsidR="0086318D" w:rsidRPr="0086318D">
        <w:rPr>
          <w:rFonts w:ascii="Proxima Nova Rg" w:hAnsi="Proxima Nova Rg" w:cstheme="minorHAnsi"/>
          <w:bCs/>
          <w:sz w:val="22"/>
          <w:szCs w:val="22"/>
        </w:rPr>
        <w:t>However, article 29 of the Criminal Code provides for the right of parents to discipline their children, and provisions against violence and abuse in the Criminal Code 1960, the Juveniles Act No. 3 1983, Law No. 413/2009 obliging all physicians to report physical and psychological violence against children, the Personal Status Act No. 51 1984 and the Constitution 1962 are not interpreted as prohibiting corporal punishment in childrearing.  </w:t>
      </w:r>
    </w:p>
    <w:p w14:paraId="1EC0ACDE" w14:textId="39BFB594" w:rsidR="004B4B96" w:rsidRPr="004B4B96" w:rsidRDefault="004B4B96"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4B4B96">
        <w:rPr>
          <w:rFonts w:ascii="Proxima Nova Rg" w:hAnsi="Proxima Nova Rg"/>
          <w:sz w:val="22"/>
          <w:szCs w:val="22"/>
        </w:rPr>
        <w:t>In 2013 a draft Child Act was under discussion which reportedly included prohibition of cruel, inhuman or degrading treatment by persons with authority over a child, including in the home, schools and institutions</w:t>
      </w:r>
      <w:r w:rsidR="0085590C">
        <w:rPr>
          <w:rFonts w:ascii="Proxima Nova Rg" w:hAnsi="Proxima Nova Rg"/>
          <w:sz w:val="22"/>
          <w:szCs w:val="22"/>
        </w:rPr>
        <w:t>.</w:t>
      </w:r>
      <w:r w:rsidR="0085590C">
        <w:rPr>
          <w:rStyle w:val="FootnoteReference"/>
          <w:rFonts w:ascii="Proxima Nova Rg" w:hAnsi="Proxima Nova Rg"/>
          <w:sz w:val="22"/>
          <w:szCs w:val="22"/>
        </w:rPr>
        <w:footnoteReference w:id="4"/>
      </w:r>
      <w:r w:rsidR="0085590C">
        <w:rPr>
          <w:rFonts w:ascii="Proxima Nova Rg" w:hAnsi="Proxima Nova Rg"/>
          <w:sz w:val="22"/>
          <w:szCs w:val="22"/>
        </w:rPr>
        <w:t xml:space="preserve"> </w:t>
      </w:r>
      <w:r w:rsidRPr="004B4B96">
        <w:rPr>
          <w:rFonts w:ascii="Proxima Nova Rg" w:hAnsi="Proxima Nova Rg"/>
          <w:sz w:val="22"/>
          <w:szCs w:val="22"/>
        </w:rPr>
        <w:t>However, in 2015 the Government accepted recommendations to prohibit all corporal punishment made during the Universal Periodic Review of Kuwait but also referred to the authority of the guardian with regard to “simple discipline in accordance with article 6 of the Child Rights Act” (unofficial translation)</w:t>
      </w:r>
      <w:r w:rsidR="0085590C">
        <w:rPr>
          <w:rFonts w:ascii="Proxima Nova Rg" w:hAnsi="Proxima Nova Rg"/>
          <w:sz w:val="22"/>
          <w:szCs w:val="22"/>
        </w:rPr>
        <w:t>.</w:t>
      </w:r>
      <w:r w:rsidR="0085590C">
        <w:rPr>
          <w:rStyle w:val="FootnoteReference"/>
          <w:rFonts w:ascii="Proxima Nova Rg" w:hAnsi="Proxima Nova Rg"/>
          <w:sz w:val="22"/>
          <w:szCs w:val="22"/>
        </w:rPr>
        <w:footnoteReference w:id="5"/>
      </w:r>
      <w:r w:rsidR="0085590C">
        <w:rPr>
          <w:rFonts w:ascii="Proxima Nova Rg" w:hAnsi="Proxima Nova Rg"/>
          <w:sz w:val="22"/>
          <w:szCs w:val="22"/>
        </w:rPr>
        <w:t xml:space="preserve"> </w:t>
      </w:r>
      <w:r w:rsidRPr="004B4B96">
        <w:rPr>
          <w:rFonts w:ascii="Proxima Nova Rg" w:hAnsi="Proxima Nova Rg"/>
          <w:sz w:val="22"/>
          <w:szCs w:val="22"/>
        </w:rPr>
        <w:t>The Child Rights Act No. 21 of 2015 provides in article 3 for the “protection of children from all forms of violence, harm and physical, mental or sexual abuse, including neglect, failure of care and other forms of ill-treatment or exploitation”</w:t>
      </w:r>
      <w:r w:rsidR="0085590C">
        <w:rPr>
          <w:rFonts w:ascii="Proxima Nova Rg" w:hAnsi="Proxima Nova Rg"/>
          <w:sz w:val="22"/>
          <w:szCs w:val="22"/>
        </w:rPr>
        <w:t>.</w:t>
      </w:r>
      <w:r w:rsidR="0085590C">
        <w:rPr>
          <w:rStyle w:val="FootnoteReference"/>
          <w:rFonts w:ascii="Proxima Nova Rg" w:hAnsi="Proxima Nova Rg"/>
          <w:sz w:val="22"/>
          <w:szCs w:val="22"/>
        </w:rPr>
        <w:footnoteReference w:id="6"/>
      </w:r>
      <w:r w:rsidR="0085590C">
        <w:rPr>
          <w:rFonts w:ascii="Proxima Nova Rg" w:hAnsi="Proxima Nova Rg"/>
          <w:sz w:val="22"/>
          <w:szCs w:val="22"/>
        </w:rPr>
        <w:t xml:space="preserve"> </w:t>
      </w:r>
      <w:r w:rsidRPr="004B4B96">
        <w:rPr>
          <w:rFonts w:ascii="Proxima Nova Rg" w:hAnsi="Proxima Nova Rg"/>
          <w:sz w:val="22"/>
          <w:szCs w:val="22"/>
        </w:rPr>
        <w:t xml:space="preserve"> Article 6 of the Acts allows for “basic” chastisement that is not “harmful” (unofficial translation) – this provides a defence for the use of so-called “light” corporal punishment in childrearing. </w:t>
      </w:r>
    </w:p>
    <w:p w14:paraId="3EE3C369" w14:textId="1F34DDF1" w:rsidR="004B4B96" w:rsidRPr="004B4B96" w:rsidRDefault="00016CB3"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Style w:val="eop"/>
          <w:rFonts w:ascii="Proxima Nova Rg" w:hAnsi="Proxima Nova Rg" w:cstheme="minorHAnsi"/>
          <w:b/>
          <w:sz w:val="28"/>
          <w:szCs w:val="28"/>
        </w:rPr>
      </w:pPr>
      <w:r w:rsidRPr="00D81651">
        <w:rPr>
          <w:rFonts w:ascii="Proxima Nova Rg" w:hAnsi="Proxima Nova Rg" w:cstheme="minorHAnsi"/>
          <w:b/>
          <w:bCs/>
          <w:i/>
          <w:iCs/>
        </w:rPr>
        <w:t>Alternative care settings</w:t>
      </w:r>
      <w:r w:rsidR="00510BCC" w:rsidRPr="00D81651">
        <w:rPr>
          <w:rFonts w:ascii="Proxima Nova Rg" w:hAnsi="Proxima Nova Rg" w:cstheme="minorHAnsi"/>
          <w:b/>
          <w:bCs/>
          <w:i/>
          <w:iCs/>
        </w:rPr>
        <w:t>:</w:t>
      </w:r>
      <w:r w:rsidR="00510BCC" w:rsidRPr="00D81651">
        <w:rPr>
          <w:rFonts w:ascii="Proxima Nova Rg" w:hAnsi="Proxima Nova Rg" w:cstheme="minorHAnsi"/>
        </w:rPr>
        <w:t xml:space="preserve"> </w:t>
      </w:r>
      <w:r w:rsidR="004B4B96" w:rsidRPr="004B4B96">
        <w:rPr>
          <w:rStyle w:val="normaltextrun"/>
          <w:rFonts w:ascii="Proxima Nova Rg" w:hAnsi="Proxima Nova Rg" w:cs="Segoe UI"/>
          <w:sz w:val="22"/>
          <w:szCs w:val="22"/>
        </w:rPr>
        <w:t>Corporal punishment is lawful in alternative care settings. There is no explicit prohibition in law – including in the Juveniles Act 1983 and the Family Fostering Act No. 82 1977 and the Children’s Nurseries Act No. 111 2000 – and the right of parents to discipline children in article 29 of the Criminal Code 1960 (see under “Home”) presumably applies to all with parental authority.</w:t>
      </w:r>
      <w:r w:rsidR="004B4B96" w:rsidRPr="004B4B96">
        <w:rPr>
          <w:rStyle w:val="eop"/>
          <w:rFonts w:ascii="Proxima Nova Rg" w:hAnsi="Proxima Nova Rg" w:cs="Segoe UI"/>
          <w:sz w:val="22"/>
          <w:szCs w:val="22"/>
        </w:rPr>
        <w:t> </w:t>
      </w:r>
    </w:p>
    <w:p w14:paraId="69E10DC9" w14:textId="3F5BD603" w:rsidR="004B4B96" w:rsidRPr="00A20905" w:rsidRDefault="004B4B96" w:rsidP="00A20905">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4B4B96">
        <w:rPr>
          <w:rStyle w:val="normaltextrun"/>
          <w:rFonts w:ascii="Proxima Nova Rg" w:hAnsi="Proxima Nova Rg" w:cs="Segoe UI"/>
          <w:sz w:val="22"/>
          <w:szCs w:val="22"/>
        </w:rPr>
        <w:t xml:space="preserve">In 2017, the Government reported that the regulations on the homes and institutions providing “residential care for all persons with special needs, including children, whether they are minors, of unknown parentage or have disabilities” prohibit “the use of corporal </w:t>
      </w:r>
      <w:r w:rsidRPr="004B4B96">
        <w:rPr>
          <w:rStyle w:val="normaltextrun"/>
          <w:rFonts w:ascii="Proxima Nova Rg" w:hAnsi="Proxima Nova Rg" w:cs="Segoe UI"/>
          <w:sz w:val="22"/>
          <w:szCs w:val="22"/>
        </w:rPr>
        <w:lastRenderedPageBreak/>
        <w:t>or psychological punishment”</w:t>
      </w:r>
      <w:r w:rsidR="0085590C">
        <w:rPr>
          <w:rStyle w:val="normaltextrun"/>
          <w:rFonts w:ascii="Proxima Nova Rg" w:hAnsi="Proxima Nova Rg" w:cs="Segoe UI"/>
          <w:sz w:val="22"/>
          <w:szCs w:val="22"/>
        </w:rPr>
        <w:t>.</w:t>
      </w:r>
      <w:r w:rsidR="0085590C">
        <w:rPr>
          <w:rStyle w:val="FootnoteReference"/>
          <w:rFonts w:ascii="Proxima Nova Rg" w:hAnsi="Proxima Nova Rg"/>
          <w:sz w:val="22"/>
          <w:szCs w:val="22"/>
        </w:rPr>
        <w:footnoteReference w:id="7"/>
      </w:r>
      <w:r w:rsidR="0085590C">
        <w:rPr>
          <w:rStyle w:val="normaltextrun"/>
          <w:rFonts w:ascii="Proxima Nova Rg" w:hAnsi="Proxima Nova Rg" w:cs="Segoe UI"/>
          <w:sz w:val="22"/>
          <w:szCs w:val="22"/>
        </w:rPr>
        <w:t xml:space="preserve"> </w:t>
      </w:r>
      <w:r w:rsidRPr="004B4B96">
        <w:rPr>
          <w:rStyle w:val="normaltextrun"/>
          <w:rFonts w:ascii="Proxima Nova Rg" w:hAnsi="Proxima Nova Rg" w:cs="Segoe UI"/>
          <w:sz w:val="22"/>
          <w:szCs w:val="22"/>
        </w:rPr>
        <w:t>We have however been unable to identify such a prohibition in laws or regulations.</w:t>
      </w:r>
      <w:r w:rsidRPr="004B4B96">
        <w:rPr>
          <w:rStyle w:val="eop"/>
          <w:rFonts w:ascii="Proxima Nova Rg" w:hAnsi="Proxima Nova Rg" w:cs="Segoe UI"/>
          <w:sz w:val="22"/>
          <w:szCs w:val="22"/>
        </w:rPr>
        <w:t> </w:t>
      </w:r>
    </w:p>
    <w:p w14:paraId="54022513" w14:textId="31A60CD8" w:rsidR="004B4B96" w:rsidRPr="004B4B96" w:rsidRDefault="00D81651"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D81651">
        <w:rPr>
          <w:rFonts w:ascii="Proxima Nova Rg" w:hAnsi="Proxima Nova Rg" w:cstheme="minorHAnsi"/>
          <w:b/>
          <w:bCs/>
          <w:i/>
          <w:iCs/>
        </w:rPr>
        <w:t>Day care:</w:t>
      </w:r>
      <w:r>
        <w:rPr>
          <w:rFonts w:ascii="Proxima Nova Rg" w:hAnsi="Proxima Nova Rg" w:cstheme="minorHAnsi"/>
          <w:sz w:val="22"/>
          <w:szCs w:val="22"/>
        </w:rPr>
        <w:t xml:space="preserve"> </w:t>
      </w:r>
      <w:r w:rsidR="004B4B96" w:rsidRPr="004B4B96">
        <w:rPr>
          <w:rFonts w:ascii="Proxima Nova Rg" w:hAnsi="Proxima Nova Rg"/>
          <w:sz w:val="22"/>
          <w:szCs w:val="22"/>
        </w:rPr>
        <w:t>Corporal punishment is lawful in early childhood care and in day care for older children. There is no explicit prohibition in law – including in the Juveniles Act 1983 and the Children’s Nurseries Act No. 111 2000 – and the right of parents to discipline children in article 29 of the Criminal Code 1960 (see under “Home”) presumably applies to all with parental authority.</w:t>
      </w:r>
      <w:r w:rsidR="004B4B96" w:rsidRPr="004B4B96">
        <w:rPr>
          <w:rFonts w:ascii="Proxima Nova Rg" w:hAnsi="Proxima Nova Rg"/>
          <w:sz w:val="22"/>
          <w:szCs w:val="22"/>
          <w:lang w:val="en-US"/>
        </w:rPr>
        <w:t> </w:t>
      </w:r>
    </w:p>
    <w:p w14:paraId="34066F6B" w14:textId="7E57A068" w:rsidR="004B4B96" w:rsidRPr="004B4B96" w:rsidRDefault="00D81651"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4B4B96" w:rsidRPr="004B4B96">
        <w:rPr>
          <w:rFonts w:ascii="Proxima Nova Rg" w:hAnsi="Proxima Nova Rg"/>
          <w:sz w:val="22"/>
          <w:szCs w:val="22"/>
        </w:rPr>
        <w:t xml:space="preserve">Corporal punishment is unlawful in schools. During examination by the Committee on the Rights of the Child in 1998, the Government stated that a statute dating back to the 1960s prohibited corporal punishment by teachers or school </w:t>
      </w:r>
      <w:r w:rsidR="0085590C" w:rsidRPr="007D576B">
        <w:rPr>
          <w:rFonts w:ascii="Proxima Nova Rg" w:hAnsi="Proxima Nova Rg" w:cstheme="minorHAnsi"/>
          <w:sz w:val="22"/>
          <w:szCs w:val="22"/>
        </w:rPr>
        <w:t>principals.</w:t>
      </w:r>
      <w:r w:rsidR="0085590C" w:rsidRPr="007D576B">
        <w:rPr>
          <w:rStyle w:val="FootnoteReference"/>
          <w:rFonts w:ascii="Proxima Nova Rg" w:hAnsi="Proxima Nova Rg" w:cstheme="minorHAnsi"/>
          <w:sz w:val="22"/>
          <w:szCs w:val="22"/>
        </w:rPr>
        <w:footnoteReference w:id="8"/>
      </w:r>
      <w:r w:rsidR="0085590C" w:rsidRPr="007D576B">
        <w:rPr>
          <w:rFonts w:ascii="Proxima Nova Rg" w:hAnsi="Proxima Nova Rg" w:cstheme="minorHAnsi"/>
          <w:sz w:val="22"/>
          <w:szCs w:val="22"/>
        </w:rPr>
        <w:t xml:space="preserve"> </w:t>
      </w:r>
      <w:r w:rsidR="004B4B96" w:rsidRPr="004B4B96">
        <w:rPr>
          <w:rFonts w:ascii="Proxima Nova Rg" w:hAnsi="Proxima Nova Rg"/>
          <w:sz w:val="22"/>
          <w:szCs w:val="22"/>
        </w:rPr>
        <w:t xml:space="preserve">In 2011, the Government informed the Human Rights Committee that corporal punishment is prohibited by </w:t>
      </w:r>
      <w:r w:rsidR="0085590C" w:rsidRPr="007D576B">
        <w:rPr>
          <w:rFonts w:ascii="Proxima Nova Rg" w:hAnsi="Proxima Nova Rg" w:cstheme="minorHAnsi"/>
          <w:sz w:val="22"/>
          <w:szCs w:val="22"/>
        </w:rPr>
        <w:t>statute;</w:t>
      </w:r>
      <w:r w:rsidR="0085590C" w:rsidRPr="007D576B">
        <w:rPr>
          <w:rStyle w:val="FootnoteReference"/>
          <w:rFonts w:ascii="Proxima Nova Rg" w:hAnsi="Proxima Nova Rg" w:cstheme="minorHAnsi"/>
          <w:sz w:val="22"/>
          <w:szCs w:val="22"/>
        </w:rPr>
        <w:footnoteReference w:id="9"/>
      </w:r>
      <w:r w:rsidR="0085590C" w:rsidRPr="007D576B">
        <w:rPr>
          <w:rFonts w:ascii="Proxima Nova Rg" w:hAnsi="Proxima Nova Rg" w:cstheme="minorHAnsi"/>
          <w:sz w:val="22"/>
          <w:szCs w:val="22"/>
        </w:rPr>
        <w:t xml:space="preserve"> </w:t>
      </w:r>
      <w:r w:rsidR="004B4B96" w:rsidRPr="004B4B96">
        <w:rPr>
          <w:rFonts w:ascii="Proxima Nova Rg" w:hAnsi="Proxima Nova Rg"/>
          <w:sz w:val="22"/>
          <w:szCs w:val="22"/>
        </w:rPr>
        <w:t xml:space="preserve">a similar statement was made to the Committee on the Rights of the </w:t>
      </w:r>
      <w:r w:rsidR="0085590C" w:rsidRPr="007D576B">
        <w:rPr>
          <w:rFonts w:ascii="Proxima Nova Rg" w:hAnsi="Proxima Nova Rg" w:cstheme="minorHAnsi"/>
          <w:sz w:val="22"/>
          <w:szCs w:val="22"/>
        </w:rPr>
        <w:t>Child.</w:t>
      </w:r>
      <w:r w:rsidR="0085590C" w:rsidRPr="007D576B">
        <w:rPr>
          <w:rStyle w:val="FootnoteReference"/>
          <w:rFonts w:ascii="Proxima Nova Rg" w:hAnsi="Proxima Nova Rg" w:cstheme="minorHAnsi"/>
          <w:sz w:val="22"/>
          <w:szCs w:val="22"/>
        </w:rPr>
        <w:footnoteReference w:id="10"/>
      </w:r>
      <w:r w:rsidR="0085590C" w:rsidRPr="007D576B">
        <w:rPr>
          <w:rFonts w:ascii="Proxima Nova Rg" w:hAnsi="Proxima Nova Rg" w:cstheme="minorHAnsi"/>
          <w:sz w:val="22"/>
          <w:szCs w:val="22"/>
        </w:rPr>
        <w:t xml:space="preserve"> </w:t>
      </w:r>
      <w:r w:rsidR="004B4B96" w:rsidRPr="004B4B96">
        <w:rPr>
          <w:rFonts w:ascii="Proxima Nova Rg" w:hAnsi="Proxima Nova Rg"/>
          <w:sz w:val="22"/>
          <w:szCs w:val="22"/>
        </w:rPr>
        <w:t xml:space="preserve">In reporting to the Universal Periodic Review in 2015, the Government stated that the prohibition is included in the School System Regulations, which states in the Preamble that “corporal punishment and hurtful or humiliating remarks are totally inadmissible; a calm, impassive and even-tempered approach must be adopted; penalties should be imposed in a fair and equitable manner and not on the basis of mere suspicion; punishment must be viewed within a proper pedagogic context and should be carefully designed to prevent, correct and remedy unacceptable modes of behaviour; if a student’s personality or educational performance is adversely affected by the imposition of any form of punishment, the school’s psychosociologist must study the case and formulate a remedial course of </w:t>
      </w:r>
      <w:r w:rsidR="0085590C" w:rsidRPr="007D576B">
        <w:rPr>
          <w:rFonts w:ascii="Proxima Nova Rg" w:eastAsiaTheme="minorHAnsi" w:hAnsi="Proxima Nova Rg" w:cstheme="minorHAnsi"/>
          <w:sz w:val="22"/>
          <w:szCs w:val="22"/>
          <w:lang w:val="en-US"/>
        </w:rPr>
        <w:t>action”.</w:t>
      </w:r>
      <w:r w:rsidR="0085590C" w:rsidRPr="007D576B">
        <w:rPr>
          <w:rStyle w:val="FootnoteReference"/>
          <w:rFonts w:ascii="Proxima Nova Rg" w:eastAsiaTheme="minorHAnsi" w:hAnsi="Proxima Nova Rg" w:cstheme="minorHAnsi"/>
          <w:sz w:val="22"/>
          <w:szCs w:val="22"/>
          <w:lang w:val="en-US"/>
        </w:rPr>
        <w:footnoteReference w:id="11"/>
      </w:r>
    </w:p>
    <w:p w14:paraId="435AB663" w14:textId="427D20FC" w:rsidR="00483885" w:rsidRPr="004B4B96" w:rsidRDefault="00D81651"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4B4B96" w:rsidRPr="004B4B96">
        <w:rPr>
          <w:rFonts w:ascii="Proxima Nova Rg" w:hAnsi="Proxima Nova Rg" w:cs="Segoe UI"/>
          <w:sz w:val="22"/>
          <w:szCs w:val="22"/>
        </w:rPr>
        <w:t xml:space="preserve">Corporal punishment is lawful as a disciplinary measure in penal institutions under the Prison Regulation Act No. 26 of 1962. The Government reported to the Committee Against Torture in 2015 that prisoners could be subjected to corporal punishment for breaching prison regulations and that “strict controls” were placed upon these punishments. The Government also reported that the Ministerial Decision No. 42 of 2004 did not include corporal punishment as a sanction for “breaches or misconduct” in a “juvenile care </w:t>
      </w:r>
      <w:r w:rsidR="0085590C" w:rsidRPr="007D576B">
        <w:rPr>
          <w:rFonts w:ascii="Proxima Nova Rg" w:hAnsi="Proxima Nova Rg" w:cstheme="minorHAnsi"/>
          <w:sz w:val="22"/>
          <w:szCs w:val="22"/>
        </w:rPr>
        <w:t>facility”.</w:t>
      </w:r>
      <w:r w:rsidR="0085590C" w:rsidRPr="007D576B">
        <w:rPr>
          <w:rStyle w:val="FootnoteReference"/>
          <w:rFonts w:ascii="Proxima Nova Rg" w:hAnsi="Proxima Nova Rg" w:cstheme="minorHAnsi"/>
          <w:sz w:val="22"/>
          <w:szCs w:val="22"/>
        </w:rPr>
        <w:t xml:space="preserve"> </w:t>
      </w:r>
      <w:r w:rsidR="0085590C" w:rsidRPr="007D576B">
        <w:rPr>
          <w:rStyle w:val="FootnoteReference"/>
          <w:rFonts w:ascii="Proxima Nova Rg" w:hAnsi="Proxima Nova Rg" w:cstheme="minorHAnsi"/>
          <w:sz w:val="22"/>
          <w:szCs w:val="22"/>
        </w:rPr>
        <w:footnoteReference w:id="12"/>
      </w:r>
      <w:r w:rsidR="0085590C" w:rsidRPr="007D576B">
        <w:rPr>
          <w:rFonts w:ascii="Proxima Nova Rg" w:hAnsi="Proxima Nova Rg" w:cstheme="minorHAnsi"/>
          <w:sz w:val="22"/>
          <w:szCs w:val="22"/>
        </w:rPr>
        <w:t xml:space="preserve"> </w:t>
      </w:r>
      <w:r w:rsidR="004B4B96" w:rsidRPr="004B4B96">
        <w:rPr>
          <w:rFonts w:ascii="Proxima Nova Rg" w:hAnsi="Proxima Nova Rg" w:cs="Segoe UI"/>
          <w:sz w:val="22"/>
          <w:szCs w:val="22"/>
        </w:rPr>
        <w:t>However this is policy and does not include explicit prohibition – it is unclear how this affects the provisions of the Prison Regulation Act. There is no explicit prohibition in the Juveniles Act 1983. </w:t>
      </w:r>
      <w:r w:rsidR="00190060" w:rsidRPr="004B4B96">
        <w:rPr>
          <w:rStyle w:val="normaltextrun"/>
          <w:rFonts w:ascii="Proxima Nova Rg" w:hAnsi="Proxima Nova Rg" w:cs="Segoe UI"/>
          <w:sz w:val="22"/>
          <w:szCs w:val="22"/>
        </w:rPr>
        <w:t> </w:t>
      </w:r>
    </w:p>
    <w:p w14:paraId="5AE38FE7" w14:textId="5D5F7CF5" w:rsidR="00E473CB" w:rsidRPr="004B4B96" w:rsidRDefault="00D81651" w:rsidP="004B4B96">
      <w:pPr>
        <w:pStyle w:val="BodyText1"/>
        <w:numPr>
          <w:ilvl w:val="1"/>
          <w:numId w:val="23"/>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004B4B96" w:rsidRPr="004B4B96">
        <w:rPr>
          <w:rFonts w:ascii="Proxima Nova Rg" w:hAnsi="Proxima Nova Rg"/>
          <w:sz w:val="22"/>
          <w:szCs w:val="22"/>
        </w:rPr>
        <w:t xml:space="preserve">Corporal punishment is unlawful as a sentence for crime. There is no provision for it in the Juveniles Act 1983, the Criminal Code 1960 or the Criminal Procedure Code 1960. Article 31 of the Constitution 1962 prohibits torture and degrading treatment. In 2001 draft legislation was under discussion which would have amended the Criminal Code to comply with Islamic law, including penalties of amputation and flogging. The Code has been amended </w:t>
      </w:r>
      <w:proofErr w:type="gramStart"/>
      <w:r w:rsidR="004B4B96" w:rsidRPr="004B4B96">
        <w:rPr>
          <w:rFonts w:ascii="Proxima Nova Rg" w:hAnsi="Proxima Nova Rg"/>
          <w:sz w:val="22"/>
          <w:szCs w:val="22"/>
        </w:rPr>
        <w:t>a number of</w:t>
      </w:r>
      <w:proofErr w:type="gramEnd"/>
      <w:r w:rsidR="004B4B96" w:rsidRPr="004B4B96">
        <w:rPr>
          <w:rFonts w:ascii="Proxima Nova Rg" w:hAnsi="Proxima Nova Rg"/>
          <w:sz w:val="22"/>
          <w:szCs w:val="22"/>
        </w:rPr>
        <w:t xml:space="preserve"> times since 2001 but it appears that Islamic punishments have not been enacted (unconfirmed). Juvenile Justice Act no. 11 of 2015 has now been passed and does not address corporal </w:t>
      </w:r>
      <w:r w:rsidR="0085590C" w:rsidRPr="007D576B">
        <w:rPr>
          <w:rFonts w:ascii="Proxima Nova Rg" w:hAnsi="Proxima Nova Rg" w:cstheme="minorHAnsi"/>
          <w:sz w:val="22"/>
          <w:szCs w:val="22"/>
        </w:rPr>
        <w:t>punishment.</w:t>
      </w:r>
      <w:r w:rsidR="0085590C" w:rsidRPr="007D576B">
        <w:rPr>
          <w:rStyle w:val="FootnoteReference"/>
          <w:rFonts w:ascii="Proxima Nova Rg" w:hAnsi="Proxima Nova Rg" w:cstheme="minorHAnsi"/>
          <w:sz w:val="22"/>
          <w:szCs w:val="22"/>
        </w:rPr>
        <w:footnoteReference w:id="13"/>
      </w:r>
    </w:p>
    <w:p w14:paraId="7A722C3F" w14:textId="1F027C39" w:rsidR="00EE5054" w:rsidRPr="00E35A27" w:rsidRDefault="00EE5054" w:rsidP="00D81651">
      <w:pPr>
        <w:pStyle w:val="Heading2"/>
        <w:numPr>
          <w:ilvl w:val="0"/>
          <w:numId w:val="23"/>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512F4632" w14:textId="756254C7" w:rsidR="007A2E70" w:rsidRPr="00543A37" w:rsidRDefault="00506888" w:rsidP="007A2E70">
      <w:pPr>
        <w:pStyle w:val="ListParagraph"/>
        <w:numPr>
          <w:ilvl w:val="1"/>
          <w:numId w:val="23"/>
        </w:numPr>
        <w:spacing w:after="120"/>
        <w:rPr>
          <w:rStyle w:val="normaltextrun"/>
          <w:rFonts w:ascii="Proxima Nova Rg" w:hAnsi="Proxima Nova Rg" w:cstheme="minorHAnsi"/>
          <w:bCs/>
        </w:rPr>
      </w:pPr>
      <w:r w:rsidRPr="00E15599">
        <w:rPr>
          <w:rFonts w:ascii="Proxima Nova Rg" w:hAnsi="Proxima Nova Rg" w:cstheme="minorHAnsi"/>
          <w:b/>
          <w:bCs/>
          <w:i/>
        </w:rPr>
        <w:lastRenderedPageBreak/>
        <w:t>CRC</w:t>
      </w:r>
      <w:r w:rsidRPr="00E15599">
        <w:rPr>
          <w:rFonts w:ascii="Proxima Nova Rg" w:hAnsi="Proxima Nova Rg" w:cstheme="minorHAnsi"/>
          <w:bCs/>
        </w:rPr>
        <w:t xml:space="preserve">: </w:t>
      </w:r>
      <w:r w:rsidR="003219E7" w:rsidRPr="00E15599">
        <w:rPr>
          <w:rStyle w:val="normaltextrun"/>
          <w:rFonts w:ascii="Proxima Nova Rg" w:hAnsi="Proxima Nova Rg"/>
          <w:sz w:val="22"/>
          <w:szCs w:val="22"/>
          <w:shd w:val="clear" w:color="auto" w:fill="FFFFFF"/>
        </w:rPr>
        <w:t xml:space="preserve">On three occasions, the Committee on the Rights of the Child has recommended to </w:t>
      </w:r>
      <w:r w:rsidR="00A4387B">
        <w:rPr>
          <w:rStyle w:val="normaltextrun"/>
          <w:rFonts w:ascii="Proxima Nova Rg" w:hAnsi="Proxima Nova Rg"/>
          <w:sz w:val="22"/>
          <w:szCs w:val="22"/>
          <w:shd w:val="clear" w:color="auto" w:fill="FFFFFF"/>
        </w:rPr>
        <w:t>Kuwait</w:t>
      </w:r>
      <w:r w:rsidR="003219E7" w:rsidRPr="00E15599">
        <w:rPr>
          <w:rStyle w:val="normaltextrun"/>
          <w:rFonts w:ascii="Proxima Nova Rg" w:hAnsi="Proxima Nova Rg"/>
          <w:sz w:val="22"/>
          <w:szCs w:val="22"/>
          <w:shd w:val="clear" w:color="auto" w:fill="FFFFFF"/>
        </w:rPr>
        <w:t xml:space="preserve"> that legislation be enacted to explicitly prohibit corporal punishment in all settings: in its concluding observations on the state party’s </w:t>
      </w:r>
      <w:r w:rsidR="00A4387B">
        <w:rPr>
          <w:rStyle w:val="normaltextrun"/>
          <w:rFonts w:ascii="Proxima Nova Rg" w:hAnsi="Proxima Nova Rg"/>
          <w:sz w:val="22"/>
          <w:szCs w:val="22"/>
          <w:shd w:val="clear" w:color="auto" w:fill="FFFFFF"/>
        </w:rPr>
        <w:t>initial</w:t>
      </w:r>
      <w:r w:rsidR="003219E7" w:rsidRPr="00E15599">
        <w:rPr>
          <w:rStyle w:val="normaltextrun"/>
          <w:rFonts w:ascii="Proxima Nova Rg" w:hAnsi="Proxima Nova Rg"/>
          <w:sz w:val="22"/>
          <w:szCs w:val="22"/>
          <w:shd w:val="clear" w:color="auto" w:fill="FFFFFF"/>
        </w:rPr>
        <w:t xml:space="preserve"> report in </w:t>
      </w:r>
      <w:r w:rsidR="00A4387B">
        <w:rPr>
          <w:rStyle w:val="normaltextrun"/>
          <w:rFonts w:ascii="Proxima Nova Rg" w:hAnsi="Proxima Nova Rg"/>
          <w:sz w:val="22"/>
          <w:szCs w:val="22"/>
          <w:shd w:val="clear" w:color="auto" w:fill="FFFFFF"/>
        </w:rPr>
        <w:t>1998</w:t>
      </w:r>
      <w:r w:rsidR="00E15599">
        <w:rPr>
          <w:rStyle w:val="normaltextrun"/>
          <w:rFonts w:ascii="Proxima Nova Rg" w:hAnsi="Proxima Nova Rg"/>
          <w:sz w:val="22"/>
          <w:szCs w:val="22"/>
          <w:shd w:val="clear" w:color="auto" w:fill="FFFFFF"/>
        </w:rPr>
        <w:t>,</w:t>
      </w:r>
      <w:r w:rsidR="00E15599">
        <w:rPr>
          <w:rStyle w:val="FootnoteReference"/>
          <w:rFonts w:ascii="Proxima Nova Rg" w:hAnsi="Proxima Nova Rg"/>
          <w:sz w:val="22"/>
          <w:szCs w:val="22"/>
          <w:shd w:val="clear" w:color="auto" w:fill="FFFFFF"/>
        </w:rPr>
        <w:footnoteReference w:id="14"/>
      </w:r>
      <w:r w:rsidR="00E15599">
        <w:rPr>
          <w:rStyle w:val="normaltextrun"/>
          <w:rFonts w:ascii="Proxima Nova Rg" w:hAnsi="Proxima Nova Rg"/>
          <w:sz w:val="22"/>
          <w:szCs w:val="22"/>
          <w:shd w:val="clear" w:color="auto" w:fill="FFFFFF"/>
        </w:rPr>
        <w:t xml:space="preserve"> </w:t>
      </w:r>
      <w:r w:rsidR="003219E7" w:rsidRPr="00E15599">
        <w:rPr>
          <w:rStyle w:val="normaltextrun"/>
          <w:rFonts w:ascii="Proxima Nova Rg" w:hAnsi="Proxima Nova Rg"/>
          <w:sz w:val="22"/>
          <w:szCs w:val="22"/>
          <w:shd w:val="clear" w:color="auto" w:fill="FFFFFF"/>
        </w:rPr>
        <w:t xml:space="preserve">on the </w:t>
      </w:r>
      <w:r w:rsidR="00A4387B">
        <w:rPr>
          <w:rStyle w:val="normaltextrun"/>
          <w:rFonts w:ascii="Proxima Nova Rg" w:hAnsi="Proxima Nova Rg"/>
          <w:sz w:val="22"/>
          <w:szCs w:val="22"/>
          <w:shd w:val="clear" w:color="auto" w:fill="FFFFFF"/>
        </w:rPr>
        <w:t>second</w:t>
      </w:r>
      <w:r w:rsidR="003219E7" w:rsidRPr="00E15599">
        <w:rPr>
          <w:rStyle w:val="normaltextrun"/>
          <w:rFonts w:ascii="Proxima Nova Rg" w:hAnsi="Proxima Nova Rg"/>
          <w:sz w:val="22"/>
          <w:szCs w:val="22"/>
          <w:shd w:val="clear" w:color="auto" w:fill="FFFFFF"/>
        </w:rPr>
        <w:t xml:space="preserve"> report in 201</w:t>
      </w:r>
      <w:r w:rsidR="00A4387B">
        <w:rPr>
          <w:rStyle w:val="normaltextrun"/>
          <w:rFonts w:ascii="Proxima Nova Rg" w:hAnsi="Proxima Nova Rg"/>
          <w:sz w:val="22"/>
          <w:szCs w:val="22"/>
          <w:shd w:val="clear" w:color="auto" w:fill="FFFFFF"/>
        </w:rPr>
        <w:t>3</w:t>
      </w:r>
      <w:r w:rsidR="007A2E70">
        <w:rPr>
          <w:rStyle w:val="normaltextrun"/>
          <w:rFonts w:ascii="Proxima Nova Rg" w:hAnsi="Proxima Nova Rg"/>
          <w:sz w:val="22"/>
          <w:szCs w:val="22"/>
          <w:shd w:val="clear" w:color="auto" w:fill="FFFFFF"/>
        </w:rPr>
        <w:t>,</w:t>
      </w:r>
      <w:r w:rsidR="007A2E70">
        <w:rPr>
          <w:rStyle w:val="FootnoteReference"/>
          <w:rFonts w:ascii="Proxima Nova Rg" w:hAnsi="Proxima Nova Rg"/>
          <w:sz w:val="22"/>
          <w:szCs w:val="22"/>
          <w:shd w:val="clear" w:color="auto" w:fill="FFFFFF"/>
        </w:rPr>
        <w:footnoteReference w:id="15"/>
      </w:r>
      <w:r w:rsidR="007A2E70">
        <w:rPr>
          <w:rStyle w:val="normaltextrun"/>
          <w:rFonts w:ascii="Proxima Nova Rg" w:hAnsi="Proxima Nova Rg"/>
          <w:sz w:val="22"/>
          <w:szCs w:val="22"/>
          <w:shd w:val="clear" w:color="auto" w:fill="FFFFFF"/>
        </w:rPr>
        <w:t xml:space="preserve"> </w:t>
      </w:r>
      <w:r w:rsidR="003219E7" w:rsidRPr="00E15599">
        <w:rPr>
          <w:rStyle w:val="normaltextrun"/>
          <w:rFonts w:ascii="Proxima Nova Rg" w:hAnsi="Proxima Nova Rg"/>
          <w:sz w:val="22"/>
          <w:szCs w:val="22"/>
          <w:shd w:val="clear" w:color="auto" w:fill="FFFFFF"/>
        </w:rPr>
        <w:t xml:space="preserve">and on the </w:t>
      </w:r>
      <w:r w:rsidR="00A4387B">
        <w:rPr>
          <w:rStyle w:val="normaltextrun"/>
          <w:rFonts w:ascii="Proxima Nova Rg" w:hAnsi="Proxima Nova Rg"/>
          <w:sz w:val="22"/>
          <w:szCs w:val="22"/>
          <w:shd w:val="clear" w:color="auto" w:fill="FFFFFF"/>
        </w:rPr>
        <w:t>third</w:t>
      </w:r>
      <w:r w:rsidR="003219E7" w:rsidRPr="00E15599">
        <w:rPr>
          <w:rStyle w:val="normaltextrun"/>
          <w:rFonts w:ascii="Proxima Nova Rg" w:hAnsi="Proxima Nova Rg"/>
          <w:sz w:val="22"/>
          <w:szCs w:val="22"/>
          <w:shd w:val="clear" w:color="auto" w:fill="FFFFFF"/>
        </w:rPr>
        <w:t>-sixth report in 202</w:t>
      </w:r>
      <w:r w:rsidR="00A4387B">
        <w:rPr>
          <w:rStyle w:val="normaltextrun"/>
          <w:rFonts w:ascii="Proxima Nova Rg" w:hAnsi="Proxima Nova Rg"/>
          <w:sz w:val="22"/>
          <w:szCs w:val="22"/>
          <w:shd w:val="clear" w:color="auto" w:fill="FFFFFF"/>
        </w:rPr>
        <w:t>2</w:t>
      </w:r>
      <w:r w:rsidR="007A2E70">
        <w:rPr>
          <w:rStyle w:val="normaltextrun"/>
          <w:rFonts w:ascii="Proxima Nova Rg" w:hAnsi="Proxima Nova Rg"/>
          <w:sz w:val="22"/>
          <w:szCs w:val="22"/>
          <w:shd w:val="clear" w:color="auto" w:fill="FFFFFF"/>
        </w:rPr>
        <w:t>.</w:t>
      </w:r>
      <w:r w:rsidR="007A2E70">
        <w:rPr>
          <w:rStyle w:val="FootnoteReference"/>
          <w:rFonts w:ascii="Proxima Nova Rg" w:hAnsi="Proxima Nova Rg"/>
          <w:sz w:val="22"/>
          <w:szCs w:val="22"/>
          <w:shd w:val="clear" w:color="auto" w:fill="FFFFFF"/>
        </w:rPr>
        <w:footnoteReference w:id="16"/>
      </w:r>
      <w:r w:rsidR="007A2E70">
        <w:rPr>
          <w:rStyle w:val="normaltextrun"/>
          <w:rFonts w:ascii="Proxima Nova Rg" w:hAnsi="Proxima Nova Rg"/>
          <w:sz w:val="22"/>
          <w:szCs w:val="22"/>
          <w:shd w:val="clear" w:color="auto" w:fill="FFFFFF"/>
        </w:rPr>
        <w:t xml:space="preserve"> </w:t>
      </w:r>
    </w:p>
    <w:p w14:paraId="5CAFB6C7" w14:textId="77777777" w:rsidR="00543A37" w:rsidRPr="00543A37" w:rsidRDefault="00543A37" w:rsidP="00543A37">
      <w:pPr>
        <w:pStyle w:val="ListParagraph"/>
        <w:spacing w:after="120"/>
        <w:ind w:left="1080"/>
        <w:rPr>
          <w:rStyle w:val="normaltextrun"/>
          <w:rFonts w:ascii="Proxima Nova Rg" w:hAnsi="Proxima Nova Rg" w:cstheme="minorHAnsi"/>
          <w:bCs/>
        </w:rPr>
      </w:pPr>
    </w:p>
    <w:p w14:paraId="320F2A0C" w14:textId="1BC57F20" w:rsidR="00543A37" w:rsidRPr="00E473CB" w:rsidRDefault="00543A37" w:rsidP="007A2E70">
      <w:pPr>
        <w:pStyle w:val="ListParagraph"/>
        <w:numPr>
          <w:ilvl w:val="1"/>
          <w:numId w:val="23"/>
        </w:numPr>
        <w:spacing w:after="120"/>
        <w:rPr>
          <w:rStyle w:val="superscript"/>
          <w:rFonts w:ascii="Proxima Nova Rg" w:hAnsi="Proxima Nova Rg" w:cstheme="minorHAnsi"/>
          <w:bCs/>
        </w:rPr>
      </w:pPr>
      <w:r w:rsidRPr="00D07DB3">
        <w:rPr>
          <w:rStyle w:val="superscript"/>
          <w:rFonts w:ascii="Proxima Nova Rg" w:hAnsi="Proxima Nova Rg" w:cstheme="minorHAnsi"/>
          <w:b/>
          <w:i/>
          <w:iCs/>
        </w:rPr>
        <w:t>CEDAW:</w:t>
      </w:r>
      <w:r>
        <w:rPr>
          <w:rStyle w:val="superscript"/>
          <w:rFonts w:ascii="Proxima Nova Rg" w:hAnsi="Proxima Nova Rg" w:cstheme="minorHAnsi"/>
          <w:bCs/>
        </w:rPr>
        <w:t xml:space="preserve"> </w:t>
      </w:r>
      <w:r w:rsidR="00D07DB3" w:rsidRPr="00D07DB3">
        <w:rPr>
          <w:rStyle w:val="superscript"/>
          <w:rFonts w:ascii="Proxima Nova Rg" w:hAnsi="Proxima Nova Rg" w:cstheme="minorHAnsi"/>
          <w:bCs/>
          <w:sz w:val="22"/>
          <w:szCs w:val="22"/>
        </w:rPr>
        <w:t>In its conclusions on the state party’s fifth report</w:t>
      </w:r>
      <w:r w:rsidR="00D07DB3">
        <w:rPr>
          <w:rStyle w:val="superscript"/>
          <w:rFonts w:ascii="Proxima Nova Rg" w:hAnsi="Proxima Nova Rg" w:cstheme="minorHAnsi"/>
          <w:bCs/>
          <w:sz w:val="22"/>
          <w:szCs w:val="22"/>
        </w:rPr>
        <w:t xml:space="preserve"> in 2017</w:t>
      </w:r>
      <w:r w:rsidR="00D07DB3" w:rsidRPr="00D07DB3">
        <w:rPr>
          <w:rStyle w:val="superscript"/>
          <w:rFonts w:ascii="Proxima Nova Rg" w:hAnsi="Proxima Nova Rg" w:cstheme="minorHAnsi"/>
          <w:bCs/>
          <w:sz w:val="22"/>
          <w:szCs w:val="22"/>
        </w:rPr>
        <w:t>, the Committee on the Elimination of Discrimination Against Women recommended that Kuwait revise its Penal Code to prohibit physical discipline</w:t>
      </w:r>
      <w:r w:rsidR="00D07DB3">
        <w:rPr>
          <w:rStyle w:val="superscript"/>
          <w:rFonts w:ascii="Proxima Nova Rg" w:hAnsi="Proxima Nova Rg" w:cstheme="minorHAnsi"/>
          <w:bCs/>
        </w:rPr>
        <w:t>.</w:t>
      </w:r>
      <w:r w:rsidR="00D07DB3">
        <w:rPr>
          <w:rStyle w:val="FootnoteReference"/>
          <w:rFonts w:ascii="Proxima Nova Rg" w:hAnsi="Proxima Nova Rg"/>
          <w:bCs/>
        </w:rPr>
        <w:footnoteReference w:id="17"/>
      </w:r>
    </w:p>
    <w:p w14:paraId="06BF4F0B" w14:textId="77777777" w:rsidR="003219E7" w:rsidRPr="00E15599" w:rsidRDefault="003219E7" w:rsidP="003219E7">
      <w:pPr>
        <w:pStyle w:val="ListParagraph"/>
        <w:spacing w:after="120"/>
        <w:ind w:left="1080"/>
        <w:rPr>
          <w:rFonts w:ascii="Proxima Nova Rg" w:hAnsi="Proxima Nova Rg" w:cstheme="minorHAnsi"/>
          <w:bCs/>
        </w:rPr>
      </w:pPr>
    </w:p>
    <w:p w14:paraId="4F796C43" w14:textId="1CEBC52B" w:rsidR="00D07DB3" w:rsidRPr="00D07DB3" w:rsidRDefault="00D07DB3" w:rsidP="00D07DB3">
      <w:pPr>
        <w:pStyle w:val="ListParagraph"/>
        <w:numPr>
          <w:ilvl w:val="1"/>
          <w:numId w:val="23"/>
        </w:numPr>
        <w:spacing w:after="120"/>
        <w:rPr>
          <w:rStyle w:val="normaltextrun"/>
          <w:rFonts w:ascii="Proxima Nova Rg" w:hAnsi="Proxima Nova Rg" w:cstheme="minorHAnsi"/>
          <w:b/>
          <w:i/>
          <w:iCs/>
        </w:rPr>
      </w:pPr>
      <w:r w:rsidRPr="00D07DB3">
        <w:rPr>
          <w:rFonts w:ascii="Proxima Nova Rg" w:hAnsi="Proxima Nova Rg" w:cstheme="minorHAnsi"/>
          <w:b/>
          <w:i/>
          <w:iCs/>
          <w:lang w:eastAsia="es-ES"/>
        </w:rPr>
        <w:t>CRPD:</w:t>
      </w:r>
      <w:r w:rsidRPr="00D07DB3">
        <w:rPr>
          <w:rFonts w:ascii="Proxima Nova Rg" w:hAnsi="Proxima Nova Rg" w:cstheme="minorHAnsi"/>
          <w:bCs/>
          <w:lang w:eastAsia="es-ES"/>
        </w:rPr>
        <w:t xml:space="preserve"> </w:t>
      </w:r>
      <w:r w:rsidRPr="00D07DB3">
        <w:rPr>
          <w:rStyle w:val="normaltextrun"/>
          <w:rFonts w:ascii="Proxima Nova Rg" w:hAnsi="Proxima Nova Rg"/>
          <w:color w:val="000000"/>
          <w:sz w:val="22"/>
          <w:szCs w:val="22"/>
          <w:shd w:val="clear" w:color="auto" w:fill="FFFFFF"/>
        </w:rPr>
        <w:t>In its concluding observations on the state party’s initial report in 201</w:t>
      </w:r>
      <w:r>
        <w:rPr>
          <w:rStyle w:val="normaltextrun"/>
          <w:rFonts w:ascii="Proxima Nova Rg" w:hAnsi="Proxima Nova Rg"/>
          <w:color w:val="000000"/>
          <w:sz w:val="22"/>
          <w:szCs w:val="22"/>
          <w:shd w:val="clear" w:color="auto" w:fill="FFFFFF"/>
        </w:rPr>
        <w:t>9</w:t>
      </w:r>
      <w:r w:rsidRPr="00D07DB3">
        <w:rPr>
          <w:rStyle w:val="normaltextrun"/>
          <w:rFonts w:ascii="Proxima Nova Rg" w:hAnsi="Proxima Nova Rg"/>
          <w:color w:val="000000"/>
          <w:sz w:val="22"/>
          <w:szCs w:val="22"/>
          <w:shd w:val="clear" w:color="auto" w:fill="FFFFFF"/>
        </w:rPr>
        <w:t>,</w:t>
      </w:r>
      <w:r>
        <w:rPr>
          <w:rStyle w:val="FootnoteReference"/>
          <w:rFonts w:ascii="Proxima Nova Rg" w:hAnsi="Proxima Nova Rg"/>
          <w:color w:val="000000"/>
          <w:sz w:val="22"/>
          <w:szCs w:val="22"/>
          <w:shd w:val="clear" w:color="auto" w:fill="FFFFFF"/>
        </w:rPr>
        <w:footnoteReference w:id="18"/>
      </w:r>
      <w:r w:rsidRPr="00D07DB3">
        <w:rPr>
          <w:rStyle w:val="normaltextrun"/>
          <w:rFonts w:ascii="Proxima Nova Rg" w:hAnsi="Proxima Nova Rg"/>
          <w:color w:val="000000"/>
          <w:sz w:val="22"/>
          <w:szCs w:val="22"/>
          <w:shd w:val="clear" w:color="auto" w:fill="FFFFFF"/>
        </w:rPr>
        <w:t xml:space="preserve">  the Committee on the Rights of Persons with Disabilities recommended that the Government prohibit all forms of corporal punishment</w:t>
      </w:r>
      <w:r>
        <w:rPr>
          <w:rStyle w:val="normaltextrun"/>
          <w:rFonts w:ascii="Proxima Nova Rg" w:hAnsi="Proxima Nova Rg"/>
          <w:color w:val="000000"/>
          <w:sz w:val="22"/>
          <w:szCs w:val="22"/>
          <w:shd w:val="clear" w:color="auto" w:fill="FFFFFF"/>
        </w:rPr>
        <w:t xml:space="preserve"> in all settings</w:t>
      </w:r>
      <w:r w:rsidRPr="00D07DB3">
        <w:rPr>
          <w:rStyle w:val="normaltextrun"/>
          <w:rFonts w:ascii="Proxima Nova Rg" w:hAnsi="Proxima Nova Rg"/>
          <w:color w:val="000000"/>
          <w:sz w:val="22"/>
          <w:szCs w:val="22"/>
          <w:shd w:val="clear" w:color="auto" w:fill="FFFFFF"/>
        </w:rPr>
        <w:t>. </w:t>
      </w:r>
    </w:p>
    <w:p w14:paraId="09DA26F1" w14:textId="77777777" w:rsidR="00D07DB3" w:rsidRPr="00A21459" w:rsidRDefault="00D07DB3" w:rsidP="00D07DB3">
      <w:pPr>
        <w:pStyle w:val="ListParagraph"/>
        <w:spacing w:after="120"/>
        <w:ind w:left="1080"/>
        <w:rPr>
          <w:rFonts w:ascii="Proxima Nova Rg" w:hAnsi="Proxima Nova Rg" w:cstheme="minorHAnsi"/>
          <w:b/>
          <w:i/>
          <w:iCs/>
        </w:rPr>
      </w:pPr>
    </w:p>
    <w:p w14:paraId="6B1E9DAB" w14:textId="77777777" w:rsidR="003219E7" w:rsidRPr="00506888" w:rsidRDefault="003219E7" w:rsidP="00506888">
      <w:pPr>
        <w:pStyle w:val="ListParagraph"/>
        <w:rPr>
          <w:rFonts w:ascii="Proxima Nova Rg" w:hAnsi="Proxima Nova Rg" w:cstheme="minorHAnsi"/>
          <w:bCs/>
        </w:rPr>
      </w:pPr>
    </w:p>
    <w:p w14:paraId="7833D5FB" w14:textId="41030D60" w:rsidR="00EF5E5E" w:rsidRPr="00663890" w:rsidRDefault="00506888" w:rsidP="00663890">
      <w:pPr>
        <w:pStyle w:val="ListParagraph"/>
        <w:numPr>
          <w:ilvl w:val="1"/>
          <w:numId w:val="23"/>
        </w:numPr>
        <w:spacing w:after="120"/>
        <w:rPr>
          <w:rStyle w:val="normaltextrun"/>
          <w:rFonts w:ascii="Proxima Nova Rg" w:hAnsi="Proxima Nova Rg" w:cstheme="minorHAnsi"/>
          <w:bCs/>
          <w:sz w:val="22"/>
          <w:szCs w:val="22"/>
        </w:rPr>
      </w:pPr>
      <w:r w:rsidRPr="00506888">
        <w:rPr>
          <w:rFonts w:ascii="Proxima Nova Rg" w:hAnsi="Proxima Nova Rg" w:cstheme="minorHAnsi"/>
          <w:b/>
          <w:bCs/>
          <w:i/>
        </w:rPr>
        <w:t>UPR:</w:t>
      </w:r>
      <w:r w:rsidRPr="00506888">
        <w:rPr>
          <w:rFonts w:ascii="Proxima Nova Rg" w:hAnsi="Proxima Nova Rg" w:cstheme="minorHAnsi"/>
          <w:b/>
          <w:bCs/>
        </w:rPr>
        <w:t xml:space="preserve"> </w:t>
      </w:r>
      <w:r w:rsidRPr="00506888">
        <w:rPr>
          <w:rFonts w:ascii="Proxima Nova Rg" w:hAnsi="Proxima Nova Rg" w:cstheme="minorHAnsi"/>
          <w:bCs/>
          <w:sz w:val="22"/>
          <w:szCs w:val="22"/>
        </w:rPr>
        <w:t xml:space="preserve">At the </w:t>
      </w:r>
      <w:r w:rsidR="003219E7">
        <w:rPr>
          <w:rFonts w:ascii="Proxima Nova Rg" w:hAnsi="Proxima Nova Rg" w:cstheme="minorHAnsi"/>
          <w:bCs/>
          <w:sz w:val="22"/>
          <w:szCs w:val="22"/>
        </w:rPr>
        <w:t xml:space="preserve">first </w:t>
      </w:r>
      <w:r w:rsidRPr="00506888">
        <w:rPr>
          <w:rFonts w:ascii="Proxima Nova Rg" w:hAnsi="Proxima Nova Rg" w:cstheme="minorHAnsi"/>
          <w:bCs/>
          <w:sz w:val="22"/>
          <w:szCs w:val="22"/>
        </w:rPr>
        <w:t xml:space="preserve">cycle of the Universal Periodic Review of </w:t>
      </w:r>
      <w:r w:rsidR="00663890">
        <w:rPr>
          <w:rFonts w:ascii="Proxima Nova Rg" w:hAnsi="Proxima Nova Rg" w:cstheme="minorHAnsi"/>
          <w:bCs/>
          <w:sz w:val="22"/>
          <w:szCs w:val="22"/>
        </w:rPr>
        <w:t>Kuwait</w:t>
      </w:r>
      <w:r w:rsidRPr="00506888">
        <w:rPr>
          <w:rFonts w:ascii="Proxima Nova Rg" w:hAnsi="Proxima Nova Rg" w:cstheme="minorHAnsi"/>
          <w:bCs/>
          <w:sz w:val="22"/>
          <w:szCs w:val="22"/>
        </w:rPr>
        <w:t xml:space="preserve"> in 20</w:t>
      </w:r>
      <w:r w:rsidR="00663890">
        <w:rPr>
          <w:rFonts w:ascii="Proxima Nova Rg" w:hAnsi="Proxima Nova Rg" w:cstheme="minorHAnsi"/>
          <w:bCs/>
          <w:sz w:val="22"/>
          <w:szCs w:val="22"/>
        </w:rPr>
        <w:t>10</w:t>
      </w:r>
      <w:r w:rsidRPr="00506888">
        <w:rPr>
          <w:rFonts w:ascii="Proxima Nova Rg" w:hAnsi="Proxima Nova Rg" w:cstheme="minorHAnsi"/>
          <w:bCs/>
          <w:sz w:val="22"/>
          <w:szCs w:val="22"/>
        </w:rPr>
        <w:t xml:space="preserve">, </w:t>
      </w:r>
      <w:r w:rsidR="00663890">
        <w:rPr>
          <w:rFonts w:ascii="Proxima Nova Rg" w:hAnsi="Proxima Nova Rg" w:cstheme="minorHAnsi"/>
          <w:bCs/>
          <w:sz w:val="22"/>
          <w:szCs w:val="22"/>
        </w:rPr>
        <w:t xml:space="preserve">a </w:t>
      </w:r>
      <w:r w:rsidRPr="00506888">
        <w:rPr>
          <w:rFonts w:ascii="Proxima Nova Rg" w:hAnsi="Proxima Nova Rg" w:cstheme="minorHAnsi"/>
          <w:bCs/>
          <w:sz w:val="22"/>
          <w:szCs w:val="22"/>
        </w:rPr>
        <w:t xml:space="preserve">recommendation to </w:t>
      </w:r>
      <w:r w:rsidR="003219E7">
        <w:rPr>
          <w:rFonts w:ascii="Proxima Nova Rg" w:hAnsi="Proxima Nova Rg" w:cstheme="minorHAnsi"/>
          <w:bCs/>
          <w:sz w:val="22"/>
          <w:szCs w:val="22"/>
        </w:rPr>
        <w:t>prohibit</w:t>
      </w:r>
      <w:r w:rsidRPr="00506888">
        <w:rPr>
          <w:rFonts w:ascii="Proxima Nova Rg" w:hAnsi="Proxima Nova Rg" w:cstheme="minorHAnsi"/>
          <w:bCs/>
          <w:sz w:val="22"/>
          <w:szCs w:val="22"/>
        </w:rPr>
        <w:t xml:space="preserve"> corporal </w:t>
      </w:r>
      <w:r w:rsidRPr="00A21459">
        <w:rPr>
          <w:rFonts w:ascii="Proxima Nova Rg" w:hAnsi="Proxima Nova Rg" w:cstheme="minorHAnsi"/>
          <w:bCs/>
          <w:sz w:val="22"/>
          <w:szCs w:val="22"/>
        </w:rPr>
        <w:t xml:space="preserve">punishment </w:t>
      </w:r>
      <w:r w:rsidR="00663890">
        <w:rPr>
          <w:rFonts w:ascii="Proxima Nova Rg" w:hAnsi="Proxima Nova Rg" w:cstheme="minorHAnsi"/>
          <w:bCs/>
          <w:sz w:val="22"/>
          <w:szCs w:val="22"/>
        </w:rPr>
        <w:t xml:space="preserve">of children </w:t>
      </w:r>
      <w:r w:rsidRPr="00A21459">
        <w:rPr>
          <w:rFonts w:ascii="Proxima Nova Rg" w:hAnsi="Proxima Nova Rg" w:cstheme="minorHAnsi"/>
          <w:bCs/>
          <w:sz w:val="22"/>
          <w:szCs w:val="22"/>
        </w:rPr>
        <w:t>w</w:t>
      </w:r>
      <w:r w:rsidR="00663890">
        <w:rPr>
          <w:rFonts w:ascii="Proxima Nova Rg" w:hAnsi="Proxima Nova Rg" w:cstheme="minorHAnsi"/>
          <w:bCs/>
          <w:sz w:val="22"/>
          <w:szCs w:val="22"/>
        </w:rPr>
        <w:t>as</w:t>
      </w:r>
      <w:r w:rsidRPr="00A21459">
        <w:rPr>
          <w:rFonts w:ascii="Proxima Nova Rg" w:hAnsi="Proxima Nova Rg" w:cstheme="minorHAnsi"/>
          <w:bCs/>
          <w:sz w:val="22"/>
          <w:szCs w:val="22"/>
        </w:rPr>
        <w:t xml:space="preserve"> made</w:t>
      </w:r>
      <w:r w:rsidR="00663890">
        <w:rPr>
          <w:rFonts w:ascii="Proxima Nova Rg" w:hAnsi="Proxima Nova Rg" w:cstheme="minorHAnsi"/>
          <w:bCs/>
          <w:sz w:val="22"/>
          <w:szCs w:val="22"/>
        </w:rPr>
        <w:t xml:space="preserve"> and accepted by the Government</w:t>
      </w:r>
      <w:r w:rsidR="00A21459" w:rsidRPr="00A21459">
        <w:rPr>
          <w:rFonts w:ascii="Proxima Nova Rg" w:hAnsi="Proxima Nova Rg" w:cstheme="minorHAnsi"/>
          <w:bCs/>
          <w:sz w:val="22"/>
          <w:szCs w:val="22"/>
        </w:rPr>
        <w:t>.</w:t>
      </w:r>
      <w:r w:rsidR="00A21459" w:rsidRPr="00A21459">
        <w:rPr>
          <w:rStyle w:val="FootnoteReference"/>
          <w:rFonts w:ascii="Proxima Nova Rg" w:hAnsi="Proxima Nova Rg"/>
          <w:bCs/>
          <w:sz w:val="22"/>
          <w:szCs w:val="22"/>
        </w:rPr>
        <w:footnoteReference w:id="19"/>
      </w:r>
      <w:r w:rsidR="00A21459" w:rsidRPr="00A21459">
        <w:rPr>
          <w:rFonts w:ascii="Proxima Nova Rg" w:hAnsi="Proxima Nova Rg" w:cstheme="minorHAnsi"/>
          <w:bCs/>
          <w:sz w:val="22"/>
          <w:szCs w:val="22"/>
        </w:rPr>
        <w:t xml:space="preserve">  The Government accepted the recommendations stating</w:t>
      </w:r>
      <w:r w:rsidR="00A21459" w:rsidRPr="00A21459">
        <w:rPr>
          <w:rStyle w:val="FootnoteReference"/>
          <w:rFonts w:ascii="Proxima Nova Rg" w:hAnsi="Proxima Nova Rg"/>
          <w:bCs/>
          <w:sz w:val="22"/>
          <w:szCs w:val="22"/>
        </w:rPr>
        <w:footnoteReference w:id="20"/>
      </w:r>
      <w:r w:rsidR="00A21459" w:rsidRPr="00A21459">
        <w:rPr>
          <w:rFonts w:ascii="Proxima Nova Rg" w:hAnsi="Proxima Nova Rg" w:cstheme="minorHAnsi"/>
          <w:bCs/>
          <w:sz w:val="22"/>
          <w:szCs w:val="22"/>
        </w:rPr>
        <w:t xml:space="preserve"> that corporal punishment </w:t>
      </w:r>
      <w:r w:rsidR="00A21459" w:rsidRPr="00A21459">
        <w:rPr>
          <w:rFonts w:ascii="Proxima Nova Rg" w:hAnsi="Proxima Nova Rg"/>
          <w:sz w:val="22"/>
          <w:szCs w:val="22"/>
          <w:shd w:val="clear" w:color="auto" w:fill="FFFFFF"/>
        </w:rPr>
        <w:t xml:space="preserve">of children is prohibited and criminalised by legislation. </w:t>
      </w:r>
      <w:r w:rsidR="003219E7" w:rsidRPr="00BD712D">
        <w:rPr>
          <w:rFonts w:ascii="Proxima Nova Rg" w:hAnsi="Proxima Nova Rg" w:cstheme="minorHAnsi"/>
          <w:bCs/>
          <w:sz w:val="22"/>
          <w:szCs w:val="22"/>
        </w:rPr>
        <w:t xml:space="preserve">At the second cycle of the UPR of </w:t>
      </w:r>
      <w:r w:rsidR="00663890">
        <w:rPr>
          <w:rFonts w:ascii="Proxima Nova Rg" w:hAnsi="Proxima Nova Rg" w:cstheme="minorHAnsi"/>
          <w:bCs/>
          <w:sz w:val="22"/>
          <w:szCs w:val="22"/>
        </w:rPr>
        <w:t>Kuwait</w:t>
      </w:r>
      <w:r w:rsidR="003219E7" w:rsidRPr="00BD712D">
        <w:rPr>
          <w:rFonts w:ascii="Proxima Nova Rg" w:hAnsi="Proxima Nova Rg" w:cstheme="minorHAnsi"/>
          <w:bCs/>
          <w:sz w:val="22"/>
          <w:szCs w:val="22"/>
        </w:rPr>
        <w:t xml:space="preserve"> in 201</w:t>
      </w:r>
      <w:r w:rsidR="00663890">
        <w:rPr>
          <w:rFonts w:ascii="Proxima Nova Rg" w:hAnsi="Proxima Nova Rg" w:cstheme="minorHAnsi"/>
          <w:bCs/>
          <w:sz w:val="22"/>
          <w:szCs w:val="22"/>
        </w:rPr>
        <w:t>5</w:t>
      </w:r>
      <w:r w:rsidR="003219E7" w:rsidRPr="00BD712D">
        <w:rPr>
          <w:rFonts w:ascii="Proxima Nova Rg" w:hAnsi="Proxima Nova Rg" w:cstheme="minorHAnsi"/>
          <w:bCs/>
          <w:sz w:val="22"/>
          <w:szCs w:val="22"/>
        </w:rPr>
        <w:t>, recommendations to prohibit corporal punishment in all settings were extended.</w:t>
      </w:r>
      <w:r w:rsidR="00A21459" w:rsidRPr="00BD712D">
        <w:rPr>
          <w:rStyle w:val="FootnoteReference"/>
          <w:rFonts w:ascii="Proxima Nova Rg" w:hAnsi="Proxima Nova Rg"/>
          <w:bCs/>
          <w:sz w:val="22"/>
          <w:szCs w:val="22"/>
        </w:rPr>
        <w:footnoteReference w:id="21"/>
      </w:r>
      <w:r w:rsidR="003219E7" w:rsidRPr="00BD712D">
        <w:rPr>
          <w:rFonts w:ascii="Proxima Nova Rg" w:hAnsi="Proxima Nova Rg" w:cstheme="minorHAnsi"/>
          <w:bCs/>
          <w:sz w:val="22"/>
          <w:szCs w:val="22"/>
        </w:rPr>
        <w:t xml:space="preserve"> T</w:t>
      </w:r>
      <w:r w:rsidR="003219E7" w:rsidRPr="00BD712D">
        <w:rPr>
          <w:rStyle w:val="normaltextrun"/>
          <w:rFonts w:ascii="Proxima Nova Rg" w:hAnsi="Proxima Nova Rg"/>
          <w:sz w:val="22"/>
          <w:szCs w:val="22"/>
          <w:shd w:val="clear" w:color="auto" w:fill="FFFFFF"/>
        </w:rPr>
        <w:t xml:space="preserve">he Government accepted the recommendations </w:t>
      </w:r>
      <w:r w:rsidR="00663890" w:rsidRPr="00663890">
        <w:rPr>
          <w:rFonts w:ascii="Proxima Nova Rg" w:eastAsiaTheme="minorHAnsi" w:hAnsi="Proxima Nova Rg" w:cstheme="minorHAnsi"/>
          <w:color w:val="000000"/>
          <w:sz w:val="22"/>
          <w:szCs w:val="22"/>
          <w:lang w:val="en-US"/>
        </w:rPr>
        <w:t>noting that “the authority of the guardian in the simple discipline in accordance with article 6 of the Child Rights Act” (unofficial translation).</w:t>
      </w:r>
      <w:r w:rsidR="00663890" w:rsidRPr="007D576B">
        <w:rPr>
          <w:rStyle w:val="FootnoteReference"/>
          <w:rFonts w:ascii="Proxima Nova Rg" w:eastAsiaTheme="minorHAnsi" w:hAnsi="Proxima Nova Rg" w:cstheme="minorHAnsi"/>
          <w:color w:val="000000"/>
          <w:sz w:val="22"/>
          <w:szCs w:val="22"/>
          <w:lang w:val="en-US"/>
        </w:rPr>
        <w:footnoteReference w:id="22"/>
      </w:r>
      <w:r w:rsidR="00663890">
        <w:rPr>
          <w:rFonts w:ascii="Proxima Nova Rg" w:eastAsiaTheme="minorHAnsi" w:hAnsi="Proxima Nova Rg" w:cstheme="minorHAnsi"/>
          <w:color w:val="000000"/>
          <w:sz w:val="22"/>
          <w:szCs w:val="22"/>
          <w:lang w:val="en-US"/>
        </w:rPr>
        <w:t xml:space="preserve"> </w:t>
      </w:r>
    </w:p>
    <w:p w14:paraId="115DDB18" w14:textId="77777777" w:rsidR="00EF5E5E" w:rsidRPr="00EF5E5E" w:rsidRDefault="00EF5E5E" w:rsidP="00EF5E5E">
      <w:pPr>
        <w:pStyle w:val="ListParagraph"/>
        <w:spacing w:after="120"/>
        <w:ind w:left="1080"/>
        <w:rPr>
          <w:rStyle w:val="normaltextrun"/>
          <w:rFonts w:ascii="Proxima Nova Rg" w:hAnsi="Proxima Nova Rg" w:cstheme="minorHAnsi"/>
          <w:bCs/>
        </w:rPr>
      </w:pP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902925">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AAB0F" w14:textId="77777777" w:rsidR="005648F1" w:rsidRDefault="005648F1" w:rsidP="00323C9D">
      <w:r>
        <w:separator/>
      </w:r>
    </w:p>
    <w:p w14:paraId="53315DE7" w14:textId="77777777" w:rsidR="005648F1" w:rsidRDefault="005648F1"/>
  </w:endnote>
  <w:endnote w:type="continuationSeparator" w:id="0">
    <w:p w14:paraId="2D54E5F6" w14:textId="77777777" w:rsidR="005648F1" w:rsidRDefault="005648F1" w:rsidP="00323C9D">
      <w:r>
        <w:continuationSeparator/>
      </w:r>
    </w:p>
    <w:p w14:paraId="2D06D4BA" w14:textId="77777777" w:rsidR="005648F1" w:rsidRDefault="005648F1"/>
  </w:endnote>
  <w:endnote w:type="continuationNotice" w:id="1">
    <w:p w14:paraId="12B773EB" w14:textId="77777777" w:rsidR="005648F1" w:rsidRDefault="005648F1"/>
    <w:p w14:paraId="22E6B7FE" w14:textId="77777777" w:rsidR="005648F1" w:rsidRDefault="005648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328CA" w14:textId="77777777" w:rsidR="005648F1" w:rsidRDefault="005648F1" w:rsidP="00323C9D">
      <w:r>
        <w:separator/>
      </w:r>
    </w:p>
    <w:p w14:paraId="0320D54F" w14:textId="77777777" w:rsidR="005648F1" w:rsidRDefault="005648F1"/>
  </w:footnote>
  <w:footnote w:type="continuationSeparator" w:id="0">
    <w:p w14:paraId="31A21021" w14:textId="77777777" w:rsidR="005648F1" w:rsidRDefault="005648F1" w:rsidP="00323C9D">
      <w:r>
        <w:continuationSeparator/>
      </w:r>
    </w:p>
    <w:p w14:paraId="31519F33" w14:textId="77777777" w:rsidR="005648F1" w:rsidRDefault="005648F1"/>
  </w:footnote>
  <w:footnote w:type="continuationNotice" w:id="1">
    <w:p w14:paraId="18800769" w14:textId="77777777" w:rsidR="005648F1" w:rsidRDefault="005648F1"/>
    <w:p w14:paraId="02A8FFDF" w14:textId="77777777" w:rsidR="005648F1" w:rsidRDefault="005648F1"/>
  </w:footnote>
  <w:footnote w:id="2">
    <w:p w14:paraId="7847575C" w14:textId="775C980C" w:rsidR="00483885" w:rsidRPr="00E15599" w:rsidRDefault="00483885" w:rsidP="00483885">
      <w:pPr>
        <w:pStyle w:val="FootnoteText"/>
        <w:rPr>
          <w:rFonts w:ascii="Proxima Nova Rg" w:hAnsi="Proxima Nova Rg"/>
          <w:sz w:val="18"/>
          <w:szCs w:val="18"/>
          <w:lang w:val="en-US"/>
        </w:rPr>
      </w:pPr>
      <w:r w:rsidRPr="00E15599">
        <w:rPr>
          <w:rStyle w:val="FootnoteReference"/>
          <w:rFonts w:ascii="Proxima Nova Rg" w:hAnsi="Proxima Nova Rg"/>
          <w:sz w:val="18"/>
          <w:szCs w:val="18"/>
        </w:rPr>
        <w:footnoteRef/>
      </w:r>
      <w:r w:rsidRPr="00E15599">
        <w:rPr>
          <w:rFonts w:ascii="Proxima Nova Rg" w:hAnsi="Proxima Nova Rg"/>
          <w:sz w:val="18"/>
          <w:szCs w:val="18"/>
        </w:rPr>
        <w:t xml:space="preserve"> </w:t>
      </w:r>
      <w:r w:rsidR="0086318D">
        <w:rPr>
          <w:rFonts w:ascii="Proxima Nova Rg" w:hAnsi="Proxima Nova Rg"/>
          <w:sz w:val="18"/>
          <w:szCs w:val="18"/>
        </w:rPr>
        <w:t>27</w:t>
      </w:r>
      <w:r w:rsidRPr="00E15599">
        <w:rPr>
          <w:rFonts w:ascii="Proxima Nova Rg" w:hAnsi="Proxima Nova Rg"/>
          <w:sz w:val="18"/>
          <w:szCs w:val="18"/>
        </w:rPr>
        <w:t xml:space="preserve"> </w:t>
      </w:r>
      <w:r w:rsidR="0086318D">
        <w:rPr>
          <w:rFonts w:ascii="Proxima Nova Rg" w:hAnsi="Proxima Nova Rg"/>
          <w:sz w:val="18"/>
          <w:szCs w:val="18"/>
        </w:rPr>
        <w:t xml:space="preserve">October </w:t>
      </w:r>
      <w:r w:rsidRPr="00E15599">
        <w:rPr>
          <w:rFonts w:ascii="Proxima Nova Rg" w:hAnsi="Proxima Nova Rg"/>
          <w:sz w:val="18"/>
          <w:szCs w:val="18"/>
        </w:rPr>
        <w:t>2020, CAT/C/</w:t>
      </w:r>
      <w:r w:rsidR="0086318D">
        <w:rPr>
          <w:rFonts w:ascii="Proxima Nova Rg" w:hAnsi="Proxima Nova Rg"/>
          <w:sz w:val="18"/>
          <w:szCs w:val="18"/>
        </w:rPr>
        <w:t>KWT</w:t>
      </w:r>
      <w:r w:rsidRPr="00E15599">
        <w:rPr>
          <w:rFonts w:ascii="Proxima Nova Rg" w:hAnsi="Proxima Nova Rg"/>
          <w:sz w:val="18"/>
          <w:szCs w:val="18"/>
        </w:rPr>
        <w:t>/</w:t>
      </w:r>
      <w:r w:rsidR="0086318D">
        <w:rPr>
          <w:rFonts w:ascii="Proxima Nova Rg" w:hAnsi="Proxima Nova Rg"/>
          <w:sz w:val="18"/>
          <w:szCs w:val="18"/>
        </w:rPr>
        <w:t>4</w:t>
      </w:r>
      <w:r w:rsidRPr="00E15599">
        <w:rPr>
          <w:rFonts w:ascii="Proxima Nova Rg" w:hAnsi="Proxima Nova Rg"/>
          <w:sz w:val="18"/>
          <w:szCs w:val="18"/>
        </w:rPr>
        <w:t>, F</w:t>
      </w:r>
      <w:r w:rsidR="0086318D">
        <w:rPr>
          <w:rFonts w:ascii="Proxima Nova Rg" w:hAnsi="Proxima Nova Rg"/>
          <w:sz w:val="18"/>
          <w:szCs w:val="18"/>
        </w:rPr>
        <w:t>our</w:t>
      </w:r>
      <w:r w:rsidRPr="00E15599">
        <w:rPr>
          <w:rFonts w:ascii="Proxima Nova Rg" w:hAnsi="Proxima Nova Rg"/>
          <w:sz w:val="18"/>
          <w:szCs w:val="18"/>
        </w:rPr>
        <w:t xml:space="preserve">th periodic report submitted by </w:t>
      </w:r>
      <w:r w:rsidR="0086318D">
        <w:rPr>
          <w:rFonts w:ascii="Proxima Nova Rg" w:hAnsi="Proxima Nova Rg"/>
          <w:sz w:val="18"/>
          <w:szCs w:val="18"/>
        </w:rPr>
        <w:t>Kuwait</w:t>
      </w:r>
      <w:r w:rsidRPr="00E15599">
        <w:rPr>
          <w:rFonts w:ascii="Proxima Nova Rg" w:hAnsi="Proxima Nova Rg"/>
          <w:sz w:val="18"/>
          <w:szCs w:val="18"/>
        </w:rPr>
        <w:t xml:space="preserve"> under article 19 of the Convention, due in 20</w:t>
      </w:r>
      <w:r w:rsidR="0086318D">
        <w:rPr>
          <w:rFonts w:ascii="Proxima Nova Rg" w:hAnsi="Proxima Nova Rg"/>
          <w:sz w:val="18"/>
          <w:szCs w:val="18"/>
        </w:rPr>
        <w:t>20</w:t>
      </w:r>
      <w:r w:rsidRPr="00E15599">
        <w:rPr>
          <w:rFonts w:ascii="Proxima Nova Rg" w:hAnsi="Proxima Nova Rg"/>
          <w:sz w:val="18"/>
          <w:szCs w:val="18"/>
        </w:rPr>
        <w:t>, para</w:t>
      </w:r>
      <w:r w:rsidR="0086318D">
        <w:rPr>
          <w:rFonts w:ascii="Proxima Nova Rg" w:hAnsi="Proxima Nova Rg"/>
          <w:sz w:val="18"/>
          <w:szCs w:val="18"/>
        </w:rPr>
        <w:t>. 31</w:t>
      </w:r>
    </w:p>
  </w:footnote>
  <w:footnote w:id="3">
    <w:p w14:paraId="4262AA87" w14:textId="782264C8" w:rsidR="0085590C" w:rsidRPr="0085590C" w:rsidRDefault="0085590C">
      <w:pPr>
        <w:pStyle w:val="FootnoteText"/>
        <w:rPr>
          <w:lang w:val="en-US"/>
        </w:rPr>
      </w:pPr>
      <w:r>
        <w:rPr>
          <w:rStyle w:val="FootnoteReference"/>
        </w:rPr>
        <w:footnoteRef/>
      </w:r>
      <w:r>
        <w:t xml:space="preserve"> </w:t>
      </w:r>
      <w:r w:rsidRPr="009B4EB8">
        <w:rPr>
          <w:rFonts w:ascii="Proxima Nova Rg" w:hAnsi="Proxima Nova Rg" w:cstheme="minorHAnsi"/>
          <w:sz w:val="18"/>
          <w:szCs w:val="18"/>
        </w:rPr>
        <w:t>17 August 2011, CCPR/C/KWT/Q/2/Add.1, Reply to list of issues, para. 99</w:t>
      </w:r>
    </w:p>
  </w:footnote>
  <w:footnote w:id="4">
    <w:p w14:paraId="53FCDBA6" w14:textId="41E2BA80" w:rsidR="0085590C" w:rsidRPr="0085590C" w:rsidRDefault="0085590C">
      <w:pPr>
        <w:pStyle w:val="FootnoteText"/>
        <w:rPr>
          <w:lang w:val="en-US"/>
        </w:rPr>
      </w:pPr>
      <w:r>
        <w:rPr>
          <w:rStyle w:val="FootnoteReference"/>
        </w:rPr>
        <w:footnoteRef/>
      </w:r>
      <w:r>
        <w:t xml:space="preserve"> </w:t>
      </w:r>
      <w:r w:rsidRPr="009B4EB8">
        <w:rPr>
          <w:rFonts w:ascii="Proxima Nova Rg" w:hAnsi="Proxima Nova Rg" w:cstheme="minorHAnsi"/>
          <w:sz w:val="18"/>
          <w:szCs w:val="18"/>
        </w:rPr>
        <w:t xml:space="preserve">5 August 2013, CRC/C/KWT/Q/2/Add.1, Reply to list of issues, Q6; see also </w:t>
      </w:r>
      <w:r w:rsidRPr="009B4EB8">
        <w:rPr>
          <w:rFonts w:ascii="Proxima Nova Rg" w:eastAsiaTheme="minorHAnsi" w:hAnsi="Proxima Nova Rg" w:cstheme="minorHAnsi"/>
          <w:sz w:val="18"/>
          <w:szCs w:val="18"/>
          <w:lang w:val="en-US"/>
        </w:rPr>
        <w:t>13 April 2015, A/HRC/29/17, Report of the working group, para. 7</w:t>
      </w:r>
    </w:p>
  </w:footnote>
  <w:footnote w:id="5">
    <w:p w14:paraId="32B05A58" w14:textId="7521A9A5" w:rsidR="0085590C" w:rsidRPr="0085590C" w:rsidRDefault="0085590C">
      <w:pPr>
        <w:pStyle w:val="FootnoteText"/>
        <w:rPr>
          <w:lang w:val="en-US"/>
        </w:rPr>
      </w:pPr>
      <w:r>
        <w:rPr>
          <w:rStyle w:val="FootnoteReference"/>
        </w:rPr>
        <w:footnoteRef/>
      </w:r>
      <w:r>
        <w:t xml:space="preserve"> </w:t>
      </w:r>
      <w:r w:rsidRPr="009B4EB8">
        <w:rPr>
          <w:rFonts w:ascii="Proxima Nova Rg" w:eastAsiaTheme="minorHAnsi" w:hAnsi="Proxima Nova Rg" w:cstheme="minorHAnsi"/>
          <w:sz w:val="18"/>
          <w:szCs w:val="18"/>
          <w:lang w:val="en-US"/>
        </w:rPr>
        <w:t>4 June 2015, A/HRC/29/17/Add.1, Report of the working group: Addendum</w:t>
      </w:r>
    </w:p>
  </w:footnote>
  <w:footnote w:id="6">
    <w:p w14:paraId="0AA5B520" w14:textId="5262C9E8" w:rsidR="0085590C" w:rsidRPr="0085590C" w:rsidRDefault="0085590C">
      <w:pPr>
        <w:pStyle w:val="FootnoteText"/>
        <w:rPr>
          <w:lang w:val="en-US"/>
        </w:rPr>
      </w:pPr>
      <w:r>
        <w:rPr>
          <w:rStyle w:val="FootnoteReference"/>
        </w:rPr>
        <w:footnoteRef/>
      </w:r>
      <w:r>
        <w:t xml:space="preserve"> </w:t>
      </w:r>
      <w:r w:rsidRPr="009B4EB8">
        <w:rPr>
          <w:rFonts w:ascii="Proxima Nova Rg" w:hAnsi="Proxima Nova Rg" w:cstheme="minorHAnsi"/>
          <w:sz w:val="18"/>
          <w:szCs w:val="18"/>
        </w:rPr>
        <w:t>17 August 2015, CAT/C/KWT/3, Third report, para. 133</w:t>
      </w:r>
    </w:p>
  </w:footnote>
  <w:footnote w:id="7">
    <w:p w14:paraId="509FCD28" w14:textId="25EA1BD0" w:rsidR="0085590C" w:rsidRPr="0085590C" w:rsidRDefault="0085590C">
      <w:pPr>
        <w:pStyle w:val="FootnoteText"/>
        <w:rPr>
          <w:lang w:val="en-US"/>
        </w:rPr>
      </w:pPr>
      <w:r>
        <w:rPr>
          <w:rStyle w:val="FootnoteReference"/>
        </w:rPr>
        <w:footnoteRef/>
      </w:r>
      <w:r>
        <w:t xml:space="preserve"> </w:t>
      </w:r>
      <w:r w:rsidRPr="009B4EB8">
        <w:rPr>
          <w:rFonts w:ascii="Proxima Nova Rg" w:hAnsi="Proxima Nova Rg" w:cstheme="minorHAnsi"/>
          <w:sz w:val="18"/>
          <w:szCs w:val="18"/>
        </w:rPr>
        <w:t>6 July 2017, CEDAW/C/KWT/Q/5/Add.1, Reply to list of issues, para. 7</w:t>
      </w:r>
    </w:p>
  </w:footnote>
  <w:footnote w:id="8">
    <w:p w14:paraId="7C8D3160" w14:textId="77777777" w:rsidR="0085590C" w:rsidRPr="009B4EB8" w:rsidRDefault="0085590C" w:rsidP="0085590C">
      <w:pPr>
        <w:pStyle w:val="FootnoteText"/>
        <w:rPr>
          <w:rFonts w:ascii="Proxima Nova Rg" w:hAnsi="Proxima Nova Rg" w:cstheme="minorHAnsi"/>
          <w:sz w:val="18"/>
          <w:szCs w:val="18"/>
          <w:lang w:val="en-US"/>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2 October 1998, CRC/C/SR.489, Summary record of 489</w:t>
      </w:r>
      <w:r w:rsidRPr="009B4EB8">
        <w:rPr>
          <w:rFonts w:ascii="Proxima Nova Rg" w:hAnsi="Proxima Nova Rg" w:cstheme="minorHAnsi"/>
          <w:sz w:val="18"/>
          <w:szCs w:val="18"/>
          <w:vertAlign w:val="superscript"/>
        </w:rPr>
        <w:t>th</w:t>
      </w:r>
      <w:r w:rsidRPr="009B4EB8">
        <w:rPr>
          <w:rFonts w:ascii="Proxima Nova Rg" w:hAnsi="Proxima Nova Rg" w:cstheme="minorHAnsi"/>
          <w:sz w:val="18"/>
          <w:szCs w:val="18"/>
        </w:rPr>
        <w:t xml:space="preserve"> meeting, para. 8</w:t>
      </w:r>
    </w:p>
  </w:footnote>
  <w:footnote w:id="9">
    <w:p w14:paraId="72F5908B" w14:textId="77777777" w:rsidR="0085590C" w:rsidRPr="009B4EB8" w:rsidRDefault="0085590C" w:rsidP="0085590C">
      <w:pPr>
        <w:pStyle w:val="FootnoteText"/>
        <w:rPr>
          <w:rFonts w:ascii="Proxima Nova Rg" w:hAnsi="Proxima Nova Rg" w:cstheme="minorHAnsi"/>
          <w:sz w:val="18"/>
          <w:szCs w:val="18"/>
          <w:lang w:val="en-US"/>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17 August 2011, CCPR/C/KWT/Q/2/Add.1, Reply to list of issues, para. 101</w:t>
      </w:r>
    </w:p>
  </w:footnote>
  <w:footnote w:id="10">
    <w:p w14:paraId="6B724410" w14:textId="77777777" w:rsidR="0085590C" w:rsidRPr="009B4EB8" w:rsidRDefault="0085590C" w:rsidP="0085590C">
      <w:pPr>
        <w:pStyle w:val="FootnoteText"/>
        <w:rPr>
          <w:rFonts w:ascii="Proxima Nova Rg" w:hAnsi="Proxima Nova Rg" w:cstheme="minorHAnsi"/>
          <w:sz w:val="18"/>
          <w:szCs w:val="18"/>
          <w:lang w:val="en-US"/>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5 August 2013, CRC/C/KWT/Q/2/Add.1, Reply to list of issues, Q6</w:t>
      </w:r>
    </w:p>
  </w:footnote>
  <w:footnote w:id="11">
    <w:p w14:paraId="02B1C486" w14:textId="77777777" w:rsidR="0085590C" w:rsidRPr="009B4EB8" w:rsidRDefault="0085590C" w:rsidP="0085590C">
      <w:pPr>
        <w:pStyle w:val="FootnoteText"/>
        <w:rPr>
          <w:rFonts w:ascii="Proxima Nova Rg" w:hAnsi="Proxima Nova Rg" w:cstheme="minorHAnsi"/>
          <w:sz w:val="18"/>
          <w:szCs w:val="18"/>
          <w:lang w:val="en-US"/>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w:t>
      </w:r>
      <w:r w:rsidRPr="009B4EB8">
        <w:rPr>
          <w:rFonts w:ascii="Proxima Nova Rg" w:eastAsiaTheme="minorHAnsi" w:hAnsi="Proxima Nova Rg" w:cstheme="minorHAnsi"/>
          <w:sz w:val="18"/>
          <w:szCs w:val="18"/>
          <w:lang w:val="en-US"/>
        </w:rPr>
        <w:t>3 November 2014, A/HRC/WG.6/21/KWT/1, National report to the UPR, para. 31</w:t>
      </w:r>
    </w:p>
  </w:footnote>
  <w:footnote w:id="12">
    <w:p w14:paraId="55674913" w14:textId="77777777" w:rsidR="0085590C" w:rsidRPr="009B4EB8" w:rsidRDefault="0085590C" w:rsidP="0085590C">
      <w:pPr>
        <w:pStyle w:val="FootnoteText"/>
        <w:rPr>
          <w:rFonts w:ascii="Proxima Nova Rg" w:hAnsi="Proxima Nova Rg" w:cstheme="minorHAnsi"/>
          <w:sz w:val="18"/>
          <w:szCs w:val="18"/>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17 August 2015, CAT/C/KWT/3, Third report, paras. 130, 132 and 134</w:t>
      </w:r>
    </w:p>
  </w:footnote>
  <w:footnote w:id="13">
    <w:p w14:paraId="3349B665" w14:textId="77777777" w:rsidR="0085590C" w:rsidRPr="009B4EB8" w:rsidRDefault="0085590C" w:rsidP="0085590C">
      <w:pPr>
        <w:pStyle w:val="FootnoteText"/>
        <w:rPr>
          <w:rFonts w:ascii="Proxima Nova Rg" w:hAnsi="Proxima Nova Rg" w:cstheme="minorHAnsi"/>
          <w:sz w:val="18"/>
          <w:szCs w:val="18"/>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21 April 2016, CCPR/C/KWT/Q/3/Add.1, Reply to the list of issues on third report</w:t>
      </w:r>
    </w:p>
  </w:footnote>
  <w:footnote w:id="14">
    <w:p w14:paraId="2DEF1970" w14:textId="44255C56" w:rsidR="00E15599" w:rsidRPr="00A4387B" w:rsidRDefault="00E15599">
      <w:pPr>
        <w:pStyle w:val="FootnoteText"/>
        <w:rPr>
          <w:rFonts w:ascii="Proxima Nova Rg" w:hAnsi="Proxima Nova Rg"/>
          <w:sz w:val="18"/>
          <w:szCs w:val="18"/>
          <w:lang w:val="en-US"/>
        </w:rPr>
      </w:pPr>
      <w:r w:rsidRPr="00A4387B">
        <w:rPr>
          <w:rStyle w:val="FootnoteReference"/>
          <w:rFonts w:ascii="Proxima Nova Rg" w:hAnsi="Proxima Nova Rg"/>
          <w:sz w:val="18"/>
          <w:szCs w:val="18"/>
        </w:rPr>
        <w:footnoteRef/>
      </w:r>
      <w:r w:rsidR="00A4387B" w:rsidRPr="00A4387B">
        <w:rPr>
          <w:rFonts w:ascii="Proxima Nova Rg" w:hAnsi="Proxima Nova Rg"/>
          <w:sz w:val="18"/>
          <w:szCs w:val="18"/>
        </w:rPr>
        <w:t xml:space="preserve"> </w:t>
      </w:r>
      <w:r w:rsidR="00A4387B" w:rsidRPr="00A4387B">
        <w:rPr>
          <w:rFonts w:ascii="Proxima Nova Rg" w:hAnsi="Proxima Nova Rg" w:cstheme="minorHAnsi"/>
          <w:sz w:val="18"/>
          <w:szCs w:val="18"/>
        </w:rPr>
        <w:t>26 October 1998, CRC/C/15/Add.96, Concluding observations on initial report, para. 21</w:t>
      </w:r>
    </w:p>
  </w:footnote>
  <w:footnote w:id="15">
    <w:p w14:paraId="21CDE48F" w14:textId="01D6DB25" w:rsidR="007A2E70" w:rsidRPr="00A4387B" w:rsidRDefault="007A2E70">
      <w:pPr>
        <w:pStyle w:val="FootnoteText"/>
        <w:rPr>
          <w:rFonts w:ascii="Proxima Nova Rg" w:hAnsi="Proxima Nova Rg"/>
          <w:sz w:val="18"/>
          <w:szCs w:val="18"/>
          <w:lang w:val="en-US"/>
        </w:rPr>
      </w:pPr>
      <w:r w:rsidRPr="00A4387B">
        <w:rPr>
          <w:rStyle w:val="FootnoteReference"/>
          <w:rFonts w:ascii="Proxima Nova Rg" w:hAnsi="Proxima Nova Rg"/>
          <w:sz w:val="18"/>
          <w:szCs w:val="18"/>
        </w:rPr>
        <w:footnoteRef/>
      </w:r>
      <w:r w:rsidRPr="00A4387B">
        <w:rPr>
          <w:rFonts w:ascii="Proxima Nova Rg" w:hAnsi="Proxima Nova Rg"/>
          <w:sz w:val="18"/>
          <w:szCs w:val="18"/>
        </w:rPr>
        <w:t xml:space="preserve"> </w:t>
      </w:r>
      <w:r w:rsidR="00A4387B" w:rsidRPr="00A4387B">
        <w:rPr>
          <w:rFonts w:ascii="Proxima Nova Rg" w:hAnsi="Proxima Nova Rg" w:cstheme="minorHAnsi"/>
          <w:sz w:val="18"/>
          <w:szCs w:val="18"/>
        </w:rPr>
        <w:t>29 October 2013, CRC/C/KWT/CO/2, Concluding observations on second report, paras. 41 and 42</w:t>
      </w:r>
    </w:p>
  </w:footnote>
  <w:footnote w:id="16">
    <w:p w14:paraId="6E06D21D" w14:textId="5E5F5A23" w:rsidR="007A2E70" w:rsidRPr="007A2E70" w:rsidRDefault="007A2E70">
      <w:pPr>
        <w:pStyle w:val="FootnoteText"/>
        <w:rPr>
          <w:lang w:val="en-US"/>
        </w:rPr>
      </w:pPr>
      <w:r w:rsidRPr="00A4387B">
        <w:rPr>
          <w:rStyle w:val="FootnoteReference"/>
          <w:rFonts w:ascii="Proxima Nova Rg" w:hAnsi="Proxima Nova Rg"/>
          <w:sz w:val="18"/>
          <w:szCs w:val="18"/>
        </w:rPr>
        <w:footnoteRef/>
      </w:r>
      <w:r w:rsidRPr="00A4387B">
        <w:rPr>
          <w:rFonts w:ascii="Proxima Nova Rg" w:hAnsi="Proxima Nova Rg"/>
          <w:sz w:val="18"/>
          <w:szCs w:val="18"/>
        </w:rPr>
        <w:t xml:space="preserve"> </w:t>
      </w:r>
      <w:r w:rsidR="00A4387B" w:rsidRPr="00A4387B">
        <w:rPr>
          <w:rFonts w:ascii="Proxima Nova Rg" w:hAnsi="Proxima Nova Rg"/>
          <w:sz w:val="18"/>
          <w:szCs w:val="18"/>
        </w:rPr>
        <w:t xml:space="preserve">19 October 2022, CRC/C/KWT/CO/3-6, </w:t>
      </w:r>
      <w:r w:rsidR="00A4387B" w:rsidRPr="00A4387B">
        <w:rPr>
          <w:rFonts w:ascii="Proxima Nova Rg" w:hAnsi="Proxima Nova Rg" w:cstheme="minorHAnsi"/>
          <w:sz w:val="18"/>
          <w:szCs w:val="18"/>
        </w:rPr>
        <w:t>Concluding observations on third to sixth reports, paras. 24 and 25</w:t>
      </w:r>
    </w:p>
  </w:footnote>
  <w:footnote w:id="17">
    <w:p w14:paraId="02AAA9AC" w14:textId="5AD0D51D" w:rsidR="00D07DB3" w:rsidRPr="00166B88" w:rsidRDefault="00D07DB3">
      <w:pPr>
        <w:pStyle w:val="FootnoteText"/>
        <w:rPr>
          <w:sz w:val="18"/>
          <w:szCs w:val="18"/>
          <w:lang w:val="en-US"/>
        </w:rPr>
      </w:pPr>
      <w:r w:rsidRPr="00166B88">
        <w:rPr>
          <w:rStyle w:val="FootnoteReference"/>
          <w:sz w:val="18"/>
          <w:szCs w:val="18"/>
        </w:rPr>
        <w:footnoteRef/>
      </w:r>
      <w:r w:rsidRPr="00166B88">
        <w:rPr>
          <w:sz w:val="18"/>
          <w:szCs w:val="18"/>
        </w:rPr>
        <w:t xml:space="preserve"> </w:t>
      </w:r>
      <w:r w:rsidRPr="00166B88">
        <w:rPr>
          <w:rFonts w:ascii="Proxima Nova Rg" w:hAnsi="Proxima Nova Rg" w:cstheme="minorHAnsi"/>
          <w:sz w:val="18"/>
          <w:szCs w:val="18"/>
        </w:rPr>
        <w:t>17 November 2017, CEDAW/C/KWT/CO/5 Advance unedited version, Concluding observations on fifth report, paras. 14 and 15</w:t>
      </w:r>
    </w:p>
  </w:footnote>
  <w:footnote w:id="18">
    <w:p w14:paraId="003B14DE" w14:textId="262BEAA4" w:rsidR="00D07DB3" w:rsidRPr="00D07DB3" w:rsidRDefault="00D07DB3" w:rsidP="00D07DB3">
      <w:pPr>
        <w:pStyle w:val="FootnoteText"/>
        <w:rPr>
          <w:rFonts w:ascii="Proxima Nova Rg" w:hAnsi="Proxima Nova Rg"/>
          <w:sz w:val="18"/>
          <w:szCs w:val="18"/>
          <w:lang w:val="en-US"/>
        </w:rPr>
      </w:pPr>
      <w:r w:rsidRPr="00166B88">
        <w:rPr>
          <w:rStyle w:val="FootnoteReference"/>
          <w:rFonts w:ascii="Proxima Nova Rg" w:hAnsi="Proxima Nova Rg"/>
          <w:sz w:val="18"/>
          <w:szCs w:val="18"/>
        </w:rPr>
        <w:footnoteRef/>
      </w:r>
      <w:r w:rsidRPr="00166B88">
        <w:rPr>
          <w:rFonts w:ascii="Proxima Nova Rg" w:hAnsi="Proxima Nova Rg"/>
          <w:sz w:val="18"/>
          <w:szCs w:val="18"/>
        </w:rPr>
        <w:t xml:space="preserve"> </w:t>
      </w:r>
      <w:r w:rsidRPr="00166B88">
        <w:rPr>
          <w:rFonts w:ascii="Proxima Nova Rg" w:hAnsi="Proxima Nova Rg" w:cstheme="minorHAnsi"/>
          <w:sz w:val="18"/>
          <w:szCs w:val="18"/>
        </w:rPr>
        <w:t>18 October 2019, CRPD/C/KWT/CO/1, Concluding observations on initial report, paras. 30 and 31</w:t>
      </w:r>
    </w:p>
  </w:footnote>
  <w:footnote w:id="19">
    <w:p w14:paraId="2B936C22" w14:textId="51EB9AFD"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00663890" w:rsidRPr="009B4EB8">
        <w:rPr>
          <w:rFonts w:ascii="Proxima Nova Rg" w:hAnsi="Proxima Nova Rg" w:cstheme="minorHAnsi"/>
          <w:sz w:val="18"/>
          <w:szCs w:val="18"/>
        </w:rPr>
        <w:t>16 June 2010, A/HRC/15/15, Report of the working group, para. 79(10)</w:t>
      </w:r>
    </w:p>
  </w:footnote>
  <w:footnote w:id="20">
    <w:p w14:paraId="6ABF570A" w14:textId="29F6B783"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Pr="00BD712D">
        <w:rPr>
          <w:rFonts w:ascii="Proxima Nova Rg" w:hAnsi="Proxima Nova Rg"/>
          <w:sz w:val="18"/>
          <w:szCs w:val="18"/>
          <w:shd w:val="clear" w:color="auto" w:fill="FFFFFF"/>
        </w:rPr>
        <w:t>10 June 2009, A/HRC/11/20/Add.1, Report of the working group: Addendum</w:t>
      </w:r>
    </w:p>
  </w:footnote>
  <w:footnote w:id="21">
    <w:p w14:paraId="77E6764F" w14:textId="631E1DD6" w:rsidR="00A21459" w:rsidRPr="00BD712D" w:rsidRDefault="00A21459">
      <w:pPr>
        <w:pStyle w:val="FootnoteText"/>
        <w:rPr>
          <w:rFonts w:ascii="Proxima Nova Rg" w:hAnsi="Proxima Nova Rg"/>
          <w:sz w:val="18"/>
          <w:szCs w:val="18"/>
          <w:lang w:val="en-US"/>
        </w:rPr>
      </w:pPr>
      <w:r w:rsidRPr="00BD712D">
        <w:rPr>
          <w:rStyle w:val="FootnoteReference"/>
          <w:rFonts w:ascii="Proxima Nova Rg" w:hAnsi="Proxima Nova Rg"/>
          <w:sz w:val="18"/>
          <w:szCs w:val="18"/>
        </w:rPr>
        <w:footnoteRef/>
      </w:r>
      <w:r w:rsidRPr="00BD712D">
        <w:rPr>
          <w:rFonts w:ascii="Proxima Nova Rg" w:hAnsi="Proxima Nova Rg"/>
          <w:sz w:val="18"/>
          <w:szCs w:val="18"/>
        </w:rPr>
        <w:t xml:space="preserve"> </w:t>
      </w:r>
      <w:r w:rsidR="00663890" w:rsidRPr="009B4EB8">
        <w:rPr>
          <w:rFonts w:ascii="Proxima Nova Rg" w:eastAsiaTheme="minorHAnsi" w:hAnsi="Proxima Nova Rg" w:cstheme="minorHAnsi"/>
          <w:sz w:val="18"/>
          <w:szCs w:val="18"/>
          <w:lang w:val="en-US"/>
        </w:rPr>
        <w:t>13 April 2015, A/HRC/29/17, Report of the working group, paras. 157(146), 157(147), 157(148) and 157(149)</w:t>
      </w:r>
    </w:p>
  </w:footnote>
  <w:footnote w:id="22">
    <w:p w14:paraId="37E4B8F7" w14:textId="77777777" w:rsidR="00663890" w:rsidRPr="009B4EB8" w:rsidRDefault="00663890" w:rsidP="00663890">
      <w:pPr>
        <w:pStyle w:val="FootnoteText"/>
        <w:rPr>
          <w:rFonts w:ascii="Proxima Nova Rg" w:hAnsi="Proxima Nova Rg" w:cstheme="minorHAnsi"/>
          <w:sz w:val="18"/>
          <w:szCs w:val="18"/>
          <w:lang w:val="en-US"/>
        </w:rPr>
      </w:pPr>
      <w:r w:rsidRPr="009B4EB8">
        <w:rPr>
          <w:rStyle w:val="FootnoteReference"/>
          <w:rFonts w:ascii="Proxima Nova Rg" w:hAnsi="Proxima Nova Rg" w:cstheme="minorHAnsi"/>
          <w:sz w:val="18"/>
          <w:szCs w:val="18"/>
        </w:rPr>
        <w:footnoteRef/>
      </w:r>
      <w:r w:rsidRPr="009B4EB8">
        <w:rPr>
          <w:rFonts w:ascii="Proxima Nova Rg" w:hAnsi="Proxima Nova Rg" w:cstheme="minorHAnsi"/>
          <w:sz w:val="18"/>
          <w:szCs w:val="18"/>
        </w:rPr>
        <w:t xml:space="preserve"> </w:t>
      </w:r>
      <w:r w:rsidRPr="009B4EB8">
        <w:rPr>
          <w:rFonts w:ascii="Proxima Nova Rg" w:eastAsiaTheme="minorHAnsi" w:hAnsi="Proxima Nova Rg" w:cstheme="minorHAnsi"/>
          <w:sz w:val="18"/>
          <w:szCs w:val="18"/>
          <w:lang w:val="en-US"/>
        </w:rPr>
        <w:t>4 June 2015, A/HRC/29/17/Add.1, Report of the working group: 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C5C34"/>
    <w:rsid w:val="000D0D88"/>
    <w:rsid w:val="000D3662"/>
    <w:rsid w:val="000E62CC"/>
    <w:rsid w:val="000F60CE"/>
    <w:rsid w:val="00105465"/>
    <w:rsid w:val="0010748C"/>
    <w:rsid w:val="00120D68"/>
    <w:rsid w:val="00123508"/>
    <w:rsid w:val="001245DF"/>
    <w:rsid w:val="001356B5"/>
    <w:rsid w:val="001410F0"/>
    <w:rsid w:val="00142C16"/>
    <w:rsid w:val="00166B88"/>
    <w:rsid w:val="00172037"/>
    <w:rsid w:val="00175ECF"/>
    <w:rsid w:val="00190060"/>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66048"/>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19E7"/>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180C"/>
    <w:rsid w:val="003B2F25"/>
    <w:rsid w:val="003B56CE"/>
    <w:rsid w:val="003B5F8C"/>
    <w:rsid w:val="003C7130"/>
    <w:rsid w:val="003D2E36"/>
    <w:rsid w:val="003D2F63"/>
    <w:rsid w:val="003E745A"/>
    <w:rsid w:val="003F0753"/>
    <w:rsid w:val="003F72BA"/>
    <w:rsid w:val="00403D99"/>
    <w:rsid w:val="00410E4B"/>
    <w:rsid w:val="004215AF"/>
    <w:rsid w:val="004220DF"/>
    <w:rsid w:val="00424D29"/>
    <w:rsid w:val="0044577B"/>
    <w:rsid w:val="00464D72"/>
    <w:rsid w:val="004671DD"/>
    <w:rsid w:val="00467907"/>
    <w:rsid w:val="00483885"/>
    <w:rsid w:val="00486A01"/>
    <w:rsid w:val="00492FE5"/>
    <w:rsid w:val="00493445"/>
    <w:rsid w:val="0049625A"/>
    <w:rsid w:val="004A62CE"/>
    <w:rsid w:val="004B4B96"/>
    <w:rsid w:val="004B5E0A"/>
    <w:rsid w:val="004C3DA7"/>
    <w:rsid w:val="004C4932"/>
    <w:rsid w:val="004D3E02"/>
    <w:rsid w:val="004D6AF5"/>
    <w:rsid w:val="004D7F41"/>
    <w:rsid w:val="004E2E39"/>
    <w:rsid w:val="004E68B7"/>
    <w:rsid w:val="004E7AC7"/>
    <w:rsid w:val="004F050F"/>
    <w:rsid w:val="005015FA"/>
    <w:rsid w:val="00502A0E"/>
    <w:rsid w:val="00506888"/>
    <w:rsid w:val="00510AE0"/>
    <w:rsid w:val="00510BCC"/>
    <w:rsid w:val="00511F68"/>
    <w:rsid w:val="0051748B"/>
    <w:rsid w:val="005269A3"/>
    <w:rsid w:val="0053400C"/>
    <w:rsid w:val="005350B0"/>
    <w:rsid w:val="00535471"/>
    <w:rsid w:val="005354D3"/>
    <w:rsid w:val="0053743C"/>
    <w:rsid w:val="00543A37"/>
    <w:rsid w:val="00546A2A"/>
    <w:rsid w:val="00551E97"/>
    <w:rsid w:val="00560E4F"/>
    <w:rsid w:val="00562432"/>
    <w:rsid w:val="005648F1"/>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114CE"/>
    <w:rsid w:val="00611843"/>
    <w:rsid w:val="006229EB"/>
    <w:rsid w:val="00636C0F"/>
    <w:rsid w:val="0064323B"/>
    <w:rsid w:val="00647525"/>
    <w:rsid w:val="00653261"/>
    <w:rsid w:val="00653404"/>
    <w:rsid w:val="006552F2"/>
    <w:rsid w:val="00657C16"/>
    <w:rsid w:val="0066101F"/>
    <w:rsid w:val="00663890"/>
    <w:rsid w:val="00663891"/>
    <w:rsid w:val="00667B6E"/>
    <w:rsid w:val="00670CE7"/>
    <w:rsid w:val="00671FF4"/>
    <w:rsid w:val="00674645"/>
    <w:rsid w:val="006825A3"/>
    <w:rsid w:val="00682E39"/>
    <w:rsid w:val="006929A1"/>
    <w:rsid w:val="006A1C2C"/>
    <w:rsid w:val="006C2BF8"/>
    <w:rsid w:val="006C2E7A"/>
    <w:rsid w:val="006D0138"/>
    <w:rsid w:val="006D767D"/>
    <w:rsid w:val="006E7A39"/>
    <w:rsid w:val="006F0FB1"/>
    <w:rsid w:val="006F1AB7"/>
    <w:rsid w:val="006F2157"/>
    <w:rsid w:val="006F553D"/>
    <w:rsid w:val="00706843"/>
    <w:rsid w:val="007069FF"/>
    <w:rsid w:val="00707EFA"/>
    <w:rsid w:val="00712323"/>
    <w:rsid w:val="007267B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2E70"/>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90C"/>
    <w:rsid w:val="00855E97"/>
    <w:rsid w:val="00856F81"/>
    <w:rsid w:val="00861C1F"/>
    <w:rsid w:val="00862AF5"/>
    <w:rsid w:val="0086318D"/>
    <w:rsid w:val="00864245"/>
    <w:rsid w:val="0087083D"/>
    <w:rsid w:val="00882B26"/>
    <w:rsid w:val="00883606"/>
    <w:rsid w:val="008848D4"/>
    <w:rsid w:val="0088636E"/>
    <w:rsid w:val="008906D8"/>
    <w:rsid w:val="00892749"/>
    <w:rsid w:val="0089745C"/>
    <w:rsid w:val="008A12B3"/>
    <w:rsid w:val="008A612B"/>
    <w:rsid w:val="008C5580"/>
    <w:rsid w:val="008C5CA7"/>
    <w:rsid w:val="008C689B"/>
    <w:rsid w:val="008C69D7"/>
    <w:rsid w:val="008D4938"/>
    <w:rsid w:val="008D7981"/>
    <w:rsid w:val="008F31D8"/>
    <w:rsid w:val="008F4411"/>
    <w:rsid w:val="00902925"/>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20905"/>
    <w:rsid w:val="00A21459"/>
    <w:rsid w:val="00A30CD1"/>
    <w:rsid w:val="00A36073"/>
    <w:rsid w:val="00A36B68"/>
    <w:rsid w:val="00A36CC0"/>
    <w:rsid w:val="00A4387B"/>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2598"/>
    <w:rsid w:val="00B25DA6"/>
    <w:rsid w:val="00B439AA"/>
    <w:rsid w:val="00B4688A"/>
    <w:rsid w:val="00B55607"/>
    <w:rsid w:val="00B57E33"/>
    <w:rsid w:val="00B612D8"/>
    <w:rsid w:val="00B64C3E"/>
    <w:rsid w:val="00B8659A"/>
    <w:rsid w:val="00B868B0"/>
    <w:rsid w:val="00B97C9B"/>
    <w:rsid w:val="00BA270B"/>
    <w:rsid w:val="00BA2A88"/>
    <w:rsid w:val="00BA4ED3"/>
    <w:rsid w:val="00BA65C7"/>
    <w:rsid w:val="00BB2236"/>
    <w:rsid w:val="00BB7DC3"/>
    <w:rsid w:val="00BC5176"/>
    <w:rsid w:val="00BD712D"/>
    <w:rsid w:val="00BE1697"/>
    <w:rsid w:val="00BE175D"/>
    <w:rsid w:val="00BE5B45"/>
    <w:rsid w:val="00BE6087"/>
    <w:rsid w:val="00BE7D46"/>
    <w:rsid w:val="00BF375F"/>
    <w:rsid w:val="00C00A59"/>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636AD"/>
    <w:rsid w:val="00C707B9"/>
    <w:rsid w:val="00C72FDB"/>
    <w:rsid w:val="00C73434"/>
    <w:rsid w:val="00C77C73"/>
    <w:rsid w:val="00C8025C"/>
    <w:rsid w:val="00CA1110"/>
    <w:rsid w:val="00CA6A19"/>
    <w:rsid w:val="00CB23B9"/>
    <w:rsid w:val="00CC7967"/>
    <w:rsid w:val="00CD5FFE"/>
    <w:rsid w:val="00CE436E"/>
    <w:rsid w:val="00CF14A8"/>
    <w:rsid w:val="00CF3031"/>
    <w:rsid w:val="00D07DB3"/>
    <w:rsid w:val="00D1051F"/>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877E0"/>
    <w:rsid w:val="00D9344E"/>
    <w:rsid w:val="00D94B85"/>
    <w:rsid w:val="00DA1D06"/>
    <w:rsid w:val="00DA3604"/>
    <w:rsid w:val="00DA6F47"/>
    <w:rsid w:val="00DA750D"/>
    <w:rsid w:val="00DB6D8A"/>
    <w:rsid w:val="00DB71F4"/>
    <w:rsid w:val="00DB7283"/>
    <w:rsid w:val="00DC71EA"/>
    <w:rsid w:val="00DD19D8"/>
    <w:rsid w:val="00DD4479"/>
    <w:rsid w:val="00DD602D"/>
    <w:rsid w:val="00DD7EA4"/>
    <w:rsid w:val="00DE026F"/>
    <w:rsid w:val="00DE59A9"/>
    <w:rsid w:val="00DE6399"/>
    <w:rsid w:val="00DE79AD"/>
    <w:rsid w:val="00DF1086"/>
    <w:rsid w:val="00DF4192"/>
    <w:rsid w:val="00DF68CD"/>
    <w:rsid w:val="00DF7CED"/>
    <w:rsid w:val="00E043A6"/>
    <w:rsid w:val="00E050F7"/>
    <w:rsid w:val="00E0723C"/>
    <w:rsid w:val="00E10253"/>
    <w:rsid w:val="00E14849"/>
    <w:rsid w:val="00E14E7F"/>
    <w:rsid w:val="00E15599"/>
    <w:rsid w:val="00E21550"/>
    <w:rsid w:val="00E21A6B"/>
    <w:rsid w:val="00E31EB8"/>
    <w:rsid w:val="00E35A27"/>
    <w:rsid w:val="00E4270B"/>
    <w:rsid w:val="00E473C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5E5E"/>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9404B"/>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qFormat/>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qFormat/>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 w:type="paragraph" w:customStyle="1" w:styleId="paragraph">
    <w:name w:val="paragraph"/>
    <w:basedOn w:val="Normal"/>
    <w:rsid w:val="00B57E33"/>
    <w:pPr>
      <w:spacing w:before="100" w:beforeAutospacing="1" w:after="100" w:afterAutospacing="1"/>
    </w:pPr>
    <w:rPr>
      <w:rFonts w:ascii="Times New Roman" w:hAnsi="Times New Roman"/>
      <w:lang w:val="en-US"/>
    </w:rPr>
  </w:style>
  <w:style w:type="character" w:customStyle="1" w:styleId="superscript">
    <w:name w:val="superscript"/>
    <w:basedOn w:val="DefaultParagraphFont"/>
    <w:rsid w:val="00483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731588123">
      <w:bodyDiv w:val="1"/>
      <w:marLeft w:val="0"/>
      <w:marRight w:val="0"/>
      <w:marTop w:val="0"/>
      <w:marBottom w:val="0"/>
      <w:divBdr>
        <w:top w:val="none" w:sz="0" w:space="0" w:color="auto"/>
        <w:left w:val="none" w:sz="0" w:space="0" w:color="auto"/>
        <w:bottom w:val="none" w:sz="0" w:space="0" w:color="auto"/>
        <w:right w:val="none" w:sz="0" w:space="0" w:color="auto"/>
      </w:divBdr>
      <w:divsChild>
        <w:div w:id="1658145099">
          <w:marLeft w:val="0"/>
          <w:marRight w:val="0"/>
          <w:marTop w:val="0"/>
          <w:marBottom w:val="0"/>
          <w:divBdr>
            <w:top w:val="none" w:sz="0" w:space="0" w:color="auto"/>
            <w:left w:val="none" w:sz="0" w:space="0" w:color="auto"/>
            <w:bottom w:val="none" w:sz="0" w:space="0" w:color="auto"/>
            <w:right w:val="none" w:sz="0" w:space="0" w:color="auto"/>
          </w:divBdr>
        </w:div>
        <w:div w:id="1773434013">
          <w:marLeft w:val="0"/>
          <w:marRight w:val="0"/>
          <w:marTop w:val="0"/>
          <w:marBottom w:val="0"/>
          <w:divBdr>
            <w:top w:val="none" w:sz="0" w:space="0" w:color="auto"/>
            <w:left w:val="none" w:sz="0" w:space="0" w:color="auto"/>
            <w:bottom w:val="none" w:sz="0" w:space="0" w:color="auto"/>
            <w:right w:val="none" w:sz="0" w:space="0" w:color="auto"/>
          </w:divBdr>
        </w:div>
        <w:div w:id="1458645627">
          <w:marLeft w:val="0"/>
          <w:marRight w:val="0"/>
          <w:marTop w:val="0"/>
          <w:marBottom w:val="0"/>
          <w:divBdr>
            <w:top w:val="none" w:sz="0" w:space="0" w:color="auto"/>
            <w:left w:val="none" w:sz="0" w:space="0" w:color="auto"/>
            <w:bottom w:val="none" w:sz="0" w:space="0" w:color="auto"/>
            <w:right w:val="none" w:sz="0" w:space="0" w:color="auto"/>
          </w:divBdr>
        </w:div>
        <w:div w:id="1019160266">
          <w:marLeft w:val="0"/>
          <w:marRight w:val="0"/>
          <w:marTop w:val="0"/>
          <w:marBottom w:val="0"/>
          <w:divBdr>
            <w:top w:val="none" w:sz="0" w:space="0" w:color="auto"/>
            <w:left w:val="none" w:sz="0" w:space="0" w:color="auto"/>
            <w:bottom w:val="none" w:sz="0" w:space="0" w:color="auto"/>
            <w:right w:val="none" w:sz="0" w:space="0" w:color="auto"/>
          </w:divBdr>
        </w:div>
      </w:divsChild>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0408026">
      <w:bodyDiv w:val="1"/>
      <w:marLeft w:val="0"/>
      <w:marRight w:val="0"/>
      <w:marTop w:val="0"/>
      <w:marBottom w:val="0"/>
      <w:divBdr>
        <w:top w:val="none" w:sz="0" w:space="0" w:color="auto"/>
        <w:left w:val="none" w:sz="0" w:space="0" w:color="auto"/>
        <w:bottom w:val="none" w:sz="0" w:space="0" w:color="auto"/>
        <w:right w:val="none" w:sz="0" w:space="0" w:color="auto"/>
      </w:divBdr>
      <w:divsChild>
        <w:div w:id="1176115722">
          <w:marLeft w:val="0"/>
          <w:marRight w:val="0"/>
          <w:marTop w:val="0"/>
          <w:marBottom w:val="0"/>
          <w:divBdr>
            <w:top w:val="none" w:sz="0" w:space="0" w:color="auto"/>
            <w:left w:val="none" w:sz="0" w:space="0" w:color="auto"/>
            <w:bottom w:val="none" w:sz="0" w:space="0" w:color="auto"/>
            <w:right w:val="none" w:sz="0" w:space="0" w:color="auto"/>
          </w:divBdr>
        </w:div>
        <w:div w:id="144511929">
          <w:marLeft w:val="0"/>
          <w:marRight w:val="0"/>
          <w:marTop w:val="0"/>
          <w:marBottom w:val="0"/>
          <w:divBdr>
            <w:top w:val="none" w:sz="0" w:space="0" w:color="auto"/>
            <w:left w:val="none" w:sz="0" w:space="0" w:color="auto"/>
            <w:bottom w:val="none" w:sz="0" w:space="0" w:color="auto"/>
            <w:right w:val="none" w:sz="0" w:space="0" w:color="auto"/>
          </w:divBdr>
        </w:div>
      </w:divsChild>
    </w:div>
    <w:div w:id="1042556274">
      <w:bodyDiv w:val="1"/>
      <w:marLeft w:val="0"/>
      <w:marRight w:val="0"/>
      <w:marTop w:val="0"/>
      <w:marBottom w:val="0"/>
      <w:divBdr>
        <w:top w:val="none" w:sz="0" w:space="0" w:color="auto"/>
        <w:left w:val="none" w:sz="0" w:space="0" w:color="auto"/>
        <w:bottom w:val="none" w:sz="0" w:space="0" w:color="auto"/>
        <w:right w:val="none" w:sz="0" w:space="0" w:color="auto"/>
      </w:divBdr>
      <w:divsChild>
        <w:div w:id="1620332507">
          <w:marLeft w:val="0"/>
          <w:marRight w:val="0"/>
          <w:marTop w:val="0"/>
          <w:marBottom w:val="0"/>
          <w:divBdr>
            <w:top w:val="none" w:sz="0" w:space="0" w:color="auto"/>
            <w:left w:val="none" w:sz="0" w:space="0" w:color="auto"/>
            <w:bottom w:val="none" w:sz="0" w:space="0" w:color="auto"/>
            <w:right w:val="none" w:sz="0" w:space="0" w:color="auto"/>
          </w:divBdr>
        </w:div>
        <w:div w:id="748962992">
          <w:marLeft w:val="0"/>
          <w:marRight w:val="0"/>
          <w:marTop w:val="0"/>
          <w:marBottom w:val="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190799482">
      <w:bodyDiv w:val="1"/>
      <w:marLeft w:val="0"/>
      <w:marRight w:val="0"/>
      <w:marTop w:val="0"/>
      <w:marBottom w:val="0"/>
      <w:divBdr>
        <w:top w:val="none" w:sz="0" w:space="0" w:color="auto"/>
        <w:left w:val="none" w:sz="0" w:space="0" w:color="auto"/>
        <w:bottom w:val="none" w:sz="0" w:space="0" w:color="auto"/>
        <w:right w:val="none" w:sz="0" w:space="0" w:color="auto"/>
      </w:divBdr>
      <w:divsChild>
        <w:div w:id="1738674222">
          <w:marLeft w:val="0"/>
          <w:marRight w:val="0"/>
          <w:marTop w:val="0"/>
          <w:marBottom w:val="0"/>
          <w:divBdr>
            <w:top w:val="none" w:sz="0" w:space="0" w:color="auto"/>
            <w:left w:val="none" w:sz="0" w:space="0" w:color="auto"/>
            <w:bottom w:val="none" w:sz="0" w:space="0" w:color="auto"/>
            <w:right w:val="none" w:sz="0" w:space="0" w:color="auto"/>
          </w:divBdr>
        </w:div>
        <w:div w:id="856777086">
          <w:marLeft w:val="0"/>
          <w:marRight w:val="0"/>
          <w:marTop w:val="0"/>
          <w:marBottom w:val="0"/>
          <w:divBdr>
            <w:top w:val="none" w:sz="0" w:space="0" w:color="auto"/>
            <w:left w:val="none" w:sz="0" w:space="0" w:color="auto"/>
            <w:bottom w:val="none" w:sz="0" w:space="0" w:color="auto"/>
            <w:right w:val="none" w:sz="0" w:space="0" w:color="auto"/>
          </w:divBdr>
        </w:div>
      </w:divsChild>
    </w:div>
    <w:div w:id="1280380475">
      <w:bodyDiv w:val="1"/>
      <w:marLeft w:val="0"/>
      <w:marRight w:val="0"/>
      <w:marTop w:val="0"/>
      <w:marBottom w:val="0"/>
      <w:divBdr>
        <w:top w:val="none" w:sz="0" w:space="0" w:color="auto"/>
        <w:left w:val="none" w:sz="0" w:space="0" w:color="auto"/>
        <w:bottom w:val="none" w:sz="0" w:space="0" w:color="auto"/>
        <w:right w:val="none" w:sz="0" w:space="0" w:color="auto"/>
      </w:divBdr>
      <w:divsChild>
        <w:div w:id="1580559726">
          <w:marLeft w:val="0"/>
          <w:marRight w:val="0"/>
          <w:marTop w:val="0"/>
          <w:marBottom w:val="0"/>
          <w:divBdr>
            <w:top w:val="none" w:sz="0" w:space="0" w:color="auto"/>
            <w:left w:val="none" w:sz="0" w:space="0" w:color="auto"/>
            <w:bottom w:val="none" w:sz="0" w:space="0" w:color="auto"/>
            <w:right w:val="none" w:sz="0" w:space="0" w:color="auto"/>
          </w:divBdr>
        </w:div>
        <w:div w:id="1163352975">
          <w:marLeft w:val="0"/>
          <w:marRight w:val="0"/>
          <w:marTop w:val="0"/>
          <w:marBottom w:val="0"/>
          <w:divBdr>
            <w:top w:val="none" w:sz="0" w:space="0" w:color="auto"/>
            <w:left w:val="none" w:sz="0" w:space="0" w:color="auto"/>
            <w:bottom w:val="none" w:sz="0" w:space="0" w:color="auto"/>
            <w:right w:val="none" w:sz="0" w:space="0" w:color="auto"/>
          </w:divBdr>
        </w:div>
        <w:div w:id="787968368">
          <w:marLeft w:val="0"/>
          <w:marRight w:val="0"/>
          <w:marTop w:val="0"/>
          <w:marBottom w:val="0"/>
          <w:divBdr>
            <w:top w:val="none" w:sz="0" w:space="0" w:color="auto"/>
            <w:left w:val="none" w:sz="0" w:space="0" w:color="auto"/>
            <w:bottom w:val="none" w:sz="0" w:space="0" w:color="auto"/>
            <w:right w:val="none" w:sz="0" w:space="0" w:color="auto"/>
          </w:divBdr>
        </w:div>
        <w:div w:id="2098670674">
          <w:marLeft w:val="0"/>
          <w:marRight w:val="0"/>
          <w:marTop w:val="0"/>
          <w:marBottom w:val="0"/>
          <w:divBdr>
            <w:top w:val="none" w:sz="0" w:space="0" w:color="auto"/>
            <w:left w:val="none" w:sz="0" w:space="0" w:color="auto"/>
            <w:bottom w:val="none" w:sz="0" w:space="0" w:color="auto"/>
            <w:right w:val="none" w:sz="0" w:space="0" w:color="auto"/>
          </w:divBdr>
        </w:div>
      </w:divsChild>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76225666">
      <w:bodyDiv w:val="1"/>
      <w:marLeft w:val="0"/>
      <w:marRight w:val="0"/>
      <w:marTop w:val="0"/>
      <w:marBottom w:val="0"/>
      <w:divBdr>
        <w:top w:val="none" w:sz="0" w:space="0" w:color="auto"/>
        <w:left w:val="none" w:sz="0" w:space="0" w:color="auto"/>
        <w:bottom w:val="none" w:sz="0" w:space="0" w:color="auto"/>
        <w:right w:val="none" w:sz="0" w:space="0" w:color="auto"/>
      </w:divBdr>
      <w:divsChild>
        <w:div w:id="1880968530">
          <w:marLeft w:val="0"/>
          <w:marRight w:val="0"/>
          <w:marTop w:val="0"/>
          <w:marBottom w:val="0"/>
          <w:divBdr>
            <w:top w:val="none" w:sz="0" w:space="0" w:color="auto"/>
            <w:left w:val="none" w:sz="0" w:space="0" w:color="auto"/>
            <w:bottom w:val="none" w:sz="0" w:space="0" w:color="auto"/>
            <w:right w:val="none" w:sz="0" w:space="0" w:color="auto"/>
          </w:divBdr>
        </w:div>
        <w:div w:id="1865089830">
          <w:marLeft w:val="0"/>
          <w:marRight w:val="0"/>
          <w:marTop w:val="0"/>
          <w:marBottom w:val="0"/>
          <w:divBdr>
            <w:top w:val="none" w:sz="0" w:space="0" w:color="auto"/>
            <w:left w:val="none" w:sz="0" w:space="0" w:color="auto"/>
            <w:bottom w:val="none" w:sz="0" w:space="0" w:color="auto"/>
            <w:right w:val="none" w:sz="0" w:space="0" w:color="auto"/>
          </w:divBdr>
        </w:div>
      </w:divsChild>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24756468">
      <w:bodyDiv w:val="1"/>
      <w:marLeft w:val="0"/>
      <w:marRight w:val="0"/>
      <w:marTop w:val="0"/>
      <w:marBottom w:val="0"/>
      <w:divBdr>
        <w:top w:val="none" w:sz="0" w:space="0" w:color="auto"/>
        <w:left w:val="none" w:sz="0" w:space="0" w:color="auto"/>
        <w:bottom w:val="none" w:sz="0" w:space="0" w:color="auto"/>
        <w:right w:val="none" w:sz="0" w:space="0" w:color="auto"/>
      </w:divBdr>
      <w:divsChild>
        <w:div w:id="1886284346">
          <w:marLeft w:val="0"/>
          <w:marRight w:val="0"/>
          <w:marTop w:val="0"/>
          <w:marBottom w:val="0"/>
          <w:divBdr>
            <w:top w:val="none" w:sz="0" w:space="0" w:color="auto"/>
            <w:left w:val="none" w:sz="0" w:space="0" w:color="auto"/>
            <w:bottom w:val="none" w:sz="0" w:space="0" w:color="auto"/>
            <w:right w:val="none" w:sz="0" w:space="0" w:color="auto"/>
          </w:divBdr>
        </w:div>
        <w:div w:id="1320883019">
          <w:marLeft w:val="0"/>
          <w:marRight w:val="0"/>
          <w:marTop w:val="0"/>
          <w:marBottom w:val="0"/>
          <w:divBdr>
            <w:top w:val="none" w:sz="0" w:space="0" w:color="auto"/>
            <w:left w:val="none" w:sz="0" w:space="0" w:color="auto"/>
            <w:bottom w:val="none" w:sz="0" w:space="0" w:color="auto"/>
            <w:right w:val="none" w:sz="0" w:space="0" w:color="auto"/>
          </w:divBdr>
        </w:div>
        <w:div w:id="794181143">
          <w:marLeft w:val="0"/>
          <w:marRight w:val="0"/>
          <w:marTop w:val="0"/>
          <w:marBottom w:val="0"/>
          <w:divBdr>
            <w:top w:val="none" w:sz="0" w:space="0" w:color="auto"/>
            <w:left w:val="none" w:sz="0" w:space="0" w:color="auto"/>
            <w:bottom w:val="none" w:sz="0" w:space="0" w:color="auto"/>
            <w:right w:val="none" w:sz="0" w:space="0" w:color="auto"/>
          </w:divBdr>
        </w:div>
        <w:div w:id="495649979">
          <w:marLeft w:val="0"/>
          <w:marRight w:val="0"/>
          <w:marTop w:val="0"/>
          <w:marBottom w:val="0"/>
          <w:divBdr>
            <w:top w:val="none" w:sz="0" w:space="0" w:color="auto"/>
            <w:left w:val="none" w:sz="0" w:space="0" w:color="auto"/>
            <w:bottom w:val="none" w:sz="0" w:space="0" w:color="auto"/>
            <w:right w:val="none" w:sz="0" w:space="0" w:color="auto"/>
          </w:divBdr>
        </w:div>
      </w:divsChild>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2024-10-09T13:59:13+00:00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2024-10-09T13:59:13+00:00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2024-10-09T13:59:13+00:00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BEEADF7B-CFB7-422D-AD59-7687C86B4B5C}"/>
</file>

<file path=customXml/itemProps2.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3.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4.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1451</Words>
  <Characters>8277</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9709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Youssef Hamdan</cp:lastModifiedBy>
  <cp:revision>2</cp:revision>
  <cp:lastPrinted>2014-10-30T23:06:00Z</cp:lastPrinted>
  <dcterms:created xsi:type="dcterms:W3CDTF">2024-09-29T19:13:00Z</dcterms:created>
  <dcterms:modified xsi:type="dcterms:W3CDTF">2024-09-29T19:13:00Z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IsMyDocuments">
    <vt:bool>true</vt:bool>
  </property>
</Properties>
</file>