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0FDA04FE"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C35670">
        <w:rPr>
          <w:rFonts w:ascii="Proxima Nova Rg" w:hAnsi="Proxima Nova Rg" w:cstheme="minorHAnsi"/>
          <w:b/>
          <w:sz w:val="32"/>
          <w:szCs w:val="32"/>
          <w:u w:val="single"/>
          <w:lang w:val="fr-FR"/>
        </w:rPr>
        <w:t>BURUNDI</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C35670">
        <w:rPr>
          <w:rFonts w:ascii="Proxima Nova Rg" w:hAnsi="Proxima Nova Rg" w:cstheme="minorHAnsi"/>
          <w:b/>
          <w:sz w:val="32"/>
          <w:szCs w:val="32"/>
          <w:lang w:val="fr-FR"/>
        </w:rPr>
        <w:t>7</w:t>
      </w:r>
      <w:r w:rsidR="00733C93">
        <w:rPr>
          <w:rFonts w:ascii="Proxima Nova Rg" w:hAnsi="Proxima Nova Rg" w:cstheme="minorHAnsi"/>
          <w:b/>
          <w:sz w:val="32"/>
          <w:szCs w:val="32"/>
          <w:lang w:val="fr-FR"/>
        </w:rPr>
        <w:t>8</w:t>
      </w:r>
      <w:r w:rsidR="000C2495" w:rsidRPr="00E35A27">
        <w:rPr>
          <w:rFonts w:ascii="Proxima Nova Rg" w:hAnsi="Proxima Nova Rg" w:cstheme="minorHAnsi"/>
          <w:b/>
          <w:sz w:val="32"/>
          <w:szCs w:val="32"/>
          <w:lang w:val="fr-FR"/>
        </w:rPr>
        <w:t xml:space="preserve"> </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733C93">
        <w:rPr>
          <w:rFonts w:ascii="Proxima Nova Rg" w:hAnsi="Proxima Nova Rg" w:cstheme="minorHAnsi"/>
          <w:b/>
          <w:sz w:val="32"/>
          <w:szCs w:val="32"/>
          <w:u w:val="single"/>
        </w:rPr>
        <w:t>November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355F91" w:rsidRPr="00E35A27">
        <w:rPr>
          <w:rFonts w:ascii="Proxima Nova Rg" w:hAnsi="Proxima Nova Rg" w:cstheme="minorHAnsi"/>
          <w:b/>
          <w:sz w:val="32"/>
          <w:szCs w:val="32"/>
          <w:u w:val="single"/>
        </w:rPr>
        <w:t>3</w:t>
      </w:r>
      <w:r w:rsidRPr="00E35A27">
        <w:rPr>
          <w:rFonts w:ascii="Proxima Nova Rg" w:hAnsi="Proxima Nova Rg" w:cstheme="minorHAnsi"/>
          <w:b/>
          <w:sz w:val="32"/>
          <w:szCs w:val="32"/>
        </w:rPr>
        <w:t xml:space="preserve"> </w:t>
      </w:r>
    </w:p>
    <w:p w14:paraId="0DD5D7E9" w14:textId="4A5445E1"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C35670">
        <w:rPr>
          <w:rFonts w:ascii="Proxima Nova Rg" w:hAnsi="Proxima Nova Rg" w:cstheme="minorHAnsi"/>
          <w:i/>
        </w:rPr>
        <w:t>September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492FE5">
        <w:rPr>
          <w:rFonts w:ascii="Proxima Nova Rg" w:hAnsi="Proxima Nova Rg" w:cstheme="minorHAnsi"/>
          <w:i/>
        </w:rPr>
        <w:t>3</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0D1F2DAC"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733C93">
        <w:rPr>
          <w:rFonts w:ascii="Proxima Nova Rg" w:hAnsi="Proxima Nova Rg"/>
          <w:b/>
          <w:sz w:val="28"/>
          <w:szCs w:val="28"/>
        </w:rPr>
        <w:t>Burundi</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Burundi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59B7CBC7"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D81651" w:rsidRPr="00D81651">
        <w:rPr>
          <w:rFonts w:ascii="Proxima Nova Rg" w:hAnsi="Proxima Nova Rg"/>
          <w:b/>
          <w:sz w:val="28"/>
          <w:szCs w:val="28"/>
        </w:rPr>
        <w:t>third</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733C93">
        <w:rPr>
          <w:rFonts w:ascii="Proxima Nova Rg" w:hAnsi="Proxima Nova Rg"/>
          <w:b/>
          <w:sz w:val="28"/>
          <w:szCs w:val="28"/>
        </w:rPr>
        <w:t>Burundi</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5C64EAFD" w14:textId="4EF120D0" w:rsidR="00AA4A67" w:rsidRPr="00E35A27" w:rsidRDefault="00AA4A67" w:rsidP="004D7F41">
      <w:pPr>
        <w:rPr>
          <w:rFonts w:ascii="Proxima Nova Rg" w:hAnsi="Proxima Nova Rg" w:cstheme="minorHAnsi"/>
        </w:rPr>
      </w:pPr>
    </w:p>
    <w:p w14:paraId="17EA1F4C" w14:textId="77777777" w:rsidR="0053743C" w:rsidRPr="00542E5B" w:rsidRDefault="0053743C"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06888"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506888">
        <w:rPr>
          <w:rFonts w:ascii="Proxima Nova Rg" w:hAnsi="Proxima Nova Rg"/>
          <w:color w:val="1E3250"/>
          <w:sz w:val="28"/>
          <w:szCs w:val="28"/>
        </w:rPr>
        <w:t xml:space="preserve">Summary of necessary legal reform to achieve full </w:t>
      </w:r>
      <w:proofErr w:type="gramStart"/>
      <w:r w:rsidRPr="00506888">
        <w:rPr>
          <w:rFonts w:ascii="Proxima Nova Rg" w:hAnsi="Proxima Nova Rg"/>
          <w:color w:val="1E3250"/>
          <w:sz w:val="28"/>
          <w:szCs w:val="28"/>
        </w:rPr>
        <w:t>prohibition</w:t>
      </w:r>
      <w:proofErr w:type="gramEnd"/>
    </w:p>
    <w:p w14:paraId="6BC2595D" w14:textId="77777777" w:rsidR="00D81651" w:rsidRPr="00825FB9" w:rsidRDefault="00D81651" w:rsidP="00D81651">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25FB9">
        <w:rPr>
          <w:rFonts w:ascii="Proxima Nova Rg" w:hAnsi="Proxima Nova Rg"/>
        </w:rPr>
        <w:t>Prohibition is still to be achieved in the home, alternative care settings, day care, penal institutions and possibly schools.</w:t>
      </w:r>
    </w:p>
    <w:p w14:paraId="19EB42D1" w14:textId="77777777" w:rsidR="00D81651" w:rsidRPr="00825FB9" w:rsidRDefault="00D81651" w:rsidP="00D81651">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25FB9">
        <w:rPr>
          <w:rFonts w:ascii="Proxima Nova Rg" w:hAnsi="Proxima Nova Rg"/>
        </w:rPr>
        <w:t>There is no confirmation in legislation of a “right” of parents to punish their children, but legal provisions against violence and abuse are not interpreted as prohibiting all corporal punishment in childrearing. The near universal social acceptance of corporal punishment in disciplining/correcting children necessitates clarity in law that no degree or kind of such punishment is acceptable or lawful. Prohibition should be enacted of all corporal punishment and other cruel or degrading forms of punishment, in the home and all other settings where adults have authority over children.</w:t>
      </w:r>
    </w:p>
    <w:p w14:paraId="716F137B" w14:textId="77777777" w:rsidR="00D81651" w:rsidRPr="00825FB9" w:rsidRDefault="00D81651" w:rsidP="00D81651">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25FB9">
        <w:rPr>
          <w:rFonts w:ascii="Proxima Nova Rg" w:hAnsi="Proxima Nova Rg"/>
          <w:i/>
        </w:rPr>
        <w:t>Alternative care settings</w:t>
      </w:r>
      <w:r w:rsidRPr="00825FB9">
        <w:rPr>
          <w:rFonts w:ascii="Proxima Nova Rg" w:hAnsi="Proxima Nova Rg"/>
        </w:rPr>
        <w:t xml:space="preserve"> – The law should prohibit corporal punishment in all alternative care settings (formal foster care, institutions, orphanages, children’s homes, places of safety, emergency care, etc).</w:t>
      </w:r>
    </w:p>
    <w:p w14:paraId="4D4B416E" w14:textId="77777777" w:rsidR="00D81651" w:rsidRPr="00825FB9" w:rsidRDefault="00D81651" w:rsidP="00D81651">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25FB9">
        <w:rPr>
          <w:rFonts w:ascii="Proxima Nova Rg" w:hAnsi="Proxima Nova Rg"/>
          <w:i/>
        </w:rPr>
        <w:lastRenderedPageBreak/>
        <w:t>Day care</w:t>
      </w:r>
      <w:r w:rsidRPr="00825FB9">
        <w:rPr>
          <w:rFonts w:ascii="Proxima Nova Rg" w:hAnsi="Proxima Nova Rg"/>
        </w:rPr>
        <w:t xml:space="preserve"> – Legislation should prohibit corporal punishment in all formal early childhood care (nurseries, crèches, family centres, etc) and all formal day care for older children (after-school childcare, childminding, day centres, etc).</w:t>
      </w:r>
    </w:p>
    <w:p w14:paraId="5B19FA97" w14:textId="77777777" w:rsidR="00D81651" w:rsidRPr="00825FB9" w:rsidRDefault="00D81651" w:rsidP="00D81651">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825FB9">
        <w:rPr>
          <w:rFonts w:ascii="Proxima Nova Rg" w:hAnsi="Proxima Nova Rg"/>
          <w:i/>
        </w:rPr>
        <w:t>Schools</w:t>
      </w:r>
      <w:r w:rsidRPr="00825FB9">
        <w:rPr>
          <w:rFonts w:ascii="Proxima Nova Rg" w:hAnsi="Proxima Nova Rg"/>
        </w:rPr>
        <w:t xml:space="preserve"> – Legislation should prohibit corporal punishment in all schools, public and private.</w:t>
      </w:r>
    </w:p>
    <w:p w14:paraId="0EAF66B3" w14:textId="77777777" w:rsidR="00D81651" w:rsidRPr="0097656A" w:rsidRDefault="00D81651" w:rsidP="00D8165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25FB9">
        <w:rPr>
          <w:rFonts w:ascii="Proxima Nova Rg" w:hAnsi="Proxima Nova Rg"/>
          <w:i/>
        </w:rPr>
        <w:t>Penal institutions</w:t>
      </w:r>
      <w:r w:rsidRPr="00825FB9">
        <w:rPr>
          <w:rFonts w:ascii="Proxima Nova Rg" w:hAnsi="Proxima Nova Rg"/>
        </w:rPr>
        <w:t xml:space="preserve"> – Prohibition of corporal punishment should be enacted in legislation relating </w:t>
      </w:r>
      <w:r>
        <w:rPr>
          <w:rFonts w:ascii="Proxima Nova Rg" w:hAnsi="Proxima Nova Rg"/>
        </w:rPr>
        <w:t>to disciplinary measures in all institutions accommodating children in conflict with the law.</w:t>
      </w:r>
    </w:p>
    <w:p w14:paraId="6A253E45" w14:textId="77777777" w:rsidR="00733C93" w:rsidRPr="00E35A27"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31824783"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Pr>
          <w:rFonts w:ascii="Proxima Nova Rg" w:hAnsi="Proxima Nova Rg"/>
          <w:b/>
          <w:sz w:val="28"/>
          <w:szCs w:val="28"/>
        </w:rPr>
        <w:t>Burundi</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5E12C4E8" w14:textId="52E10032" w:rsidR="00D81651" w:rsidRPr="00D81651" w:rsidRDefault="00D81651" w:rsidP="00D81651">
      <w:pPr>
        <w:pStyle w:val="ListParagraph"/>
        <w:numPr>
          <w:ilvl w:val="1"/>
          <w:numId w:val="23"/>
        </w:numPr>
        <w:rPr>
          <w:rFonts w:ascii="Proxima Nova Rg" w:hAnsi="Proxima Nova Rg"/>
          <w:sz w:val="22"/>
          <w:szCs w:val="22"/>
        </w:rPr>
      </w:pPr>
      <w:r w:rsidRPr="00D81651">
        <w:rPr>
          <w:rFonts w:ascii="Proxima Nova Rg" w:hAnsi="Proxima Nova Rg" w:cstheme="minorHAnsi"/>
          <w:sz w:val="22"/>
          <w:szCs w:val="22"/>
        </w:rPr>
        <w:t>The third report of Burundi states that the Criminal Code sanctions “offences against the child”.</w:t>
      </w:r>
      <w:r>
        <w:rPr>
          <w:rStyle w:val="FootnoteReference"/>
          <w:rFonts w:ascii="Proxima Nova Rg" w:hAnsi="Proxima Nova Rg"/>
          <w:sz w:val="22"/>
          <w:szCs w:val="22"/>
        </w:rPr>
        <w:footnoteReference w:id="2"/>
      </w:r>
      <w:r w:rsidRPr="00D81651">
        <w:rPr>
          <w:rFonts w:ascii="Proxima Nova Rg" w:hAnsi="Proxima Nova Rg" w:cstheme="minorHAnsi"/>
          <w:sz w:val="22"/>
          <w:szCs w:val="22"/>
        </w:rPr>
        <w:t xml:space="preserve"> </w:t>
      </w:r>
      <w:r w:rsidRPr="00D81651">
        <w:rPr>
          <w:rFonts w:ascii="Proxima Nova Rg" w:hAnsi="Proxima Nova Rg"/>
          <w:sz w:val="22"/>
          <w:szCs w:val="22"/>
        </w:rPr>
        <w:t>However, the report does not refer to prohibition of corporal punishment of children in all settings.</w:t>
      </w:r>
    </w:p>
    <w:p w14:paraId="6E58C1E1" w14:textId="77777777" w:rsidR="00D81651" w:rsidRDefault="00D81651" w:rsidP="00733C93">
      <w:pPr>
        <w:pStyle w:val="BodyText1"/>
        <w:tabs>
          <w:tab w:val="left" w:pos="8244"/>
          <w:tab w:val="left" w:pos="9160"/>
          <w:tab w:val="left" w:pos="10076"/>
          <w:tab w:val="left" w:pos="10992"/>
          <w:tab w:val="left" w:pos="11908"/>
          <w:tab w:val="left" w:pos="12824"/>
          <w:tab w:val="left" w:pos="13740"/>
          <w:tab w:val="left" w:pos="14656"/>
        </w:tabs>
        <w:spacing w:after="120"/>
        <w:ind w:left="720"/>
        <w:outlineLvl w:val="1"/>
        <w:rPr>
          <w:rFonts w:ascii="Proxima Nova Rg" w:hAnsi="Proxima Nova Rg" w:cstheme="minorHAnsi"/>
          <w:b/>
          <w:sz w:val="28"/>
          <w:szCs w:val="28"/>
        </w:rPr>
      </w:pPr>
    </w:p>
    <w:p w14:paraId="11BA9209" w14:textId="7E8E86D9" w:rsidR="00C47964" w:rsidRPr="00E35A27" w:rsidRDefault="00B439AA" w:rsidP="00D81651">
      <w:pPr>
        <w:pStyle w:val="BodyText1"/>
        <w:numPr>
          <w:ilvl w:val="0"/>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733C93">
        <w:rPr>
          <w:rFonts w:ascii="Proxima Nova Rg" w:hAnsi="Proxima Nova Rg" w:cstheme="minorHAnsi"/>
          <w:b/>
          <w:sz w:val="28"/>
          <w:szCs w:val="28"/>
        </w:rPr>
        <w:t>Burundi</w:t>
      </w:r>
    </w:p>
    <w:p w14:paraId="58B6ADEC" w14:textId="4BEEBAB9" w:rsidR="00D81651" w:rsidRPr="00D81651" w:rsidRDefault="00EE5054"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D81651" w:rsidRPr="00D81651">
        <w:rPr>
          <w:rFonts w:ascii="Proxima Nova Rg" w:hAnsi="Proxima Nova Rg" w:cstheme="minorHAnsi"/>
          <w:sz w:val="22"/>
          <w:szCs w:val="22"/>
        </w:rPr>
        <w:t>Corporal punishment is lawful in the home. Articles 512-525 of the Penal Code 2009</w:t>
      </w:r>
      <w:r w:rsidR="00D81651" w:rsidRPr="00131B13">
        <w:rPr>
          <w:rStyle w:val="FootnoteReference"/>
          <w:rFonts w:ascii="Proxima Nova Rg" w:hAnsi="Proxima Nova Rg" w:cstheme="minorHAnsi"/>
          <w:sz w:val="22"/>
          <w:szCs w:val="22"/>
        </w:rPr>
        <w:footnoteReference w:id="3"/>
      </w:r>
      <w:r w:rsidR="00D81651" w:rsidRPr="00D81651">
        <w:rPr>
          <w:rFonts w:ascii="Proxima Nova Rg" w:hAnsi="Proxima Nova Rg" w:cstheme="minorHAnsi"/>
          <w:sz w:val="22"/>
          <w:szCs w:val="22"/>
        </w:rPr>
        <w:t xml:space="preserve"> punish crimes against children but corporal punishment is not included. The Code punishes domestic violence, including “whoever submits his spouse, child or other person living in the same household to cruel, inhuman or degrading treatment” (art. 535), but this is not interpreted as prohibiting all corporal punishment in childrearing. Parental authority is regulated in the Code on the Person and the Family 1993: it is silent on the issue of child discipline. The Code of Persons and of the Family was under revision in 2016;</w:t>
      </w:r>
      <w:r w:rsidR="00D81651" w:rsidRPr="00131B13">
        <w:rPr>
          <w:rStyle w:val="FootnoteReference"/>
          <w:rFonts w:ascii="Proxima Nova Rg" w:hAnsi="Proxima Nova Rg" w:cstheme="minorHAnsi"/>
          <w:sz w:val="22"/>
          <w:szCs w:val="22"/>
        </w:rPr>
        <w:footnoteReference w:id="4"/>
      </w:r>
      <w:r w:rsidR="00D81651" w:rsidRPr="00D81651">
        <w:rPr>
          <w:rFonts w:ascii="Proxima Nova Rg" w:hAnsi="Proxima Nova Rg" w:cstheme="minorHAnsi"/>
          <w:sz w:val="22"/>
          <w:szCs w:val="22"/>
        </w:rPr>
        <w:t xml:space="preserve"> we have no further information.</w:t>
      </w:r>
    </w:p>
    <w:p w14:paraId="2E0E1F5C" w14:textId="77777777" w:rsidR="00D81651" w:rsidRPr="00F8547D" w:rsidRDefault="00D81651" w:rsidP="00D81651">
      <w:pPr>
        <w:pStyle w:val="BodyText1"/>
        <w:tabs>
          <w:tab w:val="left" w:pos="8244"/>
          <w:tab w:val="left" w:pos="9160"/>
          <w:tab w:val="left" w:pos="10076"/>
          <w:tab w:val="left" w:pos="10992"/>
          <w:tab w:val="left" w:pos="11908"/>
          <w:tab w:val="left" w:pos="12824"/>
          <w:tab w:val="left" w:pos="13740"/>
          <w:tab w:val="left" w:pos="14656"/>
        </w:tabs>
        <w:spacing w:after="120"/>
        <w:ind w:left="1080"/>
        <w:jc w:val="both"/>
        <w:outlineLvl w:val="1"/>
        <w:rPr>
          <w:rFonts w:ascii="Proxima Nova Rg" w:hAnsi="Proxima Nova Rg" w:cstheme="minorHAnsi"/>
          <w:b/>
          <w:sz w:val="28"/>
          <w:szCs w:val="28"/>
        </w:rPr>
      </w:pPr>
    </w:p>
    <w:p w14:paraId="01D91BA3" w14:textId="2F5EF167" w:rsidR="00D81651" w:rsidRPr="00D81651" w:rsidRDefault="00D81651"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D81651">
        <w:rPr>
          <w:rFonts w:ascii="Proxima Nova Rg" w:hAnsi="Proxima Nova Rg" w:cstheme="minorHAnsi"/>
          <w:sz w:val="22"/>
          <w:szCs w:val="22"/>
        </w:rPr>
        <w:t xml:space="preserve">The Convention on the Rights of the Child has been incorporated into national legislation through article 19 of the Constitution 2005, which states: “The rights and duties proclaimed and guaranteed, inter alia, by the Universal Declaration of Human Rights, the International Covenants on human rights and the rights of peoples, the Convention on the Elimination of All Forms of Discrimination against Women and the Convention on the Rights of the Child shall form an integral part of the Constitution of the Republic of Burundi. These fundamental rights may not be the subject of any restriction or derogation, except in certain circumstances justifiable by the general interest of the protection of a fundamental right.” Article 21 of the Constitution provides for respect for human dignity: “Human dignity is respected and protected. Any violation of human dignity is punishable under the Criminal Code.” Article 25 protects physical integrity: “Every woman and man </w:t>
      </w:r>
      <w:proofErr w:type="gramStart"/>
      <w:r w:rsidRPr="00D81651">
        <w:rPr>
          <w:rFonts w:ascii="Proxima Nova Rg" w:hAnsi="Proxima Nova Rg" w:cstheme="minorHAnsi"/>
          <w:sz w:val="22"/>
          <w:szCs w:val="22"/>
        </w:rPr>
        <w:t>has</w:t>
      </w:r>
      <w:proofErr w:type="gramEnd"/>
      <w:r w:rsidRPr="00D81651">
        <w:rPr>
          <w:rFonts w:ascii="Proxima Nova Rg" w:hAnsi="Proxima Nova Rg" w:cstheme="minorHAnsi"/>
          <w:sz w:val="22"/>
          <w:szCs w:val="22"/>
        </w:rPr>
        <w:t xml:space="preserve"> the right to life, security of person and physical integrity. No one may be subjected to torture or cruel, </w:t>
      </w:r>
      <w:proofErr w:type="gramStart"/>
      <w:r w:rsidRPr="00D81651">
        <w:rPr>
          <w:rFonts w:ascii="Proxima Nova Rg" w:hAnsi="Proxima Nova Rg" w:cstheme="minorHAnsi"/>
          <w:sz w:val="22"/>
          <w:szCs w:val="22"/>
        </w:rPr>
        <w:t>inhuman</w:t>
      </w:r>
      <w:proofErr w:type="gramEnd"/>
      <w:r w:rsidRPr="00D81651">
        <w:rPr>
          <w:rFonts w:ascii="Proxima Nova Rg" w:hAnsi="Proxima Nova Rg" w:cstheme="minorHAnsi"/>
          <w:sz w:val="22"/>
          <w:szCs w:val="22"/>
        </w:rPr>
        <w:t xml:space="preserve"> or degrading treatment or punishment.” Article 44 protects children from “ill-treatment, abuse or exploitation”. In reporting to the Universal Periodic Review in 2012, the Government implied that corporal punishment is prohibited in all settings, including in </w:t>
      </w:r>
      <w:r w:rsidRPr="00D81651">
        <w:rPr>
          <w:rFonts w:ascii="Proxima Nova Rg" w:hAnsi="Proxima Nova Rg" w:cstheme="minorHAnsi"/>
          <w:sz w:val="22"/>
          <w:szCs w:val="22"/>
        </w:rPr>
        <w:lastRenderedPageBreak/>
        <w:t>families.</w:t>
      </w:r>
      <w:r w:rsidRPr="00131B13">
        <w:rPr>
          <w:rStyle w:val="FootnoteReference"/>
          <w:rFonts w:ascii="Proxima Nova Rg" w:hAnsi="Proxima Nova Rg" w:cstheme="minorHAnsi"/>
          <w:sz w:val="22"/>
          <w:szCs w:val="22"/>
        </w:rPr>
        <w:footnoteReference w:id="5"/>
      </w:r>
      <w:r w:rsidRPr="00D81651">
        <w:rPr>
          <w:rFonts w:ascii="Proxima Nova Rg" w:hAnsi="Proxima Nova Rg" w:cstheme="minorHAnsi"/>
          <w:sz w:val="22"/>
          <w:szCs w:val="22"/>
        </w:rPr>
        <w:t xml:space="preserve"> However, there is no explicit prohibition of corporal punishment in domestic legislation. </w:t>
      </w:r>
    </w:p>
    <w:p w14:paraId="094F63B6" w14:textId="700AD6AF" w:rsidR="003E745A" w:rsidRDefault="00D81651"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305DB1">
        <w:rPr>
          <w:rFonts w:ascii="Proxima Nova Rg" w:hAnsi="Proxima Nova Rg" w:cstheme="minorHAnsi"/>
          <w:sz w:val="22"/>
          <w:szCs w:val="22"/>
        </w:rPr>
        <w:t>Drafting of a Code of Child Protection has been under way since 2010 and is still under discussion. In November 2014 the draft was undergoing technical validation and did not include prohibition of corporal punishment. Reporting to the Committee on the Elimination of Discrimination Against Women in 2016, the Government stated that a Code on Children’s Rights was being prepared – it seems this referred to the same text.</w:t>
      </w:r>
      <w:r w:rsidRPr="00131B13">
        <w:rPr>
          <w:rStyle w:val="FootnoteReference"/>
          <w:rFonts w:ascii="Proxima Nova Rg" w:hAnsi="Proxima Nova Rg" w:cstheme="minorHAnsi"/>
          <w:sz w:val="22"/>
          <w:szCs w:val="22"/>
        </w:rPr>
        <w:footnoteReference w:id="6"/>
      </w:r>
      <w:r w:rsidRPr="00305DB1">
        <w:rPr>
          <w:rFonts w:ascii="Proxima Nova Rg" w:hAnsi="Proxima Nova Rg" w:cstheme="minorHAnsi"/>
          <w:sz w:val="22"/>
          <w:szCs w:val="22"/>
        </w:rPr>
        <w:t xml:space="preserve"> In February 2017 the draft Code of Child Protection did not include prohibition; </w:t>
      </w:r>
      <w:proofErr w:type="gramStart"/>
      <w:r w:rsidRPr="00305DB1">
        <w:rPr>
          <w:rFonts w:ascii="Proxima Nova Rg" w:hAnsi="Proxima Nova Rg" w:cstheme="minorHAnsi"/>
          <w:sz w:val="22"/>
          <w:szCs w:val="22"/>
        </w:rPr>
        <w:t>however</w:t>
      </w:r>
      <w:proofErr w:type="gramEnd"/>
      <w:r w:rsidRPr="00305DB1">
        <w:rPr>
          <w:rFonts w:ascii="Proxima Nova Rg" w:hAnsi="Proxima Nova Rg" w:cstheme="minorHAnsi"/>
          <w:sz w:val="22"/>
          <w:szCs w:val="22"/>
        </w:rPr>
        <w:t xml:space="preserve"> during a Government-organised workshop on its drafting, it was suggested to include a provision prohibiting corporal punishment. This provision now needs to be validated for inclusion by the Government, before the finalised draft is presented to the National Assembly. As of November 2018, the Code was still being discussed.</w:t>
      </w:r>
      <w:r w:rsidRPr="00131B13">
        <w:rPr>
          <w:rStyle w:val="FootnoteReference"/>
          <w:rFonts w:ascii="Proxima Nova Rg" w:hAnsi="Proxima Nova Rg" w:cstheme="minorHAnsi"/>
          <w:sz w:val="22"/>
          <w:szCs w:val="22"/>
        </w:rPr>
        <w:footnoteReference w:id="7"/>
      </w:r>
    </w:p>
    <w:p w14:paraId="7AE0793E" w14:textId="566F5185" w:rsidR="00D81651" w:rsidRPr="00D81651" w:rsidRDefault="00016CB3"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D81651">
        <w:rPr>
          <w:rFonts w:ascii="Proxima Nova Rg" w:hAnsi="Proxima Nova Rg" w:cstheme="minorHAnsi"/>
          <w:b/>
          <w:bCs/>
          <w:i/>
          <w:iCs/>
        </w:rPr>
        <w:t>Alternative care settings</w:t>
      </w:r>
      <w:r w:rsidR="00510BCC" w:rsidRPr="00D81651">
        <w:rPr>
          <w:rFonts w:ascii="Proxima Nova Rg" w:hAnsi="Proxima Nova Rg" w:cstheme="minorHAnsi"/>
          <w:b/>
          <w:bCs/>
          <w:i/>
          <w:iCs/>
        </w:rPr>
        <w:t>:</w:t>
      </w:r>
      <w:r w:rsidR="00510BCC" w:rsidRPr="00D81651">
        <w:rPr>
          <w:rFonts w:ascii="Proxima Nova Rg" w:hAnsi="Proxima Nova Rg" w:cstheme="minorHAnsi"/>
        </w:rPr>
        <w:t xml:space="preserve"> </w:t>
      </w:r>
      <w:r w:rsidR="00D81651" w:rsidRPr="00D81651">
        <w:rPr>
          <w:rFonts w:ascii="Proxima Nova Rg" w:hAnsi="Proxima Nova Rg" w:cstheme="minorHAnsi"/>
          <w:sz w:val="22"/>
          <w:szCs w:val="22"/>
        </w:rPr>
        <w:t>There is no explicit prohibition of corporal punishment, which is lawful as for parents (see under “Home”).</w:t>
      </w:r>
    </w:p>
    <w:p w14:paraId="465897D2" w14:textId="1CE3FD8C" w:rsidR="00D81651" w:rsidRPr="00305DB1" w:rsidRDefault="00D81651"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D81651">
        <w:rPr>
          <w:rFonts w:ascii="Proxima Nova Rg" w:hAnsi="Proxima Nova Rg" w:cstheme="minorHAnsi"/>
          <w:b/>
          <w:bCs/>
          <w:i/>
          <w:iCs/>
        </w:rPr>
        <w:t>Day care:</w:t>
      </w:r>
      <w:r>
        <w:rPr>
          <w:rFonts w:ascii="Proxima Nova Rg" w:hAnsi="Proxima Nova Rg" w:cstheme="minorHAnsi"/>
          <w:sz w:val="22"/>
          <w:szCs w:val="22"/>
        </w:rPr>
        <w:t xml:space="preserve"> </w:t>
      </w:r>
      <w:r w:rsidRPr="00305DB1">
        <w:rPr>
          <w:rFonts w:ascii="Proxima Nova Rg" w:hAnsi="Proxima Nova Rg" w:cstheme="minorHAnsi"/>
          <w:sz w:val="22"/>
          <w:szCs w:val="22"/>
        </w:rPr>
        <w:t>Corporal punishment is lawful as for parents (see under “Home”).</w:t>
      </w:r>
    </w:p>
    <w:p w14:paraId="3A2518F4" w14:textId="77777777" w:rsidR="00D81651" w:rsidRPr="00305DB1" w:rsidRDefault="00D81651"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Pr="00305DB1">
        <w:rPr>
          <w:rFonts w:ascii="Proxima Nova Rg" w:hAnsi="Proxima Nova Rg" w:cstheme="minorHAnsi"/>
          <w:sz w:val="22"/>
          <w:szCs w:val="22"/>
        </w:rPr>
        <w:t>Corporal punishment is reportedly prohibited in schools in regulations.</w:t>
      </w:r>
      <w:r w:rsidRPr="00131B13">
        <w:rPr>
          <w:rStyle w:val="FootnoteReference"/>
          <w:rFonts w:ascii="Proxima Nova Rg" w:hAnsi="Proxima Nova Rg" w:cstheme="minorHAnsi"/>
          <w:sz w:val="22"/>
          <w:szCs w:val="22"/>
        </w:rPr>
        <w:footnoteReference w:id="8"/>
      </w:r>
      <w:r w:rsidRPr="00305DB1">
        <w:rPr>
          <w:rFonts w:ascii="Proxima Nova Rg" w:hAnsi="Proxima Nova Rg" w:cstheme="minorHAnsi"/>
          <w:sz w:val="22"/>
          <w:szCs w:val="22"/>
        </w:rPr>
        <w:t xml:space="preserve"> We have yet to verify this information. </w:t>
      </w:r>
    </w:p>
    <w:p w14:paraId="4DD0B3F6" w14:textId="77777777" w:rsidR="00D81651" w:rsidRPr="00305DB1" w:rsidRDefault="00D81651"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Pr="00305DB1">
        <w:rPr>
          <w:rFonts w:ascii="Proxima Nova Rg" w:hAnsi="Proxima Nova Rg" w:cstheme="minorHAnsi"/>
          <w:sz w:val="22"/>
          <w:szCs w:val="22"/>
        </w:rPr>
        <w:t>There is no explicit prohibition of corporal punishment. The new Code of Criminal Procedure promulgated in 2013</w:t>
      </w:r>
      <w:r w:rsidRPr="00131B13">
        <w:rPr>
          <w:vertAlign w:val="superscript"/>
        </w:rPr>
        <w:footnoteReference w:id="9"/>
      </w:r>
      <w:r w:rsidRPr="00305DB1">
        <w:rPr>
          <w:rFonts w:ascii="Proxima Nova Rg" w:hAnsi="Proxima Nova Rg" w:cstheme="minorHAnsi"/>
          <w:sz w:val="22"/>
          <w:szCs w:val="22"/>
        </w:rPr>
        <w:t xml:space="preserve"> did not address the issue.</w:t>
      </w:r>
    </w:p>
    <w:p w14:paraId="409D823E" w14:textId="7DDDF984" w:rsidR="008549A7" w:rsidRPr="00D81651" w:rsidRDefault="00D81651" w:rsidP="00D81651">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D1697">
        <w:rPr>
          <w:rFonts w:ascii="Proxima Nova Rg" w:hAnsi="Proxima Nova Rg" w:cstheme="minorHAnsi"/>
          <w:b/>
          <w:bCs/>
          <w:i/>
          <w:iCs/>
        </w:rPr>
        <w:t>Sentence for crime:</w:t>
      </w:r>
      <w:r w:rsidRPr="00AD1697">
        <w:rPr>
          <w:rFonts w:ascii="Proxima Nova Rg" w:hAnsi="Proxima Nova Rg" w:cstheme="minorHAnsi"/>
        </w:rPr>
        <w:t xml:space="preserve"> </w:t>
      </w:r>
      <w:r w:rsidRPr="00305DB1">
        <w:rPr>
          <w:rFonts w:ascii="Proxima Nova Rg" w:hAnsi="Proxima Nova Rg" w:cstheme="minorHAnsi"/>
          <w:sz w:val="22"/>
          <w:szCs w:val="22"/>
        </w:rPr>
        <w:t>There is no provision for judicial corporal punishment in the Penal Code 2009 and the Code of Criminal Procedure 2013.</w:t>
      </w:r>
    </w:p>
    <w:p w14:paraId="6DAC1825" w14:textId="77777777" w:rsidR="008549A7" w:rsidRPr="00E35A27"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D81651">
      <w:pPr>
        <w:pStyle w:val="Heading2"/>
        <w:numPr>
          <w:ilvl w:val="0"/>
          <w:numId w:val="23"/>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024C0E2D" w14:textId="25E3048E" w:rsidR="00506888" w:rsidRDefault="00506888" w:rsidP="00506888">
      <w:pPr>
        <w:pStyle w:val="ListParagraph"/>
        <w:numPr>
          <w:ilvl w:val="1"/>
          <w:numId w:val="23"/>
        </w:numPr>
        <w:spacing w:after="120"/>
        <w:rPr>
          <w:rFonts w:ascii="Proxima Nova Rg" w:hAnsi="Proxima Nova Rg" w:cstheme="minorHAnsi"/>
          <w:bCs/>
        </w:rPr>
      </w:pPr>
      <w:r w:rsidRPr="00506888">
        <w:rPr>
          <w:rFonts w:ascii="Proxima Nova Rg" w:hAnsi="Proxima Nova Rg" w:cstheme="minorHAnsi"/>
          <w:b/>
          <w:bCs/>
          <w:i/>
        </w:rPr>
        <w:t>CRC</w:t>
      </w:r>
      <w:r w:rsidRPr="00506888">
        <w:rPr>
          <w:rFonts w:ascii="Proxima Nova Rg" w:hAnsi="Proxima Nova Rg" w:cstheme="minorHAnsi"/>
          <w:bCs/>
        </w:rPr>
        <w:t xml:space="preserve">: </w:t>
      </w:r>
      <w:r w:rsidRPr="00506888">
        <w:rPr>
          <w:rFonts w:ascii="Proxima Nova Rg" w:hAnsi="Proxima Nova Rg" w:cstheme="minorHAnsi"/>
          <w:bCs/>
          <w:sz w:val="22"/>
          <w:szCs w:val="22"/>
        </w:rPr>
        <w:t>On two occasions,</w:t>
      </w:r>
      <w:r w:rsidRPr="00506888">
        <w:rPr>
          <w:rFonts w:ascii="Proxima Nova Rg" w:hAnsi="Proxima Nova Rg" w:cstheme="minorHAnsi"/>
          <w:bCs/>
        </w:rPr>
        <w:t xml:space="preserve"> </w:t>
      </w:r>
      <w:r w:rsidRPr="00506888">
        <w:rPr>
          <w:rFonts w:ascii="Proxima Nova Rg" w:hAnsi="Proxima Nova Rg" w:cstheme="minorHAnsi"/>
          <w:bCs/>
          <w:sz w:val="22"/>
          <w:szCs w:val="22"/>
        </w:rPr>
        <w:t>the Committee on the Rights of the Child has recommended to Burundi that legislation be enacted to explicitly prohibit corporal punishment in all settings: in its concluding observations on the state party’s initial report in 2000</w:t>
      </w:r>
      <w:r>
        <w:rPr>
          <w:rStyle w:val="FootnoteReference"/>
          <w:rFonts w:ascii="Proxima Nova Rg" w:hAnsi="Proxima Nova Rg"/>
          <w:bCs/>
          <w:sz w:val="22"/>
          <w:szCs w:val="22"/>
        </w:rPr>
        <w:footnoteReference w:id="10"/>
      </w:r>
      <w:r w:rsidRPr="00506888">
        <w:rPr>
          <w:rFonts w:ascii="Proxima Nova Rg" w:hAnsi="Proxima Nova Rg" w:cstheme="minorHAnsi"/>
          <w:bCs/>
          <w:sz w:val="22"/>
          <w:szCs w:val="22"/>
        </w:rPr>
        <w:t xml:space="preserve"> and on the state party’s second report in 2010.</w:t>
      </w:r>
      <w:r w:rsidRPr="00297E28">
        <w:rPr>
          <w:vertAlign w:val="superscript"/>
        </w:rPr>
        <w:footnoteReference w:id="11"/>
      </w:r>
      <w:r w:rsidRPr="00506888">
        <w:rPr>
          <w:rFonts w:ascii="Proxima Nova Rg" w:hAnsi="Proxima Nova Rg" w:cstheme="minorHAnsi"/>
          <w:bCs/>
          <w:sz w:val="22"/>
          <w:szCs w:val="22"/>
        </w:rPr>
        <w:t xml:space="preserve"> </w:t>
      </w:r>
      <w:r w:rsidRPr="00506888">
        <w:rPr>
          <w:rFonts w:ascii="Proxima Nova Rg" w:hAnsi="Proxima Nova Rg" w:cstheme="minorHAnsi"/>
          <w:bCs/>
        </w:rPr>
        <w:t xml:space="preserve"> </w:t>
      </w:r>
    </w:p>
    <w:p w14:paraId="3A67695E" w14:textId="77777777" w:rsidR="00506888" w:rsidRDefault="00506888" w:rsidP="00506888">
      <w:pPr>
        <w:pStyle w:val="ListParagraph"/>
        <w:spacing w:after="120"/>
        <w:ind w:left="1080"/>
        <w:rPr>
          <w:rFonts w:ascii="Proxima Nova Rg" w:hAnsi="Proxima Nova Rg" w:cstheme="minorHAnsi"/>
          <w:bCs/>
        </w:rPr>
      </w:pPr>
    </w:p>
    <w:p w14:paraId="39A2403E" w14:textId="77777777" w:rsidR="00506888" w:rsidRPr="00506888" w:rsidRDefault="00506888" w:rsidP="00506888">
      <w:pPr>
        <w:pStyle w:val="ListParagraph"/>
        <w:numPr>
          <w:ilvl w:val="1"/>
          <w:numId w:val="23"/>
        </w:numPr>
        <w:spacing w:after="120"/>
        <w:rPr>
          <w:rStyle w:val="normaltextrun"/>
          <w:rFonts w:ascii="Proxima Nova Rg" w:hAnsi="Proxima Nova Rg" w:cstheme="minorHAnsi"/>
          <w:bCs/>
        </w:rPr>
      </w:pPr>
      <w:r w:rsidRPr="00506888">
        <w:rPr>
          <w:rFonts w:ascii="Proxima Nova Rg" w:hAnsi="Proxima Nova Rg" w:cstheme="minorHAnsi"/>
          <w:b/>
          <w:bCs/>
          <w:i/>
        </w:rPr>
        <w:t xml:space="preserve">HRC: </w:t>
      </w:r>
      <w:r w:rsidRPr="00506888">
        <w:rPr>
          <w:rFonts w:ascii="Proxima Nova Rg" w:hAnsi="Proxima Nova Rg" w:cstheme="minorHAnsi"/>
          <w:bCs/>
          <w:sz w:val="22"/>
          <w:szCs w:val="22"/>
        </w:rPr>
        <w:t xml:space="preserve">The Human Rights Committee recommended that Burundi put an end to </w:t>
      </w:r>
      <w:r w:rsidRPr="00506888">
        <w:rPr>
          <w:rFonts w:ascii="Proxima Nova Rg" w:eastAsia="Calibri" w:hAnsi="Proxima Nova Rg"/>
          <w:bCs/>
          <w:color w:val="000000"/>
          <w:sz w:val="22"/>
          <w:szCs w:val="22"/>
          <w:lang w:eastAsia="en-GB"/>
        </w:rPr>
        <w:t xml:space="preserve">corporal punishment in all settings and </w:t>
      </w:r>
      <w:r w:rsidRPr="00506888">
        <w:rPr>
          <w:rFonts w:ascii="Proxima Nova Rg" w:eastAsia="Calibri" w:hAnsi="Proxima Nova Rg" w:cstheme="minorHAnsi"/>
          <w:bCs/>
          <w:sz w:val="22"/>
          <w:szCs w:val="22"/>
          <w:lang w:eastAsia="en-GB"/>
        </w:rPr>
        <w:t>encourage non-violent forms of discipline</w:t>
      </w:r>
      <w:r w:rsidRPr="00506888">
        <w:rPr>
          <w:rStyle w:val="normaltextrun"/>
          <w:rFonts w:ascii="Proxima Nova Rg" w:hAnsi="Proxima Nova Rg" w:cs="Segoe UI"/>
          <w:color w:val="000000"/>
          <w:sz w:val="22"/>
          <w:szCs w:val="22"/>
        </w:rPr>
        <w:t xml:space="preserve">- in its concluding observations on the state party’s </w:t>
      </w:r>
      <w:r w:rsidRPr="00506888">
        <w:rPr>
          <w:rFonts w:ascii="Proxima Nova Rg" w:hAnsi="Proxima Nova Rg"/>
          <w:sz w:val="22"/>
          <w:szCs w:val="22"/>
        </w:rPr>
        <w:t>second report</w:t>
      </w:r>
      <w:r w:rsidRPr="00506888">
        <w:rPr>
          <w:rStyle w:val="normaltextrun"/>
          <w:rFonts w:ascii="Proxima Nova Rg" w:hAnsi="Proxima Nova Rg" w:cs="Segoe UI"/>
          <w:color w:val="000000"/>
          <w:sz w:val="22"/>
          <w:szCs w:val="22"/>
        </w:rPr>
        <w:t xml:space="preserve"> in 2014.</w:t>
      </w:r>
      <w:r>
        <w:rPr>
          <w:rStyle w:val="FootnoteReference"/>
          <w:rFonts w:ascii="Proxima Nova Rg" w:hAnsi="Proxima Nova Rg"/>
          <w:color w:val="000000"/>
          <w:sz w:val="22"/>
          <w:szCs w:val="22"/>
        </w:rPr>
        <w:footnoteReference w:id="12"/>
      </w:r>
    </w:p>
    <w:p w14:paraId="108DBD93" w14:textId="77777777" w:rsidR="00506888" w:rsidRPr="00506888" w:rsidRDefault="00506888" w:rsidP="00506888">
      <w:pPr>
        <w:pStyle w:val="ListParagraph"/>
        <w:rPr>
          <w:rStyle w:val="normaltextrun"/>
          <w:rFonts w:ascii="Proxima Nova Rg" w:hAnsi="Proxima Nova Rg" w:cstheme="minorHAnsi"/>
          <w:bCs/>
        </w:rPr>
      </w:pPr>
    </w:p>
    <w:p w14:paraId="033C4B51" w14:textId="77777777" w:rsidR="00506888" w:rsidRPr="00506888" w:rsidRDefault="00506888" w:rsidP="00506888">
      <w:pPr>
        <w:pStyle w:val="ListParagraph"/>
        <w:numPr>
          <w:ilvl w:val="1"/>
          <w:numId w:val="23"/>
        </w:numPr>
        <w:spacing w:after="120"/>
        <w:rPr>
          <w:rFonts w:ascii="Proxima Nova Rg" w:hAnsi="Proxima Nova Rg" w:cstheme="minorHAnsi"/>
          <w:bCs/>
        </w:rPr>
      </w:pPr>
      <w:r w:rsidRPr="00506888">
        <w:rPr>
          <w:rFonts w:ascii="Proxima Nova Rg" w:hAnsi="Proxima Nova Rg" w:cstheme="minorHAnsi"/>
          <w:b/>
          <w:bCs/>
          <w:i/>
        </w:rPr>
        <w:t xml:space="preserve">CEDAW:  </w:t>
      </w:r>
      <w:r w:rsidRPr="00506888">
        <w:rPr>
          <w:rFonts w:ascii="Proxima Nova Rg" w:hAnsi="Proxima Nova Rg" w:cstheme="minorHAnsi"/>
          <w:iCs/>
          <w:sz w:val="22"/>
          <w:szCs w:val="22"/>
        </w:rPr>
        <w:t xml:space="preserve">The Committee on the Elimination and Discrimination against Women recommended that Burundi ban corporal punishment and that </w:t>
      </w:r>
      <w:r w:rsidRPr="00506888">
        <w:rPr>
          <w:rFonts w:ascii="Proxima Nova Rg" w:hAnsi="Proxima Nova Rg" w:cstheme="minorHAnsi"/>
          <w:sz w:val="22"/>
          <w:szCs w:val="22"/>
        </w:rPr>
        <w:t xml:space="preserve">victims are ensured access to </w:t>
      </w:r>
      <w:proofErr w:type="gramStart"/>
      <w:r w:rsidRPr="00506888">
        <w:rPr>
          <w:rFonts w:ascii="Proxima Nova Rg" w:hAnsi="Proxima Nova Rg" w:cstheme="minorHAnsi"/>
          <w:sz w:val="22"/>
          <w:szCs w:val="22"/>
        </w:rPr>
        <w:t>health-care</w:t>
      </w:r>
      <w:proofErr w:type="gramEnd"/>
      <w:r w:rsidRPr="00506888">
        <w:rPr>
          <w:rFonts w:ascii="Proxima Nova Rg" w:hAnsi="Proxima Nova Rg" w:cstheme="minorHAnsi"/>
          <w:sz w:val="22"/>
          <w:szCs w:val="22"/>
        </w:rPr>
        <w:t>, psychological services and reparations.</w:t>
      </w:r>
      <w:r w:rsidRPr="008F509C">
        <w:rPr>
          <w:rStyle w:val="FootnoteReference"/>
          <w:rFonts w:ascii="Proxima Nova Rg" w:hAnsi="Proxima Nova Rg"/>
          <w:sz w:val="22"/>
          <w:szCs w:val="22"/>
        </w:rPr>
        <w:footnoteReference w:id="13"/>
      </w:r>
    </w:p>
    <w:p w14:paraId="5E5ACCF1" w14:textId="77777777" w:rsidR="00506888" w:rsidRPr="00506888" w:rsidRDefault="00506888" w:rsidP="00506888">
      <w:pPr>
        <w:pStyle w:val="ListParagraph"/>
        <w:rPr>
          <w:rFonts w:ascii="Proxima Nova Rg" w:hAnsi="Proxima Nova Rg" w:cstheme="minorHAnsi"/>
          <w:bCs/>
        </w:rPr>
      </w:pPr>
    </w:p>
    <w:p w14:paraId="2680E727" w14:textId="5392EFF3" w:rsidR="00506888" w:rsidRPr="00506888" w:rsidRDefault="00506888" w:rsidP="00506888">
      <w:pPr>
        <w:pStyle w:val="ListParagraph"/>
        <w:numPr>
          <w:ilvl w:val="1"/>
          <w:numId w:val="23"/>
        </w:numPr>
        <w:spacing w:after="120"/>
        <w:rPr>
          <w:rFonts w:ascii="Proxima Nova Rg" w:hAnsi="Proxima Nova Rg" w:cstheme="minorHAnsi"/>
          <w:bCs/>
        </w:rPr>
      </w:pPr>
      <w:r w:rsidRPr="00506888">
        <w:rPr>
          <w:rFonts w:ascii="Proxima Nova Rg" w:hAnsi="Proxima Nova Rg" w:cstheme="minorHAnsi"/>
          <w:b/>
          <w:i/>
          <w:iCs/>
        </w:rPr>
        <w:t>ACERWC:</w:t>
      </w:r>
      <w:r w:rsidRPr="00506888">
        <w:rPr>
          <w:rFonts w:ascii="Proxima Nova Rg" w:hAnsi="Proxima Nova Rg" w:cstheme="minorHAnsi"/>
          <w:bCs/>
        </w:rPr>
        <w:t xml:space="preserve"> </w:t>
      </w:r>
      <w:r w:rsidRPr="00506888">
        <w:rPr>
          <w:rFonts w:ascii="Proxima Nova Rg" w:hAnsi="Proxima Nova Rg" w:cstheme="minorHAnsi"/>
          <w:bCs/>
          <w:sz w:val="22"/>
          <w:szCs w:val="22"/>
        </w:rPr>
        <w:t xml:space="preserve">In 2021, the African Committee of Experts on the Rights and Welfare of the Child </w:t>
      </w:r>
      <w:r w:rsidRPr="00506888">
        <w:rPr>
          <w:rFonts w:ascii="Proxima Nova Rg" w:hAnsi="Proxima Nova Rg"/>
          <w:sz w:val="22"/>
          <w:szCs w:val="22"/>
        </w:rPr>
        <w:t>recommended that Burundi “</w:t>
      </w:r>
      <w:r w:rsidRPr="00506888">
        <w:rPr>
          <w:rFonts w:ascii="Proxima Nova Rg" w:hAnsi="Proxima Nova Rg" w:cstheme="minorHAnsi"/>
          <w:sz w:val="22"/>
          <w:szCs w:val="22"/>
        </w:rPr>
        <w:t>sanction teachers who perpetrate corporal punishment and further ban corporal punishment at home setting”.</w:t>
      </w:r>
      <w:r>
        <w:rPr>
          <w:rStyle w:val="FootnoteReference"/>
          <w:rFonts w:ascii="Proxima Nova Rg" w:hAnsi="Proxima Nova Rg"/>
          <w:sz w:val="22"/>
          <w:szCs w:val="22"/>
        </w:rPr>
        <w:footnoteReference w:id="14"/>
      </w:r>
    </w:p>
    <w:p w14:paraId="7A7E1BF3" w14:textId="77777777" w:rsidR="00506888" w:rsidRPr="00506888" w:rsidRDefault="00506888" w:rsidP="00506888">
      <w:pPr>
        <w:pStyle w:val="ListParagraph"/>
        <w:rPr>
          <w:rFonts w:ascii="Proxima Nova Rg" w:hAnsi="Proxima Nova Rg" w:cstheme="minorHAnsi"/>
          <w:bCs/>
        </w:rPr>
      </w:pPr>
    </w:p>
    <w:p w14:paraId="748E7835" w14:textId="5CC5EDF0" w:rsidR="00506888" w:rsidRPr="00506888" w:rsidRDefault="00506888" w:rsidP="00506888">
      <w:pPr>
        <w:pStyle w:val="ListParagraph"/>
        <w:numPr>
          <w:ilvl w:val="1"/>
          <w:numId w:val="23"/>
        </w:numPr>
        <w:spacing w:after="120"/>
        <w:rPr>
          <w:rFonts w:ascii="Proxima Nova Rg" w:hAnsi="Proxima Nova Rg" w:cstheme="minorHAnsi"/>
          <w:bCs/>
        </w:rPr>
      </w:pPr>
      <w:r w:rsidRPr="00506888">
        <w:rPr>
          <w:rFonts w:ascii="Proxima Nova Rg" w:hAnsi="Proxima Nova Rg" w:cstheme="minorHAnsi"/>
          <w:b/>
          <w:bCs/>
          <w:i/>
        </w:rPr>
        <w:t>UPR:</w:t>
      </w:r>
      <w:r w:rsidRPr="00506888">
        <w:rPr>
          <w:rFonts w:ascii="Proxima Nova Rg" w:hAnsi="Proxima Nova Rg" w:cstheme="minorHAnsi"/>
          <w:b/>
          <w:bCs/>
        </w:rPr>
        <w:t xml:space="preserve"> </w:t>
      </w:r>
      <w:r w:rsidRPr="00506888">
        <w:rPr>
          <w:rFonts w:ascii="Proxima Nova Rg" w:hAnsi="Proxima Nova Rg" w:cstheme="minorHAnsi"/>
          <w:bCs/>
          <w:sz w:val="22"/>
          <w:szCs w:val="22"/>
        </w:rPr>
        <w:t>At the third cycle of the Universal Periodic Review of Burundi in 2018, a recommendation to put an end to corporal punishment in all settings was made.</w:t>
      </w:r>
      <w:r w:rsidRPr="00DD169A">
        <w:rPr>
          <w:rStyle w:val="FootnoteReference"/>
          <w:rFonts w:ascii="Proxima Nova Rg" w:hAnsi="Proxima Nova Rg"/>
          <w:bCs/>
          <w:sz w:val="22"/>
          <w:szCs w:val="22"/>
        </w:rPr>
        <w:footnoteReference w:id="15"/>
      </w:r>
      <w:r w:rsidRPr="00506888">
        <w:rPr>
          <w:rFonts w:ascii="Proxima Nova Rg" w:hAnsi="Proxima Nova Rg" w:cstheme="minorHAnsi"/>
          <w:bCs/>
          <w:sz w:val="22"/>
          <w:szCs w:val="22"/>
        </w:rPr>
        <w:t xml:space="preserve"> </w:t>
      </w:r>
      <w:r w:rsidRPr="00506888">
        <w:rPr>
          <w:rFonts w:ascii="Proxima Nova Rg" w:hAnsi="Proxima Nova Rg" w:cstheme="minorHAnsi"/>
          <w:sz w:val="22"/>
          <w:szCs w:val="22"/>
        </w:rPr>
        <w:t>The Government accepted the recommendation, stating generally that supported recommendations were (unofficial translation) “of priority national interest and Burundi would take all measures needed to implement them”.</w:t>
      </w:r>
      <w:r w:rsidRPr="00131B13">
        <w:rPr>
          <w:rStyle w:val="FootnoteReference"/>
          <w:rFonts w:ascii="Proxima Nova Rg" w:hAnsi="Proxima Nova Rg" w:cstheme="minorHAnsi"/>
          <w:sz w:val="22"/>
          <w:szCs w:val="22"/>
        </w:rPr>
        <w:footnoteReference w:id="16"/>
      </w: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BA270B">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BE7D2" w14:textId="77777777" w:rsidR="00E21550" w:rsidRDefault="00E21550" w:rsidP="00323C9D">
      <w:r>
        <w:separator/>
      </w:r>
    </w:p>
    <w:p w14:paraId="1C9968BD" w14:textId="77777777" w:rsidR="00E21550" w:rsidRDefault="00E21550"/>
  </w:endnote>
  <w:endnote w:type="continuationSeparator" w:id="0">
    <w:p w14:paraId="60FD8505" w14:textId="77777777" w:rsidR="00E21550" w:rsidRDefault="00E21550" w:rsidP="00323C9D">
      <w:r>
        <w:continuationSeparator/>
      </w:r>
    </w:p>
    <w:p w14:paraId="78E4F524" w14:textId="77777777" w:rsidR="00E21550" w:rsidRDefault="00E21550"/>
  </w:endnote>
  <w:endnote w:type="continuationNotice" w:id="1">
    <w:p w14:paraId="6CA8BB9F" w14:textId="77777777" w:rsidR="00E21550" w:rsidRDefault="00E21550"/>
    <w:p w14:paraId="2032AD04" w14:textId="77777777" w:rsidR="00E21550" w:rsidRDefault="00E215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53BFA" w14:textId="77777777" w:rsidR="00E21550" w:rsidRDefault="00E21550" w:rsidP="00323C9D">
      <w:r>
        <w:separator/>
      </w:r>
    </w:p>
    <w:p w14:paraId="4BBAC295" w14:textId="77777777" w:rsidR="00E21550" w:rsidRDefault="00E21550"/>
  </w:footnote>
  <w:footnote w:type="continuationSeparator" w:id="0">
    <w:p w14:paraId="43C5EF4D" w14:textId="77777777" w:rsidR="00E21550" w:rsidRDefault="00E21550" w:rsidP="00323C9D">
      <w:r>
        <w:continuationSeparator/>
      </w:r>
    </w:p>
    <w:p w14:paraId="1B7A39D0" w14:textId="77777777" w:rsidR="00E21550" w:rsidRDefault="00E21550"/>
  </w:footnote>
  <w:footnote w:type="continuationNotice" w:id="1">
    <w:p w14:paraId="5371B1D0" w14:textId="77777777" w:rsidR="00E21550" w:rsidRDefault="00E21550"/>
    <w:p w14:paraId="4BBF55C6" w14:textId="77777777" w:rsidR="00E21550" w:rsidRDefault="00E21550"/>
  </w:footnote>
  <w:footnote w:id="2">
    <w:p w14:paraId="1118CEFA" w14:textId="02720526" w:rsidR="00D81651" w:rsidRPr="00AD7740" w:rsidRDefault="00D81651" w:rsidP="00D81651">
      <w:pPr>
        <w:pStyle w:val="FootnoteText"/>
        <w:rPr>
          <w:lang w:val="en-US"/>
        </w:rPr>
      </w:pPr>
      <w:r>
        <w:rPr>
          <w:rStyle w:val="FootnoteReference"/>
        </w:rPr>
        <w:footnoteRef/>
      </w:r>
      <w:r>
        <w:t xml:space="preserve"> </w:t>
      </w:r>
      <w:r>
        <w:rPr>
          <w:rFonts w:ascii="Proxima Nova Rg" w:hAnsi="Proxima Nova Rg"/>
          <w:sz w:val="18"/>
          <w:szCs w:val="18"/>
        </w:rPr>
        <w:t xml:space="preserve">14 February 2022, </w:t>
      </w:r>
      <w:r w:rsidRPr="00E07B4D">
        <w:rPr>
          <w:rFonts w:ascii="Proxima Nova Rg" w:hAnsi="Proxima Nova Rg"/>
          <w:sz w:val="18"/>
          <w:szCs w:val="18"/>
        </w:rPr>
        <w:t>CAT/C/</w:t>
      </w:r>
      <w:r>
        <w:rPr>
          <w:rFonts w:ascii="Proxima Nova Rg" w:hAnsi="Proxima Nova Rg"/>
          <w:sz w:val="18"/>
          <w:szCs w:val="18"/>
        </w:rPr>
        <w:t>BDI</w:t>
      </w:r>
      <w:r w:rsidRPr="00E07B4D">
        <w:rPr>
          <w:rFonts w:ascii="Proxima Nova Rg" w:hAnsi="Proxima Nova Rg"/>
          <w:sz w:val="18"/>
          <w:szCs w:val="18"/>
        </w:rPr>
        <w:t>/</w:t>
      </w:r>
      <w:r>
        <w:rPr>
          <w:rFonts w:ascii="Proxima Nova Rg" w:hAnsi="Proxima Nova Rg"/>
          <w:sz w:val="18"/>
          <w:szCs w:val="18"/>
        </w:rPr>
        <w:t>3</w:t>
      </w:r>
      <w:r w:rsidRPr="00E07B4D">
        <w:rPr>
          <w:rFonts w:ascii="Proxima Nova Rg" w:hAnsi="Proxima Nova Rg"/>
          <w:sz w:val="18"/>
          <w:szCs w:val="18"/>
        </w:rPr>
        <w:t xml:space="preserve">, </w:t>
      </w:r>
      <w:r w:rsidR="00B97C9B">
        <w:rPr>
          <w:rFonts w:ascii="Proxima Nova Rg" w:hAnsi="Proxima Nova Rg"/>
          <w:sz w:val="18"/>
          <w:szCs w:val="18"/>
        </w:rPr>
        <w:t>Third</w:t>
      </w:r>
      <w:r w:rsidRPr="00E07B4D">
        <w:rPr>
          <w:rFonts w:ascii="Proxima Nova Rg" w:hAnsi="Proxima Nova Rg"/>
          <w:sz w:val="18"/>
          <w:szCs w:val="18"/>
        </w:rPr>
        <w:t xml:space="preserve"> periodic report submitted by </w:t>
      </w:r>
      <w:r w:rsidR="00B97C9B">
        <w:rPr>
          <w:rFonts w:ascii="Proxima Nova Rg" w:hAnsi="Proxima Nova Rg"/>
          <w:sz w:val="18"/>
          <w:szCs w:val="18"/>
        </w:rPr>
        <w:t>Burundi</w:t>
      </w:r>
      <w:r w:rsidRPr="00E07B4D">
        <w:rPr>
          <w:rFonts w:ascii="Proxima Nova Rg" w:hAnsi="Proxima Nova Rg"/>
          <w:sz w:val="18"/>
          <w:szCs w:val="18"/>
        </w:rPr>
        <w:t xml:space="preserve"> under article 19 of the Convention, due in 20</w:t>
      </w:r>
      <w:r>
        <w:rPr>
          <w:rFonts w:ascii="Proxima Nova Rg" w:hAnsi="Proxima Nova Rg"/>
          <w:sz w:val="18"/>
          <w:szCs w:val="18"/>
        </w:rPr>
        <w:t>1</w:t>
      </w:r>
      <w:r w:rsidR="00B97C9B">
        <w:rPr>
          <w:rFonts w:ascii="Proxima Nova Rg" w:hAnsi="Proxima Nova Rg"/>
          <w:sz w:val="18"/>
          <w:szCs w:val="18"/>
        </w:rPr>
        <w:t>8</w:t>
      </w:r>
      <w:r>
        <w:rPr>
          <w:rFonts w:ascii="Proxima Nova Rg" w:hAnsi="Proxima Nova Rg"/>
          <w:sz w:val="18"/>
          <w:szCs w:val="18"/>
        </w:rPr>
        <w:t>, para. 91</w:t>
      </w:r>
    </w:p>
  </w:footnote>
  <w:footnote w:id="3">
    <w:p w14:paraId="733B294C" w14:textId="77777777" w:rsidR="00D81651" w:rsidRPr="00FB318A" w:rsidRDefault="00D81651" w:rsidP="00D81651">
      <w:pPr>
        <w:pStyle w:val="FootnoteText"/>
        <w:rPr>
          <w:rFonts w:ascii="Proxima Nova Rg" w:hAnsi="Proxima Nova Rg" w:cstheme="minorHAnsi"/>
          <w:sz w:val="18"/>
          <w:szCs w:val="18"/>
        </w:rPr>
      </w:pPr>
      <w:r w:rsidRPr="00FB318A">
        <w:rPr>
          <w:rStyle w:val="FootnoteReference"/>
          <w:rFonts w:ascii="Proxima Nova Rg" w:hAnsi="Proxima Nova Rg" w:cstheme="minorHAnsi"/>
          <w:sz w:val="18"/>
          <w:szCs w:val="18"/>
        </w:rPr>
        <w:footnoteRef/>
      </w:r>
      <w:r w:rsidRPr="00FB318A">
        <w:rPr>
          <w:rFonts w:ascii="Proxima Nova Rg" w:hAnsi="Proxima Nova Rg" w:cstheme="minorHAnsi"/>
          <w:sz w:val="18"/>
          <w:szCs w:val="18"/>
        </w:rPr>
        <w:t xml:space="preserve"> </w:t>
      </w:r>
      <w:r w:rsidRPr="00FB318A">
        <w:rPr>
          <w:rFonts w:ascii="Proxima Nova Rg" w:eastAsia="Calibri" w:hAnsi="Proxima Nova Rg" w:cstheme="minorHAnsi"/>
          <w:sz w:val="18"/>
          <w:szCs w:val="18"/>
          <w:lang w:val="en-US"/>
        </w:rPr>
        <w:t>Law No. 1/05 of 22 April 2009, on the revision of the Penal Code (Loi N°1 / 05 du 22 avril 2009 portant révision du Code penal)</w:t>
      </w:r>
    </w:p>
  </w:footnote>
  <w:footnote w:id="4">
    <w:p w14:paraId="3FAC3E66" w14:textId="77777777" w:rsidR="00D81651" w:rsidRPr="00FB318A" w:rsidRDefault="00D81651" w:rsidP="00D81651">
      <w:pPr>
        <w:pStyle w:val="FootnoteText"/>
        <w:rPr>
          <w:rFonts w:ascii="Proxima Nova Rg" w:hAnsi="Proxima Nova Rg" w:cstheme="minorHAnsi"/>
          <w:sz w:val="18"/>
          <w:szCs w:val="18"/>
        </w:rPr>
      </w:pPr>
      <w:r w:rsidRPr="00FB318A">
        <w:rPr>
          <w:rStyle w:val="FootnoteReference"/>
          <w:rFonts w:ascii="Proxima Nova Rg" w:hAnsi="Proxima Nova Rg" w:cstheme="minorHAnsi"/>
          <w:sz w:val="18"/>
          <w:szCs w:val="18"/>
        </w:rPr>
        <w:footnoteRef/>
      </w:r>
      <w:r w:rsidRPr="00FB318A">
        <w:rPr>
          <w:rFonts w:ascii="Proxima Nova Rg" w:hAnsi="Proxima Nova Rg" w:cstheme="minorHAnsi"/>
          <w:sz w:val="18"/>
          <w:szCs w:val="18"/>
        </w:rPr>
        <w:t xml:space="preserve"> 30 June 2016, CEDAW/C/BDI/Q/5-6/Add.1, Reply to the list of issues on fifth/sixth report, para. 51</w:t>
      </w:r>
    </w:p>
  </w:footnote>
  <w:footnote w:id="5">
    <w:p w14:paraId="0105FF94" w14:textId="77777777" w:rsidR="00D81651" w:rsidRPr="00FB318A" w:rsidRDefault="00D81651" w:rsidP="00D81651">
      <w:pPr>
        <w:pStyle w:val="FootnoteText"/>
        <w:rPr>
          <w:rFonts w:ascii="Proxima Nova Rg" w:hAnsi="Proxima Nova Rg" w:cstheme="minorHAnsi"/>
          <w:sz w:val="18"/>
          <w:szCs w:val="18"/>
          <w:lang w:val="en-US"/>
        </w:rPr>
      </w:pPr>
      <w:r w:rsidRPr="00FB318A">
        <w:rPr>
          <w:rStyle w:val="FootnoteReference"/>
          <w:rFonts w:ascii="Proxima Nova Rg" w:hAnsi="Proxima Nova Rg" w:cstheme="minorHAnsi"/>
          <w:sz w:val="18"/>
          <w:szCs w:val="18"/>
        </w:rPr>
        <w:footnoteRef/>
      </w:r>
      <w:r w:rsidRPr="00FB318A">
        <w:rPr>
          <w:rFonts w:ascii="Proxima Nova Rg" w:hAnsi="Proxima Nova Rg" w:cstheme="minorHAnsi"/>
          <w:sz w:val="18"/>
          <w:szCs w:val="18"/>
        </w:rPr>
        <w:t xml:space="preserve"> 21 November 2012, A/HRC/WG.15/BDI/1, National report to the UPR, para. 82</w:t>
      </w:r>
    </w:p>
  </w:footnote>
  <w:footnote w:id="6">
    <w:p w14:paraId="1E4E4AB1" w14:textId="77777777" w:rsidR="00D81651" w:rsidRPr="00FB318A" w:rsidRDefault="00D81651" w:rsidP="00D81651">
      <w:pPr>
        <w:pStyle w:val="FootnoteText"/>
        <w:rPr>
          <w:rFonts w:ascii="Proxima Nova Rg" w:hAnsi="Proxima Nova Rg" w:cstheme="minorHAnsi"/>
          <w:sz w:val="18"/>
          <w:szCs w:val="18"/>
        </w:rPr>
      </w:pPr>
      <w:r w:rsidRPr="00FB318A">
        <w:rPr>
          <w:rStyle w:val="FootnoteReference"/>
          <w:rFonts w:ascii="Proxima Nova Rg" w:hAnsi="Proxima Nova Rg" w:cstheme="minorHAnsi"/>
          <w:sz w:val="18"/>
          <w:szCs w:val="18"/>
        </w:rPr>
        <w:footnoteRef/>
      </w:r>
      <w:r w:rsidRPr="00FB318A">
        <w:rPr>
          <w:rFonts w:ascii="Proxima Nova Rg" w:hAnsi="Proxima Nova Rg" w:cstheme="minorHAnsi"/>
          <w:sz w:val="18"/>
          <w:szCs w:val="18"/>
        </w:rPr>
        <w:t xml:space="preserve"> 30 June 2016, CEDAW/C/BDI/Q/5-6/Add.1, Reply to the list of issues on fifth/sixth report, para. 71</w:t>
      </w:r>
    </w:p>
  </w:footnote>
  <w:footnote w:id="7">
    <w:p w14:paraId="3C942106" w14:textId="77777777" w:rsidR="00D81651" w:rsidRPr="00DC4E26" w:rsidRDefault="00D81651" w:rsidP="00D81651">
      <w:pPr>
        <w:pStyle w:val="FootnoteText"/>
        <w:rPr>
          <w:rFonts w:asciiTheme="minorHAnsi" w:hAnsiTheme="minorHAnsi" w:cstheme="minorHAnsi"/>
        </w:rPr>
      </w:pPr>
      <w:r w:rsidRPr="00FB318A">
        <w:rPr>
          <w:rStyle w:val="FootnoteReference"/>
          <w:rFonts w:ascii="Proxima Nova Rg" w:hAnsi="Proxima Nova Rg" w:cstheme="minorHAnsi"/>
          <w:sz w:val="18"/>
          <w:szCs w:val="18"/>
        </w:rPr>
        <w:footnoteRef/>
      </w:r>
      <w:r w:rsidRPr="00FB318A">
        <w:rPr>
          <w:rFonts w:ascii="Proxima Nova Rg" w:hAnsi="Proxima Nova Rg" w:cstheme="minorHAnsi"/>
          <w:sz w:val="18"/>
          <w:szCs w:val="18"/>
        </w:rPr>
        <w:t xml:space="preserve"> November 2018, information provided to the Global Initiative; see also [August 2017], Initial report to the African Committee of Experts on the Rights and Welfare of the Child, para. 10(9)</w:t>
      </w:r>
    </w:p>
  </w:footnote>
  <w:footnote w:id="8">
    <w:p w14:paraId="3C3B2C4C" w14:textId="77777777" w:rsidR="00D81651" w:rsidRPr="00FB318A" w:rsidRDefault="00D81651" w:rsidP="00D81651">
      <w:pPr>
        <w:pStyle w:val="FootnoteText"/>
        <w:rPr>
          <w:rFonts w:ascii="Proxima Nova Rg" w:hAnsi="Proxima Nova Rg" w:cstheme="minorHAnsi"/>
          <w:sz w:val="18"/>
          <w:szCs w:val="18"/>
          <w:lang w:val="en-US"/>
        </w:rPr>
      </w:pPr>
      <w:r w:rsidRPr="00FB318A">
        <w:rPr>
          <w:rStyle w:val="FootnoteReference"/>
          <w:rFonts w:ascii="Proxima Nova Rg" w:hAnsi="Proxima Nova Rg" w:cstheme="minorHAnsi"/>
          <w:sz w:val="18"/>
          <w:szCs w:val="18"/>
        </w:rPr>
        <w:footnoteRef/>
      </w:r>
      <w:r w:rsidRPr="00FB318A">
        <w:rPr>
          <w:rFonts w:ascii="Proxima Nova Rg" w:hAnsi="Proxima Nova Rg" w:cstheme="minorHAnsi"/>
          <w:sz w:val="18"/>
          <w:szCs w:val="18"/>
        </w:rPr>
        <w:t xml:space="preserve"> 1 September 2010, CRC/C/BDI/Q/2/Add.1, Reply to list of issues; </w:t>
      </w:r>
      <w:r w:rsidRPr="00FB318A">
        <w:rPr>
          <w:rFonts w:ascii="Proxima Nova Rg" w:eastAsia="Calibri" w:hAnsi="Proxima Nova Rg" w:cstheme="minorHAnsi"/>
          <w:sz w:val="18"/>
          <w:szCs w:val="18"/>
          <w:lang w:val="en-US"/>
        </w:rPr>
        <w:t xml:space="preserve">23 September 2014, CCPR/C/BDI/Q/2/Add.1, Reply to list of issues, para. 49; </w:t>
      </w:r>
      <w:r w:rsidRPr="00FB318A">
        <w:rPr>
          <w:rFonts w:ascii="Proxima Nova Rg" w:hAnsi="Proxima Nova Rg" w:cstheme="minorHAnsi"/>
          <w:sz w:val="18"/>
          <w:szCs w:val="18"/>
        </w:rPr>
        <w:t>[August 2017], Initial report to the African Committee of Experts on the Rights and Welfare of the Child, para. 82</w:t>
      </w:r>
    </w:p>
  </w:footnote>
  <w:footnote w:id="9">
    <w:p w14:paraId="5A94BD02" w14:textId="77777777" w:rsidR="00D81651" w:rsidRPr="002704A5" w:rsidRDefault="00D81651" w:rsidP="00D81651">
      <w:pPr>
        <w:pStyle w:val="FootnoteText"/>
        <w:rPr>
          <w:rFonts w:ascii="Proxima Nova Rg" w:hAnsi="Proxima Nova Rg" w:cstheme="minorHAnsi"/>
          <w:sz w:val="18"/>
          <w:szCs w:val="18"/>
        </w:rPr>
      </w:pPr>
      <w:r w:rsidRPr="002704A5">
        <w:rPr>
          <w:rStyle w:val="FootnoteReference"/>
          <w:rFonts w:ascii="Proxima Nova Rg" w:hAnsi="Proxima Nova Rg" w:cstheme="minorHAnsi"/>
          <w:sz w:val="18"/>
          <w:szCs w:val="18"/>
        </w:rPr>
        <w:footnoteRef/>
      </w:r>
      <w:r w:rsidRPr="002704A5">
        <w:rPr>
          <w:rFonts w:ascii="Proxima Nova Rg" w:hAnsi="Proxima Nova Rg" w:cstheme="minorHAnsi"/>
          <w:sz w:val="18"/>
          <w:szCs w:val="18"/>
        </w:rPr>
        <w:t xml:space="preserve"> </w:t>
      </w:r>
      <w:r w:rsidRPr="002704A5">
        <w:rPr>
          <w:rFonts w:ascii="Proxima Nova Rg" w:eastAsia="Calibri" w:hAnsi="Proxima Nova Rg" w:cstheme="minorHAnsi"/>
          <w:sz w:val="18"/>
          <w:szCs w:val="18"/>
          <w:lang w:val="en-US"/>
        </w:rPr>
        <w:t>23 September 2014, CCPR/C/BDI/Q/2/Add.1, Reply to list of issues, para. 49, para. 50</w:t>
      </w:r>
    </w:p>
  </w:footnote>
  <w:footnote w:id="10">
    <w:p w14:paraId="18A687A9" w14:textId="77777777" w:rsidR="00506888" w:rsidRPr="00305DB1" w:rsidRDefault="00506888" w:rsidP="00506888">
      <w:pPr>
        <w:pStyle w:val="FootnoteText"/>
        <w:rPr>
          <w:rFonts w:ascii="Proxima Nova Rg" w:hAnsi="Proxima Nova Rg"/>
          <w:sz w:val="18"/>
          <w:szCs w:val="18"/>
          <w:lang w:val="en-US"/>
        </w:rPr>
      </w:pPr>
      <w:r w:rsidRPr="00305DB1">
        <w:rPr>
          <w:rStyle w:val="FootnoteReference"/>
          <w:rFonts w:ascii="Proxima Nova Rg" w:hAnsi="Proxima Nova Rg"/>
          <w:sz w:val="18"/>
          <w:szCs w:val="18"/>
        </w:rPr>
        <w:footnoteRef/>
      </w:r>
      <w:r w:rsidRPr="00305DB1">
        <w:rPr>
          <w:rFonts w:ascii="Proxima Nova Rg" w:hAnsi="Proxima Nova Rg"/>
          <w:sz w:val="18"/>
          <w:szCs w:val="18"/>
        </w:rPr>
        <w:t xml:space="preserve"> </w:t>
      </w:r>
      <w:r w:rsidRPr="00305DB1">
        <w:rPr>
          <w:rFonts w:ascii="Proxima Nova Rg" w:hAnsi="Proxima Nova Rg" w:cstheme="minorHAnsi"/>
          <w:sz w:val="18"/>
          <w:szCs w:val="18"/>
        </w:rPr>
        <w:t>16 October 2000, CRC/C/15/Add.133, Concluding observations on initial report, paras. 40 and 41</w:t>
      </w:r>
    </w:p>
  </w:footnote>
  <w:footnote w:id="11">
    <w:p w14:paraId="47AF225B" w14:textId="77777777" w:rsidR="00506888" w:rsidRPr="004C2803" w:rsidRDefault="00506888" w:rsidP="00506888">
      <w:pPr>
        <w:pStyle w:val="FootnoteText"/>
        <w:rPr>
          <w:rFonts w:asciiTheme="minorHAnsi" w:hAnsiTheme="minorHAnsi" w:cstheme="minorHAnsi"/>
          <w:lang w:eastAsia="en-US"/>
        </w:rPr>
      </w:pPr>
      <w:r w:rsidRPr="00305DB1">
        <w:rPr>
          <w:rStyle w:val="FootnoteReference"/>
          <w:rFonts w:ascii="Proxima Nova Rg" w:hAnsi="Proxima Nova Rg"/>
          <w:sz w:val="18"/>
          <w:szCs w:val="18"/>
        </w:rPr>
        <w:footnoteRef/>
      </w:r>
      <w:r w:rsidRPr="00305DB1">
        <w:rPr>
          <w:rFonts w:ascii="Proxima Nova Rg" w:hAnsi="Proxima Nova Rg" w:cstheme="minorHAnsi"/>
          <w:sz w:val="18"/>
          <w:szCs w:val="18"/>
        </w:rPr>
        <w:t xml:space="preserve"> </w:t>
      </w:r>
      <w:r w:rsidRPr="00305DB1">
        <w:rPr>
          <w:rFonts w:ascii="Proxima Nova Rg" w:hAnsi="Proxima Nova Rg" w:cstheme="minorHAnsi"/>
          <w:bCs/>
          <w:sz w:val="18"/>
          <w:szCs w:val="18"/>
        </w:rPr>
        <w:t>state party’s</w:t>
      </w:r>
      <w:r w:rsidRPr="00297E28">
        <w:rPr>
          <w:rFonts w:ascii="Proxima Nova Rg" w:hAnsi="Proxima Nova Rg" w:cstheme="minorHAnsi"/>
          <w:bCs/>
          <w:sz w:val="22"/>
          <w:szCs w:val="22"/>
        </w:rPr>
        <w:t xml:space="preserve"> </w:t>
      </w:r>
    </w:p>
  </w:footnote>
  <w:footnote w:id="12">
    <w:p w14:paraId="24C5CD3C" w14:textId="77777777" w:rsidR="00506888" w:rsidRPr="00305DB1" w:rsidRDefault="00506888" w:rsidP="00506888">
      <w:pPr>
        <w:pStyle w:val="FootnoteText"/>
        <w:rPr>
          <w:rFonts w:ascii="Proxima Nova Rg" w:hAnsi="Proxima Nova Rg"/>
          <w:sz w:val="18"/>
          <w:szCs w:val="18"/>
          <w:lang w:val="en-US"/>
        </w:rPr>
      </w:pPr>
      <w:r w:rsidRPr="00305DB1">
        <w:rPr>
          <w:rStyle w:val="FootnoteReference"/>
          <w:rFonts w:ascii="Proxima Nova Rg" w:hAnsi="Proxima Nova Rg"/>
          <w:sz w:val="18"/>
          <w:szCs w:val="18"/>
        </w:rPr>
        <w:footnoteRef/>
      </w:r>
      <w:r w:rsidRPr="00305DB1">
        <w:rPr>
          <w:rFonts w:ascii="Proxima Nova Rg" w:hAnsi="Proxima Nova Rg"/>
          <w:sz w:val="18"/>
          <w:szCs w:val="18"/>
        </w:rPr>
        <w:t xml:space="preserve"> </w:t>
      </w:r>
      <w:r w:rsidRPr="00305DB1">
        <w:rPr>
          <w:rFonts w:ascii="Proxima Nova Rg" w:hAnsi="Proxima Nova Rg" w:cstheme="minorHAnsi"/>
          <w:sz w:val="18"/>
          <w:szCs w:val="18"/>
        </w:rPr>
        <w:t>21 November 2014, CCPR/C/BDI/CO/2, Concluding observations on second report, para. 15</w:t>
      </w:r>
    </w:p>
  </w:footnote>
  <w:footnote w:id="13">
    <w:p w14:paraId="535F37E9" w14:textId="77777777" w:rsidR="00506888" w:rsidRPr="00305DB1" w:rsidRDefault="00506888" w:rsidP="00506888">
      <w:pPr>
        <w:pStyle w:val="FootnoteText"/>
        <w:rPr>
          <w:lang w:val="en-US"/>
        </w:rPr>
      </w:pPr>
      <w:r w:rsidRPr="00305DB1">
        <w:rPr>
          <w:rStyle w:val="FootnoteReference"/>
          <w:sz w:val="18"/>
          <w:szCs w:val="18"/>
        </w:rPr>
        <w:footnoteRef/>
      </w:r>
      <w:r w:rsidRPr="00305DB1">
        <w:rPr>
          <w:sz w:val="18"/>
          <w:szCs w:val="18"/>
        </w:rPr>
        <w:t xml:space="preserve"> </w:t>
      </w:r>
      <w:r w:rsidRPr="00305DB1">
        <w:rPr>
          <w:rFonts w:ascii="Proxima Nova Rg" w:hAnsi="Proxima Nova Rg" w:cstheme="minorHAnsi"/>
          <w:sz w:val="18"/>
          <w:szCs w:val="18"/>
        </w:rPr>
        <w:t>18 November 2016, CEDAW/C/BDI/CO/5-6, Concluding observations on fifth/sixth report, paras. 34 and 35</w:t>
      </w:r>
    </w:p>
  </w:footnote>
  <w:footnote w:id="14">
    <w:p w14:paraId="06F0B991" w14:textId="77777777" w:rsidR="00506888" w:rsidRPr="00305DB1" w:rsidRDefault="00506888" w:rsidP="00506888">
      <w:pPr>
        <w:pStyle w:val="FootnoteText"/>
        <w:rPr>
          <w:rFonts w:ascii="Proxima Nova Rg" w:hAnsi="Proxima Nova Rg"/>
          <w:sz w:val="18"/>
          <w:szCs w:val="18"/>
          <w:lang w:val="en-US"/>
        </w:rPr>
      </w:pPr>
      <w:r w:rsidRPr="00305DB1">
        <w:rPr>
          <w:rStyle w:val="FootnoteReference"/>
          <w:rFonts w:ascii="Proxima Nova Rg" w:hAnsi="Proxima Nova Rg"/>
          <w:sz w:val="18"/>
          <w:szCs w:val="18"/>
        </w:rPr>
        <w:footnoteRef/>
      </w:r>
      <w:r w:rsidRPr="00305DB1">
        <w:rPr>
          <w:rFonts w:ascii="Proxima Nova Rg" w:hAnsi="Proxima Nova Rg"/>
          <w:sz w:val="18"/>
          <w:szCs w:val="18"/>
        </w:rPr>
        <w:t xml:space="preserve"> </w:t>
      </w:r>
      <w:r w:rsidRPr="00305DB1">
        <w:rPr>
          <w:rFonts w:ascii="Proxima Nova Rg" w:hAnsi="Proxima Nova Rg" w:cstheme="minorHAnsi"/>
          <w:bCs/>
          <w:sz w:val="18"/>
          <w:szCs w:val="18"/>
          <w:lang w:val="en-CA"/>
        </w:rPr>
        <w:t>May 2021, Concluding observations on initial report, para. 24</w:t>
      </w:r>
    </w:p>
  </w:footnote>
  <w:footnote w:id="15">
    <w:p w14:paraId="5C0BB3EF" w14:textId="77777777" w:rsidR="00506888" w:rsidRPr="00305DB1" w:rsidRDefault="00506888" w:rsidP="00506888">
      <w:pPr>
        <w:pStyle w:val="FootnoteText"/>
        <w:rPr>
          <w:rFonts w:ascii="Proxima Nova Rg" w:hAnsi="Proxima Nova Rg"/>
          <w:sz w:val="18"/>
          <w:szCs w:val="18"/>
          <w:lang w:val="en-US"/>
        </w:rPr>
      </w:pPr>
      <w:r w:rsidRPr="00305DB1">
        <w:rPr>
          <w:rStyle w:val="FootnoteReference"/>
          <w:rFonts w:ascii="Proxima Nova Rg" w:hAnsi="Proxima Nova Rg"/>
          <w:sz w:val="18"/>
          <w:szCs w:val="18"/>
        </w:rPr>
        <w:footnoteRef/>
      </w:r>
      <w:r w:rsidRPr="00305DB1">
        <w:rPr>
          <w:rFonts w:ascii="Proxima Nova Rg" w:hAnsi="Proxima Nova Rg"/>
          <w:sz w:val="18"/>
          <w:szCs w:val="18"/>
        </w:rPr>
        <w:t xml:space="preserve"> </w:t>
      </w:r>
      <w:r w:rsidRPr="008F509C">
        <w:rPr>
          <w:rFonts w:ascii="Proxima Nova Rg" w:hAnsi="Proxima Nova Rg" w:cstheme="minorHAnsi"/>
          <w:sz w:val="18"/>
          <w:szCs w:val="18"/>
        </w:rPr>
        <w:t>19 April 2018, A/HRC/38/10, Report of the working group, para. 137(110)</w:t>
      </w:r>
    </w:p>
  </w:footnote>
  <w:footnote w:id="16">
    <w:p w14:paraId="4802C3DF" w14:textId="77777777" w:rsidR="00506888" w:rsidRPr="00DC4E26" w:rsidRDefault="00506888" w:rsidP="00506888">
      <w:pPr>
        <w:pStyle w:val="FootnoteText"/>
        <w:rPr>
          <w:rFonts w:asciiTheme="minorHAnsi" w:hAnsiTheme="minorHAnsi" w:cstheme="minorHAnsi"/>
          <w:lang w:val="en-US"/>
        </w:rPr>
      </w:pPr>
      <w:r w:rsidRPr="008F509C">
        <w:rPr>
          <w:rStyle w:val="FootnoteReference"/>
          <w:rFonts w:ascii="Proxima Nova Rg" w:hAnsi="Proxima Nova Rg" w:cstheme="minorHAnsi"/>
          <w:sz w:val="18"/>
          <w:szCs w:val="18"/>
        </w:rPr>
        <w:footnoteRef/>
      </w:r>
      <w:r w:rsidRPr="008F509C">
        <w:rPr>
          <w:rFonts w:ascii="Proxima Nova Rg" w:hAnsi="Proxima Nova Rg" w:cstheme="minorHAnsi"/>
          <w:sz w:val="18"/>
          <w:szCs w:val="18"/>
        </w:rPr>
        <w:t xml:space="preserve"> 6 June 2018, A/HRC/38/10/Add.1 Advance unedited version, Report of the working group: Addendum, para</w:t>
      </w:r>
      <w:r w:rsidRPr="00FB318A">
        <w:rPr>
          <w:rFonts w:ascii="Proxima Nova Rg" w:hAnsi="Proxima Nova Rg" w:cstheme="minorHAnsi"/>
          <w:sz w:val="18"/>
          <w:szCs w:val="18"/>
        </w:rPr>
        <w:t>.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06888"/>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1232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620A"/>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2B16"/>
    <w:rsid w:val="00B439AA"/>
    <w:rsid w:val="00B4688A"/>
    <w:rsid w:val="00B55607"/>
    <w:rsid w:val="00B612D8"/>
    <w:rsid w:val="00B64C3E"/>
    <w:rsid w:val="00B8659A"/>
    <w:rsid w:val="00B868B0"/>
    <w:rsid w:val="00B97C9B"/>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35670"/>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04C4"/>
    <w:rsid w:val="00D53AD4"/>
    <w:rsid w:val="00D7345E"/>
    <w:rsid w:val="00D7371D"/>
    <w:rsid w:val="00D74358"/>
    <w:rsid w:val="00D77A77"/>
    <w:rsid w:val="00D77C99"/>
    <w:rsid w:val="00D80B70"/>
    <w:rsid w:val="00D81651"/>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550"/>
    <w:rsid w:val="00E21A6B"/>
    <w:rsid w:val="00E31EB8"/>
    <w:rsid w:val="00E35A27"/>
    <w:rsid w:val="00E4270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150C0F7A-4BCD-4629-B7D0-768A18063C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Youssef Hamdan</cp:lastModifiedBy>
  <cp:revision>2</cp:revision>
  <cp:lastPrinted>2014-10-30T23:06:00Z</cp:lastPrinted>
  <dcterms:created xsi:type="dcterms:W3CDTF">2023-10-17T16:59:00Z</dcterms:created>
  <dcterms:modified xsi:type="dcterms:W3CDTF">2023-10-17T16:59:00Z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