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BBF" w:rsidRDefault="00416BBF">
      <w:pPr>
        <w:spacing w:line="360" w:lineRule="auto"/>
        <w:rPr>
          <w:rFonts w:ascii="Arial" w:eastAsia="Arial" w:hAnsi="Arial" w:cs="Arial"/>
          <w:sz w:val="24"/>
          <w:szCs w:val="24"/>
        </w:rPr>
      </w:pPr>
      <w:bookmarkStart w:id="0" w:name="_GoBack"/>
      <w:bookmarkEnd w:id="0"/>
    </w:p>
    <w:p w:rsidR="00416BBF" w:rsidRDefault="00416BBF">
      <w:pPr>
        <w:spacing w:line="360" w:lineRule="auto"/>
        <w:rPr>
          <w:rFonts w:ascii="Arial" w:eastAsia="Arial" w:hAnsi="Arial" w:cs="Arial"/>
          <w:sz w:val="24"/>
          <w:szCs w:val="24"/>
        </w:rPr>
      </w:pPr>
    </w:p>
    <w:p w:rsidR="00416BBF" w:rsidRDefault="00416BBF">
      <w:pPr>
        <w:spacing w:line="360" w:lineRule="auto"/>
        <w:rPr>
          <w:rFonts w:ascii="Arial" w:eastAsia="Arial" w:hAnsi="Arial" w:cs="Arial"/>
          <w:sz w:val="24"/>
          <w:szCs w:val="24"/>
        </w:rPr>
      </w:pPr>
    </w:p>
    <w:p w:rsidR="00416BBF" w:rsidRDefault="00416BBF">
      <w:pPr>
        <w:spacing w:line="360" w:lineRule="auto"/>
        <w:rPr>
          <w:rFonts w:ascii="Arial" w:eastAsia="Arial" w:hAnsi="Arial" w:cs="Arial"/>
          <w:sz w:val="24"/>
          <w:szCs w:val="24"/>
        </w:rPr>
      </w:pPr>
    </w:p>
    <w:p w:rsidR="00416BBF" w:rsidRDefault="00416BBF">
      <w:pPr>
        <w:spacing w:line="360" w:lineRule="auto"/>
        <w:rPr>
          <w:rFonts w:ascii="Arial" w:eastAsia="Arial" w:hAnsi="Arial" w:cs="Arial"/>
          <w:sz w:val="24"/>
          <w:szCs w:val="24"/>
        </w:rPr>
      </w:pPr>
    </w:p>
    <w:p w:rsidR="00416BBF" w:rsidRDefault="00416BBF">
      <w:pPr>
        <w:spacing w:line="360" w:lineRule="auto"/>
        <w:rPr>
          <w:rFonts w:ascii="Arial" w:eastAsia="Arial" w:hAnsi="Arial" w:cs="Arial"/>
          <w:sz w:val="24"/>
          <w:szCs w:val="24"/>
        </w:rPr>
      </w:pPr>
    </w:p>
    <w:p w:rsidR="00416BBF" w:rsidRDefault="00416BBF">
      <w:pPr>
        <w:spacing w:line="360" w:lineRule="auto"/>
        <w:rPr>
          <w:rFonts w:ascii="Arial" w:eastAsia="Arial" w:hAnsi="Arial" w:cs="Arial"/>
          <w:sz w:val="24"/>
          <w:szCs w:val="24"/>
        </w:rPr>
      </w:pPr>
    </w:p>
    <w:p w:rsidR="00416BBF" w:rsidRDefault="00416BBF">
      <w:pPr>
        <w:jc w:val="center"/>
        <w:rPr>
          <w:rFonts w:ascii="Arial" w:eastAsia="Arial" w:hAnsi="Arial" w:cs="Arial"/>
          <w:b/>
          <w:sz w:val="24"/>
          <w:szCs w:val="24"/>
        </w:rPr>
      </w:pPr>
    </w:p>
    <w:p w:rsidR="00416BBF" w:rsidRDefault="00C866F7">
      <w:pPr>
        <w:jc w:val="center"/>
        <w:rPr>
          <w:rFonts w:ascii="Arial" w:eastAsia="Arial" w:hAnsi="Arial" w:cs="Arial"/>
          <w:b/>
          <w:sz w:val="28"/>
          <w:szCs w:val="28"/>
        </w:rPr>
      </w:pPr>
      <w:r>
        <w:rPr>
          <w:rFonts w:ascii="Arial" w:eastAsia="Arial" w:hAnsi="Arial" w:cs="Arial"/>
          <w:b/>
          <w:sz w:val="28"/>
          <w:szCs w:val="28"/>
        </w:rPr>
        <w:t>REPORTE</w:t>
      </w:r>
    </w:p>
    <w:p w:rsidR="00416BBF" w:rsidRDefault="00C866F7">
      <w:pPr>
        <w:jc w:val="center"/>
        <w:rPr>
          <w:rFonts w:ascii="Arial" w:eastAsia="Arial" w:hAnsi="Arial" w:cs="Arial"/>
          <w:b/>
          <w:sz w:val="28"/>
          <w:szCs w:val="28"/>
        </w:rPr>
      </w:pPr>
      <w:r>
        <w:rPr>
          <w:rFonts w:ascii="Arial" w:eastAsia="Arial" w:hAnsi="Arial" w:cs="Arial"/>
          <w:b/>
          <w:sz w:val="28"/>
          <w:szCs w:val="28"/>
        </w:rPr>
        <w:t>GUATEMALA</w:t>
      </w:r>
    </w:p>
    <w:p w:rsidR="00416BBF" w:rsidRDefault="00C866F7">
      <w:pPr>
        <w:jc w:val="center"/>
        <w:rPr>
          <w:rFonts w:ascii="Arial" w:eastAsia="Arial" w:hAnsi="Arial" w:cs="Arial"/>
          <w:b/>
          <w:sz w:val="28"/>
          <w:szCs w:val="28"/>
        </w:rPr>
      </w:pPr>
      <w:r>
        <w:rPr>
          <w:rFonts w:ascii="Arial" w:eastAsia="Arial" w:hAnsi="Arial" w:cs="Arial"/>
          <w:b/>
          <w:sz w:val="28"/>
          <w:szCs w:val="28"/>
        </w:rPr>
        <w:t>72 SESIÓN</w:t>
      </w:r>
    </w:p>
    <w:p w:rsidR="00416BBF" w:rsidRDefault="00C866F7">
      <w:pPr>
        <w:jc w:val="center"/>
        <w:rPr>
          <w:rFonts w:ascii="Arial" w:eastAsia="Arial" w:hAnsi="Arial" w:cs="Arial"/>
          <w:b/>
          <w:sz w:val="28"/>
          <w:szCs w:val="28"/>
        </w:rPr>
      </w:pPr>
      <w:r>
        <w:rPr>
          <w:rFonts w:ascii="Arial" w:eastAsia="Arial" w:hAnsi="Arial" w:cs="Arial"/>
          <w:b/>
          <w:sz w:val="28"/>
          <w:szCs w:val="28"/>
        </w:rPr>
        <w:t>COMITÉ DERECHOS ECONÓMICOS SOCIALES Y CULTURALES.</w:t>
      </w:r>
    </w:p>
    <w:p w:rsidR="00416BBF" w:rsidRDefault="00416BBF">
      <w:pPr>
        <w:spacing w:line="360" w:lineRule="auto"/>
        <w:jc w:val="both"/>
        <w:rPr>
          <w:rFonts w:ascii="Arial" w:eastAsia="Arial" w:hAnsi="Arial" w:cs="Arial"/>
          <w:sz w:val="24"/>
          <w:szCs w:val="24"/>
        </w:rPr>
      </w:pPr>
    </w:p>
    <w:p w:rsidR="00416BBF" w:rsidRDefault="00416BBF">
      <w:pPr>
        <w:spacing w:line="360" w:lineRule="auto"/>
        <w:jc w:val="both"/>
        <w:rPr>
          <w:rFonts w:ascii="Arial" w:eastAsia="Arial" w:hAnsi="Arial" w:cs="Arial"/>
          <w:sz w:val="24"/>
          <w:szCs w:val="24"/>
        </w:rPr>
      </w:pPr>
    </w:p>
    <w:p w:rsidR="00416BBF" w:rsidRDefault="00416BBF">
      <w:pPr>
        <w:spacing w:line="360" w:lineRule="auto"/>
        <w:jc w:val="both"/>
        <w:rPr>
          <w:rFonts w:ascii="Arial" w:eastAsia="Arial" w:hAnsi="Arial" w:cs="Arial"/>
          <w:sz w:val="24"/>
          <w:szCs w:val="24"/>
        </w:rPr>
      </w:pPr>
    </w:p>
    <w:p w:rsidR="00416BBF" w:rsidRDefault="00416BBF">
      <w:pPr>
        <w:spacing w:line="360" w:lineRule="auto"/>
        <w:jc w:val="both"/>
        <w:rPr>
          <w:rFonts w:ascii="Arial" w:eastAsia="Arial" w:hAnsi="Arial" w:cs="Arial"/>
          <w:sz w:val="24"/>
          <w:szCs w:val="24"/>
        </w:rPr>
      </w:pPr>
    </w:p>
    <w:p w:rsidR="00416BBF" w:rsidRDefault="00416BBF">
      <w:pPr>
        <w:spacing w:line="360" w:lineRule="auto"/>
        <w:jc w:val="both"/>
        <w:rPr>
          <w:rFonts w:ascii="Arial" w:eastAsia="Arial" w:hAnsi="Arial" w:cs="Arial"/>
          <w:sz w:val="24"/>
          <w:szCs w:val="24"/>
        </w:rPr>
      </w:pPr>
    </w:p>
    <w:p w:rsidR="00416BBF" w:rsidRDefault="00416BBF">
      <w:pPr>
        <w:spacing w:line="360" w:lineRule="auto"/>
        <w:jc w:val="both"/>
        <w:rPr>
          <w:rFonts w:ascii="Arial" w:eastAsia="Arial" w:hAnsi="Arial" w:cs="Arial"/>
          <w:sz w:val="24"/>
          <w:szCs w:val="24"/>
        </w:rPr>
      </w:pPr>
    </w:p>
    <w:p w:rsidR="00416BBF" w:rsidRDefault="00416BBF">
      <w:pPr>
        <w:spacing w:line="360" w:lineRule="auto"/>
        <w:jc w:val="both"/>
        <w:rPr>
          <w:rFonts w:ascii="Arial" w:eastAsia="Arial" w:hAnsi="Arial" w:cs="Arial"/>
          <w:sz w:val="24"/>
          <w:szCs w:val="24"/>
        </w:rPr>
      </w:pPr>
    </w:p>
    <w:p w:rsidR="00416BBF" w:rsidRDefault="00C866F7">
      <w:pPr>
        <w:spacing w:after="0" w:line="240" w:lineRule="auto"/>
        <w:jc w:val="center"/>
        <w:rPr>
          <w:rFonts w:ascii="Arial" w:eastAsia="Arial" w:hAnsi="Arial" w:cs="Arial"/>
          <w:sz w:val="20"/>
          <w:szCs w:val="20"/>
          <w:highlight w:val="white"/>
        </w:rPr>
      </w:pPr>
      <w:r>
        <w:rPr>
          <w:rFonts w:ascii="Arial" w:eastAsia="Arial" w:hAnsi="Arial" w:cs="Arial"/>
          <w:sz w:val="20"/>
          <w:szCs w:val="20"/>
          <w:highlight w:val="white"/>
        </w:rPr>
        <w:t>La Fundación Red Nacional de Derechos Humanos (RENADDHH) y el Consejo Nacional para la Defensa del Derecho Humano a la Salud (CNDDHS). tiene como misión: Desarrollar estrategias de investigación educación y divulgación desde enfoques críticos de los derech</w:t>
      </w:r>
      <w:r>
        <w:rPr>
          <w:rFonts w:ascii="Arial" w:eastAsia="Arial" w:hAnsi="Arial" w:cs="Arial"/>
          <w:sz w:val="20"/>
          <w:szCs w:val="20"/>
          <w:highlight w:val="white"/>
        </w:rPr>
        <w:t>os humanos dirigidos a toda persona, comunidad, organizaciones, movimientos sociales, para contribuir desde la construcción de experiencias significativas con la transformación social  fundada en los valores de justicia equidad igualdad libertad cooperació</w:t>
      </w:r>
      <w:r>
        <w:rPr>
          <w:rFonts w:ascii="Arial" w:eastAsia="Arial" w:hAnsi="Arial" w:cs="Arial"/>
          <w:sz w:val="20"/>
          <w:szCs w:val="20"/>
          <w:highlight w:val="white"/>
        </w:rPr>
        <w:t>n solidaridad honestidad y corresponsabilidad de acuerdo al Estado Social de Derecho y de Justicia.</w:t>
      </w:r>
    </w:p>
    <w:p w:rsidR="00416BBF" w:rsidRDefault="00416BBF">
      <w:pPr>
        <w:spacing w:after="0" w:line="240" w:lineRule="auto"/>
        <w:jc w:val="center"/>
        <w:rPr>
          <w:rFonts w:ascii="Arial" w:eastAsia="Arial" w:hAnsi="Arial" w:cs="Arial"/>
          <w:sz w:val="20"/>
          <w:szCs w:val="20"/>
          <w:highlight w:val="white"/>
        </w:rPr>
      </w:pPr>
    </w:p>
    <w:p w:rsidR="00416BBF" w:rsidRDefault="00416BBF">
      <w:pPr>
        <w:spacing w:after="0" w:line="240" w:lineRule="auto"/>
        <w:jc w:val="center"/>
        <w:rPr>
          <w:rFonts w:ascii="Arial" w:eastAsia="Arial" w:hAnsi="Arial" w:cs="Arial"/>
          <w:sz w:val="20"/>
          <w:szCs w:val="20"/>
          <w:highlight w:val="white"/>
        </w:rPr>
      </w:pPr>
    </w:p>
    <w:p w:rsidR="00416BBF" w:rsidRDefault="00416BBF">
      <w:pPr>
        <w:spacing w:after="0" w:line="240" w:lineRule="auto"/>
        <w:rPr>
          <w:rFonts w:ascii="Arial" w:eastAsia="Arial" w:hAnsi="Arial" w:cs="Arial"/>
          <w:sz w:val="20"/>
          <w:szCs w:val="20"/>
          <w:highlight w:val="white"/>
        </w:rPr>
      </w:pPr>
    </w:p>
    <w:p w:rsidR="00416BBF" w:rsidRDefault="00416BBF">
      <w:pPr>
        <w:spacing w:after="0" w:line="240" w:lineRule="auto"/>
        <w:rPr>
          <w:rFonts w:ascii="Arial" w:eastAsia="Arial" w:hAnsi="Arial" w:cs="Arial"/>
          <w:sz w:val="20"/>
          <w:szCs w:val="20"/>
          <w:highlight w:val="white"/>
        </w:rPr>
      </w:pPr>
    </w:p>
    <w:p w:rsidR="00416BBF" w:rsidRDefault="00C866F7">
      <w:pPr>
        <w:spacing w:line="240" w:lineRule="auto"/>
        <w:jc w:val="both"/>
        <w:rPr>
          <w:rFonts w:ascii="Arial" w:eastAsia="Arial" w:hAnsi="Arial" w:cs="Arial"/>
          <w:b/>
          <w:sz w:val="24"/>
          <w:szCs w:val="24"/>
        </w:rPr>
      </w:pPr>
      <w:r>
        <w:rPr>
          <w:rFonts w:ascii="Arial" w:eastAsia="Arial" w:hAnsi="Arial" w:cs="Arial"/>
          <w:b/>
          <w:sz w:val="24"/>
          <w:szCs w:val="24"/>
        </w:rPr>
        <w:t>A.Derecho a la Salud</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 En Guatemala se acrecentó más la deficiencia en materia de salud al momento de enfrentar la pandemia del COVID 19, por no contar con sistema de salud público que garantizará una atención de calidad donde se asegurará no solo el acceso a las institucione</w:t>
      </w:r>
      <w:r>
        <w:rPr>
          <w:rFonts w:ascii="Arial" w:eastAsia="Arial" w:hAnsi="Arial" w:cs="Arial"/>
          <w:sz w:val="24"/>
          <w:szCs w:val="24"/>
        </w:rPr>
        <w:t>s de salud sino también a los insumos que se ameritan para enfrentar una pandemia que ha cobrado centenares de vidas a nivel mundial, siendo Guatemala uno de los tantos países de centroamérica con aumento en los casos de contagios y fallecimientos, según c</w:t>
      </w:r>
      <w:r>
        <w:rPr>
          <w:rFonts w:ascii="Arial" w:eastAsia="Arial" w:hAnsi="Arial" w:cs="Arial"/>
          <w:sz w:val="24"/>
          <w:szCs w:val="24"/>
        </w:rPr>
        <w:t>ifras emanadas de su organismo rector en materia de salud.</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“Al 31 de diciembre de 2021, el Ministerio de Salud Pública y Asistencia Social (MSPAS) reportó un total de 628,589 casos acumulados de COVID-19 y 16,137 personas fallecidas por esta causa -un 2.6%</w:t>
      </w:r>
      <w:r>
        <w:rPr>
          <w:rFonts w:ascii="Arial" w:eastAsia="Arial" w:hAnsi="Arial" w:cs="Arial"/>
          <w:sz w:val="24"/>
          <w:szCs w:val="24"/>
        </w:rPr>
        <w:t xml:space="preserve"> de letalidad…”</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2. Es de enfatizar que Guatemala no pudo satisfacer las necesidades en materia de salud que requería la población, ya que solo se evidenció la inminente deficiencia de su sistema de salud que no cuenta con políticas acorde a lo demanda la p</w:t>
      </w:r>
      <w:r>
        <w:rPr>
          <w:rFonts w:ascii="Arial" w:eastAsia="Arial" w:hAnsi="Arial" w:cs="Arial"/>
          <w:sz w:val="24"/>
          <w:szCs w:val="24"/>
        </w:rPr>
        <w:t>oblación, es por ello que hasta la actualidad sigue sin poder cubrir las exigencias de sus habitantes, como ejemplo se puede mencionar la aplicación adecuada y garantizada de las vacunas contra el COVID 19, entre otras cosas.</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“de acuerdo con el principio d</w:t>
      </w:r>
      <w:r>
        <w:rPr>
          <w:rFonts w:ascii="Arial" w:eastAsia="Arial" w:hAnsi="Arial" w:cs="Arial"/>
          <w:sz w:val="24"/>
          <w:szCs w:val="24"/>
        </w:rPr>
        <w:t>e igualdad y no discriminación, el acceso universal y equitativo de las vacunas constituye una obligación de inmediato cumplimiento por parte de los Estados»19; las vacunas son, en ese sentido, bienes y servicios de salud que deben cumplir con los estándar</w:t>
      </w:r>
      <w:r>
        <w:rPr>
          <w:rFonts w:ascii="Arial" w:eastAsia="Arial" w:hAnsi="Arial" w:cs="Arial"/>
          <w:sz w:val="24"/>
          <w:szCs w:val="24"/>
        </w:rPr>
        <w:t>es de disponibilidad, accesibilidad, aceptabilidad y calidad, relativos al derecho a la salud…”( Comisión Interamericana de los Derechos Humanos (CIDH).</w:t>
      </w:r>
    </w:p>
    <w:p w:rsidR="00416BBF" w:rsidRDefault="00C866F7">
      <w:pPr>
        <w:spacing w:line="240" w:lineRule="auto"/>
        <w:jc w:val="both"/>
        <w:rPr>
          <w:rFonts w:ascii="Arial" w:eastAsia="Arial" w:hAnsi="Arial" w:cs="Arial"/>
          <w:b/>
          <w:sz w:val="24"/>
          <w:szCs w:val="24"/>
        </w:rPr>
      </w:pPr>
      <w:r>
        <w:rPr>
          <w:rFonts w:ascii="Arial" w:eastAsia="Arial" w:hAnsi="Arial" w:cs="Arial"/>
          <w:b/>
          <w:sz w:val="24"/>
          <w:szCs w:val="24"/>
        </w:rPr>
        <w:t>B. Derecho a la Alimentación.</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 xml:space="preserve">3. En Guatemala es notorio el incremento de la desnutrición sobretodo en </w:t>
      </w:r>
      <w:r>
        <w:rPr>
          <w:rFonts w:ascii="Arial" w:eastAsia="Arial" w:hAnsi="Arial" w:cs="Arial"/>
          <w:sz w:val="24"/>
          <w:szCs w:val="24"/>
        </w:rPr>
        <w:t>las poblaciones más vulnerables como lo son los niños, mujeres en edad fértil, personas con enfermedades transmisibles o no, entre otros, esto debido a que no hay un eficiente implementación de programas en materia de alimentación, lo que por supuesto trae</w:t>
      </w:r>
      <w:r>
        <w:rPr>
          <w:rFonts w:ascii="Arial" w:eastAsia="Arial" w:hAnsi="Arial" w:cs="Arial"/>
          <w:sz w:val="24"/>
          <w:szCs w:val="24"/>
        </w:rPr>
        <w:t xml:space="preserve"> como consecuencia que las personas padezcan diversas condiciones de salud atribuibles a la alimentación inadecuada e inclusive se pudiera hablar de muertes. Aunque el Estado ha puesto en marcha algunos programas como por ejemplo, la implementación de la G</w:t>
      </w:r>
      <w:r>
        <w:rPr>
          <w:rFonts w:ascii="Arial" w:eastAsia="Arial" w:hAnsi="Arial" w:cs="Arial"/>
          <w:sz w:val="24"/>
          <w:szCs w:val="24"/>
        </w:rPr>
        <w:t>ran Cruzada Nacional por la Nutrición 2020-2024, que a pesar de los esfuerzos hechos no ha satisfecho la necesidades de la población por diferentes motivos, sobre todo presupuestario.</w:t>
      </w:r>
    </w:p>
    <w:p w:rsidR="00416BBF" w:rsidRDefault="00C866F7">
      <w:pPr>
        <w:spacing w:after="0" w:line="240" w:lineRule="auto"/>
        <w:jc w:val="center"/>
        <w:rPr>
          <w:rFonts w:ascii="Arial" w:eastAsia="Arial" w:hAnsi="Arial" w:cs="Arial"/>
          <w:sz w:val="24"/>
          <w:szCs w:val="24"/>
        </w:rPr>
      </w:pPr>
      <w:r>
        <w:rPr>
          <w:rFonts w:ascii="Arial" w:eastAsia="Arial" w:hAnsi="Arial" w:cs="Arial"/>
          <w:sz w:val="24"/>
          <w:szCs w:val="24"/>
        </w:rPr>
        <w:t>“Los principales actores responsables de la implementación la Gran Cruza</w:t>
      </w:r>
      <w:r>
        <w:rPr>
          <w:rFonts w:ascii="Arial" w:eastAsia="Arial" w:hAnsi="Arial" w:cs="Arial"/>
          <w:sz w:val="24"/>
          <w:szCs w:val="24"/>
        </w:rPr>
        <w:t>da</w:t>
      </w:r>
    </w:p>
    <w:p w:rsidR="00416BBF" w:rsidRDefault="00C866F7">
      <w:pPr>
        <w:spacing w:after="0" w:line="240" w:lineRule="auto"/>
        <w:jc w:val="center"/>
        <w:rPr>
          <w:rFonts w:ascii="Arial" w:eastAsia="Arial" w:hAnsi="Arial" w:cs="Arial"/>
          <w:sz w:val="24"/>
          <w:szCs w:val="24"/>
        </w:rPr>
      </w:pPr>
      <w:r>
        <w:rPr>
          <w:rFonts w:ascii="Arial" w:eastAsia="Arial" w:hAnsi="Arial" w:cs="Arial"/>
          <w:sz w:val="24"/>
          <w:szCs w:val="24"/>
        </w:rPr>
        <w:t>Nacional por la Nutrición 2020-2024 (GCNN) presentaron enormes brechas de</w:t>
      </w:r>
    </w:p>
    <w:p w:rsidR="00416BBF" w:rsidRDefault="00C866F7">
      <w:pPr>
        <w:spacing w:after="0" w:line="240" w:lineRule="auto"/>
        <w:jc w:val="center"/>
        <w:rPr>
          <w:rFonts w:ascii="Arial" w:eastAsia="Arial" w:hAnsi="Arial" w:cs="Arial"/>
          <w:sz w:val="24"/>
          <w:szCs w:val="24"/>
        </w:rPr>
      </w:pPr>
      <w:r>
        <w:rPr>
          <w:rFonts w:ascii="Arial" w:eastAsia="Arial" w:hAnsi="Arial" w:cs="Arial"/>
          <w:sz w:val="24"/>
          <w:szCs w:val="24"/>
        </w:rPr>
        <w:t>cobertura para garantizar el DAA; ya que carecen de una asignación</w:t>
      </w:r>
    </w:p>
    <w:p w:rsidR="00416BBF" w:rsidRDefault="00C866F7">
      <w:pPr>
        <w:spacing w:after="0" w:line="240" w:lineRule="auto"/>
        <w:jc w:val="center"/>
        <w:rPr>
          <w:rFonts w:ascii="Arial" w:eastAsia="Arial" w:hAnsi="Arial" w:cs="Arial"/>
          <w:sz w:val="24"/>
          <w:szCs w:val="24"/>
        </w:rPr>
      </w:pPr>
      <w:r>
        <w:rPr>
          <w:rFonts w:ascii="Arial" w:eastAsia="Arial" w:hAnsi="Arial" w:cs="Arial"/>
          <w:sz w:val="24"/>
          <w:szCs w:val="24"/>
        </w:rPr>
        <w:t>presupuestaria suficiente que garantice una buena cobertura de los programas</w:t>
      </w:r>
    </w:p>
    <w:p w:rsidR="00416BBF" w:rsidRDefault="00C866F7">
      <w:pPr>
        <w:spacing w:after="0" w:line="240" w:lineRule="auto"/>
        <w:jc w:val="center"/>
        <w:rPr>
          <w:rFonts w:ascii="Arial" w:eastAsia="Arial" w:hAnsi="Arial" w:cs="Arial"/>
          <w:sz w:val="24"/>
          <w:szCs w:val="24"/>
        </w:rPr>
      </w:pPr>
      <w:r>
        <w:rPr>
          <w:rFonts w:ascii="Arial" w:eastAsia="Arial" w:hAnsi="Arial" w:cs="Arial"/>
          <w:sz w:val="24"/>
          <w:szCs w:val="24"/>
        </w:rPr>
        <w:t>vigentes…” (XIV informe PDH a CONAS</w:t>
      </w:r>
      <w:r>
        <w:rPr>
          <w:rFonts w:ascii="Arial" w:eastAsia="Arial" w:hAnsi="Arial" w:cs="Arial"/>
          <w:sz w:val="24"/>
          <w:szCs w:val="24"/>
        </w:rPr>
        <w:t>AN 2021).</w:t>
      </w:r>
    </w:p>
    <w:p w:rsidR="00416BBF" w:rsidRDefault="00416BBF">
      <w:pPr>
        <w:spacing w:after="0" w:line="240" w:lineRule="auto"/>
        <w:jc w:val="center"/>
        <w:rPr>
          <w:rFonts w:ascii="Arial" w:eastAsia="Arial" w:hAnsi="Arial" w:cs="Arial"/>
          <w:sz w:val="24"/>
          <w:szCs w:val="24"/>
        </w:rPr>
      </w:pPr>
    </w:p>
    <w:p w:rsidR="00416BBF" w:rsidRDefault="00416BBF">
      <w:pPr>
        <w:spacing w:after="0" w:line="240" w:lineRule="auto"/>
        <w:jc w:val="center"/>
        <w:rPr>
          <w:rFonts w:ascii="Arial" w:eastAsia="Arial" w:hAnsi="Arial" w:cs="Arial"/>
          <w:sz w:val="24"/>
          <w:szCs w:val="24"/>
        </w:rPr>
      </w:pPr>
    </w:p>
    <w:p w:rsidR="00416BBF" w:rsidRDefault="00416BBF">
      <w:pPr>
        <w:spacing w:after="0" w:line="240" w:lineRule="auto"/>
        <w:jc w:val="center"/>
        <w:rPr>
          <w:rFonts w:ascii="Arial" w:eastAsia="Arial" w:hAnsi="Arial" w:cs="Arial"/>
          <w:sz w:val="24"/>
          <w:szCs w:val="24"/>
        </w:rPr>
      </w:pPr>
    </w:p>
    <w:p w:rsidR="00416BBF" w:rsidRDefault="00416BBF">
      <w:pPr>
        <w:spacing w:after="0" w:line="240" w:lineRule="auto"/>
        <w:jc w:val="center"/>
        <w:rPr>
          <w:rFonts w:ascii="Arial" w:eastAsia="Arial" w:hAnsi="Arial" w:cs="Arial"/>
          <w:sz w:val="24"/>
          <w:szCs w:val="24"/>
        </w:rPr>
      </w:pP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4. Esta situación con respecto a la alimentación no escapo de la pandemia, sonde aún más las poblaciones las afectadas fueron las de escasos recursos, ya que su poder adquisitivo se vio afectado debido al incremento indiscriminado de los rubr</w:t>
      </w:r>
      <w:r>
        <w:rPr>
          <w:rFonts w:ascii="Arial" w:eastAsia="Arial" w:hAnsi="Arial" w:cs="Arial"/>
          <w:sz w:val="24"/>
          <w:szCs w:val="24"/>
        </w:rPr>
        <w:t>os y al no contar con una ayuda idónea por parte del Estado que le garantizara cubrir sus necesidades nutricionales, es por ello que durante la pandemia  y debido a la desatención del Estado se cuantificaron muertes de niños a nivel nacional por desnutrici</w:t>
      </w:r>
      <w:r>
        <w:rPr>
          <w:rFonts w:ascii="Arial" w:eastAsia="Arial" w:hAnsi="Arial" w:cs="Arial"/>
          <w:sz w:val="24"/>
          <w:szCs w:val="24"/>
        </w:rPr>
        <w:t>ón, siendo esto una violación casi flagrante del derecho a la alimentación, el cual como derecho busca el desarrollo óptimo del ser humano mediante la obtención de los recursos necesarios para la adquisición de sus alimentos.</w:t>
      </w: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“La desatención del Estado vul</w:t>
      </w:r>
      <w:r>
        <w:rPr>
          <w:rFonts w:ascii="Arial" w:eastAsia="Arial" w:hAnsi="Arial" w:cs="Arial"/>
          <w:sz w:val="24"/>
          <w:szCs w:val="24"/>
        </w:rPr>
        <w:t>neró los derechos de los niños y niñas que llevaron,</w:t>
      </w: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en muchos casos, a una lamentable y trágico resultado: la muerte por</w:t>
      </w: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desnutrición durante el 2021; 61 niños murieron por desnutrición aguda nivel</w:t>
      </w: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nacional…” (XIV informe PDH a CONASAN 2021).</w:t>
      </w:r>
    </w:p>
    <w:p w:rsidR="00416BBF" w:rsidRDefault="00416BBF">
      <w:pPr>
        <w:spacing w:line="240" w:lineRule="auto"/>
        <w:jc w:val="both"/>
        <w:rPr>
          <w:rFonts w:ascii="Arial" w:eastAsia="Arial" w:hAnsi="Arial" w:cs="Arial"/>
          <w:sz w:val="24"/>
          <w:szCs w:val="24"/>
        </w:rPr>
      </w:pPr>
    </w:p>
    <w:p w:rsidR="00416BBF" w:rsidRDefault="00C866F7">
      <w:pPr>
        <w:spacing w:line="240" w:lineRule="auto"/>
        <w:jc w:val="both"/>
        <w:rPr>
          <w:rFonts w:ascii="Arial" w:eastAsia="Arial" w:hAnsi="Arial" w:cs="Arial"/>
          <w:b/>
          <w:sz w:val="24"/>
          <w:szCs w:val="24"/>
        </w:rPr>
      </w:pPr>
      <w:r>
        <w:rPr>
          <w:rFonts w:ascii="Arial" w:eastAsia="Arial" w:hAnsi="Arial" w:cs="Arial"/>
          <w:b/>
          <w:sz w:val="24"/>
          <w:szCs w:val="24"/>
        </w:rPr>
        <w:t xml:space="preserve">C. Derecho </w:t>
      </w:r>
      <w:r>
        <w:rPr>
          <w:rFonts w:ascii="Arial" w:eastAsia="Arial" w:hAnsi="Arial" w:cs="Arial"/>
          <w:b/>
          <w:sz w:val="24"/>
          <w:szCs w:val="24"/>
        </w:rPr>
        <w:t xml:space="preserve">a la Educación </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5. En el contexto educativo, Guatemala se considera uno de los países con una educación precaria con un incremento de la deserción escolar durante los últimos años, sobretodo durante la pandemia, donde de acuerdo a informes emanados por el Procurador de lo</w:t>
      </w:r>
      <w:r>
        <w:rPr>
          <w:rFonts w:ascii="Arial" w:eastAsia="Arial" w:hAnsi="Arial" w:cs="Arial"/>
          <w:sz w:val="24"/>
          <w:szCs w:val="24"/>
        </w:rPr>
        <w:t>s Derechos Humanos, la población estudiantil fue la más afectada en el plano educativo, esto debido a que por motivos de seguridad en materia de salud fue imperante el cierre de las instituciones educativas, lo que trajo consigo el ausentismo escolar que n</w:t>
      </w:r>
      <w:r>
        <w:rPr>
          <w:rFonts w:ascii="Arial" w:eastAsia="Arial" w:hAnsi="Arial" w:cs="Arial"/>
          <w:sz w:val="24"/>
          <w:szCs w:val="24"/>
        </w:rPr>
        <w:t>o se ha superado aún después del reingreso a clases semipresenciales y presenciales con notoriedad en la población de primaria y diversificado.</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6. Aunado a esto en medio de estrategias para dar continuidad a las clases a través de la escuela en casa y medi</w:t>
      </w:r>
      <w:r>
        <w:rPr>
          <w:rFonts w:ascii="Arial" w:eastAsia="Arial" w:hAnsi="Arial" w:cs="Arial"/>
          <w:sz w:val="24"/>
          <w:szCs w:val="24"/>
        </w:rPr>
        <w:t xml:space="preserve">os online, no se apreciaba la entrega de herramientas que facilitaran que fluyera efectivamente esta política, debido a que por lo menos en las zonas de escasos recursos no existe el acceso a internet. </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“apoyar a los docentes con programas de formación sob</w:t>
      </w:r>
      <w:r>
        <w:rPr>
          <w:rFonts w:ascii="Arial" w:eastAsia="Arial" w:hAnsi="Arial" w:cs="Arial"/>
          <w:sz w:val="24"/>
          <w:szCs w:val="24"/>
        </w:rPr>
        <w:t>re nuevas pedagogías y competencias, especialmente enfocadas a tecnologías de información y comunicación; así como diseñar e implementar –en coordinación con otros ministerios– estrategias para asegurar condiciones digitales en escuelas y hogares, incluyen</w:t>
      </w:r>
      <w:r>
        <w:rPr>
          <w:rFonts w:ascii="Arial" w:eastAsia="Arial" w:hAnsi="Arial" w:cs="Arial"/>
          <w:sz w:val="24"/>
          <w:szCs w:val="24"/>
        </w:rPr>
        <w:t>do acciones de protección social específicas para estudiantes en condiciones de vulnerabilidad…” (Informe Anual Circunstanciado PDH 2021).</w:t>
      </w: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7. Igualmente el Estado debe garantizar que se cumplan las medidas de Bioseguridad adecuadas para que el regreso a clases sea de forma segura bajo los estándares que señala la OMS, como lo es el uso de mascarilla, la vacunación, entre otros.</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“responsabilid</w:t>
      </w:r>
      <w:r>
        <w:rPr>
          <w:rFonts w:ascii="Arial" w:eastAsia="Arial" w:hAnsi="Arial" w:cs="Arial"/>
          <w:sz w:val="24"/>
          <w:szCs w:val="24"/>
        </w:rPr>
        <w:t>ades del MINEDUC es garantizar que el personal docente cuente con los insumos y medidas de protección para la prevención del contagio de COVID-19.” (Informe Anual Circunstanciado PDH 2021).</w:t>
      </w:r>
    </w:p>
    <w:p w:rsidR="00416BBF" w:rsidRDefault="00416BBF">
      <w:pPr>
        <w:spacing w:line="240" w:lineRule="auto"/>
        <w:jc w:val="both"/>
        <w:rPr>
          <w:rFonts w:ascii="Arial" w:eastAsia="Arial" w:hAnsi="Arial" w:cs="Arial"/>
          <w:sz w:val="24"/>
          <w:szCs w:val="24"/>
        </w:rPr>
      </w:pPr>
    </w:p>
    <w:p w:rsidR="00416BBF" w:rsidRDefault="00C866F7">
      <w:pPr>
        <w:spacing w:line="240" w:lineRule="auto"/>
        <w:jc w:val="both"/>
        <w:rPr>
          <w:rFonts w:ascii="Arial" w:eastAsia="Arial" w:hAnsi="Arial" w:cs="Arial"/>
          <w:b/>
          <w:sz w:val="24"/>
          <w:szCs w:val="24"/>
        </w:rPr>
      </w:pPr>
      <w:r>
        <w:rPr>
          <w:rFonts w:ascii="Arial" w:eastAsia="Arial" w:hAnsi="Arial" w:cs="Arial"/>
          <w:b/>
          <w:sz w:val="24"/>
          <w:szCs w:val="24"/>
        </w:rPr>
        <w:t>D. Privados de libertad</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8. La situación de los privados de libert</w:t>
      </w:r>
      <w:r>
        <w:rPr>
          <w:rFonts w:ascii="Arial" w:eastAsia="Arial" w:hAnsi="Arial" w:cs="Arial"/>
          <w:sz w:val="24"/>
          <w:szCs w:val="24"/>
        </w:rPr>
        <w:t xml:space="preserve">ad se ve más comprometida por el hecho de las deficiencias en las estructura del sistema judicial, que por tardanza de en la asignación de los magistrados y magistradas y el retardo  judicial, perjudica de manera directa a los privados de libertad quienes </w:t>
      </w:r>
      <w:r>
        <w:rPr>
          <w:rFonts w:ascii="Arial" w:eastAsia="Arial" w:hAnsi="Arial" w:cs="Arial"/>
          <w:sz w:val="24"/>
          <w:szCs w:val="24"/>
        </w:rPr>
        <w:t>son afectados por la dilaciones en sus procesos judiciales, por esta razón los mismos permanecen más tiempos  en las instalaciones penitenciarias, violando sus derechos humanos, como lo son la presentación ante un juez y ser juzgados sin dilaciones.</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9. Otr</w:t>
      </w:r>
      <w:r>
        <w:rPr>
          <w:rFonts w:ascii="Arial" w:eastAsia="Arial" w:hAnsi="Arial" w:cs="Arial"/>
          <w:sz w:val="24"/>
          <w:szCs w:val="24"/>
        </w:rPr>
        <w:t>o factor que influyó fue la pandemia del COVID 19, que también dejó sus consecuencias para con los privados de libertad haciendo que siguieran en espera de ser presentados ante correspondientes.</w:t>
      </w:r>
    </w:p>
    <w:p w:rsidR="00416BBF" w:rsidRDefault="00C866F7">
      <w:pPr>
        <w:spacing w:after="0" w:line="240" w:lineRule="auto"/>
        <w:jc w:val="center"/>
        <w:rPr>
          <w:rFonts w:ascii="Arial" w:eastAsia="Arial" w:hAnsi="Arial" w:cs="Arial"/>
          <w:sz w:val="24"/>
          <w:szCs w:val="24"/>
        </w:rPr>
      </w:pPr>
      <w:r>
        <w:rPr>
          <w:rFonts w:ascii="Arial" w:eastAsia="Arial" w:hAnsi="Arial" w:cs="Arial"/>
          <w:sz w:val="24"/>
          <w:szCs w:val="24"/>
        </w:rPr>
        <w:t>“Entre enero y junio se reportó la suspensión de más de 33.00</w:t>
      </w:r>
      <w:r>
        <w:rPr>
          <w:rFonts w:ascii="Arial" w:eastAsia="Arial" w:hAnsi="Arial" w:cs="Arial"/>
          <w:sz w:val="24"/>
          <w:szCs w:val="24"/>
        </w:rPr>
        <w:t>0 audiencias en el ramo penal, de las cuales 7.203 fueron de primera declaración, lo que tuvo un impacto en el derecho a ser llevado sin demora ante un juez y a ser juzgado sin dilaciones indebidas”( Informe de la Alta Comisionada de las</w:t>
      </w: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Naciones Unidas pa</w:t>
      </w:r>
      <w:r>
        <w:rPr>
          <w:rFonts w:ascii="Arial" w:eastAsia="Arial" w:hAnsi="Arial" w:cs="Arial"/>
          <w:sz w:val="24"/>
          <w:szCs w:val="24"/>
        </w:rPr>
        <w:t>ra los Derechos Humanos 2021).</w:t>
      </w:r>
    </w:p>
    <w:p w:rsidR="00416BBF" w:rsidRDefault="00416BBF">
      <w:pPr>
        <w:spacing w:line="240" w:lineRule="auto"/>
        <w:jc w:val="center"/>
        <w:rPr>
          <w:rFonts w:ascii="Arial" w:eastAsia="Arial" w:hAnsi="Arial" w:cs="Arial"/>
          <w:sz w:val="24"/>
          <w:szCs w:val="24"/>
        </w:rPr>
      </w:pPr>
    </w:p>
    <w:p w:rsidR="00416BBF" w:rsidRDefault="00C866F7">
      <w:pPr>
        <w:spacing w:line="240" w:lineRule="auto"/>
        <w:jc w:val="both"/>
        <w:rPr>
          <w:rFonts w:ascii="Arial" w:eastAsia="Arial" w:hAnsi="Arial" w:cs="Arial"/>
          <w:b/>
          <w:sz w:val="24"/>
          <w:szCs w:val="24"/>
        </w:rPr>
      </w:pPr>
      <w:r>
        <w:rPr>
          <w:rFonts w:ascii="Arial" w:eastAsia="Arial" w:hAnsi="Arial" w:cs="Arial"/>
          <w:b/>
          <w:sz w:val="24"/>
          <w:szCs w:val="24"/>
        </w:rPr>
        <w:t>E. Libertad de expresión</w:t>
      </w:r>
    </w:p>
    <w:p w:rsidR="00416BBF" w:rsidRDefault="00416BBF">
      <w:pPr>
        <w:spacing w:line="240" w:lineRule="auto"/>
        <w:jc w:val="both"/>
        <w:rPr>
          <w:rFonts w:ascii="Arial" w:eastAsia="Arial" w:hAnsi="Arial" w:cs="Arial"/>
          <w:sz w:val="24"/>
          <w:szCs w:val="24"/>
        </w:rPr>
      </w:pP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10. El ACNUDH ha documentado no solo los ataques sino las represiones por parte de funcionarios del Estado a los diferentes medios de comunicación y comunicadores sociales, donde se pretende intimid</w:t>
      </w:r>
      <w:r>
        <w:rPr>
          <w:rFonts w:ascii="Arial" w:eastAsia="Arial" w:hAnsi="Arial" w:cs="Arial"/>
          <w:sz w:val="24"/>
          <w:szCs w:val="24"/>
        </w:rPr>
        <w:t>ar para conseguir informaciones de sus fuentes y atacando a los mismos por medio de difamaciones y amenazas.</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11. Son muchas las denuncias que se han realizado sobre la criminalización que se hacen en contra de los medios de comunicación y los comunicadores</w:t>
      </w:r>
      <w:r>
        <w:rPr>
          <w:rFonts w:ascii="Arial" w:eastAsia="Arial" w:hAnsi="Arial" w:cs="Arial"/>
          <w:sz w:val="24"/>
          <w:szCs w:val="24"/>
        </w:rPr>
        <w:t xml:space="preserve"> sociales y los mismos se encuentran descrito en el informe de el ACNUDH.</w:t>
      </w: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 Al 30 de noviembre, el ACNUDH documentó 33 agresiones a trabajadores de medios de comunicación y periodistas, incluyendo un asesinato”.</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12. A pesar de esta situación el Gobierno</w:t>
      </w:r>
      <w:r>
        <w:rPr>
          <w:rFonts w:ascii="Arial" w:eastAsia="Arial" w:hAnsi="Arial" w:cs="Arial"/>
          <w:sz w:val="24"/>
          <w:szCs w:val="24"/>
        </w:rPr>
        <w:t xml:space="preserve"> de Guatemala expresa su disposición para realizar un sistema de protección a periodistas, ante el visto bueno de la ACNUDH.</w:t>
      </w:r>
    </w:p>
    <w:p w:rsidR="00416BBF" w:rsidRDefault="00416BBF">
      <w:pPr>
        <w:spacing w:line="240" w:lineRule="auto"/>
        <w:jc w:val="center"/>
        <w:rPr>
          <w:rFonts w:ascii="Arial" w:eastAsia="Arial" w:hAnsi="Arial" w:cs="Arial"/>
          <w:sz w:val="24"/>
          <w:szCs w:val="24"/>
        </w:rPr>
      </w:pP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“El ACNUDH acoge con satisfacción la voluntad expresada por la Comisión Presidencial por la Paz y los Derechos Humanos de comenzar</w:t>
      </w:r>
      <w:r>
        <w:rPr>
          <w:rFonts w:ascii="Arial" w:eastAsia="Arial" w:hAnsi="Arial" w:cs="Arial"/>
          <w:sz w:val="24"/>
          <w:szCs w:val="24"/>
        </w:rPr>
        <w:t xml:space="preserve"> a articular espacios para el establecimiento de un sistema de protección a periodistas” (Informe de la Alta Comisionada de las Naciones Unidas para los Derechos Humanos 2021).</w:t>
      </w:r>
    </w:p>
    <w:p w:rsidR="00416BBF" w:rsidRDefault="00416BBF">
      <w:pPr>
        <w:spacing w:line="240" w:lineRule="auto"/>
        <w:jc w:val="both"/>
        <w:rPr>
          <w:rFonts w:ascii="Arial" w:eastAsia="Arial" w:hAnsi="Arial" w:cs="Arial"/>
          <w:sz w:val="24"/>
          <w:szCs w:val="24"/>
        </w:rPr>
      </w:pPr>
    </w:p>
    <w:p w:rsidR="00416BBF" w:rsidRDefault="00C866F7">
      <w:pPr>
        <w:spacing w:line="240" w:lineRule="auto"/>
        <w:jc w:val="both"/>
        <w:rPr>
          <w:rFonts w:ascii="Arial" w:eastAsia="Arial" w:hAnsi="Arial" w:cs="Arial"/>
          <w:b/>
          <w:sz w:val="24"/>
          <w:szCs w:val="24"/>
        </w:rPr>
      </w:pPr>
      <w:r>
        <w:rPr>
          <w:rFonts w:ascii="Arial" w:eastAsia="Arial" w:hAnsi="Arial" w:cs="Arial"/>
          <w:b/>
          <w:sz w:val="24"/>
          <w:szCs w:val="24"/>
        </w:rPr>
        <w:t xml:space="preserve">F. Defensores de derechos humanos </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 xml:space="preserve">13. Los defensores de derechos humanos han </w:t>
      </w:r>
      <w:r>
        <w:rPr>
          <w:rFonts w:ascii="Arial" w:eastAsia="Arial" w:hAnsi="Arial" w:cs="Arial"/>
          <w:sz w:val="24"/>
          <w:szCs w:val="24"/>
        </w:rPr>
        <w:t>sido blanco de ataques constante en Guatemala, que se traducen en amenazas, intimidaciones e inclusos muerte de algunos de ellos por causa de las actividades que realizan en pro de la defensa de diferentes derechos en determinadas poblaciones como por ejem</w:t>
      </w:r>
      <w:r>
        <w:rPr>
          <w:rFonts w:ascii="Arial" w:eastAsia="Arial" w:hAnsi="Arial" w:cs="Arial"/>
          <w:sz w:val="24"/>
          <w:szCs w:val="24"/>
        </w:rPr>
        <w:t>plo, la defensa de personas LGTBI, periodistas, comunicadores, entre otros.</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 xml:space="preserve">14. Otro factor importante de mencionar es que a pesar de existir muchas denuncias también hay otras que no se realizan por la desconfianza a las instituciones públicas, lo que por supuesto trae como consecuencia que haya casos que queden impunes. </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15. A p</w:t>
      </w:r>
      <w:r>
        <w:rPr>
          <w:rFonts w:ascii="Arial" w:eastAsia="Arial" w:hAnsi="Arial" w:cs="Arial"/>
          <w:sz w:val="24"/>
          <w:szCs w:val="24"/>
        </w:rPr>
        <w:t>esar de estas deficiencias hay que resaltar la iniciativa del Estado de reformular la política de protección para los defensores de los derechos humanos, esto con el apoyo de organismos de derechos humanos, del Estado y de la sociedad civil.</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“El ACNUDH col</w:t>
      </w:r>
      <w:r>
        <w:rPr>
          <w:rFonts w:ascii="Arial" w:eastAsia="Arial" w:hAnsi="Arial" w:cs="Arial"/>
          <w:sz w:val="24"/>
          <w:szCs w:val="24"/>
        </w:rPr>
        <w:t>aboró con la Comisión Presidencial por la Paz y los Derechos Humanos y organizaciones de sociedad civil con miras a relanzar el proceso de formulación de una política pública para la protección de las defensoras y los defensores de derechos humanos…” (Info</w:t>
      </w:r>
      <w:r>
        <w:rPr>
          <w:rFonts w:ascii="Arial" w:eastAsia="Arial" w:hAnsi="Arial" w:cs="Arial"/>
          <w:sz w:val="24"/>
          <w:szCs w:val="24"/>
        </w:rPr>
        <w:t>rme de la Alta Comisionada de las Naciones Unidas para los Derechos Humanos 2021).</w:t>
      </w: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416BBF">
      <w:pPr>
        <w:spacing w:line="240" w:lineRule="auto"/>
        <w:jc w:val="both"/>
        <w:rPr>
          <w:rFonts w:ascii="Arial" w:eastAsia="Arial" w:hAnsi="Arial" w:cs="Arial"/>
          <w:sz w:val="24"/>
          <w:szCs w:val="24"/>
        </w:rPr>
      </w:pPr>
    </w:p>
    <w:p w:rsidR="00416BBF" w:rsidRDefault="00C866F7">
      <w:pPr>
        <w:spacing w:line="240" w:lineRule="auto"/>
        <w:jc w:val="both"/>
        <w:rPr>
          <w:rFonts w:ascii="Arial" w:eastAsia="Arial" w:hAnsi="Arial" w:cs="Arial"/>
          <w:b/>
          <w:sz w:val="24"/>
          <w:szCs w:val="24"/>
        </w:rPr>
      </w:pPr>
      <w:r>
        <w:rPr>
          <w:rFonts w:ascii="Arial" w:eastAsia="Arial" w:hAnsi="Arial" w:cs="Arial"/>
          <w:b/>
          <w:sz w:val="24"/>
          <w:szCs w:val="24"/>
        </w:rPr>
        <w:t>G. Derechos de los LGBTI</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16. Con respecto a este tema actualmente son muchos los órganos dedicados a la defensa de los derechos humanos que están abordando la situaci</w:t>
      </w:r>
      <w:r>
        <w:rPr>
          <w:rFonts w:ascii="Arial" w:eastAsia="Arial" w:hAnsi="Arial" w:cs="Arial"/>
          <w:sz w:val="24"/>
          <w:szCs w:val="24"/>
        </w:rPr>
        <w:t>ón de discriminación a esta comunidad. Igualmente es preciso que el gobierno de Guatemala asuma la responsabilidad de resguardar los derechos a estas personas que son consideradas vulnerables y las cuales merecen ser reconocidos como parte importante de la</w:t>
      </w:r>
      <w:r>
        <w:rPr>
          <w:rFonts w:ascii="Arial" w:eastAsia="Arial" w:hAnsi="Arial" w:cs="Arial"/>
          <w:sz w:val="24"/>
          <w:szCs w:val="24"/>
        </w:rPr>
        <w:t xml:space="preserve"> sociedad, donde se le reconozcan sus derechos a expresar su identidad, género, orientación sexual, entre otras.</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17. Es por esta razón es que deben existir mecanismos propuestos por el Estado para reconocer los derechos de esta comunidad y el pleno ejercic</w:t>
      </w:r>
      <w:r>
        <w:rPr>
          <w:rFonts w:ascii="Arial" w:eastAsia="Arial" w:hAnsi="Arial" w:cs="Arial"/>
          <w:sz w:val="24"/>
          <w:szCs w:val="24"/>
        </w:rPr>
        <w:t>io de los mismos.</w:t>
      </w:r>
    </w:p>
    <w:p w:rsidR="00416BBF" w:rsidRDefault="00C866F7">
      <w:pPr>
        <w:spacing w:line="240" w:lineRule="auto"/>
        <w:jc w:val="both"/>
        <w:rPr>
          <w:rFonts w:ascii="Arial" w:eastAsia="Arial" w:hAnsi="Arial" w:cs="Arial"/>
          <w:sz w:val="24"/>
          <w:szCs w:val="24"/>
        </w:rPr>
      </w:pPr>
      <w:r>
        <w:rPr>
          <w:rFonts w:ascii="Arial" w:eastAsia="Arial" w:hAnsi="Arial" w:cs="Arial"/>
          <w:sz w:val="24"/>
          <w:szCs w:val="24"/>
        </w:rPr>
        <w:t>18. Como ejemplo de las recomendaciones para mitigar la violencia hacia esta comunidad se puede mencionar las señaladas por la Comisión Interamericana de Derechos Humanos para el reconocimiento de personas LGBTI.</w:t>
      </w:r>
    </w:p>
    <w:p w:rsidR="00416BBF" w:rsidRDefault="00416BBF">
      <w:pPr>
        <w:spacing w:line="240" w:lineRule="auto"/>
        <w:jc w:val="both"/>
        <w:rPr>
          <w:rFonts w:ascii="Arial" w:eastAsia="Arial" w:hAnsi="Arial" w:cs="Arial"/>
          <w:sz w:val="24"/>
          <w:szCs w:val="24"/>
        </w:rPr>
      </w:pPr>
    </w:p>
    <w:p w:rsidR="00416BBF" w:rsidRDefault="00C866F7">
      <w:pPr>
        <w:spacing w:line="240" w:lineRule="auto"/>
        <w:jc w:val="center"/>
        <w:rPr>
          <w:rFonts w:ascii="Arial" w:eastAsia="Arial" w:hAnsi="Arial" w:cs="Arial"/>
          <w:sz w:val="24"/>
          <w:szCs w:val="24"/>
        </w:rPr>
      </w:pPr>
      <w:r>
        <w:rPr>
          <w:rFonts w:ascii="Arial" w:eastAsia="Arial" w:hAnsi="Arial" w:cs="Arial"/>
          <w:sz w:val="24"/>
          <w:szCs w:val="24"/>
        </w:rPr>
        <w:t>“Asimismo, la CIDH resal</w:t>
      </w:r>
      <w:r>
        <w:rPr>
          <w:rFonts w:ascii="Arial" w:eastAsia="Arial" w:hAnsi="Arial" w:cs="Arial"/>
          <w:sz w:val="24"/>
          <w:szCs w:val="24"/>
        </w:rPr>
        <w:t>ta la importancia de que las medidas adoptadas tengan un enfoque holístico y multidimensional para enfrentar la discriminación contra las personas LGBTI”. (CIDH. Reconocimiento  para el reconocimiento de personas LGBTI).</w:t>
      </w:r>
    </w:p>
    <w:p w:rsidR="00416BBF" w:rsidRDefault="00416BBF">
      <w:pPr>
        <w:spacing w:line="240" w:lineRule="auto"/>
        <w:jc w:val="center"/>
        <w:rPr>
          <w:rFonts w:ascii="Arial" w:eastAsia="Arial" w:hAnsi="Arial" w:cs="Arial"/>
          <w:sz w:val="24"/>
          <w:szCs w:val="24"/>
        </w:rPr>
      </w:pPr>
    </w:p>
    <w:p w:rsidR="00416BBF" w:rsidRDefault="00C866F7">
      <w:pPr>
        <w:spacing w:line="240" w:lineRule="auto"/>
        <w:jc w:val="both"/>
        <w:rPr>
          <w:rFonts w:ascii="Arial" w:eastAsia="Arial" w:hAnsi="Arial" w:cs="Arial"/>
          <w:sz w:val="24"/>
          <w:szCs w:val="24"/>
        </w:rPr>
      </w:pPr>
      <w:bookmarkStart w:id="1" w:name="_heading=h.gjdgxs" w:colFirst="0" w:colLast="0"/>
      <w:bookmarkEnd w:id="1"/>
      <w:r>
        <w:rPr>
          <w:rFonts w:ascii="Arial" w:eastAsia="Arial" w:hAnsi="Arial" w:cs="Arial"/>
          <w:sz w:val="24"/>
          <w:szCs w:val="24"/>
        </w:rPr>
        <w:t>19. En conclusión, Guatemala al ig</w:t>
      </w:r>
      <w:r>
        <w:rPr>
          <w:rFonts w:ascii="Arial" w:eastAsia="Arial" w:hAnsi="Arial" w:cs="Arial"/>
          <w:sz w:val="24"/>
          <w:szCs w:val="24"/>
        </w:rPr>
        <w:t>ual que otros países debe considerar cómo abordar eficazmente lo concerniente a los derechos humanos que fueron mencionados en este informe, y que de manera abierta han sido violentados sin mayor esfuerzo del gobierno por aplicar medidas que  mitiguen este</w:t>
      </w:r>
      <w:r>
        <w:rPr>
          <w:rFonts w:ascii="Arial" w:eastAsia="Arial" w:hAnsi="Arial" w:cs="Arial"/>
          <w:sz w:val="24"/>
          <w:szCs w:val="24"/>
        </w:rPr>
        <w:t xml:space="preserve"> constante flagelo que amenaza especialmente a las poblaciones más vulnerables. Por esta razón, aparte de crear políticas acorde a cada situación, también debe apoyarse en instituciones nacionales e internacionales que están estrechamente vinculadas con el</w:t>
      </w:r>
      <w:r>
        <w:rPr>
          <w:rFonts w:ascii="Arial" w:eastAsia="Arial" w:hAnsi="Arial" w:cs="Arial"/>
          <w:sz w:val="24"/>
          <w:szCs w:val="24"/>
        </w:rPr>
        <w:t xml:space="preserve"> tema de derechos humanos, poner en prácticas todas las recomendaciones que para bien se hacen.</w:t>
      </w:r>
    </w:p>
    <w:p w:rsidR="00416BBF" w:rsidRDefault="00416BBF">
      <w:pPr>
        <w:spacing w:line="240" w:lineRule="auto"/>
        <w:jc w:val="both"/>
        <w:rPr>
          <w:rFonts w:ascii="Arial" w:eastAsia="Arial" w:hAnsi="Arial" w:cs="Arial"/>
          <w:sz w:val="24"/>
          <w:szCs w:val="24"/>
        </w:rPr>
      </w:pPr>
      <w:bookmarkStart w:id="2" w:name="_heading=h.p1aqvpfjwbfe" w:colFirst="0" w:colLast="0"/>
      <w:bookmarkEnd w:id="2"/>
    </w:p>
    <w:p w:rsidR="00416BBF" w:rsidRDefault="00416BBF">
      <w:pPr>
        <w:spacing w:line="240" w:lineRule="auto"/>
        <w:jc w:val="both"/>
        <w:rPr>
          <w:rFonts w:ascii="Arial" w:eastAsia="Arial" w:hAnsi="Arial" w:cs="Arial"/>
          <w:sz w:val="24"/>
          <w:szCs w:val="24"/>
        </w:rPr>
      </w:pPr>
      <w:bookmarkStart w:id="3" w:name="_heading=h.9yc5i6kfahzk" w:colFirst="0" w:colLast="0"/>
      <w:bookmarkEnd w:id="3"/>
    </w:p>
    <w:p w:rsidR="00416BBF" w:rsidRDefault="00416BBF">
      <w:pPr>
        <w:spacing w:line="240" w:lineRule="auto"/>
        <w:jc w:val="both"/>
        <w:rPr>
          <w:rFonts w:ascii="Arial" w:eastAsia="Arial" w:hAnsi="Arial" w:cs="Arial"/>
          <w:sz w:val="24"/>
          <w:szCs w:val="24"/>
        </w:rPr>
      </w:pPr>
      <w:bookmarkStart w:id="4" w:name="_heading=h.4xjsviyr780" w:colFirst="0" w:colLast="0"/>
      <w:bookmarkEnd w:id="4"/>
    </w:p>
    <w:p w:rsidR="00416BBF" w:rsidRDefault="00416BBF">
      <w:pPr>
        <w:spacing w:line="240" w:lineRule="auto"/>
        <w:jc w:val="both"/>
        <w:rPr>
          <w:rFonts w:ascii="Arial" w:eastAsia="Arial" w:hAnsi="Arial" w:cs="Arial"/>
          <w:sz w:val="24"/>
          <w:szCs w:val="24"/>
        </w:rPr>
      </w:pPr>
      <w:bookmarkStart w:id="5" w:name="_heading=h.bq0mdziyqrky" w:colFirst="0" w:colLast="0"/>
      <w:bookmarkEnd w:id="5"/>
    </w:p>
    <w:p w:rsidR="00416BBF" w:rsidRDefault="00416BBF">
      <w:pPr>
        <w:spacing w:line="240" w:lineRule="auto"/>
        <w:jc w:val="both"/>
        <w:rPr>
          <w:rFonts w:ascii="Arial" w:eastAsia="Arial" w:hAnsi="Arial" w:cs="Arial"/>
          <w:sz w:val="24"/>
          <w:szCs w:val="24"/>
        </w:rPr>
      </w:pPr>
      <w:bookmarkStart w:id="6" w:name="_heading=h.t0dg2aagrv00" w:colFirst="0" w:colLast="0"/>
      <w:bookmarkEnd w:id="6"/>
    </w:p>
    <w:p w:rsidR="00416BBF" w:rsidRDefault="00416BBF">
      <w:pPr>
        <w:spacing w:line="240" w:lineRule="auto"/>
        <w:jc w:val="both"/>
        <w:rPr>
          <w:rFonts w:ascii="Arial" w:eastAsia="Arial" w:hAnsi="Arial" w:cs="Arial"/>
          <w:sz w:val="24"/>
          <w:szCs w:val="24"/>
        </w:rPr>
      </w:pPr>
      <w:bookmarkStart w:id="7" w:name="_heading=h.8wc5fkylr69c" w:colFirst="0" w:colLast="0"/>
      <w:bookmarkEnd w:id="7"/>
    </w:p>
    <w:p w:rsidR="00416BBF" w:rsidRDefault="00416BBF">
      <w:pPr>
        <w:spacing w:line="240" w:lineRule="auto"/>
        <w:jc w:val="both"/>
        <w:rPr>
          <w:rFonts w:ascii="Arial" w:eastAsia="Arial" w:hAnsi="Arial" w:cs="Arial"/>
          <w:sz w:val="24"/>
          <w:szCs w:val="24"/>
        </w:rPr>
      </w:pPr>
      <w:bookmarkStart w:id="8" w:name="_heading=h.l5tk1nlvr9zz" w:colFirst="0" w:colLast="0"/>
      <w:bookmarkEnd w:id="8"/>
    </w:p>
    <w:p w:rsidR="00416BBF" w:rsidRDefault="00416BBF">
      <w:pPr>
        <w:spacing w:line="240" w:lineRule="auto"/>
        <w:jc w:val="both"/>
        <w:rPr>
          <w:rFonts w:ascii="Arial" w:eastAsia="Arial" w:hAnsi="Arial" w:cs="Arial"/>
          <w:sz w:val="24"/>
          <w:szCs w:val="24"/>
        </w:rPr>
      </w:pPr>
      <w:bookmarkStart w:id="9" w:name="_heading=h.gqbed4wn30bd" w:colFirst="0" w:colLast="0"/>
      <w:bookmarkEnd w:id="9"/>
    </w:p>
    <w:p w:rsidR="00416BBF" w:rsidRDefault="00C866F7">
      <w:pPr>
        <w:shd w:val="clear" w:color="auto" w:fill="FFFFFF"/>
        <w:spacing w:after="380" w:line="240" w:lineRule="auto"/>
        <w:jc w:val="both"/>
        <w:rPr>
          <w:rFonts w:ascii="Arial" w:eastAsia="Arial" w:hAnsi="Arial" w:cs="Arial"/>
          <w:b/>
          <w:sz w:val="24"/>
          <w:szCs w:val="24"/>
          <w:highlight w:val="white"/>
        </w:rPr>
      </w:pPr>
      <w:r>
        <w:rPr>
          <w:rFonts w:ascii="Arial" w:eastAsia="Arial" w:hAnsi="Arial" w:cs="Arial"/>
          <w:b/>
          <w:sz w:val="24"/>
          <w:szCs w:val="24"/>
          <w:highlight w:val="white"/>
        </w:rPr>
        <w:lastRenderedPageBreak/>
        <w:t>Solicitamos a los Expertos independientes del Comité:</w:t>
      </w:r>
    </w:p>
    <w:p w:rsidR="00416BBF" w:rsidRDefault="00C866F7">
      <w:pPr>
        <w:spacing w:line="240" w:lineRule="auto"/>
        <w:jc w:val="both"/>
        <w:rPr>
          <w:rFonts w:ascii="Arial" w:eastAsia="Arial" w:hAnsi="Arial" w:cs="Arial"/>
          <w:sz w:val="24"/>
          <w:szCs w:val="24"/>
          <w:highlight w:val="white"/>
        </w:rPr>
      </w:pPr>
      <w:bookmarkStart w:id="10" w:name="_heading=h.wvgaoukk3j6a" w:colFirst="0" w:colLast="0"/>
      <w:bookmarkEnd w:id="10"/>
      <w:r>
        <w:rPr>
          <w:rFonts w:ascii="Arial" w:eastAsia="Arial" w:hAnsi="Arial" w:cs="Arial"/>
          <w:sz w:val="24"/>
          <w:szCs w:val="24"/>
          <w:highlight w:val="white"/>
        </w:rPr>
        <w:t>1- Que el Estado adecue e implemente políticas públicas en garantizar los derechos sexuales y reproductivo de la población en especial atención de las niñas y adolescentes embarazadas.</w:t>
      </w:r>
    </w:p>
    <w:p w:rsidR="00416BBF" w:rsidRDefault="00C866F7">
      <w:pPr>
        <w:spacing w:line="240" w:lineRule="auto"/>
        <w:jc w:val="both"/>
        <w:rPr>
          <w:rFonts w:ascii="Arial" w:eastAsia="Arial" w:hAnsi="Arial" w:cs="Arial"/>
          <w:sz w:val="24"/>
          <w:szCs w:val="24"/>
          <w:highlight w:val="white"/>
        </w:rPr>
      </w:pPr>
      <w:bookmarkStart w:id="11" w:name="_heading=h.z6bqfq5sf0an" w:colFirst="0" w:colLast="0"/>
      <w:bookmarkEnd w:id="11"/>
      <w:r>
        <w:rPr>
          <w:rFonts w:ascii="Arial" w:eastAsia="Arial" w:hAnsi="Arial" w:cs="Arial"/>
          <w:sz w:val="24"/>
          <w:szCs w:val="24"/>
          <w:highlight w:val="white"/>
        </w:rPr>
        <w:t xml:space="preserve">2- Que el Estado fortalezca la relación de cooperación de las Agencias </w:t>
      </w:r>
      <w:r>
        <w:rPr>
          <w:rFonts w:ascii="Arial" w:eastAsia="Arial" w:hAnsi="Arial" w:cs="Arial"/>
          <w:sz w:val="24"/>
          <w:szCs w:val="24"/>
          <w:highlight w:val="white"/>
        </w:rPr>
        <w:t>y Programas de la ONU (UNICEF, UNFPA, ONUSIDA, PNUD) y programas regionales para atender problemas como el embarazo en adolescente, acceso al derecho de la educación.</w:t>
      </w:r>
    </w:p>
    <w:p w:rsidR="00416BBF" w:rsidRDefault="00C866F7">
      <w:pPr>
        <w:spacing w:line="240" w:lineRule="auto"/>
        <w:jc w:val="both"/>
        <w:rPr>
          <w:rFonts w:ascii="Arial" w:eastAsia="Arial" w:hAnsi="Arial" w:cs="Arial"/>
          <w:sz w:val="24"/>
          <w:szCs w:val="24"/>
          <w:highlight w:val="white"/>
        </w:rPr>
      </w:pPr>
      <w:bookmarkStart w:id="12" w:name="_heading=h.s5m99use88df" w:colFirst="0" w:colLast="0"/>
      <w:bookmarkEnd w:id="12"/>
      <w:r>
        <w:rPr>
          <w:rFonts w:ascii="Arial" w:eastAsia="Arial" w:hAnsi="Arial" w:cs="Arial"/>
          <w:sz w:val="24"/>
          <w:szCs w:val="24"/>
          <w:highlight w:val="white"/>
        </w:rPr>
        <w:t>3- Que el Estado informe al Comité, sobre las medidas adoptadas para el acceso, goce y di</w:t>
      </w:r>
      <w:r>
        <w:rPr>
          <w:rFonts w:ascii="Arial" w:eastAsia="Arial" w:hAnsi="Arial" w:cs="Arial"/>
          <w:sz w:val="24"/>
          <w:szCs w:val="24"/>
          <w:highlight w:val="white"/>
        </w:rPr>
        <w:t>sfrute de los derechos a la educación, salud, y alimentación de los población más pobres.</w:t>
      </w:r>
    </w:p>
    <w:p w:rsidR="00416BBF" w:rsidRDefault="00C866F7">
      <w:pPr>
        <w:spacing w:line="240" w:lineRule="auto"/>
        <w:jc w:val="both"/>
        <w:rPr>
          <w:rFonts w:ascii="Arial" w:eastAsia="Arial" w:hAnsi="Arial" w:cs="Arial"/>
          <w:sz w:val="24"/>
          <w:szCs w:val="24"/>
          <w:highlight w:val="white"/>
        </w:rPr>
      </w:pPr>
      <w:bookmarkStart w:id="13" w:name="_heading=h.d95obhvzi2wf" w:colFirst="0" w:colLast="0"/>
      <w:bookmarkEnd w:id="13"/>
      <w:r>
        <w:rPr>
          <w:rFonts w:ascii="Arial" w:eastAsia="Arial" w:hAnsi="Arial" w:cs="Arial"/>
          <w:sz w:val="24"/>
          <w:szCs w:val="24"/>
          <w:highlight w:val="white"/>
        </w:rPr>
        <w:t>4- Que el Estado informe de las medidas adoptadas para adecuar y cumplir con las metas del Milenio en erradicar la pobreza y el cambio climático.</w:t>
      </w:r>
    </w:p>
    <w:p w:rsidR="00416BBF" w:rsidRDefault="00C866F7">
      <w:pPr>
        <w:spacing w:line="240" w:lineRule="auto"/>
        <w:jc w:val="both"/>
        <w:rPr>
          <w:rFonts w:ascii="Arial" w:eastAsia="Arial" w:hAnsi="Arial" w:cs="Arial"/>
          <w:sz w:val="24"/>
          <w:szCs w:val="24"/>
          <w:highlight w:val="white"/>
        </w:rPr>
      </w:pPr>
      <w:bookmarkStart w:id="14" w:name="_heading=h.j1x3el6cln3s" w:colFirst="0" w:colLast="0"/>
      <w:bookmarkEnd w:id="14"/>
      <w:r>
        <w:rPr>
          <w:rFonts w:ascii="Arial" w:eastAsia="Arial" w:hAnsi="Arial" w:cs="Arial"/>
          <w:sz w:val="24"/>
          <w:szCs w:val="24"/>
          <w:highlight w:val="white"/>
        </w:rPr>
        <w:t>5- Que el Estado, se</w:t>
      </w:r>
      <w:r>
        <w:rPr>
          <w:rFonts w:ascii="Arial" w:eastAsia="Arial" w:hAnsi="Arial" w:cs="Arial"/>
          <w:sz w:val="24"/>
          <w:szCs w:val="24"/>
          <w:highlight w:val="white"/>
        </w:rPr>
        <w:t xml:space="preserve"> comprometa en adoptar reformas legislativas para garantizar los derechos y no discriminación de las personas LGBTI.</w:t>
      </w:r>
    </w:p>
    <w:p w:rsidR="00416BBF" w:rsidRDefault="00C866F7">
      <w:pPr>
        <w:spacing w:line="240" w:lineRule="auto"/>
        <w:jc w:val="both"/>
        <w:rPr>
          <w:rFonts w:ascii="Arial" w:eastAsia="Arial" w:hAnsi="Arial" w:cs="Arial"/>
          <w:sz w:val="24"/>
          <w:szCs w:val="24"/>
          <w:highlight w:val="white"/>
        </w:rPr>
      </w:pPr>
      <w:bookmarkStart w:id="15" w:name="_heading=h.iplc3ohewpos" w:colFirst="0" w:colLast="0"/>
      <w:bookmarkEnd w:id="15"/>
      <w:r>
        <w:rPr>
          <w:rFonts w:ascii="Arial" w:eastAsia="Arial" w:hAnsi="Arial" w:cs="Arial"/>
          <w:sz w:val="24"/>
          <w:szCs w:val="24"/>
          <w:highlight w:val="white"/>
        </w:rPr>
        <w:t xml:space="preserve">6- Que el Estado se comprometa en adoptar medidas urgentes y eficaces para la protección del ejercicio del derecho libertad de expresión y </w:t>
      </w:r>
      <w:r>
        <w:rPr>
          <w:rFonts w:ascii="Arial" w:eastAsia="Arial" w:hAnsi="Arial" w:cs="Arial"/>
          <w:sz w:val="24"/>
          <w:szCs w:val="24"/>
          <w:highlight w:val="white"/>
        </w:rPr>
        <w:t>labor de los periodistas.</w:t>
      </w:r>
    </w:p>
    <w:p w:rsidR="00416BBF" w:rsidRDefault="00C866F7">
      <w:pPr>
        <w:spacing w:line="240" w:lineRule="auto"/>
        <w:jc w:val="both"/>
        <w:rPr>
          <w:rFonts w:ascii="Arial" w:eastAsia="Arial" w:hAnsi="Arial" w:cs="Arial"/>
          <w:sz w:val="24"/>
          <w:szCs w:val="24"/>
          <w:highlight w:val="white"/>
        </w:rPr>
      </w:pPr>
      <w:bookmarkStart w:id="16" w:name="_heading=h.nfdm90b3i4lq" w:colFirst="0" w:colLast="0"/>
      <w:bookmarkEnd w:id="16"/>
      <w:r>
        <w:rPr>
          <w:rFonts w:ascii="Arial" w:eastAsia="Arial" w:hAnsi="Arial" w:cs="Arial"/>
          <w:sz w:val="24"/>
          <w:szCs w:val="24"/>
          <w:highlight w:val="white"/>
        </w:rPr>
        <w:t>7- Que el Estado adopte medidas urgentes y eficaces en el mecanismos de protección a los defensores de derechos humanos.</w:t>
      </w:r>
    </w:p>
    <w:p w:rsidR="00416BBF" w:rsidRDefault="00C866F7">
      <w:pPr>
        <w:spacing w:line="240" w:lineRule="auto"/>
        <w:jc w:val="both"/>
        <w:rPr>
          <w:rFonts w:ascii="Arial" w:eastAsia="Arial" w:hAnsi="Arial" w:cs="Arial"/>
          <w:sz w:val="24"/>
          <w:szCs w:val="24"/>
          <w:highlight w:val="white"/>
        </w:rPr>
      </w:pPr>
      <w:bookmarkStart w:id="17" w:name="_heading=h.lorhso57zpps" w:colFirst="0" w:colLast="0"/>
      <w:bookmarkEnd w:id="17"/>
      <w:r>
        <w:rPr>
          <w:rFonts w:ascii="Arial" w:eastAsia="Arial" w:hAnsi="Arial" w:cs="Arial"/>
          <w:sz w:val="24"/>
          <w:szCs w:val="24"/>
          <w:highlight w:val="white"/>
        </w:rPr>
        <w:t>8- Que el Estado informe al Comité sobre las políticas dirigidas al Régimen Penitenciario y las medidas adopt</w:t>
      </w:r>
      <w:r>
        <w:rPr>
          <w:rFonts w:ascii="Arial" w:eastAsia="Arial" w:hAnsi="Arial" w:cs="Arial"/>
          <w:sz w:val="24"/>
          <w:szCs w:val="24"/>
          <w:highlight w:val="white"/>
        </w:rPr>
        <w:t>adas para la erradicación del retardo de un juicio justo y oportuno.</w:t>
      </w:r>
    </w:p>
    <w:p w:rsidR="00416BBF" w:rsidRDefault="00416BBF">
      <w:pPr>
        <w:spacing w:line="240" w:lineRule="auto"/>
        <w:jc w:val="both"/>
        <w:rPr>
          <w:rFonts w:ascii="Arial" w:eastAsia="Arial" w:hAnsi="Arial" w:cs="Arial"/>
          <w:sz w:val="24"/>
          <w:szCs w:val="24"/>
          <w:highlight w:val="white"/>
        </w:rPr>
      </w:pPr>
      <w:bookmarkStart w:id="18" w:name="_heading=h.9iq1ndoehjqp" w:colFirst="0" w:colLast="0"/>
      <w:bookmarkEnd w:id="18"/>
    </w:p>
    <w:p w:rsidR="00416BBF" w:rsidRDefault="00416BBF">
      <w:pPr>
        <w:spacing w:line="360" w:lineRule="auto"/>
        <w:jc w:val="both"/>
        <w:rPr>
          <w:rFonts w:ascii="Arial" w:eastAsia="Arial" w:hAnsi="Arial" w:cs="Arial"/>
          <w:sz w:val="24"/>
          <w:szCs w:val="24"/>
        </w:rPr>
      </w:pPr>
    </w:p>
    <w:sectPr w:rsidR="00416BBF">
      <w:headerReference w:type="default" r:id="rId7"/>
      <w:foot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866F7">
      <w:pPr>
        <w:spacing w:after="0" w:line="240" w:lineRule="auto"/>
      </w:pPr>
      <w:r>
        <w:separator/>
      </w:r>
    </w:p>
  </w:endnote>
  <w:endnote w:type="continuationSeparator" w:id="0">
    <w:p w:rsidR="00000000" w:rsidRDefault="00C86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BF" w:rsidRDefault="00C866F7">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rsidR="00416BBF" w:rsidRDefault="00416BB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866F7">
      <w:pPr>
        <w:spacing w:after="0" w:line="240" w:lineRule="auto"/>
      </w:pPr>
      <w:r>
        <w:separator/>
      </w:r>
    </w:p>
  </w:footnote>
  <w:footnote w:type="continuationSeparator" w:id="0">
    <w:p w:rsidR="00000000" w:rsidRDefault="00C86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BBF" w:rsidRDefault="00C866F7">
    <w:r>
      <w:rPr>
        <w:noProof/>
        <w:lang w:val="en-GB"/>
      </w:rPr>
      <w:drawing>
        <wp:anchor distT="0" distB="0" distL="0" distR="0" simplePos="0" relativeHeight="251658240" behindDoc="0" locked="0" layoutInCell="1" hidden="0" allowOverlap="1">
          <wp:simplePos x="0" y="0"/>
          <wp:positionH relativeFrom="column">
            <wp:posOffset>4705350</wp:posOffset>
          </wp:positionH>
          <wp:positionV relativeFrom="paragraph">
            <wp:posOffset>-171449</wp:posOffset>
          </wp:positionV>
          <wp:extent cx="1483328" cy="745807"/>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483328" cy="745807"/>
                  </a:xfrm>
                  <a:prstGeom prst="rect">
                    <a:avLst/>
                  </a:prstGeom>
                  <a:ln/>
                </pic:spPr>
              </pic:pic>
            </a:graphicData>
          </a:graphic>
        </wp:anchor>
      </w:drawing>
    </w:r>
    <w:r>
      <w:rPr>
        <w:noProof/>
        <w:lang w:val="en-GB"/>
      </w:rPr>
      <w:drawing>
        <wp:anchor distT="0" distB="0" distL="0" distR="0" simplePos="0" relativeHeight="251659264" behindDoc="1" locked="0" layoutInCell="1" hidden="0" allowOverlap="1">
          <wp:simplePos x="0" y="0"/>
          <wp:positionH relativeFrom="column">
            <wp:posOffset>-57149</wp:posOffset>
          </wp:positionH>
          <wp:positionV relativeFrom="paragraph">
            <wp:posOffset>-321309</wp:posOffset>
          </wp:positionV>
          <wp:extent cx="1824733" cy="104775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r="-14901" b="-14901"/>
                  <a:stretch>
                    <a:fillRect/>
                  </a:stretch>
                </pic:blipFill>
                <pic:spPr>
                  <a:xfrm>
                    <a:off x="0" y="0"/>
                    <a:ext cx="1824733" cy="104775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BBF"/>
    <w:rsid w:val="00416BBF"/>
    <w:rsid w:val="00C86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D2075C-7A8D-4452-B5A2-27F6CC0F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VE"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FOtq4URqKLDXm79l6K7CsPjFGQ==">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</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3E2464E-73AB-4B2B-8EB6-A381ED613C9E}"/>
</file>

<file path=customXml/itemProps3.xml><?xml version="1.0" encoding="utf-8"?>
<ds:datastoreItem xmlns:ds="http://schemas.openxmlformats.org/officeDocument/2006/customXml" ds:itemID="{6566ACF1-DC74-4304-A238-1D127941B4DA}"/>
</file>

<file path=customXml/itemProps4.xml><?xml version="1.0" encoding="utf-8"?>
<ds:datastoreItem xmlns:ds="http://schemas.openxmlformats.org/officeDocument/2006/customXml" ds:itemID="{D9347789-AA2B-4106-A958-F5AEE94647B8}"/>
</file>

<file path=docProps/app.xml><?xml version="1.0" encoding="utf-8"?>
<Properties xmlns="http://schemas.openxmlformats.org/officeDocument/2006/extended-properties" xmlns:vt="http://schemas.openxmlformats.org/officeDocument/2006/docPropsVTypes">
  <Template>Normal.dotm</Template>
  <TotalTime>1</TotalTime>
  <Pages>7</Pages>
  <Words>1973</Words>
  <Characters>11252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REYNAUD Céline</cp:lastModifiedBy>
  <cp:revision>2</cp:revision>
  <dcterms:created xsi:type="dcterms:W3CDTF">2022-09-29T16:51:00Z</dcterms:created>
  <dcterms:modified xsi:type="dcterms:W3CDTF">2022-09-29T16:51:00Z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