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4541"/>
        <w:gridCol w:w="4315"/>
      </w:tblGrid>
      <w:tr w:rsidR="00C23A9F" w:rsidRPr="004922D7" w14:paraId="157CC491" w14:textId="77777777" w:rsidTr="00B027EC">
        <w:tc>
          <w:tcPr>
            <w:tcW w:w="4541" w:type="dxa"/>
          </w:tcPr>
          <w:p w14:paraId="687947E4" w14:textId="1B4AC471" w:rsidR="00C23A9F" w:rsidRPr="004922D7" w:rsidRDefault="00C23A9F">
            <w:pPr>
              <w:rPr>
                <w:rFonts w:ascii="Times New Roman" w:hAnsi="Times New Roman" w:cs="Times New Roman"/>
              </w:rPr>
            </w:pPr>
            <w:bookmarkStart w:id="0" w:name="_GoBack"/>
            <w:bookmarkEnd w:id="0"/>
            <w:r w:rsidRPr="004922D7">
              <w:rPr>
                <w:rFonts w:ascii="Times New Roman" w:hAnsi="Times New Roman" w:cs="Times New Roman"/>
                <w:noProof/>
                <w:lang w:val="en-GB" w:eastAsia="en-GB"/>
              </w:rPr>
              <w:drawing>
                <wp:anchor distT="0" distB="0" distL="114300" distR="114300" simplePos="0" relativeHeight="251658240" behindDoc="0" locked="0" layoutInCell="1" allowOverlap="1" wp14:anchorId="4BE912A6" wp14:editId="5AC9FB38">
                  <wp:simplePos x="0" y="0"/>
                  <wp:positionH relativeFrom="margin">
                    <wp:posOffset>934143</wp:posOffset>
                  </wp:positionH>
                  <wp:positionV relativeFrom="margin">
                    <wp:posOffset>0</wp:posOffset>
                  </wp:positionV>
                  <wp:extent cx="898525" cy="887095"/>
                  <wp:effectExtent l="0" t="0" r="3175" b="1905"/>
                  <wp:wrapTight wrapText="bothSides">
                    <wp:wrapPolygon edited="0">
                      <wp:start x="0" y="0"/>
                      <wp:lineTo x="0" y="21337"/>
                      <wp:lineTo x="21371" y="21337"/>
                      <wp:lineTo x="213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JA_english_med.jpg"/>
                          <pic:cNvPicPr/>
                        </pic:nvPicPr>
                        <pic:blipFill>
                          <a:blip r:embed="rId8">
                            <a:extLst>
                              <a:ext uri="{28A0092B-C50C-407E-A947-70E740481C1C}">
                                <a14:useLocalDpi xmlns:a14="http://schemas.microsoft.com/office/drawing/2010/main" val="0"/>
                              </a:ext>
                            </a:extLst>
                          </a:blip>
                          <a:stretch>
                            <a:fillRect/>
                          </a:stretch>
                        </pic:blipFill>
                        <pic:spPr>
                          <a:xfrm>
                            <a:off x="0" y="0"/>
                            <a:ext cx="898525" cy="887095"/>
                          </a:xfrm>
                          <a:prstGeom prst="rect">
                            <a:avLst/>
                          </a:prstGeom>
                        </pic:spPr>
                      </pic:pic>
                    </a:graphicData>
                  </a:graphic>
                </wp:anchor>
              </w:drawing>
            </w:r>
          </w:p>
          <w:p w14:paraId="0FC7DE0F" w14:textId="77777777" w:rsidR="00C23A9F" w:rsidRPr="004922D7" w:rsidRDefault="00C23A9F">
            <w:pPr>
              <w:rPr>
                <w:rFonts w:ascii="Times New Roman" w:hAnsi="Times New Roman" w:cs="Times New Roman"/>
              </w:rPr>
            </w:pPr>
          </w:p>
          <w:p w14:paraId="019E8BF7" w14:textId="77777777" w:rsidR="00C23A9F" w:rsidRPr="004922D7" w:rsidRDefault="00C23A9F">
            <w:pPr>
              <w:rPr>
                <w:rFonts w:ascii="Times New Roman" w:hAnsi="Times New Roman" w:cs="Times New Roman"/>
              </w:rPr>
            </w:pPr>
          </w:p>
        </w:tc>
        <w:tc>
          <w:tcPr>
            <w:tcW w:w="4315" w:type="dxa"/>
          </w:tcPr>
          <w:p w14:paraId="3DC43553" w14:textId="77777777" w:rsidR="007470D3" w:rsidRPr="004922D7" w:rsidRDefault="007470D3" w:rsidP="007470D3">
            <w:pPr>
              <w:rPr>
                <w:rFonts w:ascii="Times New Roman" w:hAnsi="Times New Roman" w:cs="Times New Roman"/>
                <w:b/>
              </w:rPr>
            </w:pPr>
            <w:r>
              <w:rPr>
                <w:rFonts w:ascii="Times New Roman" w:hAnsi="Times New Roman" w:cs="Times New Roman"/>
                <w:b/>
              </w:rPr>
              <w:t>CRC September</w:t>
            </w:r>
            <w:r w:rsidRPr="004922D7">
              <w:rPr>
                <w:rFonts w:ascii="Times New Roman" w:hAnsi="Times New Roman" w:cs="Times New Roman"/>
                <w:b/>
              </w:rPr>
              <w:t xml:space="preserve"> Sessional Working Group (8</w:t>
            </w:r>
            <w:r>
              <w:rPr>
                <w:rFonts w:ascii="Times New Roman" w:hAnsi="Times New Roman" w:cs="Times New Roman"/>
                <w:b/>
              </w:rPr>
              <w:t>2</w:t>
            </w:r>
            <w:r w:rsidRPr="005F749C">
              <w:rPr>
                <w:rFonts w:ascii="Times New Roman" w:hAnsi="Times New Roman" w:cs="Times New Roman"/>
                <w:b/>
                <w:vertAlign w:val="superscript"/>
              </w:rPr>
              <w:t>nd</w:t>
            </w:r>
            <w:r>
              <w:rPr>
                <w:rFonts w:ascii="Times New Roman" w:hAnsi="Times New Roman" w:cs="Times New Roman"/>
                <w:b/>
              </w:rPr>
              <w:t xml:space="preserve"> </w:t>
            </w:r>
            <w:r w:rsidRPr="004922D7">
              <w:rPr>
                <w:rFonts w:ascii="Times New Roman" w:hAnsi="Times New Roman" w:cs="Times New Roman"/>
                <w:b/>
              </w:rPr>
              <w:t>Session)</w:t>
            </w:r>
          </w:p>
          <w:p w14:paraId="667F08DF" w14:textId="291BDF55" w:rsidR="00C23A9F" w:rsidRPr="004922D7" w:rsidRDefault="00C23A9F">
            <w:pPr>
              <w:rPr>
                <w:rFonts w:ascii="Times New Roman" w:hAnsi="Times New Roman" w:cs="Times New Roman"/>
              </w:rPr>
            </w:pPr>
            <w:r w:rsidRPr="004922D7">
              <w:rPr>
                <w:rFonts w:ascii="Times New Roman" w:hAnsi="Times New Roman" w:cs="Times New Roman"/>
              </w:rPr>
              <w:t>Country name:</w:t>
            </w:r>
            <w:r w:rsidR="009F0A61" w:rsidRPr="004922D7">
              <w:rPr>
                <w:rFonts w:ascii="Times New Roman" w:hAnsi="Times New Roman" w:cs="Times New Roman"/>
              </w:rPr>
              <w:t xml:space="preserve"> </w:t>
            </w:r>
            <w:r w:rsidR="000276DC">
              <w:rPr>
                <w:rFonts w:ascii="Times New Roman" w:hAnsi="Times New Roman" w:cs="Times New Roman"/>
              </w:rPr>
              <w:t>Republic of Korea</w:t>
            </w:r>
          </w:p>
          <w:p w14:paraId="3284389E" w14:textId="77777777" w:rsidR="00C23A9F" w:rsidRPr="004922D7" w:rsidRDefault="00C23A9F">
            <w:pPr>
              <w:rPr>
                <w:rFonts w:ascii="Times New Roman" w:hAnsi="Times New Roman" w:cs="Times New Roman"/>
              </w:rPr>
            </w:pPr>
          </w:p>
        </w:tc>
      </w:tr>
      <w:tr w:rsidR="00187935" w:rsidRPr="004922D7" w14:paraId="6FF3C477" w14:textId="77777777" w:rsidTr="0095046B">
        <w:tc>
          <w:tcPr>
            <w:tcW w:w="8856" w:type="dxa"/>
            <w:gridSpan w:val="2"/>
          </w:tcPr>
          <w:p w14:paraId="4D2E14A6" w14:textId="77777777" w:rsidR="00CD0839" w:rsidRPr="004922D7" w:rsidRDefault="00CD0839" w:rsidP="00CD0839">
            <w:pPr>
              <w:jc w:val="center"/>
              <w:rPr>
                <w:rFonts w:ascii="Times New Roman" w:eastAsia="Times New Roman" w:hAnsi="Times New Roman" w:cs="Times New Roman"/>
                <w:b/>
                <w:color w:val="222222"/>
                <w:shd w:val="clear" w:color="auto" w:fill="FFFFFF"/>
              </w:rPr>
            </w:pPr>
            <w:r w:rsidRPr="004922D7">
              <w:rPr>
                <w:rFonts w:ascii="Times New Roman" w:eastAsia="Times New Roman" w:hAnsi="Times New Roman" w:cs="Times New Roman"/>
                <w:b/>
                <w:color w:val="222222"/>
                <w:shd w:val="clear" w:color="auto" w:fill="FFFFFF"/>
              </w:rPr>
              <w:t>Appropriate pretrial detention times for children</w:t>
            </w:r>
          </w:p>
          <w:p w14:paraId="7BDAF60C"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1A1E3115"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Cluster of rights:</w:t>
            </w:r>
          </w:p>
          <w:p w14:paraId="134DBCE3" w14:textId="77777777" w:rsidR="00CD0839" w:rsidRPr="004922D7" w:rsidRDefault="00CD0839" w:rsidP="00CD0839">
            <w:pPr>
              <w:pStyle w:val="NormalWeb"/>
              <w:spacing w:before="0" w:beforeAutospacing="0" w:after="0" w:afterAutospacing="0"/>
              <w:jc w:val="both"/>
              <w:rPr>
                <w:color w:val="222222"/>
                <w:shd w:val="clear" w:color="auto" w:fill="FFFFFF"/>
              </w:rPr>
            </w:pPr>
          </w:p>
          <w:p w14:paraId="2854042B"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Right to lawful deprivation of liberty</w:t>
            </w:r>
          </w:p>
          <w:p w14:paraId="3A30A5D6"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Right to speedy trial and brevity of pretrial detention</w:t>
            </w:r>
          </w:p>
          <w:p w14:paraId="7756CFC4" w14:textId="454EBC32"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Convention on the Rights of the Child Article 37(b</w:t>
            </w:r>
            <w:r w:rsidR="00354FA3">
              <w:rPr>
                <w:color w:val="222222"/>
                <w:shd w:val="clear" w:color="auto" w:fill="FFFFFF"/>
              </w:rPr>
              <w:t>)</w:t>
            </w:r>
            <w:r w:rsidRPr="004922D7">
              <w:rPr>
                <w:color w:val="222222"/>
                <w:shd w:val="clear" w:color="auto" w:fill="FFFFFF"/>
              </w:rPr>
              <w:t xml:space="preserve"> </w:t>
            </w:r>
          </w:p>
          <w:p w14:paraId="586D87EA"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Convention Against Torture Article 2</w:t>
            </w:r>
          </w:p>
          <w:p w14:paraId="7D0403A1"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1E0C3FB6"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Areas of concern:</w:t>
            </w:r>
          </w:p>
          <w:p w14:paraId="56F4E549"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0C0CF5E4"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RPr="004922D7">
              <w:rPr>
                <w:rFonts w:ascii="Times New Roman" w:hAnsi="Times New Roman" w:cs="Times New Roman"/>
                <w:vertAlign w:val="superscript"/>
              </w:rPr>
              <w:footnoteReference w:id="1"/>
            </w:r>
            <w:r w:rsidRPr="004922D7">
              <w:rPr>
                <w:rFonts w:ascii="Times New Roman" w:hAnsi="Times New Roman" w:cs="Times New Roman"/>
              </w:rPr>
              <w:t xml:space="preserve"> Pretrial detention is only permitted as a measure of last resort and for “</w:t>
            </w:r>
            <w:r w:rsidRPr="004922D7">
              <w:rPr>
                <w:rFonts w:ascii="Times New Roman" w:hAnsi="Times New Roman" w:cs="Times New Roman"/>
                <w:i/>
              </w:rPr>
              <w:t>the shortest appropriate period of time</w:t>
            </w:r>
            <w:r w:rsidRPr="004922D7">
              <w:rPr>
                <w:rFonts w:ascii="Times New Roman" w:hAnsi="Times New Roman" w:cs="Times New Roman"/>
              </w:rPr>
              <w:t>.”</w:t>
            </w:r>
            <w:bookmarkStart w:id="1" w:name="_Ref509599856"/>
            <w:r w:rsidRPr="004922D7">
              <w:rPr>
                <w:rFonts w:ascii="Times New Roman" w:hAnsi="Times New Roman" w:cs="Times New Roman"/>
                <w:vertAlign w:val="superscript"/>
              </w:rPr>
              <w:footnoteReference w:id="2"/>
            </w:r>
            <w:bookmarkEnd w:id="1"/>
            <w:r w:rsidRPr="004922D7">
              <w:rPr>
                <w:rFonts w:ascii="Times New Roman" w:hAnsi="Times New Roman" w:cs="Times New Roman"/>
              </w:rPr>
              <w:t> However, there is no clarity around what is meant by an “</w:t>
            </w:r>
            <w:r w:rsidRPr="004922D7">
              <w:rPr>
                <w:rFonts w:ascii="Times New Roman" w:hAnsi="Times New Roman" w:cs="Times New Roman"/>
                <w:i/>
              </w:rPr>
              <w:t>appropriate period of time</w:t>
            </w:r>
            <w:r w:rsidRPr="004922D7">
              <w:rPr>
                <w:rFonts w:ascii="Times New Roman" w:hAnsi="Times New Roman" w:cs="Times New Roman"/>
              </w:rPr>
              <w:t>.” The Committee on the Rights of the Child, in General Comment 10, recommended that children who are detained should be formally charged within 30 days and once charged, that a final decision should be made by the court within six months.</w:t>
            </w:r>
            <w:bookmarkStart w:id="2" w:name="_Ref511739094"/>
            <w:r w:rsidRPr="004922D7">
              <w:rPr>
                <w:rStyle w:val="FootnoteReference"/>
                <w:rFonts w:ascii="Times New Roman" w:hAnsi="Times New Roman" w:cs="Times New Roman"/>
              </w:rPr>
              <w:footnoteReference w:id="3"/>
            </w:r>
            <w:bookmarkEnd w:id="2"/>
            <w:r w:rsidRPr="004922D7">
              <w:rPr>
                <w:rFonts w:ascii="Times New Roman" w:hAnsi="Times New Roman" w:cs="Times New Roman"/>
              </w:rPr>
              <w:t xml:space="preserve"> The Committee additionally recommended that any such detention should be reviewed regularly by a competent body</w:t>
            </w:r>
            <w:r w:rsidRPr="004922D7">
              <w:rPr>
                <w:rStyle w:val="FootnoteReference"/>
                <w:rFonts w:ascii="Times New Roman" w:hAnsi="Times New Roman" w:cs="Times New Roman"/>
              </w:rPr>
              <w:footnoteReference w:id="4"/>
            </w:r>
            <w:r w:rsidRPr="004922D7">
              <w:rPr>
                <w:rFonts w:ascii="Times New Roman" w:hAnsi="Times New Roman" w:cs="Times New Roman"/>
              </w:rPr>
              <w:t xml:space="preserve"> These recommendations can and should be strengthened.</w:t>
            </w:r>
          </w:p>
          <w:p w14:paraId="6841F388" w14:textId="77777777" w:rsidR="00CD0839" w:rsidRPr="004922D7" w:rsidRDefault="00CD0839" w:rsidP="00CD0839">
            <w:pPr>
              <w:jc w:val="both"/>
              <w:rPr>
                <w:rFonts w:ascii="Times New Roman" w:hAnsi="Times New Roman" w:cs="Times New Roman"/>
              </w:rPr>
            </w:pPr>
          </w:p>
          <w:p w14:paraId="4528A217"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Defendants in pretrial detention are more likely to be abused, mistreated and tortured,</w:t>
            </w:r>
            <w:bookmarkStart w:id="3" w:name="_Ref509596657"/>
            <w:r w:rsidRPr="004922D7">
              <w:rPr>
                <w:rFonts w:ascii="Times New Roman" w:hAnsi="Times New Roman" w:cs="Times New Roman"/>
                <w:vertAlign w:val="superscript"/>
              </w:rPr>
              <w:footnoteReference w:id="5"/>
            </w:r>
            <w:bookmarkEnd w:id="3"/>
            <w:r w:rsidRPr="004922D7">
              <w:rPr>
                <w:rFonts w:ascii="Times New Roman" w:hAnsi="Times New Roman" w:cs="Times New Roman"/>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w:t>
            </w:r>
            <w:r w:rsidRPr="004922D7">
              <w:rPr>
                <w:rFonts w:ascii="Times New Roman" w:hAnsi="Times New Roman" w:cs="Times New Roman"/>
              </w:rPr>
              <w:lastRenderedPageBreak/>
              <w:t>school drop-out, and drug use among children.</w:t>
            </w:r>
            <w:bookmarkStart w:id="4" w:name="_Ref509598336"/>
            <w:r w:rsidRPr="004922D7">
              <w:rPr>
                <w:rFonts w:ascii="Times New Roman" w:hAnsi="Times New Roman" w:cs="Times New Roman"/>
                <w:vertAlign w:val="superscript"/>
              </w:rPr>
              <w:footnoteReference w:id="6"/>
            </w:r>
            <w:bookmarkEnd w:id="4"/>
            <w:r w:rsidRPr="004922D7">
              <w:rPr>
                <w:rFonts w:ascii="Times New Roman" w:hAnsi="Times New Roman" w:cs="Times New Roman"/>
              </w:rPr>
              <w:t xml:space="preserve"> Unfortunately, in many countries the majority of children in detention are awaiting trial and may spend months or years behind bars before having their cases resolved.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RPr="004922D7">
              <w:rPr>
                <w:rFonts w:ascii="Times New Roman" w:hAnsi="Times New Roman" w:cs="Times New Roman"/>
                <w:vertAlign w:val="superscript"/>
              </w:rPr>
              <w:footnoteReference w:id="7"/>
            </w:r>
            <w:r w:rsidRPr="004922D7">
              <w:rPr>
                <w:rFonts w:ascii="Times New Roman" w:hAnsi="Times New Roman" w:cs="Times New Roman"/>
              </w:rPr>
              <w:t>. This means that the most significant time spent deprived of liberty is while awaiting trial, when children are ostensibly presumed innocent.</w:t>
            </w:r>
          </w:p>
          <w:p w14:paraId="42DF2598" w14:textId="77777777" w:rsidR="00CD0839" w:rsidRPr="004922D7" w:rsidRDefault="00CD0839" w:rsidP="00CD0839">
            <w:pPr>
              <w:jc w:val="both"/>
              <w:rPr>
                <w:rFonts w:ascii="Times New Roman" w:hAnsi="Times New Roman" w:cs="Times New Roman"/>
              </w:rPr>
            </w:pPr>
          </w:p>
          <w:p w14:paraId="05B21EE0"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14:paraId="1D572502" w14:textId="77777777" w:rsidR="00CD0839" w:rsidRPr="004922D7" w:rsidRDefault="00CD0839" w:rsidP="00CD0839">
            <w:pPr>
              <w:jc w:val="both"/>
              <w:rPr>
                <w:rFonts w:ascii="Times New Roman" w:hAnsi="Times New Roman" w:cs="Times New Roman"/>
              </w:rPr>
            </w:pPr>
          </w:p>
          <w:p w14:paraId="333388F5" w14:textId="77777777" w:rsidR="00CD0839" w:rsidRPr="004922D7" w:rsidRDefault="00CD0839" w:rsidP="00CD0839">
            <w:pPr>
              <w:jc w:val="both"/>
              <w:rPr>
                <w:rFonts w:ascii="Times New Roman" w:hAnsi="Times New Roman" w:cs="Times New Roman"/>
              </w:rPr>
            </w:pPr>
          </w:p>
          <w:p w14:paraId="5B19E091"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 xml:space="preserve">The </w:t>
            </w:r>
            <w:r w:rsidRPr="004922D7">
              <w:rPr>
                <w:rFonts w:ascii="Times New Roman" w:hAnsi="Times New Roman" w:cs="Times New Roman"/>
                <w:i/>
              </w:rPr>
              <w:t>Children in Pretrial Detention: Promoting Stronger International Time Limits</w:t>
            </w:r>
            <w:r w:rsidRPr="004922D7">
              <w:rPr>
                <w:rFonts w:ascii="Times New Roman" w:hAnsi="Times New Roman" w:cs="Times New Roman"/>
              </w:rPr>
              <w:t xml:space="preserve"> report serves as a baseline for the Committee to expand on country practices regarding times of pretrial detention of children. </w:t>
            </w:r>
          </w:p>
          <w:p w14:paraId="0AC8F20C"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hAnsi="Times New Roman" w:cs="Times New Roman"/>
              </w:rPr>
              <w:br w:type="page"/>
            </w:r>
            <w:bookmarkStart w:id="5" w:name="_4g83oi30h3up" w:colFirst="0" w:colLast="0"/>
            <w:bookmarkEnd w:id="5"/>
          </w:p>
          <w:p w14:paraId="59FA61E4"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Methodology:</w:t>
            </w:r>
          </w:p>
          <w:p w14:paraId="758A561F"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5716CB7C"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 xml:space="preserve">This alternative report is based on the </w:t>
            </w:r>
            <w:r w:rsidRPr="004922D7">
              <w:rPr>
                <w:rFonts w:ascii="Times New Roman" w:eastAsia="Times New Roman" w:hAnsi="Times New Roman" w:cs="Times New Roman"/>
                <w:i/>
                <w:color w:val="222222"/>
                <w:shd w:val="clear" w:color="auto" w:fill="FFFFFF"/>
              </w:rPr>
              <w:t xml:space="preserve">Children in Pretrial Detention </w:t>
            </w:r>
            <w:r w:rsidRPr="004922D7">
              <w:rPr>
                <w:rFonts w:ascii="Times New Roman" w:eastAsia="Times New Roman" w:hAnsi="Times New Roman" w:cs="Times New Roman"/>
                <w:color w:val="222222"/>
                <w:shd w:val="clear" w:color="auto" w:fill="FFFFFF"/>
              </w:rPr>
              <w:t>report on pretrial detention times of 119 CRC State parties.</w:t>
            </w:r>
            <w:r w:rsidRPr="004922D7">
              <w:rPr>
                <w:rStyle w:val="FootnoteReference"/>
                <w:rFonts w:ascii="Times New Roman" w:eastAsia="Times New Roman" w:hAnsi="Times New Roman" w:cs="Times New Roman"/>
                <w:color w:val="222222"/>
                <w:shd w:val="clear" w:color="auto" w:fill="FFFFFF"/>
              </w:rPr>
              <w:footnoteReference w:id="8"/>
            </w:r>
            <w:r w:rsidRPr="004922D7">
              <w:rPr>
                <w:rFonts w:ascii="Times New Roman" w:eastAsia="Times New Roman" w:hAnsi="Times New Roman" w:cs="Times New Roman"/>
                <w:color w:val="222222"/>
                <w:shd w:val="clear" w:color="auto" w:fill="FFFFFF"/>
              </w:rPr>
              <w:t xml:space="preserve"> Such report was conducted by reviewing the respective current statutes or court rules in force at the time that the data was collected. </w:t>
            </w:r>
          </w:p>
          <w:p w14:paraId="2089475D"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In defining the statutory time period of pretrial detention, when possible, the report applied the statutory maximum for pretrial detention based on the time allowed in detention from arrest until a sentence was established. However, varying jurisdictions defined pretrial detention</w:t>
            </w:r>
            <w:r w:rsidRPr="004922D7" w:rsidDel="002B3A25">
              <w:rPr>
                <w:rFonts w:ascii="Times New Roman" w:eastAsia="Times New Roman" w:hAnsi="Times New Roman" w:cs="Times New Roman"/>
                <w:color w:val="222222"/>
                <w:shd w:val="clear" w:color="auto" w:fill="FFFFFF"/>
              </w:rPr>
              <w:t xml:space="preserve"> </w:t>
            </w:r>
            <w:r w:rsidRPr="004922D7">
              <w:rPr>
                <w:rFonts w:ascii="Times New Roman" w:eastAsia="Times New Roman" w:hAnsi="Times New Roman" w:cs="Times New Roman"/>
                <w:color w:val="222222"/>
                <w:shd w:val="clear" w:color="auto" w:fill="FFFFFF"/>
              </w:rPr>
              <w:t xml:space="preserve">differently or set limits based on alternative procedural milestones. Where the statute did not provide a length of days or it was unclear, the number of days was based on the national law’s definition of pretrial detention. </w:t>
            </w:r>
          </w:p>
          <w:p w14:paraId="4D83832A"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24691FC0" w14:textId="494BCDEE" w:rsidR="00187935"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hAnsi="Times New Roman" w:cs="Times New Roman"/>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p>
        </w:tc>
      </w:tr>
    </w:tbl>
    <w:p w14:paraId="7EC040D9" w14:textId="7C5F4E80" w:rsidR="00CD0839" w:rsidRPr="004922D7" w:rsidRDefault="00CD0839">
      <w:pPr>
        <w:rPr>
          <w:rFonts w:ascii="Times New Roman" w:hAnsi="Times New Roman" w:cs="Times New Roman"/>
        </w:rPr>
      </w:pPr>
    </w:p>
    <w:p w14:paraId="6F537CC2" w14:textId="77777777" w:rsidR="00CD0839" w:rsidRPr="004922D7" w:rsidRDefault="00CD0839">
      <w:pPr>
        <w:rPr>
          <w:rFonts w:ascii="Times New Roman" w:hAnsi="Times New Roman" w:cs="Times New Roman"/>
        </w:rPr>
      </w:pPr>
      <w:r w:rsidRPr="004922D7">
        <w:rPr>
          <w:rFonts w:ascii="Times New Roman" w:hAnsi="Times New Roman" w:cs="Times New Roman"/>
        </w:rPr>
        <w:br w:type="page"/>
      </w:r>
    </w:p>
    <w:p w14:paraId="51B36BBF" w14:textId="6F7B4BB9" w:rsidR="00AA22CB" w:rsidRPr="004922D7" w:rsidRDefault="00AA22CB">
      <w:pPr>
        <w:rPr>
          <w:rFonts w:ascii="Times New Roman" w:hAnsi="Times New Roman" w:cs="Times New Roman"/>
        </w:rPr>
      </w:pPr>
    </w:p>
    <w:p w14:paraId="6814E108" w14:textId="7A234630" w:rsidR="00AA22CB" w:rsidRPr="004922D7" w:rsidRDefault="000276DC" w:rsidP="00AA22CB">
      <w:pPr>
        <w:jc w:val="center"/>
        <w:rPr>
          <w:rFonts w:ascii="Times New Roman" w:hAnsi="Times New Roman" w:cs="Times New Roman"/>
          <w:b/>
        </w:rPr>
      </w:pPr>
      <w:r>
        <w:rPr>
          <w:rFonts w:ascii="Times New Roman" w:hAnsi="Times New Roman" w:cs="Times New Roman"/>
          <w:b/>
        </w:rPr>
        <w:t>Republic of Korea</w:t>
      </w:r>
    </w:p>
    <w:p w14:paraId="61CAF52A" w14:textId="77777777" w:rsidR="00AA22CB" w:rsidRPr="004922D7" w:rsidRDefault="00AA22CB">
      <w:pPr>
        <w:rPr>
          <w:rFonts w:ascii="Times New Roman" w:hAnsi="Times New Roman" w:cs="Times New Roman"/>
        </w:rPr>
      </w:pPr>
    </w:p>
    <w:tbl>
      <w:tblPr>
        <w:tblStyle w:val="TableGrid"/>
        <w:tblW w:w="8856" w:type="dxa"/>
        <w:tblLayout w:type="fixed"/>
        <w:tblLook w:val="04A0" w:firstRow="1" w:lastRow="0" w:firstColumn="1" w:lastColumn="0" w:noHBand="0" w:noVBand="1"/>
      </w:tblPr>
      <w:tblGrid>
        <w:gridCol w:w="2141"/>
        <w:gridCol w:w="6715"/>
      </w:tblGrid>
      <w:tr w:rsidR="00AA22CB" w:rsidRPr="004922D7" w14:paraId="75EBC69E" w14:textId="77777777" w:rsidTr="00771AF5">
        <w:tc>
          <w:tcPr>
            <w:tcW w:w="8856" w:type="dxa"/>
            <w:gridSpan w:val="2"/>
          </w:tcPr>
          <w:p w14:paraId="30B39F1C" w14:textId="2653797E" w:rsidR="005370E4" w:rsidRPr="004922D7" w:rsidRDefault="001F1F32" w:rsidP="00354FA3">
            <w:pPr>
              <w:jc w:val="both"/>
              <w:rPr>
                <w:rFonts w:ascii="Times New Roman" w:hAnsi="Times New Roman" w:cs="Times New Roman"/>
              </w:rPr>
            </w:pPr>
            <w:r>
              <w:rPr>
                <w:rFonts w:ascii="Times New Roman" w:hAnsi="Times New Roman" w:cs="Times New Roman"/>
              </w:rPr>
              <w:t>The Republic of Korea does not have an established time limit for juvenile pretrial detention.</w:t>
            </w:r>
          </w:p>
        </w:tc>
      </w:tr>
      <w:tr w:rsidR="00AA22CB" w:rsidRPr="004922D7" w14:paraId="2F9E47C4" w14:textId="77777777" w:rsidTr="00771AF5">
        <w:tc>
          <w:tcPr>
            <w:tcW w:w="2141" w:type="dxa"/>
          </w:tcPr>
          <w:p w14:paraId="712F863E" w14:textId="77777777" w:rsidR="00AA22CB" w:rsidRPr="004922D7" w:rsidRDefault="00AA22CB" w:rsidP="00650F1F">
            <w:pPr>
              <w:rPr>
                <w:rFonts w:ascii="Times New Roman" w:hAnsi="Times New Roman" w:cs="Times New Roman"/>
              </w:rPr>
            </w:pPr>
            <w:r w:rsidRPr="004922D7">
              <w:rPr>
                <w:rFonts w:ascii="Times New Roman" w:hAnsi="Times New Roman" w:cs="Times New Roman"/>
              </w:rPr>
              <w:t>Statute Citation</w:t>
            </w:r>
          </w:p>
        </w:tc>
        <w:tc>
          <w:tcPr>
            <w:tcW w:w="6715" w:type="dxa"/>
          </w:tcPr>
          <w:p w14:paraId="387BB71F" w14:textId="77777777" w:rsidR="005B3CCF" w:rsidRPr="005B3CCF" w:rsidRDefault="005B3CCF" w:rsidP="005B3CCF">
            <w:pPr>
              <w:rPr>
                <w:rFonts w:ascii="Times New Roman" w:hAnsi="Times New Roman" w:cs="Times New Roman"/>
                <w:bCs/>
              </w:rPr>
            </w:pPr>
            <w:r w:rsidRPr="005B3CCF">
              <w:rPr>
                <w:rFonts w:ascii="Times New Roman" w:hAnsi="Times New Roman" w:cs="Times New Roman"/>
                <w:bCs/>
              </w:rPr>
              <w:t xml:space="preserve">Article 9 (Criminal Minors) </w:t>
            </w:r>
          </w:p>
          <w:p w14:paraId="7D2CF3BB" w14:textId="77777777" w:rsidR="005B3CCF" w:rsidRPr="005B3CCF" w:rsidRDefault="005B3CCF" w:rsidP="005B3CCF">
            <w:pPr>
              <w:rPr>
                <w:rFonts w:ascii="Times New Roman" w:hAnsi="Times New Roman" w:cs="Times New Roman"/>
                <w:bCs/>
              </w:rPr>
            </w:pPr>
            <w:r w:rsidRPr="005B3CCF">
              <w:rPr>
                <w:rFonts w:ascii="Times New Roman" w:hAnsi="Times New Roman" w:cs="Times New Roman"/>
                <w:bCs/>
              </w:rPr>
              <w:t xml:space="preserve">The act of a person under fourteen years of age shall not be punished. </w:t>
            </w:r>
          </w:p>
          <w:p w14:paraId="1E858E81" w14:textId="77777777" w:rsidR="00F10B75" w:rsidRDefault="00F10B75" w:rsidP="007E0DFA">
            <w:pPr>
              <w:rPr>
                <w:rFonts w:ascii="Times New Roman" w:hAnsi="Times New Roman" w:cs="Times New Roman"/>
                <w:bCs/>
              </w:rPr>
            </w:pPr>
          </w:p>
          <w:p w14:paraId="473DF9A0" w14:textId="7E7BBFFE" w:rsidR="005B3CCF" w:rsidRPr="004922D7" w:rsidRDefault="00F10B75" w:rsidP="007E0DFA">
            <w:pPr>
              <w:rPr>
                <w:rFonts w:ascii="Times New Roman" w:hAnsi="Times New Roman" w:cs="Times New Roman"/>
                <w:bCs/>
              </w:rPr>
            </w:pPr>
            <w:r>
              <w:rPr>
                <w:rFonts w:ascii="Times New Roman" w:hAnsi="Times New Roman" w:cs="Times New Roman"/>
                <w:bCs/>
              </w:rPr>
              <w:t xml:space="preserve">Criminal Code (amended Jan. 1, 1998) (S. Kor.), </w:t>
            </w:r>
            <w:r w:rsidR="005B3CCF" w:rsidRPr="005B3CCF">
              <w:rPr>
                <w:rFonts w:ascii="Times New Roman" w:hAnsi="Times New Roman" w:cs="Times New Roman"/>
                <w:bCs/>
              </w:rPr>
              <w:t>https://www.refworld.org/docid/3f49e3ed4.html</w:t>
            </w:r>
          </w:p>
        </w:tc>
      </w:tr>
      <w:tr w:rsidR="00AA22CB" w:rsidRPr="004922D7" w14:paraId="70159D2D" w14:textId="77777777" w:rsidTr="00771AF5">
        <w:tc>
          <w:tcPr>
            <w:tcW w:w="2141" w:type="dxa"/>
          </w:tcPr>
          <w:p w14:paraId="6633FF78" w14:textId="4E534598" w:rsidR="00AA22CB" w:rsidRPr="00415EAE" w:rsidRDefault="00AA22CB" w:rsidP="00650F1F">
            <w:pPr>
              <w:rPr>
                <w:rFonts w:ascii="Times New Roman" w:hAnsi="Times New Roman" w:cs="Times New Roman"/>
              </w:rPr>
            </w:pPr>
            <w:r w:rsidRPr="00415EAE">
              <w:rPr>
                <w:rFonts w:ascii="Times New Roman" w:hAnsi="Times New Roman" w:cs="Times New Roman"/>
              </w:rPr>
              <w:t>Recommended changes to statutory limit according to international law:</w:t>
            </w:r>
          </w:p>
        </w:tc>
        <w:tc>
          <w:tcPr>
            <w:tcW w:w="6715" w:type="dxa"/>
          </w:tcPr>
          <w:p w14:paraId="4BE83998" w14:textId="42BA6CEB" w:rsidR="00772996" w:rsidRPr="007E1128" w:rsidRDefault="001E0AA3" w:rsidP="001C5973">
            <w:pPr>
              <w:pStyle w:val="ListParagraph"/>
              <w:numPr>
                <w:ilvl w:val="0"/>
                <w:numId w:val="3"/>
              </w:numPr>
              <w:ind w:left="354"/>
              <w:rPr>
                <w:rFonts w:ascii="Times New Roman" w:hAnsi="Times New Roman" w:cs="Times New Roman"/>
                <w:sz w:val="24"/>
                <w:szCs w:val="24"/>
              </w:rPr>
            </w:pPr>
            <w:r w:rsidRPr="007E1128">
              <w:rPr>
                <w:rFonts w:ascii="Times New Roman" w:hAnsi="Times New Roman" w:cs="Times New Roman"/>
                <w:sz w:val="24"/>
                <w:szCs w:val="24"/>
              </w:rPr>
              <w:t xml:space="preserve">JJAI recommends that </w:t>
            </w:r>
            <w:r w:rsidR="007E1128" w:rsidRPr="007E1128">
              <w:rPr>
                <w:rFonts w:ascii="Times New Roman" w:hAnsi="Times New Roman" w:cs="Times New Roman"/>
                <w:sz w:val="24"/>
                <w:szCs w:val="24"/>
                <w:lang w:val="en-US"/>
              </w:rPr>
              <w:t>the Republic of Korea</w:t>
            </w:r>
            <w:r w:rsidR="006B2878" w:rsidRPr="007E1128">
              <w:rPr>
                <w:rFonts w:ascii="Times New Roman" w:hAnsi="Times New Roman" w:cs="Times New Roman"/>
                <w:sz w:val="24"/>
                <w:szCs w:val="24"/>
                <w:lang w:val="en-US"/>
              </w:rPr>
              <w:t xml:space="preserve"> </w:t>
            </w:r>
            <w:r w:rsidR="00772996" w:rsidRPr="007E1128">
              <w:rPr>
                <w:rFonts w:ascii="Times New Roman" w:hAnsi="Times New Roman" w:cs="Times New Roman"/>
                <w:sz w:val="24"/>
                <w:szCs w:val="24"/>
              </w:rPr>
              <w:t xml:space="preserve">starts working towards a 30-day maximum for children detained while awaiting trial. </w:t>
            </w:r>
          </w:p>
          <w:p w14:paraId="68493414" w14:textId="77777777" w:rsidR="00772996" w:rsidRPr="007E1128" w:rsidRDefault="00772996" w:rsidP="00772996">
            <w:pPr>
              <w:pStyle w:val="ListParagraph"/>
              <w:numPr>
                <w:ilvl w:val="0"/>
                <w:numId w:val="3"/>
              </w:numPr>
              <w:ind w:left="354"/>
              <w:rPr>
                <w:rFonts w:ascii="Times New Roman" w:hAnsi="Times New Roman" w:cs="Times New Roman"/>
                <w:sz w:val="24"/>
                <w:szCs w:val="24"/>
              </w:rPr>
            </w:pPr>
            <w:r w:rsidRPr="007E1128">
              <w:rPr>
                <w:rFonts w:ascii="Times New Roman" w:hAnsi="Times New Roman" w:cs="Times New Roman"/>
                <w:sz w:val="24"/>
                <w:szCs w:val="24"/>
                <w:lang w:val="en-US"/>
              </w:rPr>
              <w:t xml:space="preserve">The use of extending the time should be more clearly limited. JJAI recommends that pretrial detention should only be allowed to be extended once by a judge for up to 30 more days based upon the procedural needs of the case. </w:t>
            </w:r>
            <w:r w:rsidRPr="007E1128">
              <w:rPr>
                <w:rFonts w:ascii="Times New Roman" w:hAnsi="Times New Roman" w:cs="Times New Roman"/>
                <w:sz w:val="24"/>
                <w:szCs w:val="24"/>
              </w:rPr>
              <w:t xml:space="preserve">It should be defined by the statute the specific possible needs for extending the pretrial detention period. </w:t>
            </w:r>
          </w:p>
          <w:p w14:paraId="04F15D06" w14:textId="77777777" w:rsidR="00AA22CB" w:rsidRPr="007E1128" w:rsidRDefault="00772996" w:rsidP="00771AF5">
            <w:pPr>
              <w:pStyle w:val="ListParagraph"/>
              <w:numPr>
                <w:ilvl w:val="0"/>
                <w:numId w:val="3"/>
              </w:numPr>
              <w:ind w:left="354"/>
              <w:rPr>
                <w:rFonts w:ascii="Times New Roman" w:hAnsi="Times New Roman" w:cs="Times New Roman"/>
                <w:sz w:val="24"/>
                <w:szCs w:val="24"/>
              </w:rPr>
            </w:pPr>
            <w:r w:rsidRPr="007E1128">
              <w:rPr>
                <w:rFonts w:ascii="Times New Roman" w:hAnsi="Times New Roman" w:cs="Times New Roman"/>
                <w:sz w:val="24"/>
                <w:szCs w:val="24"/>
                <w:lang w:val="en-US"/>
              </w:rPr>
              <w:t>Children who are in detention for the statutory maximum number of days should be placed in supervised release immediately and not re-detained for the same offense.</w:t>
            </w:r>
          </w:p>
          <w:p w14:paraId="73DC938E" w14:textId="6A9E5133" w:rsidR="007E1128" w:rsidRPr="00C452B7" w:rsidRDefault="007E1128" w:rsidP="00771AF5">
            <w:pPr>
              <w:pStyle w:val="ListParagraph"/>
              <w:numPr>
                <w:ilvl w:val="0"/>
                <w:numId w:val="3"/>
              </w:numPr>
              <w:ind w:left="354"/>
              <w:rPr>
                <w:rFonts w:ascii="Times New Roman" w:hAnsi="Times New Roman" w:cs="Times New Roman"/>
                <w:sz w:val="24"/>
                <w:szCs w:val="24"/>
              </w:rPr>
            </w:pPr>
            <w:r>
              <w:rPr>
                <w:rFonts w:ascii="Times New Roman" w:hAnsi="Times New Roman" w:cs="Times New Roman"/>
                <w:sz w:val="24"/>
                <w:szCs w:val="24"/>
                <w:lang w:val="en-US"/>
              </w:rPr>
              <w:t>JJAI recommends that juveniles below the age of 18 be placed in a separate detention facility from adults.</w:t>
            </w:r>
          </w:p>
        </w:tc>
      </w:tr>
      <w:tr w:rsidR="00AA22CB" w:rsidRPr="004922D7" w14:paraId="789AB5C3" w14:textId="77777777" w:rsidTr="00771AF5">
        <w:tc>
          <w:tcPr>
            <w:tcW w:w="2141" w:type="dxa"/>
          </w:tcPr>
          <w:p w14:paraId="083BCB73" w14:textId="77777777" w:rsidR="00AA22CB" w:rsidRPr="00415EAE" w:rsidRDefault="00AA22CB" w:rsidP="00650F1F">
            <w:pPr>
              <w:rPr>
                <w:rFonts w:ascii="Times New Roman" w:hAnsi="Times New Roman" w:cs="Times New Roman"/>
              </w:rPr>
            </w:pPr>
            <w:r w:rsidRPr="00415EAE">
              <w:rPr>
                <w:rFonts w:ascii="Times New Roman" w:hAnsi="Times New Roman" w:cs="Times New Roman"/>
              </w:rPr>
              <w:t>Additional Information on the country</w:t>
            </w:r>
          </w:p>
        </w:tc>
        <w:tc>
          <w:tcPr>
            <w:tcW w:w="6715" w:type="dxa"/>
          </w:tcPr>
          <w:p w14:paraId="6FB5207D" w14:textId="17E371BA" w:rsidR="00C452B7" w:rsidRPr="004433C3" w:rsidRDefault="00415EAE" w:rsidP="007E0DFA">
            <w:pPr>
              <w:pStyle w:val="ListParagraph"/>
              <w:numPr>
                <w:ilvl w:val="0"/>
                <w:numId w:val="7"/>
              </w:numPr>
              <w:rPr>
                <w:rFonts w:ascii="Times New Roman" w:hAnsi="Times New Roman" w:cs="Times New Roman"/>
              </w:rPr>
            </w:pPr>
            <w:r w:rsidRPr="004433C3">
              <w:rPr>
                <w:rFonts w:ascii="Times New Roman" w:hAnsi="Times New Roman" w:cs="Times New Roman"/>
                <w:sz w:val="24"/>
                <w:szCs w:val="24"/>
              </w:rPr>
              <w:t xml:space="preserve">Minimum age of criminal responsibility is </w:t>
            </w:r>
            <w:r w:rsidR="004433C3" w:rsidRPr="004433C3">
              <w:rPr>
                <w:rFonts w:ascii="Times New Roman" w:hAnsi="Times New Roman" w:cs="Times New Roman"/>
                <w:sz w:val="24"/>
                <w:szCs w:val="24"/>
              </w:rPr>
              <w:t>14</w:t>
            </w:r>
            <w:r w:rsidR="00D50971" w:rsidRPr="004433C3">
              <w:rPr>
                <w:rFonts w:ascii="Times New Roman" w:hAnsi="Times New Roman" w:cs="Times New Roman"/>
                <w:sz w:val="24"/>
                <w:szCs w:val="24"/>
              </w:rPr>
              <w:t xml:space="preserve"> years. </w:t>
            </w:r>
          </w:p>
          <w:p w14:paraId="2072779A" w14:textId="7278A5BB" w:rsidR="00D50971" w:rsidRPr="004433C3" w:rsidRDefault="007E1128" w:rsidP="007E0DFA">
            <w:pPr>
              <w:pStyle w:val="ListParagraph"/>
              <w:numPr>
                <w:ilvl w:val="0"/>
                <w:numId w:val="7"/>
              </w:numPr>
              <w:rPr>
                <w:rFonts w:ascii="Times New Roman" w:hAnsi="Times New Roman" w:cs="Times New Roman"/>
              </w:rPr>
            </w:pPr>
            <w:r w:rsidRPr="004433C3">
              <w:rPr>
                <w:rFonts w:ascii="Times New Roman" w:hAnsi="Times New Roman" w:cs="Times New Roman"/>
                <w:sz w:val="24"/>
                <w:szCs w:val="24"/>
              </w:rPr>
              <w:t>There is a high rate of juvenile crime and recidivism among juveniles.</w:t>
            </w:r>
          </w:p>
          <w:p w14:paraId="06CD663F" w14:textId="77777777" w:rsidR="007E1128" w:rsidRPr="004433C3" w:rsidRDefault="007E1128" w:rsidP="007E0DFA">
            <w:pPr>
              <w:pStyle w:val="ListParagraph"/>
              <w:numPr>
                <w:ilvl w:val="0"/>
                <w:numId w:val="7"/>
              </w:numPr>
              <w:rPr>
                <w:rFonts w:ascii="Times New Roman" w:hAnsi="Times New Roman" w:cs="Times New Roman"/>
              </w:rPr>
            </w:pPr>
            <w:r w:rsidRPr="004433C3">
              <w:rPr>
                <w:rFonts w:ascii="Times New Roman" w:hAnsi="Times New Roman" w:cs="Times New Roman"/>
                <w:sz w:val="24"/>
                <w:szCs w:val="24"/>
              </w:rPr>
              <w:t xml:space="preserve">Rather than addressing the root cause of juvenile delinquency, the Korean government has focused on increasing punitive measures, inclduing the placement of children in detention facilities with adults. </w:t>
            </w:r>
          </w:p>
          <w:p w14:paraId="197AEB73" w14:textId="509DF0A1" w:rsidR="007E1128" w:rsidRPr="004433C3" w:rsidRDefault="007E1128" w:rsidP="007E0DFA">
            <w:pPr>
              <w:pStyle w:val="ListParagraph"/>
              <w:numPr>
                <w:ilvl w:val="0"/>
                <w:numId w:val="7"/>
              </w:numPr>
              <w:rPr>
                <w:rFonts w:ascii="Times New Roman" w:hAnsi="Times New Roman" w:cs="Times New Roman"/>
              </w:rPr>
            </w:pPr>
            <w:r w:rsidRPr="004433C3">
              <w:rPr>
                <w:rFonts w:ascii="Times New Roman" w:hAnsi="Times New Roman" w:cs="Times New Roman"/>
                <w:sz w:val="24"/>
                <w:szCs w:val="24"/>
              </w:rPr>
              <w:t xml:space="preserve">Prosecutors are not afforded an opportunity for effective specialization in juvenile justice. </w:t>
            </w:r>
          </w:p>
          <w:p w14:paraId="394C4277" w14:textId="189D3CFD" w:rsidR="00D50971" w:rsidRDefault="00146EF4" w:rsidP="00D50971">
            <w:pPr>
              <w:rPr>
                <w:rFonts w:ascii="Times New Roman" w:hAnsi="Times New Roman" w:cs="Times New Roman"/>
              </w:rPr>
            </w:pPr>
            <w:r w:rsidRPr="00146EF4">
              <w:rPr>
                <w:rFonts w:ascii="Times New Roman" w:hAnsi="Times New Roman" w:cs="Times New Roman"/>
              </w:rPr>
              <w:t>Convention</w:t>
            </w:r>
            <w:r w:rsidR="007756F4" w:rsidRPr="00146EF4">
              <w:rPr>
                <w:rFonts w:ascii="Times New Roman" w:hAnsi="Times New Roman" w:cs="Times New Roman"/>
              </w:rPr>
              <w:t xml:space="preserve"> on the Rights of the Child, </w:t>
            </w:r>
            <w:r w:rsidR="007756F4" w:rsidRPr="00F11770">
              <w:rPr>
                <w:rFonts w:ascii="Times New Roman" w:hAnsi="Times New Roman" w:cs="Times New Roman"/>
                <w:i/>
              </w:rPr>
              <w:t>Co</w:t>
            </w:r>
            <w:r w:rsidRPr="00F11770">
              <w:rPr>
                <w:rFonts w:ascii="Times New Roman" w:hAnsi="Times New Roman" w:cs="Times New Roman"/>
                <w:i/>
              </w:rPr>
              <w:t>nsideration of Reports Submitted by States Parties Under Article 44 of the Convention</w:t>
            </w:r>
            <w:r w:rsidR="007756F4" w:rsidRPr="00146EF4">
              <w:rPr>
                <w:rFonts w:ascii="Times New Roman" w:hAnsi="Times New Roman" w:cs="Times New Roman"/>
              </w:rPr>
              <w:t>, ¶</w:t>
            </w:r>
            <w:r w:rsidR="008E107E">
              <w:rPr>
                <w:rFonts w:ascii="Times New Roman" w:hAnsi="Times New Roman" w:cs="Times New Roman"/>
              </w:rPr>
              <w:t>¶ 80–81</w:t>
            </w:r>
            <w:r w:rsidRPr="00146EF4">
              <w:rPr>
                <w:rFonts w:ascii="Times New Roman" w:hAnsi="Times New Roman" w:cs="Times New Roman"/>
              </w:rPr>
              <w:t>, U.N. Doc. CRC/C/KOR/CO/3-4 (Feb. 2, 2012</w:t>
            </w:r>
            <w:r w:rsidR="007756F4" w:rsidRPr="00146EF4">
              <w:rPr>
                <w:rFonts w:ascii="Times New Roman" w:hAnsi="Times New Roman" w:cs="Times New Roman"/>
              </w:rPr>
              <w:t xml:space="preserve">), </w:t>
            </w:r>
            <w:r w:rsidRPr="00146EF4">
              <w:rPr>
                <w:rFonts w:ascii="Times New Roman" w:hAnsi="Times New Roman" w:cs="Times New Roman"/>
              </w:rPr>
              <w:t>https://tbinternet.ohchr.org/_layouts/15/treatybodyexternal/Download.aspx?symbolno=CRC%2fC%2fKOR%2fCO%2f3-4&amp;Lang=en</w:t>
            </w:r>
          </w:p>
          <w:p w14:paraId="78F8B73E" w14:textId="14E37A56" w:rsidR="00D50971" w:rsidRPr="00D50971" w:rsidRDefault="00D50971" w:rsidP="00D50971">
            <w:pPr>
              <w:rPr>
                <w:rFonts w:ascii="Times New Roman" w:hAnsi="Times New Roman" w:cs="Times New Roman"/>
              </w:rPr>
            </w:pPr>
          </w:p>
        </w:tc>
      </w:tr>
      <w:tr w:rsidR="00AA22CB" w:rsidRPr="004922D7" w14:paraId="71B074E7" w14:textId="77777777" w:rsidTr="00771AF5">
        <w:tc>
          <w:tcPr>
            <w:tcW w:w="2141" w:type="dxa"/>
          </w:tcPr>
          <w:p w14:paraId="623BFDF0" w14:textId="10D82F5E" w:rsidR="00AA22CB" w:rsidRPr="00415EAE" w:rsidRDefault="00AA22CB" w:rsidP="00650F1F">
            <w:pPr>
              <w:rPr>
                <w:rFonts w:ascii="Times New Roman" w:hAnsi="Times New Roman" w:cs="Times New Roman"/>
              </w:rPr>
            </w:pPr>
            <w:r w:rsidRPr="00415EAE">
              <w:rPr>
                <w:rFonts w:ascii="Times New Roman" w:hAnsi="Times New Roman" w:cs="Times New Roman"/>
              </w:rPr>
              <w:t xml:space="preserve">Questions for the state party related to child pretrial </w:t>
            </w:r>
            <w:r w:rsidRPr="00415EAE">
              <w:rPr>
                <w:rFonts w:ascii="Times New Roman" w:hAnsi="Times New Roman" w:cs="Times New Roman"/>
              </w:rPr>
              <w:lastRenderedPageBreak/>
              <w:t>detention time limits:</w:t>
            </w:r>
          </w:p>
        </w:tc>
        <w:tc>
          <w:tcPr>
            <w:tcW w:w="6715" w:type="dxa"/>
          </w:tcPr>
          <w:p w14:paraId="6A0B60B2"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lastRenderedPageBreak/>
              <w:t>Data on the average time children actually spend in pretrial detention.</w:t>
            </w:r>
          </w:p>
          <w:p w14:paraId="51896A40"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lastRenderedPageBreak/>
              <w:t>Data on the number of children who spend longer than the maximum time in pretrial detention.</w:t>
            </w:r>
          </w:p>
          <w:p w14:paraId="1FBDEE12"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duration of pretrial detention as it varies by race, gender, religion or other relevant characteristics.</w:t>
            </w:r>
          </w:p>
          <w:p w14:paraId="5462F3B1"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efforts to reduce the length of pretrial detention and expedite cases.</w:t>
            </w:r>
          </w:p>
          <w:p w14:paraId="5C9C4283" w14:textId="5736514D" w:rsidR="00AA22CB" w:rsidRPr="00C452B7" w:rsidRDefault="00AA22CB" w:rsidP="00B3016D">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Information on how appeals and other challenges affect duration of pretrial detention.</w:t>
            </w:r>
          </w:p>
        </w:tc>
      </w:tr>
      <w:tr w:rsidR="00AA22CB" w:rsidRPr="004922D7" w14:paraId="6543F5CF" w14:textId="77777777" w:rsidTr="00771AF5">
        <w:tc>
          <w:tcPr>
            <w:tcW w:w="2141" w:type="dxa"/>
          </w:tcPr>
          <w:p w14:paraId="1981AF8A" w14:textId="77777777" w:rsidR="00AA22CB" w:rsidRPr="004922D7" w:rsidRDefault="00AA22CB" w:rsidP="00650F1F">
            <w:pPr>
              <w:rPr>
                <w:rFonts w:ascii="Times New Roman" w:hAnsi="Times New Roman" w:cs="Times New Roman"/>
              </w:rPr>
            </w:pPr>
            <w:r w:rsidRPr="004922D7">
              <w:rPr>
                <w:rFonts w:ascii="Times New Roman" w:hAnsi="Times New Roman" w:cs="Times New Roman"/>
              </w:rPr>
              <w:lastRenderedPageBreak/>
              <w:t>Link to Global Study</w:t>
            </w:r>
          </w:p>
        </w:tc>
        <w:tc>
          <w:tcPr>
            <w:tcW w:w="6715" w:type="dxa"/>
          </w:tcPr>
          <w:p w14:paraId="1F381115" w14:textId="77777777" w:rsidR="00AA22CB" w:rsidRPr="004922D7" w:rsidRDefault="00465278" w:rsidP="00650F1F">
            <w:pPr>
              <w:shd w:val="clear" w:color="auto" w:fill="FFFFFF"/>
              <w:rPr>
                <w:rFonts w:ascii="Times New Roman" w:hAnsi="Times New Roman" w:cs="Times New Roman"/>
                <w:color w:val="222222"/>
              </w:rPr>
            </w:pPr>
            <w:hyperlink r:id="rId9" w:tgtFrame="_blank" w:history="1">
              <w:r w:rsidR="00AA22CB" w:rsidRPr="004922D7">
                <w:rPr>
                  <w:rFonts w:ascii="Times New Roman" w:hAnsi="Times New Roman" w:cs="Times New Roman"/>
                  <w:color w:val="1155CC"/>
                  <w:u w:val="single"/>
                </w:rPr>
                <w:br/>
              </w:r>
              <w:r w:rsidR="00AA22CB" w:rsidRPr="004922D7">
                <w:rPr>
                  <w:rStyle w:val="Hyperlink"/>
                  <w:rFonts w:ascii="Times New Roman" w:hAnsi="Times New Roman" w:cs="Times New Roman"/>
                  <w:color w:val="1155CC"/>
                </w:rPr>
                <w:t>https://jjimexico.org/ptd-report/</w:t>
              </w:r>
            </w:hyperlink>
          </w:p>
          <w:p w14:paraId="44F42533" w14:textId="77777777" w:rsidR="00AA22CB" w:rsidRPr="004922D7" w:rsidRDefault="00AA22CB" w:rsidP="00650F1F">
            <w:pPr>
              <w:rPr>
                <w:rFonts w:ascii="Times New Roman" w:hAnsi="Times New Roman" w:cs="Times New Roman"/>
              </w:rPr>
            </w:pPr>
          </w:p>
        </w:tc>
      </w:tr>
    </w:tbl>
    <w:p w14:paraId="7B39EFB2" w14:textId="77777777" w:rsidR="00AA22CB" w:rsidRPr="004922D7" w:rsidRDefault="00AA22CB" w:rsidP="00AA22CB">
      <w:pPr>
        <w:rPr>
          <w:rFonts w:ascii="Times New Roman" w:hAnsi="Times New Roman" w:cs="Times New Roman"/>
        </w:rPr>
      </w:pPr>
    </w:p>
    <w:p w14:paraId="113143CC" w14:textId="2A02B011" w:rsidR="00AA22CB" w:rsidRPr="004922D7" w:rsidRDefault="00AA22CB">
      <w:pPr>
        <w:rPr>
          <w:rFonts w:ascii="Times New Roman" w:hAnsi="Times New Roman" w:cs="Times New Roman"/>
        </w:rPr>
      </w:pPr>
    </w:p>
    <w:p w14:paraId="4429568A" w14:textId="00E9C839" w:rsidR="00AA22CB" w:rsidRPr="004922D7" w:rsidRDefault="00AA22CB">
      <w:pPr>
        <w:rPr>
          <w:rFonts w:ascii="Times New Roman" w:hAnsi="Times New Roman" w:cs="Times New Roman"/>
        </w:rPr>
      </w:pPr>
    </w:p>
    <w:p w14:paraId="23B2EF40" w14:textId="22913B1A" w:rsidR="00AA22CB" w:rsidRPr="004922D7" w:rsidRDefault="00AA22CB">
      <w:pPr>
        <w:rPr>
          <w:rFonts w:ascii="Times New Roman" w:hAnsi="Times New Roman" w:cs="Times New Roman"/>
        </w:rPr>
      </w:pPr>
    </w:p>
    <w:p w14:paraId="3895130C" w14:textId="77777777" w:rsidR="00AA22CB" w:rsidRPr="004922D7" w:rsidRDefault="00AA22CB">
      <w:pPr>
        <w:rPr>
          <w:rFonts w:ascii="Times New Roman" w:hAnsi="Times New Roman" w:cs="Times New Roman"/>
        </w:rPr>
      </w:pPr>
    </w:p>
    <w:sectPr w:rsidR="00AA22CB" w:rsidRPr="004922D7" w:rsidSect="0052202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C4D49A" w14:textId="77777777" w:rsidR="003B2424" w:rsidRDefault="003B2424" w:rsidP="000A296B">
      <w:r>
        <w:separator/>
      </w:r>
    </w:p>
  </w:endnote>
  <w:endnote w:type="continuationSeparator" w:id="0">
    <w:p w14:paraId="7B349291" w14:textId="77777777" w:rsidR="003B2424" w:rsidRDefault="003B2424" w:rsidP="000A2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239504" w14:textId="77777777" w:rsidR="003B2424" w:rsidRDefault="003B2424" w:rsidP="000A296B">
      <w:r>
        <w:separator/>
      </w:r>
    </w:p>
  </w:footnote>
  <w:footnote w:type="continuationSeparator" w:id="0">
    <w:p w14:paraId="16BE95C4" w14:textId="77777777" w:rsidR="003B2424" w:rsidRDefault="003B2424" w:rsidP="000A296B">
      <w:r>
        <w:continuationSeparator/>
      </w:r>
    </w:p>
  </w:footnote>
  <w:footnote w:id="1">
    <w:p w14:paraId="7C27FDF9" w14:textId="77777777" w:rsidR="00CD0839" w:rsidRPr="00251BCE" w:rsidRDefault="00CD0839" w:rsidP="00CD0839">
      <w:pPr>
        <w:rPr>
          <w:rFonts w:eastAsia="Calibri"/>
          <w:sz w:val="20"/>
          <w:szCs w:val="20"/>
        </w:rPr>
      </w:pPr>
      <w:r w:rsidRPr="00C828DE">
        <w:rPr>
          <w:sz w:val="20"/>
          <w:szCs w:val="20"/>
          <w:vertAlign w:val="superscript"/>
        </w:rPr>
        <w:footnoteRef/>
      </w:r>
      <w:r w:rsidRPr="00C828DE">
        <w:rPr>
          <w:rFonts w:eastAsia="Calibri"/>
          <w:sz w:val="20"/>
          <w:szCs w:val="20"/>
        </w:rPr>
        <w:t xml:space="preserve"> </w:t>
      </w:r>
      <w:r w:rsidRPr="00253B3B">
        <w:rPr>
          <w:rFonts w:eastAsia="Calibri"/>
          <w:sz w:val="20"/>
          <w:szCs w:val="20"/>
        </w:rPr>
        <w:t xml:space="preserve">Patrick Webb &amp; William Allen </w:t>
      </w:r>
      <w:proofErr w:type="spellStart"/>
      <w:r w:rsidRPr="00253B3B">
        <w:rPr>
          <w:rFonts w:eastAsia="Calibri"/>
          <w:sz w:val="20"/>
          <w:szCs w:val="20"/>
        </w:rPr>
        <w:t>Kritsonis</w:t>
      </w:r>
      <w:proofErr w:type="spellEnd"/>
      <w:r w:rsidRPr="00253B3B">
        <w:rPr>
          <w:rFonts w:eastAsia="Calibri"/>
          <w:sz w:val="20"/>
          <w:szCs w:val="20"/>
        </w:rPr>
        <w:t xml:space="preserve">, </w:t>
      </w:r>
      <w:r w:rsidRPr="003D0A00">
        <w:rPr>
          <w:rFonts w:eastAsia="Calibri"/>
          <w:i/>
          <w:sz w:val="20"/>
          <w:szCs w:val="20"/>
        </w:rPr>
        <w:t>Controlling those Kids: Social Control and the Use of Pretrial Detention among Youth in the United States of America: National Implications</w:t>
      </w:r>
      <w:r w:rsidRPr="00253B3B">
        <w:rPr>
          <w:rFonts w:eastAsia="Calibri"/>
          <w:sz w:val="20"/>
          <w:szCs w:val="20"/>
        </w:rPr>
        <w:t xml:space="preserve">, </w:t>
      </w:r>
      <w:r>
        <w:rPr>
          <w:rFonts w:eastAsia="Calibri"/>
          <w:smallCaps/>
          <w:sz w:val="20"/>
          <w:szCs w:val="20"/>
        </w:rPr>
        <w:t xml:space="preserve">ERIC </w:t>
      </w:r>
      <w:r w:rsidRPr="00253B3B">
        <w:rPr>
          <w:rFonts w:eastAsia="Calibri"/>
          <w:sz w:val="20"/>
          <w:szCs w:val="20"/>
        </w:rPr>
        <w:t>(Oct. 2006), https://eric.ed.gov/?id=ED493565.</w:t>
      </w:r>
      <w:r w:rsidRPr="00253B3B" w:rsidDel="00253B3B">
        <w:rPr>
          <w:rFonts w:eastAsia="Calibri"/>
          <w:sz w:val="20"/>
          <w:szCs w:val="20"/>
        </w:rPr>
        <w:t xml:space="preserve"> </w:t>
      </w:r>
    </w:p>
  </w:footnote>
  <w:footnote w:id="2">
    <w:p w14:paraId="2547237C"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G.A. Res. 44/25, Convention on the Rights of the Child, art. 37(b) (Nov. 20, 1989) [hereinafter CRC].</w:t>
      </w:r>
    </w:p>
  </w:footnote>
  <w:footnote w:id="3">
    <w:p w14:paraId="3529006C" w14:textId="77777777" w:rsidR="00CD0839" w:rsidRDefault="00CD0839" w:rsidP="00CD0839">
      <w:pPr>
        <w:pStyle w:val="FootnoteText"/>
        <w:jc w:val="left"/>
      </w:pPr>
      <w:r>
        <w:rPr>
          <w:rStyle w:val="FootnoteReference"/>
        </w:rPr>
        <w:footnoteRef/>
      </w:r>
      <w:r>
        <w:t xml:space="preserve"> Comm. on the Rights of the Child, </w:t>
      </w:r>
      <w:r w:rsidRPr="00D47D44">
        <w:rPr>
          <w:bCs/>
        </w:rPr>
        <w:t>General Comment 10: Children's Rights in Juvenile Justice</w:t>
      </w:r>
      <w:r>
        <w:t>, § 80, U.N. Doc. CRC/C/GC/10 (Apr. 25, 2007) [hereinafter CRC General Comment 10].</w:t>
      </w:r>
    </w:p>
  </w:footnote>
  <w:footnote w:id="4">
    <w:p w14:paraId="010207CE" w14:textId="77777777" w:rsidR="00CD0839" w:rsidRPr="00764FDC" w:rsidRDefault="00CD0839" w:rsidP="00CD0839">
      <w:pPr>
        <w:pStyle w:val="FootnoteText"/>
      </w:pPr>
      <w:r>
        <w:rPr>
          <w:rStyle w:val="FootnoteReference"/>
        </w:rPr>
        <w:footnoteRef/>
      </w:r>
      <w:r>
        <w:t xml:space="preserve"> </w:t>
      </w:r>
      <w:r>
        <w:rPr>
          <w:i/>
        </w:rPr>
        <w:t xml:space="preserve">Id. </w:t>
      </w:r>
      <w:r>
        <w:t>¶ 83 (specifying that regular review is “preferably every two weeks”).</w:t>
      </w:r>
    </w:p>
  </w:footnote>
  <w:footnote w:id="5">
    <w:p w14:paraId="45F211C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 xml:space="preserve">Moritz </w:t>
      </w:r>
      <w:proofErr w:type="spellStart"/>
      <w:r w:rsidRPr="00B83369">
        <w:rPr>
          <w:sz w:val="20"/>
          <w:szCs w:val="20"/>
        </w:rPr>
        <w:t>Birk</w:t>
      </w:r>
      <w:proofErr w:type="spellEnd"/>
      <w:r w:rsidRPr="00B83369">
        <w:rPr>
          <w:sz w:val="20"/>
          <w:szCs w:val="20"/>
        </w:rPr>
        <w:t xml:space="preserve"> et. al., </w:t>
      </w:r>
      <w:r w:rsidRPr="00D96CED">
        <w:rPr>
          <w:rFonts w:eastAsia="Calibri"/>
          <w:i/>
          <w:sz w:val="20"/>
          <w:szCs w:val="20"/>
        </w:rPr>
        <w:t>Pretrial Detention and Torture: Why Pretrial Detainees Face the Greatest Risk</w:t>
      </w:r>
      <w:r w:rsidRPr="00D96CED">
        <w:rPr>
          <w:rFonts w:eastAsia="Calibri"/>
          <w:sz w:val="20"/>
          <w:szCs w:val="20"/>
        </w:rPr>
        <w:t xml:space="preserve">, </w:t>
      </w:r>
      <w:r>
        <w:rPr>
          <w:rFonts w:eastAsia="Calibri"/>
          <w:sz w:val="20"/>
          <w:szCs w:val="20"/>
        </w:rPr>
        <w:t xml:space="preserve">27, </w:t>
      </w:r>
      <w:r>
        <w:rPr>
          <w:rFonts w:eastAsia="Calibri"/>
          <w:smallCaps/>
          <w:sz w:val="20"/>
          <w:szCs w:val="20"/>
        </w:rPr>
        <w:t>Open Soc’</w:t>
      </w:r>
      <w:r w:rsidRPr="00D96CED">
        <w:rPr>
          <w:rFonts w:eastAsia="Calibri"/>
          <w:smallCaps/>
          <w:sz w:val="20"/>
          <w:szCs w:val="20"/>
        </w:rPr>
        <w:t>y Found</w:t>
      </w:r>
      <w:r w:rsidRPr="00C828DE">
        <w:rPr>
          <w:rFonts w:eastAsia="Calibri"/>
          <w:sz w:val="20"/>
          <w:szCs w:val="20"/>
        </w:rPr>
        <w:t>. (2011))</w:t>
      </w:r>
      <w:r>
        <w:rPr>
          <w:rFonts w:eastAsia="Calibri"/>
          <w:sz w:val="20"/>
          <w:szCs w:val="20"/>
        </w:rPr>
        <w:t xml:space="preserve">, </w:t>
      </w:r>
      <w:hyperlink r:id="rId1" w:history="1">
        <w:r w:rsidRPr="00D96CED">
          <w:rPr>
            <w:rStyle w:val="Hyperlink"/>
            <w:rFonts w:eastAsia="Calibri"/>
            <w:sz w:val="20"/>
            <w:szCs w:val="20"/>
          </w:rPr>
          <w:t>https://www.opensocietyfoundations.org/sites/default/files/pretrial-detention-and-torture-06222011.pdf</w:t>
        </w:r>
      </w:hyperlink>
      <w:r w:rsidRPr="00D96CED">
        <w:rPr>
          <w:rFonts w:eastAsia="Calibri"/>
          <w:sz w:val="20"/>
          <w:szCs w:val="20"/>
        </w:rPr>
        <w:t xml:space="preserve">. </w:t>
      </w:r>
    </w:p>
  </w:footnote>
  <w:footnote w:id="6">
    <w:p w14:paraId="72A0ABA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Barry Holman &amp; Jason </w:t>
      </w:r>
      <w:proofErr w:type="spellStart"/>
      <w:r w:rsidRPr="00D96CED">
        <w:rPr>
          <w:rFonts w:eastAsia="Calibri"/>
          <w:sz w:val="20"/>
          <w:szCs w:val="20"/>
        </w:rPr>
        <w:t>Ziedenber</w:t>
      </w:r>
      <w:r>
        <w:rPr>
          <w:rFonts w:eastAsia="Calibri"/>
          <w:sz w:val="20"/>
          <w:szCs w:val="20"/>
        </w:rPr>
        <w:t>g</w:t>
      </w:r>
      <w:proofErr w:type="spellEnd"/>
      <w:r w:rsidRPr="00D96CED">
        <w:rPr>
          <w:rFonts w:eastAsia="Calibri"/>
          <w:sz w:val="20"/>
          <w:szCs w:val="20"/>
        </w:rPr>
        <w:t xml:space="preserve">. </w:t>
      </w:r>
      <w:r w:rsidRPr="00D96CED">
        <w:rPr>
          <w:rFonts w:eastAsia="Calibri"/>
          <w:i/>
          <w:sz w:val="20"/>
          <w:szCs w:val="20"/>
        </w:rPr>
        <w:t>The Dangers of Detention: The Impact of Incarcerating Youth in Detention and Other Secure Facilities</w:t>
      </w:r>
      <w:r w:rsidRPr="00D96CED">
        <w:rPr>
          <w:rFonts w:eastAsia="Calibri"/>
          <w:sz w:val="20"/>
          <w:szCs w:val="20"/>
        </w:rPr>
        <w:t xml:space="preserve">, </w:t>
      </w:r>
      <w:r>
        <w:rPr>
          <w:rFonts w:eastAsia="Calibri"/>
          <w:sz w:val="20"/>
          <w:szCs w:val="20"/>
        </w:rPr>
        <w:t xml:space="preserve">3–10, </w:t>
      </w:r>
      <w:r w:rsidRPr="00B0537C">
        <w:rPr>
          <w:rFonts w:eastAsia="Calibri"/>
          <w:smallCaps/>
          <w:sz w:val="20"/>
          <w:szCs w:val="20"/>
        </w:rPr>
        <w:t>Just</w:t>
      </w:r>
      <w:r>
        <w:rPr>
          <w:rFonts w:eastAsia="Calibri"/>
          <w:smallCaps/>
          <w:sz w:val="20"/>
          <w:szCs w:val="20"/>
        </w:rPr>
        <w:t>.</w:t>
      </w:r>
      <w:r w:rsidRPr="00B0537C">
        <w:rPr>
          <w:rFonts w:eastAsia="Calibri"/>
          <w:smallCaps/>
          <w:sz w:val="20"/>
          <w:szCs w:val="20"/>
        </w:rPr>
        <w:t xml:space="preserve"> </w:t>
      </w:r>
      <w:proofErr w:type="spellStart"/>
      <w:r w:rsidRPr="00B0537C">
        <w:rPr>
          <w:rFonts w:eastAsia="Calibri"/>
          <w:smallCaps/>
          <w:sz w:val="20"/>
          <w:szCs w:val="20"/>
        </w:rPr>
        <w:t>Pol</w:t>
      </w:r>
      <w:r>
        <w:rPr>
          <w:rFonts w:eastAsia="Calibri"/>
          <w:smallCaps/>
          <w:sz w:val="20"/>
          <w:szCs w:val="20"/>
        </w:rPr>
        <w:t>’</w:t>
      </w:r>
      <w:r w:rsidRPr="00B0537C">
        <w:rPr>
          <w:rFonts w:eastAsia="Calibri"/>
          <w:smallCaps/>
          <w:sz w:val="20"/>
          <w:szCs w:val="20"/>
        </w:rPr>
        <w:t>y</w:t>
      </w:r>
      <w:proofErr w:type="spellEnd"/>
      <w:r w:rsidRPr="00B0537C">
        <w:rPr>
          <w:rFonts w:eastAsia="Calibri"/>
          <w:smallCaps/>
          <w:sz w:val="20"/>
          <w:szCs w:val="20"/>
        </w:rPr>
        <w:t xml:space="preserve"> Inst</w:t>
      </w:r>
      <w:r>
        <w:rPr>
          <w:rFonts w:eastAsia="Calibri"/>
          <w:smallCaps/>
          <w:sz w:val="20"/>
          <w:szCs w:val="20"/>
        </w:rPr>
        <w:t>.</w:t>
      </w:r>
      <w:r w:rsidRPr="00D96CED">
        <w:rPr>
          <w:rFonts w:eastAsia="Calibri"/>
          <w:sz w:val="20"/>
          <w:szCs w:val="20"/>
        </w:rPr>
        <w:t xml:space="preserve"> (Nov. 28, 2006)</w:t>
      </w:r>
      <w:r>
        <w:rPr>
          <w:rFonts w:eastAsia="Calibri"/>
          <w:sz w:val="20"/>
          <w:szCs w:val="20"/>
        </w:rPr>
        <w:t xml:space="preserve">, </w:t>
      </w:r>
      <w:hyperlink r:id="rId2" w:history="1">
        <w:r w:rsidRPr="00933000">
          <w:rPr>
            <w:rStyle w:val="Hyperlink"/>
            <w:rFonts w:eastAsia="Calibri"/>
            <w:sz w:val="20"/>
            <w:szCs w:val="20"/>
          </w:rPr>
          <w:t>http://www.justicepolicy.org/images/upload/06-11_rep_dangersofdetention_jj.pdf</w:t>
        </w:r>
      </w:hyperlink>
      <w:r>
        <w:rPr>
          <w:rFonts w:eastAsia="Calibri"/>
          <w:sz w:val="20"/>
          <w:szCs w:val="20"/>
        </w:rPr>
        <w:t xml:space="preserve">. </w:t>
      </w:r>
    </w:p>
  </w:footnote>
  <w:footnote w:id="7">
    <w:p w14:paraId="18E5F8FE" w14:textId="77777777" w:rsidR="00CD0839" w:rsidRPr="005F3659" w:rsidRDefault="00CD0839" w:rsidP="00CD0839">
      <w:pPr>
        <w:rPr>
          <w:rFonts w:eastAsia="Calibri"/>
          <w:sz w:val="20"/>
          <w:lang w:val="es-MX"/>
        </w:rPr>
      </w:pPr>
      <w:r w:rsidRPr="00D96CED">
        <w:rPr>
          <w:sz w:val="20"/>
          <w:szCs w:val="20"/>
          <w:vertAlign w:val="superscript"/>
        </w:rPr>
        <w:footnoteRef/>
      </w:r>
      <w:r w:rsidRPr="009C3BC5">
        <w:rPr>
          <w:rFonts w:eastAsia="Calibri"/>
          <w:sz w:val="20"/>
          <w:szCs w:val="20"/>
          <w:lang w:val="es-MX"/>
        </w:rPr>
        <w:t xml:space="preserve"> </w:t>
      </w:r>
      <w:r w:rsidRPr="009C3BC5">
        <w:rPr>
          <w:rFonts w:eastAsia="Calibri"/>
          <w:i/>
          <w:sz w:val="20"/>
          <w:szCs w:val="20"/>
          <w:lang w:val="es-MX"/>
        </w:rPr>
        <w:t>E.g.</w:t>
      </w:r>
      <w:r w:rsidRPr="009C3BC5">
        <w:rPr>
          <w:rFonts w:eastAsia="Calibri"/>
          <w:sz w:val="20"/>
          <w:szCs w:val="20"/>
          <w:lang w:val="es-MX"/>
        </w:rPr>
        <w:t xml:space="preserve">, </w:t>
      </w:r>
      <w:r w:rsidRPr="003D0A00">
        <w:rPr>
          <w:i/>
          <w:sz w:val="20"/>
          <w:szCs w:val="20"/>
          <w:lang w:val="es-MX"/>
        </w:rPr>
        <w:t xml:space="preserve">Diagnóstico del Sistema de Justicia Para Adolescentes del Estado de Chihuahua: </w:t>
      </w:r>
      <w:r>
        <w:rPr>
          <w:i/>
          <w:sz w:val="20"/>
          <w:szCs w:val="20"/>
          <w:lang w:val="es-MX"/>
        </w:rPr>
        <w:t>“</w:t>
      </w:r>
      <w:r w:rsidRPr="003D0A00">
        <w:rPr>
          <w:i/>
          <w:sz w:val="20"/>
          <w:szCs w:val="20"/>
          <w:lang w:val="es-MX"/>
        </w:rPr>
        <w:t>Buenas Prácticas para las Alternativas a la Detención</w:t>
      </w:r>
      <w:r>
        <w:rPr>
          <w:i/>
          <w:sz w:val="20"/>
          <w:szCs w:val="20"/>
          <w:lang w:val="es-MX"/>
        </w:rPr>
        <w:t>”</w:t>
      </w:r>
      <w:r w:rsidRPr="00423E44">
        <w:rPr>
          <w:sz w:val="20"/>
          <w:szCs w:val="20"/>
          <w:lang w:val="es-MX"/>
        </w:rPr>
        <w:t xml:space="preserve">, </w:t>
      </w:r>
      <w:r>
        <w:rPr>
          <w:sz w:val="20"/>
          <w:szCs w:val="20"/>
          <w:lang w:val="es-MX"/>
        </w:rPr>
        <w:t>8–10</w:t>
      </w:r>
      <w:r w:rsidRPr="003D0A00">
        <w:rPr>
          <w:sz w:val="20"/>
          <w:szCs w:val="20"/>
          <w:lang w:val="es-MX"/>
        </w:rPr>
        <w:t xml:space="preserve">, </w:t>
      </w:r>
      <w:r w:rsidRPr="003D0A00">
        <w:rPr>
          <w:smallCaps/>
          <w:sz w:val="20"/>
          <w:szCs w:val="20"/>
          <w:lang w:val="es-MX"/>
        </w:rPr>
        <w:t>Justicia Juvenil Int’l</w:t>
      </w:r>
      <w:r w:rsidRPr="00423E44">
        <w:rPr>
          <w:sz w:val="20"/>
          <w:szCs w:val="20"/>
          <w:lang w:val="es-MX"/>
        </w:rPr>
        <w:t xml:space="preserve"> (Sept. 2017)</w:t>
      </w:r>
      <w:r>
        <w:rPr>
          <w:sz w:val="20"/>
          <w:szCs w:val="20"/>
          <w:lang w:val="es-MX"/>
        </w:rPr>
        <w:t xml:space="preserve"> </w:t>
      </w:r>
      <w:r w:rsidRPr="003D0A00">
        <w:rPr>
          <w:sz w:val="20"/>
          <w:szCs w:val="20"/>
          <w:lang w:val="es-MX"/>
        </w:rPr>
        <w:t>https://jjimexico.org/projects/chihuahua</w:t>
      </w:r>
      <w:r w:rsidRPr="003D0A00">
        <w:rPr>
          <w:color w:val="FF0000"/>
          <w:sz w:val="20"/>
          <w:szCs w:val="20"/>
          <w:lang w:val="es-MX"/>
        </w:rPr>
        <w:t xml:space="preserve"> </w:t>
      </w:r>
      <w:r w:rsidRPr="003D0A00">
        <w:rPr>
          <w:sz w:val="20"/>
          <w:szCs w:val="20"/>
          <w:lang w:val="es-MX"/>
        </w:rPr>
        <w:t xml:space="preserve">[hereinafter </w:t>
      </w:r>
      <w:r w:rsidRPr="003D0A00">
        <w:rPr>
          <w:i/>
          <w:sz w:val="20"/>
          <w:szCs w:val="20"/>
          <w:lang w:val="es-MX"/>
        </w:rPr>
        <w:t>Diagnóstico 2017</w:t>
      </w:r>
      <w:r w:rsidRPr="00965283">
        <w:rPr>
          <w:sz w:val="20"/>
          <w:szCs w:val="20"/>
          <w:lang w:val="es-MX"/>
        </w:rPr>
        <w:t>]</w:t>
      </w:r>
      <w:r>
        <w:rPr>
          <w:sz w:val="20"/>
          <w:szCs w:val="20"/>
          <w:lang w:val="es-MX"/>
        </w:rPr>
        <w:t>.</w:t>
      </w:r>
    </w:p>
  </w:footnote>
  <w:footnote w:id="8">
    <w:p w14:paraId="498DDB26" w14:textId="77777777" w:rsidR="00CD0839" w:rsidRPr="00BA721A" w:rsidRDefault="00CD0839" w:rsidP="00CD0839">
      <w:pPr>
        <w:pStyle w:val="FootnoteText"/>
      </w:pPr>
      <w:r>
        <w:rPr>
          <w:rStyle w:val="FootnoteReference"/>
        </w:rPr>
        <w:footnoteRef/>
      </w:r>
      <w:r>
        <w:rPr>
          <w:rStyle w:val="FootnoteReference"/>
        </w:rPr>
        <w:footnoteRef/>
      </w:r>
      <w:r>
        <w:rPr>
          <w:rStyle w:val="FootnoteReference"/>
        </w:rPr>
        <w:footnoteRef/>
      </w:r>
      <w:r>
        <w:t xml:space="preserve"> </w:t>
      </w:r>
      <w:r w:rsidRPr="00FF2B5D">
        <w:t xml:space="preserve">Additional methodological information available in </w:t>
      </w:r>
      <w:r>
        <w:rPr>
          <w:i/>
        </w:rPr>
        <w:t xml:space="preserve">Children in Pretrial Detention: Promoting Stronger International Time Limits, </w:t>
      </w:r>
      <w:proofErr w:type="spellStart"/>
      <w:r>
        <w:t>i</w:t>
      </w:r>
      <w:proofErr w:type="spellEnd"/>
      <w:r>
        <w:t>, May, 2018 (available at https:jjimexico.org/ptd-report/)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F2CD1"/>
    <w:multiLevelType w:val="hybridMultilevel"/>
    <w:tmpl w:val="10B07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786E4B"/>
    <w:multiLevelType w:val="hybridMultilevel"/>
    <w:tmpl w:val="E15AE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5911F32"/>
    <w:multiLevelType w:val="hybridMultilevel"/>
    <w:tmpl w:val="87684882"/>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F61448"/>
    <w:multiLevelType w:val="hybridMultilevel"/>
    <w:tmpl w:val="8C60BED8"/>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4" w15:restartNumberingAfterBreak="0">
    <w:nsid w:val="58ED428B"/>
    <w:multiLevelType w:val="hybridMultilevel"/>
    <w:tmpl w:val="8426048E"/>
    <w:lvl w:ilvl="0" w:tplc="863AF5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14535C4"/>
    <w:multiLevelType w:val="hybridMultilevel"/>
    <w:tmpl w:val="CC243E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7260265B"/>
    <w:multiLevelType w:val="hybridMultilevel"/>
    <w:tmpl w:val="79A08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6"/>
  </w:num>
  <w:num w:numId="4">
    <w:abstractNumId w:val="3"/>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A9F"/>
    <w:rsid w:val="000070B9"/>
    <w:rsid w:val="000276DC"/>
    <w:rsid w:val="00086EB7"/>
    <w:rsid w:val="00090ADD"/>
    <w:rsid w:val="000A296B"/>
    <w:rsid w:val="000A49C3"/>
    <w:rsid w:val="000D1DE4"/>
    <w:rsid w:val="00115208"/>
    <w:rsid w:val="001237E7"/>
    <w:rsid w:val="00134CB0"/>
    <w:rsid w:val="00146EF4"/>
    <w:rsid w:val="00187935"/>
    <w:rsid w:val="00195F22"/>
    <w:rsid w:val="001C5973"/>
    <w:rsid w:val="001E0AA3"/>
    <w:rsid w:val="001F09DF"/>
    <w:rsid w:val="001F1B5F"/>
    <w:rsid w:val="001F1F32"/>
    <w:rsid w:val="001F56C7"/>
    <w:rsid w:val="00225B1A"/>
    <w:rsid w:val="002354B9"/>
    <w:rsid w:val="002A386C"/>
    <w:rsid w:val="002B3B78"/>
    <w:rsid w:val="00303B05"/>
    <w:rsid w:val="00310A40"/>
    <w:rsid w:val="00312FED"/>
    <w:rsid w:val="00354FA3"/>
    <w:rsid w:val="003629A5"/>
    <w:rsid w:val="003B2424"/>
    <w:rsid w:val="003E7DA5"/>
    <w:rsid w:val="003F2B67"/>
    <w:rsid w:val="00415EAE"/>
    <w:rsid w:val="004273CC"/>
    <w:rsid w:val="00436A8F"/>
    <w:rsid w:val="00440E87"/>
    <w:rsid w:val="004433C3"/>
    <w:rsid w:val="00462AF4"/>
    <w:rsid w:val="00465278"/>
    <w:rsid w:val="00473A3B"/>
    <w:rsid w:val="004922D7"/>
    <w:rsid w:val="0049596E"/>
    <w:rsid w:val="004977BA"/>
    <w:rsid w:val="005045B5"/>
    <w:rsid w:val="00522026"/>
    <w:rsid w:val="005370E4"/>
    <w:rsid w:val="00537903"/>
    <w:rsid w:val="00554125"/>
    <w:rsid w:val="005759BE"/>
    <w:rsid w:val="005B3CCF"/>
    <w:rsid w:val="005E645F"/>
    <w:rsid w:val="005F4C56"/>
    <w:rsid w:val="00613979"/>
    <w:rsid w:val="006B2878"/>
    <w:rsid w:val="006E081B"/>
    <w:rsid w:val="00711FCC"/>
    <w:rsid w:val="00746562"/>
    <w:rsid w:val="007470D3"/>
    <w:rsid w:val="007641BC"/>
    <w:rsid w:val="00771AF5"/>
    <w:rsid w:val="00772996"/>
    <w:rsid w:val="00773F2C"/>
    <w:rsid w:val="007756F4"/>
    <w:rsid w:val="007E0DFA"/>
    <w:rsid w:val="007E1128"/>
    <w:rsid w:val="007E67BD"/>
    <w:rsid w:val="007F384B"/>
    <w:rsid w:val="007F465D"/>
    <w:rsid w:val="00817E06"/>
    <w:rsid w:val="0087363A"/>
    <w:rsid w:val="008924DA"/>
    <w:rsid w:val="00893C4F"/>
    <w:rsid w:val="008E107E"/>
    <w:rsid w:val="0090460C"/>
    <w:rsid w:val="00924B32"/>
    <w:rsid w:val="00961173"/>
    <w:rsid w:val="009A3ECB"/>
    <w:rsid w:val="009A7B2B"/>
    <w:rsid w:val="009C2458"/>
    <w:rsid w:val="009E39D6"/>
    <w:rsid w:val="009E4689"/>
    <w:rsid w:val="009E7DB1"/>
    <w:rsid w:val="009F0A61"/>
    <w:rsid w:val="00A35EE0"/>
    <w:rsid w:val="00A4505F"/>
    <w:rsid w:val="00A52B1F"/>
    <w:rsid w:val="00A81EC4"/>
    <w:rsid w:val="00A87A53"/>
    <w:rsid w:val="00AA22CB"/>
    <w:rsid w:val="00AB51AD"/>
    <w:rsid w:val="00B027EC"/>
    <w:rsid w:val="00B07E2A"/>
    <w:rsid w:val="00B3016D"/>
    <w:rsid w:val="00B30CA2"/>
    <w:rsid w:val="00B574D3"/>
    <w:rsid w:val="00B756AD"/>
    <w:rsid w:val="00B83D6F"/>
    <w:rsid w:val="00BA1DBB"/>
    <w:rsid w:val="00BA63CB"/>
    <w:rsid w:val="00BD5469"/>
    <w:rsid w:val="00C22420"/>
    <w:rsid w:val="00C23A9F"/>
    <w:rsid w:val="00C32FDE"/>
    <w:rsid w:val="00C452B7"/>
    <w:rsid w:val="00C76D06"/>
    <w:rsid w:val="00C93044"/>
    <w:rsid w:val="00CD0839"/>
    <w:rsid w:val="00CF2E23"/>
    <w:rsid w:val="00CF4972"/>
    <w:rsid w:val="00D01729"/>
    <w:rsid w:val="00D12330"/>
    <w:rsid w:val="00D47CDB"/>
    <w:rsid w:val="00D50971"/>
    <w:rsid w:val="00DB615B"/>
    <w:rsid w:val="00DD6A3A"/>
    <w:rsid w:val="00DE4012"/>
    <w:rsid w:val="00DF19BE"/>
    <w:rsid w:val="00E5591E"/>
    <w:rsid w:val="00E818E8"/>
    <w:rsid w:val="00E968EB"/>
    <w:rsid w:val="00EB2356"/>
    <w:rsid w:val="00EC37A8"/>
    <w:rsid w:val="00EF56C3"/>
    <w:rsid w:val="00F10B75"/>
    <w:rsid w:val="00F11770"/>
    <w:rsid w:val="00F1413F"/>
    <w:rsid w:val="00F16676"/>
    <w:rsid w:val="00F249ED"/>
    <w:rsid w:val="00F65501"/>
    <w:rsid w:val="00FB7D38"/>
    <w:rsid w:val="00FC7E94"/>
    <w:rsid w:val="00FE51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33921C"/>
  <w14:defaultImageDpi w14:val="300"/>
  <w15:docId w15:val="{F12DF4DD-5C33-C842-8793-9F797EE85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3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3A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9F"/>
    <w:rPr>
      <w:rFonts w:ascii="Lucida Grande" w:hAnsi="Lucida Grande" w:cs="Lucida Grande"/>
      <w:sz w:val="18"/>
      <w:szCs w:val="18"/>
    </w:rPr>
  </w:style>
  <w:style w:type="paragraph" w:styleId="ListParagraph">
    <w:name w:val="List Paragraph"/>
    <w:basedOn w:val="Normal"/>
    <w:uiPriority w:val="34"/>
    <w:qFormat/>
    <w:rsid w:val="007641BC"/>
    <w:pPr>
      <w:spacing w:after="160" w:line="259" w:lineRule="auto"/>
      <w:ind w:left="720"/>
      <w:contextualSpacing/>
    </w:pPr>
    <w:rPr>
      <w:rFonts w:eastAsiaTheme="minorHAnsi"/>
      <w:sz w:val="22"/>
      <w:szCs w:val="22"/>
      <w:lang w:val="es-MX"/>
    </w:rPr>
  </w:style>
  <w:style w:type="character" w:styleId="CommentReference">
    <w:name w:val="annotation reference"/>
    <w:basedOn w:val="DefaultParagraphFont"/>
    <w:uiPriority w:val="99"/>
    <w:semiHidden/>
    <w:unhideWhenUsed/>
    <w:rsid w:val="0090460C"/>
    <w:rPr>
      <w:sz w:val="18"/>
      <w:szCs w:val="18"/>
    </w:rPr>
  </w:style>
  <w:style w:type="paragraph" w:styleId="CommentText">
    <w:name w:val="annotation text"/>
    <w:basedOn w:val="Normal"/>
    <w:link w:val="CommentTextChar"/>
    <w:uiPriority w:val="99"/>
    <w:semiHidden/>
    <w:unhideWhenUsed/>
    <w:rsid w:val="0090460C"/>
  </w:style>
  <w:style w:type="character" w:customStyle="1" w:styleId="CommentTextChar">
    <w:name w:val="Comment Text Char"/>
    <w:basedOn w:val="DefaultParagraphFont"/>
    <w:link w:val="CommentText"/>
    <w:uiPriority w:val="99"/>
    <w:semiHidden/>
    <w:rsid w:val="0090460C"/>
  </w:style>
  <w:style w:type="paragraph" w:styleId="CommentSubject">
    <w:name w:val="annotation subject"/>
    <w:basedOn w:val="CommentText"/>
    <w:next w:val="CommentText"/>
    <w:link w:val="CommentSubjectChar"/>
    <w:uiPriority w:val="99"/>
    <w:semiHidden/>
    <w:unhideWhenUsed/>
    <w:rsid w:val="0090460C"/>
    <w:rPr>
      <w:b/>
      <w:bCs/>
      <w:sz w:val="20"/>
      <w:szCs w:val="20"/>
    </w:rPr>
  </w:style>
  <w:style w:type="character" w:customStyle="1" w:styleId="CommentSubjectChar">
    <w:name w:val="Comment Subject Char"/>
    <w:basedOn w:val="CommentTextChar"/>
    <w:link w:val="CommentSubject"/>
    <w:uiPriority w:val="99"/>
    <w:semiHidden/>
    <w:rsid w:val="0090460C"/>
    <w:rPr>
      <w:b/>
      <w:bCs/>
      <w:sz w:val="20"/>
      <w:szCs w:val="20"/>
    </w:rPr>
  </w:style>
  <w:style w:type="paragraph" w:styleId="NormalWeb">
    <w:name w:val="Normal (Web)"/>
    <w:basedOn w:val="Normal"/>
    <w:uiPriority w:val="99"/>
    <w:unhideWhenUsed/>
    <w:rsid w:val="00312FED"/>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0A296B"/>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0A296B"/>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0A296B"/>
    <w:rPr>
      <w:vertAlign w:val="superscript"/>
    </w:rPr>
  </w:style>
  <w:style w:type="character" w:styleId="Hyperlink">
    <w:name w:val="Hyperlink"/>
    <w:basedOn w:val="DefaultParagraphFont"/>
    <w:uiPriority w:val="99"/>
    <w:unhideWhenUsed/>
    <w:rsid w:val="00F249ED"/>
    <w:rPr>
      <w:color w:val="auto"/>
      <w:u w:val="single"/>
    </w:rPr>
  </w:style>
  <w:style w:type="paragraph" w:styleId="Revision">
    <w:name w:val="Revision"/>
    <w:hidden/>
    <w:uiPriority w:val="99"/>
    <w:semiHidden/>
    <w:rsid w:val="00AA22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35061">
      <w:bodyDiv w:val="1"/>
      <w:marLeft w:val="0"/>
      <w:marRight w:val="0"/>
      <w:marTop w:val="0"/>
      <w:marBottom w:val="0"/>
      <w:divBdr>
        <w:top w:val="none" w:sz="0" w:space="0" w:color="auto"/>
        <w:left w:val="none" w:sz="0" w:space="0" w:color="auto"/>
        <w:bottom w:val="none" w:sz="0" w:space="0" w:color="auto"/>
        <w:right w:val="none" w:sz="0" w:space="0" w:color="auto"/>
      </w:divBdr>
    </w:div>
    <w:div w:id="101264018">
      <w:bodyDiv w:val="1"/>
      <w:marLeft w:val="0"/>
      <w:marRight w:val="0"/>
      <w:marTop w:val="0"/>
      <w:marBottom w:val="0"/>
      <w:divBdr>
        <w:top w:val="none" w:sz="0" w:space="0" w:color="auto"/>
        <w:left w:val="none" w:sz="0" w:space="0" w:color="auto"/>
        <w:bottom w:val="none" w:sz="0" w:space="0" w:color="auto"/>
        <w:right w:val="none" w:sz="0" w:space="0" w:color="auto"/>
      </w:divBdr>
    </w:div>
    <w:div w:id="255721862">
      <w:bodyDiv w:val="1"/>
      <w:marLeft w:val="0"/>
      <w:marRight w:val="0"/>
      <w:marTop w:val="0"/>
      <w:marBottom w:val="0"/>
      <w:divBdr>
        <w:top w:val="none" w:sz="0" w:space="0" w:color="auto"/>
        <w:left w:val="none" w:sz="0" w:space="0" w:color="auto"/>
        <w:bottom w:val="none" w:sz="0" w:space="0" w:color="auto"/>
        <w:right w:val="none" w:sz="0" w:space="0" w:color="auto"/>
      </w:divBdr>
    </w:div>
    <w:div w:id="326791417">
      <w:bodyDiv w:val="1"/>
      <w:marLeft w:val="0"/>
      <w:marRight w:val="0"/>
      <w:marTop w:val="0"/>
      <w:marBottom w:val="0"/>
      <w:divBdr>
        <w:top w:val="none" w:sz="0" w:space="0" w:color="auto"/>
        <w:left w:val="none" w:sz="0" w:space="0" w:color="auto"/>
        <w:bottom w:val="none" w:sz="0" w:space="0" w:color="auto"/>
        <w:right w:val="none" w:sz="0" w:space="0" w:color="auto"/>
      </w:divBdr>
    </w:div>
    <w:div w:id="386689677">
      <w:bodyDiv w:val="1"/>
      <w:marLeft w:val="0"/>
      <w:marRight w:val="0"/>
      <w:marTop w:val="0"/>
      <w:marBottom w:val="0"/>
      <w:divBdr>
        <w:top w:val="none" w:sz="0" w:space="0" w:color="auto"/>
        <w:left w:val="none" w:sz="0" w:space="0" w:color="auto"/>
        <w:bottom w:val="none" w:sz="0" w:space="0" w:color="auto"/>
        <w:right w:val="none" w:sz="0" w:space="0" w:color="auto"/>
      </w:divBdr>
    </w:div>
    <w:div w:id="465515915">
      <w:bodyDiv w:val="1"/>
      <w:marLeft w:val="0"/>
      <w:marRight w:val="0"/>
      <w:marTop w:val="0"/>
      <w:marBottom w:val="0"/>
      <w:divBdr>
        <w:top w:val="none" w:sz="0" w:space="0" w:color="auto"/>
        <w:left w:val="none" w:sz="0" w:space="0" w:color="auto"/>
        <w:bottom w:val="none" w:sz="0" w:space="0" w:color="auto"/>
        <w:right w:val="none" w:sz="0" w:space="0" w:color="auto"/>
      </w:divBdr>
    </w:div>
    <w:div w:id="520243645">
      <w:bodyDiv w:val="1"/>
      <w:marLeft w:val="0"/>
      <w:marRight w:val="0"/>
      <w:marTop w:val="0"/>
      <w:marBottom w:val="0"/>
      <w:divBdr>
        <w:top w:val="none" w:sz="0" w:space="0" w:color="auto"/>
        <w:left w:val="none" w:sz="0" w:space="0" w:color="auto"/>
        <w:bottom w:val="none" w:sz="0" w:space="0" w:color="auto"/>
        <w:right w:val="none" w:sz="0" w:space="0" w:color="auto"/>
      </w:divBdr>
    </w:div>
    <w:div w:id="579290464">
      <w:bodyDiv w:val="1"/>
      <w:marLeft w:val="0"/>
      <w:marRight w:val="0"/>
      <w:marTop w:val="0"/>
      <w:marBottom w:val="0"/>
      <w:divBdr>
        <w:top w:val="none" w:sz="0" w:space="0" w:color="auto"/>
        <w:left w:val="none" w:sz="0" w:space="0" w:color="auto"/>
        <w:bottom w:val="none" w:sz="0" w:space="0" w:color="auto"/>
        <w:right w:val="none" w:sz="0" w:space="0" w:color="auto"/>
      </w:divBdr>
    </w:div>
    <w:div w:id="601915231">
      <w:bodyDiv w:val="1"/>
      <w:marLeft w:val="0"/>
      <w:marRight w:val="0"/>
      <w:marTop w:val="0"/>
      <w:marBottom w:val="0"/>
      <w:divBdr>
        <w:top w:val="none" w:sz="0" w:space="0" w:color="auto"/>
        <w:left w:val="none" w:sz="0" w:space="0" w:color="auto"/>
        <w:bottom w:val="none" w:sz="0" w:space="0" w:color="auto"/>
        <w:right w:val="none" w:sz="0" w:space="0" w:color="auto"/>
      </w:divBdr>
    </w:div>
    <w:div w:id="1095518394">
      <w:bodyDiv w:val="1"/>
      <w:marLeft w:val="0"/>
      <w:marRight w:val="0"/>
      <w:marTop w:val="0"/>
      <w:marBottom w:val="0"/>
      <w:divBdr>
        <w:top w:val="none" w:sz="0" w:space="0" w:color="auto"/>
        <w:left w:val="none" w:sz="0" w:space="0" w:color="auto"/>
        <w:bottom w:val="none" w:sz="0" w:space="0" w:color="auto"/>
        <w:right w:val="none" w:sz="0" w:space="0" w:color="auto"/>
      </w:divBdr>
    </w:div>
    <w:div w:id="1122724886">
      <w:bodyDiv w:val="1"/>
      <w:marLeft w:val="0"/>
      <w:marRight w:val="0"/>
      <w:marTop w:val="0"/>
      <w:marBottom w:val="0"/>
      <w:divBdr>
        <w:top w:val="none" w:sz="0" w:space="0" w:color="auto"/>
        <w:left w:val="none" w:sz="0" w:space="0" w:color="auto"/>
        <w:bottom w:val="none" w:sz="0" w:space="0" w:color="auto"/>
        <w:right w:val="none" w:sz="0" w:space="0" w:color="auto"/>
      </w:divBdr>
    </w:div>
    <w:div w:id="1123041480">
      <w:bodyDiv w:val="1"/>
      <w:marLeft w:val="0"/>
      <w:marRight w:val="0"/>
      <w:marTop w:val="0"/>
      <w:marBottom w:val="0"/>
      <w:divBdr>
        <w:top w:val="none" w:sz="0" w:space="0" w:color="auto"/>
        <w:left w:val="none" w:sz="0" w:space="0" w:color="auto"/>
        <w:bottom w:val="none" w:sz="0" w:space="0" w:color="auto"/>
        <w:right w:val="none" w:sz="0" w:space="0" w:color="auto"/>
      </w:divBdr>
      <w:divsChild>
        <w:div w:id="1627270549">
          <w:marLeft w:val="0"/>
          <w:marRight w:val="0"/>
          <w:marTop w:val="0"/>
          <w:marBottom w:val="0"/>
          <w:divBdr>
            <w:top w:val="none" w:sz="0" w:space="0" w:color="auto"/>
            <w:left w:val="none" w:sz="0" w:space="0" w:color="auto"/>
            <w:bottom w:val="none" w:sz="0" w:space="0" w:color="auto"/>
            <w:right w:val="none" w:sz="0" w:space="0" w:color="auto"/>
          </w:divBdr>
        </w:div>
      </w:divsChild>
    </w:div>
    <w:div w:id="1226724216">
      <w:bodyDiv w:val="1"/>
      <w:marLeft w:val="0"/>
      <w:marRight w:val="0"/>
      <w:marTop w:val="0"/>
      <w:marBottom w:val="0"/>
      <w:divBdr>
        <w:top w:val="none" w:sz="0" w:space="0" w:color="auto"/>
        <w:left w:val="none" w:sz="0" w:space="0" w:color="auto"/>
        <w:bottom w:val="none" w:sz="0" w:space="0" w:color="auto"/>
        <w:right w:val="none" w:sz="0" w:space="0" w:color="auto"/>
      </w:divBdr>
      <w:divsChild>
        <w:div w:id="241839933">
          <w:marLeft w:val="0"/>
          <w:marRight w:val="0"/>
          <w:marTop w:val="0"/>
          <w:marBottom w:val="0"/>
          <w:divBdr>
            <w:top w:val="none" w:sz="0" w:space="0" w:color="auto"/>
            <w:left w:val="none" w:sz="0" w:space="0" w:color="auto"/>
            <w:bottom w:val="none" w:sz="0" w:space="0" w:color="auto"/>
            <w:right w:val="none" w:sz="0" w:space="0" w:color="auto"/>
          </w:divBdr>
          <w:divsChild>
            <w:div w:id="1617374485">
              <w:marLeft w:val="0"/>
              <w:marRight w:val="0"/>
              <w:marTop w:val="0"/>
              <w:marBottom w:val="0"/>
              <w:divBdr>
                <w:top w:val="none" w:sz="0" w:space="0" w:color="auto"/>
                <w:left w:val="none" w:sz="0" w:space="0" w:color="auto"/>
                <w:bottom w:val="none" w:sz="0" w:space="0" w:color="auto"/>
                <w:right w:val="none" w:sz="0" w:space="0" w:color="auto"/>
              </w:divBdr>
              <w:divsChild>
                <w:div w:id="126399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256468">
      <w:bodyDiv w:val="1"/>
      <w:marLeft w:val="0"/>
      <w:marRight w:val="0"/>
      <w:marTop w:val="0"/>
      <w:marBottom w:val="0"/>
      <w:divBdr>
        <w:top w:val="none" w:sz="0" w:space="0" w:color="auto"/>
        <w:left w:val="none" w:sz="0" w:space="0" w:color="auto"/>
        <w:bottom w:val="none" w:sz="0" w:space="0" w:color="auto"/>
        <w:right w:val="none" w:sz="0" w:space="0" w:color="auto"/>
      </w:divBdr>
    </w:div>
    <w:div w:id="1301181248">
      <w:bodyDiv w:val="1"/>
      <w:marLeft w:val="0"/>
      <w:marRight w:val="0"/>
      <w:marTop w:val="0"/>
      <w:marBottom w:val="0"/>
      <w:divBdr>
        <w:top w:val="none" w:sz="0" w:space="0" w:color="auto"/>
        <w:left w:val="none" w:sz="0" w:space="0" w:color="auto"/>
        <w:bottom w:val="none" w:sz="0" w:space="0" w:color="auto"/>
        <w:right w:val="none" w:sz="0" w:space="0" w:color="auto"/>
      </w:divBdr>
    </w:div>
    <w:div w:id="1342970872">
      <w:bodyDiv w:val="1"/>
      <w:marLeft w:val="0"/>
      <w:marRight w:val="0"/>
      <w:marTop w:val="0"/>
      <w:marBottom w:val="0"/>
      <w:divBdr>
        <w:top w:val="none" w:sz="0" w:space="0" w:color="auto"/>
        <w:left w:val="none" w:sz="0" w:space="0" w:color="auto"/>
        <w:bottom w:val="none" w:sz="0" w:space="0" w:color="auto"/>
        <w:right w:val="none" w:sz="0" w:space="0" w:color="auto"/>
      </w:divBdr>
    </w:div>
    <w:div w:id="1363900700">
      <w:bodyDiv w:val="1"/>
      <w:marLeft w:val="0"/>
      <w:marRight w:val="0"/>
      <w:marTop w:val="0"/>
      <w:marBottom w:val="0"/>
      <w:divBdr>
        <w:top w:val="none" w:sz="0" w:space="0" w:color="auto"/>
        <w:left w:val="none" w:sz="0" w:space="0" w:color="auto"/>
        <w:bottom w:val="none" w:sz="0" w:space="0" w:color="auto"/>
        <w:right w:val="none" w:sz="0" w:space="0" w:color="auto"/>
      </w:divBdr>
    </w:div>
    <w:div w:id="1504082740">
      <w:bodyDiv w:val="1"/>
      <w:marLeft w:val="0"/>
      <w:marRight w:val="0"/>
      <w:marTop w:val="0"/>
      <w:marBottom w:val="0"/>
      <w:divBdr>
        <w:top w:val="none" w:sz="0" w:space="0" w:color="auto"/>
        <w:left w:val="none" w:sz="0" w:space="0" w:color="auto"/>
        <w:bottom w:val="none" w:sz="0" w:space="0" w:color="auto"/>
        <w:right w:val="none" w:sz="0" w:space="0" w:color="auto"/>
      </w:divBdr>
    </w:div>
    <w:div w:id="1570723317">
      <w:bodyDiv w:val="1"/>
      <w:marLeft w:val="0"/>
      <w:marRight w:val="0"/>
      <w:marTop w:val="0"/>
      <w:marBottom w:val="0"/>
      <w:divBdr>
        <w:top w:val="none" w:sz="0" w:space="0" w:color="auto"/>
        <w:left w:val="none" w:sz="0" w:space="0" w:color="auto"/>
        <w:bottom w:val="none" w:sz="0" w:space="0" w:color="auto"/>
        <w:right w:val="none" w:sz="0" w:space="0" w:color="auto"/>
      </w:divBdr>
    </w:div>
    <w:div w:id="1575974010">
      <w:bodyDiv w:val="1"/>
      <w:marLeft w:val="0"/>
      <w:marRight w:val="0"/>
      <w:marTop w:val="0"/>
      <w:marBottom w:val="0"/>
      <w:divBdr>
        <w:top w:val="none" w:sz="0" w:space="0" w:color="auto"/>
        <w:left w:val="none" w:sz="0" w:space="0" w:color="auto"/>
        <w:bottom w:val="none" w:sz="0" w:space="0" w:color="auto"/>
        <w:right w:val="none" w:sz="0" w:space="0" w:color="auto"/>
      </w:divBdr>
    </w:div>
    <w:div w:id="1646467724">
      <w:bodyDiv w:val="1"/>
      <w:marLeft w:val="0"/>
      <w:marRight w:val="0"/>
      <w:marTop w:val="0"/>
      <w:marBottom w:val="0"/>
      <w:divBdr>
        <w:top w:val="none" w:sz="0" w:space="0" w:color="auto"/>
        <w:left w:val="none" w:sz="0" w:space="0" w:color="auto"/>
        <w:bottom w:val="none" w:sz="0" w:space="0" w:color="auto"/>
        <w:right w:val="none" w:sz="0" w:space="0" w:color="auto"/>
      </w:divBdr>
    </w:div>
    <w:div w:id="1674071018">
      <w:bodyDiv w:val="1"/>
      <w:marLeft w:val="0"/>
      <w:marRight w:val="0"/>
      <w:marTop w:val="0"/>
      <w:marBottom w:val="0"/>
      <w:divBdr>
        <w:top w:val="none" w:sz="0" w:space="0" w:color="auto"/>
        <w:left w:val="none" w:sz="0" w:space="0" w:color="auto"/>
        <w:bottom w:val="none" w:sz="0" w:space="0" w:color="auto"/>
        <w:right w:val="none" w:sz="0" w:space="0" w:color="auto"/>
      </w:divBdr>
    </w:div>
    <w:div w:id="1932083449">
      <w:bodyDiv w:val="1"/>
      <w:marLeft w:val="0"/>
      <w:marRight w:val="0"/>
      <w:marTop w:val="0"/>
      <w:marBottom w:val="0"/>
      <w:divBdr>
        <w:top w:val="none" w:sz="0" w:space="0" w:color="auto"/>
        <w:left w:val="none" w:sz="0" w:space="0" w:color="auto"/>
        <w:bottom w:val="none" w:sz="0" w:space="0" w:color="auto"/>
        <w:right w:val="none" w:sz="0" w:space="0" w:color="auto"/>
      </w:divBdr>
    </w:div>
    <w:div w:id="1999262130">
      <w:bodyDiv w:val="1"/>
      <w:marLeft w:val="0"/>
      <w:marRight w:val="0"/>
      <w:marTop w:val="0"/>
      <w:marBottom w:val="0"/>
      <w:divBdr>
        <w:top w:val="none" w:sz="0" w:space="0" w:color="auto"/>
        <w:left w:val="none" w:sz="0" w:space="0" w:color="auto"/>
        <w:bottom w:val="none" w:sz="0" w:space="0" w:color="auto"/>
        <w:right w:val="none" w:sz="0" w:space="0" w:color="auto"/>
      </w:divBdr>
    </w:div>
    <w:div w:id="2058314221">
      <w:bodyDiv w:val="1"/>
      <w:marLeft w:val="0"/>
      <w:marRight w:val="0"/>
      <w:marTop w:val="0"/>
      <w:marBottom w:val="0"/>
      <w:divBdr>
        <w:top w:val="none" w:sz="0" w:space="0" w:color="auto"/>
        <w:left w:val="none" w:sz="0" w:space="0" w:color="auto"/>
        <w:bottom w:val="none" w:sz="0" w:space="0" w:color="auto"/>
        <w:right w:val="none" w:sz="0" w:space="0" w:color="auto"/>
      </w:divBdr>
    </w:div>
    <w:div w:id="2108190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jimexico.org/ptd-report/"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www.justicepolicy.org/images/upload/06-11_rep_dangersofdetention_jj.pdf" TargetMode="External"/><Relationship Id="rId1" Type="http://schemas.openxmlformats.org/officeDocument/2006/relationships/hyperlink" Target="https://www.opensocietyfoundations.org/sites/default/files/pretrial-detention-and-torture-0622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DA1535-7622-446B-9D52-955E651352D3}">
  <ds:schemaRefs>
    <ds:schemaRef ds:uri="http://schemas.openxmlformats.org/officeDocument/2006/bibliography"/>
  </ds:schemaRefs>
</ds:datastoreItem>
</file>

<file path=customXml/itemProps2.xml><?xml version="1.0" encoding="utf-8"?>
<ds:datastoreItem xmlns:ds="http://schemas.openxmlformats.org/officeDocument/2006/customXml" ds:itemID="{B0217488-D1C7-4249-855A-32A50E11D4DB}"/>
</file>

<file path=customXml/itemProps3.xml><?xml version="1.0" encoding="utf-8"?>
<ds:datastoreItem xmlns:ds="http://schemas.openxmlformats.org/officeDocument/2006/customXml" ds:itemID="{8049965E-0A81-4B95-95B9-E20B92E7EBF8}"/>
</file>

<file path=customXml/itemProps4.xml><?xml version="1.0" encoding="utf-8"?>
<ds:datastoreItem xmlns:ds="http://schemas.openxmlformats.org/officeDocument/2006/customXml" ds:itemID="{65DCF1C0-15B7-4828-8DF8-FC7DD08065BF}"/>
</file>

<file path=docProps/app.xml><?xml version="1.0" encoding="utf-8"?>
<Properties xmlns="http://schemas.openxmlformats.org/officeDocument/2006/extended-properties" xmlns:vt="http://schemas.openxmlformats.org/officeDocument/2006/docPropsVTypes">
  <Template>Normal.dotm</Template>
  <TotalTime>1</TotalTime>
  <Pages>4</Pages>
  <Words>1058</Words>
  <Characters>5899</Characters>
  <Application>Microsoft Office Word</Application>
  <DocSecurity>0</DocSecurity>
  <Lines>168</Lines>
  <Paragraphs>53</Paragraphs>
  <ScaleCrop>false</ScaleCrop>
  <HeadingPairs>
    <vt:vector size="2" baseType="variant">
      <vt:variant>
        <vt:lpstr>Title</vt:lpstr>
      </vt:variant>
      <vt:variant>
        <vt:i4>1</vt:i4>
      </vt:variant>
    </vt:vector>
  </HeadingPairs>
  <TitlesOfParts>
    <vt:vector size="1" baseType="lpstr">
      <vt:lpstr/>
    </vt:vector>
  </TitlesOfParts>
  <Company>ITESM</Company>
  <LinksUpToDate>false</LinksUpToDate>
  <CharactersWithSpaces>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Sarahi Garcia</dc:creator>
  <cp:keywords/>
  <dc:description/>
  <cp:lastModifiedBy>BOIT James</cp:lastModifiedBy>
  <cp:revision>2</cp:revision>
  <dcterms:created xsi:type="dcterms:W3CDTF">2019-08-21T14:24:00Z</dcterms:created>
  <dcterms:modified xsi:type="dcterms:W3CDTF">2019-08-21T14:24:00Z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