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7777777" w:rsidR="00C05D9B" w:rsidRPr="004B1E4E" w:rsidRDefault="00C05D9B" w:rsidP="00626C39"/>
    <w:p w14:paraId="16FB194F" w14:textId="77777777" w:rsidR="00C3019A" w:rsidRDefault="00C3019A" w:rsidP="40B962A2">
      <w:pPr>
        <w:pStyle w:val="TitlePageHeading"/>
        <w:tabs>
          <w:tab w:val="left" w:pos="5370"/>
        </w:tabs>
      </w:pPr>
    </w:p>
    <w:p w14:paraId="43F13231" w14:textId="3E29604C" w:rsidR="004B1E4E" w:rsidRDefault="0070172F" w:rsidP="40B962A2">
      <w:pPr>
        <w:pStyle w:val="TitlePageHeading"/>
        <w:tabs>
          <w:tab w:val="left" w:pos="5370"/>
        </w:tabs>
      </w:pPr>
      <w:r>
        <w:t>Thailand</w:t>
      </w:r>
      <w:r w:rsidR="00BA5990">
        <w:t>’s</w:t>
      </w:r>
      <w:r w:rsidR="004B1E4E">
        <w:t xml:space="preserve"> Compliance with </w:t>
      </w:r>
      <w:r>
        <w:t>the Convention Against Torture</w:t>
      </w:r>
      <w:r w:rsidR="00C86C83">
        <w:t xml:space="preserve"> and Other Cruel, Inhuman or Degrading Treatment or Punishment</w:t>
      </w:r>
      <w:r w:rsidR="00E114C5">
        <w:t xml:space="preserve">: </w:t>
      </w:r>
      <w:r>
        <w:t>The Death Penalty</w:t>
      </w:r>
    </w:p>
    <w:p w14:paraId="5DC74E00" w14:textId="77777777" w:rsidR="00550A8F" w:rsidRPr="00550A8F" w:rsidRDefault="00550A8F" w:rsidP="00550A8F">
      <w:pPr>
        <w:pStyle w:val="TitlePageHeading"/>
      </w:pPr>
    </w:p>
    <w:p w14:paraId="26D24DDC" w14:textId="1E7CECB8"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25D3BE21" w14:textId="26DFD22F" w:rsidR="00550A8F" w:rsidRP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5415E788" w14:textId="2FE59647" w:rsidR="0031166B" w:rsidRDefault="00C86C83" w:rsidP="00550A8F">
      <w:pPr>
        <w:pStyle w:val="TitlePageSubheading"/>
      </w:pPr>
      <w:r>
        <w:t>and</w:t>
      </w:r>
    </w:p>
    <w:p w14:paraId="6FE3D992" w14:textId="27783C5E" w:rsidR="00C86C83" w:rsidRPr="00C86C83" w:rsidRDefault="00C86C83" w:rsidP="00550A8F">
      <w:pPr>
        <w:pStyle w:val="TitlePageSubheading"/>
        <w:rPr>
          <w:b/>
          <w:bCs/>
        </w:rPr>
      </w:pPr>
      <w:r>
        <w:rPr>
          <w:b/>
          <w:bCs/>
        </w:rPr>
        <w:t>The World Coalition Against the Death Penalty</w:t>
      </w:r>
    </w:p>
    <w:p w14:paraId="06CF5105" w14:textId="77777777" w:rsidR="00C86C83" w:rsidRDefault="00C86C83" w:rsidP="0031166B">
      <w:pPr>
        <w:pStyle w:val="TitlePageSubheading"/>
      </w:pPr>
    </w:p>
    <w:p w14:paraId="24E688AE" w14:textId="54602098" w:rsidR="004B1E4E" w:rsidRPr="00CA5CC2" w:rsidRDefault="004B1E4E" w:rsidP="0031166B">
      <w:pPr>
        <w:pStyle w:val="TitlePageSubheading"/>
      </w:pPr>
      <w:r w:rsidRPr="00CA5CC2">
        <w:t>for the</w:t>
      </w:r>
      <w:r w:rsidR="000E05FA">
        <w:t xml:space="preserve"> 81st </w:t>
      </w:r>
      <w:r w:rsidRPr="00CA5CC2">
        <w:t xml:space="preserve">Session of the </w:t>
      </w:r>
      <w:r w:rsidR="0070172F">
        <w:t>Committee Against Torture</w:t>
      </w:r>
    </w:p>
    <w:p w14:paraId="2364C833" w14:textId="51188297" w:rsidR="0031166B" w:rsidRDefault="003F1EB8" w:rsidP="0031166B">
      <w:pPr>
        <w:pStyle w:val="TitlePageSubheading"/>
      </w:pPr>
      <w:r>
        <w:t>28 October</w:t>
      </w:r>
      <w:r w:rsidR="005933C7">
        <w:t xml:space="preserve"> 20</w:t>
      </w:r>
      <w:r w:rsidR="0068538B">
        <w:t>24</w:t>
      </w:r>
      <w:r>
        <w:t>–</w:t>
      </w:r>
      <w:r w:rsidR="001F24BE">
        <w:t>22 November 2024</w:t>
      </w:r>
      <w:r w:rsidR="005933C7">
        <w:t xml:space="preserve"> </w:t>
      </w:r>
    </w:p>
    <w:p w14:paraId="4E22A074" w14:textId="77777777" w:rsidR="005933C7" w:rsidRDefault="005933C7" w:rsidP="0031166B">
      <w:pPr>
        <w:pStyle w:val="TitlePageSubheading"/>
      </w:pPr>
    </w:p>
    <w:p w14:paraId="3D93E372" w14:textId="4134D752" w:rsidR="00C214BA" w:rsidRDefault="00C214BA" w:rsidP="0031166B">
      <w:pPr>
        <w:pStyle w:val="TitlePageSubheading"/>
      </w:pPr>
      <w:r>
        <w:t xml:space="preserve">Submitted </w:t>
      </w:r>
      <w:r w:rsidR="00C86C83">
        <w:t>30 September 2024</w:t>
      </w:r>
    </w:p>
    <w:p w14:paraId="4EBFAEDD" w14:textId="5A1D8358" w:rsidR="004B1E4E" w:rsidRPr="004B1E4E" w:rsidRDefault="004B1E4E" w:rsidP="40B962A2">
      <w:pPr>
        <w:pStyle w:val="TitlePageSubheading"/>
      </w:pPr>
    </w:p>
    <w:p w14:paraId="00756CF9" w14:textId="440E2CDE" w:rsidR="004B1E4E" w:rsidRDefault="56F42F0B" w:rsidP="40B962A2">
      <w:pPr>
        <w:widowControl w:val="0"/>
        <w:spacing w:after="240"/>
        <w:jc w:val="both"/>
        <w:rPr>
          <w:color w:val="000000" w:themeColor="text1"/>
        </w:rPr>
      </w:pPr>
      <w:r w:rsidRPr="2E169E29">
        <w:rPr>
          <w:rStyle w:val="BoilerplateTitleChar0"/>
          <w:rFonts w:eastAsia="Times New Roman" w:cs="Times New Roman"/>
          <w:color w:val="000000" w:themeColor="text1"/>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w:t>
      </w:r>
      <w:r w:rsidRPr="03E92E52">
        <w:rPr>
          <w:rStyle w:val="AuthorDescriptiontextChar"/>
          <w:rFonts w:eastAsia="Times New Roman"/>
          <w:color w:val="000000" w:themeColor="text1"/>
        </w:rPr>
        <w:t>publication</w:t>
      </w:r>
      <w:r w:rsidR="13176E68" w:rsidRPr="03E92E52">
        <w:rPr>
          <w:rStyle w:val="AuthorDescriptiontextChar"/>
          <w:rFonts w:eastAsia="Times New Roman"/>
          <w:color w:val="000000" w:themeColor="text1"/>
        </w:rPr>
        <w:t>s</w:t>
      </w:r>
      <w:r w:rsidRPr="03E92E52">
        <w:rPr>
          <w:rStyle w:val="AuthorDescriptiontextChar"/>
          <w:rFonts w:eastAsia="Times New Roman"/>
          <w:color w:val="000000" w:themeColor="text1"/>
        </w:rPr>
        <w:t>.</w:t>
      </w:r>
      <w:r w:rsidRPr="40B962A2">
        <w:rPr>
          <w:rStyle w:val="AuthorDescriptiontextChar"/>
          <w:rFonts w:eastAsia="Times New Roman"/>
          <w:color w:val="000000" w:themeColor="text1"/>
        </w:rPr>
        <w:t xml:space="preserve"> The Advocates is the primary provider of legal services to low-income asylum seekers in the Upper Midwest region of the United States.</w:t>
      </w:r>
      <w:r w:rsidR="00C81593">
        <w:rPr>
          <w:rStyle w:val="AuthorDescriptiontextChar"/>
          <w:rFonts w:eastAsia="Times New Roman"/>
          <w:color w:val="000000" w:themeColor="text1"/>
        </w:rPr>
        <w:t xml:space="preserve"> </w:t>
      </w:r>
      <w:r w:rsidRPr="40B962A2">
        <w:rPr>
          <w:color w:val="000000" w:themeColor="text1"/>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64E89F8" w14:textId="03295B1B" w:rsidR="00992851" w:rsidRPr="00992851" w:rsidRDefault="00992851" w:rsidP="00992851">
      <w:pPr>
        <w:pStyle w:val="AuthorDescriptiontext"/>
        <w:rPr>
          <w:rFonts w:eastAsia="Times New Roman"/>
          <w:color w:val="000000" w:themeColor="text1"/>
        </w:rPr>
      </w:pPr>
      <w:r w:rsidRPr="564E50F9">
        <w:rPr>
          <w:rStyle w:val="normaltextrun"/>
          <w:rFonts w:eastAsia="Times New Roman"/>
          <w:b/>
          <w:bCs/>
          <w:color w:val="000000" w:themeColor="text1"/>
        </w:rPr>
        <w:t>The World Coalition Against the Death Penalty (WCADP),</w:t>
      </w:r>
      <w:r w:rsidRPr="564E50F9">
        <w:rPr>
          <w:rStyle w:val="normaltextrun"/>
          <w:rFonts w:eastAsia="Times New Roman"/>
          <w:color w:val="000000" w:themeColor="text1"/>
        </w:rPr>
        <w:t xml:space="preserve"> an alliance of more than 150 NGOs, bar associations, local authorities, and unions, was created in Rome on 13 May 2002. The aim of the World Coalition is to strengthen the international dimension of the fight against the death penalty. Its ultimate </w:t>
      </w:r>
      <w:r w:rsidRPr="0020270A">
        <w:rPr>
          <w:rStyle w:val="AuthorDescriptiontextChar"/>
        </w:rPr>
        <w:t>objective</w:t>
      </w:r>
      <w:r w:rsidRPr="564E50F9">
        <w:rPr>
          <w:rStyle w:val="normaltextrun"/>
          <w:rFonts w:eastAsia="Times New Roman"/>
          <w:color w:val="000000" w:themeColor="text1"/>
        </w:rPr>
        <w:t xml:space="preser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6D55D554" w14:textId="4183A60D" w:rsidR="004B1E4E" w:rsidRPr="004B1E4E" w:rsidRDefault="004B1E4E" w:rsidP="00EF4293">
      <w:pPr>
        <w:pStyle w:val="ExecutiveSummary"/>
      </w:pPr>
    </w:p>
    <w:p w14:paraId="0E12B9B2" w14:textId="686DD09E" w:rsidR="5B79127B" w:rsidRDefault="5B79127B">
      <w:r>
        <w:br w:type="page"/>
      </w:r>
    </w:p>
    <w:p w14:paraId="1FC77D31" w14:textId="52A4BA53" w:rsidR="004B1E4E" w:rsidRPr="004B1E4E" w:rsidRDefault="004B1E4E" w:rsidP="00EF4293">
      <w:pPr>
        <w:pStyle w:val="ExecutiveSummary"/>
      </w:pPr>
      <w:r>
        <w:lastRenderedPageBreak/>
        <w:t xml:space="preserve">Executive </w:t>
      </w:r>
      <w:r w:rsidR="6F258C82">
        <w:t>S</w:t>
      </w:r>
      <w:r w:rsidR="1B213AEA">
        <w:t>UMMARY</w:t>
      </w:r>
    </w:p>
    <w:p w14:paraId="66594F26" w14:textId="4AABA921" w:rsidR="5B79127B" w:rsidRDefault="5B79127B" w:rsidP="5B79127B">
      <w:pPr>
        <w:pStyle w:val="ExecutiveSummary"/>
      </w:pPr>
    </w:p>
    <w:p w14:paraId="5404CBBC" w14:textId="5136661F" w:rsidR="002B1FA5" w:rsidRDefault="00727777" w:rsidP="002A6F81">
      <w:pPr>
        <w:numPr>
          <w:ilvl w:val="0"/>
          <w:numId w:val="7"/>
        </w:numPr>
        <w:spacing w:after="120"/>
        <w:ind w:left="360"/>
        <w:jc w:val="both"/>
      </w:pPr>
      <w:r>
        <w:t xml:space="preserve">This report outlines violations of the Convention Against Torture in Thailand in the context of the death penalty and persons </w:t>
      </w:r>
      <w:r w:rsidR="008C745A">
        <w:t>prosecuted</w:t>
      </w:r>
      <w:r w:rsidR="00F601FA">
        <w:t xml:space="preserve"> for, charged with, and convicted of, capital crimes. As explained further below</w:t>
      </w:r>
      <w:r w:rsidR="00E25516">
        <w:t xml:space="preserve">, torture is prevalent in detention facilities and impunity persists. </w:t>
      </w:r>
      <w:r w:rsidR="00113620">
        <w:t xml:space="preserve">Courts </w:t>
      </w:r>
      <w:r w:rsidR="006A1768">
        <w:t xml:space="preserve">continue to impose </w:t>
      </w:r>
      <w:r w:rsidR="00507C4B">
        <w:t>death sentences</w:t>
      </w:r>
      <w:r w:rsidR="00F22434">
        <w:t>, including for offenses that do not constitute the “most serious crimes.”</w:t>
      </w:r>
      <w:r w:rsidR="00AF5C54">
        <w:t xml:space="preserve"> </w:t>
      </w:r>
    </w:p>
    <w:p w14:paraId="5A91C8AD" w14:textId="7C8CE6F7" w:rsidR="00735A8E" w:rsidRDefault="00C17774" w:rsidP="002A6F81">
      <w:pPr>
        <w:numPr>
          <w:ilvl w:val="0"/>
          <w:numId w:val="7"/>
        </w:numPr>
        <w:spacing w:after="120"/>
        <w:ind w:left="360"/>
        <w:jc w:val="both"/>
      </w:pPr>
      <w:r>
        <w:t xml:space="preserve">Overwhelmingly, Thailand’s retention of the death penalty </w:t>
      </w:r>
      <w:r w:rsidR="00707FF4">
        <w:t>and treatment of people on death row</w:t>
      </w:r>
      <w:r w:rsidR="008A7284">
        <w:t xml:space="preserve"> both </w:t>
      </w:r>
      <w:r w:rsidR="007F22FE">
        <w:t xml:space="preserve">illustrate </w:t>
      </w:r>
      <w:r w:rsidR="008A7284">
        <w:t xml:space="preserve">and exacerbate Thailand’s failure to uphold its obligations under the Convention. </w:t>
      </w:r>
      <w:r w:rsidR="00216EA3">
        <w:t>There is insufficient legal aid available to people charged with death-eligible offenses. People in detention</w:t>
      </w:r>
      <w:r w:rsidR="00592934">
        <w:t xml:space="preserve"> face </w:t>
      </w:r>
      <w:r w:rsidR="00377FDE">
        <w:t xml:space="preserve">ill-treatment </w:t>
      </w:r>
      <w:r w:rsidR="007422A1">
        <w:t xml:space="preserve">and </w:t>
      </w:r>
      <w:r w:rsidR="00F37F86">
        <w:t xml:space="preserve">torture </w:t>
      </w:r>
      <w:r w:rsidR="00377FDE">
        <w:t xml:space="preserve">during </w:t>
      </w:r>
      <w:r w:rsidR="00507754">
        <w:t xml:space="preserve">interrogation, and measures to combat such </w:t>
      </w:r>
      <w:r w:rsidR="00815F2A">
        <w:t>coercion and tortu</w:t>
      </w:r>
      <w:r w:rsidR="00666E96">
        <w:t>re have fallen short.</w:t>
      </w:r>
      <w:r w:rsidR="00126BB4">
        <w:t xml:space="preserve"> </w:t>
      </w:r>
    </w:p>
    <w:p w14:paraId="33F17B68" w14:textId="72D8CBB5" w:rsidR="00C17774" w:rsidRDefault="00126BB4" w:rsidP="002A6F81">
      <w:pPr>
        <w:numPr>
          <w:ilvl w:val="0"/>
          <w:numId w:val="7"/>
        </w:numPr>
        <w:spacing w:after="120"/>
        <w:ind w:left="360"/>
        <w:jc w:val="both"/>
      </w:pPr>
      <w:r>
        <w:t xml:space="preserve">Thailand’s Department of Corrections </w:t>
      </w:r>
      <w:r w:rsidR="00B35F89">
        <w:t xml:space="preserve">has denied civil society organizations and international human rights groups access to places of detention </w:t>
      </w:r>
      <w:r w:rsidR="006A31BA">
        <w:t xml:space="preserve">for monitoring </w:t>
      </w:r>
      <w:r w:rsidR="00AD0F6F">
        <w:t>purposes.</w:t>
      </w:r>
      <w:r w:rsidR="00D4150F">
        <w:t xml:space="preserve"> </w:t>
      </w:r>
      <w:r w:rsidR="00916191">
        <w:t xml:space="preserve">Drug-related offenses are death-penalty-eligible, and </w:t>
      </w:r>
      <w:r w:rsidR="00F40E80">
        <w:t xml:space="preserve">women on death row are disproportionately </w:t>
      </w:r>
      <w:r w:rsidR="00B745AD">
        <w:t>convicted of drug-related offenses.</w:t>
      </w:r>
      <w:r w:rsidR="0095783F">
        <w:t xml:space="preserve"> Prisons in Thailand </w:t>
      </w:r>
      <w:r w:rsidR="002F158D">
        <w:t xml:space="preserve">remain overcrowded and </w:t>
      </w:r>
      <w:r w:rsidR="00C10A5F">
        <w:t>under</w:t>
      </w:r>
      <w:r w:rsidR="001D6BB6">
        <w:t xml:space="preserve">-resourced, resulting in poor </w:t>
      </w:r>
      <w:r w:rsidR="00564AD8">
        <w:t>detention conditions.</w:t>
      </w:r>
      <w:r w:rsidR="00B94447">
        <w:t xml:space="preserve"> </w:t>
      </w:r>
      <w:r w:rsidR="007F22FE">
        <w:t xml:space="preserve">People </w:t>
      </w:r>
      <w:r w:rsidR="00B94447">
        <w:t>on death row have been denied access to work programs</w:t>
      </w:r>
      <w:r w:rsidR="000F4522">
        <w:t xml:space="preserve"> and</w:t>
      </w:r>
      <w:r w:rsidR="00B94447">
        <w:t xml:space="preserve"> drug rehabilitation programs</w:t>
      </w:r>
      <w:r w:rsidR="000F4522">
        <w:t xml:space="preserve"> available to the </w:t>
      </w:r>
      <w:r w:rsidR="00B94447">
        <w:t>general prison population.</w:t>
      </w:r>
      <w:r w:rsidR="00666E96">
        <w:t xml:space="preserve"> Thailand retains a suite of laws </w:t>
      </w:r>
      <w:r w:rsidR="00F84A67">
        <w:t xml:space="preserve">which make it impossible for </w:t>
      </w:r>
      <w:r w:rsidR="00E33884">
        <w:t xml:space="preserve">human rights defenders to bring incidents </w:t>
      </w:r>
      <w:r w:rsidR="00671F2F">
        <w:t>of torture to light</w:t>
      </w:r>
      <w:r w:rsidR="03502C32">
        <w:t xml:space="preserve"> without fear of reprisal</w:t>
      </w:r>
      <w:r w:rsidR="00671F2F">
        <w:t xml:space="preserve">, and </w:t>
      </w:r>
      <w:r w:rsidR="03502C32">
        <w:t>Thailand</w:t>
      </w:r>
      <w:r w:rsidR="00671F2F">
        <w:t xml:space="preserve"> continues to prosecute protesters, civil society members, and activists </w:t>
      </w:r>
      <w:r w:rsidR="00007AE4">
        <w:t xml:space="preserve">for speaking out against </w:t>
      </w:r>
      <w:r w:rsidR="000C37F3">
        <w:t xml:space="preserve">torture. </w:t>
      </w:r>
    </w:p>
    <w:p w14:paraId="564DCBB5" w14:textId="44464DDF" w:rsidR="00563922" w:rsidRPr="0034393A" w:rsidRDefault="00563922" w:rsidP="00792090">
      <w:pPr>
        <w:spacing w:after="120"/>
        <w:jc w:val="center"/>
      </w:pPr>
      <w:r>
        <w:rPr>
          <w:b/>
          <w:bCs/>
          <w:u w:val="single"/>
        </w:rPr>
        <w:t>Back</w:t>
      </w:r>
      <w:r w:rsidR="0034393A">
        <w:rPr>
          <w:b/>
          <w:bCs/>
          <w:u w:val="single"/>
        </w:rPr>
        <w:t>ground on the Death Penalty in Thailand</w:t>
      </w:r>
    </w:p>
    <w:p w14:paraId="584A2ADA" w14:textId="07A5E42A" w:rsidR="002A6F81" w:rsidRDefault="6DE0A8F1" w:rsidP="002A6F81">
      <w:pPr>
        <w:numPr>
          <w:ilvl w:val="0"/>
          <w:numId w:val="7"/>
        </w:numPr>
        <w:spacing w:after="120"/>
        <w:ind w:left="360"/>
        <w:jc w:val="both"/>
      </w:pPr>
      <w:r w:rsidRPr="23CBBFAA">
        <w:t xml:space="preserve">Thailand has executed </w:t>
      </w:r>
      <w:r>
        <w:t>one person</w:t>
      </w:r>
      <w:r w:rsidR="00F2461F">
        <w:rPr>
          <w:rStyle w:val="FootnoteReference"/>
        </w:rPr>
        <w:footnoteReference w:id="2"/>
      </w:r>
      <w:r w:rsidRPr="23CBBFAA">
        <w:t xml:space="preserve"> since </w:t>
      </w:r>
      <w:r w:rsidR="00BD2E1B">
        <w:t>the Committee’s</w:t>
      </w:r>
      <w:r w:rsidR="00BD2E1B" w:rsidRPr="00BD2E1B">
        <w:t xml:space="preserve"> most recent Concluding Observations</w:t>
      </w:r>
      <w:r w:rsidR="3415A8D4">
        <w:t xml:space="preserve"> in 2014</w:t>
      </w:r>
      <w:r w:rsidRPr="23CBBFAA">
        <w:t>.</w:t>
      </w:r>
      <w:r w:rsidR="002A6F81">
        <w:rPr>
          <w:rStyle w:val="FootnoteReference"/>
        </w:rPr>
        <w:footnoteReference w:id="3"/>
      </w:r>
      <w:r w:rsidRPr="23CBBFAA">
        <w:t xml:space="preserve"> </w:t>
      </w:r>
      <w:r>
        <w:t xml:space="preserve">This execution took place </w:t>
      </w:r>
      <w:r w:rsidR="00E62974">
        <w:t>on June</w:t>
      </w:r>
      <w:r w:rsidR="0074799D">
        <w:t xml:space="preserve"> 18,</w:t>
      </w:r>
      <w:r w:rsidR="37C0BD0E">
        <w:t xml:space="preserve"> </w:t>
      </w:r>
      <w:r w:rsidR="002A6F81">
        <w:t>201</w:t>
      </w:r>
      <w:r w:rsidR="00165685">
        <w:t>8</w:t>
      </w:r>
      <w:r w:rsidR="002A6F81">
        <w:t xml:space="preserve">, </w:t>
      </w:r>
      <w:r w:rsidR="0074799D">
        <w:t>and th</w:t>
      </w:r>
      <w:r w:rsidR="00703286">
        <w:t xml:space="preserve">e person executed </w:t>
      </w:r>
      <w:r w:rsidR="00CE0CAC">
        <w:t>had been sentenced to death</w:t>
      </w:r>
      <w:r>
        <w:t xml:space="preserve"> </w:t>
      </w:r>
      <w:r w:rsidR="00153E6B">
        <w:t xml:space="preserve">for </w:t>
      </w:r>
      <w:r w:rsidR="00FB50E8">
        <w:t>aggravated murder</w:t>
      </w:r>
      <w:r w:rsidR="008E4249">
        <w:t>.</w:t>
      </w:r>
      <w:r w:rsidR="008E4249">
        <w:rPr>
          <w:rStyle w:val="FootnoteReference"/>
        </w:rPr>
        <w:footnoteReference w:id="4"/>
      </w:r>
      <w:r w:rsidR="00CE0CAC">
        <w:t xml:space="preserve"> </w:t>
      </w:r>
      <w:r w:rsidR="00FB50E8">
        <w:t>This executi</w:t>
      </w:r>
      <w:r w:rsidR="000A46C2">
        <w:t xml:space="preserve">on </w:t>
      </w:r>
      <w:r w:rsidR="00120AC4">
        <w:t xml:space="preserve">had been </w:t>
      </w:r>
      <w:r w:rsidR="000A46C2">
        <w:t xml:space="preserve">the first in </w:t>
      </w:r>
      <w:r w:rsidR="00C14EAC">
        <w:t>nearly</w:t>
      </w:r>
      <w:r w:rsidR="2DFF7B3F">
        <w:t xml:space="preserve"> </w:t>
      </w:r>
      <w:r>
        <w:t>ten years</w:t>
      </w:r>
      <w:r w:rsidR="002A6F81">
        <w:t>.</w:t>
      </w:r>
      <w:r w:rsidR="002A6F81">
        <w:rPr>
          <w:rStyle w:val="FootnoteReference"/>
        </w:rPr>
        <w:footnoteReference w:id="5"/>
      </w:r>
      <w:r w:rsidR="642F15B9">
        <w:t xml:space="preserve"> </w:t>
      </w:r>
      <w:r w:rsidR="5B854318">
        <w:t>Thailand carries out death</w:t>
      </w:r>
      <w:r w:rsidR="009E4AA9">
        <w:t xml:space="preserve"> sentences through lethal injection.</w:t>
      </w:r>
      <w:r w:rsidR="009E4AA9">
        <w:rPr>
          <w:rStyle w:val="FootnoteReference"/>
        </w:rPr>
        <w:footnoteReference w:id="6"/>
      </w:r>
      <w:r w:rsidR="009E4AA9">
        <w:t xml:space="preserve"> </w:t>
      </w:r>
      <w:r w:rsidR="002A6F81">
        <w:t xml:space="preserve">As of December 2023, </w:t>
      </w:r>
      <w:r w:rsidR="1E198AD3">
        <w:t>Thai</w:t>
      </w:r>
      <w:r w:rsidR="5DC11E53">
        <w:t>land’s</w:t>
      </w:r>
      <w:r w:rsidR="002A6F81">
        <w:t xml:space="preserve"> Department of Corrections reports that 325 people are on death row.</w:t>
      </w:r>
      <w:r w:rsidR="002A6F81">
        <w:rPr>
          <w:rStyle w:val="FootnoteReference"/>
        </w:rPr>
        <w:footnoteReference w:id="7"/>
      </w:r>
      <w:r w:rsidR="002A6F81">
        <w:t xml:space="preserve"> This </w:t>
      </w:r>
      <w:r w:rsidR="001138F1">
        <w:t xml:space="preserve">figure </w:t>
      </w:r>
      <w:r w:rsidR="002A6F81">
        <w:t xml:space="preserve">marks a decrease in the number of people on death row </w:t>
      </w:r>
      <w:r w:rsidR="001138F1">
        <w:t>since</w:t>
      </w:r>
      <w:r w:rsidR="002A6F81">
        <w:t xml:space="preserve"> January 2019</w:t>
      </w:r>
      <w:r w:rsidR="0034393A">
        <w:t>,</w:t>
      </w:r>
      <w:r w:rsidR="002A6F81">
        <w:t xml:space="preserve"> but</w:t>
      </w:r>
      <w:r w:rsidR="0034393A">
        <w:t xml:space="preserve"> it</w:t>
      </w:r>
      <w:r w:rsidR="002A6F81">
        <w:t xml:space="preserve"> represents a 44% increase in the number of people on death row since January 2022.</w:t>
      </w:r>
      <w:r w:rsidR="002A6F81">
        <w:rPr>
          <w:rStyle w:val="FootnoteReference"/>
        </w:rPr>
        <w:footnoteReference w:id="8"/>
      </w:r>
      <w:r w:rsidR="00F765ED">
        <w:t xml:space="preserve"> </w:t>
      </w:r>
      <w:r w:rsidR="006C2417">
        <w:t>Of th</w:t>
      </w:r>
      <w:r w:rsidR="00FB1C40">
        <w:t xml:space="preserve">e </w:t>
      </w:r>
      <w:r w:rsidR="00FB1C40">
        <w:lastRenderedPageBreak/>
        <w:t xml:space="preserve">people on death row in Thailand as of December 2023, 199 (61.2%) </w:t>
      </w:r>
      <w:r w:rsidR="008B4500">
        <w:t>are under</w:t>
      </w:r>
      <w:r w:rsidR="00333373">
        <w:t xml:space="preserve"> sentence of death </w:t>
      </w:r>
      <w:r w:rsidR="008B4500">
        <w:t>for drug-related offenses.</w:t>
      </w:r>
      <w:r w:rsidR="008B4500">
        <w:rPr>
          <w:rStyle w:val="FootnoteReference"/>
        </w:rPr>
        <w:footnoteReference w:id="9"/>
      </w:r>
      <w:r w:rsidR="004778C9">
        <w:t xml:space="preserve"> Thailand does not impose the death penalty on juveniles, </w:t>
      </w:r>
      <w:r w:rsidR="00027E7C">
        <w:t xml:space="preserve">pregnant people, or </w:t>
      </w:r>
      <w:r w:rsidR="00333373">
        <w:t xml:space="preserve">people </w:t>
      </w:r>
      <w:r w:rsidR="00CF0692">
        <w:t>who are “mentally unstable.”</w:t>
      </w:r>
      <w:r w:rsidR="00F22A46">
        <w:rPr>
          <w:rStyle w:val="FootnoteReference"/>
        </w:rPr>
        <w:footnoteReference w:id="10"/>
      </w:r>
    </w:p>
    <w:p w14:paraId="4B617964" w14:textId="44CA49CB" w:rsidR="00EB5A9B" w:rsidRDefault="2B848A99" w:rsidP="0034393A">
      <w:pPr>
        <w:numPr>
          <w:ilvl w:val="0"/>
          <w:numId w:val="7"/>
        </w:numPr>
        <w:spacing w:after="120"/>
        <w:ind w:left="360"/>
        <w:jc w:val="both"/>
      </w:pPr>
      <w:r>
        <w:t>D</w:t>
      </w:r>
      <w:r w:rsidR="257E0138">
        <w:t>ozens</w:t>
      </w:r>
      <w:r w:rsidR="001E4D19">
        <w:t xml:space="preserve"> of</w:t>
      </w:r>
      <w:r w:rsidR="00CC3947">
        <w:t xml:space="preserve"> offenses</w:t>
      </w:r>
      <w:r w:rsidR="00FA670C">
        <w:t xml:space="preserve"> </w:t>
      </w:r>
      <w:r w:rsidR="00DF6D7B">
        <w:t xml:space="preserve">not considered “the most serious crimes” are </w:t>
      </w:r>
      <w:r w:rsidR="003A0582">
        <w:t>eligible</w:t>
      </w:r>
      <w:r>
        <w:t xml:space="preserve"> </w:t>
      </w:r>
      <w:r w:rsidR="009F06F6">
        <w:t>for the death penalty</w:t>
      </w:r>
      <w:r w:rsidR="5E5C0CD0">
        <w:t>.</w:t>
      </w:r>
      <w:r w:rsidR="003A0582">
        <w:t xml:space="preserve"> </w:t>
      </w:r>
      <w:r w:rsidR="00AD0ACA">
        <w:t xml:space="preserve">For example, </w:t>
      </w:r>
      <w:r w:rsidR="008B2C12">
        <w:t xml:space="preserve">even the section of </w:t>
      </w:r>
      <w:r w:rsidR="009F06F6">
        <w:t xml:space="preserve">the </w:t>
      </w:r>
      <w:r w:rsidR="008B2C12">
        <w:t xml:space="preserve">Penal Code prohibiting murder does not </w:t>
      </w:r>
      <w:r w:rsidR="49D075F0">
        <w:t xml:space="preserve">expressly </w:t>
      </w:r>
      <w:r w:rsidR="008B2C12">
        <w:t xml:space="preserve">specify that such murder </w:t>
      </w:r>
      <w:r w:rsidR="00F65C3B">
        <w:t xml:space="preserve">necessarily </w:t>
      </w:r>
      <w:r w:rsidR="008B2C12">
        <w:t>be “</w:t>
      </w:r>
      <w:r w:rsidR="00EA2B3D">
        <w:t>intentional</w:t>
      </w:r>
      <w:r w:rsidR="00E92232">
        <w:t>.”</w:t>
      </w:r>
      <w:r w:rsidR="00E92232">
        <w:rPr>
          <w:rStyle w:val="FootnoteReference"/>
        </w:rPr>
        <w:footnoteReference w:id="11"/>
      </w:r>
      <w:r w:rsidR="008B2C12">
        <w:t xml:space="preserve"> </w:t>
      </w:r>
      <w:r w:rsidR="003A0582">
        <w:t>In addition to</w:t>
      </w:r>
      <w:r w:rsidR="007B43B2">
        <w:t xml:space="preserve"> murder, </w:t>
      </w:r>
      <w:r w:rsidR="001D50E0">
        <w:t>several</w:t>
      </w:r>
      <w:r w:rsidR="000866ED">
        <w:t xml:space="preserve"> crime</w:t>
      </w:r>
      <w:r w:rsidR="001D50E0">
        <w:t>s</w:t>
      </w:r>
      <w:r w:rsidR="000866ED">
        <w:t xml:space="preserve"> resulting in the death of a victim</w:t>
      </w:r>
      <w:r w:rsidR="007412E4">
        <w:t xml:space="preserve"> </w:t>
      </w:r>
      <w:r w:rsidR="00306AE2">
        <w:t xml:space="preserve">are </w:t>
      </w:r>
      <w:r w:rsidR="007412E4">
        <w:t>death-penalty</w:t>
      </w:r>
      <w:r w:rsidR="00306AE2">
        <w:t>-</w:t>
      </w:r>
      <w:r w:rsidR="007412E4">
        <w:t>eligible.</w:t>
      </w:r>
      <w:r w:rsidR="000866ED">
        <w:rPr>
          <w:rStyle w:val="FootnoteReference"/>
        </w:rPr>
        <w:footnoteReference w:id="12"/>
      </w:r>
      <w:r w:rsidR="000866ED">
        <w:t xml:space="preserve"> </w:t>
      </w:r>
      <w:r w:rsidR="005A5A18">
        <w:t xml:space="preserve">Even where </w:t>
      </w:r>
      <w:r w:rsidR="006121AB">
        <w:t>they do not result in death</w:t>
      </w:r>
      <w:r w:rsidR="7E38B332">
        <w:t>,</w:t>
      </w:r>
      <w:r w:rsidR="003F7ED0">
        <w:t xml:space="preserve"> certain aggravated forms of</w:t>
      </w:r>
      <w:r w:rsidR="00C525C8">
        <w:t xml:space="preserve"> t</w:t>
      </w:r>
      <w:r w:rsidR="007412E4">
        <w:t>errorism</w:t>
      </w:r>
      <w:r w:rsidR="004141DE">
        <w:t>-related offenses,</w:t>
      </w:r>
      <w:r w:rsidR="00026534">
        <w:rPr>
          <w:rStyle w:val="FootnoteReference"/>
        </w:rPr>
        <w:footnoteReference w:id="13"/>
      </w:r>
      <w:r w:rsidR="004141DE">
        <w:t xml:space="preserve"> rape</w:t>
      </w:r>
      <w:r w:rsidR="007412E4">
        <w:t>,</w:t>
      </w:r>
      <w:r w:rsidR="00026534">
        <w:rPr>
          <w:rStyle w:val="FootnoteReference"/>
        </w:rPr>
        <w:footnoteReference w:id="14"/>
      </w:r>
      <w:r w:rsidR="007412E4">
        <w:t xml:space="preserve"> arson,</w:t>
      </w:r>
      <w:r w:rsidR="00026534">
        <w:rPr>
          <w:rStyle w:val="FootnoteReference"/>
        </w:rPr>
        <w:footnoteReference w:id="15"/>
      </w:r>
      <w:r w:rsidR="007412E4">
        <w:t xml:space="preserve"> kidnapping,</w:t>
      </w:r>
      <w:r w:rsidR="00026534">
        <w:rPr>
          <w:rStyle w:val="FootnoteReference"/>
        </w:rPr>
        <w:footnoteReference w:id="16"/>
      </w:r>
      <w:r w:rsidR="007412E4">
        <w:t xml:space="preserve"> drug trafficking,</w:t>
      </w:r>
      <w:r w:rsidR="00026534">
        <w:rPr>
          <w:rStyle w:val="FootnoteReference"/>
        </w:rPr>
        <w:footnoteReference w:id="17"/>
      </w:r>
      <w:r w:rsidR="007412E4">
        <w:t xml:space="preserve"> d</w:t>
      </w:r>
      <w:r w:rsidR="00084F57">
        <w:t>rug possession,</w:t>
      </w:r>
      <w:r w:rsidR="00026534">
        <w:rPr>
          <w:rStyle w:val="FootnoteReference"/>
        </w:rPr>
        <w:footnoteReference w:id="18"/>
      </w:r>
      <w:r w:rsidR="00084F57">
        <w:t xml:space="preserve"> economic crimes,</w:t>
      </w:r>
      <w:r w:rsidR="00026534">
        <w:rPr>
          <w:rStyle w:val="FootnoteReference"/>
        </w:rPr>
        <w:footnoteReference w:id="19"/>
      </w:r>
      <w:r w:rsidR="00084F57">
        <w:t xml:space="preserve"> and treason</w:t>
      </w:r>
      <w:r w:rsidR="00026534">
        <w:rPr>
          <w:rStyle w:val="FootnoteReference"/>
        </w:rPr>
        <w:footnoteReference w:id="20"/>
      </w:r>
      <w:r w:rsidR="00C525C8">
        <w:t>—</w:t>
      </w:r>
      <w:r w:rsidR="00521D96">
        <w:t>among other crimes—</w:t>
      </w:r>
      <w:r w:rsidR="006121AB">
        <w:t>are eligible</w:t>
      </w:r>
      <w:r w:rsidR="00ED7D0F">
        <w:t xml:space="preserve"> for the death penalty</w:t>
      </w:r>
      <w:r w:rsidR="006121AB">
        <w:t>.</w:t>
      </w:r>
      <w:r w:rsidR="00C81593">
        <w:t xml:space="preserve"> </w:t>
      </w:r>
    </w:p>
    <w:p w14:paraId="53BA658F" w14:textId="78DE2E63" w:rsidR="00FA670C" w:rsidRDefault="000F10CE" w:rsidP="0034393A">
      <w:pPr>
        <w:numPr>
          <w:ilvl w:val="0"/>
          <w:numId w:val="7"/>
        </w:numPr>
        <w:spacing w:after="120"/>
        <w:ind w:left="360"/>
        <w:jc w:val="both"/>
      </w:pPr>
      <w:r>
        <w:t>Thailand represent</w:t>
      </w:r>
      <w:r w:rsidR="00673BE0">
        <w:t>s</w:t>
      </w:r>
      <w:r>
        <w:t xml:space="preserve"> that “Thai agencies have undertaken a step-by-step approach to reforming laws on capital punishment in compliance with human rights principles” </w:t>
      </w:r>
      <w:r w:rsidR="00775D55">
        <w:t>reflected in its 2009 National Human Rights Plan.</w:t>
      </w:r>
      <w:r w:rsidR="00471A4B">
        <w:rPr>
          <w:rStyle w:val="FootnoteReference"/>
        </w:rPr>
        <w:footnoteReference w:id="21"/>
      </w:r>
      <w:r w:rsidR="00471A4B">
        <w:t xml:space="preserve"> </w:t>
      </w:r>
      <w:r w:rsidR="00FA670C">
        <w:t xml:space="preserve">Thailand </w:t>
      </w:r>
      <w:r w:rsidR="00917D99">
        <w:t>claims to be “working to increase</w:t>
      </w:r>
      <w:r w:rsidR="00C43775">
        <w:t xml:space="preserve"> </w:t>
      </w:r>
      <w:r w:rsidR="004F0801">
        <w:t>public awareness and understanding</w:t>
      </w:r>
      <w:r w:rsidR="00FD7C12">
        <w:t xml:space="preserve"> of the ongoing debate on capital punishment[,]” but </w:t>
      </w:r>
      <w:r w:rsidR="113922C0">
        <w:t xml:space="preserve">Thailand also </w:t>
      </w:r>
      <w:r w:rsidR="00FD7C12">
        <w:t>recognizes that public sentiment in Thailand is “strongly in favor of the death penalty[.]”</w:t>
      </w:r>
      <w:r w:rsidR="00FD7C12">
        <w:rPr>
          <w:rStyle w:val="FootnoteReference"/>
        </w:rPr>
        <w:footnoteReference w:id="22"/>
      </w:r>
      <w:r w:rsidR="00FD7C12">
        <w:t xml:space="preserve"> </w:t>
      </w:r>
      <w:r w:rsidR="00FA670C">
        <w:t xml:space="preserve">Thailand abstained from the most recent UN General Assembly resolution </w:t>
      </w:r>
      <w:r w:rsidR="00673BE0">
        <w:t xml:space="preserve">in 2022 </w:t>
      </w:r>
      <w:r w:rsidR="00FA670C">
        <w:t>calling for a global moratorium on executions.</w:t>
      </w:r>
      <w:r w:rsidR="00FA670C">
        <w:rPr>
          <w:rStyle w:val="FootnoteReference"/>
        </w:rPr>
        <w:footnoteReference w:id="23"/>
      </w:r>
      <w:r w:rsidR="00CC3947">
        <w:t xml:space="preserve"> </w:t>
      </w:r>
    </w:p>
    <w:p w14:paraId="305ACB9B" w14:textId="1014EB1F" w:rsidR="002A6F81" w:rsidRPr="0039770D" w:rsidRDefault="00673BE0" w:rsidP="002A6F81">
      <w:pPr>
        <w:numPr>
          <w:ilvl w:val="0"/>
          <w:numId w:val="7"/>
        </w:numPr>
        <w:spacing w:after="120"/>
        <w:ind w:left="360"/>
        <w:jc w:val="both"/>
      </w:pPr>
      <w:r>
        <w:lastRenderedPageBreak/>
        <w:t xml:space="preserve">People </w:t>
      </w:r>
      <w:r w:rsidR="002A6F81">
        <w:t xml:space="preserve">sentenced to death can </w:t>
      </w:r>
      <w:r>
        <w:t>petition</w:t>
      </w:r>
      <w:r w:rsidR="00FA3447">
        <w:t xml:space="preserve"> </w:t>
      </w:r>
      <w:r w:rsidR="002A6F81">
        <w:t>the King of Thailand</w:t>
      </w:r>
      <w:r w:rsidR="00FA3447">
        <w:t xml:space="preserve"> to request that he commute their sentences</w:t>
      </w:r>
      <w:r w:rsidR="002A6F81">
        <w:t>.</w:t>
      </w:r>
      <w:r w:rsidR="002A6F81">
        <w:rPr>
          <w:rStyle w:val="FootnoteReference"/>
        </w:rPr>
        <w:footnoteReference w:id="24"/>
      </w:r>
      <w:r w:rsidR="002A6F81">
        <w:t xml:space="preserve"> In 2021, the King commuted the death sentences of </w:t>
      </w:r>
      <w:r w:rsidR="1DC27355">
        <w:t>64</w:t>
      </w:r>
      <w:r w:rsidR="002A6F81">
        <w:t xml:space="preserve"> people.</w:t>
      </w:r>
      <w:r w:rsidR="002A6F81">
        <w:rPr>
          <w:rStyle w:val="FootnoteReference"/>
        </w:rPr>
        <w:footnoteReference w:id="25"/>
      </w:r>
      <w:r w:rsidR="002A6F81">
        <w:t xml:space="preserve"> </w:t>
      </w:r>
    </w:p>
    <w:p w14:paraId="75B00959" w14:textId="5BD0DF89" w:rsidR="008F2F99" w:rsidRDefault="00246810" w:rsidP="00C05D23">
      <w:pPr>
        <w:pStyle w:val="SectionSummary"/>
      </w:pPr>
      <w:r>
        <w:t>Thailand fails to uphold its obligations under the Convention Against Torture</w:t>
      </w:r>
    </w:p>
    <w:p w14:paraId="30C0287C" w14:textId="6C912511" w:rsidR="00A037A9" w:rsidRDefault="0051228A" w:rsidP="002E4225">
      <w:pPr>
        <w:pStyle w:val="SectionHeading"/>
        <w:numPr>
          <w:ilvl w:val="0"/>
          <w:numId w:val="17"/>
        </w:numPr>
      </w:pPr>
      <w:r>
        <w:t>Thailand’s exemption for prison officials deemed to be acting in “good faith” results in de facto impunity</w:t>
      </w:r>
      <w:r w:rsidR="005710F8">
        <w:t xml:space="preserve"> for torture</w:t>
      </w:r>
      <w:r w:rsidR="00345175">
        <w:t xml:space="preserve"> (</w:t>
      </w:r>
      <w:r w:rsidR="00A01E17">
        <w:t>List of Issues Prior to Reporting (LOIPR)</w:t>
      </w:r>
      <w:r w:rsidR="00345175">
        <w:t xml:space="preserve"> para</w:t>
      </w:r>
      <w:r w:rsidR="44E24866">
        <w:t>s</w:t>
      </w:r>
      <w:r w:rsidR="00345175">
        <w:t xml:space="preserve">. </w:t>
      </w:r>
      <w:r w:rsidR="00D339FB">
        <w:t>3</w:t>
      </w:r>
      <w:r w:rsidR="0085527D">
        <w:t>(d)</w:t>
      </w:r>
      <w:r w:rsidR="00CE6779">
        <w:t>, 4</w:t>
      </w:r>
      <w:r w:rsidR="0085527D">
        <w:t>).</w:t>
      </w:r>
    </w:p>
    <w:p w14:paraId="29D424C0" w14:textId="242F2F00" w:rsidR="002E4225" w:rsidRPr="002E4225" w:rsidRDefault="00FA3447" w:rsidP="00BD7776">
      <w:pPr>
        <w:numPr>
          <w:ilvl w:val="0"/>
          <w:numId w:val="7"/>
        </w:numPr>
        <w:spacing w:after="120"/>
        <w:ind w:left="360"/>
        <w:jc w:val="both"/>
      </w:pPr>
      <w:bookmarkStart w:id="0" w:name="_Hlk175821079"/>
      <w:r>
        <w:t>T</w:t>
      </w:r>
      <w:r w:rsidR="002E4225" w:rsidRPr="002E4225">
        <w:t>he Committee asked for information on “any efforts under way to repeal domestic legislation that could result in immunity for acts of torture or ill-treatment.”</w:t>
      </w:r>
      <w:r w:rsidR="002E4225" w:rsidRPr="002E4225">
        <w:rPr>
          <w:vertAlign w:val="superscript"/>
        </w:rPr>
        <w:footnoteReference w:id="26"/>
      </w:r>
      <w:r w:rsidR="002E4225" w:rsidRPr="002E4225">
        <w:t xml:space="preserve"> </w:t>
      </w:r>
      <w:r w:rsidR="002D7D2C">
        <w:t>T</w:t>
      </w:r>
      <w:r w:rsidR="002E4225" w:rsidRPr="002E4225">
        <w:t xml:space="preserve">he Committee </w:t>
      </w:r>
      <w:r w:rsidR="002D7D2C">
        <w:t xml:space="preserve">also </w:t>
      </w:r>
      <w:r w:rsidR="195E3804">
        <w:t>requested</w:t>
      </w:r>
      <w:r w:rsidR="002E4225" w:rsidRPr="002E4225">
        <w:t xml:space="preserve"> further information regarding progress made </w:t>
      </w:r>
      <w:r w:rsidR="195E3804">
        <w:t>to</w:t>
      </w:r>
      <w:r w:rsidR="195E3804" w:rsidRPr="002E4225">
        <w:t xml:space="preserve"> </w:t>
      </w:r>
      <w:r w:rsidR="1E16D999" w:rsidRPr="002E4225">
        <w:t>address</w:t>
      </w:r>
      <w:r w:rsidR="002E4225" w:rsidRPr="002E4225">
        <w:t xml:space="preserve"> the Committee’s concern</w:t>
      </w:r>
      <w:r w:rsidR="002D7D2C">
        <w:t>s</w:t>
      </w:r>
      <w:r w:rsidR="002E4225" w:rsidRPr="002E4225">
        <w:t xml:space="preserve"> about de facto impunity for acts of torture.</w:t>
      </w:r>
      <w:r w:rsidR="002E4225" w:rsidRPr="002E4225">
        <w:rPr>
          <w:vertAlign w:val="superscript"/>
        </w:rPr>
        <w:footnoteReference w:id="27"/>
      </w:r>
    </w:p>
    <w:p w14:paraId="4A92934B" w14:textId="349B5458" w:rsidR="002E4225" w:rsidRPr="002E4225" w:rsidRDefault="001B2477" w:rsidP="00A11A60">
      <w:pPr>
        <w:numPr>
          <w:ilvl w:val="0"/>
          <w:numId w:val="7"/>
        </w:numPr>
        <w:spacing w:after="120"/>
        <w:ind w:left="360"/>
        <w:jc w:val="both"/>
      </w:pPr>
      <w:r>
        <w:t xml:space="preserve">Thailand’s </w:t>
      </w:r>
      <w:r w:rsidR="002E4225" w:rsidRPr="002E4225">
        <w:t>State Party Report mention</w:t>
      </w:r>
      <w:r w:rsidR="002F358C">
        <w:t>s</w:t>
      </w:r>
      <w:r w:rsidR="002E4225" w:rsidRPr="002E4225">
        <w:t xml:space="preserve"> that “[a]</w:t>
      </w:r>
      <w:proofErr w:type="spellStart"/>
      <w:r w:rsidR="002E4225" w:rsidRPr="002E4225">
        <w:t>ll</w:t>
      </w:r>
      <w:proofErr w:type="spellEnd"/>
      <w:r w:rsidR="002E4225" w:rsidRPr="002E4225">
        <w:t xml:space="preserve"> actions taken by state officials are subject to judicial review. Only permissible actions, satisfying conditions provided explicitly by the laws, can be justified.”</w:t>
      </w:r>
      <w:r w:rsidR="002E4225" w:rsidRPr="002E4225">
        <w:rPr>
          <w:vertAlign w:val="superscript"/>
        </w:rPr>
        <w:footnoteReference w:id="28"/>
      </w:r>
      <w:r w:rsidR="002E4225" w:rsidRPr="002E4225">
        <w:t xml:space="preserve"> The report </w:t>
      </w:r>
      <w:r w:rsidR="00DF74C8">
        <w:t>asserts</w:t>
      </w:r>
      <w:r w:rsidR="002E4225" w:rsidRPr="002E4225">
        <w:t xml:space="preserve"> that the “1914 Martial Law Act, the 2005 Emergency Decree and the 2008 Internal Security Act do not have the objectives of reinforcing a climate of impunity or granting officials immunity from prosecution. In practice, there have been many cases where officials acting pursuant to these laws were sued in a torture case and ruled to pay compensation to the injured person.”</w:t>
      </w:r>
      <w:r w:rsidR="002E4225" w:rsidRPr="002E4225">
        <w:rPr>
          <w:vertAlign w:val="superscript"/>
        </w:rPr>
        <w:footnoteReference w:id="29"/>
      </w:r>
      <w:r w:rsidR="002E4225" w:rsidRPr="002E4225">
        <w:t xml:space="preserve"> Thailand also mention</w:t>
      </w:r>
      <w:r w:rsidR="00DF74C8">
        <w:t>s</w:t>
      </w:r>
      <w:r w:rsidR="002E4225" w:rsidRPr="002E4225">
        <w:t xml:space="preserve"> that it has punished state officials who commit an act of torture or ill</w:t>
      </w:r>
      <w:r w:rsidR="00732075">
        <w:t>-</w:t>
      </w:r>
      <w:r w:rsidR="002E4225" w:rsidRPr="002E4225">
        <w:t>treatment, such as when “the 8th Regional Appellate Court convicted a prison official for beating a prisoner causing grievous bodily harm. According to its decision no. 499/2552 (2009), the defendant was given a two-year term in prison.”</w:t>
      </w:r>
      <w:r w:rsidR="002E4225" w:rsidRPr="002E4225">
        <w:rPr>
          <w:vertAlign w:val="superscript"/>
        </w:rPr>
        <w:footnoteReference w:id="30"/>
      </w:r>
    </w:p>
    <w:p w14:paraId="74299144" w14:textId="2B96B727" w:rsidR="002E4225" w:rsidRPr="002E4225" w:rsidRDefault="002E4225" w:rsidP="00A11A60">
      <w:pPr>
        <w:numPr>
          <w:ilvl w:val="0"/>
          <w:numId w:val="7"/>
        </w:numPr>
        <w:spacing w:after="120"/>
        <w:ind w:left="360"/>
        <w:jc w:val="both"/>
      </w:pPr>
      <w:r w:rsidRPr="002E4225">
        <w:t xml:space="preserve">Despite these efforts, public officials are still not consistently held accountable for acts of torture. </w:t>
      </w:r>
      <w:r w:rsidR="0033234A">
        <w:t>During the reporting period, t</w:t>
      </w:r>
      <w:r w:rsidRPr="002E4225">
        <w:t>here was still no accountability for the</w:t>
      </w:r>
      <w:r w:rsidR="00884EBC">
        <w:t xml:space="preserve"> 2004</w:t>
      </w:r>
      <w:r w:rsidRPr="002E4225">
        <w:t xml:space="preserve"> deaths of 85 people who were shot or died after being arrested </w:t>
      </w:r>
      <w:r w:rsidR="00912039">
        <w:t xml:space="preserve">subsequent to </w:t>
      </w:r>
      <w:r w:rsidRPr="002E4225">
        <w:t>protests to demand the release of six Malay Muslim men from Tak Bai Police Station in Narathiwat province, one of Thailand’s southern border provinces.</w:t>
      </w:r>
      <w:r w:rsidRPr="002E4225">
        <w:rPr>
          <w:vertAlign w:val="superscript"/>
        </w:rPr>
        <w:footnoteReference w:id="31"/>
      </w:r>
      <w:r w:rsidRPr="002E4225">
        <w:t xml:space="preserve"> The then-government </w:t>
      </w:r>
      <w:r w:rsidR="492A647F">
        <w:t>established</w:t>
      </w:r>
      <w:r w:rsidRPr="002E4225">
        <w:t xml:space="preserve"> an “independent fact-finding committee” to investigate the incident, and the committee found that the use of live ammunition by the authorities was “inappropriate and inconsistent with internationally </w:t>
      </w:r>
      <w:r w:rsidRPr="002E4225">
        <w:lastRenderedPageBreak/>
        <w:t>recognized standards and practices.”</w:t>
      </w:r>
      <w:r w:rsidRPr="002E4225">
        <w:rPr>
          <w:vertAlign w:val="superscript"/>
        </w:rPr>
        <w:footnoteReference w:id="32"/>
      </w:r>
      <w:r w:rsidRPr="002E4225">
        <w:t xml:space="preserve"> Ultimately, only one case relating to the killings and injuries was brought to court</w:t>
      </w:r>
      <w:r w:rsidR="00F12ADC">
        <w:t xml:space="preserve">, and </w:t>
      </w:r>
      <w:r w:rsidR="009C1491">
        <w:t>that case ultimately held security forces “blameless as they were only performing their duties</w:t>
      </w:r>
      <w:r w:rsidRPr="002E4225">
        <w:t>.</w:t>
      </w:r>
      <w:r w:rsidR="009C1491">
        <w:t>”</w:t>
      </w:r>
      <w:r w:rsidRPr="002E4225">
        <w:rPr>
          <w:vertAlign w:val="superscript"/>
        </w:rPr>
        <w:footnoteReference w:id="33"/>
      </w:r>
      <w:r w:rsidR="00865E71">
        <w:t xml:space="preserve"> The statute of limitations will expire on </w:t>
      </w:r>
      <w:r w:rsidR="000A207C">
        <w:t>25 October 2024.</w:t>
      </w:r>
      <w:r w:rsidR="000A207C" w:rsidRPr="002E4225">
        <w:rPr>
          <w:vertAlign w:val="superscript"/>
        </w:rPr>
        <w:footnoteReference w:id="34"/>
      </w:r>
    </w:p>
    <w:p w14:paraId="79B6C28E" w14:textId="6B60FC52" w:rsidR="002E4225" w:rsidRPr="002E4225" w:rsidRDefault="002E4225" w:rsidP="00A11A60">
      <w:pPr>
        <w:numPr>
          <w:ilvl w:val="0"/>
          <w:numId w:val="7"/>
        </w:numPr>
        <w:spacing w:after="120"/>
        <w:ind w:left="360"/>
        <w:jc w:val="both"/>
      </w:pPr>
      <w:r w:rsidRPr="002E4225">
        <w:t>The Prevention and Suppression of Torture and Enforced Disappearance Act</w:t>
      </w:r>
      <w:r w:rsidR="008D6512">
        <w:t xml:space="preserve"> took </w:t>
      </w:r>
      <w:r w:rsidRPr="002E4225">
        <w:t>effect in 2023.</w:t>
      </w:r>
      <w:r w:rsidRPr="002E4225">
        <w:rPr>
          <w:vertAlign w:val="superscript"/>
        </w:rPr>
        <w:footnoteReference w:id="35"/>
      </w:r>
      <w:r w:rsidRPr="002E4225">
        <w:t xml:space="preserve"> While the law is a step forward, there are shortcomings that need to be addressed to guarantee </w:t>
      </w:r>
      <w:r w:rsidR="6EC6ED29">
        <w:t>Thailand’s</w:t>
      </w:r>
      <w:r w:rsidRPr="002E4225">
        <w:t xml:space="preserve"> full compliance with international human rights laws and standards. For example,</w:t>
      </w:r>
      <w:r w:rsidR="004F5000">
        <w:t xml:space="preserve"> the International Commission of Jurists (ICJ) reports t</w:t>
      </w:r>
      <w:r w:rsidR="0005621B">
        <w:t>hat</w:t>
      </w:r>
      <w:r w:rsidRPr="002E4225">
        <w:t xml:space="preserve"> </w:t>
      </w:r>
      <w:r w:rsidR="65F8939E">
        <w:t>the law’s</w:t>
      </w:r>
      <w:r w:rsidR="1E16D999" w:rsidRPr="002E4225">
        <w:t xml:space="preserve"> “</w:t>
      </w:r>
      <w:r w:rsidR="632FC24B">
        <w:t>[d]</w:t>
      </w:r>
      <w:proofErr w:type="spellStart"/>
      <w:r w:rsidR="1E16D999" w:rsidRPr="002E4225">
        <w:t>efinitions</w:t>
      </w:r>
      <w:proofErr w:type="spellEnd"/>
      <w:r w:rsidRPr="002E4225">
        <w:t xml:space="preserve"> of the crimes of torture and enforced disappearance are incomplete or otherwise discordant with international law.”</w:t>
      </w:r>
      <w:r w:rsidRPr="002E4225">
        <w:rPr>
          <w:vertAlign w:val="superscript"/>
        </w:rPr>
        <w:footnoteReference w:id="36"/>
      </w:r>
      <w:r w:rsidRPr="002E4225">
        <w:t xml:space="preserve"> There is also a “lack of representation of victims of torture and enforced disappearance in the composition of the established Committee on the Prevention and Suppression of Torture and Enforced Disappearance.”</w:t>
      </w:r>
      <w:r w:rsidRPr="002E4225">
        <w:rPr>
          <w:vertAlign w:val="superscript"/>
        </w:rPr>
        <w:footnoteReference w:id="37"/>
      </w:r>
    </w:p>
    <w:p w14:paraId="439E863D" w14:textId="360E6278" w:rsidR="002E4225" w:rsidRPr="0051494C" w:rsidRDefault="002E4225" w:rsidP="00A11A60">
      <w:pPr>
        <w:numPr>
          <w:ilvl w:val="0"/>
          <w:numId w:val="7"/>
        </w:numPr>
        <w:spacing w:after="120"/>
        <w:ind w:left="360"/>
        <w:jc w:val="both"/>
      </w:pPr>
      <w:r w:rsidRPr="002E4225">
        <w:t xml:space="preserve">There are also </w:t>
      </w:r>
      <w:r w:rsidR="009D4897">
        <w:t xml:space="preserve">provisions that seem to facilitate official </w:t>
      </w:r>
      <w:r w:rsidRPr="002E4225">
        <w:t xml:space="preserve">torture, ill-treatment, and </w:t>
      </w:r>
      <w:r w:rsidR="6EC12779" w:rsidRPr="002E4225">
        <w:t>enforce</w:t>
      </w:r>
      <w:r w:rsidR="3DB477C8" w:rsidRPr="002E4225">
        <w:t>d</w:t>
      </w:r>
      <w:r w:rsidRPr="002E4225">
        <w:t xml:space="preserve"> disappearances</w:t>
      </w:r>
      <w:r w:rsidR="1E16D999" w:rsidRPr="002E4225">
        <w:t>.</w:t>
      </w:r>
      <w:r w:rsidR="00D8037F">
        <w:t xml:space="preserve"> ICJ explains that</w:t>
      </w:r>
      <w:r w:rsidRPr="002E4225">
        <w:t xml:space="preserve"> “</w:t>
      </w:r>
      <w:r w:rsidR="00D8037F">
        <w:t>[</w:t>
      </w:r>
      <w:proofErr w:type="spellStart"/>
      <w:r w:rsidR="00D8037F">
        <w:t>i</w:t>
      </w:r>
      <w:proofErr w:type="spellEnd"/>
      <w:r w:rsidR="00D8037F">
        <w:t>]</w:t>
      </w:r>
      <w:r w:rsidRPr="002E4225">
        <w:t>n southern border provinces, there are currently three special security laws in force: the Martial Law Act B.E. 2457 (1914), the Decree on Public Administration in Emergency Situations B.E. 2548 (2005), and the Internal Security Act B.E. 2551 (2008).</w:t>
      </w:r>
      <w:r w:rsidR="00C81593">
        <w:t xml:space="preserve"> </w:t>
      </w:r>
      <w:r w:rsidR="00D03829">
        <w:t xml:space="preserve">The </w:t>
      </w:r>
      <w:r w:rsidRPr="002E4225">
        <w:t>Martial Law and the Emergency Decree provide for enlarged executive powers of administrative detention without adequate judicial supervision. When the authorities exercise these powers, they are not required to bring detainees before a court at any stage of their detention.”</w:t>
      </w:r>
      <w:r w:rsidRPr="002E4225">
        <w:rPr>
          <w:vertAlign w:val="superscript"/>
        </w:rPr>
        <w:footnoteReference w:id="38"/>
      </w:r>
      <w:bookmarkEnd w:id="0"/>
    </w:p>
    <w:p w14:paraId="3E6F21DD" w14:textId="1726A0A6" w:rsidR="004B1E4E" w:rsidRDefault="007A3A5D" w:rsidP="00554335">
      <w:pPr>
        <w:pStyle w:val="SectionHeading"/>
        <w:keepNext/>
        <w:numPr>
          <w:ilvl w:val="0"/>
          <w:numId w:val="17"/>
        </w:numPr>
      </w:pPr>
      <w:r>
        <w:lastRenderedPageBreak/>
        <w:t>The criminal legal system fails to provide adequate support and safeguards to w</w:t>
      </w:r>
      <w:r w:rsidR="007F662A">
        <w:t>omen in conflict with the law</w:t>
      </w:r>
      <w:r w:rsidR="00336D8B">
        <w:t xml:space="preserve">, particularly women who </w:t>
      </w:r>
      <w:r w:rsidR="005C5CC1">
        <w:t>are survivors of gender-based violence</w:t>
      </w:r>
      <w:r>
        <w:t xml:space="preserve"> </w:t>
      </w:r>
      <w:r w:rsidR="2B1138E1">
        <w:t>(</w:t>
      </w:r>
      <w:r w:rsidR="39F52649">
        <w:t>LOIPR</w:t>
      </w:r>
      <w:r w:rsidR="2B1138E1">
        <w:t xml:space="preserve"> para</w:t>
      </w:r>
      <w:r w:rsidR="00BE4530">
        <w:t>s</w:t>
      </w:r>
      <w:r w:rsidR="2B1138E1">
        <w:t>. 5(c)</w:t>
      </w:r>
      <w:r w:rsidR="00804E22">
        <w:t>, 9</w:t>
      </w:r>
      <w:r w:rsidR="2B1138E1">
        <w:t>)</w:t>
      </w:r>
      <w:r w:rsidR="00DB3F40">
        <w:t>.</w:t>
      </w:r>
    </w:p>
    <w:p w14:paraId="2D394390" w14:textId="492446F9" w:rsidR="00B104EE" w:rsidRPr="00B104EE" w:rsidRDefault="0370F4D2" w:rsidP="00A11A60">
      <w:pPr>
        <w:numPr>
          <w:ilvl w:val="0"/>
          <w:numId w:val="7"/>
        </w:numPr>
        <w:spacing w:after="120"/>
        <w:ind w:left="360"/>
        <w:jc w:val="both"/>
      </w:pPr>
      <w:bookmarkStart w:id="1" w:name="_Hlk175898723"/>
      <w:r w:rsidRPr="00B104EE">
        <w:t>T</w:t>
      </w:r>
      <w:r w:rsidR="627137DE" w:rsidRPr="00B104EE">
        <w:t>he</w:t>
      </w:r>
      <w:r w:rsidR="00B104EE" w:rsidRPr="00B104EE">
        <w:t xml:space="preserve"> Committee asked for information on any new measures </w:t>
      </w:r>
      <w:r w:rsidR="79EDA2E2">
        <w:t xml:space="preserve">Thailand has </w:t>
      </w:r>
      <w:r w:rsidR="00B104EE" w:rsidRPr="00B104EE">
        <w:t>taken “to ensure that all detainees enjoy, in law and in practice, all legal safeguards from the outset of their deprivation of liberty.”</w:t>
      </w:r>
      <w:r w:rsidR="00B104EE" w:rsidRPr="00B104EE">
        <w:rPr>
          <w:vertAlign w:val="superscript"/>
        </w:rPr>
        <w:footnoteReference w:id="39"/>
      </w:r>
      <w:r w:rsidR="00B104EE" w:rsidRPr="00B104EE">
        <w:t xml:space="preserve"> Specifically, the Committee </w:t>
      </w:r>
      <w:r w:rsidR="741F8AF7">
        <w:t>requested</w:t>
      </w:r>
      <w:r w:rsidR="00B104EE" w:rsidRPr="00B104EE">
        <w:t xml:space="preserve"> information on new measures “to ensure the availability of legal aid.”</w:t>
      </w:r>
      <w:r w:rsidR="00B104EE" w:rsidRPr="00B104EE">
        <w:rPr>
          <w:vertAlign w:val="superscript"/>
        </w:rPr>
        <w:footnoteReference w:id="40"/>
      </w:r>
    </w:p>
    <w:p w14:paraId="79DB648B" w14:textId="52011562" w:rsidR="00B104EE" w:rsidRPr="00B104EE" w:rsidRDefault="00B104EE" w:rsidP="00A11A60">
      <w:pPr>
        <w:numPr>
          <w:ilvl w:val="0"/>
          <w:numId w:val="7"/>
        </w:numPr>
        <w:spacing w:after="120"/>
        <w:ind w:left="360"/>
        <w:jc w:val="both"/>
      </w:pPr>
      <w:r w:rsidRPr="00B104EE">
        <w:t>In its State Party Report, Thailand point</w:t>
      </w:r>
      <w:r w:rsidR="00AC40B2">
        <w:t>s</w:t>
      </w:r>
      <w:r w:rsidRPr="00B104EE">
        <w:t xml:space="preserve"> to the Justice Fund established by the Justice Fund Act B.E. 2558 (2015) “to provide legal aid to individuals, including the accused and those who suffer as a result of the trial process or those whose human rights have been infringed upon, regardless of nationality.”</w:t>
      </w:r>
      <w:r w:rsidRPr="00B104EE">
        <w:rPr>
          <w:vertAlign w:val="superscript"/>
        </w:rPr>
        <w:footnoteReference w:id="41"/>
      </w:r>
      <w:r w:rsidRPr="00B104EE">
        <w:t xml:space="preserve"> The report also describe</w:t>
      </w:r>
      <w:r w:rsidR="004E39DD">
        <w:t>s</w:t>
      </w:r>
      <w:r w:rsidRPr="00B104EE">
        <w:t xml:space="preserve"> how the Justice Fund, “which holds the status of a juristic person by law, covers assistance in terms of bail, retention of lawyers, court fees and other expenses relating to a trial in Thailand.”</w:t>
      </w:r>
      <w:r w:rsidRPr="00B104EE">
        <w:rPr>
          <w:vertAlign w:val="superscript"/>
        </w:rPr>
        <w:footnoteReference w:id="42"/>
      </w:r>
    </w:p>
    <w:p w14:paraId="11350DF8" w14:textId="134C1E48" w:rsidR="00693101" w:rsidRDefault="00255E2C" w:rsidP="001D2EBD">
      <w:pPr>
        <w:pStyle w:val="Paragraph"/>
        <w:ind w:left="360"/>
      </w:pPr>
      <w:r>
        <w:t>As of 2018, Thailand had the highest proportion of women on death row compared to men on death row in Asia, with 18 percent.</w:t>
      </w:r>
      <w:r>
        <w:rPr>
          <w:rStyle w:val="FootnoteReference"/>
        </w:rPr>
        <w:footnoteReference w:id="43"/>
      </w:r>
      <w:r>
        <w:t xml:space="preserve"> This proportion has since decreased to 8.6% as of December of 2023.</w:t>
      </w:r>
      <w:r>
        <w:rPr>
          <w:rStyle w:val="FootnoteReference"/>
        </w:rPr>
        <w:footnoteReference w:id="44"/>
      </w:r>
      <w:r>
        <w:t xml:space="preserve"> </w:t>
      </w:r>
      <w:r w:rsidR="00936CED">
        <w:t>Thailand has executed three women since 1942 but has not executed a woman since 1999.</w:t>
      </w:r>
      <w:r w:rsidR="00936CED">
        <w:rPr>
          <w:rStyle w:val="FootnoteReference"/>
        </w:rPr>
        <w:footnoteReference w:id="45"/>
      </w:r>
      <w:r w:rsidR="00936CED">
        <w:t xml:space="preserve"> </w:t>
      </w:r>
      <w:proofErr w:type="gramStart"/>
      <w:r w:rsidR="001B6401">
        <w:t>A majority of</w:t>
      </w:r>
      <w:proofErr w:type="gramEnd"/>
      <w:r w:rsidR="001B6401">
        <w:t xml:space="preserve"> women on death row in Thailand are indigent and illiterate.</w:t>
      </w:r>
      <w:r w:rsidR="001B6401">
        <w:rPr>
          <w:rStyle w:val="FootnoteReference"/>
        </w:rPr>
        <w:footnoteReference w:id="46"/>
      </w:r>
      <w:r w:rsidR="00C81593">
        <w:t xml:space="preserve"> </w:t>
      </w:r>
    </w:p>
    <w:p w14:paraId="7129AE07" w14:textId="2AC32869" w:rsidR="00936CED" w:rsidRDefault="00936CED" w:rsidP="00936CED">
      <w:pPr>
        <w:pStyle w:val="Paragraph"/>
        <w:ind w:left="360"/>
      </w:pPr>
      <w:r>
        <w:t>In Thailand, women are disproportionately sentenced to death for drug-related offenses.</w:t>
      </w:r>
      <w:r w:rsidRPr="0B938F6C">
        <w:rPr>
          <w:rStyle w:val="FootnoteReference"/>
        </w:rPr>
        <w:footnoteReference w:id="47"/>
      </w:r>
      <w:r>
        <w:t xml:space="preserve"> Of the 325 people on death row in December 2023, 199 people were sentenced for drug-related offenses.</w:t>
      </w:r>
      <w:r>
        <w:rPr>
          <w:rStyle w:val="FootnoteReference"/>
        </w:rPr>
        <w:footnoteReference w:id="48"/>
      </w:r>
      <w:r w:rsidR="00C81593">
        <w:t xml:space="preserve"> </w:t>
      </w:r>
      <w:r>
        <w:t xml:space="preserve">93% of the women on death row were sentenced to death for drug-related offenses, whereas only 58% of men on death row in Thailand were sentenced to death for drug-related </w:t>
      </w:r>
      <w:r>
        <w:lastRenderedPageBreak/>
        <w:t>offenses.</w:t>
      </w:r>
      <w:r>
        <w:rPr>
          <w:rStyle w:val="FootnoteReference"/>
        </w:rPr>
        <w:footnoteReference w:id="49"/>
      </w:r>
      <w:r>
        <w:t xml:space="preserve"> A 2021 study showed that the majority of women in Thailand “on death row for drug offenses are low-level offenders without criminal histories and are less likely than men to have a criminal record.”</w:t>
      </w:r>
      <w:r>
        <w:rPr>
          <w:rStyle w:val="FootnoteReference"/>
        </w:rPr>
        <w:footnoteReference w:id="50"/>
      </w:r>
    </w:p>
    <w:p w14:paraId="6C034873" w14:textId="1CBFF1CC" w:rsidR="00A11A60" w:rsidRDefault="00B104EE" w:rsidP="008512DE">
      <w:pPr>
        <w:numPr>
          <w:ilvl w:val="0"/>
          <w:numId w:val="7"/>
        </w:numPr>
        <w:spacing w:after="120"/>
        <w:ind w:left="360"/>
        <w:jc w:val="both"/>
      </w:pPr>
      <w:r w:rsidRPr="00B104EE">
        <w:t xml:space="preserve">Despite </w:t>
      </w:r>
      <w:r w:rsidR="006F412D">
        <w:t>Thailand’s efforts to provide legal aid</w:t>
      </w:r>
      <w:r w:rsidR="00255E2C">
        <w:t xml:space="preserve"> to people charged with capital crimes</w:t>
      </w:r>
      <w:r w:rsidRPr="00B104EE">
        <w:t xml:space="preserve">, the availability of legal aid remains an issue. </w:t>
      </w:r>
      <w:r w:rsidR="27DFE976" w:rsidRPr="00B104EE">
        <w:t xml:space="preserve">A </w:t>
      </w:r>
      <w:r w:rsidR="00132C91">
        <w:t xml:space="preserve">2021 study by the </w:t>
      </w:r>
      <w:r w:rsidR="27DFE976" w:rsidRPr="00B104EE">
        <w:t xml:space="preserve">Cornell Center </w:t>
      </w:r>
      <w:r w:rsidR="00132C91">
        <w:t>on the Death Penalty Worldwide</w:t>
      </w:r>
      <w:r w:rsidR="27DFE976" w:rsidRPr="00B104EE">
        <w:t xml:space="preserve"> </w:t>
      </w:r>
      <w:r w:rsidR="00132C91">
        <w:t xml:space="preserve">found </w:t>
      </w:r>
      <w:r w:rsidR="27DFE976" w:rsidRPr="00B104EE">
        <w:t xml:space="preserve">that court-appointed lawyers “are under-resourced, receiving only about 8,000-50,000 baht (about USD $250-$1,600) to defend a capital case. Their lack of resources hinders their ability to </w:t>
      </w:r>
      <w:r w:rsidR="00780DEE">
        <w:t xml:space="preserve">effectively represent their </w:t>
      </w:r>
      <w:r w:rsidR="56C8F1A3">
        <w:t>clients</w:t>
      </w:r>
      <w:r w:rsidR="00780DEE">
        <w:t xml:space="preserve">, including </w:t>
      </w:r>
      <w:r w:rsidR="00B52FB9" w:rsidRPr="00B104EE">
        <w:t>investigat</w:t>
      </w:r>
      <w:r w:rsidR="00B52FB9">
        <w:t>ing</w:t>
      </w:r>
      <w:r w:rsidR="00B52FB9" w:rsidRPr="00B104EE">
        <w:t xml:space="preserve"> </w:t>
      </w:r>
      <w:r w:rsidR="27DFE976" w:rsidRPr="00B104EE">
        <w:t>and present</w:t>
      </w:r>
      <w:r w:rsidR="00B52FB9">
        <w:t>ing</w:t>
      </w:r>
      <w:r w:rsidR="27DFE976" w:rsidRPr="00B104EE">
        <w:t xml:space="preserve"> applicable mitigating circumstances.”</w:t>
      </w:r>
      <w:r w:rsidRPr="00B104EE">
        <w:rPr>
          <w:vertAlign w:val="superscript"/>
        </w:rPr>
        <w:footnoteReference w:id="51"/>
      </w:r>
      <w:r w:rsidR="27DFE976" w:rsidRPr="00B104EE">
        <w:t xml:space="preserve"> According to the Cornell Center, women in Thailand commonly perceive that legal aid providers lack gender sensitivity.</w:t>
      </w:r>
      <w:r w:rsidRPr="00B104EE">
        <w:rPr>
          <w:vertAlign w:val="superscript"/>
        </w:rPr>
        <w:footnoteReference w:id="52"/>
      </w:r>
      <w:r w:rsidR="27DFE976" w:rsidRPr="00B104EE">
        <w:t xml:space="preserve"> Legal aid lawyers in Thailand reportedly are less likely than their private peers to engage in good practices such as arguing in favor of pre-trial release and advising the client privately before she comes into contact with justice officials.</w:t>
      </w:r>
      <w:r w:rsidRPr="00B104EE">
        <w:rPr>
          <w:vertAlign w:val="superscript"/>
        </w:rPr>
        <w:footnoteReference w:id="53"/>
      </w:r>
    </w:p>
    <w:p w14:paraId="63F63E52" w14:textId="7B48582D" w:rsidR="00274618" w:rsidRDefault="00274618" w:rsidP="00274618">
      <w:pPr>
        <w:pStyle w:val="Paragraph"/>
        <w:ind w:left="360"/>
      </w:pPr>
      <w:r>
        <w:t>The Committee also requested that Thailand “provide information on measures taken to combat all forms of violence against women, particularly with regard to cases that involve the actions and omissions of State authorities[.]”</w:t>
      </w:r>
      <w:r>
        <w:rPr>
          <w:rStyle w:val="FootnoteReference"/>
        </w:rPr>
        <w:footnoteReference w:id="54"/>
      </w:r>
    </w:p>
    <w:p w14:paraId="78C1C918" w14:textId="56AF5D0D" w:rsidR="00274618" w:rsidRDefault="00274618" w:rsidP="00274618">
      <w:pPr>
        <w:pStyle w:val="Paragraph"/>
        <w:ind w:left="360"/>
      </w:pPr>
      <w:r>
        <w:t xml:space="preserve">Thailand </w:t>
      </w:r>
      <w:r w:rsidR="00123EDB">
        <w:t xml:space="preserve">provides in response </w:t>
      </w:r>
      <w:r>
        <w:t xml:space="preserve">domestic violence complaint data from </w:t>
      </w:r>
      <w:r w:rsidR="00123EDB">
        <w:t xml:space="preserve">the </w:t>
      </w:r>
      <w:r>
        <w:t xml:space="preserve">Ministry of Social Development and Human Security, the number of domestic violence complaints the Office of the Attorney General prosecuted, and </w:t>
      </w:r>
      <w:r w:rsidR="00EA2C63">
        <w:t xml:space="preserve">a discussion of </w:t>
      </w:r>
      <w:r>
        <w:t>changes to expand the Act on the Promotion of the Development and Protection of the Family Institution.</w:t>
      </w:r>
      <w:r w:rsidRPr="0B938F6C">
        <w:rPr>
          <w:rStyle w:val="FootnoteReference"/>
        </w:rPr>
        <w:footnoteReference w:id="55"/>
      </w:r>
      <w:r>
        <w:t xml:space="preserve"> </w:t>
      </w:r>
    </w:p>
    <w:p w14:paraId="3FC35383" w14:textId="4A4ADB24" w:rsidR="00274618" w:rsidRDefault="00591EA7" w:rsidP="00274618">
      <w:pPr>
        <w:pStyle w:val="Paragraph"/>
        <w:ind w:left="360"/>
      </w:pPr>
      <w:r>
        <w:t>One study showed that 22% of Thai women incarcerated for drug offenses reported that they had experienced domestic violence.</w:t>
      </w:r>
      <w:r>
        <w:rPr>
          <w:rStyle w:val="FootnoteReference"/>
        </w:rPr>
        <w:footnoteReference w:id="56"/>
      </w:r>
      <w:r>
        <w:t xml:space="preserve"> </w:t>
      </w:r>
      <w:r w:rsidR="00274618">
        <w:t xml:space="preserve">The majority of women committing drug offenses in </w:t>
      </w:r>
      <w:r w:rsidR="00274618">
        <w:lastRenderedPageBreak/>
        <w:t>Thailand do so through the pathway of “economic familial provisioning.”</w:t>
      </w:r>
      <w:r w:rsidR="00274618">
        <w:rPr>
          <w:rStyle w:val="FootnoteReference"/>
        </w:rPr>
        <w:footnoteReference w:id="57"/>
      </w:r>
      <w:r w:rsidR="00274618">
        <w:t xml:space="preserve"> One study showed a common pattern toward committing drug offenses to which Thai women are particularly susceptible: poor educational opportunities and employment prospects and expectation to support parents and dependents.</w:t>
      </w:r>
      <w:r w:rsidR="00274618">
        <w:rPr>
          <w:rStyle w:val="FootnoteReference"/>
        </w:rPr>
        <w:footnoteReference w:id="58"/>
      </w:r>
      <w:r w:rsidR="00274618">
        <w:t xml:space="preserve"> Many women in such circumstances </w:t>
      </w:r>
      <w:r w:rsidR="001E0E9F">
        <w:t xml:space="preserve">live in </w:t>
      </w:r>
      <w:r w:rsidR="00274618">
        <w:t>financially precarious circumstances, and they come to transport drugs at the suggestion of friends or acquaintances who are aware of th</w:t>
      </w:r>
      <w:r w:rsidR="00BE78B6">
        <w:t xml:space="preserve">ose </w:t>
      </w:r>
      <w:r w:rsidR="00274618">
        <w:t>circumstances.</w:t>
      </w:r>
      <w:r w:rsidR="00274618">
        <w:rPr>
          <w:rStyle w:val="FootnoteReference"/>
        </w:rPr>
        <w:footnoteReference w:id="59"/>
      </w:r>
      <w:r w:rsidR="00274618">
        <w:t xml:space="preserve"> Many women see a job transporting drugs “as a solution to the pressing problem of how to support their families.”</w:t>
      </w:r>
      <w:r w:rsidR="00274618">
        <w:rPr>
          <w:rStyle w:val="FootnoteReference"/>
        </w:rPr>
        <w:footnoteReference w:id="60"/>
      </w:r>
      <w:r w:rsidR="00274618">
        <w:t xml:space="preserve"> Women incarcerated for trafficking drugs have “reported that they were manipulated into trafficking drugs by their romantic partners.”</w:t>
      </w:r>
      <w:r w:rsidR="00274618">
        <w:rPr>
          <w:rStyle w:val="FootnoteReference"/>
        </w:rPr>
        <w:footnoteReference w:id="61"/>
      </w:r>
      <w:r w:rsidR="00274618">
        <w:t xml:space="preserve"> </w:t>
      </w:r>
    </w:p>
    <w:p w14:paraId="5C04A02A" w14:textId="3CE59E21" w:rsidR="00274618" w:rsidRDefault="00887E2D" w:rsidP="00DB589D">
      <w:pPr>
        <w:numPr>
          <w:ilvl w:val="0"/>
          <w:numId w:val="7"/>
        </w:numPr>
        <w:spacing w:after="120"/>
        <w:ind w:left="360"/>
        <w:jc w:val="both"/>
      </w:pPr>
      <w:r>
        <w:t>T</w:t>
      </w:r>
      <w:r w:rsidRPr="00B104EE">
        <w:t xml:space="preserve">he Thai legal system creates barriers to sentencing authorities considering the multitude of gender-related factors that may be relevant to determining a </w:t>
      </w:r>
      <w:r>
        <w:t>person</w:t>
      </w:r>
      <w:r w:rsidRPr="00B104EE">
        <w:t>’s level of culpability and an appropriate penalty.</w:t>
      </w:r>
      <w:r w:rsidRPr="00B104EE">
        <w:rPr>
          <w:vertAlign w:val="superscript"/>
        </w:rPr>
        <w:footnoteReference w:id="62"/>
      </w:r>
      <w:r w:rsidRPr="00B104EE">
        <w:t xml:space="preserve"> Thai judges may consider only “the mitigating factors enumerated in confidential mandatory-sentencing guidelines, which do not include mitigating factors such as poverty, caregiving responsibilities, or a history of gender-based violence.”</w:t>
      </w:r>
      <w:r w:rsidRPr="00B104EE">
        <w:rPr>
          <w:vertAlign w:val="superscript"/>
        </w:rPr>
        <w:footnoteReference w:id="63"/>
      </w:r>
      <w:r w:rsidRPr="00B104EE">
        <w:t xml:space="preserve"> Those confidential mandatory-sentencing guidelines, called the </w:t>
      </w:r>
      <w:proofErr w:type="spellStart"/>
      <w:r w:rsidRPr="00887E2D">
        <w:rPr>
          <w:i/>
          <w:iCs/>
        </w:rPr>
        <w:t>yee-tok</w:t>
      </w:r>
      <w:proofErr w:type="spellEnd"/>
      <w:r w:rsidRPr="00B104EE">
        <w:t xml:space="preserve">, are unique to each court and </w:t>
      </w:r>
      <w:r w:rsidRPr="00B104EE">
        <w:lastRenderedPageBreak/>
        <w:t>accessible only by judges.</w:t>
      </w:r>
      <w:r w:rsidRPr="00B104EE">
        <w:rPr>
          <w:vertAlign w:val="superscript"/>
        </w:rPr>
        <w:footnoteReference w:id="64"/>
      </w:r>
      <w:r w:rsidRPr="00B104EE">
        <w:t xml:space="preserve"> Appellate courts “strictly enforce the prohibition against [considering] non-enumerated mitigating factors.”</w:t>
      </w:r>
      <w:r w:rsidRPr="00B104EE">
        <w:rPr>
          <w:vertAlign w:val="superscript"/>
        </w:rPr>
        <w:footnoteReference w:id="65"/>
      </w:r>
    </w:p>
    <w:p w14:paraId="32938C14" w14:textId="35B2510C" w:rsidR="00283FBA" w:rsidRDefault="0018450C" w:rsidP="006C7897">
      <w:pPr>
        <w:pStyle w:val="Paragraph"/>
        <w:ind w:left="360"/>
      </w:pPr>
      <w:r>
        <w:t>Moreover, t</w:t>
      </w:r>
      <w:r w:rsidR="00DF29AB">
        <w:t xml:space="preserve">he criminal legal system </w:t>
      </w:r>
      <w:r w:rsidR="003B4F94">
        <w:t xml:space="preserve">strips people charged with </w:t>
      </w:r>
      <w:r w:rsidR="005005E9">
        <w:t xml:space="preserve">capital </w:t>
      </w:r>
      <w:r w:rsidR="003B4F94">
        <w:t xml:space="preserve">drug-related offenses of the presumption of innocence. </w:t>
      </w:r>
      <w:r w:rsidR="00283FBA">
        <w:t>To avoid the death penalty for the capital crime of producing or distributing category one drugs, defendants have been required in practice to rebut a presumption “that defendants in possession of more than a statutory amount of category one drugs intended to distribute them” by proving “beyond a reasonable doubt that they did not intend to distribute the drugs.”</w:t>
      </w:r>
      <w:r w:rsidR="00283FBA">
        <w:rPr>
          <w:rStyle w:val="FootnoteReference"/>
        </w:rPr>
        <w:footnoteReference w:id="66"/>
      </w:r>
    </w:p>
    <w:bookmarkEnd w:id="1"/>
    <w:p w14:paraId="53F06C3E" w14:textId="3C3DD66A" w:rsidR="004B1E4E" w:rsidRPr="004B1E4E" w:rsidRDefault="00F132C4" w:rsidP="20E2B3CC">
      <w:pPr>
        <w:pStyle w:val="SectionHeading"/>
        <w:numPr>
          <w:ilvl w:val="0"/>
          <w:numId w:val="17"/>
        </w:numPr>
      </w:pPr>
      <w:r>
        <w:t>Safeguard</w:t>
      </w:r>
      <w:r w:rsidR="00C6339B">
        <w:t>s</w:t>
      </w:r>
      <w:r>
        <w:t xml:space="preserve"> against </w:t>
      </w:r>
      <w:r w:rsidR="00C6339B">
        <w:t>t</w:t>
      </w:r>
      <w:r>
        <w:t xml:space="preserve">orture after </w:t>
      </w:r>
      <w:r w:rsidR="00C6339B">
        <w:t>a</w:t>
      </w:r>
      <w:r>
        <w:t xml:space="preserve">rrest </w:t>
      </w:r>
      <w:r w:rsidR="00C6339B">
        <w:t xml:space="preserve">are inadequate </w:t>
      </w:r>
      <w:r>
        <w:t>(</w:t>
      </w:r>
      <w:r w:rsidR="002352D6">
        <w:t>LOIPR para</w:t>
      </w:r>
      <w:r w:rsidR="00CD41C3">
        <w:t>. 6)</w:t>
      </w:r>
      <w:r w:rsidR="00C6339B">
        <w:t>.</w:t>
      </w:r>
    </w:p>
    <w:p w14:paraId="6958C15E" w14:textId="7A975206" w:rsidR="43A6186D" w:rsidRDefault="12F85D9B" w:rsidP="00792090">
      <w:pPr>
        <w:pStyle w:val="Paragraph"/>
        <w:spacing w:line="259" w:lineRule="auto"/>
        <w:ind w:left="360"/>
        <w:rPr>
          <w:vertAlign w:val="superscript"/>
        </w:rPr>
      </w:pPr>
      <w:r w:rsidRPr="3B0F447B">
        <w:t>T</w:t>
      </w:r>
      <w:r w:rsidR="4D4EE4BA" w:rsidRPr="3B0F447B">
        <w:t xml:space="preserve">he Committee </w:t>
      </w:r>
      <w:r w:rsidR="1446D37F">
        <w:t>requested</w:t>
      </w:r>
      <w:r w:rsidR="214C787A" w:rsidRPr="3B0F447B">
        <w:t xml:space="preserve"> data on the prevalence of the practice, authorized under orders Nos. 3/2558 (2015) and 13/2559 (2016) of the National Council for Peace and Order (the “NCPO” and such orders, the “NCPO Orders”), </w:t>
      </w:r>
      <w:r w:rsidR="3D10180B" w:rsidRPr="3B0F447B">
        <w:t>“</w:t>
      </w:r>
      <w:r w:rsidR="214C787A" w:rsidRPr="3B0F447B">
        <w:t xml:space="preserve">by which military officers are permitted to detain civilians </w:t>
      </w:r>
      <w:r w:rsidR="15F7DE29" w:rsidRPr="3B0F447B">
        <w:t>. . .</w:t>
      </w:r>
      <w:r w:rsidR="4D4EE4BA" w:rsidRPr="3B0F447B">
        <w:t xml:space="preserve"> </w:t>
      </w:r>
      <w:r w:rsidR="214C787A" w:rsidRPr="3B0F447B">
        <w:t xml:space="preserve">in unofficial places of detention and other locations, including military facilities, on suspicion of having committed a wide range of </w:t>
      </w:r>
      <w:r w:rsidR="4D4EE4BA" w:rsidRPr="3B0F447B">
        <w:t>offen</w:t>
      </w:r>
      <w:r w:rsidR="284D0103" w:rsidRPr="3B0F447B">
        <w:t>c</w:t>
      </w:r>
      <w:r w:rsidR="4D4EE4BA" w:rsidRPr="3B0F447B">
        <w:t>es.</w:t>
      </w:r>
      <w:r w:rsidR="060AE8CD" w:rsidRPr="3B0F447B">
        <w:t>”</w:t>
      </w:r>
      <w:r w:rsidR="43A6186D" w:rsidRPr="3B0F447B">
        <w:rPr>
          <w:rStyle w:val="FootnoteReference"/>
        </w:rPr>
        <w:footnoteReference w:id="67"/>
      </w:r>
      <w:r w:rsidR="214C787A" w:rsidRPr="3B0F447B">
        <w:t xml:space="preserve"> The Committee also asked whether </w:t>
      </w:r>
      <w:r w:rsidR="337A4157">
        <w:t>Thailand</w:t>
      </w:r>
      <w:r w:rsidR="214C787A" w:rsidRPr="3B0F447B">
        <w:t xml:space="preserve"> has taken measures to ensure that civilians are detained </w:t>
      </w:r>
      <w:r w:rsidR="00E736A6">
        <w:t xml:space="preserve">only </w:t>
      </w:r>
      <w:r w:rsidR="214C787A" w:rsidRPr="3B0F447B">
        <w:t>at official places of detention and to detail “any measures adopted to provide fundamental legal safeguards against torture, from the outset of their deprivation of liberty,” to persons detained pursuant to the NCPO Orders.</w:t>
      </w:r>
      <w:r w:rsidR="43A6186D" w:rsidRPr="3B0F447B">
        <w:rPr>
          <w:rStyle w:val="FootnoteReference"/>
        </w:rPr>
        <w:footnoteReference w:id="68"/>
      </w:r>
    </w:p>
    <w:p w14:paraId="4958A235" w14:textId="2415E340" w:rsidR="75FDC58D" w:rsidRDefault="11674FA0" w:rsidP="00792090">
      <w:pPr>
        <w:pStyle w:val="Paragraph"/>
        <w:spacing w:after="0"/>
        <w:ind w:left="360"/>
      </w:pPr>
      <w:r>
        <w:t>Responding in its State Party Report, Thailand state</w:t>
      </w:r>
      <w:r w:rsidR="00E736A6">
        <w:t>s</w:t>
      </w:r>
      <w:r>
        <w:t xml:space="preserve"> that the power to detain civilians under the NCPO Orders is temporary and the result of political unrest in the country.</w:t>
      </w:r>
      <w:r w:rsidR="75FDC58D" w:rsidRPr="3B0F447B">
        <w:rPr>
          <w:rStyle w:val="FootnoteReference"/>
        </w:rPr>
        <w:footnoteReference w:id="69"/>
      </w:r>
      <w:r>
        <w:t xml:space="preserve"> </w:t>
      </w:r>
      <w:r w:rsidR="7BE3B46D">
        <w:t>Thailand</w:t>
      </w:r>
      <w:r>
        <w:t xml:space="preserve"> asserts that officials must adhere to strict conditions when detaining civilians, including that the detention must be carried out in an official location which is not a police station, a detention center, or a prison.</w:t>
      </w:r>
      <w:r w:rsidR="75FDC58D" w:rsidRPr="3B0F447B">
        <w:rPr>
          <w:rStyle w:val="FootnoteReference"/>
        </w:rPr>
        <w:footnoteReference w:id="70"/>
      </w:r>
      <w:r>
        <w:t xml:space="preserve"> Thailand also stated that measures are facilitated to “ensure that the rights of the detainees are respected,” including regular visits by a family member.</w:t>
      </w:r>
      <w:r w:rsidR="75FDC58D" w:rsidRPr="3B0F447B">
        <w:rPr>
          <w:rStyle w:val="FootnoteReference"/>
        </w:rPr>
        <w:footnoteReference w:id="71"/>
      </w:r>
    </w:p>
    <w:p w14:paraId="74171569" w14:textId="1F5ACB5E" w:rsidR="007B2088" w:rsidRDefault="477CFE94" w:rsidP="007B2088">
      <w:pPr>
        <w:pStyle w:val="Paragraph"/>
        <w:spacing w:before="120"/>
        <w:ind w:left="360"/>
      </w:pPr>
      <w:r>
        <w:lastRenderedPageBreak/>
        <w:t xml:space="preserve">Torture has long been a problem in Thailand. During the five years of NCPO military rule after the 2014 coup, </w:t>
      </w:r>
      <w:r w:rsidR="18424E8E">
        <w:t>“</w:t>
      </w:r>
      <w:r>
        <w:t>many people taken into incommunicado military custody alleged that they were tortured or otherwise ill-treated</w:t>
      </w:r>
      <w:r w:rsidR="007958CA">
        <w:t>”</w:t>
      </w:r>
      <w:r>
        <w:t xml:space="preserve"> while </w:t>
      </w:r>
      <w:r w:rsidR="007958CA">
        <w:t xml:space="preserve">soldiers </w:t>
      </w:r>
      <w:r>
        <w:t xml:space="preserve">detained and interrogated </w:t>
      </w:r>
      <w:r w:rsidR="007958CA">
        <w:t>them</w:t>
      </w:r>
      <w:r w:rsidR="4D261FE2">
        <w:t>.</w:t>
      </w:r>
      <w:r w:rsidR="558CA028" w:rsidRPr="3B0F447B">
        <w:rPr>
          <w:rStyle w:val="FootnoteReference"/>
        </w:rPr>
        <w:footnoteReference w:id="72"/>
      </w:r>
      <w:r w:rsidR="00927862">
        <w:t xml:space="preserve"> </w:t>
      </w:r>
      <w:r>
        <w:t>Human Rights Watch has called for Thailand to investigate the alleged torture of Bilal Mohammed, a suspect in a deadly bomb attack in Bangkok’s commercial district in 2015.</w:t>
      </w:r>
      <w:r w:rsidR="558CA028" w:rsidRPr="3B0F447B">
        <w:rPr>
          <w:rStyle w:val="FootnoteReference"/>
        </w:rPr>
        <w:footnoteReference w:id="73"/>
      </w:r>
      <w:r>
        <w:t xml:space="preserve"> Mohammed </w:t>
      </w:r>
      <w:r w:rsidR="2C462335" w:rsidRPr="0B938F6C">
        <w:t>“</w:t>
      </w:r>
      <w:r>
        <w:t>has denied charges of murder or involvement in the attack, retracting an earlier confession that his lawyer said was a result of torture</w:t>
      </w:r>
      <w:r w:rsidR="6E8A8E63">
        <w:t>.</w:t>
      </w:r>
      <w:r w:rsidR="4353F4BE" w:rsidRPr="0B938F6C">
        <w:t>”</w:t>
      </w:r>
      <w:r w:rsidR="558CA028" w:rsidRPr="3B0F447B">
        <w:rPr>
          <w:rStyle w:val="FootnoteReference"/>
        </w:rPr>
        <w:footnoteReference w:id="74"/>
      </w:r>
      <w:r>
        <w:t xml:space="preserve"> </w:t>
      </w:r>
      <w:r w:rsidR="005A0F10">
        <w:t xml:space="preserve">The International Federation for Human Rights (FIDH) reports that </w:t>
      </w:r>
      <w:r>
        <w:t xml:space="preserve">Mohammed has </w:t>
      </w:r>
      <w:r w:rsidR="4E718106">
        <w:t>“</w:t>
      </w:r>
      <w:r>
        <w:t>been detained inside the 11th Army Circle military base in Bangkok for over eight years</w:t>
      </w:r>
      <w:r w:rsidR="6E8A8E63">
        <w:t>.</w:t>
      </w:r>
      <w:r w:rsidR="24385AB6" w:rsidRPr="0B938F6C">
        <w:t>”</w:t>
      </w:r>
      <w:r w:rsidRPr="0B938F6C">
        <w:rPr>
          <w:rStyle w:val="FootnoteReference"/>
        </w:rPr>
        <w:footnoteReference w:id="75"/>
      </w:r>
      <w:r>
        <w:t xml:space="preserve"> In 2023, </w:t>
      </w:r>
      <w:r w:rsidR="00B731DA">
        <w:t xml:space="preserve">FIDH </w:t>
      </w:r>
      <w:r>
        <w:t xml:space="preserve">called on the Thai </w:t>
      </w:r>
      <w:r w:rsidR="00B731DA">
        <w:t>G</w:t>
      </w:r>
      <w:r>
        <w:t>overnment to take immediate steps to ensure Mohammed is afforded due process and fair trial rights, including the right to humane treatment and protection against torture and ill-treatment while in detention.</w:t>
      </w:r>
      <w:r w:rsidR="558CA028" w:rsidRPr="3B0F447B">
        <w:rPr>
          <w:rStyle w:val="FootnoteReference"/>
        </w:rPr>
        <w:footnoteReference w:id="76"/>
      </w:r>
    </w:p>
    <w:p w14:paraId="767D3616" w14:textId="64E77289" w:rsidR="007B2088" w:rsidRDefault="00A5702A" w:rsidP="0B938F6C">
      <w:pPr>
        <w:pStyle w:val="Paragraph"/>
        <w:spacing w:before="120" w:line="259" w:lineRule="auto"/>
        <w:ind w:left="360"/>
      </w:pPr>
      <w:r>
        <w:t>T</w:t>
      </w:r>
      <w:r w:rsidR="7E3107B2" w:rsidRPr="3B0F447B">
        <w:t>he</w:t>
      </w:r>
      <w:r w:rsidR="09822C2F" w:rsidRPr="3B0F447B">
        <w:t xml:space="preserve"> Act on the Prevention and Suppression of Torture and Enforced Disappearances</w:t>
      </w:r>
      <w:r>
        <w:t xml:space="preserve"> is facially inadequate to address torture and implementation has fallen short</w:t>
      </w:r>
      <w:r w:rsidR="09822C2F" w:rsidRPr="3B0F447B">
        <w:t>.</w:t>
      </w:r>
      <w:r w:rsidR="34DB8723" w:rsidRPr="3B0F447B">
        <w:rPr>
          <w:rStyle w:val="FootnoteReference"/>
        </w:rPr>
        <w:footnoteReference w:id="77"/>
      </w:r>
      <w:r w:rsidR="0148FBA8" w:rsidRPr="3B0F447B">
        <w:t xml:space="preserve"> </w:t>
      </w:r>
      <w:r w:rsidR="09822C2F" w:rsidRPr="3B0F447B">
        <w:t xml:space="preserve">Amnesty International has expressed concern that the law </w:t>
      </w:r>
      <w:r w:rsidR="7643702E" w:rsidRPr="0B938F6C">
        <w:t xml:space="preserve">does not “include provisions which would make </w:t>
      </w:r>
      <w:r w:rsidR="09822C2F" w:rsidRPr="3B0F447B">
        <w:t xml:space="preserve">statements </w:t>
      </w:r>
      <w:r w:rsidR="7643702E" w:rsidRPr="0B938F6C">
        <w:t>obtained by</w:t>
      </w:r>
      <w:r w:rsidR="09822C2F" w:rsidRPr="3B0F447B">
        <w:t xml:space="preserve"> torture or </w:t>
      </w:r>
      <w:r w:rsidR="7643702E" w:rsidRPr="0B938F6C">
        <w:t>during enforced disappearance</w:t>
      </w:r>
      <w:r w:rsidR="09822C2F" w:rsidRPr="3B0F447B">
        <w:t xml:space="preserve"> inadmissible </w:t>
      </w:r>
      <w:r w:rsidR="7643702E" w:rsidRPr="0B938F6C">
        <w:t xml:space="preserve">as evidence </w:t>
      </w:r>
      <w:r w:rsidR="09822C2F" w:rsidRPr="3B0F447B">
        <w:t xml:space="preserve">in </w:t>
      </w:r>
      <w:r w:rsidR="7643702E" w:rsidRPr="0B938F6C">
        <w:t>legal proceedings.”</w:t>
      </w:r>
      <w:r w:rsidR="34DB8723" w:rsidRPr="3B0F447B">
        <w:rPr>
          <w:rStyle w:val="FootnoteReference"/>
        </w:rPr>
        <w:footnoteReference w:id="78"/>
      </w:r>
      <w:r w:rsidR="09822C2F" w:rsidRPr="3B0F447B">
        <w:t xml:space="preserve"> Moreover, the </w:t>
      </w:r>
      <w:r w:rsidR="00EF2557">
        <w:t xml:space="preserve">ICJ </w:t>
      </w:r>
      <w:r w:rsidR="09822C2F" w:rsidRPr="3B0F447B">
        <w:t>has stated that this legislation has fallen short in its implementation</w:t>
      </w:r>
      <w:r w:rsidR="1808F1D4" w:rsidRPr="3B0F447B">
        <w:t>:</w:t>
      </w:r>
      <w:r w:rsidR="09822C2F" w:rsidRPr="3B0F447B">
        <w:t xml:space="preserve"> As of November 2023, nine months after the adoption of the Act, civil society organizations have reported 57 complaints pertaining to 27 separate instances of torture, 24 allegations of ill-treatment, and 6 of enforced disappearances.</w:t>
      </w:r>
      <w:r w:rsidR="34DB8723" w:rsidRPr="3B0F447B">
        <w:rPr>
          <w:rStyle w:val="FootnoteReference"/>
        </w:rPr>
        <w:footnoteReference w:id="79"/>
      </w:r>
      <w:r w:rsidR="00C81593">
        <w:t xml:space="preserve"> </w:t>
      </w:r>
      <w:r w:rsidR="6FF1CC5D" w:rsidRPr="0B938F6C">
        <w:t xml:space="preserve">Thailand has adopted a </w:t>
      </w:r>
      <w:r w:rsidR="09822C2F" w:rsidRPr="3B0F447B">
        <w:t>Convention regulation</w:t>
      </w:r>
      <w:r w:rsidR="7E3107B2" w:rsidRPr="3B0F447B">
        <w:t xml:space="preserve"> </w:t>
      </w:r>
      <w:r w:rsidR="2BAEE74C" w:rsidRPr="3B0F447B">
        <w:t>governing</w:t>
      </w:r>
      <w:r w:rsidR="09822C2F" w:rsidRPr="3B0F447B">
        <w:t xml:space="preserve"> the use of audio and video recordings to minimize the use of torture or ill-treatment during arrests or whilst in custody.</w:t>
      </w:r>
      <w:r w:rsidR="09822C2F" w:rsidRPr="0B938F6C">
        <w:rPr>
          <w:rStyle w:val="FootnoteReference"/>
        </w:rPr>
        <w:footnoteReference w:id="80"/>
      </w:r>
      <w:r w:rsidR="09822C2F" w:rsidRPr="3B0F447B">
        <w:t xml:space="preserve"> </w:t>
      </w:r>
      <w:r w:rsidR="00EF2557">
        <w:t>Nonetheless</w:t>
      </w:r>
      <w:r w:rsidR="09822C2F" w:rsidRPr="3B0F447B">
        <w:t xml:space="preserve">, civil society </w:t>
      </w:r>
      <w:r w:rsidR="09822C2F" w:rsidRPr="3B0F447B">
        <w:lastRenderedPageBreak/>
        <w:t xml:space="preserve">organizations have </w:t>
      </w:r>
      <w:r w:rsidR="36F97523" w:rsidRPr="3B0F447B">
        <w:t>reported</w:t>
      </w:r>
      <w:r w:rsidR="09822C2F" w:rsidRPr="3B0F447B">
        <w:t xml:space="preserve"> law enforcement officers conducting arrests without any recordings </w:t>
      </w:r>
      <w:r w:rsidR="00EF2557">
        <w:t>and</w:t>
      </w:r>
      <w:r w:rsidR="09822C2F" w:rsidRPr="3B0F447B">
        <w:t xml:space="preserve"> pressing individuals for their consent to delete recordings.</w:t>
      </w:r>
      <w:r w:rsidR="34DB8723" w:rsidRPr="3B0F447B">
        <w:rPr>
          <w:rStyle w:val="FootnoteReference"/>
        </w:rPr>
        <w:footnoteReference w:id="81"/>
      </w:r>
    </w:p>
    <w:p w14:paraId="6144B805" w14:textId="7D8F4819" w:rsidR="3B0F447B" w:rsidRDefault="09822C2F" w:rsidP="008117C0">
      <w:pPr>
        <w:pStyle w:val="Paragraph"/>
        <w:spacing w:before="120"/>
        <w:ind w:left="360"/>
      </w:pPr>
      <w:r w:rsidRPr="3B0F447B">
        <w:t>There have been reports of police abuse and extortion of incarcerated persons, generally with impunity. Few complaints alleging police abuse have resulted in punishment of alleged offenders, and there have been numerous examples of investigations into alleged security force abuses lasting years without resolution.</w:t>
      </w:r>
      <w:r w:rsidR="34DB8723" w:rsidRPr="3B0F447B">
        <w:rPr>
          <w:rStyle w:val="FootnoteReference"/>
        </w:rPr>
        <w:footnoteReference w:id="82"/>
      </w:r>
      <w:r w:rsidRPr="3B0F447B">
        <w:t xml:space="preserve"> Representatives of nongovernmental organizations and legal entities have </w:t>
      </w:r>
      <w:r w:rsidR="26A613F0" w:rsidRPr="0B938F6C">
        <w:rPr>
          <w:rStyle w:val="ParagraphChar"/>
        </w:rPr>
        <w:t>“</w:t>
      </w:r>
      <w:r w:rsidRPr="3B0F447B">
        <w:t>reported police and military officers sometimes tortured and beat suspects to obtain confessions, and newspapers reported numerous cases of citizens accusing police and other security officers of brutality</w:t>
      </w:r>
      <w:r w:rsidR="7E3107B2" w:rsidRPr="3B0F447B">
        <w:t>.</w:t>
      </w:r>
      <w:r w:rsidR="571B9EE1" w:rsidRPr="0B938F6C">
        <w:rPr>
          <w:rStyle w:val="ParagraphChar"/>
        </w:rPr>
        <w:t>”</w:t>
      </w:r>
      <w:r w:rsidR="34DB8723" w:rsidRPr="3B0F447B">
        <w:rPr>
          <w:rStyle w:val="FootnoteReference"/>
        </w:rPr>
        <w:footnoteReference w:id="83"/>
      </w:r>
    </w:p>
    <w:p w14:paraId="43B36416" w14:textId="49FB31FC" w:rsidR="00BB4733" w:rsidRDefault="000D3D91" w:rsidP="007B2088">
      <w:pPr>
        <w:pStyle w:val="SectionHeading"/>
        <w:numPr>
          <w:ilvl w:val="0"/>
          <w:numId w:val="17"/>
        </w:numPr>
      </w:pPr>
      <w:r>
        <w:t>N</w:t>
      </w:r>
      <w:r w:rsidR="004D7F7A">
        <w:t xml:space="preserve">ational and </w:t>
      </w:r>
      <w:r w:rsidR="006E063D">
        <w:t>i</w:t>
      </w:r>
      <w:r w:rsidR="004D7F7A">
        <w:t xml:space="preserve">nternational </w:t>
      </w:r>
      <w:r w:rsidR="006E063D">
        <w:t>m</w:t>
      </w:r>
      <w:r w:rsidR="004D7F7A">
        <w:t xml:space="preserve">onitoring </w:t>
      </w:r>
      <w:r w:rsidR="006E063D">
        <w:t>o</w:t>
      </w:r>
      <w:r w:rsidR="004D7F7A">
        <w:t>rganizations</w:t>
      </w:r>
      <w:r w:rsidR="009C2B50">
        <w:t xml:space="preserve"> </w:t>
      </w:r>
      <w:r w:rsidR="006E063D">
        <w:t xml:space="preserve">have inadequate access to places of detention where people are under sentence of death </w:t>
      </w:r>
      <w:r w:rsidR="00481E82">
        <w:t>(</w:t>
      </w:r>
      <w:r w:rsidR="00F30DE1">
        <w:t xml:space="preserve">LOIPR </w:t>
      </w:r>
      <w:r w:rsidR="00481E82">
        <w:t>para</w:t>
      </w:r>
      <w:r w:rsidR="00B57A12">
        <w:t>s</w:t>
      </w:r>
      <w:r w:rsidR="00481E82">
        <w:t>. 8</w:t>
      </w:r>
      <w:r w:rsidR="00B57A12">
        <w:t>, 22</w:t>
      </w:r>
      <w:r w:rsidR="00481E82">
        <w:t>)</w:t>
      </w:r>
      <w:r w:rsidR="006E063D">
        <w:t>.</w:t>
      </w:r>
    </w:p>
    <w:p w14:paraId="3548CB79" w14:textId="38A92347" w:rsidR="00DA564D" w:rsidRPr="007A23AF" w:rsidRDefault="000871CB" w:rsidP="002B46E0">
      <w:pPr>
        <w:pStyle w:val="Paragraph"/>
        <w:ind w:left="360"/>
      </w:pPr>
      <w:r>
        <w:t xml:space="preserve">The </w:t>
      </w:r>
      <w:r w:rsidR="23E62BE3">
        <w:t>Commi</w:t>
      </w:r>
      <w:r w:rsidR="02D2F72A">
        <w:t>ttee</w:t>
      </w:r>
      <w:r>
        <w:t xml:space="preserve"> requested </w:t>
      </w:r>
      <w:r w:rsidR="009C5F1D">
        <w:t xml:space="preserve">information regarding </w:t>
      </w:r>
      <w:r w:rsidR="005D2226">
        <w:t xml:space="preserve">measures taken to ensure that that National Human Rights Commission </w:t>
      </w:r>
      <w:r w:rsidR="39409C62">
        <w:t>“</w:t>
      </w:r>
      <w:r w:rsidR="00AD7EFF">
        <w:t>is empowered to access all places of detention</w:t>
      </w:r>
      <w:r w:rsidR="7065EA43">
        <w:t>[</w:t>
      </w:r>
      <w:r w:rsidR="537BC917">
        <w:t>.</w:t>
      </w:r>
      <w:r w:rsidR="7065EA43">
        <w:t>]</w:t>
      </w:r>
      <w:r w:rsidR="20242E2B">
        <w:t>”</w:t>
      </w:r>
      <w:r w:rsidR="007054A8">
        <w:rPr>
          <w:rStyle w:val="FootnoteReference"/>
        </w:rPr>
        <w:footnoteReference w:id="84"/>
      </w:r>
      <w:r w:rsidR="00FD3C56">
        <w:t xml:space="preserve"> </w:t>
      </w:r>
      <w:r w:rsidR="0028511E">
        <w:t xml:space="preserve">The </w:t>
      </w:r>
      <w:r w:rsidR="22BBEE9B">
        <w:t>Commi</w:t>
      </w:r>
      <w:r w:rsidR="514EC719">
        <w:t>ttee</w:t>
      </w:r>
      <w:r w:rsidR="0028511E">
        <w:t xml:space="preserve"> also requested </w:t>
      </w:r>
      <w:r w:rsidR="000C4E2F">
        <w:t xml:space="preserve">data on the Commission and national and international monitoring </w:t>
      </w:r>
      <w:r w:rsidR="00DA564D">
        <w:t>organizations’ visits to places of detention</w:t>
      </w:r>
      <w:r w:rsidR="00F53BF9">
        <w:t>.</w:t>
      </w:r>
      <w:r w:rsidR="007054A8">
        <w:rPr>
          <w:rStyle w:val="FootnoteReference"/>
        </w:rPr>
        <w:footnoteReference w:id="85"/>
      </w:r>
      <w:r w:rsidR="0027467A">
        <w:t xml:space="preserve"> Specifically, the </w:t>
      </w:r>
      <w:r w:rsidR="725848EA">
        <w:t>Commi</w:t>
      </w:r>
      <w:r w:rsidR="2DDA2BF1">
        <w:t>ttee</w:t>
      </w:r>
      <w:r w:rsidR="0027467A">
        <w:t xml:space="preserve"> </w:t>
      </w:r>
      <w:r w:rsidR="00F853FA">
        <w:t xml:space="preserve">asked whether these organizations have access to all places of detention without prior notice and whether Thailand </w:t>
      </w:r>
      <w:r w:rsidR="00F1361B">
        <w:t xml:space="preserve">has taken measures </w:t>
      </w:r>
      <w:r w:rsidR="0BD879B0">
        <w:t>“</w:t>
      </w:r>
      <w:r w:rsidR="00F1361B">
        <w:t>to establish an independent and systematic monitoring system at the national level for all detention facilities</w:t>
      </w:r>
      <w:r w:rsidR="7982B200">
        <w:t>.</w:t>
      </w:r>
      <w:r w:rsidR="1E4E151B">
        <w:t>”</w:t>
      </w:r>
      <w:r w:rsidR="007054A8">
        <w:rPr>
          <w:rStyle w:val="FootnoteReference"/>
        </w:rPr>
        <w:footnoteReference w:id="86"/>
      </w:r>
    </w:p>
    <w:p w14:paraId="00470C35" w14:textId="5867E8C8" w:rsidR="00FA75D7" w:rsidRDefault="004C1A61" w:rsidP="002B46E0">
      <w:pPr>
        <w:pStyle w:val="Paragraph"/>
        <w:ind w:left="360"/>
        <w:rPr>
          <w:rStyle w:val="ParagraphChar"/>
        </w:rPr>
      </w:pPr>
      <w:r>
        <w:rPr>
          <w:rStyle w:val="ParagraphChar"/>
        </w:rPr>
        <w:t xml:space="preserve">Thailand </w:t>
      </w:r>
      <w:r w:rsidR="00011143">
        <w:rPr>
          <w:rStyle w:val="ParagraphChar"/>
        </w:rPr>
        <w:t xml:space="preserve">states </w:t>
      </w:r>
      <w:r>
        <w:rPr>
          <w:rStyle w:val="ParagraphChar"/>
        </w:rPr>
        <w:t xml:space="preserve">that the </w:t>
      </w:r>
      <w:r w:rsidR="00011143">
        <w:rPr>
          <w:rStyle w:val="ParagraphChar"/>
        </w:rPr>
        <w:t xml:space="preserve">2017 Organic Act authorizes the </w:t>
      </w:r>
      <w:r w:rsidR="00F03BFB">
        <w:rPr>
          <w:rStyle w:val="ParagraphChar"/>
        </w:rPr>
        <w:t xml:space="preserve">Commission </w:t>
      </w:r>
      <w:r w:rsidR="00B5068C">
        <w:rPr>
          <w:rStyle w:val="ParagraphChar"/>
        </w:rPr>
        <w:t xml:space="preserve">“to enter into any public dwelling or other premises including </w:t>
      </w:r>
      <w:r w:rsidR="47411DE1">
        <w:rPr>
          <w:rStyle w:val="ParagraphChar"/>
        </w:rPr>
        <w:t>in</w:t>
      </w:r>
      <w:r w:rsidR="16DAE3CB">
        <w:rPr>
          <w:rStyle w:val="ParagraphChar"/>
        </w:rPr>
        <w:t xml:space="preserve"> </w:t>
      </w:r>
      <w:r w:rsidR="00B5068C">
        <w:rPr>
          <w:rStyle w:val="ParagraphChar"/>
        </w:rPr>
        <w:t xml:space="preserve">places of detention to monitor or collect evidence concerning </w:t>
      </w:r>
      <w:r w:rsidR="00C85A0B">
        <w:rPr>
          <w:rStyle w:val="ParagraphChar"/>
        </w:rPr>
        <w:t>cases.”</w:t>
      </w:r>
      <w:r w:rsidR="00C85A0B">
        <w:rPr>
          <w:rStyle w:val="FootnoteReference"/>
        </w:rPr>
        <w:footnoteReference w:id="87"/>
      </w:r>
      <w:r w:rsidR="000E2702">
        <w:rPr>
          <w:rStyle w:val="ParagraphChar"/>
        </w:rPr>
        <w:t xml:space="preserve"> Thailand also </w:t>
      </w:r>
      <w:r w:rsidR="00CF6EA1">
        <w:rPr>
          <w:rStyle w:val="ParagraphChar"/>
        </w:rPr>
        <w:t xml:space="preserve">states </w:t>
      </w:r>
      <w:r w:rsidR="000E2702">
        <w:rPr>
          <w:rStyle w:val="ParagraphChar"/>
        </w:rPr>
        <w:t xml:space="preserve">that </w:t>
      </w:r>
      <w:r w:rsidR="00AC4851">
        <w:rPr>
          <w:rStyle w:val="ParagraphChar"/>
        </w:rPr>
        <w:t xml:space="preserve">the Department of Corrections allows individuals, organizations, and diplomatic and consular staff to </w:t>
      </w:r>
      <w:r w:rsidR="001E645C">
        <w:rPr>
          <w:rStyle w:val="ParagraphChar"/>
        </w:rPr>
        <w:t>visit and contact incarcerated people,</w:t>
      </w:r>
      <w:r w:rsidR="0076749E">
        <w:rPr>
          <w:rStyle w:val="ParagraphChar"/>
        </w:rPr>
        <w:t xml:space="preserve"> </w:t>
      </w:r>
      <w:r w:rsidR="001E645C">
        <w:rPr>
          <w:rStyle w:val="ParagraphChar"/>
        </w:rPr>
        <w:t xml:space="preserve">that the Commission and the </w:t>
      </w:r>
      <w:r w:rsidR="001A4E96">
        <w:rPr>
          <w:rStyle w:val="ParagraphChar"/>
        </w:rPr>
        <w:t xml:space="preserve">Ombudsman </w:t>
      </w:r>
      <w:r w:rsidR="00192F4E">
        <w:rPr>
          <w:rStyle w:val="ParagraphChar"/>
        </w:rPr>
        <w:t xml:space="preserve">report “no significant impediment that would hinder their access to locations </w:t>
      </w:r>
      <w:r w:rsidR="00123B60">
        <w:rPr>
          <w:rStyle w:val="ParagraphChar"/>
        </w:rPr>
        <w:t>used for detention</w:t>
      </w:r>
      <w:r w:rsidR="004123F2">
        <w:rPr>
          <w:rStyle w:val="ParagraphChar"/>
        </w:rPr>
        <w:t>,</w:t>
      </w:r>
      <w:r w:rsidR="00123B60">
        <w:rPr>
          <w:rStyle w:val="ParagraphChar"/>
        </w:rPr>
        <w:t xml:space="preserve">” and </w:t>
      </w:r>
      <w:r w:rsidR="00FC5D79">
        <w:rPr>
          <w:rStyle w:val="ParagraphChar"/>
        </w:rPr>
        <w:t xml:space="preserve">that the </w:t>
      </w:r>
      <w:r w:rsidR="00CF6EA1">
        <w:rPr>
          <w:rStyle w:val="ParagraphChar"/>
        </w:rPr>
        <w:t xml:space="preserve">Commission </w:t>
      </w:r>
      <w:r w:rsidR="00FC5D79">
        <w:rPr>
          <w:rStyle w:val="ParagraphChar"/>
        </w:rPr>
        <w:t xml:space="preserve">and </w:t>
      </w:r>
      <w:r w:rsidR="5A10564E">
        <w:rPr>
          <w:rStyle w:val="ParagraphChar"/>
        </w:rPr>
        <w:t>Ombudsm</w:t>
      </w:r>
      <w:r w:rsidR="004123F2">
        <w:rPr>
          <w:rStyle w:val="ParagraphChar"/>
        </w:rPr>
        <w:t>a</w:t>
      </w:r>
      <w:r w:rsidR="5A10564E">
        <w:rPr>
          <w:rStyle w:val="ParagraphChar"/>
        </w:rPr>
        <w:t>n</w:t>
      </w:r>
      <w:r w:rsidR="00FC5D79">
        <w:rPr>
          <w:rStyle w:val="ParagraphChar"/>
        </w:rPr>
        <w:t xml:space="preserve"> need not inform t</w:t>
      </w:r>
      <w:r w:rsidR="00125F46">
        <w:rPr>
          <w:rStyle w:val="ParagraphChar"/>
        </w:rPr>
        <w:t>he Department of Corrections of their visit</w:t>
      </w:r>
      <w:r w:rsidR="008D2564">
        <w:rPr>
          <w:rStyle w:val="ParagraphChar"/>
        </w:rPr>
        <w:t>s</w:t>
      </w:r>
      <w:r w:rsidR="00125F46">
        <w:rPr>
          <w:rStyle w:val="ParagraphChar"/>
        </w:rPr>
        <w:t xml:space="preserve"> in advance.</w:t>
      </w:r>
      <w:r w:rsidR="00125F46">
        <w:rPr>
          <w:rStyle w:val="FootnoteReference"/>
        </w:rPr>
        <w:footnoteReference w:id="88"/>
      </w:r>
    </w:p>
    <w:p w14:paraId="6EF37728" w14:textId="66EA2AD0" w:rsidR="002B46E0" w:rsidRDefault="0076749E" w:rsidP="002B46E0">
      <w:pPr>
        <w:pStyle w:val="Paragraph"/>
        <w:ind w:left="360"/>
        <w:rPr>
          <w:rStyle w:val="ParagraphChar"/>
        </w:rPr>
      </w:pPr>
      <w:r>
        <w:rPr>
          <w:rStyle w:val="ParagraphChar"/>
        </w:rPr>
        <w:lastRenderedPageBreak/>
        <w:t>C</w:t>
      </w:r>
      <w:r w:rsidR="7684EA61">
        <w:rPr>
          <w:rStyle w:val="ParagraphChar"/>
        </w:rPr>
        <w:t>ivil society organizations</w:t>
      </w:r>
      <w:r>
        <w:rPr>
          <w:rStyle w:val="ParagraphChar"/>
        </w:rPr>
        <w:t xml:space="preserve"> report that the </w:t>
      </w:r>
      <w:r w:rsidR="7684EA61">
        <w:rPr>
          <w:rStyle w:val="ParagraphChar"/>
        </w:rPr>
        <w:t>Department of Corrections has granted the Commission access</w:t>
      </w:r>
      <w:r w:rsidR="0641AF84">
        <w:rPr>
          <w:rStyle w:val="ParagraphChar"/>
        </w:rPr>
        <w:t xml:space="preserve"> “to prisons to assess conditions and interview inmates.”</w:t>
      </w:r>
      <w:r w:rsidR="00FC0D53">
        <w:rPr>
          <w:rStyle w:val="FootnoteReference"/>
        </w:rPr>
        <w:footnoteReference w:id="89"/>
      </w:r>
      <w:r w:rsidR="0641AF84">
        <w:rPr>
          <w:rStyle w:val="ParagraphChar"/>
        </w:rPr>
        <w:t xml:space="preserve"> </w:t>
      </w:r>
      <w:r w:rsidR="262F4919">
        <w:rPr>
          <w:rStyle w:val="ParagraphChar"/>
        </w:rPr>
        <w:t xml:space="preserve">In 2023, </w:t>
      </w:r>
      <w:r w:rsidR="004138F5">
        <w:rPr>
          <w:rStyle w:val="ParagraphChar"/>
        </w:rPr>
        <w:t xml:space="preserve">the </w:t>
      </w:r>
      <w:r w:rsidR="262F4919">
        <w:rPr>
          <w:rStyle w:val="ParagraphChar"/>
        </w:rPr>
        <w:t xml:space="preserve">Department of Corrections granted access to </w:t>
      </w:r>
      <w:r w:rsidR="5966AD6D">
        <w:rPr>
          <w:rStyle w:val="ParagraphChar"/>
        </w:rPr>
        <w:t xml:space="preserve">the </w:t>
      </w:r>
      <w:r w:rsidR="004138F5">
        <w:rPr>
          <w:rStyle w:val="ParagraphChar"/>
        </w:rPr>
        <w:t>Commission</w:t>
      </w:r>
      <w:r w:rsidR="1435B6E6">
        <w:rPr>
          <w:rStyle w:val="ParagraphChar"/>
        </w:rPr>
        <w:t>,</w:t>
      </w:r>
      <w:r w:rsidR="5B061EEA">
        <w:rPr>
          <w:rStyle w:val="ParagraphChar"/>
        </w:rPr>
        <w:t xml:space="preserve"> </w:t>
      </w:r>
      <w:r w:rsidR="00F56A01">
        <w:rPr>
          <w:rStyle w:val="ParagraphChar"/>
        </w:rPr>
        <w:t xml:space="preserve">the </w:t>
      </w:r>
      <w:r w:rsidR="5B061EEA">
        <w:rPr>
          <w:rStyle w:val="ParagraphChar"/>
        </w:rPr>
        <w:t>House of Representatives</w:t>
      </w:r>
      <w:r w:rsidR="00F56A01">
        <w:rPr>
          <w:rStyle w:val="ParagraphChar"/>
        </w:rPr>
        <w:t>’</w:t>
      </w:r>
      <w:r w:rsidR="5B061EEA">
        <w:rPr>
          <w:rStyle w:val="ParagraphChar"/>
        </w:rPr>
        <w:t xml:space="preserve"> Committee on Legal Affairs, Justice, and Human Rights</w:t>
      </w:r>
      <w:r w:rsidR="233D9579">
        <w:rPr>
          <w:rStyle w:val="ParagraphChar"/>
        </w:rPr>
        <w:t xml:space="preserve">, representatives from the governments of </w:t>
      </w:r>
      <w:r w:rsidR="00F56A01">
        <w:rPr>
          <w:rStyle w:val="ParagraphChar"/>
        </w:rPr>
        <w:t xml:space="preserve">Japan, </w:t>
      </w:r>
      <w:r w:rsidR="233D9579">
        <w:rPr>
          <w:rStyle w:val="ParagraphChar"/>
        </w:rPr>
        <w:t xml:space="preserve">Qatar, </w:t>
      </w:r>
      <w:r w:rsidR="56276C64">
        <w:rPr>
          <w:rStyle w:val="ParagraphChar"/>
        </w:rPr>
        <w:t xml:space="preserve">and the United Kingdom, and </w:t>
      </w:r>
      <w:r w:rsidR="67E1ABB2">
        <w:rPr>
          <w:rStyle w:val="ParagraphChar"/>
        </w:rPr>
        <w:t>representatives of the Thailand Institute of Justice and the Thai Oil Public Company.</w:t>
      </w:r>
      <w:r w:rsidR="009B2C74">
        <w:rPr>
          <w:rStyle w:val="FootnoteReference"/>
        </w:rPr>
        <w:footnoteReference w:id="90"/>
      </w:r>
    </w:p>
    <w:p w14:paraId="2F2C1AC5" w14:textId="636CE796" w:rsidR="002B46E0" w:rsidRDefault="7EFBC582" w:rsidP="002B46E0">
      <w:pPr>
        <w:pStyle w:val="Paragraph"/>
        <w:ind w:left="360"/>
        <w:rPr>
          <w:rStyle w:val="ParagraphChar"/>
        </w:rPr>
      </w:pPr>
      <w:r>
        <w:rPr>
          <w:rStyle w:val="ParagraphChar"/>
        </w:rPr>
        <w:t xml:space="preserve">Yet civil society organizations </w:t>
      </w:r>
      <w:r w:rsidR="75D42BBD">
        <w:rPr>
          <w:rStyle w:val="ParagraphChar"/>
        </w:rPr>
        <w:t xml:space="preserve">and independent human rights groups </w:t>
      </w:r>
      <w:r>
        <w:rPr>
          <w:rStyle w:val="ParagraphChar"/>
        </w:rPr>
        <w:t xml:space="preserve">report that their </w:t>
      </w:r>
      <w:r w:rsidR="04203111">
        <w:rPr>
          <w:rStyle w:val="ParagraphChar"/>
        </w:rPr>
        <w:t xml:space="preserve">access to prisons </w:t>
      </w:r>
      <w:r w:rsidR="729B5534">
        <w:rPr>
          <w:rStyle w:val="ParagraphChar"/>
        </w:rPr>
        <w:t>“</w:t>
      </w:r>
      <w:r w:rsidR="022ED6FA">
        <w:rPr>
          <w:rStyle w:val="ParagraphChar"/>
        </w:rPr>
        <w:t>to monitor detention conditions continued to be arbitrarily restricted.”</w:t>
      </w:r>
      <w:r w:rsidR="00B31D12">
        <w:rPr>
          <w:rStyle w:val="FootnoteReference"/>
        </w:rPr>
        <w:footnoteReference w:id="91"/>
      </w:r>
      <w:r w:rsidR="1DDB7FC9">
        <w:rPr>
          <w:rStyle w:val="ParagraphChar"/>
        </w:rPr>
        <w:t xml:space="preserve"> For example, the </w:t>
      </w:r>
      <w:r w:rsidR="5E2A7B52">
        <w:rPr>
          <w:rStyle w:val="ParagraphChar"/>
        </w:rPr>
        <w:t xml:space="preserve">Department of Corrections </w:t>
      </w:r>
      <w:r w:rsidR="50D2171C">
        <w:rPr>
          <w:rStyle w:val="ParagraphChar"/>
        </w:rPr>
        <w:t xml:space="preserve">denied </w:t>
      </w:r>
      <w:r w:rsidR="00191CF6">
        <w:rPr>
          <w:rStyle w:val="ParagraphChar"/>
        </w:rPr>
        <w:t xml:space="preserve">FIDH </w:t>
      </w:r>
      <w:r w:rsidR="33EE834C">
        <w:rPr>
          <w:rStyle w:val="ParagraphChar"/>
        </w:rPr>
        <w:t xml:space="preserve">and the Union for Civil Liberty </w:t>
      </w:r>
      <w:r w:rsidR="4FEA73CC">
        <w:rPr>
          <w:rStyle w:val="ParagraphChar"/>
        </w:rPr>
        <w:t>access to prisons “across the country to assess conditions and conduct</w:t>
      </w:r>
      <w:r w:rsidR="449DB2B0">
        <w:rPr>
          <w:rStyle w:val="ParagraphChar"/>
        </w:rPr>
        <w:t xml:space="preserve"> interviews with inmates for the research” of their annual prison report.</w:t>
      </w:r>
      <w:r w:rsidR="00E21BAE">
        <w:rPr>
          <w:rStyle w:val="FootnoteReference"/>
        </w:rPr>
        <w:footnoteReference w:id="92"/>
      </w:r>
      <w:r w:rsidR="690FC79B">
        <w:rPr>
          <w:rStyle w:val="ParagraphChar"/>
        </w:rPr>
        <w:t xml:space="preserve"> </w:t>
      </w:r>
      <w:r w:rsidR="00FA3477">
        <w:rPr>
          <w:rStyle w:val="ParagraphChar"/>
        </w:rPr>
        <w:t xml:space="preserve">In denying access, the </w:t>
      </w:r>
      <w:r w:rsidR="690FC79B">
        <w:rPr>
          <w:rStyle w:val="ParagraphChar"/>
        </w:rPr>
        <w:t>Department of Corrections cited the “high number of inmates” and “security measures in prisons and correctional institutions that require great precaution</w:t>
      </w:r>
      <w:r w:rsidR="005640AA">
        <w:rPr>
          <w:rStyle w:val="ParagraphChar"/>
        </w:rPr>
        <w:t>.</w:t>
      </w:r>
      <w:r w:rsidR="690FC79B">
        <w:rPr>
          <w:rStyle w:val="ParagraphChar"/>
        </w:rPr>
        <w:t>”</w:t>
      </w:r>
      <w:r w:rsidR="006C0C84">
        <w:rPr>
          <w:rStyle w:val="FootnoteReference"/>
        </w:rPr>
        <w:footnoteReference w:id="93"/>
      </w:r>
    </w:p>
    <w:p w14:paraId="7E333BF0" w14:textId="081693FD" w:rsidR="0057196C" w:rsidRDefault="2FDF182C" w:rsidP="002B46E0">
      <w:pPr>
        <w:pStyle w:val="Paragraph"/>
        <w:ind w:left="360"/>
        <w:rPr>
          <w:rStyle w:val="ParagraphChar"/>
        </w:rPr>
      </w:pPr>
      <w:r>
        <w:rPr>
          <w:rStyle w:val="ParagraphChar"/>
        </w:rPr>
        <w:t xml:space="preserve">Likewise, </w:t>
      </w:r>
      <w:r w:rsidR="005640AA">
        <w:rPr>
          <w:rStyle w:val="ParagraphChar"/>
        </w:rPr>
        <w:t xml:space="preserve">authorities denied </w:t>
      </w:r>
      <w:r>
        <w:rPr>
          <w:rStyle w:val="ParagraphChar"/>
        </w:rPr>
        <w:t xml:space="preserve">Amnesty International access to the Bangkok Remand Prison and the Central Women’s Correctional Institution “to assess </w:t>
      </w:r>
      <w:r w:rsidR="76B17EDC">
        <w:rPr>
          <w:rStyle w:val="ParagraphChar"/>
        </w:rPr>
        <w:t xml:space="preserve">the </w:t>
      </w:r>
      <w:r>
        <w:rPr>
          <w:rStyle w:val="ParagraphChar"/>
        </w:rPr>
        <w:t>detention conditions and treatment of political prisoners in these facilities.”</w:t>
      </w:r>
      <w:r w:rsidR="0057196C">
        <w:rPr>
          <w:rStyle w:val="FootnoteReference"/>
        </w:rPr>
        <w:footnoteReference w:id="94"/>
      </w:r>
      <w:r w:rsidR="75D42BBD">
        <w:rPr>
          <w:rStyle w:val="ParagraphChar"/>
        </w:rPr>
        <w:t xml:space="preserve"> The Department of Corrections rejected the request in November of 2023, citing </w:t>
      </w:r>
      <w:r w:rsidR="4954CFE2">
        <w:rPr>
          <w:rStyle w:val="ParagraphChar"/>
        </w:rPr>
        <w:t>COVID-19 concerns.</w:t>
      </w:r>
      <w:r w:rsidR="00531E86">
        <w:rPr>
          <w:rStyle w:val="FootnoteReference"/>
        </w:rPr>
        <w:footnoteReference w:id="95"/>
      </w:r>
    </w:p>
    <w:p w14:paraId="2A13A4B9" w14:textId="0EE27BA1" w:rsidR="002E3E46" w:rsidRDefault="002E3E46" w:rsidP="00677834">
      <w:pPr>
        <w:pStyle w:val="SectionHeading"/>
        <w:numPr>
          <w:ilvl w:val="0"/>
          <w:numId w:val="17"/>
        </w:numPr>
      </w:pPr>
      <w:r>
        <w:t xml:space="preserve">Detention </w:t>
      </w:r>
      <w:r w:rsidR="00783CF7">
        <w:t>c</w:t>
      </w:r>
      <w:r>
        <w:t>onditions</w:t>
      </w:r>
      <w:r w:rsidR="00783CF7">
        <w:t xml:space="preserve"> do not respect international human rights standards, including for women under sentence of death</w:t>
      </w:r>
      <w:r>
        <w:t xml:space="preserve"> (LOIPR para</w:t>
      </w:r>
      <w:r w:rsidR="00A43C81">
        <w:t>s</w:t>
      </w:r>
      <w:r>
        <w:t>. 16–18)</w:t>
      </w:r>
      <w:r w:rsidR="00783CF7">
        <w:t>.</w:t>
      </w:r>
    </w:p>
    <w:p w14:paraId="234D75E3" w14:textId="778C5040" w:rsidR="6C4299A3" w:rsidRDefault="641A88AF" w:rsidP="00792090">
      <w:pPr>
        <w:pStyle w:val="Paragraph"/>
        <w:ind w:left="360"/>
        <w:rPr>
          <w:vertAlign w:val="superscript"/>
        </w:rPr>
      </w:pPr>
      <w:r w:rsidRPr="3B0F447B">
        <w:t>T</w:t>
      </w:r>
      <w:r w:rsidR="76A25A17" w:rsidRPr="3B0F447B">
        <w:t xml:space="preserve">he Committee asked </w:t>
      </w:r>
      <w:r w:rsidR="6D87FD37" w:rsidRPr="3B0F447B">
        <w:t>Thailand</w:t>
      </w:r>
      <w:r w:rsidR="51412D33" w:rsidRPr="3B0F447B">
        <w:t xml:space="preserve"> to provide information on its practices relating to issues addressed in the amended Penitentiary Act, including the practice of solitary confinement.</w:t>
      </w:r>
      <w:r w:rsidR="6C4299A3" w:rsidRPr="3B0F447B">
        <w:rPr>
          <w:rStyle w:val="FootnoteReference"/>
        </w:rPr>
        <w:footnoteReference w:id="96"/>
      </w:r>
      <w:r w:rsidR="51412D33" w:rsidRPr="3B0F447B">
        <w:t xml:space="preserve"> The Committee asked </w:t>
      </w:r>
      <w:r w:rsidR="28DAAF2F" w:rsidRPr="3B0F447B">
        <w:t>Thailand</w:t>
      </w:r>
      <w:r w:rsidR="51412D33" w:rsidRPr="3B0F447B">
        <w:t xml:space="preserve"> to describe “measures taken to reduce</w:t>
      </w:r>
      <w:r w:rsidR="76A25A17" w:rsidRPr="3B0F447B">
        <w:t xml:space="preserve"> </w:t>
      </w:r>
      <w:r w:rsidR="173199E3" w:rsidRPr="3B0F447B">
        <w:t>prison</w:t>
      </w:r>
      <w:r w:rsidR="51412D33" w:rsidRPr="3B0F447B">
        <w:t xml:space="preserve"> overcrowding” and “measures taken to address concerns about insufficient food and potable water, poor sanitation and deficiencies in access to appropriate health care in places of detention.”</w:t>
      </w:r>
      <w:r w:rsidR="6C4299A3" w:rsidRPr="3B0F447B">
        <w:rPr>
          <w:rStyle w:val="FootnoteReference"/>
        </w:rPr>
        <w:footnoteReference w:id="97"/>
      </w:r>
      <w:r w:rsidR="51412D33" w:rsidRPr="3B0F447B">
        <w:t xml:space="preserve"> The Committee also asked for information regarding efforts to meet the special needs of women in detention, especially pregnant women with children, “including whether measures have been </w:t>
      </w:r>
      <w:r w:rsidR="51412D33" w:rsidRPr="3B0F447B">
        <w:lastRenderedPageBreak/>
        <w:t>taken to address concerns regarding invasive body searches performed on women in prison.”</w:t>
      </w:r>
      <w:r w:rsidR="6C4299A3" w:rsidRPr="3B0F447B">
        <w:rPr>
          <w:rStyle w:val="FootnoteReference"/>
        </w:rPr>
        <w:footnoteReference w:id="98"/>
      </w:r>
      <w:r w:rsidR="51412D33" w:rsidRPr="3B0F447B">
        <w:t xml:space="preserve"> Further, the Committee asked for statistical data on the number of pretrial detainees and incarcerated persons and the occupancy rate of all places of detention.</w:t>
      </w:r>
      <w:r w:rsidR="6C4299A3" w:rsidRPr="3B0F447B">
        <w:rPr>
          <w:rStyle w:val="FootnoteReference"/>
        </w:rPr>
        <w:footnoteReference w:id="99"/>
      </w:r>
    </w:p>
    <w:p w14:paraId="720EE49A" w14:textId="2710C1D2" w:rsidR="002B46E0" w:rsidRDefault="0314D16C" w:rsidP="0B938F6C">
      <w:pPr>
        <w:pStyle w:val="Paragraph"/>
        <w:spacing w:line="259" w:lineRule="auto"/>
        <w:ind w:left="360"/>
      </w:pPr>
      <w:r w:rsidRPr="3B0F447B">
        <w:t xml:space="preserve">Thailand </w:t>
      </w:r>
      <w:r w:rsidR="00782D35">
        <w:t xml:space="preserve">states that </w:t>
      </w:r>
      <w:r w:rsidRPr="3B0F447B">
        <w:t>the 2017 Corrections Act, which repeals the 1943 Penitentiary Act, is part of its effort to amend its law to be more in line with the Mandela Rules and the Bangkok Rules.</w:t>
      </w:r>
      <w:r w:rsidR="4545A438" w:rsidRPr="3B0F447B">
        <w:rPr>
          <w:rStyle w:val="FootnoteReference"/>
        </w:rPr>
        <w:footnoteReference w:id="100"/>
      </w:r>
      <w:r w:rsidRPr="3B0F447B">
        <w:t xml:space="preserve"> Thailand s</w:t>
      </w:r>
      <w:r w:rsidR="005A10A0">
        <w:t>ays</w:t>
      </w:r>
      <w:r w:rsidRPr="3B0F447B">
        <w:t xml:space="preserve"> that “the Ministry of Justice is currently in the process of drafting a Ministerial Regulation stipulating that solitary confinement shall not be imposed for more than 15 consecutive days, along with several other draft Ministerial Regulations for the implementation of the Corrections Act.”</w:t>
      </w:r>
      <w:r w:rsidR="4545A438" w:rsidRPr="3B0F447B">
        <w:rPr>
          <w:rStyle w:val="FootnoteReference"/>
        </w:rPr>
        <w:footnoteReference w:id="101"/>
      </w:r>
      <w:r w:rsidRPr="3B0F447B">
        <w:t xml:space="preserve"> Thailand point</w:t>
      </w:r>
      <w:r w:rsidR="004C1095">
        <w:t>s</w:t>
      </w:r>
      <w:r w:rsidRPr="3B0F447B">
        <w:t xml:space="preserve"> to measures taken to reduce the overcrowding of prisons</w:t>
      </w:r>
      <w:r w:rsidR="4545A438" w:rsidRPr="3B0F447B">
        <w:rPr>
          <w:rStyle w:val="FootnoteReference"/>
        </w:rPr>
        <w:footnoteReference w:id="102"/>
      </w:r>
      <w:r w:rsidRPr="3B0F447B">
        <w:t xml:space="preserve"> and to care for the specific needs of pregnant women.</w:t>
      </w:r>
      <w:r w:rsidR="4545A438" w:rsidRPr="3B0F447B">
        <w:rPr>
          <w:rStyle w:val="FootnoteReference"/>
        </w:rPr>
        <w:footnoteReference w:id="103"/>
      </w:r>
      <w:r w:rsidRPr="3B0F447B">
        <w:t xml:space="preserve"> The Report also describe</w:t>
      </w:r>
      <w:r w:rsidR="004C1095">
        <w:t>s</w:t>
      </w:r>
      <w:r w:rsidRPr="3B0F447B">
        <w:t xml:space="preserve"> efforts to improve the body search method in accordance with international standards.</w:t>
      </w:r>
      <w:r w:rsidR="4545A438" w:rsidRPr="3B0F447B">
        <w:rPr>
          <w:rStyle w:val="FootnoteReference"/>
        </w:rPr>
        <w:footnoteReference w:id="104"/>
      </w:r>
      <w:r w:rsidRPr="3B0F447B">
        <w:t xml:space="preserve"> </w:t>
      </w:r>
    </w:p>
    <w:p w14:paraId="6C280CF9" w14:textId="626E920E" w:rsidR="002B46E0" w:rsidRDefault="00F83F58" w:rsidP="002B46E0">
      <w:pPr>
        <w:pStyle w:val="Paragraph"/>
        <w:ind w:left="360"/>
      </w:pPr>
      <w:r>
        <w:t>FIDH reports that i</w:t>
      </w:r>
      <w:r w:rsidR="6BFCE818" w:rsidRPr="3B0F447B">
        <w:t xml:space="preserve">n 2023, </w:t>
      </w:r>
      <w:r w:rsidR="2E46C845" w:rsidRPr="3B0F447B">
        <w:t>“</w:t>
      </w:r>
      <w:r w:rsidR="6BFCE818" w:rsidRPr="3B0F447B">
        <w:t>Thai authorities made little progress in the implementation of new measures aimed at reducing chronic prison overcrowding, including those promoting the use of detention in alternative locations outside prisons for pre-trial detainees and certain categories</w:t>
      </w:r>
      <w:r w:rsidR="4D1BD602" w:rsidRPr="3B0F447B">
        <w:t>”</w:t>
      </w:r>
      <w:r w:rsidR="6BFCE818" w:rsidRPr="3B0F447B">
        <w:t xml:space="preserve"> of incarcerated persons.</w:t>
      </w:r>
      <w:r w:rsidR="35558D9F" w:rsidRPr="3B0F447B">
        <w:rPr>
          <w:rStyle w:val="FootnoteReference"/>
        </w:rPr>
        <w:footnoteReference w:id="105"/>
      </w:r>
      <w:r w:rsidR="6BFCE818" w:rsidRPr="3B0F447B">
        <w:t xml:space="preserve"> </w:t>
      </w:r>
      <w:r w:rsidR="230934BF">
        <w:t>“</w:t>
      </w:r>
      <w:r w:rsidR="6BFCE818" w:rsidRPr="3B0F447B">
        <w:t>In Thailand, pre-trial detainees made up between around 18% and 20% of the total prison population in 2023 and have traditionally been a significant cause of prison overcrowding</w:t>
      </w:r>
      <w:r w:rsidR="46BC914E" w:rsidRPr="3B0F447B">
        <w:t>.</w:t>
      </w:r>
      <w:r w:rsidR="14413999">
        <w:t>”</w:t>
      </w:r>
      <w:r w:rsidR="6BFCE818" w:rsidRPr="0B938F6C">
        <w:rPr>
          <w:rStyle w:val="FootnoteReference"/>
        </w:rPr>
        <w:footnoteReference w:id="106"/>
      </w:r>
      <w:r w:rsidR="6BFCE818" w:rsidRPr="3B0F447B">
        <w:t xml:space="preserve"> Pre-trial detainees are held together with incarcerated persons in 136 prisons and correctional facilities across the country.</w:t>
      </w:r>
      <w:r w:rsidR="35558D9F" w:rsidRPr="3B0F447B">
        <w:rPr>
          <w:rStyle w:val="FootnoteReference"/>
        </w:rPr>
        <w:footnoteReference w:id="107"/>
      </w:r>
      <w:r w:rsidR="6BFCE818" w:rsidRPr="3B0F447B">
        <w:t xml:space="preserve"> The Department of Corrections has claimed this</w:t>
      </w:r>
      <w:r w:rsidR="0067192B">
        <w:t xml:space="preserve"> practice</w:t>
      </w:r>
      <w:r w:rsidR="6BFCE818" w:rsidRPr="3B0F447B">
        <w:t xml:space="preserve"> was due to insufficient space within each prison, which made the physical separation of </w:t>
      </w:r>
      <w:r w:rsidR="0067192B">
        <w:t xml:space="preserve">pretrial </w:t>
      </w:r>
      <w:r w:rsidR="6BFCE818" w:rsidRPr="3B0F447B">
        <w:t>detainees from the general prison population impossible.</w:t>
      </w:r>
      <w:r w:rsidR="35558D9F" w:rsidRPr="3B0F447B">
        <w:rPr>
          <w:rStyle w:val="FootnoteReference"/>
        </w:rPr>
        <w:footnoteReference w:id="108"/>
      </w:r>
      <w:r w:rsidR="6BFCE818" w:rsidRPr="3B0F447B">
        <w:t xml:space="preserve"> As of November 2023, </w:t>
      </w:r>
      <w:r w:rsidR="4B2656D3">
        <w:t>“</w:t>
      </w:r>
      <w:r w:rsidR="6BFCE818" w:rsidRPr="3B0F447B">
        <w:t xml:space="preserve">authorities held more than 275,000 persons </w:t>
      </w:r>
      <w:r w:rsidR="6BFCE818" w:rsidRPr="3B0F447B">
        <w:lastRenderedPageBreak/>
        <w:t>in prisons and detention facilities with a maximum design capacity of approximately 220,000</w:t>
      </w:r>
      <w:r w:rsidR="46BC914E" w:rsidRPr="3B0F447B">
        <w:t>.</w:t>
      </w:r>
      <w:r w:rsidR="62F0249B" w:rsidRPr="3B0F447B">
        <w:t>”</w:t>
      </w:r>
      <w:r w:rsidR="35558D9F" w:rsidRPr="3B0F447B">
        <w:rPr>
          <w:rStyle w:val="FootnoteReference"/>
        </w:rPr>
        <w:footnoteReference w:id="109"/>
      </w:r>
    </w:p>
    <w:p w14:paraId="373FCD58" w14:textId="77777777" w:rsidR="004C5A8D" w:rsidRDefault="004C5A8D" w:rsidP="004C5A8D">
      <w:pPr>
        <w:pStyle w:val="Paragraph"/>
        <w:ind w:left="360"/>
      </w:pPr>
      <w:r>
        <w:t xml:space="preserve">According to FIDH, </w:t>
      </w:r>
      <w:r w:rsidRPr="3B0F447B">
        <w:t>“</w:t>
      </w:r>
      <w:r>
        <w:t>[t]</w:t>
      </w:r>
      <w:r w:rsidRPr="3B0F447B">
        <w:t>he use of punishment and other disciplinary sanctions that amount to ill-treatment [has been] consistently reported by interviewed former</w:t>
      </w:r>
      <w:r>
        <w:t>[</w:t>
      </w:r>
      <w:proofErr w:type="spellStart"/>
      <w:r>
        <w:t>ly</w:t>
      </w:r>
      <w:proofErr w:type="spellEnd"/>
      <w:r>
        <w:t>]</w:t>
      </w:r>
      <w:r w:rsidRPr="3B0F447B">
        <w:t xml:space="preserve"> incarcerated males.”</w:t>
      </w:r>
      <w:r w:rsidRPr="3B0F447B">
        <w:rPr>
          <w:rStyle w:val="FootnoteReference"/>
        </w:rPr>
        <w:footnoteReference w:id="110"/>
      </w:r>
      <w:r w:rsidRPr="0B938F6C">
        <w:rPr>
          <w:rStyle w:val="FootnoteReference"/>
        </w:rPr>
        <w:t xml:space="preserve"> </w:t>
      </w:r>
      <w:r w:rsidRPr="3B0F447B">
        <w:t>In addition to beatings, former</w:t>
      </w:r>
      <w:r>
        <w:t>ly</w:t>
      </w:r>
      <w:r w:rsidRPr="3B0F447B">
        <w:t xml:space="preserve"> incarcerated </w:t>
      </w:r>
      <w:r>
        <w:t>men</w:t>
      </w:r>
      <w:r w:rsidRPr="3B0F447B">
        <w:t xml:space="preserve"> have reported </w:t>
      </w:r>
      <w:r>
        <w:t>“</w:t>
      </w:r>
      <w:r w:rsidRPr="3B0F447B">
        <w:t>the use of ankle shackles, solitary confinement, disciplinary segregation, and military-style training for violations of prison rules</w:t>
      </w:r>
      <w:r w:rsidRPr="3B0F447B">
        <w:rPr>
          <w:rStyle w:val="FootnoteReference"/>
        </w:rPr>
        <w:footnoteReference w:id="111"/>
      </w:r>
      <w:r>
        <w:t xml:space="preserve"> </w:t>
      </w:r>
      <w:r w:rsidRPr="3B0F447B">
        <w:t>Former</w:t>
      </w:r>
      <w:r>
        <w:t>ly</w:t>
      </w:r>
      <w:r w:rsidRPr="3B0F447B">
        <w:t xml:space="preserve"> incarcerated persons </w:t>
      </w:r>
      <w:r>
        <w:t>“</w:t>
      </w:r>
      <w:r w:rsidRPr="3B0F447B">
        <w:t>at Pattani Central Prison stated that most of the new inmates were forced to wear ankle shackles 24 hours a day for two months as a disciplinary measure, leading to injuries in some cases.</w:t>
      </w:r>
      <w:r>
        <w:t>”</w:t>
      </w:r>
      <w:r w:rsidRPr="3B0F447B">
        <w:rPr>
          <w:rStyle w:val="FootnoteReference"/>
        </w:rPr>
        <w:footnoteReference w:id="112"/>
      </w:r>
      <w:r>
        <w:t xml:space="preserve"> </w:t>
      </w:r>
      <w:r w:rsidRPr="3B0F447B">
        <w:t>At Nakhon Si Thammarat Prison, a former</w:t>
      </w:r>
      <w:r>
        <w:t>ly</w:t>
      </w:r>
      <w:r w:rsidRPr="3B0F447B">
        <w:t xml:space="preserve"> incarcerated person </w:t>
      </w:r>
      <w:r>
        <w:t>“</w:t>
      </w:r>
      <w:r w:rsidRPr="3B0F447B">
        <w:t>reported that solitary confinement normally lasted two to three months, in a cell of around 2m x 4m (8m</w:t>
      </w:r>
      <w:r w:rsidRPr="002B46E0">
        <w:rPr>
          <w:vertAlign w:val="superscript"/>
        </w:rPr>
        <w:t>2</w:t>
      </w:r>
      <w:r w:rsidRPr="3B0F447B">
        <w:t>).</w:t>
      </w:r>
      <w:r>
        <w:t>”</w:t>
      </w:r>
      <w:r w:rsidRPr="3B0F447B">
        <w:rPr>
          <w:rStyle w:val="FootnoteReference"/>
          <w:color w:val="0563C1"/>
          <w:u w:val="single"/>
        </w:rPr>
        <w:footnoteReference w:id="113"/>
      </w:r>
    </w:p>
    <w:p w14:paraId="25B582AA" w14:textId="77777777" w:rsidR="004C5A8D" w:rsidRDefault="004C5A8D" w:rsidP="004C5A8D">
      <w:pPr>
        <w:pStyle w:val="Paragraph"/>
        <w:ind w:left="360"/>
      </w:pPr>
      <w:r>
        <w:t xml:space="preserve">FIDH further reports that </w:t>
      </w:r>
      <w:r w:rsidRPr="3B0F447B">
        <w:t>“</w:t>
      </w:r>
      <w:r>
        <w:t>[o]</w:t>
      </w:r>
      <w:proofErr w:type="spellStart"/>
      <w:r w:rsidRPr="3B0F447B">
        <w:t>vercrowding</w:t>
      </w:r>
      <w:proofErr w:type="spellEnd"/>
      <w:r w:rsidRPr="3B0F447B">
        <w:t xml:space="preserve"> and restrictions on access to water and basic hygiene supplies </w:t>
      </w:r>
      <w:proofErr w:type="gramStart"/>
      <w:r w:rsidRPr="3B0F447B">
        <w:t>continue[</w:t>
      </w:r>
      <w:proofErr w:type="gramEnd"/>
      <w:r w:rsidRPr="3B0F447B">
        <w:t>] to negatively affect the sanitation situation in many prisons.”</w:t>
      </w:r>
      <w:r w:rsidRPr="3B0F447B">
        <w:rPr>
          <w:rStyle w:val="FootnoteReference"/>
        </w:rPr>
        <w:footnoteReference w:id="114"/>
      </w:r>
      <w:r>
        <w:t xml:space="preserve"> </w:t>
      </w:r>
      <w:r w:rsidRPr="3B0F447B">
        <w:t>In more overcrowded facilities, such as Lamphun Provincial Prison, Nakhon Si Thammarat Central Prison, Ratchaburi Central Prison, and the Bangkok Remand Prison, interviewed former</w:t>
      </w:r>
      <w:r>
        <w:t>ly</w:t>
      </w:r>
      <w:r w:rsidRPr="3B0F447B">
        <w:t xml:space="preserve"> incarcerated persons </w:t>
      </w:r>
      <w:r>
        <w:t>“</w:t>
      </w:r>
      <w:r w:rsidRPr="3B0F447B">
        <w:t>reported difficulties in accessing sufficient showers and in-dormitory toilets.”</w:t>
      </w:r>
      <w:r w:rsidRPr="3B0F447B">
        <w:rPr>
          <w:rStyle w:val="FootnoteReference"/>
        </w:rPr>
        <w:footnoteReference w:id="115"/>
      </w:r>
    </w:p>
    <w:p w14:paraId="02E21B59" w14:textId="36A3642F" w:rsidR="004C5A8D" w:rsidRDefault="007E3811" w:rsidP="00992C15">
      <w:pPr>
        <w:pStyle w:val="Paragraph"/>
        <w:ind w:left="360"/>
      </w:pPr>
      <w:r w:rsidRPr="3B0F447B">
        <w:t>Former</w:t>
      </w:r>
      <w:r>
        <w:t>ly</w:t>
      </w:r>
      <w:r w:rsidRPr="3B0F447B">
        <w:t xml:space="preserve"> incarcerated persons have “reported that prisons failed to provide inmates with food that was of good quality and nutritionally adequate.”</w:t>
      </w:r>
      <w:r w:rsidRPr="3B0F447B">
        <w:rPr>
          <w:rStyle w:val="FootnoteReference"/>
        </w:rPr>
        <w:footnoteReference w:id="116"/>
      </w:r>
      <w:r w:rsidRPr="007E3811">
        <w:rPr>
          <w:vertAlign w:val="superscript"/>
        </w:rPr>
        <w:t xml:space="preserve"> </w:t>
      </w:r>
      <w:r w:rsidRPr="3B0F447B">
        <w:t>“In addition, while drinking water was readily available in prisons, many interviewed former [incarcerated persons] reported the lack of quality control for the monitoring of prison water.”</w:t>
      </w:r>
      <w:r w:rsidRPr="3B0F447B">
        <w:rPr>
          <w:rStyle w:val="FootnoteReference"/>
        </w:rPr>
        <w:footnoteReference w:id="117"/>
      </w:r>
    </w:p>
    <w:p w14:paraId="00DF26CB" w14:textId="629C10D6" w:rsidR="009C4D1D" w:rsidRDefault="009C4D1D" w:rsidP="009C4D1D">
      <w:pPr>
        <w:pStyle w:val="Paragraph"/>
        <w:ind w:left="360"/>
      </w:pPr>
      <w:r w:rsidRPr="3B0F447B">
        <w:t>Former</w:t>
      </w:r>
      <w:r>
        <w:t>ly</w:t>
      </w:r>
      <w:r w:rsidRPr="3B0F447B">
        <w:t xml:space="preserve"> incarcerated persons reported that laborious “work provided little rehabilitative value and opportunities to develop the vocational skills or experience that were necessary to prepare them for successful reintegration into society upon release.”</w:t>
      </w:r>
      <w:r w:rsidRPr="3B0F447B">
        <w:rPr>
          <w:rStyle w:val="FootnoteReference"/>
        </w:rPr>
        <w:footnoteReference w:id="118"/>
      </w:r>
      <w:r w:rsidRPr="3B0F447B">
        <w:t xml:space="preserve"> “A former incarcerated person at Thonburi Remand Prison commented on the stringent production targets: </w:t>
      </w:r>
      <w:r>
        <w:t>‘</w:t>
      </w:r>
      <w:r w:rsidRPr="3B0F447B">
        <w:t xml:space="preserve">They called it </w:t>
      </w:r>
      <w:r w:rsidRPr="3B0F447B">
        <w:lastRenderedPageBreak/>
        <w:t>vocational training, but it’s not really training. It’s a kind of torture of prisoners to make them work that hard.’</w:t>
      </w:r>
      <w:r>
        <w:t>”</w:t>
      </w:r>
      <w:r w:rsidRPr="3B0F447B">
        <w:rPr>
          <w:rStyle w:val="FootnoteReference"/>
        </w:rPr>
        <w:footnoteReference w:id="119"/>
      </w:r>
    </w:p>
    <w:p w14:paraId="2C7DF5F3" w14:textId="0E74C8EE" w:rsidR="00212A42" w:rsidRPr="00212A42" w:rsidRDefault="00212A42" w:rsidP="00212A42">
      <w:pPr>
        <w:pStyle w:val="Paragraph"/>
        <w:numPr>
          <w:ilvl w:val="0"/>
          <w:numId w:val="0"/>
        </w:numPr>
        <w:ind w:left="360"/>
        <w:rPr>
          <w:i/>
          <w:iCs/>
        </w:rPr>
      </w:pPr>
      <w:r>
        <w:rPr>
          <w:i/>
          <w:iCs/>
        </w:rPr>
        <w:t>Women in detention</w:t>
      </w:r>
    </w:p>
    <w:p w14:paraId="10B5F749" w14:textId="77777777" w:rsidR="002B46E0" w:rsidRDefault="3763FD23" w:rsidP="002B46E0">
      <w:pPr>
        <w:pStyle w:val="Paragraph"/>
        <w:ind w:left="360"/>
      </w:pPr>
      <w:r w:rsidRPr="3B0F447B">
        <w:t>There is little evidence to suggest that Thailand has squarely addressed the problem of overcrowding in women’s detention facilities or otherwise improved detention conditions for women, including women sentenced to death. During the day, women under sentence of death in Thailand live with the general prison population; they “sleep in separate dormitories only if the prison has the capacity to divide sleeping areas.”</w:t>
      </w:r>
      <w:r w:rsidR="6CB18784" w:rsidRPr="3B0F447B">
        <w:rPr>
          <w:rStyle w:val="FootnoteReference"/>
        </w:rPr>
        <w:footnoteReference w:id="120"/>
      </w:r>
      <w:r w:rsidRPr="3B0F447B">
        <w:t xml:space="preserve"> Prisons are “severely overcrowded”; in some prisons there is so little space that women “take turns sleeping on the bare floor,”</w:t>
      </w:r>
      <w:r w:rsidR="6CB18784" w:rsidRPr="3B0F447B">
        <w:rPr>
          <w:rStyle w:val="FootnoteReference"/>
        </w:rPr>
        <w:footnoteReference w:id="121"/>
      </w:r>
      <w:r w:rsidRPr="3B0F447B">
        <w:t xml:space="preserve"> and “often develop back and leg pain because they must sleep without moving onto their sides.”</w:t>
      </w:r>
      <w:r w:rsidR="6CB18784" w:rsidRPr="3B0F447B">
        <w:rPr>
          <w:rStyle w:val="FootnoteReference"/>
        </w:rPr>
        <w:footnoteReference w:id="122"/>
      </w:r>
      <w:r w:rsidRPr="3B0F447B">
        <w:t xml:space="preserve"> “Women spend around 14 hours per day in extremely crowded cells.”</w:t>
      </w:r>
      <w:r w:rsidR="6CB18784" w:rsidRPr="3B0F447B">
        <w:rPr>
          <w:rStyle w:val="FootnoteReference"/>
        </w:rPr>
        <w:footnoteReference w:id="123"/>
      </w:r>
      <w:r w:rsidRPr="3B0F447B">
        <w:t xml:space="preserve"> </w:t>
      </w:r>
    </w:p>
    <w:p w14:paraId="5655125D" w14:textId="59E15F86" w:rsidR="00F806DC" w:rsidRPr="00B104EE" w:rsidRDefault="00F806DC" w:rsidP="00F806DC">
      <w:pPr>
        <w:pStyle w:val="Paragraph"/>
        <w:spacing w:line="259" w:lineRule="auto"/>
        <w:ind w:left="360"/>
        <w:rPr>
          <w:vertAlign w:val="superscript"/>
        </w:rPr>
      </w:pPr>
      <w:r w:rsidRPr="00B104EE">
        <w:t>Women detained in Thai prisons report degrading experiences such as being required to sit on the floor when talking to prison guards and when prison guards walk by.</w:t>
      </w:r>
      <w:r w:rsidRPr="00B104EE">
        <w:rPr>
          <w:vertAlign w:val="superscript"/>
        </w:rPr>
        <w:footnoteReference w:id="124"/>
      </w:r>
      <w:r w:rsidRPr="00B104EE">
        <w:t xml:space="preserve"> They report that failing to address guards and officers as “sir” and “madam” could result in punishment.</w:t>
      </w:r>
      <w:r w:rsidRPr="00B104EE">
        <w:rPr>
          <w:vertAlign w:val="superscript"/>
        </w:rPr>
        <w:footnoteReference w:id="125"/>
      </w:r>
      <w:r w:rsidRPr="00B104EE">
        <w:t xml:space="preserve"> </w:t>
      </w:r>
    </w:p>
    <w:p w14:paraId="6603A037" w14:textId="326D6DE3" w:rsidR="002B46E0" w:rsidRDefault="00092292" w:rsidP="002B46E0">
      <w:pPr>
        <w:pStyle w:val="Paragraph"/>
        <w:ind w:left="360"/>
      </w:pPr>
      <w:r>
        <w:t xml:space="preserve">According to the Cornell Center, </w:t>
      </w:r>
      <w:r w:rsidR="4F2A1564" w:rsidRPr="3B0F447B">
        <w:t>“</w:t>
      </w:r>
      <w:r>
        <w:t>[p]</w:t>
      </w:r>
      <w:proofErr w:type="spellStart"/>
      <w:r w:rsidR="4F2A1564" w:rsidRPr="3B0F447B">
        <w:t>risons</w:t>
      </w:r>
      <w:proofErr w:type="spellEnd"/>
      <w:r w:rsidR="4F2A1564" w:rsidRPr="3B0F447B">
        <w:t xml:space="preserve"> also lack women’s health services. Women report that they need to purchase their own sanitary napkins, although they have very limited opportunities to earn money in prison.”</w:t>
      </w:r>
      <w:r w:rsidR="240D936B" w:rsidRPr="3B0F447B">
        <w:rPr>
          <w:rStyle w:val="FootnoteReference"/>
        </w:rPr>
        <w:footnoteReference w:id="126"/>
      </w:r>
      <w:r w:rsidR="4F2A1564" w:rsidRPr="3B0F447B">
        <w:t xml:space="preserve"> FIDH interviewed women who reported that sanitary napkins became even more scarce during the COVID-19 pandemic, when family visits were prohibited, prompting some women to wear the same sanitary pad for several days in a row </w:t>
      </w:r>
      <w:r w:rsidR="4F2A1564" w:rsidRPr="3B0F447B">
        <w:lastRenderedPageBreak/>
        <w:t>and to wash and reuse the same sanitary pad many times.</w:t>
      </w:r>
      <w:r w:rsidR="240D936B" w:rsidRPr="3B0F447B">
        <w:rPr>
          <w:rStyle w:val="FootnoteReference"/>
        </w:rPr>
        <w:footnoteReference w:id="127"/>
      </w:r>
      <w:r w:rsidR="4F2A1564" w:rsidRPr="3B0F447B">
        <w:t xml:space="preserve"> According to the Cornell Center, “[i]n Thailand . . .</w:t>
      </w:r>
      <w:r w:rsidR="008B588C">
        <w:t xml:space="preserve"> </w:t>
      </w:r>
      <w:r w:rsidR="4F2A1564" w:rsidRPr="3B0F447B">
        <w:t>, inmates have reportedly given birth alone in prisons.”</w:t>
      </w:r>
      <w:r w:rsidR="240D936B" w:rsidRPr="3B0F447B">
        <w:rPr>
          <w:rStyle w:val="FootnoteReference"/>
        </w:rPr>
        <w:footnoteReference w:id="128"/>
      </w:r>
    </w:p>
    <w:p w14:paraId="5E7A9ABF" w14:textId="619B3C13" w:rsidR="002B46E0" w:rsidRDefault="7D939ACF" w:rsidP="002B46E0">
      <w:pPr>
        <w:pStyle w:val="Paragraph"/>
        <w:ind w:left="360"/>
      </w:pPr>
      <w:r w:rsidRPr="3B0F447B">
        <w:t>FIDH recently conducted interviews with former</w:t>
      </w:r>
      <w:r w:rsidR="008B588C">
        <w:t>ly</w:t>
      </w:r>
      <w:r w:rsidRPr="3B0F447B">
        <w:t xml:space="preserve"> incarcerated persons to document detention conditions.</w:t>
      </w:r>
      <w:r w:rsidR="060A8A60" w:rsidRPr="3B0F447B">
        <w:rPr>
          <w:rStyle w:val="FootnoteReference"/>
        </w:rPr>
        <w:footnoteReference w:id="129"/>
      </w:r>
      <w:r w:rsidR="68FE821C" w:rsidRPr="56BC5E84">
        <w:rPr>
          <w:rStyle w:val="FootnoteReference"/>
        </w:rPr>
        <w:t xml:space="preserve"> </w:t>
      </w:r>
      <w:r w:rsidRPr="3B0F447B">
        <w:t>A woman formerly detained in Chiang Mai Women’s Correctional Institution reported that the showers use a pipe system, by which the water runs in three brief rounds, sometimes as brief as 15 seconds.</w:t>
      </w:r>
      <w:r w:rsidR="060A8A60" w:rsidRPr="3B0F447B">
        <w:rPr>
          <w:rStyle w:val="FootnoteReference"/>
        </w:rPr>
        <w:footnoteReference w:id="130"/>
      </w:r>
      <w:r w:rsidRPr="0B938F6C">
        <w:rPr>
          <w:rStyle w:val="FootnoteReference"/>
        </w:rPr>
        <w:t xml:space="preserve"> </w:t>
      </w:r>
      <w:r w:rsidRPr="3B0F447B">
        <w:t>The water is collected in a concrete tank below the showers and is then recycled “to be used over and over.”</w:t>
      </w:r>
      <w:r w:rsidR="060A8A60" w:rsidRPr="3B0F447B">
        <w:rPr>
          <w:rStyle w:val="FootnoteReference"/>
        </w:rPr>
        <w:footnoteReference w:id="131"/>
      </w:r>
      <w:r w:rsidRPr="0B938F6C">
        <w:rPr>
          <w:rStyle w:val="FootnoteReference"/>
        </w:rPr>
        <w:t xml:space="preserve"> </w:t>
      </w:r>
      <w:r w:rsidRPr="3B0F447B">
        <w:t>One former</w:t>
      </w:r>
      <w:r w:rsidR="00DA57A6">
        <w:t>ly</w:t>
      </w:r>
      <w:r w:rsidRPr="3B0F447B">
        <w:t xml:space="preserve"> incarcerated person there said that when she was admitted, she received half a tube of toothpaste in a plastic bag, three sanitary pads, half a face towel, and a tiny bag of detergent.</w:t>
      </w:r>
      <w:r w:rsidR="060A8A60" w:rsidRPr="3B0F447B">
        <w:rPr>
          <w:rStyle w:val="FootnoteReference"/>
        </w:rPr>
        <w:footnoteReference w:id="132"/>
      </w:r>
      <w:r w:rsidR="6A33DCFF" w:rsidRPr="3B0F447B">
        <w:t xml:space="preserve"> </w:t>
      </w:r>
      <w:r w:rsidRPr="3B0F447B">
        <w:t>A woman formerly detained at the Central Women’s Correctional Institution said that the institution had cockroaches everywhere as well as “rats as big as kittens trying to dig around for some food. It was unbearably filthy.”</w:t>
      </w:r>
      <w:r w:rsidR="060A8A60" w:rsidRPr="3B0F447B">
        <w:rPr>
          <w:rStyle w:val="FootnoteReference"/>
        </w:rPr>
        <w:footnoteReference w:id="133"/>
      </w:r>
    </w:p>
    <w:p w14:paraId="3AADFAF4" w14:textId="00492613" w:rsidR="002B46E0" w:rsidRDefault="00FB7E7A" w:rsidP="002B46E0">
      <w:pPr>
        <w:pStyle w:val="Paragraph"/>
        <w:ind w:left="360"/>
      </w:pPr>
      <w:r>
        <w:t xml:space="preserve">FIDH observes that </w:t>
      </w:r>
      <w:r w:rsidR="41256E7D" w:rsidRPr="3B0F447B">
        <w:t>“</w:t>
      </w:r>
      <w:r>
        <w:t>[a]</w:t>
      </w:r>
      <w:proofErr w:type="spellStart"/>
      <w:r w:rsidR="6A761484" w:rsidRPr="3B0F447B">
        <w:t>ccess</w:t>
      </w:r>
      <w:proofErr w:type="spellEnd"/>
      <w:r w:rsidR="6A761484" w:rsidRPr="3B0F447B">
        <w:t xml:space="preserve"> to timely and quality physical and mental healthcare services in line with international minimum standards</w:t>
      </w:r>
      <w:r w:rsidR="3C7C8C25" w:rsidRPr="3B0F447B">
        <w:t>”</w:t>
      </w:r>
      <w:r w:rsidR="6A761484" w:rsidRPr="3B0F447B">
        <w:t xml:space="preserve"> remains among the biggest challenges for incarcerated persons.</w:t>
      </w:r>
      <w:r w:rsidR="607FD435" w:rsidRPr="3B0F447B">
        <w:rPr>
          <w:rStyle w:val="FootnoteReference"/>
        </w:rPr>
        <w:footnoteReference w:id="134"/>
      </w:r>
      <w:r w:rsidR="6A761484" w:rsidRPr="3B0F447B">
        <w:t xml:space="preserve"> The most common complaint by the majority of the interviewed former incarcerated persons </w:t>
      </w:r>
      <w:r w:rsidR="4151C5D7">
        <w:t>“</w:t>
      </w:r>
      <w:r w:rsidR="6A761484" w:rsidRPr="3B0F447B">
        <w:t>was the inability to have direct and timely access to healthcare services at the prison medical facilities, which provide primary care and basic medicines to sick</w:t>
      </w:r>
      <w:r w:rsidR="66D36A65">
        <w:t>”</w:t>
      </w:r>
      <w:r w:rsidR="6A761484" w:rsidRPr="3B0F447B">
        <w:t xml:space="preserve"> incarcerated persons.</w:t>
      </w:r>
      <w:r w:rsidR="607FD435" w:rsidRPr="3B0F447B">
        <w:rPr>
          <w:rStyle w:val="FootnoteReference"/>
        </w:rPr>
        <w:footnoteReference w:id="135"/>
      </w:r>
      <w:r w:rsidR="6A761484" w:rsidRPr="3B0F447B">
        <w:t xml:space="preserve"> </w:t>
      </w:r>
      <w:r w:rsidR="55E7C3AB">
        <w:t>“</w:t>
      </w:r>
      <w:r w:rsidR="6A761484" w:rsidRPr="3B0F447B">
        <w:t xml:space="preserve">Thai Lawyers for Human Rights, a legal aid organization, stated one of their clients, jailed in June </w:t>
      </w:r>
      <w:r w:rsidR="13EED9BA" w:rsidRPr="3B0F447B">
        <w:t>[</w:t>
      </w:r>
      <w:r w:rsidR="6A761484" w:rsidRPr="3B0F447B">
        <w:t>2023</w:t>
      </w:r>
      <w:r w:rsidR="167880EA" w:rsidRPr="3B0F447B">
        <w:t>]</w:t>
      </w:r>
      <w:r w:rsidR="7127580A" w:rsidRPr="3B0F447B">
        <w:t>,</w:t>
      </w:r>
      <w:r w:rsidR="6A761484" w:rsidRPr="3B0F447B">
        <w:t xml:space="preserve"> struggled to access her bipolar disorder medication in prison and was moved to a hospital only in August </w:t>
      </w:r>
      <w:r w:rsidR="1F24DDDD" w:rsidRPr="3B0F447B">
        <w:t>[</w:t>
      </w:r>
      <w:r w:rsidR="6A761484" w:rsidRPr="3B0F447B">
        <w:t>2023</w:t>
      </w:r>
      <w:r w:rsidR="1F24DDDD" w:rsidRPr="3B0F447B">
        <w:t>]</w:t>
      </w:r>
      <w:r w:rsidR="6A761484" w:rsidRPr="3B0F447B">
        <w:t xml:space="preserve"> after her weight dropped by 10 percent following a 14-day hunger strike</w:t>
      </w:r>
      <w:r w:rsidR="7127580A" w:rsidRPr="3B0F447B">
        <w:t>.</w:t>
      </w:r>
      <w:r w:rsidR="30404699" w:rsidRPr="3B0F447B">
        <w:t>”</w:t>
      </w:r>
      <w:r w:rsidR="607FD435" w:rsidRPr="3B0F447B">
        <w:rPr>
          <w:rStyle w:val="FootnoteReference"/>
        </w:rPr>
        <w:footnoteReference w:id="136"/>
      </w:r>
    </w:p>
    <w:p w14:paraId="3BC65636" w14:textId="11211FBC" w:rsidR="002B46E0" w:rsidRDefault="397382C8" w:rsidP="002B46E0">
      <w:pPr>
        <w:pStyle w:val="Paragraph"/>
        <w:ind w:left="360"/>
      </w:pPr>
      <w:r w:rsidRPr="3B0F447B">
        <w:t>One woman</w:t>
      </w:r>
      <w:r w:rsidR="00FB7E7A">
        <w:t xml:space="preserve"> told FIDH</w:t>
      </w:r>
      <w:r w:rsidRPr="3B0F447B">
        <w:t xml:space="preserve"> that “she did not receive any help after informing a prison guard about her depression and suicidal thoughts.”</w:t>
      </w:r>
      <w:r w:rsidR="57056646" w:rsidRPr="3B0F447B">
        <w:rPr>
          <w:rStyle w:val="FootnoteReference"/>
        </w:rPr>
        <w:footnoteReference w:id="137"/>
      </w:r>
      <w:r w:rsidRPr="3B0F447B">
        <w:t xml:space="preserve"> Another woman reported cruel treatment of women </w:t>
      </w:r>
      <w:r w:rsidRPr="3B0F447B">
        <w:lastRenderedPageBreak/>
        <w:t>with psycho-social disabilities; when they would display neuro-divergent behavior</w:t>
      </w:r>
      <w:r w:rsidR="00E37BCC">
        <w:t>,</w:t>
      </w:r>
      <w:r w:rsidRPr="3B0F447B">
        <w:t xml:space="preserve"> guards would tie them up and even subject them to electric shocks.</w:t>
      </w:r>
      <w:r w:rsidR="57056646" w:rsidRPr="3B0F447B">
        <w:rPr>
          <w:rStyle w:val="FootnoteReference"/>
        </w:rPr>
        <w:footnoteReference w:id="138"/>
      </w:r>
    </w:p>
    <w:p w14:paraId="1C7FF724" w14:textId="77777777" w:rsidR="000B2C48" w:rsidRDefault="000B2C48" w:rsidP="000B2C48">
      <w:pPr>
        <w:pStyle w:val="Paragraph"/>
        <w:ind w:left="360"/>
      </w:pPr>
      <w:r>
        <w:t>Further, “the general female prison population in Thailand has access to work programs, but [women on] death row . . . do not.”</w:t>
      </w:r>
      <w:r>
        <w:rPr>
          <w:rStyle w:val="FootnoteReference"/>
        </w:rPr>
        <w:footnoteReference w:id="139"/>
      </w:r>
      <w:r>
        <w:t xml:space="preserve"> Women on death row are thus “more susceptible to depression as they have less to take part in and form fewer meaningful relationships with other female inmates.”</w:t>
      </w:r>
      <w:r>
        <w:rPr>
          <w:rStyle w:val="FootnoteReference"/>
        </w:rPr>
        <w:footnoteReference w:id="140"/>
      </w:r>
      <w:r>
        <w:t xml:space="preserve"> It is also unclear whether women on death row are excluded from drug rehabilitation programs available to women in the general prison population.</w:t>
      </w:r>
      <w:r>
        <w:rPr>
          <w:rStyle w:val="FootnoteReference"/>
        </w:rPr>
        <w:footnoteReference w:id="141"/>
      </w:r>
    </w:p>
    <w:p w14:paraId="17A031A3" w14:textId="77777777" w:rsidR="002B46E0" w:rsidRDefault="0B064A45" w:rsidP="002B46E0">
      <w:pPr>
        <w:pStyle w:val="Paragraph"/>
        <w:ind w:left="360"/>
      </w:pPr>
      <w:r w:rsidRPr="3B0F447B">
        <w:t>Another challenge women face is the distance between their detention facility and their home.</w:t>
      </w:r>
      <w:r w:rsidR="1273E483" w:rsidRPr="3B0F447B">
        <w:rPr>
          <w:rStyle w:val="FootnoteReference"/>
        </w:rPr>
        <w:footnoteReference w:id="142"/>
      </w:r>
      <w:r w:rsidRPr="3B0F447B">
        <w:t xml:space="preserve"> As the Cornell Center observes, “[s]</w:t>
      </w:r>
      <w:proofErr w:type="spellStart"/>
      <w:r w:rsidRPr="3B0F447B">
        <w:t>ince</w:t>
      </w:r>
      <w:proofErr w:type="spellEnd"/>
      <w:r w:rsidRPr="3B0F447B">
        <w:t xml:space="preserve"> Thailand has few women’s prisons, women are often detained far from home, hindering their family’s ability to visit.”</w:t>
      </w:r>
      <w:r w:rsidR="1273E483" w:rsidRPr="3B0F447B">
        <w:rPr>
          <w:rStyle w:val="FootnoteReference"/>
        </w:rPr>
        <w:footnoteReference w:id="143"/>
      </w:r>
      <w:r w:rsidRPr="3B0F447B">
        <w:t xml:space="preserve"> Prison authorities typically remove children born in prison from their mothers at or before the age of one.</w:t>
      </w:r>
      <w:r w:rsidR="1273E483" w:rsidRPr="3B0F447B">
        <w:rPr>
          <w:rStyle w:val="FootnoteReference"/>
        </w:rPr>
        <w:footnoteReference w:id="144"/>
      </w:r>
    </w:p>
    <w:p w14:paraId="373FFB21" w14:textId="7B03DC56" w:rsidR="002B46E0" w:rsidRDefault="323F551B" w:rsidP="002B46E0">
      <w:pPr>
        <w:pStyle w:val="Paragraph"/>
        <w:ind w:left="360"/>
      </w:pPr>
      <w:r w:rsidRPr="3B0F447B">
        <w:t>FIDH reports that prison guards and officials sometimes threaten female detainees who complain about detention conditions.</w:t>
      </w:r>
      <w:r w:rsidR="3E32DEBD" w:rsidRPr="3B0F447B">
        <w:rPr>
          <w:rStyle w:val="FootnoteReference"/>
        </w:rPr>
        <w:footnoteReference w:id="145"/>
      </w:r>
    </w:p>
    <w:p w14:paraId="74FD9F64" w14:textId="30008979" w:rsidR="00B70AE8" w:rsidRDefault="00021DAB" w:rsidP="002F27BB">
      <w:pPr>
        <w:pStyle w:val="SectionHeading"/>
        <w:numPr>
          <w:ilvl w:val="0"/>
          <w:numId w:val="17"/>
        </w:numPr>
      </w:pPr>
      <w:r>
        <w:t>Prohibitions against consideration of evidence obtained through torture</w:t>
      </w:r>
      <w:r w:rsidR="00B53736">
        <w:t xml:space="preserve"> are inadequate</w:t>
      </w:r>
      <w:r w:rsidR="00B70AE8">
        <w:t xml:space="preserve"> (</w:t>
      </w:r>
      <w:r w:rsidR="00A43C81">
        <w:t xml:space="preserve">LOIPR </w:t>
      </w:r>
      <w:r w:rsidR="00B70AE8">
        <w:t>para.</w:t>
      </w:r>
      <w:r w:rsidR="00A20CA4">
        <w:t xml:space="preserve"> 27)</w:t>
      </w:r>
      <w:r w:rsidR="00B53736">
        <w:t>.</w:t>
      </w:r>
    </w:p>
    <w:p w14:paraId="5B35C96C" w14:textId="1527A7D5" w:rsidR="009C2542" w:rsidRDefault="70C06F15" w:rsidP="00792090">
      <w:pPr>
        <w:pStyle w:val="Paragraph"/>
        <w:ind w:left="360"/>
      </w:pPr>
      <w:r>
        <w:t>T</w:t>
      </w:r>
      <w:r w:rsidR="54888A3E">
        <w:t>he</w:t>
      </w:r>
      <w:r w:rsidR="009C2542">
        <w:t xml:space="preserve"> Committee asked for information on any new measures taken “to amend article 226 (1) of the Criminal Procedure Code, which is inconsistent with the principle of the inadmissibility of evidence obtained through torture.”</w:t>
      </w:r>
      <w:r w:rsidR="009C2542" w:rsidRPr="0B938F6C">
        <w:rPr>
          <w:rStyle w:val="FootnoteReference"/>
        </w:rPr>
        <w:footnoteReference w:id="146"/>
      </w:r>
      <w:r w:rsidR="00C81593">
        <w:t xml:space="preserve"> </w:t>
      </w:r>
      <w:r w:rsidR="009C2542">
        <w:t xml:space="preserve">Specifically, the Committee wanted to know “whether </w:t>
      </w:r>
      <w:r w:rsidR="009C2542">
        <w:lastRenderedPageBreak/>
        <w:t>judges have refused to admit evidence in any cases during the reporting period on the grounds that it was obtained through torture or ill-treatment</w:t>
      </w:r>
      <w:r w:rsidR="56E50231">
        <w:t>.</w:t>
      </w:r>
      <w:r w:rsidR="54888A3E">
        <w:t>”</w:t>
      </w:r>
      <w:r w:rsidR="009C2542" w:rsidRPr="0B938F6C">
        <w:rPr>
          <w:rStyle w:val="FootnoteReference"/>
        </w:rPr>
        <w:footnoteReference w:id="147"/>
      </w:r>
      <w:r w:rsidR="009C2542">
        <w:t xml:space="preserve"> </w:t>
      </w:r>
    </w:p>
    <w:p w14:paraId="397D168B" w14:textId="5C6DE964" w:rsidR="009C2542" w:rsidRDefault="009C2542" w:rsidP="00792090">
      <w:pPr>
        <w:pStyle w:val="Paragraph"/>
        <w:ind w:left="360"/>
      </w:pPr>
      <w:r>
        <w:t xml:space="preserve">Thailand </w:t>
      </w:r>
      <w:r w:rsidR="3EF8C225">
        <w:t>respond</w:t>
      </w:r>
      <w:r w:rsidR="00021DAB">
        <w:t>s</w:t>
      </w:r>
      <w:r>
        <w:t xml:space="preserve"> that “it is a clear and publicly stated policy of the Royal Thai Government not to seek to adduce material obtained by torture in legal proceedings.”</w:t>
      </w:r>
      <w:r w:rsidRPr="0B938F6C">
        <w:rPr>
          <w:rStyle w:val="FootnoteReference"/>
        </w:rPr>
        <w:footnoteReference w:id="148"/>
      </w:r>
      <w:r w:rsidR="00C81593">
        <w:t xml:space="preserve"> </w:t>
      </w:r>
      <w:r>
        <w:t>Thailand state</w:t>
      </w:r>
      <w:r w:rsidR="00B53736">
        <w:t>s</w:t>
      </w:r>
      <w:r>
        <w:t xml:space="preserve"> that “the inadmissibility of evidence obtained by torture is confirmed by the Criminal Procedure Code’s Section 226 in conjunction with Section 135.”</w:t>
      </w:r>
      <w:r w:rsidRPr="0B938F6C">
        <w:rPr>
          <w:rStyle w:val="FootnoteReference"/>
        </w:rPr>
        <w:footnoteReference w:id="149"/>
      </w:r>
      <w:r w:rsidR="00C81593">
        <w:t xml:space="preserve"> </w:t>
      </w:r>
      <w:r>
        <w:t xml:space="preserve">Further, Thailand </w:t>
      </w:r>
      <w:r w:rsidR="000D75AC">
        <w:t xml:space="preserve">references </w:t>
      </w:r>
      <w:r>
        <w:t>“the Supreme Court’s Decision No. 1029/2548 (2005) in paragraph 19 for an example of the court’s decision on inadmissibility of evidence obtained through torture or ill-treatment.”</w:t>
      </w:r>
      <w:r w:rsidRPr="0B938F6C">
        <w:rPr>
          <w:rStyle w:val="FootnoteReference"/>
        </w:rPr>
        <w:footnoteReference w:id="150"/>
      </w:r>
      <w:r>
        <w:t xml:space="preserve"> </w:t>
      </w:r>
    </w:p>
    <w:p w14:paraId="0ED691F7" w14:textId="155D24CB" w:rsidR="009C2542" w:rsidRDefault="000D75AC" w:rsidP="00792090">
      <w:pPr>
        <w:pStyle w:val="Paragraph"/>
        <w:ind w:left="360"/>
      </w:pPr>
      <w:r>
        <w:t xml:space="preserve">The ICJ reports that </w:t>
      </w:r>
      <w:r w:rsidR="000972C7">
        <w:t>t</w:t>
      </w:r>
      <w:r w:rsidR="54888A3E">
        <w:t>he</w:t>
      </w:r>
      <w:r w:rsidR="009C2542">
        <w:t xml:space="preserve"> Prevention and Suppression of Torture and Enforced Disappearances Act “criminalizes torture, other ill-treatment, and enforced disappearance, and establishes legal and procedural safeguards against such practices. Its provisions also aim to ensure that victims and others can report torture and other ill</w:t>
      </w:r>
      <w:r w:rsidR="00732075">
        <w:t>-</w:t>
      </w:r>
      <w:r w:rsidR="009C2542">
        <w:t>treatment and enforced disappearances without fear.”</w:t>
      </w:r>
      <w:r w:rsidR="009C2542" w:rsidRPr="0B938F6C">
        <w:rPr>
          <w:rStyle w:val="FootnoteReference"/>
        </w:rPr>
        <w:footnoteReference w:id="151"/>
      </w:r>
      <w:r w:rsidR="009C2542">
        <w:t xml:space="preserve"> </w:t>
      </w:r>
    </w:p>
    <w:p w14:paraId="659E4055" w14:textId="5787D681" w:rsidR="00B70AE8" w:rsidRPr="00646DE9" w:rsidRDefault="009C2542" w:rsidP="00792090">
      <w:pPr>
        <w:pStyle w:val="Paragraph"/>
        <w:ind w:left="360"/>
      </w:pPr>
      <w:r>
        <w:t xml:space="preserve">While the law is a step forward, </w:t>
      </w:r>
      <w:r w:rsidR="00A8598B">
        <w:t xml:space="preserve">authorities must address several </w:t>
      </w:r>
      <w:r>
        <w:t xml:space="preserve">shortcomings. </w:t>
      </w:r>
      <w:r w:rsidR="004552E8">
        <w:t xml:space="preserve">The ICJ notes that </w:t>
      </w:r>
      <w:r>
        <w:t>“</w:t>
      </w:r>
      <w:r w:rsidR="004552E8">
        <w:t>[t]</w:t>
      </w:r>
      <w:r>
        <w:t>he current Bill continues to contain provisions that are inconsistent with international law and standards.”</w:t>
      </w:r>
      <w:r w:rsidRPr="0B938F6C">
        <w:rPr>
          <w:rStyle w:val="FootnoteReference"/>
        </w:rPr>
        <w:footnoteReference w:id="152"/>
      </w:r>
      <w:r>
        <w:t xml:space="preserve"> </w:t>
      </w:r>
      <w:r w:rsidR="00092701">
        <w:t xml:space="preserve">For example, </w:t>
      </w:r>
      <w:r w:rsidR="00FF0070">
        <w:t>the definitions of torture and enforced disappearance are “incomplete or otherwise discordant with international law,”</w:t>
      </w:r>
      <w:r w:rsidR="005601AF">
        <w:t xml:space="preserve"> the bill leaves the door open for amnesties, </w:t>
      </w:r>
      <w:r w:rsidR="00400579">
        <w:t xml:space="preserve">and in the drafting process </w:t>
      </w:r>
      <w:r w:rsidR="006015BD">
        <w:t xml:space="preserve">lawmakers </w:t>
      </w:r>
      <w:r w:rsidR="00400579">
        <w:t xml:space="preserve">removed “the provision on the inadmissibility of statements and other information </w:t>
      </w:r>
      <w:r w:rsidR="00207222">
        <w:t>obtained by torture, ill-treatment and enforced disappearances as evidence in legal proceedings.”</w:t>
      </w:r>
      <w:r w:rsidR="00207222" w:rsidRPr="0B938F6C">
        <w:rPr>
          <w:rStyle w:val="FootnoteReference"/>
        </w:rPr>
        <w:footnoteReference w:id="153"/>
      </w:r>
      <w:r>
        <w:t xml:space="preserve"> </w:t>
      </w:r>
    </w:p>
    <w:p w14:paraId="3C6FAD9A" w14:textId="051EDE43" w:rsidR="009B1F76" w:rsidRDefault="006B3985" w:rsidP="001C4F45">
      <w:pPr>
        <w:pStyle w:val="SectionHeading"/>
        <w:numPr>
          <w:ilvl w:val="0"/>
          <w:numId w:val="17"/>
        </w:numPr>
      </w:pPr>
      <w:r>
        <w:t>People reporting allegations of torture face threats and reprisals</w:t>
      </w:r>
      <w:r w:rsidR="009B1F76">
        <w:t xml:space="preserve"> (LOIPR para. </w:t>
      </w:r>
      <w:r w:rsidR="00661FD5">
        <w:t>28</w:t>
      </w:r>
      <w:r w:rsidR="0042393D">
        <w:t>)</w:t>
      </w:r>
      <w:r>
        <w:t>.</w:t>
      </w:r>
    </w:p>
    <w:p w14:paraId="2363BE18" w14:textId="170453C6" w:rsidR="009B1F76" w:rsidRDefault="006D088D" w:rsidP="00792090">
      <w:pPr>
        <w:pStyle w:val="Paragraph"/>
        <w:ind w:left="360"/>
      </w:pPr>
      <w:r>
        <w:t xml:space="preserve">The </w:t>
      </w:r>
      <w:r w:rsidR="18FBD0E5">
        <w:t>Comm</w:t>
      </w:r>
      <w:r w:rsidR="44210B70">
        <w:t>ittee</w:t>
      </w:r>
      <w:r>
        <w:t xml:space="preserve"> requested </w:t>
      </w:r>
      <w:r w:rsidR="00A0319F">
        <w:t>“</w:t>
      </w:r>
      <w:r w:rsidR="0000346E">
        <w:t xml:space="preserve">comment on reports of threats and reprisals against persons working to bring to light cases of alleged torture or </w:t>
      </w:r>
      <w:r w:rsidR="40F6A4B1">
        <w:t>ill</w:t>
      </w:r>
      <w:r w:rsidR="00C24422">
        <w:t>-</w:t>
      </w:r>
      <w:r w:rsidR="40F6A4B1">
        <w:t>treatment</w:t>
      </w:r>
      <w:r w:rsidR="00F25164">
        <w:t xml:space="preserve"> and enforced </w:t>
      </w:r>
      <w:proofErr w:type="gramStart"/>
      <w:r w:rsidR="00F25164">
        <w:lastRenderedPageBreak/>
        <w:t>disappearances</w:t>
      </w:r>
      <w:r w:rsidR="003D7091">
        <w:t>[</w:t>
      </w:r>
      <w:proofErr w:type="gramEnd"/>
      <w:r w:rsidR="003D7091">
        <w:t>,]”</w:t>
      </w:r>
      <w:r w:rsidR="00510AEF">
        <w:t xml:space="preserve"> steps taken to prosecute </w:t>
      </w:r>
      <w:r w:rsidR="00E21471">
        <w:t>such acts</w:t>
      </w:r>
      <w:r w:rsidR="003D7091">
        <w:t xml:space="preserve">, and </w:t>
      </w:r>
      <w:r w:rsidR="00742654">
        <w:t>measures taken to facilit</w:t>
      </w:r>
      <w:r w:rsidR="00816A8A">
        <w:t>ate the work of those bringing to light alleged violations of the Convention</w:t>
      </w:r>
      <w:r w:rsidR="00E21471">
        <w:t>.</w:t>
      </w:r>
      <w:r w:rsidR="00E21471">
        <w:rPr>
          <w:rStyle w:val="FootnoteReference"/>
        </w:rPr>
        <w:footnoteReference w:id="154"/>
      </w:r>
      <w:r w:rsidR="008225CD">
        <w:t xml:space="preserve"> </w:t>
      </w:r>
    </w:p>
    <w:p w14:paraId="7B3EAC7F" w14:textId="42979841" w:rsidR="001B62DA" w:rsidRDefault="001B62DA" w:rsidP="00792090">
      <w:pPr>
        <w:pStyle w:val="Paragraph"/>
        <w:ind w:left="360"/>
      </w:pPr>
      <w:r>
        <w:t xml:space="preserve">Thailand </w:t>
      </w:r>
      <w:r w:rsidR="00F60EF8">
        <w:t>respond</w:t>
      </w:r>
      <w:r w:rsidR="000A4CAD">
        <w:t>s</w:t>
      </w:r>
      <w:r w:rsidR="00917ABC">
        <w:t xml:space="preserve"> that it has several reform plans and strategies in place to promote and protect the right of human rights defenders and the media</w:t>
      </w:r>
      <w:r w:rsidR="007D1BC9">
        <w:t xml:space="preserve">, </w:t>
      </w:r>
      <w:r w:rsidR="007D01EF">
        <w:t>that the 2017 Constitution and several laws protect the interest of human righ</w:t>
      </w:r>
      <w:r w:rsidR="00A63A25">
        <w:t xml:space="preserve">ts defenders, and </w:t>
      </w:r>
      <w:r w:rsidR="000B7D40">
        <w:t xml:space="preserve">that the </w:t>
      </w:r>
      <w:r w:rsidR="2FE78494">
        <w:t>Rights and Liberties Protection Department</w:t>
      </w:r>
      <w:r w:rsidR="000B7D40">
        <w:t xml:space="preserve"> </w:t>
      </w:r>
      <w:r w:rsidR="00AB5E11">
        <w:t xml:space="preserve">has several initiatives in place to </w:t>
      </w:r>
      <w:r w:rsidR="000E1158">
        <w:t xml:space="preserve">monitor </w:t>
      </w:r>
      <w:r w:rsidR="000E58DE">
        <w:t>the situation of human rights defenders and protect them from harm.</w:t>
      </w:r>
      <w:r w:rsidRPr="0B938F6C">
        <w:rPr>
          <w:rStyle w:val="FootnoteReference"/>
        </w:rPr>
        <w:footnoteReference w:id="155"/>
      </w:r>
    </w:p>
    <w:p w14:paraId="11671BB0" w14:textId="3E58D894" w:rsidR="11D03BE9" w:rsidRDefault="29043AF1" w:rsidP="00792090">
      <w:pPr>
        <w:pStyle w:val="Paragraph"/>
        <w:ind w:left="360"/>
      </w:pPr>
      <w:r>
        <w:t>Thailand still prosecutes human righ</w:t>
      </w:r>
      <w:r w:rsidR="038079E7">
        <w:t xml:space="preserve">ts defenders and protesters under </w:t>
      </w:r>
      <w:r w:rsidR="12FBAC71">
        <w:t>lèse-majesté</w:t>
      </w:r>
      <w:r w:rsidR="038079E7">
        <w:t>,</w:t>
      </w:r>
      <w:r w:rsidR="06B8746C">
        <w:t xml:space="preserve"> sedition, criminal defamation,</w:t>
      </w:r>
      <w:r w:rsidR="038079E7">
        <w:t xml:space="preserve"> the Computer Crimes Act, </w:t>
      </w:r>
      <w:r w:rsidR="3D168DCC">
        <w:t>Head of NCPO Order</w:t>
      </w:r>
      <w:r w:rsidR="1B216E13">
        <w:t xml:space="preserve"> No.</w:t>
      </w:r>
      <w:r w:rsidR="3D168DCC">
        <w:t xml:space="preserve"> 3/2558</w:t>
      </w:r>
      <w:r w:rsidR="1B216E13">
        <w:t>, the Referendum Act, and</w:t>
      </w:r>
      <w:r w:rsidR="5190EA37">
        <w:t xml:space="preserve"> the Public Assembly Act</w:t>
      </w:r>
      <w:r w:rsidR="3D168DCC">
        <w:t>.</w:t>
      </w:r>
      <w:r w:rsidRPr="0B938F6C">
        <w:rPr>
          <w:rStyle w:val="FootnoteReference"/>
        </w:rPr>
        <w:footnoteReference w:id="156"/>
      </w:r>
      <w:r w:rsidR="3D168DCC">
        <w:t xml:space="preserve"> These laws make it impossible for human rights defenders to securely report alle</w:t>
      </w:r>
      <w:r w:rsidR="7F76A9B8">
        <w:t>ged torture.</w:t>
      </w:r>
      <w:r w:rsidRPr="0B938F6C">
        <w:rPr>
          <w:rStyle w:val="FootnoteReference"/>
        </w:rPr>
        <w:footnoteReference w:id="157"/>
      </w:r>
    </w:p>
    <w:p w14:paraId="37AA3B9F" w14:textId="06D4B1AD" w:rsidR="00AE1B95" w:rsidRDefault="12FBAC71" w:rsidP="00792090">
      <w:pPr>
        <w:pStyle w:val="Paragraph"/>
        <w:ind w:left="360"/>
      </w:pPr>
      <w:r>
        <w:t>Lèse-majesté</w:t>
      </w:r>
      <w:r w:rsidR="6AF99A1C">
        <w:t xml:space="preserve"> allows the government of Thailand to prosecute </w:t>
      </w:r>
      <w:r w:rsidR="062D973D">
        <w:t>anyone who “defames, insults, or threatens the King, the Queen, the Heir-apparent or the Regent</w:t>
      </w:r>
      <w:r w:rsidR="000A4CAD">
        <w:t>,</w:t>
      </w:r>
      <w:r w:rsidR="062D973D">
        <w:t xml:space="preserve">” </w:t>
      </w:r>
      <w:r w:rsidR="000A4CAD">
        <w:t xml:space="preserve">with </w:t>
      </w:r>
      <w:r w:rsidR="062D973D">
        <w:t>a penalty of up to 15 years imprisonment.</w:t>
      </w:r>
      <w:r w:rsidRPr="0B938F6C">
        <w:rPr>
          <w:rStyle w:val="FootnoteReference"/>
        </w:rPr>
        <w:footnoteReference w:id="158"/>
      </w:r>
      <w:r w:rsidR="062D973D">
        <w:t xml:space="preserve"> Thailand continu</w:t>
      </w:r>
      <w:r w:rsidR="675506A9">
        <w:t xml:space="preserve">es to enforce its </w:t>
      </w:r>
      <w:r w:rsidR="1C76F33C">
        <w:t>lèse-majesté law</w:t>
      </w:r>
      <w:r w:rsidR="675506A9">
        <w:t>, and has used it to threaten, arrest, and prosecute political protesters.</w:t>
      </w:r>
      <w:r w:rsidR="00107972">
        <w:rPr>
          <w:rStyle w:val="FootnoteReference"/>
        </w:rPr>
        <w:footnoteReference w:id="159"/>
      </w:r>
      <w:r w:rsidR="2767F137">
        <w:t xml:space="preserve"> Likewise, </w:t>
      </w:r>
      <w:r w:rsidR="7CBE3435">
        <w:t>Thailand prosecutes cases of “Sedition” under Article 116 of its Penal Code</w:t>
      </w:r>
      <w:r w:rsidR="7C09B7D4">
        <w:t xml:space="preserve"> to target political activists and people objecting to Thailand’s military rule</w:t>
      </w:r>
      <w:r w:rsidR="7CBE3435">
        <w:t>.</w:t>
      </w:r>
      <w:r w:rsidR="00C51B28">
        <w:rPr>
          <w:rStyle w:val="FootnoteReference"/>
        </w:rPr>
        <w:footnoteReference w:id="160"/>
      </w:r>
      <w:r w:rsidR="5BF5EDAC">
        <w:t xml:space="preserve"> </w:t>
      </w:r>
      <w:r w:rsidR="2F2F3533">
        <w:t xml:space="preserve">In January 2024, a Thai court sentenced a clothing vendor and political activist </w:t>
      </w:r>
      <w:r w:rsidR="4DA165B2">
        <w:t xml:space="preserve">to 50 years’ imprisonment </w:t>
      </w:r>
      <w:r w:rsidR="1C76F33C">
        <w:t>under the lèse-majesté law for “social media posts deemed damaging to the king.”</w:t>
      </w:r>
      <w:r w:rsidR="005643C0">
        <w:rPr>
          <w:rStyle w:val="FootnoteReference"/>
        </w:rPr>
        <w:footnoteReference w:id="161"/>
      </w:r>
    </w:p>
    <w:p w14:paraId="0FDE1B7A" w14:textId="6C468765" w:rsidR="002F0761" w:rsidRDefault="1EFC9EB0" w:rsidP="00792090">
      <w:pPr>
        <w:pStyle w:val="Paragraph"/>
        <w:ind w:left="360"/>
      </w:pPr>
      <w:r>
        <w:t xml:space="preserve">Thailand’s criminal defamation laws, Articles 326 to 333 of the Penal </w:t>
      </w:r>
      <w:r w:rsidR="134E724C">
        <w:t xml:space="preserve">Code, </w:t>
      </w:r>
      <w:r w:rsidR="005318B1">
        <w:t>have</w:t>
      </w:r>
      <w:r w:rsidR="53B43372">
        <w:t xml:space="preserve"> </w:t>
      </w:r>
      <w:r w:rsidR="10EDC4D1">
        <w:t xml:space="preserve">also </w:t>
      </w:r>
      <w:r w:rsidR="53B43372">
        <w:t>been used against human rig</w:t>
      </w:r>
      <w:r w:rsidR="10EDC4D1">
        <w:t>hts defenders.</w:t>
      </w:r>
      <w:r w:rsidR="0027353A">
        <w:rPr>
          <w:rStyle w:val="FootnoteReference"/>
        </w:rPr>
        <w:footnoteReference w:id="162"/>
      </w:r>
      <w:r w:rsidR="10EDC4D1">
        <w:t xml:space="preserve"> Criminal defamation </w:t>
      </w:r>
      <w:r w:rsidR="005318B1">
        <w:t xml:space="preserve">may be punished by </w:t>
      </w:r>
      <w:r w:rsidR="10EDC4D1">
        <w:t xml:space="preserve">of up to one year of imprisonment </w:t>
      </w:r>
      <w:r w:rsidR="15ECB328">
        <w:t>and a fine, “u</w:t>
      </w:r>
      <w:r w:rsidR="5D91C3C0">
        <w:t xml:space="preserve">nless the means of communication is a ‘document, drawing, </w:t>
      </w:r>
      <w:r w:rsidR="5D91C3C0">
        <w:lastRenderedPageBreak/>
        <w:t xml:space="preserve">painting, cinematography film, picture or </w:t>
      </w:r>
      <w:proofErr w:type="gramStart"/>
      <w:r w:rsidR="5D91C3C0">
        <w:t>letters</w:t>
      </w:r>
      <w:r w:rsidR="6E3EE6B8">
        <w:t>[</w:t>
      </w:r>
      <w:proofErr w:type="gramEnd"/>
      <w:r w:rsidR="6E3EE6B8">
        <w:t>,]’” in which case the penalty increases to two years</w:t>
      </w:r>
      <w:r w:rsidR="005318B1">
        <w:t>’</w:t>
      </w:r>
      <w:r w:rsidR="6E3EE6B8">
        <w:t xml:space="preserve"> imprisonment.</w:t>
      </w:r>
      <w:r w:rsidR="00D223E4">
        <w:rPr>
          <w:rStyle w:val="FootnoteReference"/>
        </w:rPr>
        <w:footnoteReference w:id="163"/>
      </w:r>
    </w:p>
    <w:p w14:paraId="4639AC4B" w14:textId="2917D08C" w:rsidR="00B810F9" w:rsidRDefault="10938AF0" w:rsidP="00792090">
      <w:pPr>
        <w:pStyle w:val="Paragraph"/>
        <w:ind w:left="360"/>
      </w:pPr>
      <w:r>
        <w:t xml:space="preserve">Since 2007, Thailand has </w:t>
      </w:r>
      <w:r w:rsidR="7F3543C2">
        <w:t>retained the Computer Crimes Act, which “gives authorities a wide degree of latitude to monitor and suppress online content and to prosecute individuals for various broadly-defined offenses.”</w:t>
      </w:r>
      <w:r w:rsidR="00D223E4">
        <w:rPr>
          <w:rStyle w:val="FootnoteReference"/>
        </w:rPr>
        <w:footnoteReference w:id="164"/>
      </w:r>
      <w:r w:rsidR="7F3543C2">
        <w:t xml:space="preserve"> </w:t>
      </w:r>
    </w:p>
    <w:p w14:paraId="72E52A2B" w14:textId="7042E5D1" w:rsidR="0056279F" w:rsidRDefault="7AE4C0A3" w:rsidP="00792090">
      <w:pPr>
        <w:pStyle w:val="Paragraph"/>
        <w:ind w:left="360"/>
      </w:pPr>
      <w:r>
        <w:t>Head of NCPO Order No. 3/2558</w:t>
      </w:r>
      <w:r w:rsidR="72FE45E5">
        <w:t xml:space="preserve">, which has been </w:t>
      </w:r>
      <w:r w:rsidR="67417AEB">
        <w:t xml:space="preserve">in place since April 2015, </w:t>
      </w:r>
      <w:r w:rsidR="5A1246B7">
        <w:t xml:space="preserve">provides </w:t>
      </w:r>
      <w:r w:rsidR="0075DA72">
        <w:t>for a penalty of “up to six months imprisonment and a fine for anyone participating in ‘political gatherings of five or more persons.’’</w:t>
      </w:r>
      <w:r w:rsidR="00743BCE">
        <w:rPr>
          <w:rStyle w:val="FootnoteReference"/>
        </w:rPr>
        <w:footnoteReference w:id="165"/>
      </w:r>
      <w:r w:rsidR="0075DA72">
        <w:t xml:space="preserve"> </w:t>
      </w:r>
      <w:r w:rsidR="00682356">
        <w:t>According to Amnesty International, u</w:t>
      </w:r>
      <w:r w:rsidR="0CF599A5">
        <w:t xml:space="preserve">nder this Order, military officials may </w:t>
      </w:r>
      <w:r w:rsidR="7F499CA5">
        <w:t xml:space="preserve">“arbitrarily detain individuals in unofficial places of detention for up to seven days, without many of the safeguards </w:t>
      </w:r>
      <w:r w:rsidR="19C59A7A">
        <w:t>provided by Thai law.”</w:t>
      </w:r>
      <w:r w:rsidR="007B2A2D">
        <w:rPr>
          <w:rStyle w:val="FootnoteReference"/>
        </w:rPr>
        <w:footnoteReference w:id="166"/>
      </w:r>
    </w:p>
    <w:p w14:paraId="71780C44" w14:textId="61ABB3BC" w:rsidR="0002136B" w:rsidRDefault="598E4374" w:rsidP="00792090">
      <w:pPr>
        <w:pStyle w:val="Paragraph"/>
        <w:ind w:left="360"/>
      </w:pPr>
      <w:r>
        <w:t xml:space="preserve">Prior to the constitutional referendum in 2016, Thailand enacted the Referendum Act, which </w:t>
      </w:r>
      <w:r w:rsidR="7C7F7972">
        <w:t>“provides for up to ten years imprisonment and a fine for ‘anyone who disseminates text, pictures or sounds that are inconsistent with the truth or in a violent, aggressive, rude, inciting or threatening manner aimed at preventing a voter from casting a ballot or vote in any direction or not to vote[.]’”</w:t>
      </w:r>
      <w:r w:rsidR="00CC555B">
        <w:rPr>
          <w:rStyle w:val="FootnoteReference"/>
        </w:rPr>
        <w:footnoteReference w:id="167"/>
      </w:r>
      <w:r w:rsidR="7C7F7972">
        <w:t xml:space="preserve"> </w:t>
      </w:r>
      <w:r w:rsidR="5C27E0EE">
        <w:t>Thailand investigated, arrested, and charged many</w:t>
      </w:r>
      <w:r w:rsidR="38F56FCA">
        <w:t xml:space="preserve"> people who protested against the then-draft constitution.</w:t>
      </w:r>
      <w:r w:rsidR="00B85970">
        <w:rPr>
          <w:rStyle w:val="FootnoteReference"/>
        </w:rPr>
        <w:footnoteReference w:id="168"/>
      </w:r>
      <w:r w:rsidR="05381456">
        <w:t xml:space="preserve"> </w:t>
      </w:r>
    </w:p>
    <w:p w14:paraId="39D2E9E4" w14:textId="235E2DEE" w:rsidR="00B85970" w:rsidRDefault="38F56FCA" w:rsidP="00792090">
      <w:pPr>
        <w:pStyle w:val="Paragraph"/>
        <w:ind w:left="360"/>
      </w:pPr>
      <w:r>
        <w:t xml:space="preserve">Finally, </w:t>
      </w:r>
      <w:r w:rsidR="128DB793">
        <w:t>in 2015, Thailand adopted the Public Assembly Act,</w:t>
      </w:r>
      <w:r w:rsidR="049BECBD">
        <w:t xml:space="preserve"> which “implements mandatory procedures for those wishing to organize public gatherings and sets out criminal penalties for those who[] fail to comply.”</w:t>
      </w:r>
      <w:r w:rsidR="004D63F6">
        <w:rPr>
          <w:rStyle w:val="FootnoteReference"/>
        </w:rPr>
        <w:footnoteReference w:id="169"/>
      </w:r>
      <w:r w:rsidR="73155A14">
        <w:t xml:space="preserve"> </w:t>
      </w:r>
      <w:r w:rsidR="3454E1D3">
        <w:t>Otherwise at risk of</w:t>
      </w:r>
      <w:r w:rsidR="189D89D3">
        <w:t xml:space="preserve"> criminal penalties ranging from a 10,000 baht fine </w:t>
      </w:r>
      <w:r w:rsidR="003B1421">
        <w:t xml:space="preserve">to </w:t>
      </w:r>
      <w:r w:rsidR="6AB98CF4">
        <w:t>“up to 10 years imprisonment for acts of destruction or violence</w:t>
      </w:r>
      <w:r w:rsidR="7077F165">
        <w:t>,” organizers mus</w:t>
      </w:r>
      <w:r w:rsidR="4E493CB0">
        <w:t xml:space="preserve">t “seek permission from authorities 24 hours </w:t>
      </w:r>
      <w:r w:rsidR="009C7642">
        <w:t>before holding a public assembly and . . . provide details about the date, time, location, and purpose of the planned action.”</w:t>
      </w:r>
      <w:r w:rsidR="00FE06E4">
        <w:rPr>
          <w:rStyle w:val="FootnoteReference"/>
        </w:rPr>
        <w:footnoteReference w:id="170"/>
      </w:r>
    </w:p>
    <w:p w14:paraId="6F5BEAF6" w14:textId="5B5323DC" w:rsidR="0067128F" w:rsidRDefault="003B1421" w:rsidP="00792090">
      <w:pPr>
        <w:pStyle w:val="Paragraph"/>
        <w:ind w:left="360"/>
      </w:pPr>
      <w:r>
        <w:lastRenderedPageBreak/>
        <w:t xml:space="preserve">Amnesty International confirms that </w:t>
      </w:r>
      <w:r w:rsidR="58319C9B">
        <w:t>Thailand has prosecuted human rights defenders under these laws.</w:t>
      </w:r>
      <w:r w:rsidR="004022A3">
        <w:rPr>
          <w:rStyle w:val="FootnoteReference"/>
        </w:rPr>
        <w:footnoteReference w:id="171"/>
      </w:r>
      <w:r w:rsidR="58319C9B">
        <w:t xml:space="preserve"> For example, </w:t>
      </w:r>
      <w:r w:rsidR="228A2C95">
        <w:t xml:space="preserve">in 2017, </w:t>
      </w:r>
      <w:r w:rsidR="792E47FC">
        <w:t xml:space="preserve">the Royal Thai Army’s Internal Security Operations Command Region 4 filed a criminal complaint against </w:t>
      </w:r>
      <w:r w:rsidR="00A873BC">
        <w:t>S.H.</w:t>
      </w:r>
      <w:r w:rsidR="7810C02D">
        <w:t xml:space="preserve">, </w:t>
      </w:r>
      <w:r w:rsidR="00A873BC">
        <w:t>P.K.</w:t>
      </w:r>
      <w:r w:rsidR="7810C02D">
        <w:t xml:space="preserve">, and </w:t>
      </w:r>
      <w:r w:rsidR="00A873BC">
        <w:t>A.H.</w:t>
      </w:r>
      <w:r w:rsidR="7810C02D">
        <w:t xml:space="preserve">, the editors of a report “alleging widespread torture </w:t>
      </w:r>
      <w:r w:rsidR="7E3A0E5E">
        <w:t>by Thai military personnel in Thailand’s conflict-affected southern province</w:t>
      </w:r>
      <w:r w:rsidR="792E47FC">
        <w:t>s.”</w:t>
      </w:r>
      <w:r w:rsidR="004022A3">
        <w:rPr>
          <w:rStyle w:val="FootnoteReference"/>
        </w:rPr>
        <w:footnoteReference w:id="172"/>
      </w:r>
      <w:r w:rsidR="792E47FC">
        <w:t xml:space="preserve"> The</w:t>
      </w:r>
      <w:r w:rsidR="0BC26027">
        <w:t>se three peopl</w:t>
      </w:r>
      <w:r w:rsidR="4B05F192">
        <w:t xml:space="preserve">e were </w:t>
      </w:r>
      <w:r w:rsidR="653FF547">
        <w:t>“summoned to the police station and informed that they were being investigated for p</w:t>
      </w:r>
      <w:r w:rsidR="253D2823">
        <w:t>otential violations</w:t>
      </w:r>
      <w:r w:rsidR="0A3A69FC">
        <w:t xml:space="preserve">” of the </w:t>
      </w:r>
      <w:r w:rsidR="4B0F76BC">
        <w:t>criminal defamation law and the Computer Crimes Act.</w:t>
      </w:r>
      <w:r w:rsidR="004022A3">
        <w:rPr>
          <w:rStyle w:val="FootnoteReference"/>
        </w:rPr>
        <w:footnoteReference w:id="173"/>
      </w:r>
      <w:r w:rsidR="056D7F8F">
        <w:t xml:space="preserve"> </w:t>
      </w:r>
      <w:r>
        <w:t>If</w:t>
      </w:r>
      <w:r w:rsidR="056D7F8F">
        <w:t xml:space="preserve"> the editors </w:t>
      </w:r>
      <w:r w:rsidR="00A873BC">
        <w:t xml:space="preserve">had been </w:t>
      </w:r>
      <w:r w:rsidR="056D7F8F">
        <w:t xml:space="preserve">prosecuted and convicted, they </w:t>
      </w:r>
      <w:r w:rsidR="00A873BC">
        <w:t xml:space="preserve">would have </w:t>
      </w:r>
      <w:r w:rsidR="056D7F8F">
        <w:t>faced up to seven years</w:t>
      </w:r>
      <w:r w:rsidR="00A873BC">
        <w:t>’</w:t>
      </w:r>
      <w:r w:rsidR="056D7F8F">
        <w:t xml:space="preserve"> imprisonment and a fine.</w:t>
      </w:r>
      <w:r w:rsidR="00324DA2">
        <w:rPr>
          <w:rStyle w:val="FootnoteReference"/>
        </w:rPr>
        <w:footnoteReference w:id="174"/>
      </w:r>
      <w:r w:rsidR="0C23EDB2">
        <w:t xml:space="preserve"> </w:t>
      </w:r>
      <w:r w:rsidR="00A873BC">
        <w:t xml:space="preserve">P.K. </w:t>
      </w:r>
      <w:r w:rsidR="593A87EA">
        <w:t>ha</w:t>
      </w:r>
      <w:r w:rsidR="77115E2D">
        <w:t>d</w:t>
      </w:r>
      <w:r w:rsidR="593A87EA">
        <w:t xml:space="preserve"> </w:t>
      </w:r>
      <w:r w:rsidR="77115E2D">
        <w:t xml:space="preserve">been the subject of a criminal investigation </w:t>
      </w:r>
      <w:r w:rsidR="37DF6C0D">
        <w:t>and complaint “in 2014 after writing an open letter concerning torture allegations.”</w:t>
      </w:r>
      <w:r w:rsidR="00DE415D">
        <w:rPr>
          <w:rStyle w:val="FootnoteReference"/>
        </w:rPr>
        <w:footnoteReference w:id="175"/>
      </w:r>
      <w:r w:rsidR="40C3DEFA">
        <w:t xml:space="preserve"> </w:t>
      </w:r>
      <w:r w:rsidR="00A873BC">
        <w:t xml:space="preserve">A.H. </w:t>
      </w:r>
      <w:r w:rsidR="40C3DEFA">
        <w:t>reports “that she has faced surveillance and harassment by the military since the publication of the report.”</w:t>
      </w:r>
      <w:r w:rsidR="00DE415D">
        <w:rPr>
          <w:rStyle w:val="FootnoteReference"/>
        </w:rPr>
        <w:footnoteReference w:id="176"/>
      </w:r>
    </w:p>
    <w:p w14:paraId="6693DA01" w14:textId="5DC62696" w:rsidR="00E944DE" w:rsidRDefault="729C5EE1" w:rsidP="00792090">
      <w:pPr>
        <w:pStyle w:val="Paragraph"/>
        <w:ind w:left="360"/>
      </w:pPr>
      <w:r>
        <w:t>Similarly,</w:t>
      </w:r>
      <w:r w:rsidR="4B7AAE13">
        <w:t xml:space="preserve"> in 2017,</w:t>
      </w:r>
      <w:r>
        <w:t xml:space="preserve"> </w:t>
      </w:r>
      <w:r w:rsidR="53BC8E4B">
        <w:t>a Thai military officer in</w:t>
      </w:r>
      <w:r w:rsidR="084E000C">
        <w:t xml:space="preserve">itiated </w:t>
      </w:r>
      <w:r w:rsidR="00CF7781">
        <w:t xml:space="preserve">the </w:t>
      </w:r>
      <w:r w:rsidR="084E000C">
        <w:t xml:space="preserve">prosecution </w:t>
      </w:r>
      <w:r w:rsidR="00CF7781">
        <w:t xml:space="preserve">of </w:t>
      </w:r>
      <w:r w:rsidR="00A873BC">
        <w:t>N.K.</w:t>
      </w:r>
      <w:r w:rsidR="540BFA54">
        <w:t xml:space="preserve">, </w:t>
      </w:r>
      <w:r w:rsidR="0780A9BB">
        <w:t xml:space="preserve">who </w:t>
      </w:r>
      <w:r w:rsidR="00CF7781">
        <w:t xml:space="preserve">had </w:t>
      </w:r>
      <w:r w:rsidR="0780A9BB">
        <w:t xml:space="preserve">campaigned for </w:t>
      </w:r>
      <w:r w:rsidR="3C9EB3EA">
        <w:t>mili</w:t>
      </w:r>
      <w:r w:rsidR="6EFD4879">
        <w:t>tary officers’ accountability for acts of torture</w:t>
      </w:r>
      <w:r w:rsidR="48B3825F">
        <w:t>.</w:t>
      </w:r>
      <w:r w:rsidR="00595326">
        <w:rPr>
          <w:rStyle w:val="FootnoteReference"/>
        </w:rPr>
        <w:footnoteReference w:id="177"/>
      </w:r>
      <w:r w:rsidR="3AF37F65">
        <w:t xml:space="preserve"> In September of 2017, “police investigators recommended that May be prosecuted for violations </w:t>
      </w:r>
      <w:r w:rsidR="150C771C">
        <w:t xml:space="preserve">of </w:t>
      </w:r>
      <w:r w:rsidR="1722C4C4">
        <w:t>Article 328 of the Penal Code, criminalizing defamation, and the Computer Crimes Act.”</w:t>
      </w:r>
      <w:r w:rsidR="00032348">
        <w:rPr>
          <w:rStyle w:val="FootnoteReference"/>
        </w:rPr>
        <w:footnoteReference w:id="178"/>
      </w:r>
    </w:p>
    <w:p w14:paraId="5BA5FD26" w14:textId="3E883E6F" w:rsidR="00085935" w:rsidRPr="00262845" w:rsidRDefault="00111994" w:rsidP="008C2E40">
      <w:pPr>
        <w:pStyle w:val="SectionHeading"/>
        <w:numPr>
          <w:ilvl w:val="0"/>
          <w:numId w:val="17"/>
        </w:numPr>
      </w:pPr>
      <w:r w:rsidRPr="00262845">
        <w:t>Suggested recommendations</w:t>
      </w:r>
      <w:r w:rsidR="00255789" w:rsidRPr="00262845">
        <w:t xml:space="preserve"> for</w:t>
      </w:r>
      <w:r w:rsidR="000A66B8" w:rsidRPr="00262845">
        <w:t xml:space="preserve"> the Government of </w:t>
      </w:r>
      <w:r w:rsidR="007016AD">
        <w:t>Thailand</w:t>
      </w:r>
    </w:p>
    <w:p w14:paraId="09ED740C" w14:textId="3F56F111" w:rsidR="00111994" w:rsidRDefault="00181B2A" w:rsidP="00792090">
      <w:pPr>
        <w:pStyle w:val="Paragraph"/>
        <w:ind w:left="360"/>
      </w:pPr>
      <w:r w:rsidRPr="00A975D1">
        <w:rPr>
          <w:rStyle w:val="ParagraphChar"/>
        </w:rPr>
        <w:t xml:space="preserve">The </w:t>
      </w:r>
      <w:r w:rsidR="009E6361">
        <w:rPr>
          <w:rStyle w:val="ParagraphChar"/>
        </w:rPr>
        <w:t>co</w:t>
      </w:r>
      <w:r w:rsidR="00BF5A0C">
        <w:rPr>
          <w:rStyle w:val="ParagraphChar"/>
        </w:rPr>
        <w:t>author</w:t>
      </w:r>
      <w:r w:rsidR="009E6361">
        <w:rPr>
          <w:rStyle w:val="ParagraphChar"/>
        </w:rPr>
        <w:t>s</w:t>
      </w:r>
      <w:r w:rsidR="00BF5A0C">
        <w:rPr>
          <w:rStyle w:val="ParagraphChar"/>
        </w:rPr>
        <w:t xml:space="preserve"> </w:t>
      </w:r>
      <w:proofErr w:type="gramStart"/>
      <w:r w:rsidR="00BF5A0C">
        <w:rPr>
          <w:rStyle w:val="ParagraphChar"/>
        </w:rPr>
        <w:t>suggests</w:t>
      </w:r>
      <w:proofErr w:type="gramEnd"/>
      <w:r w:rsidRPr="00A975D1">
        <w:rPr>
          <w:rStyle w:val="ParagraphChar"/>
        </w:rPr>
        <w:t xml:space="preserve"> the following </w:t>
      </w:r>
      <w:r w:rsidR="00BF5A0C">
        <w:rPr>
          <w:rStyle w:val="ParagraphChar"/>
        </w:rPr>
        <w:t>recommendations for</w:t>
      </w:r>
      <w:r w:rsidRPr="00A975D1">
        <w:rPr>
          <w:rStyle w:val="ParagraphChar"/>
        </w:rPr>
        <w:t xml:space="preserve"> the Government of </w:t>
      </w:r>
      <w:r w:rsidR="00661FD5">
        <w:rPr>
          <w:rStyle w:val="ParagraphChar"/>
        </w:rPr>
        <w:t>Thailand</w:t>
      </w:r>
      <w:r w:rsidR="00255789">
        <w:t>:</w:t>
      </w:r>
    </w:p>
    <w:p w14:paraId="09ACBBBC" w14:textId="0604957E" w:rsidR="000D1064" w:rsidRDefault="000D1064" w:rsidP="00211315">
      <w:pPr>
        <w:pStyle w:val="BulletRecommendationsQuestions"/>
      </w:pPr>
      <w:r>
        <w:t>Abolish the death penalty and replace it with penalties that are fair, proportionate, and consistent with international human rights standards.</w:t>
      </w:r>
    </w:p>
    <w:p w14:paraId="69CC4380" w14:textId="3816544B" w:rsidR="000D1064" w:rsidRDefault="000D1064" w:rsidP="00211315">
      <w:pPr>
        <w:pStyle w:val="BulletRecommendationsQuestions"/>
      </w:pPr>
      <w:r>
        <w:t>In the meantime:</w:t>
      </w:r>
    </w:p>
    <w:p w14:paraId="36CF37C9" w14:textId="4C497DC8" w:rsidR="000D1064" w:rsidRDefault="00F235E4" w:rsidP="000D1064">
      <w:pPr>
        <w:pStyle w:val="BulletRecommendationsQuestions"/>
        <w:numPr>
          <w:ilvl w:val="2"/>
          <w:numId w:val="7"/>
        </w:numPr>
      </w:pPr>
      <w:r>
        <w:lastRenderedPageBreak/>
        <w:t>Adopt a moratorium on executions, with a view to the abolition of the death penalty.</w:t>
      </w:r>
    </w:p>
    <w:p w14:paraId="357ECA02" w14:textId="7867572E" w:rsidR="007E0D67" w:rsidRDefault="007E0D67" w:rsidP="000D1064">
      <w:pPr>
        <w:pStyle w:val="BulletRecommendationsQuestions"/>
        <w:numPr>
          <w:ilvl w:val="2"/>
          <w:numId w:val="7"/>
        </w:numPr>
      </w:pPr>
      <w:r>
        <w:t>Amend the penal code to limit the death penalty to the “most serious crimes,” defined as offenses entailing an intentional killing committed by the person charged with the death-eligible offense.</w:t>
      </w:r>
    </w:p>
    <w:p w14:paraId="2107D81F" w14:textId="281D0328" w:rsidR="007E0D67" w:rsidRDefault="007E0D67" w:rsidP="000D1064">
      <w:pPr>
        <w:pStyle w:val="BulletRecommendationsQuestions"/>
        <w:numPr>
          <w:ilvl w:val="2"/>
          <w:numId w:val="7"/>
        </w:numPr>
      </w:pPr>
      <w:r>
        <w:t xml:space="preserve">Instruct judges </w:t>
      </w:r>
      <w:r w:rsidR="003A5781">
        <w:t>not to sentence any person to death for a drug-related offense.</w:t>
      </w:r>
    </w:p>
    <w:p w14:paraId="3DE5757B" w14:textId="3F3AEDA2" w:rsidR="007E0D67" w:rsidRDefault="003A5781" w:rsidP="003A5781">
      <w:pPr>
        <w:pStyle w:val="BulletRecommendationsQuestions"/>
        <w:numPr>
          <w:ilvl w:val="2"/>
          <w:numId w:val="7"/>
        </w:numPr>
      </w:pPr>
      <w:r>
        <w:t xml:space="preserve">Commute all existing death sentences for drug-related offenses </w:t>
      </w:r>
      <w:r w:rsidR="007E0D67">
        <w:t>to penalties that are fair, proportionate, and in compliance with international human rights standards</w:t>
      </w:r>
      <w:r w:rsidR="00944DE6">
        <w:t>.</w:t>
      </w:r>
    </w:p>
    <w:p w14:paraId="17ACAD15" w14:textId="0959AA8C" w:rsidR="00944DE6" w:rsidRDefault="00792996" w:rsidP="003A5781">
      <w:pPr>
        <w:pStyle w:val="BulletRecommendationsQuestions"/>
        <w:numPr>
          <w:ilvl w:val="2"/>
          <w:numId w:val="7"/>
        </w:numPr>
      </w:pPr>
      <w:r>
        <w:t xml:space="preserve">Ensure that any person charged with a drug-related offense is entitled to the presumption of innocence, and mandate that the prosecution must prove beyond a reasonable doubt any elements of the crime relating to </w:t>
      </w:r>
      <w:r w:rsidR="00595C24">
        <w:t xml:space="preserve">production or </w:t>
      </w:r>
      <w:r w:rsidR="00806C64">
        <w:t>intent to distribute</w:t>
      </w:r>
      <w:r w:rsidR="00595C24">
        <w:t>.</w:t>
      </w:r>
    </w:p>
    <w:p w14:paraId="29AA3463" w14:textId="773F0EA2" w:rsidR="0096246F" w:rsidRDefault="0096246F" w:rsidP="003A5781">
      <w:pPr>
        <w:pStyle w:val="BulletRecommendationsQuestions"/>
        <w:numPr>
          <w:ilvl w:val="2"/>
          <w:numId w:val="7"/>
        </w:numPr>
      </w:pPr>
      <w:r>
        <w:t xml:space="preserve">On at least an annual basis, publish data on people under sentence of death and executed over the reporting period, disaggregated by sex/gender, nationality, </w:t>
      </w:r>
      <w:r w:rsidR="00E5328D">
        <w:t xml:space="preserve">race or ethnicity, </w:t>
      </w:r>
      <w:r>
        <w:t>crime of conviction</w:t>
      </w:r>
      <w:r w:rsidR="00022AB3">
        <w:t xml:space="preserve">, relationship to any codefendants or victims, </w:t>
      </w:r>
      <w:r w:rsidR="00E5328D">
        <w:t xml:space="preserve">occupation at the time of arrest, </w:t>
      </w:r>
      <w:r w:rsidR="00022AB3">
        <w:t xml:space="preserve">existence and age of any dependent children, location, </w:t>
      </w:r>
      <w:r w:rsidR="00E5328D">
        <w:t xml:space="preserve">and </w:t>
      </w:r>
      <w:r w:rsidR="00022AB3">
        <w:t>status of any appeals or requests for pardon</w:t>
      </w:r>
      <w:r w:rsidR="00E5328D">
        <w:t>.</w:t>
      </w:r>
    </w:p>
    <w:p w14:paraId="188E7D34" w14:textId="6350B12F" w:rsidR="00944DE6" w:rsidRDefault="00944DE6" w:rsidP="003A5781">
      <w:pPr>
        <w:pStyle w:val="BulletRecommendationsQuestions"/>
        <w:numPr>
          <w:ilvl w:val="2"/>
          <w:numId w:val="7"/>
        </w:numPr>
      </w:pPr>
      <w:r>
        <w:t>Provide sufficient financial resources and training to court-appointed lawyers defending persons accused of capital crimes.</w:t>
      </w:r>
    </w:p>
    <w:p w14:paraId="7469B7AD" w14:textId="288F8861" w:rsidR="006929B8" w:rsidRDefault="006929B8" w:rsidP="003A5781">
      <w:pPr>
        <w:pStyle w:val="BulletRecommendationsQuestions"/>
        <w:numPr>
          <w:ilvl w:val="2"/>
          <w:numId w:val="7"/>
        </w:numPr>
      </w:pPr>
      <w:r>
        <w:t xml:space="preserve">Take steps to provide heightened fair trial and due process safeguards in capital cases involving women defendants, including by providing them with access to effective legal representation with experience in capital cases and with training on gender-sensitive defense strategies. </w:t>
      </w:r>
    </w:p>
    <w:p w14:paraId="6C87F90F" w14:textId="487186D0" w:rsidR="00BA2B4E" w:rsidRDefault="00BA2B4E" w:rsidP="003A5781">
      <w:pPr>
        <w:pStyle w:val="BulletRecommendationsQuestions"/>
        <w:numPr>
          <w:ilvl w:val="2"/>
          <w:numId w:val="7"/>
        </w:numPr>
      </w:pPr>
      <w:r>
        <w:t xml:space="preserve">In collaboration with civil society organizations specializing in gender-based violence, provide training to all defense counsel who take on capital cases regarding gender-specific mitigation and how to raise discrimination against clients </w:t>
      </w:r>
      <w:proofErr w:type="gramStart"/>
      <w:r>
        <w:t>on the basis of</w:t>
      </w:r>
      <w:proofErr w:type="gramEnd"/>
      <w:r>
        <w:t xml:space="preserve"> their gender, when appropriate.</w:t>
      </w:r>
    </w:p>
    <w:p w14:paraId="711E6E86" w14:textId="1EADFAFB" w:rsidR="003E19FE" w:rsidRDefault="003E19FE" w:rsidP="003A5781">
      <w:pPr>
        <w:pStyle w:val="BulletRecommendationsQuestions"/>
        <w:numPr>
          <w:ilvl w:val="2"/>
          <w:numId w:val="7"/>
        </w:numPr>
      </w:pPr>
      <w:r>
        <w:t>Codify gender-specific defenses and mitigation in capital cases, encompassing women’s experiences of trauma, poverty, and gender-based violence, including defenses applicable to victims of prolonged gender-based violence, regardless of imminence of harm at the time she acts in self-defense.</w:t>
      </w:r>
    </w:p>
    <w:p w14:paraId="0E206C66" w14:textId="559433BF" w:rsidR="002D7E34" w:rsidRDefault="002D7E34" w:rsidP="003A5781">
      <w:pPr>
        <w:pStyle w:val="BulletRecommendationsQuestions"/>
        <w:numPr>
          <w:ilvl w:val="2"/>
          <w:numId w:val="7"/>
        </w:numPr>
      </w:pPr>
      <w:r>
        <w:t>Ensure that all judicial officers responsible for sentencing in capital cases receive comprehensive training on gender-based discrimination, gender-based violence, and tactics of coercive control that may lead to women committing death-eligible offenses.</w:t>
      </w:r>
    </w:p>
    <w:p w14:paraId="4E9FE183" w14:textId="7BD7BF45" w:rsidR="00E2493E" w:rsidRDefault="00E2493E" w:rsidP="00E2493E">
      <w:pPr>
        <w:pStyle w:val="BulletRecommendationsQuestions"/>
        <w:numPr>
          <w:ilvl w:val="2"/>
          <w:numId w:val="7"/>
        </w:numPr>
      </w:pPr>
      <w:r w:rsidRPr="3B0F447B">
        <w:lastRenderedPageBreak/>
        <w:t xml:space="preserve">Ensure women </w:t>
      </w:r>
      <w:r>
        <w:t xml:space="preserve">under sentence of death </w:t>
      </w:r>
      <w:r w:rsidRPr="3B0F447B">
        <w:t>have access to dependent children through visitation</w:t>
      </w:r>
      <w:r w:rsidR="00EF1062">
        <w:t xml:space="preserve"> and provide financial subsidies to facilitate transportation for visits by dependent children</w:t>
      </w:r>
      <w:r w:rsidRPr="3B0F447B">
        <w:t>.</w:t>
      </w:r>
    </w:p>
    <w:p w14:paraId="2811D187" w14:textId="65B0479A" w:rsidR="00E2493E" w:rsidRDefault="00E42FAD" w:rsidP="003A5781">
      <w:pPr>
        <w:pStyle w:val="BulletRecommendationsQuestions"/>
        <w:numPr>
          <w:ilvl w:val="2"/>
          <w:numId w:val="7"/>
        </w:numPr>
      </w:pPr>
      <w:r>
        <w:t>Ensure that all vocational, educational, rehabilitation, and treatment programming in detention is available to all detained persons, regardless of the nature of their sentence.</w:t>
      </w:r>
    </w:p>
    <w:p w14:paraId="5419711E" w14:textId="77777777" w:rsidR="0096246F" w:rsidRDefault="00F5392E" w:rsidP="00F5392E">
      <w:pPr>
        <w:pStyle w:val="BulletRecommendationsQuestions"/>
      </w:pPr>
      <w:r>
        <w:t xml:space="preserve">Amend sentencing guidelines to require courts to consider poverty, caregiving responsibilities, and a history of gender-based violence in determining an appropriate sentence and to allow courts to consider non-enumerated mitigating factors when determining sentences. </w:t>
      </w:r>
    </w:p>
    <w:p w14:paraId="310B4A94" w14:textId="076FB3C8" w:rsidR="00F5392E" w:rsidRDefault="0096246F" w:rsidP="00F5392E">
      <w:pPr>
        <w:pStyle w:val="BulletRecommendationsQuestions"/>
      </w:pPr>
      <w:r>
        <w:t xml:space="preserve">On an annual basis, publish </w:t>
      </w:r>
      <w:r w:rsidR="00F5392E">
        <w:t>data on the prevalence of the practice by which military officers are permitted to detain civilians in unofficial places of detention and other locations, including military facilities.</w:t>
      </w:r>
    </w:p>
    <w:p w14:paraId="0768CF76" w14:textId="62708771" w:rsidR="00F51AFD" w:rsidRDefault="00271209" w:rsidP="00211315">
      <w:pPr>
        <w:pStyle w:val="BulletRecommendationsQuestions"/>
      </w:pPr>
      <w:r>
        <w:t xml:space="preserve">Ratify the </w:t>
      </w:r>
      <w:r w:rsidR="6FE83103">
        <w:t>International Convention for the Protection of All Persons from Enforced Disappearance (ICPPED) without reservations and acced</w:t>
      </w:r>
      <w:r>
        <w:t>e</w:t>
      </w:r>
      <w:r w:rsidR="6FE83103">
        <w:t xml:space="preserve"> to the Optional Protocol to the Convention against Torture and Other Cruel, Inhuman or Degrading Treatment or Punishment</w:t>
      </w:r>
      <w:r w:rsidR="00A52F07">
        <w:t>.</w:t>
      </w:r>
    </w:p>
    <w:p w14:paraId="3E4AA44D" w14:textId="5639E20E" w:rsidR="00F51AFD" w:rsidRDefault="00173499" w:rsidP="00211315">
      <w:pPr>
        <w:pStyle w:val="BulletRecommendationsQuestions"/>
      </w:pPr>
      <w:r>
        <w:t xml:space="preserve">Provide for increased </w:t>
      </w:r>
      <w:r w:rsidR="004743D8">
        <w:t xml:space="preserve">representation of victims of torture and enforced disappearance in the composition of the </w:t>
      </w:r>
      <w:r w:rsidR="004743D8" w:rsidRPr="002E4225">
        <w:t>Committee on the Prevention and Suppression of Torture and Enforced Disappearance</w:t>
      </w:r>
      <w:r w:rsidR="00E75258">
        <w:t>.</w:t>
      </w:r>
    </w:p>
    <w:p w14:paraId="2E099A20" w14:textId="47FF14A5" w:rsidR="004B0D18" w:rsidRDefault="004B0D18" w:rsidP="00792090">
      <w:pPr>
        <w:pStyle w:val="BulletRecommendationsQuestions"/>
      </w:pPr>
      <w:r>
        <w:t>Thoroughly and impartially investigate allegations of torture by security forces in detention facilities.</w:t>
      </w:r>
    </w:p>
    <w:p w14:paraId="416A8555" w14:textId="5ABCB2F1" w:rsidR="004B0D18" w:rsidRDefault="00AC6697" w:rsidP="00792090">
      <w:pPr>
        <w:pStyle w:val="BulletRecommendationsQuestions"/>
      </w:pPr>
      <w:r>
        <w:t>Issue a directive to all judicial officers and prosecutors prohibiting</w:t>
      </w:r>
      <w:r w:rsidR="004B0D18">
        <w:t xml:space="preserve"> the introduction of evidence obtained under duress, torture, or cruel, inhuman</w:t>
      </w:r>
      <w:r w:rsidR="007A40AE">
        <w:t>,</w:t>
      </w:r>
      <w:r w:rsidR="004B0D18">
        <w:t xml:space="preserve"> or degrading treatment, </w:t>
      </w:r>
      <w:r w:rsidR="00FC4794">
        <w:t xml:space="preserve">except when introduced to prove the crime of torture, </w:t>
      </w:r>
      <w:r w:rsidR="004B0D18">
        <w:t>and issue guidelines on the steps judges must take when a defendant alleges torture or ill-treatment, including investigating all credible allegations and taking immediate steps to protect individuals alleging torture or ill-treatment from retaliation.</w:t>
      </w:r>
    </w:p>
    <w:p w14:paraId="2E89E133" w14:textId="63CABDEB" w:rsidR="004B0D18" w:rsidRDefault="004B0D18" w:rsidP="00792090">
      <w:pPr>
        <w:pStyle w:val="BulletRecommendationsQuestions"/>
      </w:pPr>
      <w:r>
        <w:t xml:space="preserve">Ensure that detention conditions comply with the </w:t>
      </w:r>
      <w:r w:rsidR="002A01AA" w:rsidRPr="3B0F447B">
        <w:t>UN Standard Minimum Rules for the Treatment of Prisoners (the Nelson Mandela Rules) and the UN Rules for the Treatment of Women Prisoners and Non-custodial Measures for Women Offenders (the Bangkok Rules)</w:t>
      </w:r>
      <w:r>
        <w:t>.</w:t>
      </w:r>
    </w:p>
    <w:p w14:paraId="47D4F19D" w14:textId="55C31B9F" w:rsidR="002D7E34" w:rsidRDefault="002D7E34" w:rsidP="00792090">
      <w:pPr>
        <w:pStyle w:val="BulletRecommendationsQuestions"/>
      </w:pPr>
      <w:r>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28455688" w14:textId="68811C51" w:rsidR="006016F5" w:rsidRDefault="006016F5" w:rsidP="006016F5">
      <w:pPr>
        <w:pStyle w:val="BulletRecommendationsQuestions"/>
      </w:pPr>
      <w:r>
        <w:t>Collaborate with civil society organizations to e</w:t>
      </w:r>
      <w:r w:rsidRPr="3B0F447B">
        <w:t>nsure that staff in all prisons receive adequate training on international standards, notably the Nelson Mandela Rules and the Bangkok Rules.</w:t>
      </w:r>
    </w:p>
    <w:p w14:paraId="6A928A41" w14:textId="77777777" w:rsidR="009E4458" w:rsidRDefault="009E4458" w:rsidP="009E4458">
      <w:pPr>
        <w:pStyle w:val="BulletRecommendationsQuestions"/>
      </w:pPr>
      <w:r w:rsidRPr="3B0F447B">
        <w:lastRenderedPageBreak/>
        <w:t xml:space="preserve">Ensure </w:t>
      </w:r>
      <w:r>
        <w:t xml:space="preserve">that women in detention receive </w:t>
      </w:r>
      <w:r w:rsidRPr="3B0F447B">
        <w:t>the necessary items to meet their specific hygiene needs, particularly an adequate provision of sanitary pads that are of decent quality and free of charge.</w:t>
      </w:r>
    </w:p>
    <w:p w14:paraId="321A26F4" w14:textId="33C845A3" w:rsidR="00882F22" w:rsidRDefault="00882F22" w:rsidP="009E4458">
      <w:pPr>
        <w:pStyle w:val="BulletRecommendationsQuestions"/>
      </w:pPr>
      <w:r>
        <w:t xml:space="preserve">Direct authorities in all places where women are detained to cease </w:t>
      </w:r>
      <w:r w:rsidR="003C71A4">
        <w:t xml:space="preserve">engaging in </w:t>
      </w:r>
      <w:r>
        <w:t>degrading treatment of women in detention, including requiring them to sit when addressing prison staff.</w:t>
      </w:r>
    </w:p>
    <w:p w14:paraId="76F088B3" w14:textId="2B84AA45" w:rsidR="00987DFB" w:rsidRDefault="00987DFB" w:rsidP="00792090">
      <w:pPr>
        <w:pStyle w:val="BulletRecommendationsQuestions"/>
      </w:pPr>
      <w:r>
        <w:t xml:space="preserve">Ensure that civil society organizations and independent human rights groups enjoy the same access to places of detention, including places of detention holding people </w:t>
      </w:r>
      <w:r w:rsidR="001F62CC">
        <w:t xml:space="preserve">under sentence of </w:t>
      </w:r>
      <w:r>
        <w:t>death, as the NHRC and diplomatic and consular staff for purposes of monitoring compliance with the Convention</w:t>
      </w:r>
      <w:r w:rsidR="001F62CC">
        <w:t>, and establish a mechanism for recourse when such access is denied</w:t>
      </w:r>
      <w:r>
        <w:t>.</w:t>
      </w:r>
    </w:p>
    <w:p w14:paraId="23ACFAF5" w14:textId="77777777" w:rsidR="008633DF" w:rsidRDefault="008633DF" w:rsidP="00792090">
      <w:pPr>
        <w:pStyle w:val="BulletRecommendationsQuestions"/>
      </w:pPr>
      <w:r w:rsidRPr="3B0F447B">
        <w:t>Increase efforts to address and resolve the issue of overcrowding in prisons by adopting and implementing sustainable and effective measures to reduce the prison population.</w:t>
      </w:r>
    </w:p>
    <w:p w14:paraId="1286C5F3" w14:textId="418F896D" w:rsidR="008633DF" w:rsidRDefault="001F5B0E" w:rsidP="00792090">
      <w:pPr>
        <w:pStyle w:val="BulletRecommendationsQuestions"/>
      </w:pPr>
      <w:r>
        <w:t xml:space="preserve">Implement the </w:t>
      </w:r>
      <w:r w:rsidR="008633DF" w:rsidRPr="3B0F447B">
        <w:t>Ministerial Regulation stipulating that solitary confinement shall not be imposed for more than 15 consecutive days</w:t>
      </w:r>
      <w:r>
        <w:t>, as required under the Nelson Mandela Rules</w:t>
      </w:r>
      <w:r w:rsidR="008633DF" w:rsidRPr="3B0F447B">
        <w:t>.</w:t>
      </w:r>
    </w:p>
    <w:p w14:paraId="5764B1F9" w14:textId="79ED0372" w:rsidR="008633DF" w:rsidRDefault="008633DF" w:rsidP="00792090">
      <w:pPr>
        <w:pStyle w:val="BulletRecommendationsQuestions"/>
      </w:pPr>
      <w:r w:rsidRPr="3B0F447B">
        <w:t>Refrain from placing prisoners in solitary confinement, except as a last resort and then only for as short a time as possible and subject to independent review</w:t>
      </w:r>
      <w:r w:rsidR="0054340A">
        <w:t>, consistent with the Nelson Mandela Rules</w:t>
      </w:r>
      <w:r w:rsidRPr="3B0F447B">
        <w:t>.</w:t>
      </w:r>
    </w:p>
    <w:p w14:paraId="568FE616" w14:textId="77777777" w:rsidR="008633DF" w:rsidRDefault="008633DF" w:rsidP="00792090">
      <w:pPr>
        <w:pStyle w:val="BulletRecommendationsQuestions"/>
      </w:pPr>
      <w:r w:rsidRPr="3B0F447B">
        <w:t>Conduct thorough, impartial, and independent investigations into all allegations of torture and ill-treatment, ensure that perpetrators are punished in accordance with existing laws, rules, and regulations, and that victims receive adequate redress and compensation.</w:t>
      </w:r>
    </w:p>
    <w:p w14:paraId="33AC99A0" w14:textId="77777777" w:rsidR="008633DF" w:rsidRDefault="008633DF" w:rsidP="00792090">
      <w:pPr>
        <w:pStyle w:val="BulletRecommendationsQuestions"/>
      </w:pPr>
      <w:r w:rsidRPr="3B0F447B">
        <w:t>Improve the overall quality and nutritional value of food served to incarcerated persons.</w:t>
      </w:r>
    </w:p>
    <w:p w14:paraId="7F8E6E21" w14:textId="77777777" w:rsidR="008633DF" w:rsidRDefault="008633DF" w:rsidP="00792090">
      <w:pPr>
        <w:pStyle w:val="BulletRecommendationsQuestions"/>
      </w:pPr>
      <w:r w:rsidRPr="3B0F447B">
        <w:t>Ensure the provision of adequate specialized medical services, including dental, psychological, and psychiatric care, for incarcerated persons.</w:t>
      </w:r>
    </w:p>
    <w:p w14:paraId="1623F47B" w14:textId="77777777" w:rsidR="008633DF" w:rsidRDefault="008633DF" w:rsidP="00792090">
      <w:pPr>
        <w:pStyle w:val="BulletRecommendationsQuestions"/>
      </w:pPr>
      <w:r w:rsidRPr="3B0F447B">
        <w:t>Ensure that prison work programs aim to equip incarcerated persons with skills, experience, and self-esteem necessary for their successful reintegration into society upon release.</w:t>
      </w:r>
    </w:p>
    <w:p w14:paraId="7C97C37E" w14:textId="77777777" w:rsidR="009E0FCD" w:rsidRDefault="009E0FCD" w:rsidP="009E0FCD">
      <w:pPr>
        <w:pStyle w:val="BulletRecommendationsQuestions"/>
      </w:pPr>
      <w:r>
        <w:t>Amend the laws concerning lèse-majesté, sedition, criminal defamation, the Computer Crimes Act, the Referendum Act, and the Public Assembly Act to ensure that they cannot be used to target human rights defenders on political grounds.</w:t>
      </w:r>
    </w:p>
    <w:p w14:paraId="2B36E627" w14:textId="45FF8C44" w:rsidR="0020660F" w:rsidRPr="00E114C5" w:rsidRDefault="00D2230D">
      <w:pPr>
        <w:pStyle w:val="BulletRecommendationsQuestions"/>
      </w:pPr>
      <w:r>
        <w:t>W</w:t>
      </w:r>
      <w:r w:rsidR="009E0FCD">
        <w:t xml:space="preserve">ithdraw Head of NCPO Order No. 3/2558. </w:t>
      </w:r>
    </w:p>
    <w:sectPr w:rsidR="0020660F" w:rsidRPr="00E114C5" w:rsidSect="008504A9">
      <w:headerReference w:type="default" r:id="rId9"/>
      <w:footerReference w:type="default" r:id="rId10"/>
      <w:headerReference w:type="first" r:id="rId11"/>
      <w:footerReference w:type="first" r:id="rId12"/>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0FD4C" w14:textId="77777777" w:rsidR="009C5DC0" w:rsidRDefault="009C5DC0">
      <w:r>
        <w:separator/>
      </w:r>
    </w:p>
  </w:endnote>
  <w:endnote w:type="continuationSeparator" w:id="0">
    <w:p w14:paraId="40316B99" w14:textId="77777777" w:rsidR="009C5DC0" w:rsidRDefault="009C5DC0">
      <w:r>
        <w:continuationSeparator/>
      </w:r>
    </w:p>
  </w:endnote>
  <w:endnote w:type="continuationNotice" w:id="1">
    <w:p w14:paraId="7FD6BEDE" w14:textId="77777777" w:rsidR="009C5DC0" w:rsidRDefault="009C5D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Ebrima">
    <w:panose1 w:val="02000000000000000000"/>
    <w:charset w:val="00"/>
    <w:family w:val="auto"/>
    <w:pitch w:val="variable"/>
    <w:sig w:usb0="A000005F" w:usb1="02000041" w:usb2="00000800" w:usb3="00000000" w:csb0="00000093"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87" w:usb1="00000000" w:usb2="00000000" w:usb3="00000000" w:csb0="0000009B"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92F27"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03C21404"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C81593">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0984589A"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C81593">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C81593">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DD75CE" w14:textId="77777777" w:rsidR="009C5DC0" w:rsidRDefault="009C5DC0">
      <w:r>
        <w:separator/>
      </w:r>
    </w:p>
  </w:footnote>
  <w:footnote w:type="continuationSeparator" w:id="0">
    <w:p w14:paraId="402FECCB" w14:textId="77777777" w:rsidR="009C5DC0" w:rsidRDefault="009C5DC0">
      <w:r>
        <w:continuationSeparator/>
      </w:r>
    </w:p>
  </w:footnote>
  <w:footnote w:type="continuationNotice" w:id="1">
    <w:p w14:paraId="4345CE86" w14:textId="77777777" w:rsidR="009C5DC0" w:rsidRDefault="009C5DC0"/>
  </w:footnote>
  <w:footnote w:id="2">
    <w:p w14:paraId="6F24451A" w14:textId="77777777" w:rsidR="00F2461F" w:rsidRPr="002F358C" w:rsidRDefault="00F2461F" w:rsidP="001B453B">
      <w:pPr>
        <w:pStyle w:val="FootnoteText"/>
        <w:rPr>
          <w:color w:val="000000" w:themeColor="text1"/>
          <w:sz w:val="20"/>
          <w:szCs w:val="20"/>
        </w:rPr>
      </w:pPr>
      <w:r w:rsidRPr="002F358C">
        <w:rPr>
          <w:rStyle w:val="FootnoteReference"/>
          <w:color w:val="000000" w:themeColor="text1"/>
          <w:sz w:val="20"/>
          <w:szCs w:val="20"/>
        </w:rPr>
        <w:footnoteRef/>
      </w:r>
      <w:r w:rsidR="0B938F6C" w:rsidRPr="002F358C">
        <w:rPr>
          <w:color w:val="000000" w:themeColor="text1"/>
          <w:sz w:val="20"/>
          <w:szCs w:val="20"/>
        </w:rPr>
        <w:t xml:space="preserve"> Amnesty International, </w:t>
      </w:r>
      <w:r w:rsidR="0B938F6C" w:rsidRPr="002F358C">
        <w:rPr>
          <w:i/>
          <w:iCs/>
          <w:color w:val="000000" w:themeColor="text1"/>
          <w:sz w:val="20"/>
          <w:szCs w:val="20"/>
        </w:rPr>
        <w:t>Thailand: Country’s First Execution since 2009 a Deplorable Move</w:t>
      </w:r>
      <w:r w:rsidR="0B938F6C" w:rsidRPr="002F358C">
        <w:rPr>
          <w:color w:val="000000" w:themeColor="text1"/>
          <w:sz w:val="20"/>
          <w:szCs w:val="20"/>
        </w:rPr>
        <w:t xml:space="preserve"> (June 19, 2018), available at </w:t>
      </w:r>
      <w:hyperlink r:id="rId1" w:history="1">
        <w:r w:rsidR="0B938F6C" w:rsidRPr="002F358C">
          <w:rPr>
            <w:rStyle w:val="Hyperlink"/>
            <w:color w:val="000000" w:themeColor="text1"/>
            <w:sz w:val="20"/>
            <w:szCs w:val="20"/>
            <w:u w:val="none"/>
          </w:rPr>
          <w:t>https://www.amnesty.org/en/latest/news/2018/06/thailand-countrys-first-execution-since-2009-a-deplorable-move/</w:t>
        </w:r>
      </w:hyperlink>
      <w:r w:rsidR="0B938F6C" w:rsidRPr="002F358C">
        <w:rPr>
          <w:color w:val="000000" w:themeColor="text1"/>
          <w:sz w:val="20"/>
          <w:szCs w:val="20"/>
        </w:rPr>
        <w:t xml:space="preserve">. </w:t>
      </w:r>
    </w:p>
  </w:footnote>
  <w:footnote w:id="3">
    <w:p w14:paraId="0E1BF2EA" w14:textId="330D40D5" w:rsidR="002A6F81" w:rsidRPr="002F358C" w:rsidRDefault="002A6F81" w:rsidP="002A6F81">
      <w:pPr>
        <w:pStyle w:val="FootnoteText"/>
        <w:rPr>
          <w:color w:val="000000" w:themeColor="text1"/>
          <w:sz w:val="20"/>
          <w:szCs w:val="20"/>
        </w:rPr>
      </w:pPr>
      <w:r w:rsidRPr="002F358C">
        <w:rPr>
          <w:rStyle w:val="FootnoteReference"/>
          <w:color w:val="000000" w:themeColor="text1"/>
        </w:rPr>
        <w:footnoteRef/>
      </w:r>
      <w:r w:rsidR="0B938F6C" w:rsidRPr="002F358C">
        <w:rPr>
          <w:color w:val="000000" w:themeColor="text1"/>
          <w:sz w:val="20"/>
          <w:szCs w:val="20"/>
        </w:rPr>
        <w:t xml:space="preserve"> Concluding Observations on the Initial Report of Thailand (June 20, 2014), CAT/C/THA/CO/1.</w:t>
      </w:r>
    </w:p>
  </w:footnote>
  <w:footnote w:id="4">
    <w:p w14:paraId="2F282015" w14:textId="0CB365FB" w:rsidR="008E4249" w:rsidRPr="002F358C" w:rsidRDefault="008E4249">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w:t>
      </w:r>
      <w:r w:rsidR="00FB50E8" w:rsidRPr="002F358C">
        <w:rPr>
          <w:color w:val="000000" w:themeColor="text1"/>
          <w:sz w:val="20"/>
          <w:szCs w:val="20"/>
        </w:rPr>
        <w:t xml:space="preserve">Amnesty International, </w:t>
      </w:r>
      <w:r w:rsidR="00FB50E8" w:rsidRPr="002F358C">
        <w:rPr>
          <w:i/>
          <w:iCs/>
          <w:color w:val="000000" w:themeColor="text1"/>
          <w:sz w:val="20"/>
          <w:szCs w:val="20"/>
        </w:rPr>
        <w:t>Thailand: Country’s First Execution since 2009 a Deplorable Move</w:t>
      </w:r>
      <w:r w:rsidR="00FB50E8" w:rsidRPr="002F358C">
        <w:rPr>
          <w:color w:val="000000" w:themeColor="text1"/>
          <w:sz w:val="20"/>
          <w:szCs w:val="20"/>
        </w:rPr>
        <w:t xml:space="preserve"> (June 19, 2018), available at </w:t>
      </w:r>
      <w:hyperlink r:id="rId2" w:history="1">
        <w:r w:rsidR="00FB50E8" w:rsidRPr="002F358C">
          <w:rPr>
            <w:rStyle w:val="Hyperlink"/>
            <w:color w:val="000000" w:themeColor="text1"/>
            <w:sz w:val="20"/>
            <w:szCs w:val="20"/>
            <w:u w:val="none"/>
          </w:rPr>
          <w:t>https://www.amnesty.org/en/latest/news/2018/06/thailand-countrys-first-execution-since-2009-a-deplorable-move/</w:t>
        </w:r>
      </w:hyperlink>
      <w:r w:rsidR="00FB50E8" w:rsidRPr="002F358C">
        <w:rPr>
          <w:color w:val="000000" w:themeColor="text1"/>
          <w:sz w:val="20"/>
          <w:szCs w:val="20"/>
        </w:rPr>
        <w:t>.</w:t>
      </w:r>
    </w:p>
  </w:footnote>
  <w:footnote w:id="5">
    <w:p w14:paraId="458AB345" w14:textId="67100A1A" w:rsidR="002A6F81" w:rsidRPr="002F358C" w:rsidRDefault="002A6F81" w:rsidP="002A6F81">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740D7C" w:rsidRPr="002F358C">
        <w:rPr>
          <w:color w:val="000000" w:themeColor="text1"/>
          <w:sz w:val="20"/>
          <w:szCs w:val="20"/>
        </w:rPr>
        <w:t xml:space="preserve">Amnesty International, </w:t>
      </w:r>
      <w:r w:rsidR="00740D7C" w:rsidRPr="002F358C">
        <w:rPr>
          <w:i/>
          <w:iCs/>
          <w:color w:val="000000" w:themeColor="text1"/>
          <w:sz w:val="20"/>
          <w:szCs w:val="20"/>
        </w:rPr>
        <w:t>Thailand: Country’s First Execution since 2009 a Deplorable Move</w:t>
      </w:r>
      <w:r w:rsidR="00740D7C" w:rsidRPr="002F358C">
        <w:rPr>
          <w:color w:val="000000" w:themeColor="text1"/>
          <w:sz w:val="20"/>
          <w:szCs w:val="20"/>
        </w:rPr>
        <w:t xml:space="preserve"> (June 19, 2018), available at </w:t>
      </w:r>
      <w:hyperlink r:id="rId3" w:history="1">
        <w:r w:rsidR="00740D7C" w:rsidRPr="002F358C">
          <w:rPr>
            <w:rStyle w:val="Hyperlink"/>
            <w:color w:val="000000" w:themeColor="text1"/>
            <w:sz w:val="20"/>
            <w:szCs w:val="20"/>
            <w:u w:val="none"/>
          </w:rPr>
          <w:t>https://www.amnesty.org/en/latest/news/2018/06/thailand-countrys-first-execution-since-2009-a-deplorable-move/</w:t>
        </w:r>
      </w:hyperlink>
      <w:r w:rsidR="000A1349" w:rsidRPr="002F358C">
        <w:rPr>
          <w:color w:val="000000" w:themeColor="text1"/>
          <w:sz w:val="20"/>
          <w:szCs w:val="20"/>
        </w:rPr>
        <w:t>; Tom Batchelor</w:t>
      </w:r>
      <w:r w:rsidR="00A57182" w:rsidRPr="002F358C">
        <w:rPr>
          <w:color w:val="000000" w:themeColor="text1"/>
          <w:sz w:val="20"/>
          <w:szCs w:val="20"/>
        </w:rPr>
        <w:t xml:space="preserve">, </w:t>
      </w:r>
      <w:r w:rsidR="00A57182" w:rsidRPr="002F358C">
        <w:rPr>
          <w:i/>
          <w:iCs/>
          <w:color w:val="000000" w:themeColor="text1"/>
          <w:sz w:val="20"/>
          <w:szCs w:val="20"/>
        </w:rPr>
        <w:t>Th</w:t>
      </w:r>
      <w:r w:rsidR="007E5BA2" w:rsidRPr="002F358C">
        <w:rPr>
          <w:i/>
          <w:iCs/>
          <w:color w:val="000000" w:themeColor="text1"/>
          <w:sz w:val="20"/>
          <w:szCs w:val="20"/>
        </w:rPr>
        <w:t>ailand Considers Introducing Death Penalty for Corruption</w:t>
      </w:r>
      <w:r w:rsidR="00FA1D90" w:rsidRPr="002F358C">
        <w:rPr>
          <w:color w:val="000000" w:themeColor="text1"/>
          <w:sz w:val="20"/>
          <w:szCs w:val="20"/>
        </w:rPr>
        <w:t xml:space="preserve">, </w:t>
      </w:r>
      <w:r w:rsidR="005D75CB" w:rsidRPr="002F358C">
        <w:rPr>
          <w:color w:val="000000" w:themeColor="text1"/>
          <w:sz w:val="20"/>
          <w:szCs w:val="20"/>
        </w:rPr>
        <w:t xml:space="preserve">The Independent (Jan. 9, 2017), available at </w:t>
      </w:r>
      <w:hyperlink r:id="rId4" w:history="1">
        <w:r w:rsidR="0039073F" w:rsidRPr="002F358C">
          <w:rPr>
            <w:rStyle w:val="Hyperlink"/>
            <w:color w:val="000000" w:themeColor="text1"/>
            <w:sz w:val="20"/>
            <w:szCs w:val="20"/>
            <w:u w:val="none"/>
          </w:rPr>
          <w:t>https://www.independent.co.uk/news/world/asia/thailand-death-penalty-corruption-new-law-a7517991.html</w:t>
        </w:r>
      </w:hyperlink>
      <w:r w:rsidR="0039073F" w:rsidRPr="002F358C">
        <w:rPr>
          <w:color w:val="000000" w:themeColor="text1"/>
          <w:sz w:val="20"/>
          <w:szCs w:val="20"/>
        </w:rPr>
        <w:t xml:space="preserve">. </w:t>
      </w:r>
    </w:p>
  </w:footnote>
  <w:footnote w:id="6">
    <w:p w14:paraId="1447D2FF" w14:textId="2932D985" w:rsidR="009E4AA9" w:rsidRPr="002F358C" w:rsidRDefault="009E4AA9">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8A23CB" w:rsidRPr="002F358C">
        <w:rPr>
          <w:color w:val="000000" w:themeColor="text1"/>
          <w:sz w:val="20"/>
          <w:szCs w:val="20"/>
        </w:rPr>
        <w:t xml:space="preserve">Thailand Criminal Code, art. 19, B.E. 2499 (1956), as amended </w:t>
      </w:r>
      <w:r w:rsidR="00895407" w:rsidRPr="002F358C">
        <w:rPr>
          <w:color w:val="000000" w:themeColor="text1"/>
          <w:sz w:val="20"/>
          <w:szCs w:val="20"/>
        </w:rPr>
        <w:t>by Section 4 of the Act Amending the</w:t>
      </w:r>
      <w:r w:rsidR="008A23CB" w:rsidRPr="002F358C">
        <w:rPr>
          <w:color w:val="000000" w:themeColor="text1"/>
          <w:sz w:val="20"/>
          <w:szCs w:val="20"/>
        </w:rPr>
        <w:t xml:space="preserve"> Criminal Code </w:t>
      </w:r>
      <w:r w:rsidR="006C6F28" w:rsidRPr="002F358C">
        <w:rPr>
          <w:color w:val="000000" w:themeColor="text1"/>
          <w:sz w:val="20"/>
          <w:szCs w:val="20"/>
        </w:rPr>
        <w:t>(No. 16), B.E. 2546.</w:t>
      </w:r>
      <w:r w:rsidR="00C81593">
        <w:rPr>
          <w:color w:val="000000" w:themeColor="text1"/>
          <w:sz w:val="20"/>
          <w:szCs w:val="20"/>
        </w:rPr>
        <w:t xml:space="preserve"> </w:t>
      </w:r>
    </w:p>
  </w:footnote>
  <w:footnote w:id="7">
    <w:p w14:paraId="750C4324" w14:textId="36723E7A" w:rsidR="002A6F81" w:rsidRPr="002F358C" w:rsidRDefault="002A6F81" w:rsidP="002A6F81">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B2085C" w:rsidRPr="002F358C">
        <w:rPr>
          <w:color w:val="000000" w:themeColor="text1"/>
          <w:sz w:val="20"/>
          <w:szCs w:val="20"/>
        </w:rPr>
        <w:t xml:space="preserve">International Federation for Human Rights, </w:t>
      </w:r>
      <w:r w:rsidR="00B2085C" w:rsidRPr="002F358C">
        <w:rPr>
          <w:i/>
          <w:iCs/>
          <w:color w:val="000000" w:themeColor="text1"/>
          <w:sz w:val="20"/>
          <w:szCs w:val="20"/>
        </w:rPr>
        <w:t>Thailand Annual Prison Report 2024</w:t>
      </w:r>
      <w:r w:rsidR="00B2085C" w:rsidRPr="002F358C">
        <w:rPr>
          <w:color w:val="000000" w:themeColor="text1"/>
          <w:sz w:val="20"/>
          <w:szCs w:val="20"/>
        </w:rPr>
        <w:t xml:space="preserve"> (March 2024), at 13, available at </w:t>
      </w:r>
      <w:hyperlink r:id="rId5">
        <w:r w:rsidR="0B938F6C" w:rsidRPr="002F358C">
          <w:rPr>
            <w:rStyle w:val="Hyperlink"/>
            <w:color w:val="000000" w:themeColor="text1"/>
            <w:sz w:val="20"/>
            <w:szCs w:val="20"/>
            <w:u w:val="none"/>
          </w:rPr>
          <w:t>https://www.fidh.org/IMG/pdf/thailandprison823a.pdf</w:t>
        </w:r>
      </w:hyperlink>
      <w:r w:rsidR="00B2085C" w:rsidRPr="002F358C">
        <w:rPr>
          <w:color w:val="000000" w:themeColor="text1"/>
          <w:sz w:val="20"/>
          <w:szCs w:val="20"/>
        </w:rPr>
        <w:t>.</w:t>
      </w:r>
      <w:r w:rsidR="0B938F6C" w:rsidRPr="002F358C">
        <w:rPr>
          <w:color w:val="000000" w:themeColor="text1"/>
          <w:sz w:val="20"/>
          <w:szCs w:val="20"/>
        </w:rPr>
        <w:t xml:space="preserve"> </w:t>
      </w:r>
    </w:p>
  </w:footnote>
  <w:footnote w:id="8">
    <w:p w14:paraId="7278BD8D" w14:textId="4DCA60A0" w:rsidR="002A6F81" w:rsidRPr="002F358C" w:rsidRDefault="002A6F81" w:rsidP="002A6F81">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B2085C" w:rsidRPr="002F358C">
        <w:rPr>
          <w:color w:val="000000" w:themeColor="text1"/>
          <w:sz w:val="20"/>
          <w:szCs w:val="20"/>
        </w:rPr>
        <w:t xml:space="preserve">International Federation for Human Rights, </w:t>
      </w:r>
      <w:r w:rsidR="00B2085C" w:rsidRPr="002F358C">
        <w:rPr>
          <w:i/>
          <w:iCs/>
          <w:color w:val="000000" w:themeColor="text1"/>
          <w:sz w:val="20"/>
          <w:szCs w:val="20"/>
        </w:rPr>
        <w:t>Thailand Annual Prison Report 2024</w:t>
      </w:r>
      <w:r w:rsidR="00B2085C" w:rsidRPr="002F358C">
        <w:rPr>
          <w:color w:val="000000" w:themeColor="text1"/>
          <w:sz w:val="20"/>
          <w:szCs w:val="20"/>
        </w:rPr>
        <w:t xml:space="preserve"> (March 2024), at 13, available at </w:t>
      </w:r>
      <w:hyperlink r:id="rId6">
        <w:r w:rsidR="0B938F6C" w:rsidRPr="002F358C">
          <w:rPr>
            <w:rStyle w:val="Hyperlink"/>
            <w:color w:val="000000" w:themeColor="text1"/>
            <w:sz w:val="20"/>
            <w:szCs w:val="20"/>
            <w:u w:val="none"/>
          </w:rPr>
          <w:t>https://www.fidh.org/IMG/pdf/thailandprison823a.pdf</w:t>
        </w:r>
      </w:hyperlink>
      <w:r w:rsidR="00B2085C" w:rsidRPr="002F358C">
        <w:rPr>
          <w:color w:val="000000" w:themeColor="text1"/>
          <w:sz w:val="20"/>
          <w:szCs w:val="20"/>
        </w:rPr>
        <w:t>.</w:t>
      </w:r>
    </w:p>
  </w:footnote>
  <w:footnote w:id="9">
    <w:p w14:paraId="2E70799F" w14:textId="6BCDBC59" w:rsidR="008B4500" w:rsidRPr="002F358C" w:rsidRDefault="008B4500">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105B0" w:rsidRPr="002F358C">
        <w:rPr>
          <w:color w:val="000000" w:themeColor="text1"/>
          <w:sz w:val="20"/>
          <w:szCs w:val="20"/>
        </w:rPr>
        <w:t xml:space="preserve">International Federation for Human Rights, </w:t>
      </w:r>
      <w:r w:rsidR="00D105B0" w:rsidRPr="002F358C">
        <w:rPr>
          <w:i/>
          <w:iCs/>
          <w:color w:val="000000" w:themeColor="text1"/>
          <w:sz w:val="20"/>
          <w:szCs w:val="20"/>
        </w:rPr>
        <w:t>Thailand Annual Prison Report 2024</w:t>
      </w:r>
      <w:r w:rsidR="00D105B0" w:rsidRPr="002F358C">
        <w:rPr>
          <w:color w:val="000000" w:themeColor="text1"/>
          <w:sz w:val="20"/>
          <w:szCs w:val="20"/>
        </w:rPr>
        <w:t xml:space="preserve"> (March 2024), at 14, available at </w:t>
      </w:r>
      <w:hyperlink r:id="rId7">
        <w:r w:rsidR="0B938F6C" w:rsidRPr="002F358C">
          <w:rPr>
            <w:rStyle w:val="Hyperlink"/>
            <w:color w:val="000000" w:themeColor="text1"/>
            <w:sz w:val="20"/>
            <w:szCs w:val="20"/>
            <w:u w:val="none"/>
          </w:rPr>
          <w:t>https://www.fidh.org/IMG/pdf/thailandprison823a.pdf</w:t>
        </w:r>
      </w:hyperlink>
      <w:r w:rsidR="00D105B0" w:rsidRPr="002F358C">
        <w:rPr>
          <w:color w:val="000000" w:themeColor="text1"/>
          <w:sz w:val="20"/>
          <w:szCs w:val="20"/>
        </w:rPr>
        <w:t>.</w:t>
      </w:r>
    </w:p>
  </w:footnote>
  <w:footnote w:id="10">
    <w:p w14:paraId="41503719" w14:textId="703BD4AA" w:rsidR="00F22A46" w:rsidRPr="002F358C" w:rsidRDefault="00F22A46">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w:t>
      </w:r>
      <w:r w:rsidR="00871A06" w:rsidRPr="002F358C">
        <w:rPr>
          <w:color w:val="000000" w:themeColor="text1"/>
          <w:sz w:val="20"/>
          <w:szCs w:val="20"/>
        </w:rPr>
        <w:t>Common Core Document Forming Part of the Reports of States Parties</w:t>
      </w:r>
      <w:r w:rsidR="00A53C85" w:rsidRPr="002F358C">
        <w:rPr>
          <w:color w:val="000000" w:themeColor="text1"/>
          <w:sz w:val="20"/>
          <w:szCs w:val="20"/>
        </w:rPr>
        <w:t>: Thailand</w:t>
      </w:r>
      <w:r w:rsidR="00284B91" w:rsidRPr="002F358C">
        <w:rPr>
          <w:color w:val="000000" w:themeColor="text1"/>
          <w:sz w:val="20"/>
          <w:szCs w:val="20"/>
        </w:rPr>
        <w:t xml:space="preserve">, </w:t>
      </w:r>
      <w:r w:rsidR="00C10B44" w:rsidRPr="002F358C">
        <w:rPr>
          <w:color w:val="000000" w:themeColor="text1"/>
          <w:sz w:val="20"/>
          <w:szCs w:val="20"/>
        </w:rPr>
        <w:t>(Nov. 15, 2021), HRI/CORE/THA/2021</w:t>
      </w:r>
      <w:r w:rsidR="00EF3F2F" w:rsidRPr="002F358C">
        <w:rPr>
          <w:color w:val="000000" w:themeColor="text1"/>
          <w:sz w:val="20"/>
          <w:szCs w:val="20"/>
        </w:rPr>
        <w:t>, ¶ 100</w:t>
      </w:r>
      <w:r w:rsidR="00C10B44" w:rsidRPr="002F358C">
        <w:rPr>
          <w:color w:val="000000" w:themeColor="text1"/>
          <w:sz w:val="20"/>
          <w:szCs w:val="20"/>
        </w:rPr>
        <w:t>.</w:t>
      </w:r>
    </w:p>
  </w:footnote>
  <w:footnote w:id="11">
    <w:p w14:paraId="4FED890E" w14:textId="336BB3D0" w:rsidR="00E92232" w:rsidRPr="002F358C" w:rsidRDefault="00E92232">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Thailand Criminal Code, secs. 288, 289(4), B.E. 2499 (1956), as amended through to </w:t>
      </w:r>
      <w:r w:rsidR="00BD0266" w:rsidRPr="002F358C">
        <w:rPr>
          <w:color w:val="000000" w:themeColor="text1"/>
          <w:sz w:val="20"/>
          <w:szCs w:val="20"/>
        </w:rPr>
        <w:t xml:space="preserve">Criminal code No. 17, B.E. </w:t>
      </w:r>
      <w:r w:rsidR="00354BAD" w:rsidRPr="002F358C">
        <w:rPr>
          <w:color w:val="000000" w:themeColor="text1"/>
          <w:sz w:val="20"/>
          <w:szCs w:val="20"/>
        </w:rPr>
        <w:t xml:space="preserve">2547 (2003). </w:t>
      </w:r>
    </w:p>
  </w:footnote>
  <w:footnote w:id="12">
    <w:p w14:paraId="2E547D3D" w14:textId="0502162E" w:rsidR="000866ED" w:rsidRPr="002F358C" w:rsidRDefault="000866E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Pr="002F358C">
        <w:rPr>
          <w:i/>
          <w:color w:val="000000" w:themeColor="text1"/>
          <w:sz w:val="20"/>
          <w:szCs w:val="20"/>
        </w:rPr>
        <w:t>See, e.g.</w:t>
      </w:r>
      <w:r w:rsidRPr="002F358C">
        <w:rPr>
          <w:color w:val="000000" w:themeColor="text1"/>
          <w:sz w:val="20"/>
          <w:szCs w:val="20"/>
        </w:rPr>
        <w:t xml:space="preserve">, </w:t>
      </w:r>
      <w:r w:rsidR="0037219F" w:rsidRPr="002F358C">
        <w:rPr>
          <w:color w:val="000000" w:themeColor="text1"/>
          <w:sz w:val="20"/>
          <w:szCs w:val="20"/>
        </w:rPr>
        <w:t>Thailand Criminal Code, sec. 340, B.E. 2499 (1956), as amended through to Criminal Code No. 17, B.E. 2547 (2003)</w:t>
      </w:r>
      <w:r w:rsidR="00642CAF" w:rsidRPr="002F358C">
        <w:rPr>
          <w:color w:val="000000" w:themeColor="text1"/>
          <w:sz w:val="20"/>
          <w:szCs w:val="20"/>
        </w:rPr>
        <w:t xml:space="preserve"> (</w:t>
      </w:r>
      <w:r w:rsidR="00F36BE0" w:rsidRPr="002F358C">
        <w:rPr>
          <w:color w:val="000000" w:themeColor="text1"/>
          <w:sz w:val="20"/>
          <w:szCs w:val="20"/>
        </w:rPr>
        <w:t xml:space="preserve">gang-robbery); </w:t>
      </w:r>
      <w:r w:rsidR="00551ACF" w:rsidRPr="002F358C">
        <w:rPr>
          <w:color w:val="000000" w:themeColor="text1"/>
          <w:sz w:val="20"/>
          <w:szCs w:val="20"/>
        </w:rPr>
        <w:t>Thailand Criminal Code, sec. 3</w:t>
      </w:r>
      <w:r w:rsidR="00026534" w:rsidRPr="002F358C">
        <w:rPr>
          <w:color w:val="000000" w:themeColor="text1"/>
          <w:sz w:val="20"/>
          <w:szCs w:val="20"/>
        </w:rPr>
        <w:t>39, B.E. 2499 (1956), as amended through to Criminal Code No. 17, B.E. 2547 (2003) (theft).</w:t>
      </w:r>
    </w:p>
  </w:footnote>
  <w:footnote w:id="13">
    <w:p w14:paraId="3CF955C8" w14:textId="0F85EF30" w:rsidR="00026534" w:rsidRPr="002F358C" w:rsidRDefault="0002653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2C7B67" w:rsidRPr="002F358C">
        <w:rPr>
          <w:i/>
          <w:color w:val="000000" w:themeColor="text1"/>
          <w:sz w:val="20"/>
          <w:szCs w:val="20"/>
        </w:rPr>
        <w:t>See, e.g.</w:t>
      </w:r>
      <w:r w:rsidR="002C7B67" w:rsidRPr="002F358C">
        <w:rPr>
          <w:color w:val="000000" w:themeColor="text1"/>
          <w:sz w:val="20"/>
          <w:szCs w:val="20"/>
        </w:rPr>
        <w:t xml:space="preserve">, Thailand Criminal Code, sec. </w:t>
      </w:r>
      <w:r w:rsidR="005C41AE" w:rsidRPr="002F358C">
        <w:rPr>
          <w:color w:val="000000" w:themeColor="text1"/>
          <w:sz w:val="20"/>
          <w:szCs w:val="20"/>
        </w:rPr>
        <w:t>218, B.E. 2499 (1956), as amended through to Criminal Code No. 17, B.E. 2547 (2003)</w:t>
      </w:r>
      <w:r w:rsidR="000A6893" w:rsidRPr="002F358C">
        <w:rPr>
          <w:color w:val="000000" w:themeColor="text1"/>
          <w:sz w:val="20"/>
          <w:szCs w:val="20"/>
        </w:rPr>
        <w:t xml:space="preserve">. </w:t>
      </w:r>
    </w:p>
  </w:footnote>
  <w:footnote w:id="14">
    <w:p w14:paraId="72293643" w14:textId="3A5C8341" w:rsidR="00026534" w:rsidRPr="002F358C" w:rsidRDefault="0002653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253B68" w:rsidRPr="002F358C">
        <w:rPr>
          <w:color w:val="000000" w:themeColor="text1"/>
          <w:sz w:val="20"/>
          <w:szCs w:val="20"/>
        </w:rPr>
        <w:t>Thailand Criminal Code, secs. 276, 277, 277ter, B.E. 2499 (1956), as amended through to Criminal Code No. 17, B.E. 2547 (2003).</w:t>
      </w:r>
    </w:p>
  </w:footnote>
  <w:footnote w:id="15">
    <w:p w14:paraId="21791D17" w14:textId="048BCE77" w:rsidR="00026534" w:rsidRPr="002F358C" w:rsidRDefault="0002653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C567FC" w:rsidRPr="002F358C">
        <w:rPr>
          <w:color w:val="000000" w:themeColor="text1"/>
          <w:sz w:val="20"/>
          <w:szCs w:val="20"/>
        </w:rPr>
        <w:t>Thailand Criminal Code, secs. 218, 219, B.E. 2499, B.E. 2499 (1956), as amended through to Criminal Code No. 17, B.E. 2547 (2003).</w:t>
      </w:r>
    </w:p>
  </w:footnote>
  <w:footnote w:id="16">
    <w:p w14:paraId="1EC6A899" w14:textId="76BA4DDA" w:rsidR="00026534" w:rsidRPr="002F358C" w:rsidRDefault="0002653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4D4A8D" w:rsidRPr="002F358C">
        <w:rPr>
          <w:color w:val="000000" w:themeColor="text1"/>
          <w:sz w:val="20"/>
          <w:szCs w:val="20"/>
        </w:rPr>
        <w:t>Thailand Criminal Code, secs. 313, 314, B.E. 2499 (1956), as amended through to Criminal Code No. 17, B.E. 2547 (2003).</w:t>
      </w:r>
    </w:p>
  </w:footnote>
  <w:footnote w:id="17">
    <w:p w14:paraId="0DC5A1EC" w14:textId="736DEC54" w:rsidR="00026534" w:rsidRPr="002F358C" w:rsidRDefault="0002653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650C4A" w:rsidRPr="002F358C">
        <w:rPr>
          <w:color w:val="000000" w:themeColor="text1"/>
          <w:sz w:val="20"/>
          <w:szCs w:val="20"/>
        </w:rPr>
        <w:t xml:space="preserve">Thailand </w:t>
      </w:r>
      <w:r w:rsidR="007D0F87" w:rsidRPr="002F358C">
        <w:rPr>
          <w:color w:val="000000" w:themeColor="text1"/>
          <w:sz w:val="20"/>
          <w:szCs w:val="20"/>
        </w:rPr>
        <w:t>Narcotics Act</w:t>
      </w:r>
      <w:r w:rsidR="00650C4A" w:rsidRPr="002F358C">
        <w:rPr>
          <w:color w:val="000000" w:themeColor="text1"/>
          <w:sz w:val="20"/>
          <w:szCs w:val="20"/>
        </w:rPr>
        <w:t xml:space="preserve">, secs. </w:t>
      </w:r>
      <w:r w:rsidR="007D0F87" w:rsidRPr="002F358C">
        <w:rPr>
          <w:color w:val="000000" w:themeColor="text1"/>
          <w:sz w:val="20"/>
          <w:szCs w:val="20"/>
        </w:rPr>
        <w:t>7, 15, 65</w:t>
      </w:r>
      <w:r w:rsidR="00650C4A" w:rsidRPr="002F358C">
        <w:rPr>
          <w:color w:val="000000" w:themeColor="text1"/>
          <w:sz w:val="20"/>
          <w:szCs w:val="20"/>
        </w:rPr>
        <w:t xml:space="preserve">, B.E. </w:t>
      </w:r>
      <w:r w:rsidR="007D0F87" w:rsidRPr="002F358C">
        <w:rPr>
          <w:color w:val="000000" w:themeColor="text1"/>
          <w:sz w:val="20"/>
          <w:szCs w:val="20"/>
        </w:rPr>
        <w:t>2522 (1979</w:t>
      </w:r>
      <w:r w:rsidR="00650C4A" w:rsidRPr="002F358C">
        <w:rPr>
          <w:color w:val="000000" w:themeColor="text1"/>
          <w:sz w:val="20"/>
          <w:szCs w:val="20"/>
        </w:rPr>
        <w:t xml:space="preserve">), as amended through to </w:t>
      </w:r>
      <w:r w:rsidR="007D0F87" w:rsidRPr="002F358C">
        <w:rPr>
          <w:color w:val="000000" w:themeColor="text1"/>
          <w:sz w:val="20"/>
          <w:szCs w:val="20"/>
        </w:rPr>
        <w:t>Act</w:t>
      </w:r>
      <w:r w:rsidR="00650C4A" w:rsidRPr="002F358C">
        <w:rPr>
          <w:color w:val="000000" w:themeColor="text1"/>
          <w:sz w:val="20"/>
          <w:szCs w:val="20"/>
        </w:rPr>
        <w:t xml:space="preserve"> No. </w:t>
      </w:r>
      <w:r w:rsidR="007D0F87" w:rsidRPr="002F358C">
        <w:rPr>
          <w:color w:val="000000" w:themeColor="text1"/>
          <w:sz w:val="20"/>
          <w:szCs w:val="20"/>
        </w:rPr>
        <w:t>5</w:t>
      </w:r>
      <w:r w:rsidR="00650C4A" w:rsidRPr="002F358C">
        <w:rPr>
          <w:color w:val="000000" w:themeColor="text1"/>
          <w:sz w:val="20"/>
          <w:szCs w:val="20"/>
        </w:rPr>
        <w:t xml:space="preserve">, B.E. </w:t>
      </w:r>
      <w:r w:rsidR="007D0F87" w:rsidRPr="002F358C">
        <w:rPr>
          <w:color w:val="000000" w:themeColor="text1"/>
          <w:sz w:val="20"/>
          <w:szCs w:val="20"/>
        </w:rPr>
        <w:t>2545 (2002</w:t>
      </w:r>
      <w:r w:rsidR="00650C4A" w:rsidRPr="002F358C">
        <w:rPr>
          <w:color w:val="000000" w:themeColor="text1"/>
          <w:sz w:val="20"/>
          <w:szCs w:val="20"/>
        </w:rPr>
        <w:t>).</w:t>
      </w:r>
    </w:p>
  </w:footnote>
  <w:footnote w:id="18">
    <w:p w14:paraId="70A74DC0" w14:textId="0608B29F" w:rsidR="00026534" w:rsidRPr="002F358C" w:rsidRDefault="0002653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3E1124" w:rsidRPr="002F358C">
        <w:rPr>
          <w:color w:val="000000" w:themeColor="text1"/>
          <w:sz w:val="20"/>
          <w:szCs w:val="20"/>
        </w:rPr>
        <w:t xml:space="preserve">Thailand Narcotics Act, </w:t>
      </w:r>
      <w:r w:rsidR="007D0F87" w:rsidRPr="002F358C">
        <w:rPr>
          <w:color w:val="000000" w:themeColor="text1"/>
          <w:sz w:val="20"/>
          <w:szCs w:val="20"/>
        </w:rPr>
        <w:t>sec. 66</w:t>
      </w:r>
      <w:r w:rsidR="003E1124" w:rsidRPr="002F358C">
        <w:rPr>
          <w:color w:val="000000" w:themeColor="text1"/>
          <w:sz w:val="20"/>
          <w:szCs w:val="20"/>
        </w:rPr>
        <w:t>, B.E. 2522 (1979), as amended through to Act No. 5, B.E. 2545 (2002).</w:t>
      </w:r>
    </w:p>
  </w:footnote>
  <w:footnote w:id="19">
    <w:p w14:paraId="62F01DBD" w14:textId="6BC5F5A2" w:rsidR="00026534" w:rsidRPr="002F358C" w:rsidRDefault="0002653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442BFF" w:rsidRPr="002F358C">
        <w:rPr>
          <w:color w:val="000000" w:themeColor="text1"/>
          <w:sz w:val="20"/>
          <w:szCs w:val="20"/>
        </w:rPr>
        <w:t xml:space="preserve">Thailand </w:t>
      </w:r>
      <w:r w:rsidR="007D0F87" w:rsidRPr="002F358C">
        <w:rPr>
          <w:color w:val="000000" w:themeColor="text1"/>
          <w:sz w:val="20"/>
          <w:szCs w:val="20"/>
        </w:rPr>
        <w:t>Criminal Code</w:t>
      </w:r>
      <w:r w:rsidR="00442BFF" w:rsidRPr="002F358C">
        <w:rPr>
          <w:color w:val="000000" w:themeColor="text1"/>
          <w:sz w:val="20"/>
          <w:szCs w:val="20"/>
        </w:rPr>
        <w:t xml:space="preserve">, sec. </w:t>
      </w:r>
      <w:r w:rsidR="007D0F87" w:rsidRPr="002F358C">
        <w:rPr>
          <w:color w:val="000000" w:themeColor="text1"/>
          <w:sz w:val="20"/>
          <w:szCs w:val="20"/>
        </w:rPr>
        <w:t>149</w:t>
      </w:r>
      <w:r w:rsidR="00442BFF" w:rsidRPr="002F358C">
        <w:rPr>
          <w:color w:val="000000" w:themeColor="text1"/>
          <w:sz w:val="20"/>
          <w:szCs w:val="20"/>
        </w:rPr>
        <w:t xml:space="preserve">, B.E. </w:t>
      </w:r>
      <w:r w:rsidR="007D0F87" w:rsidRPr="002F358C">
        <w:rPr>
          <w:color w:val="000000" w:themeColor="text1"/>
          <w:sz w:val="20"/>
          <w:szCs w:val="20"/>
        </w:rPr>
        <w:t>2499 (1956</w:t>
      </w:r>
      <w:r w:rsidR="00442BFF" w:rsidRPr="002F358C">
        <w:rPr>
          <w:color w:val="000000" w:themeColor="text1"/>
          <w:sz w:val="20"/>
          <w:szCs w:val="20"/>
        </w:rPr>
        <w:t xml:space="preserve">), as amended through to </w:t>
      </w:r>
      <w:r w:rsidR="007D0F87" w:rsidRPr="002F358C">
        <w:rPr>
          <w:color w:val="000000" w:themeColor="text1"/>
          <w:sz w:val="20"/>
          <w:szCs w:val="20"/>
        </w:rPr>
        <w:t>Criminal Code</w:t>
      </w:r>
      <w:r w:rsidR="00442BFF" w:rsidRPr="002F358C">
        <w:rPr>
          <w:color w:val="000000" w:themeColor="text1"/>
          <w:sz w:val="20"/>
          <w:szCs w:val="20"/>
        </w:rPr>
        <w:t xml:space="preserve"> No. </w:t>
      </w:r>
      <w:r w:rsidR="007D0F87" w:rsidRPr="002F358C">
        <w:rPr>
          <w:color w:val="000000" w:themeColor="text1"/>
          <w:sz w:val="20"/>
          <w:szCs w:val="20"/>
        </w:rPr>
        <w:t>17</w:t>
      </w:r>
      <w:r w:rsidR="00442BFF" w:rsidRPr="002F358C">
        <w:rPr>
          <w:color w:val="000000" w:themeColor="text1"/>
          <w:sz w:val="20"/>
          <w:szCs w:val="20"/>
        </w:rPr>
        <w:t xml:space="preserve">, B.E. </w:t>
      </w:r>
      <w:r w:rsidR="007D0F87" w:rsidRPr="002F358C">
        <w:rPr>
          <w:color w:val="000000" w:themeColor="text1"/>
          <w:sz w:val="20"/>
          <w:szCs w:val="20"/>
        </w:rPr>
        <w:t>2547 (2003</w:t>
      </w:r>
      <w:r w:rsidR="00442BFF" w:rsidRPr="002F358C">
        <w:rPr>
          <w:color w:val="000000" w:themeColor="text1"/>
          <w:sz w:val="20"/>
          <w:szCs w:val="20"/>
        </w:rPr>
        <w:t>).</w:t>
      </w:r>
    </w:p>
  </w:footnote>
  <w:footnote w:id="20">
    <w:p w14:paraId="14B8FBB2" w14:textId="0885C9CC" w:rsidR="00026534" w:rsidRPr="002F358C" w:rsidRDefault="0002653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8E1354" w:rsidRPr="002F358C">
        <w:rPr>
          <w:color w:val="000000" w:themeColor="text1"/>
          <w:sz w:val="20"/>
          <w:szCs w:val="20"/>
        </w:rPr>
        <w:t>Thailand Criminal Code, secs. 130, 131, 132, B.E. 2499 (1956), as amended through to Criminal Code No. 17, B.E. 2547 (2003).</w:t>
      </w:r>
    </w:p>
  </w:footnote>
  <w:footnote w:id="21">
    <w:p w14:paraId="6FBFCC22" w14:textId="44BB6750" w:rsidR="00471A4B" w:rsidRPr="002F358C" w:rsidRDefault="00471A4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w:t>
      </w:r>
      <w:r w:rsidR="00D87ADF" w:rsidRPr="002F358C">
        <w:rPr>
          <w:color w:val="000000" w:themeColor="text1"/>
          <w:sz w:val="20"/>
          <w:szCs w:val="20"/>
        </w:rPr>
        <w:t>Common Core Document Forming Part of the Reports of States Parties: Thailand, (Nov. 15, 2021), HRI/CORE/THA/2021, ¶ 101.</w:t>
      </w:r>
    </w:p>
  </w:footnote>
  <w:footnote w:id="22">
    <w:p w14:paraId="4BB202DE" w14:textId="19353583" w:rsidR="00FD7C12" w:rsidRPr="002F358C" w:rsidRDefault="00FD7C12">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Common Core Document Forming Part of the Reports of States Parties: Thailand, (Nov. 15, 2021), HRI/CORE/THA/2021, ¶ 101.</w:t>
      </w:r>
    </w:p>
  </w:footnote>
  <w:footnote w:id="23">
    <w:p w14:paraId="27EF6F1C" w14:textId="3CDCB523" w:rsidR="00FA670C" w:rsidRPr="002F358C" w:rsidRDefault="00FA670C">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U.N.G.A., </w:t>
      </w:r>
      <w:r w:rsidR="00E42AAC" w:rsidRPr="002F358C">
        <w:rPr>
          <w:color w:val="000000" w:themeColor="text1"/>
          <w:sz w:val="20"/>
          <w:szCs w:val="20"/>
        </w:rPr>
        <w:t xml:space="preserve">77th Session, </w:t>
      </w:r>
      <w:r w:rsidR="00F9383F" w:rsidRPr="002F358C">
        <w:rPr>
          <w:color w:val="000000" w:themeColor="text1"/>
          <w:sz w:val="20"/>
          <w:szCs w:val="20"/>
        </w:rPr>
        <w:t xml:space="preserve">54th Plenary Meeting, p. </w:t>
      </w:r>
      <w:r w:rsidR="00B75412" w:rsidRPr="002F358C">
        <w:rPr>
          <w:color w:val="000000" w:themeColor="text1"/>
          <w:sz w:val="20"/>
          <w:szCs w:val="20"/>
        </w:rPr>
        <w:t>19,</w:t>
      </w:r>
      <w:r w:rsidR="00970860" w:rsidRPr="002F358C">
        <w:rPr>
          <w:color w:val="000000" w:themeColor="text1"/>
          <w:sz w:val="20"/>
          <w:szCs w:val="20"/>
        </w:rPr>
        <w:t xml:space="preserve"> U.N. Doc. </w:t>
      </w:r>
      <w:r w:rsidR="00AA77B0" w:rsidRPr="002F358C">
        <w:rPr>
          <w:color w:val="000000" w:themeColor="text1"/>
          <w:sz w:val="20"/>
          <w:szCs w:val="20"/>
        </w:rPr>
        <w:t xml:space="preserve">A/77/PV.54, </w:t>
      </w:r>
      <w:r w:rsidR="00072CED" w:rsidRPr="002F358C">
        <w:rPr>
          <w:color w:val="000000" w:themeColor="text1"/>
          <w:sz w:val="20"/>
          <w:szCs w:val="20"/>
        </w:rPr>
        <w:t xml:space="preserve">Dec. 15, 2022. </w:t>
      </w:r>
    </w:p>
  </w:footnote>
  <w:footnote w:id="24">
    <w:p w14:paraId="1D0CC5A2" w14:textId="58B858F7" w:rsidR="002A6F81" w:rsidRPr="002F358C" w:rsidRDefault="002A6F81" w:rsidP="002A6F81">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B3618D" w:rsidRPr="002F358C">
        <w:rPr>
          <w:color w:val="000000" w:themeColor="text1"/>
          <w:sz w:val="20"/>
          <w:szCs w:val="20"/>
        </w:rPr>
        <w:t xml:space="preserve">Amnesty International, </w:t>
      </w:r>
      <w:r w:rsidR="00B3618D" w:rsidRPr="002F358C">
        <w:rPr>
          <w:i/>
          <w:iCs/>
          <w:color w:val="000000" w:themeColor="text1"/>
          <w:sz w:val="20"/>
          <w:szCs w:val="20"/>
        </w:rPr>
        <w:t>Amnesty International Global Report: Death Sentences and Executions 2021</w:t>
      </w:r>
      <w:r w:rsidR="00B3618D" w:rsidRPr="002F358C">
        <w:rPr>
          <w:color w:val="000000" w:themeColor="text1"/>
          <w:sz w:val="20"/>
          <w:szCs w:val="20"/>
        </w:rPr>
        <w:t xml:space="preserve"> (2022), at 37, available at </w:t>
      </w:r>
      <w:hyperlink r:id="rId8" w:history="1">
        <w:r w:rsidR="00B3618D" w:rsidRPr="002F358C">
          <w:rPr>
            <w:rStyle w:val="Hyperlink"/>
            <w:color w:val="000000" w:themeColor="text1"/>
            <w:sz w:val="20"/>
            <w:szCs w:val="20"/>
            <w:u w:val="none"/>
          </w:rPr>
          <w:t>https://www.amnesty.org/en/documents/act50/5418/2022/en/</w:t>
        </w:r>
      </w:hyperlink>
      <w:r w:rsidR="00B3618D" w:rsidRPr="002F358C">
        <w:rPr>
          <w:color w:val="000000" w:themeColor="text1"/>
          <w:sz w:val="20"/>
          <w:szCs w:val="20"/>
        </w:rPr>
        <w:t xml:space="preserve">. </w:t>
      </w:r>
    </w:p>
  </w:footnote>
  <w:footnote w:id="25">
    <w:p w14:paraId="0E0691A0" w14:textId="1452AC54" w:rsidR="002A6F81" w:rsidRPr="002F358C" w:rsidRDefault="002A6F81" w:rsidP="002A6F81">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B3618D" w:rsidRPr="002F358C">
        <w:rPr>
          <w:color w:val="000000" w:themeColor="text1"/>
          <w:sz w:val="20"/>
          <w:szCs w:val="20"/>
        </w:rPr>
        <w:t xml:space="preserve">Amnesty International, </w:t>
      </w:r>
      <w:r w:rsidR="00B3618D" w:rsidRPr="002F358C">
        <w:rPr>
          <w:i/>
          <w:iCs/>
          <w:color w:val="000000" w:themeColor="text1"/>
          <w:sz w:val="20"/>
          <w:szCs w:val="20"/>
        </w:rPr>
        <w:t>Amnesty International Global Report: Death Sentences and Executions 2021</w:t>
      </w:r>
      <w:r w:rsidR="00B3618D" w:rsidRPr="002F358C">
        <w:rPr>
          <w:color w:val="000000" w:themeColor="text1"/>
          <w:sz w:val="20"/>
          <w:szCs w:val="20"/>
        </w:rPr>
        <w:t xml:space="preserve"> (2022), at 37, available at </w:t>
      </w:r>
      <w:hyperlink r:id="rId9" w:history="1">
        <w:r w:rsidR="00B3618D" w:rsidRPr="002F358C">
          <w:rPr>
            <w:rStyle w:val="Hyperlink"/>
            <w:color w:val="000000" w:themeColor="text1"/>
            <w:sz w:val="20"/>
            <w:szCs w:val="20"/>
            <w:u w:val="none"/>
          </w:rPr>
          <w:t>https://www.amnesty.org/en/documents/act50/5418/2022/en/</w:t>
        </w:r>
      </w:hyperlink>
      <w:r w:rsidR="00B3618D" w:rsidRPr="002F358C">
        <w:rPr>
          <w:color w:val="000000" w:themeColor="text1"/>
          <w:sz w:val="20"/>
          <w:szCs w:val="20"/>
        </w:rPr>
        <w:t>.</w:t>
      </w:r>
    </w:p>
  </w:footnote>
  <w:footnote w:id="26">
    <w:p w14:paraId="45F5D5C1" w14:textId="05479552"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 xml:space="preserve">List of issues prior to the second periodic report of Thailand </w:t>
      </w:r>
      <w:r w:rsidRPr="002F358C">
        <w:rPr>
          <w:color w:val="000000" w:themeColor="text1"/>
          <w:sz w:val="20"/>
          <w:szCs w:val="20"/>
        </w:rPr>
        <w:t>(June 19, 2018), U.N. Doc. CAT/C/THA/QPR/2, ¶</w:t>
      </w:r>
      <w:r w:rsidR="0B938F6C" w:rsidRPr="002F358C">
        <w:rPr>
          <w:color w:val="000000" w:themeColor="text1"/>
          <w:sz w:val="20"/>
          <w:szCs w:val="20"/>
        </w:rPr>
        <w:t xml:space="preserve"> </w:t>
      </w:r>
      <w:r w:rsidRPr="002F358C">
        <w:rPr>
          <w:color w:val="000000" w:themeColor="text1"/>
          <w:sz w:val="20"/>
          <w:szCs w:val="20"/>
        </w:rPr>
        <w:t>3.</w:t>
      </w:r>
    </w:p>
  </w:footnote>
  <w:footnote w:id="27">
    <w:p w14:paraId="03162ADA" w14:textId="66EA0D99"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 xml:space="preserve">List of issues prior to the second periodic report of Thailand </w:t>
      </w:r>
      <w:r w:rsidRPr="002F358C">
        <w:rPr>
          <w:color w:val="000000" w:themeColor="text1"/>
          <w:sz w:val="20"/>
          <w:szCs w:val="20"/>
        </w:rPr>
        <w:t>(June 19, 2018), U.N. Doc. CAT/C/THA/QPR/2, ¶</w:t>
      </w:r>
      <w:r w:rsidR="0B938F6C" w:rsidRPr="002F358C">
        <w:rPr>
          <w:color w:val="000000" w:themeColor="text1"/>
          <w:sz w:val="20"/>
          <w:szCs w:val="20"/>
        </w:rPr>
        <w:t xml:space="preserve"> </w:t>
      </w:r>
      <w:r w:rsidRPr="002F358C">
        <w:rPr>
          <w:color w:val="000000" w:themeColor="text1"/>
          <w:sz w:val="20"/>
          <w:szCs w:val="20"/>
        </w:rPr>
        <w:t>4.</w:t>
      </w:r>
    </w:p>
  </w:footnote>
  <w:footnote w:id="28">
    <w:p w14:paraId="0476A997" w14:textId="0B3E9EFB"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xml:space="preserve"> (Jan. 4, 2021), U.N. Doc. CAT/C/THA/2 ¶</w:t>
      </w:r>
      <w:r w:rsidR="0B938F6C" w:rsidRPr="002F358C">
        <w:rPr>
          <w:color w:val="000000" w:themeColor="text1"/>
          <w:sz w:val="20"/>
          <w:szCs w:val="20"/>
        </w:rPr>
        <w:t xml:space="preserve"> </w:t>
      </w:r>
      <w:r w:rsidRPr="002F358C">
        <w:rPr>
          <w:color w:val="000000" w:themeColor="text1"/>
          <w:sz w:val="20"/>
          <w:szCs w:val="20"/>
        </w:rPr>
        <w:t>11.</w:t>
      </w:r>
    </w:p>
  </w:footnote>
  <w:footnote w:id="29">
    <w:p w14:paraId="5754C8C5" w14:textId="5FA261BA"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xml:space="preserve"> (Jan. 4, 2021), U.N. Doc. CAT/C/THA/2 ¶</w:t>
      </w:r>
      <w:r w:rsidR="0B938F6C" w:rsidRPr="002F358C">
        <w:rPr>
          <w:color w:val="000000" w:themeColor="text1"/>
          <w:sz w:val="20"/>
          <w:szCs w:val="20"/>
        </w:rPr>
        <w:t xml:space="preserve"> </w:t>
      </w:r>
      <w:r w:rsidRPr="002F358C">
        <w:rPr>
          <w:color w:val="000000" w:themeColor="text1"/>
          <w:sz w:val="20"/>
          <w:szCs w:val="20"/>
        </w:rPr>
        <w:t>15.</w:t>
      </w:r>
    </w:p>
  </w:footnote>
  <w:footnote w:id="30">
    <w:p w14:paraId="6AA6FFE7" w14:textId="21C4C761"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xml:space="preserve"> (Jan. 4, 2021), U.N. Doc. CAT/C/THA/2 ¶</w:t>
      </w:r>
      <w:r w:rsidR="0B938F6C" w:rsidRPr="002F358C">
        <w:rPr>
          <w:color w:val="000000" w:themeColor="text1"/>
          <w:sz w:val="20"/>
          <w:szCs w:val="20"/>
        </w:rPr>
        <w:t xml:space="preserve"> </w:t>
      </w:r>
      <w:r w:rsidRPr="002F358C">
        <w:rPr>
          <w:color w:val="000000" w:themeColor="text1"/>
          <w:sz w:val="20"/>
          <w:szCs w:val="20"/>
        </w:rPr>
        <w:t>17(c).</w:t>
      </w:r>
    </w:p>
  </w:footnote>
  <w:footnote w:id="31">
    <w:p w14:paraId="50BDE746" w14:textId="6177EDD4"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0B938F6C" w:rsidRPr="002F358C">
        <w:rPr>
          <w:color w:val="000000" w:themeColor="text1"/>
          <w:sz w:val="20"/>
          <w:szCs w:val="20"/>
        </w:rPr>
        <w:t xml:space="preserve"> Amnesty International, </w:t>
      </w:r>
      <w:r w:rsidR="0B938F6C" w:rsidRPr="002F358C">
        <w:rPr>
          <w:i/>
          <w:iCs/>
          <w:color w:val="000000" w:themeColor="text1"/>
          <w:sz w:val="20"/>
          <w:szCs w:val="20"/>
        </w:rPr>
        <w:t xml:space="preserve">Thailand: Thai Authorities Must Act Now to Deliver Justice for Victims of the Brutal Protest Dispersal in Tak Bai </w:t>
      </w:r>
      <w:r w:rsidR="0B938F6C" w:rsidRPr="002F358C">
        <w:rPr>
          <w:color w:val="000000" w:themeColor="text1"/>
          <w:sz w:val="20"/>
          <w:szCs w:val="20"/>
        </w:rPr>
        <w:t xml:space="preserve">(Oct. 24, 2023), at 1, available at </w:t>
      </w:r>
      <w:hyperlink r:id="rId10">
        <w:r w:rsidR="0B938F6C" w:rsidRPr="002F358C">
          <w:rPr>
            <w:rStyle w:val="Hyperlink"/>
            <w:color w:val="000000" w:themeColor="text1"/>
            <w:sz w:val="20"/>
            <w:szCs w:val="20"/>
            <w:u w:val="none"/>
          </w:rPr>
          <w:t>https://amnesty.org/en/documents/asa39/7348/2023/en/</w:t>
        </w:r>
      </w:hyperlink>
      <w:r w:rsidR="0B938F6C" w:rsidRPr="002F358C">
        <w:rPr>
          <w:color w:val="000000" w:themeColor="text1"/>
          <w:sz w:val="20"/>
          <w:szCs w:val="20"/>
        </w:rPr>
        <w:t xml:space="preserve">. </w:t>
      </w:r>
    </w:p>
  </w:footnote>
  <w:footnote w:id="32">
    <w:p w14:paraId="5406B109" w14:textId="01996159"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0B938F6C" w:rsidRPr="002F358C">
        <w:rPr>
          <w:color w:val="000000" w:themeColor="text1"/>
          <w:sz w:val="20"/>
          <w:szCs w:val="20"/>
        </w:rPr>
        <w:t xml:space="preserve"> Amnesty International, </w:t>
      </w:r>
      <w:r w:rsidR="0B938F6C" w:rsidRPr="002F358C">
        <w:rPr>
          <w:i/>
          <w:iCs/>
          <w:color w:val="000000" w:themeColor="text1"/>
          <w:sz w:val="20"/>
          <w:szCs w:val="20"/>
        </w:rPr>
        <w:t xml:space="preserve">Thailand: Thai Authorities Must Act Now to Deliver Justice for Victims of the Brutal Protest Dispersal in Tak Bai </w:t>
      </w:r>
      <w:r w:rsidR="0B938F6C" w:rsidRPr="002F358C">
        <w:rPr>
          <w:color w:val="000000" w:themeColor="text1"/>
          <w:sz w:val="20"/>
          <w:szCs w:val="20"/>
        </w:rPr>
        <w:t xml:space="preserve">(Oct. 24, 2023), at 3, available at </w:t>
      </w:r>
      <w:hyperlink r:id="rId11">
        <w:r w:rsidR="0B938F6C" w:rsidRPr="002F358C">
          <w:rPr>
            <w:rStyle w:val="Hyperlink"/>
            <w:color w:val="000000" w:themeColor="text1"/>
            <w:sz w:val="20"/>
            <w:szCs w:val="20"/>
            <w:u w:val="none"/>
          </w:rPr>
          <w:t>https://amnesty.org/en/documents/asa39/7348/2023/en/</w:t>
        </w:r>
      </w:hyperlink>
      <w:r w:rsidR="0B938F6C" w:rsidRPr="002F358C">
        <w:rPr>
          <w:color w:val="000000" w:themeColor="text1"/>
          <w:sz w:val="20"/>
          <w:szCs w:val="20"/>
        </w:rPr>
        <w:t>.</w:t>
      </w:r>
    </w:p>
  </w:footnote>
  <w:footnote w:id="33">
    <w:p w14:paraId="5318294D" w14:textId="7F340C54"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0B938F6C" w:rsidRPr="002F358C">
        <w:rPr>
          <w:color w:val="000000" w:themeColor="text1"/>
          <w:sz w:val="20"/>
          <w:szCs w:val="20"/>
        </w:rPr>
        <w:t xml:space="preserve"> Amnesty International, </w:t>
      </w:r>
      <w:r w:rsidR="0B938F6C" w:rsidRPr="002F358C">
        <w:rPr>
          <w:i/>
          <w:iCs/>
          <w:color w:val="000000" w:themeColor="text1"/>
          <w:sz w:val="20"/>
          <w:szCs w:val="20"/>
        </w:rPr>
        <w:t xml:space="preserve">Thailand: Thai Authorities Must Act Now to Deliver Justice for Victims of the Brutal Protest Dispersal in Tak Bai </w:t>
      </w:r>
      <w:r w:rsidR="0B938F6C" w:rsidRPr="002F358C">
        <w:rPr>
          <w:color w:val="000000" w:themeColor="text1"/>
          <w:sz w:val="20"/>
          <w:szCs w:val="20"/>
        </w:rPr>
        <w:t xml:space="preserve">(Oct. 24, 2023), at 3, available at </w:t>
      </w:r>
      <w:hyperlink r:id="rId12">
        <w:r w:rsidR="0B938F6C" w:rsidRPr="002F358C">
          <w:rPr>
            <w:rStyle w:val="Hyperlink"/>
            <w:color w:val="000000" w:themeColor="text1"/>
            <w:sz w:val="20"/>
            <w:szCs w:val="20"/>
            <w:u w:val="none"/>
          </w:rPr>
          <w:t>https://amnesty.org/en/documents/asa39/7348/2023/en/</w:t>
        </w:r>
      </w:hyperlink>
      <w:r w:rsidR="0B938F6C" w:rsidRPr="002F358C">
        <w:rPr>
          <w:color w:val="000000" w:themeColor="text1"/>
          <w:sz w:val="20"/>
          <w:szCs w:val="20"/>
        </w:rPr>
        <w:t>.</w:t>
      </w:r>
    </w:p>
  </w:footnote>
  <w:footnote w:id="34">
    <w:p w14:paraId="67DA557F" w14:textId="77777777" w:rsidR="000A207C" w:rsidRPr="002F358C" w:rsidRDefault="000A207C" w:rsidP="000A207C">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Amnesty International, </w:t>
      </w:r>
      <w:r w:rsidRPr="002F358C">
        <w:rPr>
          <w:i/>
          <w:iCs/>
          <w:color w:val="000000" w:themeColor="text1"/>
          <w:sz w:val="20"/>
          <w:szCs w:val="20"/>
        </w:rPr>
        <w:t xml:space="preserve">Thailand: Thai Authorities Must Act Now to Deliver Justice for Victims of the Brutal Protest Dispersal in Tak Bai </w:t>
      </w:r>
      <w:r w:rsidRPr="002F358C">
        <w:rPr>
          <w:color w:val="000000" w:themeColor="text1"/>
          <w:sz w:val="20"/>
          <w:szCs w:val="20"/>
        </w:rPr>
        <w:t xml:space="preserve">(Oct. 24, 2023), at 3, available at </w:t>
      </w:r>
      <w:hyperlink r:id="rId13">
        <w:r w:rsidRPr="002F358C">
          <w:rPr>
            <w:rStyle w:val="Hyperlink"/>
            <w:color w:val="000000" w:themeColor="text1"/>
            <w:sz w:val="20"/>
            <w:szCs w:val="20"/>
            <w:u w:val="none"/>
          </w:rPr>
          <w:t>https://amnesty.org/en/documents/asa39/7348/2023/en/</w:t>
        </w:r>
      </w:hyperlink>
      <w:r w:rsidRPr="002F358C">
        <w:rPr>
          <w:color w:val="000000" w:themeColor="text1"/>
          <w:sz w:val="20"/>
          <w:szCs w:val="20"/>
        </w:rPr>
        <w:t>.</w:t>
      </w:r>
    </w:p>
  </w:footnote>
  <w:footnote w:id="35">
    <w:p w14:paraId="474396F4" w14:textId="77777777"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Thailand: Law to address torture and enforced disappearance is an important step toward justice but its full enforcement is critical</w:t>
      </w:r>
      <w:r w:rsidRPr="002F358C">
        <w:rPr>
          <w:color w:val="000000" w:themeColor="text1"/>
          <w:sz w:val="20"/>
          <w:szCs w:val="20"/>
        </w:rPr>
        <w:t xml:space="preserve"> (2023), </w:t>
      </w:r>
      <w:hyperlink r:id="rId14" w:history="1">
        <w:r w:rsidRPr="002F358C">
          <w:rPr>
            <w:rStyle w:val="Hyperlink"/>
            <w:color w:val="000000" w:themeColor="text1"/>
            <w:sz w:val="20"/>
            <w:szCs w:val="20"/>
            <w:u w:val="none"/>
          </w:rPr>
          <w:t>https://www.icj.org/resource/thailand-law-to-address-torture-and-enforced-disappearance-is-an-important-step-toward-justice-but-its-full-enforcement-is-critical/</w:t>
        </w:r>
      </w:hyperlink>
      <w:r w:rsidRPr="002F358C">
        <w:rPr>
          <w:color w:val="000000" w:themeColor="text1"/>
          <w:sz w:val="20"/>
          <w:szCs w:val="20"/>
        </w:rPr>
        <w:t xml:space="preserve"> (last visited Aug. 30, 2024).</w:t>
      </w:r>
    </w:p>
  </w:footnote>
  <w:footnote w:id="36">
    <w:p w14:paraId="0702EB7B" w14:textId="77777777"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Thailand: Law to address torture and enforced disappearance is an important step toward justice but its full enforcement is critical</w:t>
      </w:r>
      <w:r w:rsidRPr="002F358C">
        <w:rPr>
          <w:color w:val="000000" w:themeColor="text1"/>
          <w:sz w:val="20"/>
          <w:szCs w:val="20"/>
        </w:rPr>
        <w:t xml:space="preserve"> (2023), </w:t>
      </w:r>
      <w:hyperlink r:id="rId15" w:history="1">
        <w:r w:rsidRPr="002F358C">
          <w:rPr>
            <w:rStyle w:val="Hyperlink"/>
            <w:color w:val="000000" w:themeColor="text1"/>
            <w:sz w:val="20"/>
            <w:szCs w:val="20"/>
            <w:u w:val="none"/>
          </w:rPr>
          <w:t>https://www.icj.org/resource/thailand-law-to-address-torture-and-enforced-disappearance-is-an-important-step-toward-justice-but-its-full-enforcement-is-critical/</w:t>
        </w:r>
      </w:hyperlink>
      <w:r w:rsidRPr="002F358C">
        <w:rPr>
          <w:color w:val="000000" w:themeColor="text1"/>
          <w:sz w:val="20"/>
          <w:szCs w:val="20"/>
        </w:rPr>
        <w:t xml:space="preserve"> (last visited Aug. 30, 2024).</w:t>
      </w:r>
    </w:p>
  </w:footnote>
  <w:footnote w:id="37">
    <w:p w14:paraId="1610832F" w14:textId="77777777"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Thailand: Law to address torture and enforced disappearance is an important step toward justice but its full enforcement is critical</w:t>
      </w:r>
      <w:r w:rsidRPr="002F358C">
        <w:rPr>
          <w:color w:val="000000" w:themeColor="text1"/>
          <w:sz w:val="20"/>
          <w:szCs w:val="20"/>
        </w:rPr>
        <w:t xml:space="preserve"> (2023), </w:t>
      </w:r>
      <w:hyperlink r:id="rId16" w:history="1">
        <w:r w:rsidRPr="002F358C">
          <w:rPr>
            <w:rStyle w:val="Hyperlink"/>
            <w:color w:val="000000" w:themeColor="text1"/>
            <w:sz w:val="20"/>
            <w:szCs w:val="20"/>
            <w:u w:val="none"/>
          </w:rPr>
          <w:t>https://www.icj.org/resource/thailand-law-to-address-torture-and-enforced-disappearance-is-an-important-step-toward-justice-but-its-full-enforcement-is-critical/</w:t>
        </w:r>
      </w:hyperlink>
      <w:r w:rsidRPr="002F358C">
        <w:rPr>
          <w:color w:val="000000" w:themeColor="text1"/>
          <w:sz w:val="20"/>
          <w:szCs w:val="20"/>
        </w:rPr>
        <w:t xml:space="preserve"> (last visited Aug. 30, 2024).</w:t>
      </w:r>
    </w:p>
  </w:footnote>
  <w:footnote w:id="38">
    <w:p w14:paraId="12857014" w14:textId="77777777" w:rsidR="002E4225" w:rsidRPr="002F358C" w:rsidRDefault="002E4225" w:rsidP="002E4225">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Thailand: Law to address torture and enforced disappearance is an important step toward justice but its full enforcement is critical</w:t>
      </w:r>
      <w:r w:rsidRPr="002F358C">
        <w:rPr>
          <w:color w:val="000000" w:themeColor="text1"/>
          <w:sz w:val="20"/>
          <w:szCs w:val="20"/>
        </w:rPr>
        <w:t xml:space="preserve"> (2023), </w:t>
      </w:r>
      <w:hyperlink r:id="rId17" w:history="1">
        <w:r w:rsidRPr="002F358C">
          <w:rPr>
            <w:rStyle w:val="Hyperlink"/>
            <w:color w:val="000000" w:themeColor="text1"/>
            <w:sz w:val="20"/>
            <w:szCs w:val="20"/>
            <w:u w:val="none"/>
          </w:rPr>
          <w:t>https://www.icj.org/resource/thailand-law-to-address-torture-and-enforced-disappearance-is-an-important-step-toward-justice-but-its-full-enforcement-is-critical/</w:t>
        </w:r>
      </w:hyperlink>
      <w:r w:rsidRPr="002F358C">
        <w:rPr>
          <w:color w:val="000000" w:themeColor="text1"/>
          <w:sz w:val="20"/>
          <w:szCs w:val="20"/>
        </w:rPr>
        <w:t xml:space="preserve"> (last visited Aug. 30, 2024).</w:t>
      </w:r>
    </w:p>
  </w:footnote>
  <w:footnote w:id="39">
    <w:p w14:paraId="12287201" w14:textId="2AEC866B" w:rsidR="00B104EE" w:rsidRPr="002F358C" w:rsidRDefault="00B104EE" w:rsidP="00B104EE">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 xml:space="preserve">List of issues prior to the second periodic report of Thailand </w:t>
      </w:r>
      <w:r w:rsidRPr="002F358C">
        <w:rPr>
          <w:color w:val="000000" w:themeColor="text1"/>
          <w:sz w:val="20"/>
          <w:szCs w:val="20"/>
        </w:rPr>
        <w:t>(June 19, 2018), U.N. Doc. CAT/C/THA/QPR/2, ¶</w:t>
      </w:r>
      <w:r w:rsidR="0B938F6C" w:rsidRPr="002F358C">
        <w:rPr>
          <w:color w:val="000000" w:themeColor="text1"/>
          <w:sz w:val="20"/>
          <w:szCs w:val="20"/>
        </w:rPr>
        <w:t xml:space="preserve"> </w:t>
      </w:r>
      <w:r w:rsidRPr="002F358C">
        <w:rPr>
          <w:color w:val="000000" w:themeColor="text1"/>
          <w:sz w:val="20"/>
          <w:szCs w:val="20"/>
        </w:rPr>
        <w:t>5.</w:t>
      </w:r>
    </w:p>
  </w:footnote>
  <w:footnote w:id="40">
    <w:p w14:paraId="34AA4903" w14:textId="60D0B7AE" w:rsidR="00B104EE" w:rsidRPr="002F358C" w:rsidRDefault="00B104EE" w:rsidP="00B104EE">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second periodic report of Thailand</w:t>
      </w:r>
      <w:r w:rsidRPr="002F358C">
        <w:rPr>
          <w:color w:val="000000" w:themeColor="text1"/>
          <w:sz w:val="20"/>
          <w:szCs w:val="20"/>
        </w:rPr>
        <w:t xml:space="preserve"> (June 19, 2018), U.N. Doc. CAT/C/THA/QPR/2, ¶</w:t>
      </w:r>
      <w:r w:rsidR="0B938F6C" w:rsidRPr="002F358C">
        <w:rPr>
          <w:color w:val="000000" w:themeColor="text1"/>
          <w:sz w:val="20"/>
          <w:szCs w:val="20"/>
        </w:rPr>
        <w:t xml:space="preserve"> </w:t>
      </w:r>
      <w:r w:rsidRPr="002F358C">
        <w:rPr>
          <w:color w:val="000000" w:themeColor="text1"/>
          <w:sz w:val="20"/>
          <w:szCs w:val="20"/>
        </w:rPr>
        <w:t>5(c).</w:t>
      </w:r>
    </w:p>
  </w:footnote>
  <w:footnote w:id="41">
    <w:p w14:paraId="03BFB7DC" w14:textId="6E243B6B" w:rsidR="00B104EE" w:rsidRPr="002F358C" w:rsidRDefault="00B104EE" w:rsidP="00B104EE">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xml:space="preserve"> (Jan. 4, 2021), U.N. Doc. CAT/C/THA/2 ¶</w:t>
      </w:r>
      <w:r w:rsidR="0B938F6C" w:rsidRPr="002F358C">
        <w:rPr>
          <w:color w:val="000000" w:themeColor="text1"/>
          <w:sz w:val="20"/>
          <w:szCs w:val="20"/>
        </w:rPr>
        <w:t xml:space="preserve"> </w:t>
      </w:r>
      <w:r w:rsidRPr="002F358C">
        <w:rPr>
          <w:color w:val="000000" w:themeColor="text1"/>
          <w:sz w:val="20"/>
          <w:szCs w:val="20"/>
        </w:rPr>
        <w:t>26.</w:t>
      </w:r>
    </w:p>
  </w:footnote>
  <w:footnote w:id="42">
    <w:p w14:paraId="6CFD1623" w14:textId="74815887" w:rsidR="00B104EE" w:rsidRPr="002F358C" w:rsidRDefault="00B104EE" w:rsidP="00B104EE">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xml:space="preserve"> (Jan. 4, 2021), U.N. Doc. CAT/C/THA/2 ¶</w:t>
      </w:r>
      <w:r w:rsidR="0B938F6C" w:rsidRPr="002F358C">
        <w:rPr>
          <w:color w:val="000000" w:themeColor="text1"/>
          <w:sz w:val="20"/>
          <w:szCs w:val="20"/>
        </w:rPr>
        <w:t xml:space="preserve"> </w:t>
      </w:r>
      <w:r w:rsidRPr="002F358C">
        <w:rPr>
          <w:color w:val="000000" w:themeColor="text1"/>
          <w:sz w:val="20"/>
          <w:szCs w:val="20"/>
        </w:rPr>
        <w:t>26.</w:t>
      </w:r>
    </w:p>
  </w:footnote>
  <w:footnote w:id="43">
    <w:p w14:paraId="7A109CE9" w14:textId="77777777" w:rsidR="00255E2C" w:rsidRPr="002F358C" w:rsidRDefault="00255E2C" w:rsidP="00255E2C">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Pr="002F358C">
        <w:rPr>
          <w:i/>
          <w:iCs/>
          <w:color w:val="000000" w:themeColor="text1"/>
          <w:sz w:val="20"/>
          <w:szCs w:val="20"/>
        </w:rPr>
        <w:t>Judged for More Than Her Crime: A Global Overview of Women Facing the Death Penalty</w:t>
      </w:r>
      <w:r w:rsidRPr="002F358C">
        <w:rPr>
          <w:color w:val="000000" w:themeColor="text1"/>
          <w:sz w:val="20"/>
          <w:szCs w:val="20"/>
        </w:rPr>
        <w:t xml:space="preserve">, Cornell Center on the Death Penalty Worldwide, Sept. 2018, at 9, </w:t>
      </w:r>
      <w:hyperlink r:id="rId18">
        <w:r w:rsidRPr="002F358C">
          <w:rPr>
            <w:rStyle w:val="Hyperlink"/>
            <w:color w:val="000000" w:themeColor="text1"/>
            <w:sz w:val="20"/>
            <w:szCs w:val="20"/>
            <w:u w:val="none"/>
          </w:rPr>
          <w:t>https://deathpenaltyworldwide.org/wp-content/uploads/2019/12/Judged-More-Than-Her-Crime.pdf</w:t>
        </w:r>
      </w:hyperlink>
      <w:r w:rsidRPr="002F358C">
        <w:rPr>
          <w:color w:val="000000" w:themeColor="text1"/>
          <w:sz w:val="20"/>
          <w:szCs w:val="20"/>
        </w:rPr>
        <w:t>.</w:t>
      </w:r>
    </w:p>
  </w:footnote>
  <w:footnote w:id="44">
    <w:p w14:paraId="6A6089F5" w14:textId="77777777" w:rsidR="00255E2C" w:rsidRPr="002F358C" w:rsidRDefault="00255E2C" w:rsidP="00255E2C">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w:t>
      </w:r>
      <w:r w:rsidRPr="002F358C">
        <w:rPr>
          <w:i/>
          <w:iCs/>
          <w:color w:val="000000" w:themeColor="text1"/>
          <w:sz w:val="20"/>
          <w:szCs w:val="20"/>
        </w:rPr>
        <w:t>Thailand Annual Prison Report 2024</w:t>
      </w:r>
      <w:r w:rsidRPr="002F358C">
        <w:rPr>
          <w:color w:val="000000" w:themeColor="text1"/>
          <w:sz w:val="20"/>
          <w:szCs w:val="20"/>
        </w:rPr>
        <w:t xml:space="preserve"> (March 2024), at 13, available at </w:t>
      </w:r>
      <w:hyperlink r:id="rId19">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45">
    <w:p w14:paraId="6706448B" w14:textId="77777777" w:rsidR="00936CED" w:rsidRPr="002F358C" w:rsidRDefault="00936CED" w:rsidP="00936CED">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47, n.603 (Sept. 2021), </w:t>
      </w:r>
      <w:hyperlink r:id="rId20">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46">
    <w:p w14:paraId="261DD879" w14:textId="77777777" w:rsidR="001B6401" w:rsidRPr="002F358C" w:rsidRDefault="001B6401" w:rsidP="001B6401">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Pr="002F358C">
        <w:rPr>
          <w:i/>
          <w:iCs/>
          <w:color w:val="000000" w:themeColor="text1"/>
          <w:sz w:val="20"/>
          <w:szCs w:val="20"/>
        </w:rPr>
        <w:t>Judged for More Than Her Crime: A Global Overview of Women Facing the Death Penalty</w:t>
      </w:r>
      <w:r w:rsidRPr="002F358C">
        <w:rPr>
          <w:color w:val="000000" w:themeColor="text1"/>
          <w:sz w:val="20"/>
          <w:szCs w:val="20"/>
        </w:rPr>
        <w:t xml:space="preserve">, Cornell Center on the Death Penalty Worldwide, Sept. 2018, at 18, </w:t>
      </w:r>
      <w:hyperlink r:id="rId21">
        <w:r w:rsidRPr="002F358C">
          <w:rPr>
            <w:rStyle w:val="Hyperlink"/>
            <w:color w:val="000000" w:themeColor="text1"/>
            <w:sz w:val="20"/>
            <w:szCs w:val="20"/>
            <w:u w:val="none"/>
          </w:rPr>
          <w:t>https://deathpenaltyworldwide.org/wp-content/uploads/2019/12/Judged-More-Than-Her-Crime.pdf</w:t>
        </w:r>
      </w:hyperlink>
      <w:r w:rsidRPr="002F358C">
        <w:rPr>
          <w:color w:val="000000" w:themeColor="text1"/>
          <w:sz w:val="20"/>
          <w:szCs w:val="20"/>
        </w:rPr>
        <w:t>.</w:t>
      </w:r>
    </w:p>
  </w:footnote>
  <w:footnote w:id="47">
    <w:p w14:paraId="76806807" w14:textId="77777777" w:rsidR="00936CED" w:rsidRPr="002F358C" w:rsidRDefault="00936CED" w:rsidP="00936CE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w:t>
      </w:r>
      <w:r w:rsidRPr="002F358C">
        <w:rPr>
          <w:i/>
          <w:iCs/>
          <w:color w:val="000000" w:themeColor="text1"/>
          <w:sz w:val="20"/>
          <w:szCs w:val="20"/>
        </w:rPr>
        <w:t>Thailand Annual Prison Report 2024</w:t>
      </w:r>
      <w:r w:rsidRPr="002F358C">
        <w:rPr>
          <w:color w:val="000000" w:themeColor="text1"/>
          <w:sz w:val="20"/>
          <w:szCs w:val="20"/>
        </w:rPr>
        <w:t xml:space="preserve"> (March 2024), at 16, available at </w:t>
      </w:r>
      <w:hyperlink r:id="rId22">
        <w:r w:rsidRPr="002F358C">
          <w:rPr>
            <w:rStyle w:val="Hyperlink"/>
            <w:color w:val="000000" w:themeColor="text1"/>
            <w:sz w:val="20"/>
            <w:szCs w:val="20"/>
            <w:u w:val="none"/>
          </w:rPr>
          <w:t>https://www.fidh.org/IMG/pdf/thailandprison823a.pdf</w:t>
        </w:r>
      </w:hyperlink>
      <w:r w:rsidRPr="002F358C">
        <w:rPr>
          <w:color w:val="000000" w:themeColor="text1"/>
          <w:sz w:val="20"/>
          <w:szCs w:val="20"/>
        </w:rPr>
        <w:t xml:space="preserve">. </w:t>
      </w:r>
    </w:p>
  </w:footnote>
  <w:footnote w:id="48">
    <w:p w14:paraId="3723C516" w14:textId="77777777" w:rsidR="00936CED" w:rsidRPr="002F358C" w:rsidRDefault="00936CED" w:rsidP="00936CE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w:t>
      </w:r>
      <w:r w:rsidRPr="002F358C">
        <w:rPr>
          <w:i/>
          <w:iCs/>
          <w:color w:val="000000" w:themeColor="text1"/>
          <w:sz w:val="20"/>
          <w:szCs w:val="20"/>
        </w:rPr>
        <w:t>Thailand Annual Prison Report 2024</w:t>
      </w:r>
      <w:r w:rsidRPr="002F358C">
        <w:rPr>
          <w:color w:val="000000" w:themeColor="text1"/>
          <w:sz w:val="20"/>
          <w:szCs w:val="20"/>
        </w:rPr>
        <w:t xml:space="preserve"> (March 2024), at 14, available at </w:t>
      </w:r>
      <w:hyperlink r:id="rId23">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49">
    <w:p w14:paraId="724CB03C" w14:textId="77777777" w:rsidR="00936CED" w:rsidRPr="002F358C" w:rsidRDefault="00936CED" w:rsidP="00936CE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w:t>
      </w:r>
      <w:r w:rsidRPr="002F358C">
        <w:rPr>
          <w:i/>
          <w:iCs/>
          <w:color w:val="000000" w:themeColor="text1"/>
          <w:sz w:val="20"/>
          <w:szCs w:val="20"/>
        </w:rPr>
        <w:t>Thailand Annual Prison Report 2024</w:t>
      </w:r>
      <w:r w:rsidRPr="002F358C">
        <w:rPr>
          <w:color w:val="000000" w:themeColor="text1"/>
          <w:sz w:val="20"/>
          <w:szCs w:val="20"/>
        </w:rPr>
        <w:t xml:space="preserve"> (March 2024), at 14, available at </w:t>
      </w:r>
      <w:hyperlink r:id="rId24">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50">
    <w:p w14:paraId="0311E66F" w14:textId="77777777" w:rsidR="00936CED" w:rsidRPr="002F358C" w:rsidRDefault="00936CED" w:rsidP="00936CE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47 (Sept. 2021), </w:t>
      </w:r>
      <w:hyperlink r:id="rId25">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51">
    <w:p w14:paraId="0F9DCEAA" w14:textId="77777777" w:rsidR="00B104EE" w:rsidRPr="002F358C" w:rsidRDefault="00B104EE" w:rsidP="00B104EE">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at 48 (Sept. 2021), https://deathpenaltyworldwide.org/wp-content/uploads/2021/10/No-One-Believed-Me-A-Global-Overview-of-Women-Facing-the-Death-Penalty-for-Drug-Offenses.pdf (last visited Aug. 30, 2024) (footnotes omitted).</w:t>
      </w:r>
    </w:p>
  </w:footnote>
  <w:footnote w:id="52">
    <w:p w14:paraId="340E1405" w14:textId="77777777" w:rsidR="00B104EE" w:rsidRPr="002F358C" w:rsidRDefault="00B104EE" w:rsidP="00B104EE">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at 32 (Sept. 2021), https://deathpenaltyworldwide.org/wp-content/uploads/2021/10/No-One-Believed-Me-A-Global-Overview-of-Women-Facing-the-Death-Penalty-for-Drug-Offenses.pdf (last visited Aug. 30, 2024).</w:t>
      </w:r>
    </w:p>
  </w:footnote>
  <w:footnote w:id="53">
    <w:p w14:paraId="1B22C981" w14:textId="77777777" w:rsidR="00B104EE" w:rsidRPr="002F358C" w:rsidRDefault="00B104EE" w:rsidP="00B104EE">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at 32 (Sept. 2021), https://deathpenaltyworldwide.org/wp-content/uploads/2021/10/No-One-Believed-Me-A-Global-Overview-of-Women-Facing-the-Death-Penalty-for-Drug-Offenses.pdf (last visited Aug. 30, 2024).</w:t>
      </w:r>
    </w:p>
  </w:footnote>
  <w:footnote w:id="54">
    <w:p w14:paraId="38815894" w14:textId="77777777" w:rsidR="00274618" w:rsidRPr="002F358C" w:rsidRDefault="00274618" w:rsidP="0027461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submission of the second periodic report of Thailand</w:t>
      </w:r>
      <w:r w:rsidRPr="002F358C">
        <w:rPr>
          <w:color w:val="000000" w:themeColor="text1"/>
          <w:sz w:val="20"/>
          <w:szCs w:val="20"/>
        </w:rPr>
        <w:t>, (June 19, 2018) U.N. Doc CAT/C/THA/QPR/2, ¶ 9.</w:t>
      </w:r>
    </w:p>
  </w:footnote>
  <w:footnote w:id="55">
    <w:p w14:paraId="55300021" w14:textId="77777777" w:rsidR="00274618" w:rsidRPr="002F358C" w:rsidRDefault="00274618" w:rsidP="00274618">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 36–38.</w:t>
      </w:r>
    </w:p>
  </w:footnote>
  <w:footnote w:id="56">
    <w:p w14:paraId="1FD96600" w14:textId="77777777" w:rsidR="00591EA7" w:rsidRPr="002F358C" w:rsidRDefault="00591EA7" w:rsidP="00591EA7">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25 (Sept. 2021), </w:t>
      </w:r>
      <w:hyperlink r:id="rId26">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57">
    <w:p w14:paraId="2A492F8A" w14:textId="77777777" w:rsidR="00274618" w:rsidRPr="002F358C" w:rsidRDefault="00274618" w:rsidP="0027461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21 (Sept. 2021), </w:t>
      </w:r>
      <w:hyperlink r:id="rId27">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58">
    <w:p w14:paraId="54B19474" w14:textId="77777777" w:rsidR="00274618" w:rsidRPr="002F358C" w:rsidRDefault="00274618" w:rsidP="0027461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21 (Sept. 2021), </w:t>
      </w:r>
      <w:hyperlink r:id="rId28">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59">
    <w:p w14:paraId="3B98FF61" w14:textId="77777777" w:rsidR="00274618" w:rsidRPr="002F358C" w:rsidRDefault="00274618" w:rsidP="0027461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21 (Sept. 2021), </w:t>
      </w:r>
      <w:hyperlink r:id="rId29">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60">
    <w:p w14:paraId="778A12E3" w14:textId="77777777" w:rsidR="00274618" w:rsidRPr="002F358C" w:rsidRDefault="00274618" w:rsidP="0027461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21 (Sept. 2021), </w:t>
      </w:r>
      <w:hyperlink r:id="rId30">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61">
    <w:p w14:paraId="070388D4" w14:textId="77777777" w:rsidR="00274618" w:rsidRPr="002F358C" w:rsidRDefault="00274618" w:rsidP="0027461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25 (Sept. 2021), </w:t>
      </w:r>
      <w:hyperlink r:id="rId31">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62">
    <w:p w14:paraId="19640F34" w14:textId="77777777" w:rsidR="00887E2D" w:rsidRPr="002F358C" w:rsidRDefault="00887E2D" w:rsidP="00887E2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at 48 (Sept. 2021), https://deathpenaltyworldwide.org/wp-content/uploads/2021/10/No-One-Believed-Me-A-Global-Overview-of-Women-Facing-the-Death-Penalty-for-Drug-Offenses.pdf (last visited Aug. 30, 2024).</w:t>
      </w:r>
    </w:p>
  </w:footnote>
  <w:footnote w:id="63">
    <w:p w14:paraId="2EA80F57" w14:textId="77777777" w:rsidR="00887E2D" w:rsidRPr="002F358C" w:rsidRDefault="00887E2D" w:rsidP="00887E2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48 (Sept. 2021), https://deathpenaltyworldwide.org/wp-content/uploads/2021/10/No-One-Believed-Me-A-Global-Overview-of-Women-Facing-the-Death-Penalty-for-Drug-Offenses.pdf (last visited Aug. 30, 2024) (footnote omitted). </w:t>
      </w:r>
    </w:p>
  </w:footnote>
  <w:footnote w:id="64">
    <w:p w14:paraId="00614118" w14:textId="77777777" w:rsidR="00887E2D" w:rsidRPr="002F358C" w:rsidRDefault="00887E2D" w:rsidP="00887E2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Pascal Tanguay, </w:t>
      </w:r>
      <w:r w:rsidRPr="002F358C">
        <w:rPr>
          <w:i/>
          <w:iCs/>
          <w:color w:val="000000" w:themeColor="text1"/>
          <w:sz w:val="20"/>
          <w:szCs w:val="20"/>
        </w:rPr>
        <w:t>Thailand: The overcriminalization of meth, a failed moral crusade</w:t>
      </w:r>
      <w:r w:rsidRPr="002F358C">
        <w:rPr>
          <w:color w:val="000000" w:themeColor="text1"/>
          <w:sz w:val="20"/>
          <w:szCs w:val="20"/>
        </w:rPr>
        <w:t xml:space="preserve">, World Prison Brief, June 17, 2021, available at https://www.prisonstudies.org/news/thailand-overcriminalization-meth-failed-moral-crusade (last visited Sept. 29, 2022). </w:t>
      </w:r>
    </w:p>
  </w:footnote>
  <w:footnote w:id="65">
    <w:p w14:paraId="2E0AE9F2" w14:textId="77777777" w:rsidR="00887E2D" w:rsidRPr="002F358C" w:rsidRDefault="00887E2D" w:rsidP="00887E2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at 48 (Sept. 2021), https://deathpenaltyworldwide.org/wp-content/uploads/2021/10/No-One-Believed-Me-A-Global-Overview-of-Women-Facing-the-Death-Penalty-for-Drug-Offenses.pdf (last visited Aug. 30, 2024).</w:t>
      </w:r>
    </w:p>
  </w:footnote>
  <w:footnote w:id="66">
    <w:p w14:paraId="09E0BF1B" w14:textId="77777777" w:rsidR="00283FBA" w:rsidRPr="002F358C" w:rsidRDefault="00283FBA" w:rsidP="00283FBA">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47 (Sept. 2021), </w:t>
      </w:r>
      <w:hyperlink r:id="rId32">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67">
    <w:p w14:paraId="6CA06F7D" w14:textId="5EA68AF5" w:rsidR="3B0F447B" w:rsidRPr="002F358C" w:rsidRDefault="3B0F447B" w:rsidP="3B0F447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submission of the second periodic report of Thailand</w:t>
      </w:r>
      <w:r w:rsidRPr="002F358C">
        <w:rPr>
          <w:color w:val="000000" w:themeColor="text1"/>
          <w:sz w:val="20"/>
          <w:szCs w:val="20"/>
        </w:rPr>
        <w:t>, (June 19, 2018) U.N. Doc CAT/C/THA/QPR/2, ¶</w:t>
      </w:r>
      <w:r w:rsidR="0B938F6C" w:rsidRPr="002F358C">
        <w:rPr>
          <w:color w:val="000000" w:themeColor="text1"/>
          <w:sz w:val="20"/>
          <w:szCs w:val="20"/>
        </w:rPr>
        <w:t xml:space="preserve"> </w:t>
      </w:r>
      <w:r w:rsidRPr="002F358C">
        <w:rPr>
          <w:color w:val="000000" w:themeColor="text1"/>
          <w:sz w:val="20"/>
          <w:szCs w:val="20"/>
        </w:rPr>
        <w:t>6.</w:t>
      </w:r>
    </w:p>
  </w:footnote>
  <w:footnote w:id="68">
    <w:p w14:paraId="0519E530" w14:textId="739108D5" w:rsidR="3B0F447B" w:rsidRPr="002F358C" w:rsidRDefault="3B0F447B" w:rsidP="3B0F447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submission of the second periodic report of Thailand</w:t>
      </w:r>
      <w:r w:rsidRPr="002F358C">
        <w:rPr>
          <w:color w:val="000000" w:themeColor="text1"/>
          <w:sz w:val="20"/>
          <w:szCs w:val="20"/>
        </w:rPr>
        <w:t>, (June 19, 2018) U.N. Doc CAT/C/THA/QPR/2, ¶</w:t>
      </w:r>
      <w:r w:rsidR="0B938F6C" w:rsidRPr="002F358C">
        <w:rPr>
          <w:color w:val="000000" w:themeColor="text1"/>
          <w:sz w:val="20"/>
          <w:szCs w:val="20"/>
        </w:rPr>
        <w:t xml:space="preserve"> </w:t>
      </w:r>
      <w:r w:rsidRPr="002F358C">
        <w:rPr>
          <w:color w:val="000000" w:themeColor="text1"/>
          <w:sz w:val="20"/>
          <w:szCs w:val="20"/>
        </w:rPr>
        <w:t>6.</w:t>
      </w:r>
    </w:p>
  </w:footnote>
  <w:footnote w:id="69">
    <w:p w14:paraId="155133F1" w14:textId="2691F2EB" w:rsidR="3B0F447B" w:rsidRPr="002F358C" w:rsidRDefault="3B0F447B" w:rsidP="3B0F447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w:t>
      </w:r>
      <w:r w:rsidR="0B938F6C" w:rsidRPr="002F358C">
        <w:rPr>
          <w:color w:val="000000" w:themeColor="text1"/>
          <w:sz w:val="20"/>
          <w:szCs w:val="20"/>
        </w:rPr>
        <w:t xml:space="preserve"> </w:t>
      </w:r>
      <w:r w:rsidRPr="002F358C">
        <w:rPr>
          <w:color w:val="000000" w:themeColor="text1"/>
          <w:sz w:val="20"/>
          <w:szCs w:val="20"/>
        </w:rPr>
        <w:t>28.</w:t>
      </w:r>
    </w:p>
  </w:footnote>
  <w:footnote w:id="70">
    <w:p w14:paraId="3E69972D" w14:textId="20708D71" w:rsidR="3B0F447B" w:rsidRPr="002F358C" w:rsidRDefault="3B0F447B" w:rsidP="3B0F447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w:t>
      </w:r>
      <w:r w:rsidR="0B938F6C" w:rsidRPr="002F358C">
        <w:rPr>
          <w:color w:val="000000" w:themeColor="text1"/>
          <w:sz w:val="20"/>
          <w:szCs w:val="20"/>
        </w:rPr>
        <w:t xml:space="preserve"> </w:t>
      </w:r>
      <w:r w:rsidRPr="002F358C">
        <w:rPr>
          <w:color w:val="000000" w:themeColor="text1"/>
          <w:sz w:val="20"/>
          <w:szCs w:val="20"/>
        </w:rPr>
        <w:t>28.</w:t>
      </w:r>
    </w:p>
  </w:footnote>
  <w:footnote w:id="71">
    <w:p w14:paraId="71DFD06C" w14:textId="7632771D" w:rsidR="3B0F447B" w:rsidRPr="002F358C" w:rsidRDefault="3B0F447B" w:rsidP="3B0F447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¶29.</w:t>
      </w:r>
    </w:p>
  </w:footnote>
  <w:footnote w:id="72">
    <w:p w14:paraId="6DE9FB75" w14:textId="1EA0EBBA" w:rsidR="3B0F447B" w:rsidRPr="002F358C" w:rsidRDefault="3B0F447B" w:rsidP="3B0F447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Human Rights Watch, </w:t>
      </w:r>
      <w:r w:rsidRPr="002F358C">
        <w:rPr>
          <w:i/>
          <w:iCs/>
          <w:color w:val="000000" w:themeColor="text1"/>
          <w:sz w:val="20"/>
          <w:szCs w:val="20"/>
        </w:rPr>
        <w:t>World Report 2024: Thailand</w:t>
      </w:r>
      <w:r w:rsidRPr="002F358C">
        <w:rPr>
          <w:color w:val="000000" w:themeColor="text1"/>
          <w:sz w:val="20"/>
          <w:szCs w:val="20"/>
        </w:rPr>
        <w:t xml:space="preserve">, </w:t>
      </w:r>
      <w:hyperlink r:id="rId33">
        <w:r w:rsidRPr="002F358C">
          <w:rPr>
            <w:rStyle w:val="Hyperlink"/>
            <w:color w:val="000000" w:themeColor="text1"/>
            <w:sz w:val="20"/>
            <w:szCs w:val="20"/>
            <w:u w:val="none"/>
          </w:rPr>
          <w:t>https://www.hrw.org/world-report/2024/country-chapters/thailand</w:t>
        </w:r>
      </w:hyperlink>
      <w:r w:rsidRPr="002F358C">
        <w:rPr>
          <w:color w:val="000000" w:themeColor="text1"/>
          <w:sz w:val="20"/>
          <w:szCs w:val="20"/>
        </w:rPr>
        <w:t>.</w:t>
      </w:r>
      <w:r w:rsidR="00C81593">
        <w:rPr>
          <w:color w:val="000000" w:themeColor="text1"/>
          <w:sz w:val="20"/>
          <w:szCs w:val="20"/>
        </w:rPr>
        <w:t xml:space="preserve"> </w:t>
      </w:r>
    </w:p>
  </w:footnote>
  <w:footnote w:id="73">
    <w:p w14:paraId="2865F3C4" w14:textId="5D5547BE" w:rsidR="3B0F447B" w:rsidRPr="002F358C" w:rsidRDefault="3B0F447B" w:rsidP="3B0F447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Human Rights Watch, </w:t>
      </w:r>
      <w:r w:rsidRPr="002F358C">
        <w:rPr>
          <w:i/>
          <w:iCs/>
          <w:color w:val="000000" w:themeColor="text1"/>
          <w:sz w:val="20"/>
          <w:szCs w:val="20"/>
        </w:rPr>
        <w:t>Thailand: Investigate Alleged Torture of Bombing Suspect</w:t>
      </w:r>
      <w:r w:rsidRPr="002F358C">
        <w:rPr>
          <w:color w:val="000000" w:themeColor="text1"/>
          <w:sz w:val="20"/>
          <w:szCs w:val="20"/>
        </w:rPr>
        <w:t xml:space="preserve"> (May 19, 2016), </w:t>
      </w:r>
      <w:hyperlink r:id="rId34">
        <w:r w:rsidRPr="002F358C">
          <w:rPr>
            <w:rStyle w:val="Hyperlink"/>
            <w:color w:val="000000" w:themeColor="text1"/>
            <w:sz w:val="20"/>
            <w:szCs w:val="20"/>
            <w:u w:val="none"/>
          </w:rPr>
          <w:t>https://www.hrw.org/news/2016/05/20/thailand-investigate-alleged-torture-bombing-suspect</w:t>
        </w:r>
      </w:hyperlink>
      <w:r w:rsidRPr="002F358C">
        <w:rPr>
          <w:color w:val="000000" w:themeColor="text1"/>
          <w:sz w:val="20"/>
          <w:szCs w:val="20"/>
        </w:rPr>
        <w:t>.</w:t>
      </w:r>
    </w:p>
  </w:footnote>
  <w:footnote w:id="74">
    <w:p w14:paraId="72EBEEB0" w14:textId="0634DD1E" w:rsidR="3B0F447B" w:rsidRPr="002F358C" w:rsidRDefault="3B0F447B" w:rsidP="3B0F447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The Guardian, </w:t>
      </w:r>
      <w:r w:rsidRPr="002F358C">
        <w:rPr>
          <w:i/>
          <w:iCs/>
          <w:color w:val="000000" w:themeColor="text1"/>
          <w:sz w:val="20"/>
          <w:szCs w:val="20"/>
        </w:rPr>
        <w:t>Bangkok bombing suspect was tortured into confessing, says lawyer</w:t>
      </w:r>
      <w:r w:rsidRPr="002F358C">
        <w:rPr>
          <w:color w:val="000000" w:themeColor="text1"/>
          <w:sz w:val="20"/>
          <w:szCs w:val="20"/>
        </w:rPr>
        <w:t xml:space="preserve">, </w:t>
      </w:r>
      <w:hyperlink r:id="rId35">
        <w:r w:rsidRPr="002F358C">
          <w:rPr>
            <w:rStyle w:val="Hyperlink"/>
            <w:color w:val="000000" w:themeColor="text1"/>
            <w:sz w:val="20"/>
            <w:szCs w:val="20"/>
            <w:u w:val="none"/>
          </w:rPr>
          <w:t>https://www.theguardian.com/world/2016/feb/15/bangkok-bombing-suspect-adem-karadag-tortured-confessing-lawyer</w:t>
        </w:r>
      </w:hyperlink>
      <w:r w:rsidRPr="002F358C">
        <w:rPr>
          <w:color w:val="000000" w:themeColor="text1"/>
          <w:sz w:val="20"/>
          <w:szCs w:val="20"/>
        </w:rPr>
        <w:t>.</w:t>
      </w:r>
    </w:p>
  </w:footnote>
  <w:footnote w:id="75">
    <w:p w14:paraId="6CC8C84D" w14:textId="4560739E" w:rsidR="0B938F6C" w:rsidRPr="002F358C" w:rsidRDefault="0B938F6C" w:rsidP="001B453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w:t>
      </w:r>
      <w:r w:rsidRPr="002F358C">
        <w:rPr>
          <w:i/>
          <w:iCs/>
          <w:color w:val="000000" w:themeColor="text1"/>
          <w:sz w:val="20"/>
          <w:szCs w:val="20"/>
        </w:rPr>
        <w:t>Thailand: UN body petitioned over human rights violations against Uyghur bombing suspects</w:t>
      </w:r>
      <w:r w:rsidRPr="002F358C">
        <w:rPr>
          <w:color w:val="000000" w:themeColor="text1"/>
          <w:sz w:val="20"/>
          <w:szCs w:val="20"/>
        </w:rPr>
        <w:t xml:space="preserve">, </w:t>
      </w:r>
      <w:hyperlink r:id="rId36">
        <w:r w:rsidRPr="002F358C">
          <w:rPr>
            <w:rStyle w:val="Hyperlink"/>
            <w:color w:val="000000" w:themeColor="text1"/>
            <w:sz w:val="20"/>
            <w:szCs w:val="20"/>
            <w:u w:val="none"/>
          </w:rPr>
          <w:t>https://www.fidh.org/en/region/asia/thailand/thailand-un-body-petitioned-over-human-rights-violations-against</w:t>
        </w:r>
      </w:hyperlink>
      <w:r w:rsidRPr="002F358C">
        <w:rPr>
          <w:color w:val="000000" w:themeColor="text1"/>
          <w:sz w:val="20"/>
          <w:szCs w:val="20"/>
        </w:rPr>
        <w:t>.</w:t>
      </w:r>
    </w:p>
  </w:footnote>
  <w:footnote w:id="76">
    <w:p w14:paraId="02165CA3" w14:textId="4D184466" w:rsidR="3B0F447B" w:rsidRPr="002F358C" w:rsidRDefault="3B0F447B" w:rsidP="3B0F447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w:t>
      </w:r>
      <w:r w:rsidRPr="002F358C">
        <w:rPr>
          <w:i/>
          <w:iCs/>
          <w:color w:val="000000" w:themeColor="text1"/>
          <w:sz w:val="20"/>
          <w:szCs w:val="20"/>
        </w:rPr>
        <w:t>Thailand: UN body petitioned over human rights violations against Uyghur bombing suspects</w:t>
      </w:r>
      <w:r w:rsidRPr="002F358C">
        <w:rPr>
          <w:color w:val="000000" w:themeColor="text1"/>
          <w:sz w:val="20"/>
          <w:szCs w:val="20"/>
        </w:rPr>
        <w:t xml:space="preserve">, </w:t>
      </w:r>
      <w:hyperlink r:id="rId37">
        <w:r w:rsidRPr="002F358C">
          <w:rPr>
            <w:rStyle w:val="Hyperlink"/>
            <w:color w:val="000000" w:themeColor="text1"/>
            <w:sz w:val="20"/>
            <w:szCs w:val="20"/>
            <w:u w:val="none"/>
          </w:rPr>
          <w:t>https://www.fidh.org/en/region/asia/thailand/thailand-un-body-petitioned-over-human-rights-violations-against</w:t>
        </w:r>
      </w:hyperlink>
      <w:r w:rsidRPr="002F358C">
        <w:rPr>
          <w:color w:val="000000" w:themeColor="text1"/>
          <w:sz w:val="20"/>
          <w:szCs w:val="20"/>
        </w:rPr>
        <w:t>.</w:t>
      </w:r>
    </w:p>
  </w:footnote>
  <w:footnote w:id="77">
    <w:p w14:paraId="006ED54D" w14:textId="6F579BF1"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Amnesty International, </w:t>
      </w:r>
      <w:r w:rsidRPr="002F358C">
        <w:rPr>
          <w:i/>
          <w:iCs/>
          <w:color w:val="000000" w:themeColor="text1"/>
          <w:sz w:val="20"/>
          <w:szCs w:val="20"/>
        </w:rPr>
        <w:t>Thailand: Law to address torture and enforced disappearance is an important step toward justice but its full enforcement is critical</w:t>
      </w:r>
      <w:r w:rsidRPr="002F358C">
        <w:rPr>
          <w:color w:val="000000" w:themeColor="text1"/>
          <w:sz w:val="20"/>
          <w:szCs w:val="20"/>
        </w:rPr>
        <w:t xml:space="preserve"> (February 22, 2024), 1 available online at </w:t>
      </w:r>
      <w:hyperlink r:id="rId38">
        <w:r w:rsidRPr="002F358C">
          <w:rPr>
            <w:rStyle w:val="Hyperlink"/>
            <w:color w:val="000000" w:themeColor="text1"/>
            <w:sz w:val="20"/>
            <w:szCs w:val="20"/>
            <w:u w:val="none"/>
          </w:rPr>
          <w:t>https://www.amnesty.org/en/documents/asa39/6469/2023/en/</w:t>
        </w:r>
      </w:hyperlink>
      <w:r w:rsidRPr="002F358C">
        <w:rPr>
          <w:color w:val="000000" w:themeColor="text1"/>
          <w:sz w:val="20"/>
          <w:szCs w:val="20"/>
        </w:rPr>
        <w:t>.</w:t>
      </w:r>
      <w:r w:rsidR="00C81593">
        <w:rPr>
          <w:color w:val="000000" w:themeColor="text1"/>
          <w:sz w:val="20"/>
          <w:szCs w:val="20"/>
        </w:rPr>
        <w:t xml:space="preserve"> </w:t>
      </w:r>
    </w:p>
  </w:footnote>
  <w:footnote w:id="78">
    <w:p w14:paraId="4899F02F" w14:textId="7FC6AD3B"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0B938F6C" w:rsidRPr="002F358C">
        <w:rPr>
          <w:color w:val="000000" w:themeColor="text1"/>
          <w:sz w:val="20"/>
          <w:szCs w:val="20"/>
        </w:rPr>
        <w:t xml:space="preserve"> Amnesty International, </w:t>
      </w:r>
      <w:r w:rsidR="0B938F6C" w:rsidRPr="002F358C">
        <w:rPr>
          <w:i/>
          <w:iCs/>
          <w:color w:val="000000" w:themeColor="text1"/>
          <w:sz w:val="20"/>
          <w:szCs w:val="20"/>
        </w:rPr>
        <w:t xml:space="preserve">The State of the World’s Human Rights </w:t>
      </w:r>
      <w:r w:rsidR="0B938F6C" w:rsidRPr="002F358C">
        <w:rPr>
          <w:color w:val="000000" w:themeColor="text1"/>
          <w:sz w:val="20"/>
          <w:szCs w:val="20"/>
        </w:rPr>
        <w:t xml:space="preserve">(Peter Benenson House, 2024), 369 available online at </w:t>
      </w:r>
      <w:hyperlink r:id="rId39">
        <w:r w:rsidR="0B938F6C" w:rsidRPr="002F358C">
          <w:rPr>
            <w:rStyle w:val="Hyperlink"/>
            <w:color w:val="000000" w:themeColor="text1"/>
            <w:sz w:val="20"/>
            <w:szCs w:val="20"/>
            <w:u w:val="none"/>
          </w:rPr>
          <w:t>https://www.amnesty.org/en/documents/pol10/7200/2024/en/</w:t>
        </w:r>
      </w:hyperlink>
      <w:r w:rsidR="0B938F6C" w:rsidRPr="002F358C">
        <w:rPr>
          <w:color w:val="000000" w:themeColor="text1"/>
          <w:sz w:val="20"/>
          <w:szCs w:val="20"/>
        </w:rPr>
        <w:t>.</w:t>
      </w:r>
    </w:p>
  </w:footnote>
  <w:footnote w:id="79">
    <w:p w14:paraId="3DE2349B" w14:textId="74646F91"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 xml:space="preserve">Thailand: One year on, authorities have fallen short in implementing the landmark Anti-torture and Enforced Disappearance Act, </w:t>
      </w:r>
      <w:r w:rsidRPr="002F358C">
        <w:rPr>
          <w:color w:val="000000" w:themeColor="text1"/>
          <w:sz w:val="20"/>
          <w:szCs w:val="20"/>
        </w:rPr>
        <w:t xml:space="preserve">ICJ (February 22, 2024) </w:t>
      </w:r>
      <w:hyperlink r:id="rId40">
        <w:r w:rsidRPr="002F358C">
          <w:rPr>
            <w:rStyle w:val="Hyperlink"/>
            <w:color w:val="000000" w:themeColor="text1"/>
            <w:sz w:val="20"/>
            <w:szCs w:val="20"/>
            <w:u w:val="none"/>
          </w:rPr>
          <w:t>https://www.icj.org/thailand-one-year-on-authorities-have-fallen-short-in-implementing-the-landmark-anti-torture-and-enforced-disappearance-act/</w:t>
        </w:r>
      </w:hyperlink>
      <w:r w:rsidRPr="002F358C">
        <w:rPr>
          <w:color w:val="000000" w:themeColor="text1"/>
          <w:sz w:val="20"/>
          <w:szCs w:val="20"/>
        </w:rPr>
        <w:t xml:space="preserve"> (last visited 27 August 2024).</w:t>
      </w:r>
    </w:p>
  </w:footnote>
  <w:footnote w:id="80">
    <w:p w14:paraId="36CE31A0" w14:textId="47E29EB2" w:rsidR="0B938F6C" w:rsidRPr="002F358C" w:rsidRDefault="0B938F6C" w:rsidP="001B453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 xml:space="preserve">Thailand: One year on, authorities have fallen short in implementing the landmark Anti-torture and Enforced Disappearance Act, </w:t>
      </w:r>
      <w:r w:rsidRPr="002F358C">
        <w:rPr>
          <w:color w:val="000000" w:themeColor="text1"/>
          <w:sz w:val="20"/>
          <w:szCs w:val="20"/>
        </w:rPr>
        <w:t xml:space="preserve">ICJ (February 22, 2024) </w:t>
      </w:r>
      <w:hyperlink r:id="rId41">
        <w:r w:rsidRPr="002F358C">
          <w:rPr>
            <w:rStyle w:val="Hyperlink"/>
            <w:color w:val="000000" w:themeColor="text1"/>
            <w:sz w:val="20"/>
            <w:szCs w:val="20"/>
            <w:u w:val="none"/>
          </w:rPr>
          <w:t>https://www.icj.org/thailand-one-year-on-authorities-have-fallen-short-in-implementing-the-landmark-anti-torture-and-enforced-disappearance-act/</w:t>
        </w:r>
      </w:hyperlink>
      <w:r w:rsidRPr="002F358C">
        <w:rPr>
          <w:color w:val="000000" w:themeColor="text1"/>
          <w:sz w:val="20"/>
          <w:szCs w:val="20"/>
        </w:rPr>
        <w:t xml:space="preserve"> (last visited 27 August 2024).</w:t>
      </w:r>
    </w:p>
  </w:footnote>
  <w:footnote w:id="81">
    <w:p w14:paraId="0E37F1E0" w14:textId="18D07BAA"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 xml:space="preserve">Thailand: One year on, authorities have fallen short in implementing the landmark Anti-torture and Enforced Disappearance Act, </w:t>
      </w:r>
      <w:r w:rsidRPr="002F358C">
        <w:rPr>
          <w:color w:val="000000" w:themeColor="text1"/>
          <w:sz w:val="20"/>
          <w:szCs w:val="20"/>
        </w:rPr>
        <w:t xml:space="preserve">ICJ (February 22, 2024) </w:t>
      </w:r>
      <w:hyperlink r:id="rId42">
        <w:r w:rsidRPr="002F358C">
          <w:rPr>
            <w:rStyle w:val="Hyperlink"/>
            <w:color w:val="000000" w:themeColor="text1"/>
            <w:sz w:val="20"/>
            <w:szCs w:val="20"/>
            <w:u w:val="none"/>
          </w:rPr>
          <w:t>https://www.icj.org/thailand-one-year-on-authorities-have-fallen-short-in-implementing-the-landmark-anti-torture-and-enforced-disappearance-act/</w:t>
        </w:r>
      </w:hyperlink>
      <w:r w:rsidRPr="002F358C">
        <w:rPr>
          <w:color w:val="000000" w:themeColor="text1"/>
          <w:sz w:val="20"/>
          <w:szCs w:val="20"/>
        </w:rPr>
        <w:t xml:space="preserve"> (last visited 27 August 2024).</w:t>
      </w:r>
    </w:p>
  </w:footnote>
  <w:footnote w:id="82">
    <w:p w14:paraId="676725BC" w14:textId="01CF5929"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U.S. Department of State, </w:t>
      </w:r>
      <w:r w:rsidRPr="002F358C">
        <w:rPr>
          <w:i/>
          <w:iCs/>
          <w:color w:val="000000" w:themeColor="text1"/>
          <w:sz w:val="20"/>
          <w:szCs w:val="20"/>
        </w:rPr>
        <w:t>2023 Country Reports on Human Rights Practices: Thailand</w:t>
      </w:r>
      <w:r w:rsidRPr="002F358C">
        <w:rPr>
          <w:color w:val="000000" w:themeColor="text1"/>
          <w:sz w:val="20"/>
          <w:szCs w:val="20"/>
        </w:rPr>
        <w:t xml:space="preserve">, </w:t>
      </w:r>
      <w:r w:rsidR="0B938F6C" w:rsidRPr="002F358C">
        <w:rPr>
          <w:color w:val="000000" w:themeColor="text1"/>
          <w:sz w:val="20"/>
          <w:szCs w:val="20"/>
        </w:rPr>
        <w:t xml:space="preserve">4 </w:t>
      </w:r>
      <w:r w:rsidRPr="002F358C">
        <w:rPr>
          <w:color w:val="000000" w:themeColor="text1"/>
          <w:sz w:val="20"/>
          <w:szCs w:val="20"/>
        </w:rPr>
        <w:t xml:space="preserve">available online at </w:t>
      </w:r>
      <w:hyperlink r:id="rId43">
        <w:r w:rsidRPr="002F358C">
          <w:rPr>
            <w:rStyle w:val="Hyperlink"/>
            <w:color w:val="000000" w:themeColor="text1"/>
            <w:sz w:val="20"/>
            <w:szCs w:val="20"/>
            <w:u w:val="none"/>
          </w:rPr>
          <w:t>https://www.state.gov/reports/2023-country-reports-on-human-rights-practices/thailand/</w:t>
        </w:r>
      </w:hyperlink>
      <w:r w:rsidRPr="002F358C">
        <w:rPr>
          <w:color w:val="000000" w:themeColor="text1"/>
          <w:sz w:val="20"/>
          <w:szCs w:val="20"/>
        </w:rPr>
        <w:t>.</w:t>
      </w:r>
      <w:r w:rsidR="00C81593">
        <w:rPr>
          <w:color w:val="000000" w:themeColor="text1"/>
          <w:sz w:val="20"/>
          <w:szCs w:val="20"/>
        </w:rPr>
        <w:t xml:space="preserve"> </w:t>
      </w:r>
    </w:p>
  </w:footnote>
  <w:footnote w:id="83">
    <w:p w14:paraId="7415F991" w14:textId="2579BC32"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U.S. Department of State, </w:t>
      </w:r>
      <w:r w:rsidRPr="002F358C">
        <w:rPr>
          <w:i/>
          <w:iCs/>
          <w:color w:val="000000" w:themeColor="text1"/>
          <w:sz w:val="20"/>
          <w:szCs w:val="20"/>
        </w:rPr>
        <w:t>2023 Country Reports on Human Rights Practices: Thailand</w:t>
      </w:r>
      <w:r w:rsidRPr="002F358C">
        <w:rPr>
          <w:color w:val="000000" w:themeColor="text1"/>
          <w:sz w:val="20"/>
          <w:szCs w:val="20"/>
        </w:rPr>
        <w:t xml:space="preserve">, </w:t>
      </w:r>
      <w:r w:rsidR="0B938F6C" w:rsidRPr="002F358C">
        <w:rPr>
          <w:color w:val="000000" w:themeColor="text1"/>
          <w:sz w:val="20"/>
          <w:szCs w:val="20"/>
        </w:rPr>
        <w:t>4</w:t>
      </w:r>
      <w:r w:rsidRPr="002F358C">
        <w:rPr>
          <w:color w:val="000000" w:themeColor="text1"/>
          <w:sz w:val="20"/>
          <w:szCs w:val="20"/>
        </w:rPr>
        <w:t xml:space="preserve"> available online at </w:t>
      </w:r>
      <w:hyperlink r:id="rId44">
        <w:r w:rsidRPr="002F358C">
          <w:rPr>
            <w:rStyle w:val="Hyperlink"/>
            <w:color w:val="000000" w:themeColor="text1"/>
            <w:sz w:val="20"/>
            <w:szCs w:val="20"/>
            <w:u w:val="none"/>
          </w:rPr>
          <w:t>https://www.state.gov/reports/2023-country-reports-on-human-rights-practices/thailand/</w:t>
        </w:r>
      </w:hyperlink>
      <w:r w:rsidRPr="002F358C">
        <w:rPr>
          <w:color w:val="000000" w:themeColor="text1"/>
          <w:sz w:val="20"/>
          <w:szCs w:val="20"/>
        </w:rPr>
        <w:t>.</w:t>
      </w:r>
      <w:r w:rsidR="00C81593">
        <w:rPr>
          <w:color w:val="000000" w:themeColor="text1"/>
          <w:sz w:val="20"/>
          <w:szCs w:val="20"/>
        </w:rPr>
        <w:t xml:space="preserve"> </w:t>
      </w:r>
    </w:p>
  </w:footnote>
  <w:footnote w:id="84">
    <w:p w14:paraId="334C5344" w14:textId="6425FFD4" w:rsidR="007054A8" w:rsidRPr="002F358C" w:rsidRDefault="007054A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927388" w:rsidRPr="002F358C">
        <w:rPr>
          <w:color w:val="000000" w:themeColor="text1"/>
          <w:sz w:val="20"/>
          <w:szCs w:val="20"/>
        </w:rPr>
        <w:t xml:space="preserve">Committee Against Torture, </w:t>
      </w:r>
      <w:r w:rsidR="00927388" w:rsidRPr="002F358C">
        <w:rPr>
          <w:i/>
          <w:iCs/>
          <w:color w:val="000000" w:themeColor="text1"/>
          <w:sz w:val="20"/>
          <w:szCs w:val="20"/>
        </w:rPr>
        <w:t>List of Issues prior to the submission of the second periodic report of Thailand</w:t>
      </w:r>
      <w:r w:rsidR="00927388" w:rsidRPr="002F358C">
        <w:rPr>
          <w:color w:val="000000" w:themeColor="text1"/>
          <w:sz w:val="20"/>
          <w:szCs w:val="20"/>
        </w:rPr>
        <w:t>, (June 19, 2018) U.N. Doc CAT/C/THA/QPR/2, ¶ 8.</w:t>
      </w:r>
    </w:p>
  </w:footnote>
  <w:footnote w:id="85">
    <w:p w14:paraId="3845D764" w14:textId="2249DD03" w:rsidR="007054A8" w:rsidRPr="002F358C" w:rsidRDefault="007054A8">
      <w:pPr>
        <w:pStyle w:val="FootnoteText"/>
        <w:rPr>
          <w:rFonts w:ascii="Ebrima" w:hAnsi="Ebrima"/>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927388" w:rsidRPr="002F358C">
        <w:rPr>
          <w:color w:val="000000" w:themeColor="text1"/>
          <w:sz w:val="20"/>
          <w:szCs w:val="20"/>
        </w:rPr>
        <w:t xml:space="preserve">Committee Against Torture, </w:t>
      </w:r>
      <w:r w:rsidR="00927388" w:rsidRPr="002F358C">
        <w:rPr>
          <w:i/>
          <w:iCs/>
          <w:color w:val="000000" w:themeColor="text1"/>
          <w:sz w:val="20"/>
          <w:szCs w:val="20"/>
        </w:rPr>
        <w:t>List of Issues prior to the submission of the second periodic report of Thailand</w:t>
      </w:r>
      <w:r w:rsidR="00927388" w:rsidRPr="002F358C">
        <w:rPr>
          <w:color w:val="000000" w:themeColor="text1"/>
          <w:sz w:val="20"/>
          <w:szCs w:val="20"/>
        </w:rPr>
        <w:t>, (June 19, 2018) U.N. Doc CAT/C/THA/QPR/2, ¶ 22.</w:t>
      </w:r>
    </w:p>
  </w:footnote>
  <w:footnote w:id="86">
    <w:p w14:paraId="056629C6" w14:textId="239FA9F0" w:rsidR="007054A8" w:rsidRPr="002F358C" w:rsidRDefault="007054A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927388" w:rsidRPr="002F358C">
        <w:rPr>
          <w:color w:val="000000" w:themeColor="text1"/>
          <w:sz w:val="20"/>
          <w:szCs w:val="20"/>
        </w:rPr>
        <w:t xml:space="preserve">Committee Against Torture, </w:t>
      </w:r>
      <w:r w:rsidR="00927388" w:rsidRPr="002F358C">
        <w:rPr>
          <w:i/>
          <w:iCs/>
          <w:color w:val="000000" w:themeColor="text1"/>
          <w:sz w:val="20"/>
          <w:szCs w:val="20"/>
        </w:rPr>
        <w:t>List of Issues prior to the submission of the second periodic report of Thailand</w:t>
      </w:r>
      <w:r w:rsidR="00927388" w:rsidRPr="002F358C">
        <w:rPr>
          <w:color w:val="000000" w:themeColor="text1"/>
          <w:sz w:val="20"/>
          <w:szCs w:val="20"/>
        </w:rPr>
        <w:t>, (June 19, 2018) U.N. Doc CAT/C/THA/QPR/2, ¶¶ 8, 22.</w:t>
      </w:r>
    </w:p>
  </w:footnote>
  <w:footnote w:id="87">
    <w:p w14:paraId="5E072E2D" w14:textId="488A48F0" w:rsidR="00C85A0B" w:rsidRPr="002F358C" w:rsidRDefault="00C85A0B">
      <w:pPr>
        <w:pStyle w:val="FootnoteText"/>
        <w:rPr>
          <w:rFonts w:ascii="Ebrima" w:hAnsi="Ebrima"/>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284042" w:rsidRPr="002F358C">
        <w:rPr>
          <w:color w:val="000000" w:themeColor="text1"/>
          <w:sz w:val="20"/>
          <w:szCs w:val="20"/>
        </w:rPr>
        <w:t xml:space="preserve">Committee against torture, </w:t>
      </w:r>
      <w:proofErr w:type="gramStart"/>
      <w:r w:rsidR="00284042" w:rsidRPr="002F358C">
        <w:rPr>
          <w:i/>
          <w:iCs/>
          <w:color w:val="000000" w:themeColor="text1"/>
          <w:sz w:val="20"/>
          <w:szCs w:val="20"/>
        </w:rPr>
        <w:t>Second</w:t>
      </w:r>
      <w:proofErr w:type="gramEnd"/>
      <w:r w:rsidR="00284042" w:rsidRPr="002F358C">
        <w:rPr>
          <w:i/>
          <w:iCs/>
          <w:color w:val="000000" w:themeColor="text1"/>
          <w:sz w:val="20"/>
          <w:szCs w:val="20"/>
        </w:rPr>
        <w:t xml:space="preserve"> periodic report submitted by Thailand under article 19 of the Convention pursuant to the simplified reporting procedure, due in 2018</w:t>
      </w:r>
      <w:r w:rsidR="00284042" w:rsidRPr="002F358C">
        <w:rPr>
          <w:color w:val="000000" w:themeColor="text1"/>
          <w:sz w:val="20"/>
          <w:szCs w:val="20"/>
        </w:rPr>
        <w:t>, (Dec. 21, 2021), U.N. Doc. CAT/C/THA/2, ¶ 34.</w:t>
      </w:r>
    </w:p>
  </w:footnote>
  <w:footnote w:id="88">
    <w:p w14:paraId="4FB820A6" w14:textId="59172011" w:rsidR="00125F46" w:rsidRPr="002F358C" w:rsidRDefault="00125F46">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284042" w:rsidRPr="002F358C">
        <w:rPr>
          <w:color w:val="000000" w:themeColor="text1"/>
          <w:sz w:val="20"/>
          <w:szCs w:val="20"/>
        </w:rPr>
        <w:t xml:space="preserve">Committee against torture, </w:t>
      </w:r>
      <w:proofErr w:type="gramStart"/>
      <w:r w:rsidR="00284042" w:rsidRPr="002F358C">
        <w:rPr>
          <w:i/>
          <w:iCs/>
          <w:color w:val="000000" w:themeColor="text1"/>
          <w:sz w:val="20"/>
          <w:szCs w:val="20"/>
        </w:rPr>
        <w:t>Second</w:t>
      </w:r>
      <w:proofErr w:type="gramEnd"/>
      <w:r w:rsidR="00284042" w:rsidRPr="002F358C">
        <w:rPr>
          <w:i/>
          <w:iCs/>
          <w:color w:val="000000" w:themeColor="text1"/>
          <w:sz w:val="20"/>
          <w:szCs w:val="20"/>
        </w:rPr>
        <w:t xml:space="preserve"> periodic report submitted by Thailand under article 19 of the Convention pursuant to the simplified reporting procedure, due in 2018</w:t>
      </w:r>
      <w:r w:rsidR="00284042" w:rsidRPr="002F358C">
        <w:rPr>
          <w:color w:val="000000" w:themeColor="text1"/>
          <w:sz w:val="20"/>
          <w:szCs w:val="20"/>
        </w:rPr>
        <w:t>, (Dec. 21, 2021), U.N. Doc. CAT/C/THA/2, ¶ 78.</w:t>
      </w:r>
    </w:p>
  </w:footnote>
  <w:footnote w:id="89">
    <w:p w14:paraId="7024416E" w14:textId="61E67D2C" w:rsidR="00FC0D53" w:rsidRPr="002F358C" w:rsidRDefault="00FC0D53">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8A45B4" w:rsidRPr="002F358C">
        <w:rPr>
          <w:color w:val="000000" w:themeColor="text1"/>
          <w:sz w:val="20"/>
          <w:szCs w:val="20"/>
        </w:rPr>
        <w:t>I</w:t>
      </w:r>
      <w:r w:rsidR="002C74DF" w:rsidRPr="002F358C">
        <w:rPr>
          <w:color w:val="000000" w:themeColor="text1"/>
          <w:sz w:val="20"/>
          <w:szCs w:val="20"/>
        </w:rPr>
        <w:t xml:space="preserve">nternational Federation </w:t>
      </w:r>
      <w:r w:rsidR="00C77993" w:rsidRPr="002F358C">
        <w:rPr>
          <w:color w:val="000000" w:themeColor="text1"/>
          <w:sz w:val="20"/>
          <w:szCs w:val="20"/>
        </w:rPr>
        <w:t xml:space="preserve">for Human Rights, </w:t>
      </w:r>
      <w:r w:rsidR="00C77993" w:rsidRPr="002F358C">
        <w:rPr>
          <w:i/>
          <w:iCs/>
          <w:color w:val="000000" w:themeColor="text1"/>
          <w:sz w:val="20"/>
          <w:szCs w:val="20"/>
        </w:rPr>
        <w:t>Thailand Annual Prison Report 202</w:t>
      </w:r>
      <w:r w:rsidR="005F35BD" w:rsidRPr="002F358C">
        <w:rPr>
          <w:i/>
          <w:iCs/>
          <w:color w:val="000000" w:themeColor="text1"/>
          <w:sz w:val="20"/>
          <w:szCs w:val="20"/>
        </w:rPr>
        <w:t>4</w:t>
      </w:r>
      <w:r w:rsidR="00C77993" w:rsidRPr="002F358C">
        <w:rPr>
          <w:color w:val="000000" w:themeColor="text1"/>
          <w:sz w:val="20"/>
          <w:szCs w:val="20"/>
        </w:rPr>
        <w:t xml:space="preserve"> (March 202</w:t>
      </w:r>
      <w:r w:rsidR="005F35BD" w:rsidRPr="002F358C">
        <w:rPr>
          <w:color w:val="000000" w:themeColor="text1"/>
          <w:sz w:val="20"/>
          <w:szCs w:val="20"/>
        </w:rPr>
        <w:t>4</w:t>
      </w:r>
      <w:r w:rsidR="00C77993" w:rsidRPr="002F358C">
        <w:rPr>
          <w:color w:val="000000" w:themeColor="text1"/>
          <w:sz w:val="20"/>
          <w:szCs w:val="20"/>
        </w:rPr>
        <w:t xml:space="preserve">), </w:t>
      </w:r>
      <w:r w:rsidR="006E778F" w:rsidRPr="002F358C">
        <w:rPr>
          <w:color w:val="000000" w:themeColor="text1"/>
          <w:sz w:val="20"/>
          <w:szCs w:val="20"/>
        </w:rPr>
        <w:t xml:space="preserve">at 21, available at </w:t>
      </w:r>
      <w:hyperlink r:id="rId45">
        <w:r w:rsidR="0B938F6C" w:rsidRPr="002F358C">
          <w:rPr>
            <w:rStyle w:val="Hyperlink"/>
            <w:color w:val="000000" w:themeColor="text1"/>
            <w:sz w:val="20"/>
            <w:szCs w:val="20"/>
            <w:u w:val="none"/>
          </w:rPr>
          <w:t>https://www.fidh.org/IMG/pdf/thailandprison823a.pdf</w:t>
        </w:r>
      </w:hyperlink>
      <w:r w:rsidR="006E778F" w:rsidRPr="002F358C">
        <w:rPr>
          <w:color w:val="000000" w:themeColor="text1"/>
          <w:sz w:val="20"/>
          <w:szCs w:val="20"/>
        </w:rPr>
        <w:t>.</w:t>
      </w:r>
      <w:r w:rsidR="0B938F6C" w:rsidRPr="002F358C">
        <w:rPr>
          <w:color w:val="000000" w:themeColor="text1"/>
          <w:sz w:val="20"/>
          <w:szCs w:val="20"/>
        </w:rPr>
        <w:t xml:space="preserve"> </w:t>
      </w:r>
    </w:p>
  </w:footnote>
  <w:footnote w:id="90">
    <w:p w14:paraId="35AF9B1B" w14:textId="587FD17C" w:rsidR="009B2C74" w:rsidRPr="002F358C" w:rsidRDefault="009B2C74">
      <w:pPr>
        <w:pStyle w:val="FootnoteText"/>
        <w:rPr>
          <w:color w:val="000000" w:themeColor="text1"/>
          <w:sz w:val="20"/>
          <w:szCs w:val="20"/>
        </w:rPr>
      </w:pPr>
      <w:r w:rsidRPr="002F358C">
        <w:rPr>
          <w:rStyle w:val="FootnoteReference"/>
          <w:color w:val="000000" w:themeColor="text1"/>
          <w:sz w:val="20"/>
          <w:szCs w:val="20"/>
        </w:rPr>
        <w:footnoteRef/>
      </w:r>
      <w:r w:rsidR="0B938F6C" w:rsidRPr="002F358C">
        <w:rPr>
          <w:color w:val="000000" w:themeColor="text1"/>
          <w:sz w:val="20"/>
          <w:szCs w:val="20"/>
        </w:rPr>
        <w:t xml:space="preserve"> International Federation for Human Rights, </w:t>
      </w:r>
      <w:r w:rsidR="0B938F6C" w:rsidRPr="002F358C">
        <w:rPr>
          <w:i/>
          <w:iCs/>
          <w:color w:val="000000" w:themeColor="text1"/>
          <w:sz w:val="20"/>
          <w:szCs w:val="20"/>
        </w:rPr>
        <w:t>Thailand Annual Prison Report 2024</w:t>
      </w:r>
      <w:r w:rsidR="0B938F6C" w:rsidRPr="002F358C">
        <w:rPr>
          <w:color w:val="000000" w:themeColor="text1"/>
          <w:sz w:val="20"/>
          <w:szCs w:val="20"/>
        </w:rPr>
        <w:t xml:space="preserve"> (March 2024), at 21, available at </w:t>
      </w:r>
      <w:hyperlink r:id="rId46">
        <w:r w:rsidR="0B938F6C" w:rsidRPr="002F358C">
          <w:rPr>
            <w:rStyle w:val="Hyperlink"/>
            <w:color w:val="000000" w:themeColor="text1"/>
            <w:sz w:val="20"/>
            <w:szCs w:val="20"/>
            <w:u w:val="none"/>
          </w:rPr>
          <w:t>https://www.fidh.org/IMG/pdf/thailandprison823a.pdf</w:t>
        </w:r>
      </w:hyperlink>
      <w:r w:rsidR="0B938F6C" w:rsidRPr="002F358C">
        <w:rPr>
          <w:color w:val="000000" w:themeColor="text1"/>
          <w:sz w:val="20"/>
          <w:szCs w:val="20"/>
        </w:rPr>
        <w:t>.</w:t>
      </w:r>
    </w:p>
  </w:footnote>
  <w:footnote w:id="91">
    <w:p w14:paraId="5BA5C9D7" w14:textId="0BC291F0" w:rsidR="00B31D12" w:rsidRPr="002F358C" w:rsidRDefault="00B31D12">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477B02" w:rsidRPr="002F358C">
        <w:rPr>
          <w:color w:val="000000" w:themeColor="text1"/>
          <w:sz w:val="20"/>
          <w:szCs w:val="20"/>
        </w:rPr>
        <w:t xml:space="preserve">International Federation for Human Rights, </w:t>
      </w:r>
      <w:r w:rsidR="00477B02" w:rsidRPr="002F358C">
        <w:rPr>
          <w:i/>
          <w:iCs/>
          <w:color w:val="000000" w:themeColor="text1"/>
          <w:sz w:val="20"/>
          <w:szCs w:val="20"/>
        </w:rPr>
        <w:t>Thailand Annual Prison Report 2024</w:t>
      </w:r>
      <w:r w:rsidR="00477B02" w:rsidRPr="002F358C">
        <w:rPr>
          <w:color w:val="000000" w:themeColor="text1"/>
          <w:sz w:val="20"/>
          <w:szCs w:val="20"/>
        </w:rPr>
        <w:t xml:space="preserve"> (March 2024), at 20, available at </w:t>
      </w:r>
      <w:hyperlink r:id="rId47">
        <w:r w:rsidR="0B938F6C" w:rsidRPr="002F358C">
          <w:rPr>
            <w:rStyle w:val="Hyperlink"/>
            <w:color w:val="000000" w:themeColor="text1"/>
            <w:sz w:val="20"/>
            <w:szCs w:val="20"/>
            <w:u w:val="none"/>
          </w:rPr>
          <w:t>https://www.fidh.org/IMG/pdf/thailandprison823a.pdf</w:t>
        </w:r>
      </w:hyperlink>
      <w:r w:rsidR="00477B02" w:rsidRPr="002F358C">
        <w:rPr>
          <w:color w:val="000000" w:themeColor="text1"/>
          <w:sz w:val="20"/>
          <w:szCs w:val="20"/>
        </w:rPr>
        <w:t>.</w:t>
      </w:r>
    </w:p>
  </w:footnote>
  <w:footnote w:id="92">
    <w:p w14:paraId="28DA42F7" w14:textId="06106F50" w:rsidR="00E21BAE" w:rsidRPr="002F358C" w:rsidRDefault="00E21BAE">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477B02" w:rsidRPr="002F358C">
        <w:rPr>
          <w:color w:val="000000" w:themeColor="text1"/>
          <w:sz w:val="20"/>
          <w:szCs w:val="20"/>
        </w:rPr>
        <w:t xml:space="preserve">International Federation for Human Rights, </w:t>
      </w:r>
      <w:r w:rsidR="00477B02" w:rsidRPr="002F358C">
        <w:rPr>
          <w:i/>
          <w:iCs/>
          <w:color w:val="000000" w:themeColor="text1"/>
          <w:sz w:val="20"/>
          <w:szCs w:val="20"/>
        </w:rPr>
        <w:t>Thailand Annual Prison Report 2024</w:t>
      </w:r>
      <w:r w:rsidR="00477B02" w:rsidRPr="002F358C">
        <w:rPr>
          <w:color w:val="000000" w:themeColor="text1"/>
          <w:sz w:val="20"/>
          <w:szCs w:val="20"/>
        </w:rPr>
        <w:t xml:space="preserve"> (March 2024), at 20, available at </w:t>
      </w:r>
      <w:hyperlink r:id="rId48">
        <w:r w:rsidR="0B938F6C" w:rsidRPr="002F358C">
          <w:rPr>
            <w:rStyle w:val="Hyperlink"/>
            <w:color w:val="000000" w:themeColor="text1"/>
            <w:sz w:val="20"/>
            <w:szCs w:val="20"/>
            <w:u w:val="none"/>
          </w:rPr>
          <w:t>https://www.fidh.org/IMG/pdf/thailandprison823a.pdf</w:t>
        </w:r>
      </w:hyperlink>
      <w:r w:rsidR="00477B02" w:rsidRPr="002F358C">
        <w:rPr>
          <w:color w:val="000000" w:themeColor="text1"/>
          <w:sz w:val="20"/>
          <w:szCs w:val="20"/>
        </w:rPr>
        <w:t>.</w:t>
      </w:r>
    </w:p>
  </w:footnote>
  <w:footnote w:id="93">
    <w:p w14:paraId="04A89596" w14:textId="766A07EB" w:rsidR="006C0C84" w:rsidRPr="002F358C" w:rsidRDefault="006C0C84">
      <w:pPr>
        <w:pStyle w:val="FootnoteText"/>
        <w:rPr>
          <w:color w:val="000000" w:themeColor="text1"/>
          <w:sz w:val="20"/>
          <w:szCs w:val="20"/>
        </w:rPr>
      </w:pPr>
      <w:r w:rsidRPr="002F358C">
        <w:rPr>
          <w:rStyle w:val="FootnoteReference"/>
          <w:color w:val="000000" w:themeColor="text1"/>
          <w:sz w:val="20"/>
          <w:szCs w:val="20"/>
        </w:rPr>
        <w:footnoteRef/>
      </w:r>
      <w:r w:rsidR="00477B02" w:rsidRPr="002F358C">
        <w:rPr>
          <w:color w:val="000000" w:themeColor="text1"/>
          <w:sz w:val="20"/>
          <w:szCs w:val="20"/>
        </w:rPr>
        <w:t xml:space="preserve">International Federation for Human Rights, </w:t>
      </w:r>
      <w:r w:rsidR="00477B02" w:rsidRPr="002F358C">
        <w:rPr>
          <w:i/>
          <w:iCs/>
          <w:color w:val="000000" w:themeColor="text1"/>
          <w:sz w:val="20"/>
          <w:szCs w:val="20"/>
        </w:rPr>
        <w:t>Thailand Annual Prison Report 2024</w:t>
      </w:r>
      <w:r w:rsidR="00477B02" w:rsidRPr="002F358C">
        <w:rPr>
          <w:color w:val="000000" w:themeColor="text1"/>
          <w:sz w:val="20"/>
          <w:szCs w:val="20"/>
        </w:rPr>
        <w:t xml:space="preserve"> (March 2024), at 20, available at </w:t>
      </w:r>
      <w:hyperlink r:id="rId49">
        <w:r w:rsidR="0B938F6C" w:rsidRPr="002F358C">
          <w:rPr>
            <w:rStyle w:val="Hyperlink"/>
            <w:color w:val="000000" w:themeColor="text1"/>
            <w:sz w:val="20"/>
            <w:szCs w:val="20"/>
            <w:u w:val="none"/>
          </w:rPr>
          <w:t>https://www.fidh.org/IMG/pdf/thailandprison823a.pdf</w:t>
        </w:r>
      </w:hyperlink>
      <w:r w:rsidR="00477B02" w:rsidRPr="002F358C">
        <w:rPr>
          <w:color w:val="000000" w:themeColor="text1"/>
          <w:sz w:val="20"/>
          <w:szCs w:val="20"/>
        </w:rPr>
        <w:t>.</w:t>
      </w:r>
    </w:p>
  </w:footnote>
  <w:footnote w:id="94">
    <w:p w14:paraId="6BC8ACE2" w14:textId="3ADD4864" w:rsidR="0057196C" w:rsidRPr="002F358C" w:rsidRDefault="0057196C">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477B02" w:rsidRPr="002F358C">
        <w:rPr>
          <w:color w:val="000000" w:themeColor="text1"/>
          <w:sz w:val="20"/>
          <w:szCs w:val="20"/>
        </w:rPr>
        <w:t xml:space="preserve">International Federation for Human Rights, </w:t>
      </w:r>
      <w:r w:rsidR="00477B02" w:rsidRPr="002F358C">
        <w:rPr>
          <w:i/>
          <w:iCs/>
          <w:color w:val="000000" w:themeColor="text1"/>
          <w:sz w:val="20"/>
          <w:szCs w:val="20"/>
        </w:rPr>
        <w:t>Thailand Annual Prison Report 2024</w:t>
      </w:r>
      <w:r w:rsidR="00477B02" w:rsidRPr="002F358C">
        <w:rPr>
          <w:color w:val="000000" w:themeColor="text1"/>
          <w:sz w:val="20"/>
          <w:szCs w:val="20"/>
        </w:rPr>
        <w:t xml:space="preserve"> (March 2024), at 21, available at </w:t>
      </w:r>
      <w:hyperlink r:id="rId50">
        <w:r w:rsidR="0B938F6C" w:rsidRPr="002F358C">
          <w:rPr>
            <w:rStyle w:val="Hyperlink"/>
            <w:color w:val="000000" w:themeColor="text1"/>
            <w:sz w:val="20"/>
            <w:szCs w:val="20"/>
            <w:u w:val="none"/>
          </w:rPr>
          <w:t>https://www.fidh.org/IMG/pdf/thailandprison823a.pdf</w:t>
        </w:r>
      </w:hyperlink>
      <w:r w:rsidR="00477B02" w:rsidRPr="002F358C">
        <w:rPr>
          <w:color w:val="000000" w:themeColor="text1"/>
          <w:sz w:val="20"/>
          <w:szCs w:val="20"/>
        </w:rPr>
        <w:t>.</w:t>
      </w:r>
    </w:p>
  </w:footnote>
  <w:footnote w:id="95">
    <w:p w14:paraId="5BE3A745" w14:textId="5E3F0B79" w:rsidR="00531E86" w:rsidRPr="002F358C" w:rsidRDefault="00531E86">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477B02" w:rsidRPr="002F358C">
        <w:rPr>
          <w:color w:val="000000" w:themeColor="text1"/>
          <w:sz w:val="20"/>
          <w:szCs w:val="20"/>
        </w:rPr>
        <w:t xml:space="preserve">International Federation for Human Rights, </w:t>
      </w:r>
      <w:r w:rsidR="00477B02" w:rsidRPr="002F358C">
        <w:rPr>
          <w:i/>
          <w:iCs/>
          <w:color w:val="000000" w:themeColor="text1"/>
          <w:sz w:val="20"/>
          <w:szCs w:val="20"/>
        </w:rPr>
        <w:t>Thailand Annual Prison Report 2024</w:t>
      </w:r>
      <w:r w:rsidR="00477B02" w:rsidRPr="002F358C">
        <w:rPr>
          <w:color w:val="000000" w:themeColor="text1"/>
          <w:sz w:val="20"/>
          <w:szCs w:val="20"/>
        </w:rPr>
        <w:t xml:space="preserve"> (March 2024), at 21, available at </w:t>
      </w:r>
      <w:hyperlink r:id="rId51">
        <w:r w:rsidR="0B938F6C" w:rsidRPr="002F358C">
          <w:rPr>
            <w:rStyle w:val="Hyperlink"/>
            <w:color w:val="000000" w:themeColor="text1"/>
            <w:sz w:val="20"/>
            <w:szCs w:val="20"/>
            <w:u w:val="none"/>
          </w:rPr>
          <w:t>https://www.fidh.org/IMG/pdf/thailandprison823a.pdf</w:t>
        </w:r>
      </w:hyperlink>
      <w:r w:rsidR="00477B02" w:rsidRPr="002F358C">
        <w:rPr>
          <w:color w:val="000000" w:themeColor="text1"/>
          <w:sz w:val="20"/>
          <w:szCs w:val="20"/>
        </w:rPr>
        <w:t>.</w:t>
      </w:r>
    </w:p>
  </w:footnote>
  <w:footnote w:id="96">
    <w:p w14:paraId="48DB31B2" w14:textId="16F16F7E"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submission of the second periodic report of Thailand</w:t>
      </w:r>
      <w:r w:rsidRPr="002F358C">
        <w:rPr>
          <w:color w:val="000000" w:themeColor="text1"/>
          <w:sz w:val="20"/>
          <w:szCs w:val="20"/>
        </w:rPr>
        <w:t>, (June 19, 2018) U.N. Doc CAT/C/THA/QPR/2, ¶</w:t>
      </w:r>
      <w:r w:rsidR="00927388" w:rsidRPr="002F358C">
        <w:rPr>
          <w:color w:val="000000" w:themeColor="text1"/>
          <w:sz w:val="20"/>
          <w:szCs w:val="20"/>
        </w:rPr>
        <w:t xml:space="preserve"> </w:t>
      </w:r>
      <w:r w:rsidRPr="002F358C">
        <w:rPr>
          <w:color w:val="000000" w:themeColor="text1"/>
          <w:sz w:val="20"/>
          <w:szCs w:val="20"/>
        </w:rPr>
        <w:t>16.</w:t>
      </w:r>
    </w:p>
  </w:footnote>
  <w:footnote w:id="97">
    <w:p w14:paraId="026E2F0A" w14:textId="1C3ACDAF"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submission of the second periodic report of Thailand</w:t>
      </w:r>
      <w:r w:rsidRPr="002F358C">
        <w:rPr>
          <w:color w:val="000000" w:themeColor="text1"/>
          <w:sz w:val="20"/>
          <w:szCs w:val="20"/>
        </w:rPr>
        <w:t>, (June 19, 2018) U.N. Doc CAT/C/THA/QPR/2, ¶</w:t>
      </w:r>
      <w:r w:rsidR="00927388" w:rsidRPr="002F358C">
        <w:rPr>
          <w:color w:val="000000" w:themeColor="text1"/>
          <w:sz w:val="20"/>
          <w:szCs w:val="20"/>
        </w:rPr>
        <w:t xml:space="preserve"> </w:t>
      </w:r>
      <w:r w:rsidRPr="002F358C">
        <w:rPr>
          <w:color w:val="000000" w:themeColor="text1"/>
          <w:sz w:val="20"/>
          <w:szCs w:val="20"/>
        </w:rPr>
        <w:t>17.</w:t>
      </w:r>
    </w:p>
  </w:footnote>
  <w:footnote w:id="98">
    <w:p w14:paraId="0A137B25" w14:textId="18F22324"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submission of the second periodic report of Thailand</w:t>
      </w:r>
      <w:r w:rsidRPr="002F358C">
        <w:rPr>
          <w:color w:val="000000" w:themeColor="text1"/>
          <w:sz w:val="20"/>
          <w:szCs w:val="20"/>
        </w:rPr>
        <w:t>, (June 19, 2018) U.N. Doc CAT/C/THA/QPR/2, ¶</w:t>
      </w:r>
      <w:r w:rsidR="00927388" w:rsidRPr="002F358C">
        <w:rPr>
          <w:color w:val="000000" w:themeColor="text1"/>
          <w:sz w:val="20"/>
          <w:szCs w:val="20"/>
        </w:rPr>
        <w:t xml:space="preserve"> </w:t>
      </w:r>
      <w:r w:rsidRPr="002F358C">
        <w:rPr>
          <w:color w:val="000000" w:themeColor="text1"/>
          <w:sz w:val="20"/>
          <w:szCs w:val="20"/>
        </w:rPr>
        <w:t>18.</w:t>
      </w:r>
    </w:p>
  </w:footnote>
  <w:footnote w:id="99">
    <w:p w14:paraId="22C675FF" w14:textId="0644D027"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submission of the second periodic report of Thailand</w:t>
      </w:r>
      <w:r w:rsidRPr="002F358C">
        <w:rPr>
          <w:color w:val="000000" w:themeColor="text1"/>
          <w:sz w:val="20"/>
          <w:szCs w:val="20"/>
        </w:rPr>
        <w:t>, (June 19, 2018) U.N. Doc CAT/C/THA/QPR/2, ¶</w:t>
      </w:r>
      <w:r w:rsidR="00927388" w:rsidRPr="002F358C">
        <w:rPr>
          <w:color w:val="000000" w:themeColor="text1"/>
          <w:sz w:val="20"/>
          <w:szCs w:val="20"/>
        </w:rPr>
        <w:t xml:space="preserve"> </w:t>
      </w:r>
      <w:r w:rsidRPr="002F358C">
        <w:rPr>
          <w:color w:val="000000" w:themeColor="text1"/>
          <w:sz w:val="20"/>
          <w:szCs w:val="20"/>
        </w:rPr>
        <w:t>17.</w:t>
      </w:r>
    </w:p>
  </w:footnote>
  <w:footnote w:id="100">
    <w:p w14:paraId="1CB0EA5E" w14:textId="54E87CFE"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w:t>
      </w:r>
      <w:r w:rsidR="00284042" w:rsidRPr="002F358C">
        <w:rPr>
          <w:color w:val="000000" w:themeColor="text1"/>
          <w:sz w:val="20"/>
          <w:szCs w:val="20"/>
        </w:rPr>
        <w:t xml:space="preserve"> </w:t>
      </w:r>
      <w:r w:rsidRPr="002F358C">
        <w:rPr>
          <w:color w:val="000000" w:themeColor="text1"/>
          <w:sz w:val="20"/>
          <w:szCs w:val="20"/>
        </w:rPr>
        <w:t>59.</w:t>
      </w:r>
    </w:p>
  </w:footnote>
  <w:footnote w:id="101">
    <w:p w14:paraId="33D83D98" w14:textId="760FF86F"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w:t>
      </w:r>
      <w:r w:rsidR="00284042" w:rsidRPr="002F358C">
        <w:rPr>
          <w:color w:val="000000" w:themeColor="text1"/>
          <w:sz w:val="20"/>
          <w:szCs w:val="20"/>
        </w:rPr>
        <w:t xml:space="preserve"> </w:t>
      </w:r>
      <w:r w:rsidRPr="002F358C">
        <w:rPr>
          <w:color w:val="000000" w:themeColor="text1"/>
          <w:sz w:val="20"/>
          <w:szCs w:val="20"/>
        </w:rPr>
        <w:t>61.</w:t>
      </w:r>
    </w:p>
  </w:footnote>
  <w:footnote w:id="102">
    <w:p w14:paraId="3B44766B" w14:textId="5DBAA432"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w:t>
      </w:r>
      <w:r w:rsidR="00284042" w:rsidRPr="002F358C">
        <w:rPr>
          <w:color w:val="000000" w:themeColor="text1"/>
          <w:sz w:val="20"/>
          <w:szCs w:val="20"/>
        </w:rPr>
        <w:t xml:space="preserve"> </w:t>
      </w:r>
      <w:r w:rsidRPr="002F358C">
        <w:rPr>
          <w:color w:val="000000" w:themeColor="text1"/>
          <w:sz w:val="20"/>
          <w:szCs w:val="20"/>
        </w:rPr>
        <w:t>68.</w:t>
      </w:r>
    </w:p>
  </w:footnote>
  <w:footnote w:id="103">
    <w:p w14:paraId="37D5030E" w14:textId="5C3A0554"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w:t>
      </w:r>
      <w:r w:rsidR="00284042" w:rsidRPr="002F358C">
        <w:rPr>
          <w:color w:val="000000" w:themeColor="text1"/>
          <w:sz w:val="20"/>
          <w:szCs w:val="20"/>
        </w:rPr>
        <w:t xml:space="preserve"> </w:t>
      </w:r>
      <w:r w:rsidRPr="002F358C">
        <w:rPr>
          <w:color w:val="000000" w:themeColor="text1"/>
          <w:sz w:val="20"/>
          <w:szCs w:val="20"/>
        </w:rPr>
        <w:t>73.</w:t>
      </w:r>
    </w:p>
  </w:footnote>
  <w:footnote w:id="104">
    <w:p w14:paraId="0BBE842F" w14:textId="38EB4853"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w:t>
      </w:r>
      <w:r w:rsidR="00284042" w:rsidRPr="002F358C">
        <w:rPr>
          <w:color w:val="000000" w:themeColor="text1"/>
          <w:sz w:val="20"/>
          <w:szCs w:val="20"/>
        </w:rPr>
        <w:t xml:space="preserve"> </w:t>
      </w:r>
      <w:r w:rsidRPr="002F358C">
        <w:rPr>
          <w:color w:val="000000" w:themeColor="text1"/>
          <w:sz w:val="20"/>
          <w:szCs w:val="20"/>
        </w:rPr>
        <w:t>72.</w:t>
      </w:r>
    </w:p>
  </w:footnote>
  <w:footnote w:id="105">
    <w:p w14:paraId="777D8EA8" w14:textId="2F6491CA"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(FIDH), </w:t>
      </w:r>
      <w:r w:rsidRPr="002F358C">
        <w:rPr>
          <w:i/>
          <w:iCs/>
          <w:color w:val="000000" w:themeColor="text1"/>
          <w:sz w:val="20"/>
          <w:szCs w:val="20"/>
        </w:rPr>
        <w:t>Thailand Annual Prison Report 2024</w:t>
      </w:r>
      <w:r w:rsidRPr="002F358C">
        <w:rPr>
          <w:color w:val="000000" w:themeColor="text1"/>
          <w:sz w:val="20"/>
          <w:szCs w:val="20"/>
        </w:rPr>
        <w:t xml:space="preserve">, 21 </w:t>
      </w:r>
      <w:hyperlink r:id="rId52">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06">
    <w:p w14:paraId="721C6EEA" w14:textId="30E5B9C9" w:rsidR="0B938F6C" w:rsidRPr="002F358C" w:rsidRDefault="0B938F6C"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(FIDH), </w:t>
      </w:r>
      <w:r w:rsidRPr="002F358C">
        <w:rPr>
          <w:i/>
          <w:iCs/>
          <w:color w:val="000000" w:themeColor="text1"/>
          <w:sz w:val="20"/>
          <w:szCs w:val="20"/>
        </w:rPr>
        <w:t>Thailand Annual Prison Report 2024</w:t>
      </w:r>
      <w:r w:rsidRPr="002F358C">
        <w:rPr>
          <w:color w:val="000000" w:themeColor="text1"/>
          <w:sz w:val="20"/>
          <w:szCs w:val="20"/>
        </w:rPr>
        <w:t xml:space="preserve">, 21 </w:t>
      </w:r>
      <w:hyperlink r:id="rId53">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07">
    <w:p w14:paraId="0BFC6F21" w14:textId="7E03E480"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(FIDH), </w:t>
      </w:r>
      <w:r w:rsidRPr="002F358C">
        <w:rPr>
          <w:i/>
          <w:iCs/>
          <w:color w:val="000000" w:themeColor="text1"/>
          <w:sz w:val="20"/>
          <w:szCs w:val="20"/>
        </w:rPr>
        <w:t>Thailand Annual Prison Report 2024</w:t>
      </w:r>
      <w:r w:rsidRPr="002F358C">
        <w:rPr>
          <w:color w:val="000000" w:themeColor="text1"/>
          <w:sz w:val="20"/>
          <w:szCs w:val="20"/>
        </w:rPr>
        <w:t>, 21</w:t>
      </w:r>
      <w:r w:rsidR="0B938F6C" w:rsidRPr="002F358C">
        <w:rPr>
          <w:color w:val="000000" w:themeColor="text1"/>
          <w:sz w:val="20"/>
          <w:szCs w:val="20"/>
        </w:rPr>
        <w:t>–</w:t>
      </w:r>
      <w:r w:rsidRPr="002F358C">
        <w:rPr>
          <w:color w:val="000000" w:themeColor="text1"/>
          <w:sz w:val="20"/>
          <w:szCs w:val="20"/>
        </w:rPr>
        <w:t xml:space="preserve">22 </w:t>
      </w:r>
      <w:hyperlink r:id="rId54">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08">
    <w:p w14:paraId="4E6FECCE" w14:textId="5DBC5917"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International Federation for Human Rights (FIDH), </w:t>
      </w:r>
      <w:r w:rsidRPr="002F358C">
        <w:rPr>
          <w:i/>
          <w:iCs/>
          <w:color w:val="000000" w:themeColor="text1"/>
          <w:sz w:val="20"/>
          <w:szCs w:val="20"/>
        </w:rPr>
        <w:t>Thailand Annual Prison Report 2024</w:t>
      </w:r>
      <w:r w:rsidRPr="002F358C">
        <w:rPr>
          <w:color w:val="000000" w:themeColor="text1"/>
          <w:sz w:val="20"/>
          <w:szCs w:val="20"/>
        </w:rPr>
        <w:t xml:space="preserve">, 22 </w:t>
      </w:r>
      <w:hyperlink r:id="rId55">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09">
    <w:p w14:paraId="3C14F830" w14:textId="1EADBD98"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U.S. Department of State, </w:t>
      </w:r>
      <w:r w:rsidRPr="002F358C">
        <w:rPr>
          <w:i/>
          <w:iCs/>
          <w:color w:val="000000" w:themeColor="text1"/>
          <w:sz w:val="20"/>
          <w:szCs w:val="20"/>
        </w:rPr>
        <w:t>2023 Country Reports on Human Rights Practices: Thailand</w:t>
      </w:r>
      <w:r w:rsidRPr="002F358C">
        <w:rPr>
          <w:color w:val="000000" w:themeColor="text1"/>
          <w:sz w:val="20"/>
          <w:szCs w:val="20"/>
        </w:rPr>
        <w:t xml:space="preserve">, </w:t>
      </w:r>
      <w:r w:rsidR="0B938F6C" w:rsidRPr="002F358C">
        <w:rPr>
          <w:color w:val="000000" w:themeColor="text1"/>
          <w:sz w:val="20"/>
          <w:szCs w:val="20"/>
        </w:rPr>
        <w:t xml:space="preserve">5 available online at </w:t>
      </w:r>
      <w:hyperlink r:id="rId56">
        <w:r w:rsidRPr="002F358C">
          <w:rPr>
            <w:rStyle w:val="Hyperlink"/>
            <w:color w:val="000000" w:themeColor="text1"/>
            <w:sz w:val="20"/>
            <w:szCs w:val="20"/>
            <w:u w:val="none"/>
          </w:rPr>
          <w:t>https://www.state.gov/reports/2023-country-reports-on-human-rights-practices/thailand/</w:t>
        </w:r>
      </w:hyperlink>
      <w:r w:rsidRPr="002F358C">
        <w:rPr>
          <w:color w:val="000000" w:themeColor="text1"/>
          <w:sz w:val="20"/>
          <w:szCs w:val="20"/>
        </w:rPr>
        <w:t>.</w:t>
      </w:r>
    </w:p>
  </w:footnote>
  <w:footnote w:id="110">
    <w:p w14:paraId="3F626822" w14:textId="77777777" w:rsidR="004C5A8D" w:rsidRPr="002F358C" w:rsidRDefault="004C5A8D" w:rsidP="004C5A8D">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31, available at </w:t>
      </w:r>
      <w:hyperlink r:id="rId57">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11">
    <w:p w14:paraId="3D41B8EB" w14:textId="77777777" w:rsidR="004C5A8D" w:rsidRPr="002F358C" w:rsidRDefault="004C5A8D" w:rsidP="004C5A8D">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32, available at </w:t>
      </w:r>
      <w:hyperlink r:id="rId58">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12">
    <w:p w14:paraId="1D5FDDAC" w14:textId="77777777" w:rsidR="004C5A8D" w:rsidRPr="002F358C" w:rsidRDefault="004C5A8D" w:rsidP="004C5A8D">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32, available at </w:t>
      </w:r>
      <w:hyperlink r:id="rId59">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13">
    <w:p w14:paraId="01C7E236" w14:textId="77777777" w:rsidR="004C5A8D" w:rsidRPr="002F358C" w:rsidRDefault="004C5A8D" w:rsidP="004C5A8D">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32, available at </w:t>
      </w:r>
      <w:hyperlink r:id="rId60">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14">
    <w:p w14:paraId="6C3DD31C" w14:textId="77777777" w:rsidR="004C5A8D" w:rsidRPr="002F358C" w:rsidRDefault="004C5A8D" w:rsidP="004C5A8D">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34, available at </w:t>
      </w:r>
      <w:hyperlink r:id="rId61">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15">
    <w:p w14:paraId="1AD8BA6F" w14:textId="77777777" w:rsidR="004C5A8D" w:rsidRPr="002F358C" w:rsidRDefault="004C5A8D" w:rsidP="004C5A8D">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34, available at </w:t>
      </w:r>
      <w:hyperlink r:id="rId62">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16">
    <w:p w14:paraId="04340779" w14:textId="77777777" w:rsidR="007E3811" w:rsidRPr="002F358C" w:rsidRDefault="007E3811" w:rsidP="007E3811">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37, available at </w:t>
      </w:r>
      <w:hyperlink r:id="rId63">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17">
    <w:p w14:paraId="5B0F4E60" w14:textId="77777777" w:rsidR="007E3811" w:rsidRPr="002F358C" w:rsidRDefault="007E3811" w:rsidP="007E3811">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37, available at </w:t>
      </w:r>
      <w:hyperlink r:id="rId64">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18">
    <w:p w14:paraId="2809DBFA" w14:textId="77777777" w:rsidR="009C4D1D" w:rsidRPr="002F358C" w:rsidRDefault="009C4D1D" w:rsidP="009C4D1D">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41, available at </w:t>
      </w:r>
      <w:hyperlink r:id="rId65">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19">
    <w:p w14:paraId="1D48D6B5" w14:textId="77777777" w:rsidR="009C4D1D" w:rsidRPr="002F358C" w:rsidRDefault="009C4D1D" w:rsidP="009C4D1D">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42, available at </w:t>
      </w:r>
      <w:hyperlink r:id="rId66">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20">
    <w:p w14:paraId="1132526A" w14:textId="329EA7D2"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48 (Sept. 2021), </w:t>
      </w:r>
      <w:hyperlink r:id="rId67">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121">
    <w:p w14:paraId="2D51965D" w14:textId="13196B50"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Pr="002F358C">
        <w:rPr>
          <w:i/>
          <w:iCs/>
          <w:color w:val="000000" w:themeColor="text1"/>
          <w:sz w:val="20"/>
          <w:szCs w:val="20"/>
        </w:rPr>
        <w:t>Judged for More Than Her Crime: A Global Overview of Women Facing the Death Penalty</w:t>
      </w:r>
      <w:r w:rsidRPr="002F358C">
        <w:rPr>
          <w:color w:val="000000" w:themeColor="text1"/>
          <w:sz w:val="20"/>
          <w:szCs w:val="20"/>
        </w:rPr>
        <w:t xml:space="preserve">, Cornell Center on the Death Penalty Worldwide, Sept. 2018, at 21, </w:t>
      </w:r>
      <w:hyperlink r:id="rId68">
        <w:r w:rsidRPr="002F358C">
          <w:rPr>
            <w:rStyle w:val="Hyperlink"/>
            <w:color w:val="000000" w:themeColor="text1"/>
            <w:sz w:val="20"/>
            <w:szCs w:val="20"/>
            <w:u w:val="none"/>
          </w:rPr>
          <w:t>https://deathpenaltyworldwide.org/wp-content/uploads/2019/12/Judged-More-Than-Her-Crime.pdf</w:t>
        </w:r>
      </w:hyperlink>
      <w:r w:rsidRPr="002F358C">
        <w:rPr>
          <w:color w:val="000000" w:themeColor="text1"/>
          <w:sz w:val="20"/>
          <w:szCs w:val="20"/>
        </w:rPr>
        <w:t>.</w:t>
      </w:r>
    </w:p>
  </w:footnote>
  <w:footnote w:id="122">
    <w:p w14:paraId="2E5C6978" w14:textId="1A0463BC"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48-49 (Sept. 2021), </w:t>
      </w:r>
      <w:hyperlink r:id="rId69">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 xml:space="preserve">; FIDH, </w:t>
      </w:r>
      <w:r w:rsidRPr="002F358C">
        <w:rPr>
          <w:i/>
          <w:iCs/>
          <w:color w:val="000000" w:themeColor="text1"/>
          <w:sz w:val="20"/>
          <w:szCs w:val="20"/>
        </w:rPr>
        <w:t>Thailand: Annual Prison Report 2022</w:t>
      </w:r>
      <w:r w:rsidRPr="002F358C">
        <w:rPr>
          <w:color w:val="000000" w:themeColor="text1"/>
          <w:sz w:val="20"/>
          <w:szCs w:val="20"/>
        </w:rPr>
        <w:t xml:space="preserve"> (Mar. 2022), at 29, available at </w:t>
      </w:r>
      <w:hyperlink r:id="rId70">
        <w:r w:rsidRPr="002F358C">
          <w:rPr>
            <w:rStyle w:val="Hyperlink"/>
            <w:color w:val="000000" w:themeColor="text1"/>
            <w:sz w:val="20"/>
            <w:szCs w:val="20"/>
            <w:u w:val="none"/>
          </w:rPr>
          <w:t>https://www.fidh.org/IMG/pdf/thailande791angweb.pdf</w:t>
        </w:r>
      </w:hyperlink>
      <w:r w:rsidRPr="002F358C">
        <w:rPr>
          <w:color w:val="000000" w:themeColor="text1"/>
          <w:sz w:val="20"/>
          <w:szCs w:val="20"/>
        </w:rPr>
        <w:t>.</w:t>
      </w:r>
    </w:p>
  </w:footnote>
  <w:footnote w:id="123">
    <w:p w14:paraId="17B7E5F6" w14:textId="4F889841"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Pr="002F358C">
        <w:rPr>
          <w:i/>
          <w:iCs/>
          <w:color w:val="000000" w:themeColor="text1"/>
          <w:sz w:val="20"/>
          <w:szCs w:val="20"/>
        </w:rPr>
        <w:t>Judged for More Than Her Crime: A Global Overview of Women Facing the Death Penalty</w:t>
      </w:r>
      <w:r w:rsidRPr="002F358C">
        <w:rPr>
          <w:color w:val="000000" w:themeColor="text1"/>
          <w:sz w:val="20"/>
          <w:szCs w:val="20"/>
        </w:rPr>
        <w:t xml:space="preserve">, Cornell Center on the Death Penalty Worldwide, Sept. 2018, at 21, </w:t>
      </w:r>
      <w:hyperlink r:id="rId71">
        <w:r w:rsidRPr="002F358C">
          <w:rPr>
            <w:rStyle w:val="Hyperlink"/>
            <w:color w:val="000000" w:themeColor="text1"/>
            <w:sz w:val="20"/>
            <w:szCs w:val="20"/>
            <w:u w:val="none"/>
          </w:rPr>
          <w:t>https://deathpenaltyworldwide.org/wp-content/uploads/2019/12/Judged-More-Than-Her-Crime.pdf</w:t>
        </w:r>
      </w:hyperlink>
      <w:r w:rsidRPr="002F358C">
        <w:rPr>
          <w:color w:val="000000" w:themeColor="text1"/>
          <w:sz w:val="20"/>
          <w:szCs w:val="20"/>
        </w:rPr>
        <w:t>.</w:t>
      </w:r>
    </w:p>
  </w:footnote>
  <w:footnote w:id="124">
    <w:p w14:paraId="18AE6A7B" w14:textId="77777777" w:rsidR="00F806DC" w:rsidRPr="002F358C" w:rsidRDefault="00F806DC" w:rsidP="00F806DC">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2022</w:t>
      </w:r>
      <w:r w:rsidRPr="002F358C">
        <w:rPr>
          <w:color w:val="000000" w:themeColor="text1"/>
          <w:sz w:val="20"/>
          <w:szCs w:val="20"/>
        </w:rPr>
        <w:t xml:space="preserve"> (Mar. 2022), at 31, available at https://www.fidh.org/IMG/pdf/thailande791angweb.pdf (last visited Sept. 29, 2022).</w:t>
      </w:r>
    </w:p>
  </w:footnote>
  <w:footnote w:id="125">
    <w:p w14:paraId="7637AB59" w14:textId="77777777" w:rsidR="00F806DC" w:rsidRPr="002F358C" w:rsidRDefault="00F806DC" w:rsidP="00F806DC">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2022</w:t>
      </w:r>
      <w:r w:rsidRPr="002F358C">
        <w:rPr>
          <w:color w:val="000000" w:themeColor="text1"/>
          <w:sz w:val="20"/>
          <w:szCs w:val="20"/>
        </w:rPr>
        <w:t xml:space="preserve"> (Mar. 2022), at 31, available at https://www.fidh.org/IMG/pdf/thailande791angweb.pdf (last visited Sept. 29, 2022).</w:t>
      </w:r>
    </w:p>
  </w:footnote>
  <w:footnote w:id="126">
    <w:p w14:paraId="74EBFBEA" w14:textId="47FF29B2"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49 (Sept. 2021), </w:t>
      </w:r>
      <w:hyperlink r:id="rId72">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 xml:space="preserve"> (footnotes omitted).</w:t>
      </w:r>
    </w:p>
  </w:footnote>
  <w:footnote w:id="127">
    <w:p w14:paraId="389F4AE7" w14:textId="0AA273A3"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2022</w:t>
      </w:r>
      <w:r w:rsidRPr="002F358C">
        <w:rPr>
          <w:color w:val="000000" w:themeColor="text1"/>
          <w:sz w:val="20"/>
          <w:szCs w:val="20"/>
        </w:rPr>
        <w:t xml:space="preserve"> (Mar. 2022), at 39, available at </w:t>
      </w:r>
      <w:hyperlink r:id="rId73">
        <w:r w:rsidRPr="002F358C">
          <w:rPr>
            <w:rStyle w:val="Hyperlink"/>
            <w:color w:val="000000" w:themeColor="text1"/>
            <w:sz w:val="20"/>
            <w:szCs w:val="20"/>
            <w:u w:val="none"/>
          </w:rPr>
          <w:t>https://www.fidh.org/IMG/pdf/thailande791angweb.pdf</w:t>
        </w:r>
      </w:hyperlink>
      <w:r w:rsidRPr="002F358C">
        <w:rPr>
          <w:color w:val="000000" w:themeColor="text1"/>
          <w:sz w:val="20"/>
          <w:szCs w:val="20"/>
        </w:rPr>
        <w:t>.</w:t>
      </w:r>
    </w:p>
  </w:footnote>
  <w:footnote w:id="128">
    <w:p w14:paraId="7180A949" w14:textId="23D2884C"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Pr="002F358C">
        <w:rPr>
          <w:i/>
          <w:iCs/>
          <w:color w:val="000000" w:themeColor="text1"/>
          <w:sz w:val="20"/>
          <w:szCs w:val="20"/>
        </w:rPr>
        <w:t>Judged for More Than Her Crime: A Global Overview of Women Facing the Death Penalty</w:t>
      </w:r>
      <w:r w:rsidRPr="002F358C">
        <w:rPr>
          <w:color w:val="000000" w:themeColor="text1"/>
          <w:sz w:val="20"/>
          <w:szCs w:val="20"/>
        </w:rPr>
        <w:t xml:space="preserve">, Cornell Center on the Death Penalty Worldwide, Sept. 2018, at 5, </w:t>
      </w:r>
      <w:hyperlink r:id="rId74">
        <w:r w:rsidRPr="002F358C">
          <w:rPr>
            <w:rStyle w:val="Hyperlink"/>
            <w:color w:val="000000" w:themeColor="text1"/>
            <w:sz w:val="20"/>
            <w:szCs w:val="20"/>
            <w:u w:val="none"/>
          </w:rPr>
          <w:t>https://deathpenaltyworldwide.org/wp-content/uploads/2019/12/Judged-More-Than-Her-Crime.pdf</w:t>
        </w:r>
      </w:hyperlink>
      <w:r w:rsidRPr="002F358C">
        <w:rPr>
          <w:color w:val="000000" w:themeColor="text1"/>
          <w:sz w:val="20"/>
          <w:szCs w:val="20"/>
        </w:rPr>
        <w:t>.</w:t>
      </w:r>
    </w:p>
  </w:footnote>
  <w:footnote w:id="129">
    <w:p w14:paraId="7CBC065C" w14:textId="7D8E2588"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2022</w:t>
      </w:r>
      <w:r w:rsidRPr="002F358C">
        <w:rPr>
          <w:color w:val="000000" w:themeColor="text1"/>
          <w:sz w:val="20"/>
          <w:szCs w:val="20"/>
        </w:rPr>
        <w:t xml:space="preserve"> (Mar. 2022), available at </w:t>
      </w:r>
      <w:hyperlink r:id="rId75">
        <w:r w:rsidRPr="002F358C">
          <w:rPr>
            <w:rStyle w:val="Hyperlink"/>
            <w:color w:val="000000" w:themeColor="text1"/>
            <w:sz w:val="20"/>
            <w:szCs w:val="20"/>
            <w:u w:val="none"/>
          </w:rPr>
          <w:t>https://www.fidh.org/IMG/pdf/thailande791angweb.pdf</w:t>
        </w:r>
      </w:hyperlink>
      <w:r w:rsidRPr="002F358C">
        <w:rPr>
          <w:color w:val="000000" w:themeColor="text1"/>
          <w:sz w:val="20"/>
          <w:szCs w:val="20"/>
        </w:rPr>
        <w:t>.</w:t>
      </w:r>
    </w:p>
  </w:footnote>
  <w:footnote w:id="130">
    <w:p w14:paraId="4B6BFE4B" w14:textId="3A3A720B" w:rsidR="3B0F447B" w:rsidRPr="002F358C" w:rsidRDefault="3B0F447B" w:rsidP="001B453B">
      <w:pPr>
        <w:pStyle w:val="FootnoteText"/>
        <w:rPr>
          <w:color w:val="000000" w:themeColor="text1"/>
          <w:sz w:val="20"/>
          <w:szCs w:val="20"/>
        </w:rPr>
      </w:pPr>
      <w:r w:rsidRPr="002F358C">
        <w:rPr>
          <w:rStyle w:val="FootnoteReference"/>
          <w:color w:val="000000" w:themeColor="text1"/>
          <w:sz w:val="20"/>
          <w:szCs w:val="20"/>
        </w:rPr>
        <w:footnoteRef/>
      </w:r>
      <w:r w:rsidR="00AE5FC6" w:rsidRPr="002F358C">
        <w:rPr>
          <w:color w:val="000000" w:themeColor="text1"/>
          <w:sz w:val="20"/>
          <w:szCs w:val="20"/>
        </w:rPr>
        <w:t xml:space="preserve"> </w:t>
      </w:r>
      <w:r w:rsidR="00242031" w:rsidRPr="002F358C">
        <w:rPr>
          <w:color w:val="000000" w:themeColor="text1"/>
          <w:sz w:val="20"/>
          <w:szCs w:val="20"/>
        </w:rPr>
        <w:t xml:space="preserve">FIDH, </w:t>
      </w:r>
      <w:r w:rsidR="00242031" w:rsidRPr="002F358C">
        <w:rPr>
          <w:i/>
          <w:iCs/>
          <w:color w:val="000000" w:themeColor="text1"/>
          <w:sz w:val="20"/>
          <w:szCs w:val="20"/>
        </w:rPr>
        <w:t>Thailand: Annual Prison Report 2022</w:t>
      </w:r>
      <w:r w:rsidR="00242031" w:rsidRPr="002F358C">
        <w:rPr>
          <w:color w:val="000000" w:themeColor="text1"/>
          <w:sz w:val="20"/>
          <w:szCs w:val="20"/>
        </w:rPr>
        <w:t xml:space="preserve"> (Mar. 2022), at 33, available at </w:t>
      </w:r>
      <w:hyperlink r:id="rId76" w:history="1">
        <w:hyperlink r:id="rId77" w:history="1">
          <w:r w:rsidR="00242031" w:rsidRPr="002F358C">
            <w:rPr>
              <w:rStyle w:val="Hyperlink"/>
              <w:color w:val="000000" w:themeColor="text1"/>
              <w:sz w:val="20"/>
              <w:szCs w:val="20"/>
              <w:u w:val="none"/>
            </w:rPr>
            <w:t>https://www.fidh.org/IMG/pdf/thailande791angweb.pdf</w:t>
          </w:r>
        </w:hyperlink>
      </w:hyperlink>
      <w:r w:rsidR="00242031" w:rsidRPr="002F358C">
        <w:rPr>
          <w:color w:val="000000" w:themeColor="text1"/>
          <w:sz w:val="20"/>
          <w:szCs w:val="20"/>
        </w:rPr>
        <w:t>.</w:t>
      </w:r>
    </w:p>
  </w:footnote>
  <w:footnote w:id="131">
    <w:p w14:paraId="0622A6C8" w14:textId="4DF60DA3" w:rsidR="3B0F447B" w:rsidRPr="002F358C" w:rsidRDefault="3B0F447B" w:rsidP="001B453B">
      <w:pPr>
        <w:pStyle w:val="FootnoteText"/>
        <w:rPr>
          <w:color w:val="000000" w:themeColor="text1"/>
          <w:sz w:val="20"/>
          <w:szCs w:val="20"/>
        </w:rPr>
      </w:pPr>
      <w:r w:rsidRPr="002F358C">
        <w:rPr>
          <w:rStyle w:val="FootnoteReference"/>
          <w:color w:val="000000" w:themeColor="text1"/>
          <w:sz w:val="20"/>
          <w:szCs w:val="20"/>
        </w:rPr>
        <w:footnoteRef/>
      </w:r>
      <w:r w:rsidR="00DD7716" w:rsidRPr="002F358C">
        <w:rPr>
          <w:color w:val="000000" w:themeColor="text1"/>
          <w:sz w:val="20"/>
          <w:szCs w:val="20"/>
        </w:rPr>
        <w:t xml:space="preserve"> </w:t>
      </w:r>
      <w:r w:rsidR="00361594" w:rsidRPr="002F358C">
        <w:rPr>
          <w:color w:val="000000" w:themeColor="text1"/>
          <w:sz w:val="20"/>
          <w:szCs w:val="20"/>
        </w:rPr>
        <w:t xml:space="preserve">FIDH, </w:t>
      </w:r>
      <w:r w:rsidR="00361594" w:rsidRPr="002F358C">
        <w:rPr>
          <w:i/>
          <w:iCs/>
          <w:color w:val="000000" w:themeColor="text1"/>
          <w:sz w:val="20"/>
          <w:szCs w:val="20"/>
        </w:rPr>
        <w:t>Thailand: Annual Prison Report 2022</w:t>
      </w:r>
      <w:r w:rsidR="00361594" w:rsidRPr="002F358C">
        <w:rPr>
          <w:color w:val="000000" w:themeColor="text1"/>
          <w:sz w:val="20"/>
          <w:szCs w:val="20"/>
        </w:rPr>
        <w:t xml:space="preserve"> (Mar. 2022), at 33, available at </w:t>
      </w:r>
      <w:hyperlink r:id="rId78" w:history="1">
        <w:hyperlink r:id="rId79" w:history="1">
          <w:r w:rsidR="00361594" w:rsidRPr="002F358C">
            <w:rPr>
              <w:rStyle w:val="Hyperlink"/>
              <w:color w:val="000000" w:themeColor="text1"/>
              <w:sz w:val="20"/>
              <w:szCs w:val="20"/>
              <w:u w:val="none"/>
            </w:rPr>
            <w:t>https://www.fidh.org/IMG/pdf/thailande791angweb.pdf</w:t>
          </w:r>
        </w:hyperlink>
      </w:hyperlink>
      <w:r w:rsidR="00361594" w:rsidRPr="002F358C">
        <w:rPr>
          <w:color w:val="000000" w:themeColor="text1"/>
          <w:sz w:val="20"/>
          <w:szCs w:val="20"/>
        </w:rPr>
        <w:t>.</w:t>
      </w:r>
    </w:p>
  </w:footnote>
  <w:footnote w:id="132">
    <w:p w14:paraId="5D4A3847" w14:textId="41F69A2B" w:rsidR="3B0F447B" w:rsidRPr="002F358C" w:rsidRDefault="3B0F447B" w:rsidP="001B453B">
      <w:pPr>
        <w:pStyle w:val="FootnoteText"/>
        <w:rPr>
          <w:color w:val="000000" w:themeColor="text1"/>
        </w:rPr>
      </w:pPr>
      <w:r w:rsidRPr="002F358C">
        <w:rPr>
          <w:rStyle w:val="FootnoteReference"/>
          <w:color w:val="000000" w:themeColor="text1"/>
          <w:sz w:val="20"/>
          <w:szCs w:val="20"/>
        </w:rPr>
        <w:footnoteRef/>
      </w:r>
      <w:r w:rsidR="0B938F6C" w:rsidRPr="002F358C">
        <w:rPr>
          <w:color w:val="000000" w:themeColor="text1"/>
          <w:sz w:val="20"/>
          <w:szCs w:val="20"/>
        </w:rPr>
        <w:t xml:space="preserve"> FIDH, </w:t>
      </w:r>
      <w:r w:rsidR="0B938F6C" w:rsidRPr="002F358C">
        <w:rPr>
          <w:i/>
          <w:iCs/>
          <w:color w:val="000000" w:themeColor="text1"/>
          <w:sz w:val="20"/>
          <w:szCs w:val="20"/>
        </w:rPr>
        <w:t>Thailand: Annual Prison Report 2022</w:t>
      </w:r>
      <w:r w:rsidR="0B938F6C" w:rsidRPr="002F358C">
        <w:rPr>
          <w:color w:val="000000" w:themeColor="text1"/>
          <w:sz w:val="20"/>
          <w:szCs w:val="20"/>
        </w:rPr>
        <w:t xml:space="preserve"> (Mar. 2022), at 33, available at </w:t>
      </w:r>
      <w:hyperlink r:id="rId80" w:history="1">
        <w:r w:rsidR="0B938F6C" w:rsidRPr="002F358C">
          <w:rPr>
            <w:rStyle w:val="Hyperlink"/>
            <w:color w:val="000000" w:themeColor="text1"/>
            <w:sz w:val="20"/>
            <w:szCs w:val="20"/>
            <w:u w:val="none"/>
          </w:rPr>
          <w:t>https://www.fidh.org/IMG/pdf/thailande791angweb.pdf</w:t>
        </w:r>
      </w:hyperlink>
      <w:r w:rsidR="0B938F6C" w:rsidRPr="002F358C">
        <w:rPr>
          <w:color w:val="000000" w:themeColor="text1"/>
          <w:sz w:val="20"/>
          <w:szCs w:val="20"/>
        </w:rPr>
        <w:t>.</w:t>
      </w:r>
    </w:p>
  </w:footnote>
  <w:footnote w:id="133">
    <w:p w14:paraId="4F682551" w14:textId="44666B9C"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2022</w:t>
      </w:r>
      <w:r w:rsidRPr="002F358C">
        <w:rPr>
          <w:color w:val="000000" w:themeColor="text1"/>
          <w:sz w:val="20"/>
          <w:szCs w:val="20"/>
        </w:rPr>
        <w:t xml:space="preserve"> (Mar. 2022), at 34, available at </w:t>
      </w:r>
      <w:hyperlink r:id="rId81">
        <w:r w:rsidRPr="002F358C">
          <w:rPr>
            <w:rStyle w:val="Hyperlink"/>
            <w:color w:val="000000" w:themeColor="text1"/>
            <w:sz w:val="20"/>
            <w:szCs w:val="20"/>
            <w:u w:val="none"/>
          </w:rPr>
          <w:t>https://www.fidh.org/IMG/pdf/thailande791angweb.pdf</w:t>
        </w:r>
      </w:hyperlink>
      <w:r w:rsidRPr="002F358C">
        <w:rPr>
          <w:color w:val="000000" w:themeColor="text1"/>
          <w:sz w:val="20"/>
          <w:szCs w:val="20"/>
        </w:rPr>
        <w:t>.</w:t>
      </w:r>
    </w:p>
  </w:footnote>
  <w:footnote w:id="134">
    <w:p w14:paraId="12C8B8CA" w14:textId="762A3EC0"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2024</w:t>
      </w:r>
      <w:r w:rsidRPr="002F358C">
        <w:rPr>
          <w:color w:val="000000" w:themeColor="text1"/>
          <w:sz w:val="20"/>
          <w:szCs w:val="20"/>
        </w:rPr>
        <w:t xml:space="preserve">, at 39, available at </w:t>
      </w:r>
      <w:hyperlink r:id="rId82">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35">
    <w:p w14:paraId="421A7FE8" w14:textId="34468017"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00663144" w:rsidRPr="002F358C">
        <w:rPr>
          <w:color w:val="000000" w:themeColor="text1"/>
          <w:sz w:val="20"/>
          <w:szCs w:val="20"/>
        </w:rPr>
        <w:t xml:space="preserve"> </w:t>
      </w:r>
      <w:r w:rsidRPr="002F358C">
        <w:rPr>
          <w:color w:val="000000" w:themeColor="text1"/>
          <w:sz w:val="20"/>
          <w:szCs w:val="20"/>
        </w:rPr>
        <w:t xml:space="preserve">FIDH, </w:t>
      </w:r>
      <w:r w:rsidRPr="002F358C">
        <w:rPr>
          <w:i/>
          <w:iCs/>
          <w:color w:val="000000" w:themeColor="text1"/>
          <w:sz w:val="20"/>
          <w:szCs w:val="20"/>
        </w:rPr>
        <w:t>Thailand Annual Prison Report 2024</w:t>
      </w:r>
      <w:r w:rsidRPr="002F358C">
        <w:rPr>
          <w:color w:val="000000" w:themeColor="text1"/>
          <w:sz w:val="20"/>
          <w:szCs w:val="20"/>
        </w:rPr>
        <w:t xml:space="preserve">, at 39, available at </w:t>
      </w:r>
      <w:hyperlink r:id="rId83">
        <w:r w:rsidRPr="002F358C">
          <w:rPr>
            <w:rStyle w:val="Hyperlink"/>
            <w:color w:val="000000" w:themeColor="text1"/>
            <w:sz w:val="20"/>
            <w:szCs w:val="20"/>
            <w:u w:val="none"/>
          </w:rPr>
          <w:t>https://www.fidh.org/IMG/pdf/thailandprison823a.pdf</w:t>
        </w:r>
      </w:hyperlink>
      <w:r w:rsidRPr="002F358C">
        <w:rPr>
          <w:color w:val="000000" w:themeColor="text1"/>
          <w:sz w:val="20"/>
          <w:szCs w:val="20"/>
        </w:rPr>
        <w:t>.</w:t>
      </w:r>
    </w:p>
  </w:footnote>
  <w:footnote w:id="136">
    <w:p w14:paraId="20C68FD4" w14:textId="2C291D64"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U.S. Department of State, 2023 </w:t>
      </w:r>
      <w:r w:rsidRPr="002F358C">
        <w:rPr>
          <w:i/>
          <w:iCs/>
          <w:color w:val="000000" w:themeColor="text1"/>
          <w:sz w:val="20"/>
          <w:szCs w:val="20"/>
        </w:rPr>
        <w:t>Country Reports on Human Rights Practices: Thailand</w:t>
      </w:r>
      <w:r w:rsidRPr="002F358C">
        <w:rPr>
          <w:color w:val="000000" w:themeColor="text1"/>
          <w:sz w:val="20"/>
          <w:szCs w:val="20"/>
        </w:rPr>
        <w:t xml:space="preserve">, </w:t>
      </w:r>
      <w:r w:rsidR="0B938F6C" w:rsidRPr="002F358C">
        <w:rPr>
          <w:color w:val="000000" w:themeColor="text1"/>
          <w:sz w:val="20"/>
          <w:szCs w:val="20"/>
        </w:rPr>
        <w:t xml:space="preserve">5 available online at </w:t>
      </w:r>
      <w:hyperlink r:id="rId84">
        <w:r w:rsidRPr="002F358C">
          <w:rPr>
            <w:rStyle w:val="Hyperlink"/>
            <w:color w:val="000000" w:themeColor="text1"/>
            <w:sz w:val="20"/>
            <w:szCs w:val="20"/>
            <w:u w:val="none"/>
          </w:rPr>
          <w:t>https://www.state.gov/reports/2023-country-reports-on-human-rights-practices/thailand/</w:t>
        </w:r>
      </w:hyperlink>
      <w:r w:rsidRPr="002F358C">
        <w:rPr>
          <w:color w:val="000000" w:themeColor="text1"/>
          <w:sz w:val="20"/>
          <w:szCs w:val="20"/>
        </w:rPr>
        <w:t>.</w:t>
      </w:r>
    </w:p>
  </w:footnote>
  <w:footnote w:id="137">
    <w:p w14:paraId="5DC550D8" w14:textId="11986B79"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2022</w:t>
      </w:r>
      <w:r w:rsidRPr="002F358C">
        <w:rPr>
          <w:color w:val="000000" w:themeColor="text1"/>
          <w:sz w:val="20"/>
          <w:szCs w:val="20"/>
        </w:rPr>
        <w:t xml:space="preserve"> (Mar. 2022), at 37</w:t>
      </w:r>
      <w:r w:rsidR="0B938F6C" w:rsidRPr="002F358C">
        <w:rPr>
          <w:color w:val="000000" w:themeColor="text1"/>
          <w:sz w:val="20"/>
          <w:szCs w:val="20"/>
        </w:rPr>
        <w:t>–</w:t>
      </w:r>
      <w:r w:rsidRPr="002F358C">
        <w:rPr>
          <w:color w:val="000000" w:themeColor="text1"/>
          <w:sz w:val="20"/>
          <w:szCs w:val="20"/>
        </w:rPr>
        <w:t xml:space="preserve">38, available at </w:t>
      </w:r>
      <w:hyperlink r:id="rId85">
        <w:r w:rsidRPr="002F358C">
          <w:rPr>
            <w:rStyle w:val="Hyperlink"/>
            <w:color w:val="000000" w:themeColor="text1"/>
            <w:sz w:val="20"/>
            <w:szCs w:val="20"/>
            <w:u w:val="none"/>
          </w:rPr>
          <w:t>https://www.fidh.org/IMG/pdf/thailande791angweb.pdf</w:t>
        </w:r>
      </w:hyperlink>
      <w:r w:rsidRPr="002F358C">
        <w:rPr>
          <w:color w:val="000000" w:themeColor="text1"/>
          <w:sz w:val="20"/>
          <w:szCs w:val="20"/>
        </w:rPr>
        <w:t>.</w:t>
      </w:r>
    </w:p>
  </w:footnote>
  <w:footnote w:id="138">
    <w:p w14:paraId="491E4ECC" w14:textId="4D2CC308"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2022</w:t>
      </w:r>
      <w:r w:rsidRPr="002F358C">
        <w:rPr>
          <w:color w:val="000000" w:themeColor="text1"/>
          <w:sz w:val="20"/>
          <w:szCs w:val="20"/>
        </w:rPr>
        <w:t xml:space="preserve"> (Mar. 2022), at 38, available at </w:t>
      </w:r>
      <w:hyperlink r:id="rId86">
        <w:r w:rsidRPr="002F358C">
          <w:rPr>
            <w:rStyle w:val="Hyperlink"/>
            <w:color w:val="000000" w:themeColor="text1"/>
            <w:sz w:val="20"/>
            <w:szCs w:val="20"/>
            <w:u w:val="none"/>
          </w:rPr>
          <w:t>https://www.fidh.org/IMG/pdf/thailande791angweb.pdf</w:t>
        </w:r>
      </w:hyperlink>
      <w:r w:rsidRPr="002F358C">
        <w:rPr>
          <w:color w:val="000000" w:themeColor="text1"/>
          <w:sz w:val="20"/>
          <w:szCs w:val="20"/>
        </w:rPr>
        <w:t>.</w:t>
      </w:r>
    </w:p>
  </w:footnote>
  <w:footnote w:id="139">
    <w:p w14:paraId="7438D221" w14:textId="77777777" w:rsidR="000B2C48" w:rsidRPr="002F358C" w:rsidRDefault="000B2C48" w:rsidP="000B2C4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Pr="002F358C">
        <w:rPr>
          <w:i/>
          <w:iCs/>
          <w:color w:val="000000" w:themeColor="text1"/>
          <w:sz w:val="20"/>
          <w:szCs w:val="20"/>
        </w:rPr>
        <w:t>Judged for More Than Her Crime: A Global Overview of Women Facing the Death Penalty</w:t>
      </w:r>
      <w:r w:rsidRPr="002F358C">
        <w:rPr>
          <w:color w:val="000000" w:themeColor="text1"/>
          <w:sz w:val="20"/>
          <w:szCs w:val="20"/>
        </w:rPr>
        <w:t xml:space="preserve">, Cornell Center on the Death Penalty Worldwide, Sept. 2018, at 5, </w:t>
      </w:r>
      <w:hyperlink r:id="rId87">
        <w:r w:rsidRPr="002F358C">
          <w:rPr>
            <w:rStyle w:val="Hyperlink"/>
            <w:color w:val="000000" w:themeColor="text1"/>
            <w:sz w:val="20"/>
            <w:szCs w:val="20"/>
            <w:u w:val="none"/>
          </w:rPr>
          <w:t>https://deathpenaltyworldwide.org/wp-content/uploads/2019/12/Judged-More-Than-Her-Crime.pdf</w:t>
        </w:r>
      </w:hyperlink>
      <w:r w:rsidRPr="002F358C">
        <w:rPr>
          <w:color w:val="000000" w:themeColor="text1"/>
          <w:sz w:val="20"/>
          <w:szCs w:val="20"/>
        </w:rPr>
        <w:t>.</w:t>
      </w:r>
    </w:p>
  </w:footnote>
  <w:footnote w:id="140">
    <w:p w14:paraId="42E222B7" w14:textId="77777777" w:rsidR="000B2C48" w:rsidRPr="002F358C" w:rsidRDefault="000B2C48" w:rsidP="000B2C4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Pr="002F358C">
        <w:rPr>
          <w:i/>
          <w:iCs/>
          <w:color w:val="000000" w:themeColor="text1"/>
          <w:sz w:val="20"/>
          <w:szCs w:val="20"/>
        </w:rPr>
        <w:t>Judged for More Than Her Crime: A Global Overview of Women Facing the Death Penalty</w:t>
      </w:r>
      <w:r w:rsidRPr="002F358C">
        <w:rPr>
          <w:color w:val="000000" w:themeColor="text1"/>
          <w:sz w:val="20"/>
          <w:szCs w:val="20"/>
        </w:rPr>
        <w:t xml:space="preserve">, Cornell Center on the Death Penalty Worldwide, Sept. 2018, at 23, </w:t>
      </w:r>
      <w:hyperlink r:id="rId88">
        <w:r w:rsidRPr="002F358C">
          <w:rPr>
            <w:rStyle w:val="Hyperlink"/>
            <w:color w:val="000000" w:themeColor="text1"/>
            <w:sz w:val="20"/>
            <w:szCs w:val="20"/>
            <w:u w:val="none"/>
          </w:rPr>
          <w:t>https://deathpenaltyworldwide.org/wp-content/uploads/2019/12/Judged-More-Than-Her-Crime.pdf</w:t>
        </w:r>
      </w:hyperlink>
      <w:r w:rsidRPr="002F358C">
        <w:rPr>
          <w:color w:val="000000" w:themeColor="text1"/>
          <w:sz w:val="20"/>
          <w:szCs w:val="20"/>
        </w:rPr>
        <w:t>.</w:t>
      </w:r>
    </w:p>
  </w:footnote>
  <w:footnote w:id="141">
    <w:p w14:paraId="785AA184" w14:textId="77777777" w:rsidR="000B2C48" w:rsidRPr="002F358C" w:rsidRDefault="000B2C48" w:rsidP="000B2C4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at 31 (Sept. 2021), https://deathpenaltyworldwide.org/wp-content/uploads/2021/10/No-One-Believed-Me-A-Global-Overview-of-Women-Facing-the-Death-Penalty-for-Drug-Offenses.pdf (last visited Aug. 30, 2024).</w:t>
      </w:r>
    </w:p>
  </w:footnote>
  <w:footnote w:id="142">
    <w:p w14:paraId="294F6ED3" w14:textId="6CE46234"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49 (Sept. 2021), </w:t>
      </w:r>
      <w:hyperlink r:id="rId89">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143">
    <w:p w14:paraId="61BD8594" w14:textId="45626AD8"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49 (Sept. 2021), </w:t>
      </w:r>
      <w:hyperlink r:id="rId90">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144">
    <w:p w14:paraId="06344B39" w14:textId="40E62E2E"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Cornell Center on the Death Penalty Worldwide, </w:t>
      </w:r>
      <w:r w:rsidRPr="002F358C">
        <w:rPr>
          <w:i/>
          <w:iCs/>
          <w:color w:val="000000" w:themeColor="text1"/>
          <w:sz w:val="20"/>
          <w:szCs w:val="20"/>
        </w:rPr>
        <w:t>“No One Believed Me”: A Global Overview of Women Facing the Death Penalty for Drug Offenses</w:t>
      </w:r>
      <w:r w:rsidRPr="002F358C">
        <w:rPr>
          <w:color w:val="000000" w:themeColor="text1"/>
          <w:sz w:val="20"/>
          <w:szCs w:val="20"/>
        </w:rPr>
        <w:t xml:space="preserve">, at 49 (Sept. 2021), </w:t>
      </w:r>
      <w:hyperlink r:id="rId91">
        <w:r w:rsidRPr="002F358C">
          <w:rPr>
            <w:rStyle w:val="Hyperlink"/>
            <w:color w:val="000000" w:themeColor="text1"/>
            <w:sz w:val="20"/>
            <w:szCs w:val="20"/>
            <w:u w:val="none"/>
          </w:rPr>
          <w:t>https://deathpenaltyworldwide.org/wp-content/uploads/2021/10/No-One-Believed-Me-A-Global-Overview-of-Women-Facing-the-Death-Penalty-for-Drug-Offenses.pdf</w:t>
        </w:r>
      </w:hyperlink>
      <w:r w:rsidRPr="002F358C">
        <w:rPr>
          <w:color w:val="000000" w:themeColor="text1"/>
          <w:sz w:val="20"/>
          <w:szCs w:val="20"/>
        </w:rPr>
        <w:t>.</w:t>
      </w:r>
    </w:p>
  </w:footnote>
  <w:footnote w:id="145">
    <w:p w14:paraId="05B88636" w14:textId="01CB4A32" w:rsidR="3B0F447B" w:rsidRPr="002F358C" w:rsidRDefault="3B0F447B" w:rsidP="001B453B">
      <w:pPr>
        <w:pStyle w:val="Paragraph"/>
        <w:numPr>
          <w:ilvl w:val="0"/>
          <w:numId w:val="0"/>
        </w:numPr>
        <w:spacing w:after="0"/>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FIDH, </w:t>
      </w:r>
      <w:r w:rsidRPr="002F358C">
        <w:rPr>
          <w:i/>
          <w:iCs/>
          <w:color w:val="000000" w:themeColor="text1"/>
          <w:sz w:val="20"/>
          <w:szCs w:val="20"/>
        </w:rPr>
        <w:t>Thailand: Annual Prison Report 2022</w:t>
      </w:r>
      <w:r w:rsidRPr="002F358C">
        <w:rPr>
          <w:color w:val="000000" w:themeColor="text1"/>
          <w:sz w:val="20"/>
          <w:szCs w:val="20"/>
        </w:rPr>
        <w:t xml:space="preserve"> (Mar. 2022), at 43, available at </w:t>
      </w:r>
      <w:hyperlink r:id="rId92">
        <w:r w:rsidRPr="002F358C">
          <w:rPr>
            <w:rStyle w:val="Hyperlink"/>
            <w:color w:val="000000" w:themeColor="text1"/>
            <w:sz w:val="20"/>
            <w:szCs w:val="20"/>
            <w:u w:val="none"/>
          </w:rPr>
          <w:t>https://www.fidh.org/IMG/pdf/thailande791angweb.pdf</w:t>
        </w:r>
      </w:hyperlink>
      <w:r w:rsidRPr="002F358C">
        <w:rPr>
          <w:color w:val="000000" w:themeColor="text1"/>
          <w:sz w:val="20"/>
          <w:szCs w:val="20"/>
        </w:rPr>
        <w:t>.</w:t>
      </w:r>
    </w:p>
  </w:footnote>
  <w:footnote w:id="146">
    <w:p w14:paraId="3F237412" w14:textId="636A46E7" w:rsidR="0B938F6C" w:rsidRPr="002F358C" w:rsidRDefault="0B938F6C" w:rsidP="001B453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submission of the second periodic report of Thailand</w:t>
      </w:r>
      <w:r w:rsidRPr="002F358C">
        <w:rPr>
          <w:color w:val="000000" w:themeColor="text1"/>
          <w:sz w:val="20"/>
          <w:szCs w:val="20"/>
        </w:rPr>
        <w:t>, (June 19, 2018) U.N. Doc CAT/C/THA/QPR/2, ¶ 27.</w:t>
      </w:r>
    </w:p>
  </w:footnote>
  <w:footnote w:id="147">
    <w:p w14:paraId="4ED257E0" w14:textId="604B2009" w:rsidR="0B938F6C" w:rsidRPr="002F358C" w:rsidRDefault="0B938F6C" w:rsidP="001B453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r w:rsidRPr="002F358C">
        <w:rPr>
          <w:i/>
          <w:iCs/>
          <w:color w:val="000000" w:themeColor="text1"/>
          <w:sz w:val="20"/>
          <w:szCs w:val="20"/>
        </w:rPr>
        <w:t>List of Issues prior to the submission of the second periodic report of Thailand</w:t>
      </w:r>
      <w:r w:rsidRPr="002F358C">
        <w:rPr>
          <w:color w:val="000000" w:themeColor="text1"/>
          <w:sz w:val="20"/>
          <w:szCs w:val="20"/>
        </w:rPr>
        <w:t>, (June 19, 2018) U.N. Doc CAT/C/THA/QPR/2, ¶ 27.</w:t>
      </w:r>
    </w:p>
  </w:footnote>
  <w:footnote w:id="148">
    <w:p w14:paraId="3BCDCC44" w14:textId="4FA2C18B" w:rsidR="0B938F6C" w:rsidRPr="002F358C" w:rsidRDefault="0B938F6C" w:rsidP="001B453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 93.</w:t>
      </w:r>
    </w:p>
  </w:footnote>
  <w:footnote w:id="149">
    <w:p w14:paraId="6E14337C" w14:textId="65D1FDC9" w:rsidR="0B938F6C" w:rsidRPr="002F358C" w:rsidRDefault="0B938F6C" w:rsidP="001B453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 93.</w:t>
      </w:r>
    </w:p>
  </w:footnote>
  <w:footnote w:id="150">
    <w:p w14:paraId="59011A4F" w14:textId="0F4DF18A" w:rsidR="0B938F6C" w:rsidRPr="002F358C" w:rsidRDefault="0B938F6C" w:rsidP="001B453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(Dec. 21, 2021), U.N. Doc. CAT/C/THA/2, ¶ 93.</w:t>
      </w:r>
    </w:p>
  </w:footnote>
  <w:footnote w:id="151">
    <w:p w14:paraId="7F0DC75E" w14:textId="3D16636A" w:rsidR="0B938F6C" w:rsidRPr="002F358C" w:rsidRDefault="0B938F6C" w:rsidP="001B453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Thailand: Law to address torture and enforced disappearance is an important step toward justice but its full enforcement is critical</w:t>
      </w:r>
      <w:r w:rsidRPr="002F358C">
        <w:rPr>
          <w:color w:val="000000" w:themeColor="text1"/>
          <w:sz w:val="20"/>
          <w:szCs w:val="20"/>
        </w:rPr>
        <w:t xml:space="preserve"> (2023), </w:t>
      </w:r>
      <w:hyperlink r:id="rId93">
        <w:r w:rsidRPr="002F358C">
          <w:rPr>
            <w:rStyle w:val="Hyperlink"/>
            <w:color w:val="000000" w:themeColor="text1"/>
            <w:sz w:val="20"/>
            <w:szCs w:val="20"/>
            <w:u w:val="none"/>
          </w:rPr>
          <w:t>https://www.icj.org/resource/thailand-law-to-address-torture-and-enforced-disappearance-is-an-important-step-toward-justice-but-its-full-enforcement-is-critical/</w:t>
        </w:r>
      </w:hyperlink>
      <w:r w:rsidRPr="002F358C">
        <w:rPr>
          <w:color w:val="000000" w:themeColor="text1"/>
          <w:sz w:val="20"/>
          <w:szCs w:val="20"/>
        </w:rPr>
        <w:t xml:space="preserve"> (last visited Aug. 30, 2024).</w:t>
      </w:r>
    </w:p>
  </w:footnote>
  <w:footnote w:id="152">
    <w:p w14:paraId="639CAEAE" w14:textId="7E38B675" w:rsidR="0B938F6C" w:rsidRPr="002F358C" w:rsidRDefault="0B938F6C" w:rsidP="001B453B">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Thailand: Law to address torture and enforced disappearance is an important step toward justice but its full enforcement is critical</w:t>
      </w:r>
      <w:r w:rsidRPr="002F358C">
        <w:rPr>
          <w:color w:val="000000" w:themeColor="text1"/>
          <w:sz w:val="20"/>
          <w:szCs w:val="20"/>
        </w:rPr>
        <w:t xml:space="preserve"> (2023), </w:t>
      </w:r>
      <w:hyperlink r:id="rId94">
        <w:r w:rsidRPr="002F358C">
          <w:rPr>
            <w:rStyle w:val="Hyperlink"/>
            <w:color w:val="000000" w:themeColor="text1"/>
            <w:sz w:val="20"/>
            <w:szCs w:val="20"/>
            <w:u w:val="none"/>
          </w:rPr>
          <w:t>https://www.icj.org/resource/thailand-law-to-address-torture-and-enforced-disappearance-is-an-important-step-toward-justice-but-its-full-enforcement-is-critical/</w:t>
        </w:r>
      </w:hyperlink>
      <w:r w:rsidRPr="002F358C">
        <w:rPr>
          <w:color w:val="000000" w:themeColor="text1"/>
          <w:sz w:val="20"/>
          <w:szCs w:val="20"/>
        </w:rPr>
        <w:t xml:space="preserve"> (last visited Aug. 30, 2024).</w:t>
      </w:r>
    </w:p>
  </w:footnote>
  <w:footnote w:id="153">
    <w:p w14:paraId="03934B4C" w14:textId="77777777" w:rsidR="00207222" w:rsidRPr="002F358C" w:rsidRDefault="00207222" w:rsidP="00207222">
      <w:pPr>
        <w:pStyle w:val="FootnoteText"/>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International Commission of Jurists, </w:t>
      </w:r>
      <w:r w:rsidRPr="002F358C">
        <w:rPr>
          <w:i/>
          <w:iCs/>
          <w:color w:val="000000" w:themeColor="text1"/>
          <w:sz w:val="20"/>
          <w:szCs w:val="20"/>
        </w:rPr>
        <w:t>Thailand: Law to address torture and enforced disappearance is an important step toward justice but its full enforcement is critical</w:t>
      </w:r>
      <w:r w:rsidRPr="002F358C">
        <w:rPr>
          <w:color w:val="000000" w:themeColor="text1"/>
          <w:sz w:val="20"/>
          <w:szCs w:val="20"/>
        </w:rPr>
        <w:t xml:space="preserve"> (2023), </w:t>
      </w:r>
      <w:hyperlink r:id="rId95">
        <w:r w:rsidRPr="002F358C">
          <w:rPr>
            <w:rStyle w:val="Hyperlink"/>
            <w:color w:val="000000" w:themeColor="text1"/>
            <w:sz w:val="20"/>
            <w:szCs w:val="20"/>
            <w:u w:val="none"/>
          </w:rPr>
          <w:t>https://www.icj.org/resource/thailand-law-to-address-torture-and-enforced-disappearance-is-an-important-step-toward-justice-but-its-full-enforcement-is-critical/</w:t>
        </w:r>
      </w:hyperlink>
      <w:r w:rsidRPr="002F358C">
        <w:rPr>
          <w:color w:val="000000" w:themeColor="text1"/>
          <w:sz w:val="20"/>
          <w:szCs w:val="20"/>
        </w:rPr>
        <w:t xml:space="preserve"> (last visited Aug. 30, 2024).</w:t>
      </w:r>
    </w:p>
  </w:footnote>
  <w:footnote w:id="154">
    <w:p w14:paraId="55860ECE" w14:textId="4ED735EC" w:rsidR="00E21471" w:rsidRPr="002F358C" w:rsidRDefault="00E21471">
      <w:pPr>
        <w:pStyle w:val="FootnoteText"/>
        <w:rPr>
          <w:color w:val="000000" w:themeColor="text1"/>
        </w:rPr>
      </w:pPr>
      <w:r w:rsidRPr="002F358C">
        <w:rPr>
          <w:rStyle w:val="FootnoteReference"/>
          <w:color w:val="000000" w:themeColor="text1"/>
          <w:sz w:val="20"/>
          <w:szCs w:val="20"/>
        </w:rPr>
        <w:footnoteRef/>
      </w:r>
      <w:r w:rsidR="0B938F6C" w:rsidRPr="002F358C">
        <w:rPr>
          <w:color w:val="000000" w:themeColor="text1"/>
          <w:sz w:val="20"/>
          <w:szCs w:val="20"/>
        </w:rPr>
        <w:t xml:space="preserve"> Committee Against Torture, </w:t>
      </w:r>
      <w:r w:rsidR="0B938F6C" w:rsidRPr="002F358C">
        <w:rPr>
          <w:i/>
          <w:iCs/>
          <w:color w:val="000000" w:themeColor="text1"/>
          <w:sz w:val="20"/>
          <w:szCs w:val="20"/>
        </w:rPr>
        <w:t xml:space="preserve">List of issues prior to the second periodic report of Thailand </w:t>
      </w:r>
      <w:r w:rsidR="0B938F6C" w:rsidRPr="002F358C">
        <w:rPr>
          <w:color w:val="000000" w:themeColor="text1"/>
          <w:sz w:val="20"/>
          <w:szCs w:val="20"/>
        </w:rPr>
        <w:t>(June 19, 2018), U.N. Doc. CAT/C/THA/QPR/2, ¶ 28.</w:t>
      </w:r>
    </w:p>
  </w:footnote>
  <w:footnote w:id="155">
    <w:p w14:paraId="73A587CD" w14:textId="1462D8CF" w:rsidR="0B938F6C" w:rsidRPr="002F358C" w:rsidRDefault="0B938F6C" w:rsidP="001B453B">
      <w:pPr>
        <w:rPr>
          <w:color w:val="000000" w:themeColor="text1"/>
        </w:rPr>
      </w:pPr>
      <w:r w:rsidRPr="002F358C">
        <w:rPr>
          <w:rStyle w:val="FootnoteReference"/>
          <w:color w:val="000000" w:themeColor="text1"/>
          <w:sz w:val="20"/>
          <w:szCs w:val="20"/>
        </w:rPr>
        <w:footnoteRef/>
      </w:r>
      <w:r w:rsidRPr="002F358C">
        <w:rPr>
          <w:color w:val="000000" w:themeColor="text1"/>
          <w:sz w:val="20"/>
          <w:szCs w:val="20"/>
        </w:rPr>
        <w:t xml:space="preserve"> Committee Against Torture, </w:t>
      </w:r>
      <w:proofErr w:type="gramStart"/>
      <w:r w:rsidRPr="002F358C">
        <w:rPr>
          <w:i/>
          <w:iCs/>
          <w:color w:val="000000" w:themeColor="text1"/>
          <w:sz w:val="20"/>
          <w:szCs w:val="20"/>
        </w:rPr>
        <w:t>Second</w:t>
      </w:r>
      <w:proofErr w:type="gramEnd"/>
      <w:r w:rsidRPr="002F358C">
        <w:rPr>
          <w:i/>
          <w:iCs/>
          <w:color w:val="000000" w:themeColor="text1"/>
          <w:sz w:val="20"/>
          <w:szCs w:val="20"/>
        </w:rPr>
        <w:t xml:space="preserve"> periodic report submitted by Thailand under article 19 of the Convention pursuant to the simplified reporting procedure, due in 2018</w:t>
      </w:r>
      <w:r w:rsidRPr="002F358C">
        <w:rPr>
          <w:color w:val="000000" w:themeColor="text1"/>
          <w:sz w:val="20"/>
          <w:szCs w:val="20"/>
        </w:rPr>
        <w:t xml:space="preserve"> (Jan. 4, 2021), U.N. Doc. CAT/C/THA/2 ¶¶ 88–89.</w:t>
      </w:r>
    </w:p>
  </w:footnote>
  <w:footnote w:id="156">
    <w:p w14:paraId="3DED1A57" w14:textId="2B1B2430" w:rsidR="0B938F6C" w:rsidRPr="002F358C" w:rsidRDefault="0B938F6C" w:rsidP="001B453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Amnesty International, </w:t>
      </w:r>
      <w:r w:rsidRPr="002F358C">
        <w:rPr>
          <w:i/>
          <w:iCs/>
          <w:color w:val="000000" w:themeColor="text1"/>
          <w:sz w:val="20"/>
          <w:szCs w:val="20"/>
        </w:rPr>
        <w:t>“They Cannot Keep Us Quiet”: The Criminalization of Activists, Human Rights Defenders, and Others in Thailand</w:t>
      </w:r>
      <w:r w:rsidRPr="002F358C">
        <w:rPr>
          <w:color w:val="000000" w:themeColor="text1"/>
          <w:sz w:val="20"/>
          <w:szCs w:val="20"/>
        </w:rPr>
        <w:t xml:space="preserve">, (2017), available at </w:t>
      </w:r>
      <w:hyperlink r:id="rId96">
        <w:r w:rsidRPr="002F358C">
          <w:rPr>
            <w:rStyle w:val="Hyperlink"/>
            <w:color w:val="000000" w:themeColor="text1"/>
            <w:sz w:val="20"/>
            <w:szCs w:val="20"/>
            <w:u w:val="none"/>
          </w:rPr>
          <w:t>https://www.amnesty.org/en/wp-content/uploads/2021/05/ASA3955142017ENGLISH.pdf</w:t>
        </w:r>
      </w:hyperlink>
      <w:r w:rsidRPr="002F358C">
        <w:rPr>
          <w:color w:val="000000" w:themeColor="text1"/>
          <w:sz w:val="20"/>
          <w:szCs w:val="20"/>
        </w:rPr>
        <w:t>.</w:t>
      </w:r>
    </w:p>
  </w:footnote>
  <w:footnote w:id="157">
    <w:p w14:paraId="18BEE293" w14:textId="0068DEC3" w:rsidR="0B938F6C" w:rsidRPr="002F358C" w:rsidRDefault="0B938F6C" w:rsidP="001B453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Amnesty International, </w:t>
      </w:r>
      <w:r w:rsidRPr="002F358C">
        <w:rPr>
          <w:i/>
          <w:iCs/>
          <w:color w:val="000000" w:themeColor="text1"/>
          <w:sz w:val="20"/>
          <w:szCs w:val="20"/>
        </w:rPr>
        <w:t>“They Cannot Keep Us Quiet”: The Criminalization of Activists, Human Rights Defenders, and Others in Thailand</w:t>
      </w:r>
      <w:r w:rsidRPr="002F358C">
        <w:rPr>
          <w:color w:val="000000" w:themeColor="text1"/>
          <w:sz w:val="20"/>
          <w:szCs w:val="20"/>
        </w:rPr>
        <w:t xml:space="preserve">, (2017), available at </w:t>
      </w:r>
      <w:hyperlink r:id="rId97">
        <w:r w:rsidRPr="002F358C">
          <w:rPr>
            <w:rStyle w:val="Hyperlink"/>
            <w:color w:val="000000" w:themeColor="text1"/>
            <w:sz w:val="20"/>
            <w:szCs w:val="20"/>
            <w:u w:val="none"/>
          </w:rPr>
          <w:t>https://www.amnesty.org/en/wp-content/uploads/2021/05/ASA3955142017ENGLISH.pdf</w:t>
        </w:r>
      </w:hyperlink>
      <w:r w:rsidRPr="002F358C">
        <w:rPr>
          <w:color w:val="000000" w:themeColor="text1"/>
          <w:sz w:val="20"/>
          <w:szCs w:val="20"/>
        </w:rPr>
        <w:t>.</w:t>
      </w:r>
    </w:p>
  </w:footnote>
  <w:footnote w:id="158">
    <w:p w14:paraId="1A9B3A3C" w14:textId="780B6F0A" w:rsidR="0B938F6C" w:rsidRPr="002F358C" w:rsidRDefault="0B938F6C" w:rsidP="001B453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Amnesty International, </w:t>
      </w:r>
      <w:r w:rsidRPr="002F358C">
        <w:rPr>
          <w:i/>
          <w:iCs/>
          <w:color w:val="000000" w:themeColor="text1"/>
          <w:sz w:val="20"/>
          <w:szCs w:val="20"/>
        </w:rPr>
        <w:t>“They Cannot Keep Us Quiet”: The Criminalization of Activists, Human Rights Defenders, and Others in Thailand</w:t>
      </w:r>
      <w:r w:rsidRPr="002F358C">
        <w:rPr>
          <w:color w:val="000000" w:themeColor="text1"/>
          <w:sz w:val="20"/>
          <w:szCs w:val="20"/>
        </w:rPr>
        <w:t xml:space="preserve">, (2017), at 25, available at </w:t>
      </w:r>
      <w:hyperlink r:id="rId98">
        <w:r w:rsidRPr="002F358C">
          <w:rPr>
            <w:rStyle w:val="Hyperlink"/>
            <w:color w:val="000000" w:themeColor="text1"/>
            <w:sz w:val="20"/>
            <w:szCs w:val="20"/>
            <w:u w:val="none"/>
          </w:rPr>
          <w:t>https://www.amnesty.org/en/wp-content/uploads/2021/05/ASA3955142017ENGLISH.pdf</w:t>
        </w:r>
      </w:hyperlink>
      <w:r w:rsidRPr="002F358C">
        <w:rPr>
          <w:color w:val="000000" w:themeColor="text1"/>
          <w:sz w:val="20"/>
          <w:szCs w:val="20"/>
        </w:rPr>
        <w:t>.</w:t>
      </w:r>
    </w:p>
  </w:footnote>
  <w:footnote w:id="159">
    <w:p w14:paraId="21B0576B" w14:textId="3D7B9508" w:rsidR="00107972" w:rsidRPr="002F358C" w:rsidRDefault="00107972">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901EC4" w:rsidRPr="002F358C">
        <w:rPr>
          <w:color w:val="000000" w:themeColor="text1"/>
          <w:sz w:val="20"/>
          <w:szCs w:val="20"/>
        </w:rPr>
        <w:t xml:space="preserve">Amnesty International, </w:t>
      </w:r>
      <w:r w:rsidR="00901EC4" w:rsidRPr="002F358C">
        <w:rPr>
          <w:i/>
          <w:iCs/>
          <w:color w:val="000000" w:themeColor="text1"/>
          <w:sz w:val="20"/>
          <w:szCs w:val="20"/>
        </w:rPr>
        <w:t>“They Cannot Keep Us Quiet”: The Criminalization of Activists, Human Rights Defenders, and Others in Thailand</w:t>
      </w:r>
      <w:r w:rsidR="00901EC4" w:rsidRPr="002F358C">
        <w:rPr>
          <w:color w:val="000000" w:themeColor="text1"/>
          <w:sz w:val="20"/>
          <w:szCs w:val="20"/>
        </w:rPr>
        <w:t xml:space="preserve">, (2017), at 25, available at </w:t>
      </w:r>
      <w:hyperlink r:id="rId99" w:history="1">
        <w:r w:rsidR="00901EC4" w:rsidRPr="002F358C">
          <w:rPr>
            <w:rStyle w:val="Hyperlink"/>
            <w:color w:val="000000" w:themeColor="text1"/>
            <w:sz w:val="20"/>
            <w:szCs w:val="20"/>
            <w:u w:val="none"/>
          </w:rPr>
          <w:t>https://www.amnesty.org/en/wp-content/uploads/2021/05/ASA3955142017ENGLISH.pdf</w:t>
        </w:r>
      </w:hyperlink>
      <w:r w:rsidR="00901EC4" w:rsidRPr="002F358C">
        <w:rPr>
          <w:color w:val="000000" w:themeColor="text1"/>
          <w:sz w:val="20"/>
          <w:szCs w:val="20"/>
        </w:rPr>
        <w:t>.</w:t>
      </w:r>
    </w:p>
  </w:footnote>
  <w:footnote w:id="160">
    <w:p w14:paraId="78057BC7" w14:textId="3AF9775F" w:rsidR="00C51B28" w:rsidRPr="002F358C" w:rsidRDefault="00C51B2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901EC4" w:rsidRPr="002F358C">
        <w:rPr>
          <w:color w:val="000000" w:themeColor="text1"/>
          <w:sz w:val="20"/>
          <w:szCs w:val="20"/>
        </w:rPr>
        <w:t xml:space="preserve">Amnesty International, </w:t>
      </w:r>
      <w:r w:rsidR="00901EC4" w:rsidRPr="002F358C">
        <w:rPr>
          <w:i/>
          <w:iCs/>
          <w:color w:val="000000" w:themeColor="text1"/>
          <w:sz w:val="20"/>
          <w:szCs w:val="20"/>
        </w:rPr>
        <w:t>“They Cannot Keep Us Quiet”: The Criminalization of Activists, Human Rights Defenders, and Others in Thailand</w:t>
      </w:r>
      <w:r w:rsidR="00901EC4" w:rsidRPr="002F358C">
        <w:rPr>
          <w:color w:val="000000" w:themeColor="text1"/>
          <w:sz w:val="20"/>
          <w:szCs w:val="20"/>
        </w:rPr>
        <w:t xml:space="preserve">, (2017), at 24, available at </w:t>
      </w:r>
      <w:hyperlink r:id="rId100" w:history="1">
        <w:r w:rsidR="00901EC4" w:rsidRPr="002F358C">
          <w:rPr>
            <w:rStyle w:val="Hyperlink"/>
            <w:color w:val="000000" w:themeColor="text1"/>
            <w:sz w:val="20"/>
            <w:szCs w:val="20"/>
            <w:u w:val="none"/>
          </w:rPr>
          <w:t>https://www.amnesty.org/en/wp-content/uploads/2021/05/ASA3955142017ENGLISH.pdf</w:t>
        </w:r>
      </w:hyperlink>
      <w:r w:rsidR="00901EC4" w:rsidRPr="002F358C">
        <w:rPr>
          <w:color w:val="000000" w:themeColor="text1"/>
          <w:sz w:val="20"/>
          <w:szCs w:val="20"/>
        </w:rPr>
        <w:t>.</w:t>
      </w:r>
    </w:p>
  </w:footnote>
  <w:footnote w:id="161">
    <w:p w14:paraId="72F747CB" w14:textId="567521C6" w:rsidR="005643C0" w:rsidRPr="002F358C" w:rsidRDefault="005643C0">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200CC" w:rsidRPr="002F358C">
        <w:rPr>
          <w:color w:val="000000" w:themeColor="text1"/>
          <w:sz w:val="20"/>
          <w:szCs w:val="20"/>
        </w:rPr>
        <w:t>Helen R</w:t>
      </w:r>
      <w:r w:rsidR="004B6C20" w:rsidRPr="002F358C">
        <w:rPr>
          <w:color w:val="000000" w:themeColor="text1"/>
          <w:sz w:val="20"/>
          <w:szCs w:val="20"/>
        </w:rPr>
        <w:t xml:space="preserve">egan, </w:t>
      </w:r>
      <w:r w:rsidR="00253F57" w:rsidRPr="002F358C">
        <w:rPr>
          <w:i/>
          <w:iCs/>
          <w:color w:val="000000" w:themeColor="text1"/>
          <w:sz w:val="20"/>
          <w:szCs w:val="20"/>
        </w:rPr>
        <w:t>Thailand Sentences Man to Record 50 Years in Prison for Insulting the Monarchy</w:t>
      </w:r>
      <w:r w:rsidR="00253F57" w:rsidRPr="002F358C">
        <w:rPr>
          <w:color w:val="000000" w:themeColor="text1"/>
          <w:sz w:val="20"/>
          <w:szCs w:val="20"/>
        </w:rPr>
        <w:t xml:space="preserve">, CNN </w:t>
      </w:r>
      <w:r w:rsidR="0052546B" w:rsidRPr="002F358C">
        <w:rPr>
          <w:color w:val="000000" w:themeColor="text1"/>
          <w:sz w:val="20"/>
          <w:szCs w:val="20"/>
        </w:rPr>
        <w:t xml:space="preserve">(Jan. 18, 2024, </w:t>
      </w:r>
      <w:r w:rsidR="00234BCE" w:rsidRPr="002F358C">
        <w:rPr>
          <w:color w:val="000000" w:themeColor="text1"/>
          <w:sz w:val="20"/>
          <w:szCs w:val="20"/>
        </w:rPr>
        <w:t>11:27 PM)</w:t>
      </w:r>
      <w:r w:rsidR="006817B3" w:rsidRPr="002F358C">
        <w:rPr>
          <w:color w:val="000000" w:themeColor="text1"/>
          <w:sz w:val="20"/>
          <w:szCs w:val="20"/>
        </w:rPr>
        <w:t xml:space="preserve">, </w:t>
      </w:r>
      <w:hyperlink r:id="rId101" w:anchor=":~:text=Sentences%20for%20those%20convicted%20under,March%20and%20April%20that%20year" w:history="1">
        <w:r w:rsidR="00901EC4" w:rsidRPr="002F358C">
          <w:rPr>
            <w:rStyle w:val="Hyperlink"/>
            <w:color w:val="000000" w:themeColor="text1"/>
            <w:sz w:val="20"/>
            <w:szCs w:val="20"/>
            <w:u w:val="none"/>
          </w:rPr>
          <w:t>https://www.cnn.com/2024/01/19/asia/thailand-man-sentenced-50-years-lese-majeste-record-intl-hnk/index.html#:~:text=Sentences%20for%20those%20convicted%20under,March%20and%20April%20that%20year</w:t>
        </w:r>
      </w:hyperlink>
      <w:r w:rsidRPr="002F358C">
        <w:rPr>
          <w:color w:val="000000" w:themeColor="text1"/>
          <w:sz w:val="20"/>
          <w:szCs w:val="20"/>
        </w:rPr>
        <w:t xml:space="preserve">. </w:t>
      </w:r>
    </w:p>
  </w:footnote>
  <w:footnote w:id="162">
    <w:p w14:paraId="2881AA05" w14:textId="4A147396" w:rsidR="0027353A" w:rsidRPr="002F358C" w:rsidRDefault="0027353A">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B332A" w:rsidRPr="002F358C">
        <w:rPr>
          <w:color w:val="000000" w:themeColor="text1"/>
          <w:sz w:val="20"/>
          <w:szCs w:val="20"/>
        </w:rPr>
        <w:t xml:space="preserve">Amnesty International, </w:t>
      </w:r>
      <w:r w:rsidR="00DB332A" w:rsidRPr="002F358C">
        <w:rPr>
          <w:i/>
          <w:iCs/>
          <w:color w:val="000000" w:themeColor="text1"/>
          <w:sz w:val="20"/>
          <w:szCs w:val="20"/>
        </w:rPr>
        <w:t>“They Cannot Keep Us Quiet”: The Criminalization of Activists, Human Rights Defenders, and Others in Thailand</w:t>
      </w:r>
      <w:r w:rsidR="00DB332A" w:rsidRPr="002F358C">
        <w:rPr>
          <w:color w:val="000000" w:themeColor="text1"/>
          <w:sz w:val="20"/>
          <w:szCs w:val="20"/>
        </w:rPr>
        <w:t xml:space="preserve">, (2017), at 25, available at </w:t>
      </w:r>
      <w:hyperlink r:id="rId102" w:history="1">
        <w:r w:rsidR="00DB332A" w:rsidRPr="002F358C">
          <w:rPr>
            <w:rStyle w:val="Hyperlink"/>
            <w:color w:val="000000" w:themeColor="text1"/>
            <w:sz w:val="20"/>
            <w:szCs w:val="20"/>
            <w:u w:val="none"/>
          </w:rPr>
          <w:t>https://www.amnesty.org/en/wp-content/uploads/2021/05/ASA3955142017ENGLISH.pdf</w:t>
        </w:r>
      </w:hyperlink>
      <w:r w:rsidR="00DB332A" w:rsidRPr="002F358C">
        <w:rPr>
          <w:color w:val="000000" w:themeColor="text1"/>
          <w:sz w:val="20"/>
          <w:szCs w:val="20"/>
        </w:rPr>
        <w:t>.</w:t>
      </w:r>
    </w:p>
  </w:footnote>
  <w:footnote w:id="163">
    <w:p w14:paraId="5D4CE8F7" w14:textId="58131D6A" w:rsidR="00D223E4" w:rsidRPr="002F358C" w:rsidRDefault="00D223E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B332A" w:rsidRPr="002F358C">
        <w:rPr>
          <w:color w:val="000000" w:themeColor="text1"/>
          <w:sz w:val="20"/>
          <w:szCs w:val="20"/>
        </w:rPr>
        <w:t xml:space="preserve">Amnesty International, </w:t>
      </w:r>
      <w:r w:rsidR="00DB332A" w:rsidRPr="002F358C">
        <w:rPr>
          <w:i/>
          <w:iCs/>
          <w:color w:val="000000" w:themeColor="text1"/>
          <w:sz w:val="20"/>
          <w:szCs w:val="20"/>
        </w:rPr>
        <w:t>“They Cannot Keep Us Quiet”: The Criminalization of Activists, Human Rights Defenders, and Others in Thailand</w:t>
      </w:r>
      <w:r w:rsidR="00DB332A" w:rsidRPr="002F358C">
        <w:rPr>
          <w:color w:val="000000" w:themeColor="text1"/>
          <w:sz w:val="20"/>
          <w:szCs w:val="20"/>
        </w:rPr>
        <w:t xml:space="preserve">, (2017), at 25, available at </w:t>
      </w:r>
      <w:hyperlink r:id="rId103" w:history="1">
        <w:r w:rsidR="00DB332A" w:rsidRPr="002F358C">
          <w:rPr>
            <w:rStyle w:val="Hyperlink"/>
            <w:color w:val="000000" w:themeColor="text1"/>
            <w:sz w:val="20"/>
            <w:szCs w:val="20"/>
            <w:u w:val="none"/>
          </w:rPr>
          <w:t>https://www.amnesty.org/en/wp-content/uploads/2021/05/ASA3955142017ENGLISH.pdf</w:t>
        </w:r>
      </w:hyperlink>
      <w:r w:rsidR="00DB332A" w:rsidRPr="002F358C">
        <w:rPr>
          <w:color w:val="000000" w:themeColor="text1"/>
          <w:sz w:val="20"/>
          <w:szCs w:val="20"/>
        </w:rPr>
        <w:t>.</w:t>
      </w:r>
    </w:p>
  </w:footnote>
  <w:footnote w:id="164">
    <w:p w14:paraId="11A845AE" w14:textId="30DF6EFE" w:rsidR="00D223E4" w:rsidRPr="002F358C" w:rsidRDefault="00D223E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B332A" w:rsidRPr="002F358C">
        <w:rPr>
          <w:color w:val="000000" w:themeColor="text1"/>
          <w:sz w:val="20"/>
          <w:szCs w:val="20"/>
        </w:rPr>
        <w:t xml:space="preserve">Amnesty International, </w:t>
      </w:r>
      <w:r w:rsidR="00DB332A" w:rsidRPr="002F358C">
        <w:rPr>
          <w:i/>
          <w:iCs/>
          <w:color w:val="000000" w:themeColor="text1"/>
          <w:sz w:val="20"/>
          <w:szCs w:val="20"/>
        </w:rPr>
        <w:t>“They Cannot Keep Us Quiet”: The Criminalization of Activists, Human Rights Defenders, and Others in Thailand</w:t>
      </w:r>
      <w:r w:rsidR="00DB332A" w:rsidRPr="002F358C">
        <w:rPr>
          <w:color w:val="000000" w:themeColor="text1"/>
          <w:sz w:val="20"/>
          <w:szCs w:val="20"/>
        </w:rPr>
        <w:t xml:space="preserve">, (2017), at 25, available at </w:t>
      </w:r>
      <w:hyperlink r:id="rId104" w:history="1">
        <w:r w:rsidR="00DB332A" w:rsidRPr="002F358C">
          <w:rPr>
            <w:rStyle w:val="Hyperlink"/>
            <w:color w:val="000000" w:themeColor="text1"/>
            <w:sz w:val="20"/>
            <w:szCs w:val="20"/>
            <w:u w:val="none"/>
          </w:rPr>
          <w:t>https://www.amnesty.org/en/wp-content/uploads/2021/05/ASA3955142017ENGLISH.pdf</w:t>
        </w:r>
      </w:hyperlink>
      <w:r w:rsidR="00DB332A" w:rsidRPr="002F358C">
        <w:rPr>
          <w:color w:val="000000" w:themeColor="text1"/>
          <w:sz w:val="20"/>
          <w:szCs w:val="20"/>
        </w:rPr>
        <w:t>.</w:t>
      </w:r>
    </w:p>
  </w:footnote>
  <w:footnote w:id="165">
    <w:p w14:paraId="49A2AAF9" w14:textId="6E8BA382" w:rsidR="00743BCE" w:rsidRPr="002F358C" w:rsidRDefault="00743BCE">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B332A" w:rsidRPr="002F358C">
        <w:rPr>
          <w:color w:val="000000" w:themeColor="text1"/>
          <w:sz w:val="20"/>
          <w:szCs w:val="20"/>
        </w:rPr>
        <w:t xml:space="preserve">Amnesty International, </w:t>
      </w:r>
      <w:r w:rsidR="00DB332A" w:rsidRPr="002F358C">
        <w:rPr>
          <w:i/>
          <w:iCs/>
          <w:color w:val="000000" w:themeColor="text1"/>
          <w:sz w:val="20"/>
          <w:szCs w:val="20"/>
        </w:rPr>
        <w:t>“They Cannot Keep Us Quiet”: The Criminalization of Activists, Human Rights Defenders, and Others in Thailand</w:t>
      </w:r>
      <w:r w:rsidR="00DB332A" w:rsidRPr="002F358C">
        <w:rPr>
          <w:color w:val="000000" w:themeColor="text1"/>
          <w:sz w:val="20"/>
          <w:szCs w:val="20"/>
        </w:rPr>
        <w:t xml:space="preserve">, (2017), at 25, available at </w:t>
      </w:r>
      <w:hyperlink r:id="rId105" w:history="1">
        <w:r w:rsidR="00DB332A" w:rsidRPr="002F358C">
          <w:rPr>
            <w:rStyle w:val="Hyperlink"/>
            <w:color w:val="000000" w:themeColor="text1"/>
            <w:sz w:val="20"/>
            <w:szCs w:val="20"/>
            <w:u w:val="none"/>
          </w:rPr>
          <w:t>https://www.amnesty.org/en/wp-content/uploads/2021/05/ASA3955142017ENGLISH.pdf</w:t>
        </w:r>
      </w:hyperlink>
      <w:r w:rsidR="00DB332A" w:rsidRPr="002F358C">
        <w:rPr>
          <w:color w:val="000000" w:themeColor="text1"/>
          <w:sz w:val="20"/>
          <w:szCs w:val="20"/>
        </w:rPr>
        <w:t>.</w:t>
      </w:r>
    </w:p>
  </w:footnote>
  <w:footnote w:id="166">
    <w:p w14:paraId="176EC116" w14:textId="70F3D936" w:rsidR="007B2A2D" w:rsidRPr="002F358C" w:rsidRDefault="007B2A2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B332A" w:rsidRPr="002F358C">
        <w:rPr>
          <w:color w:val="000000" w:themeColor="text1"/>
          <w:sz w:val="20"/>
          <w:szCs w:val="20"/>
        </w:rPr>
        <w:t xml:space="preserve">Amnesty International, </w:t>
      </w:r>
      <w:r w:rsidR="00DB332A" w:rsidRPr="002F358C">
        <w:rPr>
          <w:i/>
          <w:iCs/>
          <w:color w:val="000000" w:themeColor="text1"/>
          <w:sz w:val="20"/>
          <w:szCs w:val="20"/>
        </w:rPr>
        <w:t>“They Cannot Keep Us Quiet”: The Criminalization of Activists, Human Rights Defenders, and Others in Thailand</w:t>
      </w:r>
      <w:r w:rsidR="00DB332A" w:rsidRPr="002F358C">
        <w:rPr>
          <w:color w:val="000000" w:themeColor="text1"/>
          <w:sz w:val="20"/>
          <w:szCs w:val="20"/>
        </w:rPr>
        <w:t xml:space="preserve">, (2017), at 25, available at </w:t>
      </w:r>
      <w:hyperlink r:id="rId106" w:history="1">
        <w:r w:rsidR="00DB332A" w:rsidRPr="002F358C">
          <w:rPr>
            <w:rStyle w:val="Hyperlink"/>
            <w:color w:val="000000" w:themeColor="text1"/>
            <w:sz w:val="20"/>
            <w:szCs w:val="20"/>
            <w:u w:val="none"/>
          </w:rPr>
          <w:t>https://www.amnesty.org/en/wp-content/uploads/2021/05/ASA3955142017ENGLISH.pdf</w:t>
        </w:r>
      </w:hyperlink>
      <w:r w:rsidR="00DB332A" w:rsidRPr="002F358C">
        <w:rPr>
          <w:color w:val="000000" w:themeColor="text1"/>
          <w:sz w:val="20"/>
          <w:szCs w:val="20"/>
        </w:rPr>
        <w:t>.</w:t>
      </w:r>
    </w:p>
  </w:footnote>
  <w:footnote w:id="167">
    <w:p w14:paraId="3BBEC760" w14:textId="4A859E57" w:rsidR="00CC555B" w:rsidRPr="002F358C" w:rsidRDefault="00CC555B">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B332A" w:rsidRPr="002F358C">
        <w:rPr>
          <w:color w:val="000000" w:themeColor="text1"/>
          <w:sz w:val="20"/>
          <w:szCs w:val="20"/>
        </w:rPr>
        <w:t xml:space="preserve">Amnesty International, </w:t>
      </w:r>
      <w:r w:rsidR="00DB332A" w:rsidRPr="002F358C">
        <w:rPr>
          <w:i/>
          <w:iCs/>
          <w:color w:val="000000" w:themeColor="text1"/>
          <w:sz w:val="20"/>
          <w:szCs w:val="20"/>
        </w:rPr>
        <w:t>“They Cannot Keep Us Quiet”: The Criminalization of Activists, Human Rights Defenders, and Others in Thailand</w:t>
      </w:r>
      <w:r w:rsidR="00DB332A" w:rsidRPr="002F358C">
        <w:rPr>
          <w:color w:val="000000" w:themeColor="text1"/>
          <w:sz w:val="20"/>
          <w:szCs w:val="20"/>
        </w:rPr>
        <w:t xml:space="preserve">, (2017), at 25, available at </w:t>
      </w:r>
      <w:hyperlink r:id="rId107" w:history="1">
        <w:r w:rsidR="00DB332A" w:rsidRPr="002F358C">
          <w:rPr>
            <w:rStyle w:val="Hyperlink"/>
            <w:color w:val="000000" w:themeColor="text1"/>
            <w:sz w:val="20"/>
            <w:szCs w:val="20"/>
            <w:u w:val="none"/>
          </w:rPr>
          <w:t>https://www.amnesty.org/en/wp-content/uploads/2021/05/ASA3955142017ENGLISH.pdf</w:t>
        </w:r>
      </w:hyperlink>
      <w:r w:rsidR="00DB332A" w:rsidRPr="002F358C">
        <w:rPr>
          <w:color w:val="000000" w:themeColor="text1"/>
          <w:sz w:val="20"/>
          <w:szCs w:val="20"/>
        </w:rPr>
        <w:t>.</w:t>
      </w:r>
    </w:p>
  </w:footnote>
  <w:footnote w:id="168">
    <w:p w14:paraId="471373DD" w14:textId="609FC7A9" w:rsidR="00B85970" w:rsidRPr="002F358C" w:rsidRDefault="00B85970">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B332A" w:rsidRPr="002F358C">
        <w:rPr>
          <w:color w:val="000000" w:themeColor="text1"/>
          <w:sz w:val="20"/>
          <w:szCs w:val="20"/>
        </w:rPr>
        <w:t xml:space="preserve">Amnesty International, </w:t>
      </w:r>
      <w:r w:rsidR="00DB332A" w:rsidRPr="002F358C">
        <w:rPr>
          <w:i/>
          <w:iCs/>
          <w:color w:val="000000" w:themeColor="text1"/>
          <w:sz w:val="20"/>
          <w:szCs w:val="20"/>
        </w:rPr>
        <w:t>“They Cannot Keep Us Quiet”: The Criminalization of Activists, Human Rights Defenders, and Others in Thailand</w:t>
      </w:r>
      <w:r w:rsidR="00DB332A" w:rsidRPr="002F358C">
        <w:rPr>
          <w:color w:val="000000" w:themeColor="text1"/>
          <w:sz w:val="20"/>
          <w:szCs w:val="20"/>
        </w:rPr>
        <w:t xml:space="preserve">, (2017), at 26, available at </w:t>
      </w:r>
      <w:hyperlink r:id="rId108" w:history="1">
        <w:r w:rsidR="00DB332A" w:rsidRPr="002F358C">
          <w:rPr>
            <w:rStyle w:val="Hyperlink"/>
            <w:color w:val="000000" w:themeColor="text1"/>
            <w:sz w:val="20"/>
            <w:szCs w:val="20"/>
            <w:u w:val="none"/>
          </w:rPr>
          <w:t>https://www.amnesty.org/en/wp-content/uploads/2021/05/ASA3955142017ENGLISH.pdf</w:t>
        </w:r>
      </w:hyperlink>
      <w:r w:rsidR="00DB332A" w:rsidRPr="002F358C">
        <w:rPr>
          <w:color w:val="000000" w:themeColor="text1"/>
          <w:sz w:val="20"/>
          <w:szCs w:val="20"/>
        </w:rPr>
        <w:t>.</w:t>
      </w:r>
    </w:p>
  </w:footnote>
  <w:footnote w:id="169">
    <w:p w14:paraId="09D54E13" w14:textId="3AABBA90" w:rsidR="004D63F6" w:rsidRPr="002F358C" w:rsidRDefault="004D63F6">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B332A" w:rsidRPr="002F358C">
        <w:rPr>
          <w:color w:val="000000" w:themeColor="text1"/>
          <w:sz w:val="20"/>
          <w:szCs w:val="20"/>
        </w:rPr>
        <w:t xml:space="preserve">Amnesty International, </w:t>
      </w:r>
      <w:r w:rsidR="00DB332A" w:rsidRPr="002F358C">
        <w:rPr>
          <w:i/>
          <w:iCs/>
          <w:color w:val="000000" w:themeColor="text1"/>
          <w:sz w:val="20"/>
          <w:szCs w:val="20"/>
        </w:rPr>
        <w:t>“They Cannot Keep Us Quiet”: The Criminalization of Activists, Human Rights Defenders, and Others in Thailand</w:t>
      </w:r>
      <w:r w:rsidR="00DB332A" w:rsidRPr="002F358C">
        <w:rPr>
          <w:color w:val="000000" w:themeColor="text1"/>
          <w:sz w:val="20"/>
          <w:szCs w:val="20"/>
        </w:rPr>
        <w:t xml:space="preserve">, (2017), at 26, available at </w:t>
      </w:r>
      <w:hyperlink r:id="rId109" w:history="1">
        <w:r w:rsidR="00DB332A" w:rsidRPr="002F358C">
          <w:rPr>
            <w:rStyle w:val="Hyperlink"/>
            <w:color w:val="000000" w:themeColor="text1"/>
            <w:sz w:val="20"/>
            <w:szCs w:val="20"/>
            <w:u w:val="none"/>
          </w:rPr>
          <w:t>https://www.amnesty.org/en/wp-content/uploads/2021/05/ASA3955142017ENGLISH.pdf</w:t>
        </w:r>
      </w:hyperlink>
      <w:r w:rsidR="00DB332A" w:rsidRPr="002F358C">
        <w:rPr>
          <w:color w:val="000000" w:themeColor="text1"/>
          <w:sz w:val="20"/>
          <w:szCs w:val="20"/>
        </w:rPr>
        <w:t>.</w:t>
      </w:r>
    </w:p>
  </w:footnote>
  <w:footnote w:id="170">
    <w:p w14:paraId="76B38607" w14:textId="707EA289" w:rsidR="00FE06E4" w:rsidRPr="002F358C" w:rsidRDefault="00FE06E4">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DB332A" w:rsidRPr="002F358C">
        <w:rPr>
          <w:color w:val="000000" w:themeColor="text1"/>
          <w:sz w:val="20"/>
          <w:szCs w:val="20"/>
        </w:rPr>
        <w:t xml:space="preserve">Amnesty International, </w:t>
      </w:r>
      <w:r w:rsidR="00DB332A" w:rsidRPr="002F358C">
        <w:rPr>
          <w:i/>
          <w:iCs/>
          <w:color w:val="000000" w:themeColor="text1"/>
          <w:sz w:val="20"/>
          <w:szCs w:val="20"/>
        </w:rPr>
        <w:t>“They Cannot Keep Us Quiet”: The Criminalization of Activists, Human Rights Defenders, and Others in Thailand</w:t>
      </w:r>
      <w:r w:rsidR="00DB332A" w:rsidRPr="002F358C">
        <w:rPr>
          <w:color w:val="000000" w:themeColor="text1"/>
          <w:sz w:val="20"/>
          <w:szCs w:val="20"/>
        </w:rPr>
        <w:t xml:space="preserve">, (2017), at 26, available at </w:t>
      </w:r>
      <w:hyperlink r:id="rId110" w:history="1">
        <w:r w:rsidR="00DB332A" w:rsidRPr="002F358C">
          <w:rPr>
            <w:rStyle w:val="Hyperlink"/>
            <w:color w:val="000000" w:themeColor="text1"/>
            <w:sz w:val="20"/>
            <w:szCs w:val="20"/>
            <w:u w:val="none"/>
          </w:rPr>
          <w:t>https://www.amnesty.org/en/wp-content/uploads/2021/05/ASA3955142017ENGLISH.pdf</w:t>
        </w:r>
      </w:hyperlink>
      <w:r w:rsidR="00DB332A" w:rsidRPr="002F358C">
        <w:rPr>
          <w:color w:val="000000" w:themeColor="text1"/>
          <w:sz w:val="20"/>
          <w:szCs w:val="20"/>
        </w:rPr>
        <w:t>.</w:t>
      </w:r>
    </w:p>
  </w:footnote>
  <w:footnote w:id="171">
    <w:p w14:paraId="771B5533" w14:textId="01751CB2" w:rsidR="004022A3" w:rsidRPr="002F358C" w:rsidRDefault="004022A3">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2F5AF5" w:rsidRPr="002F358C">
        <w:rPr>
          <w:color w:val="000000" w:themeColor="text1"/>
          <w:sz w:val="20"/>
          <w:szCs w:val="20"/>
        </w:rPr>
        <w:t xml:space="preserve">Amnesty International, </w:t>
      </w:r>
      <w:r w:rsidR="002F5AF5" w:rsidRPr="002F358C">
        <w:rPr>
          <w:i/>
          <w:iCs/>
          <w:color w:val="000000" w:themeColor="text1"/>
          <w:sz w:val="20"/>
          <w:szCs w:val="20"/>
        </w:rPr>
        <w:t>“They Cannot Keep Us Quiet”: The Criminalization of Activists, Human Rights Defenders, and Others in Thailand</w:t>
      </w:r>
      <w:r w:rsidR="002F5AF5" w:rsidRPr="002F358C">
        <w:rPr>
          <w:color w:val="000000" w:themeColor="text1"/>
          <w:sz w:val="20"/>
          <w:szCs w:val="20"/>
        </w:rPr>
        <w:t xml:space="preserve">, (2017), available at </w:t>
      </w:r>
      <w:hyperlink r:id="rId111" w:history="1">
        <w:r w:rsidR="002F5AF5" w:rsidRPr="002F358C">
          <w:rPr>
            <w:rStyle w:val="Hyperlink"/>
            <w:color w:val="000000" w:themeColor="text1"/>
            <w:sz w:val="20"/>
            <w:szCs w:val="20"/>
            <w:u w:val="none"/>
          </w:rPr>
          <w:t>https://www.amnesty.org/en/wp-content/uploads/2021/05/ASA3955142017ENGLISH.pdf</w:t>
        </w:r>
      </w:hyperlink>
      <w:r w:rsidR="002F5AF5" w:rsidRPr="002F358C">
        <w:rPr>
          <w:color w:val="000000" w:themeColor="text1"/>
          <w:sz w:val="20"/>
          <w:szCs w:val="20"/>
        </w:rPr>
        <w:t xml:space="preserve">. </w:t>
      </w:r>
    </w:p>
  </w:footnote>
  <w:footnote w:id="172">
    <w:p w14:paraId="54469C92" w14:textId="725AEA7B" w:rsidR="004022A3" w:rsidRPr="002F358C" w:rsidRDefault="004022A3">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E043C8" w:rsidRPr="002F358C">
        <w:rPr>
          <w:color w:val="000000" w:themeColor="text1"/>
          <w:sz w:val="20"/>
          <w:szCs w:val="20"/>
        </w:rPr>
        <w:t xml:space="preserve">Amnesty International, </w:t>
      </w:r>
      <w:r w:rsidR="00E043C8" w:rsidRPr="002F358C">
        <w:rPr>
          <w:i/>
          <w:iCs/>
          <w:color w:val="000000" w:themeColor="text1"/>
          <w:sz w:val="20"/>
          <w:szCs w:val="20"/>
        </w:rPr>
        <w:t>“They Cannot Keep Us Quiet”: The Criminalization of Activists, Human Rights Defenders, and Others in Thailand</w:t>
      </w:r>
      <w:r w:rsidR="00E043C8" w:rsidRPr="002F358C">
        <w:rPr>
          <w:color w:val="000000" w:themeColor="text1"/>
          <w:sz w:val="20"/>
          <w:szCs w:val="20"/>
        </w:rPr>
        <w:t xml:space="preserve">, (2017), at 16, available at </w:t>
      </w:r>
      <w:hyperlink r:id="rId112" w:history="1">
        <w:r w:rsidR="00E043C8" w:rsidRPr="002F358C">
          <w:rPr>
            <w:rStyle w:val="Hyperlink"/>
            <w:color w:val="000000" w:themeColor="text1"/>
            <w:sz w:val="20"/>
            <w:szCs w:val="20"/>
            <w:u w:val="none"/>
          </w:rPr>
          <w:t>https://www.amnesty.org/en/wp-content/uploads/2021/05/ASA3955142017ENGLISH.pdf</w:t>
        </w:r>
      </w:hyperlink>
      <w:r w:rsidR="00E043C8" w:rsidRPr="002F358C">
        <w:rPr>
          <w:color w:val="000000" w:themeColor="text1"/>
          <w:sz w:val="20"/>
          <w:szCs w:val="20"/>
        </w:rPr>
        <w:t>.</w:t>
      </w:r>
    </w:p>
  </w:footnote>
  <w:footnote w:id="173">
    <w:p w14:paraId="3665EF24" w14:textId="41BBD533" w:rsidR="004022A3" w:rsidRPr="002F358C" w:rsidRDefault="004022A3">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E043C8" w:rsidRPr="002F358C">
        <w:rPr>
          <w:color w:val="000000" w:themeColor="text1"/>
          <w:sz w:val="20"/>
          <w:szCs w:val="20"/>
        </w:rPr>
        <w:t xml:space="preserve">Amnesty International, </w:t>
      </w:r>
      <w:r w:rsidR="00E043C8" w:rsidRPr="002F358C">
        <w:rPr>
          <w:i/>
          <w:iCs/>
          <w:color w:val="000000" w:themeColor="text1"/>
          <w:sz w:val="20"/>
          <w:szCs w:val="20"/>
        </w:rPr>
        <w:t>“They Cannot Keep Us Quiet”: The Criminalization of Activists, Human Rights Defenders, and Others in Thailand</w:t>
      </w:r>
      <w:r w:rsidR="00E043C8" w:rsidRPr="002F358C">
        <w:rPr>
          <w:color w:val="000000" w:themeColor="text1"/>
          <w:sz w:val="20"/>
          <w:szCs w:val="20"/>
        </w:rPr>
        <w:t xml:space="preserve">, (2017), at 16, available at </w:t>
      </w:r>
      <w:hyperlink r:id="rId113" w:history="1">
        <w:r w:rsidR="00E043C8" w:rsidRPr="002F358C">
          <w:rPr>
            <w:rStyle w:val="Hyperlink"/>
            <w:color w:val="000000" w:themeColor="text1"/>
            <w:sz w:val="20"/>
            <w:szCs w:val="20"/>
            <w:u w:val="none"/>
          </w:rPr>
          <w:t>https://www.amnesty.org/en/wp-content/uploads/2021/05/ASA3955142017ENGLISH.pdf</w:t>
        </w:r>
      </w:hyperlink>
      <w:r w:rsidR="00E043C8" w:rsidRPr="002F358C">
        <w:rPr>
          <w:color w:val="000000" w:themeColor="text1"/>
          <w:sz w:val="20"/>
          <w:szCs w:val="20"/>
        </w:rPr>
        <w:t>.</w:t>
      </w:r>
    </w:p>
  </w:footnote>
  <w:footnote w:id="174">
    <w:p w14:paraId="79111115" w14:textId="4ABD3B02" w:rsidR="00324DA2" w:rsidRPr="002F358C" w:rsidRDefault="00324DA2">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E043C8" w:rsidRPr="002F358C">
        <w:rPr>
          <w:color w:val="000000" w:themeColor="text1"/>
          <w:sz w:val="20"/>
          <w:szCs w:val="20"/>
        </w:rPr>
        <w:t xml:space="preserve">Amnesty International, </w:t>
      </w:r>
      <w:r w:rsidR="00E043C8" w:rsidRPr="002F358C">
        <w:rPr>
          <w:i/>
          <w:iCs/>
          <w:color w:val="000000" w:themeColor="text1"/>
          <w:sz w:val="20"/>
          <w:szCs w:val="20"/>
        </w:rPr>
        <w:t>“They Cannot Keep Us Quiet”: The Criminalization of Activists, Human Rights Defenders, and Others in Thailand</w:t>
      </w:r>
      <w:r w:rsidR="00E043C8" w:rsidRPr="002F358C">
        <w:rPr>
          <w:color w:val="000000" w:themeColor="text1"/>
          <w:sz w:val="20"/>
          <w:szCs w:val="20"/>
        </w:rPr>
        <w:t xml:space="preserve">, (2017), at 17, available at </w:t>
      </w:r>
      <w:hyperlink r:id="rId114" w:history="1">
        <w:r w:rsidR="00E043C8" w:rsidRPr="002F358C">
          <w:rPr>
            <w:rStyle w:val="Hyperlink"/>
            <w:color w:val="000000" w:themeColor="text1"/>
            <w:sz w:val="20"/>
            <w:szCs w:val="20"/>
            <w:u w:val="none"/>
          </w:rPr>
          <w:t>https://www.amnesty.org/en/wp-content/uploads/2021/05/ASA3955142017ENGLISH.pdf</w:t>
        </w:r>
      </w:hyperlink>
      <w:r w:rsidR="00E043C8" w:rsidRPr="002F358C">
        <w:rPr>
          <w:color w:val="000000" w:themeColor="text1"/>
          <w:sz w:val="20"/>
          <w:szCs w:val="20"/>
        </w:rPr>
        <w:t>.</w:t>
      </w:r>
    </w:p>
  </w:footnote>
  <w:footnote w:id="175">
    <w:p w14:paraId="1BC73300" w14:textId="10E09CC8" w:rsidR="00DE415D" w:rsidRPr="002F358C" w:rsidRDefault="00DE415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E043C8" w:rsidRPr="002F358C">
        <w:rPr>
          <w:color w:val="000000" w:themeColor="text1"/>
          <w:sz w:val="20"/>
          <w:szCs w:val="20"/>
        </w:rPr>
        <w:t xml:space="preserve">Amnesty International, </w:t>
      </w:r>
      <w:r w:rsidR="00E043C8" w:rsidRPr="002F358C">
        <w:rPr>
          <w:i/>
          <w:iCs/>
          <w:color w:val="000000" w:themeColor="text1"/>
          <w:sz w:val="20"/>
          <w:szCs w:val="20"/>
        </w:rPr>
        <w:t>“They Cannot Keep Us Quiet”: The Criminalization of Activists, Human Rights Defenders, and Others in Thailand</w:t>
      </w:r>
      <w:r w:rsidR="00E043C8" w:rsidRPr="002F358C">
        <w:rPr>
          <w:color w:val="000000" w:themeColor="text1"/>
          <w:sz w:val="20"/>
          <w:szCs w:val="20"/>
        </w:rPr>
        <w:t xml:space="preserve">, (2017), at 17, available at </w:t>
      </w:r>
      <w:hyperlink r:id="rId115" w:history="1">
        <w:r w:rsidR="00E043C8" w:rsidRPr="002F358C">
          <w:rPr>
            <w:rStyle w:val="Hyperlink"/>
            <w:color w:val="000000" w:themeColor="text1"/>
            <w:sz w:val="20"/>
            <w:szCs w:val="20"/>
            <w:u w:val="none"/>
          </w:rPr>
          <w:t>https://www.amnesty.org/en/wp-content/uploads/2021/05/ASA3955142017ENGLISH.pdf</w:t>
        </w:r>
      </w:hyperlink>
      <w:r w:rsidR="00E043C8" w:rsidRPr="002F358C">
        <w:rPr>
          <w:color w:val="000000" w:themeColor="text1"/>
          <w:sz w:val="20"/>
          <w:szCs w:val="20"/>
        </w:rPr>
        <w:t>.</w:t>
      </w:r>
    </w:p>
  </w:footnote>
  <w:footnote w:id="176">
    <w:p w14:paraId="24E94095" w14:textId="298BDC66" w:rsidR="00DE415D" w:rsidRPr="002F358C" w:rsidRDefault="00DE415D">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E043C8" w:rsidRPr="002F358C">
        <w:rPr>
          <w:color w:val="000000" w:themeColor="text1"/>
          <w:sz w:val="20"/>
          <w:szCs w:val="20"/>
        </w:rPr>
        <w:t xml:space="preserve">Amnesty International, </w:t>
      </w:r>
      <w:r w:rsidR="00E043C8" w:rsidRPr="002F358C">
        <w:rPr>
          <w:i/>
          <w:iCs/>
          <w:color w:val="000000" w:themeColor="text1"/>
          <w:sz w:val="20"/>
          <w:szCs w:val="20"/>
        </w:rPr>
        <w:t>“They Cannot Keep Us Quiet”: The Criminalization of Activists, Human Rights Defenders, and Others in Thailand</w:t>
      </w:r>
      <w:r w:rsidR="00E043C8" w:rsidRPr="002F358C">
        <w:rPr>
          <w:color w:val="000000" w:themeColor="text1"/>
          <w:sz w:val="20"/>
          <w:szCs w:val="20"/>
        </w:rPr>
        <w:t xml:space="preserve">, (2017), at 17, available at </w:t>
      </w:r>
      <w:hyperlink r:id="rId116" w:history="1">
        <w:r w:rsidR="00E043C8" w:rsidRPr="002F358C">
          <w:rPr>
            <w:rStyle w:val="Hyperlink"/>
            <w:color w:val="000000" w:themeColor="text1"/>
            <w:sz w:val="20"/>
            <w:szCs w:val="20"/>
            <w:u w:val="none"/>
          </w:rPr>
          <w:t>https://www.amnesty.org/en/wp-content/uploads/2021/05/ASA3955142017ENGLISH.pdf</w:t>
        </w:r>
      </w:hyperlink>
      <w:r w:rsidR="00E043C8" w:rsidRPr="002F358C">
        <w:rPr>
          <w:color w:val="000000" w:themeColor="text1"/>
          <w:sz w:val="20"/>
          <w:szCs w:val="20"/>
        </w:rPr>
        <w:t>.</w:t>
      </w:r>
    </w:p>
  </w:footnote>
  <w:footnote w:id="177">
    <w:p w14:paraId="12925D55" w14:textId="0B76C201" w:rsidR="00595326" w:rsidRPr="002F358C" w:rsidRDefault="00595326">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E043C8" w:rsidRPr="002F358C">
        <w:rPr>
          <w:color w:val="000000" w:themeColor="text1"/>
          <w:sz w:val="20"/>
          <w:szCs w:val="20"/>
        </w:rPr>
        <w:t xml:space="preserve">Amnesty International, </w:t>
      </w:r>
      <w:r w:rsidR="00E043C8" w:rsidRPr="002F358C">
        <w:rPr>
          <w:i/>
          <w:iCs/>
          <w:color w:val="000000" w:themeColor="text1"/>
          <w:sz w:val="20"/>
          <w:szCs w:val="20"/>
        </w:rPr>
        <w:t>“They Cannot Keep Us Quiet”: The Criminalization of Activists, Human Rights Defenders, and Others in Thailand</w:t>
      </w:r>
      <w:r w:rsidR="00E043C8" w:rsidRPr="002F358C">
        <w:rPr>
          <w:color w:val="000000" w:themeColor="text1"/>
          <w:sz w:val="20"/>
          <w:szCs w:val="20"/>
        </w:rPr>
        <w:t xml:space="preserve">, (2017), at 17, available at </w:t>
      </w:r>
      <w:hyperlink r:id="rId117" w:history="1">
        <w:r w:rsidR="00E043C8" w:rsidRPr="002F358C">
          <w:rPr>
            <w:rStyle w:val="Hyperlink"/>
            <w:color w:val="000000" w:themeColor="text1"/>
            <w:sz w:val="20"/>
            <w:szCs w:val="20"/>
            <w:u w:val="none"/>
          </w:rPr>
          <w:t>https://www.amnesty.org/en/wp-content/uploads/2021/05/ASA3955142017ENGLISH.pdf</w:t>
        </w:r>
      </w:hyperlink>
      <w:r w:rsidR="00E043C8" w:rsidRPr="002F358C">
        <w:rPr>
          <w:color w:val="000000" w:themeColor="text1"/>
          <w:sz w:val="20"/>
          <w:szCs w:val="20"/>
        </w:rPr>
        <w:t>.</w:t>
      </w:r>
    </w:p>
  </w:footnote>
  <w:footnote w:id="178">
    <w:p w14:paraId="7C3471BB" w14:textId="74B1E957" w:rsidR="00032348" w:rsidRPr="002F358C" w:rsidRDefault="00032348">
      <w:pPr>
        <w:pStyle w:val="FootnoteText"/>
        <w:rPr>
          <w:color w:val="000000" w:themeColor="text1"/>
          <w:sz w:val="20"/>
          <w:szCs w:val="20"/>
        </w:rPr>
      </w:pPr>
      <w:r w:rsidRPr="002F358C">
        <w:rPr>
          <w:rStyle w:val="FootnoteReference"/>
          <w:color w:val="000000" w:themeColor="text1"/>
          <w:sz w:val="20"/>
          <w:szCs w:val="20"/>
        </w:rPr>
        <w:footnoteRef/>
      </w:r>
      <w:r w:rsidRPr="002F358C">
        <w:rPr>
          <w:color w:val="000000" w:themeColor="text1"/>
          <w:sz w:val="20"/>
          <w:szCs w:val="20"/>
        </w:rPr>
        <w:t xml:space="preserve"> </w:t>
      </w:r>
      <w:r w:rsidR="00E043C8" w:rsidRPr="002F358C">
        <w:rPr>
          <w:color w:val="000000" w:themeColor="text1"/>
          <w:sz w:val="20"/>
          <w:szCs w:val="20"/>
        </w:rPr>
        <w:t xml:space="preserve">Amnesty International, </w:t>
      </w:r>
      <w:r w:rsidR="00E043C8" w:rsidRPr="002F358C">
        <w:rPr>
          <w:i/>
          <w:iCs/>
          <w:color w:val="000000" w:themeColor="text1"/>
          <w:sz w:val="20"/>
          <w:szCs w:val="20"/>
        </w:rPr>
        <w:t>“They Cannot Keep Us Quiet”: The Criminalization of Activists, Human Rights Defenders, and Others in Thailand</w:t>
      </w:r>
      <w:r w:rsidR="00E043C8" w:rsidRPr="002F358C">
        <w:rPr>
          <w:color w:val="000000" w:themeColor="text1"/>
          <w:sz w:val="20"/>
          <w:szCs w:val="20"/>
        </w:rPr>
        <w:t xml:space="preserve">, (2017), at 17, available at </w:t>
      </w:r>
      <w:hyperlink r:id="rId118" w:history="1">
        <w:r w:rsidR="00E043C8" w:rsidRPr="002F358C">
          <w:rPr>
            <w:rStyle w:val="Hyperlink"/>
            <w:color w:val="000000" w:themeColor="text1"/>
            <w:sz w:val="20"/>
            <w:szCs w:val="20"/>
            <w:u w:val="none"/>
          </w:rPr>
          <w:t>https://www.amnesty.org/en/wp-content/uploads/2021/05/ASA3955142017ENGLISH.pdf</w:t>
        </w:r>
      </w:hyperlink>
      <w:r w:rsidR="00E043C8" w:rsidRPr="002F358C">
        <w:rPr>
          <w:color w:val="000000" w:themeColor="text1"/>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0A04D0AD" w:rsidR="00804604" w:rsidRDefault="00C86C83">
    <w:pPr>
      <w:pStyle w:val="Header"/>
    </w:pPr>
    <w:r>
      <w:rPr>
        <w:noProof/>
      </w:rPr>
      <w:drawing>
        <wp:anchor distT="0" distB="0" distL="114300" distR="114300" simplePos="0" relativeHeight="251660289" behindDoc="0" locked="0" layoutInCell="1" allowOverlap="1" wp14:anchorId="75C6454D" wp14:editId="4BDE808B">
          <wp:simplePos x="0" y="0"/>
          <wp:positionH relativeFrom="column">
            <wp:posOffset>-66675</wp:posOffset>
          </wp:positionH>
          <wp:positionV relativeFrom="paragraph">
            <wp:posOffset>-153670</wp:posOffset>
          </wp:positionV>
          <wp:extent cx="1638300" cy="876300"/>
          <wp:effectExtent l="0" t="0" r="0" b="0"/>
          <wp:wrapNone/>
          <wp:docPr id="1494608629" name="Picture 1494608629"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608629" name="Picture 1494608629" descr="A white and grey sign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38300" cy="876300"/>
                  </a:xfrm>
                  <a:prstGeom prst="rect">
                    <a:avLst/>
                  </a:prstGeom>
                </pic:spPr>
              </pic:pic>
            </a:graphicData>
          </a:graphic>
        </wp:anchor>
      </w:drawing>
    </w:r>
    <w:r w:rsidR="006848F5">
      <w:rPr>
        <w:noProof/>
      </w:rPr>
      <w:drawing>
        <wp:anchor distT="0" distB="0" distL="114300" distR="114300" simplePos="0" relativeHeight="251658240" behindDoc="0" locked="0" layoutInCell="1" allowOverlap="1" wp14:anchorId="0D691956" wp14:editId="4113ADC7">
          <wp:simplePos x="0" y="0"/>
          <wp:positionH relativeFrom="margin">
            <wp:align>right</wp:align>
          </wp:positionH>
          <wp:positionV relativeFrom="paragraph">
            <wp:posOffset>-165873</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66BF"/>
    <w:multiLevelType w:val="hybridMultilevel"/>
    <w:tmpl w:val="2A0A48B6"/>
    <w:lvl w:ilvl="0" w:tplc="C8EED302">
      <w:start w:val="1"/>
      <w:numFmt w:val="bullet"/>
      <w:lvlText w:val="·"/>
      <w:lvlJc w:val="left"/>
      <w:pPr>
        <w:ind w:left="720" w:hanging="360"/>
      </w:pPr>
      <w:rPr>
        <w:rFonts w:ascii="Symbol" w:hAnsi="Symbol" w:hint="default"/>
      </w:rPr>
    </w:lvl>
    <w:lvl w:ilvl="1" w:tplc="AF02878E">
      <w:start w:val="1"/>
      <w:numFmt w:val="bullet"/>
      <w:lvlText w:val="o"/>
      <w:lvlJc w:val="left"/>
      <w:pPr>
        <w:ind w:left="1440" w:hanging="360"/>
      </w:pPr>
      <w:rPr>
        <w:rFonts w:ascii="Courier New" w:hAnsi="Courier New" w:hint="default"/>
      </w:rPr>
    </w:lvl>
    <w:lvl w:ilvl="2" w:tplc="D6587E5E">
      <w:start w:val="1"/>
      <w:numFmt w:val="bullet"/>
      <w:lvlText w:val=""/>
      <w:lvlJc w:val="left"/>
      <w:pPr>
        <w:ind w:left="2160" w:hanging="360"/>
      </w:pPr>
      <w:rPr>
        <w:rFonts w:ascii="Wingdings" w:hAnsi="Wingdings" w:hint="default"/>
      </w:rPr>
    </w:lvl>
    <w:lvl w:ilvl="3" w:tplc="5A36649C">
      <w:start w:val="1"/>
      <w:numFmt w:val="bullet"/>
      <w:lvlText w:val=""/>
      <w:lvlJc w:val="left"/>
      <w:pPr>
        <w:ind w:left="2880" w:hanging="360"/>
      </w:pPr>
      <w:rPr>
        <w:rFonts w:ascii="Symbol" w:hAnsi="Symbol" w:hint="default"/>
      </w:rPr>
    </w:lvl>
    <w:lvl w:ilvl="4" w:tplc="2080534A">
      <w:start w:val="1"/>
      <w:numFmt w:val="bullet"/>
      <w:lvlText w:val="o"/>
      <w:lvlJc w:val="left"/>
      <w:pPr>
        <w:ind w:left="3600" w:hanging="360"/>
      </w:pPr>
      <w:rPr>
        <w:rFonts w:ascii="Courier New" w:hAnsi="Courier New" w:hint="default"/>
      </w:rPr>
    </w:lvl>
    <w:lvl w:ilvl="5" w:tplc="946C9EF6">
      <w:start w:val="1"/>
      <w:numFmt w:val="bullet"/>
      <w:lvlText w:val=""/>
      <w:lvlJc w:val="left"/>
      <w:pPr>
        <w:ind w:left="4320" w:hanging="360"/>
      </w:pPr>
      <w:rPr>
        <w:rFonts w:ascii="Wingdings" w:hAnsi="Wingdings" w:hint="default"/>
      </w:rPr>
    </w:lvl>
    <w:lvl w:ilvl="6" w:tplc="AA1EEE82">
      <w:start w:val="1"/>
      <w:numFmt w:val="bullet"/>
      <w:lvlText w:val=""/>
      <w:lvlJc w:val="left"/>
      <w:pPr>
        <w:ind w:left="5040" w:hanging="360"/>
      </w:pPr>
      <w:rPr>
        <w:rFonts w:ascii="Symbol" w:hAnsi="Symbol" w:hint="default"/>
      </w:rPr>
    </w:lvl>
    <w:lvl w:ilvl="7" w:tplc="B9348EAA">
      <w:start w:val="1"/>
      <w:numFmt w:val="bullet"/>
      <w:lvlText w:val="o"/>
      <w:lvlJc w:val="left"/>
      <w:pPr>
        <w:ind w:left="5760" w:hanging="360"/>
      </w:pPr>
      <w:rPr>
        <w:rFonts w:ascii="Courier New" w:hAnsi="Courier New" w:hint="default"/>
      </w:rPr>
    </w:lvl>
    <w:lvl w:ilvl="8" w:tplc="AC2EF7CA">
      <w:start w:val="1"/>
      <w:numFmt w:val="bullet"/>
      <w:lvlText w:val=""/>
      <w:lvlJc w:val="left"/>
      <w:pPr>
        <w:ind w:left="6480" w:hanging="360"/>
      </w:pPr>
      <w:rPr>
        <w:rFonts w:ascii="Wingdings" w:hAnsi="Wingdings" w:hint="default"/>
      </w:rPr>
    </w:lvl>
  </w:abstractNum>
  <w:abstractNum w:abstractNumId="1" w15:restartNumberingAfterBreak="0">
    <w:nsid w:val="03E547CE"/>
    <w:multiLevelType w:val="hybridMultilevel"/>
    <w:tmpl w:val="BC72EDA2"/>
    <w:lvl w:ilvl="0" w:tplc="EE1669EC">
      <w:start w:val="1"/>
      <w:numFmt w:val="bullet"/>
      <w:lvlText w:val="·"/>
      <w:lvlJc w:val="left"/>
      <w:pPr>
        <w:ind w:left="720" w:hanging="360"/>
      </w:pPr>
      <w:rPr>
        <w:rFonts w:ascii="Symbol" w:hAnsi="Symbol" w:hint="default"/>
      </w:rPr>
    </w:lvl>
    <w:lvl w:ilvl="1" w:tplc="16C86624">
      <w:start w:val="1"/>
      <w:numFmt w:val="bullet"/>
      <w:lvlText w:val="o"/>
      <w:lvlJc w:val="left"/>
      <w:pPr>
        <w:ind w:left="1440" w:hanging="360"/>
      </w:pPr>
      <w:rPr>
        <w:rFonts w:ascii="Courier New" w:hAnsi="Courier New" w:hint="default"/>
      </w:rPr>
    </w:lvl>
    <w:lvl w:ilvl="2" w:tplc="E10C0FAA">
      <w:start w:val="1"/>
      <w:numFmt w:val="bullet"/>
      <w:lvlText w:val=""/>
      <w:lvlJc w:val="left"/>
      <w:pPr>
        <w:ind w:left="2160" w:hanging="360"/>
      </w:pPr>
      <w:rPr>
        <w:rFonts w:ascii="Wingdings" w:hAnsi="Wingdings" w:hint="default"/>
      </w:rPr>
    </w:lvl>
    <w:lvl w:ilvl="3" w:tplc="469E80B8">
      <w:start w:val="1"/>
      <w:numFmt w:val="bullet"/>
      <w:lvlText w:val=""/>
      <w:lvlJc w:val="left"/>
      <w:pPr>
        <w:ind w:left="2880" w:hanging="360"/>
      </w:pPr>
      <w:rPr>
        <w:rFonts w:ascii="Symbol" w:hAnsi="Symbol" w:hint="default"/>
      </w:rPr>
    </w:lvl>
    <w:lvl w:ilvl="4" w:tplc="7C58CB82">
      <w:start w:val="1"/>
      <w:numFmt w:val="bullet"/>
      <w:lvlText w:val="o"/>
      <w:lvlJc w:val="left"/>
      <w:pPr>
        <w:ind w:left="3600" w:hanging="360"/>
      </w:pPr>
      <w:rPr>
        <w:rFonts w:ascii="Courier New" w:hAnsi="Courier New" w:hint="default"/>
      </w:rPr>
    </w:lvl>
    <w:lvl w:ilvl="5" w:tplc="BF2A329C">
      <w:start w:val="1"/>
      <w:numFmt w:val="bullet"/>
      <w:lvlText w:val=""/>
      <w:lvlJc w:val="left"/>
      <w:pPr>
        <w:ind w:left="4320" w:hanging="360"/>
      </w:pPr>
      <w:rPr>
        <w:rFonts w:ascii="Wingdings" w:hAnsi="Wingdings" w:hint="default"/>
      </w:rPr>
    </w:lvl>
    <w:lvl w:ilvl="6" w:tplc="DA60452A">
      <w:start w:val="1"/>
      <w:numFmt w:val="bullet"/>
      <w:lvlText w:val=""/>
      <w:lvlJc w:val="left"/>
      <w:pPr>
        <w:ind w:left="5040" w:hanging="360"/>
      </w:pPr>
      <w:rPr>
        <w:rFonts w:ascii="Symbol" w:hAnsi="Symbol" w:hint="default"/>
      </w:rPr>
    </w:lvl>
    <w:lvl w:ilvl="7" w:tplc="E12E2FE0">
      <w:start w:val="1"/>
      <w:numFmt w:val="bullet"/>
      <w:lvlText w:val="o"/>
      <w:lvlJc w:val="left"/>
      <w:pPr>
        <w:ind w:left="5760" w:hanging="360"/>
      </w:pPr>
      <w:rPr>
        <w:rFonts w:ascii="Courier New" w:hAnsi="Courier New" w:hint="default"/>
      </w:rPr>
    </w:lvl>
    <w:lvl w:ilvl="8" w:tplc="2C2E6216">
      <w:start w:val="1"/>
      <w:numFmt w:val="bullet"/>
      <w:lvlText w:val=""/>
      <w:lvlJc w:val="left"/>
      <w:pPr>
        <w:ind w:left="6480" w:hanging="360"/>
      </w:pPr>
      <w:rPr>
        <w:rFonts w:ascii="Wingdings" w:hAnsi="Wingdings" w:hint="default"/>
      </w:rPr>
    </w:lvl>
  </w:abstractNum>
  <w:abstractNum w:abstractNumId="2" w15:restartNumberingAfterBreak="0">
    <w:nsid w:val="05C87E0B"/>
    <w:multiLevelType w:val="hybridMultilevel"/>
    <w:tmpl w:val="49C43CC8"/>
    <w:lvl w:ilvl="0" w:tplc="3468E950">
      <w:start w:val="1"/>
      <w:numFmt w:val="bullet"/>
      <w:lvlText w:val="·"/>
      <w:lvlJc w:val="left"/>
      <w:pPr>
        <w:ind w:left="720" w:hanging="360"/>
      </w:pPr>
      <w:rPr>
        <w:rFonts w:ascii="Symbol" w:hAnsi="Symbol" w:hint="default"/>
      </w:rPr>
    </w:lvl>
    <w:lvl w:ilvl="1" w:tplc="2ABE3B0C">
      <w:start w:val="1"/>
      <w:numFmt w:val="bullet"/>
      <w:lvlText w:val="o"/>
      <w:lvlJc w:val="left"/>
      <w:pPr>
        <w:ind w:left="1440" w:hanging="360"/>
      </w:pPr>
      <w:rPr>
        <w:rFonts w:ascii="Courier New" w:hAnsi="Courier New" w:hint="default"/>
      </w:rPr>
    </w:lvl>
    <w:lvl w:ilvl="2" w:tplc="AF3648BE">
      <w:start w:val="1"/>
      <w:numFmt w:val="bullet"/>
      <w:lvlText w:val=""/>
      <w:lvlJc w:val="left"/>
      <w:pPr>
        <w:ind w:left="2160" w:hanging="360"/>
      </w:pPr>
      <w:rPr>
        <w:rFonts w:ascii="Wingdings" w:hAnsi="Wingdings" w:hint="default"/>
      </w:rPr>
    </w:lvl>
    <w:lvl w:ilvl="3" w:tplc="2DE0363E">
      <w:start w:val="1"/>
      <w:numFmt w:val="bullet"/>
      <w:lvlText w:val=""/>
      <w:lvlJc w:val="left"/>
      <w:pPr>
        <w:ind w:left="2880" w:hanging="360"/>
      </w:pPr>
      <w:rPr>
        <w:rFonts w:ascii="Symbol" w:hAnsi="Symbol" w:hint="default"/>
      </w:rPr>
    </w:lvl>
    <w:lvl w:ilvl="4" w:tplc="4886C320">
      <w:start w:val="1"/>
      <w:numFmt w:val="bullet"/>
      <w:lvlText w:val="o"/>
      <w:lvlJc w:val="left"/>
      <w:pPr>
        <w:ind w:left="3600" w:hanging="360"/>
      </w:pPr>
      <w:rPr>
        <w:rFonts w:ascii="Courier New" w:hAnsi="Courier New" w:hint="default"/>
      </w:rPr>
    </w:lvl>
    <w:lvl w:ilvl="5" w:tplc="1F1E295E">
      <w:start w:val="1"/>
      <w:numFmt w:val="bullet"/>
      <w:lvlText w:val=""/>
      <w:lvlJc w:val="left"/>
      <w:pPr>
        <w:ind w:left="4320" w:hanging="360"/>
      </w:pPr>
      <w:rPr>
        <w:rFonts w:ascii="Wingdings" w:hAnsi="Wingdings" w:hint="default"/>
      </w:rPr>
    </w:lvl>
    <w:lvl w:ilvl="6" w:tplc="63D8AB0A">
      <w:start w:val="1"/>
      <w:numFmt w:val="bullet"/>
      <w:lvlText w:val=""/>
      <w:lvlJc w:val="left"/>
      <w:pPr>
        <w:ind w:left="5040" w:hanging="360"/>
      </w:pPr>
      <w:rPr>
        <w:rFonts w:ascii="Symbol" w:hAnsi="Symbol" w:hint="default"/>
      </w:rPr>
    </w:lvl>
    <w:lvl w:ilvl="7" w:tplc="4698B772">
      <w:start w:val="1"/>
      <w:numFmt w:val="bullet"/>
      <w:lvlText w:val="o"/>
      <w:lvlJc w:val="left"/>
      <w:pPr>
        <w:ind w:left="5760" w:hanging="360"/>
      </w:pPr>
      <w:rPr>
        <w:rFonts w:ascii="Courier New" w:hAnsi="Courier New" w:hint="default"/>
      </w:rPr>
    </w:lvl>
    <w:lvl w:ilvl="8" w:tplc="1C68248E">
      <w:start w:val="1"/>
      <w:numFmt w:val="bullet"/>
      <w:lvlText w:val=""/>
      <w:lvlJc w:val="left"/>
      <w:pPr>
        <w:ind w:left="6480" w:hanging="360"/>
      </w:pPr>
      <w:rPr>
        <w:rFonts w:ascii="Wingdings" w:hAnsi="Wingdings" w:hint="default"/>
      </w:rPr>
    </w:lvl>
  </w:abstractNum>
  <w:abstractNum w:abstractNumId="3" w15:restartNumberingAfterBreak="0">
    <w:nsid w:val="0709769B"/>
    <w:multiLevelType w:val="hybridMultilevel"/>
    <w:tmpl w:val="E4960F04"/>
    <w:lvl w:ilvl="0" w:tplc="5E127310">
      <w:start w:val="1"/>
      <w:numFmt w:val="bullet"/>
      <w:lvlText w:val="·"/>
      <w:lvlJc w:val="left"/>
      <w:pPr>
        <w:ind w:left="720" w:hanging="360"/>
      </w:pPr>
      <w:rPr>
        <w:rFonts w:ascii="Symbol" w:hAnsi="Symbol" w:hint="default"/>
      </w:rPr>
    </w:lvl>
    <w:lvl w:ilvl="1" w:tplc="CE2E3466">
      <w:start w:val="1"/>
      <w:numFmt w:val="bullet"/>
      <w:lvlText w:val="o"/>
      <w:lvlJc w:val="left"/>
      <w:pPr>
        <w:ind w:left="1440" w:hanging="360"/>
      </w:pPr>
      <w:rPr>
        <w:rFonts w:ascii="Courier New" w:hAnsi="Courier New" w:hint="default"/>
      </w:rPr>
    </w:lvl>
    <w:lvl w:ilvl="2" w:tplc="AA40CCF4">
      <w:start w:val="1"/>
      <w:numFmt w:val="bullet"/>
      <w:lvlText w:val=""/>
      <w:lvlJc w:val="left"/>
      <w:pPr>
        <w:ind w:left="2160" w:hanging="360"/>
      </w:pPr>
      <w:rPr>
        <w:rFonts w:ascii="Wingdings" w:hAnsi="Wingdings" w:hint="default"/>
      </w:rPr>
    </w:lvl>
    <w:lvl w:ilvl="3" w:tplc="3C7A5D4E">
      <w:start w:val="1"/>
      <w:numFmt w:val="bullet"/>
      <w:lvlText w:val=""/>
      <w:lvlJc w:val="left"/>
      <w:pPr>
        <w:ind w:left="2880" w:hanging="360"/>
      </w:pPr>
      <w:rPr>
        <w:rFonts w:ascii="Symbol" w:hAnsi="Symbol" w:hint="default"/>
      </w:rPr>
    </w:lvl>
    <w:lvl w:ilvl="4" w:tplc="E1BEE8D2">
      <w:start w:val="1"/>
      <w:numFmt w:val="bullet"/>
      <w:lvlText w:val="o"/>
      <w:lvlJc w:val="left"/>
      <w:pPr>
        <w:ind w:left="3600" w:hanging="360"/>
      </w:pPr>
      <w:rPr>
        <w:rFonts w:ascii="Courier New" w:hAnsi="Courier New" w:hint="default"/>
      </w:rPr>
    </w:lvl>
    <w:lvl w:ilvl="5" w:tplc="4C9C6786">
      <w:start w:val="1"/>
      <w:numFmt w:val="bullet"/>
      <w:lvlText w:val=""/>
      <w:lvlJc w:val="left"/>
      <w:pPr>
        <w:ind w:left="4320" w:hanging="360"/>
      </w:pPr>
      <w:rPr>
        <w:rFonts w:ascii="Wingdings" w:hAnsi="Wingdings" w:hint="default"/>
      </w:rPr>
    </w:lvl>
    <w:lvl w:ilvl="6" w:tplc="F662A2C4">
      <w:start w:val="1"/>
      <w:numFmt w:val="bullet"/>
      <w:lvlText w:val=""/>
      <w:lvlJc w:val="left"/>
      <w:pPr>
        <w:ind w:left="5040" w:hanging="360"/>
      </w:pPr>
      <w:rPr>
        <w:rFonts w:ascii="Symbol" w:hAnsi="Symbol" w:hint="default"/>
      </w:rPr>
    </w:lvl>
    <w:lvl w:ilvl="7" w:tplc="B00E8B8E">
      <w:start w:val="1"/>
      <w:numFmt w:val="bullet"/>
      <w:lvlText w:val="o"/>
      <w:lvlJc w:val="left"/>
      <w:pPr>
        <w:ind w:left="5760" w:hanging="360"/>
      </w:pPr>
      <w:rPr>
        <w:rFonts w:ascii="Courier New" w:hAnsi="Courier New" w:hint="default"/>
      </w:rPr>
    </w:lvl>
    <w:lvl w:ilvl="8" w:tplc="50BE0B48">
      <w:start w:val="1"/>
      <w:numFmt w:val="bullet"/>
      <w:lvlText w:val=""/>
      <w:lvlJc w:val="left"/>
      <w:pPr>
        <w:ind w:left="6480" w:hanging="360"/>
      </w:pPr>
      <w:rPr>
        <w:rFonts w:ascii="Wingdings" w:hAnsi="Wingdings" w:hint="default"/>
      </w:rPr>
    </w:lvl>
  </w:abstractNum>
  <w:abstractNum w:abstractNumId="4" w15:restartNumberingAfterBreak="0">
    <w:nsid w:val="081B6B52"/>
    <w:multiLevelType w:val="hybridMultilevel"/>
    <w:tmpl w:val="7FAA3760"/>
    <w:lvl w:ilvl="0" w:tplc="B4D02322">
      <w:start w:val="1"/>
      <w:numFmt w:val="decimal"/>
      <w:lvlText w:val="%1."/>
      <w:lvlJc w:val="left"/>
      <w:pPr>
        <w:ind w:left="720" w:hanging="360"/>
      </w:pPr>
    </w:lvl>
    <w:lvl w:ilvl="1" w:tplc="410CFC9C">
      <w:start w:val="1"/>
      <w:numFmt w:val="lowerLetter"/>
      <w:lvlText w:val="%2."/>
      <w:lvlJc w:val="left"/>
      <w:pPr>
        <w:ind w:left="1440" w:hanging="360"/>
      </w:pPr>
    </w:lvl>
    <w:lvl w:ilvl="2" w:tplc="6F7ED20A">
      <w:start w:val="1"/>
      <w:numFmt w:val="lowerRoman"/>
      <w:lvlText w:val="%3."/>
      <w:lvlJc w:val="right"/>
      <w:pPr>
        <w:ind w:left="2160" w:hanging="180"/>
      </w:pPr>
    </w:lvl>
    <w:lvl w:ilvl="3" w:tplc="57780F84">
      <w:start w:val="1"/>
      <w:numFmt w:val="decimal"/>
      <w:lvlText w:val="%4."/>
      <w:lvlJc w:val="left"/>
      <w:pPr>
        <w:ind w:left="2880" w:hanging="360"/>
      </w:pPr>
    </w:lvl>
    <w:lvl w:ilvl="4" w:tplc="AEFA5870">
      <w:start w:val="1"/>
      <w:numFmt w:val="lowerLetter"/>
      <w:lvlText w:val="%5."/>
      <w:lvlJc w:val="left"/>
      <w:pPr>
        <w:ind w:left="3600" w:hanging="360"/>
      </w:pPr>
    </w:lvl>
    <w:lvl w:ilvl="5" w:tplc="4B962BB8">
      <w:start w:val="1"/>
      <w:numFmt w:val="lowerRoman"/>
      <w:lvlText w:val="%6."/>
      <w:lvlJc w:val="right"/>
      <w:pPr>
        <w:ind w:left="4320" w:hanging="180"/>
      </w:pPr>
    </w:lvl>
    <w:lvl w:ilvl="6" w:tplc="8918D592">
      <w:start w:val="1"/>
      <w:numFmt w:val="decimal"/>
      <w:lvlText w:val="%7."/>
      <w:lvlJc w:val="left"/>
      <w:pPr>
        <w:ind w:left="5040" w:hanging="360"/>
      </w:pPr>
    </w:lvl>
    <w:lvl w:ilvl="7" w:tplc="F3B06B7E">
      <w:start w:val="1"/>
      <w:numFmt w:val="lowerLetter"/>
      <w:lvlText w:val="%8."/>
      <w:lvlJc w:val="left"/>
      <w:pPr>
        <w:ind w:left="5760" w:hanging="360"/>
      </w:pPr>
    </w:lvl>
    <w:lvl w:ilvl="8" w:tplc="4EA2ED0E">
      <w:start w:val="1"/>
      <w:numFmt w:val="lowerRoman"/>
      <w:lvlText w:val="%9."/>
      <w:lvlJc w:val="right"/>
      <w:pPr>
        <w:ind w:left="6480" w:hanging="180"/>
      </w:pPr>
    </w:lvl>
  </w:abstractNum>
  <w:abstractNum w:abstractNumId="5" w15:restartNumberingAfterBreak="0">
    <w:nsid w:val="1094DFF5"/>
    <w:multiLevelType w:val="hybridMultilevel"/>
    <w:tmpl w:val="8D1E25D4"/>
    <w:lvl w:ilvl="0" w:tplc="91501E94">
      <w:start w:val="1"/>
      <w:numFmt w:val="bullet"/>
      <w:lvlText w:val="·"/>
      <w:lvlJc w:val="left"/>
      <w:pPr>
        <w:ind w:left="720" w:hanging="360"/>
      </w:pPr>
      <w:rPr>
        <w:rFonts w:ascii="Symbol" w:hAnsi="Symbol" w:hint="default"/>
      </w:rPr>
    </w:lvl>
    <w:lvl w:ilvl="1" w:tplc="6642616E">
      <w:start w:val="1"/>
      <w:numFmt w:val="bullet"/>
      <w:lvlText w:val="o"/>
      <w:lvlJc w:val="left"/>
      <w:pPr>
        <w:ind w:left="1440" w:hanging="360"/>
      </w:pPr>
      <w:rPr>
        <w:rFonts w:ascii="Courier New" w:hAnsi="Courier New" w:hint="default"/>
      </w:rPr>
    </w:lvl>
    <w:lvl w:ilvl="2" w:tplc="101A2BD4">
      <w:start w:val="1"/>
      <w:numFmt w:val="bullet"/>
      <w:lvlText w:val=""/>
      <w:lvlJc w:val="left"/>
      <w:pPr>
        <w:ind w:left="2160" w:hanging="360"/>
      </w:pPr>
      <w:rPr>
        <w:rFonts w:ascii="Wingdings" w:hAnsi="Wingdings" w:hint="default"/>
      </w:rPr>
    </w:lvl>
    <w:lvl w:ilvl="3" w:tplc="EB3E5668">
      <w:start w:val="1"/>
      <w:numFmt w:val="bullet"/>
      <w:lvlText w:val=""/>
      <w:lvlJc w:val="left"/>
      <w:pPr>
        <w:ind w:left="2880" w:hanging="360"/>
      </w:pPr>
      <w:rPr>
        <w:rFonts w:ascii="Symbol" w:hAnsi="Symbol" w:hint="default"/>
      </w:rPr>
    </w:lvl>
    <w:lvl w:ilvl="4" w:tplc="5CC43838">
      <w:start w:val="1"/>
      <w:numFmt w:val="bullet"/>
      <w:lvlText w:val="o"/>
      <w:lvlJc w:val="left"/>
      <w:pPr>
        <w:ind w:left="3600" w:hanging="360"/>
      </w:pPr>
      <w:rPr>
        <w:rFonts w:ascii="Courier New" w:hAnsi="Courier New" w:hint="default"/>
      </w:rPr>
    </w:lvl>
    <w:lvl w:ilvl="5" w:tplc="2F4CC764">
      <w:start w:val="1"/>
      <w:numFmt w:val="bullet"/>
      <w:lvlText w:val=""/>
      <w:lvlJc w:val="left"/>
      <w:pPr>
        <w:ind w:left="4320" w:hanging="360"/>
      </w:pPr>
      <w:rPr>
        <w:rFonts w:ascii="Wingdings" w:hAnsi="Wingdings" w:hint="default"/>
      </w:rPr>
    </w:lvl>
    <w:lvl w:ilvl="6" w:tplc="EF5A0476">
      <w:start w:val="1"/>
      <w:numFmt w:val="bullet"/>
      <w:lvlText w:val=""/>
      <w:lvlJc w:val="left"/>
      <w:pPr>
        <w:ind w:left="5040" w:hanging="360"/>
      </w:pPr>
      <w:rPr>
        <w:rFonts w:ascii="Symbol" w:hAnsi="Symbol" w:hint="default"/>
      </w:rPr>
    </w:lvl>
    <w:lvl w:ilvl="7" w:tplc="6FF6BF62">
      <w:start w:val="1"/>
      <w:numFmt w:val="bullet"/>
      <w:lvlText w:val="o"/>
      <w:lvlJc w:val="left"/>
      <w:pPr>
        <w:ind w:left="5760" w:hanging="360"/>
      </w:pPr>
      <w:rPr>
        <w:rFonts w:ascii="Courier New" w:hAnsi="Courier New" w:hint="default"/>
      </w:rPr>
    </w:lvl>
    <w:lvl w:ilvl="8" w:tplc="BC6AE4DE">
      <w:start w:val="1"/>
      <w:numFmt w:val="bullet"/>
      <w:lvlText w:val=""/>
      <w:lvlJc w:val="left"/>
      <w:pPr>
        <w:ind w:left="6480" w:hanging="360"/>
      </w:pPr>
      <w:rPr>
        <w:rFonts w:ascii="Wingdings" w:hAnsi="Wingdings" w:hint="default"/>
      </w:rPr>
    </w:lvl>
  </w:abstractNum>
  <w:abstractNum w:abstractNumId="6" w15:restartNumberingAfterBreak="0">
    <w:nsid w:val="125C77E2"/>
    <w:multiLevelType w:val="hybridMultilevel"/>
    <w:tmpl w:val="BB205686"/>
    <w:lvl w:ilvl="0" w:tplc="FFFFFFFF">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C1DEA9"/>
    <w:multiLevelType w:val="hybridMultilevel"/>
    <w:tmpl w:val="AA68D80A"/>
    <w:lvl w:ilvl="0" w:tplc="798683B2">
      <w:start w:val="1"/>
      <w:numFmt w:val="bullet"/>
      <w:lvlText w:val="·"/>
      <w:lvlJc w:val="left"/>
      <w:pPr>
        <w:ind w:left="720" w:hanging="360"/>
      </w:pPr>
      <w:rPr>
        <w:rFonts w:ascii="Symbol" w:hAnsi="Symbol" w:hint="default"/>
      </w:rPr>
    </w:lvl>
    <w:lvl w:ilvl="1" w:tplc="E95C2CB4">
      <w:start w:val="1"/>
      <w:numFmt w:val="bullet"/>
      <w:lvlText w:val="o"/>
      <w:lvlJc w:val="left"/>
      <w:pPr>
        <w:ind w:left="1440" w:hanging="360"/>
      </w:pPr>
      <w:rPr>
        <w:rFonts w:ascii="Courier New" w:hAnsi="Courier New" w:hint="default"/>
      </w:rPr>
    </w:lvl>
    <w:lvl w:ilvl="2" w:tplc="696CCF0A">
      <w:start w:val="1"/>
      <w:numFmt w:val="bullet"/>
      <w:lvlText w:val=""/>
      <w:lvlJc w:val="left"/>
      <w:pPr>
        <w:ind w:left="2160" w:hanging="360"/>
      </w:pPr>
      <w:rPr>
        <w:rFonts w:ascii="Wingdings" w:hAnsi="Wingdings" w:hint="default"/>
      </w:rPr>
    </w:lvl>
    <w:lvl w:ilvl="3" w:tplc="3D4E56FA">
      <w:start w:val="1"/>
      <w:numFmt w:val="bullet"/>
      <w:lvlText w:val=""/>
      <w:lvlJc w:val="left"/>
      <w:pPr>
        <w:ind w:left="2880" w:hanging="360"/>
      </w:pPr>
      <w:rPr>
        <w:rFonts w:ascii="Symbol" w:hAnsi="Symbol" w:hint="default"/>
      </w:rPr>
    </w:lvl>
    <w:lvl w:ilvl="4" w:tplc="2C74C050">
      <w:start w:val="1"/>
      <w:numFmt w:val="bullet"/>
      <w:lvlText w:val="o"/>
      <w:lvlJc w:val="left"/>
      <w:pPr>
        <w:ind w:left="3600" w:hanging="360"/>
      </w:pPr>
      <w:rPr>
        <w:rFonts w:ascii="Courier New" w:hAnsi="Courier New" w:hint="default"/>
      </w:rPr>
    </w:lvl>
    <w:lvl w:ilvl="5" w:tplc="642430E8">
      <w:start w:val="1"/>
      <w:numFmt w:val="bullet"/>
      <w:lvlText w:val=""/>
      <w:lvlJc w:val="left"/>
      <w:pPr>
        <w:ind w:left="4320" w:hanging="360"/>
      </w:pPr>
      <w:rPr>
        <w:rFonts w:ascii="Wingdings" w:hAnsi="Wingdings" w:hint="default"/>
      </w:rPr>
    </w:lvl>
    <w:lvl w:ilvl="6" w:tplc="A524F514">
      <w:start w:val="1"/>
      <w:numFmt w:val="bullet"/>
      <w:lvlText w:val=""/>
      <w:lvlJc w:val="left"/>
      <w:pPr>
        <w:ind w:left="5040" w:hanging="360"/>
      </w:pPr>
      <w:rPr>
        <w:rFonts w:ascii="Symbol" w:hAnsi="Symbol" w:hint="default"/>
      </w:rPr>
    </w:lvl>
    <w:lvl w:ilvl="7" w:tplc="8652A0F8">
      <w:start w:val="1"/>
      <w:numFmt w:val="bullet"/>
      <w:lvlText w:val="o"/>
      <w:lvlJc w:val="left"/>
      <w:pPr>
        <w:ind w:left="5760" w:hanging="360"/>
      </w:pPr>
      <w:rPr>
        <w:rFonts w:ascii="Courier New" w:hAnsi="Courier New" w:hint="default"/>
      </w:rPr>
    </w:lvl>
    <w:lvl w:ilvl="8" w:tplc="C82CDC50">
      <w:start w:val="1"/>
      <w:numFmt w:val="bullet"/>
      <w:lvlText w:val=""/>
      <w:lvlJc w:val="left"/>
      <w:pPr>
        <w:ind w:left="6480" w:hanging="360"/>
      </w:pPr>
      <w:rPr>
        <w:rFonts w:ascii="Wingdings" w:hAnsi="Wingdings" w:hint="default"/>
      </w:rPr>
    </w:lvl>
  </w:abstractNum>
  <w:abstractNum w:abstractNumId="10"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11" w15:restartNumberingAfterBreak="0">
    <w:nsid w:val="1C4E583C"/>
    <w:multiLevelType w:val="hybridMultilevel"/>
    <w:tmpl w:val="0122E02C"/>
    <w:lvl w:ilvl="0" w:tplc="A3BE2EFA">
      <w:start w:val="1"/>
      <w:numFmt w:val="bullet"/>
      <w:lvlText w:val="·"/>
      <w:lvlJc w:val="left"/>
      <w:pPr>
        <w:ind w:left="720" w:hanging="360"/>
      </w:pPr>
      <w:rPr>
        <w:rFonts w:ascii="Symbol" w:hAnsi="Symbol" w:hint="default"/>
      </w:rPr>
    </w:lvl>
    <w:lvl w:ilvl="1" w:tplc="BB7E6402">
      <w:start w:val="1"/>
      <w:numFmt w:val="bullet"/>
      <w:lvlText w:val="o"/>
      <w:lvlJc w:val="left"/>
      <w:pPr>
        <w:ind w:left="1440" w:hanging="360"/>
      </w:pPr>
      <w:rPr>
        <w:rFonts w:ascii="Courier New" w:hAnsi="Courier New" w:hint="default"/>
      </w:rPr>
    </w:lvl>
    <w:lvl w:ilvl="2" w:tplc="26248EA6">
      <w:start w:val="1"/>
      <w:numFmt w:val="bullet"/>
      <w:lvlText w:val=""/>
      <w:lvlJc w:val="left"/>
      <w:pPr>
        <w:ind w:left="2160" w:hanging="360"/>
      </w:pPr>
      <w:rPr>
        <w:rFonts w:ascii="Wingdings" w:hAnsi="Wingdings" w:hint="default"/>
      </w:rPr>
    </w:lvl>
    <w:lvl w:ilvl="3" w:tplc="133E884C">
      <w:start w:val="1"/>
      <w:numFmt w:val="bullet"/>
      <w:lvlText w:val=""/>
      <w:lvlJc w:val="left"/>
      <w:pPr>
        <w:ind w:left="2880" w:hanging="360"/>
      </w:pPr>
      <w:rPr>
        <w:rFonts w:ascii="Symbol" w:hAnsi="Symbol" w:hint="default"/>
      </w:rPr>
    </w:lvl>
    <w:lvl w:ilvl="4" w:tplc="5FCCA232">
      <w:start w:val="1"/>
      <w:numFmt w:val="bullet"/>
      <w:lvlText w:val="o"/>
      <w:lvlJc w:val="left"/>
      <w:pPr>
        <w:ind w:left="3600" w:hanging="360"/>
      </w:pPr>
      <w:rPr>
        <w:rFonts w:ascii="Courier New" w:hAnsi="Courier New" w:hint="default"/>
      </w:rPr>
    </w:lvl>
    <w:lvl w:ilvl="5" w:tplc="D0F60D62">
      <w:start w:val="1"/>
      <w:numFmt w:val="bullet"/>
      <w:lvlText w:val=""/>
      <w:lvlJc w:val="left"/>
      <w:pPr>
        <w:ind w:left="4320" w:hanging="360"/>
      </w:pPr>
      <w:rPr>
        <w:rFonts w:ascii="Wingdings" w:hAnsi="Wingdings" w:hint="default"/>
      </w:rPr>
    </w:lvl>
    <w:lvl w:ilvl="6" w:tplc="C79A11A8">
      <w:start w:val="1"/>
      <w:numFmt w:val="bullet"/>
      <w:lvlText w:val=""/>
      <w:lvlJc w:val="left"/>
      <w:pPr>
        <w:ind w:left="5040" w:hanging="360"/>
      </w:pPr>
      <w:rPr>
        <w:rFonts w:ascii="Symbol" w:hAnsi="Symbol" w:hint="default"/>
      </w:rPr>
    </w:lvl>
    <w:lvl w:ilvl="7" w:tplc="97BEC8BE">
      <w:start w:val="1"/>
      <w:numFmt w:val="bullet"/>
      <w:lvlText w:val="o"/>
      <w:lvlJc w:val="left"/>
      <w:pPr>
        <w:ind w:left="5760" w:hanging="360"/>
      </w:pPr>
      <w:rPr>
        <w:rFonts w:ascii="Courier New" w:hAnsi="Courier New" w:hint="default"/>
      </w:rPr>
    </w:lvl>
    <w:lvl w:ilvl="8" w:tplc="DA48A9EC">
      <w:start w:val="1"/>
      <w:numFmt w:val="bullet"/>
      <w:lvlText w:val=""/>
      <w:lvlJc w:val="left"/>
      <w:pPr>
        <w:ind w:left="6480" w:hanging="360"/>
      </w:pPr>
      <w:rPr>
        <w:rFonts w:ascii="Wingdings" w:hAnsi="Wingdings" w:hint="default"/>
      </w:rPr>
    </w:lvl>
  </w:abstractNum>
  <w:abstractNum w:abstractNumId="12" w15:restartNumberingAfterBreak="0">
    <w:nsid w:val="1D5153BE"/>
    <w:multiLevelType w:val="hybridMultilevel"/>
    <w:tmpl w:val="DE3C2050"/>
    <w:lvl w:ilvl="0" w:tplc="B0E4C06E">
      <w:start w:val="1"/>
      <w:numFmt w:val="decimal"/>
      <w:pStyle w:val="Paragraph"/>
      <w:lvlText w:val="%1."/>
      <w:lvlJc w:val="left"/>
      <w:pPr>
        <w:ind w:left="720" w:hanging="360"/>
      </w:pPr>
      <w:rPr>
        <w:rFonts w:ascii="Times New Roman" w:hAnsi="Times New Roman" w:cs="Times New Roman" w:hint="default"/>
        <w:b w:val="0"/>
        <w:bCs w:val="0"/>
        <w:sz w:val="24"/>
        <w:szCs w:val="24"/>
        <w:vertAlign w:val="baseline"/>
      </w:rPr>
    </w:lvl>
    <w:lvl w:ilvl="1" w:tplc="D3D67184">
      <w:start w:val="1"/>
      <w:numFmt w:val="bullet"/>
      <w:pStyle w:val="BulletRecommendationsQuestions"/>
      <w:lvlText w:val=""/>
      <w:lvlJc w:val="left"/>
      <w:pPr>
        <w:ind w:left="1440" w:hanging="360"/>
      </w:pPr>
      <w:rPr>
        <w:rFonts w:ascii="Symbol" w:hAnsi="Symbol" w:hint="default"/>
      </w:rPr>
    </w:lvl>
    <w:lvl w:ilvl="2" w:tplc="04090003">
      <w:start w:val="1"/>
      <w:numFmt w:val="bullet"/>
      <w:lvlText w:val="o"/>
      <w:lvlJc w:val="left"/>
      <w:pPr>
        <w:ind w:left="2340" w:hanging="36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674082"/>
    <w:multiLevelType w:val="hybridMultilevel"/>
    <w:tmpl w:val="0562E18C"/>
    <w:lvl w:ilvl="0" w:tplc="80DA937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0C8423"/>
    <w:multiLevelType w:val="hybridMultilevel"/>
    <w:tmpl w:val="292E0E42"/>
    <w:lvl w:ilvl="0" w:tplc="59ACB638">
      <w:start w:val="1"/>
      <w:numFmt w:val="bullet"/>
      <w:lvlText w:val="·"/>
      <w:lvlJc w:val="left"/>
      <w:pPr>
        <w:ind w:left="720" w:hanging="360"/>
      </w:pPr>
      <w:rPr>
        <w:rFonts w:ascii="Symbol" w:hAnsi="Symbol" w:hint="default"/>
      </w:rPr>
    </w:lvl>
    <w:lvl w:ilvl="1" w:tplc="F3E41976">
      <w:start w:val="1"/>
      <w:numFmt w:val="bullet"/>
      <w:lvlText w:val="o"/>
      <w:lvlJc w:val="left"/>
      <w:pPr>
        <w:ind w:left="1440" w:hanging="360"/>
      </w:pPr>
      <w:rPr>
        <w:rFonts w:ascii="Courier New" w:hAnsi="Courier New" w:hint="default"/>
      </w:rPr>
    </w:lvl>
    <w:lvl w:ilvl="2" w:tplc="13B67F9C">
      <w:start w:val="1"/>
      <w:numFmt w:val="bullet"/>
      <w:lvlText w:val=""/>
      <w:lvlJc w:val="left"/>
      <w:pPr>
        <w:ind w:left="2160" w:hanging="360"/>
      </w:pPr>
      <w:rPr>
        <w:rFonts w:ascii="Wingdings" w:hAnsi="Wingdings" w:hint="default"/>
      </w:rPr>
    </w:lvl>
    <w:lvl w:ilvl="3" w:tplc="F8A45918">
      <w:start w:val="1"/>
      <w:numFmt w:val="bullet"/>
      <w:lvlText w:val=""/>
      <w:lvlJc w:val="left"/>
      <w:pPr>
        <w:ind w:left="2880" w:hanging="360"/>
      </w:pPr>
      <w:rPr>
        <w:rFonts w:ascii="Symbol" w:hAnsi="Symbol" w:hint="default"/>
      </w:rPr>
    </w:lvl>
    <w:lvl w:ilvl="4" w:tplc="514090D6">
      <w:start w:val="1"/>
      <w:numFmt w:val="bullet"/>
      <w:lvlText w:val="o"/>
      <w:lvlJc w:val="left"/>
      <w:pPr>
        <w:ind w:left="3600" w:hanging="360"/>
      </w:pPr>
      <w:rPr>
        <w:rFonts w:ascii="Courier New" w:hAnsi="Courier New" w:hint="default"/>
      </w:rPr>
    </w:lvl>
    <w:lvl w:ilvl="5" w:tplc="0B44826E">
      <w:start w:val="1"/>
      <w:numFmt w:val="bullet"/>
      <w:lvlText w:val=""/>
      <w:lvlJc w:val="left"/>
      <w:pPr>
        <w:ind w:left="4320" w:hanging="360"/>
      </w:pPr>
      <w:rPr>
        <w:rFonts w:ascii="Wingdings" w:hAnsi="Wingdings" w:hint="default"/>
      </w:rPr>
    </w:lvl>
    <w:lvl w:ilvl="6" w:tplc="54B406E2">
      <w:start w:val="1"/>
      <w:numFmt w:val="bullet"/>
      <w:lvlText w:val=""/>
      <w:lvlJc w:val="left"/>
      <w:pPr>
        <w:ind w:left="5040" w:hanging="360"/>
      </w:pPr>
      <w:rPr>
        <w:rFonts w:ascii="Symbol" w:hAnsi="Symbol" w:hint="default"/>
      </w:rPr>
    </w:lvl>
    <w:lvl w:ilvl="7" w:tplc="7C2C0CB4">
      <w:start w:val="1"/>
      <w:numFmt w:val="bullet"/>
      <w:lvlText w:val="o"/>
      <w:lvlJc w:val="left"/>
      <w:pPr>
        <w:ind w:left="5760" w:hanging="360"/>
      </w:pPr>
      <w:rPr>
        <w:rFonts w:ascii="Courier New" w:hAnsi="Courier New" w:hint="default"/>
      </w:rPr>
    </w:lvl>
    <w:lvl w:ilvl="8" w:tplc="A57E3CFC">
      <w:start w:val="1"/>
      <w:numFmt w:val="bullet"/>
      <w:lvlText w:val=""/>
      <w:lvlJc w:val="left"/>
      <w:pPr>
        <w:ind w:left="6480" w:hanging="360"/>
      </w:pPr>
      <w:rPr>
        <w:rFonts w:ascii="Wingdings" w:hAnsi="Wingdings" w:hint="default"/>
      </w:rPr>
    </w:lvl>
  </w:abstractNum>
  <w:abstractNum w:abstractNumId="15" w15:restartNumberingAfterBreak="0">
    <w:nsid w:val="23FCE957"/>
    <w:multiLevelType w:val="hybridMultilevel"/>
    <w:tmpl w:val="2452E6C6"/>
    <w:lvl w:ilvl="0" w:tplc="FAE841B6">
      <w:start w:val="1"/>
      <w:numFmt w:val="bullet"/>
      <w:lvlText w:val="·"/>
      <w:lvlJc w:val="left"/>
      <w:pPr>
        <w:ind w:left="720" w:hanging="360"/>
      </w:pPr>
      <w:rPr>
        <w:rFonts w:ascii="Symbol" w:hAnsi="Symbol" w:hint="default"/>
      </w:rPr>
    </w:lvl>
    <w:lvl w:ilvl="1" w:tplc="60A4E3E2">
      <w:start w:val="1"/>
      <w:numFmt w:val="bullet"/>
      <w:lvlText w:val="o"/>
      <w:lvlJc w:val="left"/>
      <w:pPr>
        <w:ind w:left="1440" w:hanging="360"/>
      </w:pPr>
      <w:rPr>
        <w:rFonts w:ascii="Courier New" w:hAnsi="Courier New" w:hint="default"/>
      </w:rPr>
    </w:lvl>
    <w:lvl w:ilvl="2" w:tplc="FE9AEE26">
      <w:start w:val="1"/>
      <w:numFmt w:val="bullet"/>
      <w:lvlText w:val=""/>
      <w:lvlJc w:val="left"/>
      <w:pPr>
        <w:ind w:left="2160" w:hanging="360"/>
      </w:pPr>
      <w:rPr>
        <w:rFonts w:ascii="Wingdings" w:hAnsi="Wingdings" w:hint="default"/>
      </w:rPr>
    </w:lvl>
    <w:lvl w:ilvl="3" w:tplc="E97A8BBC">
      <w:start w:val="1"/>
      <w:numFmt w:val="bullet"/>
      <w:lvlText w:val=""/>
      <w:lvlJc w:val="left"/>
      <w:pPr>
        <w:ind w:left="2880" w:hanging="360"/>
      </w:pPr>
      <w:rPr>
        <w:rFonts w:ascii="Symbol" w:hAnsi="Symbol" w:hint="default"/>
      </w:rPr>
    </w:lvl>
    <w:lvl w:ilvl="4" w:tplc="49BE960A">
      <w:start w:val="1"/>
      <w:numFmt w:val="bullet"/>
      <w:lvlText w:val="o"/>
      <w:lvlJc w:val="left"/>
      <w:pPr>
        <w:ind w:left="3600" w:hanging="360"/>
      </w:pPr>
      <w:rPr>
        <w:rFonts w:ascii="Courier New" w:hAnsi="Courier New" w:hint="default"/>
      </w:rPr>
    </w:lvl>
    <w:lvl w:ilvl="5" w:tplc="81BC6C30">
      <w:start w:val="1"/>
      <w:numFmt w:val="bullet"/>
      <w:lvlText w:val=""/>
      <w:lvlJc w:val="left"/>
      <w:pPr>
        <w:ind w:left="4320" w:hanging="360"/>
      </w:pPr>
      <w:rPr>
        <w:rFonts w:ascii="Wingdings" w:hAnsi="Wingdings" w:hint="default"/>
      </w:rPr>
    </w:lvl>
    <w:lvl w:ilvl="6" w:tplc="F1A25E54">
      <w:start w:val="1"/>
      <w:numFmt w:val="bullet"/>
      <w:lvlText w:val=""/>
      <w:lvlJc w:val="left"/>
      <w:pPr>
        <w:ind w:left="5040" w:hanging="360"/>
      </w:pPr>
      <w:rPr>
        <w:rFonts w:ascii="Symbol" w:hAnsi="Symbol" w:hint="default"/>
      </w:rPr>
    </w:lvl>
    <w:lvl w:ilvl="7" w:tplc="4C085000">
      <w:start w:val="1"/>
      <w:numFmt w:val="bullet"/>
      <w:lvlText w:val="o"/>
      <w:lvlJc w:val="left"/>
      <w:pPr>
        <w:ind w:left="5760" w:hanging="360"/>
      </w:pPr>
      <w:rPr>
        <w:rFonts w:ascii="Courier New" w:hAnsi="Courier New" w:hint="default"/>
      </w:rPr>
    </w:lvl>
    <w:lvl w:ilvl="8" w:tplc="8BDE3A24">
      <w:start w:val="1"/>
      <w:numFmt w:val="bullet"/>
      <w:lvlText w:val=""/>
      <w:lvlJc w:val="left"/>
      <w:pPr>
        <w:ind w:left="6480" w:hanging="360"/>
      </w:pPr>
      <w:rPr>
        <w:rFonts w:ascii="Wingdings" w:hAnsi="Wingdings" w:hint="default"/>
      </w:rPr>
    </w:lvl>
  </w:abstractNum>
  <w:abstractNum w:abstractNumId="16" w15:restartNumberingAfterBreak="0">
    <w:nsid w:val="25CE7ADB"/>
    <w:multiLevelType w:val="hybridMultilevel"/>
    <w:tmpl w:val="D1A2F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7627F9"/>
    <w:multiLevelType w:val="hybridMultilevel"/>
    <w:tmpl w:val="7A988FB0"/>
    <w:lvl w:ilvl="0" w:tplc="ECF899F6">
      <w:start w:val="25"/>
      <w:numFmt w:val="decimal"/>
      <w:lvlText w:val="%1."/>
      <w:lvlJc w:val="left"/>
      <w:pPr>
        <w:ind w:left="720" w:hanging="360"/>
      </w:pPr>
    </w:lvl>
    <w:lvl w:ilvl="1" w:tplc="F18ADC62">
      <w:start w:val="1"/>
      <w:numFmt w:val="lowerLetter"/>
      <w:lvlText w:val="%2."/>
      <w:lvlJc w:val="left"/>
      <w:pPr>
        <w:ind w:left="1440" w:hanging="360"/>
      </w:pPr>
    </w:lvl>
    <w:lvl w:ilvl="2" w:tplc="1BFCF232">
      <w:start w:val="1"/>
      <w:numFmt w:val="lowerRoman"/>
      <w:lvlText w:val="%3."/>
      <w:lvlJc w:val="right"/>
      <w:pPr>
        <w:ind w:left="2160" w:hanging="180"/>
      </w:pPr>
    </w:lvl>
    <w:lvl w:ilvl="3" w:tplc="0AD26988">
      <w:start w:val="1"/>
      <w:numFmt w:val="decimal"/>
      <w:lvlText w:val="%4."/>
      <w:lvlJc w:val="left"/>
      <w:pPr>
        <w:ind w:left="2880" w:hanging="360"/>
      </w:pPr>
    </w:lvl>
    <w:lvl w:ilvl="4" w:tplc="06C4D1D6">
      <w:start w:val="1"/>
      <w:numFmt w:val="lowerLetter"/>
      <w:lvlText w:val="%5."/>
      <w:lvlJc w:val="left"/>
      <w:pPr>
        <w:ind w:left="3600" w:hanging="360"/>
      </w:pPr>
    </w:lvl>
    <w:lvl w:ilvl="5" w:tplc="742AF8C0">
      <w:start w:val="1"/>
      <w:numFmt w:val="lowerRoman"/>
      <w:lvlText w:val="%6."/>
      <w:lvlJc w:val="right"/>
      <w:pPr>
        <w:ind w:left="4320" w:hanging="180"/>
      </w:pPr>
    </w:lvl>
    <w:lvl w:ilvl="6" w:tplc="80C6A632">
      <w:start w:val="1"/>
      <w:numFmt w:val="decimal"/>
      <w:lvlText w:val="%7."/>
      <w:lvlJc w:val="left"/>
      <w:pPr>
        <w:ind w:left="5040" w:hanging="360"/>
      </w:pPr>
    </w:lvl>
    <w:lvl w:ilvl="7" w:tplc="45A63D7E">
      <w:start w:val="1"/>
      <w:numFmt w:val="lowerLetter"/>
      <w:lvlText w:val="%8."/>
      <w:lvlJc w:val="left"/>
      <w:pPr>
        <w:ind w:left="5760" w:hanging="360"/>
      </w:pPr>
    </w:lvl>
    <w:lvl w:ilvl="8" w:tplc="69A4196A">
      <w:start w:val="1"/>
      <w:numFmt w:val="lowerRoman"/>
      <w:lvlText w:val="%9."/>
      <w:lvlJc w:val="right"/>
      <w:pPr>
        <w:ind w:left="6480" w:hanging="180"/>
      </w:pPr>
    </w:lvl>
  </w:abstractNum>
  <w:abstractNum w:abstractNumId="18" w15:restartNumberingAfterBreak="0">
    <w:nsid w:val="2778531F"/>
    <w:multiLevelType w:val="hybridMultilevel"/>
    <w:tmpl w:val="3356B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976526A"/>
    <w:multiLevelType w:val="hybridMultilevel"/>
    <w:tmpl w:val="F7ECA5F6"/>
    <w:lvl w:ilvl="0" w:tplc="80DA937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71707A"/>
    <w:multiLevelType w:val="hybridMultilevel"/>
    <w:tmpl w:val="B60EB338"/>
    <w:lvl w:ilvl="0" w:tplc="80DA937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2F2346EA"/>
    <w:multiLevelType w:val="hybridMultilevel"/>
    <w:tmpl w:val="A144241C"/>
    <w:lvl w:ilvl="0" w:tplc="90E2CC48">
      <w:start w:val="5"/>
      <w:numFmt w:val="decimal"/>
      <w:lvlText w:val="%1."/>
      <w:lvlJc w:val="left"/>
      <w:pPr>
        <w:ind w:left="360" w:hanging="360"/>
      </w:pPr>
    </w:lvl>
    <w:lvl w:ilvl="1" w:tplc="7054AD7C">
      <w:start w:val="1"/>
      <w:numFmt w:val="lowerLetter"/>
      <w:lvlText w:val="%2."/>
      <w:lvlJc w:val="left"/>
      <w:pPr>
        <w:ind w:left="1080" w:hanging="360"/>
      </w:pPr>
    </w:lvl>
    <w:lvl w:ilvl="2" w:tplc="E3A84A04">
      <w:start w:val="1"/>
      <w:numFmt w:val="lowerRoman"/>
      <w:lvlText w:val="%3."/>
      <w:lvlJc w:val="right"/>
      <w:pPr>
        <w:ind w:left="1800" w:hanging="180"/>
      </w:pPr>
    </w:lvl>
    <w:lvl w:ilvl="3" w:tplc="FCBC405A">
      <w:start w:val="1"/>
      <w:numFmt w:val="decimal"/>
      <w:lvlText w:val="%4."/>
      <w:lvlJc w:val="left"/>
      <w:pPr>
        <w:ind w:left="2520" w:hanging="360"/>
      </w:pPr>
    </w:lvl>
    <w:lvl w:ilvl="4" w:tplc="1A68703E">
      <w:start w:val="1"/>
      <w:numFmt w:val="lowerLetter"/>
      <w:lvlText w:val="%5."/>
      <w:lvlJc w:val="left"/>
      <w:pPr>
        <w:ind w:left="3240" w:hanging="360"/>
      </w:pPr>
    </w:lvl>
    <w:lvl w:ilvl="5" w:tplc="8B6E785A">
      <w:start w:val="1"/>
      <w:numFmt w:val="lowerRoman"/>
      <w:lvlText w:val="%6."/>
      <w:lvlJc w:val="right"/>
      <w:pPr>
        <w:ind w:left="3960" w:hanging="180"/>
      </w:pPr>
    </w:lvl>
    <w:lvl w:ilvl="6" w:tplc="98B4B65A">
      <w:start w:val="1"/>
      <w:numFmt w:val="decimal"/>
      <w:lvlText w:val="%7."/>
      <w:lvlJc w:val="left"/>
      <w:pPr>
        <w:ind w:left="4680" w:hanging="360"/>
      </w:pPr>
    </w:lvl>
    <w:lvl w:ilvl="7" w:tplc="2DE40292">
      <w:start w:val="1"/>
      <w:numFmt w:val="lowerLetter"/>
      <w:lvlText w:val="%8."/>
      <w:lvlJc w:val="left"/>
      <w:pPr>
        <w:ind w:left="5400" w:hanging="360"/>
      </w:pPr>
    </w:lvl>
    <w:lvl w:ilvl="8" w:tplc="0C1A92EE">
      <w:start w:val="1"/>
      <w:numFmt w:val="lowerRoman"/>
      <w:lvlText w:val="%9."/>
      <w:lvlJc w:val="right"/>
      <w:pPr>
        <w:ind w:left="6120" w:hanging="180"/>
      </w:pPr>
    </w:lvl>
  </w:abstractNum>
  <w:abstractNum w:abstractNumId="24"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475D3A9"/>
    <w:multiLevelType w:val="hybridMultilevel"/>
    <w:tmpl w:val="4F9A1C90"/>
    <w:lvl w:ilvl="0" w:tplc="1388BB50">
      <w:start w:val="1"/>
      <w:numFmt w:val="bullet"/>
      <w:lvlText w:val="·"/>
      <w:lvlJc w:val="left"/>
      <w:pPr>
        <w:ind w:left="720" w:hanging="360"/>
      </w:pPr>
      <w:rPr>
        <w:rFonts w:ascii="Symbol" w:hAnsi="Symbol" w:hint="default"/>
      </w:rPr>
    </w:lvl>
    <w:lvl w:ilvl="1" w:tplc="9BCA0096">
      <w:start w:val="1"/>
      <w:numFmt w:val="bullet"/>
      <w:lvlText w:val="o"/>
      <w:lvlJc w:val="left"/>
      <w:pPr>
        <w:ind w:left="1440" w:hanging="360"/>
      </w:pPr>
      <w:rPr>
        <w:rFonts w:ascii="Courier New" w:hAnsi="Courier New" w:hint="default"/>
      </w:rPr>
    </w:lvl>
    <w:lvl w:ilvl="2" w:tplc="FB709A14">
      <w:start w:val="1"/>
      <w:numFmt w:val="bullet"/>
      <w:lvlText w:val=""/>
      <w:lvlJc w:val="left"/>
      <w:pPr>
        <w:ind w:left="2160" w:hanging="360"/>
      </w:pPr>
      <w:rPr>
        <w:rFonts w:ascii="Wingdings" w:hAnsi="Wingdings" w:hint="default"/>
      </w:rPr>
    </w:lvl>
    <w:lvl w:ilvl="3" w:tplc="622E074C">
      <w:start w:val="1"/>
      <w:numFmt w:val="bullet"/>
      <w:lvlText w:val=""/>
      <w:lvlJc w:val="left"/>
      <w:pPr>
        <w:ind w:left="2880" w:hanging="360"/>
      </w:pPr>
      <w:rPr>
        <w:rFonts w:ascii="Symbol" w:hAnsi="Symbol" w:hint="default"/>
      </w:rPr>
    </w:lvl>
    <w:lvl w:ilvl="4" w:tplc="5B86B58C">
      <w:start w:val="1"/>
      <w:numFmt w:val="bullet"/>
      <w:lvlText w:val="o"/>
      <w:lvlJc w:val="left"/>
      <w:pPr>
        <w:ind w:left="3600" w:hanging="360"/>
      </w:pPr>
      <w:rPr>
        <w:rFonts w:ascii="Courier New" w:hAnsi="Courier New" w:hint="default"/>
      </w:rPr>
    </w:lvl>
    <w:lvl w:ilvl="5" w:tplc="3C04EAA2">
      <w:start w:val="1"/>
      <w:numFmt w:val="bullet"/>
      <w:lvlText w:val=""/>
      <w:lvlJc w:val="left"/>
      <w:pPr>
        <w:ind w:left="4320" w:hanging="360"/>
      </w:pPr>
      <w:rPr>
        <w:rFonts w:ascii="Wingdings" w:hAnsi="Wingdings" w:hint="default"/>
      </w:rPr>
    </w:lvl>
    <w:lvl w:ilvl="6" w:tplc="0EBED6A8">
      <w:start w:val="1"/>
      <w:numFmt w:val="bullet"/>
      <w:lvlText w:val=""/>
      <w:lvlJc w:val="left"/>
      <w:pPr>
        <w:ind w:left="5040" w:hanging="360"/>
      </w:pPr>
      <w:rPr>
        <w:rFonts w:ascii="Symbol" w:hAnsi="Symbol" w:hint="default"/>
      </w:rPr>
    </w:lvl>
    <w:lvl w:ilvl="7" w:tplc="A94A1EA6">
      <w:start w:val="1"/>
      <w:numFmt w:val="bullet"/>
      <w:lvlText w:val="o"/>
      <w:lvlJc w:val="left"/>
      <w:pPr>
        <w:ind w:left="5760" w:hanging="360"/>
      </w:pPr>
      <w:rPr>
        <w:rFonts w:ascii="Courier New" w:hAnsi="Courier New" w:hint="default"/>
      </w:rPr>
    </w:lvl>
    <w:lvl w:ilvl="8" w:tplc="07BAEC90">
      <w:start w:val="1"/>
      <w:numFmt w:val="bullet"/>
      <w:lvlText w:val=""/>
      <w:lvlJc w:val="left"/>
      <w:pPr>
        <w:ind w:left="6480" w:hanging="360"/>
      </w:pPr>
      <w:rPr>
        <w:rFonts w:ascii="Wingdings" w:hAnsi="Wingdings" w:hint="default"/>
      </w:rPr>
    </w:lvl>
  </w:abstractNum>
  <w:abstractNum w:abstractNumId="26" w15:restartNumberingAfterBreak="0">
    <w:nsid w:val="35B6C211"/>
    <w:multiLevelType w:val="hybridMultilevel"/>
    <w:tmpl w:val="ACD25EAA"/>
    <w:lvl w:ilvl="0" w:tplc="3766C978">
      <w:start w:val="1"/>
      <w:numFmt w:val="bullet"/>
      <w:lvlText w:val="·"/>
      <w:lvlJc w:val="left"/>
      <w:pPr>
        <w:ind w:left="720" w:hanging="360"/>
      </w:pPr>
      <w:rPr>
        <w:rFonts w:ascii="Symbol" w:hAnsi="Symbol" w:hint="default"/>
      </w:rPr>
    </w:lvl>
    <w:lvl w:ilvl="1" w:tplc="B56EE2DC">
      <w:start w:val="1"/>
      <w:numFmt w:val="bullet"/>
      <w:lvlText w:val="o"/>
      <w:lvlJc w:val="left"/>
      <w:pPr>
        <w:ind w:left="1440" w:hanging="360"/>
      </w:pPr>
      <w:rPr>
        <w:rFonts w:ascii="Courier New" w:hAnsi="Courier New" w:hint="default"/>
      </w:rPr>
    </w:lvl>
    <w:lvl w:ilvl="2" w:tplc="C4D25A40">
      <w:start w:val="1"/>
      <w:numFmt w:val="bullet"/>
      <w:lvlText w:val=""/>
      <w:lvlJc w:val="left"/>
      <w:pPr>
        <w:ind w:left="2160" w:hanging="360"/>
      </w:pPr>
      <w:rPr>
        <w:rFonts w:ascii="Wingdings" w:hAnsi="Wingdings" w:hint="default"/>
      </w:rPr>
    </w:lvl>
    <w:lvl w:ilvl="3" w:tplc="DEA64292">
      <w:start w:val="1"/>
      <w:numFmt w:val="bullet"/>
      <w:lvlText w:val=""/>
      <w:lvlJc w:val="left"/>
      <w:pPr>
        <w:ind w:left="2880" w:hanging="360"/>
      </w:pPr>
      <w:rPr>
        <w:rFonts w:ascii="Symbol" w:hAnsi="Symbol" w:hint="default"/>
      </w:rPr>
    </w:lvl>
    <w:lvl w:ilvl="4" w:tplc="6012F45C">
      <w:start w:val="1"/>
      <w:numFmt w:val="bullet"/>
      <w:lvlText w:val="o"/>
      <w:lvlJc w:val="left"/>
      <w:pPr>
        <w:ind w:left="3600" w:hanging="360"/>
      </w:pPr>
      <w:rPr>
        <w:rFonts w:ascii="Courier New" w:hAnsi="Courier New" w:hint="default"/>
      </w:rPr>
    </w:lvl>
    <w:lvl w:ilvl="5" w:tplc="2200B460">
      <w:start w:val="1"/>
      <w:numFmt w:val="bullet"/>
      <w:lvlText w:val=""/>
      <w:lvlJc w:val="left"/>
      <w:pPr>
        <w:ind w:left="4320" w:hanging="360"/>
      </w:pPr>
      <w:rPr>
        <w:rFonts w:ascii="Wingdings" w:hAnsi="Wingdings" w:hint="default"/>
      </w:rPr>
    </w:lvl>
    <w:lvl w:ilvl="6" w:tplc="55E233D8">
      <w:start w:val="1"/>
      <w:numFmt w:val="bullet"/>
      <w:lvlText w:val=""/>
      <w:lvlJc w:val="left"/>
      <w:pPr>
        <w:ind w:left="5040" w:hanging="360"/>
      </w:pPr>
      <w:rPr>
        <w:rFonts w:ascii="Symbol" w:hAnsi="Symbol" w:hint="default"/>
      </w:rPr>
    </w:lvl>
    <w:lvl w:ilvl="7" w:tplc="6870F50E">
      <w:start w:val="1"/>
      <w:numFmt w:val="bullet"/>
      <w:lvlText w:val="o"/>
      <w:lvlJc w:val="left"/>
      <w:pPr>
        <w:ind w:left="5760" w:hanging="360"/>
      </w:pPr>
      <w:rPr>
        <w:rFonts w:ascii="Courier New" w:hAnsi="Courier New" w:hint="default"/>
      </w:rPr>
    </w:lvl>
    <w:lvl w:ilvl="8" w:tplc="E056EE64">
      <w:start w:val="1"/>
      <w:numFmt w:val="bullet"/>
      <w:lvlText w:val=""/>
      <w:lvlJc w:val="left"/>
      <w:pPr>
        <w:ind w:left="6480" w:hanging="360"/>
      </w:pPr>
      <w:rPr>
        <w:rFonts w:ascii="Wingdings" w:hAnsi="Wingdings" w:hint="default"/>
      </w:rPr>
    </w:lvl>
  </w:abstractNum>
  <w:abstractNum w:abstractNumId="27" w15:restartNumberingAfterBreak="0">
    <w:nsid w:val="35E3738A"/>
    <w:multiLevelType w:val="hybridMultilevel"/>
    <w:tmpl w:val="7898D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C29B7C"/>
    <w:multiLevelType w:val="hybridMultilevel"/>
    <w:tmpl w:val="7758D27C"/>
    <w:lvl w:ilvl="0" w:tplc="81A4F388">
      <w:start w:val="25"/>
      <w:numFmt w:val="decimal"/>
      <w:lvlText w:val="%1."/>
      <w:lvlJc w:val="left"/>
      <w:pPr>
        <w:ind w:left="720" w:hanging="360"/>
      </w:pPr>
    </w:lvl>
    <w:lvl w:ilvl="1" w:tplc="46FE0C54">
      <w:start w:val="1"/>
      <w:numFmt w:val="lowerLetter"/>
      <w:lvlText w:val="%2."/>
      <w:lvlJc w:val="left"/>
      <w:pPr>
        <w:ind w:left="1440" w:hanging="360"/>
      </w:pPr>
    </w:lvl>
    <w:lvl w:ilvl="2" w:tplc="3F8421AE">
      <w:start w:val="1"/>
      <w:numFmt w:val="lowerRoman"/>
      <w:lvlText w:val="%3."/>
      <w:lvlJc w:val="right"/>
      <w:pPr>
        <w:ind w:left="2160" w:hanging="180"/>
      </w:pPr>
    </w:lvl>
    <w:lvl w:ilvl="3" w:tplc="8AB855A2">
      <w:start w:val="1"/>
      <w:numFmt w:val="decimal"/>
      <w:lvlText w:val="%4."/>
      <w:lvlJc w:val="left"/>
      <w:pPr>
        <w:ind w:left="2880" w:hanging="360"/>
      </w:pPr>
    </w:lvl>
    <w:lvl w:ilvl="4" w:tplc="993C42A8">
      <w:start w:val="1"/>
      <w:numFmt w:val="lowerLetter"/>
      <w:lvlText w:val="%5."/>
      <w:lvlJc w:val="left"/>
      <w:pPr>
        <w:ind w:left="3600" w:hanging="360"/>
      </w:pPr>
    </w:lvl>
    <w:lvl w:ilvl="5" w:tplc="B512095A">
      <w:start w:val="1"/>
      <w:numFmt w:val="lowerRoman"/>
      <w:lvlText w:val="%6."/>
      <w:lvlJc w:val="right"/>
      <w:pPr>
        <w:ind w:left="4320" w:hanging="180"/>
      </w:pPr>
    </w:lvl>
    <w:lvl w:ilvl="6" w:tplc="2092DF90">
      <w:start w:val="1"/>
      <w:numFmt w:val="decimal"/>
      <w:lvlText w:val="%7."/>
      <w:lvlJc w:val="left"/>
      <w:pPr>
        <w:ind w:left="5040" w:hanging="360"/>
      </w:pPr>
    </w:lvl>
    <w:lvl w:ilvl="7" w:tplc="35AA27EE">
      <w:start w:val="1"/>
      <w:numFmt w:val="lowerLetter"/>
      <w:lvlText w:val="%8."/>
      <w:lvlJc w:val="left"/>
      <w:pPr>
        <w:ind w:left="5760" w:hanging="360"/>
      </w:pPr>
    </w:lvl>
    <w:lvl w:ilvl="8" w:tplc="5D749936">
      <w:start w:val="1"/>
      <w:numFmt w:val="lowerRoman"/>
      <w:lvlText w:val="%9."/>
      <w:lvlJc w:val="right"/>
      <w:pPr>
        <w:ind w:left="6480" w:hanging="180"/>
      </w:pPr>
    </w:lvl>
  </w:abstractNum>
  <w:abstractNum w:abstractNumId="29" w15:restartNumberingAfterBreak="0">
    <w:nsid w:val="3C92748C"/>
    <w:multiLevelType w:val="hybridMultilevel"/>
    <w:tmpl w:val="DFB24FE4"/>
    <w:lvl w:ilvl="0" w:tplc="80DA937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6D298F"/>
    <w:multiLevelType w:val="hybridMultilevel"/>
    <w:tmpl w:val="34C02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06654F2"/>
    <w:multiLevelType w:val="hybridMultilevel"/>
    <w:tmpl w:val="FB161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F8C2E8"/>
    <w:multiLevelType w:val="hybridMultilevel"/>
    <w:tmpl w:val="FC68C49A"/>
    <w:lvl w:ilvl="0" w:tplc="BDDE6EAC">
      <w:start w:val="1"/>
      <w:numFmt w:val="bullet"/>
      <w:lvlText w:val="·"/>
      <w:lvlJc w:val="left"/>
      <w:pPr>
        <w:ind w:left="720" w:hanging="360"/>
      </w:pPr>
      <w:rPr>
        <w:rFonts w:ascii="Symbol" w:hAnsi="Symbol" w:hint="default"/>
      </w:rPr>
    </w:lvl>
    <w:lvl w:ilvl="1" w:tplc="1A9C1F34">
      <w:start w:val="1"/>
      <w:numFmt w:val="bullet"/>
      <w:lvlText w:val="o"/>
      <w:lvlJc w:val="left"/>
      <w:pPr>
        <w:ind w:left="1440" w:hanging="360"/>
      </w:pPr>
      <w:rPr>
        <w:rFonts w:ascii="Courier New" w:hAnsi="Courier New" w:hint="default"/>
      </w:rPr>
    </w:lvl>
    <w:lvl w:ilvl="2" w:tplc="83FC0118">
      <w:start w:val="1"/>
      <w:numFmt w:val="bullet"/>
      <w:lvlText w:val=""/>
      <w:lvlJc w:val="left"/>
      <w:pPr>
        <w:ind w:left="2160" w:hanging="360"/>
      </w:pPr>
      <w:rPr>
        <w:rFonts w:ascii="Wingdings" w:hAnsi="Wingdings" w:hint="default"/>
      </w:rPr>
    </w:lvl>
    <w:lvl w:ilvl="3" w:tplc="3B9AD65E">
      <w:start w:val="1"/>
      <w:numFmt w:val="bullet"/>
      <w:lvlText w:val=""/>
      <w:lvlJc w:val="left"/>
      <w:pPr>
        <w:ind w:left="2880" w:hanging="360"/>
      </w:pPr>
      <w:rPr>
        <w:rFonts w:ascii="Symbol" w:hAnsi="Symbol" w:hint="default"/>
      </w:rPr>
    </w:lvl>
    <w:lvl w:ilvl="4" w:tplc="52920726">
      <w:start w:val="1"/>
      <w:numFmt w:val="bullet"/>
      <w:lvlText w:val="o"/>
      <w:lvlJc w:val="left"/>
      <w:pPr>
        <w:ind w:left="3600" w:hanging="360"/>
      </w:pPr>
      <w:rPr>
        <w:rFonts w:ascii="Courier New" w:hAnsi="Courier New" w:hint="default"/>
      </w:rPr>
    </w:lvl>
    <w:lvl w:ilvl="5" w:tplc="AEE65A42">
      <w:start w:val="1"/>
      <w:numFmt w:val="bullet"/>
      <w:lvlText w:val=""/>
      <w:lvlJc w:val="left"/>
      <w:pPr>
        <w:ind w:left="4320" w:hanging="360"/>
      </w:pPr>
      <w:rPr>
        <w:rFonts w:ascii="Wingdings" w:hAnsi="Wingdings" w:hint="default"/>
      </w:rPr>
    </w:lvl>
    <w:lvl w:ilvl="6" w:tplc="11427E70">
      <w:start w:val="1"/>
      <w:numFmt w:val="bullet"/>
      <w:lvlText w:val=""/>
      <w:lvlJc w:val="left"/>
      <w:pPr>
        <w:ind w:left="5040" w:hanging="360"/>
      </w:pPr>
      <w:rPr>
        <w:rFonts w:ascii="Symbol" w:hAnsi="Symbol" w:hint="default"/>
      </w:rPr>
    </w:lvl>
    <w:lvl w:ilvl="7" w:tplc="28D26CD6">
      <w:start w:val="1"/>
      <w:numFmt w:val="bullet"/>
      <w:lvlText w:val="o"/>
      <w:lvlJc w:val="left"/>
      <w:pPr>
        <w:ind w:left="5760" w:hanging="360"/>
      </w:pPr>
      <w:rPr>
        <w:rFonts w:ascii="Courier New" w:hAnsi="Courier New" w:hint="default"/>
      </w:rPr>
    </w:lvl>
    <w:lvl w:ilvl="8" w:tplc="D9AEA24C">
      <w:start w:val="1"/>
      <w:numFmt w:val="bullet"/>
      <w:lvlText w:val=""/>
      <w:lvlJc w:val="left"/>
      <w:pPr>
        <w:ind w:left="6480" w:hanging="360"/>
      </w:pPr>
      <w:rPr>
        <w:rFonts w:ascii="Wingdings" w:hAnsi="Wingdings" w:hint="default"/>
      </w:rPr>
    </w:lvl>
  </w:abstractNum>
  <w:abstractNum w:abstractNumId="33" w15:restartNumberingAfterBreak="0">
    <w:nsid w:val="434F6469"/>
    <w:multiLevelType w:val="hybridMultilevel"/>
    <w:tmpl w:val="A2A2D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BC5E3C"/>
    <w:multiLevelType w:val="hybridMultilevel"/>
    <w:tmpl w:val="5C0822D2"/>
    <w:lvl w:ilvl="0" w:tplc="B2505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B378CF4"/>
    <w:multiLevelType w:val="hybridMultilevel"/>
    <w:tmpl w:val="34A299D4"/>
    <w:lvl w:ilvl="0" w:tplc="C178C248">
      <w:start w:val="1"/>
      <w:numFmt w:val="bullet"/>
      <w:lvlText w:val="·"/>
      <w:lvlJc w:val="left"/>
      <w:pPr>
        <w:ind w:left="720" w:hanging="360"/>
      </w:pPr>
      <w:rPr>
        <w:rFonts w:ascii="Symbol" w:hAnsi="Symbol" w:hint="default"/>
      </w:rPr>
    </w:lvl>
    <w:lvl w:ilvl="1" w:tplc="B5BA30C2">
      <w:start w:val="1"/>
      <w:numFmt w:val="bullet"/>
      <w:lvlText w:val="o"/>
      <w:lvlJc w:val="left"/>
      <w:pPr>
        <w:ind w:left="1440" w:hanging="360"/>
      </w:pPr>
      <w:rPr>
        <w:rFonts w:ascii="Courier New" w:hAnsi="Courier New" w:hint="default"/>
      </w:rPr>
    </w:lvl>
    <w:lvl w:ilvl="2" w:tplc="004EFD3E">
      <w:start w:val="1"/>
      <w:numFmt w:val="bullet"/>
      <w:lvlText w:val=""/>
      <w:lvlJc w:val="left"/>
      <w:pPr>
        <w:ind w:left="2160" w:hanging="360"/>
      </w:pPr>
      <w:rPr>
        <w:rFonts w:ascii="Wingdings" w:hAnsi="Wingdings" w:hint="default"/>
      </w:rPr>
    </w:lvl>
    <w:lvl w:ilvl="3" w:tplc="BEEA9AE2">
      <w:start w:val="1"/>
      <w:numFmt w:val="bullet"/>
      <w:lvlText w:val=""/>
      <w:lvlJc w:val="left"/>
      <w:pPr>
        <w:ind w:left="2880" w:hanging="360"/>
      </w:pPr>
      <w:rPr>
        <w:rFonts w:ascii="Symbol" w:hAnsi="Symbol" w:hint="default"/>
      </w:rPr>
    </w:lvl>
    <w:lvl w:ilvl="4" w:tplc="6E0A0B24">
      <w:start w:val="1"/>
      <w:numFmt w:val="bullet"/>
      <w:lvlText w:val="o"/>
      <w:lvlJc w:val="left"/>
      <w:pPr>
        <w:ind w:left="3600" w:hanging="360"/>
      </w:pPr>
      <w:rPr>
        <w:rFonts w:ascii="Courier New" w:hAnsi="Courier New" w:hint="default"/>
      </w:rPr>
    </w:lvl>
    <w:lvl w:ilvl="5" w:tplc="A4C0047A">
      <w:start w:val="1"/>
      <w:numFmt w:val="bullet"/>
      <w:lvlText w:val=""/>
      <w:lvlJc w:val="left"/>
      <w:pPr>
        <w:ind w:left="4320" w:hanging="360"/>
      </w:pPr>
      <w:rPr>
        <w:rFonts w:ascii="Wingdings" w:hAnsi="Wingdings" w:hint="default"/>
      </w:rPr>
    </w:lvl>
    <w:lvl w:ilvl="6" w:tplc="0CB6E0E8">
      <w:start w:val="1"/>
      <w:numFmt w:val="bullet"/>
      <w:lvlText w:val=""/>
      <w:lvlJc w:val="left"/>
      <w:pPr>
        <w:ind w:left="5040" w:hanging="360"/>
      </w:pPr>
      <w:rPr>
        <w:rFonts w:ascii="Symbol" w:hAnsi="Symbol" w:hint="default"/>
      </w:rPr>
    </w:lvl>
    <w:lvl w:ilvl="7" w:tplc="E5DA9930">
      <w:start w:val="1"/>
      <w:numFmt w:val="bullet"/>
      <w:lvlText w:val="o"/>
      <w:lvlJc w:val="left"/>
      <w:pPr>
        <w:ind w:left="5760" w:hanging="360"/>
      </w:pPr>
      <w:rPr>
        <w:rFonts w:ascii="Courier New" w:hAnsi="Courier New" w:hint="default"/>
      </w:rPr>
    </w:lvl>
    <w:lvl w:ilvl="8" w:tplc="6FAC8834">
      <w:start w:val="1"/>
      <w:numFmt w:val="bullet"/>
      <w:lvlText w:val=""/>
      <w:lvlJc w:val="left"/>
      <w:pPr>
        <w:ind w:left="6480" w:hanging="360"/>
      </w:pPr>
      <w:rPr>
        <w:rFonts w:ascii="Wingdings" w:hAnsi="Wingdings" w:hint="default"/>
      </w:rPr>
    </w:lvl>
  </w:abstractNum>
  <w:abstractNum w:abstractNumId="36" w15:restartNumberingAfterBreak="0">
    <w:nsid w:val="4BD8CE01"/>
    <w:multiLevelType w:val="hybridMultilevel"/>
    <w:tmpl w:val="8CAAEB4C"/>
    <w:lvl w:ilvl="0" w:tplc="7396AE6E">
      <w:start w:val="1"/>
      <w:numFmt w:val="decimal"/>
      <w:lvlText w:val="%1."/>
      <w:lvlJc w:val="left"/>
      <w:pPr>
        <w:ind w:left="720" w:hanging="360"/>
      </w:pPr>
    </w:lvl>
    <w:lvl w:ilvl="1" w:tplc="68923C08">
      <w:start w:val="1"/>
      <w:numFmt w:val="lowerLetter"/>
      <w:lvlText w:val="%2."/>
      <w:lvlJc w:val="left"/>
      <w:pPr>
        <w:ind w:left="1440" w:hanging="360"/>
      </w:pPr>
    </w:lvl>
    <w:lvl w:ilvl="2" w:tplc="5B7626DE">
      <w:start w:val="1"/>
      <w:numFmt w:val="lowerRoman"/>
      <w:lvlText w:val="%3."/>
      <w:lvlJc w:val="right"/>
      <w:pPr>
        <w:ind w:left="2160" w:hanging="180"/>
      </w:pPr>
    </w:lvl>
    <w:lvl w:ilvl="3" w:tplc="81D09C3A">
      <w:start w:val="1"/>
      <w:numFmt w:val="decimal"/>
      <w:lvlText w:val="%4."/>
      <w:lvlJc w:val="left"/>
      <w:pPr>
        <w:ind w:left="2880" w:hanging="360"/>
      </w:pPr>
    </w:lvl>
    <w:lvl w:ilvl="4" w:tplc="F03E23A4">
      <w:start w:val="1"/>
      <w:numFmt w:val="lowerLetter"/>
      <w:lvlText w:val="%5."/>
      <w:lvlJc w:val="left"/>
      <w:pPr>
        <w:ind w:left="3600" w:hanging="360"/>
      </w:pPr>
    </w:lvl>
    <w:lvl w:ilvl="5" w:tplc="9CEEE2D4">
      <w:start w:val="1"/>
      <w:numFmt w:val="lowerRoman"/>
      <w:lvlText w:val="%6."/>
      <w:lvlJc w:val="right"/>
      <w:pPr>
        <w:ind w:left="4320" w:hanging="180"/>
      </w:pPr>
    </w:lvl>
    <w:lvl w:ilvl="6" w:tplc="72F2523E">
      <w:start w:val="1"/>
      <w:numFmt w:val="decimal"/>
      <w:lvlText w:val="%7."/>
      <w:lvlJc w:val="left"/>
      <w:pPr>
        <w:ind w:left="5040" w:hanging="360"/>
      </w:pPr>
    </w:lvl>
    <w:lvl w:ilvl="7" w:tplc="6B9819F2">
      <w:start w:val="1"/>
      <w:numFmt w:val="lowerLetter"/>
      <w:lvlText w:val="%8."/>
      <w:lvlJc w:val="left"/>
      <w:pPr>
        <w:ind w:left="5760" w:hanging="360"/>
      </w:pPr>
    </w:lvl>
    <w:lvl w:ilvl="8" w:tplc="9A9E44CC">
      <w:start w:val="1"/>
      <w:numFmt w:val="lowerRoman"/>
      <w:lvlText w:val="%9."/>
      <w:lvlJc w:val="right"/>
      <w:pPr>
        <w:ind w:left="6480" w:hanging="180"/>
      </w:pPr>
    </w:lvl>
  </w:abstractNum>
  <w:abstractNum w:abstractNumId="37" w15:restartNumberingAfterBreak="0">
    <w:nsid w:val="5208EF78"/>
    <w:multiLevelType w:val="hybridMultilevel"/>
    <w:tmpl w:val="F628E180"/>
    <w:lvl w:ilvl="0" w:tplc="98043990">
      <w:start w:val="1"/>
      <w:numFmt w:val="bullet"/>
      <w:lvlText w:val="·"/>
      <w:lvlJc w:val="left"/>
      <w:pPr>
        <w:ind w:left="720" w:hanging="360"/>
      </w:pPr>
      <w:rPr>
        <w:rFonts w:ascii="Symbol" w:hAnsi="Symbol" w:hint="default"/>
      </w:rPr>
    </w:lvl>
    <w:lvl w:ilvl="1" w:tplc="D20A7EEE">
      <w:start w:val="1"/>
      <w:numFmt w:val="bullet"/>
      <w:lvlText w:val="o"/>
      <w:lvlJc w:val="left"/>
      <w:pPr>
        <w:ind w:left="1440" w:hanging="360"/>
      </w:pPr>
      <w:rPr>
        <w:rFonts w:ascii="Courier New" w:hAnsi="Courier New" w:hint="default"/>
      </w:rPr>
    </w:lvl>
    <w:lvl w:ilvl="2" w:tplc="06762820">
      <w:start w:val="1"/>
      <w:numFmt w:val="bullet"/>
      <w:lvlText w:val=""/>
      <w:lvlJc w:val="left"/>
      <w:pPr>
        <w:ind w:left="2160" w:hanging="360"/>
      </w:pPr>
      <w:rPr>
        <w:rFonts w:ascii="Wingdings" w:hAnsi="Wingdings" w:hint="default"/>
      </w:rPr>
    </w:lvl>
    <w:lvl w:ilvl="3" w:tplc="D040D2CC">
      <w:start w:val="1"/>
      <w:numFmt w:val="bullet"/>
      <w:lvlText w:val=""/>
      <w:lvlJc w:val="left"/>
      <w:pPr>
        <w:ind w:left="2880" w:hanging="360"/>
      </w:pPr>
      <w:rPr>
        <w:rFonts w:ascii="Symbol" w:hAnsi="Symbol" w:hint="default"/>
      </w:rPr>
    </w:lvl>
    <w:lvl w:ilvl="4" w:tplc="8EF24CF2">
      <w:start w:val="1"/>
      <w:numFmt w:val="bullet"/>
      <w:lvlText w:val="o"/>
      <w:lvlJc w:val="left"/>
      <w:pPr>
        <w:ind w:left="3600" w:hanging="360"/>
      </w:pPr>
      <w:rPr>
        <w:rFonts w:ascii="Courier New" w:hAnsi="Courier New" w:hint="default"/>
      </w:rPr>
    </w:lvl>
    <w:lvl w:ilvl="5" w:tplc="62CED336">
      <w:start w:val="1"/>
      <w:numFmt w:val="bullet"/>
      <w:lvlText w:val=""/>
      <w:lvlJc w:val="left"/>
      <w:pPr>
        <w:ind w:left="4320" w:hanging="360"/>
      </w:pPr>
      <w:rPr>
        <w:rFonts w:ascii="Wingdings" w:hAnsi="Wingdings" w:hint="default"/>
      </w:rPr>
    </w:lvl>
    <w:lvl w:ilvl="6" w:tplc="7A1C15A2">
      <w:start w:val="1"/>
      <w:numFmt w:val="bullet"/>
      <w:lvlText w:val=""/>
      <w:lvlJc w:val="left"/>
      <w:pPr>
        <w:ind w:left="5040" w:hanging="360"/>
      </w:pPr>
      <w:rPr>
        <w:rFonts w:ascii="Symbol" w:hAnsi="Symbol" w:hint="default"/>
      </w:rPr>
    </w:lvl>
    <w:lvl w:ilvl="7" w:tplc="3DAED10A">
      <w:start w:val="1"/>
      <w:numFmt w:val="bullet"/>
      <w:lvlText w:val="o"/>
      <w:lvlJc w:val="left"/>
      <w:pPr>
        <w:ind w:left="5760" w:hanging="360"/>
      </w:pPr>
      <w:rPr>
        <w:rFonts w:ascii="Courier New" w:hAnsi="Courier New" w:hint="default"/>
      </w:rPr>
    </w:lvl>
    <w:lvl w:ilvl="8" w:tplc="131EB072">
      <w:start w:val="1"/>
      <w:numFmt w:val="bullet"/>
      <w:lvlText w:val=""/>
      <w:lvlJc w:val="left"/>
      <w:pPr>
        <w:ind w:left="6480" w:hanging="360"/>
      </w:pPr>
      <w:rPr>
        <w:rFonts w:ascii="Wingdings" w:hAnsi="Wingdings" w:hint="default"/>
      </w:rPr>
    </w:lvl>
  </w:abstractNum>
  <w:abstractNum w:abstractNumId="38" w15:restartNumberingAfterBreak="0">
    <w:nsid w:val="5480E1A8"/>
    <w:multiLevelType w:val="hybridMultilevel"/>
    <w:tmpl w:val="08D42A20"/>
    <w:lvl w:ilvl="0" w:tplc="8746F9BE">
      <w:start w:val="1"/>
      <w:numFmt w:val="bullet"/>
      <w:lvlText w:val="·"/>
      <w:lvlJc w:val="left"/>
      <w:pPr>
        <w:ind w:left="720" w:hanging="360"/>
      </w:pPr>
      <w:rPr>
        <w:rFonts w:ascii="Symbol" w:hAnsi="Symbol" w:hint="default"/>
      </w:rPr>
    </w:lvl>
    <w:lvl w:ilvl="1" w:tplc="8034DECE">
      <w:start w:val="1"/>
      <w:numFmt w:val="bullet"/>
      <w:lvlText w:val="o"/>
      <w:lvlJc w:val="left"/>
      <w:pPr>
        <w:ind w:left="1440" w:hanging="360"/>
      </w:pPr>
      <w:rPr>
        <w:rFonts w:ascii="Courier New" w:hAnsi="Courier New" w:hint="default"/>
      </w:rPr>
    </w:lvl>
    <w:lvl w:ilvl="2" w:tplc="31A27EF6">
      <w:start w:val="1"/>
      <w:numFmt w:val="bullet"/>
      <w:lvlText w:val=""/>
      <w:lvlJc w:val="left"/>
      <w:pPr>
        <w:ind w:left="2160" w:hanging="360"/>
      </w:pPr>
      <w:rPr>
        <w:rFonts w:ascii="Wingdings" w:hAnsi="Wingdings" w:hint="default"/>
      </w:rPr>
    </w:lvl>
    <w:lvl w:ilvl="3" w:tplc="FFC02E92">
      <w:start w:val="1"/>
      <w:numFmt w:val="bullet"/>
      <w:lvlText w:val=""/>
      <w:lvlJc w:val="left"/>
      <w:pPr>
        <w:ind w:left="2880" w:hanging="360"/>
      </w:pPr>
      <w:rPr>
        <w:rFonts w:ascii="Symbol" w:hAnsi="Symbol" w:hint="default"/>
      </w:rPr>
    </w:lvl>
    <w:lvl w:ilvl="4" w:tplc="FD4AC572">
      <w:start w:val="1"/>
      <w:numFmt w:val="bullet"/>
      <w:lvlText w:val="o"/>
      <w:lvlJc w:val="left"/>
      <w:pPr>
        <w:ind w:left="3600" w:hanging="360"/>
      </w:pPr>
      <w:rPr>
        <w:rFonts w:ascii="Courier New" w:hAnsi="Courier New" w:hint="default"/>
      </w:rPr>
    </w:lvl>
    <w:lvl w:ilvl="5" w:tplc="4246E6D0">
      <w:start w:val="1"/>
      <w:numFmt w:val="bullet"/>
      <w:lvlText w:val=""/>
      <w:lvlJc w:val="left"/>
      <w:pPr>
        <w:ind w:left="4320" w:hanging="360"/>
      </w:pPr>
      <w:rPr>
        <w:rFonts w:ascii="Wingdings" w:hAnsi="Wingdings" w:hint="default"/>
      </w:rPr>
    </w:lvl>
    <w:lvl w:ilvl="6" w:tplc="4E6C1060">
      <w:start w:val="1"/>
      <w:numFmt w:val="bullet"/>
      <w:lvlText w:val=""/>
      <w:lvlJc w:val="left"/>
      <w:pPr>
        <w:ind w:left="5040" w:hanging="360"/>
      </w:pPr>
      <w:rPr>
        <w:rFonts w:ascii="Symbol" w:hAnsi="Symbol" w:hint="default"/>
      </w:rPr>
    </w:lvl>
    <w:lvl w:ilvl="7" w:tplc="AA68D55E">
      <w:start w:val="1"/>
      <w:numFmt w:val="bullet"/>
      <w:lvlText w:val="o"/>
      <w:lvlJc w:val="left"/>
      <w:pPr>
        <w:ind w:left="5760" w:hanging="360"/>
      </w:pPr>
      <w:rPr>
        <w:rFonts w:ascii="Courier New" w:hAnsi="Courier New" w:hint="default"/>
      </w:rPr>
    </w:lvl>
    <w:lvl w:ilvl="8" w:tplc="2D489C6C">
      <w:start w:val="1"/>
      <w:numFmt w:val="bullet"/>
      <w:lvlText w:val=""/>
      <w:lvlJc w:val="left"/>
      <w:pPr>
        <w:ind w:left="6480" w:hanging="360"/>
      </w:pPr>
      <w:rPr>
        <w:rFonts w:ascii="Wingdings" w:hAnsi="Wingdings" w:hint="default"/>
      </w:rPr>
    </w:lvl>
  </w:abstractNum>
  <w:abstractNum w:abstractNumId="39" w15:restartNumberingAfterBreak="0">
    <w:nsid w:val="54B10A14"/>
    <w:multiLevelType w:val="hybridMultilevel"/>
    <w:tmpl w:val="1B6A0552"/>
    <w:lvl w:ilvl="0" w:tplc="9826839A">
      <w:start w:val="1"/>
      <w:numFmt w:val="decimal"/>
      <w:lvlText w:val="%1."/>
      <w:lvlJc w:val="left"/>
      <w:pPr>
        <w:ind w:left="720" w:hanging="360"/>
      </w:pPr>
    </w:lvl>
    <w:lvl w:ilvl="1" w:tplc="4FA8529A">
      <w:start w:val="1"/>
      <w:numFmt w:val="lowerLetter"/>
      <w:lvlText w:val="%2."/>
      <w:lvlJc w:val="left"/>
      <w:pPr>
        <w:ind w:left="1440" w:hanging="360"/>
      </w:pPr>
    </w:lvl>
    <w:lvl w:ilvl="2" w:tplc="5616FD58">
      <w:start w:val="1"/>
      <w:numFmt w:val="lowerRoman"/>
      <w:lvlText w:val="%3."/>
      <w:lvlJc w:val="right"/>
      <w:pPr>
        <w:ind w:left="2160" w:hanging="180"/>
      </w:pPr>
    </w:lvl>
    <w:lvl w:ilvl="3" w:tplc="BA34E196">
      <w:start w:val="1"/>
      <w:numFmt w:val="decimal"/>
      <w:lvlText w:val="%4."/>
      <w:lvlJc w:val="left"/>
      <w:pPr>
        <w:ind w:left="2880" w:hanging="360"/>
      </w:pPr>
    </w:lvl>
    <w:lvl w:ilvl="4" w:tplc="BBF09612">
      <w:start w:val="1"/>
      <w:numFmt w:val="lowerLetter"/>
      <w:lvlText w:val="%5."/>
      <w:lvlJc w:val="left"/>
      <w:pPr>
        <w:ind w:left="3600" w:hanging="360"/>
      </w:pPr>
    </w:lvl>
    <w:lvl w:ilvl="5" w:tplc="D7323060">
      <w:start w:val="1"/>
      <w:numFmt w:val="lowerRoman"/>
      <w:lvlText w:val="%6."/>
      <w:lvlJc w:val="right"/>
      <w:pPr>
        <w:ind w:left="4320" w:hanging="180"/>
      </w:pPr>
    </w:lvl>
    <w:lvl w:ilvl="6" w:tplc="39FAB94C">
      <w:start w:val="1"/>
      <w:numFmt w:val="decimal"/>
      <w:lvlText w:val="%7."/>
      <w:lvlJc w:val="left"/>
      <w:pPr>
        <w:ind w:left="5040" w:hanging="360"/>
      </w:pPr>
    </w:lvl>
    <w:lvl w:ilvl="7" w:tplc="3E4E8EA4">
      <w:start w:val="1"/>
      <w:numFmt w:val="lowerLetter"/>
      <w:lvlText w:val="%8."/>
      <w:lvlJc w:val="left"/>
      <w:pPr>
        <w:ind w:left="5760" w:hanging="360"/>
      </w:pPr>
    </w:lvl>
    <w:lvl w:ilvl="8" w:tplc="9764866A">
      <w:start w:val="1"/>
      <w:numFmt w:val="lowerRoman"/>
      <w:lvlText w:val="%9."/>
      <w:lvlJc w:val="right"/>
      <w:pPr>
        <w:ind w:left="6480" w:hanging="180"/>
      </w:pPr>
    </w:lvl>
  </w:abstractNum>
  <w:abstractNum w:abstractNumId="4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5C1C2A18"/>
    <w:multiLevelType w:val="hybridMultilevel"/>
    <w:tmpl w:val="1854BBBA"/>
    <w:lvl w:ilvl="0" w:tplc="50D68FBA">
      <w:start w:val="1"/>
      <w:numFmt w:val="bullet"/>
      <w:lvlText w:val="·"/>
      <w:lvlJc w:val="left"/>
      <w:pPr>
        <w:ind w:left="720" w:hanging="360"/>
      </w:pPr>
      <w:rPr>
        <w:rFonts w:ascii="Symbol" w:hAnsi="Symbol" w:hint="default"/>
      </w:rPr>
    </w:lvl>
    <w:lvl w:ilvl="1" w:tplc="68BECFE4">
      <w:start w:val="1"/>
      <w:numFmt w:val="bullet"/>
      <w:lvlText w:val="o"/>
      <w:lvlJc w:val="left"/>
      <w:pPr>
        <w:ind w:left="1440" w:hanging="360"/>
      </w:pPr>
      <w:rPr>
        <w:rFonts w:ascii="Courier New" w:hAnsi="Courier New" w:hint="default"/>
      </w:rPr>
    </w:lvl>
    <w:lvl w:ilvl="2" w:tplc="015EEDB0">
      <w:start w:val="1"/>
      <w:numFmt w:val="bullet"/>
      <w:lvlText w:val=""/>
      <w:lvlJc w:val="left"/>
      <w:pPr>
        <w:ind w:left="2160" w:hanging="360"/>
      </w:pPr>
      <w:rPr>
        <w:rFonts w:ascii="Wingdings" w:hAnsi="Wingdings" w:hint="default"/>
      </w:rPr>
    </w:lvl>
    <w:lvl w:ilvl="3" w:tplc="1EBA2C1C">
      <w:start w:val="1"/>
      <w:numFmt w:val="bullet"/>
      <w:lvlText w:val=""/>
      <w:lvlJc w:val="left"/>
      <w:pPr>
        <w:ind w:left="2880" w:hanging="360"/>
      </w:pPr>
      <w:rPr>
        <w:rFonts w:ascii="Symbol" w:hAnsi="Symbol" w:hint="default"/>
      </w:rPr>
    </w:lvl>
    <w:lvl w:ilvl="4" w:tplc="9364F042">
      <w:start w:val="1"/>
      <w:numFmt w:val="bullet"/>
      <w:lvlText w:val="o"/>
      <w:lvlJc w:val="left"/>
      <w:pPr>
        <w:ind w:left="3600" w:hanging="360"/>
      </w:pPr>
      <w:rPr>
        <w:rFonts w:ascii="Courier New" w:hAnsi="Courier New" w:hint="default"/>
      </w:rPr>
    </w:lvl>
    <w:lvl w:ilvl="5" w:tplc="C1800520">
      <w:start w:val="1"/>
      <w:numFmt w:val="bullet"/>
      <w:lvlText w:val=""/>
      <w:lvlJc w:val="left"/>
      <w:pPr>
        <w:ind w:left="4320" w:hanging="360"/>
      </w:pPr>
      <w:rPr>
        <w:rFonts w:ascii="Wingdings" w:hAnsi="Wingdings" w:hint="default"/>
      </w:rPr>
    </w:lvl>
    <w:lvl w:ilvl="6" w:tplc="E33E4CCA">
      <w:start w:val="1"/>
      <w:numFmt w:val="bullet"/>
      <w:lvlText w:val=""/>
      <w:lvlJc w:val="left"/>
      <w:pPr>
        <w:ind w:left="5040" w:hanging="360"/>
      </w:pPr>
      <w:rPr>
        <w:rFonts w:ascii="Symbol" w:hAnsi="Symbol" w:hint="default"/>
      </w:rPr>
    </w:lvl>
    <w:lvl w:ilvl="7" w:tplc="430EC4B0">
      <w:start w:val="1"/>
      <w:numFmt w:val="bullet"/>
      <w:lvlText w:val="o"/>
      <w:lvlJc w:val="left"/>
      <w:pPr>
        <w:ind w:left="5760" w:hanging="360"/>
      </w:pPr>
      <w:rPr>
        <w:rFonts w:ascii="Courier New" w:hAnsi="Courier New" w:hint="default"/>
      </w:rPr>
    </w:lvl>
    <w:lvl w:ilvl="8" w:tplc="1AA8DFC2">
      <w:start w:val="1"/>
      <w:numFmt w:val="bullet"/>
      <w:lvlText w:val=""/>
      <w:lvlJc w:val="left"/>
      <w:pPr>
        <w:ind w:left="6480" w:hanging="360"/>
      </w:pPr>
      <w:rPr>
        <w:rFonts w:ascii="Wingdings" w:hAnsi="Wingdings" w:hint="default"/>
      </w:rPr>
    </w:lvl>
  </w:abstractNum>
  <w:abstractNum w:abstractNumId="42" w15:restartNumberingAfterBreak="0">
    <w:nsid w:val="5EC28A1D"/>
    <w:multiLevelType w:val="hybridMultilevel"/>
    <w:tmpl w:val="A698AC08"/>
    <w:lvl w:ilvl="0" w:tplc="2F66E606">
      <w:start w:val="1"/>
      <w:numFmt w:val="bullet"/>
      <w:lvlText w:val="·"/>
      <w:lvlJc w:val="left"/>
      <w:pPr>
        <w:ind w:left="720" w:hanging="360"/>
      </w:pPr>
      <w:rPr>
        <w:rFonts w:ascii="Symbol" w:hAnsi="Symbol" w:hint="default"/>
      </w:rPr>
    </w:lvl>
    <w:lvl w:ilvl="1" w:tplc="2AAEE4A8">
      <w:start w:val="1"/>
      <w:numFmt w:val="bullet"/>
      <w:lvlText w:val="o"/>
      <w:lvlJc w:val="left"/>
      <w:pPr>
        <w:ind w:left="1440" w:hanging="360"/>
      </w:pPr>
      <w:rPr>
        <w:rFonts w:ascii="Courier New" w:hAnsi="Courier New" w:hint="default"/>
      </w:rPr>
    </w:lvl>
    <w:lvl w:ilvl="2" w:tplc="A9DCE388">
      <w:start w:val="1"/>
      <w:numFmt w:val="bullet"/>
      <w:lvlText w:val=""/>
      <w:lvlJc w:val="left"/>
      <w:pPr>
        <w:ind w:left="2160" w:hanging="360"/>
      </w:pPr>
      <w:rPr>
        <w:rFonts w:ascii="Wingdings" w:hAnsi="Wingdings" w:hint="default"/>
      </w:rPr>
    </w:lvl>
    <w:lvl w:ilvl="3" w:tplc="8FDA39AC">
      <w:start w:val="1"/>
      <w:numFmt w:val="bullet"/>
      <w:lvlText w:val=""/>
      <w:lvlJc w:val="left"/>
      <w:pPr>
        <w:ind w:left="2880" w:hanging="360"/>
      </w:pPr>
      <w:rPr>
        <w:rFonts w:ascii="Symbol" w:hAnsi="Symbol" w:hint="default"/>
      </w:rPr>
    </w:lvl>
    <w:lvl w:ilvl="4" w:tplc="CEB20118">
      <w:start w:val="1"/>
      <w:numFmt w:val="bullet"/>
      <w:lvlText w:val="o"/>
      <w:lvlJc w:val="left"/>
      <w:pPr>
        <w:ind w:left="3600" w:hanging="360"/>
      </w:pPr>
      <w:rPr>
        <w:rFonts w:ascii="Courier New" w:hAnsi="Courier New" w:hint="default"/>
      </w:rPr>
    </w:lvl>
    <w:lvl w:ilvl="5" w:tplc="2FD43516">
      <w:start w:val="1"/>
      <w:numFmt w:val="bullet"/>
      <w:lvlText w:val=""/>
      <w:lvlJc w:val="left"/>
      <w:pPr>
        <w:ind w:left="4320" w:hanging="360"/>
      </w:pPr>
      <w:rPr>
        <w:rFonts w:ascii="Wingdings" w:hAnsi="Wingdings" w:hint="default"/>
      </w:rPr>
    </w:lvl>
    <w:lvl w:ilvl="6" w:tplc="1D48A534">
      <w:start w:val="1"/>
      <w:numFmt w:val="bullet"/>
      <w:lvlText w:val=""/>
      <w:lvlJc w:val="left"/>
      <w:pPr>
        <w:ind w:left="5040" w:hanging="360"/>
      </w:pPr>
      <w:rPr>
        <w:rFonts w:ascii="Symbol" w:hAnsi="Symbol" w:hint="default"/>
      </w:rPr>
    </w:lvl>
    <w:lvl w:ilvl="7" w:tplc="41247272">
      <w:start w:val="1"/>
      <w:numFmt w:val="bullet"/>
      <w:lvlText w:val="o"/>
      <w:lvlJc w:val="left"/>
      <w:pPr>
        <w:ind w:left="5760" w:hanging="360"/>
      </w:pPr>
      <w:rPr>
        <w:rFonts w:ascii="Courier New" w:hAnsi="Courier New" w:hint="default"/>
      </w:rPr>
    </w:lvl>
    <w:lvl w:ilvl="8" w:tplc="234A1AA4">
      <w:start w:val="1"/>
      <w:numFmt w:val="bullet"/>
      <w:lvlText w:val=""/>
      <w:lvlJc w:val="left"/>
      <w:pPr>
        <w:ind w:left="6480" w:hanging="360"/>
      </w:pPr>
      <w:rPr>
        <w:rFonts w:ascii="Wingdings" w:hAnsi="Wingdings" w:hint="default"/>
      </w:rPr>
    </w:lvl>
  </w:abstractNum>
  <w:abstractNum w:abstractNumId="43"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A2612D8"/>
    <w:multiLevelType w:val="hybridMultilevel"/>
    <w:tmpl w:val="4EEE66E8"/>
    <w:lvl w:ilvl="0" w:tplc="3D1A6870">
      <w:start w:val="1"/>
      <w:numFmt w:val="bullet"/>
      <w:lvlText w:val="·"/>
      <w:lvlJc w:val="left"/>
      <w:pPr>
        <w:ind w:left="720" w:hanging="360"/>
      </w:pPr>
      <w:rPr>
        <w:rFonts w:ascii="Symbol" w:hAnsi="Symbol" w:hint="default"/>
      </w:rPr>
    </w:lvl>
    <w:lvl w:ilvl="1" w:tplc="0CEAA7EE">
      <w:start w:val="1"/>
      <w:numFmt w:val="bullet"/>
      <w:lvlText w:val="o"/>
      <w:lvlJc w:val="left"/>
      <w:pPr>
        <w:ind w:left="1440" w:hanging="360"/>
      </w:pPr>
      <w:rPr>
        <w:rFonts w:ascii="Courier New" w:hAnsi="Courier New" w:hint="default"/>
      </w:rPr>
    </w:lvl>
    <w:lvl w:ilvl="2" w:tplc="CC6A91CE">
      <w:start w:val="1"/>
      <w:numFmt w:val="bullet"/>
      <w:lvlText w:val=""/>
      <w:lvlJc w:val="left"/>
      <w:pPr>
        <w:ind w:left="2160" w:hanging="360"/>
      </w:pPr>
      <w:rPr>
        <w:rFonts w:ascii="Wingdings" w:hAnsi="Wingdings" w:hint="default"/>
      </w:rPr>
    </w:lvl>
    <w:lvl w:ilvl="3" w:tplc="F41EE5D4">
      <w:start w:val="1"/>
      <w:numFmt w:val="bullet"/>
      <w:lvlText w:val=""/>
      <w:lvlJc w:val="left"/>
      <w:pPr>
        <w:ind w:left="2880" w:hanging="360"/>
      </w:pPr>
      <w:rPr>
        <w:rFonts w:ascii="Symbol" w:hAnsi="Symbol" w:hint="default"/>
      </w:rPr>
    </w:lvl>
    <w:lvl w:ilvl="4" w:tplc="B282BEEE">
      <w:start w:val="1"/>
      <w:numFmt w:val="bullet"/>
      <w:lvlText w:val="o"/>
      <w:lvlJc w:val="left"/>
      <w:pPr>
        <w:ind w:left="3600" w:hanging="360"/>
      </w:pPr>
      <w:rPr>
        <w:rFonts w:ascii="Courier New" w:hAnsi="Courier New" w:hint="default"/>
      </w:rPr>
    </w:lvl>
    <w:lvl w:ilvl="5" w:tplc="24043182">
      <w:start w:val="1"/>
      <w:numFmt w:val="bullet"/>
      <w:lvlText w:val=""/>
      <w:lvlJc w:val="left"/>
      <w:pPr>
        <w:ind w:left="4320" w:hanging="360"/>
      </w:pPr>
      <w:rPr>
        <w:rFonts w:ascii="Wingdings" w:hAnsi="Wingdings" w:hint="default"/>
      </w:rPr>
    </w:lvl>
    <w:lvl w:ilvl="6" w:tplc="95BA9EA2">
      <w:start w:val="1"/>
      <w:numFmt w:val="bullet"/>
      <w:lvlText w:val=""/>
      <w:lvlJc w:val="left"/>
      <w:pPr>
        <w:ind w:left="5040" w:hanging="360"/>
      </w:pPr>
      <w:rPr>
        <w:rFonts w:ascii="Symbol" w:hAnsi="Symbol" w:hint="default"/>
      </w:rPr>
    </w:lvl>
    <w:lvl w:ilvl="7" w:tplc="1FCE787C">
      <w:start w:val="1"/>
      <w:numFmt w:val="bullet"/>
      <w:lvlText w:val="o"/>
      <w:lvlJc w:val="left"/>
      <w:pPr>
        <w:ind w:left="5760" w:hanging="360"/>
      </w:pPr>
      <w:rPr>
        <w:rFonts w:ascii="Courier New" w:hAnsi="Courier New" w:hint="default"/>
      </w:rPr>
    </w:lvl>
    <w:lvl w:ilvl="8" w:tplc="9B02009C">
      <w:start w:val="1"/>
      <w:numFmt w:val="bullet"/>
      <w:lvlText w:val=""/>
      <w:lvlJc w:val="left"/>
      <w:pPr>
        <w:ind w:left="6480" w:hanging="360"/>
      </w:pPr>
      <w:rPr>
        <w:rFonts w:ascii="Wingdings" w:hAnsi="Wingdings" w:hint="default"/>
      </w:rPr>
    </w:lvl>
  </w:abstractNum>
  <w:abstractNum w:abstractNumId="46" w15:restartNumberingAfterBreak="0">
    <w:nsid w:val="741BCB55"/>
    <w:multiLevelType w:val="hybridMultilevel"/>
    <w:tmpl w:val="D4AC6560"/>
    <w:lvl w:ilvl="0" w:tplc="A5229F16">
      <w:start w:val="1"/>
      <w:numFmt w:val="bullet"/>
      <w:lvlText w:val="·"/>
      <w:lvlJc w:val="left"/>
      <w:pPr>
        <w:ind w:left="720" w:hanging="360"/>
      </w:pPr>
      <w:rPr>
        <w:rFonts w:ascii="Symbol" w:hAnsi="Symbol" w:hint="default"/>
      </w:rPr>
    </w:lvl>
    <w:lvl w:ilvl="1" w:tplc="8BEAF4FA">
      <w:start w:val="1"/>
      <w:numFmt w:val="bullet"/>
      <w:lvlText w:val="o"/>
      <w:lvlJc w:val="left"/>
      <w:pPr>
        <w:ind w:left="1440" w:hanging="360"/>
      </w:pPr>
      <w:rPr>
        <w:rFonts w:ascii="Courier New" w:hAnsi="Courier New" w:hint="default"/>
      </w:rPr>
    </w:lvl>
    <w:lvl w:ilvl="2" w:tplc="C6C033FC">
      <w:start w:val="1"/>
      <w:numFmt w:val="bullet"/>
      <w:lvlText w:val=""/>
      <w:lvlJc w:val="left"/>
      <w:pPr>
        <w:ind w:left="2160" w:hanging="360"/>
      </w:pPr>
      <w:rPr>
        <w:rFonts w:ascii="Wingdings" w:hAnsi="Wingdings" w:hint="default"/>
      </w:rPr>
    </w:lvl>
    <w:lvl w:ilvl="3" w:tplc="9C2CC8A6">
      <w:start w:val="1"/>
      <w:numFmt w:val="bullet"/>
      <w:lvlText w:val=""/>
      <w:lvlJc w:val="left"/>
      <w:pPr>
        <w:ind w:left="2880" w:hanging="360"/>
      </w:pPr>
      <w:rPr>
        <w:rFonts w:ascii="Symbol" w:hAnsi="Symbol" w:hint="default"/>
      </w:rPr>
    </w:lvl>
    <w:lvl w:ilvl="4" w:tplc="FAEE1D62">
      <w:start w:val="1"/>
      <w:numFmt w:val="bullet"/>
      <w:lvlText w:val="o"/>
      <w:lvlJc w:val="left"/>
      <w:pPr>
        <w:ind w:left="3600" w:hanging="360"/>
      </w:pPr>
      <w:rPr>
        <w:rFonts w:ascii="Courier New" w:hAnsi="Courier New" w:hint="default"/>
      </w:rPr>
    </w:lvl>
    <w:lvl w:ilvl="5" w:tplc="85A6B8F2">
      <w:start w:val="1"/>
      <w:numFmt w:val="bullet"/>
      <w:lvlText w:val=""/>
      <w:lvlJc w:val="left"/>
      <w:pPr>
        <w:ind w:left="4320" w:hanging="360"/>
      </w:pPr>
      <w:rPr>
        <w:rFonts w:ascii="Wingdings" w:hAnsi="Wingdings" w:hint="default"/>
      </w:rPr>
    </w:lvl>
    <w:lvl w:ilvl="6" w:tplc="C768810C">
      <w:start w:val="1"/>
      <w:numFmt w:val="bullet"/>
      <w:lvlText w:val=""/>
      <w:lvlJc w:val="left"/>
      <w:pPr>
        <w:ind w:left="5040" w:hanging="360"/>
      </w:pPr>
      <w:rPr>
        <w:rFonts w:ascii="Symbol" w:hAnsi="Symbol" w:hint="default"/>
      </w:rPr>
    </w:lvl>
    <w:lvl w:ilvl="7" w:tplc="39247068">
      <w:start w:val="1"/>
      <w:numFmt w:val="bullet"/>
      <w:lvlText w:val="o"/>
      <w:lvlJc w:val="left"/>
      <w:pPr>
        <w:ind w:left="5760" w:hanging="360"/>
      </w:pPr>
      <w:rPr>
        <w:rFonts w:ascii="Courier New" w:hAnsi="Courier New" w:hint="default"/>
      </w:rPr>
    </w:lvl>
    <w:lvl w:ilvl="8" w:tplc="B0A2ABE4">
      <w:start w:val="1"/>
      <w:numFmt w:val="bullet"/>
      <w:lvlText w:val=""/>
      <w:lvlJc w:val="left"/>
      <w:pPr>
        <w:ind w:left="6480" w:hanging="360"/>
      </w:pPr>
      <w:rPr>
        <w:rFonts w:ascii="Wingdings" w:hAnsi="Wingdings" w:hint="default"/>
      </w:rPr>
    </w:lvl>
  </w:abstractNum>
  <w:abstractNum w:abstractNumId="47" w15:restartNumberingAfterBreak="0">
    <w:nsid w:val="79AB517C"/>
    <w:multiLevelType w:val="hybridMultilevel"/>
    <w:tmpl w:val="7680791E"/>
    <w:lvl w:ilvl="0" w:tplc="1ADA7FB4">
      <w:start w:val="4"/>
      <w:numFmt w:val="upperRoman"/>
      <w:lvlText w:val="%1."/>
      <w:lvlJc w:val="right"/>
      <w:pPr>
        <w:ind w:left="1080" w:hanging="360"/>
      </w:pPr>
    </w:lvl>
    <w:lvl w:ilvl="1" w:tplc="8AFEB7BA">
      <w:start w:val="1"/>
      <w:numFmt w:val="lowerLetter"/>
      <w:lvlText w:val="%2."/>
      <w:lvlJc w:val="left"/>
      <w:pPr>
        <w:ind w:left="1800" w:hanging="360"/>
      </w:pPr>
    </w:lvl>
    <w:lvl w:ilvl="2" w:tplc="F4C00D54">
      <w:start w:val="1"/>
      <w:numFmt w:val="lowerRoman"/>
      <w:lvlText w:val="%3."/>
      <w:lvlJc w:val="right"/>
      <w:pPr>
        <w:ind w:left="2520" w:hanging="180"/>
      </w:pPr>
    </w:lvl>
    <w:lvl w:ilvl="3" w:tplc="C1128478">
      <w:start w:val="1"/>
      <w:numFmt w:val="decimal"/>
      <w:lvlText w:val="%4."/>
      <w:lvlJc w:val="left"/>
      <w:pPr>
        <w:ind w:left="3240" w:hanging="360"/>
      </w:pPr>
    </w:lvl>
    <w:lvl w:ilvl="4" w:tplc="80A22D9A">
      <w:start w:val="1"/>
      <w:numFmt w:val="lowerLetter"/>
      <w:lvlText w:val="%5."/>
      <w:lvlJc w:val="left"/>
      <w:pPr>
        <w:ind w:left="3960" w:hanging="360"/>
      </w:pPr>
    </w:lvl>
    <w:lvl w:ilvl="5" w:tplc="EA9C2716">
      <w:start w:val="1"/>
      <w:numFmt w:val="lowerRoman"/>
      <w:lvlText w:val="%6."/>
      <w:lvlJc w:val="right"/>
      <w:pPr>
        <w:ind w:left="4680" w:hanging="180"/>
      </w:pPr>
    </w:lvl>
    <w:lvl w:ilvl="6" w:tplc="FD34599C">
      <w:start w:val="1"/>
      <w:numFmt w:val="decimal"/>
      <w:lvlText w:val="%7."/>
      <w:lvlJc w:val="left"/>
      <w:pPr>
        <w:ind w:left="5400" w:hanging="360"/>
      </w:pPr>
    </w:lvl>
    <w:lvl w:ilvl="7" w:tplc="4B5A5502">
      <w:start w:val="1"/>
      <w:numFmt w:val="lowerLetter"/>
      <w:lvlText w:val="%8."/>
      <w:lvlJc w:val="left"/>
      <w:pPr>
        <w:ind w:left="6120" w:hanging="360"/>
      </w:pPr>
    </w:lvl>
    <w:lvl w:ilvl="8" w:tplc="8E5A8B48">
      <w:start w:val="1"/>
      <w:numFmt w:val="lowerRoman"/>
      <w:lvlText w:val="%9."/>
      <w:lvlJc w:val="right"/>
      <w:pPr>
        <w:ind w:left="6840" w:hanging="180"/>
      </w:pPr>
    </w:lvl>
  </w:abstractNum>
  <w:abstractNum w:abstractNumId="48" w15:restartNumberingAfterBreak="0">
    <w:nsid w:val="7F5C2FB3"/>
    <w:multiLevelType w:val="hybridMultilevel"/>
    <w:tmpl w:val="D864289C"/>
    <w:lvl w:ilvl="0" w:tplc="80DA937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5969075">
    <w:abstractNumId w:val="22"/>
  </w:num>
  <w:num w:numId="2" w16cid:durableId="2029719975">
    <w:abstractNumId w:val="19"/>
  </w:num>
  <w:num w:numId="3" w16cid:durableId="1539776804">
    <w:abstractNumId w:val="40"/>
  </w:num>
  <w:num w:numId="4" w16cid:durableId="3636796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24"/>
  </w:num>
  <w:num w:numId="6" w16cid:durableId="594171688">
    <w:abstractNumId w:val="7"/>
  </w:num>
  <w:num w:numId="7" w16cid:durableId="1938251912">
    <w:abstractNumId w:val="12"/>
  </w:num>
  <w:num w:numId="8" w16cid:durableId="1784962959">
    <w:abstractNumId w:val="44"/>
  </w:num>
  <w:num w:numId="9" w16cid:durableId="1023946614">
    <w:abstractNumId w:val="8"/>
  </w:num>
  <w:num w:numId="10" w16cid:durableId="191308430">
    <w:abstractNumId w:val="43"/>
  </w:num>
  <w:num w:numId="11" w16cid:durableId="1233614356">
    <w:abstractNumId w:val="48"/>
  </w:num>
  <w:num w:numId="12" w16cid:durableId="1034035382">
    <w:abstractNumId w:val="20"/>
  </w:num>
  <w:num w:numId="13" w16cid:durableId="482746027">
    <w:abstractNumId w:val="6"/>
  </w:num>
  <w:num w:numId="14" w16cid:durableId="983463110">
    <w:abstractNumId w:val="13"/>
  </w:num>
  <w:num w:numId="15" w16cid:durableId="722022408">
    <w:abstractNumId w:val="29"/>
  </w:num>
  <w:num w:numId="16" w16cid:durableId="1409771317">
    <w:abstractNumId w:val="21"/>
  </w:num>
  <w:num w:numId="17" w16cid:durableId="1446314776">
    <w:abstractNumId w:val="34"/>
  </w:num>
  <w:num w:numId="18" w16cid:durableId="448354657">
    <w:abstractNumId w:val="16"/>
  </w:num>
  <w:num w:numId="19" w16cid:durableId="1259292125">
    <w:abstractNumId w:val="23"/>
  </w:num>
  <w:num w:numId="20" w16cid:durableId="1707214936">
    <w:abstractNumId w:val="45"/>
  </w:num>
  <w:num w:numId="21" w16cid:durableId="1013189409">
    <w:abstractNumId w:val="41"/>
  </w:num>
  <w:num w:numId="22" w16cid:durableId="788665625">
    <w:abstractNumId w:val="32"/>
  </w:num>
  <w:num w:numId="23" w16cid:durableId="445121606">
    <w:abstractNumId w:val="15"/>
  </w:num>
  <w:num w:numId="24" w16cid:durableId="422410067">
    <w:abstractNumId w:val="37"/>
  </w:num>
  <w:num w:numId="25" w16cid:durableId="141387372">
    <w:abstractNumId w:val="11"/>
  </w:num>
  <w:num w:numId="26" w16cid:durableId="2089185380">
    <w:abstractNumId w:val="2"/>
  </w:num>
  <w:num w:numId="27" w16cid:durableId="1879663428">
    <w:abstractNumId w:val="38"/>
  </w:num>
  <w:num w:numId="28" w16cid:durableId="1841920252">
    <w:abstractNumId w:val="14"/>
  </w:num>
  <w:num w:numId="29" w16cid:durableId="1028024750">
    <w:abstractNumId w:val="35"/>
  </w:num>
  <w:num w:numId="30" w16cid:durableId="131871295">
    <w:abstractNumId w:val="26"/>
  </w:num>
  <w:num w:numId="31" w16cid:durableId="1740639549">
    <w:abstractNumId w:val="46"/>
  </w:num>
  <w:num w:numId="32" w16cid:durableId="288556075">
    <w:abstractNumId w:val="9"/>
  </w:num>
  <w:num w:numId="33" w16cid:durableId="644815329">
    <w:abstractNumId w:val="42"/>
  </w:num>
  <w:num w:numId="34" w16cid:durableId="326518053">
    <w:abstractNumId w:val="28"/>
  </w:num>
  <w:num w:numId="35" w16cid:durableId="1703288229">
    <w:abstractNumId w:val="17"/>
  </w:num>
  <w:num w:numId="36" w16cid:durableId="1974867686">
    <w:abstractNumId w:val="47"/>
  </w:num>
  <w:num w:numId="37" w16cid:durableId="678778099">
    <w:abstractNumId w:val="1"/>
  </w:num>
  <w:num w:numId="38" w16cid:durableId="846989971">
    <w:abstractNumId w:val="3"/>
  </w:num>
  <w:num w:numId="39" w16cid:durableId="1370568257">
    <w:abstractNumId w:val="5"/>
  </w:num>
  <w:num w:numId="40" w16cid:durableId="595944434">
    <w:abstractNumId w:val="25"/>
  </w:num>
  <w:num w:numId="41" w16cid:durableId="2026444631">
    <w:abstractNumId w:val="0"/>
  </w:num>
  <w:num w:numId="42" w16cid:durableId="138428842">
    <w:abstractNumId w:val="39"/>
  </w:num>
  <w:num w:numId="43" w16cid:durableId="1255286165">
    <w:abstractNumId w:val="36"/>
  </w:num>
  <w:num w:numId="44" w16cid:durableId="2028217401">
    <w:abstractNumId w:val="4"/>
  </w:num>
  <w:num w:numId="45" w16cid:durableId="1163089285">
    <w:abstractNumId w:val="31"/>
  </w:num>
  <w:num w:numId="46" w16cid:durableId="513568629">
    <w:abstractNumId w:val="30"/>
  </w:num>
  <w:num w:numId="47" w16cid:durableId="667488788">
    <w:abstractNumId w:val="18"/>
  </w:num>
  <w:num w:numId="48" w16cid:durableId="846870001">
    <w:abstractNumId w:val="33"/>
  </w:num>
  <w:num w:numId="49" w16cid:durableId="32991699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26E"/>
    <w:rsid w:val="0000184E"/>
    <w:rsid w:val="000024A1"/>
    <w:rsid w:val="0000346E"/>
    <w:rsid w:val="00005083"/>
    <w:rsid w:val="00007AE4"/>
    <w:rsid w:val="00011143"/>
    <w:rsid w:val="00011550"/>
    <w:rsid w:val="00011D67"/>
    <w:rsid w:val="00014F63"/>
    <w:rsid w:val="00015DC0"/>
    <w:rsid w:val="00015EE9"/>
    <w:rsid w:val="00016EC9"/>
    <w:rsid w:val="00020381"/>
    <w:rsid w:val="0002136B"/>
    <w:rsid w:val="00021621"/>
    <w:rsid w:val="00021646"/>
    <w:rsid w:val="00021DAB"/>
    <w:rsid w:val="00021E6A"/>
    <w:rsid w:val="00021F61"/>
    <w:rsid w:val="00022496"/>
    <w:rsid w:val="000224EC"/>
    <w:rsid w:val="00022AB3"/>
    <w:rsid w:val="00025B87"/>
    <w:rsid w:val="00026534"/>
    <w:rsid w:val="0002692C"/>
    <w:rsid w:val="0002772C"/>
    <w:rsid w:val="00027E7C"/>
    <w:rsid w:val="00030EF1"/>
    <w:rsid w:val="00030F59"/>
    <w:rsid w:val="0003121D"/>
    <w:rsid w:val="00031C95"/>
    <w:rsid w:val="00032348"/>
    <w:rsid w:val="0003269B"/>
    <w:rsid w:val="0003414E"/>
    <w:rsid w:val="000342B6"/>
    <w:rsid w:val="000353E8"/>
    <w:rsid w:val="0003793E"/>
    <w:rsid w:val="00037F1B"/>
    <w:rsid w:val="00041CEE"/>
    <w:rsid w:val="00042DE2"/>
    <w:rsid w:val="0004351F"/>
    <w:rsid w:val="00043701"/>
    <w:rsid w:val="00043D02"/>
    <w:rsid w:val="00046377"/>
    <w:rsid w:val="00052873"/>
    <w:rsid w:val="000539B4"/>
    <w:rsid w:val="00054415"/>
    <w:rsid w:val="00055BD4"/>
    <w:rsid w:val="0005621B"/>
    <w:rsid w:val="00056CF5"/>
    <w:rsid w:val="00061178"/>
    <w:rsid w:val="00061CA9"/>
    <w:rsid w:val="000653A8"/>
    <w:rsid w:val="00067302"/>
    <w:rsid w:val="00071238"/>
    <w:rsid w:val="00072A4A"/>
    <w:rsid w:val="00072CED"/>
    <w:rsid w:val="000734A4"/>
    <w:rsid w:val="00074079"/>
    <w:rsid w:val="00074E30"/>
    <w:rsid w:val="00077B44"/>
    <w:rsid w:val="00077CF4"/>
    <w:rsid w:val="00081639"/>
    <w:rsid w:val="0008184C"/>
    <w:rsid w:val="00081CDC"/>
    <w:rsid w:val="0008238F"/>
    <w:rsid w:val="00084F57"/>
    <w:rsid w:val="00085935"/>
    <w:rsid w:val="000863CF"/>
    <w:rsid w:val="000866ED"/>
    <w:rsid w:val="000871CB"/>
    <w:rsid w:val="0008721E"/>
    <w:rsid w:val="000910FC"/>
    <w:rsid w:val="00092292"/>
    <w:rsid w:val="00092701"/>
    <w:rsid w:val="00093239"/>
    <w:rsid w:val="00094589"/>
    <w:rsid w:val="0009644E"/>
    <w:rsid w:val="000972C7"/>
    <w:rsid w:val="00097CF8"/>
    <w:rsid w:val="000A1349"/>
    <w:rsid w:val="000A13AE"/>
    <w:rsid w:val="000A1F17"/>
    <w:rsid w:val="000A207C"/>
    <w:rsid w:val="000A2E97"/>
    <w:rsid w:val="000A46C2"/>
    <w:rsid w:val="000A4CAD"/>
    <w:rsid w:val="000A66B8"/>
    <w:rsid w:val="000A6893"/>
    <w:rsid w:val="000B03A3"/>
    <w:rsid w:val="000B042D"/>
    <w:rsid w:val="000B2C48"/>
    <w:rsid w:val="000B4DB3"/>
    <w:rsid w:val="000B7D40"/>
    <w:rsid w:val="000C02FE"/>
    <w:rsid w:val="000C37F3"/>
    <w:rsid w:val="000C4E2F"/>
    <w:rsid w:val="000C6340"/>
    <w:rsid w:val="000C785B"/>
    <w:rsid w:val="000CFCAD"/>
    <w:rsid w:val="000D0680"/>
    <w:rsid w:val="000D0E6A"/>
    <w:rsid w:val="000D1064"/>
    <w:rsid w:val="000D1AE2"/>
    <w:rsid w:val="000D1CFB"/>
    <w:rsid w:val="000D25DE"/>
    <w:rsid w:val="000D3D4B"/>
    <w:rsid w:val="000D3D91"/>
    <w:rsid w:val="000D48B9"/>
    <w:rsid w:val="000D4D2B"/>
    <w:rsid w:val="000D5B43"/>
    <w:rsid w:val="000D5E5D"/>
    <w:rsid w:val="000D5F8E"/>
    <w:rsid w:val="000D6F70"/>
    <w:rsid w:val="000D7527"/>
    <w:rsid w:val="000D75AC"/>
    <w:rsid w:val="000E05FA"/>
    <w:rsid w:val="000E1158"/>
    <w:rsid w:val="000E1DDC"/>
    <w:rsid w:val="000E2702"/>
    <w:rsid w:val="000E3E78"/>
    <w:rsid w:val="000E58DE"/>
    <w:rsid w:val="000E5DA5"/>
    <w:rsid w:val="000F10CE"/>
    <w:rsid w:val="000F1E67"/>
    <w:rsid w:val="000F4522"/>
    <w:rsid w:val="000F56E0"/>
    <w:rsid w:val="000F62B2"/>
    <w:rsid w:val="000F7E6C"/>
    <w:rsid w:val="0010036E"/>
    <w:rsid w:val="001008D1"/>
    <w:rsid w:val="00100C9F"/>
    <w:rsid w:val="001028F4"/>
    <w:rsid w:val="001032A9"/>
    <w:rsid w:val="0010631C"/>
    <w:rsid w:val="00107972"/>
    <w:rsid w:val="00107D76"/>
    <w:rsid w:val="001111BA"/>
    <w:rsid w:val="00111994"/>
    <w:rsid w:val="00112707"/>
    <w:rsid w:val="00113620"/>
    <w:rsid w:val="001138F1"/>
    <w:rsid w:val="00117115"/>
    <w:rsid w:val="0011742A"/>
    <w:rsid w:val="00120AC4"/>
    <w:rsid w:val="00120C6C"/>
    <w:rsid w:val="00120CB9"/>
    <w:rsid w:val="001215B4"/>
    <w:rsid w:val="00122383"/>
    <w:rsid w:val="00123B60"/>
    <w:rsid w:val="00123EDB"/>
    <w:rsid w:val="00124661"/>
    <w:rsid w:val="0012597F"/>
    <w:rsid w:val="00125F46"/>
    <w:rsid w:val="00126298"/>
    <w:rsid w:val="00126537"/>
    <w:rsid w:val="001269D2"/>
    <w:rsid w:val="00126BB4"/>
    <w:rsid w:val="00131D9D"/>
    <w:rsid w:val="00132C91"/>
    <w:rsid w:val="001343FB"/>
    <w:rsid w:val="00136514"/>
    <w:rsid w:val="00137229"/>
    <w:rsid w:val="00137C41"/>
    <w:rsid w:val="00142D3D"/>
    <w:rsid w:val="00143423"/>
    <w:rsid w:val="00143BAB"/>
    <w:rsid w:val="001473F1"/>
    <w:rsid w:val="00147EA4"/>
    <w:rsid w:val="001509D9"/>
    <w:rsid w:val="00151F1E"/>
    <w:rsid w:val="00153E6B"/>
    <w:rsid w:val="0015406F"/>
    <w:rsid w:val="00155A3B"/>
    <w:rsid w:val="00155BAA"/>
    <w:rsid w:val="001562B7"/>
    <w:rsid w:val="001565F9"/>
    <w:rsid w:val="001572CA"/>
    <w:rsid w:val="0015780E"/>
    <w:rsid w:val="00160BDA"/>
    <w:rsid w:val="0016355F"/>
    <w:rsid w:val="0016560B"/>
    <w:rsid w:val="00165685"/>
    <w:rsid w:val="00170DEC"/>
    <w:rsid w:val="00170EF2"/>
    <w:rsid w:val="00173499"/>
    <w:rsid w:val="0017469E"/>
    <w:rsid w:val="00175412"/>
    <w:rsid w:val="0017792D"/>
    <w:rsid w:val="001807F1"/>
    <w:rsid w:val="00180E8B"/>
    <w:rsid w:val="00181256"/>
    <w:rsid w:val="00181B2A"/>
    <w:rsid w:val="00181EF5"/>
    <w:rsid w:val="00182BC4"/>
    <w:rsid w:val="0018450C"/>
    <w:rsid w:val="0018642B"/>
    <w:rsid w:val="00187393"/>
    <w:rsid w:val="00191CF6"/>
    <w:rsid w:val="00192F4E"/>
    <w:rsid w:val="00195D1F"/>
    <w:rsid w:val="00196E02"/>
    <w:rsid w:val="001A0F5F"/>
    <w:rsid w:val="001A34F4"/>
    <w:rsid w:val="001A4E96"/>
    <w:rsid w:val="001A5172"/>
    <w:rsid w:val="001A59C1"/>
    <w:rsid w:val="001A5ED5"/>
    <w:rsid w:val="001A6D73"/>
    <w:rsid w:val="001A7AF4"/>
    <w:rsid w:val="001B198E"/>
    <w:rsid w:val="001B1AC4"/>
    <w:rsid w:val="001B2477"/>
    <w:rsid w:val="001B27D7"/>
    <w:rsid w:val="001B2A79"/>
    <w:rsid w:val="001B453B"/>
    <w:rsid w:val="001B46C2"/>
    <w:rsid w:val="001B4733"/>
    <w:rsid w:val="001B5119"/>
    <w:rsid w:val="001B62DA"/>
    <w:rsid w:val="001B6401"/>
    <w:rsid w:val="001B799A"/>
    <w:rsid w:val="001C0A84"/>
    <w:rsid w:val="001C0D7C"/>
    <w:rsid w:val="001C42EB"/>
    <w:rsid w:val="001C4F45"/>
    <w:rsid w:val="001C6725"/>
    <w:rsid w:val="001C7EC3"/>
    <w:rsid w:val="001D1620"/>
    <w:rsid w:val="001D480F"/>
    <w:rsid w:val="001D50E0"/>
    <w:rsid w:val="001D6BB6"/>
    <w:rsid w:val="001E05A0"/>
    <w:rsid w:val="001E0E9F"/>
    <w:rsid w:val="001E115D"/>
    <w:rsid w:val="001E2D24"/>
    <w:rsid w:val="001E2F3F"/>
    <w:rsid w:val="001E2F44"/>
    <w:rsid w:val="001E32C9"/>
    <w:rsid w:val="001E4D19"/>
    <w:rsid w:val="001E5191"/>
    <w:rsid w:val="001E645C"/>
    <w:rsid w:val="001E6ED0"/>
    <w:rsid w:val="001F17A7"/>
    <w:rsid w:val="001F24BE"/>
    <w:rsid w:val="001F29E8"/>
    <w:rsid w:val="001F4868"/>
    <w:rsid w:val="001F5B0E"/>
    <w:rsid w:val="001F62CC"/>
    <w:rsid w:val="00200232"/>
    <w:rsid w:val="00200ADC"/>
    <w:rsid w:val="00201A0F"/>
    <w:rsid w:val="00201A3F"/>
    <w:rsid w:val="0020217A"/>
    <w:rsid w:val="002026DC"/>
    <w:rsid w:val="00205B7E"/>
    <w:rsid w:val="0020660F"/>
    <w:rsid w:val="00207222"/>
    <w:rsid w:val="00207B50"/>
    <w:rsid w:val="00211315"/>
    <w:rsid w:val="00212A42"/>
    <w:rsid w:val="00214614"/>
    <w:rsid w:val="00216D51"/>
    <w:rsid w:val="00216EA3"/>
    <w:rsid w:val="00220D48"/>
    <w:rsid w:val="002232BA"/>
    <w:rsid w:val="00224A10"/>
    <w:rsid w:val="0022618B"/>
    <w:rsid w:val="00226B08"/>
    <w:rsid w:val="002314CD"/>
    <w:rsid w:val="00233167"/>
    <w:rsid w:val="002337C8"/>
    <w:rsid w:val="00233BDA"/>
    <w:rsid w:val="00234644"/>
    <w:rsid w:val="00234BCE"/>
    <w:rsid w:val="002352D6"/>
    <w:rsid w:val="00237C8C"/>
    <w:rsid w:val="002412D9"/>
    <w:rsid w:val="00242031"/>
    <w:rsid w:val="00242719"/>
    <w:rsid w:val="00242AE1"/>
    <w:rsid w:val="00242F64"/>
    <w:rsid w:val="002439A3"/>
    <w:rsid w:val="00243E14"/>
    <w:rsid w:val="00245813"/>
    <w:rsid w:val="00246810"/>
    <w:rsid w:val="002468AD"/>
    <w:rsid w:val="00246B92"/>
    <w:rsid w:val="00247922"/>
    <w:rsid w:val="00250DF1"/>
    <w:rsid w:val="00253B68"/>
    <w:rsid w:val="00253F57"/>
    <w:rsid w:val="00255789"/>
    <w:rsid w:val="00255A6B"/>
    <w:rsid w:val="00255E2C"/>
    <w:rsid w:val="0025794B"/>
    <w:rsid w:val="00262845"/>
    <w:rsid w:val="00262D1F"/>
    <w:rsid w:val="00266A45"/>
    <w:rsid w:val="00270234"/>
    <w:rsid w:val="00270AD8"/>
    <w:rsid w:val="00271209"/>
    <w:rsid w:val="00272519"/>
    <w:rsid w:val="00272EA5"/>
    <w:rsid w:val="002734D9"/>
    <w:rsid w:val="0027353A"/>
    <w:rsid w:val="00273933"/>
    <w:rsid w:val="00274618"/>
    <w:rsid w:val="0027467A"/>
    <w:rsid w:val="0027554C"/>
    <w:rsid w:val="00276325"/>
    <w:rsid w:val="0027666D"/>
    <w:rsid w:val="00276DDB"/>
    <w:rsid w:val="0027758C"/>
    <w:rsid w:val="00280BFB"/>
    <w:rsid w:val="0028163F"/>
    <w:rsid w:val="00282223"/>
    <w:rsid w:val="002831B3"/>
    <w:rsid w:val="00283FBA"/>
    <w:rsid w:val="00284042"/>
    <w:rsid w:val="00284B91"/>
    <w:rsid w:val="00285088"/>
    <w:rsid w:val="0028511E"/>
    <w:rsid w:val="0028566E"/>
    <w:rsid w:val="00291BE8"/>
    <w:rsid w:val="00297C27"/>
    <w:rsid w:val="002A01AA"/>
    <w:rsid w:val="002A05D6"/>
    <w:rsid w:val="002A0728"/>
    <w:rsid w:val="002A0797"/>
    <w:rsid w:val="002A4181"/>
    <w:rsid w:val="002A4547"/>
    <w:rsid w:val="002A4838"/>
    <w:rsid w:val="002A48B2"/>
    <w:rsid w:val="002A58E3"/>
    <w:rsid w:val="002A6B94"/>
    <w:rsid w:val="002A6F81"/>
    <w:rsid w:val="002A7A68"/>
    <w:rsid w:val="002A7EB0"/>
    <w:rsid w:val="002B1275"/>
    <w:rsid w:val="002B1FA5"/>
    <w:rsid w:val="002B3ACE"/>
    <w:rsid w:val="002B46E0"/>
    <w:rsid w:val="002C1964"/>
    <w:rsid w:val="002C2D1C"/>
    <w:rsid w:val="002C41DD"/>
    <w:rsid w:val="002C57BC"/>
    <w:rsid w:val="002C74DF"/>
    <w:rsid w:val="002C74FF"/>
    <w:rsid w:val="002C7B67"/>
    <w:rsid w:val="002C7EF8"/>
    <w:rsid w:val="002D220D"/>
    <w:rsid w:val="002D36C6"/>
    <w:rsid w:val="002D3E53"/>
    <w:rsid w:val="002D4B6F"/>
    <w:rsid w:val="002D4C18"/>
    <w:rsid w:val="002D773D"/>
    <w:rsid w:val="002D7D2C"/>
    <w:rsid w:val="002D7E34"/>
    <w:rsid w:val="002E10DB"/>
    <w:rsid w:val="002E1BC8"/>
    <w:rsid w:val="002E1C80"/>
    <w:rsid w:val="002E27B0"/>
    <w:rsid w:val="002E34EA"/>
    <w:rsid w:val="002E35BE"/>
    <w:rsid w:val="002E3CA1"/>
    <w:rsid w:val="002E3E46"/>
    <w:rsid w:val="002E4225"/>
    <w:rsid w:val="002E46A1"/>
    <w:rsid w:val="002E56D2"/>
    <w:rsid w:val="002E58BD"/>
    <w:rsid w:val="002F0761"/>
    <w:rsid w:val="002F158D"/>
    <w:rsid w:val="002F24F7"/>
    <w:rsid w:val="002F27BB"/>
    <w:rsid w:val="002F358C"/>
    <w:rsid w:val="002F38FA"/>
    <w:rsid w:val="002F5A08"/>
    <w:rsid w:val="002F5AF5"/>
    <w:rsid w:val="002F7A11"/>
    <w:rsid w:val="00300958"/>
    <w:rsid w:val="00300A3B"/>
    <w:rsid w:val="0030278A"/>
    <w:rsid w:val="003037F0"/>
    <w:rsid w:val="00306AE2"/>
    <w:rsid w:val="0031166B"/>
    <w:rsid w:val="00311AB1"/>
    <w:rsid w:val="00312CFE"/>
    <w:rsid w:val="00315C53"/>
    <w:rsid w:val="00320195"/>
    <w:rsid w:val="00321771"/>
    <w:rsid w:val="00322239"/>
    <w:rsid w:val="00322342"/>
    <w:rsid w:val="0032296F"/>
    <w:rsid w:val="00322CB1"/>
    <w:rsid w:val="0032375D"/>
    <w:rsid w:val="003244BE"/>
    <w:rsid w:val="003244CB"/>
    <w:rsid w:val="00324DA2"/>
    <w:rsid w:val="00326B6F"/>
    <w:rsid w:val="00327491"/>
    <w:rsid w:val="00327844"/>
    <w:rsid w:val="00327CB8"/>
    <w:rsid w:val="00330B7C"/>
    <w:rsid w:val="0033234A"/>
    <w:rsid w:val="003324F6"/>
    <w:rsid w:val="0033262E"/>
    <w:rsid w:val="00333373"/>
    <w:rsid w:val="003369A6"/>
    <w:rsid w:val="00336D8B"/>
    <w:rsid w:val="003403E9"/>
    <w:rsid w:val="00340484"/>
    <w:rsid w:val="00340EEA"/>
    <w:rsid w:val="0034237C"/>
    <w:rsid w:val="0034393A"/>
    <w:rsid w:val="00344140"/>
    <w:rsid w:val="00344556"/>
    <w:rsid w:val="00345175"/>
    <w:rsid w:val="00345B90"/>
    <w:rsid w:val="00346428"/>
    <w:rsid w:val="00347B0B"/>
    <w:rsid w:val="00352863"/>
    <w:rsid w:val="0035378E"/>
    <w:rsid w:val="00353961"/>
    <w:rsid w:val="0035424D"/>
    <w:rsid w:val="00354BAD"/>
    <w:rsid w:val="003560CA"/>
    <w:rsid w:val="00356580"/>
    <w:rsid w:val="00361594"/>
    <w:rsid w:val="0036202F"/>
    <w:rsid w:val="00363B83"/>
    <w:rsid w:val="00366513"/>
    <w:rsid w:val="00370EE3"/>
    <w:rsid w:val="00371953"/>
    <w:rsid w:val="0037219F"/>
    <w:rsid w:val="00372690"/>
    <w:rsid w:val="003739FC"/>
    <w:rsid w:val="00374FD8"/>
    <w:rsid w:val="00375985"/>
    <w:rsid w:val="00377FDE"/>
    <w:rsid w:val="003809D9"/>
    <w:rsid w:val="003815B0"/>
    <w:rsid w:val="00381D97"/>
    <w:rsid w:val="003824F1"/>
    <w:rsid w:val="00383A52"/>
    <w:rsid w:val="003842A3"/>
    <w:rsid w:val="00386BC3"/>
    <w:rsid w:val="00387AF5"/>
    <w:rsid w:val="00387F33"/>
    <w:rsid w:val="003903EA"/>
    <w:rsid w:val="0039073F"/>
    <w:rsid w:val="00390AC3"/>
    <w:rsid w:val="00392340"/>
    <w:rsid w:val="003931B9"/>
    <w:rsid w:val="003937C6"/>
    <w:rsid w:val="00394F50"/>
    <w:rsid w:val="00395BB3"/>
    <w:rsid w:val="00395F7E"/>
    <w:rsid w:val="0039770D"/>
    <w:rsid w:val="003A0582"/>
    <w:rsid w:val="003A0BC2"/>
    <w:rsid w:val="003A0F3C"/>
    <w:rsid w:val="003A1175"/>
    <w:rsid w:val="003A1D3E"/>
    <w:rsid w:val="003A2AB9"/>
    <w:rsid w:val="003A2CA9"/>
    <w:rsid w:val="003A4438"/>
    <w:rsid w:val="003A5781"/>
    <w:rsid w:val="003A6F6D"/>
    <w:rsid w:val="003A7CB4"/>
    <w:rsid w:val="003B1421"/>
    <w:rsid w:val="003B1465"/>
    <w:rsid w:val="003B16D5"/>
    <w:rsid w:val="003B2D58"/>
    <w:rsid w:val="003B3B45"/>
    <w:rsid w:val="003B4F94"/>
    <w:rsid w:val="003B6184"/>
    <w:rsid w:val="003C021D"/>
    <w:rsid w:val="003C1E49"/>
    <w:rsid w:val="003C47A1"/>
    <w:rsid w:val="003C5187"/>
    <w:rsid w:val="003C60FE"/>
    <w:rsid w:val="003C71A4"/>
    <w:rsid w:val="003D3A2D"/>
    <w:rsid w:val="003D3B7B"/>
    <w:rsid w:val="003D4633"/>
    <w:rsid w:val="003D608F"/>
    <w:rsid w:val="003D7091"/>
    <w:rsid w:val="003E05EE"/>
    <w:rsid w:val="003E0E58"/>
    <w:rsid w:val="003E1124"/>
    <w:rsid w:val="003E19EA"/>
    <w:rsid w:val="003E19FE"/>
    <w:rsid w:val="003E689E"/>
    <w:rsid w:val="003E6A6D"/>
    <w:rsid w:val="003E7CB2"/>
    <w:rsid w:val="003F06BB"/>
    <w:rsid w:val="003F1EB8"/>
    <w:rsid w:val="003F473A"/>
    <w:rsid w:val="003F5439"/>
    <w:rsid w:val="003F5F73"/>
    <w:rsid w:val="003F7ED0"/>
    <w:rsid w:val="00400579"/>
    <w:rsid w:val="00400FF5"/>
    <w:rsid w:val="00401DDC"/>
    <w:rsid w:val="004022A3"/>
    <w:rsid w:val="004023DF"/>
    <w:rsid w:val="004030FB"/>
    <w:rsid w:val="004048DF"/>
    <w:rsid w:val="00407032"/>
    <w:rsid w:val="004076CD"/>
    <w:rsid w:val="00411A63"/>
    <w:rsid w:val="00411C1C"/>
    <w:rsid w:val="004123F2"/>
    <w:rsid w:val="0041256A"/>
    <w:rsid w:val="00412F72"/>
    <w:rsid w:val="0041339F"/>
    <w:rsid w:val="004138F5"/>
    <w:rsid w:val="0041402D"/>
    <w:rsid w:val="004141DE"/>
    <w:rsid w:val="00414D52"/>
    <w:rsid w:val="00414DF7"/>
    <w:rsid w:val="00416F5B"/>
    <w:rsid w:val="00417CE5"/>
    <w:rsid w:val="00420302"/>
    <w:rsid w:val="00421CDC"/>
    <w:rsid w:val="0042393D"/>
    <w:rsid w:val="00423F62"/>
    <w:rsid w:val="00424F49"/>
    <w:rsid w:val="00430A63"/>
    <w:rsid w:val="00430F69"/>
    <w:rsid w:val="004334DA"/>
    <w:rsid w:val="004352C0"/>
    <w:rsid w:val="004365CF"/>
    <w:rsid w:val="0043670C"/>
    <w:rsid w:val="00437046"/>
    <w:rsid w:val="00441465"/>
    <w:rsid w:val="00442BFF"/>
    <w:rsid w:val="004474B2"/>
    <w:rsid w:val="00450118"/>
    <w:rsid w:val="00450405"/>
    <w:rsid w:val="0045092D"/>
    <w:rsid w:val="0045303A"/>
    <w:rsid w:val="00453314"/>
    <w:rsid w:val="004545F4"/>
    <w:rsid w:val="004552E8"/>
    <w:rsid w:val="00461D34"/>
    <w:rsid w:val="0046279F"/>
    <w:rsid w:val="00463CC7"/>
    <w:rsid w:val="004642F0"/>
    <w:rsid w:val="00464876"/>
    <w:rsid w:val="0046575E"/>
    <w:rsid w:val="004666CE"/>
    <w:rsid w:val="004702FC"/>
    <w:rsid w:val="00471A4B"/>
    <w:rsid w:val="00471C78"/>
    <w:rsid w:val="00471DC7"/>
    <w:rsid w:val="00471E00"/>
    <w:rsid w:val="004743D8"/>
    <w:rsid w:val="0047450D"/>
    <w:rsid w:val="00476CC4"/>
    <w:rsid w:val="00476CE7"/>
    <w:rsid w:val="00477471"/>
    <w:rsid w:val="004778C9"/>
    <w:rsid w:val="00477B02"/>
    <w:rsid w:val="00481E82"/>
    <w:rsid w:val="00482438"/>
    <w:rsid w:val="00485B46"/>
    <w:rsid w:val="004866AE"/>
    <w:rsid w:val="0048732C"/>
    <w:rsid w:val="00490B24"/>
    <w:rsid w:val="004910B6"/>
    <w:rsid w:val="00491B8F"/>
    <w:rsid w:val="004926FB"/>
    <w:rsid w:val="00492779"/>
    <w:rsid w:val="00493373"/>
    <w:rsid w:val="00493951"/>
    <w:rsid w:val="00493A06"/>
    <w:rsid w:val="004940FC"/>
    <w:rsid w:val="004963AC"/>
    <w:rsid w:val="004A0F86"/>
    <w:rsid w:val="004A17D9"/>
    <w:rsid w:val="004A3198"/>
    <w:rsid w:val="004A5B01"/>
    <w:rsid w:val="004A708A"/>
    <w:rsid w:val="004A7D93"/>
    <w:rsid w:val="004A7FF9"/>
    <w:rsid w:val="004B0D18"/>
    <w:rsid w:val="004B1E4E"/>
    <w:rsid w:val="004B4CAF"/>
    <w:rsid w:val="004B53D6"/>
    <w:rsid w:val="004B65CC"/>
    <w:rsid w:val="004B6C20"/>
    <w:rsid w:val="004B73AF"/>
    <w:rsid w:val="004C0243"/>
    <w:rsid w:val="004C1095"/>
    <w:rsid w:val="004C1A61"/>
    <w:rsid w:val="004C391F"/>
    <w:rsid w:val="004C402C"/>
    <w:rsid w:val="004C4143"/>
    <w:rsid w:val="004C4798"/>
    <w:rsid w:val="004C492D"/>
    <w:rsid w:val="004C5974"/>
    <w:rsid w:val="004C5A8D"/>
    <w:rsid w:val="004D2568"/>
    <w:rsid w:val="004D3EE9"/>
    <w:rsid w:val="004D41CA"/>
    <w:rsid w:val="004D4A8D"/>
    <w:rsid w:val="004D51DD"/>
    <w:rsid w:val="004D63F6"/>
    <w:rsid w:val="004D7F7A"/>
    <w:rsid w:val="004E150B"/>
    <w:rsid w:val="004E1D27"/>
    <w:rsid w:val="004E2CD9"/>
    <w:rsid w:val="004E3315"/>
    <w:rsid w:val="004E39DD"/>
    <w:rsid w:val="004E45B1"/>
    <w:rsid w:val="004E4A96"/>
    <w:rsid w:val="004E62ED"/>
    <w:rsid w:val="004E6E2A"/>
    <w:rsid w:val="004E7176"/>
    <w:rsid w:val="004E735E"/>
    <w:rsid w:val="004E783D"/>
    <w:rsid w:val="004E7B5F"/>
    <w:rsid w:val="004F0801"/>
    <w:rsid w:val="004F2465"/>
    <w:rsid w:val="004F2845"/>
    <w:rsid w:val="004F34E5"/>
    <w:rsid w:val="004F47BC"/>
    <w:rsid w:val="004F4F9F"/>
    <w:rsid w:val="004F5000"/>
    <w:rsid w:val="004F6354"/>
    <w:rsid w:val="004F7D5D"/>
    <w:rsid w:val="005005E9"/>
    <w:rsid w:val="00505880"/>
    <w:rsid w:val="005064C1"/>
    <w:rsid w:val="00507754"/>
    <w:rsid w:val="005077F6"/>
    <w:rsid w:val="00507C4B"/>
    <w:rsid w:val="005102C0"/>
    <w:rsid w:val="0051094C"/>
    <w:rsid w:val="00510AEF"/>
    <w:rsid w:val="00510BCC"/>
    <w:rsid w:val="0051144D"/>
    <w:rsid w:val="0051228A"/>
    <w:rsid w:val="005132BB"/>
    <w:rsid w:val="00513463"/>
    <w:rsid w:val="00513CA4"/>
    <w:rsid w:val="0051494C"/>
    <w:rsid w:val="00521D96"/>
    <w:rsid w:val="00524166"/>
    <w:rsid w:val="00524C18"/>
    <w:rsid w:val="005250CD"/>
    <w:rsid w:val="0052546B"/>
    <w:rsid w:val="00526164"/>
    <w:rsid w:val="005269BD"/>
    <w:rsid w:val="005276C9"/>
    <w:rsid w:val="005318B1"/>
    <w:rsid w:val="00531E86"/>
    <w:rsid w:val="005336C2"/>
    <w:rsid w:val="00535657"/>
    <w:rsid w:val="00535CA4"/>
    <w:rsid w:val="00537651"/>
    <w:rsid w:val="005403E3"/>
    <w:rsid w:val="00543071"/>
    <w:rsid w:val="0054340A"/>
    <w:rsid w:val="005467FC"/>
    <w:rsid w:val="0054C22F"/>
    <w:rsid w:val="005501B2"/>
    <w:rsid w:val="00550A8F"/>
    <w:rsid w:val="00551ACF"/>
    <w:rsid w:val="00552FBE"/>
    <w:rsid w:val="00553007"/>
    <w:rsid w:val="00554335"/>
    <w:rsid w:val="0055461C"/>
    <w:rsid w:val="00554D2F"/>
    <w:rsid w:val="0055503D"/>
    <w:rsid w:val="00555E93"/>
    <w:rsid w:val="005573E2"/>
    <w:rsid w:val="00557966"/>
    <w:rsid w:val="005601AF"/>
    <w:rsid w:val="00560806"/>
    <w:rsid w:val="0056279F"/>
    <w:rsid w:val="00563922"/>
    <w:rsid w:val="005640AA"/>
    <w:rsid w:val="005643C0"/>
    <w:rsid w:val="00564AD8"/>
    <w:rsid w:val="0056595E"/>
    <w:rsid w:val="00565ECD"/>
    <w:rsid w:val="00567571"/>
    <w:rsid w:val="00567887"/>
    <w:rsid w:val="00567FD1"/>
    <w:rsid w:val="005710F8"/>
    <w:rsid w:val="0057142D"/>
    <w:rsid w:val="005717D7"/>
    <w:rsid w:val="0057196C"/>
    <w:rsid w:val="00571EF6"/>
    <w:rsid w:val="005731F8"/>
    <w:rsid w:val="00573D6F"/>
    <w:rsid w:val="00574645"/>
    <w:rsid w:val="00577094"/>
    <w:rsid w:val="005816CD"/>
    <w:rsid w:val="005821D8"/>
    <w:rsid w:val="00582B89"/>
    <w:rsid w:val="00583D62"/>
    <w:rsid w:val="00584E74"/>
    <w:rsid w:val="005858FE"/>
    <w:rsid w:val="0058662C"/>
    <w:rsid w:val="005873A4"/>
    <w:rsid w:val="005905C7"/>
    <w:rsid w:val="00590DE1"/>
    <w:rsid w:val="00591EA7"/>
    <w:rsid w:val="00591F2E"/>
    <w:rsid w:val="00592934"/>
    <w:rsid w:val="005933C7"/>
    <w:rsid w:val="00594DC9"/>
    <w:rsid w:val="00595326"/>
    <w:rsid w:val="00595C24"/>
    <w:rsid w:val="0059754B"/>
    <w:rsid w:val="0059765B"/>
    <w:rsid w:val="005979B0"/>
    <w:rsid w:val="00597F21"/>
    <w:rsid w:val="005A0F10"/>
    <w:rsid w:val="005A0F1B"/>
    <w:rsid w:val="005A10A0"/>
    <w:rsid w:val="005A2885"/>
    <w:rsid w:val="005A2F3F"/>
    <w:rsid w:val="005A5A18"/>
    <w:rsid w:val="005B0C1B"/>
    <w:rsid w:val="005B2103"/>
    <w:rsid w:val="005B2D86"/>
    <w:rsid w:val="005B3074"/>
    <w:rsid w:val="005B344B"/>
    <w:rsid w:val="005B4FDC"/>
    <w:rsid w:val="005C183B"/>
    <w:rsid w:val="005C41AE"/>
    <w:rsid w:val="005C58B6"/>
    <w:rsid w:val="005C59D4"/>
    <w:rsid w:val="005C5BF7"/>
    <w:rsid w:val="005C5CC1"/>
    <w:rsid w:val="005C6755"/>
    <w:rsid w:val="005C75F5"/>
    <w:rsid w:val="005D01FC"/>
    <w:rsid w:val="005D0588"/>
    <w:rsid w:val="005D109A"/>
    <w:rsid w:val="005D2226"/>
    <w:rsid w:val="005D2D9A"/>
    <w:rsid w:val="005D3ED5"/>
    <w:rsid w:val="005D4EE6"/>
    <w:rsid w:val="005D5061"/>
    <w:rsid w:val="005D5F82"/>
    <w:rsid w:val="005D6C74"/>
    <w:rsid w:val="005D6C80"/>
    <w:rsid w:val="005D75CB"/>
    <w:rsid w:val="005E02D4"/>
    <w:rsid w:val="005E05D6"/>
    <w:rsid w:val="005E0A07"/>
    <w:rsid w:val="005E21D0"/>
    <w:rsid w:val="005E2CB9"/>
    <w:rsid w:val="005E36AF"/>
    <w:rsid w:val="005E3813"/>
    <w:rsid w:val="005E3E51"/>
    <w:rsid w:val="005E57A1"/>
    <w:rsid w:val="005E6510"/>
    <w:rsid w:val="005E7984"/>
    <w:rsid w:val="005F2A19"/>
    <w:rsid w:val="005F35BD"/>
    <w:rsid w:val="005F3A0C"/>
    <w:rsid w:val="005F7309"/>
    <w:rsid w:val="005F7CA1"/>
    <w:rsid w:val="006015BD"/>
    <w:rsid w:val="006016F5"/>
    <w:rsid w:val="006022E4"/>
    <w:rsid w:val="006050D2"/>
    <w:rsid w:val="0060568A"/>
    <w:rsid w:val="0060622C"/>
    <w:rsid w:val="00607864"/>
    <w:rsid w:val="006121AB"/>
    <w:rsid w:val="00612623"/>
    <w:rsid w:val="0061778F"/>
    <w:rsid w:val="006177CB"/>
    <w:rsid w:val="00624A10"/>
    <w:rsid w:val="006250D3"/>
    <w:rsid w:val="00626C39"/>
    <w:rsid w:val="00627249"/>
    <w:rsid w:val="00630949"/>
    <w:rsid w:val="00630FCF"/>
    <w:rsid w:val="006329A4"/>
    <w:rsid w:val="006339C2"/>
    <w:rsid w:val="00633FF3"/>
    <w:rsid w:val="006345D5"/>
    <w:rsid w:val="006408A1"/>
    <w:rsid w:val="0064158E"/>
    <w:rsid w:val="00642CAF"/>
    <w:rsid w:val="00643298"/>
    <w:rsid w:val="00643D7A"/>
    <w:rsid w:val="00644419"/>
    <w:rsid w:val="00644B8D"/>
    <w:rsid w:val="00646D29"/>
    <w:rsid w:val="00646DE9"/>
    <w:rsid w:val="00647C8A"/>
    <w:rsid w:val="00650296"/>
    <w:rsid w:val="00650C4A"/>
    <w:rsid w:val="006543B2"/>
    <w:rsid w:val="00655599"/>
    <w:rsid w:val="00656483"/>
    <w:rsid w:val="00661A6C"/>
    <w:rsid w:val="00661B9B"/>
    <w:rsid w:val="00661FD5"/>
    <w:rsid w:val="00662766"/>
    <w:rsid w:val="006630F6"/>
    <w:rsid w:val="00663144"/>
    <w:rsid w:val="0066318F"/>
    <w:rsid w:val="00663461"/>
    <w:rsid w:val="00663525"/>
    <w:rsid w:val="0066492A"/>
    <w:rsid w:val="00664EE2"/>
    <w:rsid w:val="006657D6"/>
    <w:rsid w:val="00665BE7"/>
    <w:rsid w:val="00666E96"/>
    <w:rsid w:val="006672FC"/>
    <w:rsid w:val="00671016"/>
    <w:rsid w:val="0067128F"/>
    <w:rsid w:val="0067192B"/>
    <w:rsid w:val="00671A25"/>
    <w:rsid w:val="00671F2F"/>
    <w:rsid w:val="0067300E"/>
    <w:rsid w:val="00673080"/>
    <w:rsid w:val="00673BE0"/>
    <w:rsid w:val="00674EB3"/>
    <w:rsid w:val="0067518E"/>
    <w:rsid w:val="006761A7"/>
    <w:rsid w:val="00676E26"/>
    <w:rsid w:val="00677834"/>
    <w:rsid w:val="00680F86"/>
    <w:rsid w:val="006817B3"/>
    <w:rsid w:val="00682356"/>
    <w:rsid w:val="00682E1A"/>
    <w:rsid w:val="006835AA"/>
    <w:rsid w:val="006848F5"/>
    <w:rsid w:val="0068538B"/>
    <w:rsid w:val="006927DD"/>
    <w:rsid w:val="006929B8"/>
    <w:rsid w:val="00692BE7"/>
    <w:rsid w:val="00693101"/>
    <w:rsid w:val="006940BD"/>
    <w:rsid w:val="0069446E"/>
    <w:rsid w:val="00694F76"/>
    <w:rsid w:val="006952FC"/>
    <w:rsid w:val="006963F4"/>
    <w:rsid w:val="00696C18"/>
    <w:rsid w:val="00696C42"/>
    <w:rsid w:val="006A1768"/>
    <w:rsid w:val="006A1DA1"/>
    <w:rsid w:val="006A31BA"/>
    <w:rsid w:val="006A6462"/>
    <w:rsid w:val="006A6497"/>
    <w:rsid w:val="006B3985"/>
    <w:rsid w:val="006B4A31"/>
    <w:rsid w:val="006B7B89"/>
    <w:rsid w:val="006C0C3D"/>
    <w:rsid w:val="006C0C84"/>
    <w:rsid w:val="006C1F2A"/>
    <w:rsid w:val="006C2417"/>
    <w:rsid w:val="006C258F"/>
    <w:rsid w:val="006C5223"/>
    <w:rsid w:val="006C5483"/>
    <w:rsid w:val="006C5A4D"/>
    <w:rsid w:val="006C6677"/>
    <w:rsid w:val="006C6F28"/>
    <w:rsid w:val="006D088D"/>
    <w:rsid w:val="006D11AE"/>
    <w:rsid w:val="006D1CBC"/>
    <w:rsid w:val="006D27AC"/>
    <w:rsid w:val="006D39C4"/>
    <w:rsid w:val="006D3F45"/>
    <w:rsid w:val="006D611E"/>
    <w:rsid w:val="006D6360"/>
    <w:rsid w:val="006D7130"/>
    <w:rsid w:val="006D7A5A"/>
    <w:rsid w:val="006D7B5D"/>
    <w:rsid w:val="006E0467"/>
    <w:rsid w:val="006E063D"/>
    <w:rsid w:val="006E1CA7"/>
    <w:rsid w:val="006E2F56"/>
    <w:rsid w:val="006E3C95"/>
    <w:rsid w:val="006E6289"/>
    <w:rsid w:val="006E778F"/>
    <w:rsid w:val="006E7D5B"/>
    <w:rsid w:val="006F0203"/>
    <w:rsid w:val="006F12A7"/>
    <w:rsid w:val="006F14F7"/>
    <w:rsid w:val="006F1EBF"/>
    <w:rsid w:val="006F1ECB"/>
    <w:rsid w:val="006F412D"/>
    <w:rsid w:val="006F4B80"/>
    <w:rsid w:val="006F4D32"/>
    <w:rsid w:val="006F582F"/>
    <w:rsid w:val="006F619F"/>
    <w:rsid w:val="006F6D22"/>
    <w:rsid w:val="006F784B"/>
    <w:rsid w:val="006F7BF4"/>
    <w:rsid w:val="007016AD"/>
    <w:rsid w:val="0070172F"/>
    <w:rsid w:val="00701AC4"/>
    <w:rsid w:val="00703286"/>
    <w:rsid w:val="00703B05"/>
    <w:rsid w:val="007054A8"/>
    <w:rsid w:val="007056F2"/>
    <w:rsid w:val="00705957"/>
    <w:rsid w:val="007064C2"/>
    <w:rsid w:val="0070771A"/>
    <w:rsid w:val="00707FF4"/>
    <w:rsid w:val="00710102"/>
    <w:rsid w:val="00712015"/>
    <w:rsid w:val="00712CDB"/>
    <w:rsid w:val="007143B8"/>
    <w:rsid w:val="00715174"/>
    <w:rsid w:val="00716C12"/>
    <w:rsid w:val="0071704E"/>
    <w:rsid w:val="007174BE"/>
    <w:rsid w:val="00720496"/>
    <w:rsid w:val="007214CA"/>
    <w:rsid w:val="00721EF8"/>
    <w:rsid w:val="0072241B"/>
    <w:rsid w:val="00724EF7"/>
    <w:rsid w:val="007266E9"/>
    <w:rsid w:val="00727253"/>
    <w:rsid w:val="007274BD"/>
    <w:rsid w:val="00727777"/>
    <w:rsid w:val="007304F5"/>
    <w:rsid w:val="007316AA"/>
    <w:rsid w:val="00732075"/>
    <w:rsid w:val="0073381B"/>
    <w:rsid w:val="00734996"/>
    <w:rsid w:val="00735043"/>
    <w:rsid w:val="00735994"/>
    <w:rsid w:val="00735A8E"/>
    <w:rsid w:val="007365E9"/>
    <w:rsid w:val="00736B4E"/>
    <w:rsid w:val="00737B69"/>
    <w:rsid w:val="00740572"/>
    <w:rsid w:val="00740984"/>
    <w:rsid w:val="00740D7C"/>
    <w:rsid w:val="007412E4"/>
    <w:rsid w:val="00741B9C"/>
    <w:rsid w:val="007422A1"/>
    <w:rsid w:val="00742654"/>
    <w:rsid w:val="00743BCE"/>
    <w:rsid w:val="0074583F"/>
    <w:rsid w:val="00745E64"/>
    <w:rsid w:val="0074799D"/>
    <w:rsid w:val="00750F51"/>
    <w:rsid w:val="007543CD"/>
    <w:rsid w:val="00757A1C"/>
    <w:rsid w:val="0075DA72"/>
    <w:rsid w:val="00761C16"/>
    <w:rsid w:val="007637D8"/>
    <w:rsid w:val="00764179"/>
    <w:rsid w:val="00765EBC"/>
    <w:rsid w:val="0076749E"/>
    <w:rsid w:val="00771941"/>
    <w:rsid w:val="0077231B"/>
    <w:rsid w:val="00774643"/>
    <w:rsid w:val="00774EB1"/>
    <w:rsid w:val="00775070"/>
    <w:rsid w:val="00775375"/>
    <w:rsid w:val="00775D55"/>
    <w:rsid w:val="00780DEE"/>
    <w:rsid w:val="00781613"/>
    <w:rsid w:val="00782D35"/>
    <w:rsid w:val="007834B5"/>
    <w:rsid w:val="007838DE"/>
    <w:rsid w:val="00783CF7"/>
    <w:rsid w:val="0078466C"/>
    <w:rsid w:val="007863EF"/>
    <w:rsid w:val="00787F9F"/>
    <w:rsid w:val="007913D8"/>
    <w:rsid w:val="00791DCC"/>
    <w:rsid w:val="00792090"/>
    <w:rsid w:val="007920C4"/>
    <w:rsid w:val="00792996"/>
    <w:rsid w:val="00795806"/>
    <w:rsid w:val="007958CA"/>
    <w:rsid w:val="0079636E"/>
    <w:rsid w:val="0079753E"/>
    <w:rsid w:val="007A23AF"/>
    <w:rsid w:val="007A278F"/>
    <w:rsid w:val="007A3A5D"/>
    <w:rsid w:val="007A40AE"/>
    <w:rsid w:val="007A4567"/>
    <w:rsid w:val="007A5691"/>
    <w:rsid w:val="007B0952"/>
    <w:rsid w:val="007B2088"/>
    <w:rsid w:val="007B2A2D"/>
    <w:rsid w:val="007B43B2"/>
    <w:rsid w:val="007B46CD"/>
    <w:rsid w:val="007B4719"/>
    <w:rsid w:val="007B60FB"/>
    <w:rsid w:val="007B7F11"/>
    <w:rsid w:val="007C1E0A"/>
    <w:rsid w:val="007C2D57"/>
    <w:rsid w:val="007C4387"/>
    <w:rsid w:val="007C543C"/>
    <w:rsid w:val="007C6F7F"/>
    <w:rsid w:val="007C7CCE"/>
    <w:rsid w:val="007D01EF"/>
    <w:rsid w:val="007D0F87"/>
    <w:rsid w:val="007D16E7"/>
    <w:rsid w:val="007D18A7"/>
    <w:rsid w:val="007D1BC9"/>
    <w:rsid w:val="007D2FB7"/>
    <w:rsid w:val="007D5A7F"/>
    <w:rsid w:val="007E0D67"/>
    <w:rsid w:val="007E0E87"/>
    <w:rsid w:val="007E0F0D"/>
    <w:rsid w:val="007E0F2F"/>
    <w:rsid w:val="007E11EB"/>
    <w:rsid w:val="007E1CE8"/>
    <w:rsid w:val="007E29E1"/>
    <w:rsid w:val="007E3073"/>
    <w:rsid w:val="007E30AA"/>
    <w:rsid w:val="007E3811"/>
    <w:rsid w:val="007E5005"/>
    <w:rsid w:val="007E5BA2"/>
    <w:rsid w:val="007E79C4"/>
    <w:rsid w:val="007F1A18"/>
    <w:rsid w:val="007F1C37"/>
    <w:rsid w:val="007F22FE"/>
    <w:rsid w:val="007F23A8"/>
    <w:rsid w:val="007F3441"/>
    <w:rsid w:val="007F55EA"/>
    <w:rsid w:val="007F56BB"/>
    <w:rsid w:val="007F649F"/>
    <w:rsid w:val="007F662A"/>
    <w:rsid w:val="007F705D"/>
    <w:rsid w:val="00804604"/>
    <w:rsid w:val="00804E22"/>
    <w:rsid w:val="00806C64"/>
    <w:rsid w:val="008117C0"/>
    <w:rsid w:val="0081221D"/>
    <w:rsid w:val="00812D76"/>
    <w:rsid w:val="008152B3"/>
    <w:rsid w:val="00815F2A"/>
    <w:rsid w:val="00816032"/>
    <w:rsid w:val="0081688F"/>
    <w:rsid w:val="00816A2E"/>
    <w:rsid w:val="00816A8A"/>
    <w:rsid w:val="00816AEF"/>
    <w:rsid w:val="008225CD"/>
    <w:rsid w:val="00824274"/>
    <w:rsid w:val="00824E1C"/>
    <w:rsid w:val="00826961"/>
    <w:rsid w:val="00830300"/>
    <w:rsid w:val="0083265C"/>
    <w:rsid w:val="008337CE"/>
    <w:rsid w:val="00833A31"/>
    <w:rsid w:val="008343D4"/>
    <w:rsid w:val="00836428"/>
    <w:rsid w:val="00836998"/>
    <w:rsid w:val="00841177"/>
    <w:rsid w:val="0084118D"/>
    <w:rsid w:val="0084234E"/>
    <w:rsid w:val="008447B6"/>
    <w:rsid w:val="0084685E"/>
    <w:rsid w:val="00847C78"/>
    <w:rsid w:val="008504A9"/>
    <w:rsid w:val="00850873"/>
    <w:rsid w:val="00852B97"/>
    <w:rsid w:val="00853BDC"/>
    <w:rsid w:val="008547BA"/>
    <w:rsid w:val="0085495B"/>
    <w:rsid w:val="0085527D"/>
    <w:rsid w:val="008561B1"/>
    <w:rsid w:val="00856DF3"/>
    <w:rsid w:val="00856EAB"/>
    <w:rsid w:val="00857383"/>
    <w:rsid w:val="008633DF"/>
    <w:rsid w:val="00865E71"/>
    <w:rsid w:val="008669EE"/>
    <w:rsid w:val="00870521"/>
    <w:rsid w:val="00871681"/>
    <w:rsid w:val="00871909"/>
    <w:rsid w:val="00871A06"/>
    <w:rsid w:val="0087292F"/>
    <w:rsid w:val="00873E59"/>
    <w:rsid w:val="0087456D"/>
    <w:rsid w:val="0087642D"/>
    <w:rsid w:val="008768B8"/>
    <w:rsid w:val="008806CE"/>
    <w:rsid w:val="008818F7"/>
    <w:rsid w:val="00881DD3"/>
    <w:rsid w:val="00882AE8"/>
    <w:rsid w:val="00882F22"/>
    <w:rsid w:val="00884964"/>
    <w:rsid w:val="00884EBC"/>
    <w:rsid w:val="008856D7"/>
    <w:rsid w:val="008863B0"/>
    <w:rsid w:val="00886F96"/>
    <w:rsid w:val="00887E2D"/>
    <w:rsid w:val="00890056"/>
    <w:rsid w:val="00890D91"/>
    <w:rsid w:val="0089523C"/>
    <w:rsid w:val="00895407"/>
    <w:rsid w:val="008955AE"/>
    <w:rsid w:val="008A194C"/>
    <w:rsid w:val="008A23CB"/>
    <w:rsid w:val="008A38DD"/>
    <w:rsid w:val="008A3D48"/>
    <w:rsid w:val="008A45B4"/>
    <w:rsid w:val="008A7284"/>
    <w:rsid w:val="008B1DB6"/>
    <w:rsid w:val="008B2C12"/>
    <w:rsid w:val="008B4500"/>
    <w:rsid w:val="008B588C"/>
    <w:rsid w:val="008B5E08"/>
    <w:rsid w:val="008B6465"/>
    <w:rsid w:val="008C2E40"/>
    <w:rsid w:val="008C3B9B"/>
    <w:rsid w:val="008C6571"/>
    <w:rsid w:val="008C745A"/>
    <w:rsid w:val="008C7B1F"/>
    <w:rsid w:val="008C7B63"/>
    <w:rsid w:val="008D2564"/>
    <w:rsid w:val="008D399E"/>
    <w:rsid w:val="008D3CE0"/>
    <w:rsid w:val="008D6512"/>
    <w:rsid w:val="008E0859"/>
    <w:rsid w:val="008E1354"/>
    <w:rsid w:val="008E19BE"/>
    <w:rsid w:val="008E1B7D"/>
    <w:rsid w:val="008E3EDD"/>
    <w:rsid w:val="008E4249"/>
    <w:rsid w:val="008E54E9"/>
    <w:rsid w:val="008E5B2F"/>
    <w:rsid w:val="008E70CF"/>
    <w:rsid w:val="008F0BDD"/>
    <w:rsid w:val="008F2E5B"/>
    <w:rsid w:val="008F2ED7"/>
    <w:rsid w:val="008F2F99"/>
    <w:rsid w:val="008F3372"/>
    <w:rsid w:val="008F483D"/>
    <w:rsid w:val="008F4AD4"/>
    <w:rsid w:val="008F4AE9"/>
    <w:rsid w:val="008F6084"/>
    <w:rsid w:val="008F78E3"/>
    <w:rsid w:val="00901EC4"/>
    <w:rsid w:val="009057C8"/>
    <w:rsid w:val="00906366"/>
    <w:rsid w:val="00907441"/>
    <w:rsid w:val="00910381"/>
    <w:rsid w:val="009103CC"/>
    <w:rsid w:val="00912039"/>
    <w:rsid w:val="009139AC"/>
    <w:rsid w:val="009147FD"/>
    <w:rsid w:val="009149E8"/>
    <w:rsid w:val="00916191"/>
    <w:rsid w:val="009175D7"/>
    <w:rsid w:val="00917ABC"/>
    <w:rsid w:val="00917D99"/>
    <w:rsid w:val="00920822"/>
    <w:rsid w:val="009227A5"/>
    <w:rsid w:val="00923DA2"/>
    <w:rsid w:val="0092442B"/>
    <w:rsid w:val="00926903"/>
    <w:rsid w:val="009270FB"/>
    <w:rsid w:val="00927388"/>
    <w:rsid w:val="00927862"/>
    <w:rsid w:val="00930009"/>
    <w:rsid w:val="00930278"/>
    <w:rsid w:val="009302F5"/>
    <w:rsid w:val="0093075A"/>
    <w:rsid w:val="0093193B"/>
    <w:rsid w:val="00933895"/>
    <w:rsid w:val="00933E90"/>
    <w:rsid w:val="00934BA4"/>
    <w:rsid w:val="00934D41"/>
    <w:rsid w:val="00936CED"/>
    <w:rsid w:val="0093709F"/>
    <w:rsid w:val="0093789D"/>
    <w:rsid w:val="00942E71"/>
    <w:rsid w:val="00943365"/>
    <w:rsid w:val="00944DE6"/>
    <w:rsid w:val="00947170"/>
    <w:rsid w:val="00947B3D"/>
    <w:rsid w:val="00952C44"/>
    <w:rsid w:val="00956E94"/>
    <w:rsid w:val="0095783F"/>
    <w:rsid w:val="00962312"/>
    <w:rsid w:val="0096246F"/>
    <w:rsid w:val="009627A1"/>
    <w:rsid w:val="00964647"/>
    <w:rsid w:val="00965D3E"/>
    <w:rsid w:val="009700A1"/>
    <w:rsid w:val="00970122"/>
    <w:rsid w:val="00970860"/>
    <w:rsid w:val="009712FE"/>
    <w:rsid w:val="00976B86"/>
    <w:rsid w:val="009778FD"/>
    <w:rsid w:val="0098353B"/>
    <w:rsid w:val="0098429A"/>
    <w:rsid w:val="009844D7"/>
    <w:rsid w:val="009860D8"/>
    <w:rsid w:val="009875AD"/>
    <w:rsid w:val="00987DFB"/>
    <w:rsid w:val="0099167C"/>
    <w:rsid w:val="009924AF"/>
    <w:rsid w:val="00992788"/>
    <w:rsid w:val="00992851"/>
    <w:rsid w:val="00993741"/>
    <w:rsid w:val="0099376A"/>
    <w:rsid w:val="00994B67"/>
    <w:rsid w:val="00996C78"/>
    <w:rsid w:val="00996FC8"/>
    <w:rsid w:val="009A0438"/>
    <w:rsid w:val="009A1E27"/>
    <w:rsid w:val="009A51DF"/>
    <w:rsid w:val="009A62DA"/>
    <w:rsid w:val="009A7F71"/>
    <w:rsid w:val="009B1F76"/>
    <w:rsid w:val="009B26B3"/>
    <w:rsid w:val="009B2C74"/>
    <w:rsid w:val="009B2F2F"/>
    <w:rsid w:val="009B34D3"/>
    <w:rsid w:val="009B3689"/>
    <w:rsid w:val="009B51D7"/>
    <w:rsid w:val="009B5290"/>
    <w:rsid w:val="009B5AE7"/>
    <w:rsid w:val="009B643E"/>
    <w:rsid w:val="009B6C7E"/>
    <w:rsid w:val="009C0F62"/>
    <w:rsid w:val="009C1491"/>
    <w:rsid w:val="009C1725"/>
    <w:rsid w:val="009C2542"/>
    <w:rsid w:val="009C2B50"/>
    <w:rsid w:val="009C38F8"/>
    <w:rsid w:val="009C3BF5"/>
    <w:rsid w:val="009C4D1D"/>
    <w:rsid w:val="009C5DC0"/>
    <w:rsid w:val="009C5F1D"/>
    <w:rsid w:val="009C6336"/>
    <w:rsid w:val="009C7642"/>
    <w:rsid w:val="009D06DE"/>
    <w:rsid w:val="009D0C02"/>
    <w:rsid w:val="009D3BEA"/>
    <w:rsid w:val="009D40D9"/>
    <w:rsid w:val="009D4897"/>
    <w:rsid w:val="009D50F9"/>
    <w:rsid w:val="009D5161"/>
    <w:rsid w:val="009E034C"/>
    <w:rsid w:val="009E0FCD"/>
    <w:rsid w:val="009E4458"/>
    <w:rsid w:val="009E4AA9"/>
    <w:rsid w:val="009E4D16"/>
    <w:rsid w:val="009E52A0"/>
    <w:rsid w:val="009E6361"/>
    <w:rsid w:val="009E7242"/>
    <w:rsid w:val="009E7425"/>
    <w:rsid w:val="009F04C6"/>
    <w:rsid w:val="009F06F6"/>
    <w:rsid w:val="009F12E2"/>
    <w:rsid w:val="009F3358"/>
    <w:rsid w:val="009F478B"/>
    <w:rsid w:val="009F5286"/>
    <w:rsid w:val="009F53A4"/>
    <w:rsid w:val="009F69C1"/>
    <w:rsid w:val="00A01E17"/>
    <w:rsid w:val="00A02C06"/>
    <w:rsid w:val="00A0319F"/>
    <w:rsid w:val="00A037A9"/>
    <w:rsid w:val="00A04FE0"/>
    <w:rsid w:val="00A07A4F"/>
    <w:rsid w:val="00A11915"/>
    <w:rsid w:val="00A11A60"/>
    <w:rsid w:val="00A12CAE"/>
    <w:rsid w:val="00A13A71"/>
    <w:rsid w:val="00A157AA"/>
    <w:rsid w:val="00A158B2"/>
    <w:rsid w:val="00A161A1"/>
    <w:rsid w:val="00A20CA4"/>
    <w:rsid w:val="00A213E1"/>
    <w:rsid w:val="00A2161B"/>
    <w:rsid w:val="00A229FC"/>
    <w:rsid w:val="00A22B5C"/>
    <w:rsid w:val="00A24703"/>
    <w:rsid w:val="00A24B82"/>
    <w:rsid w:val="00A26D76"/>
    <w:rsid w:val="00A306E0"/>
    <w:rsid w:val="00A30FD5"/>
    <w:rsid w:val="00A328A4"/>
    <w:rsid w:val="00A33A22"/>
    <w:rsid w:val="00A33E1C"/>
    <w:rsid w:val="00A33F05"/>
    <w:rsid w:val="00A358B6"/>
    <w:rsid w:val="00A35F9B"/>
    <w:rsid w:val="00A37E17"/>
    <w:rsid w:val="00A40EE1"/>
    <w:rsid w:val="00A423ED"/>
    <w:rsid w:val="00A433B7"/>
    <w:rsid w:val="00A43C81"/>
    <w:rsid w:val="00A45A84"/>
    <w:rsid w:val="00A47EA1"/>
    <w:rsid w:val="00A52F07"/>
    <w:rsid w:val="00A536F3"/>
    <w:rsid w:val="00A53C85"/>
    <w:rsid w:val="00A55FCD"/>
    <w:rsid w:val="00A56677"/>
    <w:rsid w:val="00A5702A"/>
    <w:rsid w:val="00A57182"/>
    <w:rsid w:val="00A57686"/>
    <w:rsid w:val="00A60C58"/>
    <w:rsid w:val="00A63A25"/>
    <w:rsid w:val="00A66196"/>
    <w:rsid w:val="00A66D1B"/>
    <w:rsid w:val="00A66DA5"/>
    <w:rsid w:val="00A6701E"/>
    <w:rsid w:val="00A71624"/>
    <w:rsid w:val="00A72103"/>
    <w:rsid w:val="00A7392A"/>
    <w:rsid w:val="00A74E9A"/>
    <w:rsid w:val="00A75C67"/>
    <w:rsid w:val="00A76E29"/>
    <w:rsid w:val="00A76EAA"/>
    <w:rsid w:val="00A77AF9"/>
    <w:rsid w:val="00A81F21"/>
    <w:rsid w:val="00A8519B"/>
    <w:rsid w:val="00A8598B"/>
    <w:rsid w:val="00A873BC"/>
    <w:rsid w:val="00A91D08"/>
    <w:rsid w:val="00A92E0E"/>
    <w:rsid w:val="00A946FB"/>
    <w:rsid w:val="00A94972"/>
    <w:rsid w:val="00A94A6C"/>
    <w:rsid w:val="00A95161"/>
    <w:rsid w:val="00A96DD3"/>
    <w:rsid w:val="00A975D1"/>
    <w:rsid w:val="00A97BDD"/>
    <w:rsid w:val="00AA020A"/>
    <w:rsid w:val="00AA38A4"/>
    <w:rsid w:val="00AA39DD"/>
    <w:rsid w:val="00AA47AA"/>
    <w:rsid w:val="00AA6318"/>
    <w:rsid w:val="00AA77B0"/>
    <w:rsid w:val="00AA7FCB"/>
    <w:rsid w:val="00AB2B7D"/>
    <w:rsid w:val="00AB350C"/>
    <w:rsid w:val="00AB3B6D"/>
    <w:rsid w:val="00AB5020"/>
    <w:rsid w:val="00AB52A8"/>
    <w:rsid w:val="00AB54F8"/>
    <w:rsid w:val="00AB59AE"/>
    <w:rsid w:val="00AB5BCB"/>
    <w:rsid w:val="00AB5BD9"/>
    <w:rsid w:val="00AB5E11"/>
    <w:rsid w:val="00AB7038"/>
    <w:rsid w:val="00AB782C"/>
    <w:rsid w:val="00AC040C"/>
    <w:rsid w:val="00AC40B2"/>
    <w:rsid w:val="00AC4851"/>
    <w:rsid w:val="00AC6403"/>
    <w:rsid w:val="00AC6697"/>
    <w:rsid w:val="00AC7392"/>
    <w:rsid w:val="00AC7FAB"/>
    <w:rsid w:val="00AD0AA1"/>
    <w:rsid w:val="00AD0ACA"/>
    <w:rsid w:val="00AD0D3B"/>
    <w:rsid w:val="00AD0F6F"/>
    <w:rsid w:val="00AD6972"/>
    <w:rsid w:val="00AD7EFF"/>
    <w:rsid w:val="00AE07A3"/>
    <w:rsid w:val="00AE1B6C"/>
    <w:rsid w:val="00AE1B95"/>
    <w:rsid w:val="00AE253A"/>
    <w:rsid w:val="00AE345C"/>
    <w:rsid w:val="00AE372A"/>
    <w:rsid w:val="00AE4381"/>
    <w:rsid w:val="00AE47C8"/>
    <w:rsid w:val="00AE47F4"/>
    <w:rsid w:val="00AE524D"/>
    <w:rsid w:val="00AE5FC6"/>
    <w:rsid w:val="00AE6788"/>
    <w:rsid w:val="00AE7DBE"/>
    <w:rsid w:val="00AF276B"/>
    <w:rsid w:val="00AF392E"/>
    <w:rsid w:val="00AF5C54"/>
    <w:rsid w:val="00B01619"/>
    <w:rsid w:val="00B038E2"/>
    <w:rsid w:val="00B04782"/>
    <w:rsid w:val="00B05B46"/>
    <w:rsid w:val="00B104EE"/>
    <w:rsid w:val="00B10778"/>
    <w:rsid w:val="00B10A8C"/>
    <w:rsid w:val="00B1109C"/>
    <w:rsid w:val="00B12219"/>
    <w:rsid w:val="00B13E37"/>
    <w:rsid w:val="00B16D2F"/>
    <w:rsid w:val="00B16D6F"/>
    <w:rsid w:val="00B17152"/>
    <w:rsid w:val="00B1751E"/>
    <w:rsid w:val="00B2085C"/>
    <w:rsid w:val="00B211C6"/>
    <w:rsid w:val="00B21BA6"/>
    <w:rsid w:val="00B2281E"/>
    <w:rsid w:val="00B228BD"/>
    <w:rsid w:val="00B22AA6"/>
    <w:rsid w:val="00B23AC0"/>
    <w:rsid w:val="00B23ECE"/>
    <w:rsid w:val="00B271CF"/>
    <w:rsid w:val="00B275A9"/>
    <w:rsid w:val="00B3110F"/>
    <w:rsid w:val="00B31CCF"/>
    <w:rsid w:val="00B31D12"/>
    <w:rsid w:val="00B33D45"/>
    <w:rsid w:val="00B3429E"/>
    <w:rsid w:val="00B345E4"/>
    <w:rsid w:val="00B35E3B"/>
    <w:rsid w:val="00B35F89"/>
    <w:rsid w:val="00B3618D"/>
    <w:rsid w:val="00B36951"/>
    <w:rsid w:val="00B40DBF"/>
    <w:rsid w:val="00B417B7"/>
    <w:rsid w:val="00B428AF"/>
    <w:rsid w:val="00B436BF"/>
    <w:rsid w:val="00B43C4F"/>
    <w:rsid w:val="00B44231"/>
    <w:rsid w:val="00B44419"/>
    <w:rsid w:val="00B457C4"/>
    <w:rsid w:val="00B5068C"/>
    <w:rsid w:val="00B52512"/>
    <w:rsid w:val="00B52FB9"/>
    <w:rsid w:val="00B53736"/>
    <w:rsid w:val="00B54060"/>
    <w:rsid w:val="00B54EFC"/>
    <w:rsid w:val="00B56816"/>
    <w:rsid w:val="00B56EDD"/>
    <w:rsid w:val="00B57A12"/>
    <w:rsid w:val="00B603E4"/>
    <w:rsid w:val="00B617E7"/>
    <w:rsid w:val="00B62D2E"/>
    <w:rsid w:val="00B63091"/>
    <w:rsid w:val="00B63DF0"/>
    <w:rsid w:val="00B63E5C"/>
    <w:rsid w:val="00B70889"/>
    <w:rsid w:val="00B70AE8"/>
    <w:rsid w:val="00B71178"/>
    <w:rsid w:val="00B71B56"/>
    <w:rsid w:val="00B7237C"/>
    <w:rsid w:val="00B724CE"/>
    <w:rsid w:val="00B7287B"/>
    <w:rsid w:val="00B731DA"/>
    <w:rsid w:val="00B745AD"/>
    <w:rsid w:val="00B751B2"/>
    <w:rsid w:val="00B751BB"/>
    <w:rsid w:val="00B75412"/>
    <w:rsid w:val="00B758F7"/>
    <w:rsid w:val="00B766DE"/>
    <w:rsid w:val="00B80078"/>
    <w:rsid w:val="00B80372"/>
    <w:rsid w:val="00B810F9"/>
    <w:rsid w:val="00B84E11"/>
    <w:rsid w:val="00B85970"/>
    <w:rsid w:val="00B85DF5"/>
    <w:rsid w:val="00B86AF0"/>
    <w:rsid w:val="00B914A2"/>
    <w:rsid w:val="00B9332F"/>
    <w:rsid w:val="00B94447"/>
    <w:rsid w:val="00B9541E"/>
    <w:rsid w:val="00B97E6D"/>
    <w:rsid w:val="00BA00D4"/>
    <w:rsid w:val="00BA01F4"/>
    <w:rsid w:val="00BA2B4E"/>
    <w:rsid w:val="00BA3147"/>
    <w:rsid w:val="00BA43EC"/>
    <w:rsid w:val="00BA4CDE"/>
    <w:rsid w:val="00BA5990"/>
    <w:rsid w:val="00BA6632"/>
    <w:rsid w:val="00BB0488"/>
    <w:rsid w:val="00BB1533"/>
    <w:rsid w:val="00BB2C4F"/>
    <w:rsid w:val="00BB3ED5"/>
    <w:rsid w:val="00BB4733"/>
    <w:rsid w:val="00BB4864"/>
    <w:rsid w:val="00BB4AB9"/>
    <w:rsid w:val="00BB74B3"/>
    <w:rsid w:val="00BB758E"/>
    <w:rsid w:val="00BC01E1"/>
    <w:rsid w:val="00BC07C0"/>
    <w:rsid w:val="00BC081A"/>
    <w:rsid w:val="00BC119B"/>
    <w:rsid w:val="00BC1358"/>
    <w:rsid w:val="00BC1403"/>
    <w:rsid w:val="00BC50D0"/>
    <w:rsid w:val="00BC5980"/>
    <w:rsid w:val="00BC6887"/>
    <w:rsid w:val="00BD0266"/>
    <w:rsid w:val="00BD2E1B"/>
    <w:rsid w:val="00BD3CFF"/>
    <w:rsid w:val="00BD7776"/>
    <w:rsid w:val="00BD7B3D"/>
    <w:rsid w:val="00BE047D"/>
    <w:rsid w:val="00BE4530"/>
    <w:rsid w:val="00BE59BD"/>
    <w:rsid w:val="00BE645A"/>
    <w:rsid w:val="00BE78B6"/>
    <w:rsid w:val="00BF07AD"/>
    <w:rsid w:val="00BF55CE"/>
    <w:rsid w:val="00BF55F6"/>
    <w:rsid w:val="00BF5A0C"/>
    <w:rsid w:val="00BF67D0"/>
    <w:rsid w:val="00BF72B3"/>
    <w:rsid w:val="00C0174A"/>
    <w:rsid w:val="00C037D1"/>
    <w:rsid w:val="00C04BCC"/>
    <w:rsid w:val="00C051DD"/>
    <w:rsid w:val="00C05D23"/>
    <w:rsid w:val="00C05D9B"/>
    <w:rsid w:val="00C07436"/>
    <w:rsid w:val="00C0767E"/>
    <w:rsid w:val="00C10A5F"/>
    <w:rsid w:val="00C10B44"/>
    <w:rsid w:val="00C1150F"/>
    <w:rsid w:val="00C126DA"/>
    <w:rsid w:val="00C12A4D"/>
    <w:rsid w:val="00C14EAC"/>
    <w:rsid w:val="00C15591"/>
    <w:rsid w:val="00C16C85"/>
    <w:rsid w:val="00C16F46"/>
    <w:rsid w:val="00C17550"/>
    <w:rsid w:val="00C175E5"/>
    <w:rsid w:val="00C17774"/>
    <w:rsid w:val="00C17FC4"/>
    <w:rsid w:val="00C20422"/>
    <w:rsid w:val="00C214BA"/>
    <w:rsid w:val="00C21F88"/>
    <w:rsid w:val="00C22CA4"/>
    <w:rsid w:val="00C22CDD"/>
    <w:rsid w:val="00C23634"/>
    <w:rsid w:val="00C24422"/>
    <w:rsid w:val="00C26130"/>
    <w:rsid w:val="00C262C8"/>
    <w:rsid w:val="00C26B28"/>
    <w:rsid w:val="00C3019A"/>
    <w:rsid w:val="00C30CC4"/>
    <w:rsid w:val="00C30F8C"/>
    <w:rsid w:val="00C315B6"/>
    <w:rsid w:val="00C33B53"/>
    <w:rsid w:val="00C3529D"/>
    <w:rsid w:val="00C3577A"/>
    <w:rsid w:val="00C376F3"/>
    <w:rsid w:val="00C4132F"/>
    <w:rsid w:val="00C42014"/>
    <w:rsid w:val="00C426BF"/>
    <w:rsid w:val="00C42C10"/>
    <w:rsid w:val="00C43775"/>
    <w:rsid w:val="00C463D2"/>
    <w:rsid w:val="00C50104"/>
    <w:rsid w:val="00C51B28"/>
    <w:rsid w:val="00C525C8"/>
    <w:rsid w:val="00C53F1B"/>
    <w:rsid w:val="00C54A67"/>
    <w:rsid w:val="00C567FC"/>
    <w:rsid w:val="00C62A44"/>
    <w:rsid w:val="00C6329B"/>
    <w:rsid w:val="00C6339B"/>
    <w:rsid w:val="00C71B90"/>
    <w:rsid w:val="00C74648"/>
    <w:rsid w:val="00C75C18"/>
    <w:rsid w:val="00C75CB3"/>
    <w:rsid w:val="00C76531"/>
    <w:rsid w:val="00C76AA0"/>
    <w:rsid w:val="00C76C88"/>
    <w:rsid w:val="00C77993"/>
    <w:rsid w:val="00C80A39"/>
    <w:rsid w:val="00C80DD9"/>
    <w:rsid w:val="00C81593"/>
    <w:rsid w:val="00C8164C"/>
    <w:rsid w:val="00C81936"/>
    <w:rsid w:val="00C82D72"/>
    <w:rsid w:val="00C84C4C"/>
    <w:rsid w:val="00C85A0B"/>
    <w:rsid w:val="00C86C83"/>
    <w:rsid w:val="00C87B63"/>
    <w:rsid w:val="00C87F1B"/>
    <w:rsid w:val="00C911B0"/>
    <w:rsid w:val="00C92439"/>
    <w:rsid w:val="00C965C4"/>
    <w:rsid w:val="00C967AB"/>
    <w:rsid w:val="00C96C0B"/>
    <w:rsid w:val="00CA1702"/>
    <w:rsid w:val="00CA31BD"/>
    <w:rsid w:val="00CA5CC2"/>
    <w:rsid w:val="00CA6F50"/>
    <w:rsid w:val="00CA7D78"/>
    <w:rsid w:val="00CB2DAF"/>
    <w:rsid w:val="00CB33B7"/>
    <w:rsid w:val="00CB4F39"/>
    <w:rsid w:val="00CB58B4"/>
    <w:rsid w:val="00CB631F"/>
    <w:rsid w:val="00CC3947"/>
    <w:rsid w:val="00CC4DD7"/>
    <w:rsid w:val="00CC4EDA"/>
    <w:rsid w:val="00CC5314"/>
    <w:rsid w:val="00CC555B"/>
    <w:rsid w:val="00CC62D1"/>
    <w:rsid w:val="00CC6BD6"/>
    <w:rsid w:val="00CC7005"/>
    <w:rsid w:val="00CC7B30"/>
    <w:rsid w:val="00CD272A"/>
    <w:rsid w:val="00CD2DBE"/>
    <w:rsid w:val="00CD41C3"/>
    <w:rsid w:val="00CD7A1E"/>
    <w:rsid w:val="00CD7CD2"/>
    <w:rsid w:val="00CE0421"/>
    <w:rsid w:val="00CE0CAC"/>
    <w:rsid w:val="00CE1E04"/>
    <w:rsid w:val="00CE6779"/>
    <w:rsid w:val="00CE6A61"/>
    <w:rsid w:val="00CF0692"/>
    <w:rsid w:val="00CF5003"/>
    <w:rsid w:val="00CF5099"/>
    <w:rsid w:val="00CF5426"/>
    <w:rsid w:val="00CF6EA1"/>
    <w:rsid w:val="00CF7781"/>
    <w:rsid w:val="00CF7867"/>
    <w:rsid w:val="00CF78CB"/>
    <w:rsid w:val="00D0019C"/>
    <w:rsid w:val="00D005A4"/>
    <w:rsid w:val="00D03829"/>
    <w:rsid w:val="00D068C9"/>
    <w:rsid w:val="00D06B20"/>
    <w:rsid w:val="00D101CF"/>
    <w:rsid w:val="00D105B0"/>
    <w:rsid w:val="00D14700"/>
    <w:rsid w:val="00D1744B"/>
    <w:rsid w:val="00D174A6"/>
    <w:rsid w:val="00D17F80"/>
    <w:rsid w:val="00D200CC"/>
    <w:rsid w:val="00D217C4"/>
    <w:rsid w:val="00D2230D"/>
    <w:rsid w:val="00D223E4"/>
    <w:rsid w:val="00D2365D"/>
    <w:rsid w:val="00D240A9"/>
    <w:rsid w:val="00D247E1"/>
    <w:rsid w:val="00D2563C"/>
    <w:rsid w:val="00D26118"/>
    <w:rsid w:val="00D30307"/>
    <w:rsid w:val="00D30DB1"/>
    <w:rsid w:val="00D3127F"/>
    <w:rsid w:val="00D3182B"/>
    <w:rsid w:val="00D339FB"/>
    <w:rsid w:val="00D345A3"/>
    <w:rsid w:val="00D36415"/>
    <w:rsid w:val="00D36575"/>
    <w:rsid w:val="00D4150F"/>
    <w:rsid w:val="00D415F5"/>
    <w:rsid w:val="00D45B43"/>
    <w:rsid w:val="00D46DB9"/>
    <w:rsid w:val="00D50764"/>
    <w:rsid w:val="00D51A60"/>
    <w:rsid w:val="00D529D8"/>
    <w:rsid w:val="00D52AD6"/>
    <w:rsid w:val="00D52AE5"/>
    <w:rsid w:val="00D5667B"/>
    <w:rsid w:val="00D5736B"/>
    <w:rsid w:val="00D57C5A"/>
    <w:rsid w:val="00D620CF"/>
    <w:rsid w:val="00D62D18"/>
    <w:rsid w:val="00D64892"/>
    <w:rsid w:val="00D64C83"/>
    <w:rsid w:val="00D729DD"/>
    <w:rsid w:val="00D72B2A"/>
    <w:rsid w:val="00D7308C"/>
    <w:rsid w:val="00D73104"/>
    <w:rsid w:val="00D73CDD"/>
    <w:rsid w:val="00D74125"/>
    <w:rsid w:val="00D75190"/>
    <w:rsid w:val="00D75794"/>
    <w:rsid w:val="00D7662C"/>
    <w:rsid w:val="00D772E5"/>
    <w:rsid w:val="00D8037F"/>
    <w:rsid w:val="00D81A8E"/>
    <w:rsid w:val="00D830AB"/>
    <w:rsid w:val="00D8527D"/>
    <w:rsid w:val="00D86181"/>
    <w:rsid w:val="00D861C1"/>
    <w:rsid w:val="00D86901"/>
    <w:rsid w:val="00D87ADF"/>
    <w:rsid w:val="00D900C3"/>
    <w:rsid w:val="00D903D1"/>
    <w:rsid w:val="00D92835"/>
    <w:rsid w:val="00D93988"/>
    <w:rsid w:val="00D93D64"/>
    <w:rsid w:val="00D94424"/>
    <w:rsid w:val="00D96345"/>
    <w:rsid w:val="00D9739C"/>
    <w:rsid w:val="00DA03D6"/>
    <w:rsid w:val="00DA053B"/>
    <w:rsid w:val="00DA2387"/>
    <w:rsid w:val="00DA3859"/>
    <w:rsid w:val="00DA475A"/>
    <w:rsid w:val="00DA564D"/>
    <w:rsid w:val="00DA57A6"/>
    <w:rsid w:val="00DA6DB6"/>
    <w:rsid w:val="00DA7E6E"/>
    <w:rsid w:val="00DB2258"/>
    <w:rsid w:val="00DB2969"/>
    <w:rsid w:val="00DB332A"/>
    <w:rsid w:val="00DB3F40"/>
    <w:rsid w:val="00DB404E"/>
    <w:rsid w:val="00DB5783"/>
    <w:rsid w:val="00DB64F3"/>
    <w:rsid w:val="00DB7CE2"/>
    <w:rsid w:val="00DC2770"/>
    <w:rsid w:val="00DC3740"/>
    <w:rsid w:val="00DC41C9"/>
    <w:rsid w:val="00DC5473"/>
    <w:rsid w:val="00DC6057"/>
    <w:rsid w:val="00DC6A3F"/>
    <w:rsid w:val="00DD01F9"/>
    <w:rsid w:val="00DD2F76"/>
    <w:rsid w:val="00DD3996"/>
    <w:rsid w:val="00DD7716"/>
    <w:rsid w:val="00DD786A"/>
    <w:rsid w:val="00DE05E4"/>
    <w:rsid w:val="00DE415D"/>
    <w:rsid w:val="00DE4C98"/>
    <w:rsid w:val="00DE603A"/>
    <w:rsid w:val="00DE6FE8"/>
    <w:rsid w:val="00DF0908"/>
    <w:rsid w:val="00DF29AB"/>
    <w:rsid w:val="00DF687F"/>
    <w:rsid w:val="00DF6D7B"/>
    <w:rsid w:val="00DF74C8"/>
    <w:rsid w:val="00DF7A69"/>
    <w:rsid w:val="00E00604"/>
    <w:rsid w:val="00E02297"/>
    <w:rsid w:val="00E02DDC"/>
    <w:rsid w:val="00E043C8"/>
    <w:rsid w:val="00E07402"/>
    <w:rsid w:val="00E1141D"/>
    <w:rsid w:val="00E114C5"/>
    <w:rsid w:val="00E13BC3"/>
    <w:rsid w:val="00E13D93"/>
    <w:rsid w:val="00E15731"/>
    <w:rsid w:val="00E162F5"/>
    <w:rsid w:val="00E1750C"/>
    <w:rsid w:val="00E20982"/>
    <w:rsid w:val="00E21471"/>
    <w:rsid w:val="00E21830"/>
    <w:rsid w:val="00E21BAE"/>
    <w:rsid w:val="00E2493E"/>
    <w:rsid w:val="00E24F8E"/>
    <w:rsid w:val="00E25516"/>
    <w:rsid w:val="00E26FC5"/>
    <w:rsid w:val="00E307F3"/>
    <w:rsid w:val="00E315D5"/>
    <w:rsid w:val="00E31DE1"/>
    <w:rsid w:val="00E3230E"/>
    <w:rsid w:val="00E329E1"/>
    <w:rsid w:val="00E33884"/>
    <w:rsid w:val="00E349A1"/>
    <w:rsid w:val="00E35775"/>
    <w:rsid w:val="00E366DF"/>
    <w:rsid w:val="00E3716E"/>
    <w:rsid w:val="00E37BCC"/>
    <w:rsid w:val="00E37FC4"/>
    <w:rsid w:val="00E418F0"/>
    <w:rsid w:val="00E42AAC"/>
    <w:rsid w:val="00E42EAD"/>
    <w:rsid w:val="00E42FAD"/>
    <w:rsid w:val="00E43483"/>
    <w:rsid w:val="00E43D7A"/>
    <w:rsid w:val="00E44CB8"/>
    <w:rsid w:val="00E456F6"/>
    <w:rsid w:val="00E45961"/>
    <w:rsid w:val="00E46164"/>
    <w:rsid w:val="00E47A75"/>
    <w:rsid w:val="00E502E5"/>
    <w:rsid w:val="00E5328D"/>
    <w:rsid w:val="00E55910"/>
    <w:rsid w:val="00E60073"/>
    <w:rsid w:val="00E60B7A"/>
    <w:rsid w:val="00E612AA"/>
    <w:rsid w:val="00E61DEF"/>
    <w:rsid w:val="00E62547"/>
    <w:rsid w:val="00E62974"/>
    <w:rsid w:val="00E63FDB"/>
    <w:rsid w:val="00E65E0E"/>
    <w:rsid w:val="00E70114"/>
    <w:rsid w:val="00E71D68"/>
    <w:rsid w:val="00E7251A"/>
    <w:rsid w:val="00E72EE4"/>
    <w:rsid w:val="00E736A6"/>
    <w:rsid w:val="00E75258"/>
    <w:rsid w:val="00E75D84"/>
    <w:rsid w:val="00E7796C"/>
    <w:rsid w:val="00E81D0D"/>
    <w:rsid w:val="00E81F10"/>
    <w:rsid w:val="00E826D1"/>
    <w:rsid w:val="00E82B70"/>
    <w:rsid w:val="00E83D2B"/>
    <w:rsid w:val="00E8421A"/>
    <w:rsid w:val="00E84D9B"/>
    <w:rsid w:val="00E852C3"/>
    <w:rsid w:val="00E90295"/>
    <w:rsid w:val="00E909D0"/>
    <w:rsid w:val="00E92232"/>
    <w:rsid w:val="00E93665"/>
    <w:rsid w:val="00E93B48"/>
    <w:rsid w:val="00E944DE"/>
    <w:rsid w:val="00E9503F"/>
    <w:rsid w:val="00E952AA"/>
    <w:rsid w:val="00E95CF7"/>
    <w:rsid w:val="00E960CB"/>
    <w:rsid w:val="00E96ABC"/>
    <w:rsid w:val="00E97272"/>
    <w:rsid w:val="00EA0DF2"/>
    <w:rsid w:val="00EA0EEB"/>
    <w:rsid w:val="00EA2B3D"/>
    <w:rsid w:val="00EA2C63"/>
    <w:rsid w:val="00EA43FE"/>
    <w:rsid w:val="00EA5A5E"/>
    <w:rsid w:val="00EA6394"/>
    <w:rsid w:val="00EA73E6"/>
    <w:rsid w:val="00EB035E"/>
    <w:rsid w:val="00EB098C"/>
    <w:rsid w:val="00EB368F"/>
    <w:rsid w:val="00EB46C5"/>
    <w:rsid w:val="00EB5A9B"/>
    <w:rsid w:val="00EC440E"/>
    <w:rsid w:val="00EC5746"/>
    <w:rsid w:val="00EC65BD"/>
    <w:rsid w:val="00EC7CB0"/>
    <w:rsid w:val="00ED2912"/>
    <w:rsid w:val="00ED2DCC"/>
    <w:rsid w:val="00ED7D0F"/>
    <w:rsid w:val="00ED7E02"/>
    <w:rsid w:val="00EE3828"/>
    <w:rsid w:val="00EE38C7"/>
    <w:rsid w:val="00EE3C13"/>
    <w:rsid w:val="00EE514F"/>
    <w:rsid w:val="00EF1062"/>
    <w:rsid w:val="00EF18F8"/>
    <w:rsid w:val="00EF2557"/>
    <w:rsid w:val="00EF2993"/>
    <w:rsid w:val="00EF2BE5"/>
    <w:rsid w:val="00EF3F2F"/>
    <w:rsid w:val="00EF4293"/>
    <w:rsid w:val="00EF70DF"/>
    <w:rsid w:val="00EF7C0D"/>
    <w:rsid w:val="00F00CE6"/>
    <w:rsid w:val="00F0307B"/>
    <w:rsid w:val="00F03BFB"/>
    <w:rsid w:val="00F03D94"/>
    <w:rsid w:val="00F042FA"/>
    <w:rsid w:val="00F05AA1"/>
    <w:rsid w:val="00F11D04"/>
    <w:rsid w:val="00F12ADC"/>
    <w:rsid w:val="00F132C4"/>
    <w:rsid w:val="00F1361B"/>
    <w:rsid w:val="00F16374"/>
    <w:rsid w:val="00F20CC2"/>
    <w:rsid w:val="00F2180C"/>
    <w:rsid w:val="00F22434"/>
    <w:rsid w:val="00F225E3"/>
    <w:rsid w:val="00F22813"/>
    <w:rsid w:val="00F22A46"/>
    <w:rsid w:val="00F235E4"/>
    <w:rsid w:val="00F23CD7"/>
    <w:rsid w:val="00F2442A"/>
    <w:rsid w:val="00F2461F"/>
    <w:rsid w:val="00F24D5C"/>
    <w:rsid w:val="00F25164"/>
    <w:rsid w:val="00F2E58F"/>
    <w:rsid w:val="00F30DE1"/>
    <w:rsid w:val="00F35DFD"/>
    <w:rsid w:val="00F36233"/>
    <w:rsid w:val="00F368E9"/>
    <w:rsid w:val="00F36BE0"/>
    <w:rsid w:val="00F3720A"/>
    <w:rsid w:val="00F37519"/>
    <w:rsid w:val="00F37BE1"/>
    <w:rsid w:val="00F37F86"/>
    <w:rsid w:val="00F40E80"/>
    <w:rsid w:val="00F4107A"/>
    <w:rsid w:val="00F433F1"/>
    <w:rsid w:val="00F436FD"/>
    <w:rsid w:val="00F43AB6"/>
    <w:rsid w:val="00F43C83"/>
    <w:rsid w:val="00F43D1C"/>
    <w:rsid w:val="00F44F18"/>
    <w:rsid w:val="00F4537D"/>
    <w:rsid w:val="00F50BB8"/>
    <w:rsid w:val="00F51AFD"/>
    <w:rsid w:val="00F52704"/>
    <w:rsid w:val="00F5392E"/>
    <w:rsid w:val="00F53BF9"/>
    <w:rsid w:val="00F56A01"/>
    <w:rsid w:val="00F573D6"/>
    <w:rsid w:val="00F57C58"/>
    <w:rsid w:val="00F601FA"/>
    <w:rsid w:val="00F60EF8"/>
    <w:rsid w:val="00F6117C"/>
    <w:rsid w:val="00F612FF"/>
    <w:rsid w:val="00F630B3"/>
    <w:rsid w:val="00F64174"/>
    <w:rsid w:val="00F6493F"/>
    <w:rsid w:val="00F65C3B"/>
    <w:rsid w:val="00F669FD"/>
    <w:rsid w:val="00F66C6A"/>
    <w:rsid w:val="00F6724A"/>
    <w:rsid w:val="00F67E46"/>
    <w:rsid w:val="00F70389"/>
    <w:rsid w:val="00F70F03"/>
    <w:rsid w:val="00F75663"/>
    <w:rsid w:val="00F759C7"/>
    <w:rsid w:val="00F75DA6"/>
    <w:rsid w:val="00F765ED"/>
    <w:rsid w:val="00F7684A"/>
    <w:rsid w:val="00F76B3B"/>
    <w:rsid w:val="00F77BA0"/>
    <w:rsid w:val="00F806DC"/>
    <w:rsid w:val="00F811E7"/>
    <w:rsid w:val="00F81D3A"/>
    <w:rsid w:val="00F83364"/>
    <w:rsid w:val="00F83F58"/>
    <w:rsid w:val="00F84A67"/>
    <w:rsid w:val="00F853FA"/>
    <w:rsid w:val="00F85AC8"/>
    <w:rsid w:val="00F87B26"/>
    <w:rsid w:val="00F9056C"/>
    <w:rsid w:val="00F9202E"/>
    <w:rsid w:val="00F92EF4"/>
    <w:rsid w:val="00F934B6"/>
    <w:rsid w:val="00F9361D"/>
    <w:rsid w:val="00F9383F"/>
    <w:rsid w:val="00F93D83"/>
    <w:rsid w:val="00F97D05"/>
    <w:rsid w:val="00FA02BC"/>
    <w:rsid w:val="00FA1D90"/>
    <w:rsid w:val="00FA2927"/>
    <w:rsid w:val="00FA33E1"/>
    <w:rsid w:val="00FA3447"/>
    <w:rsid w:val="00FA3477"/>
    <w:rsid w:val="00FA3A12"/>
    <w:rsid w:val="00FA4CE2"/>
    <w:rsid w:val="00FA5A7A"/>
    <w:rsid w:val="00FA670C"/>
    <w:rsid w:val="00FA75D7"/>
    <w:rsid w:val="00FB03FB"/>
    <w:rsid w:val="00FB0B3C"/>
    <w:rsid w:val="00FB1C40"/>
    <w:rsid w:val="00FB3C28"/>
    <w:rsid w:val="00FB3C8B"/>
    <w:rsid w:val="00FB3E44"/>
    <w:rsid w:val="00FB4891"/>
    <w:rsid w:val="00FB4B3F"/>
    <w:rsid w:val="00FB50E8"/>
    <w:rsid w:val="00FB581E"/>
    <w:rsid w:val="00FB7E7A"/>
    <w:rsid w:val="00FC0D53"/>
    <w:rsid w:val="00FC131A"/>
    <w:rsid w:val="00FC31D2"/>
    <w:rsid w:val="00FC46B0"/>
    <w:rsid w:val="00FC4794"/>
    <w:rsid w:val="00FC550A"/>
    <w:rsid w:val="00FC5D79"/>
    <w:rsid w:val="00FC60BA"/>
    <w:rsid w:val="00FC686F"/>
    <w:rsid w:val="00FC7FBE"/>
    <w:rsid w:val="00FD0EA2"/>
    <w:rsid w:val="00FD212D"/>
    <w:rsid w:val="00FD33F8"/>
    <w:rsid w:val="00FD3C56"/>
    <w:rsid w:val="00FD511B"/>
    <w:rsid w:val="00FD7C12"/>
    <w:rsid w:val="00FE0378"/>
    <w:rsid w:val="00FE06E4"/>
    <w:rsid w:val="00FE2347"/>
    <w:rsid w:val="00FE58AD"/>
    <w:rsid w:val="00FE7390"/>
    <w:rsid w:val="00FE779D"/>
    <w:rsid w:val="00FF0070"/>
    <w:rsid w:val="00FF151E"/>
    <w:rsid w:val="00FF1907"/>
    <w:rsid w:val="00FF1ADD"/>
    <w:rsid w:val="00FF22EA"/>
    <w:rsid w:val="00FF27F3"/>
    <w:rsid w:val="00FF7593"/>
    <w:rsid w:val="00FF7B27"/>
    <w:rsid w:val="010C2BB4"/>
    <w:rsid w:val="0118744C"/>
    <w:rsid w:val="0148FBA8"/>
    <w:rsid w:val="01538D93"/>
    <w:rsid w:val="016B9B98"/>
    <w:rsid w:val="01A7E8A7"/>
    <w:rsid w:val="01B52A33"/>
    <w:rsid w:val="01BA1F07"/>
    <w:rsid w:val="01DC0FD9"/>
    <w:rsid w:val="01DE5A3F"/>
    <w:rsid w:val="01FC0E6B"/>
    <w:rsid w:val="021744FA"/>
    <w:rsid w:val="021D8C48"/>
    <w:rsid w:val="022ED6FA"/>
    <w:rsid w:val="025D10DA"/>
    <w:rsid w:val="026860F7"/>
    <w:rsid w:val="026A1E91"/>
    <w:rsid w:val="02C37BC0"/>
    <w:rsid w:val="02C9F6AB"/>
    <w:rsid w:val="02D2F72A"/>
    <w:rsid w:val="02E5C9D6"/>
    <w:rsid w:val="0307E962"/>
    <w:rsid w:val="0314D16C"/>
    <w:rsid w:val="032E9CC1"/>
    <w:rsid w:val="03502C32"/>
    <w:rsid w:val="03550E65"/>
    <w:rsid w:val="036E98DB"/>
    <w:rsid w:val="0370F4D2"/>
    <w:rsid w:val="0375A0CE"/>
    <w:rsid w:val="038079E7"/>
    <w:rsid w:val="03853BDD"/>
    <w:rsid w:val="03922D7D"/>
    <w:rsid w:val="03BF5DFD"/>
    <w:rsid w:val="03E92E52"/>
    <w:rsid w:val="03F99CAF"/>
    <w:rsid w:val="03FECE72"/>
    <w:rsid w:val="04203111"/>
    <w:rsid w:val="045A5369"/>
    <w:rsid w:val="0471FF85"/>
    <w:rsid w:val="049BECBD"/>
    <w:rsid w:val="04C9B642"/>
    <w:rsid w:val="05381456"/>
    <w:rsid w:val="0542F209"/>
    <w:rsid w:val="054D38A6"/>
    <w:rsid w:val="0555C9D6"/>
    <w:rsid w:val="056D7F8F"/>
    <w:rsid w:val="0579E4D2"/>
    <w:rsid w:val="058A5688"/>
    <w:rsid w:val="05DE9C70"/>
    <w:rsid w:val="05E41951"/>
    <w:rsid w:val="060A8A60"/>
    <w:rsid w:val="060AE8CD"/>
    <w:rsid w:val="061E3AFA"/>
    <w:rsid w:val="06271215"/>
    <w:rsid w:val="062D973D"/>
    <w:rsid w:val="0641AF84"/>
    <w:rsid w:val="064300EB"/>
    <w:rsid w:val="067EA324"/>
    <w:rsid w:val="06B8746C"/>
    <w:rsid w:val="06C70B83"/>
    <w:rsid w:val="06CCE12B"/>
    <w:rsid w:val="06D3454E"/>
    <w:rsid w:val="06FCF43F"/>
    <w:rsid w:val="07101424"/>
    <w:rsid w:val="07165473"/>
    <w:rsid w:val="073FF05A"/>
    <w:rsid w:val="0780A9BB"/>
    <w:rsid w:val="0798652C"/>
    <w:rsid w:val="07D54457"/>
    <w:rsid w:val="07D6228A"/>
    <w:rsid w:val="07E36C21"/>
    <w:rsid w:val="07FCB878"/>
    <w:rsid w:val="084652BF"/>
    <w:rsid w:val="0848023B"/>
    <w:rsid w:val="084E000C"/>
    <w:rsid w:val="0866CCA3"/>
    <w:rsid w:val="0879ABBE"/>
    <w:rsid w:val="087FE2AA"/>
    <w:rsid w:val="08B41AA8"/>
    <w:rsid w:val="08FF301C"/>
    <w:rsid w:val="09053522"/>
    <w:rsid w:val="091181C6"/>
    <w:rsid w:val="09193C91"/>
    <w:rsid w:val="09340C11"/>
    <w:rsid w:val="0956308B"/>
    <w:rsid w:val="09822C2F"/>
    <w:rsid w:val="09877531"/>
    <w:rsid w:val="09A4AA94"/>
    <w:rsid w:val="09F39BFF"/>
    <w:rsid w:val="0A171B02"/>
    <w:rsid w:val="0A2BE1DB"/>
    <w:rsid w:val="0A3A69FC"/>
    <w:rsid w:val="0A57B955"/>
    <w:rsid w:val="0A588178"/>
    <w:rsid w:val="0A5C67A6"/>
    <w:rsid w:val="0A6E897B"/>
    <w:rsid w:val="0A92C76F"/>
    <w:rsid w:val="0A9FF9E8"/>
    <w:rsid w:val="0AC93A0E"/>
    <w:rsid w:val="0AD41EB7"/>
    <w:rsid w:val="0AD9EC17"/>
    <w:rsid w:val="0AEB3873"/>
    <w:rsid w:val="0B03EABB"/>
    <w:rsid w:val="0B05BBDA"/>
    <w:rsid w:val="0B064A45"/>
    <w:rsid w:val="0B0B7421"/>
    <w:rsid w:val="0B4F7280"/>
    <w:rsid w:val="0B79917A"/>
    <w:rsid w:val="0B938F6C"/>
    <w:rsid w:val="0BA79EB5"/>
    <w:rsid w:val="0BB805E0"/>
    <w:rsid w:val="0BC26027"/>
    <w:rsid w:val="0BC3A35F"/>
    <w:rsid w:val="0BD879B0"/>
    <w:rsid w:val="0BF841D9"/>
    <w:rsid w:val="0C23EDB2"/>
    <w:rsid w:val="0C676329"/>
    <w:rsid w:val="0C737A8F"/>
    <w:rsid w:val="0C857BB7"/>
    <w:rsid w:val="0CE3F717"/>
    <w:rsid w:val="0CED5E3C"/>
    <w:rsid w:val="0CF599A5"/>
    <w:rsid w:val="0D08F15D"/>
    <w:rsid w:val="0D17B26E"/>
    <w:rsid w:val="0D3FBB1E"/>
    <w:rsid w:val="0D51751F"/>
    <w:rsid w:val="0D77DE0D"/>
    <w:rsid w:val="0D9659CD"/>
    <w:rsid w:val="0DB8BCA5"/>
    <w:rsid w:val="0DBA074F"/>
    <w:rsid w:val="0DFB47A3"/>
    <w:rsid w:val="0E6B211A"/>
    <w:rsid w:val="0E7EB342"/>
    <w:rsid w:val="0E96EE48"/>
    <w:rsid w:val="0EC0DF3D"/>
    <w:rsid w:val="0EC18238"/>
    <w:rsid w:val="0EF7E726"/>
    <w:rsid w:val="0EF93802"/>
    <w:rsid w:val="0F069DBD"/>
    <w:rsid w:val="0F3D0B09"/>
    <w:rsid w:val="0F5A1896"/>
    <w:rsid w:val="0F861BAD"/>
    <w:rsid w:val="0F924272"/>
    <w:rsid w:val="0FAEBC79"/>
    <w:rsid w:val="0FE39750"/>
    <w:rsid w:val="100DD517"/>
    <w:rsid w:val="102F13DF"/>
    <w:rsid w:val="105351F2"/>
    <w:rsid w:val="10938AF0"/>
    <w:rsid w:val="109509EE"/>
    <w:rsid w:val="1099111E"/>
    <w:rsid w:val="109FC7F2"/>
    <w:rsid w:val="10EDC4D1"/>
    <w:rsid w:val="111727FA"/>
    <w:rsid w:val="113922C0"/>
    <w:rsid w:val="1157799B"/>
    <w:rsid w:val="115C1D03"/>
    <w:rsid w:val="1163E113"/>
    <w:rsid w:val="11674FA0"/>
    <w:rsid w:val="1187E767"/>
    <w:rsid w:val="118A20C3"/>
    <w:rsid w:val="1190F2F7"/>
    <w:rsid w:val="11AD4A0D"/>
    <w:rsid w:val="11D03BE9"/>
    <w:rsid w:val="120BCD6F"/>
    <w:rsid w:val="120E00D4"/>
    <w:rsid w:val="123E2164"/>
    <w:rsid w:val="126F6774"/>
    <w:rsid w:val="1272AE98"/>
    <w:rsid w:val="1273E483"/>
    <w:rsid w:val="127C8FDA"/>
    <w:rsid w:val="128127BF"/>
    <w:rsid w:val="1281E2AB"/>
    <w:rsid w:val="12827A67"/>
    <w:rsid w:val="12899720"/>
    <w:rsid w:val="128DB793"/>
    <w:rsid w:val="12972A6E"/>
    <w:rsid w:val="12A9C025"/>
    <w:rsid w:val="12ACE8BF"/>
    <w:rsid w:val="12BAAA5B"/>
    <w:rsid w:val="12BC34AD"/>
    <w:rsid w:val="12D361D5"/>
    <w:rsid w:val="12F85D9B"/>
    <w:rsid w:val="12FBAC71"/>
    <w:rsid w:val="13176E68"/>
    <w:rsid w:val="1324D61B"/>
    <w:rsid w:val="132B71F7"/>
    <w:rsid w:val="134E724C"/>
    <w:rsid w:val="134F6DC5"/>
    <w:rsid w:val="136AD35A"/>
    <w:rsid w:val="1373C046"/>
    <w:rsid w:val="1393CB0D"/>
    <w:rsid w:val="1396FE22"/>
    <w:rsid w:val="13EED9BA"/>
    <w:rsid w:val="14170CC9"/>
    <w:rsid w:val="1433E81A"/>
    <w:rsid w:val="1435B6E6"/>
    <w:rsid w:val="1439F8CD"/>
    <w:rsid w:val="143BC95E"/>
    <w:rsid w:val="14413999"/>
    <w:rsid w:val="1446D37F"/>
    <w:rsid w:val="14C1AAA3"/>
    <w:rsid w:val="14D5F777"/>
    <w:rsid w:val="14FF9BFD"/>
    <w:rsid w:val="150C771C"/>
    <w:rsid w:val="15115D11"/>
    <w:rsid w:val="1537788C"/>
    <w:rsid w:val="154F9570"/>
    <w:rsid w:val="1564B6EC"/>
    <w:rsid w:val="158F1C74"/>
    <w:rsid w:val="15A2F071"/>
    <w:rsid w:val="15A47457"/>
    <w:rsid w:val="15ECB328"/>
    <w:rsid w:val="15F0F53C"/>
    <w:rsid w:val="15F6DBCE"/>
    <w:rsid w:val="15F7DE29"/>
    <w:rsid w:val="16006486"/>
    <w:rsid w:val="1603B3B4"/>
    <w:rsid w:val="1604377F"/>
    <w:rsid w:val="16446F33"/>
    <w:rsid w:val="164CDF00"/>
    <w:rsid w:val="164FA117"/>
    <w:rsid w:val="16589B76"/>
    <w:rsid w:val="1675E6AE"/>
    <w:rsid w:val="167880EA"/>
    <w:rsid w:val="16A95906"/>
    <w:rsid w:val="16B73AB7"/>
    <w:rsid w:val="16BE7BA3"/>
    <w:rsid w:val="16DAE3CB"/>
    <w:rsid w:val="16DE3E8F"/>
    <w:rsid w:val="16E395C8"/>
    <w:rsid w:val="1711E585"/>
    <w:rsid w:val="1722C4C4"/>
    <w:rsid w:val="173199E3"/>
    <w:rsid w:val="175FFD7B"/>
    <w:rsid w:val="179C1497"/>
    <w:rsid w:val="179EBAFA"/>
    <w:rsid w:val="179F6652"/>
    <w:rsid w:val="17B2896A"/>
    <w:rsid w:val="17DB02D5"/>
    <w:rsid w:val="17F9C7B5"/>
    <w:rsid w:val="1808F1D4"/>
    <w:rsid w:val="18405745"/>
    <w:rsid w:val="18424E8E"/>
    <w:rsid w:val="186C91BC"/>
    <w:rsid w:val="188C93BD"/>
    <w:rsid w:val="1897890C"/>
    <w:rsid w:val="189D89D3"/>
    <w:rsid w:val="18B3F041"/>
    <w:rsid w:val="18E1FA89"/>
    <w:rsid w:val="18FBD0E5"/>
    <w:rsid w:val="19051758"/>
    <w:rsid w:val="190EA9C0"/>
    <w:rsid w:val="191F1367"/>
    <w:rsid w:val="1921ABF1"/>
    <w:rsid w:val="193BCB49"/>
    <w:rsid w:val="19447969"/>
    <w:rsid w:val="1959C66F"/>
    <w:rsid w:val="195E3804"/>
    <w:rsid w:val="196DF013"/>
    <w:rsid w:val="19BE2FFC"/>
    <w:rsid w:val="19C59A7A"/>
    <w:rsid w:val="19C714BC"/>
    <w:rsid w:val="19DC7870"/>
    <w:rsid w:val="19E00277"/>
    <w:rsid w:val="1A0D0414"/>
    <w:rsid w:val="1A461AB9"/>
    <w:rsid w:val="1A72681A"/>
    <w:rsid w:val="1A80EABC"/>
    <w:rsid w:val="1A969740"/>
    <w:rsid w:val="1AD739D8"/>
    <w:rsid w:val="1AFCAD32"/>
    <w:rsid w:val="1B213AEA"/>
    <w:rsid w:val="1B216E13"/>
    <w:rsid w:val="1B548E98"/>
    <w:rsid w:val="1B59EAA1"/>
    <w:rsid w:val="1B8C6DA3"/>
    <w:rsid w:val="1BAFAEDB"/>
    <w:rsid w:val="1BC78D1A"/>
    <w:rsid w:val="1BFB3376"/>
    <w:rsid w:val="1C387A80"/>
    <w:rsid w:val="1C76F33C"/>
    <w:rsid w:val="1C80C07B"/>
    <w:rsid w:val="1CB5CC26"/>
    <w:rsid w:val="1CC49A7C"/>
    <w:rsid w:val="1CC75DF4"/>
    <w:rsid w:val="1CCB022F"/>
    <w:rsid w:val="1CE54394"/>
    <w:rsid w:val="1CF0E122"/>
    <w:rsid w:val="1CF133B0"/>
    <w:rsid w:val="1D8D2210"/>
    <w:rsid w:val="1D8F7B25"/>
    <w:rsid w:val="1D911AC9"/>
    <w:rsid w:val="1DAA0032"/>
    <w:rsid w:val="1DB6A88B"/>
    <w:rsid w:val="1DC27355"/>
    <w:rsid w:val="1DDB7FC9"/>
    <w:rsid w:val="1DE93A7A"/>
    <w:rsid w:val="1E06252B"/>
    <w:rsid w:val="1E16D999"/>
    <w:rsid w:val="1E198AD3"/>
    <w:rsid w:val="1E218E7C"/>
    <w:rsid w:val="1E4E151B"/>
    <w:rsid w:val="1E9A6590"/>
    <w:rsid w:val="1EAC3219"/>
    <w:rsid w:val="1EE2D28C"/>
    <w:rsid w:val="1EFC9EB0"/>
    <w:rsid w:val="1F071624"/>
    <w:rsid w:val="1F24DDDD"/>
    <w:rsid w:val="1F31C67D"/>
    <w:rsid w:val="1F3284C7"/>
    <w:rsid w:val="1F3E3C93"/>
    <w:rsid w:val="1F3EBD9B"/>
    <w:rsid w:val="1F6B2F36"/>
    <w:rsid w:val="1F6E953B"/>
    <w:rsid w:val="1FC0A8B2"/>
    <w:rsid w:val="1FDBB691"/>
    <w:rsid w:val="200BD1E3"/>
    <w:rsid w:val="20242E2B"/>
    <w:rsid w:val="205E2A23"/>
    <w:rsid w:val="20719D4B"/>
    <w:rsid w:val="208A3BE3"/>
    <w:rsid w:val="20A34FFE"/>
    <w:rsid w:val="20CBBC03"/>
    <w:rsid w:val="20E2B3CC"/>
    <w:rsid w:val="20E6C1B9"/>
    <w:rsid w:val="20EBB8F7"/>
    <w:rsid w:val="20F5A959"/>
    <w:rsid w:val="20FEF79F"/>
    <w:rsid w:val="2110A25A"/>
    <w:rsid w:val="21413624"/>
    <w:rsid w:val="214C787A"/>
    <w:rsid w:val="215FE7A9"/>
    <w:rsid w:val="219DC857"/>
    <w:rsid w:val="21ADD83D"/>
    <w:rsid w:val="21D73667"/>
    <w:rsid w:val="21E9EE77"/>
    <w:rsid w:val="22025053"/>
    <w:rsid w:val="22443575"/>
    <w:rsid w:val="2270D9C2"/>
    <w:rsid w:val="228A2C95"/>
    <w:rsid w:val="228E62E5"/>
    <w:rsid w:val="22AE4A19"/>
    <w:rsid w:val="22BBEE9B"/>
    <w:rsid w:val="22DCA37B"/>
    <w:rsid w:val="22FD4DFB"/>
    <w:rsid w:val="2303773F"/>
    <w:rsid w:val="230934BF"/>
    <w:rsid w:val="23224C2F"/>
    <w:rsid w:val="23367469"/>
    <w:rsid w:val="233734C8"/>
    <w:rsid w:val="233D9579"/>
    <w:rsid w:val="2350C4E9"/>
    <w:rsid w:val="2371D267"/>
    <w:rsid w:val="2384DF49"/>
    <w:rsid w:val="238DF648"/>
    <w:rsid w:val="23A50FBD"/>
    <w:rsid w:val="23CBBFAA"/>
    <w:rsid w:val="23E3DF0C"/>
    <w:rsid w:val="23E62BE3"/>
    <w:rsid w:val="23FF00AC"/>
    <w:rsid w:val="2407226A"/>
    <w:rsid w:val="24076323"/>
    <w:rsid w:val="240D936B"/>
    <w:rsid w:val="24102B05"/>
    <w:rsid w:val="24181DB8"/>
    <w:rsid w:val="242FBD74"/>
    <w:rsid w:val="24385AB6"/>
    <w:rsid w:val="244038D1"/>
    <w:rsid w:val="246DA9F7"/>
    <w:rsid w:val="24701155"/>
    <w:rsid w:val="24847DF0"/>
    <w:rsid w:val="248F77D2"/>
    <w:rsid w:val="249AE02F"/>
    <w:rsid w:val="24AB860F"/>
    <w:rsid w:val="24B0B086"/>
    <w:rsid w:val="24BB603C"/>
    <w:rsid w:val="24EF6F34"/>
    <w:rsid w:val="24F031BF"/>
    <w:rsid w:val="2504F2E1"/>
    <w:rsid w:val="25065BF7"/>
    <w:rsid w:val="25083286"/>
    <w:rsid w:val="250A102B"/>
    <w:rsid w:val="253D2823"/>
    <w:rsid w:val="256E6B52"/>
    <w:rsid w:val="2573574D"/>
    <w:rsid w:val="257E0138"/>
    <w:rsid w:val="258A5976"/>
    <w:rsid w:val="258D87B4"/>
    <w:rsid w:val="25910162"/>
    <w:rsid w:val="25A589CD"/>
    <w:rsid w:val="25BBBE66"/>
    <w:rsid w:val="25D4A326"/>
    <w:rsid w:val="2619588C"/>
    <w:rsid w:val="262030A8"/>
    <w:rsid w:val="262B2DA7"/>
    <w:rsid w:val="262F4919"/>
    <w:rsid w:val="2641F288"/>
    <w:rsid w:val="26627440"/>
    <w:rsid w:val="266DCD19"/>
    <w:rsid w:val="2691D3DB"/>
    <w:rsid w:val="26A613F0"/>
    <w:rsid w:val="26CA6C5F"/>
    <w:rsid w:val="2706BCC3"/>
    <w:rsid w:val="2712D8B2"/>
    <w:rsid w:val="27253838"/>
    <w:rsid w:val="273D3AEA"/>
    <w:rsid w:val="274E3605"/>
    <w:rsid w:val="27553789"/>
    <w:rsid w:val="2767F137"/>
    <w:rsid w:val="2778BD83"/>
    <w:rsid w:val="27DAD98B"/>
    <w:rsid w:val="27DFE976"/>
    <w:rsid w:val="27EC57EB"/>
    <w:rsid w:val="27F205A4"/>
    <w:rsid w:val="27F292F8"/>
    <w:rsid w:val="281F2F00"/>
    <w:rsid w:val="283057FC"/>
    <w:rsid w:val="284D0103"/>
    <w:rsid w:val="2890AE20"/>
    <w:rsid w:val="28B2402C"/>
    <w:rsid w:val="28BE557E"/>
    <w:rsid w:val="28C33F37"/>
    <w:rsid w:val="28DAAF2F"/>
    <w:rsid w:val="28E3FE77"/>
    <w:rsid w:val="28F156CA"/>
    <w:rsid w:val="29043AF1"/>
    <w:rsid w:val="291F2C94"/>
    <w:rsid w:val="2950CBF3"/>
    <w:rsid w:val="299B56E5"/>
    <w:rsid w:val="29C21F94"/>
    <w:rsid w:val="29C30C13"/>
    <w:rsid w:val="2A115EF6"/>
    <w:rsid w:val="2A3574BA"/>
    <w:rsid w:val="2A7229C0"/>
    <w:rsid w:val="2A79C5B3"/>
    <w:rsid w:val="2AACCA63"/>
    <w:rsid w:val="2AB0BBDC"/>
    <w:rsid w:val="2ACB6AB7"/>
    <w:rsid w:val="2B0093D1"/>
    <w:rsid w:val="2B1138E1"/>
    <w:rsid w:val="2B1C7936"/>
    <w:rsid w:val="2B2CDCA3"/>
    <w:rsid w:val="2B3E0834"/>
    <w:rsid w:val="2B533B29"/>
    <w:rsid w:val="2B5E104C"/>
    <w:rsid w:val="2B671577"/>
    <w:rsid w:val="2B687B58"/>
    <w:rsid w:val="2B6C2DEB"/>
    <w:rsid w:val="2B7755C6"/>
    <w:rsid w:val="2B848A99"/>
    <w:rsid w:val="2BACB009"/>
    <w:rsid w:val="2BAEE74C"/>
    <w:rsid w:val="2BD612A1"/>
    <w:rsid w:val="2BEF7C20"/>
    <w:rsid w:val="2C01BB00"/>
    <w:rsid w:val="2C03DCE3"/>
    <w:rsid w:val="2C1F90BF"/>
    <w:rsid w:val="2C2BD681"/>
    <w:rsid w:val="2C42A1F5"/>
    <w:rsid w:val="2C462335"/>
    <w:rsid w:val="2C4CE7AE"/>
    <w:rsid w:val="2C5DF8C2"/>
    <w:rsid w:val="2C63DF9B"/>
    <w:rsid w:val="2C6BB877"/>
    <w:rsid w:val="2C730FA7"/>
    <w:rsid w:val="2C8788CF"/>
    <w:rsid w:val="2C8F3309"/>
    <w:rsid w:val="2CB2DA45"/>
    <w:rsid w:val="2CB54F8A"/>
    <w:rsid w:val="2CC0A907"/>
    <w:rsid w:val="2CD82C33"/>
    <w:rsid w:val="2CDC8CE7"/>
    <w:rsid w:val="2D035298"/>
    <w:rsid w:val="2D2F146D"/>
    <w:rsid w:val="2D3E96E2"/>
    <w:rsid w:val="2D3FBD74"/>
    <w:rsid w:val="2D4FF142"/>
    <w:rsid w:val="2D81EA73"/>
    <w:rsid w:val="2DA613CE"/>
    <w:rsid w:val="2DBCB183"/>
    <w:rsid w:val="2DD21A0B"/>
    <w:rsid w:val="2DDA2BF1"/>
    <w:rsid w:val="2DE79534"/>
    <w:rsid w:val="2DE8D744"/>
    <w:rsid w:val="2DFF7B3F"/>
    <w:rsid w:val="2E0144D9"/>
    <w:rsid w:val="2E0A5190"/>
    <w:rsid w:val="2E0E1E9C"/>
    <w:rsid w:val="2E169E29"/>
    <w:rsid w:val="2E1F2EA6"/>
    <w:rsid w:val="2E46C845"/>
    <w:rsid w:val="2EAF459B"/>
    <w:rsid w:val="2ED32717"/>
    <w:rsid w:val="2EE804F1"/>
    <w:rsid w:val="2F2F3533"/>
    <w:rsid w:val="2F32A2EE"/>
    <w:rsid w:val="2F40020B"/>
    <w:rsid w:val="2F4E8D06"/>
    <w:rsid w:val="2F7D3EDA"/>
    <w:rsid w:val="2F8D5192"/>
    <w:rsid w:val="2FDF182C"/>
    <w:rsid w:val="2FE78494"/>
    <w:rsid w:val="30295F56"/>
    <w:rsid w:val="303E78E0"/>
    <w:rsid w:val="30404699"/>
    <w:rsid w:val="30584EB8"/>
    <w:rsid w:val="307783F7"/>
    <w:rsid w:val="3097C771"/>
    <w:rsid w:val="30C919EC"/>
    <w:rsid w:val="30D36408"/>
    <w:rsid w:val="30EDABF1"/>
    <w:rsid w:val="3115DF85"/>
    <w:rsid w:val="311D9B6A"/>
    <w:rsid w:val="31500A0B"/>
    <w:rsid w:val="316B9046"/>
    <w:rsid w:val="31FB0E10"/>
    <w:rsid w:val="32146F89"/>
    <w:rsid w:val="3218FC23"/>
    <w:rsid w:val="323F551B"/>
    <w:rsid w:val="325B8800"/>
    <w:rsid w:val="326554BB"/>
    <w:rsid w:val="32859509"/>
    <w:rsid w:val="328D0512"/>
    <w:rsid w:val="32D885BF"/>
    <w:rsid w:val="32E8E345"/>
    <w:rsid w:val="32ED200F"/>
    <w:rsid w:val="330EA010"/>
    <w:rsid w:val="331F25A8"/>
    <w:rsid w:val="33474776"/>
    <w:rsid w:val="3351E30B"/>
    <w:rsid w:val="335618BE"/>
    <w:rsid w:val="336A490B"/>
    <w:rsid w:val="337A4157"/>
    <w:rsid w:val="337E07FB"/>
    <w:rsid w:val="338332A1"/>
    <w:rsid w:val="33968C91"/>
    <w:rsid w:val="33986C8D"/>
    <w:rsid w:val="33A42A48"/>
    <w:rsid w:val="33A7E4E3"/>
    <w:rsid w:val="33C35FE8"/>
    <w:rsid w:val="33EE834C"/>
    <w:rsid w:val="33FCF35A"/>
    <w:rsid w:val="3400FC24"/>
    <w:rsid w:val="3415A8D4"/>
    <w:rsid w:val="341E87D1"/>
    <w:rsid w:val="342456A2"/>
    <w:rsid w:val="3454E1D3"/>
    <w:rsid w:val="34663736"/>
    <w:rsid w:val="346A7B0A"/>
    <w:rsid w:val="34876B83"/>
    <w:rsid w:val="34A9A1DF"/>
    <w:rsid w:val="34BFC96C"/>
    <w:rsid w:val="34D1EA51"/>
    <w:rsid w:val="34DB8723"/>
    <w:rsid w:val="350574E0"/>
    <w:rsid w:val="35104F21"/>
    <w:rsid w:val="3535A9B9"/>
    <w:rsid w:val="353D9AB2"/>
    <w:rsid w:val="35558D9F"/>
    <w:rsid w:val="35639AA1"/>
    <w:rsid w:val="35D848B8"/>
    <w:rsid w:val="35E9FECD"/>
    <w:rsid w:val="35ED784A"/>
    <w:rsid w:val="36035909"/>
    <w:rsid w:val="360625EF"/>
    <w:rsid w:val="363B63B1"/>
    <w:rsid w:val="36441029"/>
    <w:rsid w:val="36476880"/>
    <w:rsid w:val="364C8467"/>
    <w:rsid w:val="36649CAF"/>
    <w:rsid w:val="366E8BC2"/>
    <w:rsid w:val="36779C27"/>
    <w:rsid w:val="36835BD5"/>
    <w:rsid w:val="369407D9"/>
    <w:rsid w:val="369BD3D8"/>
    <w:rsid w:val="36B069E3"/>
    <w:rsid w:val="36F97523"/>
    <w:rsid w:val="37098086"/>
    <w:rsid w:val="3714DFFB"/>
    <w:rsid w:val="3720435C"/>
    <w:rsid w:val="372D5D38"/>
    <w:rsid w:val="374F1FD5"/>
    <w:rsid w:val="375D7AD7"/>
    <w:rsid w:val="3763FD23"/>
    <w:rsid w:val="376A57DD"/>
    <w:rsid w:val="377666B6"/>
    <w:rsid w:val="379DC467"/>
    <w:rsid w:val="37BFB582"/>
    <w:rsid w:val="37C0BD0E"/>
    <w:rsid w:val="37D4B27A"/>
    <w:rsid w:val="37DF6C0D"/>
    <w:rsid w:val="37DFBDE2"/>
    <w:rsid w:val="37E692E4"/>
    <w:rsid w:val="37EF22DB"/>
    <w:rsid w:val="3802A993"/>
    <w:rsid w:val="38117F6C"/>
    <w:rsid w:val="3815BEF3"/>
    <w:rsid w:val="382AAD9D"/>
    <w:rsid w:val="384770B0"/>
    <w:rsid w:val="384A1D30"/>
    <w:rsid w:val="385BF464"/>
    <w:rsid w:val="38BB4539"/>
    <w:rsid w:val="38DEA10A"/>
    <w:rsid w:val="38F56FCA"/>
    <w:rsid w:val="38F962E5"/>
    <w:rsid w:val="3904FA0D"/>
    <w:rsid w:val="39409C62"/>
    <w:rsid w:val="394E1D5F"/>
    <w:rsid w:val="3956B29C"/>
    <w:rsid w:val="39596D7B"/>
    <w:rsid w:val="395F16DC"/>
    <w:rsid w:val="397382C8"/>
    <w:rsid w:val="398FE5E4"/>
    <w:rsid w:val="39B298F0"/>
    <w:rsid w:val="39B6CBE6"/>
    <w:rsid w:val="39E56126"/>
    <w:rsid w:val="39F52649"/>
    <w:rsid w:val="3A10017B"/>
    <w:rsid w:val="3A3672EF"/>
    <w:rsid w:val="3A3DC191"/>
    <w:rsid w:val="3A65237A"/>
    <w:rsid w:val="3A860A4B"/>
    <w:rsid w:val="3AB34468"/>
    <w:rsid w:val="3AF37F65"/>
    <w:rsid w:val="3B0DC133"/>
    <w:rsid w:val="3B0F447B"/>
    <w:rsid w:val="3B9F5F96"/>
    <w:rsid w:val="3BAFA362"/>
    <w:rsid w:val="3BCEF7AE"/>
    <w:rsid w:val="3BD66B44"/>
    <w:rsid w:val="3BE7940E"/>
    <w:rsid w:val="3BEF8D39"/>
    <w:rsid w:val="3C01AD77"/>
    <w:rsid w:val="3C1A7814"/>
    <w:rsid w:val="3C3073EC"/>
    <w:rsid w:val="3C39C857"/>
    <w:rsid w:val="3C7C8C25"/>
    <w:rsid w:val="3C923912"/>
    <w:rsid w:val="3C9EB3EA"/>
    <w:rsid w:val="3CB7BDA4"/>
    <w:rsid w:val="3CC1ADAB"/>
    <w:rsid w:val="3CC26518"/>
    <w:rsid w:val="3CC523E1"/>
    <w:rsid w:val="3D10180B"/>
    <w:rsid w:val="3D168DCC"/>
    <w:rsid w:val="3D2F17B7"/>
    <w:rsid w:val="3D2F6D58"/>
    <w:rsid w:val="3D70603C"/>
    <w:rsid w:val="3D983A11"/>
    <w:rsid w:val="3DB477C8"/>
    <w:rsid w:val="3DB67466"/>
    <w:rsid w:val="3DC2E378"/>
    <w:rsid w:val="3E224E15"/>
    <w:rsid w:val="3E32DEBD"/>
    <w:rsid w:val="3E398B48"/>
    <w:rsid w:val="3E600488"/>
    <w:rsid w:val="3E86146D"/>
    <w:rsid w:val="3EA04B19"/>
    <w:rsid w:val="3EAA825A"/>
    <w:rsid w:val="3EB59715"/>
    <w:rsid w:val="3EC1C9B3"/>
    <w:rsid w:val="3ED9DDC1"/>
    <w:rsid w:val="3EDAA6A6"/>
    <w:rsid w:val="3EF8C225"/>
    <w:rsid w:val="3F1077BF"/>
    <w:rsid w:val="3F2CAB71"/>
    <w:rsid w:val="3F4468F8"/>
    <w:rsid w:val="3F49C96F"/>
    <w:rsid w:val="3F6F0A4E"/>
    <w:rsid w:val="3F75A3C4"/>
    <w:rsid w:val="3F95E333"/>
    <w:rsid w:val="3FB5C4D3"/>
    <w:rsid w:val="3FB78168"/>
    <w:rsid w:val="3FC23EA4"/>
    <w:rsid w:val="3FE87068"/>
    <w:rsid w:val="3FF32583"/>
    <w:rsid w:val="4005E500"/>
    <w:rsid w:val="400FEB0F"/>
    <w:rsid w:val="40191AC4"/>
    <w:rsid w:val="405EBD8E"/>
    <w:rsid w:val="4063FA70"/>
    <w:rsid w:val="406C6A53"/>
    <w:rsid w:val="40784A4D"/>
    <w:rsid w:val="408CDC1E"/>
    <w:rsid w:val="40AD4E19"/>
    <w:rsid w:val="40B2F7D8"/>
    <w:rsid w:val="40B4CCF9"/>
    <w:rsid w:val="40B962A2"/>
    <w:rsid w:val="40C3DEFA"/>
    <w:rsid w:val="40D49BC2"/>
    <w:rsid w:val="40F6A4B1"/>
    <w:rsid w:val="41010E4C"/>
    <w:rsid w:val="41256E7D"/>
    <w:rsid w:val="4151C5D7"/>
    <w:rsid w:val="416B301C"/>
    <w:rsid w:val="41B88BC2"/>
    <w:rsid w:val="41B9D762"/>
    <w:rsid w:val="41D7E6AF"/>
    <w:rsid w:val="421134E9"/>
    <w:rsid w:val="428FEFCD"/>
    <w:rsid w:val="42ACB65F"/>
    <w:rsid w:val="42AEE065"/>
    <w:rsid w:val="42B6D061"/>
    <w:rsid w:val="42CABCE9"/>
    <w:rsid w:val="42D188D2"/>
    <w:rsid w:val="42D23570"/>
    <w:rsid w:val="43033911"/>
    <w:rsid w:val="43191C78"/>
    <w:rsid w:val="433E4FB1"/>
    <w:rsid w:val="43430D1D"/>
    <w:rsid w:val="43458E38"/>
    <w:rsid w:val="4353F4BE"/>
    <w:rsid w:val="435F5056"/>
    <w:rsid w:val="438AE3C4"/>
    <w:rsid w:val="43971C81"/>
    <w:rsid w:val="43A6186D"/>
    <w:rsid w:val="43C164E7"/>
    <w:rsid w:val="43C41990"/>
    <w:rsid w:val="43DC0710"/>
    <w:rsid w:val="43E5A371"/>
    <w:rsid w:val="440E2CF6"/>
    <w:rsid w:val="440EC043"/>
    <w:rsid w:val="44210B70"/>
    <w:rsid w:val="443616E8"/>
    <w:rsid w:val="4438F236"/>
    <w:rsid w:val="4441CCDE"/>
    <w:rsid w:val="44449D9E"/>
    <w:rsid w:val="448BD558"/>
    <w:rsid w:val="448FD4CF"/>
    <w:rsid w:val="4498A8F5"/>
    <w:rsid w:val="449DB2B0"/>
    <w:rsid w:val="44C060F3"/>
    <w:rsid w:val="44C5DA62"/>
    <w:rsid w:val="44E24866"/>
    <w:rsid w:val="44F65720"/>
    <w:rsid w:val="450A8145"/>
    <w:rsid w:val="4519B6E6"/>
    <w:rsid w:val="4526F8D4"/>
    <w:rsid w:val="452E70B2"/>
    <w:rsid w:val="4545A438"/>
    <w:rsid w:val="4575F7F6"/>
    <w:rsid w:val="45794D0C"/>
    <w:rsid w:val="4586AEE7"/>
    <w:rsid w:val="45AC826C"/>
    <w:rsid w:val="45D8AEF3"/>
    <w:rsid w:val="45F94653"/>
    <w:rsid w:val="461FE6DD"/>
    <w:rsid w:val="4629A5A7"/>
    <w:rsid w:val="4632A465"/>
    <w:rsid w:val="4674B2C4"/>
    <w:rsid w:val="46AD679A"/>
    <w:rsid w:val="46BC914E"/>
    <w:rsid w:val="46E8AC49"/>
    <w:rsid w:val="46F69151"/>
    <w:rsid w:val="47411DE1"/>
    <w:rsid w:val="4746CA4A"/>
    <w:rsid w:val="475E062C"/>
    <w:rsid w:val="4768AA3E"/>
    <w:rsid w:val="477CFE94"/>
    <w:rsid w:val="47D03A11"/>
    <w:rsid w:val="484EFE05"/>
    <w:rsid w:val="4851A0E5"/>
    <w:rsid w:val="48A03BD2"/>
    <w:rsid w:val="48ADFE97"/>
    <w:rsid w:val="48B3825F"/>
    <w:rsid w:val="48B7412D"/>
    <w:rsid w:val="48D3092E"/>
    <w:rsid w:val="48DB226E"/>
    <w:rsid w:val="48EB8974"/>
    <w:rsid w:val="49161B47"/>
    <w:rsid w:val="492A647F"/>
    <w:rsid w:val="4936F317"/>
    <w:rsid w:val="49429E8E"/>
    <w:rsid w:val="4954CFE2"/>
    <w:rsid w:val="499444F2"/>
    <w:rsid w:val="4994FEB7"/>
    <w:rsid w:val="49C4609B"/>
    <w:rsid w:val="49D075F0"/>
    <w:rsid w:val="49D27536"/>
    <w:rsid w:val="49DDC0A4"/>
    <w:rsid w:val="49F58748"/>
    <w:rsid w:val="4A0D9497"/>
    <w:rsid w:val="4A37C189"/>
    <w:rsid w:val="4A64A93B"/>
    <w:rsid w:val="4A650925"/>
    <w:rsid w:val="4A676BF1"/>
    <w:rsid w:val="4A6EA3D2"/>
    <w:rsid w:val="4A921040"/>
    <w:rsid w:val="4AB66C4A"/>
    <w:rsid w:val="4AC758FB"/>
    <w:rsid w:val="4AD8DBA7"/>
    <w:rsid w:val="4AEF8D45"/>
    <w:rsid w:val="4AF326CC"/>
    <w:rsid w:val="4AFD827C"/>
    <w:rsid w:val="4B03FAC3"/>
    <w:rsid w:val="4B05F192"/>
    <w:rsid w:val="4B0F76BC"/>
    <w:rsid w:val="4B13F413"/>
    <w:rsid w:val="4B2656D3"/>
    <w:rsid w:val="4B48F81B"/>
    <w:rsid w:val="4B679438"/>
    <w:rsid w:val="4B7AAE13"/>
    <w:rsid w:val="4BB3D8C0"/>
    <w:rsid w:val="4BB61C18"/>
    <w:rsid w:val="4BCC5E33"/>
    <w:rsid w:val="4BF31565"/>
    <w:rsid w:val="4BF7ACDC"/>
    <w:rsid w:val="4BFC43B0"/>
    <w:rsid w:val="4C0F1F7C"/>
    <w:rsid w:val="4C3A4E82"/>
    <w:rsid w:val="4C463C2A"/>
    <w:rsid w:val="4C607A61"/>
    <w:rsid w:val="4C7BA094"/>
    <w:rsid w:val="4C7FF66C"/>
    <w:rsid w:val="4CAF9A33"/>
    <w:rsid w:val="4CB81AD2"/>
    <w:rsid w:val="4CE97D71"/>
    <w:rsid w:val="4CE97FD7"/>
    <w:rsid w:val="4D0F0BDB"/>
    <w:rsid w:val="4D1BD602"/>
    <w:rsid w:val="4D21908E"/>
    <w:rsid w:val="4D261FE2"/>
    <w:rsid w:val="4D358EDC"/>
    <w:rsid w:val="4D4EE4BA"/>
    <w:rsid w:val="4D64C462"/>
    <w:rsid w:val="4D72EDE7"/>
    <w:rsid w:val="4D7CE023"/>
    <w:rsid w:val="4D8FC6F1"/>
    <w:rsid w:val="4D9167B8"/>
    <w:rsid w:val="4D9BE4F3"/>
    <w:rsid w:val="4DA165B2"/>
    <w:rsid w:val="4DA9CB3E"/>
    <w:rsid w:val="4DC5CEBB"/>
    <w:rsid w:val="4DCF9331"/>
    <w:rsid w:val="4E0D24E5"/>
    <w:rsid w:val="4E1D088E"/>
    <w:rsid w:val="4E251E90"/>
    <w:rsid w:val="4E2EEFFC"/>
    <w:rsid w:val="4E493CB0"/>
    <w:rsid w:val="4E718106"/>
    <w:rsid w:val="4E85F25F"/>
    <w:rsid w:val="4E95471F"/>
    <w:rsid w:val="4EC82EEB"/>
    <w:rsid w:val="4EF51E48"/>
    <w:rsid w:val="4F061C4F"/>
    <w:rsid w:val="4F089353"/>
    <w:rsid w:val="4F168567"/>
    <w:rsid w:val="4F2A1564"/>
    <w:rsid w:val="4F2AC192"/>
    <w:rsid w:val="4F8A94FF"/>
    <w:rsid w:val="4FEA73CC"/>
    <w:rsid w:val="4FF60E5A"/>
    <w:rsid w:val="502C7F56"/>
    <w:rsid w:val="502FF9BB"/>
    <w:rsid w:val="503AE84C"/>
    <w:rsid w:val="50587A0A"/>
    <w:rsid w:val="5076B803"/>
    <w:rsid w:val="50850959"/>
    <w:rsid w:val="508AFCC6"/>
    <w:rsid w:val="50D2171C"/>
    <w:rsid w:val="50ECAEF8"/>
    <w:rsid w:val="50EFD9E5"/>
    <w:rsid w:val="50FC476D"/>
    <w:rsid w:val="50FDC3D2"/>
    <w:rsid w:val="5133661A"/>
    <w:rsid w:val="513DFF7A"/>
    <w:rsid w:val="51412D33"/>
    <w:rsid w:val="514EC719"/>
    <w:rsid w:val="51650FE3"/>
    <w:rsid w:val="516D3E5B"/>
    <w:rsid w:val="517A48D3"/>
    <w:rsid w:val="5190EA37"/>
    <w:rsid w:val="5193B9DF"/>
    <w:rsid w:val="51D61174"/>
    <w:rsid w:val="51E9592E"/>
    <w:rsid w:val="522510AD"/>
    <w:rsid w:val="522E2DAF"/>
    <w:rsid w:val="524B30D9"/>
    <w:rsid w:val="52A222D2"/>
    <w:rsid w:val="52A9D5F9"/>
    <w:rsid w:val="53054B93"/>
    <w:rsid w:val="5321710D"/>
    <w:rsid w:val="53550DDB"/>
    <w:rsid w:val="537BC917"/>
    <w:rsid w:val="539630D5"/>
    <w:rsid w:val="53B43372"/>
    <w:rsid w:val="53BC8E4B"/>
    <w:rsid w:val="53D24578"/>
    <w:rsid w:val="53D39E66"/>
    <w:rsid w:val="53DD9AFC"/>
    <w:rsid w:val="53F10D42"/>
    <w:rsid w:val="53F7B03F"/>
    <w:rsid w:val="540BFA54"/>
    <w:rsid w:val="540D20F3"/>
    <w:rsid w:val="54581666"/>
    <w:rsid w:val="54648473"/>
    <w:rsid w:val="547982E7"/>
    <w:rsid w:val="54888A3E"/>
    <w:rsid w:val="54B055E2"/>
    <w:rsid w:val="54C4B1A1"/>
    <w:rsid w:val="54D57FDE"/>
    <w:rsid w:val="54E1563D"/>
    <w:rsid w:val="552163E1"/>
    <w:rsid w:val="5553A31C"/>
    <w:rsid w:val="55631A49"/>
    <w:rsid w:val="5564117E"/>
    <w:rsid w:val="558CA028"/>
    <w:rsid w:val="55E72AD8"/>
    <w:rsid w:val="55E7C3AB"/>
    <w:rsid w:val="55F862BE"/>
    <w:rsid w:val="560EC12D"/>
    <w:rsid w:val="56276C64"/>
    <w:rsid w:val="562F667A"/>
    <w:rsid w:val="5634164F"/>
    <w:rsid w:val="563C17E2"/>
    <w:rsid w:val="565384CF"/>
    <w:rsid w:val="5662C8F8"/>
    <w:rsid w:val="568EA845"/>
    <w:rsid w:val="5697E1F5"/>
    <w:rsid w:val="56B62E10"/>
    <w:rsid w:val="56BC5E84"/>
    <w:rsid w:val="56C43F1C"/>
    <w:rsid w:val="56C8F1A3"/>
    <w:rsid w:val="56E50231"/>
    <w:rsid w:val="56F42F0B"/>
    <w:rsid w:val="57056646"/>
    <w:rsid w:val="571B9EE1"/>
    <w:rsid w:val="5730B3DE"/>
    <w:rsid w:val="5742BD8F"/>
    <w:rsid w:val="5787327F"/>
    <w:rsid w:val="57DB9DA9"/>
    <w:rsid w:val="57DE976F"/>
    <w:rsid w:val="57E0C0A8"/>
    <w:rsid w:val="57E20B21"/>
    <w:rsid w:val="57E36829"/>
    <w:rsid w:val="580D512C"/>
    <w:rsid w:val="58264B35"/>
    <w:rsid w:val="58319C9B"/>
    <w:rsid w:val="5857B2DE"/>
    <w:rsid w:val="58596378"/>
    <w:rsid w:val="58668214"/>
    <w:rsid w:val="5896B128"/>
    <w:rsid w:val="5897553B"/>
    <w:rsid w:val="58996871"/>
    <w:rsid w:val="58A86A26"/>
    <w:rsid w:val="58B87774"/>
    <w:rsid w:val="58DFF5CE"/>
    <w:rsid w:val="58E35D5F"/>
    <w:rsid w:val="58FB37D1"/>
    <w:rsid w:val="59357ABD"/>
    <w:rsid w:val="593A87EA"/>
    <w:rsid w:val="5966AD6D"/>
    <w:rsid w:val="598E4374"/>
    <w:rsid w:val="59A04825"/>
    <w:rsid w:val="59AE0962"/>
    <w:rsid w:val="59C9A8F0"/>
    <w:rsid w:val="59E94B5D"/>
    <w:rsid w:val="5A097129"/>
    <w:rsid w:val="5A10564E"/>
    <w:rsid w:val="5A1246B7"/>
    <w:rsid w:val="5A268380"/>
    <w:rsid w:val="5A3C7052"/>
    <w:rsid w:val="5A4DD32D"/>
    <w:rsid w:val="5A55CD1B"/>
    <w:rsid w:val="5A6810C3"/>
    <w:rsid w:val="5ABD8EA5"/>
    <w:rsid w:val="5ACD327D"/>
    <w:rsid w:val="5B061EEA"/>
    <w:rsid w:val="5B329043"/>
    <w:rsid w:val="5B3CE5EC"/>
    <w:rsid w:val="5B5A52D8"/>
    <w:rsid w:val="5B79127B"/>
    <w:rsid w:val="5B7BB22B"/>
    <w:rsid w:val="5B854318"/>
    <w:rsid w:val="5B857852"/>
    <w:rsid w:val="5B8B676B"/>
    <w:rsid w:val="5B99D9A4"/>
    <w:rsid w:val="5B9C8EC4"/>
    <w:rsid w:val="5BBC70C7"/>
    <w:rsid w:val="5BCB1A18"/>
    <w:rsid w:val="5BD825C1"/>
    <w:rsid w:val="5BDF0191"/>
    <w:rsid w:val="5BF5EDAC"/>
    <w:rsid w:val="5C216D43"/>
    <w:rsid w:val="5C27E0EE"/>
    <w:rsid w:val="5C31A128"/>
    <w:rsid w:val="5C7786D0"/>
    <w:rsid w:val="5C7A10FA"/>
    <w:rsid w:val="5C7D2068"/>
    <w:rsid w:val="5CEF995F"/>
    <w:rsid w:val="5D11CB52"/>
    <w:rsid w:val="5D1A326E"/>
    <w:rsid w:val="5D22F7E1"/>
    <w:rsid w:val="5D5E1B8D"/>
    <w:rsid w:val="5D707B50"/>
    <w:rsid w:val="5D91C3C0"/>
    <w:rsid w:val="5DBAC08B"/>
    <w:rsid w:val="5DC11E53"/>
    <w:rsid w:val="5DC76D04"/>
    <w:rsid w:val="5DE3F539"/>
    <w:rsid w:val="5DFB77FF"/>
    <w:rsid w:val="5E015458"/>
    <w:rsid w:val="5E179E0D"/>
    <w:rsid w:val="5E2A7B52"/>
    <w:rsid w:val="5E4E6776"/>
    <w:rsid w:val="5E531363"/>
    <w:rsid w:val="5E53D8FC"/>
    <w:rsid w:val="5E5444F0"/>
    <w:rsid w:val="5E5A25CD"/>
    <w:rsid w:val="5E5C0CD0"/>
    <w:rsid w:val="5E7492BC"/>
    <w:rsid w:val="5EAA7025"/>
    <w:rsid w:val="5EB1CC87"/>
    <w:rsid w:val="5EB3D88F"/>
    <w:rsid w:val="5EB7FD36"/>
    <w:rsid w:val="5EBDAFB7"/>
    <w:rsid w:val="5EC17C0F"/>
    <w:rsid w:val="5EC186DA"/>
    <w:rsid w:val="5ECF4150"/>
    <w:rsid w:val="5ED07860"/>
    <w:rsid w:val="5EEF4425"/>
    <w:rsid w:val="5EEF9C30"/>
    <w:rsid w:val="5F1619D8"/>
    <w:rsid w:val="5F469877"/>
    <w:rsid w:val="5F6ADB47"/>
    <w:rsid w:val="5F6B768E"/>
    <w:rsid w:val="5F864389"/>
    <w:rsid w:val="5F894EB0"/>
    <w:rsid w:val="5F9FA498"/>
    <w:rsid w:val="5FA1EDFD"/>
    <w:rsid w:val="5FF0C8AC"/>
    <w:rsid w:val="5FF0CEBB"/>
    <w:rsid w:val="5FFF5BA0"/>
    <w:rsid w:val="605BF2B4"/>
    <w:rsid w:val="606EF7FE"/>
    <w:rsid w:val="607FD435"/>
    <w:rsid w:val="6089033E"/>
    <w:rsid w:val="60957F16"/>
    <w:rsid w:val="60D5A1E4"/>
    <w:rsid w:val="6147D7BA"/>
    <w:rsid w:val="6149CC20"/>
    <w:rsid w:val="615A604D"/>
    <w:rsid w:val="615B4A8C"/>
    <w:rsid w:val="615E0613"/>
    <w:rsid w:val="61610E91"/>
    <w:rsid w:val="616394D8"/>
    <w:rsid w:val="619E4934"/>
    <w:rsid w:val="61A9A184"/>
    <w:rsid w:val="61C019A9"/>
    <w:rsid w:val="62262425"/>
    <w:rsid w:val="6240A118"/>
    <w:rsid w:val="625C7300"/>
    <w:rsid w:val="627137DE"/>
    <w:rsid w:val="629BFE4D"/>
    <w:rsid w:val="62B2237A"/>
    <w:rsid w:val="62BE1380"/>
    <w:rsid w:val="62E3F6B5"/>
    <w:rsid w:val="62F0249B"/>
    <w:rsid w:val="62FC1549"/>
    <w:rsid w:val="6307EF9C"/>
    <w:rsid w:val="630ADD03"/>
    <w:rsid w:val="630EF526"/>
    <w:rsid w:val="632BD9FE"/>
    <w:rsid w:val="632FC24B"/>
    <w:rsid w:val="633BC366"/>
    <w:rsid w:val="633EFAB3"/>
    <w:rsid w:val="6355CA7D"/>
    <w:rsid w:val="636D5FFD"/>
    <w:rsid w:val="637D50B6"/>
    <w:rsid w:val="638CC0C2"/>
    <w:rsid w:val="6390067F"/>
    <w:rsid w:val="639BE726"/>
    <w:rsid w:val="63B40A93"/>
    <w:rsid w:val="63B4C202"/>
    <w:rsid w:val="63BD6F2E"/>
    <w:rsid w:val="63E0BB83"/>
    <w:rsid w:val="63F47109"/>
    <w:rsid w:val="63FB25C1"/>
    <w:rsid w:val="64089CF7"/>
    <w:rsid w:val="641A88AF"/>
    <w:rsid w:val="642F15B9"/>
    <w:rsid w:val="6441CB74"/>
    <w:rsid w:val="649E0A85"/>
    <w:rsid w:val="64E0CA3B"/>
    <w:rsid w:val="650C1882"/>
    <w:rsid w:val="652B4F9F"/>
    <w:rsid w:val="653FF547"/>
    <w:rsid w:val="657289E5"/>
    <w:rsid w:val="6576A706"/>
    <w:rsid w:val="658021F1"/>
    <w:rsid w:val="6582D6DF"/>
    <w:rsid w:val="65867AF1"/>
    <w:rsid w:val="65D77D72"/>
    <w:rsid w:val="65DA9F04"/>
    <w:rsid w:val="65F8939E"/>
    <w:rsid w:val="662B4BEF"/>
    <w:rsid w:val="6649F397"/>
    <w:rsid w:val="664DABA5"/>
    <w:rsid w:val="665F638B"/>
    <w:rsid w:val="66715649"/>
    <w:rsid w:val="6687EF26"/>
    <w:rsid w:val="66AC94F3"/>
    <w:rsid w:val="66D36A65"/>
    <w:rsid w:val="66F66697"/>
    <w:rsid w:val="6708AA7A"/>
    <w:rsid w:val="671C5924"/>
    <w:rsid w:val="673D14D3"/>
    <w:rsid w:val="67417AEB"/>
    <w:rsid w:val="675506A9"/>
    <w:rsid w:val="67A3024E"/>
    <w:rsid w:val="67B85F8E"/>
    <w:rsid w:val="67C68A46"/>
    <w:rsid w:val="67CF7E5A"/>
    <w:rsid w:val="67D2CA03"/>
    <w:rsid w:val="67E1ABB2"/>
    <w:rsid w:val="67F495FC"/>
    <w:rsid w:val="67FC6BAF"/>
    <w:rsid w:val="681023C6"/>
    <w:rsid w:val="681972F9"/>
    <w:rsid w:val="684A7B1D"/>
    <w:rsid w:val="686DDF8A"/>
    <w:rsid w:val="689F8FEF"/>
    <w:rsid w:val="68A099B2"/>
    <w:rsid w:val="68B6E946"/>
    <w:rsid w:val="68FE821C"/>
    <w:rsid w:val="6908BB05"/>
    <w:rsid w:val="690FC79B"/>
    <w:rsid w:val="691D367B"/>
    <w:rsid w:val="6936935A"/>
    <w:rsid w:val="69570F26"/>
    <w:rsid w:val="69B8F3A5"/>
    <w:rsid w:val="69C67C10"/>
    <w:rsid w:val="69EB954F"/>
    <w:rsid w:val="69F58BBF"/>
    <w:rsid w:val="6A0B1132"/>
    <w:rsid w:val="6A33DCFF"/>
    <w:rsid w:val="6A397FAB"/>
    <w:rsid w:val="6A761484"/>
    <w:rsid w:val="6A90A469"/>
    <w:rsid w:val="6AADED95"/>
    <w:rsid w:val="6AB98CF4"/>
    <w:rsid w:val="6AC93FB9"/>
    <w:rsid w:val="6ACFAA76"/>
    <w:rsid w:val="6AEEAA63"/>
    <w:rsid w:val="6AEED6DE"/>
    <w:rsid w:val="6AF99A1C"/>
    <w:rsid w:val="6B0E8D04"/>
    <w:rsid w:val="6B1905A6"/>
    <w:rsid w:val="6B394AEB"/>
    <w:rsid w:val="6B6F604D"/>
    <w:rsid w:val="6BD33812"/>
    <w:rsid w:val="6BDF5A25"/>
    <w:rsid w:val="6BFCE818"/>
    <w:rsid w:val="6C2795BC"/>
    <w:rsid w:val="6C348104"/>
    <w:rsid w:val="6C4299A3"/>
    <w:rsid w:val="6C58ED5D"/>
    <w:rsid w:val="6C97C84E"/>
    <w:rsid w:val="6CA0B51A"/>
    <w:rsid w:val="6CAED887"/>
    <w:rsid w:val="6CB18784"/>
    <w:rsid w:val="6CDA1447"/>
    <w:rsid w:val="6CDA9696"/>
    <w:rsid w:val="6D35ACE6"/>
    <w:rsid w:val="6D41687B"/>
    <w:rsid w:val="6D615C20"/>
    <w:rsid w:val="6D6C3562"/>
    <w:rsid w:val="6D87FD37"/>
    <w:rsid w:val="6DC93A95"/>
    <w:rsid w:val="6DE0A8F1"/>
    <w:rsid w:val="6DE1F1AC"/>
    <w:rsid w:val="6E018D18"/>
    <w:rsid w:val="6E3EE6B8"/>
    <w:rsid w:val="6E40717C"/>
    <w:rsid w:val="6E4CC5F8"/>
    <w:rsid w:val="6E7CF24E"/>
    <w:rsid w:val="6E8A8E63"/>
    <w:rsid w:val="6EC12779"/>
    <w:rsid w:val="6EC6ED29"/>
    <w:rsid w:val="6EC90EAB"/>
    <w:rsid w:val="6EE91FB2"/>
    <w:rsid w:val="6EF9EE25"/>
    <w:rsid w:val="6EFD4879"/>
    <w:rsid w:val="6F05AD88"/>
    <w:rsid w:val="6F258C82"/>
    <w:rsid w:val="6F426091"/>
    <w:rsid w:val="6F7C1086"/>
    <w:rsid w:val="6F94DDB7"/>
    <w:rsid w:val="6FA198AC"/>
    <w:rsid w:val="6FC8B0AC"/>
    <w:rsid w:val="6FD9B39A"/>
    <w:rsid w:val="6FDE20CF"/>
    <w:rsid w:val="6FE83103"/>
    <w:rsid w:val="6FF1CC5D"/>
    <w:rsid w:val="701811F3"/>
    <w:rsid w:val="702BB7D5"/>
    <w:rsid w:val="704F5ABB"/>
    <w:rsid w:val="7065EA43"/>
    <w:rsid w:val="7077F165"/>
    <w:rsid w:val="7086D9B6"/>
    <w:rsid w:val="70970024"/>
    <w:rsid w:val="70C06F15"/>
    <w:rsid w:val="70DF6447"/>
    <w:rsid w:val="711FCE62"/>
    <w:rsid w:val="7127580A"/>
    <w:rsid w:val="713AF8D5"/>
    <w:rsid w:val="713D3D2F"/>
    <w:rsid w:val="714192CC"/>
    <w:rsid w:val="714B34E8"/>
    <w:rsid w:val="71AF8087"/>
    <w:rsid w:val="71B81C0A"/>
    <w:rsid w:val="720B3EDB"/>
    <w:rsid w:val="725848EA"/>
    <w:rsid w:val="726B07AB"/>
    <w:rsid w:val="729B5534"/>
    <w:rsid w:val="729C5EE1"/>
    <w:rsid w:val="72D3CAA8"/>
    <w:rsid w:val="72FE45E5"/>
    <w:rsid w:val="73155A14"/>
    <w:rsid w:val="732E0AA2"/>
    <w:rsid w:val="73768EDD"/>
    <w:rsid w:val="73896FB5"/>
    <w:rsid w:val="73A78D19"/>
    <w:rsid w:val="73B5BBDC"/>
    <w:rsid w:val="73BCBDFD"/>
    <w:rsid w:val="73F01CC0"/>
    <w:rsid w:val="741F8AF7"/>
    <w:rsid w:val="74429147"/>
    <w:rsid w:val="744E9586"/>
    <w:rsid w:val="74597371"/>
    <w:rsid w:val="74E0CF41"/>
    <w:rsid w:val="752D7CDC"/>
    <w:rsid w:val="7598112C"/>
    <w:rsid w:val="75BC5B23"/>
    <w:rsid w:val="75D135CC"/>
    <w:rsid w:val="75D42BBD"/>
    <w:rsid w:val="75F1DEA0"/>
    <w:rsid w:val="75FDC58D"/>
    <w:rsid w:val="76288FC7"/>
    <w:rsid w:val="762EA8F1"/>
    <w:rsid w:val="7643702E"/>
    <w:rsid w:val="76588BCD"/>
    <w:rsid w:val="766764AE"/>
    <w:rsid w:val="766F9780"/>
    <w:rsid w:val="7684EA61"/>
    <w:rsid w:val="76A25A17"/>
    <w:rsid w:val="76B17EDC"/>
    <w:rsid w:val="76B73794"/>
    <w:rsid w:val="76C9E4F1"/>
    <w:rsid w:val="76CAD39B"/>
    <w:rsid w:val="76FB4F83"/>
    <w:rsid w:val="77115E2D"/>
    <w:rsid w:val="771DA9D9"/>
    <w:rsid w:val="77582BB9"/>
    <w:rsid w:val="7772B264"/>
    <w:rsid w:val="7773B9D1"/>
    <w:rsid w:val="777E4390"/>
    <w:rsid w:val="778F4EB2"/>
    <w:rsid w:val="779051B5"/>
    <w:rsid w:val="77967E4D"/>
    <w:rsid w:val="77A0074E"/>
    <w:rsid w:val="77AE7BC5"/>
    <w:rsid w:val="77BD5FDD"/>
    <w:rsid w:val="77CB64B2"/>
    <w:rsid w:val="77FEE38E"/>
    <w:rsid w:val="7810C02D"/>
    <w:rsid w:val="7831F570"/>
    <w:rsid w:val="78489118"/>
    <w:rsid w:val="785AE997"/>
    <w:rsid w:val="786FF23A"/>
    <w:rsid w:val="7877355A"/>
    <w:rsid w:val="787DDFAA"/>
    <w:rsid w:val="7894AF7D"/>
    <w:rsid w:val="78A5D5C7"/>
    <w:rsid w:val="78DB0E08"/>
    <w:rsid w:val="78E0A04D"/>
    <w:rsid w:val="78EC313D"/>
    <w:rsid w:val="78EC8765"/>
    <w:rsid w:val="790F693E"/>
    <w:rsid w:val="792E47FC"/>
    <w:rsid w:val="7942FD15"/>
    <w:rsid w:val="7982B200"/>
    <w:rsid w:val="798CFD34"/>
    <w:rsid w:val="79C06831"/>
    <w:rsid w:val="79EDA2E2"/>
    <w:rsid w:val="7A05E1A7"/>
    <w:rsid w:val="7A2D7D8D"/>
    <w:rsid w:val="7A4134C4"/>
    <w:rsid w:val="7A47E7D3"/>
    <w:rsid w:val="7A58BF4C"/>
    <w:rsid w:val="7A669ECB"/>
    <w:rsid w:val="7A7759CD"/>
    <w:rsid w:val="7A9424FD"/>
    <w:rsid w:val="7A96F550"/>
    <w:rsid w:val="7AACAF43"/>
    <w:rsid w:val="7AB12249"/>
    <w:rsid w:val="7AD8109D"/>
    <w:rsid w:val="7AE1A353"/>
    <w:rsid w:val="7AE4C0A3"/>
    <w:rsid w:val="7AF84831"/>
    <w:rsid w:val="7B0837BA"/>
    <w:rsid w:val="7B08C2D9"/>
    <w:rsid w:val="7B199662"/>
    <w:rsid w:val="7B651782"/>
    <w:rsid w:val="7B73824C"/>
    <w:rsid w:val="7B8EC680"/>
    <w:rsid w:val="7B92B0B3"/>
    <w:rsid w:val="7B99C2C0"/>
    <w:rsid w:val="7BB6BC98"/>
    <w:rsid w:val="7BC4C5BA"/>
    <w:rsid w:val="7BD8EF4A"/>
    <w:rsid w:val="7BDF093C"/>
    <w:rsid w:val="7BE08BBD"/>
    <w:rsid w:val="7BE3B46D"/>
    <w:rsid w:val="7C09B7D4"/>
    <w:rsid w:val="7C1BC4EE"/>
    <w:rsid w:val="7C23DFF3"/>
    <w:rsid w:val="7C5937D4"/>
    <w:rsid w:val="7C7C4F5D"/>
    <w:rsid w:val="7C7F7972"/>
    <w:rsid w:val="7C96B472"/>
    <w:rsid w:val="7CBE3435"/>
    <w:rsid w:val="7CC1F45C"/>
    <w:rsid w:val="7CC31704"/>
    <w:rsid w:val="7CC36813"/>
    <w:rsid w:val="7CE16E61"/>
    <w:rsid w:val="7CFDB1BB"/>
    <w:rsid w:val="7D02B2DB"/>
    <w:rsid w:val="7D63A097"/>
    <w:rsid w:val="7D8168FD"/>
    <w:rsid w:val="7D86C25B"/>
    <w:rsid w:val="7D8D6A6E"/>
    <w:rsid w:val="7D939ACF"/>
    <w:rsid w:val="7DAE99F9"/>
    <w:rsid w:val="7DCF6F55"/>
    <w:rsid w:val="7DCFA8DC"/>
    <w:rsid w:val="7DF7DC85"/>
    <w:rsid w:val="7DFB41AD"/>
    <w:rsid w:val="7E142380"/>
    <w:rsid w:val="7E2C13CE"/>
    <w:rsid w:val="7E2C8CD6"/>
    <w:rsid w:val="7E3107B2"/>
    <w:rsid w:val="7E32E299"/>
    <w:rsid w:val="7E38B332"/>
    <w:rsid w:val="7E3A0E5E"/>
    <w:rsid w:val="7E454094"/>
    <w:rsid w:val="7E496EE2"/>
    <w:rsid w:val="7E61D72E"/>
    <w:rsid w:val="7E675B98"/>
    <w:rsid w:val="7EDD4BE0"/>
    <w:rsid w:val="7EE78E09"/>
    <w:rsid w:val="7EFBC582"/>
    <w:rsid w:val="7F036FF7"/>
    <w:rsid w:val="7F1FB29E"/>
    <w:rsid w:val="7F22AF69"/>
    <w:rsid w:val="7F3543C2"/>
    <w:rsid w:val="7F499CA5"/>
    <w:rsid w:val="7F577CED"/>
    <w:rsid w:val="7F76A9B8"/>
    <w:rsid w:val="7F9566A3"/>
    <w:rsid w:val="7F9FCC4D"/>
    <w:rsid w:val="7FAFBA89"/>
    <w:rsid w:val="7FD7E5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0F888344-A547-46F1-8E71-A00F88B88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9770D"/>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eastAsia="Arial"/>
      <w:lang w:eastAsia="en-US"/>
    </w:rPr>
  </w:style>
  <w:style w:type="character" w:styleId="UnresolvedMention">
    <w:name w:val="Unresolved Mention"/>
    <w:basedOn w:val="DefaultParagraphFont"/>
    <w:uiPriority w:val="99"/>
    <w:unhideWhenUsed/>
    <w:rsid w:val="00015DC0"/>
    <w:rPr>
      <w:color w:val="605E5C"/>
      <w:shd w:val="clear" w:color="auto" w:fill="E1DFDD"/>
    </w:rPr>
  </w:style>
  <w:style w:type="character" w:styleId="FollowedHyperlink">
    <w:name w:val="FollowedHyperlink"/>
    <w:basedOn w:val="DefaultParagraphFont"/>
    <w:rsid w:val="0064158E"/>
    <w:rPr>
      <w:color w:val="954F72" w:themeColor="followedHyperlink"/>
      <w:u w:val="single"/>
    </w:rPr>
  </w:style>
  <w:style w:type="paragraph" w:styleId="Revision">
    <w:name w:val="Revision"/>
    <w:hidden/>
    <w:uiPriority w:val="99"/>
    <w:semiHidden/>
    <w:rsid w:val="00242719"/>
  </w:style>
  <w:style w:type="character" w:styleId="Mention">
    <w:name w:val="Mention"/>
    <w:basedOn w:val="DefaultParagraphFont"/>
    <w:uiPriority w:val="99"/>
    <w:unhideWhenUsed/>
    <w:rsid w:val="0024271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8437646">
      <w:bodyDiv w:val="1"/>
      <w:marLeft w:val="0"/>
      <w:marRight w:val="0"/>
      <w:marTop w:val="0"/>
      <w:marBottom w:val="0"/>
      <w:divBdr>
        <w:top w:val="none" w:sz="0" w:space="0" w:color="auto"/>
        <w:left w:val="none" w:sz="0" w:space="0" w:color="auto"/>
        <w:bottom w:val="none" w:sz="0" w:space="0" w:color="auto"/>
        <w:right w:val="none" w:sz="0" w:space="0" w:color="auto"/>
      </w:divBdr>
    </w:div>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53085964">
      <w:bodyDiv w:val="1"/>
      <w:marLeft w:val="0"/>
      <w:marRight w:val="0"/>
      <w:marTop w:val="0"/>
      <w:marBottom w:val="0"/>
      <w:divBdr>
        <w:top w:val="none" w:sz="0" w:space="0" w:color="auto"/>
        <w:left w:val="none" w:sz="0" w:space="0" w:color="auto"/>
        <w:bottom w:val="none" w:sz="0" w:space="0" w:color="auto"/>
        <w:right w:val="none" w:sz="0" w:space="0" w:color="auto"/>
      </w:divBdr>
    </w:div>
    <w:div w:id="1088498782">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deathpenaltyworldwide.org/wp-content/uploads/2021/10/No-One-Believed-Me-A-Global-Overview-of-Women-Facing-the-Death-Penalty-for-Drug-Offenses.pdf" TargetMode="External"/><Relationship Id="rId117" Type="http://schemas.openxmlformats.org/officeDocument/2006/relationships/hyperlink" Target="https://www.amnesty.org/en/wp-content/uploads/2021/05/ASA3955142017ENGLISH.pdf" TargetMode="External"/><Relationship Id="rId21" Type="http://schemas.openxmlformats.org/officeDocument/2006/relationships/hyperlink" Target="https://deathpenaltyworldwide.org/wp-content/uploads/2019/12/Judged-More-Than-Her-Crime.pdf" TargetMode="External"/><Relationship Id="rId42" Type="http://schemas.openxmlformats.org/officeDocument/2006/relationships/hyperlink" Target="https://www.icj.org/thailand-one-year-on-authorities-have-fallen-short-in-implementing-the-landmark-anti-torture-and-enforced-disappearance-act/" TargetMode="External"/><Relationship Id="rId47" Type="http://schemas.openxmlformats.org/officeDocument/2006/relationships/hyperlink" Target="https://www.fidh.org/IMG/pdf/thailandprison823a.pdf" TargetMode="External"/><Relationship Id="rId63" Type="http://schemas.openxmlformats.org/officeDocument/2006/relationships/hyperlink" Target="https://www.fidh.org/IMG/pdf/thailandprison823a.pdf" TargetMode="External"/><Relationship Id="rId68" Type="http://schemas.openxmlformats.org/officeDocument/2006/relationships/hyperlink" Target="https://deathpenaltyworldwide.org/wp-content/uploads/2019/12/Judged-More-Than-Her-Crime.pdf" TargetMode="External"/><Relationship Id="rId84" Type="http://schemas.openxmlformats.org/officeDocument/2006/relationships/hyperlink" Target="https://www.state.gov/reports/2023-country-reports-on-human-rights-practices/thailand/" TargetMode="External"/><Relationship Id="rId89" Type="http://schemas.openxmlformats.org/officeDocument/2006/relationships/hyperlink" Target="https://deathpenaltyworldwide.org/wp-content/uploads/2021/10/No-One-Believed-Me-A-Global-Overview-of-Women-Facing-the-Death-Penalty-for-Drug-Offenses.pdf" TargetMode="External"/><Relationship Id="rId112" Type="http://schemas.openxmlformats.org/officeDocument/2006/relationships/hyperlink" Target="https://www.amnesty.org/en/wp-content/uploads/2021/05/ASA3955142017ENGLISH.pdf" TargetMode="External"/><Relationship Id="rId16" Type="http://schemas.openxmlformats.org/officeDocument/2006/relationships/hyperlink" Target="https://www.icj.org/resource/thailand-law-to-address-torture-and-enforced-disappearance-is-an-important-step-toward-justice-but-its-full-enforcement-is-critical/" TargetMode="External"/><Relationship Id="rId107" Type="http://schemas.openxmlformats.org/officeDocument/2006/relationships/hyperlink" Target="https://www.amnesty.org/en/wp-content/uploads/2021/05/ASA3955142017ENGLISH.pdf" TargetMode="External"/><Relationship Id="rId11" Type="http://schemas.openxmlformats.org/officeDocument/2006/relationships/hyperlink" Target="https://amnesty.org/en/documents/asa39/7348/2023/en/" TargetMode="External"/><Relationship Id="rId32" Type="http://schemas.openxmlformats.org/officeDocument/2006/relationships/hyperlink" Target="https://deathpenaltyworldwide.org/wp-content/uploads/2021/10/No-One-Believed-Me-A-Global-Overview-of-Women-Facing-the-Death-Penalty-for-Drug-Offenses.pdf" TargetMode="External"/><Relationship Id="rId37" Type="http://schemas.openxmlformats.org/officeDocument/2006/relationships/hyperlink" Target="https://www.fidh.org/en/region/asia/thailand/thailand-un-body-petitioned-over-human-rights-violations-against" TargetMode="External"/><Relationship Id="rId53" Type="http://schemas.openxmlformats.org/officeDocument/2006/relationships/hyperlink" Target="https://www.fidh.org/IMG/pdf/thailandprison823a.pdf" TargetMode="External"/><Relationship Id="rId58" Type="http://schemas.openxmlformats.org/officeDocument/2006/relationships/hyperlink" Target="https://www.fidh.org/IMG/pdf/thailandprison823a.pdf" TargetMode="External"/><Relationship Id="rId74" Type="http://schemas.openxmlformats.org/officeDocument/2006/relationships/hyperlink" Target="https://deathpenaltyworldwide.org/wp-content/uploads/2019/12/Judged-More-Than-Her-Crime.pdf" TargetMode="External"/><Relationship Id="rId79" Type="http://schemas.openxmlformats.org/officeDocument/2006/relationships/hyperlink" Target="https://www.fidh.org/IMG/pdf/thailande791angweb.pdf" TargetMode="External"/><Relationship Id="rId102" Type="http://schemas.openxmlformats.org/officeDocument/2006/relationships/hyperlink" Target="https://www.amnesty.org/en/wp-content/uploads/2021/05/ASA3955142017ENGLISH.pdf" TargetMode="External"/><Relationship Id="rId5" Type="http://schemas.openxmlformats.org/officeDocument/2006/relationships/hyperlink" Target="https://www.fidh.org/IMG/pdf/thailandprison823a.pdf" TargetMode="External"/><Relationship Id="rId90" Type="http://schemas.openxmlformats.org/officeDocument/2006/relationships/hyperlink" Target="https://deathpenaltyworldwide.org/wp-content/uploads/2021/10/No-One-Believed-Me-A-Global-Overview-of-Women-Facing-the-Death-Penalty-for-Drug-Offenses.pdf" TargetMode="External"/><Relationship Id="rId95" Type="http://schemas.openxmlformats.org/officeDocument/2006/relationships/hyperlink" Target="https://www.icj.org/resource/thailand-law-to-address-torture-and-enforced-disappearance-is-an-important-step-toward-justice-but-its-full-enforcement-is-critical/" TargetMode="External"/><Relationship Id="rId22" Type="http://schemas.openxmlformats.org/officeDocument/2006/relationships/hyperlink" Target="https://www.fidh.org/IMG/pdf/thailandprison823a.pdf" TargetMode="External"/><Relationship Id="rId27" Type="http://schemas.openxmlformats.org/officeDocument/2006/relationships/hyperlink" Target="https://deathpenaltyworldwide.org/wp-content/uploads/2021/10/No-One-Believed-Me-A-Global-Overview-of-Women-Facing-the-Death-Penalty-for-Drug-Offenses.pdf" TargetMode="External"/><Relationship Id="rId43" Type="http://schemas.openxmlformats.org/officeDocument/2006/relationships/hyperlink" Target="https://www.state.gov/reports/2023-country-reports-on-human-rights-practices/thailand/" TargetMode="External"/><Relationship Id="rId48" Type="http://schemas.openxmlformats.org/officeDocument/2006/relationships/hyperlink" Target="https://www.fidh.org/IMG/pdf/thailandprison823a.pdf" TargetMode="External"/><Relationship Id="rId64" Type="http://schemas.openxmlformats.org/officeDocument/2006/relationships/hyperlink" Target="https://www.fidh.org/IMG/pdf/thailandprison823a.pdf" TargetMode="External"/><Relationship Id="rId69" Type="http://schemas.openxmlformats.org/officeDocument/2006/relationships/hyperlink" Target="https://deathpenaltyworldwide.org/wp-content/uploads/2021/10/No-One-Believed-Me-A-Global-Overview-of-Women-Facing-the-Death-Penalty-for-Drug-Offenses.pdf" TargetMode="External"/><Relationship Id="rId113" Type="http://schemas.openxmlformats.org/officeDocument/2006/relationships/hyperlink" Target="https://www.amnesty.org/en/wp-content/uploads/2021/05/ASA3955142017ENGLISH.pdf" TargetMode="External"/><Relationship Id="rId118" Type="http://schemas.openxmlformats.org/officeDocument/2006/relationships/hyperlink" Target="https://www.amnesty.org/en/wp-content/uploads/2021/05/ASA3955142017ENGLISH.pdf" TargetMode="External"/><Relationship Id="rId80" Type="http://schemas.openxmlformats.org/officeDocument/2006/relationships/hyperlink" Target="https://www.fidh.org/IMG/pdf/thailande791angweb.pdf" TargetMode="External"/><Relationship Id="rId85" Type="http://schemas.openxmlformats.org/officeDocument/2006/relationships/hyperlink" Target="https://www.fidh.org/IMG/pdf/thailande791angweb.pdf" TargetMode="External"/><Relationship Id="rId12" Type="http://schemas.openxmlformats.org/officeDocument/2006/relationships/hyperlink" Target="https://amnesty.org/en/documents/asa39/7348/2023/en/" TargetMode="External"/><Relationship Id="rId17" Type="http://schemas.openxmlformats.org/officeDocument/2006/relationships/hyperlink" Target="https://www.icj.org/resource/thailand-law-to-address-torture-and-enforced-disappearance-is-an-important-step-toward-justice-but-its-full-enforcement-is-critical/" TargetMode="External"/><Relationship Id="rId33" Type="http://schemas.openxmlformats.org/officeDocument/2006/relationships/hyperlink" Target="https://www.hrw.org/world-report/2024/country-chapters/thailand" TargetMode="External"/><Relationship Id="rId38" Type="http://schemas.openxmlformats.org/officeDocument/2006/relationships/hyperlink" Target="https://www.amnesty.org/en/documents/asa39/6469/2023/en/" TargetMode="External"/><Relationship Id="rId59" Type="http://schemas.openxmlformats.org/officeDocument/2006/relationships/hyperlink" Target="https://www.fidh.org/IMG/pdf/thailandprison823a.pdf" TargetMode="External"/><Relationship Id="rId103" Type="http://schemas.openxmlformats.org/officeDocument/2006/relationships/hyperlink" Target="https://www.amnesty.org/en/wp-content/uploads/2021/05/ASA3955142017ENGLISH.pdf" TargetMode="External"/><Relationship Id="rId108" Type="http://schemas.openxmlformats.org/officeDocument/2006/relationships/hyperlink" Target="https://www.amnesty.org/en/wp-content/uploads/2021/05/ASA3955142017ENGLISH.pdf" TargetMode="External"/><Relationship Id="rId54" Type="http://schemas.openxmlformats.org/officeDocument/2006/relationships/hyperlink" Target="https://www.fidh.org/IMG/pdf/thailandprison823a.pdf" TargetMode="External"/><Relationship Id="rId70" Type="http://schemas.openxmlformats.org/officeDocument/2006/relationships/hyperlink" Target="https://www.fidh.org/IMG/pdf/thailande791angweb.pdf" TargetMode="External"/><Relationship Id="rId75" Type="http://schemas.openxmlformats.org/officeDocument/2006/relationships/hyperlink" Target="https://www.fidh.org/IMG/pdf/thailande791angweb.pdf" TargetMode="External"/><Relationship Id="rId91" Type="http://schemas.openxmlformats.org/officeDocument/2006/relationships/hyperlink" Target="https://deathpenaltyworldwide.org/wp-content/uploads/2021/10/No-One-Believed-Me-A-Global-Overview-of-Women-Facing-the-Death-Penalty-for-Drug-Offenses.pdf" TargetMode="External"/><Relationship Id="rId96" Type="http://schemas.openxmlformats.org/officeDocument/2006/relationships/hyperlink" Target="https://www.amnesty.org/en/wp-content/uploads/2021/05/ASA3955142017ENGLISH.pdf" TargetMode="External"/><Relationship Id="rId1" Type="http://schemas.openxmlformats.org/officeDocument/2006/relationships/hyperlink" Target="https://www.amnesty.org/en/latest/news/2018/06/thailand-countrys-first-execution-since-2009-a-deplorable-move/" TargetMode="External"/><Relationship Id="rId6" Type="http://schemas.openxmlformats.org/officeDocument/2006/relationships/hyperlink" Target="https://www.fidh.org/IMG/pdf/thailandprison823a.pdf" TargetMode="External"/><Relationship Id="rId23" Type="http://schemas.openxmlformats.org/officeDocument/2006/relationships/hyperlink" Target="https://www.fidh.org/IMG/pdf/thailandprison823a.pdf" TargetMode="External"/><Relationship Id="rId28" Type="http://schemas.openxmlformats.org/officeDocument/2006/relationships/hyperlink" Target="https://deathpenaltyworldwide.org/wp-content/uploads/2021/10/No-One-Believed-Me-A-Global-Overview-of-Women-Facing-the-Death-Penalty-for-Drug-Offenses.pdf" TargetMode="External"/><Relationship Id="rId49" Type="http://schemas.openxmlformats.org/officeDocument/2006/relationships/hyperlink" Target="https://www.fidh.org/IMG/pdf/thailandprison823a.pdf" TargetMode="External"/><Relationship Id="rId114" Type="http://schemas.openxmlformats.org/officeDocument/2006/relationships/hyperlink" Target="https://www.amnesty.org/en/wp-content/uploads/2021/05/ASA3955142017ENGLISH.pdf" TargetMode="External"/><Relationship Id="rId10" Type="http://schemas.openxmlformats.org/officeDocument/2006/relationships/hyperlink" Target="https://amnesty.org/en/documents/asa39/7348/2023/en/" TargetMode="External"/><Relationship Id="rId31" Type="http://schemas.openxmlformats.org/officeDocument/2006/relationships/hyperlink" Target="https://deathpenaltyworldwide.org/wp-content/uploads/2021/10/No-One-Believed-Me-A-Global-Overview-of-Women-Facing-the-Death-Penalty-for-Drug-Offenses.pdf" TargetMode="External"/><Relationship Id="rId44" Type="http://schemas.openxmlformats.org/officeDocument/2006/relationships/hyperlink" Target="https://www.state.gov/reports/2023-country-reports-on-human-rights-practices/thailand/" TargetMode="External"/><Relationship Id="rId52" Type="http://schemas.openxmlformats.org/officeDocument/2006/relationships/hyperlink" Target="https://www.fidh.org/IMG/pdf/thailandprison823a.pdf" TargetMode="External"/><Relationship Id="rId60" Type="http://schemas.openxmlformats.org/officeDocument/2006/relationships/hyperlink" Target="https://www.fidh.org/IMG/pdf/thailandprison823a.pdf" TargetMode="External"/><Relationship Id="rId65" Type="http://schemas.openxmlformats.org/officeDocument/2006/relationships/hyperlink" Target="https://www.fidh.org/IMG/pdf/thailandprison823a.pdf" TargetMode="External"/><Relationship Id="rId73" Type="http://schemas.openxmlformats.org/officeDocument/2006/relationships/hyperlink" Target="https://www.fidh.org/IMG/pdf/thailande791angweb.pdf" TargetMode="External"/><Relationship Id="rId78" Type="http://schemas.openxmlformats.org/officeDocument/2006/relationships/hyperlink" Target="https://www.fidh.org/IMG/pdf/thailande791angweb.pdf" TargetMode="External"/><Relationship Id="rId81" Type="http://schemas.openxmlformats.org/officeDocument/2006/relationships/hyperlink" Target="https://www.fidh.org/IMG/pdf/thailande791angweb.pdf" TargetMode="External"/><Relationship Id="rId86" Type="http://schemas.openxmlformats.org/officeDocument/2006/relationships/hyperlink" Target="https://www.fidh.org/IMG/pdf/thailande791angweb.pdf" TargetMode="External"/><Relationship Id="rId94" Type="http://schemas.openxmlformats.org/officeDocument/2006/relationships/hyperlink" Target="https://www.icj.org/resource/thailand-law-to-address-torture-and-enforced-disappearance-is-an-important-step-toward-justice-but-its-full-enforcement-is-critical/" TargetMode="External"/><Relationship Id="rId99" Type="http://schemas.openxmlformats.org/officeDocument/2006/relationships/hyperlink" Target="https://www.amnesty.org/en/wp-content/uploads/2021/05/ASA3955142017ENGLISH.pdf" TargetMode="External"/><Relationship Id="rId101" Type="http://schemas.openxmlformats.org/officeDocument/2006/relationships/hyperlink" Target="https://www.cnn.com/2024/01/19/asia/thailand-man-sentenced-50-years-lese-majeste-record-intl-hnk/index.html" TargetMode="External"/><Relationship Id="rId4" Type="http://schemas.openxmlformats.org/officeDocument/2006/relationships/hyperlink" Target="https://www.independent.co.uk/news/world/asia/thailand-death-penalty-corruption-new-law-a7517991.html" TargetMode="External"/><Relationship Id="rId9" Type="http://schemas.openxmlformats.org/officeDocument/2006/relationships/hyperlink" Target="https://www.amnesty.org/en/documents/act50/5418/2022/en/" TargetMode="External"/><Relationship Id="rId13" Type="http://schemas.openxmlformats.org/officeDocument/2006/relationships/hyperlink" Target="https://amnesty.org/en/documents/asa39/7348/2023/en/" TargetMode="External"/><Relationship Id="rId18" Type="http://schemas.openxmlformats.org/officeDocument/2006/relationships/hyperlink" Target="https://deathpenaltyworldwide.org/wp-content/uploads/2019/12/Judged-More-Than-Her-Crime.pdf" TargetMode="External"/><Relationship Id="rId39" Type="http://schemas.openxmlformats.org/officeDocument/2006/relationships/hyperlink" Target="https://www.amnesty.org/en/documents/pol10/7200/2024/en/" TargetMode="External"/><Relationship Id="rId109" Type="http://schemas.openxmlformats.org/officeDocument/2006/relationships/hyperlink" Target="https://www.amnesty.org/en/wp-content/uploads/2021/05/ASA3955142017ENGLISH.pdf" TargetMode="External"/><Relationship Id="rId34" Type="http://schemas.openxmlformats.org/officeDocument/2006/relationships/hyperlink" Target="https://www.hrw.org/news/2016/05/20/thailand-investigate-alleged-torture-bombing-suspect" TargetMode="External"/><Relationship Id="rId50" Type="http://schemas.openxmlformats.org/officeDocument/2006/relationships/hyperlink" Target="https://www.fidh.org/IMG/pdf/thailandprison823a.pdf" TargetMode="External"/><Relationship Id="rId55" Type="http://schemas.openxmlformats.org/officeDocument/2006/relationships/hyperlink" Target="https://www.fidh.org/IMG/pdf/thailandprison823a.pdf" TargetMode="External"/><Relationship Id="rId76" Type="http://schemas.openxmlformats.org/officeDocument/2006/relationships/hyperlink" Target="https://www.fidh.org/IMG/pdf/thailande791angweb.pdf" TargetMode="External"/><Relationship Id="rId97" Type="http://schemas.openxmlformats.org/officeDocument/2006/relationships/hyperlink" Target="https://www.amnesty.org/en/wp-content/uploads/2021/05/ASA3955142017ENGLISH.pdf" TargetMode="External"/><Relationship Id="rId104" Type="http://schemas.openxmlformats.org/officeDocument/2006/relationships/hyperlink" Target="https://www.amnesty.org/en/wp-content/uploads/2021/05/ASA3955142017ENGLISH.pdf" TargetMode="External"/><Relationship Id="rId7" Type="http://schemas.openxmlformats.org/officeDocument/2006/relationships/hyperlink" Target="https://www.fidh.org/IMG/pdf/thailandprison823a.pdf" TargetMode="External"/><Relationship Id="rId71" Type="http://schemas.openxmlformats.org/officeDocument/2006/relationships/hyperlink" Target="https://deathpenaltyworldwide.org/wp-content/uploads/2019/12/Judged-More-Than-Her-Crime.pdf" TargetMode="External"/><Relationship Id="rId92" Type="http://schemas.openxmlformats.org/officeDocument/2006/relationships/hyperlink" Target="https://www.fidh.org/IMG/pdf/thailande791angweb.pdf" TargetMode="External"/><Relationship Id="rId2" Type="http://schemas.openxmlformats.org/officeDocument/2006/relationships/hyperlink" Target="https://www.amnesty.org/en/latest/news/2018/06/thailand-countrys-first-execution-since-2009-a-deplorable-move/" TargetMode="External"/><Relationship Id="rId29" Type="http://schemas.openxmlformats.org/officeDocument/2006/relationships/hyperlink" Target="https://deathpenaltyworldwide.org/wp-content/uploads/2021/10/No-One-Believed-Me-A-Global-Overview-of-Women-Facing-the-Death-Penalty-for-Drug-Offenses.pdf" TargetMode="External"/><Relationship Id="rId24" Type="http://schemas.openxmlformats.org/officeDocument/2006/relationships/hyperlink" Target="https://www.fidh.org/IMG/pdf/thailandprison823a.pdf" TargetMode="External"/><Relationship Id="rId40" Type="http://schemas.openxmlformats.org/officeDocument/2006/relationships/hyperlink" Target="https://www.icj.org/thailand-one-year-on-authorities-have-fallen-short-in-implementing-the-landmark-anti-torture-and-enforced-disappearance-act/" TargetMode="External"/><Relationship Id="rId45" Type="http://schemas.openxmlformats.org/officeDocument/2006/relationships/hyperlink" Target="https://www.fidh.org/IMG/pdf/thailandprison823a.pdf" TargetMode="External"/><Relationship Id="rId66" Type="http://schemas.openxmlformats.org/officeDocument/2006/relationships/hyperlink" Target="https://www.fidh.org/IMG/pdf/thailandprison823a.pdf" TargetMode="External"/><Relationship Id="rId87" Type="http://schemas.openxmlformats.org/officeDocument/2006/relationships/hyperlink" Target="https://deathpenaltyworldwide.org/wp-content/uploads/2019/12/Judged-More-Than-Her-Crime.pdf" TargetMode="External"/><Relationship Id="rId110" Type="http://schemas.openxmlformats.org/officeDocument/2006/relationships/hyperlink" Target="https://www.amnesty.org/en/wp-content/uploads/2021/05/ASA3955142017ENGLISH.pdf" TargetMode="External"/><Relationship Id="rId115" Type="http://schemas.openxmlformats.org/officeDocument/2006/relationships/hyperlink" Target="https://www.amnesty.org/en/wp-content/uploads/2021/05/ASA3955142017ENGLISH.pdf" TargetMode="External"/><Relationship Id="rId61" Type="http://schemas.openxmlformats.org/officeDocument/2006/relationships/hyperlink" Target="https://www.fidh.org/IMG/pdf/thailandprison823a.pdf" TargetMode="External"/><Relationship Id="rId82" Type="http://schemas.openxmlformats.org/officeDocument/2006/relationships/hyperlink" Target="https://www.fidh.org/IMG/pdf/thailandprison823a.pdf" TargetMode="External"/><Relationship Id="rId19" Type="http://schemas.openxmlformats.org/officeDocument/2006/relationships/hyperlink" Target="https://www.fidh.org/IMG/pdf/thailandprison823a.pdf" TargetMode="External"/><Relationship Id="rId14" Type="http://schemas.openxmlformats.org/officeDocument/2006/relationships/hyperlink" Target="https://www.icj.org/resource/thailand-law-to-address-torture-and-enforced-disappearance-is-an-important-step-toward-justice-but-its-full-enforcement-is-critical/" TargetMode="External"/><Relationship Id="rId30" Type="http://schemas.openxmlformats.org/officeDocument/2006/relationships/hyperlink" Target="https://deathpenaltyworldwide.org/wp-content/uploads/2021/10/No-One-Believed-Me-A-Global-Overview-of-Women-Facing-the-Death-Penalty-for-Drug-Offenses.pdf" TargetMode="External"/><Relationship Id="rId35" Type="http://schemas.openxmlformats.org/officeDocument/2006/relationships/hyperlink" Target="https://www.theguardian.com/world/2016/feb/15/bangkok-bombing-suspect-adem-karadag-tortured-confessing-lawyer" TargetMode="External"/><Relationship Id="rId56" Type="http://schemas.openxmlformats.org/officeDocument/2006/relationships/hyperlink" Target="https://www.state.gov/reports/2023-country-reports-on-human-rights-practices/thailand/" TargetMode="External"/><Relationship Id="rId77" Type="http://schemas.openxmlformats.org/officeDocument/2006/relationships/hyperlink" Target="https://www.fidh.org/IMG/pdf/thailande791angweb.pdf" TargetMode="External"/><Relationship Id="rId100" Type="http://schemas.openxmlformats.org/officeDocument/2006/relationships/hyperlink" Target="https://www.amnesty.org/en/wp-content/uploads/2021/05/ASA3955142017ENGLISH.pdf" TargetMode="External"/><Relationship Id="rId105" Type="http://schemas.openxmlformats.org/officeDocument/2006/relationships/hyperlink" Target="https://www.amnesty.org/en/wp-content/uploads/2021/05/ASA3955142017ENGLISH.pdf" TargetMode="External"/><Relationship Id="rId8" Type="http://schemas.openxmlformats.org/officeDocument/2006/relationships/hyperlink" Target="https://www.amnesty.org/en/documents/act50/5418/2022/en/" TargetMode="External"/><Relationship Id="rId51" Type="http://schemas.openxmlformats.org/officeDocument/2006/relationships/hyperlink" Target="https://www.fidh.org/IMG/pdf/thailandprison823a.pdf" TargetMode="External"/><Relationship Id="rId72" Type="http://schemas.openxmlformats.org/officeDocument/2006/relationships/hyperlink" Target="https://deathpenaltyworldwide.org/wp-content/uploads/2021/10/No-One-Believed-Me-A-Global-Overview-of-Women-Facing-the-Death-Penalty-for-Drug-Offenses.pdf" TargetMode="External"/><Relationship Id="rId93" Type="http://schemas.openxmlformats.org/officeDocument/2006/relationships/hyperlink" Target="https://www.icj.org/resource/thailand-law-to-address-torture-and-enforced-disappearance-is-an-important-step-toward-justice-but-its-full-enforcement-is-critical/" TargetMode="External"/><Relationship Id="rId98" Type="http://schemas.openxmlformats.org/officeDocument/2006/relationships/hyperlink" Target="https://www.amnesty.org/en/wp-content/uploads/2021/05/ASA3955142017ENGLISH.pdf" TargetMode="External"/><Relationship Id="rId3" Type="http://schemas.openxmlformats.org/officeDocument/2006/relationships/hyperlink" Target="https://www.amnesty.org/en/latest/news/2018/06/thailand-countrys-first-execution-since-2009-a-deplorable-move/" TargetMode="External"/><Relationship Id="rId25" Type="http://schemas.openxmlformats.org/officeDocument/2006/relationships/hyperlink" Target="https://deathpenaltyworldwide.org/wp-content/uploads/2021/10/No-One-Believed-Me-A-Global-Overview-of-Women-Facing-the-Death-Penalty-for-Drug-Offenses.pdf" TargetMode="External"/><Relationship Id="rId46" Type="http://schemas.openxmlformats.org/officeDocument/2006/relationships/hyperlink" Target="https://www.fidh.org/IMG/pdf/thailandprison823a.pdf" TargetMode="External"/><Relationship Id="rId67" Type="http://schemas.openxmlformats.org/officeDocument/2006/relationships/hyperlink" Target="https://deathpenaltyworldwide.org/wp-content/uploads/2021/10/No-One-Believed-Me-A-Global-Overview-of-Women-Facing-the-Death-Penalty-for-Drug-Offenses.pdf" TargetMode="External"/><Relationship Id="rId116" Type="http://schemas.openxmlformats.org/officeDocument/2006/relationships/hyperlink" Target="https://www.amnesty.org/en/wp-content/uploads/2021/05/ASA3955142017ENGLISH.pdf" TargetMode="External"/><Relationship Id="rId20" Type="http://schemas.openxmlformats.org/officeDocument/2006/relationships/hyperlink" Target="https://deathpenaltyworldwide.org/wp-content/uploads/2021/10/No-One-Believed-Me-A-Global-Overview-of-Women-Facing-the-Death-Penalty-for-Drug-Offenses.pdf" TargetMode="External"/><Relationship Id="rId41" Type="http://schemas.openxmlformats.org/officeDocument/2006/relationships/hyperlink" Target="https://www.icj.org/thailand-one-year-on-authorities-have-fallen-short-in-implementing-the-landmark-anti-torture-and-enforced-disappearance-act/" TargetMode="External"/><Relationship Id="rId62" Type="http://schemas.openxmlformats.org/officeDocument/2006/relationships/hyperlink" Target="https://www.fidh.org/IMG/pdf/thailandprison823a.pdf" TargetMode="External"/><Relationship Id="rId83" Type="http://schemas.openxmlformats.org/officeDocument/2006/relationships/hyperlink" Target="https://www.fidh.org/IMG/pdf/thailandprison823a.pdf" TargetMode="External"/><Relationship Id="rId88" Type="http://schemas.openxmlformats.org/officeDocument/2006/relationships/hyperlink" Target="https://deathpenaltyworldwide.org/wp-content/uploads/2019/12/Judged-More-Than-Her-Crime.pdf" TargetMode="External"/><Relationship Id="rId111" Type="http://schemas.openxmlformats.org/officeDocument/2006/relationships/hyperlink" Target="https://www.amnesty.org/en/wp-content/uploads/2021/05/ASA3955142017ENGLISH.pdf" TargetMode="External"/><Relationship Id="rId15" Type="http://schemas.openxmlformats.org/officeDocument/2006/relationships/hyperlink" Target="https://www.icj.org/resource/thailand-law-to-address-torture-and-enforced-disappearance-is-an-important-step-toward-justice-but-its-full-enforcement-is-critical/" TargetMode="External"/><Relationship Id="rId36" Type="http://schemas.openxmlformats.org/officeDocument/2006/relationships/hyperlink" Target="https://www.fidh.org/en/region/asia/thailand/thailand-un-body-petitioned-over-human-rights-violations-against" TargetMode="External"/><Relationship Id="rId57" Type="http://schemas.openxmlformats.org/officeDocument/2006/relationships/hyperlink" Target="https://www.fidh.org/IMG/pdf/thailandprison823a.pdf" TargetMode="External"/><Relationship Id="rId106" Type="http://schemas.openxmlformats.org/officeDocument/2006/relationships/hyperlink" Target="https://www.amnesty.org/en/wp-content/uploads/2021/05/ASA3955142017ENGLISH.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646C0F-C2F5-4F76-8A70-76D0001AA359}">
  <ds:schemaRefs>
    <ds:schemaRef ds:uri="http://schemas.microsoft.com/sharepoint/v3/contenttype/forms"/>
  </ds:schemaRefs>
</ds:datastoreItem>
</file>

<file path=customXml/itemProps2.xml><?xml version="1.0" encoding="utf-8"?>
<ds:datastoreItem xmlns:ds="http://schemas.openxmlformats.org/officeDocument/2006/customXml" ds:itemID="{431BF3E9-1CC0-4DE3-9B3F-D1C4F5CD06F4}"/>
</file>

<file path=docProps/app.xml><?xml version="1.0" encoding="utf-8"?>
<Properties xmlns="http://schemas.openxmlformats.org/officeDocument/2006/extended-properties" xmlns:vt="http://schemas.openxmlformats.org/officeDocument/2006/docPropsVTypes">
  <Template>Normal</Template>
  <TotalTime>0</TotalTime>
  <Pages>24</Pages>
  <Words>6919</Words>
  <Characters>39443</Characters>
  <Application>Microsoft Office Word</Application>
  <DocSecurity>0</DocSecurity>
  <Lines>328</Lines>
  <Paragraphs>92</Paragraphs>
  <ScaleCrop>false</ScaleCrop>
  <Company/>
  <LinksUpToDate>false</LinksUpToDate>
  <CharactersWithSpaces>46270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Amy Bergquist</cp:lastModifiedBy>
  <cp:revision>3</cp:revision>
  <cp:lastPrinted>1900-01-01T08:00:00Z</cp:lastPrinted>
  <dcterms:created xsi:type="dcterms:W3CDTF">2024-09-30T22:51:00Z</dcterms:created>
  <dcterms:modified xsi:type="dcterms:W3CDTF">2024-09-30T22:55:00Z</dcterms:modified>
</cp:coreProperties>
</file>