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271EC5" w14:textId="77777777" w:rsidR="004A1277" w:rsidRDefault="004A1277" w:rsidP="004A1277">
      <w:pPr>
        <w:pStyle w:val="Encabezado"/>
        <w:jc w:val="center"/>
      </w:pPr>
      <w:r>
        <w:rPr>
          <w:noProof/>
          <w:lang w:eastAsia="es-MX"/>
        </w:rPr>
        <w:drawing>
          <wp:inline distT="0" distB="0" distL="0" distR="0" wp14:anchorId="66D43046" wp14:editId="754CDCEC">
            <wp:extent cx="675640" cy="11055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640" cy="1105535"/>
                    </a:xfrm>
                    <a:prstGeom prst="rect">
                      <a:avLst/>
                    </a:prstGeom>
                    <a:noFill/>
                    <a:ln>
                      <a:noFill/>
                    </a:ln>
                  </pic:spPr>
                </pic:pic>
              </a:graphicData>
            </a:graphic>
          </wp:inline>
        </w:drawing>
      </w:r>
    </w:p>
    <w:p w14:paraId="39FD3F87" w14:textId="77777777" w:rsidR="004A1277" w:rsidRDefault="004A1277" w:rsidP="004A1277">
      <w:pPr>
        <w:spacing w:after="0" w:line="240" w:lineRule="auto"/>
        <w:rPr>
          <w:rFonts w:ascii="Arial" w:hAnsi="Arial" w:cs="Arial"/>
          <w:b/>
          <w:sz w:val="24"/>
          <w:szCs w:val="24"/>
        </w:rPr>
      </w:pPr>
    </w:p>
    <w:p w14:paraId="2ED43066" w14:textId="06F210EF" w:rsidR="007F1CB7" w:rsidRDefault="004A1277" w:rsidP="00DE6FB8">
      <w:pPr>
        <w:spacing w:after="0" w:line="240" w:lineRule="auto"/>
        <w:jc w:val="center"/>
        <w:rPr>
          <w:rFonts w:ascii="Arial" w:hAnsi="Arial" w:cs="Arial"/>
          <w:b/>
          <w:sz w:val="24"/>
          <w:szCs w:val="24"/>
        </w:rPr>
      </w:pPr>
      <w:r>
        <w:rPr>
          <w:rFonts w:ascii="Arial" w:hAnsi="Arial" w:cs="Arial"/>
          <w:b/>
          <w:sz w:val="24"/>
          <w:szCs w:val="24"/>
        </w:rPr>
        <w:t>Informe de la Comisión Nacional de los Derechos Humanos (CNDH)</w:t>
      </w:r>
      <w:r w:rsidR="00F37AC3" w:rsidRPr="00F37AC3">
        <w:t xml:space="preserve"> </w:t>
      </w:r>
      <w:r w:rsidR="00F37AC3" w:rsidRPr="00F37AC3">
        <w:rPr>
          <w:rFonts w:ascii="Arial" w:hAnsi="Arial" w:cs="Arial"/>
          <w:b/>
          <w:sz w:val="24"/>
          <w:szCs w:val="24"/>
        </w:rPr>
        <w:t>sobre los principales problemas de derechos humanos derivados de la aplicación de los artículos del Pacto Internacional de Derechos Económicos, Sociales y Culturales en México</w:t>
      </w:r>
      <w:r w:rsidR="007F1CB7">
        <w:rPr>
          <w:rFonts w:ascii="Arial" w:hAnsi="Arial" w:cs="Arial"/>
          <w:b/>
          <w:sz w:val="24"/>
          <w:szCs w:val="24"/>
        </w:rPr>
        <w:t xml:space="preserve"> para la</w:t>
      </w:r>
      <w:r>
        <w:rPr>
          <w:rFonts w:ascii="Arial" w:hAnsi="Arial" w:cs="Arial"/>
          <w:b/>
          <w:sz w:val="24"/>
          <w:szCs w:val="24"/>
        </w:rPr>
        <w:t xml:space="preserve"> preparación de la</w:t>
      </w:r>
      <w:r w:rsidR="007F1CB7">
        <w:rPr>
          <w:rFonts w:ascii="Arial" w:hAnsi="Arial" w:cs="Arial"/>
          <w:b/>
          <w:sz w:val="24"/>
          <w:szCs w:val="24"/>
        </w:rPr>
        <w:t xml:space="preserve"> lista de cuestiones previas a la presentación del quinto y sexto informe periódico de México ante del Comité de Derechos Económicos, Sociales y Culturales</w:t>
      </w:r>
    </w:p>
    <w:p w14:paraId="1D519033" w14:textId="77777777" w:rsidR="00676EF2" w:rsidRDefault="00676EF2" w:rsidP="00DE6FB8">
      <w:pPr>
        <w:spacing w:after="0" w:line="240" w:lineRule="auto"/>
        <w:jc w:val="center"/>
        <w:rPr>
          <w:rFonts w:ascii="Arial" w:hAnsi="Arial" w:cs="Arial"/>
          <w:b/>
          <w:sz w:val="24"/>
          <w:szCs w:val="24"/>
        </w:rPr>
      </w:pPr>
      <w:bookmarkStart w:id="0" w:name="_GoBack"/>
      <w:bookmarkEnd w:id="0"/>
    </w:p>
    <w:p w14:paraId="5D15B184" w14:textId="77777777" w:rsidR="007F1CB7" w:rsidRDefault="007F1CB7" w:rsidP="00DE6FB8">
      <w:pPr>
        <w:spacing w:after="0" w:line="240" w:lineRule="auto"/>
        <w:jc w:val="both"/>
        <w:rPr>
          <w:rFonts w:ascii="Arial" w:hAnsi="Arial" w:cs="Arial"/>
          <w:b/>
          <w:sz w:val="24"/>
          <w:szCs w:val="24"/>
        </w:rPr>
      </w:pPr>
      <w:r>
        <w:rPr>
          <w:rFonts w:ascii="Arial" w:hAnsi="Arial" w:cs="Arial"/>
          <w:b/>
          <w:sz w:val="24"/>
          <w:szCs w:val="24"/>
        </w:rPr>
        <w:t>I. D</w:t>
      </w:r>
      <w:r w:rsidR="00C870D0" w:rsidRPr="00D81B51">
        <w:rPr>
          <w:rFonts w:ascii="Arial" w:hAnsi="Arial" w:cs="Arial"/>
          <w:b/>
          <w:sz w:val="24"/>
          <w:szCs w:val="24"/>
        </w:rPr>
        <w:t xml:space="preserve">isposiciones generales del Pacto </w:t>
      </w:r>
      <w:r>
        <w:rPr>
          <w:rFonts w:ascii="Arial" w:hAnsi="Arial" w:cs="Arial"/>
          <w:b/>
          <w:sz w:val="24"/>
          <w:szCs w:val="24"/>
        </w:rPr>
        <w:t xml:space="preserve">Internacional de Derechos Económicos, Sociales y Culturales (PIDESC) </w:t>
      </w:r>
      <w:r w:rsidR="00C870D0" w:rsidRPr="00D81B51">
        <w:rPr>
          <w:rFonts w:ascii="Arial" w:hAnsi="Arial" w:cs="Arial"/>
          <w:b/>
          <w:sz w:val="24"/>
          <w:szCs w:val="24"/>
        </w:rPr>
        <w:t>y los instrumentos que de él derivan</w:t>
      </w:r>
    </w:p>
    <w:p w14:paraId="24480F9D" w14:textId="77777777" w:rsidR="002E507E" w:rsidRPr="00676EF2" w:rsidRDefault="00C870D0" w:rsidP="00DE6FB8">
      <w:pPr>
        <w:spacing w:after="0" w:line="240" w:lineRule="auto"/>
        <w:jc w:val="both"/>
        <w:rPr>
          <w:rFonts w:ascii="Arial" w:hAnsi="Arial" w:cs="Arial"/>
          <w:b/>
          <w:sz w:val="24"/>
          <w:szCs w:val="24"/>
        </w:rPr>
      </w:pPr>
      <w:r w:rsidRPr="00676EF2">
        <w:rPr>
          <w:rFonts w:ascii="Arial" w:hAnsi="Arial" w:cs="Arial"/>
          <w:sz w:val="24"/>
          <w:szCs w:val="24"/>
        </w:rPr>
        <w:t>La</w:t>
      </w:r>
      <w:r w:rsidR="00C05056" w:rsidRPr="00676EF2">
        <w:rPr>
          <w:rFonts w:ascii="Arial" w:hAnsi="Arial" w:cs="Arial"/>
          <w:sz w:val="24"/>
          <w:szCs w:val="24"/>
        </w:rPr>
        <w:t xml:space="preserve"> Comisión Nacional de los Derechos Humanos </w:t>
      </w:r>
      <w:r w:rsidR="007F1CB7" w:rsidRPr="00676EF2">
        <w:rPr>
          <w:rFonts w:ascii="Arial" w:hAnsi="Arial" w:cs="Arial"/>
          <w:sz w:val="24"/>
          <w:szCs w:val="24"/>
        </w:rPr>
        <w:t>(CNDH) observa</w:t>
      </w:r>
      <w:r w:rsidR="002E507E" w:rsidRPr="00676EF2">
        <w:rPr>
          <w:rFonts w:ascii="Arial" w:hAnsi="Arial" w:cs="Arial"/>
          <w:sz w:val="24"/>
          <w:szCs w:val="24"/>
        </w:rPr>
        <w:t xml:space="preserve"> con preocupación </w:t>
      </w:r>
      <w:r w:rsidR="007F1CB7" w:rsidRPr="00676EF2">
        <w:rPr>
          <w:rFonts w:ascii="Arial" w:hAnsi="Arial" w:cs="Arial"/>
          <w:sz w:val="24"/>
          <w:szCs w:val="24"/>
        </w:rPr>
        <w:t>que</w:t>
      </w:r>
      <w:r w:rsidR="002E507E" w:rsidRPr="00676EF2">
        <w:rPr>
          <w:rFonts w:ascii="Arial" w:hAnsi="Arial" w:cs="Arial"/>
          <w:sz w:val="24"/>
          <w:szCs w:val="24"/>
        </w:rPr>
        <w:t xml:space="preserve"> </w:t>
      </w:r>
      <w:r w:rsidR="007F1CB7" w:rsidRPr="00676EF2">
        <w:rPr>
          <w:rFonts w:ascii="Arial" w:hAnsi="Arial" w:cs="Arial"/>
          <w:sz w:val="24"/>
          <w:szCs w:val="24"/>
        </w:rPr>
        <w:t xml:space="preserve">la ratificación </w:t>
      </w:r>
      <w:r w:rsidR="002E507E" w:rsidRPr="00676EF2">
        <w:rPr>
          <w:rFonts w:ascii="Arial" w:hAnsi="Arial" w:cs="Arial"/>
          <w:sz w:val="24"/>
          <w:szCs w:val="24"/>
        </w:rPr>
        <w:t>del Protocolo Facultativo del Pacto Internacional de Derechos Económicos, Sociales y Culturales</w:t>
      </w:r>
      <w:r w:rsidR="007F1CB7" w:rsidRPr="00676EF2">
        <w:rPr>
          <w:rFonts w:ascii="Arial" w:hAnsi="Arial" w:cs="Arial"/>
          <w:sz w:val="24"/>
          <w:szCs w:val="24"/>
        </w:rPr>
        <w:t xml:space="preserve"> aún se encuentra pendiente por parte del Estado Mexicano. La importancia de que México se vincule a dicho instrumento radica en </w:t>
      </w:r>
      <w:r w:rsidR="00A441A6" w:rsidRPr="00676EF2">
        <w:rPr>
          <w:rFonts w:ascii="Arial" w:hAnsi="Arial" w:cs="Arial"/>
          <w:sz w:val="24"/>
          <w:szCs w:val="24"/>
        </w:rPr>
        <w:t>que con su adopción, se reconoce</w:t>
      </w:r>
      <w:r w:rsidR="007F1CB7" w:rsidRPr="00676EF2">
        <w:rPr>
          <w:rFonts w:ascii="Arial" w:hAnsi="Arial" w:cs="Arial"/>
          <w:sz w:val="24"/>
          <w:szCs w:val="24"/>
        </w:rPr>
        <w:t xml:space="preserve"> </w:t>
      </w:r>
      <w:r w:rsidR="002E507E" w:rsidRPr="00676EF2">
        <w:rPr>
          <w:rFonts w:ascii="Arial" w:hAnsi="Arial" w:cs="Arial"/>
          <w:sz w:val="24"/>
          <w:szCs w:val="24"/>
        </w:rPr>
        <w:t>una instancia de garantía supranacional que se suma, de manera complementaria y subsidiaria, a las instancias nacionales de protección de los derechos humanos.</w:t>
      </w:r>
    </w:p>
    <w:p w14:paraId="7B8BBAC5" w14:textId="77777777" w:rsidR="00676EF2" w:rsidRDefault="00676EF2" w:rsidP="00DE6FB8">
      <w:pPr>
        <w:spacing w:after="0" w:line="240" w:lineRule="auto"/>
        <w:jc w:val="both"/>
        <w:rPr>
          <w:rFonts w:ascii="Arial" w:hAnsi="Arial" w:cs="Arial"/>
          <w:sz w:val="24"/>
          <w:szCs w:val="24"/>
        </w:rPr>
      </w:pPr>
    </w:p>
    <w:p w14:paraId="3A89155F" w14:textId="77777777" w:rsidR="002E507E" w:rsidRDefault="00A441A6" w:rsidP="00DE6FB8">
      <w:pPr>
        <w:spacing w:after="0" w:line="240" w:lineRule="auto"/>
        <w:jc w:val="both"/>
        <w:rPr>
          <w:rFonts w:ascii="Arial" w:hAnsi="Arial" w:cs="Arial"/>
          <w:sz w:val="24"/>
          <w:szCs w:val="24"/>
        </w:rPr>
      </w:pPr>
      <w:r>
        <w:rPr>
          <w:rFonts w:ascii="Arial" w:hAnsi="Arial" w:cs="Arial"/>
          <w:sz w:val="24"/>
          <w:szCs w:val="24"/>
        </w:rPr>
        <w:t>En tal virtud, la Comisión Nacional estima que la ratificación</w:t>
      </w:r>
      <w:r w:rsidR="002E507E" w:rsidRPr="00D81B51">
        <w:rPr>
          <w:rFonts w:ascii="Arial" w:hAnsi="Arial" w:cs="Arial"/>
          <w:sz w:val="24"/>
          <w:szCs w:val="24"/>
        </w:rPr>
        <w:t xml:space="preserve"> </w:t>
      </w:r>
      <w:r>
        <w:rPr>
          <w:rFonts w:ascii="Arial" w:hAnsi="Arial" w:cs="Arial"/>
          <w:sz w:val="24"/>
          <w:szCs w:val="24"/>
        </w:rPr>
        <w:t>del Protocolo fortalecería, en gran medida, la garantía de los DESC en el país.</w:t>
      </w:r>
    </w:p>
    <w:p w14:paraId="3805B674" w14:textId="77777777" w:rsidR="00A441A6" w:rsidRDefault="00A441A6" w:rsidP="00DE6FB8">
      <w:pPr>
        <w:spacing w:after="0" w:line="240" w:lineRule="auto"/>
        <w:jc w:val="both"/>
        <w:rPr>
          <w:rFonts w:ascii="Arial" w:hAnsi="Arial" w:cs="Arial"/>
          <w:sz w:val="24"/>
          <w:szCs w:val="24"/>
        </w:rPr>
      </w:pPr>
    </w:p>
    <w:p w14:paraId="4E354AEB" w14:textId="77777777" w:rsidR="00D17C70" w:rsidRDefault="00C467CE" w:rsidP="00DE6FB8">
      <w:pPr>
        <w:spacing w:after="0" w:line="240" w:lineRule="auto"/>
        <w:jc w:val="both"/>
        <w:rPr>
          <w:rFonts w:ascii="Arial" w:hAnsi="Arial" w:cs="Arial"/>
          <w:sz w:val="24"/>
          <w:szCs w:val="24"/>
        </w:rPr>
      </w:pPr>
      <w:r>
        <w:rPr>
          <w:rFonts w:ascii="Arial" w:hAnsi="Arial" w:cs="Arial"/>
          <w:sz w:val="24"/>
          <w:szCs w:val="24"/>
        </w:rPr>
        <w:t>De acuerdo con el PIDESC, la situación económica de los países constituye un determinante para garantizar los derechos</w:t>
      </w:r>
      <w:r w:rsidR="00E23F91">
        <w:rPr>
          <w:rFonts w:ascii="Arial" w:hAnsi="Arial" w:cs="Arial"/>
          <w:sz w:val="24"/>
          <w:szCs w:val="24"/>
        </w:rPr>
        <w:t xml:space="preserve"> reconocidos en ese instrumento, pues de ella depende la disponibilidad de los recursos que</w:t>
      </w:r>
      <w:r>
        <w:rPr>
          <w:rFonts w:ascii="Arial" w:hAnsi="Arial" w:cs="Arial"/>
          <w:sz w:val="24"/>
          <w:szCs w:val="24"/>
        </w:rPr>
        <w:t xml:space="preserve"> </w:t>
      </w:r>
      <w:r w:rsidR="00E23F91">
        <w:rPr>
          <w:rFonts w:ascii="Arial" w:hAnsi="Arial" w:cs="Arial"/>
          <w:sz w:val="24"/>
          <w:szCs w:val="24"/>
        </w:rPr>
        <w:t>permiten</w:t>
      </w:r>
      <w:r>
        <w:rPr>
          <w:rFonts w:ascii="Arial" w:hAnsi="Arial" w:cs="Arial"/>
          <w:sz w:val="24"/>
          <w:szCs w:val="24"/>
        </w:rPr>
        <w:t xml:space="preserve"> la adopción de </w:t>
      </w:r>
      <w:r w:rsidR="00E23F91">
        <w:rPr>
          <w:rFonts w:ascii="Arial" w:hAnsi="Arial" w:cs="Arial"/>
          <w:sz w:val="24"/>
          <w:szCs w:val="24"/>
        </w:rPr>
        <w:t xml:space="preserve">medidas para lograr progresivamente la plena efectividad de los DESC. En tal contexto, la CNDH </w:t>
      </w:r>
      <w:r w:rsidR="00D17C70">
        <w:rPr>
          <w:rFonts w:ascii="Arial" w:hAnsi="Arial" w:cs="Arial"/>
          <w:sz w:val="24"/>
          <w:szCs w:val="24"/>
        </w:rPr>
        <w:t xml:space="preserve">reconoce que el país enfrenta retos en materia económica que lo han conducido a realizar ajustes al Presupuesto de Egresos de la Federación y por ende, se ha pronunciado porque dicha reducción no afecte a los grupos sociales en situación de vulnerabilidad ni a los sectores que padecen marginación. </w:t>
      </w:r>
    </w:p>
    <w:p w14:paraId="6D87FDD9" w14:textId="77777777" w:rsidR="00D17C70" w:rsidRDefault="00D17C70" w:rsidP="00DE6FB8">
      <w:pPr>
        <w:spacing w:after="0" w:line="240" w:lineRule="auto"/>
        <w:jc w:val="both"/>
        <w:rPr>
          <w:rFonts w:ascii="Arial" w:hAnsi="Arial" w:cs="Arial"/>
          <w:sz w:val="24"/>
          <w:szCs w:val="24"/>
        </w:rPr>
      </w:pPr>
    </w:p>
    <w:p w14:paraId="15225DED" w14:textId="77777777" w:rsidR="00C467CE" w:rsidRDefault="007C14B2" w:rsidP="00DE6FB8">
      <w:pPr>
        <w:spacing w:after="0" w:line="240" w:lineRule="auto"/>
        <w:jc w:val="both"/>
        <w:rPr>
          <w:rFonts w:ascii="Arial" w:hAnsi="Arial" w:cs="Arial"/>
          <w:sz w:val="24"/>
          <w:szCs w:val="24"/>
        </w:rPr>
      </w:pPr>
      <w:r>
        <w:rPr>
          <w:rFonts w:ascii="Arial" w:hAnsi="Arial" w:cs="Arial"/>
          <w:sz w:val="24"/>
          <w:szCs w:val="24"/>
        </w:rPr>
        <w:t>Lo anterior, dado que a</w:t>
      </w:r>
      <w:r w:rsidR="00D17C70">
        <w:rPr>
          <w:rFonts w:ascii="Arial" w:hAnsi="Arial" w:cs="Arial"/>
          <w:sz w:val="24"/>
          <w:szCs w:val="24"/>
        </w:rPr>
        <w:t xml:space="preserve"> pesar de que la Estrategia 3.1</w:t>
      </w:r>
      <w:r w:rsidR="00D17C70" w:rsidRPr="00D17C70">
        <w:rPr>
          <w:rFonts w:ascii="Arial" w:hAnsi="Arial" w:cs="Arial"/>
          <w:sz w:val="24"/>
          <w:szCs w:val="24"/>
        </w:rPr>
        <w:t xml:space="preserve"> del Programa Nacional de Derechos Humanos 2014 – 2018 </w:t>
      </w:r>
      <w:r w:rsidR="00D17C70">
        <w:rPr>
          <w:rFonts w:ascii="Arial" w:hAnsi="Arial" w:cs="Arial"/>
          <w:sz w:val="24"/>
          <w:szCs w:val="24"/>
        </w:rPr>
        <w:t>convoca a</w:t>
      </w:r>
      <w:r w:rsidR="00D17C70" w:rsidRPr="00D17C70">
        <w:rPr>
          <w:rFonts w:ascii="Arial" w:hAnsi="Arial" w:cs="Arial"/>
          <w:sz w:val="24"/>
          <w:szCs w:val="24"/>
        </w:rPr>
        <w:t xml:space="preserve"> asegurar el enfoque de derechos en la gestión de la Administración Pública Federal y con ese propósito establece una línea de acción dirigida precisamente a generar herr</w:t>
      </w:r>
      <w:r w:rsidR="00BA65CD">
        <w:rPr>
          <w:rFonts w:ascii="Arial" w:hAnsi="Arial" w:cs="Arial"/>
          <w:sz w:val="24"/>
          <w:szCs w:val="24"/>
        </w:rPr>
        <w:t xml:space="preserve">amientas para la incorporación </w:t>
      </w:r>
      <w:r w:rsidR="00D17C70" w:rsidRPr="00D17C70">
        <w:rPr>
          <w:rFonts w:ascii="Arial" w:hAnsi="Arial" w:cs="Arial"/>
          <w:sz w:val="24"/>
          <w:szCs w:val="24"/>
        </w:rPr>
        <w:t>de dicha cuestión en los procesos de planeación,</w:t>
      </w:r>
      <w:r w:rsidR="00BA65CD">
        <w:rPr>
          <w:rFonts w:ascii="Arial" w:hAnsi="Arial" w:cs="Arial"/>
          <w:sz w:val="24"/>
          <w:szCs w:val="24"/>
        </w:rPr>
        <w:t xml:space="preserve"> programación y presupuestación, la CNDH detecta</w:t>
      </w:r>
      <w:r w:rsidR="00D17C70">
        <w:rPr>
          <w:rFonts w:ascii="Arial" w:hAnsi="Arial" w:cs="Arial"/>
          <w:sz w:val="24"/>
          <w:szCs w:val="24"/>
        </w:rPr>
        <w:t xml:space="preserve"> </w:t>
      </w:r>
      <w:r w:rsidR="00BA65CD">
        <w:rPr>
          <w:rFonts w:ascii="Arial" w:hAnsi="Arial" w:cs="Arial"/>
          <w:sz w:val="24"/>
          <w:szCs w:val="24"/>
        </w:rPr>
        <w:t>que aún falta mucho por hacer en tal respecto. Existe una</w:t>
      </w:r>
      <w:r w:rsidR="00D17C70">
        <w:rPr>
          <w:rFonts w:ascii="Arial" w:hAnsi="Arial" w:cs="Arial"/>
          <w:sz w:val="24"/>
          <w:szCs w:val="24"/>
        </w:rPr>
        <w:t xml:space="preserve"> urgente</w:t>
      </w:r>
      <w:r w:rsidR="00BA65CD">
        <w:rPr>
          <w:rFonts w:ascii="Arial" w:hAnsi="Arial" w:cs="Arial"/>
          <w:sz w:val="24"/>
          <w:szCs w:val="24"/>
        </w:rPr>
        <w:t xml:space="preserve"> e imperante</w:t>
      </w:r>
      <w:r w:rsidR="00D17C70">
        <w:rPr>
          <w:rFonts w:ascii="Arial" w:hAnsi="Arial" w:cs="Arial"/>
          <w:sz w:val="24"/>
          <w:szCs w:val="24"/>
        </w:rPr>
        <w:t xml:space="preserve"> necesidad de contar con un presupuesto público con perspectiva de derechos humanos, que contenga metodologías transversales apropiadas para colocar a la dignidad humana en el eje central de la formulación, discusión, aprobación, ejercicio y evaluación del gasto federal. </w:t>
      </w:r>
    </w:p>
    <w:p w14:paraId="627A1CBF" w14:textId="77777777" w:rsidR="00676EF2" w:rsidRPr="00D81B51" w:rsidRDefault="00676EF2" w:rsidP="00DE6FB8">
      <w:pPr>
        <w:spacing w:after="0" w:line="240" w:lineRule="auto"/>
        <w:ind w:left="708"/>
        <w:jc w:val="both"/>
        <w:rPr>
          <w:rFonts w:ascii="Arial" w:hAnsi="Arial" w:cs="Arial"/>
          <w:sz w:val="24"/>
          <w:szCs w:val="24"/>
        </w:rPr>
      </w:pPr>
    </w:p>
    <w:p w14:paraId="3C81056B" w14:textId="77777777" w:rsidR="004D4752" w:rsidRDefault="004D4752" w:rsidP="00DE6FB8">
      <w:pPr>
        <w:spacing w:after="0" w:line="240" w:lineRule="auto"/>
        <w:jc w:val="both"/>
        <w:rPr>
          <w:rFonts w:ascii="Arial" w:hAnsi="Arial" w:cs="Arial"/>
          <w:b/>
          <w:sz w:val="24"/>
          <w:szCs w:val="24"/>
        </w:rPr>
      </w:pPr>
    </w:p>
    <w:p w14:paraId="01ADA874" w14:textId="77777777" w:rsidR="00A441A6" w:rsidRPr="00A441A6" w:rsidRDefault="00A441A6" w:rsidP="00DE6FB8">
      <w:pPr>
        <w:spacing w:after="0" w:line="240" w:lineRule="auto"/>
        <w:jc w:val="both"/>
        <w:rPr>
          <w:rFonts w:ascii="Arial" w:hAnsi="Arial" w:cs="Arial"/>
          <w:b/>
          <w:sz w:val="24"/>
          <w:szCs w:val="24"/>
        </w:rPr>
      </w:pPr>
      <w:r w:rsidRPr="00A441A6">
        <w:rPr>
          <w:rFonts w:ascii="Arial" w:hAnsi="Arial" w:cs="Arial"/>
          <w:b/>
          <w:sz w:val="24"/>
          <w:szCs w:val="24"/>
        </w:rPr>
        <w:lastRenderedPageBreak/>
        <w:t>II. Artículo 1: derecho a la libre determinación de los pueblos</w:t>
      </w:r>
    </w:p>
    <w:p w14:paraId="7E240E2D" w14:textId="77777777" w:rsidR="00C870D0" w:rsidRPr="00A441A6" w:rsidRDefault="00D87BA0" w:rsidP="00DE6FB8">
      <w:pPr>
        <w:spacing w:after="0" w:line="240" w:lineRule="auto"/>
        <w:jc w:val="both"/>
        <w:rPr>
          <w:rFonts w:ascii="Arial" w:hAnsi="Arial" w:cs="Arial"/>
          <w:sz w:val="24"/>
          <w:szCs w:val="24"/>
        </w:rPr>
      </w:pPr>
      <w:r w:rsidRPr="00A441A6">
        <w:rPr>
          <w:rFonts w:ascii="Arial" w:hAnsi="Arial" w:cs="Arial"/>
          <w:sz w:val="24"/>
          <w:szCs w:val="24"/>
        </w:rPr>
        <w:t xml:space="preserve">La </w:t>
      </w:r>
      <w:r w:rsidR="00A441A6">
        <w:rPr>
          <w:rFonts w:ascii="Arial" w:hAnsi="Arial" w:cs="Arial"/>
          <w:sz w:val="24"/>
          <w:szCs w:val="24"/>
        </w:rPr>
        <w:t>CNDH</w:t>
      </w:r>
      <w:r w:rsidRPr="00A441A6">
        <w:rPr>
          <w:rFonts w:ascii="Arial" w:hAnsi="Arial" w:cs="Arial"/>
          <w:sz w:val="24"/>
          <w:szCs w:val="24"/>
        </w:rPr>
        <w:t xml:space="preserve"> observa que</w:t>
      </w:r>
      <w:r w:rsidR="00A441A6">
        <w:rPr>
          <w:rFonts w:ascii="Arial" w:hAnsi="Arial" w:cs="Arial"/>
          <w:sz w:val="24"/>
          <w:szCs w:val="24"/>
        </w:rPr>
        <w:t>,</w:t>
      </w:r>
      <w:r w:rsidR="00E34586" w:rsidRPr="00A441A6">
        <w:rPr>
          <w:rFonts w:ascii="Arial" w:hAnsi="Arial" w:cs="Arial"/>
          <w:sz w:val="24"/>
          <w:szCs w:val="24"/>
        </w:rPr>
        <w:t xml:space="preserve"> a pesar de los Protocolos de actuación publicados por la Comisión Nacional para el Desarrollo de los Pueblos Indígenas</w:t>
      </w:r>
      <w:r w:rsidR="00E34586" w:rsidRPr="00D81B51">
        <w:rPr>
          <w:rStyle w:val="Refdenotaalpie"/>
          <w:rFonts w:ascii="Arial" w:hAnsi="Arial" w:cs="Arial"/>
          <w:sz w:val="24"/>
          <w:szCs w:val="24"/>
        </w:rPr>
        <w:footnoteReference w:id="1"/>
      </w:r>
      <w:r w:rsidR="00E34586" w:rsidRPr="00A441A6">
        <w:rPr>
          <w:rFonts w:ascii="Arial" w:hAnsi="Arial" w:cs="Arial"/>
          <w:sz w:val="24"/>
          <w:szCs w:val="24"/>
        </w:rPr>
        <w:t xml:space="preserve"> y de la Suprema Corte de Justicia de la Nación (SCJN)</w:t>
      </w:r>
      <w:r w:rsidR="00E34586" w:rsidRPr="00D81B51">
        <w:rPr>
          <w:rStyle w:val="Refdenotaalpie"/>
          <w:rFonts w:ascii="Arial" w:hAnsi="Arial" w:cs="Arial"/>
          <w:sz w:val="24"/>
          <w:szCs w:val="24"/>
        </w:rPr>
        <w:footnoteReference w:id="2"/>
      </w:r>
      <w:r w:rsidR="00A441A6">
        <w:rPr>
          <w:rFonts w:ascii="Arial" w:hAnsi="Arial" w:cs="Arial"/>
          <w:sz w:val="24"/>
          <w:szCs w:val="24"/>
        </w:rPr>
        <w:t>,</w:t>
      </w:r>
      <w:r w:rsidR="00E34586" w:rsidRPr="00A441A6">
        <w:rPr>
          <w:rFonts w:ascii="Arial" w:hAnsi="Arial" w:cs="Arial"/>
          <w:sz w:val="24"/>
          <w:szCs w:val="24"/>
        </w:rPr>
        <w:t xml:space="preserve"> </w:t>
      </w:r>
      <w:r w:rsidRPr="00A441A6">
        <w:rPr>
          <w:rFonts w:ascii="Arial" w:hAnsi="Arial" w:cs="Arial"/>
          <w:sz w:val="24"/>
          <w:szCs w:val="24"/>
        </w:rPr>
        <w:t xml:space="preserve">aún </w:t>
      </w:r>
      <w:r w:rsidR="00E34586" w:rsidRPr="00A441A6">
        <w:rPr>
          <w:rFonts w:ascii="Arial" w:hAnsi="Arial" w:cs="Arial"/>
          <w:sz w:val="24"/>
          <w:szCs w:val="24"/>
        </w:rPr>
        <w:t>persisten</w:t>
      </w:r>
      <w:r w:rsidRPr="00A441A6">
        <w:rPr>
          <w:rFonts w:ascii="Arial" w:hAnsi="Arial" w:cs="Arial"/>
          <w:sz w:val="24"/>
          <w:szCs w:val="24"/>
        </w:rPr>
        <w:t xml:space="preserve"> violaciones a los derechos a la consulta </w:t>
      </w:r>
      <w:r w:rsidR="00A441A6">
        <w:rPr>
          <w:rFonts w:ascii="Arial" w:hAnsi="Arial" w:cs="Arial"/>
          <w:sz w:val="24"/>
          <w:szCs w:val="24"/>
        </w:rPr>
        <w:t>previa de los pueblos indígenas;</w:t>
      </w:r>
      <w:r w:rsidRPr="00A441A6">
        <w:rPr>
          <w:rFonts w:ascii="Arial" w:hAnsi="Arial" w:cs="Arial"/>
          <w:sz w:val="24"/>
          <w:szCs w:val="24"/>
        </w:rPr>
        <w:t xml:space="preserve"> lo anterior </w:t>
      </w:r>
      <w:r w:rsidR="00A441A6">
        <w:rPr>
          <w:rFonts w:ascii="Arial" w:hAnsi="Arial" w:cs="Arial"/>
          <w:sz w:val="24"/>
          <w:szCs w:val="24"/>
        </w:rPr>
        <w:t>se ha puesto en evidencia en</w:t>
      </w:r>
      <w:r w:rsidRPr="00A441A6">
        <w:rPr>
          <w:rFonts w:ascii="Arial" w:hAnsi="Arial" w:cs="Arial"/>
          <w:sz w:val="24"/>
          <w:szCs w:val="24"/>
        </w:rPr>
        <w:t xml:space="preserve"> las recomendaciones </w:t>
      </w:r>
      <w:r w:rsidR="00E34586" w:rsidRPr="00A441A6">
        <w:rPr>
          <w:rFonts w:ascii="Arial" w:hAnsi="Arial" w:cs="Arial"/>
          <w:sz w:val="24"/>
          <w:szCs w:val="24"/>
        </w:rPr>
        <w:t xml:space="preserve">emitidas por esta Comisión, </w:t>
      </w:r>
      <w:r w:rsidR="007D0B0F" w:rsidRPr="00A441A6">
        <w:rPr>
          <w:rFonts w:ascii="Arial" w:hAnsi="Arial" w:cs="Arial"/>
          <w:sz w:val="24"/>
          <w:szCs w:val="24"/>
        </w:rPr>
        <w:t>37/2012</w:t>
      </w:r>
      <w:r w:rsidR="007D0B0F" w:rsidRPr="00D81B51">
        <w:rPr>
          <w:rStyle w:val="Refdenotaalpie"/>
          <w:rFonts w:ascii="Arial" w:hAnsi="Arial" w:cs="Arial"/>
          <w:sz w:val="24"/>
          <w:szCs w:val="24"/>
        </w:rPr>
        <w:footnoteReference w:id="3"/>
      </w:r>
      <w:r w:rsidR="007D0B0F" w:rsidRPr="00A441A6">
        <w:rPr>
          <w:rFonts w:ascii="Arial" w:hAnsi="Arial" w:cs="Arial"/>
          <w:sz w:val="24"/>
          <w:szCs w:val="24"/>
        </w:rPr>
        <w:t xml:space="preserve">, </w:t>
      </w:r>
      <w:r w:rsidRPr="00A441A6">
        <w:rPr>
          <w:rFonts w:ascii="Arial" w:hAnsi="Arial" w:cs="Arial"/>
          <w:sz w:val="24"/>
          <w:szCs w:val="24"/>
        </w:rPr>
        <w:t>56/2012</w:t>
      </w:r>
      <w:r w:rsidRPr="00D81B51">
        <w:rPr>
          <w:rStyle w:val="Refdenotaalpie"/>
          <w:rFonts w:ascii="Arial" w:hAnsi="Arial" w:cs="Arial"/>
          <w:sz w:val="24"/>
          <w:szCs w:val="24"/>
        </w:rPr>
        <w:footnoteReference w:id="4"/>
      </w:r>
      <w:r w:rsidRPr="00A441A6">
        <w:rPr>
          <w:rFonts w:ascii="Arial" w:hAnsi="Arial" w:cs="Arial"/>
          <w:sz w:val="24"/>
          <w:szCs w:val="24"/>
        </w:rPr>
        <w:t>, 23/2015</w:t>
      </w:r>
      <w:r w:rsidRPr="00D81B51">
        <w:rPr>
          <w:rStyle w:val="Refdenotaalpie"/>
          <w:rFonts w:ascii="Arial" w:hAnsi="Arial" w:cs="Arial"/>
          <w:sz w:val="24"/>
          <w:szCs w:val="24"/>
        </w:rPr>
        <w:footnoteReference w:id="5"/>
      </w:r>
      <w:r w:rsidRPr="00A441A6">
        <w:rPr>
          <w:rFonts w:ascii="Arial" w:hAnsi="Arial" w:cs="Arial"/>
          <w:sz w:val="24"/>
          <w:szCs w:val="24"/>
        </w:rPr>
        <w:t xml:space="preserve">, </w:t>
      </w:r>
      <w:r w:rsidR="00A441A6">
        <w:rPr>
          <w:rFonts w:ascii="Arial" w:hAnsi="Arial" w:cs="Arial"/>
          <w:sz w:val="24"/>
          <w:szCs w:val="24"/>
        </w:rPr>
        <w:t xml:space="preserve">y </w:t>
      </w:r>
      <w:r w:rsidRPr="00A441A6">
        <w:rPr>
          <w:rFonts w:ascii="Arial" w:hAnsi="Arial" w:cs="Arial"/>
          <w:sz w:val="24"/>
          <w:szCs w:val="24"/>
        </w:rPr>
        <w:t>56/2016</w:t>
      </w:r>
      <w:r w:rsidR="00E34586" w:rsidRPr="00D81B51">
        <w:rPr>
          <w:rStyle w:val="Refdenotaalpie"/>
          <w:rFonts w:ascii="Arial" w:hAnsi="Arial" w:cs="Arial"/>
          <w:sz w:val="24"/>
          <w:szCs w:val="24"/>
        </w:rPr>
        <w:footnoteReference w:id="6"/>
      </w:r>
      <w:r w:rsidRPr="00A441A6">
        <w:rPr>
          <w:rFonts w:ascii="Arial" w:hAnsi="Arial" w:cs="Arial"/>
          <w:sz w:val="24"/>
          <w:szCs w:val="24"/>
        </w:rPr>
        <w:t xml:space="preserve">, </w:t>
      </w:r>
      <w:r w:rsidR="00A441A6">
        <w:rPr>
          <w:rFonts w:ascii="Arial" w:hAnsi="Arial" w:cs="Arial"/>
          <w:sz w:val="24"/>
          <w:szCs w:val="24"/>
        </w:rPr>
        <w:t xml:space="preserve">así como en </w:t>
      </w:r>
      <w:r w:rsidRPr="00A441A6">
        <w:rPr>
          <w:rFonts w:ascii="Arial" w:hAnsi="Arial" w:cs="Arial"/>
          <w:sz w:val="24"/>
          <w:szCs w:val="24"/>
        </w:rPr>
        <w:t>la Recomendación General 27</w:t>
      </w:r>
      <w:r w:rsidR="00A441A6">
        <w:rPr>
          <w:rFonts w:ascii="Arial" w:hAnsi="Arial" w:cs="Arial"/>
          <w:sz w:val="24"/>
          <w:szCs w:val="24"/>
        </w:rPr>
        <w:t>/2016</w:t>
      </w:r>
      <w:r w:rsidR="00E34586" w:rsidRPr="00D81B51">
        <w:rPr>
          <w:rStyle w:val="Refdenotaalpie"/>
          <w:rFonts w:ascii="Arial" w:hAnsi="Arial" w:cs="Arial"/>
          <w:sz w:val="24"/>
          <w:szCs w:val="24"/>
        </w:rPr>
        <w:footnoteReference w:id="7"/>
      </w:r>
      <w:r w:rsidR="002E5822" w:rsidRPr="00A441A6">
        <w:rPr>
          <w:rFonts w:ascii="Arial" w:hAnsi="Arial" w:cs="Arial"/>
          <w:sz w:val="24"/>
          <w:szCs w:val="24"/>
        </w:rPr>
        <w:t xml:space="preserve">. </w:t>
      </w:r>
      <w:r w:rsidR="001370D3" w:rsidRPr="00A441A6">
        <w:rPr>
          <w:rFonts w:ascii="Arial" w:hAnsi="Arial" w:cs="Arial"/>
          <w:sz w:val="24"/>
          <w:szCs w:val="24"/>
        </w:rPr>
        <w:t xml:space="preserve">En esta última se insta a los poderes ejecutivo y legislativo federales </w:t>
      </w:r>
      <w:r w:rsidR="00A441A6">
        <w:rPr>
          <w:rFonts w:ascii="Arial" w:hAnsi="Arial" w:cs="Arial"/>
          <w:sz w:val="24"/>
          <w:szCs w:val="24"/>
        </w:rPr>
        <w:t>a asegurar</w:t>
      </w:r>
      <w:r w:rsidR="001370D3" w:rsidRPr="00A441A6">
        <w:rPr>
          <w:rFonts w:ascii="Arial" w:hAnsi="Arial" w:cs="Arial"/>
          <w:sz w:val="24"/>
          <w:szCs w:val="24"/>
        </w:rPr>
        <w:t xml:space="preserve"> la participación de los pueblos y comunidades indígenas del país realizando consultas a las mismas, y se integre a las </w:t>
      </w:r>
      <w:r w:rsidR="00676EF2">
        <w:rPr>
          <w:rFonts w:ascii="Arial" w:hAnsi="Arial" w:cs="Arial"/>
          <w:sz w:val="24"/>
          <w:szCs w:val="24"/>
        </w:rPr>
        <w:t>o</w:t>
      </w:r>
      <w:r w:rsidR="001370D3" w:rsidRPr="00A441A6">
        <w:rPr>
          <w:rFonts w:ascii="Arial" w:hAnsi="Arial" w:cs="Arial"/>
          <w:sz w:val="24"/>
          <w:szCs w:val="24"/>
        </w:rPr>
        <w:t xml:space="preserve">rganizaciones de la </w:t>
      </w:r>
      <w:r w:rsidR="00676EF2">
        <w:rPr>
          <w:rFonts w:ascii="Arial" w:hAnsi="Arial" w:cs="Arial"/>
          <w:sz w:val="24"/>
          <w:szCs w:val="24"/>
        </w:rPr>
        <w:t>s</w:t>
      </w:r>
      <w:r w:rsidR="001370D3" w:rsidRPr="00A441A6">
        <w:rPr>
          <w:rFonts w:ascii="Arial" w:hAnsi="Arial" w:cs="Arial"/>
          <w:sz w:val="24"/>
          <w:szCs w:val="24"/>
        </w:rPr>
        <w:t xml:space="preserve">ociedad </w:t>
      </w:r>
      <w:r w:rsidR="00676EF2">
        <w:rPr>
          <w:rFonts w:ascii="Arial" w:hAnsi="Arial" w:cs="Arial"/>
          <w:sz w:val="24"/>
          <w:szCs w:val="24"/>
        </w:rPr>
        <w:t>c</w:t>
      </w:r>
      <w:r w:rsidR="001370D3" w:rsidRPr="00A441A6">
        <w:rPr>
          <w:rFonts w:ascii="Arial" w:hAnsi="Arial" w:cs="Arial"/>
          <w:sz w:val="24"/>
          <w:szCs w:val="24"/>
        </w:rPr>
        <w:t xml:space="preserve">ivil e instituciones académicas durante el </w:t>
      </w:r>
      <w:r w:rsidR="00676EF2">
        <w:rPr>
          <w:rFonts w:ascii="Arial" w:hAnsi="Arial" w:cs="Arial"/>
          <w:sz w:val="24"/>
          <w:szCs w:val="24"/>
        </w:rPr>
        <w:t>respectivo procedimiento</w:t>
      </w:r>
      <w:r w:rsidR="001370D3" w:rsidRPr="00A441A6">
        <w:rPr>
          <w:rFonts w:ascii="Arial" w:hAnsi="Arial" w:cs="Arial"/>
          <w:sz w:val="24"/>
          <w:szCs w:val="24"/>
        </w:rPr>
        <w:t xml:space="preserve">. </w:t>
      </w:r>
    </w:p>
    <w:p w14:paraId="4840E2B7" w14:textId="77777777" w:rsidR="00C14708" w:rsidRPr="00D81B51" w:rsidRDefault="00C14708" w:rsidP="00DE6FB8">
      <w:pPr>
        <w:pStyle w:val="Prrafodelista"/>
        <w:spacing w:after="0" w:line="240" w:lineRule="auto"/>
        <w:ind w:left="0"/>
        <w:jc w:val="both"/>
        <w:rPr>
          <w:rFonts w:ascii="Arial" w:hAnsi="Arial" w:cs="Arial"/>
          <w:b/>
          <w:bCs/>
          <w:sz w:val="24"/>
          <w:szCs w:val="24"/>
        </w:rPr>
      </w:pPr>
    </w:p>
    <w:p w14:paraId="7C465587" w14:textId="77777777" w:rsidR="00283DAA" w:rsidRPr="00D81B51" w:rsidRDefault="00676EF2" w:rsidP="00DE6FB8">
      <w:pPr>
        <w:pStyle w:val="Prrafodelista"/>
        <w:spacing w:after="0" w:line="240" w:lineRule="auto"/>
        <w:ind w:left="0"/>
        <w:jc w:val="both"/>
        <w:rPr>
          <w:rFonts w:ascii="Arial" w:hAnsi="Arial" w:cs="Arial"/>
          <w:b/>
          <w:bCs/>
          <w:sz w:val="24"/>
          <w:szCs w:val="24"/>
        </w:rPr>
      </w:pPr>
      <w:r>
        <w:rPr>
          <w:rFonts w:ascii="Arial" w:hAnsi="Arial" w:cs="Arial"/>
          <w:b/>
          <w:bCs/>
          <w:sz w:val="24"/>
          <w:szCs w:val="24"/>
        </w:rPr>
        <w:t>III. Artículo 3:</w:t>
      </w:r>
      <w:r w:rsidR="00283DAA" w:rsidRPr="00D81B51">
        <w:rPr>
          <w:rFonts w:ascii="Arial" w:hAnsi="Arial" w:cs="Arial"/>
          <w:b/>
          <w:bCs/>
          <w:sz w:val="24"/>
          <w:szCs w:val="24"/>
        </w:rPr>
        <w:t xml:space="preserve"> Igualdad y equidad de género</w:t>
      </w:r>
    </w:p>
    <w:p w14:paraId="314C0E16" w14:textId="77777777" w:rsidR="00C467CE" w:rsidRPr="00D81B51" w:rsidRDefault="001645B7" w:rsidP="00DE6FB8">
      <w:pPr>
        <w:pStyle w:val="Prrafodelista"/>
        <w:spacing w:after="0" w:line="240" w:lineRule="auto"/>
        <w:ind w:left="0"/>
        <w:jc w:val="both"/>
        <w:rPr>
          <w:rFonts w:ascii="Arial" w:hAnsi="Arial" w:cs="Arial"/>
          <w:sz w:val="24"/>
          <w:szCs w:val="24"/>
        </w:rPr>
      </w:pPr>
      <w:r w:rsidRPr="00D81B51">
        <w:rPr>
          <w:rFonts w:ascii="Arial" w:hAnsi="Arial" w:cs="Arial"/>
          <w:sz w:val="24"/>
          <w:szCs w:val="24"/>
        </w:rPr>
        <w:t xml:space="preserve">La reforma publicada en el Diario Oficial de la Federación el 30 de noviembre de </w:t>
      </w:r>
      <w:r w:rsidR="00283DAA" w:rsidRPr="00D81B51">
        <w:rPr>
          <w:rFonts w:ascii="Arial" w:hAnsi="Arial" w:cs="Arial"/>
          <w:sz w:val="24"/>
          <w:szCs w:val="24"/>
        </w:rPr>
        <w:t>2012 a la L</w:t>
      </w:r>
      <w:r w:rsidRPr="00D81B51">
        <w:rPr>
          <w:rFonts w:ascii="Arial" w:hAnsi="Arial" w:cs="Arial"/>
          <w:sz w:val="24"/>
          <w:szCs w:val="24"/>
        </w:rPr>
        <w:t>ey Federal del Trabajo</w:t>
      </w:r>
      <w:r w:rsidR="00AE0D67">
        <w:rPr>
          <w:rFonts w:ascii="Arial" w:hAnsi="Arial" w:cs="Arial"/>
          <w:sz w:val="24"/>
          <w:szCs w:val="24"/>
        </w:rPr>
        <w:t xml:space="preserve"> (LFT)</w:t>
      </w:r>
      <w:r w:rsidR="00676EF2">
        <w:rPr>
          <w:rFonts w:ascii="Arial" w:hAnsi="Arial" w:cs="Arial"/>
          <w:sz w:val="24"/>
          <w:szCs w:val="24"/>
        </w:rPr>
        <w:t>,</w:t>
      </w:r>
      <w:r w:rsidRPr="00D81B51">
        <w:rPr>
          <w:rFonts w:ascii="Arial" w:hAnsi="Arial" w:cs="Arial"/>
          <w:sz w:val="24"/>
          <w:szCs w:val="24"/>
        </w:rPr>
        <w:t xml:space="preserve"> </w:t>
      </w:r>
      <w:r w:rsidR="00283DAA" w:rsidRPr="00D81B51">
        <w:rPr>
          <w:rFonts w:ascii="Arial" w:hAnsi="Arial" w:cs="Arial"/>
          <w:sz w:val="24"/>
          <w:szCs w:val="24"/>
        </w:rPr>
        <w:t>establece la p</w:t>
      </w:r>
      <w:r w:rsidR="00676EF2">
        <w:rPr>
          <w:rFonts w:ascii="Arial" w:hAnsi="Arial" w:cs="Arial"/>
          <w:sz w:val="24"/>
          <w:szCs w:val="24"/>
        </w:rPr>
        <w:t>rohibición de la discriminación;</w:t>
      </w:r>
      <w:r w:rsidR="00283DAA" w:rsidRPr="00D81B51">
        <w:rPr>
          <w:rFonts w:ascii="Arial" w:hAnsi="Arial" w:cs="Arial"/>
          <w:sz w:val="24"/>
          <w:szCs w:val="24"/>
        </w:rPr>
        <w:t xml:space="preserve"> </w:t>
      </w:r>
      <w:r w:rsidR="00D62F05">
        <w:rPr>
          <w:rFonts w:ascii="Arial" w:hAnsi="Arial" w:cs="Arial"/>
          <w:sz w:val="24"/>
          <w:szCs w:val="24"/>
        </w:rPr>
        <w:t>busca</w:t>
      </w:r>
      <w:r w:rsidR="00283DAA" w:rsidRPr="00D81B51">
        <w:rPr>
          <w:rFonts w:ascii="Arial" w:hAnsi="Arial" w:cs="Arial"/>
          <w:sz w:val="24"/>
          <w:szCs w:val="24"/>
        </w:rPr>
        <w:t xml:space="preserve"> fortalecer los d</w:t>
      </w:r>
      <w:r w:rsidR="00676EF2">
        <w:rPr>
          <w:rFonts w:ascii="Arial" w:hAnsi="Arial" w:cs="Arial"/>
          <w:sz w:val="24"/>
          <w:szCs w:val="24"/>
        </w:rPr>
        <w:t>erechos de la mujer trabajadora y</w:t>
      </w:r>
      <w:r w:rsidR="00283DAA" w:rsidRPr="00D81B51">
        <w:rPr>
          <w:rFonts w:ascii="Arial" w:hAnsi="Arial" w:cs="Arial"/>
          <w:sz w:val="24"/>
          <w:szCs w:val="24"/>
        </w:rPr>
        <w:t xml:space="preserve"> privilegiar la productividad de los trabajadores como el principal criterio para acceder a plazas vacantes</w:t>
      </w:r>
      <w:r w:rsidR="00676EF2">
        <w:rPr>
          <w:rFonts w:ascii="Arial" w:hAnsi="Arial" w:cs="Arial"/>
          <w:sz w:val="24"/>
          <w:szCs w:val="24"/>
        </w:rPr>
        <w:t>, entre otras cuestiones</w:t>
      </w:r>
      <w:r w:rsidR="00283DAA" w:rsidRPr="00D81B51">
        <w:rPr>
          <w:rFonts w:ascii="Arial" w:hAnsi="Arial" w:cs="Arial"/>
          <w:sz w:val="24"/>
          <w:szCs w:val="24"/>
        </w:rPr>
        <w:t>.</w:t>
      </w:r>
      <w:r w:rsidR="00676EF2">
        <w:rPr>
          <w:rFonts w:ascii="Arial" w:hAnsi="Arial" w:cs="Arial"/>
          <w:sz w:val="24"/>
          <w:szCs w:val="24"/>
        </w:rPr>
        <w:t xml:space="preserve"> </w:t>
      </w:r>
      <w:r w:rsidR="00283DAA" w:rsidRPr="00D81B51">
        <w:rPr>
          <w:rFonts w:ascii="Arial" w:hAnsi="Arial" w:cs="Arial"/>
          <w:sz w:val="24"/>
          <w:szCs w:val="24"/>
        </w:rPr>
        <w:t xml:space="preserve">No obstante lo anterior, en materia de discriminación laboral hacia las mujeres, la CNDH ha detectado, a través de las quejas presentadas, que aún persisten prácticas discriminatorias por motivos de embarazo y/o discapacidad, sometiendo a las mujeres a condiciones de trabajo difíciles o peligrosas para obligarlas a renunciar al empleo, </w:t>
      </w:r>
      <w:r w:rsidR="00D62F05">
        <w:rPr>
          <w:rFonts w:ascii="Arial" w:hAnsi="Arial" w:cs="Arial"/>
          <w:sz w:val="24"/>
          <w:szCs w:val="24"/>
        </w:rPr>
        <w:t xml:space="preserve">negándoles los permisos para </w:t>
      </w:r>
      <w:r w:rsidR="00283DAA" w:rsidRPr="00D81B51">
        <w:rPr>
          <w:rFonts w:ascii="Arial" w:hAnsi="Arial" w:cs="Arial"/>
          <w:sz w:val="24"/>
          <w:szCs w:val="24"/>
        </w:rPr>
        <w:t>tratamiento</w:t>
      </w:r>
      <w:r w:rsidR="00D62F05">
        <w:rPr>
          <w:rFonts w:ascii="Arial" w:hAnsi="Arial" w:cs="Arial"/>
          <w:sz w:val="24"/>
          <w:szCs w:val="24"/>
        </w:rPr>
        <w:t>s</w:t>
      </w:r>
      <w:r w:rsidR="00283DAA" w:rsidRPr="00D81B51">
        <w:rPr>
          <w:rFonts w:ascii="Arial" w:hAnsi="Arial" w:cs="Arial"/>
          <w:sz w:val="24"/>
          <w:szCs w:val="24"/>
        </w:rPr>
        <w:t xml:space="preserve"> médico</w:t>
      </w:r>
      <w:r w:rsidR="00D62F05">
        <w:rPr>
          <w:rFonts w:ascii="Arial" w:hAnsi="Arial" w:cs="Arial"/>
          <w:sz w:val="24"/>
          <w:szCs w:val="24"/>
        </w:rPr>
        <w:t>s</w:t>
      </w:r>
      <w:r w:rsidR="00C467CE">
        <w:rPr>
          <w:rFonts w:ascii="Arial" w:hAnsi="Arial" w:cs="Arial"/>
          <w:sz w:val="24"/>
          <w:szCs w:val="24"/>
        </w:rPr>
        <w:t xml:space="preserve"> o </w:t>
      </w:r>
      <w:r w:rsidR="00C467CE" w:rsidRPr="00164941">
        <w:rPr>
          <w:rFonts w:ascii="Arial" w:hAnsi="Arial" w:cs="Arial"/>
          <w:sz w:val="24"/>
          <w:szCs w:val="24"/>
        </w:rPr>
        <w:t xml:space="preserve">se carece de instalaciones adecuadas que </w:t>
      </w:r>
      <w:r w:rsidR="00C467CE" w:rsidRPr="00164941">
        <w:rPr>
          <w:rFonts w:ascii="Arial" w:hAnsi="Arial" w:cs="Arial"/>
          <w:sz w:val="24"/>
          <w:szCs w:val="24"/>
        </w:rPr>
        <w:lastRenderedPageBreak/>
        <w:t>aseguren el acceso de las personas con discapacidad en iguald</w:t>
      </w:r>
      <w:r w:rsidR="00C467CE">
        <w:rPr>
          <w:rFonts w:ascii="Arial" w:hAnsi="Arial" w:cs="Arial"/>
          <w:sz w:val="24"/>
          <w:szCs w:val="24"/>
        </w:rPr>
        <w:t>ad de condiciones que las demás</w:t>
      </w:r>
      <w:r w:rsidR="00C467CE" w:rsidRPr="00D81B51">
        <w:rPr>
          <w:rFonts w:ascii="Arial" w:hAnsi="Arial" w:cs="Arial"/>
          <w:sz w:val="24"/>
          <w:szCs w:val="24"/>
        </w:rPr>
        <w:t>.</w:t>
      </w:r>
    </w:p>
    <w:p w14:paraId="4DC52727" w14:textId="77777777" w:rsidR="00676EF2" w:rsidRDefault="00676EF2" w:rsidP="00DE6FB8">
      <w:pPr>
        <w:spacing w:after="0" w:line="240" w:lineRule="auto"/>
        <w:jc w:val="both"/>
        <w:rPr>
          <w:rFonts w:ascii="Arial" w:hAnsi="Arial" w:cs="Arial"/>
          <w:sz w:val="24"/>
          <w:szCs w:val="24"/>
        </w:rPr>
      </w:pPr>
    </w:p>
    <w:p w14:paraId="1F7BCFBF" w14:textId="77777777" w:rsidR="00283DAA" w:rsidRPr="00D81B51" w:rsidRDefault="000D291D" w:rsidP="00DE6FB8">
      <w:pPr>
        <w:spacing w:after="0" w:line="240" w:lineRule="auto"/>
        <w:jc w:val="both"/>
        <w:rPr>
          <w:rFonts w:ascii="Arial" w:hAnsi="Arial" w:cs="Arial"/>
          <w:sz w:val="24"/>
          <w:szCs w:val="24"/>
        </w:rPr>
      </w:pPr>
      <w:r>
        <w:rPr>
          <w:rFonts w:ascii="Arial" w:hAnsi="Arial" w:cs="Arial"/>
          <w:sz w:val="24"/>
          <w:szCs w:val="24"/>
        </w:rPr>
        <w:t>Aunado a lo anterior, c</w:t>
      </w:r>
      <w:r w:rsidR="00283DAA" w:rsidRPr="00D81B51">
        <w:rPr>
          <w:rFonts w:ascii="Arial" w:hAnsi="Arial" w:cs="Arial"/>
          <w:sz w:val="24"/>
          <w:szCs w:val="24"/>
        </w:rPr>
        <w:t xml:space="preserve">abe señalar que México no ha firmado el Convenio de la </w:t>
      </w:r>
      <w:r w:rsidR="00676EF2">
        <w:rPr>
          <w:rFonts w:ascii="Arial" w:hAnsi="Arial" w:cs="Arial"/>
          <w:sz w:val="24"/>
          <w:szCs w:val="24"/>
        </w:rPr>
        <w:t>Organización Internacional del Trabajo (</w:t>
      </w:r>
      <w:r w:rsidR="00283DAA" w:rsidRPr="00D81B51">
        <w:rPr>
          <w:rFonts w:ascii="Arial" w:hAnsi="Arial" w:cs="Arial"/>
          <w:sz w:val="24"/>
          <w:szCs w:val="24"/>
        </w:rPr>
        <w:t>OIT</w:t>
      </w:r>
      <w:r w:rsidR="00676EF2">
        <w:rPr>
          <w:rFonts w:ascii="Arial" w:hAnsi="Arial" w:cs="Arial"/>
          <w:sz w:val="24"/>
          <w:szCs w:val="24"/>
        </w:rPr>
        <w:t>)</w:t>
      </w:r>
      <w:r w:rsidR="00283DAA" w:rsidRPr="00D81B51">
        <w:rPr>
          <w:rFonts w:ascii="Arial" w:hAnsi="Arial" w:cs="Arial"/>
          <w:sz w:val="24"/>
          <w:szCs w:val="24"/>
        </w:rPr>
        <w:t xml:space="preserve"> 189 sobre las trabajadora</w:t>
      </w:r>
      <w:r w:rsidR="00676EF2">
        <w:rPr>
          <w:rFonts w:ascii="Arial" w:hAnsi="Arial" w:cs="Arial"/>
          <w:sz w:val="24"/>
          <w:szCs w:val="24"/>
        </w:rPr>
        <w:t>s y los trabajadores domésticos; aun cuando dicho organismo multilateral</w:t>
      </w:r>
      <w:r w:rsidR="00283DAA" w:rsidRPr="00D81B51">
        <w:rPr>
          <w:rFonts w:ascii="Arial" w:hAnsi="Arial" w:cs="Arial"/>
          <w:sz w:val="24"/>
          <w:szCs w:val="24"/>
        </w:rPr>
        <w:t xml:space="preserve"> ha </w:t>
      </w:r>
      <w:r w:rsidR="00676EF2">
        <w:rPr>
          <w:rFonts w:ascii="Arial" w:hAnsi="Arial" w:cs="Arial"/>
          <w:sz w:val="24"/>
          <w:szCs w:val="24"/>
        </w:rPr>
        <w:t>destacado</w:t>
      </w:r>
      <w:r w:rsidR="00283DAA" w:rsidRPr="00D81B51">
        <w:rPr>
          <w:rFonts w:ascii="Arial" w:hAnsi="Arial" w:cs="Arial"/>
          <w:sz w:val="24"/>
          <w:szCs w:val="24"/>
        </w:rPr>
        <w:t xml:space="preserve"> la problemática de este sector laboral en México</w:t>
      </w:r>
      <w:r w:rsidR="00283DAA" w:rsidRPr="00D81B51">
        <w:rPr>
          <w:rStyle w:val="Refdenotaalpie"/>
          <w:rFonts w:ascii="Arial" w:hAnsi="Arial" w:cs="Arial"/>
          <w:sz w:val="24"/>
          <w:szCs w:val="24"/>
        </w:rPr>
        <w:footnoteReference w:id="8"/>
      </w:r>
      <w:r>
        <w:rPr>
          <w:rFonts w:ascii="Arial" w:hAnsi="Arial" w:cs="Arial"/>
          <w:sz w:val="24"/>
          <w:szCs w:val="24"/>
        </w:rPr>
        <w:t xml:space="preserve">, particularmente en cuanto a </w:t>
      </w:r>
      <w:r w:rsidR="00283DAA" w:rsidRPr="00D81B51">
        <w:rPr>
          <w:rFonts w:ascii="Arial" w:hAnsi="Arial" w:cs="Arial"/>
          <w:sz w:val="24"/>
          <w:szCs w:val="24"/>
        </w:rPr>
        <w:t>la falta de regulación de la jornada laboral</w:t>
      </w:r>
      <w:r>
        <w:rPr>
          <w:rFonts w:ascii="Arial" w:hAnsi="Arial" w:cs="Arial"/>
          <w:sz w:val="24"/>
          <w:szCs w:val="24"/>
        </w:rPr>
        <w:t xml:space="preserve"> de las trabajadoras domésticas. Al respecto, </w:t>
      </w:r>
      <w:r w:rsidR="00283DAA" w:rsidRPr="00D81B51">
        <w:rPr>
          <w:rFonts w:ascii="Arial" w:hAnsi="Arial" w:cs="Arial"/>
          <w:sz w:val="24"/>
          <w:szCs w:val="24"/>
        </w:rPr>
        <w:t>la LFT únicame</w:t>
      </w:r>
      <w:r>
        <w:rPr>
          <w:rFonts w:ascii="Arial" w:hAnsi="Arial" w:cs="Arial"/>
          <w:sz w:val="24"/>
          <w:szCs w:val="24"/>
        </w:rPr>
        <w:t>nte prevé el tiempo de descanso;</w:t>
      </w:r>
      <w:r w:rsidR="00D62F05">
        <w:rPr>
          <w:rFonts w:ascii="Arial" w:hAnsi="Arial" w:cs="Arial"/>
          <w:sz w:val="24"/>
          <w:szCs w:val="24"/>
        </w:rPr>
        <w:t xml:space="preserve"> en el país aún se dan casos de </w:t>
      </w:r>
      <w:r w:rsidR="00283DAA" w:rsidRPr="00D81B51">
        <w:rPr>
          <w:rFonts w:ascii="Arial" w:hAnsi="Arial" w:cs="Arial"/>
          <w:sz w:val="24"/>
          <w:szCs w:val="24"/>
        </w:rPr>
        <w:t xml:space="preserve">pago de una parte del salario en especie, y la </w:t>
      </w:r>
      <w:r w:rsidR="00D62F05">
        <w:rPr>
          <w:rFonts w:ascii="Arial" w:hAnsi="Arial" w:cs="Arial"/>
          <w:sz w:val="24"/>
          <w:szCs w:val="24"/>
        </w:rPr>
        <w:t>a</w:t>
      </w:r>
      <w:r w:rsidR="00283DAA" w:rsidRPr="00D81B51">
        <w:rPr>
          <w:rFonts w:ascii="Arial" w:hAnsi="Arial" w:cs="Arial"/>
          <w:sz w:val="24"/>
          <w:szCs w:val="24"/>
        </w:rPr>
        <w:t>filiación a la segu</w:t>
      </w:r>
      <w:r w:rsidR="00D62F05">
        <w:rPr>
          <w:rFonts w:ascii="Arial" w:hAnsi="Arial" w:cs="Arial"/>
          <w:sz w:val="24"/>
          <w:szCs w:val="24"/>
        </w:rPr>
        <w:t xml:space="preserve">ridad social, aunque es obligatoria, no cubre un vasto sector de trabajadoras y trabajadores, que permanecen en la informalidad. </w:t>
      </w:r>
    </w:p>
    <w:p w14:paraId="6BDD9E49" w14:textId="77777777" w:rsidR="00283DAA" w:rsidRPr="00876813" w:rsidRDefault="00283DAA" w:rsidP="00DE6FB8">
      <w:pPr>
        <w:spacing w:after="0" w:line="240" w:lineRule="auto"/>
        <w:jc w:val="both"/>
        <w:rPr>
          <w:rFonts w:ascii="Arial" w:hAnsi="Arial" w:cs="Arial"/>
          <w:b/>
          <w:bCs/>
          <w:sz w:val="24"/>
          <w:szCs w:val="24"/>
        </w:rPr>
      </w:pPr>
    </w:p>
    <w:p w14:paraId="300E56CC" w14:textId="77777777" w:rsidR="00F93103" w:rsidRPr="00D81B51" w:rsidRDefault="00676EF2" w:rsidP="00DE6FB8">
      <w:pPr>
        <w:pStyle w:val="Prrafodelista"/>
        <w:spacing w:after="0" w:line="240" w:lineRule="auto"/>
        <w:ind w:left="0"/>
        <w:jc w:val="both"/>
        <w:rPr>
          <w:rFonts w:ascii="Arial" w:hAnsi="Arial" w:cs="Arial"/>
          <w:b/>
          <w:bCs/>
          <w:sz w:val="24"/>
          <w:szCs w:val="24"/>
        </w:rPr>
      </w:pPr>
      <w:r>
        <w:rPr>
          <w:rFonts w:ascii="Arial" w:hAnsi="Arial" w:cs="Arial"/>
          <w:b/>
          <w:bCs/>
          <w:sz w:val="24"/>
          <w:szCs w:val="24"/>
        </w:rPr>
        <w:t>IV. Artículo 7:</w:t>
      </w:r>
      <w:r w:rsidR="00F93103" w:rsidRPr="00D81B51">
        <w:rPr>
          <w:rFonts w:ascii="Arial" w:hAnsi="Arial" w:cs="Arial"/>
          <w:b/>
          <w:bCs/>
          <w:sz w:val="24"/>
          <w:szCs w:val="24"/>
        </w:rPr>
        <w:t xml:space="preserve"> Condiciones </w:t>
      </w:r>
      <w:r w:rsidR="002B44C0">
        <w:rPr>
          <w:rFonts w:ascii="Arial" w:hAnsi="Arial" w:cs="Arial"/>
          <w:b/>
          <w:bCs/>
          <w:sz w:val="24"/>
          <w:szCs w:val="24"/>
        </w:rPr>
        <w:t>de trabajo equitativas y satisfactorias</w:t>
      </w:r>
    </w:p>
    <w:p w14:paraId="3124A8C0" w14:textId="77777777" w:rsidR="004328F2" w:rsidRPr="00D81B51" w:rsidRDefault="004328F2" w:rsidP="00DE6FB8">
      <w:pPr>
        <w:pStyle w:val="Prrafodelista"/>
        <w:spacing w:after="0" w:line="240" w:lineRule="auto"/>
        <w:ind w:left="0"/>
        <w:jc w:val="both"/>
        <w:rPr>
          <w:rFonts w:ascii="Arial" w:hAnsi="Arial" w:cs="Arial"/>
          <w:sz w:val="24"/>
          <w:szCs w:val="24"/>
        </w:rPr>
      </w:pPr>
      <w:r w:rsidRPr="00D81B51">
        <w:rPr>
          <w:rFonts w:ascii="Arial" w:hAnsi="Arial" w:cs="Arial"/>
          <w:sz w:val="24"/>
          <w:szCs w:val="24"/>
        </w:rPr>
        <w:t>En el último trimestre del 2015</w:t>
      </w:r>
      <w:r w:rsidR="000D291D">
        <w:rPr>
          <w:rFonts w:ascii="Arial" w:hAnsi="Arial" w:cs="Arial"/>
          <w:sz w:val="24"/>
          <w:szCs w:val="24"/>
        </w:rPr>
        <w:t>,</w:t>
      </w:r>
      <w:r w:rsidRPr="00D81B51">
        <w:rPr>
          <w:rFonts w:ascii="Arial" w:hAnsi="Arial" w:cs="Arial"/>
          <w:sz w:val="24"/>
          <w:szCs w:val="24"/>
        </w:rPr>
        <w:t xml:space="preserve"> el 58% de la población mexicana entre 15 y 74 años estaba empleada, en contraste con el 61% reportado a finales del 2007. La caída en la tasa de empleo se debe principalmente a una disminución en la edad de jubilación efectiva de las personas de 65 a 74 años, mientras que la tasa de empleo de las personas de 15 a 64 años ha sido más estable</w:t>
      </w:r>
      <w:r w:rsidRPr="00D81B51">
        <w:rPr>
          <w:rStyle w:val="Refdenotaalpie"/>
          <w:rFonts w:ascii="Arial" w:hAnsi="Arial" w:cs="Arial"/>
          <w:sz w:val="24"/>
          <w:szCs w:val="24"/>
        </w:rPr>
        <w:footnoteReference w:id="9"/>
      </w:r>
      <w:r w:rsidRPr="00D81B51">
        <w:rPr>
          <w:rFonts w:ascii="Arial" w:hAnsi="Arial" w:cs="Arial"/>
          <w:sz w:val="24"/>
          <w:szCs w:val="24"/>
        </w:rPr>
        <w:t>.</w:t>
      </w:r>
    </w:p>
    <w:p w14:paraId="666AA304" w14:textId="77777777" w:rsidR="00676EF2" w:rsidRDefault="00676EF2" w:rsidP="00DE6FB8">
      <w:pPr>
        <w:autoSpaceDE w:val="0"/>
        <w:autoSpaceDN w:val="0"/>
        <w:adjustRightInd w:val="0"/>
        <w:spacing w:after="0" w:line="240" w:lineRule="auto"/>
        <w:jc w:val="both"/>
        <w:rPr>
          <w:rFonts w:ascii="Arial" w:hAnsi="Arial" w:cs="Arial"/>
          <w:sz w:val="24"/>
          <w:szCs w:val="24"/>
        </w:rPr>
      </w:pPr>
    </w:p>
    <w:p w14:paraId="23FCC56B" w14:textId="77777777" w:rsidR="00327FCF" w:rsidRPr="00D81B51" w:rsidRDefault="000D291D" w:rsidP="00DE6FB8">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Asimismo</w:t>
      </w:r>
      <w:r w:rsidR="00327FCF" w:rsidRPr="00D81B51">
        <w:rPr>
          <w:rFonts w:ascii="Arial" w:hAnsi="Arial" w:cs="Arial"/>
          <w:sz w:val="24"/>
          <w:szCs w:val="24"/>
        </w:rPr>
        <w:t xml:space="preserve">, de conformidad con </w:t>
      </w:r>
      <w:r w:rsidR="00AD42E3">
        <w:rPr>
          <w:rFonts w:ascii="Arial" w:hAnsi="Arial" w:cs="Arial"/>
          <w:sz w:val="24"/>
          <w:szCs w:val="24"/>
        </w:rPr>
        <w:t>datos</w:t>
      </w:r>
      <w:r w:rsidR="00327FCF" w:rsidRPr="00D81B51">
        <w:rPr>
          <w:rFonts w:ascii="Arial" w:hAnsi="Arial" w:cs="Arial"/>
          <w:sz w:val="24"/>
          <w:szCs w:val="24"/>
        </w:rPr>
        <w:t xml:space="preserve"> del Instituto Nacional de Estadística y Geografía (INEGI)</w:t>
      </w:r>
      <w:r>
        <w:rPr>
          <w:rFonts w:ascii="Arial" w:hAnsi="Arial" w:cs="Arial"/>
          <w:sz w:val="24"/>
          <w:szCs w:val="24"/>
        </w:rPr>
        <w:t>,</w:t>
      </w:r>
      <w:r w:rsidR="00327FCF" w:rsidRPr="00D81B51">
        <w:rPr>
          <w:rFonts w:ascii="Arial" w:hAnsi="Arial" w:cs="Arial"/>
          <w:sz w:val="24"/>
          <w:szCs w:val="24"/>
        </w:rPr>
        <w:t xml:space="preserve"> al último trimestre del 2016</w:t>
      </w:r>
      <w:r>
        <w:rPr>
          <w:rFonts w:ascii="Arial" w:hAnsi="Arial" w:cs="Arial"/>
          <w:sz w:val="24"/>
          <w:szCs w:val="24"/>
        </w:rPr>
        <w:t>,</w:t>
      </w:r>
      <w:r w:rsidR="00327FCF" w:rsidRPr="00D81B51">
        <w:rPr>
          <w:rFonts w:ascii="Arial" w:hAnsi="Arial" w:cs="Arial"/>
          <w:sz w:val="24"/>
          <w:szCs w:val="24"/>
        </w:rPr>
        <w:t xml:space="preserve"> para ese periodo existían </w:t>
      </w:r>
      <w:r w:rsidR="005061AF" w:rsidRPr="00D81B51">
        <w:rPr>
          <w:rFonts w:ascii="Arial" w:hAnsi="Arial" w:cs="Arial"/>
          <w:sz w:val="24"/>
          <w:szCs w:val="24"/>
        </w:rPr>
        <w:t xml:space="preserve">2,001,622 </w:t>
      </w:r>
      <w:r w:rsidR="00327FCF" w:rsidRPr="00D81B51">
        <w:rPr>
          <w:rFonts w:ascii="Arial" w:hAnsi="Arial" w:cs="Arial"/>
          <w:sz w:val="24"/>
          <w:szCs w:val="24"/>
        </w:rPr>
        <w:t>trabajadoras y trabajadores subordinados cuyos ingresos fueron de hasta un solo salario mínimo general o menos. Desde una perspectiva de género, el 14.81% eran mujeres y sólo el 8.94% hombres, lo que evidencia las persistentes desigualdades.</w:t>
      </w:r>
      <w:r w:rsidR="00327FCF" w:rsidRPr="00D81B51">
        <w:rPr>
          <w:rStyle w:val="Refdenotaalpie"/>
          <w:rFonts w:ascii="Arial" w:hAnsi="Arial" w:cs="Arial"/>
          <w:sz w:val="24"/>
          <w:szCs w:val="24"/>
        </w:rPr>
        <w:footnoteReference w:id="10"/>
      </w:r>
    </w:p>
    <w:p w14:paraId="332E621A" w14:textId="77777777" w:rsidR="008707D4" w:rsidRDefault="008707D4" w:rsidP="00DE6FB8">
      <w:pPr>
        <w:autoSpaceDE w:val="0"/>
        <w:autoSpaceDN w:val="0"/>
        <w:adjustRightInd w:val="0"/>
        <w:spacing w:after="0" w:line="240" w:lineRule="auto"/>
        <w:jc w:val="both"/>
        <w:rPr>
          <w:rFonts w:ascii="Arial" w:hAnsi="Arial" w:cs="Arial"/>
          <w:sz w:val="24"/>
          <w:szCs w:val="24"/>
        </w:rPr>
      </w:pPr>
    </w:p>
    <w:p w14:paraId="15765D2F" w14:textId="77777777" w:rsidR="00AD42E3" w:rsidRDefault="00AD42E3" w:rsidP="00DE6FB8">
      <w:pPr>
        <w:autoSpaceDE w:val="0"/>
        <w:autoSpaceDN w:val="0"/>
        <w:adjustRightInd w:val="0"/>
        <w:spacing w:after="0" w:line="240" w:lineRule="auto"/>
        <w:jc w:val="both"/>
        <w:rPr>
          <w:rFonts w:ascii="Arial" w:hAnsi="Arial" w:cs="Arial"/>
          <w:sz w:val="24"/>
          <w:szCs w:val="24"/>
        </w:rPr>
      </w:pPr>
      <w:r>
        <w:rPr>
          <w:rFonts w:ascii="Arial" w:hAnsi="Arial" w:cs="Arial"/>
          <w:sz w:val="24"/>
          <w:szCs w:val="24"/>
        </w:rPr>
        <w:t>L</w:t>
      </w:r>
      <w:r w:rsidR="00A216C5">
        <w:rPr>
          <w:rFonts w:ascii="Arial" w:hAnsi="Arial" w:cs="Arial"/>
          <w:sz w:val="24"/>
          <w:szCs w:val="24"/>
        </w:rPr>
        <w:t>a suficiencia de ingresos de las y los trabajadores del país</w:t>
      </w:r>
      <w:r w:rsidR="009D2DEF">
        <w:rPr>
          <w:rFonts w:ascii="Arial" w:hAnsi="Arial" w:cs="Arial"/>
          <w:sz w:val="24"/>
          <w:szCs w:val="24"/>
        </w:rPr>
        <w:t xml:space="preserve"> ha sido altamente cuestionada, pues si se considera que e</w:t>
      </w:r>
      <w:r>
        <w:rPr>
          <w:rFonts w:ascii="Arial" w:hAnsi="Arial" w:cs="Arial"/>
          <w:sz w:val="24"/>
          <w:szCs w:val="24"/>
        </w:rPr>
        <w:t xml:space="preserve">l monto actual del salario mínimo es de </w:t>
      </w:r>
      <w:r w:rsidR="00AE6C55">
        <w:rPr>
          <w:rFonts w:ascii="Arial" w:hAnsi="Arial" w:cs="Arial"/>
          <w:sz w:val="24"/>
          <w:szCs w:val="24"/>
        </w:rPr>
        <w:t>$</w:t>
      </w:r>
      <w:r w:rsidR="009D2DEF">
        <w:rPr>
          <w:rFonts w:ascii="Arial" w:hAnsi="Arial" w:cs="Arial"/>
          <w:sz w:val="24"/>
          <w:szCs w:val="24"/>
        </w:rPr>
        <w:t xml:space="preserve">80.04 y el valor de la línea de bienestar determinada por el Consejo Nacional de Evaluación de la Política de Desarrollo Social (CONEVAL) </w:t>
      </w:r>
      <w:r w:rsidR="009D2DEF" w:rsidRPr="00D81B51">
        <w:rPr>
          <w:rFonts w:ascii="Arial" w:hAnsi="Arial" w:cs="Arial"/>
          <w:sz w:val="24"/>
          <w:szCs w:val="24"/>
        </w:rPr>
        <w:t>al mes de diciembre del 2016 fue de $2,764.79 mensuales en las zonas urbanas</w:t>
      </w:r>
      <w:r w:rsidR="009D2DEF">
        <w:rPr>
          <w:rFonts w:ascii="Arial" w:hAnsi="Arial" w:cs="Arial"/>
          <w:sz w:val="24"/>
          <w:szCs w:val="24"/>
        </w:rPr>
        <w:t xml:space="preserve">, resulta evidente que, aun percibiendo un salario diario los treinta y un días de un mes, una persona no logra cubrir sus necesidades básicas, menos </w:t>
      </w:r>
      <w:r w:rsidR="00AE6C55">
        <w:rPr>
          <w:rFonts w:ascii="Arial" w:hAnsi="Arial" w:cs="Arial"/>
          <w:sz w:val="24"/>
          <w:szCs w:val="24"/>
        </w:rPr>
        <w:t>aquellas</w:t>
      </w:r>
      <w:r w:rsidR="009D2DEF">
        <w:rPr>
          <w:rFonts w:ascii="Arial" w:hAnsi="Arial" w:cs="Arial"/>
          <w:sz w:val="24"/>
          <w:szCs w:val="24"/>
        </w:rPr>
        <w:t xml:space="preserve"> de sus familias. </w:t>
      </w:r>
    </w:p>
    <w:p w14:paraId="78E19077" w14:textId="77777777" w:rsidR="00E973D9" w:rsidRPr="00D81B51" w:rsidRDefault="00E973D9" w:rsidP="00DE6FB8">
      <w:pPr>
        <w:spacing w:after="0" w:line="240" w:lineRule="auto"/>
        <w:jc w:val="both"/>
        <w:rPr>
          <w:rFonts w:ascii="Arial" w:hAnsi="Arial" w:cs="Arial"/>
          <w:sz w:val="24"/>
          <w:szCs w:val="24"/>
        </w:rPr>
      </w:pPr>
    </w:p>
    <w:p w14:paraId="00700E82" w14:textId="77777777" w:rsidR="00C14708" w:rsidRDefault="00C14708" w:rsidP="00DE6FB8">
      <w:pPr>
        <w:spacing w:after="0" w:line="240" w:lineRule="auto"/>
        <w:jc w:val="both"/>
        <w:rPr>
          <w:rFonts w:ascii="Arial" w:hAnsi="Arial" w:cs="Arial"/>
          <w:sz w:val="24"/>
          <w:szCs w:val="24"/>
        </w:rPr>
      </w:pPr>
      <w:r w:rsidRPr="00D81B51">
        <w:rPr>
          <w:rFonts w:ascii="Arial" w:hAnsi="Arial" w:cs="Arial"/>
          <w:sz w:val="24"/>
          <w:szCs w:val="24"/>
        </w:rPr>
        <w:t>Al respecto</w:t>
      </w:r>
      <w:r w:rsidR="00AD42E3">
        <w:rPr>
          <w:rFonts w:ascii="Arial" w:hAnsi="Arial" w:cs="Arial"/>
          <w:sz w:val="24"/>
          <w:szCs w:val="24"/>
        </w:rPr>
        <w:t>,</w:t>
      </w:r>
      <w:r w:rsidRPr="00D81B51">
        <w:rPr>
          <w:rFonts w:ascii="Arial" w:hAnsi="Arial" w:cs="Arial"/>
          <w:sz w:val="24"/>
          <w:szCs w:val="24"/>
        </w:rPr>
        <w:t xml:space="preserve"> la Comisión Nacional de los Derechos Humanos con el propósito de coadyuvar al análisis y las acciones encaminadas al fortalecimiento progresivo del salario m</w:t>
      </w:r>
      <w:r w:rsidR="00AD42E3">
        <w:rPr>
          <w:rFonts w:ascii="Arial" w:hAnsi="Arial" w:cs="Arial"/>
          <w:sz w:val="24"/>
          <w:szCs w:val="24"/>
        </w:rPr>
        <w:t xml:space="preserve">ínimo, en junio de 2016, </w:t>
      </w:r>
      <w:r w:rsidRPr="00D81B51">
        <w:rPr>
          <w:rFonts w:ascii="Arial" w:hAnsi="Arial" w:cs="Arial"/>
          <w:sz w:val="24"/>
          <w:szCs w:val="24"/>
        </w:rPr>
        <w:t xml:space="preserve">publicó </w:t>
      </w:r>
      <w:r w:rsidR="00AD42E3">
        <w:rPr>
          <w:rFonts w:ascii="Arial" w:hAnsi="Arial" w:cs="Arial"/>
          <w:sz w:val="24"/>
          <w:szCs w:val="24"/>
        </w:rPr>
        <w:t>el</w:t>
      </w:r>
      <w:r w:rsidRPr="00D81B51">
        <w:rPr>
          <w:rFonts w:ascii="Arial" w:hAnsi="Arial" w:cs="Arial"/>
          <w:sz w:val="24"/>
          <w:szCs w:val="24"/>
        </w:rPr>
        <w:t xml:space="preserve"> documento titulado “Salario Mínimo y Derechos Humanos” </w:t>
      </w:r>
      <w:r w:rsidRPr="00D81B51">
        <w:rPr>
          <w:rStyle w:val="Refdenotaalpie"/>
          <w:rFonts w:ascii="Arial" w:hAnsi="Arial" w:cs="Arial"/>
          <w:sz w:val="24"/>
          <w:szCs w:val="24"/>
        </w:rPr>
        <w:footnoteReference w:id="11"/>
      </w:r>
      <w:r w:rsidRPr="00D81B51">
        <w:rPr>
          <w:rFonts w:ascii="Arial" w:hAnsi="Arial" w:cs="Arial"/>
          <w:sz w:val="24"/>
          <w:szCs w:val="24"/>
        </w:rPr>
        <w:t xml:space="preserve"> el cual aborda </w:t>
      </w:r>
      <w:r w:rsidR="00AD42E3">
        <w:rPr>
          <w:rFonts w:ascii="Arial" w:hAnsi="Arial" w:cs="Arial"/>
          <w:sz w:val="24"/>
          <w:szCs w:val="24"/>
        </w:rPr>
        <w:t>la suficiencia del salario mínimo desde el</w:t>
      </w:r>
      <w:r w:rsidRPr="00D81B51">
        <w:rPr>
          <w:rFonts w:ascii="Arial" w:hAnsi="Arial" w:cs="Arial"/>
          <w:sz w:val="24"/>
          <w:szCs w:val="24"/>
        </w:rPr>
        <w:t xml:space="preserve"> </w:t>
      </w:r>
      <w:r w:rsidR="00AD42E3">
        <w:rPr>
          <w:rFonts w:ascii="Arial" w:hAnsi="Arial" w:cs="Arial"/>
          <w:sz w:val="24"/>
          <w:szCs w:val="24"/>
        </w:rPr>
        <w:lastRenderedPageBreak/>
        <w:t xml:space="preserve">ámbito de los derechos humanos </w:t>
      </w:r>
      <w:r w:rsidRPr="00D81B51">
        <w:rPr>
          <w:rFonts w:ascii="Arial" w:hAnsi="Arial" w:cs="Arial"/>
          <w:sz w:val="24"/>
          <w:szCs w:val="24"/>
        </w:rPr>
        <w:t>y ofrece un panorama sobre los estándares nacionales e internacionales de los derechos de la persona relativos al salario mínimo; dicho documento fue compartido con las dependencias, organismos públicos y privados vinculados con el tema a fin de sensibi</w:t>
      </w:r>
      <w:r w:rsidR="00AD42E3">
        <w:rPr>
          <w:rFonts w:ascii="Arial" w:hAnsi="Arial" w:cs="Arial"/>
          <w:sz w:val="24"/>
          <w:szCs w:val="24"/>
        </w:rPr>
        <w:t xml:space="preserve">lizar a los actores implicados sobre </w:t>
      </w:r>
      <w:r w:rsidRPr="00D81B51">
        <w:rPr>
          <w:rFonts w:ascii="Arial" w:hAnsi="Arial" w:cs="Arial"/>
          <w:sz w:val="24"/>
          <w:szCs w:val="24"/>
        </w:rPr>
        <w:t>la importancia del tema.</w:t>
      </w:r>
    </w:p>
    <w:p w14:paraId="65E94CA5" w14:textId="77777777" w:rsidR="00C467CE" w:rsidRDefault="00C467CE" w:rsidP="00DE6FB8">
      <w:pPr>
        <w:spacing w:after="0" w:line="240" w:lineRule="auto"/>
        <w:jc w:val="both"/>
        <w:rPr>
          <w:rFonts w:ascii="Arial" w:hAnsi="Arial" w:cs="Arial"/>
          <w:sz w:val="24"/>
          <w:szCs w:val="24"/>
        </w:rPr>
      </w:pPr>
    </w:p>
    <w:p w14:paraId="422E315B" w14:textId="77777777" w:rsidR="007C14B2" w:rsidRPr="00B2217F" w:rsidRDefault="00D62F05" w:rsidP="00DE6FB8">
      <w:pPr>
        <w:spacing w:after="0" w:line="240" w:lineRule="auto"/>
        <w:ind w:right="48"/>
        <w:jc w:val="both"/>
        <w:rPr>
          <w:rFonts w:ascii="Arial" w:hAnsi="Arial" w:cs="Arial"/>
          <w:sz w:val="24"/>
          <w:szCs w:val="24"/>
        </w:rPr>
      </w:pPr>
      <w:r w:rsidRPr="00B2217F">
        <w:rPr>
          <w:rFonts w:ascii="Arial" w:hAnsi="Arial" w:cs="Arial"/>
          <w:sz w:val="24"/>
          <w:szCs w:val="24"/>
        </w:rPr>
        <w:t>La cuestión de la</w:t>
      </w:r>
      <w:r w:rsidR="007C14B2" w:rsidRPr="00B2217F">
        <w:rPr>
          <w:rFonts w:ascii="Arial" w:hAnsi="Arial" w:cs="Arial"/>
          <w:sz w:val="24"/>
          <w:szCs w:val="24"/>
        </w:rPr>
        <w:t xml:space="preserve"> suficiencia del salario mínimo en México</w:t>
      </w:r>
      <w:r w:rsidRPr="00B2217F">
        <w:rPr>
          <w:rFonts w:ascii="Arial" w:hAnsi="Arial" w:cs="Arial"/>
          <w:sz w:val="24"/>
          <w:szCs w:val="24"/>
        </w:rPr>
        <w:t xml:space="preserve"> ha sido objeto de diversas recomendaciones y señalamientos de los organismos de protección supranacional de los derechos humanos. </w:t>
      </w:r>
      <w:r w:rsidR="007C14B2" w:rsidRPr="00B2217F">
        <w:rPr>
          <w:rFonts w:ascii="Arial" w:hAnsi="Arial" w:cs="Arial"/>
          <w:sz w:val="24"/>
          <w:szCs w:val="24"/>
        </w:rPr>
        <w:t>Al respe</w:t>
      </w:r>
      <w:r w:rsidR="00B2217F">
        <w:rPr>
          <w:rFonts w:ascii="Arial" w:hAnsi="Arial" w:cs="Arial"/>
          <w:sz w:val="24"/>
          <w:szCs w:val="24"/>
        </w:rPr>
        <w:t>cto, la CNDH tiene presente que e</w:t>
      </w:r>
      <w:r w:rsidR="007C14B2" w:rsidRPr="00B2217F">
        <w:rPr>
          <w:rFonts w:ascii="Arial" w:hAnsi="Arial" w:cs="Arial"/>
          <w:sz w:val="24"/>
          <w:szCs w:val="24"/>
        </w:rPr>
        <w:t xml:space="preserve">l </w:t>
      </w:r>
      <w:r w:rsidR="007C14B2" w:rsidRPr="005E1372">
        <w:rPr>
          <w:rFonts w:ascii="Arial" w:hAnsi="Arial" w:cs="Arial"/>
          <w:sz w:val="24"/>
          <w:szCs w:val="24"/>
        </w:rPr>
        <w:t>Relator Especial sobre una vivienda adecuada</w:t>
      </w:r>
      <w:r w:rsidR="007C14B2" w:rsidRPr="00B2217F">
        <w:rPr>
          <w:rFonts w:ascii="Arial" w:hAnsi="Arial" w:cs="Arial"/>
          <w:sz w:val="24"/>
          <w:szCs w:val="24"/>
        </w:rPr>
        <w:t>, en su visita a México en el año 2003</w:t>
      </w:r>
      <w:r w:rsidR="007C14B2" w:rsidRPr="00A415B0">
        <w:rPr>
          <w:rStyle w:val="Refdenotaalpie"/>
          <w:rFonts w:ascii="Arial" w:hAnsi="Arial" w:cs="Arial"/>
          <w:sz w:val="24"/>
          <w:szCs w:val="24"/>
        </w:rPr>
        <w:footnoteReference w:id="12"/>
      </w:r>
      <w:r w:rsidR="007C14B2" w:rsidRPr="00B2217F">
        <w:rPr>
          <w:rFonts w:ascii="Arial" w:hAnsi="Arial" w:cs="Arial"/>
          <w:sz w:val="24"/>
          <w:szCs w:val="24"/>
        </w:rPr>
        <w:t xml:space="preserve">, consideró que </w:t>
      </w:r>
      <w:r w:rsidR="005E1372">
        <w:rPr>
          <w:rFonts w:ascii="Arial" w:hAnsi="Arial" w:cs="Arial"/>
          <w:sz w:val="24"/>
          <w:szCs w:val="24"/>
        </w:rPr>
        <w:t>“</w:t>
      </w:r>
      <w:r w:rsidR="007C14B2" w:rsidRPr="00B2217F">
        <w:rPr>
          <w:rFonts w:ascii="Arial" w:hAnsi="Arial" w:cs="Arial"/>
          <w:i/>
          <w:sz w:val="24"/>
          <w:szCs w:val="24"/>
        </w:rPr>
        <w:t>la baja capacidad de ahorro del sector más pobre de la sociedad plantea un problema para resolver el déficit de viviendas, toda vez que los planes de financiación excluye a las familias que perciben ingresos equivalentes a menos de dos salarios mínimos</w:t>
      </w:r>
      <w:r w:rsidR="005E1372">
        <w:rPr>
          <w:rFonts w:ascii="Arial" w:hAnsi="Arial" w:cs="Arial"/>
          <w:i/>
          <w:sz w:val="24"/>
          <w:szCs w:val="24"/>
        </w:rPr>
        <w:t>”</w:t>
      </w:r>
      <w:r w:rsidR="007C14B2" w:rsidRPr="00B2217F">
        <w:rPr>
          <w:rFonts w:ascii="Arial" w:hAnsi="Arial" w:cs="Arial"/>
          <w:sz w:val="24"/>
          <w:szCs w:val="24"/>
        </w:rPr>
        <w:t>. Ello evidencia la clara relación entre la percepción de un salario digno que permita un nivel de vida adecuado para la y el trabajador y su familia, como lo es el derecho a una vivienda.</w:t>
      </w:r>
    </w:p>
    <w:p w14:paraId="01284615" w14:textId="77777777" w:rsidR="007C14B2" w:rsidRPr="00A415B0" w:rsidRDefault="00B2217F" w:rsidP="00DE6FB8">
      <w:pPr>
        <w:spacing w:before="240" w:after="0" w:line="240" w:lineRule="auto"/>
        <w:ind w:right="48"/>
        <w:jc w:val="both"/>
        <w:rPr>
          <w:rFonts w:ascii="Arial" w:hAnsi="Arial" w:cs="Arial"/>
          <w:sz w:val="24"/>
          <w:szCs w:val="24"/>
        </w:rPr>
      </w:pPr>
      <w:r>
        <w:rPr>
          <w:rFonts w:ascii="Arial" w:hAnsi="Arial" w:cs="Arial"/>
          <w:sz w:val="24"/>
          <w:szCs w:val="24"/>
        </w:rPr>
        <w:t>Asimismo, e</w:t>
      </w:r>
      <w:r w:rsidR="007C14B2" w:rsidRPr="00B2217F">
        <w:rPr>
          <w:rFonts w:ascii="Arial" w:hAnsi="Arial" w:cs="Arial"/>
          <w:sz w:val="24"/>
          <w:szCs w:val="24"/>
        </w:rPr>
        <w:t xml:space="preserve">l </w:t>
      </w:r>
      <w:r w:rsidR="007C14B2" w:rsidRPr="005E1372">
        <w:rPr>
          <w:rFonts w:ascii="Arial" w:hAnsi="Arial" w:cs="Arial"/>
          <w:sz w:val="24"/>
          <w:szCs w:val="24"/>
        </w:rPr>
        <w:t>Comité DESC</w:t>
      </w:r>
      <w:r w:rsidR="007C14B2" w:rsidRPr="00B2217F">
        <w:rPr>
          <w:rFonts w:ascii="Arial" w:hAnsi="Arial" w:cs="Arial"/>
          <w:sz w:val="24"/>
          <w:szCs w:val="24"/>
        </w:rPr>
        <w:t xml:space="preserve">, en sus observaciones finales de 1999 al tercer informe periódico de México </w:t>
      </w:r>
      <w:r>
        <w:rPr>
          <w:rFonts w:ascii="Arial" w:hAnsi="Arial" w:cs="Arial"/>
          <w:sz w:val="24"/>
          <w:szCs w:val="24"/>
        </w:rPr>
        <w:t>lament</w:t>
      </w:r>
      <w:r w:rsidR="00E05CF8">
        <w:rPr>
          <w:rFonts w:ascii="Arial" w:hAnsi="Arial" w:cs="Arial"/>
          <w:sz w:val="24"/>
          <w:szCs w:val="24"/>
        </w:rPr>
        <w:t>ó que</w:t>
      </w:r>
      <w:r w:rsidR="007C14B2" w:rsidRPr="00A415B0">
        <w:rPr>
          <w:rFonts w:ascii="Arial" w:hAnsi="Arial" w:cs="Arial"/>
          <w:i/>
          <w:sz w:val="24"/>
          <w:szCs w:val="24"/>
        </w:rPr>
        <w:t xml:space="preserve">, </w:t>
      </w:r>
      <w:r w:rsidR="00E05CF8">
        <w:rPr>
          <w:rFonts w:ascii="Arial" w:hAnsi="Arial" w:cs="Arial"/>
          <w:i/>
          <w:sz w:val="24"/>
          <w:szCs w:val="24"/>
        </w:rPr>
        <w:t>“</w:t>
      </w:r>
      <w:r w:rsidR="007C14B2" w:rsidRPr="00A415B0">
        <w:rPr>
          <w:rFonts w:ascii="Arial" w:hAnsi="Arial" w:cs="Arial"/>
          <w:i/>
          <w:sz w:val="24"/>
          <w:szCs w:val="24"/>
        </w:rPr>
        <w:t>a pesar del positivo crecimiento de los indicadores macroeconómicos en México, especialmente la marcada baja del nivel de la inflación, la Comisión Nacional de Salario Mínimo no ha ajustado al alza el salario mínimo. En estos momentos, es preciso ganar alrededor de cinco veces el salario mínimo para adquirir la canasta básica constitucional, en violación del inciso ii) del párrafo a) del artículo 7 del Pacto, y según se refleja en la legislación nacional (artículo 123.VI de la Constitución)</w:t>
      </w:r>
      <w:r w:rsidR="00E05CF8">
        <w:rPr>
          <w:rFonts w:ascii="Arial" w:hAnsi="Arial" w:cs="Arial"/>
          <w:i/>
          <w:sz w:val="24"/>
          <w:szCs w:val="24"/>
        </w:rPr>
        <w:t>”</w:t>
      </w:r>
      <w:r w:rsidR="007C14B2" w:rsidRPr="00A415B0">
        <w:rPr>
          <w:rStyle w:val="Refdenotaalpie"/>
          <w:rFonts w:ascii="Arial" w:hAnsi="Arial" w:cs="Arial"/>
          <w:sz w:val="24"/>
          <w:szCs w:val="24"/>
        </w:rPr>
        <w:footnoteReference w:id="13"/>
      </w:r>
      <w:r w:rsidR="007C14B2" w:rsidRPr="00A415B0">
        <w:rPr>
          <w:rFonts w:ascii="Arial" w:hAnsi="Arial" w:cs="Arial"/>
          <w:sz w:val="24"/>
          <w:szCs w:val="24"/>
        </w:rPr>
        <w:t>.</w:t>
      </w:r>
    </w:p>
    <w:p w14:paraId="2598480A" w14:textId="77777777" w:rsidR="007C14B2" w:rsidRPr="005E1372" w:rsidRDefault="007C14B2" w:rsidP="00DE6FB8">
      <w:pPr>
        <w:spacing w:before="240" w:after="0" w:line="240" w:lineRule="auto"/>
        <w:ind w:right="48"/>
        <w:jc w:val="both"/>
        <w:rPr>
          <w:rFonts w:ascii="Arial" w:hAnsi="Arial" w:cs="Arial"/>
          <w:sz w:val="24"/>
          <w:szCs w:val="24"/>
        </w:rPr>
      </w:pPr>
      <w:r w:rsidRPr="005E1372">
        <w:rPr>
          <w:rFonts w:ascii="Arial" w:hAnsi="Arial" w:cs="Arial"/>
          <w:sz w:val="24"/>
          <w:szCs w:val="24"/>
        </w:rPr>
        <w:t>En 2006 el Comité volvió a abordar la cuestión del salario mínimo en el marco de sus observaciones finales al cuarto informe periódico de México sobre la aplicación del PIDESC</w:t>
      </w:r>
      <w:r w:rsidRPr="00A415B0">
        <w:rPr>
          <w:rStyle w:val="Refdenotaalpie"/>
          <w:rFonts w:ascii="Arial" w:hAnsi="Arial" w:cs="Arial"/>
          <w:sz w:val="24"/>
          <w:szCs w:val="24"/>
        </w:rPr>
        <w:footnoteReference w:id="14"/>
      </w:r>
      <w:r w:rsidRPr="005E1372">
        <w:rPr>
          <w:rFonts w:ascii="Arial" w:hAnsi="Arial" w:cs="Arial"/>
          <w:b/>
          <w:sz w:val="24"/>
          <w:szCs w:val="24"/>
        </w:rPr>
        <w:t xml:space="preserve">, </w:t>
      </w:r>
      <w:r w:rsidRPr="005E1372">
        <w:rPr>
          <w:rFonts w:ascii="Arial" w:hAnsi="Arial" w:cs="Arial"/>
          <w:sz w:val="24"/>
          <w:szCs w:val="24"/>
        </w:rPr>
        <w:t>al</w:t>
      </w:r>
      <w:r w:rsidRPr="005E1372">
        <w:rPr>
          <w:rFonts w:ascii="Arial" w:hAnsi="Arial" w:cs="Arial"/>
          <w:b/>
          <w:sz w:val="24"/>
          <w:szCs w:val="24"/>
        </w:rPr>
        <w:t xml:space="preserve"> </w:t>
      </w:r>
      <w:r w:rsidRPr="005E1372">
        <w:rPr>
          <w:rFonts w:ascii="Arial" w:hAnsi="Arial" w:cs="Arial"/>
          <w:sz w:val="24"/>
          <w:szCs w:val="24"/>
        </w:rPr>
        <w:t xml:space="preserve">externar su preocupación por </w:t>
      </w:r>
      <w:r w:rsidR="005E1372">
        <w:rPr>
          <w:rFonts w:ascii="Arial" w:hAnsi="Arial" w:cs="Arial"/>
          <w:sz w:val="24"/>
          <w:szCs w:val="24"/>
        </w:rPr>
        <w:t>“</w:t>
      </w:r>
      <w:r w:rsidRPr="005E1372">
        <w:rPr>
          <w:rFonts w:ascii="Arial" w:hAnsi="Arial" w:cs="Arial"/>
          <w:i/>
          <w:sz w:val="24"/>
          <w:szCs w:val="24"/>
        </w:rPr>
        <w:t xml:space="preserve">los bajos salarios mínimos en el país, en especial de las mujeres e indígenas, e instó al Estado a que vele por que los salarios fijados por la Comisión Nacional de Salarios </w:t>
      </w:r>
      <w:r w:rsidRPr="005E1372">
        <w:rPr>
          <w:rFonts w:ascii="Arial" w:hAnsi="Arial" w:cs="Arial"/>
          <w:sz w:val="24"/>
          <w:szCs w:val="24"/>
        </w:rPr>
        <w:t xml:space="preserve">(sic), </w:t>
      </w:r>
      <w:r w:rsidRPr="005E1372">
        <w:rPr>
          <w:rFonts w:ascii="Arial" w:hAnsi="Arial" w:cs="Arial"/>
          <w:i/>
          <w:sz w:val="24"/>
          <w:szCs w:val="24"/>
        </w:rPr>
        <w:t>o negociados entre los trabajadores y empleadores aseguren a todos los trabajadores y empleados condiciones de vida dignas para ellos y sus familias</w:t>
      </w:r>
      <w:r w:rsidR="005E1372">
        <w:rPr>
          <w:rFonts w:ascii="Arial" w:hAnsi="Arial" w:cs="Arial"/>
          <w:i/>
          <w:sz w:val="24"/>
          <w:szCs w:val="24"/>
        </w:rPr>
        <w:t>”</w:t>
      </w:r>
      <w:r w:rsidRPr="005E1372">
        <w:rPr>
          <w:rFonts w:ascii="Arial" w:hAnsi="Arial" w:cs="Arial"/>
          <w:i/>
          <w:sz w:val="24"/>
          <w:szCs w:val="24"/>
        </w:rPr>
        <w:t xml:space="preserve">. </w:t>
      </w:r>
    </w:p>
    <w:p w14:paraId="5E106E40" w14:textId="77777777" w:rsidR="007C14B2" w:rsidRPr="005E1372" w:rsidRDefault="005E1372" w:rsidP="00DE6FB8">
      <w:pPr>
        <w:spacing w:before="240" w:after="0" w:line="240" w:lineRule="auto"/>
        <w:ind w:right="48"/>
        <w:jc w:val="both"/>
        <w:rPr>
          <w:rFonts w:ascii="Arial" w:hAnsi="Arial" w:cs="Arial"/>
          <w:sz w:val="24"/>
          <w:szCs w:val="24"/>
        </w:rPr>
      </w:pPr>
      <w:r>
        <w:rPr>
          <w:rFonts w:ascii="Arial" w:hAnsi="Arial" w:cs="Arial"/>
          <w:sz w:val="24"/>
          <w:szCs w:val="24"/>
        </w:rPr>
        <w:lastRenderedPageBreak/>
        <w:t>En el mismo sentido, e</w:t>
      </w:r>
      <w:r w:rsidR="007C14B2" w:rsidRPr="005E1372">
        <w:rPr>
          <w:rFonts w:ascii="Arial" w:hAnsi="Arial" w:cs="Arial"/>
          <w:sz w:val="24"/>
          <w:szCs w:val="24"/>
        </w:rPr>
        <w:t>l Alto Comisionado de Naciones Unidas para los Derechos Humanos, en su diagnóstico sobre la situación de los Derechos Humanos en México referente a los derechos de las mujeres</w:t>
      </w:r>
      <w:r w:rsidR="007C14B2" w:rsidRPr="005E1372">
        <w:rPr>
          <w:rFonts w:ascii="Arial" w:hAnsi="Arial" w:cs="Arial"/>
          <w:i/>
          <w:sz w:val="24"/>
          <w:szCs w:val="24"/>
        </w:rPr>
        <w:t xml:space="preserve">, </w:t>
      </w:r>
      <w:r w:rsidR="007C14B2" w:rsidRPr="005E1372">
        <w:rPr>
          <w:rFonts w:ascii="Arial" w:hAnsi="Arial" w:cs="Arial"/>
          <w:sz w:val="24"/>
          <w:szCs w:val="24"/>
        </w:rPr>
        <w:t>propuso</w:t>
      </w:r>
      <w:r w:rsidR="007C14B2" w:rsidRPr="005E1372">
        <w:rPr>
          <w:rFonts w:ascii="Arial" w:hAnsi="Arial" w:cs="Arial"/>
          <w:i/>
          <w:sz w:val="24"/>
          <w:szCs w:val="24"/>
        </w:rPr>
        <w:t xml:space="preserve"> ajustar el salario mínimo para poder acceder a la canasta básica.</w:t>
      </w:r>
      <w:r w:rsidR="007C14B2" w:rsidRPr="00A415B0">
        <w:rPr>
          <w:rStyle w:val="Refdenotaalpie"/>
          <w:rFonts w:ascii="Arial" w:hAnsi="Arial" w:cs="Arial"/>
          <w:sz w:val="24"/>
          <w:szCs w:val="24"/>
        </w:rPr>
        <w:footnoteReference w:id="15"/>
      </w:r>
    </w:p>
    <w:p w14:paraId="37626ACC" w14:textId="77777777" w:rsidR="00D62F05" w:rsidRDefault="00D62F05" w:rsidP="00DE6FB8">
      <w:pPr>
        <w:spacing w:after="0" w:line="240" w:lineRule="auto"/>
        <w:jc w:val="both"/>
        <w:rPr>
          <w:rFonts w:ascii="Arial" w:hAnsi="Arial" w:cs="Arial"/>
          <w:sz w:val="24"/>
          <w:szCs w:val="24"/>
        </w:rPr>
      </w:pPr>
    </w:p>
    <w:p w14:paraId="55A7F8AA" w14:textId="77777777" w:rsidR="002B44C0" w:rsidRDefault="002B44C0" w:rsidP="00DE6FB8">
      <w:pPr>
        <w:spacing w:after="0" w:line="240" w:lineRule="auto"/>
        <w:jc w:val="both"/>
        <w:rPr>
          <w:rFonts w:ascii="Arial" w:hAnsi="Arial" w:cs="Arial"/>
          <w:sz w:val="24"/>
          <w:szCs w:val="24"/>
        </w:rPr>
      </w:pPr>
      <w:r>
        <w:rPr>
          <w:rFonts w:ascii="Arial" w:hAnsi="Arial" w:cs="Arial"/>
          <w:sz w:val="24"/>
          <w:szCs w:val="24"/>
        </w:rPr>
        <w:t xml:space="preserve">Una problemática que también </w:t>
      </w:r>
      <w:r w:rsidR="008F7B57">
        <w:rPr>
          <w:rFonts w:ascii="Arial" w:hAnsi="Arial" w:cs="Arial"/>
          <w:sz w:val="24"/>
          <w:szCs w:val="24"/>
        </w:rPr>
        <w:t>dificulta e</w:t>
      </w:r>
      <w:r>
        <w:rPr>
          <w:rFonts w:ascii="Arial" w:hAnsi="Arial" w:cs="Arial"/>
          <w:sz w:val="24"/>
          <w:szCs w:val="24"/>
        </w:rPr>
        <w:t xml:space="preserve">l goce de condiciones de trabajo equitativas y satisfactorias </w:t>
      </w:r>
      <w:r w:rsidR="00785755">
        <w:rPr>
          <w:rFonts w:ascii="Arial" w:hAnsi="Arial" w:cs="Arial"/>
          <w:sz w:val="24"/>
          <w:szCs w:val="24"/>
        </w:rPr>
        <w:t>para asegurar al trabajador y a la trabajadora</w:t>
      </w:r>
      <w:r>
        <w:rPr>
          <w:rFonts w:ascii="Arial" w:hAnsi="Arial" w:cs="Arial"/>
          <w:sz w:val="24"/>
          <w:szCs w:val="24"/>
        </w:rPr>
        <w:t xml:space="preserve"> condiciones de existencia dignas, seguridad e higiene, el descanso y la limitación razonable de las horas de trabajo</w:t>
      </w:r>
      <w:r w:rsidR="00785755">
        <w:rPr>
          <w:rFonts w:ascii="Arial" w:hAnsi="Arial" w:cs="Arial"/>
          <w:sz w:val="24"/>
          <w:szCs w:val="24"/>
        </w:rPr>
        <w:t xml:space="preserve">, es la que padecen, particularmente, los jornaleros agrícolas. </w:t>
      </w:r>
      <w:r w:rsidR="008F7B57">
        <w:rPr>
          <w:rFonts w:ascii="Arial" w:hAnsi="Arial" w:cs="Arial"/>
          <w:sz w:val="24"/>
          <w:szCs w:val="24"/>
        </w:rPr>
        <w:t xml:space="preserve">La CNDH ha hecho visibles las condiciones </w:t>
      </w:r>
      <w:r w:rsidR="0076541B">
        <w:rPr>
          <w:rFonts w:ascii="Arial" w:hAnsi="Arial" w:cs="Arial"/>
          <w:sz w:val="24"/>
          <w:szCs w:val="24"/>
        </w:rPr>
        <w:t xml:space="preserve">de pobreza </w:t>
      </w:r>
      <w:r w:rsidR="008F7B57">
        <w:rPr>
          <w:rFonts w:ascii="Arial" w:hAnsi="Arial" w:cs="Arial"/>
          <w:sz w:val="24"/>
          <w:szCs w:val="24"/>
        </w:rPr>
        <w:t xml:space="preserve">en que vive este sector altamente vulnerable de la población, entre otros, </w:t>
      </w:r>
      <w:r w:rsidR="0076541B">
        <w:rPr>
          <w:rFonts w:ascii="Arial" w:hAnsi="Arial" w:cs="Arial"/>
          <w:sz w:val="24"/>
          <w:szCs w:val="24"/>
        </w:rPr>
        <w:t>a través de</w:t>
      </w:r>
      <w:r w:rsidR="008F7B57">
        <w:rPr>
          <w:rFonts w:ascii="Arial" w:hAnsi="Arial" w:cs="Arial"/>
          <w:sz w:val="24"/>
          <w:szCs w:val="24"/>
        </w:rPr>
        <w:t xml:space="preserve"> las recomendaciones 37/2015</w:t>
      </w:r>
      <w:r w:rsidR="008F7B57">
        <w:rPr>
          <w:rStyle w:val="Refdenotaalpie"/>
          <w:rFonts w:ascii="Arial" w:hAnsi="Arial" w:cs="Arial"/>
          <w:sz w:val="24"/>
          <w:szCs w:val="24"/>
        </w:rPr>
        <w:footnoteReference w:id="16"/>
      </w:r>
      <w:r w:rsidR="008F7B57">
        <w:rPr>
          <w:rFonts w:ascii="Arial" w:hAnsi="Arial" w:cs="Arial"/>
          <w:sz w:val="24"/>
          <w:szCs w:val="24"/>
        </w:rPr>
        <w:t>, 28/2016</w:t>
      </w:r>
      <w:r w:rsidR="008F7B57">
        <w:rPr>
          <w:rStyle w:val="Refdenotaalpie"/>
          <w:rFonts w:ascii="Arial" w:hAnsi="Arial" w:cs="Arial"/>
          <w:sz w:val="24"/>
          <w:szCs w:val="24"/>
        </w:rPr>
        <w:footnoteReference w:id="17"/>
      </w:r>
      <w:r w:rsidR="008F7B57">
        <w:rPr>
          <w:rFonts w:ascii="Arial" w:hAnsi="Arial" w:cs="Arial"/>
          <w:sz w:val="24"/>
          <w:szCs w:val="24"/>
        </w:rPr>
        <w:t xml:space="preserve"> y 70/2016</w:t>
      </w:r>
      <w:r w:rsidR="008F7B57">
        <w:rPr>
          <w:rStyle w:val="Refdenotaalpie"/>
          <w:rFonts w:ascii="Arial" w:hAnsi="Arial" w:cs="Arial"/>
          <w:sz w:val="24"/>
          <w:szCs w:val="24"/>
        </w:rPr>
        <w:footnoteReference w:id="18"/>
      </w:r>
      <w:r w:rsidR="00580B95">
        <w:rPr>
          <w:rFonts w:ascii="Arial" w:hAnsi="Arial" w:cs="Arial"/>
          <w:sz w:val="24"/>
          <w:szCs w:val="24"/>
        </w:rPr>
        <w:t>, en las que se ha puesto de manifiesto que el desigual desarrollo regional del país trae como consecuencia que muchos trabajadores de las zonas rurales emigren a los lugares donde hay trabajo. Con frecuencia, lo hacen acompañados de sus familiares, quienes</w:t>
      </w:r>
      <w:r w:rsidR="0076541B">
        <w:rPr>
          <w:rFonts w:ascii="Arial" w:hAnsi="Arial" w:cs="Arial"/>
          <w:sz w:val="24"/>
          <w:szCs w:val="24"/>
        </w:rPr>
        <w:t>, además,</w:t>
      </w:r>
      <w:r w:rsidR="00580B95">
        <w:rPr>
          <w:rFonts w:ascii="Arial" w:hAnsi="Arial" w:cs="Arial"/>
          <w:sz w:val="24"/>
          <w:szCs w:val="24"/>
        </w:rPr>
        <w:t xml:space="preserve"> enfrentan limitado acceso a los servicios básicos y obstáculos para satisfacer sus necesidades más elementales, como la nutrición, la salud, el desarrollo y la educación. </w:t>
      </w:r>
    </w:p>
    <w:p w14:paraId="20C7F06A" w14:textId="77777777" w:rsidR="0035646E" w:rsidRDefault="0035646E" w:rsidP="00DE6FB8">
      <w:pPr>
        <w:spacing w:after="0" w:line="240" w:lineRule="auto"/>
        <w:jc w:val="both"/>
        <w:rPr>
          <w:rFonts w:ascii="Arial" w:hAnsi="Arial" w:cs="Arial"/>
          <w:sz w:val="24"/>
          <w:szCs w:val="24"/>
        </w:rPr>
      </w:pPr>
    </w:p>
    <w:p w14:paraId="53E57B03" w14:textId="49EFC31A" w:rsidR="004148A9" w:rsidRDefault="004148A9" w:rsidP="00DE6FB8">
      <w:pPr>
        <w:spacing w:after="0" w:line="240" w:lineRule="auto"/>
        <w:jc w:val="both"/>
        <w:rPr>
          <w:rFonts w:ascii="Arial" w:hAnsi="Arial" w:cs="Arial"/>
          <w:sz w:val="24"/>
          <w:szCs w:val="24"/>
        </w:rPr>
      </w:pPr>
      <w:r>
        <w:rPr>
          <w:rFonts w:ascii="Arial" w:hAnsi="Arial" w:cs="Arial"/>
          <w:sz w:val="24"/>
          <w:szCs w:val="24"/>
        </w:rPr>
        <w:t xml:space="preserve">En similar tenor, tampoco pasan inadvertidos los nuevos esquemas laborales, como el caso del </w:t>
      </w:r>
      <w:r w:rsidRPr="004148A9">
        <w:rPr>
          <w:rFonts w:ascii="Arial" w:hAnsi="Arial" w:cs="Arial"/>
          <w:i/>
          <w:sz w:val="24"/>
          <w:szCs w:val="24"/>
        </w:rPr>
        <w:t>outsourcing</w:t>
      </w:r>
      <w:r>
        <w:rPr>
          <w:rFonts w:ascii="Arial" w:hAnsi="Arial" w:cs="Arial"/>
          <w:sz w:val="24"/>
          <w:szCs w:val="24"/>
        </w:rPr>
        <w:t>, en los que las prestaciones y condiciones de trabajo son ampliamente cuestionadas a la luz de los estándares de derechos humanos.</w:t>
      </w:r>
    </w:p>
    <w:p w14:paraId="25AD07B2" w14:textId="77777777" w:rsidR="004148A9" w:rsidRDefault="004148A9" w:rsidP="00DE6FB8">
      <w:pPr>
        <w:spacing w:after="0" w:line="240" w:lineRule="auto"/>
        <w:jc w:val="both"/>
        <w:rPr>
          <w:rFonts w:ascii="Arial" w:hAnsi="Arial" w:cs="Arial"/>
          <w:sz w:val="24"/>
          <w:szCs w:val="24"/>
        </w:rPr>
      </w:pPr>
    </w:p>
    <w:p w14:paraId="27FB6275" w14:textId="77777777" w:rsidR="00F93103" w:rsidRPr="00D81B51" w:rsidRDefault="00F93103" w:rsidP="00DE6FB8">
      <w:pPr>
        <w:pStyle w:val="Prrafodelista"/>
        <w:spacing w:after="0" w:line="240" w:lineRule="auto"/>
        <w:ind w:left="0"/>
        <w:jc w:val="both"/>
        <w:rPr>
          <w:rFonts w:ascii="Arial" w:hAnsi="Arial" w:cs="Arial"/>
          <w:b/>
          <w:bCs/>
          <w:sz w:val="24"/>
          <w:szCs w:val="24"/>
        </w:rPr>
      </w:pPr>
    </w:p>
    <w:p w14:paraId="71FCEE07" w14:textId="77777777" w:rsidR="00584E7E" w:rsidRPr="00D81B51" w:rsidRDefault="00676EF2" w:rsidP="00DE6FB8">
      <w:pPr>
        <w:pStyle w:val="Prrafodelista"/>
        <w:spacing w:after="0" w:line="240" w:lineRule="auto"/>
        <w:ind w:left="0"/>
        <w:jc w:val="both"/>
        <w:rPr>
          <w:rFonts w:ascii="Arial" w:hAnsi="Arial" w:cs="Arial"/>
          <w:sz w:val="24"/>
          <w:szCs w:val="24"/>
        </w:rPr>
      </w:pPr>
      <w:r>
        <w:rPr>
          <w:rFonts w:ascii="Arial" w:hAnsi="Arial" w:cs="Arial"/>
          <w:b/>
          <w:bCs/>
          <w:sz w:val="24"/>
          <w:szCs w:val="24"/>
        </w:rPr>
        <w:t xml:space="preserve">V. Artículo 8: </w:t>
      </w:r>
      <w:r w:rsidR="00584E7E" w:rsidRPr="00D81B51">
        <w:rPr>
          <w:rFonts w:ascii="Arial" w:hAnsi="Arial" w:cs="Arial"/>
          <w:b/>
          <w:bCs/>
          <w:sz w:val="24"/>
          <w:szCs w:val="24"/>
        </w:rPr>
        <w:t xml:space="preserve">Derecho a formar sindicatos </w:t>
      </w:r>
    </w:p>
    <w:p w14:paraId="0F448658" w14:textId="77777777" w:rsidR="00283720" w:rsidRDefault="00283720" w:rsidP="00DE6FB8">
      <w:pPr>
        <w:pStyle w:val="Prrafodelista"/>
        <w:spacing w:after="0" w:line="240" w:lineRule="auto"/>
        <w:ind w:left="0"/>
        <w:jc w:val="both"/>
        <w:rPr>
          <w:rFonts w:ascii="Arial" w:hAnsi="Arial" w:cs="Arial"/>
          <w:sz w:val="24"/>
          <w:szCs w:val="24"/>
        </w:rPr>
      </w:pPr>
      <w:r w:rsidRPr="00D81B51">
        <w:rPr>
          <w:rFonts w:ascii="Arial" w:hAnsi="Arial" w:cs="Arial"/>
          <w:sz w:val="24"/>
          <w:szCs w:val="24"/>
        </w:rPr>
        <w:t xml:space="preserve">De conformidad con los artículos 9; 123 Apartado B, fracción X de la Constitución Política de los Estados Unidos Mexicanos que reconocen la libertad de asociación para conformar sindicatos. </w:t>
      </w:r>
      <w:r w:rsidR="00AE6C55">
        <w:rPr>
          <w:rFonts w:ascii="Arial" w:hAnsi="Arial" w:cs="Arial"/>
          <w:sz w:val="24"/>
          <w:szCs w:val="24"/>
        </w:rPr>
        <w:t>La CNDH observa</w:t>
      </w:r>
      <w:r w:rsidRPr="00D81B51">
        <w:rPr>
          <w:rFonts w:ascii="Arial" w:hAnsi="Arial" w:cs="Arial"/>
          <w:sz w:val="24"/>
          <w:szCs w:val="24"/>
        </w:rPr>
        <w:t xml:space="preserve"> con preocupación la falta de armonización legislativa con el actual artículo 68 de la Ley Federal de los Trabajadores al Servicio del Estado, que a la letra dice: </w:t>
      </w:r>
    </w:p>
    <w:p w14:paraId="52E2A4ED" w14:textId="77777777" w:rsidR="00AE6C55" w:rsidRPr="00D81B51" w:rsidRDefault="00AE6C55" w:rsidP="00DE6FB8">
      <w:pPr>
        <w:pStyle w:val="Prrafodelista"/>
        <w:spacing w:after="0" w:line="240" w:lineRule="auto"/>
        <w:ind w:left="0"/>
        <w:jc w:val="both"/>
        <w:rPr>
          <w:rFonts w:ascii="Arial" w:hAnsi="Arial" w:cs="Arial"/>
          <w:sz w:val="24"/>
          <w:szCs w:val="24"/>
        </w:rPr>
      </w:pPr>
    </w:p>
    <w:p w14:paraId="5BDDF276" w14:textId="7811FEEC" w:rsidR="00283720" w:rsidRDefault="00283720" w:rsidP="00DE6FB8">
      <w:pPr>
        <w:spacing w:after="0" w:line="240" w:lineRule="auto"/>
        <w:ind w:left="708" w:right="758"/>
        <w:jc w:val="both"/>
        <w:rPr>
          <w:rFonts w:ascii="Arial" w:hAnsi="Arial" w:cs="Arial"/>
          <w:sz w:val="24"/>
          <w:szCs w:val="24"/>
        </w:rPr>
      </w:pPr>
      <w:r w:rsidRPr="00AE6C55">
        <w:rPr>
          <w:rFonts w:ascii="Arial" w:hAnsi="Arial" w:cs="Arial"/>
          <w:sz w:val="24"/>
          <w:szCs w:val="24"/>
        </w:rPr>
        <w:t xml:space="preserve">En cada dependencia sólo habrá un sindicato. En caso de que concurran varios grupos de trabajadores que pretendan ese </w:t>
      </w:r>
      <w:r w:rsidRPr="00AE6C55">
        <w:rPr>
          <w:rFonts w:ascii="Arial" w:hAnsi="Arial" w:cs="Arial"/>
          <w:sz w:val="24"/>
          <w:szCs w:val="24"/>
        </w:rPr>
        <w:lastRenderedPageBreak/>
        <w:t>derecho, el Tribunal Federal de Conciliación y Arbitraje otorgará el reconocimiento al mayoritario</w:t>
      </w:r>
      <w:r w:rsidR="004148A9">
        <w:rPr>
          <w:rFonts w:ascii="Arial" w:hAnsi="Arial" w:cs="Arial"/>
          <w:sz w:val="24"/>
          <w:szCs w:val="24"/>
        </w:rPr>
        <w:t>.</w:t>
      </w:r>
    </w:p>
    <w:p w14:paraId="6CAB74F4" w14:textId="77777777" w:rsidR="00AE6C55" w:rsidRPr="00AE6C55" w:rsidRDefault="00AE6C55" w:rsidP="00DE6FB8">
      <w:pPr>
        <w:spacing w:after="0" w:line="240" w:lineRule="auto"/>
        <w:ind w:left="708" w:right="758"/>
        <w:jc w:val="both"/>
        <w:rPr>
          <w:rFonts w:ascii="Arial" w:hAnsi="Arial" w:cs="Arial"/>
          <w:sz w:val="24"/>
          <w:szCs w:val="24"/>
        </w:rPr>
      </w:pPr>
    </w:p>
    <w:p w14:paraId="08B2978D" w14:textId="77777777" w:rsidR="00AE6C55" w:rsidRDefault="00020195" w:rsidP="00DE6FB8">
      <w:pPr>
        <w:spacing w:after="0" w:line="240" w:lineRule="auto"/>
        <w:jc w:val="both"/>
        <w:rPr>
          <w:rFonts w:ascii="Arial" w:hAnsi="Arial" w:cs="Arial"/>
          <w:sz w:val="24"/>
          <w:szCs w:val="24"/>
        </w:rPr>
      </w:pPr>
      <w:r w:rsidRPr="00D81B51">
        <w:rPr>
          <w:rFonts w:ascii="Arial" w:hAnsi="Arial" w:cs="Arial"/>
          <w:sz w:val="24"/>
          <w:szCs w:val="24"/>
        </w:rPr>
        <w:t xml:space="preserve">Sobre </w:t>
      </w:r>
      <w:r w:rsidR="001306E0" w:rsidRPr="00D81B51">
        <w:rPr>
          <w:rFonts w:ascii="Arial" w:hAnsi="Arial" w:cs="Arial"/>
          <w:sz w:val="24"/>
          <w:szCs w:val="24"/>
        </w:rPr>
        <w:t>tal norma</w:t>
      </w:r>
      <w:r w:rsidR="00AE6C55">
        <w:rPr>
          <w:rFonts w:ascii="Arial" w:hAnsi="Arial" w:cs="Arial"/>
          <w:sz w:val="24"/>
          <w:szCs w:val="24"/>
        </w:rPr>
        <w:t>,</w:t>
      </w:r>
      <w:r w:rsidRPr="00D81B51">
        <w:rPr>
          <w:rFonts w:ascii="Arial" w:hAnsi="Arial" w:cs="Arial"/>
          <w:sz w:val="24"/>
          <w:szCs w:val="24"/>
        </w:rPr>
        <w:t xml:space="preserve"> la propia </w:t>
      </w:r>
      <w:r w:rsidR="00AE6C55">
        <w:rPr>
          <w:rFonts w:ascii="Arial" w:hAnsi="Arial" w:cs="Arial"/>
          <w:sz w:val="24"/>
          <w:szCs w:val="24"/>
        </w:rPr>
        <w:t xml:space="preserve">SCJN ha emitido diversos criterios que evidencian </w:t>
      </w:r>
      <w:r w:rsidR="00310AA6">
        <w:rPr>
          <w:rFonts w:ascii="Arial" w:hAnsi="Arial" w:cs="Arial"/>
          <w:sz w:val="24"/>
          <w:szCs w:val="24"/>
        </w:rPr>
        <w:t>que</w:t>
      </w:r>
      <w:r w:rsidR="00AE6C55">
        <w:rPr>
          <w:rFonts w:ascii="Arial" w:hAnsi="Arial" w:cs="Arial"/>
          <w:sz w:val="24"/>
          <w:szCs w:val="24"/>
        </w:rPr>
        <w:t xml:space="preserve"> </w:t>
      </w:r>
      <w:r w:rsidRPr="00D81B51">
        <w:rPr>
          <w:rFonts w:ascii="Arial" w:hAnsi="Arial" w:cs="Arial"/>
          <w:sz w:val="24"/>
          <w:szCs w:val="24"/>
        </w:rPr>
        <w:t>la actual legislación en la materia</w:t>
      </w:r>
      <w:r w:rsidR="00AE6C55">
        <w:rPr>
          <w:rFonts w:ascii="Arial" w:hAnsi="Arial" w:cs="Arial"/>
          <w:sz w:val="24"/>
          <w:szCs w:val="24"/>
        </w:rPr>
        <w:t xml:space="preserve"> </w:t>
      </w:r>
      <w:r w:rsidR="00310AA6">
        <w:rPr>
          <w:rFonts w:ascii="Arial" w:hAnsi="Arial" w:cs="Arial"/>
          <w:sz w:val="24"/>
          <w:szCs w:val="24"/>
        </w:rPr>
        <w:t>contraviene</w:t>
      </w:r>
      <w:r w:rsidR="00AE6C55">
        <w:rPr>
          <w:rFonts w:ascii="Arial" w:hAnsi="Arial" w:cs="Arial"/>
          <w:sz w:val="24"/>
          <w:szCs w:val="24"/>
        </w:rPr>
        <w:t xml:space="preserve"> los</w:t>
      </w:r>
      <w:r w:rsidR="0046327B">
        <w:rPr>
          <w:rFonts w:ascii="Arial" w:hAnsi="Arial" w:cs="Arial"/>
          <w:sz w:val="24"/>
          <w:szCs w:val="24"/>
        </w:rPr>
        <w:t xml:space="preserve"> propios </w:t>
      </w:r>
      <w:r w:rsidR="00AE6C55">
        <w:rPr>
          <w:rFonts w:ascii="Arial" w:hAnsi="Arial" w:cs="Arial"/>
          <w:sz w:val="24"/>
          <w:szCs w:val="24"/>
        </w:rPr>
        <w:t xml:space="preserve">preceptos constitucionales. Algunas de estas tesis son las siguientes: </w:t>
      </w:r>
    </w:p>
    <w:p w14:paraId="466CA6B5" w14:textId="77777777" w:rsidR="00020195" w:rsidRPr="00AE6C55" w:rsidRDefault="00065052" w:rsidP="00DE6FB8">
      <w:pPr>
        <w:pStyle w:val="Prrafodelista"/>
        <w:numPr>
          <w:ilvl w:val="0"/>
          <w:numId w:val="3"/>
        </w:numPr>
        <w:spacing w:after="0" w:line="240" w:lineRule="auto"/>
        <w:jc w:val="both"/>
        <w:rPr>
          <w:rFonts w:ascii="Arial" w:hAnsi="Arial" w:cs="Arial"/>
          <w:sz w:val="24"/>
          <w:szCs w:val="24"/>
        </w:rPr>
      </w:pPr>
      <w:r w:rsidRPr="00AE6C55">
        <w:rPr>
          <w:rFonts w:ascii="Arial" w:hAnsi="Arial" w:cs="Arial"/>
          <w:sz w:val="24"/>
          <w:szCs w:val="24"/>
        </w:rPr>
        <w:t>SINDICACIÓN ÚNICA. LAS LEYES O ESTATUTOS QUE LA PREVÉN, VIOLAN LA LIBERTAD SINDICAL CONSAGRADA EN EL ARTÍCULO 123, APARTADO B, FRACCIÓN X, CONSTITUCIONAL.</w:t>
      </w:r>
      <w:r w:rsidR="00EF08BA" w:rsidRPr="00D81B51">
        <w:rPr>
          <w:rStyle w:val="Refdenotaalpie"/>
          <w:rFonts w:ascii="Arial" w:hAnsi="Arial" w:cs="Arial"/>
          <w:sz w:val="24"/>
          <w:szCs w:val="24"/>
        </w:rPr>
        <w:footnoteReference w:id="19"/>
      </w:r>
    </w:p>
    <w:p w14:paraId="51444738" w14:textId="77777777" w:rsidR="00AE6C55" w:rsidRDefault="00AE6C55" w:rsidP="00DE6FB8">
      <w:pPr>
        <w:spacing w:after="0" w:line="240" w:lineRule="auto"/>
        <w:jc w:val="both"/>
        <w:rPr>
          <w:rFonts w:ascii="Arial" w:hAnsi="Arial" w:cs="Arial"/>
          <w:sz w:val="24"/>
          <w:szCs w:val="24"/>
        </w:rPr>
      </w:pPr>
    </w:p>
    <w:p w14:paraId="4853E9C4" w14:textId="2ED50080" w:rsidR="00AE6C55" w:rsidRPr="004D4752" w:rsidRDefault="00065052" w:rsidP="00DE6FB8">
      <w:pPr>
        <w:pStyle w:val="Prrafodelista"/>
        <w:numPr>
          <w:ilvl w:val="0"/>
          <w:numId w:val="3"/>
        </w:numPr>
        <w:spacing w:after="0" w:line="240" w:lineRule="auto"/>
        <w:jc w:val="both"/>
        <w:rPr>
          <w:rFonts w:ascii="Arial" w:hAnsi="Arial" w:cs="Arial"/>
          <w:sz w:val="24"/>
          <w:szCs w:val="24"/>
        </w:rPr>
      </w:pPr>
      <w:r w:rsidRPr="00AE6C55">
        <w:rPr>
          <w:rFonts w:ascii="Arial" w:hAnsi="Arial" w:cs="Arial"/>
          <w:sz w:val="24"/>
          <w:szCs w:val="24"/>
        </w:rPr>
        <w:t>TRABAJADORES AL SERVICIO DEL ESTADO. EL ARTÍCULO 54 DE LA LEY FEDERAL RELATIVA, AL DISPONER IMPLÍCITAMENTE LA SINDICACIÓN ÚNICA PARA LA CONFORMACIÓN Y FUNCIONAMIENTO DE LA COMISIÓN MIXTA DE ESCALAFÓN EN CADA DEPENDENCIA GUBERNAMENTAL, VIOLA EL ARTÍCULO 123, APARTADO B, FRACCIONES VIII Y X, DE LA CONSTITUCIÓN FEDERAL Y EL CONVENIO 87 DE LA ORGANIZ</w:t>
      </w:r>
      <w:r w:rsidR="001306E0" w:rsidRPr="00AE6C55">
        <w:rPr>
          <w:rFonts w:ascii="Arial" w:hAnsi="Arial" w:cs="Arial"/>
          <w:sz w:val="24"/>
          <w:szCs w:val="24"/>
        </w:rPr>
        <w:t>ACIÓN INTERNACIONAL DEL TRABAJO</w:t>
      </w:r>
      <w:r w:rsidRPr="00AE6C55">
        <w:rPr>
          <w:rFonts w:ascii="Arial" w:hAnsi="Arial" w:cs="Arial"/>
          <w:sz w:val="24"/>
          <w:szCs w:val="24"/>
        </w:rPr>
        <w:t xml:space="preserve"> .</w:t>
      </w:r>
      <w:r w:rsidR="00EF08BA" w:rsidRPr="00D81B51">
        <w:rPr>
          <w:rStyle w:val="Refdenotaalpie"/>
          <w:rFonts w:ascii="Arial" w:hAnsi="Arial" w:cs="Arial"/>
          <w:sz w:val="24"/>
          <w:szCs w:val="24"/>
        </w:rPr>
        <w:footnoteReference w:id="20"/>
      </w:r>
    </w:p>
    <w:p w14:paraId="563BD08E" w14:textId="77777777" w:rsidR="00065052" w:rsidRPr="00D81B51" w:rsidRDefault="00065052" w:rsidP="00DE6FB8">
      <w:pPr>
        <w:spacing w:after="0" w:line="240" w:lineRule="auto"/>
        <w:jc w:val="both"/>
        <w:rPr>
          <w:rFonts w:ascii="Arial" w:hAnsi="Arial" w:cs="Arial"/>
          <w:sz w:val="24"/>
          <w:szCs w:val="24"/>
        </w:rPr>
      </w:pPr>
      <w:r w:rsidRPr="00D81B51">
        <w:rPr>
          <w:rFonts w:ascii="Arial" w:hAnsi="Arial" w:cs="Arial"/>
          <w:sz w:val="24"/>
          <w:szCs w:val="24"/>
        </w:rPr>
        <w:t xml:space="preserve">En ese tenor la </w:t>
      </w:r>
      <w:r w:rsidR="00AE6C55">
        <w:rPr>
          <w:rFonts w:ascii="Arial" w:hAnsi="Arial" w:cs="Arial"/>
          <w:sz w:val="24"/>
          <w:szCs w:val="24"/>
        </w:rPr>
        <w:t>CNDH, advierte la persistente</w:t>
      </w:r>
      <w:r w:rsidR="001306E0" w:rsidRPr="00D81B51">
        <w:rPr>
          <w:rFonts w:ascii="Arial" w:hAnsi="Arial" w:cs="Arial"/>
          <w:sz w:val="24"/>
          <w:szCs w:val="24"/>
        </w:rPr>
        <w:t xml:space="preserve"> omisión de medidas legislativas a fin de suprimir las normas o estatutos que prevén la existencia de un solo sindicato de trabajadores al servicio del estado por dependencia gubernamental. Lo </w:t>
      </w:r>
      <w:r w:rsidR="0046327B">
        <w:rPr>
          <w:rFonts w:ascii="Arial" w:hAnsi="Arial" w:cs="Arial"/>
          <w:sz w:val="24"/>
          <w:szCs w:val="24"/>
        </w:rPr>
        <w:t xml:space="preserve">que </w:t>
      </w:r>
      <w:r w:rsidR="00EF08BA" w:rsidRPr="00D81B51">
        <w:rPr>
          <w:rFonts w:ascii="Arial" w:hAnsi="Arial" w:cs="Arial"/>
          <w:sz w:val="24"/>
          <w:szCs w:val="24"/>
        </w:rPr>
        <w:t xml:space="preserve">está incluso en contravención con el Convenio 87 de la </w:t>
      </w:r>
      <w:r w:rsidR="00310AA6">
        <w:rPr>
          <w:rFonts w:ascii="Arial" w:hAnsi="Arial" w:cs="Arial"/>
          <w:sz w:val="24"/>
          <w:szCs w:val="24"/>
        </w:rPr>
        <w:t>OIT</w:t>
      </w:r>
      <w:r w:rsidR="00EF08BA" w:rsidRPr="00D81B51">
        <w:rPr>
          <w:rFonts w:ascii="Arial" w:hAnsi="Arial" w:cs="Arial"/>
          <w:sz w:val="24"/>
          <w:szCs w:val="24"/>
        </w:rPr>
        <w:t xml:space="preserve"> </w:t>
      </w:r>
      <w:r w:rsidR="00EF08BA" w:rsidRPr="00310AA6">
        <w:rPr>
          <w:rFonts w:ascii="Arial" w:hAnsi="Arial" w:cs="Arial"/>
          <w:i/>
          <w:sz w:val="24"/>
          <w:szCs w:val="24"/>
        </w:rPr>
        <w:t>Sobre la libertad sindical y la protección del derecho de sindicación</w:t>
      </w:r>
      <w:r w:rsidR="003319B1" w:rsidRPr="00D81B51">
        <w:rPr>
          <w:rStyle w:val="Refdenotaalpie"/>
          <w:rFonts w:ascii="Arial" w:hAnsi="Arial" w:cs="Arial"/>
          <w:sz w:val="24"/>
          <w:szCs w:val="24"/>
        </w:rPr>
        <w:footnoteReference w:id="21"/>
      </w:r>
      <w:r w:rsidR="00EF08BA" w:rsidRPr="00D81B51">
        <w:rPr>
          <w:rFonts w:ascii="Arial" w:hAnsi="Arial" w:cs="Arial"/>
          <w:sz w:val="24"/>
          <w:szCs w:val="24"/>
        </w:rPr>
        <w:t xml:space="preserve">, del cual México es </w:t>
      </w:r>
      <w:r w:rsidR="00310AA6">
        <w:rPr>
          <w:rFonts w:ascii="Arial" w:hAnsi="Arial" w:cs="Arial"/>
          <w:sz w:val="24"/>
          <w:szCs w:val="24"/>
        </w:rPr>
        <w:t>Estado P</w:t>
      </w:r>
      <w:r w:rsidR="00EF08BA" w:rsidRPr="00D81B51">
        <w:rPr>
          <w:rFonts w:ascii="Arial" w:hAnsi="Arial" w:cs="Arial"/>
          <w:sz w:val="24"/>
          <w:szCs w:val="24"/>
        </w:rPr>
        <w:t>arte.</w:t>
      </w:r>
    </w:p>
    <w:p w14:paraId="4FBCB4F2" w14:textId="77777777" w:rsidR="00310AA6" w:rsidRDefault="00310AA6" w:rsidP="00DE6FB8">
      <w:pPr>
        <w:spacing w:after="0" w:line="240" w:lineRule="auto"/>
        <w:jc w:val="both"/>
        <w:rPr>
          <w:rFonts w:ascii="Arial" w:hAnsi="Arial" w:cs="Arial"/>
          <w:sz w:val="24"/>
          <w:szCs w:val="24"/>
        </w:rPr>
      </w:pPr>
    </w:p>
    <w:p w14:paraId="15768E32" w14:textId="77777777" w:rsidR="004328F2" w:rsidRPr="00D81B51" w:rsidRDefault="004328F2" w:rsidP="00DE6FB8">
      <w:pPr>
        <w:spacing w:after="0" w:line="240" w:lineRule="auto"/>
        <w:jc w:val="both"/>
        <w:rPr>
          <w:rFonts w:ascii="Arial" w:hAnsi="Arial" w:cs="Arial"/>
          <w:sz w:val="24"/>
          <w:szCs w:val="24"/>
        </w:rPr>
      </w:pPr>
      <w:r w:rsidRPr="00D81B51">
        <w:rPr>
          <w:rFonts w:ascii="Arial" w:hAnsi="Arial" w:cs="Arial"/>
          <w:sz w:val="24"/>
          <w:szCs w:val="24"/>
        </w:rPr>
        <w:t>Se robustece lo anterior con el informe del Centro de Estudios de Finanza Públicas (CEFP) de la Cámara de Diputados</w:t>
      </w:r>
      <w:r w:rsidR="00310AA6">
        <w:rPr>
          <w:rFonts w:ascii="Arial" w:hAnsi="Arial" w:cs="Arial"/>
          <w:sz w:val="24"/>
          <w:szCs w:val="24"/>
        </w:rPr>
        <w:t>,</w:t>
      </w:r>
      <w:r w:rsidRPr="00D81B51">
        <w:rPr>
          <w:rFonts w:ascii="Arial" w:hAnsi="Arial" w:cs="Arial"/>
          <w:sz w:val="24"/>
          <w:szCs w:val="24"/>
        </w:rPr>
        <w:t xml:space="preserve"> en el cual </w:t>
      </w:r>
      <w:r w:rsidR="00310AA6">
        <w:rPr>
          <w:rFonts w:ascii="Arial" w:hAnsi="Arial" w:cs="Arial"/>
          <w:sz w:val="24"/>
          <w:szCs w:val="24"/>
        </w:rPr>
        <w:t>se señala</w:t>
      </w:r>
      <w:r w:rsidRPr="00D81B51">
        <w:rPr>
          <w:rFonts w:ascii="Arial" w:hAnsi="Arial" w:cs="Arial"/>
          <w:sz w:val="24"/>
          <w:szCs w:val="24"/>
        </w:rPr>
        <w:t xml:space="preserve"> que la disminución de la presencia de los sindicatos se relaciona con la expansión del empleo informal. </w:t>
      </w:r>
    </w:p>
    <w:p w14:paraId="0039C552" w14:textId="77777777" w:rsidR="00C82F87" w:rsidRDefault="00C82F87" w:rsidP="00DE6FB8">
      <w:pPr>
        <w:spacing w:after="0" w:line="240" w:lineRule="auto"/>
        <w:jc w:val="both"/>
        <w:rPr>
          <w:rFonts w:ascii="Arial" w:hAnsi="Arial" w:cs="Arial"/>
          <w:sz w:val="24"/>
          <w:szCs w:val="24"/>
        </w:rPr>
      </w:pPr>
    </w:p>
    <w:p w14:paraId="43539442" w14:textId="77777777" w:rsidR="00C82F87" w:rsidRPr="00D81B51" w:rsidRDefault="00C82F87" w:rsidP="00DE6FB8">
      <w:pPr>
        <w:spacing w:after="0" w:line="240" w:lineRule="auto"/>
        <w:jc w:val="both"/>
        <w:rPr>
          <w:rFonts w:ascii="Arial" w:hAnsi="Arial" w:cs="Arial"/>
          <w:sz w:val="24"/>
          <w:szCs w:val="24"/>
        </w:rPr>
      </w:pPr>
      <w:r w:rsidRPr="00D81B51">
        <w:rPr>
          <w:rFonts w:ascii="Arial" w:hAnsi="Arial" w:cs="Arial"/>
          <w:sz w:val="24"/>
          <w:szCs w:val="24"/>
        </w:rPr>
        <w:lastRenderedPageBreak/>
        <w:t xml:space="preserve">Resulta importante </w:t>
      </w:r>
      <w:r w:rsidR="00D41E94">
        <w:rPr>
          <w:rFonts w:ascii="Arial" w:hAnsi="Arial" w:cs="Arial"/>
          <w:sz w:val="24"/>
          <w:szCs w:val="24"/>
        </w:rPr>
        <w:t>destacar que respecto a</w:t>
      </w:r>
      <w:r w:rsidRPr="00D81B51">
        <w:rPr>
          <w:rFonts w:ascii="Arial" w:hAnsi="Arial" w:cs="Arial"/>
          <w:sz w:val="24"/>
          <w:szCs w:val="24"/>
        </w:rPr>
        <w:t xml:space="preserve"> la baja tasa de sindicalización del país, estudios han puesto de relieve que para ambos sectores (privado y público)</w:t>
      </w:r>
      <w:r w:rsidR="00D41E94">
        <w:rPr>
          <w:rFonts w:ascii="Arial" w:hAnsi="Arial" w:cs="Arial"/>
          <w:sz w:val="24"/>
          <w:szCs w:val="24"/>
        </w:rPr>
        <w:t>, é</w:t>
      </w:r>
      <w:r w:rsidRPr="00D81B51">
        <w:rPr>
          <w:rFonts w:ascii="Arial" w:hAnsi="Arial" w:cs="Arial"/>
          <w:sz w:val="24"/>
          <w:szCs w:val="24"/>
        </w:rPr>
        <w:t>sta fue de 4.36 millones en 2005; de 4.69 millones en 2008 y de 4.6 millones en 2010, es decir, los porcentajes sobre la Población Económicamente Activa nacional fueron de 10.1%, 10.3% y 10.3% respectivamente.</w:t>
      </w:r>
      <w:r w:rsidRPr="00D81B51">
        <w:rPr>
          <w:rStyle w:val="Refdenotaalpie"/>
          <w:rFonts w:ascii="Arial" w:hAnsi="Arial" w:cs="Arial"/>
          <w:sz w:val="24"/>
          <w:szCs w:val="24"/>
        </w:rPr>
        <w:footnoteReference w:id="22"/>
      </w:r>
    </w:p>
    <w:p w14:paraId="786B8E07" w14:textId="77777777" w:rsidR="00310AA6" w:rsidRDefault="00310AA6" w:rsidP="00DE6FB8">
      <w:pPr>
        <w:spacing w:after="0" w:line="240" w:lineRule="auto"/>
        <w:jc w:val="both"/>
        <w:rPr>
          <w:rFonts w:ascii="Arial" w:hAnsi="Arial" w:cs="Arial"/>
          <w:sz w:val="24"/>
          <w:szCs w:val="24"/>
        </w:rPr>
      </w:pPr>
    </w:p>
    <w:p w14:paraId="513499E7" w14:textId="77777777" w:rsidR="004328F2" w:rsidRPr="00D81B51" w:rsidRDefault="00C82F87" w:rsidP="00DE6FB8">
      <w:pPr>
        <w:spacing w:after="0" w:line="240" w:lineRule="auto"/>
        <w:jc w:val="both"/>
        <w:rPr>
          <w:rFonts w:ascii="Arial" w:hAnsi="Arial" w:cs="Arial"/>
          <w:sz w:val="24"/>
          <w:szCs w:val="24"/>
        </w:rPr>
      </w:pPr>
      <w:r>
        <w:rPr>
          <w:rFonts w:ascii="Arial" w:hAnsi="Arial" w:cs="Arial"/>
          <w:sz w:val="24"/>
          <w:szCs w:val="24"/>
        </w:rPr>
        <w:t>Aunado a lo anterior</w:t>
      </w:r>
      <w:r w:rsidR="004328F2" w:rsidRPr="00D81B51">
        <w:rPr>
          <w:rFonts w:ascii="Arial" w:hAnsi="Arial" w:cs="Arial"/>
          <w:sz w:val="24"/>
          <w:szCs w:val="24"/>
        </w:rPr>
        <w:t xml:space="preserve">, la OIT ha </w:t>
      </w:r>
      <w:r>
        <w:rPr>
          <w:rFonts w:ascii="Arial" w:hAnsi="Arial" w:cs="Arial"/>
          <w:sz w:val="24"/>
          <w:szCs w:val="24"/>
        </w:rPr>
        <w:t>subrayado</w:t>
      </w:r>
      <w:r w:rsidR="004328F2" w:rsidRPr="00D81B51">
        <w:rPr>
          <w:rFonts w:ascii="Arial" w:hAnsi="Arial" w:cs="Arial"/>
          <w:sz w:val="24"/>
          <w:szCs w:val="24"/>
        </w:rPr>
        <w:t xml:space="preserve"> que la inexistencia de huelgas estalladas o emplazamientos a huelgas, no necesariamente es reflejo de mejoras en el diálogo social, por el contrario, podría implicar un menor margen de negociación de lo</w:t>
      </w:r>
      <w:r w:rsidR="00A20EF8" w:rsidRPr="00D81B51">
        <w:rPr>
          <w:rFonts w:ascii="Arial" w:hAnsi="Arial" w:cs="Arial"/>
          <w:sz w:val="24"/>
          <w:szCs w:val="24"/>
        </w:rPr>
        <w:t>s trabajadores con sus patrones</w:t>
      </w:r>
      <w:r w:rsidR="004328F2" w:rsidRPr="00D81B51">
        <w:rPr>
          <w:rFonts w:ascii="Arial" w:hAnsi="Arial" w:cs="Arial"/>
          <w:sz w:val="24"/>
          <w:szCs w:val="24"/>
        </w:rPr>
        <w:t>.</w:t>
      </w:r>
      <w:r w:rsidR="00A20EF8" w:rsidRPr="00D81B51">
        <w:rPr>
          <w:rStyle w:val="Refdenotaalpie"/>
          <w:rFonts w:ascii="Arial" w:hAnsi="Arial" w:cs="Arial"/>
          <w:sz w:val="24"/>
          <w:szCs w:val="24"/>
        </w:rPr>
        <w:footnoteReference w:id="23"/>
      </w:r>
    </w:p>
    <w:p w14:paraId="6A011A64" w14:textId="77777777" w:rsidR="000C3915" w:rsidRPr="00D81B51" w:rsidRDefault="000C3915" w:rsidP="00DE6FB8">
      <w:pPr>
        <w:pStyle w:val="Prrafodelista"/>
        <w:spacing w:after="0" w:line="240" w:lineRule="auto"/>
        <w:ind w:left="0"/>
        <w:jc w:val="both"/>
        <w:rPr>
          <w:rFonts w:ascii="Arial" w:hAnsi="Arial" w:cs="Arial"/>
          <w:sz w:val="24"/>
          <w:szCs w:val="24"/>
        </w:rPr>
      </w:pPr>
    </w:p>
    <w:p w14:paraId="475E689C" w14:textId="77777777" w:rsidR="0097696E" w:rsidRDefault="00676EF2" w:rsidP="00DE6FB8">
      <w:pPr>
        <w:pStyle w:val="Prrafodelista"/>
        <w:spacing w:after="0" w:line="240" w:lineRule="auto"/>
        <w:ind w:left="0"/>
        <w:jc w:val="both"/>
        <w:rPr>
          <w:rFonts w:ascii="Arial" w:hAnsi="Arial" w:cs="Arial"/>
          <w:b/>
          <w:sz w:val="24"/>
          <w:szCs w:val="24"/>
        </w:rPr>
      </w:pPr>
      <w:r>
        <w:rPr>
          <w:rFonts w:ascii="Arial" w:hAnsi="Arial" w:cs="Arial"/>
          <w:b/>
          <w:sz w:val="24"/>
          <w:szCs w:val="24"/>
        </w:rPr>
        <w:t>VI. Artículo 10:</w:t>
      </w:r>
      <w:r w:rsidR="00876813" w:rsidRPr="00876813">
        <w:rPr>
          <w:rFonts w:ascii="Arial" w:hAnsi="Arial" w:cs="Arial"/>
          <w:b/>
          <w:sz w:val="24"/>
          <w:szCs w:val="24"/>
        </w:rPr>
        <w:t xml:space="preserve"> Protección de la familia</w:t>
      </w:r>
    </w:p>
    <w:p w14:paraId="0BE0134C" w14:textId="77777777" w:rsidR="00AE0D67" w:rsidRDefault="00AE0D67" w:rsidP="00DE6FB8">
      <w:pPr>
        <w:pStyle w:val="Prrafodelista"/>
        <w:spacing w:after="0" w:line="240" w:lineRule="auto"/>
        <w:ind w:left="0"/>
        <w:jc w:val="both"/>
        <w:rPr>
          <w:rFonts w:ascii="Arial" w:hAnsi="Arial" w:cs="Arial"/>
          <w:sz w:val="24"/>
          <w:szCs w:val="24"/>
        </w:rPr>
      </w:pPr>
      <w:r w:rsidRPr="00AE0D67">
        <w:rPr>
          <w:rFonts w:ascii="Arial" w:hAnsi="Arial" w:cs="Arial"/>
          <w:sz w:val="24"/>
          <w:szCs w:val="24"/>
        </w:rPr>
        <w:t>Si bi</w:t>
      </w:r>
      <w:r>
        <w:rPr>
          <w:rFonts w:ascii="Arial" w:hAnsi="Arial" w:cs="Arial"/>
          <w:sz w:val="24"/>
          <w:szCs w:val="24"/>
        </w:rPr>
        <w:t>e</w:t>
      </w:r>
      <w:r w:rsidRPr="00AE0D67">
        <w:rPr>
          <w:rFonts w:ascii="Arial" w:hAnsi="Arial" w:cs="Arial"/>
          <w:sz w:val="24"/>
          <w:szCs w:val="24"/>
        </w:rPr>
        <w:t xml:space="preserve">n la </w:t>
      </w:r>
      <w:r>
        <w:rPr>
          <w:rFonts w:ascii="Arial" w:hAnsi="Arial" w:cs="Arial"/>
          <w:sz w:val="24"/>
          <w:szCs w:val="24"/>
        </w:rPr>
        <w:t>LFT prevé las</w:t>
      </w:r>
      <w:r w:rsidRPr="00AE0D67">
        <w:rPr>
          <w:rFonts w:ascii="Arial" w:hAnsi="Arial" w:cs="Arial"/>
          <w:sz w:val="24"/>
          <w:szCs w:val="24"/>
        </w:rPr>
        <w:t xml:space="preserve"> disposiciones para garantizar a las mujeres trabajadoras, condiciones especiales en raz</w:t>
      </w:r>
      <w:r>
        <w:rPr>
          <w:rFonts w:ascii="Arial" w:hAnsi="Arial" w:cs="Arial"/>
          <w:sz w:val="24"/>
          <w:szCs w:val="24"/>
        </w:rPr>
        <w:t>ón</w:t>
      </w:r>
      <w:r w:rsidR="00D41E94">
        <w:rPr>
          <w:rFonts w:ascii="Arial" w:hAnsi="Arial" w:cs="Arial"/>
          <w:sz w:val="24"/>
          <w:szCs w:val="24"/>
        </w:rPr>
        <w:t xml:space="preserve"> de la maternidad o lactancia, e</w:t>
      </w:r>
      <w:r>
        <w:rPr>
          <w:rFonts w:ascii="Arial" w:hAnsi="Arial" w:cs="Arial"/>
          <w:sz w:val="24"/>
          <w:szCs w:val="24"/>
        </w:rPr>
        <w:t xml:space="preserve">sta Comisión destaca que persiste la vulneración </w:t>
      </w:r>
      <w:r w:rsidRPr="00AE0D67">
        <w:rPr>
          <w:rFonts w:ascii="Arial" w:hAnsi="Arial" w:cs="Arial"/>
          <w:sz w:val="24"/>
          <w:szCs w:val="24"/>
        </w:rPr>
        <w:t xml:space="preserve">a elegir libremente dicho periodo, </w:t>
      </w:r>
      <w:r w:rsidR="00D41E94" w:rsidRPr="00AE0D67">
        <w:rPr>
          <w:rFonts w:ascii="Arial" w:hAnsi="Arial" w:cs="Arial"/>
          <w:sz w:val="24"/>
          <w:szCs w:val="24"/>
        </w:rPr>
        <w:t>aun</w:t>
      </w:r>
      <w:r w:rsidRPr="00AE0D67">
        <w:rPr>
          <w:rFonts w:ascii="Arial" w:hAnsi="Arial" w:cs="Arial"/>
          <w:sz w:val="24"/>
          <w:szCs w:val="24"/>
        </w:rPr>
        <w:t xml:space="preserve"> cuando </w:t>
      </w:r>
      <w:r>
        <w:rPr>
          <w:rFonts w:ascii="Arial" w:hAnsi="Arial" w:cs="Arial"/>
          <w:sz w:val="24"/>
          <w:szCs w:val="24"/>
        </w:rPr>
        <w:t>se cumplen</w:t>
      </w:r>
      <w:r w:rsidRPr="00AE0D67">
        <w:rPr>
          <w:rFonts w:ascii="Arial" w:hAnsi="Arial" w:cs="Arial"/>
          <w:sz w:val="24"/>
          <w:szCs w:val="24"/>
        </w:rPr>
        <w:t xml:space="preserve"> con</w:t>
      </w:r>
      <w:r>
        <w:rPr>
          <w:rFonts w:ascii="Arial" w:hAnsi="Arial" w:cs="Arial"/>
          <w:sz w:val="24"/>
          <w:szCs w:val="24"/>
        </w:rPr>
        <w:t xml:space="preserve"> los requisitos previstos en dicha ley </w:t>
      </w:r>
      <w:r w:rsidRPr="00AE0D67">
        <w:rPr>
          <w:rFonts w:ascii="Arial" w:hAnsi="Arial" w:cs="Arial"/>
          <w:sz w:val="24"/>
          <w:szCs w:val="24"/>
        </w:rPr>
        <w:t>para tener acceso a esa</w:t>
      </w:r>
      <w:r>
        <w:rPr>
          <w:rFonts w:ascii="Arial" w:hAnsi="Arial" w:cs="Arial"/>
          <w:sz w:val="24"/>
          <w:szCs w:val="24"/>
        </w:rPr>
        <w:t xml:space="preserve"> prestación de seguridad social. </w:t>
      </w:r>
    </w:p>
    <w:p w14:paraId="2E51104B" w14:textId="77777777" w:rsidR="00AE0D67" w:rsidRDefault="00AE0D67" w:rsidP="00DE6FB8">
      <w:pPr>
        <w:pStyle w:val="Prrafodelista"/>
        <w:spacing w:after="0" w:line="240" w:lineRule="auto"/>
        <w:ind w:left="0"/>
        <w:jc w:val="both"/>
        <w:rPr>
          <w:rFonts w:ascii="Arial" w:hAnsi="Arial" w:cs="Arial"/>
          <w:sz w:val="24"/>
          <w:szCs w:val="24"/>
        </w:rPr>
      </w:pPr>
    </w:p>
    <w:p w14:paraId="76EAE43C" w14:textId="77777777" w:rsidR="00AE0D67" w:rsidRDefault="00AE0D67"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Ejemplo de ello es </w:t>
      </w:r>
      <w:r w:rsidRPr="00AE0D67">
        <w:rPr>
          <w:rFonts w:ascii="Arial" w:hAnsi="Arial" w:cs="Arial"/>
          <w:sz w:val="24"/>
          <w:szCs w:val="24"/>
        </w:rPr>
        <w:t>el Reglamento de Prestaciones Médicas del I</w:t>
      </w:r>
      <w:r>
        <w:rPr>
          <w:rFonts w:ascii="Arial" w:hAnsi="Arial" w:cs="Arial"/>
          <w:sz w:val="24"/>
          <w:szCs w:val="24"/>
        </w:rPr>
        <w:t xml:space="preserve">nstituto </w:t>
      </w:r>
      <w:r w:rsidRPr="00AE0D67">
        <w:rPr>
          <w:rFonts w:ascii="Arial" w:hAnsi="Arial" w:cs="Arial"/>
          <w:sz w:val="24"/>
          <w:szCs w:val="24"/>
        </w:rPr>
        <w:t>M</w:t>
      </w:r>
      <w:r>
        <w:rPr>
          <w:rFonts w:ascii="Arial" w:hAnsi="Arial" w:cs="Arial"/>
          <w:sz w:val="24"/>
          <w:szCs w:val="24"/>
        </w:rPr>
        <w:t xml:space="preserve">exicano de </w:t>
      </w:r>
      <w:r w:rsidRPr="00AE0D67">
        <w:rPr>
          <w:rFonts w:ascii="Arial" w:hAnsi="Arial" w:cs="Arial"/>
          <w:sz w:val="24"/>
          <w:szCs w:val="24"/>
        </w:rPr>
        <w:t>S</w:t>
      </w:r>
      <w:r>
        <w:rPr>
          <w:rFonts w:ascii="Arial" w:hAnsi="Arial" w:cs="Arial"/>
          <w:sz w:val="24"/>
          <w:szCs w:val="24"/>
        </w:rPr>
        <w:t xml:space="preserve">eguridad </w:t>
      </w:r>
      <w:r w:rsidRPr="00AE0D67">
        <w:rPr>
          <w:rFonts w:ascii="Arial" w:hAnsi="Arial" w:cs="Arial"/>
          <w:sz w:val="24"/>
          <w:szCs w:val="24"/>
        </w:rPr>
        <w:t>S</w:t>
      </w:r>
      <w:r>
        <w:rPr>
          <w:rFonts w:ascii="Arial" w:hAnsi="Arial" w:cs="Arial"/>
          <w:sz w:val="24"/>
          <w:szCs w:val="24"/>
        </w:rPr>
        <w:t>ocial</w:t>
      </w:r>
      <w:r w:rsidR="00D41E94">
        <w:rPr>
          <w:rFonts w:ascii="Arial" w:hAnsi="Arial" w:cs="Arial"/>
          <w:sz w:val="24"/>
          <w:szCs w:val="24"/>
        </w:rPr>
        <w:t>,</w:t>
      </w:r>
      <w:r>
        <w:rPr>
          <w:rFonts w:ascii="Arial" w:hAnsi="Arial" w:cs="Arial"/>
          <w:sz w:val="24"/>
          <w:szCs w:val="24"/>
        </w:rPr>
        <w:t xml:space="preserve"> que</w:t>
      </w:r>
      <w:r w:rsidRPr="00AE0D67">
        <w:rPr>
          <w:rFonts w:ascii="Arial" w:hAnsi="Arial" w:cs="Arial"/>
          <w:sz w:val="24"/>
          <w:szCs w:val="24"/>
        </w:rPr>
        <w:t xml:space="preserve"> en su artículo 143 establece esa reducción en el periodo de licencia por maternidad en los casos en que el parto se suscite antes de la fecha prevista por el médico, lo que constituye una restricción al derecho humano a la seguridad social, toda vez que va más allá de lo establecido en la Ley del Seguro Social de la que emana, </w:t>
      </w:r>
      <w:r>
        <w:rPr>
          <w:rFonts w:ascii="Arial" w:hAnsi="Arial" w:cs="Arial"/>
          <w:sz w:val="24"/>
          <w:szCs w:val="24"/>
        </w:rPr>
        <w:t xml:space="preserve">incluso de la </w:t>
      </w:r>
      <w:r w:rsidR="00D41E94">
        <w:rPr>
          <w:rFonts w:ascii="Arial" w:hAnsi="Arial" w:cs="Arial"/>
          <w:sz w:val="24"/>
          <w:szCs w:val="24"/>
        </w:rPr>
        <w:t>Constitución Política de los Estados Unidos Mexicanos</w:t>
      </w:r>
      <w:r w:rsidRPr="00AE0D67">
        <w:rPr>
          <w:rFonts w:ascii="Arial" w:hAnsi="Arial" w:cs="Arial"/>
          <w:sz w:val="24"/>
          <w:szCs w:val="24"/>
        </w:rPr>
        <w:t xml:space="preserve"> y la Ley Reglamentaria del Artículo 123 constitucional, </w:t>
      </w:r>
      <w:r>
        <w:rPr>
          <w:rFonts w:ascii="Arial" w:hAnsi="Arial" w:cs="Arial"/>
          <w:sz w:val="24"/>
          <w:szCs w:val="24"/>
        </w:rPr>
        <w:t>violentando el</w:t>
      </w:r>
      <w:r w:rsidRPr="00AE0D67">
        <w:rPr>
          <w:rFonts w:ascii="Arial" w:hAnsi="Arial" w:cs="Arial"/>
          <w:sz w:val="24"/>
          <w:szCs w:val="24"/>
        </w:rPr>
        <w:t xml:space="preserve"> principio de reserva de ley</w:t>
      </w:r>
      <w:r>
        <w:rPr>
          <w:rFonts w:ascii="Arial" w:hAnsi="Arial" w:cs="Arial"/>
          <w:sz w:val="24"/>
          <w:szCs w:val="24"/>
        </w:rPr>
        <w:t>.</w:t>
      </w:r>
    </w:p>
    <w:p w14:paraId="2C42CD94" w14:textId="77777777" w:rsidR="00AE0D67" w:rsidRDefault="00AE0D67" w:rsidP="00DE6FB8">
      <w:pPr>
        <w:pStyle w:val="Prrafodelista"/>
        <w:spacing w:after="0" w:line="240" w:lineRule="auto"/>
        <w:ind w:left="0"/>
        <w:jc w:val="both"/>
        <w:rPr>
          <w:rFonts w:ascii="Arial" w:hAnsi="Arial" w:cs="Arial"/>
          <w:sz w:val="24"/>
          <w:szCs w:val="24"/>
        </w:rPr>
      </w:pPr>
    </w:p>
    <w:p w14:paraId="19D5834E" w14:textId="77777777" w:rsidR="00AE0D67" w:rsidRDefault="00D41E94" w:rsidP="00DE6FB8">
      <w:pPr>
        <w:pStyle w:val="Prrafodelista"/>
        <w:spacing w:after="0" w:line="240" w:lineRule="auto"/>
        <w:ind w:left="0"/>
        <w:jc w:val="both"/>
        <w:rPr>
          <w:rFonts w:ascii="Arial" w:hAnsi="Arial" w:cs="Arial"/>
          <w:sz w:val="24"/>
          <w:szCs w:val="24"/>
        </w:rPr>
      </w:pPr>
      <w:r>
        <w:rPr>
          <w:rFonts w:ascii="Arial" w:hAnsi="Arial" w:cs="Arial"/>
          <w:sz w:val="24"/>
          <w:szCs w:val="24"/>
        </w:rPr>
        <w:t>Al respecto, en 2013 la CNDH emitió la r</w:t>
      </w:r>
      <w:r w:rsidR="00791BA0">
        <w:rPr>
          <w:rFonts w:ascii="Arial" w:hAnsi="Arial" w:cs="Arial"/>
          <w:sz w:val="24"/>
          <w:szCs w:val="24"/>
        </w:rPr>
        <w:t>ecomendación 74/2013</w:t>
      </w:r>
      <w:r w:rsidR="00791BA0">
        <w:rPr>
          <w:rStyle w:val="Refdenotaalpie"/>
          <w:rFonts w:ascii="Arial" w:hAnsi="Arial" w:cs="Arial"/>
          <w:sz w:val="24"/>
          <w:szCs w:val="24"/>
        </w:rPr>
        <w:footnoteReference w:id="24"/>
      </w:r>
      <w:r w:rsidR="00791BA0">
        <w:rPr>
          <w:rFonts w:ascii="Arial" w:hAnsi="Arial" w:cs="Arial"/>
          <w:sz w:val="24"/>
          <w:szCs w:val="24"/>
        </w:rPr>
        <w:t xml:space="preserve"> relativa</w:t>
      </w:r>
      <w:r w:rsidR="004B4EA6">
        <w:rPr>
          <w:rFonts w:ascii="Arial" w:hAnsi="Arial" w:cs="Arial"/>
          <w:sz w:val="24"/>
          <w:szCs w:val="24"/>
        </w:rPr>
        <w:t xml:space="preserve"> al caso que nos ocup</w:t>
      </w:r>
      <w:r w:rsidR="00791BA0">
        <w:rPr>
          <w:rFonts w:ascii="Arial" w:hAnsi="Arial" w:cs="Arial"/>
          <w:sz w:val="24"/>
          <w:szCs w:val="24"/>
        </w:rPr>
        <w:t xml:space="preserve">a, y actualmente se está proyectando </w:t>
      </w:r>
      <w:r>
        <w:rPr>
          <w:rFonts w:ascii="Arial" w:hAnsi="Arial" w:cs="Arial"/>
          <w:sz w:val="24"/>
          <w:szCs w:val="24"/>
        </w:rPr>
        <w:t>un documento en similar sentido</w:t>
      </w:r>
      <w:r w:rsidR="00791BA0">
        <w:rPr>
          <w:rFonts w:ascii="Arial" w:hAnsi="Arial" w:cs="Arial"/>
          <w:sz w:val="24"/>
          <w:szCs w:val="24"/>
        </w:rPr>
        <w:t xml:space="preserve">. </w:t>
      </w:r>
    </w:p>
    <w:p w14:paraId="2F1B0753" w14:textId="77777777" w:rsidR="00D41E94" w:rsidRDefault="00D41E94" w:rsidP="00DE6FB8">
      <w:pPr>
        <w:pStyle w:val="Prrafodelista"/>
        <w:spacing w:after="0" w:line="240" w:lineRule="auto"/>
        <w:ind w:left="0"/>
        <w:jc w:val="both"/>
        <w:rPr>
          <w:rFonts w:ascii="Arial" w:hAnsi="Arial" w:cs="Arial"/>
          <w:sz w:val="24"/>
          <w:szCs w:val="24"/>
        </w:rPr>
      </w:pPr>
    </w:p>
    <w:p w14:paraId="3AF4D9A3" w14:textId="77777777" w:rsidR="00D41E94" w:rsidRDefault="00D41E94" w:rsidP="00DE6FB8">
      <w:pPr>
        <w:pStyle w:val="Prrafodelista"/>
        <w:spacing w:after="0" w:line="240" w:lineRule="auto"/>
        <w:ind w:left="0"/>
        <w:jc w:val="both"/>
        <w:rPr>
          <w:rFonts w:ascii="Arial" w:hAnsi="Arial" w:cs="Arial"/>
          <w:sz w:val="24"/>
          <w:szCs w:val="24"/>
        </w:rPr>
      </w:pPr>
    </w:p>
    <w:p w14:paraId="5E4E1DED" w14:textId="77777777" w:rsidR="005B420B" w:rsidRPr="005B420B" w:rsidRDefault="00676EF2" w:rsidP="00DE6FB8">
      <w:pPr>
        <w:pStyle w:val="Prrafodelista"/>
        <w:spacing w:after="0" w:line="240" w:lineRule="auto"/>
        <w:ind w:left="0"/>
        <w:jc w:val="both"/>
        <w:rPr>
          <w:rFonts w:ascii="Arial" w:hAnsi="Arial" w:cs="Arial"/>
          <w:b/>
          <w:sz w:val="24"/>
          <w:szCs w:val="24"/>
        </w:rPr>
      </w:pPr>
      <w:r>
        <w:rPr>
          <w:rFonts w:ascii="Arial" w:hAnsi="Arial" w:cs="Arial"/>
          <w:b/>
          <w:sz w:val="24"/>
          <w:szCs w:val="24"/>
        </w:rPr>
        <w:t xml:space="preserve">VII. </w:t>
      </w:r>
      <w:r w:rsidR="005B420B" w:rsidRPr="005B420B">
        <w:rPr>
          <w:rFonts w:ascii="Arial" w:hAnsi="Arial" w:cs="Arial"/>
          <w:b/>
          <w:sz w:val="24"/>
          <w:szCs w:val="24"/>
        </w:rPr>
        <w:t>A</w:t>
      </w:r>
      <w:r>
        <w:rPr>
          <w:rFonts w:ascii="Arial" w:hAnsi="Arial" w:cs="Arial"/>
          <w:b/>
          <w:sz w:val="24"/>
          <w:szCs w:val="24"/>
        </w:rPr>
        <w:t xml:space="preserve">rtículo 11: Derecho a </w:t>
      </w:r>
      <w:r w:rsidR="005B420B" w:rsidRPr="005B420B">
        <w:rPr>
          <w:rFonts w:ascii="Arial" w:hAnsi="Arial" w:cs="Arial"/>
          <w:b/>
          <w:sz w:val="24"/>
          <w:szCs w:val="24"/>
        </w:rPr>
        <w:t xml:space="preserve">un nivel de vida adecuado </w:t>
      </w:r>
    </w:p>
    <w:p w14:paraId="75DEF386" w14:textId="77777777" w:rsidR="0076541B" w:rsidRDefault="0076541B" w:rsidP="00DE6FB8">
      <w:pPr>
        <w:pStyle w:val="Prrafodelista"/>
        <w:spacing w:after="0" w:line="240" w:lineRule="auto"/>
        <w:ind w:left="0"/>
        <w:jc w:val="both"/>
        <w:rPr>
          <w:rFonts w:ascii="Arial" w:hAnsi="Arial" w:cs="Arial"/>
          <w:b/>
          <w:sz w:val="24"/>
          <w:szCs w:val="24"/>
        </w:rPr>
      </w:pPr>
      <w:r>
        <w:rPr>
          <w:rFonts w:ascii="Arial" w:hAnsi="Arial" w:cs="Arial"/>
          <w:b/>
          <w:sz w:val="24"/>
          <w:szCs w:val="24"/>
        </w:rPr>
        <w:t>Derecho a la alimentación adecuada</w:t>
      </w:r>
    </w:p>
    <w:p w14:paraId="05314123" w14:textId="77777777" w:rsidR="00D92998" w:rsidRDefault="00CD35DE" w:rsidP="00DE6FB8">
      <w:pPr>
        <w:pStyle w:val="Prrafodelista"/>
        <w:spacing w:after="0" w:line="240" w:lineRule="auto"/>
        <w:ind w:left="0"/>
        <w:jc w:val="both"/>
        <w:rPr>
          <w:rFonts w:ascii="Arial" w:hAnsi="Arial" w:cs="Arial"/>
          <w:sz w:val="24"/>
          <w:szCs w:val="24"/>
        </w:rPr>
      </w:pPr>
      <w:r>
        <w:rPr>
          <w:rFonts w:ascii="Arial" w:hAnsi="Arial" w:cs="Arial"/>
          <w:sz w:val="24"/>
          <w:szCs w:val="24"/>
        </w:rPr>
        <w:t>El derecho a la alimentación nutritiva, suficiente y de calidad fue reconocido en la Constitución Política de los Estados Unidos Mexicanos en 2011</w:t>
      </w:r>
      <w:r>
        <w:rPr>
          <w:rStyle w:val="Refdenotaalpie"/>
          <w:rFonts w:ascii="Arial" w:hAnsi="Arial" w:cs="Arial"/>
          <w:sz w:val="24"/>
          <w:szCs w:val="24"/>
        </w:rPr>
        <w:footnoteReference w:id="25"/>
      </w:r>
      <w:r>
        <w:rPr>
          <w:rFonts w:ascii="Arial" w:hAnsi="Arial" w:cs="Arial"/>
          <w:sz w:val="24"/>
          <w:szCs w:val="24"/>
        </w:rPr>
        <w:t xml:space="preserve">, posterior a la </w:t>
      </w:r>
      <w:r>
        <w:rPr>
          <w:rFonts w:ascii="Arial" w:hAnsi="Arial" w:cs="Arial"/>
          <w:sz w:val="24"/>
          <w:szCs w:val="24"/>
        </w:rPr>
        <w:lastRenderedPageBreak/>
        <w:t xml:space="preserve">publicación en el Diario Oficial de la Federación de la reforma en materia de derechos humanos. </w:t>
      </w:r>
      <w:r w:rsidR="00D92998">
        <w:rPr>
          <w:rFonts w:ascii="Arial" w:hAnsi="Arial" w:cs="Arial"/>
          <w:sz w:val="24"/>
          <w:szCs w:val="24"/>
        </w:rPr>
        <w:t>Ello coadyuvó a la visibilización de las obligaciones del país de respetar, proteger y garantizar la disponibilidad de alimentos en cantidad y calidad suficientes, así como la accesibilidad de los mismos en formas que sean sostenibles y que no dificulten el goce de otros derechos humanos.</w:t>
      </w:r>
    </w:p>
    <w:p w14:paraId="4D9C8D18" w14:textId="77777777" w:rsidR="00D92998" w:rsidRDefault="00D92998" w:rsidP="00DE6FB8">
      <w:pPr>
        <w:pStyle w:val="Prrafodelista"/>
        <w:spacing w:after="0" w:line="240" w:lineRule="auto"/>
        <w:ind w:left="0"/>
        <w:jc w:val="both"/>
        <w:rPr>
          <w:rFonts w:ascii="Arial" w:hAnsi="Arial" w:cs="Arial"/>
          <w:sz w:val="24"/>
          <w:szCs w:val="24"/>
        </w:rPr>
      </w:pPr>
    </w:p>
    <w:p w14:paraId="09DDA019" w14:textId="3B11E7A9" w:rsidR="00D92998" w:rsidRPr="00CD35DE" w:rsidRDefault="00DE6FB8"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No obstante este avance jurídico, la CNDH identifica retos para lograr el pleno goce y disfrute de </w:t>
      </w:r>
      <w:r w:rsidR="005366C8">
        <w:rPr>
          <w:rFonts w:ascii="Arial" w:hAnsi="Arial" w:cs="Arial"/>
          <w:sz w:val="24"/>
          <w:szCs w:val="24"/>
        </w:rPr>
        <w:t>tal</w:t>
      </w:r>
      <w:r>
        <w:rPr>
          <w:rFonts w:ascii="Arial" w:hAnsi="Arial" w:cs="Arial"/>
          <w:sz w:val="24"/>
          <w:szCs w:val="24"/>
        </w:rPr>
        <w:t xml:space="preserve"> derecho. En la cuestión del acceso a la alimentación, el CONEVAL plantea que</w:t>
      </w:r>
      <w:r w:rsidR="00AC56F7">
        <w:rPr>
          <w:rFonts w:ascii="Arial" w:hAnsi="Arial" w:cs="Arial"/>
          <w:sz w:val="24"/>
          <w:szCs w:val="24"/>
        </w:rPr>
        <w:t xml:space="preserve"> al 2014, el 23.4% de la población carecía del mismo;</w:t>
      </w:r>
      <w:r>
        <w:rPr>
          <w:rFonts w:ascii="Arial" w:hAnsi="Arial" w:cs="Arial"/>
          <w:sz w:val="24"/>
          <w:szCs w:val="24"/>
        </w:rPr>
        <w:t xml:space="preserve"> asimismo, en cuanto a la suficiencia y calidad de los alimentos, el panorama es altamente contrastante</w:t>
      </w:r>
      <w:r w:rsidR="00AC56F7">
        <w:rPr>
          <w:rFonts w:ascii="Arial" w:hAnsi="Arial" w:cs="Arial"/>
          <w:sz w:val="24"/>
          <w:szCs w:val="24"/>
        </w:rPr>
        <w:t>, pues, por un lado,</w:t>
      </w:r>
      <w:r w:rsidR="009C5153">
        <w:rPr>
          <w:rFonts w:ascii="Arial" w:hAnsi="Arial" w:cs="Arial"/>
          <w:sz w:val="24"/>
          <w:szCs w:val="24"/>
        </w:rPr>
        <w:t xml:space="preserve"> 24.6 millones de personas </w:t>
      </w:r>
      <w:r w:rsidR="001A282C">
        <w:rPr>
          <w:rFonts w:ascii="Arial" w:hAnsi="Arial" w:cs="Arial"/>
          <w:sz w:val="24"/>
          <w:szCs w:val="24"/>
        </w:rPr>
        <w:t>no pueden acceder a la canasta básica</w:t>
      </w:r>
      <w:r w:rsidR="001A282C">
        <w:rPr>
          <w:rStyle w:val="Refdenotaalpie"/>
          <w:rFonts w:ascii="Arial" w:hAnsi="Arial" w:cs="Arial"/>
          <w:sz w:val="24"/>
          <w:szCs w:val="24"/>
        </w:rPr>
        <w:footnoteReference w:id="26"/>
      </w:r>
      <w:r w:rsidR="001A282C">
        <w:rPr>
          <w:rFonts w:ascii="Arial" w:hAnsi="Arial" w:cs="Arial"/>
          <w:sz w:val="24"/>
          <w:szCs w:val="24"/>
        </w:rPr>
        <w:t xml:space="preserve"> y,</w:t>
      </w:r>
      <w:r w:rsidR="00AC56F7">
        <w:rPr>
          <w:rFonts w:ascii="Arial" w:hAnsi="Arial" w:cs="Arial"/>
          <w:sz w:val="24"/>
          <w:szCs w:val="24"/>
        </w:rPr>
        <w:t xml:space="preserve"> por el otro,</w:t>
      </w:r>
      <w:r w:rsidR="001A282C">
        <w:rPr>
          <w:rFonts w:ascii="Arial" w:hAnsi="Arial" w:cs="Arial"/>
          <w:sz w:val="24"/>
          <w:szCs w:val="24"/>
        </w:rPr>
        <w:t xml:space="preserve"> tal y como lo advierte el Relator Especial sobre el derecho a la alimentación, aproximadamente 35 millones de mexicanos adultos padecen de sobrepeso y obesidad</w:t>
      </w:r>
      <w:r w:rsidR="001A282C">
        <w:rPr>
          <w:rStyle w:val="Refdenotaalpie"/>
          <w:rFonts w:ascii="Arial" w:hAnsi="Arial" w:cs="Arial"/>
          <w:sz w:val="24"/>
          <w:szCs w:val="24"/>
        </w:rPr>
        <w:footnoteReference w:id="27"/>
      </w:r>
      <w:r>
        <w:rPr>
          <w:rFonts w:ascii="Arial" w:hAnsi="Arial" w:cs="Arial"/>
          <w:sz w:val="24"/>
          <w:szCs w:val="24"/>
        </w:rPr>
        <w:t xml:space="preserve">. La sostenibilidad de la producción agrícola también es un aspecto que preocupa a la Comisión Nacional, </w:t>
      </w:r>
      <w:r w:rsidR="00AC56F7">
        <w:rPr>
          <w:rFonts w:ascii="Arial" w:hAnsi="Arial" w:cs="Arial"/>
          <w:sz w:val="24"/>
          <w:szCs w:val="24"/>
        </w:rPr>
        <w:t>toda vez que</w:t>
      </w:r>
      <w:r w:rsidR="001A282C">
        <w:rPr>
          <w:rFonts w:ascii="Arial" w:hAnsi="Arial" w:cs="Arial"/>
          <w:sz w:val="24"/>
          <w:szCs w:val="24"/>
        </w:rPr>
        <w:t>, adem</w:t>
      </w:r>
      <w:r w:rsidR="004D5775">
        <w:rPr>
          <w:rFonts w:ascii="Arial" w:hAnsi="Arial" w:cs="Arial"/>
          <w:sz w:val="24"/>
          <w:szCs w:val="24"/>
        </w:rPr>
        <w:t xml:space="preserve">ás de ser el sector al que se destina la mayor parte de los recursos hídricos del país, </w:t>
      </w:r>
      <w:r w:rsidR="006667A5">
        <w:rPr>
          <w:rFonts w:ascii="Arial" w:hAnsi="Arial" w:cs="Arial"/>
          <w:sz w:val="24"/>
          <w:szCs w:val="24"/>
        </w:rPr>
        <w:t xml:space="preserve">la intensificación de fenómenos meteorológicos como consecuencia del </w:t>
      </w:r>
      <w:r w:rsidR="004D5775">
        <w:rPr>
          <w:rFonts w:ascii="Arial" w:hAnsi="Arial" w:cs="Arial"/>
          <w:sz w:val="24"/>
          <w:szCs w:val="24"/>
        </w:rPr>
        <w:t xml:space="preserve">cambio </w:t>
      </w:r>
      <w:r w:rsidR="006667A5">
        <w:rPr>
          <w:rFonts w:ascii="Arial" w:hAnsi="Arial" w:cs="Arial"/>
          <w:sz w:val="24"/>
          <w:szCs w:val="24"/>
        </w:rPr>
        <w:t>afecta directamente la productividad agropecuaria, en detrimento, sobretodo, de las personas que viven en pobreza.</w:t>
      </w:r>
    </w:p>
    <w:p w14:paraId="16539269" w14:textId="77777777" w:rsidR="00AC56F7" w:rsidRDefault="00AC56F7" w:rsidP="00DE6FB8">
      <w:pPr>
        <w:pStyle w:val="Prrafodelista"/>
        <w:spacing w:after="0" w:line="240" w:lineRule="auto"/>
        <w:ind w:left="0"/>
        <w:jc w:val="both"/>
        <w:rPr>
          <w:rFonts w:ascii="Arial" w:hAnsi="Arial" w:cs="Arial"/>
          <w:b/>
          <w:sz w:val="24"/>
          <w:szCs w:val="24"/>
        </w:rPr>
      </w:pPr>
    </w:p>
    <w:p w14:paraId="1F2489E2" w14:textId="77777777" w:rsidR="0076541B" w:rsidRDefault="0076541B" w:rsidP="00DE6FB8">
      <w:pPr>
        <w:pStyle w:val="Prrafodelista"/>
        <w:spacing w:after="0" w:line="240" w:lineRule="auto"/>
        <w:ind w:left="0"/>
        <w:jc w:val="both"/>
        <w:rPr>
          <w:rFonts w:ascii="Arial" w:hAnsi="Arial" w:cs="Arial"/>
          <w:b/>
          <w:sz w:val="24"/>
          <w:szCs w:val="24"/>
        </w:rPr>
      </w:pPr>
      <w:r>
        <w:rPr>
          <w:rFonts w:ascii="Arial" w:hAnsi="Arial" w:cs="Arial"/>
          <w:b/>
          <w:sz w:val="24"/>
          <w:szCs w:val="24"/>
        </w:rPr>
        <w:t>Derecho a la vivienda adecuada</w:t>
      </w:r>
    </w:p>
    <w:p w14:paraId="57CA5E5E" w14:textId="539CA9EE" w:rsidR="005366C8" w:rsidRPr="002906DC" w:rsidRDefault="002906DC" w:rsidP="00DE6FB8">
      <w:pPr>
        <w:pStyle w:val="Prrafodelista"/>
        <w:spacing w:after="0" w:line="240" w:lineRule="auto"/>
        <w:ind w:left="0"/>
        <w:jc w:val="both"/>
        <w:rPr>
          <w:rFonts w:ascii="Arial" w:hAnsi="Arial" w:cs="Arial"/>
          <w:sz w:val="24"/>
          <w:szCs w:val="24"/>
        </w:rPr>
      </w:pPr>
      <w:r w:rsidRPr="002906DC">
        <w:rPr>
          <w:rFonts w:ascii="Arial" w:hAnsi="Arial" w:cs="Arial"/>
          <w:sz w:val="24"/>
          <w:szCs w:val="24"/>
        </w:rPr>
        <w:t xml:space="preserve">La Observación General No. 4 del Comité DESC </w:t>
      </w:r>
      <w:r>
        <w:rPr>
          <w:rFonts w:ascii="Arial" w:hAnsi="Arial" w:cs="Arial"/>
          <w:sz w:val="24"/>
          <w:szCs w:val="24"/>
        </w:rPr>
        <w:t xml:space="preserve">expone que el concepto de adecuación en relación con el derecho a la vivienda, comprende, entre otros factores, la seguridad jurídica de la tenencia. </w:t>
      </w:r>
      <w:r w:rsidR="0088530A">
        <w:rPr>
          <w:rFonts w:ascii="Arial" w:hAnsi="Arial" w:cs="Arial"/>
          <w:sz w:val="24"/>
          <w:szCs w:val="24"/>
        </w:rPr>
        <w:t>Al respecto, esta Comisión Nacional ha advertido prácticas administrativas irregulares que impiden asegurar la legalidad de la propiedad privada de las personas. En su recomendación 52/2016</w:t>
      </w:r>
      <w:r w:rsidR="0088530A">
        <w:rPr>
          <w:rStyle w:val="Refdenotaalpie"/>
          <w:rFonts w:ascii="Arial" w:hAnsi="Arial" w:cs="Arial"/>
          <w:sz w:val="24"/>
          <w:szCs w:val="24"/>
        </w:rPr>
        <w:footnoteReference w:id="28"/>
      </w:r>
      <w:r w:rsidR="0088530A">
        <w:rPr>
          <w:rFonts w:ascii="Arial" w:hAnsi="Arial" w:cs="Arial"/>
          <w:sz w:val="24"/>
          <w:szCs w:val="24"/>
        </w:rPr>
        <w:t>, hace un llamado a la Comisión para la Regularización de la Tenencia de la Tierra, a establecer políticas públicas con perspectiva de derechos humanos que permitan regularizar y escriturar los inmuebles en un plazo razonable.</w:t>
      </w:r>
    </w:p>
    <w:p w14:paraId="09932FFE" w14:textId="77777777" w:rsidR="005366C8" w:rsidRDefault="005366C8" w:rsidP="00DE6FB8">
      <w:pPr>
        <w:pStyle w:val="Prrafodelista"/>
        <w:spacing w:after="0" w:line="240" w:lineRule="auto"/>
        <w:ind w:left="0"/>
        <w:jc w:val="both"/>
        <w:rPr>
          <w:rFonts w:ascii="Arial" w:hAnsi="Arial" w:cs="Arial"/>
          <w:b/>
          <w:sz w:val="24"/>
          <w:szCs w:val="24"/>
        </w:rPr>
      </w:pPr>
    </w:p>
    <w:p w14:paraId="6EA4CFB4" w14:textId="77777777" w:rsidR="005B420B" w:rsidRPr="00D81B51" w:rsidRDefault="005B420B" w:rsidP="00DE6FB8">
      <w:pPr>
        <w:pStyle w:val="Prrafodelista"/>
        <w:spacing w:after="0" w:line="240" w:lineRule="auto"/>
        <w:ind w:left="0"/>
        <w:jc w:val="both"/>
        <w:rPr>
          <w:rFonts w:ascii="Arial" w:hAnsi="Arial" w:cs="Arial"/>
          <w:b/>
          <w:sz w:val="24"/>
          <w:szCs w:val="24"/>
        </w:rPr>
      </w:pPr>
      <w:r w:rsidRPr="00D81B51">
        <w:rPr>
          <w:rFonts w:ascii="Arial" w:hAnsi="Arial" w:cs="Arial"/>
          <w:b/>
          <w:sz w:val="24"/>
          <w:szCs w:val="24"/>
        </w:rPr>
        <w:t>Derecho al agua</w:t>
      </w:r>
      <w:r w:rsidR="00676EF2">
        <w:rPr>
          <w:rFonts w:ascii="Arial" w:hAnsi="Arial" w:cs="Arial"/>
          <w:b/>
          <w:sz w:val="24"/>
          <w:szCs w:val="24"/>
        </w:rPr>
        <w:t xml:space="preserve"> y el saneamiento</w:t>
      </w:r>
    </w:p>
    <w:p w14:paraId="43C12194" w14:textId="77777777"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 xml:space="preserve">De acuerdo con la reforma al artículo 4° de la Constitución Política de los Estados Unidos Mexicanos, publicada el 8 de febrero de 2012, toda persona tiene derecho al acceso, disposición y saneamiento de agua para consumo personal y doméstico en forma suficiente, salubre, aceptable y asequible. </w:t>
      </w:r>
    </w:p>
    <w:p w14:paraId="633207E6" w14:textId="77777777" w:rsidR="00676EF2" w:rsidRDefault="00676EF2" w:rsidP="00DE6FB8">
      <w:pPr>
        <w:spacing w:after="0" w:line="240" w:lineRule="auto"/>
        <w:jc w:val="both"/>
        <w:rPr>
          <w:rFonts w:ascii="Arial" w:hAnsi="Arial" w:cs="Arial"/>
          <w:sz w:val="24"/>
          <w:szCs w:val="24"/>
        </w:rPr>
      </w:pPr>
    </w:p>
    <w:p w14:paraId="1165FA4B" w14:textId="77777777"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lastRenderedPageBreak/>
        <w:t>Dicha reforma implica un alto compromiso de los tres órdenes de gobierno para su atención, implementación y cumplimiento. No obstante, a pesar de que el Congreso de la Unión fijó un plazo de 360 días para la expedición de la ley reglamentaria, han transcurrido cinco años sin que tal instrumento se adopte.</w:t>
      </w:r>
    </w:p>
    <w:p w14:paraId="103FCCC4" w14:textId="77777777" w:rsidR="00676EF2" w:rsidRDefault="00676EF2" w:rsidP="00DE6FB8">
      <w:pPr>
        <w:spacing w:after="0" w:line="240" w:lineRule="auto"/>
        <w:jc w:val="both"/>
        <w:rPr>
          <w:rFonts w:ascii="Arial" w:hAnsi="Arial" w:cs="Arial"/>
          <w:sz w:val="24"/>
          <w:szCs w:val="24"/>
        </w:rPr>
      </w:pPr>
    </w:p>
    <w:p w14:paraId="7A9F338C" w14:textId="77777777"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La problemática de los recursos hídricos se concentra en tres aspectos: sobreexplotación, sobre-concesión y contaminación de los mismos.</w:t>
      </w:r>
    </w:p>
    <w:p w14:paraId="4889727A" w14:textId="77777777" w:rsidR="00676EF2" w:rsidRDefault="00676EF2" w:rsidP="00DE6FB8">
      <w:pPr>
        <w:spacing w:after="0" w:line="240" w:lineRule="auto"/>
        <w:jc w:val="both"/>
        <w:rPr>
          <w:rFonts w:ascii="Arial" w:hAnsi="Arial" w:cs="Arial"/>
          <w:sz w:val="24"/>
          <w:szCs w:val="24"/>
        </w:rPr>
      </w:pPr>
    </w:p>
    <w:p w14:paraId="5BF98C75" w14:textId="2BC3FADA"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Respecto a la disponibilidad nacional, cabe destacar que Méxic</w:t>
      </w:r>
      <w:r w:rsidR="00886BB2">
        <w:rPr>
          <w:rFonts w:ascii="Arial" w:hAnsi="Arial" w:cs="Arial"/>
          <w:sz w:val="24"/>
          <w:szCs w:val="24"/>
        </w:rPr>
        <w:t xml:space="preserve">o tiene un clima árido en el 52% </w:t>
      </w:r>
      <w:r w:rsidRPr="00D81B51">
        <w:rPr>
          <w:rFonts w:ascii="Arial" w:hAnsi="Arial" w:cs="Arial"/>
          <w:sz w:val="24"/>
          <w:szCs w:val="24"/>
        </w:rPr>
        <w:t>del territori</w:t>
      </w:r>
      <w:r w:rsidR="00886BB2">
        <w:rPr>
          <w:rFonts w:ascii="Arial" w:hAnsi="Arial" w:cs="Arial"/>
          <w:sz w:val="24"/>
          <w:szCs w:val="24"/>
        </w:rPr>
        <w:t xml:space="preserve">o y un clima semiárido en el 31% </w:t>
      </w:r>
      <w:r w:rsidRPr="00D81B51">
        <w:rPr>
          <w:rFonts w:ascii="Arial" w:hAnsi="Arial" w:cs="Arial"/>
          <w:sz w:val="24"/>
          <w:szCs w:val="24"/>
        </w:rPr>
        <w:t>del mismo, por lo que es altamente vulnerable a la sequía. En dos tercios del territorio, donde ocurre el mayor desarrollo económico y la concentración demográfica más importante, existe una gran presión sobre la escasa cantidad de agua disponible, al encontrarse comprometida para usos previamente establecidos a través de concesiones y asignaciones de agua superficial y subterránea.</w:t>
      </w:r>
    </w:p>
    <w:p w14:paraId="0F8E520D" w14:textId="77777777" w:rsidR="00676EF2" w:rsidRDefault="00676EF2" w:rsidP="00DE6FB8">
      <w:pPr>
        <w:spacing w:after="0" w:line="240" w:lineRule="auto"/>
        <w:jc w:val="both"/>
        <w:rPr>
          <w:rFonts w:ascii="Arial" w:hAnsi="Arial" w:cs="Arial"/>
          <w:sz w:val="24"/>
          <w:szCs w:val="24"/>
        </w:rPr>
      </w:pPr>
    </w:p>
    <w:p w14:paraId="61EE85A0" w14:textId="77777777"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Adicionalmente, existen aprovechamientos que carecen de títulos de concesión o asignación, o bien que han perdido su vigencia. La medición del agua extraída y la verificación de los aprovechamientos y descargas son bajas e insuficientes. Por su parte, la autoridad del agua tiene poca capacidad para realizar visitas de inspección e instrumentar acciones que permitan un aprovechamiento del agua acorde con la disponibilidad de la misma.</w:t>
      </w:r>
    </w:p>
    <w:p w14:paraId="16894137" w14:textId="77777777" w:rsidR="00D41E94" w:rsidRDefault="00D41E94" w:rsidP="00DE6FB8">
      <w:pPr>
        <w:spacing w:after="0" w:line="240" w:lineRule="auto"/>
        <w:jc w:val="both"/>
        <w:rPr>
          <w:rFonts w:ascii="Arial" w:hAnsi="Arial" w:cs="Arial"/>
          <w:sz w:val="24"/>
          <w:szCs w:val="24"/>
        </w:rPr>
      </w:pPr>
    </w:p>
    <w:p w14:paraId="2A9798A6" w14:textId="77777777" w:rsidR="005B420B" w:rsidRDefault="005B420B" w:rsidP="00DE6FB8">
      <w:pPr>
        <w:spacing w:after="0" w:line="240" w:lineRule="auto"/>
        <w:jc w:val="both"/>
        <w:rPr>
          <w:rFonts w:ascii="Arial" w:hAnsi="Arial" w:cs="Arial"/>
          <w:sz w:val="24"/>
          <w:szCs w:val="24"/>
        </w:rPr>
      </w:pPr>
      <w:r w:rsidRPr="00D81B51">
        <w:rPr>
          <w:rFonts w:ascii="Arial" w:hAnsi="Arial" w:cs="Arial"/>
          <w:sz w:val="24"/>
          <w:szCs w:val="24"/>
        </w:rPr>
        <w:t>Uno de los problemas más graves del deterioro ambiental es la contaminación del agua. La disminución en su calidad daña a los ecosistemas, la salud humana y a la disponibilidad de fuentes de agua. La contaminación se debe, primordialmente, a la descarga a los cuerpos receptores de una gran parte del caudal de aguas residuales sin tratamiento, por los municipios y las industrias, al uso de fertilizantes y plaguicidas en la agricultura, a la inadecuada recolección y disposición de los residuos sólidos municipales e industriales y al acelerado proceso de erosión causado por prácticas inadecuadas en las actividades agropecuarias y silvícolas.</w:t>
      </w:r>
    </w:p>
    <w:p w14:paraId="14C7DE97" w14:textId="77777777" w:rsidR="00D41E94" w:rsidRDefault="00D41E94" w:rsidP="00DE6FB8">
      <w:pPr>
        <w:spacing w:after="0" w:line="240" w:lineRule="auto"/>
        <w:jc w:val="both"/>
        <w:rPr>
          <w:rFonts w:ascii="Arial" w:hAnsi="Arial" w:cs="Arial"/>
          <w:sz w:val="24"/>
          <w:szCs w:val="24"/>
        </w:rPr>
      </w:pPr>
    </w:p>
    <w:p w14:paraId="52B308DE" w14:textId="77777777" w:rsidR="00BF3E95" w:rsidRDefault="00BF3E95" w:rsidP="00DE6FB8">
      <w:pPr>
        <w:spacing w:after="0" w:line="240" w:lineRule="auto"/>
        <w:jc w:val="both"/>
        <w:rPr>
          <w:rFonts w:ascii="Arial" w:hAnsi="Arial" w:cs="Arial"/>
          <w:sz w:val="24"/>
          <w:szCs w:val="24"/>
        </w:rPr>
      </w:pPr>
      <w:r w:rsidRPr="00315D0B">
        <w:rPr>
          <w:rFonts w:ascii="Arial" w:hAnsi="Arial" w:cs="Arial"/>
          <w:sz w:val="24"/>
          <w:szCs w:val="24"/>
        </w:rPr>
        <w:t xml:space="preserve">De conformidad con información de la </w:t>
      </w:r>
      <w:r w:rsidR="00D41E94">
        <w:rPr>
          <w:rFonts w:ascii="Arial" w:hAnsi="Arial" w:cs="Arial"/>
          <w:sz w:val="24"/>
          <w:szCs w:val="24"/>
        </w:rPr>
        <w:t>Comisión Nacional del Agua (</w:t>
      </w:r>
      <w:r w:rsidRPr="00315D0B">
        <w:rPr>
          <w:rFonts w:ascii="Arial" w:hAnsi="Arial" w:cs="Arial"/>
          <w:sz w:val="24"/>
          <w:szCs w:val="24"/>
        </w:rPr>
        <w:t>CONAGUA</w:t>
      </w:r>
      <w:r w:rsidR="00D41E94">
        <w:rPr>
          <w:rFonts w:ascii="Arial" w:hAnsi="Arial" w:cs="Arial"/>
          <w:sz w:val="24"/>
          <w:szCs w:val="24"/>
        </w:rPr>
        <w:t>),</w:t>
      </w:r>
      <w:r w:rsidRPr="00315D0B">
        <w:rPr>
          <w:rFonts w:ascii="Arial" w:hAnsi="Arial" w:cs="Arial"/>
          <w:sz w:val="24"/>
          <w:szCs w:val="24"/>
        </w:rPr>
        <w:t xml:space="preserve"> al 30 junio del 2014</w:t>
      </w:r>
      <w:r w:rsidRPr="00315D0B">
        <w:rPr>
          <w:rStyle w:val="Refdenotaalpie"/>
          <w:rFonts w:ascii="Arial" w:hAnsi="Arial" w:cs="Arial"/>
          <w:sz w:val="24"/>
          <w:szCs w:val="24"/>
        </w:rPr>
        <w:footnoteReference w:id="29"/>
      </w:r>
      <w:r w:rsidRPr="00315D0B">
        <w:rPr>
          <w:rFonts w:ascii="Arial" w:hAnsi="Arial" w:cs="Arial"/>
          <w:sz w:val="24"/>
          <w:szCs w:val="24"/>
        </w:rPr>
        <w:t>, de los 653 acuíferos del país, la disponibilidad media anual de las aguas subterráneas de 205 de ellos se encuentra en déficit; por lo que hace a la disponibilidad media anual de las aguas nacionales superficiales de las 757 cuencas</w:t>
      </w:r>
      <w:r w:rsidRPr="00315D0B">
        <w:rPr>
          <w:rStyle w:val="Refdenotaalpie"/>
          <w:rFonts w:ascii="Arial" w:hAnsi="Arial" w:cs="Arial"/>
          <w:sz w:val="24"/>
          <w:szCs w:val="24"/>
        </w:rPr>
        <w:footnoteReference w:id="30"/>
      </w:r>
      <w:r w:rsidRPr="00315D0B">
        <w:rPr>
          <w:rFonts w:ascii="Arial" w:hAnsi="Arial" w:cs="Arial"/>
          <w:sz w:val="24"/>
          <w:szCs w:val="24"/>
        </w:rPr>
        <w:t xml:space="preserve"> en el país, 108 se encuentran en déficit, en ambos casos debido a que </w:t>
      </w:r>
      <w:r w:rsidRPr="00315D0B">
        <w:rPr>
          <w:rFonts w:ascii="Arial" w:hAnsi="Arial" w:cs="Arial"/>
          <w:sz w:val="24"/>
          <w:szCs w:val="24"/>
        </w:rPr>
        <w:lastRenderedPageBreak/>
        <w:t>se extrajo más agua de la que se capturó. Lo anterior pone en evidencia la sobreexplotación de los recursos hídricos,</w:t>
      </w:r>
      <w:r>
        <w:rPr>
          <w:rFonts w:ascii="Arial" w:hAnsi="Arial" w:cs="Arial"/>
          <w:sz w:val="24"/>
          <w:szCs w:val="24"/>
        </w:rPr>
        <w:t xml:space="preserve"> y la </w:t>
      </w:r>
      <w:r w:rsidRPr="00315D0B">
        <w:rPr>
          <w:rFonts w:ascii="Arial" w:hAnsi="Arial" w:cs="Arial"/>
          <w:sz w:val="24"/>
          <w:szCs w:val="24"/>
        </w:rPr>
        <w:t xml:space="preserve">consecuente degradación de los suelos y los efectos negativos sobre los ecosistemas rurales, así como una menor productividad de la tierra y en una pérdida de los medios de vida para </w:t>
      </w:r>
      <w:r>
        <w:rPr>
          <w:rFonts w:ascii="Arial" w:hAnsi="Arial" w:cs="Arial"/>
          <w:sz w:val="24"/>
          <w:szCs w:val="24"/>
        </w:rPr>
        <w:t>la población</w:t>
      </w:r>
      <w:r w:rsidRPr="00315D0B">
        <w:rPr>
          <w:rFonts w:ascii="Arial" w:hAnsi="Arial" w:cs="Arial"/>
          <w:sz w:val="24"/>
          <w:szCs w:val="24"/>
        </w:rPr>
        <w:t>.</w:t>
      </w:r>
      <w:r>
        <w:rPr>
          <w:rFonts w:ascii="Arial" w:hAnsi="Arial" w:cs="Arial"/>
          <w:sz w:val="24"/>
          <w:szCs w:val="24"/>
        </w:rPr>
        <w:t xml:space="preserve"> </w:t>
      </w:r>
      <w:r w:rsidRPr="00315D0B">
        <w:rPr>
          <w:rFonts w:ascii="Arial" w:hAnsi="Arial" w:cs="Arial"/>
          <w:sz w:val="24"/>
          <w:szCs w:val="24"/>
        </w:rPr>
        <w:t>Al año 2015 el porcentaje de viviendas particulares habitadas que contaban con servicio de agua entubada fue del 94.6% y 92.8% con servicio de drenaje</w:t>
      </w:r>
      <w:r w:rsidRPr="00315D0B">
        <w:rPr>
          <w:rStyle w:val="Refdenotaalpie"/>
          <w:rFonts w:ascii="Arial" w:hAnsi="Arial" w:cs="Arial"/>
          <w:sz w:val="24"/>
          <w:szCs w:val="24"/>
        </w:rPr>
        <w:footnoteReference w:id="31"/>
      </w:r>
      <w:r w:rsidRPr="00315D0B">
        <w:rPr>
          <w:rFonts w:ascii="Arial" w:hAnsi="Arial" w:cs="Arial"/>
          <w:sz w:val="24"/>
          <w:szCs w:val="24"/>
        </w:rPr>
        <w:t>.</w:t>
      </w:r>
    </w:p>
    <w:p w14:paraId="39680776" w14:textId="77777777" w:rsidR="00D41E94" w:rsidRDefault="00D41E94" w:rsidP="00DE6FB8">
      <w:pPr>
        <w:spacing w:after="0" w:line="240" w:lineRule="auto"/>
        <w:jc w:val="both"/>
        <w:rPr>
          <w:rFonts w:ascii="Arial" w:hAnsi="Arial" w:cs="Arial"/>
          <w:sz w:val="24"/>
          <w:szCs w:val="24"/>
        </w:rPr>
      </w:pPr>
    </w:p>
    <w:p w14:paraId="66F31966" w14:textId="77777777"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La Red Nacional de Medición de la Calidad del Agua, con más de 5000 sitios de medición de parámetros fisicoquímicos y biológicos, resulta insuficiente, obsoleta, y no mide varios parámetros que inciden directamente en la salud.</w:t>
      </w:r>
    </w:p>
    <w:p w14:paraId="17224E9A" w14:textId="77777777" w:rsidR="00676EF2" w:rsidRDefault="00676EF2" w:rsidP="00DE6FB8">
      <w:pPr>
        <w:spacing w:after="0" w:line="240" w:lineRule="auto"/>
        <w:jc w:val="both"/>
        <w:rPr>
          <w:rFonts w:ascii="Arial" w:hAnsi="Arial" w:cs="Arial"/>
          <w:sz w:val="24"/>
          <w:szCs w:val="24"/>
        </w:rPr>
      </w:pPr>
    </w:p>
    <w:p w14:paraId="1A2E16AE" w14:textId="77777777"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Se han detectado afecciones a la salud resultantes del consumo de agua con componentes químicos patógenos, tales como arsénico, nitratos o flúor.</w:t>
      </w:r>
    </w:p>
    <w:p w14:paraId="7528D58B" w14:textId="77777777" w:rsidR="00676EF2" w:rsidRDefault="00676EF2" w:rsidP="00DE6FB8">
      <w:pPr>
        <w:spacing w:after="0" w:line="240" w:lineRule="auto"/>
        <w:jc w:val="both"/>
        <w:rPr>
          <w:rFonts w:ascii="Arial" w:hAnsi="Arial" w:cs="Arial"/>
          <w:sz w:val="24"/>
          <w:szCs w:val="24"/>
        </w:rPr>
      </w:pPr>
    </w:p>
    <w:p w14:paraId="3A952883" w14:textId="78F411C4"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Persisten además, mermas importantes por pérdida de agua en las redes d</w:t>
      </w:r>
      <w:r w:rsidR="00886BB2">
        <w:rPr>
          <w:rFonts w:ascii="Arial" w:hAnsi="Arial" w:cs="Arial"/>
          <w:sz w:val="24"/>
          <w:szCs w:val="24"/>
        </w:rPr>
        <w:t xml:space="preserve">e distribución entre el 30 y 50% </w:t>
      </w:r>
      <w:r w:rsidRPr="00D81B51">
        <w:rPr>
          <w:rFonts w:ascii="Arial" w:hAnsi="Arial" w:cs="Arial"/>
          <w:sz w:val="24"/>
          <w:szCs w:val="24"/>
        </w:rPr>
        <w:t>debido a la antigüedad de las tuberías, la falta de control de la presión y la mala calidad de los materiales empleados.</w:t>
      </w:r>
    </w:p>
    <w:p w14:paraId="073FFC8A" w14:textId="77777777" w:rsidR="00676EF2" w:rsidRDefault="00676EF2" w:rsidP="00DE6FB8">
      <w:pPr>
        <w:spacing w:after="0" w:line="240" w:lineRule="auto"/>
        <w:jc w:val="both"/>
        <w:rPr>
          <w:rFonts w:ascii="Arial" w:hAnsi="Arial" w:cs="Arial"/>
          <w:sz w:val="24"/>
          <w:szCs w:val="24"/>
        </w:rPr>
      </w:pPr>
    </w:p>
    <w:p w14:paraId="3CC7F088" w14:textId="77777777" w:rsidR="005B420B" w:rsidRPr="00D81B51" w:rsidRDefault="005B420B" w:rsidP="00DE6FB8">
      <w:pPr>
        <w:spacing w:after="0" w:line="240" w:lineRule="auto"/>
        <w:jc w:val="both"/>
        <w:rPr>
          <w:rFonts w:ascii="Arial" w:hAnsi="Arial" w:cs="Arial"/>
          <w:sz w:val="24"/>
          <w:szCs w:val="24"/>
        </w:rPr>
      </w:pPr>
      <w:r w:rsidRPr="00D81B51">
        <w:rPr>
          <w:rFonts w:ascii="Arial" w:hAnsi="Arial" w:cs="Arial"/>
          <w:sz w:val="24"/>
          <w:szCs w:val="24"/>
        </w:rPr>
        <w:t>En múltiples lugares del país, se enfrenta la problemática de falta de recursos financieros para la ampliación de la infraestructura, la rehabilitación y mantenimiento de la existente para la distribución del agua potable y para el tratamiento de las aguas residuales; los altos costos de energía eléctrica y los reactivos químicos para su operación. No obstante, el presupuesto de egresos federal para atender tales rubros, se ha ido reduciendo constante y progresivamente de 2012 a la fecha.</w:t>
      </w:r>
    </w:p>
    <w:p w14:paraId="5D63664C" w14:textId="77777777" w:rsidR="00676EF2" w:rsidRDefault="00676EF2" w:rsidP="00DE6FB8">
      <w:pPr>
        <w:pStyle w:val="Prrafodelista"/>
        <w:spacing w:after="0" w:line="240" w:lineRule="auto"/>
        <w:ind w:left="0"/>
        <w:jc w:val="both"/>
        <w:rPr>
          <w:rFonts w:ascii="Arial" w:hAnsi="Arial" w:cs="Arial"/>
          <w:sz w:val="24"/>
          <w:szCs w:val="24"/>
        </w:rPr>
      </w:pPr>
    </w:p>
    <w:p w14:paraId="49586A18" w14:textId="77777777" w:rsidR="00C467CE" w:rsidRPr="00D81B51" w:rsidRDefault="00C467CE"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Si bien la cobertura </w:t>
      </w:r>
      <w:r w:rsidRPr="00D81B51">
        <w:rPr>
          <w:rFonts w:ascii="Arial" w:hAnsi="Arial" w:cs="Arial"/>
          <w:sz w:val="24"/>
          <w:szCs w:val="24"/>
        </w:rPr>
        <w:t xml:space="preserve">del servicio de agua potable ha </w:t>
      </w:r>
      <w:r>
        <w:rPr>
          <w:rFonts w:ascii="Arial" w:hAnsi="Arial" w:cs="Arial"/>
          <w:sz w:val="24"/>
          <w:szCs w:val="24"/>
        </w:rPr>
        <w:t>incrementado a nivel nacional, l</w:t>
      </w:r>
      <w:r w:rsidRPr="00D81B51">
        <w:rPr>
          <w:rFonts w:ascii="Arial" w:hAnsi="Arial" w:cs="Arial"/>
          <w:sz w:val="24"/>
          <w:szCs w:val="24"/>
        </w:rPr>
        <w:t xml:space="preserve">a </w:t>
      </w:r>
      <w:r>
        <w:rPr>
          <w:rFonts w:ascii="Arial" w:hAnsi="Arial" w:cs="Arial"/>
          <w:sz w:val="24"/>
          <w:szCs w:val="24"/>
        </w:rPr>
        <w:t>CNDH</w:t>
      </w:r>
      <w:r w:rsidRPr="00D81B51">
        <w:rPr>
          <w:rFonts w:ascii="Arial" w:hAnsi="Arial" w:cs="Arial"/>
          <w:sz w:val="24"/>
          <w:szCs w:val="24"/>
        </w:rPr>
        <w:t xml:space="preserve"> ve con preocupación la falta </w:t>
      </w:r>
      <w:r>
        <w:rPr>
          <w:rFonts w:ascii="Arial" w:hAnsi="Arial" w:cs="Arial"/>
          <w:sz w:val="24"/>
          <w:szCs w:val="24"/>
        </w:rPr>
        <w:t>de la ley reglamentaria</w:t>
      </w:r>
      <w:r w:rsidRPr="00D81B51">
        <w:rPr>
          <w:rFonts w:ascii="Arial" w:hAnsi="Arial" w:cs="Arial"/>
          <w:sz w:val="24"/>
          <w:szCs w:val="24"/>
        </w:rPr>
        <w:t xml:space="preserve"> del </w:t>
      </w:r>
      <w:r>
        <w:rPr>
          <w:rFonts w:ascii="Arial" w:hAnsi="Arial" w:cs="Arial"/>
          <w:sz w:val="24"/>
          <w:szCs w:val="24"/>
        </w:rPr>
        <w:t>d</w:t>
      </w:r>
      <w:r w:rsidRPr="00D81B51">
        <w:rPr>
          <w:rFonts w:ascii="Arial" w:hAnsi="Arial" w:cs="Arial"/>
          <w:sz w:val="24"/>
          <w:szCs w:val="24"/>
        </w:rPr>
        <w:t xml:space="preserve">erecho </w:t>
      </w:r>
      <w:r>
        <w:rPr>
          <w:rFonts w:ascii="Arial" w:hAnsi="Arial" w:cs="Arial"/>
          <w:sz w:val="24"/>
          <w:szCs w:val="24"/>
        </w:rPr>
        <w:t xml:space="preserve">humano agua, misma que, de </w:t>
      </w:r>
      <w:r w:rsidRPr="00D81B51">
        <w:rPr>
          <w:rFonts w:ascii="Arial" w:hAnsi="Arial" w:cs="Arial"/>
          <w:sz w:val="24"/>
          <w:szCs w:val="24"/>
        </w:rPr>
        <w:t xml:space="preserve">conformidad con </w:t>
      </w:r>
      <w:r>
        <w:rPr>
          <w:rFonts w:ascii="Arial" w:hAnsi="Arial" w:cs="Arial"/>
          <w:sz w:val="24"/>
          <w:szCs w:val="24"/>
        </w:rPr>
        <w:t xml:space="preserve">el artículo tercero transitorio del Decreto de </w:t>
      </w:r>
      <w:r w:rsidRPr="00D81B51">
        <w:rPr>
          <w:rFonts w:ascii="Arial" w:hAnsi="Arial" w:cs="Arial"/>
          <w:sz w:val="24"/>
          <w:szCs w:val="24"/>
        </w:rPr>
        <w:t>reforma constitucional</w:t>
      </w:r>
      <w:r>
        <w:rPr>
          <w:rFonts w:ascii="Arial" w:hAnsi="Arial" w:cs="Arial"/>
          <w:sz w:val="24"/>
          <w:szCs w:val="24"/>
        </w:rPr>
        <w:t>, publicado</w:t>
      </w:r>
      <w:r w:rsidRPr="00D81B51">
        <w:rPr>
          <w:rFonts w:ascii="Arial" w:hAnsi="Arial" w:cs="Arial"/>
          <w:sz w:val="24"/>
          <w:szCs w:val="24"/>
        </w:rPr>
        <w:t xml:space="preserve"> en el Diario Oficial de la Federación el 08 de febrero de 2012, </w:t>
      </w:r>
      <w:r>
        <w:rPr>
          <w:rFonts w:ascii="Arial" w:hAnsi="Arial" w:cs="Arial"/>
          <w:sz w:val="24"/>
          <w:szCs w:val="24"/>
        </w:rPr>
        <w:t xml:space="preserve">debía ser emitida por el Congreso de la Unión en </w:t>
      </w:r>
      <w:r w:rsidRPr="00D81B51">
        <w:rPr>
          <w:rFonts w:ascii="Arial" w:hAnsi="Arial" w:cs="Arial"/>
          <w:sz w:val="24"/>
          <w:szCs w:val="24"/>
        </w:rPr>
        <w:t>un plazo de 360 días</w:t>
      </w:r>
      <w:r>
        <w:rPr>
          <w:rFonts w:ascii="Arial" w:hAnsi="Arial" w:cs="Arial"/>
          <w:sz w:val="24"/>
          <w:szCs w:val="24"/>
        </w:rPr>
        <w:t xml:space="preserve"> posteriores a dicha fecha de publicación</w:t>
      </w:r>
      <w:r w:rsidRPr="00D81B51">
        <w:rPr>
          <w:rFonts w:ascii="Arial" w:hAnsi="Arial" w:cs="Arial"/>
          <w:sz w:val="24"/>
          <w:szCs w:val="24"/>
        </w:rPr>
        <w:t>.</w:t>
      </w:r>
    </w:p>
    <w:p w14:paraId="5FEAF78E" w14:textId="77777777" w:rsidR="005B420B" w:rsidRDefault="005B420B" w:rsidP="00DE6FB8">
      <w:pPr>
        <w:pStyle w:val="Prrafodelista"/>
        <w:spacing w:after="0" w:line="240" w:lineRule="auto"/>
        <w:ind w:left="0"/>
        <w:jc w:val="both"/>
        <w:rPr>
          <w:rFonts w:ascii="Arial" w:hAnsi="Arial" w:cs="Arial"/>
          <w:sz w:val="24"/>
          <w:szCs w:val="24"/>
        </w:rPr>
      </w:pPr>
    </w:p>
    <w:p w14:paraId="7A7CD96E" w14:textId="77777777" w:rsidR="00251CD3" w:rsidRDefault="002B0AEA" w:rsidP="00DE6FB8">
      <w:pPr>
        <w:pStyle w:val="Prrafodelista"/>
        <w:spacing w:after="0" w:line="240" w:lineRule="auto"/>
        <w:ind w:left="0"/>
        <w:jc w:val="both"/>
        <w:rPr>
          <w:rFonts w:ascii="Arial" w:hAnsi="Arial" w:cs="Arial"/>
          <w:sz w:val="24"/>
          <w:szCs w:val="24"/>
        </w:rPr>
      </w:pPr>
      <w:r>
        <w:rPr>
          <w:rFonts w:ascii="Arial" w:hAnsi="Arial" w:cs="Arial"/>
          <w:sz w:val="24"/>
          <w:szCs w:val="24"/>
        </w:rPr>
        <w:t>En el marco de las actividades de promoción de los derechos humanos a cargo</w:t>
      </w:r>
      <w:r w:rsidR="005B420B" w:rsidRPr="00D81B51">
        <w:rPr>
          <w:rFonts w:ascii="Arial" w:hAnsi="Arial" w:cs="Arial"/>
          <w:sz w:val="24"/>
          <w:szCs w:val="24"/>
        </w:rPr>
        <w:t xml:space="preserve"> de la CNDH, </w:t>
      </w:r>
      <w:r w:rsidR="00D41E94">
        <w:rPr>
          <w:rFonts w:ascii="Arial" w:hAnsi="Arial" w:cs="Arial"/>
          <w:sz w:val="24"/>
          <w:szCs w:val="24"/>
        </w:rPr>
        <w:t>durante</w:t>
      </w:r>
      <w:r w:rsidR="005B420B" w:rsidRPr="00D81B51">
        <w:rPr>
          <w:rFonts w:ascii="Arial" w:hAnsi="Arial" w:cs="Arial"/>
          <w:sz w:val="24"/>
          <w:szCs w:val="24"/>
        </w:rPr>
        <w:t xml:space="preserve"> el 2016 se llevaron a cabo </w:t>
      </w:r>
      <w:r>
        <w:rPr>
          <w:rFonts w:ascii="Arial" w:hAnsi="Arial" w:cs="Arial"/>
          <w:sz w:val="24"/>
          <w:szCs w:val="24"/>
        </w:rPr>
        <w:t xml:space="preserve">cuatro </w:t>
      </w:r>
      <w:r w:rsidR="005B420B" w:rsidRPr="00D81B51">
        <w:rPr>
          <w:rFonts w:ascii="Arial" w:hAnsi="Arial" w:cs="Arial"/>
          <w:sz w:val="24"/>
          <w:szCs w:val="24"/>
        </w:rPr>
        <w:t>foros</w:t>
      </w:r>
      <w:r>
        <w:rPr>
          <w:rFonts w:ascii="Arial" w:hAnsi="Arial" w:cs="Arial"/>
          <w:sz w:val="24"/>
          <w:szCs w:val="24"/>
        </w:rPr>
        <w:t xml:space="preserve"> regionales</w:t>
      </w:r>
      <w:r w:rsidR="005B420B" w:rsidRPr="00D81B51">
        <w:rPr>
          <w:rFonts w:ascii="Arial" w:hAnsi="Arial" w:cs="Arial"/>
          <w:sz w:val="24"/>
          <w:szCs w:val="24"/>
        </w:rPr>
        <w:t xml:space="preserve"> intitulados </w:t>
      </w:r>
      <w:r w:rsidRPr="002B0AEA">
        <w:rPr>
          <w:rFonts w:ascii="Arial" w:hAnsi="Arial" w:cs="Arial"/>
          <w:i/>
          <w:sz w:val="24"/>
          <w:szCs w:val="24"/>
        </w:rPr>
        <w:t>Servicios públicos y derechos humanos</w:t>
      </w:r>
      <w:r w:rsidR="005B420B" w:rsidRPr="00D81B51">
        <w:rPr>
          <w:rFonts w:ascii="Arial" w:hAnsi="Arial" w:cs="Arial"/>
          <w:sz w:val="24"/>
          <w:szCs w:val="24"/>
        </w:rPr>
        <w:t xml:space="preserve">, mismos que </w:t>
      </w:r>
      <w:r>
        <w:rPr>
          <w:rFonts w:ascii="Arial" w:hAnsi="Arial" w:cs="Arial"/>
          <w:sz w:val="24"/>
          <w:szCs w:val="24"/>
        </w:rPr>
        <w:t xml:space="preserve">convocaron la participación de los Organismos Públicos de Derechos Humanos de las 32 Entidades Federativas de la </w:t>
      </w:r>
      <w:r w:rsidR="005B420B" w:rsidRPr="00D81B51">
        <w:rPr>
          <w:rFonts w:ascii="Arial" w:hAnsi="Arial" w:cs="Arial"/>
          <w:sz w:val="24"/>
          <w:szCs w:val="24"/>
        </w:rPr>
        <w:t xml:space="preserve">República Mexicana, </w:t>
      </w:r>
      <w:r>
        <w:rPr>
          <w:rFonts w:ascii="Arial" w:hAnsi="Arial" w:cs="Arial"/>
          <w:sz w:val="24"/>
          <w:szCs w:val="24"/>
        </w:rPr>
        <w:t>así como la</w:t>
      </w:r>
      <w:r w:rsidR="005B420B" w:rsidRPr="00D81B51">
        <w:rPr>
          <w:rFonts w:ascii="Arial" w:hAnsi="Arial" w:cs="Arial"/>
          <w:sz w:val="24"/>
          <w:szCs w:val="24"/>
        </w:rPr>
        <w:t xml:space="preserve"> de servidores públicos de los tres órdenes de gobierno, investigadores y </w:t>
      </w:r>
      <w:r w:rsidR="00D41E94">
        <w:rPr>
          <w:rFonts w:ascii="Arial" w:hAnsi="Arial" w:cs="Arial"/>
          <w:sz w:val="24"/>
          <w:szCs w:val="24"/>
        </w:rPr>
        <w:t>defensores de derechos humanos</w:t>
      </w:r>
      <w:r>
        <w:rPr>
          <w:rFonts w:ascii="Arial" w:hAnsi="Arial" w:cs="Arial"/>
          <w:sz w:val="24"/>
          <w:szCs w:val="24"/>
        </w:rPr>
        <w:t xml:space="preserve">. </w:t>
      </w:r>
    </w:p>
    <w:p w14:paraId="10F731D7" w14:textId="77777777" w:rsidR="00251CD3" w:rsidRDefault="00251CD3" w:rsidP="00DE6FB8">
      <w:pPr>
        <w:pStyle w:val="Prrafodelista"/>
        <w:spacing w:after="0" w:line="240" w:lineRule="auto"/>
        <w:ind w:left="0"/>
        <w:jc w:val="both"/>
        <w:rPr>
          <w:rFonts w:ascii="Arial" w:hAnsi="Arial" w:cs="Arial"/>
          <w:sz w:val="24"/>
          <w:szCs w:val="24"/>
        </w:rPr>
      </w:pPr>
    </w:p>
    <w:p w14:paraId="796982D3" w14:textId="77777777" w:rsidR="005A3682" w:rsidRDefault="002B0AEA" w:rsidP="00DE6FB8">
      <w:pPr>
        <w:pStyle w:val="Prrafodelista"/>
        <w:spacing w:after="0" w:line="240" w:lineRule="auto"/>
        <w:ind w:left="0"/>
        <w:jc w:val="both"/>
        <w:rPr>
          <w:rFonts w:ascii="Arial" w:hAnsi="Arial" w:cs="Arial"/>
          <w:sz w:val="24"/>
          <w:szCs w:val="24"/>
        </w:rPr>
      </w:pPr>
      <w:r>
        <w:rPr>
          <w:rFonts w:ascii="Arial" w:hAnsi="Arial" w:cs="Arial"/>
          <w:sz w:val="24"/>
          <w:szCs w:val="24"/>
        </w:rPr>
        <w:lastRenderedPageBreak/>
        <w:t xml:space="preserve">Como resultado de </w:t>
      </w:r>
      <w:r w:rsidR="00251CD3">
        <w:rPr>
          <w:rFonts w:ascii="Arial" w:hAnsi="Arial" w:cs="Arial"/>
          <w:sz w:val="24"/>
          <w:szCs w:val="24"/>
        </w:rPr>
        <w:t>dichos</w:t>
      </w:r>
      <w:r>
        <w:rPr>
          <w:rFonts w:ascii="Arial" w:hAnsi="Arial" w:cs="Arial"/>
          <w:sz w:val="24"/>
          <w:szCs w:val="24"/>
        </w:rPr>
        <w:t xml:space="preserve"> ejercicios, se evidenció que la falta de armonización de la normatividad administrativa </w:t>
      </w:r>
      <w:r w:rsidR="00251CD3">
        <w:rPr>
          <w:rFonts w:ascii="Arial" w:hAnsi="Arial" w:cs="Arial"/>
          <w:sz w:val="24"/>
          <w:szCs w:val="24"/>
        </w:rPr>
        <w:t>atinente a los</w:t>
      </w:r>
      <w:r>
        <w:rPr>
          <w:rFonts w:ascii="Arial" w:hAnsi="Arial" w:cs="Arial"/>
          <w:sz w:val="24"/>
          <w:szCs w:val="24"/>
        </w:rPr>
        <w:t xml:space="preserve"> servicios públicos con la reforma constitucional de 2011 en materia de derechos humanos</w:t>
      </w:r>
      <w:r w:rsidR="00251CD3">
        <w:rPr>
          <w:rFonts w:ascii="Arial" w:hAnsi="Arial" w:cs="Arial"/>
          <w:sz w:val="24"/>
          <w:szCs w:val="24"/>
        </w:rPr>
        <w:t>,</w:t>
      </w:r>
      <w:r>
        <w:rPr>
          <w:rFonts w:ascii="Arial" w:hAnsi="Arial" w:cs="Arial"/>
          <w:sz w:val="24"/>
          <w:szCs w:val="24"/>
        </w:rPr>
        <w:t xml:space="preserve"> constituye uno de los principales obstáculos para que el Estado garantice el pleno goce y disfrute de los derechos que se materializan a través de la provisión de servicios, como </w:t>
      </w:r>
      <w:r w:rsidR="00251CD3">
        <w:rPr>
          <w:rFonts w:ascii="Arial" w:hAnsi="Arial" w:cs="Arial"/>
          <w:sz w:val="24"/>
          <w:szCs w:val="24"/>
        </w:rPr>
        <w:t>es el caso d</w:t>
      </w:r>
      <w:r>
        <w:rPr>
          <w:rFonts w:ascii="Arial" w:hAnsi="Arial" w:cs="Arial"/>
          <w:sz w:val="24"/>
          <w:szCs w:val="24"/>
        </w:rPr>
        <w:t>el acceso al agua y saneamie</w:t>
      </w:r>
      <w:r w:rsidR="00251CD3">
        <w:rPr>
          <w:rFonts w:ascii="Arial" w:hAnsi="Arial" w:cs="Arial"/>
          <w:sz w:val="24"/>
          <w:szCs w:val="24"/>
        </w:rPr>
        <w:t>nto, la vivienda, el transporte y</w:t>
      </w:r>
      <w:r>
        <w:rPr>
          <w:rFonts w:ascii="Arial" w:hAnsi="Arial" w:cs="Arial"/>
          <w:sz w:val="24"/>
          <w:szCs w:val="24"/>
        </w:rPr>
        <w:t xml:space="preserve"> el medio ambiente sano. </w:t>
      </w:r>
      <w:r w:rsidR="00251CD3">
        <w:rPr>
          <w:rFonts w:ascii="Arial" w:hAnsi="Arial" w:cs="Arial"/>
          <w:sz w:val="24"/>
          <w:szCs w:val="24"/>
        </w:rPr>
        <w:t xml:space="preserve">Preocupa a </w:t>
      </w:r>
      <w:r w:rsidR="00150F7D">
        <w:rPr>
          <w:rFonts w:ascii="Arial" w:hAnsi="Arial" w:cs="Arial"/>
          <w:sz w:val="24"/>
          <w:szCs w:val="24"/>
        </w:rPr>
        <w:t>este Organismo Nacional</w:t>
      </w:r>
      <w:r w:rsidR="00251CD3">
        <w:rPr>
          <w:rFonts w:ascii="Arial" w:hAnsi="Arial" w:cs="Arial"/>
          <w:sz w:val="24"/>
          <w:szCs w:val="24"/>
        </w:rPr>
        <w:t xml:space="preserve"> que el marco normativo vigente no contemple la transversalidad ni los </w:t>
      </w:r>
      <w:r w:rsidR="00150F7D">
        <w:rPr>
          <w:rFonts w:ascii="Arial" w:hAnsi="Arial" w:cs="Arial"/>
          <w:sz w:val="24"/>
          <w:szCs w:val="24"/>
        </w:rPr>
        <w:t>principios de derechos humanos</w:t>
      </w:r>
      <w:r w:rsidR="005A3682">
        <w:rPr>
          <w:rFonts w:ascii="Arial" w:hAnsi="Arial" w:cs="Arial"/>
          <w:sz w:val="24"/>
          <w:szCs w:val="24"/>
        </w:rPr>
        <w:t>.</w:t>
      </w:r>
    </w:p>
    <w:p w14:paraId="4CBFC84F" w14:textId="77777777" w:rsidR="005A3682" w:rsidRDefault="005A3682" w:rsidP="00DE6FB8">
      <w:pPr>
        <w:pStyle w:val="Prrafodelista"/>
        <w:spacing w:after="0" w:line="240" w:lineRule="auto"/>
        <w:ind w:left="0"/>
        <w:jc w:val="both"/>
        <w:rPr>
          <w:rFonts w:ascii="Arial" w:hAnsi="Arial" w:cs="Arial"/>
          <w:sz w:val="24"/>
          <w:szCs w:val="24"/>
        </w:rPr>
      </w:pPr>
    </w:p>
    <w:p w14:paraId="6E694862" w14:textId="2DC62709" w:rsidR="002B0AEA" w:rsidRDefault="005A3682"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Como consecuencia de lo anterior, también resulta inquietante que </w:t>
      </w:r>
      <w:r w:rsidR="00150F7D">
        <w:rPr>
          <w:rFonts w:ascii="Arial" w:hAnsi="Arial" w:cs="Arial"/>
          <w:sz w:val="24"/>
          <w:szCs w:val="24"/>
        </w:rPr>
        <w:t>se pierda</w:t>
      </w:r>
      <w:r w:rsidR="00150F7D" w:rsidRPr="00A415B0">
        <w:rPr>
          <w:rFonts w:ascii="Arial" w:hAnsi="Arial" w:cs="Arial"/>
          <w:sz w:val="24"/>
          <w:szCs w:val="24"/>
        </w:rPr>
        <w:t xml:space="preserve"> de vista </w:t>
      </w:r>
      <w:r>
        <w:rPr>
          <w:rFonts w:ascii="Arial" w:hAnsi="Arial" w:cs="Arial"/>
          <w:sz w:val="24"/>
          <w:szCs w:val="24"/>
        </w:rPr>
        <w:t xml:space="preserve">que el Estado, en su obligación de proteger los derechos humanos </w:t>
      </w:r>
      <w:r w:rsidR="007A0161">
        <w:rPr>
          <w:rFonts w:ascii="Arial" w:hAnsi="Arial" w:cs="Arial"/>
          <w:sz w:val="24"/>
          <w:szCs w:val="24"/>
        </w:rPr>
        <w:t>debe</w:t>
      </w:r>
      <w:r w:rsidR="00150F7D" w:rsidRPr="00A415B0">
        <w:rPr>
          <w:rFonts w:ascii="Arial" w:hAnsi="Arial" w:cs="Arial"/>
          <w:sz w:val="24"/>
          <w:szCs w:val="24"/>
        </w:rPr>
        <w:t xml:space="preserve"> realizar las acciones necesarias para que, </w:t>
      </w:r>
      <w:r>
        <w:rPr>
          <w:rFonts w:ascii="Arial" w:hAnsi="Arial" w:cs="Arial"/>
          <w:sz w:val="24"/>
          <w:szCs w:val="24"/>
        </w:rPr>
        <w:t xml:space="preserve">en los esquemas en los que actores privados asuman actividades de naturaleza pública, como es el caso de las concesiones para la prestación de servicios, dichos sectores </w:t>
      </w:r>
      <w:r w:rsidR="00150F7D">
        <w:rPr>
          <w:rFonts w:ascii="Arial" w:hAnsi="Arial" w:cs="Arial"/>
          <w:sz w:val="24"/>
          <w:szCs w:val="24"/>
        </w:rPr>
        <w:t xml:space="preserve">otorguen la </w:t>
      </w:r>
      <w:r w:rsidR="00150F7D" w:rsidRPr="00A415B0">
        <w:rPr>
          <w:rFonts w:ascii="Arial" w:hAnsi="Arial" w:cs="Arial"/>
          <w:sz w:val="24"/>
          <w:szCs w:val="24"/>
        </w:rPr>
        <w:t xml:space="preserve">debida prioridad a la </w:t>
      </w:r>
      <w:r w:rsidR="00150F7D">
        <w:rPr>
          <w:rFonts w:ascii="Arial" w:hAnsi="Arial" w:cs="Arial"/>
          <w:sz w:val="24"/>
          <w:szCs w:val="24"/>
        </w:rPr>
        <w:t xml:space="preserve">salvaguarda de la </w:t>
      </w:r>
      <w:r w:rsidR="00150F7D" w:rsidRPr="00A415B0">
        <w:rPr>
          <w:rFonts w:ascii="Arial" w:hAnsi="Arial" w:cs="Arial"/>
          <w:sz w:val="24"/>
          <w:szCs w:val="24"/>
        </w:rPr>
        <w:t>dignidad humana.</w:t>
      </w:r>
    </w:p>
    <w:p w14:paraId="3276120D" w14:textId="77777777" w:rsidR="002B0AEA" w:rsidRDefault="002B0AEA" w:rsidP="00DE6FB8">
      <w:pPr>
        <w:pStyle w:val="Prrafodelista"/>
        <w:spacing w:after="0" w:line="240" w:lineRule="auto"/>
        <w:ind w:left="0"/>
        <w:jc w:val="both"/>
        <w:rPr>
          <w:rFonts w:ascii="Arial" w:hAnsi="Arial" w:cs="Arial"/>
          <w:sz w:val="24"/>
          <w:szCs w:val="24"/>
        </w:rPr>
      </w:pPr>
    </w:p>
    <w:p w14:paraId="28899B12" w14:textId="77777777" w:rsidR="00886BB2" w:rsidRDefault="00886BB2" w:rsidP="00DE6FB8">
      <w:pPr>
        <w:pStyle w:val="Prrafodelista"/>
        <w:spacing w:after="0" w:line="240" w:lineRule="auto"/>
        <w:ind w:left="0"/>
        <w:jc w:val="both"/>
        <w:rPr>
          <w:rFonts w:ascii="Arial" w:hAnsi="Arial" w:cs="Arial"/>
          <w:sz w:val="24"/>
          <w:szCs w:val="24"/>
        </w:rPr>
      </w:pPr>
    </w:p>
    <w:p w14:paraId="0E9D4282" w14:textId="74A08C86" w:rsidR="000375FA" w:rsidRPr="006801BB" w:rsidRDefault="002B0AEA" w:rsidP="00DE6FB8">
      <w:pPr>
        <w:pStyle w:val="Prrafodelista"/>
        <w:spacing w:after="0" w:line="240" w:lineRule="auto"/>
        <w:ind w:left="0"/>
        <w:jc w:val="both"/>
        <w:rPr>
          <w:rFonts w:ascii="Arial" w:hAnsi="Arial" w:cs="Arial"/>
          <w:b/>
          <w:sz w:val="24"/>
          <w:szCs w:val="24"/>
        </w:rPr>
      </w:pPr>
      <w:r>
        <w:rPr>
          <w:rFonts w:ascii="Arial" w:hAnsi="Arial" w:cs="Arial"/>
          <w:b/>
          <w:sz w:val="24"/>
          <w:szCs w:val="24"/>
        </w:rPr>
        <w:t xml:space="preserve">VIII. </w:t>
      </w:r>
      <w:r w:rsidR="000375FA" w:rsidRPr="006801BB">
        <w:rPr>
          <w:rFonts w:ascii="Arial" w:hAnsi="Arial" w:cs="Arial"/>
          <w:b/>
          <w:sz w:val="24"/>
          <w:szCs w:val="24"/>
        </w:rPr>
        <w:t>Artículo 12. Derecho al disfrute del más alto nivel posible de salud física y mental</w:t>
      </w:r>
    </w:p>
    <w:p w14:paraId="7EE06D01" w14:textId="70465DEA" w:rsidR="006801BB" w:rsidRDefault="008346B8"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Las violaciones al derecho a la protección de la salud han sido preocupaciones recurrentes de este Organismo Nacional. Tan sólo en 2016, emitió 16 recomendaciones que ponen de manifiesto la inadecuada atención médica y la violencia obstétrica, como dos de las principales problemáticas que continúan trastocando la dignidad humana. Resulta urgente fortalecer las medidas para acreditar que el personal médico de todo el país y niveles hospitalarios, cuenten con la actualización, experiencia y conocimientos suficientes para mantener las habilidades necesarias que les permitan brindar un servicio </w:t>
      </w:r>
      <w:r w:rsidR="00D573A6">
        <w:rPr>
          <w:rFonts w:ascii="Arial" w:hAnsi="Arial" w:cs="Arial"/>
          <w:sz w:val="24"/>
          <w:szCs w:val="24"/>
        </w:rPr>
        <w:t>adecuado y profesional; así como estar capacitados en materia de derechos humanos</w:t>
      </w:r>
      <w:r w:rsidR="00924A1B">
        <w:rPr>
          <w:rFonts w:ascii="Arial" w:hAnsi="Arial" w:cs="Arial"/>
          <w:sz w:val="24"/>
          <w:szCs w:val="24"/>
        </w:rPr>
        <w:t xml:space="preserve"> para actuar bajo los principios de igualdad y no discriminación</w:t>
      </w:r>
      <w:r w:rsidR="00D573A6">
        <w:rPr>
          <w:rFonts w:ascii="Arial" w:hAnsi="Arial" w:cs="Arial"/>
          <w:sz w:val="24"/>
          <w:szCs w:val="24"/>
        </w:rPr>
        <w:t xml:space="preserve">. </w:t>
      </w:r>
      <w:r w:rsidR="00924A1B">
        <w:rPr>
          <w:rFonts w:ascii="Arial" w:hAnsi="Arial" w:cs="Arial"/>
          <w:sz w:val="24"/>
          <w:szCs w:val="24"/>
        </w:rPr>
        <w:t>Adicionalmente</w:t>
      </w:r>
      <w:r w:rsidR="00D573A6">
        <w:rPr>
          <w:rFonts w:ascii="Arial" w:hAnsi="Arial" w:cs="Arial"/>
          <w:sz w:val="24"/>
          <w:szCs w:val="24"/>
        </w:rPr>
        <w:t xml:space="preserve">, </w:t>
      </w:r>
      <w:r w:rsidR="00924A1B">
        <w:rPr>
          <w:rFonts w:ascii="Arial" w:hAnsi="Arial" w:cs="Arial"/>
          <w:sz w:val="24"/>
          <w:szCs w:val="24"/>
        </w:rPr>
        <w:t>es indispensable dotar a las unidades hospitalarias de equipo médico e insumos necesarios; y asegurar la disponibilidad de un número suficiente de establecimientos, bienes y servicios públicos de salud.</w:t>
      </w:r>
    </w:p>
    <w:p w14:paraId="420D2734" w14:textId="77777777" w:rsidR="000375FA" w:rsidRDefault="000375FA" w:rsidP="00DE6FB8">
      <w:pPr>
        <w:pStyle w:val="Prrafodelista"/>
        <w:spacing w:after="0" w:line="240" w:lineRule="auto"/>
        <w:ind w:left="0"/>
        <w:jc w:val="both"/>
        <w:rPr>
          <w:rFonts w:ascii="Arial" w:hAnsi="Arial" w:cs="Arial"/>
          <w:sz w:val="24"/>
          <w:szCs w:val="24"/>
        </w:rPr>
      </w:pPr>
    </w:p>
    <w:p w14:paraId="324BA3AD" w14:textId="77777777" w:rsidR="00886BB2" w:rsidRDefault="00886BB2" w:rsidP="00DE6FB8">
      <w:pPr>
        <w:pStyle w:val="Prrafodelista"/>
        <w:spacing w:after="0" w:line="240" w:lineRule="auto"/>
        <w:ind w:left="0"/>
        <w:jc w:val="both"/>
        <w:rPr>
          <w:rFonts w:ascii="Arial" w:hAnsi="Arial" w:cs="Arial"/>
          <w:sz w:val="24"/>
          <w:szCs w:val="24"/>
        </w:rPr>
      </w:pPr>
    </w:p>
    <w:p w14:paraId="0DA5D5A7" w14:textId="4E3BE9EA" w:rsidR="0076541B" w:rsidRPr="00886BB2" w:rsidRDefault="002B0AEA" w:rsidP="00DE6FB8">
      <w:pPr>
        <w:pStyle w:val="Prrafodelista"/>
        <w:spacing w:after="0" w:line="240" w:lineRule="auto"/>
        <w:ind w:left="0"/>
        <w:jc w:val="both"/>
        <w:rPr>
          <w:rFonts w:ascii="Arial" w:hAnsi="Arial" w:cs="Arial"/>
          <w:b/>
          <w:sz w:val="24"/>
          <w:szCs w:val="24"/>
        </w:rPr>
      </w:pPr>
      <w:r>
        <w:rPr>
          <w:rFonts w:ascii="Arial" w:hAnsi="Arial" w:cs="Arial"/>
          <w:b/>
          <w:sz w:val="24"/>
          <w:szCs w:val="24"/>
        </w:rPr>
        <w:t xml:space="preserve">IX. </w:t>
      </w:r>
      <w:r w:rsidR="0076541B" w:rsidRPr="00886BB2">
        <w:rPr>
          <w:rFonts w:ascii="Arial" w:hAnsi="Arial" w:cs="Arial"/>
          <w:b/>
          <w:sz w:val="24"/>
          <w:szCs w:val="24"/>
        </w:rPr>
        <w:t>Artículo 13. Derecho a la educación</w:t>
      </w:r>
    </w:p>
    <w:p w14:paraId="2E022064" w14:textId="32D28FF2" w:rsidR="00F65C99" w:rsidRDefault="00886BB2"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La reforma constitucional en materia educativa, publicada en el Diario Oficial de la Federación </w:t>
      </w:r>
      <w:r w:rsidR="00E27CE9">
        <w:rPr>
          <w:rFonts w:ascii="Arial" w:hAnsi="Arial" w:cs="Arial"/>
          <w:sz w:val="24"/>
          <w:szCs w:val="24"/>
        </w:rPr>
        <w:t>en febrero de 2013, dio pauta una modificación estructural de las instituciones encargadas de la prestación de los servicios educativos en el pa</w:t>
      </w:r>
      <w:r w:rsidR="006E4A70">
        <w:rPr>
          <w:rFonts w:ascii="Arial" w:hAnsi="Arial" w:cs="Arial"/>
          <w:sz w:val="24"/>
          <w:szCs w:val="24"/>
        </w:rPr>
        <w:t xml:space="preserve">ís </w:t>
      </w:r>
      <w:r w:rsidR="00E27CE9">
        <w:rPr>
          <w:rFonts w:ascii="Arial" w:hAnsi="Arial" w:cs="Arial"/>
          <w:sz w:val="24"/>
          <w:szCs w:val="24"/>
        </w:rPr>
        <w:t>con el propósito de mejorar y fort</w:t>
      </w:r>
      <w:r w:rsidR="006E4A70">
        <w:rPr>
          <w:rFonts w:ascii="Arial" w:hAnsi="Arial" w:cs="Arial"/>
          <w:sz w:val="24"/>
          <w:szCs w:val="24"/>
        </w:rPr>
        <w:t xml:space="preserve">alecer su calidad. </w:t>
      </w:r>
    </w:p>
    <w:p w14:paraId="3927433F" w14:textId="77777777" w:rsidR="00886BB2" w:rsidRDefault="00886BB2" w:rsidP="00DE6FB8">
      <w:pPr>
        <w:pStyle w:val="Prrafodelista"/>
        <w:spacing w:after="0" w:line="240" w:lineRule="auto"/>
        <w:ind w:left="0"/>
        <w:jc w:val="both"/>
        <w:rPr>
          <w:rFonts w:ascii="Arial" w:hAnsi="Arial" w:cs="Arial"/>
          <w:sz w:val="24"/>
          <w:szCs w:val="24"/>
        </w:rPr>
      </w:pPr>
    </w:p>
    <w:p w14:paraId="287CD416" w14:textId="77777777" w:rsidR="00BA141B" w:rsidRDefault="00AD6873" w:rsidP="00DE6FB8">
      <w:pPr>
        <w:pStyle w:val="Prrafodelista"/>
        <w:spacing w:after="0" w:line="240" w:lineRule="auto"/>
        <w:ind w:left="0"/>
        <w:jc w:val="both"/>
        <w:rPr>
          <w:rFonts w:ascii="Arial" w:hAnsi="Arial" w:cs="Arial"/>
          <w:sz w:val="24"/>
          <w:szCs w:val="24"/>
        </w:rPr>
      </w:pPr>
      <w:r>
        <w:rPr>
          <w:rFonts w:ascii="Arial" w:hAnsi="Arial" w:cs="Arial"/>
          <w:sz w:val="24"/>
          <w:szCs w:val="24"/>
        </w:rPr>
        <w:t>Además, surgieron</w:t>
      </w:r>
      <w:r w:rsidR="006E4A70">
        <w:rPr>
          <w:rFonts w:ascii="Arial" w:hAnsi="Arial" w:cs="Arial"/>
          <w:sz w:val="24"/>
          <w:szCs w:val="24"/>
        </w:rPr>
        <w:t xml:space="preserve"> una serie de movimientos sociales </w:t>
      </w:r>
      <w:r>
        <w:rPr>
          <w:rFonts w:ascii="Arial" w:hAnsi="Arial" w:cs="Arial"/>
          <w:sz w:val="24"/>
          <w:szCs w:val="24"/>
        </w:rPr>
        <w:t xml:space="preserve">en su oposición, los cuales involucraron manifestaciones y protestas magisteriales que resultaron en el paro de actividades de un gran número de centros escolares en estados como Chiapas, Tabasco y Oaxaca, entre otras entidades de la República. </w:t>
      </w:r>
    </w:p>
    <w:p w14:paraId="6EE17DAB" w14:textId="77777777" w:rsidR="00BA141B" w:rsidRDefault="00BA141B" w:rsidP="00DE6FB8">
      <w:pPr>
        <w:pStyle w:val="Prrafodelista"/>
        <w:spacing w:after="0" w:line="240" w:lineRule="auto"/>
        <w:ind w:left="0"/>
        <w:jc w:val="both"/>
        <w:rPr>
          <w:rFonts w:ascii="Arial" w:hAnsi="Arial" w:cs="Arial"/>
          <w:sz w:val="24"/>
          <w:szCs w:val="24"/>
        </w:rPr>
      </w:pPr>
    </w:p>
    <w:p w14:paraId="44A727FE" w14:textId="57E1074A" w:rsidR="00AD6873" w:rsidRPr="00BA141B" w:rsidRDefault="00AD6873"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Para la CNDH es preocupante que el proceso educativo </w:t>
      </w:r>
      <w:r w:rsidR="00BA141B">
        <w:rPr>
          <w:rFonts w:ascii="Arial" w:hAnsi="Arial" w:cs="Arial"/>
          <w:sz w:val="24"/>
          <w:szCs w:val="24"/>
        </w:rPr>
        <w:t>a favor de la niñez</w:t>
      </w:r>
      <w:r>
        <w:rPr>
          <w:rFonts w:ascii="Arial" w:hAnsi="Arial" w:cs="Arial"/>
          <w:sz w:val="24"/>
          <w:szCs w:val="24"/>
        </w:rPr>
        <w:t xml:space="preserve"> se vea afectado a causa de </w:t>
      </w:r>
      <w:r w:rsidR="00BA141B">
        <w:rPr>
          <w:rFonts w:ascii="Arial" w:hAnsi="Arial" w:cs="Arial"/>
          <w:sz w:val="24"/>
          <w:szCs w:val="24"/>
        </w:rPr>
        <w:t>ello</w:t>
      </w:r>
      <w:r>
        <w:rPr>
          <w:rFonts w:ascii="Arial" w:hAnsi="Arial" w:cs="Arial"/>
          <w:sz w:val="24"/>
          <w:szCs w:val="24"/>
        </w:rPr>
        <w:t xml:space="preserve">. Al respecto, el 13 de junio de 2016, el Consejo </w:t>
      </w:r>
      <w:r>
        <w:rPr>
          <w:rFonts w:ascii="Arial" w:hAnsi="Arial" w:cs="Arial"/>
          <w:sz w:val="24"/>
          <w:szCs w:val="24"/>
        </w:rPr>
        <w:lastRenderedPageBreak/>
        <w:t xml:space="preserve">Consultivo de este Organismo Nacional, emitió un pronunciamiento </w:t>
      </w:r>
      <w:r w:rsidR="00BA141B">
        <w:rPr>
          <w:rFonts w:ascii="Arial" w:hAnsi="Arial" w:cs="Arial"/>
          <w:sz w:val="24"/>
          <w:szCs w:val="24"/>
        </w:rPr>
        <w:t xml:space="preserve">en el que </w:t>
      </w:r>
      <w:r w:rsidR="00BA141B" w:rsidRPr="00BA141B">
        <w:rPr>
          <w:rFonts w:ascii="Arial" w:hAnsi="Arial" w:cs="Arial"/>
          <w:i/>
          <w:sz w:val="24"/>
          <w:szCs w:val="24"/>
        </w:rPr>
        <w:t>“reitera que planteamiento de una inconformidad y el reclamo de intereses particulares, por leg</w:t>
      </w:r>
      <w:r w:rsidR="00BA141B">
        <w:rPr>
          <w:rFonts w:ascii="Arial" w:hAnsi="Arial" w:cs="Arial"/>
          <w:i/>
          <w:sz w:val="24"/>
          <w:szCs w:val="24"/>
        </w:rPr>
        <w:t>ítimos que estos sean</w:t>
      </w:r>
      <w:r w:rsidR="00BA141B" w:rsidRPr="00BA141B">
        <w:rPr>
          <w:rFonts w:ascii="Arial" w:hAnsi="Arial" w:cs="Arial"/>
          <w:i/>
          <w:sz w:val="24"/>
          <w:szCs w:val="24"/>
        </w:rPr>
        <w:t>… no pueden realizarse afectando los derechos de terceras personas. En particular es necesario que se respeten y preserven los derechos de niñas, niños y adolescentes, [entre ellos] el relativo a recibir una educación que cumpla con parámetros y características de calidad”</w:t>
      </w:r>
      <w:r w:rsidR="00BA141B">
        <w:rPr>
          <w:rStyle w:val="Refdenotaalpie"/>
          <w:rFonts w:ascii="Arial" w:hAnsi="Arial" w:cs="Arial"/>
          <w:i/>
          <w:sz w:val="24"/>
          <w:szCs w:val="24"/>
        </w:rPr>
        <w:footnoteReference w:id="32"/>
      </w:r>
      <w:r w:rsidR="00BA141B" w:rsidRPr="00BA141B">
        <w:rPr>
          <w:rFonts w:ascii="Arial" w:hAnsi="Arial" w:cs="Arial"/>
          <w:i/>
          <w:sz w:val="24"/>
          <w:szCs w:val="24"/>
        </w:rPr>
        <w:t>.</w:t>
      </w:r>
    </w:p>
    <w:p w14:paraId="70A5D880" w14:textId="77777777" w:rsidR="00AD6873" w:rsidRDefault="00AD6873" w:rsidP="00DE6FB8">
      <w:pPr>
        <w:pStyle w:val="Prrafodelista"/>
        <w:spacing w:after="0" w:line="240" w:lineRule="auto"/>
        <w:ind w:left="0"/>
        <w:jc w:val="both"/>
        <w:rPr>
          <w:rFonts w:ascii="Arial" w:hAnsi="Arial" w:cs="Arial"/>
          <w:sz w:val="24"/>
          <w:szCs w:val="24"/>
        </w:rPr>
      </w:pPr>
    </w:p>
    <w:p w14:paraId="52E911E0" w14:textId="39E8B710" w:rsidR="006E4A70" w:rsidRDefault="00BA141B" w:rsidP="00DE6FB8">
      <w:pPr>
        <w:pStyle w:val="Prrafodelista"/>
        <w:spacing w:after="0" w:line="240" w:lineRule="auto"/>
        <w:ind w:left="0"/>
        <w:jc w:val="both"/>
        <w:rPr>
          <w:rFonts w:ascii="Arial" w:hAnsi="Arial" w:cs="Arial"/>
          <w:sz w:val="24"/>
          <w:szCs w:val="24"/>
        </w:rPr>
      </w:pPr>
      <w:r>
        <w:rPr>
          <w:rFonts w:ascii="Arial" w:hAnsi="Arial" w:cs="Arial"/>
          <w:sz w:val="24"/>
          <w:szCs w:val="24"/>
        </w:rPr>
        <w:t xml:space="preserve">Lo anterior </w:t>
      </w:r>
      <w:r w:rsidR="002D63E8">
        <w:rPr>
          <w:rFonts w:ascii="Arial" w:hAnsi="Arial" w:cs="Arial"/>
          <w:sz w:val="24"/>
          <w:szCs w:val="24"/>
        </w:rPr>
        <w:t>agrava</w:t>
      </w:r>
      <w:r>
        <w:rPr>
          <w:rFonts w:ascii="Arial" w:hAnsi="Arial" w:cs="Arial"/>
          <w:sz w:val="24"/>
          <w:szCs w:val="24"/>
        </w:rPr>
        <w:t xml:space="preserve"> el hecho de que al 2014, según estimaciones del CONEVAL, el 18.7% de la población padecía rezago educativo, siendo, precisamente los estados </w:t>
      </w:r>
      <w:r w:rsidR="006117A8">
        <w:rPr>
          <w:rFonts w:ascii="Arial" w:hAnsi="Arial" w:cs="Arial"/>
          <w:sz w:val="24"/>
          <w:szCs w:val="24"/>
        </w:rPr>
        <w:t>arriba señalados</w:t>
      </w:r>
      <w:r>
        <w:rPr>
          <w:rFonts w:ascii="Arial" w:hAnsi="Arial" w:cs="Arial"/>
          <w:sz w:val="24"/>
          <w:szCs w:val="24"/>
        </w:rPr>
        <w:t>, los más afectados por ello</w:t>
      </w:r>
      <w:r>
        <w:rPr>
          <w:rStyle w:val="Refdenotaalpie"/>
          <w:rFonts w:ascii="Arial" w:hAnsi="Arial" w:cs="Arial"/>
          <w:sz w:val="24"/>
          <w:szCs w:val="24"/>
        </w:rPr>
        <w:footnoteReference w:id="33"/>
      </w:r>
      <w:r>
        <w:rPr>
          <w:rFonts w:ascii="Arial" w:hAnsi="Arial" w:cs="Arial"/>
          <w:sz w:val="24"/>
          <w:szCs w:val="24"/>
        </w:rPr>
        <w:t xml:space="preserve">. </w:t>
      </w:r>
    </w:p>
    <w:p w14:paraId="1AD2EAE2" w14:textId="77777777" w:rsidR="00886BB2" w:rsidRDefault="00886BB2" w:rsidP="00DE6FB8">
      <w:pPr>
        <w:pStyle w:val="Prrafodelista"/>
        <w:spacing w:after="0" w:line="240" w:lineRule="auto"/>
        <w:ind w:left="0"/>
        <w:jc w:val="both"/>
        <w:rPr>
          <w:rFonts w:ascii="Arial" w:hAnsi="Arial" w:cs="Arial"/>
          <w:sz w:val="24"/>
          <w:szCs w:val="24"/>
        </w:rPr>
      </w:pPr>
    </w:p>
    <w:p w14:paraId="22A16310" w14:textId="6B898BF3" w:rsidR="00F65C99" w:rsidRPr="00886BB2" w:rsidRDefault="002B0AEA" w:rsidP="00DE6FB8">
      <w:pPr>
        <w:pStyle w:val="Prrafodelista"/>
        <w:spacing w:after="0" w:line="240" w:lineRule="auto"/>
        <w:ind w:left="0"/>
        <w:jc w:val="both"/>
        <w:rPr>
          <w:rFonts w:ascii="Arial" w:hAnsi="Arial" w:cs="Arial"/>
          <w:b/>
          <w:sz w:val="24"/>
          <w:szCs w:val="24"/>
        </w:rPr>
      </w:pPr>
      <w:r>
        <w:rPr>
          <w:rFonts w:ascii="Arial" w:hAnsi="Arial" w:cs="Arial"/>
          <w:b/>
          <w:sz w:val="24"/>
          <w:szCs w:val="24"/>
        </w:rPr>
        <w:t xml:space="preserve">X. </w:t>
      </w:r>
      <w:r w:rsidR="00F65C99" w:rsidRPr="00886BB2">
        <w:rPr>
          <w:rFonts w:ascii="Arial" w:hAnsi="Arial" w:cs="Arial"/>
          <w:b/>
          <w:sz w:val="24"/>
          <w:szCs w:val="24"/>
        </w:rPr>
        <w:t>Artículo 15. Derechos culturales</w:t>
      </w:r>
    </w:p>
    <w:p w14:paraId="24622246" w14:textId="0A497715" w:rsidR="0076541B" w:rsidRPr="00BF3E95" w:rsidRDefault="006117A8" w:rsidP="00DE6FB8">
      <w:pPr>
        <w:pStyle w:val="Prrafodelista"/>
        <w:spacing w:after="0" w:line="240" w:lineRule="auto"/>
        <w:ind w:left="0"/>
        <w:jc w:val="both"/>
        <w:rPr>
          <w:rFonts w:ascii="Arial" w:hAnsi="Arial" w:cs="Arial"/>
          <w:sz w:val="24"/>
          <w:szCs w:val="24"/>
        </w:rPr>
      </w:pPr>
      <w:r>
        <w:rPr>
          <w:rFonts w:ascii="Arial" w:hAnsi="Arial" w:cs="Arial"/>
          <w:sz w:val="24"/>
          <w:szCs w:val="24"/>
        </w:rPr>
        <w:t>Si bien en 2015 se fortaleció el andamiaje institucional en materia cultural en el país, con la creación de la Secretaría de Cultura</w:t>
      </w:r>
      <w:r>
        <w:rPr>
          <w:rStyle w:val="Refdenotaalpie"/>
          <w:rFonts w:ascii="Arial" w:hAnsi="Arial" w:cs="Arial"/>
          <w:sz w:val="24"/>
          <w:szCs w:val="24"/>
        </w:rPr>
        <w:footnoteReference w:id="34"/>
      </w:r>
      <w:r>
        <w:rPr>
          <w:rFonts w:ascii="Arial" w:hAnsi="Arial" w:cs="Arial"/>
          <w:sz w:val="24"/>
          <w:szCs w:val="24"/>
        </w:rPr>
        <w:t xml:space="preserve">, la CNDH detecta retos persistentes para lograr el pleno goce y disfrute de los derechos vinculados. </w:t>
      </w:r>
      <w:r w:rsidR="003A26D0">
        <w:rPr>
          <w:rFonts w:ascii="Arial" w:hAnsi="Arial" w:cs="Arial"/>
          <w:sz w:val="24"/>
          <w:szCs w:val="24"/>
        </w:rPr>
        <w:t xml:space="preserve">Uno de ellos es la falta de atención prioritaria </w:t>
      </w:r>
      <w:r w:rsidR="00944644">
        <w:rPr>
          <w:rFonts w:ascii="Arial" w:hAnsi="Arial" w:cs="Arial"/>
          <w:sz w:val="24"/>
          <w:szCs w:val="24"/>
        </w:rPr>
        <w:t xml:space="preserve">y visibilización </w:t>
      </w:r>
      <w:r w:rsidR="003A26D0">
        <w:rPr>
          <w:rFonts w:ascii="Arial" w:hAnsi="Arial" w:cs="Arial"/>
          <w:sz w:val="24"/>
          <w:szCs w:val="24"/>
        </w:rPr>
        <w:t xml:space="preserve">a estos asuntos por parte del Estado; la baja asignación de recursos económicos </w:t>
      </w:r>
      <w:r w:rsidR="00944644">
        <w:rPr>
          <w:rFonts w:ascii="Arial" w:hAnsi="Arial" w:cs="Arial"/>
          <w:sz w:val="24"/>
          <w:szCs w:val="24"/>
        </w:rPr>
        <w:t>lo evidencia pues la Secretaría de Cultura es de las dependencias del Ejecutivo Federal con menor presupuesto estipulado en el Presupuesto de Egresos de la Federación 2017.</w:t>
      </w:r>
    </w:p>
    <w:sectPr w:rsidR="0076541B" w:rsidRPr="00BF3E95">
      <w:footerReference w:type="default" r:id="rId10"/>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F0016A4" w15:done="0"/>
  <w15:commentEx w15:paraId="0CA918BC" w15:paraIdParent="6F0016A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CA4FF7" w14:textId="77777777" w:rsidR="00FC1010" w:rsidRDefault="00FC1010" w:rsidP="00D87BA0">
      <w:pPr>
        <w:spacing w:after="0" w:line="240" w:lineRule="auto"/>
      </w:pPr>
      <w:r>
        <w:separator/>
      </w:r>
    </w:p>
  </w:endnote>
  <w:endnote w:type="continuationSeparator" w:id="0">
    <w:p w14:paraId="7FC04824" w14:textId="77777777" w:rsidR="00FC1010" w:rsidRDefault="00FC1010" w:rsidP="00D87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8752119"/>
      <w:docPartObj>
        <w:docPartGallery w:val="Page Numbers (Bottom of Page)"/>
        <w:docPartUnique/>
      </w:docPartObj>
    </w:sdtPr>
    <w:sdtEndPr/>
    <w:sdtContent>
      <w:p w14:paraId="699A64F9" w14:textId="77777777" w:rsidR="007A0161" w:rsidRDefault="007A0161" w:rsidP="00C3710D">
        <w:pPr>
          <w:pStyle w:val="Piedepgina"/>
          <w:jc w:val="right"/>
        </w:pPr>
        <w:r>
          <w:fldChar w:fldCharType="begin"/>
        </w:r>
        <w:r>
          <w:instrText>PAGE   \* MERGEFORMAT</w:instrText>
        </w:r>
        <w:r>
          <w:fldChar w:fldCharType="separate"/>
        </w:r>
        <w:r w:rsidR="00F37AC3" w:rsidRPr="00F37AC3">
          <w:rPr>
            <w:noProof/>
            <w:lang w:val="es-ES"/>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E6BC99" w14:textId="77777777" w:rsidR="00FC1010" w:rsidRDefault="00FC1010" w:rsidP="00D87BA0">
      <w:pPr>
        <w:spacing w:after="0" w:line="240" w:lineRule="auto"/>
      </w:pPr>
      <w:r>
        <w:separator/>
      </w:r>
    </w:p>
  </w:footnote>
  <w:footnote w:type="continuationSeparator" w:id="0">
    <w:p w14:paraId="1BE64D9A" w14:textId="77777777" w:rsidR="00FC1010" w:rsidRDefault="00FC1010" w:rsidP="00D87BA0">
      <w:pPr>
        <w:spacing w:after="0" w:line="240" w:lineRule="auto"/>
      </w:pPr>
      <w:r>
        <w:continuationSeparator/>
      </w:r>
    </w:p>
  </w:footnote>
  <w:footnote w:id="1">
    <w:p w14:paraId="0D457442"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Comisión Nacional para el Desarrollo de los Pueblos Indígenas, </w:t>
      </w:r>
      <w:r w:rsidRPr="00791BA0">
        <w:rPr>
          <w:rFonts w:ascii="Arial" w:hAnsi="Arial" w:cs="Arial"/>
          <w:i/>
        </w:rPr>
        <w:t xml:space="preserve">Protocolo para la implementación de consultas a pueblos y comunidades indígenas de conformidad con estándares del Convenio 169 de la Organización Internacional del Trabajo sobre Pueblos Indígenas y Tribales en Países Independientes, </w:t>
      </w:r>
      <w:r w:rsidRPr="00791BA0">
        <w:rPr>
          <w:rFonts w:ascii="Arial" w:hAnsi="Arial" w:cs="Arial"/>
        </w:rPr>
        <w:t>CDI, 2013. Disponible en: https://www.gob.mx/cms/uploads/attachment/file/37009/cdi_protocolo_consulta_pueblos_indigenas_2014.pdf     Fecha de consulta 06 de enero de 2017.</w:t>
      </w:r>
    </w:p>
  </w:footnote>
  <w:footnote w:id="2">
    <w:p w14:paraId="3C89C172"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Suprema Corte de Justicia de la Nación. </w:t>
      </w:r>
      <w:r w:rsidRPr="00791BA0">
        <w:rPr>
          <w:rFonts w:ascii="Arial" w:hAnsi="Arial" w:cs="Arial"/>
          <w:i/>
        </w:rPr>
        <w:t>Protocolo de actuación para quienes imparten justicia en casos que involucren derechos de personas, comunidades y pueblos indígenas</w:t>
      </w:r>
      <w:r w:rsidRPr="00791BA0">
        <w:rPr>
          <w:rFonts w:ascii="Arial" w:hAnsi="Arial" w:cs="Arial"/>
        </w:rPr>
        <w:t>. Segunda edición. Disponible en: http://www.sitios.scjn.gob.mx/codhap/protocolo-de-actuaci%C3%B3n-para-quienes-imparten-justicia-en-casos-que-involucren-personas-comunidades-y Fecha de consulta 06 de octubre de 2016.</w:t>
      </w:r>
    </w:p>
  </w:footnote>
  <w:footnote w:id="3">
    <w:p w14:paraId="0BCF1878"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Pr>
          <w:rFonts w:ascii="Arial" w:hAnsi="Arial" w:cs="Arial"/>
        </w:rPr>
        <w:t xml:space="preserve"> Sobre el caso del proyecto "Acueducto Independencia"</w:t>
      </w:r>
      <w:r w:rsidRPr="00791BA0">
        <w:rPr>
          <w:rFonts w:ascii="Arial" w:hAnsi="Arial" w:cs="Arial"/>
        </w:rPr>
        <w:t>, en el estado de Sonora. Disponible en: http://www.cndh.org.mx/sites/all/doc/Recomendaciones/2012/Rec_2012_037.pdf</w:t>
      </w:r>
    </w:p>
  </w:footnote>
  <w:footnote w:id="4">
    <w:p w14:paraId="22EA7635" w14:textId="77777777" w:rsidR="007A0161" w:rsidRPr="00791BA0" w:rsidRDefault="007A0161" w:rsidP="00C14708">
      <w:pPr>
        <w:pStyle w:val="Textonotapie"/>
        <w:jc w:val="both"/>
        <w:rPr>
          <w:rFonts w:ascii="Arial" w:hAnsi="Arial" w:cs="Arial"/>
        </w:rPr>
      </w:pPr>
      <w:r w:rsidRPr="00791BA0">
        <w:rPr>
          <w:rFonts w:ascii="Arial" w:hAnsi="Arial" w:cs="Arial"/>
        </w:rPr>
        <w:footnoteRef/>
      </w:r>
      <w:r w:rsidRPr="00791BA0">
        <w:rPr>
          <w:rFonts w:ascii="Arial" w:hAnsi="Arial" w:cs="Arial"/>
        </w:rPr>
        <w:t xml:space="preserve"> Sobre la violación de los derechos humanos colectivos a la consulta, uso y disfrute de los territorios indígenas, identidad cultural, medio ambiente sano, agua potable y saneamiento y protección de la salud del pueblo Wixárika en Wirikuta. Disponible en: http://www.cndh.org.mx/sites/all/doc/Recomendaciones/2012/Rec_2012_056.pdf</w:t>
      </w:r>
    </w:p>
  </w:footnote>
  <w:footnote w:id="5">
    <w:p w14:paraId="17C59517" w14:textId="77777777" w:rsidR="007A0161" w:rsidRPr="00791BA0" w:rsidRDefault="007A0161" w:rsidP="00C14708">
      <w:pPr>
        <w:pStyle w:val="Textonotapie"/>
        <w:jc w:val="both"/>
        <w:rPr>
          <w:rFonts w:ascii="Arial" w:hAnsi="Arial" w:cs="Arial"/>
        </w:rPr>
      </w:pPr>
      <w:r w:rsidRPr="00791BA0">
        <w:rPr>
          <w:rFonts w:ascii="Arial" w:hAnsi="Arial" w:cs="Arial"/>
        </w:rPr>
        <w:footnoteRef/>
      </w:r>
      <w:r w:rsidRPr="00791BA0">
        <w:rPr>
          <w:rFonts w:ascii="Arial" w:hAnsi="Arial" w:cs="Arial"/>
        </w:rPr>
        <w:t xml:space="preserve"> Sobre el caso de vulneración al derecho a una consulta libre, previa e informada, en perjuicio de diversas comunidades indígenas. Disponible en: http://www.cndh.org.mx/sites/all/doc/Recomendaciones/2015/Rec_2015_023.pdf</w:t>
      </w:r>
    </w:p>
  </w:footnote>
  <w:footnote w:id="6">
    <w:p w14:paraId="11F551EC"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Sobre el caso de vulneración al derecho a la propiedad colectiva en relación con la obligación de garantizar el derecho a la consulta previa de las comunidades indígenas afectadas con la construcción de la “autopista Toluca-Naucalpan”. Disponible en: http://www.cndh.org.mx/sites/all/doc/Recomendaciones/2016/Rec_2016_056.pdf</w:t>
      </w:r>
    </w:p>
  </w:footnote>
  <w:footnote w:id="7">
    <w:p w14:paraId="0B5497EA"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Sobre el Derecho a la consulta previa de los pueblos y comunidades indígenas de la República Mexicana. Disponible en: http://www.cndh.org.mx/sites/all/doc/Recomendaciones/generales/RecGral_027.pdf</w:t>
      </w:r>
    </w:p>
  </w:footnote>
  <w:footnote w:id="8">
    <w:p w14:paraId="4754A2EE" w14:textId="77777777" w:rsidR="007A0161" w:rsidRPr="00791BA0" w:rsidRDefault="007A0161" w:rsidP="00283DAA">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OIT. Políticas de formalización del trabajo doméstico remunerado en América Latina y el Caribe. Perú, 2016. Páginas 20 y 23. Disponible en: http://www.ilo.org/americas/temas/econom%C3%ADa-informal/WCMS_480352/lang--es/index.htm  Fecha de consulta 07 de septiembre de 2016.</w:t>
      </w:r>
    </w:p>
  </w:footnote>
  <w:footnote w:id="9">
    <w:p w14:paraId="14FB63C6"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https://www.oecd.org/fr/mexique/Employment-Outlook-Mexico-ES.pdf  Fecha de consulta 31 de agosto de 2016.</w:t>
      </w:r>
    </w:p>
  </w:footnote>
  <w:footnote w:id="10">
    <w:p w14:paraId="0B2F5835"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http://www3.inegi.org.mx/sistemas/temas/default.aspx?s=est&amp;c=25433&amp;t=1</w:t>
      </w:r>
    </w:p>
  </w:footnote>
  <w:footnote w:id="11">
    <w:p w14:paraId="3257A25A"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http://www.cndh.org.mx/sites/all/doc//OtrosDocumentos/Doc_2016_018.pdf  Fecha de consulta diez de agosto de 2016.</w:t>
      </w:r>
    </w:p>
  </w:footnote>
  <w:footnote w:id="12">
    <w:p w14:paraId="66FC19E7" w14:textId="77777777" w:rsidR="007A0161" w:rsidRPr="007401E7" w:rsidRDefault="007A0161" w:rsidP="007C14B2">
      <w:pPr>
        <w:pStyle w:val="Textonotapie"/>
        <w:jc w:val="both"/>
        <w:rPr>
          <w:rFonts w:ascii="Arial" w:hAnsi="Arial" w:cs="Arial"/>
        </w:rPr>
      </w:pPr>
      <w:r w:rsidRPr="009366D9">
        <w:rPr>
          <w:rStyle w:val="Refdenotaalpie"/>
          <w:rFonts w:ascii="Arial" w:hAnsi="Arial" w:cs="Arial"/>
        </w:rPr>
        <w:footnoteRef/>
      </w:r>
      <w:r w:rsidRPr="009366D9">
        <w:rPr>
          <w:rFonts w:ascii="Arial" w:hAnsi="Arial" w:cs="Arial"/>
        </w:rPr>
        <w:t xml:space="preserve"> Consejo de Derechos Humanos. </w:t>
      </w:r>
      <w:r w:rsidRPr="009366D9">
        <w:rPr>
          <w:rFonts w:ascii="Arial" w:hAnsi="Arial" w:cs="Arial"/>
          <w:i/>
        </w:rPr>
        <w:t>Informe del Relator Especial sobre una vivienda adecuada como parte del derecho a un nivel de vida adecuado, y sobre el derecho a la no discriminación, Sr. Miloon Kothari</w:t>
      </w:r>
      <w:r w:rsidRPr="009366D9">
        <w:rPr>
          <w:rFonts w:ascii="Arial" w:hAnsi="Arial" w:cs="Arial"/>
        </w:rPr>
        <w:t xml:space="preserve">, E/CN.4/2003/5/Add.3. Párrafo 25.  En </w:t>
      </w:r>
      <w:hyperlink r:id="rId1" w:history="1">
        <w:r w:rsidRPr="009366D9">
          <w:rPr>
            <w:rStyle w:val="Hipervnculo"/>
            <w:rFonts w:ascii="Arial" w:hAnsi="Arial" w:cs="Arial"/>
          </w:rPr>
          <w:t>http://observatoriopoliticasocial.org/sitioAnterior/images/PDF/</w:t>
        </w:r>
      </w:hyperlink>
      <w:r w:rsidRPr="009366D9">
        <w:rPr>
          <w:rFonts w:ascii="Arial" w:hAnsi="Arial" w:cs="Arial"/>
        </w:rPr>
        <w:t xml:space="preserve"> Biblioteca/biblioteca_2010/ONU_docs/Informes_relatores/Vivienda/informe_relator_especial_vivienda_adecuada_mar_2003.pdf Fecha de consulta: mayo de 2016.</w:t>
      </w:r>
    </w:p>
  </w:footnote>
  <w:footnote w:id="13">
    <w:p w14:paraId="707AB07F" w14:textId="77777777" w:rsidR="007A0161" w:rsidRPr="009366D9" w:rsidRDefault="007A0161" w:rsidP="007C14B2">
      <w:pPr>
        <w:pStyle w:val="Textonotapie"/>
        <w:jc w:val="both"/>
        <w:rPr>
          <w:lang w:val="es-ES_tradnl"/>
        </w:rPr>
      </w:pPr>
      <w:r>
        <w:rPr>
          <w:rStyle w:val="Refdenotaalpie"/>
        </w:rPr>
        <w:footnoteRef/>
      </w:r>
      <w:r>
        <w:t xml:space="preserve"> </w:t>
      </w:r>
      <w:r>
        <w:rPr>
          <w:rFonts w:ascii="Arial" w:hAnsi="Arial" w:cs="Arial"/>
        </w:rPr>
        <w:t>Comité de Derechos Económicos, Sociales y Culturales,</w:t>
      </w:r>
      <w:r w:rsidRPr="007401E7">
        <w:rPr>
          <w:rFonts w:ascii="Arial" w:hAnsi="Arial" w:cs="Arial"/>
        </w:rPr>
        <w:t xml:space="preserve"> </w:t>
      </w:r>
      <w:r w:rsidRPr="00D45333">
        <w:rPr>
          <w:rFonts w:ascii="Arial" w:hAnsi="Arial" w:cs="Arial"/>
          <w:i/>
        </w:rPr>
        <w:t xml:space="preserve">Examen de los informes presentados por los </w:t>
      </w:r>
      <w:r w:rsidRPr="009366D9">
        <w:rPr>
          <w:rFonts w:ascii="Arial" w:hAnsi="Arial" w:cs="Arial"/>
          <w:i/>
        </w:rPr>
        <w:t>estados partes de conformidad con los artículos 16 y 17 del Pacto.</w:t>
      </w:r>
      <w:r w:rsidRPr="009366D9">
        <w:rPr>
          <w:rFonts w:ascii="Arial" w:hAnsi="Arial" w:cs="Arial"/>
        </w:rPr>
        <w:t xml:space="preserve"> E/C.12/1/Add.41, Párrafo 20. Disponible en</w:t>
      </w:r>
      <w:r w:rsidRPr="009366D9">
        <w:t xml:space="preserve"> </w:t>
      </w:r>
      <w:hyperlink r:id="rId2" w:history="1">
        <w:r w:rsidRPr="009366D9">
          <w:rPr>
            <w:rStyle w:val="Hipervnculo"/>
            <w:rFonts w:ascii="Arial" w:hAnsi="Arial" w:cs="Arial"/>
          </w:rPr>
          <w:t>https://documents-ddsny.un.org/doc/UNDOC/GEN/G99/461/98/PDF/G9946198.pdf?Open Element</w:t>
        </w:r>
      </w:hyperlink>
      <w:r w:rsidRPr="009366D9">
        <w:rPr>
          <w:rFonts w:ascii="Arial" w:hAnsi="Arial" w:cs="Arial"/>
        </w:rPr>
        <w:t xml:space="preserve"> Fecha de consulta: junio de 2016.</w:t>
      </w:r>
    </w:p>
  </w:footnote>
  <w:footnote w:id="14">
    <w:p w14:paraId="2DD1E276" w14:textId="77777777" w:rsidR="007A0161" w:rsidRPr="009366D9" w:rsidRDefault="007A0161" w:rsidP="007C14B2">
      <w:pPr>
        <w:pStyle w:val="Textonotapie"/>
        <w:jc w:val="both"/>
        <w:rPr>
          <w:rFonts w:ascii="Arial" w:hAnsi="Arial" w:cs="Arial"/>
        </w:rPr>
      </w:pPr>
      <w:r w:rsidRPr="009366D9">
        <w:rPr>
          <w:rStyle w:val="Refdenotaalpie"/>
          <w:rFonts w:ascii="Arial" w:hAnsi="Arial" w:cs="Arial"/>
        </w:rPr>
        <w:footnoteRef/>
      </w:r>
      <w:r w:rsidRPr="009366D9">
        <w:rPr>
          <w:rFonts w:ascii="Arial" w:hAnsi="Arial" w:cs="Arial"/>
        </w:rPr>
        <w:t xml:space="preserve"> Comité de Derechos Económicos, Sociales y Culturales, </w:t>
      </w:r>
      <w:r w:rsidRPr="009366D9">
        <w:rPr>
          <w:rFonts w:ascii="Arial" w:hAnsi="Arial" w:cs="Arial"/>
          <w:i/>
        </w:rPr>
        <w:t>Examen de los informes presentados por los estados partes de conformidad con los artículos 16 y 17 del Pacto.</w:t>
      </w:r>
      <w:r w:rsidRPr="009366D9">
        <w:rPr>
          <w:rFonts w:ascii="Arial" w:hAnsi="Arial" w:cs="Arial"/>
        </w:rPr>
        <w:t xml:space="preserve"> E/C.12/MEX/CO/4, Párrafos 13 y 31. Disponible en:  </w:t>
      </w:r>
      <w:hyperlink r:id="rId3" w:history="1">
        <w:r w:rsidRPr="009366D9">
          <w:rPr>
            <w:rStyle w:val="Hipervnculo"/>
            <w:rFonts w:ascii="Arial" w:hAnsi="Arial" w:cs="Arial"/>
          </w:rPr>
          <w:t>http://tbinternet.ohchr.org/_layouts/treatybodyexternal/Download.aspx?symbolno=E/</w:t>
        </w:r>
      </w:hyperlink>
      <w:r w:rsidRPr="009366D9">
        <w:rPr>
          <w:rFonts w:ascii="Arial" w:hAnsi="Arial" w:cs="Arial"/>
        </w:rPr>
        <w:t xml:space="preserve"> C.12/MEX/CO/4&amp;Lang=Sp  Fecha de consulta: mayo de 2016.</w:t>
      </w:r>
    </w:p>
  </w:footnote>
  <w:footnote w:id="15">
    <w:p w14:paraId="67E9991D" w14:textId="77777777" w:rsidR="007A0161" w:rsidRPr="007401E7" w:rsidRDefault="007A0161" w:rsidP="007C14B2">
      <w:pPr>
        <w:pStyle w:val="Textonotapie"/>
        <w:jc w:val="both"/>
        <w:rPr>
          <w:rFonts w:ascii="Arial" w:hAnsi="Arial" w:cs="Arial"/>
        </w:rPr>
      </w:pPr>
      <w:r w:rsidRPr="009366D9">
        <w:rPr>
          <w:rStyle w:val="Refdenotaalpie"/>
          <w:rFonts w:ascii="Arial" w:hAnsi="Arial" w:cs="Arial"/>
        </w:rPr>
        <w:footnoteRef/>
      </w:r>
      <w:r w:rsidRPr="009366D9">
        <w:rPr>
          <w:rFonts w:ascii="Arial" w:hAnsi="Arial" w:cs="Arial"/>
        </w:rPr>
        <w:t xml:space="preserve"> Oficina en México del Alto Comisionado de las Naciones Unidas para los Derechos Humanos, </w:t>
      </w:r>
      <w:r w:rsidRPr="009366D9">
        <w:rPr>
          <w:rFonts w:ascii="Arial" w:hAnsi="Arial" w:cs="Arial"/>
          <w:i/>
        </w:rPr>
        <w:t>Derechos Humanos de las Mujeres. México.</w:t>
      </w:r>
      <w:r w:rsidRPr="009366D9">
        <w:rPr>
          <w:rFonts w:ascii="Arial" w:hAnsi="Arial" w:cs="Arial"/>
        </w:rPr>
        <w:t xml:space="preserve"> 2007. Disponible </w:t>
      </w:r>
      <w:hyperlink r:id="rId4" w:history="1">
        <w:r w:rsidRPr="009366D9">
          <w:rPr>
            <w:rStyle w:val="Hipervnculo"/>
            <w:rFonts w:ascii="Arial" w:hAnsi="Arial" w:cs="Arial"/>
          </w:rPr>
          <w:t>http://www.hchr.org.mx/index.php?option</w:t>
        </w:r>
      </w:hyperlink>
      <w:r w:rsidRPr="009366D9">
        <w:rPr>
          <w:rFonts w:ascii="Arial" w:hAnsi="Arial" w:cs="Arial"/>
        </w:rPr>
        <w:t>= com_content&amp;view=article&amp;id=135:actualizacion-del-capitulo-5-derechos-humanos-de-las-mujeres-del-diagnostico-sobre-la-situacion-de-los-derechos-humanos-en-mexico-2006&amp;catid=2&amp;Itemid=278 Fecha de consulta: mayo de 2016.</w:t>
      </w:r>
    </w:p>
  </w:footnote>
  <w:footnote w:id="16">
    <w:p w14:paraId="07A3DBFC" w14:textId="77777777" w:rsidR="007A0161" w:rsidRPr="00580B95" w:rsidRDefault="007A0161">
      <w:pPr>
        <w:pStyle w:val="Textonotapie"/>
        <w:rPr>
          <w:rFonts w:ascii="Arial" w:hAnsi="Arial" w:cs="Arial"/>
        </w:rPr>
      </w:pPr>
      <w:r w:rsidRPr="00580B95">
        <w:rPr>
          <w:rStyle w:val="Refdenotaalpie"/>
          <w:rFonts w:ascii="Arial" w:hAnsi="Arial" w:cs="Arial"/>
        </w:rPr>
        <w:footnoteRef/>
      </w:r>
      <w:r w:rsidRPr="00580B95">
        <w:rPr>
          <w:rFonts w:ascii="Arial" w:hAnsi="Arial" w:cs="Arial"/>
        </w:rPr>
        <w:t xml:space="preserve"> Sobre el caso del Albergue de los Jornaleros Agrícolas en Yerécuaro, Michoacán. Disponible en: </w:t>
      </w:r>
      <w:hyperlink r:id="rId5" w:history="1">
        <w:r w:rsidRPr="00580B95">
          <w:rPr>
            <w:rStyle w:val="Hipervnculo"/>
            <w:rFonts w:ascii="Arial" w:hAnsi="Arial" w:cs="Arial"/>
          </w:rPr>
          <w:t>http://www.cndh.org.mx/sites/all/doc/Recomendaciones/2015/Rec_2015_037.pdf</w:t>
        </w:r>
      </w:hyperlink>
      <w:r w:rsidRPr="00580B95">
        <w:rPr>
          <w:rFonts w:ascii="Arial" w:hAnsi="Arial" w:cs="Arial"/>
        </w:rPr>
        <w:t xml:space="preserve"> </w:t>
      </w:r>
    </w:p>
  </w:footnote>
  <w:footnote w:id="17">
    <w:p w14:paraId="343AFBFC" w14:textId="77777777" w:rsidR="007A0161" w:rsidRPr="00580B95" w:rsidRDefault="007A0161">
      <w:pPr>
        <w:pStyle w:val="Textonotapie"/>
        <w:rPr>
          <w:rFonts w:ascii="Arial" w:hAnsi="Arial" w:cs="Arial"/>
        </w:rPr>
      </w:pPr>
      <w:r w:rsidRPr="00580B95">
        <w:rPr>
          <w:rStyle w:val="Refdenotaalpie"/>
          <w:rFonts w:ascii="Arial" w:hAnsi="Arial" w:cs="Arial"/>
        </w:rPr>
        <w:footnoteRef/>
      </w:r>
      <w:r w:rsidRPr="00580B95">
        <w:rPr>
          <w:rFonts w:ascii="Arial" w:hAnsi="Arial" w:cs="Arial"/>
        </w:rPr>
        <w:t xml:space="preserve"> Sobre el caso de las y los jornaleros agrícolas indígenas Rarámuris (Tarahumaras) de Baja California Sur. Disponible en: </w:t>
      </w:r>
      <w:hyperlink r:id="rId6" w:history="1">
        <w:r w:rsidRPr="00580B95">
          <w:rPr>
            <w:rStyle w:val="Hipervnculo"/>
            <w:rFonts w:ascii="Arial" w:hAnsi="Arial" w:cs="Arial"/>
          </w:rPr>
          <w:t>http://www.cndh.org.mx/sites/all/doc/Recomendaciones/2016/Rec_2016_028.pdf</w:t>
        </w:r>
      </w:hyperlink>
      <w:r w:rsidRPr="00580B95">
        <w:rPr>
          <w:rFonts w:ascii="Arial" w:hAnsi="Arial" w:cs="Arial"/>
        </w:rPr>
        <w:t xml:space="preserve"> </w:t>
      </w:r>
    </w:p>
  </w:footnote>
  <w:footnote w:id="18">
    <w:p w14:paraId="55E1B72E" w14:textId="77777777" w:rsidR="007A0161" w:rsidRDefault="007A0161">
      <w:pPr>
        <w:pStyle w:val="Textonotapie"/>
      </w:pPr>
      <w:r w:rsidRPr="00580B95">
        <w:rPr>
          <w:rStyle w:val="Refdenotaalpie"/>
          <w:rFonts w:ascii="Arial" w:hAnsi="Arial" w:cs="Arial"/>
        </w:rPr>
        <w:footnoteRef/>
      </w:r>
      <w:r w:rsidRPr="00580B95">
        <w:rPr>
          <w:rFonts w:ascii="Arial" w:hAnsi="Arial" w:cs="Arial"/>
        </w:rPr>
        <w:t xml:space="preserve"> Sobre el caso de las violaciones a los derechos al libre desarrollo de la personalidad, al trato digno y al interés superior de la niñez, al derecho al trabajo, a la seguridad jurídica y a la procuración de justicia, en agravio de V1, V2, V3, V4 y demás jornaleros agrícolas indígenas localizados en una finca de Villa Juárez, San Luis Potosí. Disponible en: </w:t>
      </w:r>
      <w:hyperlink r:id="rId7" w:history="1">
        <w:r w:rsidRPr="00580B95">
          <w:rPr>
            <w:rStyle w:val="Hipervnculo"/>
            <w:rFonts w:ascii="Arial" w:hAnsi="Arial" w:cs="Arial"/>
          </w:rPr>
          <w:t>http://www.cndh.org.mx/sites/all/doc/Recomendaciones/2016/Rec_2016_070.pdf</w:t>
        </w:r>
      </w:hyperlink>
      <w:r w:rsidRPr="00580B95">
        <w:rPr>
          <w:rFonts w:ascii="Arial" w:hAnsi="Arial" w:cs="Arial"/>
        </w:rPr>
        <w:t xml:space="preserve"> </w:t>
      </w:r>
    </w:p>
  </w:footnote>
  <w:footnote w:id="19">
    <w:p w14:paraId="4F3D483C"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Poder Judicial Federal. Tesis P./J. 43/99. México, Seminario Judicial de la Federación y su Gaceta IX, Mayo de 1999, Novena Época. Página 5. Disponible en http://sjf.scjn.gob.mx/SJFSist/paginas/DetalleGeneralV2.aspx?Epoca=1e3e10000000000&amp;Apendice=1000000000000&amp;Expresion=SINDICACI%25C3%2593N%2520%25C3%259ANICA.%2520LAS%2520LEYES%2520O%2520ESTATUTOS%2520&amp;Dominio=Rubro,Texto&amp;TA_TJ=2&amp;Orden=1&amp;Clase=DetalleTesisBL&amp;NumTE=2&amp;Epp=20&amp;Desde=-100&amp;Hasta=-100&amp;Index=0&amp;InstanciasSeleccionadas=6,1,2,50,7&amp;ID=193868&amp;Hit=2&amp;IDs=189779,193868&amp;tipoTesis=&amp;Semanario=0&amp;tabla=&amp;Referencia=&amp;Tema=</w:t>
      </w:r>
    </w:p>
  </w:footnote>
  <w:footnote w:id="20">
    <w:p w14:paraId="7D090E8B"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Poder Judicial Federal. Tesis I.13o.T.43 L (10ª.) México, Seminario Judicial de la Federación y su Gaceta, XIV, Noviembre de 2012, Tomo 3. Décima época. Página 1973. http://sjf.scjn.gob.mx/SJFSist/paginas/DetalleGeneralV2.aspx?Epoca=1e3e10000000000&amp;Apendice=1000000000000&amp;Expresion=EL%2520ART%25C3%258DCULO%252054%2520DE%2520LA%2520LEY%2520FEDERAL%2520RELATIVA%2C%2520AL%2520DISPONER%2520&amp;Dominio=Rubro,Texto&amp;TA_TJ=2&amp;Orden=1&amp;Clase=DetalleTesisBL&amp;NumTE=2&amp;Epp=20&amp;Desde=-100&amp;Hasta=-100&amp;Index=0&amp;InstanciasSeleccionadas=6,1,2,50,7&amp;ID=2002211&amp;Hit=2&amp;IDs=159827,2002211&amp;tipoTesis=&amp;Semanario=0&amp;tabla=&amp;Referencia=&amp;Tema=</w:t>
      </w:r>
    </w:p>
  </w:footnote>
  <w:footnote w:id="21">
    <w:p w14:paraId="5F7FE826"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Evaluación de los primeros resultados de la Reforma Laboral.  Disponible en: http://www.cefp.gob.mx/publicaciones/documento/2015/noviembre/cefp0232015.pdf</w:t>
      </w:r>
    </w:p>
  </w:footnote>
  <w:footnote w:id="22">
    <w:p w14:paraId="48F9EB2C" w14:textId="77777777" w:rsidR="007A0161" w:rsidRPr="00791BA0" w:rsidRDefault="007A0161" w:rsidP="00C82F87">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http://www.fesmex.org/common/Documentos/Ponencias/Paper_AP_Tasa_de_Sindicalizacion_JavierAguilar_Dic2010.pdf Fecha de consulta 05 de septiembre de 2016.</w:t>
      </w:r>
    </w:p>
  </w:footnote>
  <w:footnote w:id="23">
    <w:p w14:paraId="36BFCA01" w14:textId="77777777" w:rsidR="007A0161" w:rsidRPr="00791BA0" w:rsidRDefault="007A0161" w:rsidP="00C14708">
      <w:pPr>
        <w:pStyle w:val="Textonotapie"/>
        <w:jc w:val="both"/>
        <w:rPr>
          <w:rFonts w:ascii="Arial" w:hAnsi="Arial" w:cs="Arial"/>
        </w:rPr>
      </w:pPr>
      <w:r w:rsidRPr="00791BA0">
        <w:rPr>
          <w:rStyle w:val="Refdenotaalpie"/>
          <w:rFonts w:ascii="Arial" w:hAnsi="Arial" w:cs="Arial"/>
        </w:rPr>
        <w:footnoteRef/>
      </w:r>
      <w:r w:rsidRPr="00791BA0">
        <w:rPr>
          <w:rFonts w:ascii="Arial" w:hAnsi="Arial" w:cs="Arial"/>
        </w:rPr>
        <w:t xml:space="preserve"> Situación del trabajo decente en México. Página Disponible en: http://www.ilo.org/wcmsp5/groups/public/@americas/@ro-lima/@ilo-mexico/documents/genericdocument/wcms_230532.pdf Fecha de consulta 11 de enero de 2017.</w:t>
      </w:r>
    </w:p>
  </w:footnote>
  <w:footnote w:id="24">
    <w:p w14:paraId="76B56C17" w14:textId="77777777" w:rsidR="007A0161" w:rsidRPr="00791BA0" w:rsidRDefault="007A0161">
      <w:pPr>
        <w:pStyle w:val="Textonotapie"/>
        <w:rPr>
          <w:rFonts w:ascii="Arial" w:hAnsi="Arial" w:cs="Arial"/>
        </w:rPr>
      </w:pPr>
      <w:r w:rsidRPr="00791BA0">
        <w:rPr>
          <w:rStyle w:val="Refdenotaalpie"/>
          <w:rFonts w:ascii="Arial" w:hAnsi="Arial" w:cs="Arial"/>
        </w:rPr>
        <w:footnoteRef/>
      </w:r>
      <w:r w:rsidRPr="00791BA0">
        <w:rPr>
          <w:rFonts w:ascii="Arial" w:hAnsi="Arial" w:cs="Arial"/>
        </w:rPr>
        <w:t xml:space="preserve"> Sobre el caso de limitación a la licencia de maternidad, en partos prematuros, por parte del Instituto de Seguridad y Servicios Sociales de los Trabajadores del Estado, en agravio de V1 y su menor hijo. Disponible en: http://www.cndh.org.mx/sites/all/doc/Recomendaciones/2013/Rec_2013_074.pdf</w:t>
      </w:r>
    </w:p>
  </w:footnote>
  <w:footnote w:id="25">
    <w:p w14:paraId="2900A57E" w14:textId="77777777" w:rsidR="007A0161" w:rsidRPr="00CD35DE" w:rsidRDefault="007A0161">
      <w:pPr>
        <w:pStyle w:val="Textonotapie"/>
        <w:rPr>
          <w:rFonts w:ascii="Arial" w:hAnsi="Arial" w:cs="Arial"/>
        </w:rPr>
      </w:pPr>
      <w:r w:rsidRPr="00CD35DE">
        <w:rPr>
          <w:rStyle w:val="Refdenotaalpie"/>
          <w:rFonts w:ascii="Arial" w:hAnsi="Arial" w:cs="Arial"/>
        </w:rPr>
        <w:footnoteRef/>
      </w:r>
      <w:r w:rsidRPr="00CD35DE">
        <w:rPr>
          <w:rFonts w:ascii="Arial" w:hAnsi="Arial" w:cs="Arial"/>
        </w:rPr>
        <w:t xml:space="preserve"> Artículo 4º, párrafo tercero. </w:t>
      </w:r>
    </w:p>
  </w:footnote>
  <w:footnote w:id="26">
    <w:p w14:paraId="18D9A56C" w14:textId="77777777" w:rsidR="007A0161" w:rsidRPr="001A282C" w:rsidRDefault="007A0161" w:rsidP="001A282C">
      <w:pPr>
        <w:pStyle w:val="Textonotapie"/>
        <w:rPr>
          <w:rFonts w:ascii="Arial" w:hAnsi="Arial" w:cs="Arial"/>
        </w:rPr>
      </w:pPr>
      <w:r w:rsidRPr="001A282C">
        <w:rPr>
          <w:rStyle w:val="Refdenotaalpie"/>
          <w:rFonts w:ascii="Arial" w:hAnsi="Arial" w:cs="Arial"/>
        </w:rPr>
        <w:footnoteRef/>
      </w:r>
      <w:r w:rsidRPr="001A282C">
        <w:rPr>
          <w:rFonts w:ascii="Arial" w:hAnsi="Arial" w:cs="Arial"/>
        </w:rPr>
        <w:t xml:space="preserve"> Consejo Nacional de Evaluación de la Pol</w:t>
      </w:r>
      <w:r>
        <w:rPr>
          <w:rFonts w:ascii="Arial" w:hAnsi="Arial" w:cs="Arial"/>
        </w:rPr>
        <w:t>ítica de Desarrollo Social</w:t>
      </w:r>
      <w:r w:rsidRPr="001A282C">
        <w:rPr>
          <w:rFonts w:ascii="Arial" w:hAnsi="Arial" w:cs="Arial"/>
          <w:i/>
        </w:rPr>
        <w:t>. Anexo Estadístico de la Pobreza en México</w:t>
      </w:r>
      <w:r w:rsidRPr="001A282C">
        <w:rPr>
          <w:rFonts w:ascii="Arial" w:hAnsi="Arial" w:cs="Arial"/>
        </w:rPr>
        <w:t xml:space="preserve">, 2014. Disponible en: </w:t>
      </w:r>
      <w:hyperlink r:id="rId8" w:history="1">
        <w:r w:rsidRPr="001A282C">
          <w:rPr>
            <w:rStyle w:val="Hipervnculo"/>
            <w:rFonts w:ascii="Arial" w:hAnsi="Arial" w:cs="Arial"/>
          </w:rPr>
          <w:t>http://www.coneval.org.mx/Medicion/MP/Paginas/AE_pobreza_2014.aspx</w:t>
        </w:r>
      </w:hyperlink>
      <w:r w:rsidRPr="001A282C">
        <w:rPr>
          <w:rFonts w:ascii="Arial" w:hAnsi="Arial" w:cs="Arial"/>
        </w:rPr>
        <w:t xml:space="preserve"> </w:t>
      </w:r>
    </w:p>
  </w:footnote>
  <w:footnote w:id="27">
    <w:p w14:paraId="70ABE11F" w14:textId="77777777" w:rsidR="007A0161" w:rsidRPr="001A282C" w:rsidRDefault="007A0161">
      <w:pPr>
        <w:pStyle w:val="Textonotapie"/>
        <w:rPr>
          <w:rFonts w:ascii="Arial" w:hAnsi="Arial" w:cs="Arial"/>
        </w:rPr>
      </w:pPr>
      <w:r w:rsidRPr="001A282C">
        <w:rPr>
          <w:rStyle w:val="Refdenotaalpie"/>
          <w:rFonts w:ascii="Arial" w:hAnsi="Arial" w:cs="Arial"/>
        </w:rPr>
        <w:footnoteRef/>
      </w:r>
      <w:r w:rsidRPr="001A282C">
        <w:rPr>
          <w:rFonts w:ascii="Arial" w:hAnsi="Arial" w:cs="Arial"/>
        </w:rPr>
        <w:t xml:space="preserve"> </w:t>
      </w:r>
      <w:r>
        <w:rPr>
          <w:rFonts w:ascii="Arial" w:hAnsi="Arial" w:cs="Arial"/>
        </w:rPr>
        <w:t>Consejo de Derechos Humanos.</w:t>
      </w:r>
      <w:r w:rsidRPr="001A282C">
        <w:rPr>
          <w:rFonts w:ascii="Arial" w:hAnsi="Arial" w:cs="Arial"/>
        </w:rPr>
        <w:t xml:space="preserve"> </w:t>
      </w:r>
      <w:r w:rsidRPr="001A282C">
        <w:rPr>
          <w:rFonts w:ascii="Arial" w:hAnsi="Arial" w:cs="Arial"/>
          <w:i/>
        </w:rPr>
        <w:t>Informe del Relator Especial sobre el derecho a la alimentación, Olivier De Schutter, en su misión a México,</w:t>
      </w:r>
      <w:r>
        <w:rPr>
          <w:rFonts w:ascii="Arial" w:hAnsi="Arial" w:cs="Arial"/>
        </w:rPr>
        <w:t xml:space="preserve"> 2012. Disponible en: </w:t>
      </w:r>
      <w:hyperlink r:id="rId9" w:history="1">
        <w:r w:rsidRPr="00C628D7">
          <w:rPr>
            <w:rStyle w:val="Hipervnculo"/>
            <w:rFonts w:ascii="Arial" w:hAnsi="Arial" w:cs="Arial"/>
          </w:rPr>
          <w:t>https://documents-dds-ny.un.org/doc/UNDOC/GEN/G12/101/54/PDF/G1210154.pdf?OpenElement</w:t>
        </w:r>
      </w:hyperlink>
      <w:r>
        <w:rPr>
          <w:rFonts w:ascii="Arial" w:hAnsi="Arial" w:cs="Arial"/>
        </w:rPr>
        <w:t xml:space="preserve"> </w:t>
      </w:r>
    </w:p>
  </w:footnote>
  <w:footnote w:id="28">
    <w:p w14:paraId="2647C4A7" w14:textId="6E6045E7" w:rsidR="007A0161" w:rsidRPr="0088530A" w:rsidRDefault="007A0161">
      <w:pPr>
        <w:pStyle w:val="Textonotapie"/>
        <w:rPr>
          <w:rFonts w:ascii="Arial" w:hAnsi="Arial" w:cs="Arial"/>
        </w:rPr>
      </w:pPr>
      <w:r w:rsidRPr="0088530A">
        <w:rPr>
          <w:rStyle w:val="Refdenotaalpie"/>
          <w:rFonts w:ascii="Arial" w:hAnsi="Arial" w:cs="Arial"/>
        </w:rPr>
        <w:footnoteRef/>
      </w:r>
      <w:r w:rsidRPr="0088530A">
        <w:rPr>
          <w:rFonts w:ascii="Arial" w:hAnsi="Arial" w:cs="Arial"/>
        </w:rPr>
        <w:t xml:space="preserve"> Sobre el caso de violaciones a los derechos a la legalidad y seguridad jurídica en agravio de V1, V2, V3, V4, V5, V6, V7, V8, V9, V10, V11, V12 y V13, y al derecho de petición en relación con la obligación de garantizar los principios de legalidad y seguridad jurídica, en agravio de V14, por la Comisión para la Regularización de la Tenencia de la Tierra. Disponible en: </w:t>
      </w:r>
      <w:hyperlink r:id="rId10" w:history="1">
        <w:r w:rsidRPr="0088530A">
          <w:rPr>
            <w:rStyle w:val="Hipervnculo"/>
            <w:rFonts w:ascii="Arial" w:hAnsi="Arial" w:cs="Arial"/>
          </w:rPr>
          <w:t>http://www.cndh.org.mx/sites/all/doc/Recomendaciones/2016/Rec_2016_052.pdf</w:t>
        </w:r>
      </w:hyperlink>
      <w:r w:rsidRPr="0088530A">
        <w:rPr>
          <w:rFonts w:ascii="Arial" w:hAnsi="Arial" w:cs="Arial"/>
        </w:rPr>
        <w:t xml:space="preserve"> </w:t>
      </w:r>
    </w:p>
  </w:footnote>
  <w:footnote w:id="29">
    <w:p w14:paraId="0CE847A5" w14:textId="77777777" w:rsidR="007A0161" w:rsidRPr="00AD33D6" w:rsidRDefault="007A0161" w:rsidP="00BF3E95">
      <w:pPr>
        <w:pStyle w:val="Textonotapie"/>
        <w:jc w:val="both"/>
        <w:rPr>
          <w:rFonts w:ascii="Arial" w:hAnsi="Arial" w:cs="Arial"/>
        </w:rPr>
      </w:pPr>
      <w:r w:rsidRPr="00AD33D6">
        <w:rPr>
          <w:rStyle w:val="Refdenotaalpie"/>
          <w:rFonts w:ascii="Arial" w:hAnsi="Arial" w:cs="Arial"/>
        </w:rPr>
        <w:footnoteRef/>
      </w:r>
      <w:r w:rsidRPr="00AD33D6">
        <w:rPr>
          <w:rFonts w:ascii="Arial" w:hAnsi="Arial" w:cs="Arial"/>
        </w:rPr>
        <w:t xml:space="preserve"> Diario Oficial de la Federación el 20 de abril del 2015. Segunda Sección, Poder Ejecutivo, Secretaría de Medio Ambiente y Recursos Naturales. Acuerdo por el que se actualiza la disponibilidad media anual de agua subterránea de los 653 acuíferos de los Estados Unidos Mexicanos, mismos que forman parte de las regiones hidrológico-administrativas que se indican. Disponible en http://www.conagua.gob.mx/CONAGUA07/Noticias/DOF_20_04_2015_DAS.pdf Fecha de consulta 24 de agosto de 2016.</w:t>
      </w:r>
    </w:p>
  </w:footnote>
  <w:footnote w:id="30">
    <w:p w14:paraId="46112F47" w14:textId="77777777" w:rsidR="007A0161" w:rsidRPr="00AD33D6" w:rsidRDefault="007A0161" w:rsidP="00BF3E95">
      <w:pPr>
        <w:pStyle w:val="Textonotapie"/>
        <w:jc w:val="both"/>
        <w:rPr>
          <w:rFonts w:ascii="Arial" w:hAnsi="Arial" w:cs="Arial"/>
        </w:rPr>
      </w:pPr>
      <w:r w:rsidRPr="00AD33D6">
        <w:rPr>
          <w:rStyle w:val="Refdenotaalpie"/>
          <w:rFonts w:ascii="Arial" w:hAnsi="Arial" w:cs="Arial"/>
        </w:rPr>
        <w:footnoteRef/>
      </w:r>
      <w:r w:rsidRPr="00AD33D6">
        <w:rPr>
          <w:rFonts w:ascii="Arial" w:hAnsi="Arial" w:cs="Arial"/>
        </w:rPr>
        <w:t xml:space="preserve"> Diario Oficial de la Federación del 7 de julio de 2016. Segunda Sección, Poder Ejecutivo, Secretaría de Medio Ambiente y Recursos Naturales. Acuerdo por el que se actualiza la disponibilidad media anual de las aguas nacionales superficiales de las 757 cuencas hidrológicas que comprenden las 37 regiones hidrológicas en que se encuentra dividido los Estados Unidos Mexicanos. Disponible en  http://www.conagua.gob.mx/CONAGUA07/Noticias/2016_07_07_MAT_semarnat2a.pdf Fecha de consulta 24 de agosto de 2016.</w:t>
      </w:r>
    </w:p>
  </w:footnote>
  <w:footnote w:id="31">
    <w:p w14:paraId="1C4F8253" w14:textId="77777777" w:rsidR="007A0161" w:rsidRPr="00AD33D6" w:rsidRDefault="007A0161" w:rsidP="00BF3E95">
      <w:pPr>
        <w:pStyle w:val="Textonotapie"/>
        <w:jc w:val="both"/>
        <w:rPr>
          <w:rFonts w:ascii="Arial" w:hAnsi="Arial" w:cs="Arial"/>
        </w:rPr>
      </w:pPr>
      <w:r w:rsidRPr="00AD33D6">
        <w:rPr>
          <w:rStyle w:val="Refdenotaalpie"/>
          <w:rFonts w:ascii="Arial" w:hAnsi="Arial" w:cs="Arial"/>
        </w:rPr>
        <w:footnoteRef/>
      </w:r>
      <w:r w:rsidRPr="00AD33D6">
        <w:rPr>
          <w:rFonts w:ascii="Arial" w:hAnsi="Arial" w:cs="Arial"/>
        </w:rPr>
        <w:t xml:space="preserve"> Estadísticas a propósito del día mundial del agua (22 de marzo). Disponible en: http://www.inegi.org.mx/saladeprensa/aproposito/2016/agua2016_0.pdf Fecha de consulta 17 de agosto de 2016. </w:t>
      </w:r>
    </w:p>
  </w:footnote>
  <w:footnote w:id="32">
    <w:p w14:paraId="20BB942B" w14:textId="03C5F329" w:rsidR="007A0161" w:rsidRPr="00BA141B" w:rsidRDefault="007A0161">
      <w:pPr>
        <w:pStyle w:val="Textonotapie"/>
        <w:rPr>
          <w:rFonts w:ascii="Arial" w:hAnsi="Arial" w:cs="Arial"/>
        </w:rPr>
      </w:pPr>
      <w:r w:rsidRPr="00BA141B">
        <w:rPr>
          <w:rStyle w:val="Refdenotaalpie"/>
          <w:rFonts w:ascii="Arial" w:hAnsi="Arial" w:cs="Arial"/>
        </w:rPr>
        <w:footnoteRef/>
      </w:r>
      <w:r w:rsidRPr="00BA141B">
        <w:rPr>
          <w:rFonts w:ascii="Arial" w:hAnsi="Arial" w:cs="Arial"/>
        </w:rPr>
        <w:t xml:space="preserve"> Comisión Nacional de los Derechos Humanos. </w:t>
      </w:r>
      <w:r w:rsidRPr="00BA141B">
        <w:rPr>
          <w:rFonts w:ascii="Arial" w:hAnsi="Arial" w:cs="Arial"/>
          <w:i/>
        </w:rPr>
        <w:t>Pronunciamiento del Consejo Consultivo de la Comisión Nacional de los Derechos Humanos en relación con los hechos de violencia que se han registrado en algunas entidades de la República derivados de manifestaciones y protestas magisteriales.</w:t>
      </w:r>
      <w:r w:rsidRPr="00BA141B">
        <w:rPr>
          <w:rFonts w:ascii="Arial" w:hAnsi="Arial" w:cs="Arial"/>
        </w:rPr>
        <w:t xml:space="preserve"> Comunicado de Prensa CGCP/161/16, del 13 de junio de 2016. Disponible en: </w:t>
      </w:r>
      <w:hyperlink r:id="rId11" w:history="1">
        <w:r w:rsidRPr="00BA141B">
          <w:rPr>
            <w:rStyle w:val="Hipervnculo"/>
            <w:rFonts w:ascii="Arial" w:hAnsi="Arial" w:cs="Arial"/>
          </w:rPr>
          <w:t>http://www.cndh.org.mx/sites/all/doc/Comunicados/2016/Com_2016_161.pdf</w:t>
        </w:r>
      </w:hyperlink>
      <w:r w:rsidRPr="00BA141B">
        <w:rPr>
          <w:rFonts w:ascii="Arial" w:hAnsi="Arial" w:cs="Arial"/>
        </w:rPr>
        <w:t xml:space="preserve"> </w:t>
      </w:r>
    </w:p>
  </w:footnote>
  <w:footnote w:id="33">
    <w:p w14:paraId="5C043590" w14:textId="77777777" w:rsidR="007A0161" w:rsidRPr="00BA141B" w:rsidRDefault="007A0161" w:rsidP="00BA141B">
      <w:pPr>
        <w:pStyle w:val="Textonotapie"/>
        <w:rPr>
          <w:rFonts w:ascii="Arial" w:hAnsi="Arial" w:cs="Arial"/>
        </w:rPr>
      </w:pPr>
      <w:r w:rsidRPr="00BA141B">
        <w:rPr>
          <w:rStyle w:val="Refdenotaalpie"/>
          <w:rFonts w:ascii="Arial" w:hAnsi="Arial" w:cs="Arial"/>
        </w:rPr>
        <w:footnoteRef/>
      </w:r>
      <w:r w:rsidRPr="00BA141B">
        <w:rPr>
          <w:rFonts w:ascii="Arial" w:hAnsi="Arial" w:cs="Arial"/>
        </w:rPr>
        <w:t xml:space="preserve"> Consejo Nacional de Evaluación de la Política de Desarrollo Social</w:t>
      </w:r>
      <w:r w:rsidRPr="00BA141B">
        <w:rPr>
          <w:rFonts w:ascii="Arial" w:hAnsi="Arial" w:cs="Arial"/>
          <w:i/>
        </w:rPr>
        <w:t>. Anexo Estadístico de la Pobreza en México</w:t>
      </w:r>
      <w:r w:rsidRPr="00BA141B">
        <w:rPr>
          <w:rFonts w:ascii="Arial" w:hAnsi="Arial" w:cs="Arial"/>
        </w:rPr>
        <w:t xml:space="preserve">, 2014. Disponible en: </w:t>
      </w:r>
      <w:hyperlink r:id="rId12" w:history="1">
        <w:r w:rsidRPr="00BA141B">
          <w:rPr>
            <w:rStyle w:val="Hipervnculo"/>
            <w:rFonts w:ascii="Arial" w:hAnsi="Arial" w:cs="Arial"/>
          </w:rPr>
          <w:t>http://www.coneval.org.mx/Medicion/MP/Paginas/AE_pobreza_2014.aspx</w:t>
        </w:r>
      </w:hyperlink>
      <w:r w:rsidRPr="00BA141B">
        <w:rPr>
          <w:rFonts w:ascii="Arial" w:hAnsi="Arial" w:cs="Arial"/>
        </w:rPr>
        <w:t xml:space="preserve"> </w:t>
      </w:r>
    </w:p>
    <w:p w14:paraId="09EA10DD" w14:textId="4E23AABF" w:rsidR="007A0161" w:rsidRDefault="007A0161">
      <w:pPr>
        <w:pStyle w:val="Textonotapie"/>
      </w:pPr>
    </w:p>
  </w:footnote>
  <w:footnote w:id="34">
    <w:p w14:paraId="5BBF8410" w14:textId="77F2B057" w:rsidR="007A0161" w:rsidRPr="006117A8" w:rsidRDefault="007A0161" w:rsidP="006117A8">
      <w:pPr>
        <w:pStyle w:val="Textonotapie"/>
        <w:jc w:val="both"/>
        <w:rPr>
          <w:rFonts w:ascii="Arial" w:hAnsi="Arial" w:cs="Arial"/>
        </w:rPr>
      </w:pPr>
      <w:r w:rsidRPr="006117A8">
        <w:rPr>
          <w:rStyle w:val="Refdenotaalpie"/>
          <w:rFonts w:ascii="Arial" w:hAnsi="Arial" w:cs="Arial"/>
        </w:rPr>
        <w:footnoteRef/>
      </w:r>
      <w:r w:rsidRPr="006117A8">
        <w:rPr>
          <w:rFonts w:ascii="Arial" w:hAnsi="Arial" w:cs="Arial"/>
        </w:rPr>
        <w:t xml:space="preserve"> </w:t>
      </w:r>
      <w:r w:rsidRPr="006117A8">
        <w:rPr>
          <w:rFonts w:ascii="Arial" w:hAnsi="Arial" w:cs="Arial"/>
          <w:i/>
        </w:rPr>
        <w:t>Decreto por el que se reforman, adicionan y derogan diversas disposiciones de la Ley Orgánica de la Administración Pública Federal, así como de otras leyes para crear la Secretaría de Cultura</w:t>
      </w:r>
      <w:r w:rsidRPr="006117A8">
        <w:rPr>
          <w:rFonts w:ascii="Arial" w:hAnsi="Arial" w:cs="Arial"/>
        </w:rPr>
        <w:t xml:space="preserve">, publicado en el Diario Oficial de la Federación el 17 de diciembre de 2015.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C7EDF"/>
    <w:multiLevelType w:val="hybridMultilevel"/>
    <w:tmpl w:val="13225D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27E06ADD"/>
    <w:multiLevelType w:val="hybridMultilevel"/>
    <w:tmpl w:val="7660E430"/>
    <w:lvl w:ilvl="0" w:tplc="569E7246">
      <w:numFmt w:val="bullet"/>
      <w:lvlText w:val=""/>
      <w:lvlJc w:val="left"/>
      <w:pPr>
        <w:ind w:left="720" w:hanging="360"/>
      </w:pPr>
      <w:rPr>
        <w:rFonts w:ascii="Symbol" w:eastAsiaTheme="minorHAns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8CE7353"/>
    <w:multiLevelType w:val="hybridMultilevel"/>
    <w:tmpl w:val="DA84AD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72D659E8"/>
    <w:multiLevelType w:val="hybridMultilevel"/>
    <w:tmpl w:val="D096AF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halia Viveros Uehara">
    <w15:presenceInfo w15:providerId="AD" w15:userId="S-1-5-21-1645522239-854245398-682003330-273347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056"/>
    <w:rsid w:val="00020195"/>
    <w:rsid w:val="000375FA"/>
    <w:rsid w:val="000540F3"/>
    <w:rsid w:val="00065052"/>
    <w:rsid w:val="00081B6A"/>
    <w:rsid w:val="000862D4"/>
    <w:rsid w:val="000C3915"/>
    <w:rsid w:val="000D291D"/>
    <w:rsid w:val="001306E0"/>
    <w:rsid w:val="001370D3"/>
    <w:rsid w:val="00146502"/>
    <w:rsid w:val="00150F7D"/>
    <w:rsid w:val="001645B7"/>
    <w:rsid w:val="001A007B"/>
    <w:rsid w:val="001A282C"/>
    <w:rsid w:val="001E34D2"/>
    <w:rsid w:val="00212DDB"/>
    <w:rsid w:val="0023599A"/>
    <w:rsid w:val="00251CD3"/>
    <w:rsid w:val="00283720"/>
    <w:rsid w:val="00283DAA"/>
    <w:rsid w:val="002906DC"/>
    <w:rsid w:val="002B0AEA"/>
    <w:rsid w:val="002B44C0"/>
    <w:rsid w:val="002D63E8"/>
    <w:rsid w:val="002E507E"/>
    <w:rsid w:val="002E5822"/>
    <w:rsid w:val="00310AA6"/>
    <w:rsid w:val="00316B7C"/>
    <w:rsid w:val="00327FCF"/>
    <w:rsid w:val="003319B1"/>
    <w:rsid w:val="003556E4"/>
    <w:rsid w:val="0035646E"/>
    <w:rsid w:val="003576FF"/>
    <w:rsid w:val="00395150"/>
    <w:rsid w:val="003A26D0"/>
    <w:rsid w:val="004148A9"/>
    <w:rsid w:val="004328F2"/>
    <w:rsid w:val="0046327B"/>
    <w:rsid w:val="004A1277"/>
    <w:rsid w:val="004A6F6E"/>
    <w:rsid w:val="004B4EA6"/>
    <w:rsid w:val="004C2519"/>
    <w:rsid w:val="004D4752"/>
    <w:rsid w:val="004D5775"/>
    <w:rsid w:val="004E1FD9"/>
    <w:rsid w:val="005061AF"/>
    <w:rsid w:val="005366C8"/>
    <w:rsid w:val="00580B95"/>
    <w:rsid w:val="00584E7E"/>
    <w:rsid w:val="005931F0"/>
    <w:rsid w:val="005A3682"/>
    <w:rsid w:val="005B420B"/>
    <w:rsid w:val="005E1372"/>
    <w:rsid w:val="006117A8"/>
    <w:rsid w:val="0063294A"/>
    <w:rsid w:val="006667A5"/>
    <w:rsid w:val="00676EF2"/>
    <w:rsid w:val="006801BB"/>
    <w:rsid w:val="006E4A70"/>
    <w:rsid w:val="0076541B"/>
    <w:rsid w:val="00781E94"/>
    <w:rsid w:val="007840B5"/>
    <w:rsid w:val="00785755"/>
    <w:rsid w:val="00791BA0"/>
    <w:rsid w:val="007A0161"/>
    <w:rsid w:val="007C14B2"/>
    <w:rsid w:val="007D0B0F"/>
    <w:rsid w:val="007F1CB7"/>
    <w:rsid w:val="008346B8"/>
    <w:rsid w:val="008707D4"/>
    <w:rsid w:val="00876813"/>
    <w:rsid w:val="0088530A"/>
    <w:rsid w:val="00886BB2"/>
    <w:rsid w:val="00893DED"/>
    <w:rsid w:val="008F7B57"/>
    <w:rsid w:val="00924A1B"/>
    <w:rsid w:val="00926EE2"/>
    <w:rsid w:val="00944644"/>
    <w:rsid w:val="0097696E"/>
    <w:rsid w:val="009B0FFF"/>
    <w:rsid w:val="009C5153"/>
    <w:rsid w:val="009C7348"/>
    <w:rsid w:val="009D2DEF"/>
    <w:rsid w:val="009D6C51"/>
    <w:rsid w:val="00A01800"/>
    <w:rsid w:val="00A20EF8"/>
    <w:rsid w:val="00A216C5"/>
    <w:rsid w:val="00A441A6"/>
    <w:rsid w:val="00AC56F7"/>
    <w:rsid w:val="00AD42E3"/>
    <w:rsid w:val="00AD6873"/>
    <w:rsid w:val="00AE0D67"/>
    <w:rsid w:val="00AE6C55"/>
    <w:rsid w:val="00B2217F"/>
    <w:rsid w:val="00BA141B"/>
    <w:rsid w:val="00BA65CD"/>
    <w:rsid w:val="00BF3E95"/>
    <w:rsid w:val="00C05056"/>
    <w:rsid w:val="00C143B9"/>
    <w:rsid w:val="00C14708"/>
    <w:rsid w:val="00C31FEA"/>
    <w:rsid w:val="00C3710D"/>
    <w:rsid w:val="00C467CE"/>
    <w:rsid w:val="00C82F87"/>
    <w:rsid w:val="00C870D0"/>
    <w:rsid w:val="00CD35DE"/>
    <w:rsid w:val="00CD69B6"/>
    <w:rsid w:val="00D17C70"/>
    <w:rsid w:val="00D348CC"/>
    <w:rsid w:val="00D35AA9"/>
    <w:rsid w:val="00D41E94"/>
    <w:rsid w:val="00D573A6"/>
    <w:rsid w:val="00D62F05"/>
    <w:rsid w:val="00D81B51"/>
    <w:rsid w:val="00D87BA0"/>
    <w:rsid w:val="00D90C63"/>
    <w:rsid w:val="00D92998"/>
    <w:rsid w:val="00DE6FB8"/>
    <w:rsid w:val="00E05CF8"/>
    <w:rsid w:val="00E23F91"/>
    <w:rsid w:val="00E27CE9"/>
    <w:rsid w:val="00E34586"/>
    <w:rsid w:val="00E56A06"/>
    <w:rsid w:val="00E973D9"/>
    <w:rsid w:val="00EF08BA"/>
    <w:rsid w:val="00F37AC3"/>
    <w:rsid w:val="00F655FD"/>
    <w:rsid w:val="00F65C99"/>
    <w:rsid w:val="00F93103"/>
    <w:rsid w:val="00FC1010"/>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2FA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056"/>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FA Fu?notente,Ca,Text"/>
    <w:basedOn w:val="Normal"/>
    <w:link w:val="TextonotapieCar"/>
    <w:uiPriority w:val="99"/>
    <w:unhideWhenUsed/>
    <w:qFormat/>
    <w:rsid w:val="00D87BA0"/>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D87BA0"/>
    <w:rPr>
      <w:sz w:val="20"/>
      <w:szCs w:val="20"/>
    </w:rPr>
  </w:style>
  <w:style w:type="character" w:styleId="Refdenotaalpie">
    <w:name w:val="footnote reference"/>
    <w:aliases w:val="Texto de nota al pie,Appel note de bas de page,Footnotes refss,Footnote number,referencia nota al pie,BVI fnr,f,Texto nota al pie,4_G,16 Point,Superscript 6 Point,Footnote Reference Char3,Footnote Reference Char1 Char,ftref"/>
    <w:basedOn w:val="Fuentedeprrafopredeter"/>
    <w:uiPriority w:val="99"/>
    <w:unhideWhenUsed/>
    <w:qFormat/>
    <w:rsid w:val="00D87BA0"/>
    <w:rPr>
      <w:vertAlign w:val="superscript"/>
    </w:rPr>
  </w:style>
  <w:style w:type="paragraph" w:styleId="Prrafodelista">
    <w:name w:val="List Paragraph"/>
    <w:basedOn w:val="Normal"/>
    <w:uiPriority w:val="34"/>
    <w:qFormat/>
    <w:rsid w:val="00D348CC"/>
    <w:pPr>
      <w:ind w:left="720"/>
      <w:contextualSpacing/>
    </w:pPr>
  </w:style>
  <w:style w:type="paragraph" w:styleId="Encabezado">
    <w:name w:val="header"/>
    <w:basedOn w:val="Normal"/>
    <w:link w:val="EncabezadoCar"/>
    <w:uiPriority w:val="99"/>
    <w:unhideWhenUsed/>
    <w:rsid w:val="004A6F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6F6E"/>
  </w:style>
  <w:style w:type="paragraph" w:styleId="Piedepgina">
    <w:name w:val="footer"/>
    <w:basedOn w:val="Normal"/>
    <w:link w:val="PiedepginaCar"/>
    <w:uiPriority w:val="99"/>
    <w:unhideWhenUsed/>
    <w:rsid w:val="004A6F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6F6E"/>
  </w:style>
  <w:style w:type="paragraph" w:styleId="Textodeglobo">
    <w:name w:val="Balloon Text"/>
    <w:basedOn w:val="Normal"/>
    <w:link w:val="TextodegloboCar"/>
    <w:uiPriority w:val="99"/>
    <w:semiHidden/>
    <w:unhideWhenUsed/>
    <w:rsid w:val="001645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5B7"/>
    <w:rPr>
      <w:rFonts w:ascii="Tahoma" w:hAnsi="Tahoma" w:cs="Tahoma"/>
      <w:sz w:val="16"/>
      <w:szCs w:val="16"/>
    </w:rPr>
  </w:style>
  <w:style w:type="character" w:styleId="Hipervnculo">
    <w:name w:val="Hyperlink"/>
    <w:basedOn w:val="Fuentedeprrafopredeter"/>
    <w:uiPriority w:val="99"/>
    <w:unhideWhenUsed/>
    <w:rsid w:val="007C14B2"/>
    <w:rPr>
      <w:color w:val="0000FF" w:themeColor="hyperlink"/>
      <w:u w:val="single"/>
    </w:rPr>
  </w:style>
  <w:style w:type="character" w:styleId="Refdecomentario">
    <w:name w:val="annotation reference"/>
    <w:basedOn w:val="Fuentedeprrafopredeter"/>
    <w:uiPriority w:val="99"/>
    <w:semiHidden/>
    <w:unhideWhenUsed/>
    <w:rsid w:val="001A282C"/>
    <w:rPr>
      <w:sz w:val="16"/>
      <w:szCs w:val="16"/>
    </w:rPr>
  </w:style>
  <w:style w:type="paragraph" w:styleId="Textocomentario">
    <w:name w:val="annotation text"/>
    <w:basedOn w:val="Normal"/>
    <w:link w:val="TextocomentarioCar"/>
    <w:uiPriority w:val="99"/>
    <w:semiHidden/>
    <w:unhideWhenUsed/>
    <w:rsid w:val="001A282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A282C"/>
    <w:rPr>
      <w:sz w:val="20"/>
      <w:szCs w:val="20"/>
    </w:rPr>
  </w:style>
  <w:style w:type="paragraph" w:styleId="Asuntodelcomentario">
    <w:name w:val="annotation subject"/>
    <w:basedOn w:val="Textocomentario"/>
    <w:next w:val="Textocomentario"/>
    <w:link w:val="AsuntodelcomentarioCar"/>
    <w:uiPriority w:val="99"/>
    <w:semiHidden/>
    <w:unhideWhenUsed/>
    <w:rsid w:val="001A282C"/>
    <w:rPr>
      <w:b/>
      <w:bCs/>
    </w:rPr>
  </w:style>
  <w:style w:type="character" w:customStyle="1" w:styleId="AsuntodelcomentarioCar">
    <w:name w:val="Asunto del comentario Car"/>
    <w:basedOn w:val="TextocomentarioCar"/>
    <w:link w:val="Asuntodelcomentario"/>
    <w:uiPriority w:val="99"/>
    <w:semiHidden/>
    <w:rsid w:val="001A282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056"/>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FA Fu?notente,Ca,Text"/>
    <w:basedOn w:val="Normal"/>
    <w:link w:val="TextonotapieCar"/>
    <w:uiPriority w:val="99"/>
    <w:unhideWhenUsed/>
    <w:qFormat/>
    <w:rsid w:val="00D87BA0"/>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D87BA0"/>
    <w:rPr>
      <w:sz w:val="20"/>
      <w:szCs w:val="20"/>
    </w:rPr>
  </w:style>
  <w:style w:type="character" w:styleId="Refdenotaalpie">
    <w:name w:val="footnote reference"/>
    <w:aliases w:val="Texto de nota al pie,Appel note de bas de page,Footnotes refss,Footnote number,referencia nota al pie,BVI fnr,f,Texto nota al pie,4_G,16 Point,Superscript 6 Point,Footnote Reference Char3,Footnote Reference Char1 Char,ftref"/>
    <w:basedOn w:val="Fuentedeprrafopredeter"/>
    <w:uiPriority w:val="99"/>
    <w:unhideWhenUsed/>
    <w:qFormat/>
    <w:rsid w:val="00D87BA0"/>
    <w:rPr>
      <w:vertAlign w:val="superscript"/>
    </w:rPr>
  </w:style>
  <w:style w:type="paragraph" w:styleId="Prrafodelista">
    <w:name w:val="List Paragraph"/>
    <w:basedOn w:val="Normal"/>
    <w:uiPriority w:val="34"/>
    <w:qFormat/>
    <w:rsid w:val="00D348CC"/>
    <w:pPr>
      <w:ind w:left="720"/>
      <w:contextualSpacing/>
    </w:pPr>
  </w:style>
  <w:style w:type="paragraph" w:styleId="Encabezado">
    <w:name w:val="header"/>
    <w:basedOn w:val="Normal"/>
    <w:link w:val="EncabezadoCar"/>
    <w:uiPriority w:val="99"/>
    <w:unhideWhenUsed/>
    <w:rsid w:val="004A6F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6F6E"/>
  </w:style>
  <w:style w:type="paragraph" w:styleId="Piedepgina">
    <w:name w:val="footer"/>
    <w:basedOn w:val="Normal"/>
    <w:link w:val="PiedepginaCar"/>
    <w:uiPriority w:val="99"/>
    <w:unhideWhenUsed/>
    <w:rsid w:val="004A6F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6F6E"/>
  </w:style>
  <w:style w:type="paragraph" w:styleId="Textodeglobo">
    <w:name w:val="Balloon Text"/>
    <w:basedOn w:val="Normal"/>
    <w:link w:val="TextodegloboCar"/>
    <w:uiPriority w:val="99"/>
    <w:semiHidden/>
    <w:unhideWhenUsed/>
    <w:rsid w:val="001645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5B7"/>
    <w:rPr>
      <w:rFonts w:ascii="Tahoma" w:hAnsi="Tahoma" w:cs="Tahoma"/>
      <w:sz w:val="16"/>
      <w:szCs w:val="16"/>
    </w:rPr>
  </w:style>
  <w:style w:type="character" w:styleId="Hipervnculo">
    <w:name w:val="Hyperlink"/>
    <w:basedOn w:val="Fuentedeprrafopredeter"/>
    <w:uiPriority w:val="99"/>
    <w:unhideWhenUsed/>
    <w:rsid w:val="007C14B2"/>
    <w:rPr>
      <w:color w:val="0000FF" w:themeColor="hyperlink"/>
      <w:u w:val="single"/>
    </w:rPr>
  </w:style>
  <w:style w:type="character" w:styleId="Refdecomentario">
    <w:name w:val="annotation reference"/>
    <w:basedOn w:val="Fuentedeprrafopredeter"/>
    <w:uiPriority w:val="99"/>
    <w:semiHidden/>
    <w:unhideWhenUsed/>
    <w:rsid w:val="001A282C"/>
    <w:rPr>
      <w:sz w:val="16"/>
      <w:szCs w:val="16"/>
    </w:rPr>
  </w:style>
  <w:style w:type="paragraph" w:styleId="Textocomentario">
    <w:name w:val="annotation text"/>
    <w:basedOn w:val="Normal"/>
    <w:link w:val="TextocomentarioCar"/>
    <w:uiPriority w:val="99"/>
    <w:semiHidden/>
    <w:unhideWhenUsed/>
    <w:rsid w:val="001A282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A282C"/>
    <w:rPr>
      <w:sz w:val="20"/>
      <w:szCs w:val="20"/>
    </w:rPr>
  </w:style>
  <w:style w:type="paragraph" w:styleId="Asuntodelcomentario">
    <w:name w:val="annotation subject"/>
    <w:basedOn w:val="Textocomentario"/>
    <w:next w:val="Textocomentario"/>
    <w:link w:val="AsuntodelcomentarioCar"/>
    <w:uiPriority w:val="99"/>
    <w:semiHidden/>
    <w:unhideWhenUsed/>
    <w:rsid w:val="001A282C"/>
    <w:rPr>
      <w:b/>
      <w:bCs/>
    </w:rPr>
  </w:style>
  <w:style w:type="character" w:customStyle="1" w:styleId="AsuntodelcomentarioCar">
    <w:name w:val="Asunto del comentario Car"/>
    <w:basedOn w:val="TextocomentarioCar"/>
    <w:link w:val="Asuntodelcomentario"/>
    <w:uiPriority w:val="99"/>
    <w:semiHidden/>
    <w:rsid w:val="001A28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871109">
      <w:bodyDiv w:val="1"/>
      <w:marLeft w:val="0"/>
      <w:marRight w:val="0"/>
      <w:marTop w:val="0"/>
      <w:marBottom w:val="0"/>
      <w:divBdr>
        <w:top w:val="none" w:sz="0" w:space="0" w:color="auto"/>
        <w:left w:val="none" w:sz="0" w:space="0" w:color="auto"/>
        <w:bottom w:val="none" w:sz="0" w:space="0" w:color="auto"/>
        <w:right w:val="none" w:sz="0" w:space="0" w:color="auto"/>
      </w:divBdr>
    </w:div>
    <w:div w:id="1638955217">
      <w:bodyDiv w:val="1"/>
      <w:marLeft w:val="0"/>
      <w:marRight w:val="0"/>
      <w:marTop w:val="0"/>
      <w:marBottom w:val="0"/>
      <w:divBdr>
        <w:top w:val="none" w:sz="0" w:space="0" w:color="auto"/>
        <w:left w:val="none" w:sz="0" w:space="0" w:color="auto"/>
        <w:bottom w:val="none" w:sz="0" w:space="0" w:color="auto"/>
        <w:right w:val="none" w:sz="0" w:space="0" w:color="auto"/>
      </w:divBdr>
    </w:div>
    <w:div w:id="1661999612">
      <w:bodyDiv w:val="1"/>
      <w:marLeft w:val="0"/>
      <w:marRight w:val="0"/>
      <w:marTop w:val="0"/>
      <w:marBottom w:val="0"/>
      <w:divBdr>
        <w:top w:val="none" w:sz="0" w:space="0" w:color="auto"/>
        <w:left w:val="none" w:sz="0" w:space="0" w:color="auto"/>
        <w:bottom w:val="none" w:sz="0" w:space="0" w:color="auto"/>
        <w:right w:val="none" w:sz="0" w:space="0" w:color="auto"/>
      </w:divBdr>
    </w:div>
    <w:div w:id="176595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coneval.org.mx/Medicion/MP/Paginas/AE_pobreza_2014.aspx" TargetMode="External"/><Relationship Id="rId3" Type="http://schemas.openxmlformats.org/officeDocument/2006/relationships/hyperlink" Target="http://tbinternet.ohchr.org/_layouts/treatybodyexternal/Download.aspx?symbolno=E/" TargetMode="External"/><Relationship Id="rId7" Type="http://schemas.openxmlformats.org/officeDocument/2006/relationships/hyperlink" Target="http://www.cndh.org.mx/sites/all/doc/Recomendaciones/2016/Rec_2016_070.pdf" TargetMode="External"/><Relationship Id="rId12" Type="http://schemas.openxmlformats.org/officeDocument/2006/relationships/hyperlink" Target="http://www.coneval.org.mx/Medicion/MP/Paginas/AE_pobreza_2014.aspx" TargetMode="External"/><Relationship Id="rId2" Type="http://schemas.openxmlformats.org/officeDocument/2006/relationships/hyperlink" Target="https://documents-ddsny.un.org/doc/UNDOC/GEN/G99/461/98/PDF/G9946198.pdf?Open%20Element" TargetMode="External"/><Relationship Id="rId1" Type="http://schemas.openxmlformats.org/officeDocument/2006/relationships/hyperlink" Target="http://observatoriopoliticasocial.org/sitioAnterior/images/PDF/" TargetMode="External"/><Relationship Id="rId6" Type="http://schemas.openxmlformats.org/officeDocument/2006/relationships/hyperlink" Target="http://www.cndh.org.mx/sites/all/doc/Recomendaciones/2016/Rec_2016_028.pdf" TargetMode="External"/><Relationship Id="rId11" Type="http://schemas.openxmlformats.org/officeDocument/2006/relationships/hyperlink" Target="http://www.cndh.org.mx/sites/all/doc/Comunicados/2016/Com_2016_161.pdf" TargetMode="External"/><Relationship Id="rId5" Type="http://schemas.openxmlformats.org/officeDocument/2006/relationships/hyperlink" Target="http://www.cndh.org.mx/sites/all/doc/Recomendaciones/2015/Rec_2015_037.pdf" TargetMode="External"/><Relationship Id="rId10" Type="http://schemas.openxmlformats.org/officeDocument/2006/relationships/hyperlink" Target="http://www.cndh.org.mx/sites/all/doc/Recomendaciones/2016/Rec_2016_052.pdf" TargetMode="External"/><Relationship Id="rId4" Type="http://schemas.openxmlformats.org/officeDocument/2006/relationships/hyperlink" Target="http://www.hchr.org.mx/index.php?option" TargetMode="External"/><Relationship Id="rId9" Type="http://schemas.openxmlformats.org/officeDocument/2006/relationships/hyperlink" Target="https://documents-dds-ny.un.org/doc/UNDOC/GEN/G12/101/54/PDF/G1210154.pdf?OpenElemen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4E6B40-E0AA-4A2F-82B5-5CE6639B6156}"/>
</file>

<file path=customXml/itemProps2.xml><?xml version="1.0" encoding="utf-8"?>
<ds:datastoreItem xmlns:ds="http://schemas.openxmlformats.org/officeDocument/2006/customXml" ds:itemID="{9834C119-B53E-444A-95E8-593D2AE579F6}"/>
</file>

<file path=customXml/itemProps3.xml><?xml version="1.0" encoding="utf-8"?>
<ds:datastoreItem xmlns:ds="http://schemas.openxmlformats.org/officeDocument/2006/customXml" ds:itemID="{94F3F865-900F-45D6-998E-88F74BA4C81B}"/>
</file>

<file path=customXml/itemProps4.xml><?xml version="1.0" encoding="utf-8"?>
<ds:datastoreItem xmlns:ds="http://schemas.openxmlformats.org/officeDocument/2006/customXml" ds:itemID="{053D9467-5785-476B-BC05-D0F2B16368C8}"/>
</file>

<file path=docProps/app.xml><?xml version="1.0" encoding="utf-8"?>
<Properties xmlns="http://schemas.openxmlformats.org/officeDocument/2006/extended-properties" xmlns:vt="http://schemas.openxmlformats.org/officeDocument/2006/docPropsVTypes">
  <Template>Normal</Template>
  <TotalTime>6</TotalTime>
  <Pages>12</Pages>
  <Words>4022</Words>
  <Characters>22122</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COMISION NACIONAL DE LOS DERECHOS HUMANOS</Company>
  <LinksUpToDate>false</LinksUpToDate>
  <CharactersWithSpaces>26092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Marisol Hernandez Mendez</dc:creator>
  <cp:lastModifiedBy>Soporte</cp:lastModifiedBy>
  <cp:revision>4</cp:revision>
  <cp:lastPrinted>2017-01-20T20:03:00Z</cp:lastPrinted>
  <dcterms:created xsi:type="dcterms:W3CDTF">2017-01-20T19:52:00Z</dcterms:created>
  <dcterms:modified xsi:type="dcterms:W3CDTF">2017-01-20T20:06:00Z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