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810EBB3" w14:textId="3F2C3F2D" w:rsidR="003F57E4" w:rsidRDefault="00CD25A8" w:rsidP="00436285">
      <w:pPr>
        <w:pStyle w:val="BSubtitle"/>
        <w:spacing w:line="240" w:lineRule="auto"/>
      </w:pPr>
      <w:r>
        <w:rPr>
          <w:sz w:val="72"/>
          <w:szCs w:val="72"/>
        </w:rPr>
        <w:t>Finland</w:t>
      </w:r>
    </w:p>
    <w:p w14:paraId="747E2499" w14:textId="77777777" w:rsidR="00436285" w:rsidRPr="00B304D5" w:rsidRDefault="00436285" w:rsidP="00436285">
      <w:pPr>
        <w:rPr>
          <w:rFonts w:asciiTheme="majorHAnsi" w:hAnsiTheme="majorHAnsi"/>
          <w:sz w:val="44"/>
          <w:szCs w:val="44"/>
        </w:rPr>
      </w:pPr>
      <w:r w:rsidRPr="00B304D5">
        <w:rPr>
          <w:rFonts w:asciiTheme="majorHAnsi" w:hAnsiTheme="majorHAnsi"/>
          <w:sz w:val="48"/>
          <w:szCs w:val="48"/>
        </w:rPr>
        <w:t>S</w:t>
      </w:r>
      <w:r w:rsidRPr="00B304D5">
        <w:rPr>
          <w:rFonts w:asciiTheme="majorHAnsi" w:hAnsiTheme="majorHAnsi"/>
          <w:sz w:val="44"/>
          <w:szCs w:val="44"/>
        </w:rPr>
        <w:t xml:space="preserve">UBMISSION TO THE UN COMMITTEE ON THE ELIMINATION OF RACIAL DISCRIMINATION </w:t>
      </w:r>
    </w:p>
    <w:p w14:paraId="4C2F171B" w14:textId="7A9CF94D" w:rsidR="00065FFC" w:rsidRPr="00DB570D" w:rsidRDefault="0059086F" w:rsidP="49BF71E3">
      <w:pPr>
        <w:pStyle w:val="BSubtitle"/>
        <w:spacing w:line="240" w:lineRule="auto"/>
        <w:rPr>
          <w:b w:val="0"/>
        </w:rPr>
      </w:pPr>
      <w:r w:rsidRPr="0059086F">
        <w:rPr>
          <w:rFonts w:asciiTheme="majorHAnsi" w:eastAsiaTheme="minorHAnsi" w:hAnsiTheme="majorHAnsi"/>
          <w:b w:val="0"/>
          <w:caps w:val="0"/>
          <w:sz w:val="36"/>
          <w:szCs w:val="36"/>
          <w:shd w:val="clear" w:color="auto" w:fill="auto"/>
        </w:rPr>
        <w:t>118</w:t>
      </w:r>
      <w:r w:rsidRPr="00352DEE">
        <w:rPr>
          <w:rFonts w:asciiTheme="majorHAnsi" w:eastAsiaTheme="minorHAnsi" w:hAnsiTheme="majorHAnsi"/>
          <w:b w:val="0"/>
          <w:caps w:val="0"/>
          <w:sz w:val="36"/>
          <w:szCs w:val="36"/>
          <w:shd w:val="clear" w:color="auto" w:fill="auto"/>
          <w:vertAlign w:val="superscript"/>
        </w:rPr>
        <w:t>th</w:t>
      </w:r>
      <w:r w:rsidR="00352DEE">
        <w:rPr>
          <w:rFonts w:asciiTheme="majorHAnsi" w:eastAsiaTheme="minorHAnsi" w:hAnsiTheme="majorHAnsi"/>
          <w:b w:val="0"/>
          <w:caps w:val="0"/>
          <w:sz w:val="36"/>
          <w:szCs w:val="36"/>
          <w:shd w:val="clear" w:color="auto" w:fill="auto"/>
        </w:rPr>
        <w:t xml:space="preserve"> </w:t>
      </w:r>
      <w:r w:rsidRPr="0059086F">
        <w:rPr>
          <w:rFonts w:asciiTheme="majorHAnsi" w:eastAsiaTheme="minorHAnsi" w:hAnsiTheme="majorHAnsi"/>
          <w:b w:val="0"/>
          <w:caps w:val="0"/>
          <w:sz w:val="36"/>
          <w:szCs w:val="36"/>
          <w:shd w:val="clear" w:color="auto" w:fill="auto"/>
        </w:rPr>
        <w:t>session</w:t>
      </w:r>
      <w:r>
        <w:rPr>
          <w:rFonts w:asciiTheme="majorHAnsi" w:eastAsiaTheme="minorHAnsi" w:hAnsiTheme="majorHAnsi"/>
          <w:b w:val="0"/>
          <w:caps w:val="0"/>
          <w:sz w:val="36"/>
          <w:szCs w:val="36"/>
          <w:shd w:val="clear" w:color="auto" w:fill="auto"/>
        </w:rPr>
        <w:t>,</w:t>
      </w:r>
      <w:r w:rsidRPr="0059086F">
        <w:rPr>
          <w:rFonts w:asciiTheme="majorHAnsi" w:eastAsiaTheme="minorHAnsi" w:hAnsiTheme="majorHAnsi"/>
          <w:b w:val="0"/>
          <w:caps w:val="0"/>
          <w:sz w:val="36"/>
          <w:szCs w:val="36"/>
          <w:shd w:val="clear" w:color="auto" w:fill="auto"/>
        </w:rPr>
        <w:t xml:space="preserve"> 10 - 25 Aug</w:t>
      </w:r>
      <w:r w:rsidR="00352DEE">
        <w:rPr>
          <w:rFonts w:asciiTheme="majorHAnsi" w:eastAsiaTheme="minorHAnsi" w:hAnsiTheme="majorHAnsi"/>
          <w:b w:val="0"/>
          <w:caps w:val="0"/>
          <w:sz w:val="36"/>
          <w:szCs w:val="36"/>
          <w:shd w:val="clear" w:color="auto" w:fill="auto"/>
        </w:rPr>
        <w:t>ust</w:t>
      </w:r>
      <w:r w:rsidRPr="0059086F">
        <w:rPr>
          <w:rFonts w:asciiTheme="majorHAnsi" w:eastAsiaTheme="minorHAnsi" w:hAnsiTheme="majorHAnsi"/>
          <w:b w:val="0"/>
          <w:caps w:val="0"/>
          <w:sz w:val="36"/>
          <w:szCs w:val="36"/>
          <w:shd w:val="clear" w:color="auto" w:fill="auto"/>
        </w:rPr>
        <w:t xml:space="preserve"> 2026</w:t>
      </w:r>
    </w:p>
    <w:p w14:paraId="459641EC" w14:textId="77777777" w:rsidR="00065FFC" w:rsidRDefault="00065FFC" w:rsidP="00B0223B"/>
    <w:p w14:paraId="515BDB13" w14:textId="77777777" w:rsidR="002B05E8" w:rsidRDefault="002B05E8" w:rsidP="00B0223B">
      <w:pPr>
        <w:sectPr w:rsidR="002B05E8" w:rsidSect="00E10AFB">
          <w:headerReference w:type="default" r:id="rId8"/>
          <w:footerReference w:type="default" r:id="rId9"/>
          <w:headerReference w:type="first" r:id="rId10"/>
          <w:footerReference w:type="first" r:id="rId11"/>
          <w:pgSz w:w="11906" w:h="16838" w:code="9"/>
          <w:pgMar w:top="1474" w:right="1418" w:bottom="1418" w:left="1418" w:header="709" w:footer="709" w:gutter="0"/>
          <w:cols w:space="708"/>
          <w:titlePg/>
          <w:docGrid w:linePitch="360"/>
        </w:sectPr>
      </w:pPr>
    </w:p>
    <w:p w14:paraId="306BCFC7" w14:textId="37691711" w:rsidR="00065FFC" w:rsidRDefault="005D6062" w:rsidP="00B0223B">
      <w:r w:rsidRPr="0009139D">
        <w:rPr>
          <w:rStyle w:val="TOC2Char"/>
          <w:sz w:val="36"/>
          <w:szCs w:val="36"/>
        </w:rPr>
        <w:drawing>
          <wp:anchor distT="0" distB="144145" distL="114300" distR="114300" simplePos="0" relativeHeight="251661824" behindDoc="1" locked="1" layoutInCell="1" allowOverlap="1" wp14:anchorId="1D8924D2" wp14:editId="736246C1">
            <wp:simplePos x="0" y="0"/>
            <wp:positionH relativeFrom="margin">
              <wp:posOffset>1373505</wp:posOffset>
            </wp:positionH>
            <wp:positionV relativeFrom="margin">
              <wp:posOffset>2472690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3E00C118" w:rsidR="00162896" w:rsidRDefault="00065FFC" w:rsidP="00065FFC">
      <w:pPr>
        <w:pStyle w:val="BContentsheading"/>
      </w:pPr>
      <w:r w:rsidRPr="00065FFC">
        <w:lastRenderedPageBreak/>
        <w:t>Contents</w:t>
      </w:r>
    </w:p>
    <w:p w14:paraId="6B222481" w14:textId="437AD22C" w:rsidR="00DF7C7E"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33898079" w:history="1">
        <w:r w:rsidR="00DF7C7E" w:rsidRPr="0051775F">
          <w:rPr>
            <w:rStyle w:val="Hyperlink"/>
          </w:rPr>
          <w:t>1.</w:t>
        </w:r>
        <w:r w:rsidR="00DF7C7E">
          <w:rPr>
            <w:rFonts w:asciiTheme="minorHAnsi" w:eastAsiaTheme="minorEastAsia" w:hAnsiTheme="minorHAnsi" w:cstheme="minorBidi"/>
            <w:b w:val="0"/>
            <w:bCs w:val="0"/>
            <w:caps w:val="0"/>
            <w:color w:val="auto"/>
            <w:kern w:val="2"/>
            <w:sz w:val="24"/>
            <w:szCs w:val="24"/>
            <w:u w:val="none"/>
            <w14:ligatures w14:val="standardContextual"/>
          </w:rPr>
          <w:tab/>
        </w:r>
        <w:r w:rsidR="00DF7C7E" w:rsidRPr="0051775F">
          <w:rPr>
            <w:rStyle w:val="Hyperlink"/>
          </w:rPr>
          <w:t>INTRODUCTION</w:t>
        </w:r>
        <w:r w:rsidR="00DF7C7E">
          <w:rPr>
            <w:webHidden/>
          </w:rPr>
          <w:tab/>
        </w:r>
        <w:r w:rsidR="00DF7C7E">
          <w:rPr>
            <w:webHidden/>
          </w:rPr>
          <w:fldChar w:fldCharType="begin"/>
        </w:r>
        <w:r w:rsidR="00DF7C7E">
          <w:rPr>
            <w:webHidden/>
          </w:rPr>
          <w:instrText xml:space="preserve"> PAGEREF _Toc233898079 \h </w:instrText>
        </w:r>
        <w:r w:rsidR="00DF7C7E">
          <w:rPr>
            <w:webHidden/>
          </w:rPr>
        </w:r>
        <w:r w:rsidR="00DF7C7E">
          <w:rPr>
            <w:webHidden/>
          </w:rPr>
          <w:fldChar w:fldCharType="separate"/>
        </w:r>
        <w:r w:rsidR="00DF7C7E">
          <w:rPr>
            <w:webHidden/>
          </w:rPr>
          <w:t>3</w:t>
        </w:r>
        <w:r w:rsidR="00DF7C7E">
          <w:rPr>
            <w:webHidden/>
          </w:rPr>
          <w:fldChar w:fldCharType="end"/>
        </w:r>
      </w:hyperlink>
    </w:p>
    <w:p w14:paraId="17DF6087" w14:textId="2B4A5604" w:rsidR="00DF7C7E" w:rsidRDefault="00DF7C7E">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33898080" w:history="1">
        <w:r w:rsidRPr="0051775F">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51775F">
          <w:rPr>
            <w:rStyle w:val="Hyperlink"/>
          </w:rPr>
          <w:t>RACIAL DISCRIMINATION, HATE SPEECH AND HATE CRIMES (ARTICLES 2 - 7)</w:t>
        </w:r>
        <w:r>
          <w:rPr>
            <w:webHidden/>
          </w:rPr>
          <w:tab/>
        </w:r>
        <w:r>
          <w:rPr>
            <w:webHidden/>
          </w:rPr>
          <w:fldChar w:fldCharType="begin"/>
        </w:r>
        <w:r>
          <w:rPr>
            <w:webHidden/>
          </w:rPr>
          <w:instrText xml:space="preserve"> PAGEREF _Toc233898080 \h </w:instrText>
        </w:r>
        <w:r>
          <w:rPr>
            <w:webHidden/>
          </w:rPr>
        </w:r>
        <w:r>
          <w:rPr>
            <w:webHidden/>
          </w:rPr>
          <w:fldChar w:fldCharType="separate"/>
        </w:r>
        <w:r>
          <w:rPr>
            <w:webHidden/>
          </w:rPr>
          <w:t>3</w:t>
        </w:r>
        <w:r>
          <w:rPr>
            <w:webHidden/>
          </w:rPr>
          <w:fldChar w:fldCharType="end"/>
        </w:r>
      </w:hyperlink>
    </w:p>
    <w:p w14:paraId="6F86D1AA" w14:textId="729E4D51"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1" w:history="1">
        <w:r w:rsidRPr="0051775F">
          <w:rPr>
            <w:rStyle w:val="Hyperlink"/>
          </w:rPr>
          <w:t>2.1</w:t>
        </w:r>
        <w:r>
          <w:rPr>
            <w:rFonts w:asciiTheme="minorHAnsi" w:eastAsiaTheme="minorEastAsia" w:hAnsiTheme="minorHAnsi" w:cstheme="minorBidi"/>
            <w:bCs w:val="0"/>
            <w:kern w:val="2"/>
            <w:sz w:val="24"/>
            <w:u w:val="none"/>
            <w14:ligatures w14:val="standardContextual"/>
          </w:rPr>
          <w:tab/>
        </w:r>
        <w:r w:rsidRPr="0051775F">
          <w:rPr>
            <w:rStyle w:val="Hyperlink"/>
          </w:rPr>
          <w:t>Legal, institutional and policy framework for combating racial discrimination, hate speech and hate crimes</w:t>
        </w:r>
        <w:r>
          <w:rPr>
            <w:webHidden/>
          </w:rPr>
          <w:tab/>
        </w:r>
        <w:r>
          <w:rPr>
            <w:webHidden/>
          </w:rPr>
          <w:fldChar w:fldCharType="begin"/>
        </w:r>
        <w:r>
          <w:rPr>
            <w:webHidden/>
          </w:rPr>
          <w:instrText xml:space="preserve"> PAGEREF _Toc233898081 \h </w:instrText>
        </w:r>
        <w:r>
          <w:rPr>
            <w:webHidden/>
          </w:rPr>
        </w:r>
        <w:r>
          <w:rPr>
            <w:webHidden/>
          </w:rPr>
          <w:fldChar w:fldCharType="separate"/>
        </w:r>
        <w:r>
          <w:rPr>
            <w:webHidden/>
          </w:rPr>
          <w:t>3</w:t>
        </w:r>
        <w:r>
          <w:rPr>
            <w:webHidden/>
          </w:rPr>
          <w:fldChar w:fldCharType="end"/>
        </w:r>
      </w:hyperlink>
    </w:p>
    <w:p w14:paraId="2226508F" w14:textId="7EBE9CAE"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2" w:history="1">
        <w:r w:rsidRPr="0051775F">
          <w:rPr>
            <w:rStyle w:val="Hyperlink"/>
          </w:rPr>
          <w:t>2.2</w:t>
        </w:r>
        <w:r>
          <w:rPr>
            <w:rFonts w:asciiTheme="minorHAnsi" w:eastAsiaTheme="minorEastAsia" w:hAnsiTheme="minorHAnsi" w:cstheme="minorBidi"/>
            <w:bCs w:val="0"/>
            <w:kern w:val="2"/>
            <w:sz w:val="24"/>
            <w:u w:val="none"/>
            <w14:ligatures w14:val="standardContextual"/>
          </w:rPr>
          <w:tab/>
        </w:r>
        <w:r w:rsidRPr="0051775F">
          <w:rPr>
            <w:rStyle w:val="Hyperlink"/>
          </w:rPr>
          <w:t>Prevalence of racial discrimination, hate speech and hate crimes</w:t>
        </w:r>
        <w:r>
          <w:rPr>
            <w:webHidden/>
          </w:rPr>
          <w:tab/>
        </w:r>
        <w:r>
          <w:rPr>
            <w:webHidden/>
          </w:rPr>
          <w:fldChar w:fldCharType="begin"/>
        </w:r>
        <w:r>
          <w:rPr>
            <w:webHidden/>
          </w:rPr>
          <w:instrText xml:space="preserve"> PAGEREF _Toc233898082 \h </w:instrText>
        </w:r>
        <w:r>
          <w:rPr>
            <w:webHidden/>
          </w:rPr>
        </w:r>
        <w:r>
          <w:rPr>
            <w:webHidden/>
          </w:rPr>
          <w:fldChar w:fldCharType="separate"/>
        </w:r>
        <w:r>
          <w:rPr>
            <w:webHidden/>
          </w:rPr>
          <w:t>4</w:t>
        </w:r>
        <w:r>
          <w:rPr>
            <w:webHidden/>
          </w:rPr>
          <w:fldChar w:fldCharType="end"/>
        </w:r>
      </w:hyperlink>
    </w:p>
    <w:p w14:paraId="32ED43B5" w14:textId="6545BF37"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3" w:history="1">
        <w:r w:rsidRPr="0051775F">
          <w:rPr>
            <w:rStyle w:val="Hyperlink"/>
          </w:rPr>
          <w:t>2.3</w:t>
        </w:r>
        <w:r>
          <w:rPr>
            <w:rFonts w:asciiTheme="minorHAnsi" w:eastAsiaTheme="minorEastAsia" w:hAnsiTheme="minorHAnsi" w:cstheme="minorBidi"/>
            <w:bCs w:val="0"/>
            <w:kern w:val="2"/>
            <w:sz w:val="24"/>
            <w:u w:val="none"/>
            <w14:ligatures w14:val="standardContextual"/>
          </w:rPr>
          <w:tab/>
        </w:r>
        <w:r w:rsidRPr="0051775F">
          <w:rPr>
            <w:rStyle w:val="Hyperlink"/>
          </w:rPr>
          <w:t>Under-reporting of racial discrimination and hate incidents</w:t>
        </w:r>
        <w:r>
          <w:rPr>
            <w:webHidden/>
          </w:rPr>
          <w:tab/>
        </w:r>
        <w:r>
          <w:rPr>
            <w:webHidden/>
          </w:rPr>
          <w:fldChar w:fldCharType="begin"/>
        </w:r>
        <w:r>
          <w:rPr>
            <w:webHidden/>
          </w:rPr>
          <w:instrText xml:space="preserve"> PAGEREF _Toc233898083 \h </w:instrText>
        </w:r>
        <w:r>
          <w:rPr>
            <w:webHidden/>
          </w:rPr>
        </w:r>
        <w:r>
          <w:rPr>
            <w:webHidden/>
          </w:rPr>
          <w:fldChar w:fldCharType="separate"/>
        </w:r>
        <w:r>
          <w:rPr>
            <w:webHidden/>
          </w:rPr>
          <w:t>5</w:t>
        </w:r>
        <w:r>
          <w:rPr>
            <w:webHidden/>
          </w:rPr>
          <w:fldChar w:fldCharType="end"/>
        </w:r>
      </w:hyperlink>
    </w:p>
    <w:p w14:paraId="534B54B7" w14:textId="1B3B5FF5"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4" w:history="1">
        <w:r w:rsidRPr="0051775F">
          <w:rPr>
            <w:rStyle w:val="Hyperlink"/>
          </w:rPr>
          <w:t>2.4</w:t>
        </w:r>
        <w:r>
          <w:rPr>
            <w:rFonts w:asciiTheme="minorHAnsi" w:eastAsiaTheme="minorEastAsia" w:hAnsiTheme="minorHAnsi" w:cstheme="minorBidi"/>
            <w:bCs w:val="0"/>
            <w:kern w:val="2"/>
            <w:sz w:val="24"/>
            <w:u w:val="none"/>
            <w14:ligatures w14:val="standardContextual"/>
          </w:rPr>
          <w:tab/>
        </w:r>
        <w:r w:rsidRPr="0051775F">
          <w:rPr>
            <w:rStyle w:val="Hyperlink"/>
          </w:rPr>
          <w:t>Recommendations</w:t>
        </w:r>
        <w:r>
          <w:rPr>
            <w:webHidden/>
          </w:rPr>
          <w:tab/>
        </w:r>
        <w:r>
          <w:rPr>
            <w:webHidden/>
          </w:rPr>
          <w:fldChar w:fldCharType="begin"/>
        </w:r>
        <w:r>
          <w:rPr>
            <w:webHidden/>
          </w:rPr>
          <w:instrText xml:space="preserve"> PAGEREF _Toc233898084 \h </w:instrText>
        </w:r>
        <w:r>
          <w:rPr>
            <w:webHidden/>
          </w:rPr>
        </w:r>
        <w:r>
          <w:rPr>
            <w:webHidden/>
          </w:rPr>
          <w:fldChar w:fldCharType="separate"/>
        </w:r>
        <w:r>
          <w:rPr>
            <w:webHidden/>
          </w:rPr>
          <w:t>6</w:t>
        </w:r>
        <w:r>
          <w:rPr>
            <w:webHidden/>
          </w:rPr>
          <w:fldChar w:fldCharType="end"/>
        </w:r>
      </w:hyperlink>
    </w:p>
    <w:p w14:paraId="0BFDC1C8" w14:textId="6A640FC8" w:rsidR="00DF7C7E" w:rsidRDefault="00DF7C7E">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33898085" w:history="1">
        <w:r w:rsidRPr="0051775F">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51775F">
          <w:rPr>
            <w:rStyle w:val="Hyperlink"/>
          </w:rPr>
          <w:t>Economic and social rights (ARTICLES 2 AND 5)</w:t>
        </w:r>
        <w:r>
          <w:rPr>
            <w:webHidden/>
          </w:rPr>
          <w:tab/>
        </w:r>
        <w:r>
          <w:rPr>
            <w:webHidden/>
          </w:rPr>
          <w:fldChar w:fldCharType="begin"/>
        </w:r>
        <w:r>
          <w:rPr>
            <w:webHidden/>
          </w:rPr>
          <w:instrText xml:space="preserve"> PAGEREF _Toc233898085 \h </w:instrText>
        </w:r>
        <w:r>
          <w:rPr>
            <w:webHidden/>
          </w:rPr>
        </w:r>
        <w:r>
          <w:rPr>
            <w:webHidden/>
          </w:rPr>
          <w:fldChar w:fldCharType="separate"/>
        </w:r>
        <w:r>
          <w:rPr>
            <w:webHidden/>
          </w:rPr>
          <w:t>7</w:t>
        </w:r>
        <w:r>
          <w:rPr>
            <w:webHidden/>
          </w:rPr>
          <w:fldChar w:fldCharType="end"/>
        </w:r>
      </w:hyperlink>
    </w:p>
    <w:p w14:paraId="20FFCC35" w14:textId="73762601"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6" w:history="1">
        <w:r w:rsidRPr="0051775F">
          <w:rPr>
            <w:rStyle w:val="Hyperlink"/>
          </w:rPr>
          <w:t>3.1</w:t>
        </w:r>
        <w:r>
          <w:rPr>
            <w:rFonts w:asciiTheme="minorHAnsi" w:eastAsiaTheme="minorEastAsia" w:hAnsiTheme="minorHAnsi" w:cstheme="minorBidi"/>
            <w:bCs w:val="0"/>
            <w:kern w:val="2"/>
            <w:sz w:val="24"/>
            <w:u w:val="none"/>
            <w14:ligatures w14:val="standardContextual"/>
          </w:rPr>
          <w:tab/>
        </w:r>
        <w:r w:rsidRPr="0051775F">
          <w:rPr>
            <w:rStyle w:val="Hyperlink"/>
          </w:rPr>
          <w:t>Right to adequate housing</w:t>
        </w:r>
        <w:r>
          <w:rPr>
            <w:webHidden/>
          </w:rPr>
          <w:tab/>
        </w:r>
        <w:r>
          <w:rPr>
            <w:webHidden/>
          </w:rPr>
          <w:fldChar w:fldCharType="begin"/>
        </w:r>
        <w:r>
          <w:rPr>
            <w:webHidden/>
          </w:rPr>
          <w:instrText xml:space="preserve"> PAGEREF _Toc233898086 \h </w:instrText>
        </w:r>
        <w:r>
          <w:rPr>
            <w:webHidden/>
          </w:rPr>
        </w:r>
        <w:r>
          <w:rPr>
            <w:webHidden/>
          </w:rPr>
          <w:fldChar w:fldCharType="separate"/>
        </w:r>
        <w:r>
          <w:rPr>
            <w:webHidden/>
          </w:rPr>
          <w:t>7</w:t>
        </w:r>
        <w:r>
          <w:rPr>
            <w:webHidden/>
          </w:rPr>
          <w:fldChar w:fldCharType="end"/>
        </w:r>
      </w:hyperlink>
    </w:p>
    <w:p w14:paraId="1049C9B9" w14:textId="1D737B08"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7" w:history="1">
        <w:r w:rsidRPr="0051775F">
          <w:rPr>
            <w:rStyle w:val="Hyperlink"/>
          </w:rPr>
          <w:t>3.2</w:t>
        </w:r>
        <w:r>
          <w:rPr>
            <w:rFonts w:asciiTheme="minorHAnsi" w:eastAsiaTheme="minorEastAsia" w:hAnsiTheme="minorHAnsi" w:cstheme="minorBidi"/>
            <w:bCs w:val="0"/>
            <w:kern w:val="2"/>
            <w:sz w:val="24"/>
            <w:u w:val="none"/>
            <w14:ligatures w14:val="standardContextual"/>
          </w:rPr>
          <w:tab/>
        </w:r>
        <w:r w:rsidRPr="0051775F">
          <w:rPr>
            <w:rStyle w:val="Hyperlink"/>
          </w:rPr>
          <w:t>Right to social security and an adequate standard of living</w:t>
        </w:r>
        <w:r>
          <w:rPr>
            <w:webHidden/>
          </w:rPr>
          <w:tab/>
        </w:r>
        <w:r>
          <w:rPr>
            <w:webHidden/>
          </w:rPr>
          <w:fldChar w:fldCharType="begin"/>
        </w:r>
        <w:r>
          <w:rPr>
            <w:webHidden/>
          </w:rPr>
          <w:instrText xml:space="preserve"> PAGEREF _Toc233898087 \h </w:instrText>
        </w:r>
        <w:r>
          <w:rPr>
            <w:webHidden/>
          </w:rPr>
        </w:r>
        <w:r>
          <w:rPr>
            <w:webHidden/>
          </w:rPr>
          <w:fldChar w:fldCharType="separate"/>
        </w:r>
        <w:r>
          <w:rPr>
            <w:webHidden/>
          </w:rPr>
          <w:t>8</w:t>
        </w:r>
        <w:r>
          <w:rPr>
            <w:webHidden/>
          </w:rPr>
          <w:fldChar w:fldCharType="end"/>
        </w:r>
      </w:hyperlink>
    </w:p>
    <w:p w14:paraId="79CC8815" w14:textId="25A703B3"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8" w:history="1">
        <w:r w:rsidRPr="0051775F">
          <w:rPr>
            <w:rStyle w:val="Hyperlink"/>
          </w:rPr>
          <w:t>3.3</w:t>
        </w:r>
        <w:r>
          <w:rPr>
            <w:rFonts w:asciiTheme="minorHAnsi" w:eastAsiaTheme="minorEastAsia" w:hAnsiTheme="minorHAnsi" w:cstheme="minorBidi"/>
            <w:bCs w:val="0"/>
            <w:kern w:val="2"/>
            <w:sz w:val="24"/>
            <w:u w:val="none"/>
            <w14:ligatures w14:val="standardContextual"/>
          </w:rPr>
          <w:tab/>
        </w:r>
        <w:r w:rsidRPr="0051775F">
          <w:rPr>
            <w:rStyle w:val="Hyperlink"/>
          </w:rPr>
          <w:t>Right to health</w:t>
        </w:r>
        <w:r>
          <w:rPr>
            <w:webHidden/>
          </w:rPr>
          <w:tab/>
        </w:r>
        <w:r>
          <w:rPr>
            <w:webHidden/>
          </w:rPr>
          <w:fldChar w:fldCharType="begin"/>
        </w:r>
        <w:r>
          <w:rPr>
            <w:webHidden/>
          </w:rPr>
          <w:instrText xml:space="preserve"> PAGEREF _Toc233898088 \h </w:instrText>
        </w:r>
        <w:r>
          <w:rPr>
            <w:webHidden/>
          </w:rPr>
        </w:r>
        <w:r>
          <w:rPr>
            <w:webHidden/>
          </w:rPr>
          <w:fldChar w:fldCharType="separate"/>
        </w:r>
        <w:r>
          <w:rPr>
            <w:webHidden/>
          </w:rPr>
          <w:t>9</w:t>
        </w:r>
        <w:r>
          <w:rPr>
            <w:webHidden/>
          </w:rPr>
          <w:fldChar w:fldCharType="end"/>
        </w:r>
      </w:hyperlink>
    </w:p>
    <w:p w14:paraId="368D9194" w14:textId="71B52427"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89" w:history="1">
        <w:r w:rsidRPr="0051775F">
          <w:rPr>
            <w:rStyle w:val="Hyperlink"/>
          </w:rPr>
          <w:t>3.4</w:t>
        </w:r>
        <w:r>
          <w:rPr>
            <w:rFonts w:asciiTheme="minorHAnsi" w:eastAsiaTheme="minorEastAsia" w:hAnsiTheme="minorHAnsi" w:cstheme="minorBidi"/>
            <w:bCs w:val="0"/>
            <w:kern w:val="2"/>
            <w:sz w:val="24"/>
            <w:u w:val="none"/>
            <w14:ligatures w14:val="standardContextual"/>
          </w:rPr>
          <w:tab/>
        </w:r>
        <w:r w:rsidRPr="0051775F">
          <w:rPr>
            <w:rStyle w:val="Hyperlink"/>
          </w:rPr>
          <w:t>recommendations</w:t>
        </w:r>
        <w:r>
          <w:rPr>
            <w:webHidden/>
          </w:rPr>
          <w:tab/>
        </w:r>
        <w:r>
          <w:rPr>
            <w:webHidden/>
          </w:rPr>
          <w:fldChar w:fldCharType="begin"/>
        </w:r>
        <w:r>
          <w:rPr>
            <w:webHidden/>
          </w:rPr>
          <w:instrText xml:space="preserve"> PAGEREF _Toc233898089 \h </w:instrText>
        </w:r>
        <w:r>
          <w:rPr>
            <w:webHidden/>
          </w:rPr>
        </w:r>
        <w:r>
          <w:rPr>
            <w:webHidden/>
          </w:rPr>
          <w:fldChar w:fldCharType="separate"/>
        </w:r>
        <w:r>
          <w:rPr>
            <w:webHidden/>
          </w:rPr>
          <w:t>9</w:t>
        </w:r>
        <w:r>
          <w:rPr>
            <w:webHidden/>
          </w:rPr>
          <w:fldChar w:fldCharType="end"/>
        </w:r>
      </w:hyperlink>
    </w:p>
    <w:p w14:paraId="7016AFA8" w14:textId="1924A90A" w:rsidR="00DF7C7E" w:rsidRDefault="00DF7C7E">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33898090" w:history="1">
        <w:r w:rsidRPr="0051775F">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51775F">
          <w:rPr>
            <w:rStyle w:val="Hyperlink"/>
          </w:rPr>
          <w:t>violence against women (ARTICLEs 2 and 5)</w:t>
        </w:r>
        <w:r>
          <w:rPr>
            <w:webHidden/>
          </w:rPr>
          <w:tab/>
        </w:r>
        <w:r>
          <w:rPr>
            <w:webHidden/>
          </w:rPr>
          <w:fldChar w:fldCharType="begin"/>
        </w:r>
        <w:r>
          <w:rPr>
            <w:webHidden/>
          </w:rPr>
          <w:instrText xml:space="preserve"> PAGEREF _Toc233898090 \h </w:instrText>
        </w:r>
        <w:r>
          <w:rPr>
            <w:webHidden/>
          </w:rPr>
        </w:r>
        <w:r>
          <w:rPr>
            <w:webHidden/>
          </w:rPr>
          <w:fldChar w:fldCharType="separate"/>
        </w:r>
        <w:r>
          <w:rPr>
            <w:webHidden/>
          </w:rPr>
          <w:t>10</w:t>
        </w:r>
        <w:r>
          <w:rPr>
            <w:webHidden/>
          </w:rPr>
          <w:fldChar w:fldCharType="end"/>
        </w:r>
      </w:hyperlink>
    </w:p>
    <w:p w14:paraId="315DB884" w14:textId="7494EB16"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1" w:history="1">
        <w:r w:rsidRPr="0051775F">
          <w:rPr>
            <w:rStyle w:val="Hyperlink"/>
          </w:rPr>
          <w:t>4.1</w:t>
        </w:r>
        <w:r>
          <w:rPr>
            <w:rFonts w:asciiTheme="minorHAnsi" w:eastAsiaTheme="minorEastAsia" w:hAnsiTheme="minorHAnsi" w:cstheme="minorBidi"/>
            <w:bCs w:val="0"/>
            <w:kern w:val="2"/>
            <w:sz w:val="24"/>
            <w:u w:val="none"/>
            <w14:ligatures w14:val="standardContextual"/>
          </w:rPr>
          <w:tab/>
        </w:r>
        <w:r w:rsidRPr="0051775F">
          <w:rPr>
            <w:rStyle w:val="Hyperlink"/>
          </w:rPr>
          <w:t>Lack of data on prevalence of violence against minority women</w:t>
        </w:r>
        <w:r>
          <w:rPr>
            <w:webHidden/>
          </w:rPr>
          <w:tab/>
        </w:r>
        <w:r>
          <w:rPr>
            <w:webHidden/>
          </w:rPr>
          <w:fldChar w:fldCharType="begin"/>
        </w:r>
        <w:r>
          <w:rPr>
            <w:webHidden/>
          </w:rPr>
          <w:instrText xml:space="preserve"> PAGEREF _Toc233898091 \h </w:instrText>
        </w:r>
        <w:r>
          <w:rPr>
            <w:webHidden/>
          </w:rPr>
        </w:r>
        <w:r>
          <w:rPr>
            <w:webHidden/>
          </w:rPr>
          <w:fldChar w:fldCharType="separate"/>
        </w:r>
        <w:r>
          <w:rPr>
            <w:webHidden/>
          </w:rPr>
          <w:t>10</w:t>
        </w:r>
        <w:r>
          <w:rPr>
            <w:webHidden/>
          </w:rPr>
          <w:fldChar w:fldCharType="end"/>
        </w:r>
      </w:hyperlink>
    </w:p>
    <w:p w14:paraId="737C7CC9" w14:textId="27C530BE"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2" w:history="1">
        <w:r w:rsidRPr="0051775F">
          <w:rPr>
            <w:rStyle w:val="Hyperlink"/>
          </w:rPr>
          <w:t>4.2</w:t>
        </w:r>
        <w:r>
          <w:rPr>
            <w:rFonts w:asciiTheme="minorHAnsi" w:eastAsiaTheme="minorEastAsia" w:hAnsiTheme="minorHAnsi" w:cstheme="minorBidi"/>
            <w:bCs w:val="0"/>
            <w:kern w:val="2"/>
            <w:sz w:val="24"/>
            <w:u w:val="none"/>
            <w14:ligatures w14:val="standardContextual"/>
          </w:rPr>
          <w:tab/>
        </w:r>
        <w:r w:rsidRPr="0051775F">
          <w:rPr>
            <w:rStyle w:val="Hyperlink"/>
          </w:rPr>
          <w:t>Services for migrant and Sámi women experiencing violence</w:t>
        </w:r>
        <w:r>
          <w:rPr>
            <w:webHidden/>
          </w:rPr>
          <w:tab/>
        </w:r>
        <w:r>
          <w:rPr>
            <w:webHidden/>
          </w:rPr>
          <w:fldChar w:fldCharType="begin"/>
        </w:r>
        <w:r>
          <w:rPr>
            <w:webHidden/>
          </w:rPr>
          <w:instrText xml:space="preserve"> PAGEREF _Toc233898092 \h </w:instrText>
        </w:r>
        <w:r>
          <w:rPr>
            <w:webHidden/>
          </w:rPr>
        </w:r>
        <w:r>
          <w:rPr>
            <w:webHidden/>
          </w:rPr>
          <w:fldChar w:fldCharType="separate"/>
        </w:r>
        <w:r>
          <w:rPr>
            <w:webHidden/>
          </w:rPr>
          <w:t>10</w:t>
        </w:r>
        <w:r>
          <w:rPr>
            <w:webHidden/>
          </w:rPr>
          <w:fldChar w:fldCharType="end"/>
        </w:r>
      </w:hyperlink>
    </w:p>
    <w:p w14:paraId="09CC2D40" w14:textId="361BB270"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3" w:history="1">
        <w:r w:rsidRPr="0051775F">
          <w:rPr>
            <w:rStyle w:val="Hyperlink"/>
            <w:lang w:val="en-US"/>
          </w:rPr>
          <w:t>4.3</w:t>
        </w:r>
        <w:r>
          <w:rPr>
            <w:rFonts w:asciiTheme="minorHAnsi" w:eastAsiaTheme="minorEastAsia" w:hAnsiTheme="minorHAnsi" w:cstheme="minorBidi"/>
            <w:bCs w:val="0"/>
            <w:kern w:val="2"/>
            <w:sz w:val="24"/>
            <w:u w:val="none"/>
            <w14:ligatures w14:val="standardContextual"/>
          </w:rPr>
          <w:tab/>
        </w:r>
        <w:r w:rsidRPr="0051775F">
          <w:rPr>
            <w:rStyle w:val="Hyperlink"/>
            <w:lang w:val="en-US"/>
          </w:rPr>
          <w:t>Access to justice by racialized women in cases of sexual violence</w:t>
        </w:r>
        <w:r>
          <w:rPr>
            <w:webHidden/>
          </w:rPr>
          <w:tab/>
        </w:r>
        <w:r>
          <w:rPr>
            <w:webHidden/>
          </w:rPr>
          <w:fldChar w:fldCharType="begin"/>
        </w:r>
        <w:r>
          <w:rPr>
            <w:webHidden/>
          </w:rPr>
          <w:instrText xml:space="preserve"> PAGEREF _Toc233898093 \h </w:instrText>
        </w:r>
        <w:r>
          <w:rPr>
            <w:webHidden/>
          </w:rPr>
        </w:r>
        <w:r>
          <w:rPr>
            <w:webHidden/>
          </w:rPr>
          <w:fldChar w:fldCharType="separate"/>
        </w:r>
        <w:r>
          <w:rPr>
            <w:webHidden/>
          </w:rPr>
          <w:t>11</w:t>
        </w:r>
        <w:r>
          <w:rPr>
            <w:webHidden/>
          </w:rPr>
          <w:fldChar w:fldCharType="end"/>
        </w:r>
      </w:hyperlink>
    </w:p>
    <w:p w14:paraId="78F09809" w14:textId="14DDA274"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4" w:history="1">
        <w:r w:rsidRPr="0051775F">
          <w:rPr>
            <w:rStyle w:val="Hyperlink"/>
            <w:lang w:val="en-US"/>
          </w:rPr>
          <w:t>4.4</w:t>
        </w:r>
        <w:r>
          <w:rPr>
            <w:rFonts w:asciiTheme="minorHAnsi" w:eastAsiaTheme="minorEastAsia" w:hAnsiTheme="minorHAnsi" w:cstheme="minorBidi"/>
            <w:bCs w:val="0"/>
            <w:kern w:val="2"/>
            <w:sz w:val="24"/>
            <w:u w:val="none"/>
            <w14:ligatures w14:val="standardContextual"/>
          </w:rPr>
          <w:tab/>
        </w:r>
        <w:r w:rsidRPr="0051775F">
          <w:rPr>
            <w:rStyle w:val="Hyperlink"/>
            <w:lang w:val="en-US"/>
          </w:rPr>
          <w:t>Recommendations to the Finnish government</w:t>
        </w:r>
        <w:r>
          <w:rPr>
            <w:webHidden/>
          </w:rPr>
          <w:tab/>
        </w:r>
        <w:r>
          <w:rPr>
            <w:webHidden/>
          </w:rPr>
          <w:fldChar w:fldCharType="begin"/>
        </w:r>
        <w:r>
          <w:rPr>
            <w:webHidden/>
          </w:rPr>
          <w:instrText xml:space="preserve"> PAGEREF _Toc233898094 \h </w:instrText>
        </w:r>
        <w:r>
          <w:rPr>
            <w:webHidden/>
          </w:rPr>
        </w:r>
        <w:r>
          <w:rPr>
            <w:webHidden/>
          </w:rPr>
          <w:fldChar w:fldCharType="separate"/>
        </w:r>
        <w:r>
          <w:rPr>
            <w:webHidden/>
          </w:rPr>
          <w:t>12</w:t>
        </w:r>
        <w:r>
          <w:rPr>
            <w:webHidden/>
          </w:rPr>
          <w:fldChar w:fldCharType="end"/>
        </w:r>
      </w:hyperlink>
    </w:p>
    <w:p w14:paraId="41057C6B" w14:textId="4EE7D9E3" w:rsidR="00DF7C7E" w:rsidRDefault="00DF7C7E">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33898095" w:history="1">
        <w:r w:rsidRPr="0051775F">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51775F">
          <w:rPr>
            <w:rStyle w:val="Hyperlink"/>
          </w:rPr>
          <w:t>RIGHTS OF THE INDIGENOUS SAMI PEOPLE (ARTICLEs 2-7)</w:t>
        </w:r>
        <w:r>
          <w:rPr>
            <w:webHidden/>
          </w:rPr>
          <w:tab/>
        </w:r>
        <w:r>
          <w:rPr>
            <w:webHidden/>
          </w:rPr>
          <w:fldChar w:fldCharType="begin"/>
        </w:r>
        <w:r>
          <w:rPr>
            <w:webHidden/>
          </w:rPr>
          <w:instrText xml:space="preserve"> PAGEREF _Toc233898095 \h </w:instrText>
        </w:r>
        <w:r>
          <w:rPr>
            <w:webHidden/>
          </w:rPr>
        </w:r>
        <w:r>
          <w:rPr>
            <w:webHidden/>
          </w:rPr>
          <w:fldChar w:fldCharType="separate"/>
        </w:r>
        <w:r>
          <w:rPr>
            <w:webHidden/>
          </w:rPr>
          <w:t>12</w:t>
        </w:r>
        <w:r>
          <w:rPr>
            <w:webHidden/>
          </w:rPr>
          <w:fldChar w:fldCharType="end"/>
        </w:r>
      </w:hyperlink>
    </w:p>
    <w:p w14:paraId="0A82E51F" w14:textId="75BEEF9A"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6" w:history="1">
        <w:r w:rsidRPr="0051775F">
          <w:rPr>
            <w:rStyle w:val="Hyperlink"/>
            <w:lang w:val="en-US"/>
          </w:rPr>
          <w:t>5.1</w:t>
        </w:r>
        <w:r>
          <w:rPr>
            <w:rFonts w:asciiTheme="minorHAnsi" w:eastAsiaTheme="minorEastAsia" w:hAnsiTheme="minorHAnsi" w:cstheme="minorBidi"/>
            <w:bCs w:val="0"/>
            <w:kern w:val="2"/>
            <w:sz w:val="24"/>
            <w:u w:val="none"/>
            <w14:ligatures w14:val="standardContextual"/>
          </w:rPr>
          <w:tab/>
        </w:r>
        <w:r w:rsidRPr="0051775F">
          <w:rPr>
            <w:rStyle w:val="Hyperlink"/>
            <w:lang w:val="en-US"/>
          </w:rPr>
          <w:t>Recommendations to the Finnish government</w:t>
        </w:r>
        <w:r>
          <w:rPr>
            <w:webHidden/>
          </w:rPr>
          <w:tab/>
        </w:r>
        <w:r>
          <w:rPr>
            <w:webHidden/>
          </w:rPr>
          <w:fldChar w:fldCharType="begin"/>
        </w:r>
        <w:r>
          <w:rPr>
            <w:webHidden/>
          </w:rPr>
          <w:instrText xml:space="preserve"> PAGEREF _Toc233898096 \h </w:instrText>
        </w:r>
        <w:r>
          <w:rPr>
            <w:webHidden/>
          </w:rPr>
        </w:r>
        <w:r>
          <w:rPr>
            <w:webHidden/>
          </w:rPr>
          <w:fldChar w:fldCharType="separate"/>
        </w:r>
        <w:r>
          <w:rPr>
            <w:webHidden/>
          </w:rPr>
          <w:t>13</w:t>
        </w:r>
        <w:r>
          <w:rPr>
            <w:webHidden/>
          </w:rPr>
          <w:fldChar w:fldCharType="end"/>
        </w:r>
      </w:hyperlink>
    </w:p>
    <w:p w14:paraId="5A9C9E57" w14:textId="0971B1F0" w:rsidR="00DF7C7E" w:rsidRDefault="00DF7C7E">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33898097" w:history="1">
        <w:r w:rsidRPr="0051775F">
          <w:rPr>
            <w:rStyle w:val="Hyperlink"/>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51775F">
          <w:rPr>
            <w:rStyle w:val="Hyperlink"/>
          </w:rPr>
          <w:t>RIGHT TO FREEDOM OF PEACEFUL ASSEMBLY (ArticleS 2 and 5)</w:t>
        </w:r>
        <w:r>
          <w:rPr>
            <w:webHidden/>
          </w:rPr>
          <w:tab/>
        </w:r>
        <w:r>
          <w:rPr>
            <w:webHidden/>
          </w:rPr>
          <w:fldChar w:fldCharType="begin"/>
        </w:r>
        <w:r>
          <w:rPr>
            <w:webHidden/>
          </w:rPr>
          <w:instrText xml:space="preserve"> PAGEREF _Toc233898097 \h </w:instrText>
        </w:r>
        <w:r>
          <w:rPr>
            <w:webHidden/>
          </w:rPr>
        </w:r>
        <w:r>
          <w:rPr>
            <w:webHidden/>
          </w:rPr>
          <w:fldChar w:fldCharType="separate"/>
        </w:r>
        <w:r>
          <w:rPr>
            <w:webHidden/>
          </w:rPr>
          <w:t>13</w:t>
        </w:r>
        <w:r>
          <w:rPr>
            <w:webHidden/>
          </w:rPr>
          <w:fldChar w:fldCharType="end"/>
        </w:r>
      </w:hyperlink>
    </w:p>
    <w:p w14:paraId="457365C4" w14:textId="1C26BBC5"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8" w:history="1">
        <w:r w:rsidRPr="0051775F">
          <w:rPr>
            <w:rStyle w:val="Hyperlink"/>
            <w:lang w:val="en-US"/>
          </w:rPr>
          <w:t>6.1</w:t>
        </w:r>
        <w:r>
          <w:rPr>
            <w:rFonts w:asciiTheme="minorHAnsi" w:eastAsiaTheme="minorEastAsia" w:hAnsiTheme="minorHAnsi" w:cstheme="minorBidi"/>
            <w:bCs w:val="0"/>
            <w:kern w:val="2"/>
            <w:sz w:val="24"/>
            <w:u w:val="none"/>
            <w14:ligatures w14:val="standardContextual"/>
          </w:rPr>
          <w:tab/>
        </w:r>
        <w:r w:rsidRPr="0051775F">
          <w:rPr>
            <w:rStyle w:val="Hyperlink"/>
            <w:lang w:val="en-US"/>
          </w:rPr>
          <w:t>Barriers to participation for racialised people</w:t>
        </w:r>
        <w:r>
          <w:rPr>
            <w:webHidden/>
          </w:rPr>
          <w:tab/>
        </w:r>
        <w:r>
          <w:rPr>
            <w:webHidden/>
          </w:rPr>
          <w:fldChar w:fldCharType="begin"/>
        </w:r>
        <w:r>
          <w:rPr>
            <w:webHidden/>
          </w:rPr>
          <w:instrText xml:space="preserve"> PAGEREF _Toc233898098 \h </w:instrText>
        </w:r>
        <w:r>
          <w:rPr>
            <w:webHidden/>
          </w:rPr>
        </w:r>
        <w:r>
          <w:rPr>
            <w:webHidden/>
          </w:rPr>
          <w:fldChar w:fldCharType="separate"/>
        </w:r>
        <w:r>
          <w:rPr>
            <w:webHidden/>
          </w:rPr>
          <w:t>13</w:t>
        </w:r>
        <w:r>
          <w:rPr>
            <w:webHidden/>
          </w:rPr>
          <w:fldChar w:fldCharType="end"/>
        </w:r>
      </w:hyperlink>
    </w:p>
    <w:p w14:paraId="7713FB33" w14:textId="796C3076"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099" w:history="1">
        <w:r w:rsidRPr="0051775F">
          <w:rPr>
            <w:rStyle w:val="Hyperlink"/>
            <w:lang w:val="en-US"/>
          </w:rPr>
          <w:t>6.2</w:t>
        </w:r>
        <w:r>
          <w:rPr>
            <w:rFonts w:asciiTheme="minorHAnsi" w:eastAsiaTheme="minorEastAsia" w:hAnsiTheme="minorHAnsi" w:cstheme="minorBidi"/>
            <w:bCs w:val="0"/>
            <w:kern w:val="2"/>
            <w:sz w:val="24"/>
            <w:u w:val="none"/>
            <w14:ligatures w14:val="standardContextual"/>
          </w:rPr>
          <w:tab/>
        </w:r>
        <w:r w:rsidRPr="0051775F">
          <w:rPr>
            <w:rStyle w:val="Hyperlink"/>
            <w:lang w:val="en-US"/>
          </w:rPr>
          <w:t>Recommendations to the Finnish government</w:t>
        </w:r>
        <w:r>
          <w:rPr>
            <w:webHidden/>
          </w:rPr>
          <w:tab/>
        </w:r>
        <w:r>
          <w:rPr>
            <w:webHidden/>
          </w:rPr>
          <w:fldChar w:fldCharType="begin"/>
        </w:r>
        <w:r>
          <w:rPr>
            <w:webHidden/>
          </w:rPr>
          <w:instrText xml:space="preserve"> PAGEREF _Toc233898099 \h </w:instrText>
        </w:r>
        <w:r>
          <w:rPr>
            <w:webHidden/>
          </w:rPr>
        </w:r>
        <w:r>
          <w:rPr>
            <w:webHidden/>
          </w:rPr>
          <w:fldChar w:fldCharType="separate"/>
        </w:r>
        <w:r>
          <w:rPr>
            <w:webHidden/>
          </w:rPr>
          <w:t>15</w:t>
        </w:r>
        <w:r>
          <w:rPr>
            <w:webHidden/>
          </w:rPr>
          <w:fldChar w:fldCharType="end"/>
        </w:r>
      </w:hyperlink>
    </w:p>
    <w:p w14:paraId="5498BC0D" w14:textId="074BF5FA" w:rsidR="00DF7C7E" w:rsidRDefault="00DF7C7E">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33898100" w:history="1">
        <w:r w:rsidRPr="0051775F">
          <w:rPr>
            <w:rStyle w:val="Hyperlink"/>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51775F">
          <w:rPr>
            <w:rStyle w:val="Hyperlink"/>
          </w:rPr>
          <w:t>RIGHTS OF ASYLUM SEEKERS, REFUGEES AND MIGRANTS (ARTICLES 2-7)</w:t>
        </w:r>
        <w:r>
          <w:rPr>
            <w:webHidden/>
          </w:rPr>
          <w:tab/>
        </w:r>
        <w:r>
          <w:rPr>
            <w:webHidden/>
          </w:rPr>
          <w:fldChar w:fldCharType="begin"/>
        </w:r>
        <w:r>
          <w:rPr>
            <w:webHidden/>
          </w:rPr>
          <w:instrText xml:space="preserve"> PAGEREF _Toc233898100 \h </w:instrText>
        </w:r>
        <w:r>
          <w:rPr>
            <w:webHidden/>
          </w:rPr>
        </w:r>
        <w:r>
          <w:rPr>
            <w:webHidden/>
          </w:rPr>
          <w:fldChar w:fldCharType="separate"/>
        </w:r>
        <w:r>
          <w:rPr>
            <w:webHidden/>
          </w:rPr>
          <w:t>15</w:t>
        </w:r>
        <w:r>
          <w:rPr>
            <w:webHidden/>
          </w:rPr>
          <w:fldChar w:fldCharType="end"/>
        </w:r>
      </w:hyperlink>
    </w:p>
    <w:p w14:paraId="0273278D" w14:textId="0AE353D3"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101" w:history="1">
        <w:r w:rsidRPr="0051775F">
          <w:rPr>
            <w:rStyle w:val="Hyperlink"/>
            <w:lang w:val="en-US"/>
          </w:rPr>
          <w:t>7.1</w:t>
        </w:r>
        <w:r>
          <w:rPr>
            <w:rFonts w:asciiTheme="minorHAnsi" w:eastAsiaTheme="minorEastAsia" w:hAnsiTheme="minorHAnsi" w:cstheme="minorBidi"/>
            <w:bCs w:val="0"/>
            <w:kern w:val="2"/>
            <w:sz w:val="24"/>
            <w:u w:val="none"/>
            <w14:ligatures w14:val="standardContextual"/>
          </w:rPr>
          <w:tab/>
        </w:r>
        <w:r w:rsidRPr="0051775F">
          <w:rPr>
            <w:rStyle w:val="Hyperlink"/>
            <w:lang w:val="en-US"/>
          </w:rPr>
          <w:t>Access to fair asylum procedure and non-refoulement</w:t>
        </w:r>
        <w:r>
          <w:rPr>
            <w:webHidden/>
          </w:rPr>
          <w:tab/>
        </w:r>
        <w:r>
          <w:rPr>
            <w:webHidden/>
          </w:rPr>
          <w:fldChar w:fldCharType="begin"/>
        </w:r>
        <w:r>
          <w:rPr>
            <w:webHidden/>
          </w:rPr>
          <w:instrText xml:space="preserve"> PAGEREF _Toc233898101 \h </w:instrText>
        </w:r>
        <w:r>
          <w:rPr>
            <w:webHidden/>
          </w:rPr>
        </w:r>
        <w:r>
          <w:rPr>
            <w:webHidden/>
          </w:rPr>
          <w:fldChar w:fldCharType="separate"/>
        </w:r>
        <w:r>
          <w:rPr>
            <w:webHidden/>
          </w:rPr>
          <w:t>15</w:t>
        </w:r>
        <w:r>
          <w:rPr>
            <w:webHidden/>
          </w:rPr>
          <w:fldChar w:fldCharType="end"/>
        </w:r>
      </w:hyperlink>
    </w:p>
    <w:p w14:paraId="16C1041F" w14:textId="5C4016FA"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102" w:history="1">
        <w:r w:rsidRPr="0051775F">
          <w:rPr>
            <w:rStyle w:val="Hyperlink"/>
            <w:lang w:val="en-US"/>
          </w:rPr>
          <w:t>7.2</w:t>
        </w:r>
        <w:r>
          <w:rPr>
            <w:rFonts w:asciiTheme="minorHAnsi" w:eastAsiaTheme="minorEastAsia" w:hAnsiTheme="minorHAnsi" w:cstheme="minorBidi"/>
            <w:bCs w:val="0"/>
            <w:kern w:val="2"/>
            <w:sz w:val="24"/>
            <w:u w:val="none"/>
            <w14:ligatures w14:val="standardContextual"/>
          </w:rPr>
          <w:tab/>
        </w:r>
        <w:r w:rsidRPr="0051775F">
          <w:rPr>
            <w:rStyle w:val="Hyperlink"/>
            <w:lang w:val="en-US"/>
          </w:rPr>
          <w:t>Family reunification</w:t>
        </w:r>
        <w:r>
          <w:rPr>
            <w:webHidden/>
          </w:rPr>
          <w:tab/>
        </w:r>
        <w:r>
          <w:rPr>
            <w:webHidden/>
          </w:rPr>
          <w:fldChar w:fldCharType="begin"/>
        </w:r>
        <w:r>
          <w:rPr>
            <w:webHidden/>
          </w:rPr>
          <w:instrText xml:space="preserve"> PAGEREF _Toc233898102 \h </w:instrText>
        </w:r>
        <w:r>
          <w:rPr>
            <w:webHidden/>
          </w:rPr>
        </w:r>
        <w:r>
          <w:rPr>
            <w:webHidden/>
          </w:rPr>
          <w:fldChar w:fldCharType="separate"/>
        </w:r>
        <w:r>
          <w:rPr>
            <w:webHidden/>
          </w:rPr>
          <w:t>17</w:t>
        </w:r>
        <w:r>
          <w:rPr>
            <w:webHidden/>
          </w:rPr>
          <w:fldChar w:fldCharType="end"/>
        </w:r>
      </w:hyperlink>
    </w:p>
    <w:p w14:paraId="05C7E013" w14:textId="204373E2"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103" w:history="1">
        <w:r w:rsidRPr="0051775F">
          <w:rPr>
            <w:rStyle w:val="Hyperlink"/>
            <w:lang w:val="en-US"/>
          </w:rPr>
          <w:t>7.3</w:t>
        </w:r>
        <w:r>
          <w:rPr>
            <w:rFonts w:asciiTheme="minorHAnsi" w:eastAsiaTheme="minorEastAsia" w:hAnsiTheme="minorHAnsi" w:cstheme="minorBidi"/>
            <w:bCs w:val="0"/>
            <w:kern w:val="2"/>
            <w:sz w:val="24"/>
            <w:u w:val="none"/>
            <w14:ligatures w14:val="standardContextual"/>
          </w:rPr>
          <w:tab/>
        </w:r>
        <w:r w:rsidRPr="0051775F">
          <w:rPr>
            <w:rStyle w:val="Hyperlink"/>
            <w:lang w:val="en-US"/>
          </w:rPr>
          <w:t>Detention</w:t>
        </w:r>
        <w:r>
          <w:rPr>
            <w:webHidden/>
          </w:rPr>
          <w:tab/>
        </w:r>
        <w:r>
          <w:rPr>
            <w:webHidden/>
          </w:rPr>
          <w:fldChar w:fldCharType="begin"/>
        </w:r>
        <w:r>
          <w:rPr>
            <w:webHidden/>
          </w:rPr>
          <w:instrText xml:space="preserve"> PAGEREF _Toc233898103 \h </w:instrText>
        </w:r>
        <w:r>
          <w:rPr>
            <w:webHidden/>
          </w:rPr>
        </w:r>
        <w:r>
          <w:rPr>
            <w:webHidden/>
          </w:rPr>
          <w:fldChar w:fldCharType="separate"/>
        </w:r>
        <w:r>
          <w:rPr>
            <w:webHidden/>
          </w:rPr>
          <w:t>17</w:t>
        </w:r>
        <w:r>
          <w:rPr>
            <w:webHidden/>
          </w:rPr>
          <w:fldChar w:fldCharType="end"/>
        </w:r>
      </w:hyperlink>
    </w:p>
    <w:p w14:paraId="5FEBF5F8" w14:textId="54F6BA57"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104" w:history="1">
        <w:r w:rsidRPr="0051775F">
          <w:rPr>
            <w:rStyle w:val="Hyperlink"/>
            <w:lang w:val="en-US"/>
          </w:rPr>
          <w:t>7.4</w:t>
        </w:r>
        <w:r>
          <w:rPr>
            <w:rFonts w:asciiTheme="minorHAnsi" w:eastAsiaTheme="minorEastAsia" w:hAnsiTheme="minorHAnsi" w:cstheme="minorBidi"/>
            <w:bCs w:val="0"/>
            <w:kern w:val="2"/>
            <w:sz w:val="24"/>
            <w:u w:val="none"/>
            <w14:ligatures w14:val="standardContextual"/>
          </w:rPr>
          <w:tab/>
        </w:r>
        <w:r w:rsidRPr="0051775F">
          <w:rPr>
            <w:rStyle w:val="Hyperlink"/>
            <w:lang w:val="en-US"/>
          </w:rPr>
          <w:t>Rights of the child</w:t>
        </w:r>
        <w:r>
          <w:rPr>
            <w:webHidden/>
          </w:rPr>
          <w:tab/>
        </w:r>
        <w:r>
          <w:rPr>
            <w:webHidden/>
          </w:rPr>
          <w:fldChar w:fldCharType="begin"/>
        </w:r>
        <w:r>
          <w:rPr>
            <w:webHidden/>
          </w:rPr>
          <w:instrText xml:space="preserve"> PAGEREF _Toc233898104 \h </w:instrText>
        </w:r>
        <w:r>
          <w:rPr>
            <w:webHidden/>
          </w:rPr>
        </w:r>
        <w:r>
          <w:rPr>
            <w:webHidden/>
          </w:rPr>
          <w:fldChar w:fldCharType="separate"/>
        </w:r>
        <w:r>
          <w:rPr>
            <w:webHidden/>
          </w:rPr>
          <w:t>18</w:t>
        </w:r>
        <w:r>
          <w:rPr>
            <w:webHidden/>
          </w:rPr>
          <w:fldChar w:fldCharType="end"/>
        </w:r>
      </w:hyperlink>
    </w:p>
    <w:p w14:paraId="7A48065A" w14:textId="6D36141C"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105" w:history="1">
        <w:r w:rsidRPr="0051775F">
          <w:rPr>
            <w:rStyle w:val="Hyperlink"/>
            <w:lang w:val="en-US"/>
          </w:rPr>
          <w:t>7.5</w:t>
        </w:r>
        <w:r>
          <w:rPr>
            <w:rFonts w:asciiTheme="minorHAnsi" w:eastAsiaTheme="minorEastAsia" w:hAnsiTheme="minorHAnsi" w:cstheme="minorBidi"/>
            <w:bCs w:val="0"/>
            <w:kern w:val="2"/>
            <w:sz w:val="24"/>
            <w:u w:val="none"/>
            <w14:ligatures w14:val="standardContextual"/>
          </w:rPr>
          <w:tab/>
        </w:r>
        <w:r w:rsidRPr="0051775F">
          <w:rPr>
            <w:rStyle w:val="Hyperlink"/>
            <w:lang w:val="en-US"/>
          </w:rPr>
          <w:t>Border policies</w:t>
        </w:r>
        <w:r>
          <w:rPr>
            <w:webHidden/>
          </w:rPr>
          <w:tab/>
        </w:r>
        <w:r>
          <w:rPr>
            <w:webHidden/>
          </w:rPr>
          <w:fldChar w:fldCharType="begin"/>
        </w:r>
        <w:r>
          <w:rPr>
            <w:webHidden/>
          </w:rPr>
          <w:instrText xml:space="preserve"> PAGEREF _Toc233898105 \h </w:instrText>
        </w:r>
        <w:r>
          <w:rPr>
            <w:webHidden/>
          </w:rPr>
        </w:r>
        <w:r>
          <w:rPr>
            <w:webHidden/>
          </w:rPr>
          <w:fldChar w:fldCharType="separate"/>
        </w:r>
        <w:r>
          <w:rPr>
            <w:webHidden/>
          </w:rPr>
          <w:t>18</w:t>
        </w:r>
        <w:r>
          <w:rPr>
            <w:webHidden/>
          </w:rPr>
          <w:fldChar w:fldCharType="end"/>
        </w:r>
      </w:hyperlink>
    </w:p>
    <w:p w14:paraId="3828B40A" w14:textId="15E073F9" w:rsidR="00DF7C7E" w:rsidRDefault="00DF7C7E">
      <w:pPr>
        <w:pStyle w:val="TOC2"/>
        <w:rPr>
          <w:rFonts w:asciiTheme="minorHAnsi" w:eastAsiaTheme="minorEastAsia" w:hAnsiTheme="minorHAnsi" w:cstheme="minorBidi"/>
          <w:bCs w:val="0"/>
          <w:kern w:val="2"/>
          <w:sz w:val="24"/>
          <w:u w:val="none"/>
          <w14:ligatures w14:val="standardContextual"/>
        </w:rPr>
      </w:pPr>
      <w:hyperlink w:anchor="_Toc233898106" w:history="1">
        <w:r w:rsidRPr="0051775F">
          <w:rPr>
            <w:rStyle w:val="Hyperlink"/>
            <w:lang w:val="en-US"/>
          </w:rPr>
          <w:t>7.6</w:t>
        </w:r>
        <w:r>
          <w:rPr>
            <w:rFonts w:asciiTheme="minorHAnsi" w:eastAsiaTheme="minorEastAsia" w:hAnsiTheme="minorHAnsi" w:cstheme="minorBidi"/>
            <w:bCs w:val="0"/>
            <w:kern w:val="2"/>
            <w:sz w:val="24"/>
            <w:u w:val="none"/>
            <w14:ligatures w14:val="standardContextual"/>
          </w:rPr>
          <w:tab/>
        </w:r>
        <w:r w:rsidRPr="0051775F">
          <w:rPr>
            <w:rStyle w:val="Hyperlink"/>
            <w:lang w:val="en-US"/>
          </w:rPr>
          <w:t>Recommendations to the Finnish government</w:t>
        </w:r>
        <w:r>
          <w:rPr>
            <w:webHidden/>
          </w:rPr>
          <w:tab/>
        </w:r>
        <w:r>
          <w:rPr>
            <w:webHidden/>
          </w:rPr>
          <w:fldChar w:fldCharType="begin"/>
        </w:r>
        <w:r>
          <w:rPr>
            <w:webHidden/>
          </w:rPr>
          <w:instrText xml:space="preserve"> PAGEREF _Toc233898106 \h </w:instrText>
        </w:r>
        <w:r>
          <w:rPr>
            <w:webHidden/>
          </w:rPr>
        </w:r>
        <w:r>
          <w:rPr>
            <w:webHidden/>
          </w:rPr>
          <w:fldChar w:fldCharType="separate"/>
        </w:r>
        <w:r>
          <w:rPr>
            <w:webHidden/>
          </w:rPr>
          <w:t>19</w:t>
        </w:r>
        <w:r>
          <w:rPr>
            <w:webHidden/>
          </w:rPr>
          <w:fldChar w:fldCharType="end"/>
        </w:r>
      </w:hyperlink>
    </w:p>
    <w:p w14:paraId="54CA6232" w14:textId="4318988B" w:rsidR="005D6062" w:rsidRDefault="00DF7C7E" w:rsidP="001153D5">
      <w:pPr>
        <w:pStyle w:val="BBodyText"/>
        <w:rPr>
          <w:rFonts w:asciiTheme="majorHAnsi" w:hAnsiTheme="majorHAnsi"/>
          <w:b/>
          <w:caps/>
          <w:noProof/>
          <w:color w:val="000000" w:themeColor="text1"/>
          <w:sz w:val="17"/>
          <w:szCs w:val="22"/>
          <w:u w:val="single"/>
          <w:lang w:eastAsia="en-GB"/>
        </w:rPr>
        <w:sectPr w:rsidR="005D6062" w:rsidSect="00E10AFB">
          <w:headerReference w:type="default" r:id="rId13"/>
          <w:footerReference w:type="default" r:id="rId14"/>
          <w:headerReference w:type="first" r:id="rId15"/>
          <w:type w:val="continuous"/>
          <w:pgSz w:w="11906" w:h="16838" w:code="9"/>
          <w:pgMar w:top="1474" w:right="1418" w:bottom="1418" w:left="1418" w:header="709" w:footer="709" w:gutter="0"/>
          <w:cols w:space="708"/>
          <w:docGrid w:linePitch="360"/>
        </w:sectPr>
      </w:pPr>
      <w:r w:rsidRPr="00DF7C7E">
        <w:rPr>
          <w:rFonts w:asciiTheme="majorHAnsi" w:hAnsiTheme="majorHAnsi"/>
          <w:b/>
          <w:caps/>
          <w:noProof/>
          <w:color w:val="000000" w:themeColor="text1"/>
          <w:sz w:val="17"/>
          <w:szCs w:val="22"/>
          <w:u w:val="single"/>
          <w:lang w:eastAsia="en-GB"/>
        </w:rPr>
        <mc:AlternateContent>
          <mc:Choice Requires="wps">
            <w:drawing>
              <wp:anchor distT="45720" distB="45720" distL="114300" distR="114300" simplePos="0" relativeHeight="251663872" behindDoc="0" locked="0" layoutInCell="1" allowOverlap="1" wp14:anchorId="21A0E48A" wp14:editId="1D49BBB1">
                <wp:simplePos x="0" y="0"/>
                <wp:positionH relativeFrom="column">
                  <wp:posOffset>1944370</wp:posOffset>
                </wp:positionH>
                <wp:positionV relativeFrom="paragraph">
                  <wp:posOffset>746337</wp:posOffset>
                </wp:positionV>
                <wp:extent cx="3540760" cy="1404620"/>
                <wp:effectExtent l="0" t="0" r="2159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760" cy="1404620"/>
                        </a:xfrm>
                        <a:prstGeom prst="rect">
                          <a:avLst/>
                        </a:prstGeom>
                        <a:solidFill>
                          <a:srgbClr val="FFFFFF"/>
                        </a:solidFill>
                        <a:ln w="9525">
                          <a:solidFill>
                            <a:srgbClr val="000000"/>
                          </a:solidFill>
                          <a:miter lim="800000"/>
                          <a:headEnd/>
                          <a:tailEnd/>
                        </a:ln>
                      </wps:spPr>
                      <wps:txbx>
                        <w:txbxContent>
                          <w:p w14:paraId="5ED6FDDD" w14:textId="48974DCF" w:rsidR="00DF7C7E" w:rsidRPr="00BD7009" w:rsidRDefault="00DF7C7E" w:rsidP="00BD7009">
                            <w:pPr>
                              <w:pStyle w:val="BBodyText"/>
                              <w:rPr>
                                <w:lang w:val="en-US" w:eastAsia="en-GB"/>
                              </w:rPr>
                            </w:pPr>
                            <w:r w:rsidRPr="005202FA">
                              <w:rPr>
                                <w:sz w:val="20"/>
                                <w:szCs w:val="20"/>
                                <w:lang w:val="en-US" w:eastAsia="en-GB"/>
                              </w:rPr>
                              <w:t>Amnesty International submits this document in advance of the UN Committee on the Elimination of Racial Discrimination’s (the Committee) consideration of Finland’s combined 24-26</w:t>
                            </w:r>
                            <w:r w:rsidRPr="005202FA">
                              <w:rPr>
                                <w:sz w:val="20"/>
                                <w:szCs w:val="20"/>
                                <w:vertAlign w:val="superscript"/>
                                <w:lang w:val="en-US" w:eastAsia="en-GB"/>
                              </w:rPr>
                              <w:t>th</w:t>
                            </w:r>
                            <w:r w:rsidRPr="005202FA">
                              <w:rPr>
                                <w:sz w:val="20"/>
                                <w:szCs w:val="20"/>
                                <w:lang w:val="en-US" w:eastAsia="en-GB"/>
                              </w:rPr>
                              <w:t xml:space="preserve"> periodic reports on the implementation of the International Convention on the Elimination of All Forms of Racial Discrimination (the Convention) in August 2026. This submission summarizes Amnesty International’s concerns about Finland’s failure to comply with its obligations under the Convention, including regarding racial discrimination, hate speech and hate crimes; economic and social rights; violence against women; rights of the indigenous Sámi people; right to freedom of peaceful assembly and rights of asylum seekers, refugees and migrants. This is not an exhaustive set of issues.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A0E48A" id="_x0000_t202" coordsize="21600,21600" o:spt="202" path="m,l,21600r21600,l21600,xe">
                <v:stroke joinstyle="miter"/>
                <v:path gradientshapeok="t" o:connecttype="rect"/>
              </v:shapetype>
              <v:shape id="Text Box 2" o:spid="_x0000_s1026" type="#_x0000_t202" style="position:absolute;margin-left:153.1pt;margin-top:58.75pt;width:278.8pt;height:110.6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">
                <v:textbox style="mso-fit-shape-to-text:t">
                  <w:txbxContent>
                    <w:p w14:paraId="5ED6FDDD" w14:textId="48974DCF" w:rsidR="00DF7C7E" w:rsidRPr="00BD7009" w:rsidRDefault="00DF7C7E" w:rsidP="00BD7009">
                      <w:pPr>
                        <w:pStyle w:val="BBodyText"/>
                        <w:rPr>
                          <w:lang w:val="en-US" w:eastAsia="en-GB"/>
                        </w:rPr>
                      </w:pPr>
                      <w:r w:rsidRPr="005202FA">
                        <w:rPr>
                          <w:sz w:val="20"/>
                          <w:szCs w:val="20"/>
                          <w:lang w:val="en-US" w:eastAsia="en-GB"/>
                        </w:rPr>
                        <w:t>Amnesty International submits this document in advance of the UN Committee on the Elimination of Racial Discrimination’s (the Committee) consideration of Finland’s combined 24-26</w:t>
                      </w:r>
                      <w:r w:rsidRPr="005202FA">
                        <w:rPr>
                          <w:sz w:val="20"/>
                          <w:szCs w:val="20"/>
                          <w:vertAlign w:val="superscript"/>
                          <w:lang w:val="en-US" w:eastAsia="en-GB"/>
                        </w:rPr>
                        <w:t>th</w:t>
                      </w:r>
                      <w:r w:rsidRPr="005202FA">
                        <w:rPr>
                          <w:sz w:val="20"/>
                          <w:szCs w:val="20"/>
                          <w:lang w:val="en-US" w:eastAsia="en-GB"/>
                        </w:rPr>
                        <w:t xml:space="preserve"> periodic reports on the implementation of the International Convention on the Elimination of All Forms of Racial Discrimination (the Convention) in August 2026. This submission summarizes Amnesty International’s concerns about Finland’s failure to comply with its obligations under the Convention, including regarding racial discrimination, hate speech and hate crimes; economic and social rights; violence against women; rights of the indigenous Sámi people; right to freedom of peaceful assembly and rights of asylum seekers, refugees and migrants. This is not an exhaustive set of issues.</w:t>
                      </w:r>
                    </w:p>
                  </w:txbxContent>
                </v:textbox>
                <w10:wrap type="square"/>
              </v:shape>
            </w:pict>
          </mc:Fallback>
        </mc:AlternateContent>
      </w:r>
      <w:r w:rsidR="00346173" w:rsidRPr="00B61AFE">
        <w:rPr>
          <w:rFonts w:asciiTheme="majorHAnsi" w:hAnsiTheme="majorHAnsi"/>
          <w:b/>
          <w:caps/>
          <w:noProof/>
          <w:color w:val="000000" w:themeColor="text1"/>
          <w:sz w:val="17"/>
          <w:szCs w:val="22"/>
          <w:u w:val="single"/>
          <w:lang w:eastAsia="en-GB"/>
        </w:rPr>
        <w:fldChar w:fldCharType="end"/>
      </w:r>
    </w:p>
    <w:p w14:paraId="6BAD53D5" w14:textId="5F9F7F22" w:rsidR="006B44F3" w:rsidRPr="003D7719" w:rsidRDefault="009A4506" w:rsidP="00B471EA">
      <w:pPr>
        <w:pStyle w:val="BNumberedHeading"/>
      </w:pPr>
      <w:bookmarkStart w:id="0" w:name="_Toc233898079"/>
      <w:r w:rsidRPr="003D7719">
        <w:lastRenderedPageBreak/>
        <w:t>INTRODUCTION</w:t>
      </w:r>
      <w:bookmarkEnd w:id="0"/>
    </w:p>
    <w:p w14:paraId="0677D445" w14:textId="35132A73" w:rsidR="005202FA" w:rsidRPr="00A34475" w:rsidRDefault="005202FA" w:rsidP="00917F5E">
      <w:pPr>
        <w:pStyle w:val="BBodyText"/>
        <w:rPr>
          <w:sz w:val="20"/>
          <w:szCs w:val="20"/>
          <w:lang w:eastAsia="en-GB"/>
        </w:rPr>
      </w:pPr>
      <w:r w:rsidRPr="005202FA">
        <w:rPr>
          <w:sz w:val="20"/>
          <w:szCs w:val="20"/>
          <w:lang w:val="en-US" w:eastAsia="en-GB"/>
        </w:rPr>
        <w:t>Amnesty International submits this document in advance of the UN Committee on the Elimination of Racial Discrimination’s (the Committee) consideration of Finland’s combined 24-26</w:t>
      </w:r>
      <w:r w:rsidRPr="005202FA">
        <w:rPr>
          <w:sz w:val="20"/>
          <w:szCs w:val="20"/>
          <w:vertAlign w:val="superscript"/>
          <w:lang w:val="en-US" w:eastAsia="en-GB"/>
        </w:rPr>
        <w:t>th</w:t>
      </w:r>
      <w:r w:rsidRPr="005202FA">
        <w:rPr>
          <w:sz w:val="20"/>
          <w:szCs w:val="20"/>
          <w:lang w:val="en-US" w:eastAsia="en-GB"/>
        </w:rPr>
        <w:t xml:space="preserve"> periodic reports on the implementation of the International Convention on the Elimination of All Forms of Racial Discrimination (the Convention) in August 2026. This submission summarizes Amnesty International’s concerns about Finland’s failure to comply with its obligations under the Convention, including regarding racial discrimination, hate speech and hate crimes; economic and social rights; violence against women; rights of the indigenous Sámi people; right to freedom of peaceful assembly and rights of asylum seekers, refugees and migrants. This is not an exhaustive set of issues.</w:t>
      </w:r>
    </w:p>
    <w:p w14:paraId="089EADED" w14:textId="6CD7DA66" w:rsidR="00605C7F" w:rsidRPr="003045C4" w:rsidRDefault="00605C7F" w:rsidP="00605C7F">
      <w:pPr>
        <w:pStyle w:val="BNumberedHeading"/>
      </w:pPr>
      <w:bookmarkStart w:id="1" w:name="_Toc233898080"/>
      <w:r w:rsidRPr="003045C4">
        <w:t xml:space="preserve">RACIAL DISCRIMINATION, HATE SPEECH AND HATE CRIMES (ARTICLES 2 </w:t>
      </w:r>
      <w:r w:rsidR="005B4CC8">
        <w:t>- 7</w:t>
      </w:r>
      <w:r w:rsidRPr="003045C4">
        <w:t>)</w:t>
      </w:r>
      <w:bookmarkEnd w:id="1"/>
    </w:p>
    <w:p w14:paraId="53D84B77" w14:textId="77777777" w:rsidR="003D7719" w:rsidRPr="003D7719" w:rsidRDefault="003D7719" w:rsidP="00917F5E">
      <w:pPr>
        <w:pStyle w:val="BBodyText"/>
        <w:rPr>
          <w:lang w:eastAsia="en-GB"/>
        </w:rPr>
      </w:pPr>
    </w:p>
    <w:p w14:paraId="2E57D1C9" w14:textId="080A1F3F" w:rsidR="00286D21" w:rsidRPr="00286D21" w:rsidRDefault="00CA0AD5" w:rsidP="00BB730C">
      <w:pPr>
        <w:pStyle w:val="BNumberedSubheading"/>
      </w:pPr>
      <w:bookmarkStart w:id="2" w:name="_Toc233898081"/>
      <w:r w:rsidRPr="00CA0AD5">
        <w:t>Legal, institutional and policy framework for combating racial discrimination, hate speech and hate crimes</w:t>
      </w:r>
      <w:bookmarkEnd w:id="2"/>
    </w:p>
    <w:p w14:paraId="05A701A1" w14:textId="77777777" w:rsidR="00286D21" w:rsidRPr="00286D21" w:rsidRDefault="00286D21" w:rsidP="00286D21">
      <w:pPr>
        <w:pStyle w:val="BBodyText"/>
        <w:rPr>
          <w:sz w:val="20"/>
          <w:szCs w:val="20"/>
          <w:lang w:val="en-US"/>
        </w:rPr>
      </w:pPr>
      <w:r w:rsidRPr="00286D21">
        <w:rPr>
          <w:sz w:val="20"/>
          <w:szCs w:val="20"/>
          <w:lang w:val="en-US"/>
        </w:rPr>
        <w:t>Amnesty International regrets that</w:t>
      </w:r>
      <w:r w:rsidRPr="00286D21" w:rsidDel="005A776C">
        <w:rPr>
          <w:sz w:val="20"/>
          <w:szCs w:val="20"/>
          <w:lang w:val="en-US"/>
        </w:rPr>
        <w:t xml:space="preserve"> </w:t>
      </w:r>
      <w:r w:rsidRPr="00286D21">
        <w:rPr>
          <w:sz w:val="20"/>
          <w:szCs w:val="20"/>
          <w:lang w:val="en-US"/>
        </w:rPr>
        <w:t>the current government programme 2023-2027 of Prime Minister Petteri Orpo’s (National Coalition Party, NCP) coalition government lacks adequate commitments to combat racism, hate speech and hate crimes.</w:t>
      </w:r>
      <w:r w:rsidRPr="00286D21">
        <w:rPr>
          <w:sz w:val="20"/>
          <w:szCs w:val="20"/>
          <w:vertAlign w:val="superscript"/>
          <w:lang w:val="fi-FI"/>
        </w:rPr>
        <w:footnoteReference w:id="2"/>
      </w:r>
      <w:r w:rsidRPr="00286D21">
        <w:rPr>
          <w:sz w:val="20"/>
          <w:szCs w:val="20"/>
          <w:lang w:val="en-US"/>
        </w:rPr>
        <w:t xml:space="preserve"> In 2023, after media reports concerning past racist speeches and writings by three ministers of the Finns Party (FP), the government introduced an equality statement that includes a list of measures to combat racism. The measures were to be implemented through a separate action plan.</w:t>
      </w:r>
      <w:r w:rsidRPr="00286D21">
        <w:rPr>
          <w:sz w:val="20"/>
          <w:szCs w:val="20"/>
          <w:vertAlign w:val="superscript"/>
          <w:lang w:val="fi-FI"/>
        </w:rPr>
        <w:footnoteReference w:id="3"/>
      </w:r>
      <w:r w:rsidRPr="00286D21">
        <w:rPr>
          <w:sz w:val="20"/>
          <w:szCs w:val="20"/>
          <w:lang w:val="en-US"/>
        </w:rPr>
        <w:t xml:space="preserve"> In 2024, Amnesty International and other NGOs criticized the government for taking numerous measures, which deepened structural racism and discrimination.</w:t>
      </w:r>
      <w:r w:rsidRPr="00286D21">
        <w:rPr>
          <w:sz w:val="20"/>
          <w:szCs w:val="20"/>
          <w:vertAlign w:val="superscript"/>
          <w:lang w:val="fi-FI"/>
        </w:rPr>
        <w:footnoteReference w:id="4"/>
      </w:r>
      <w:r w:rsidRPr="00286D21">
        <w:rPr>
          <w:sz w:val="20"/>
          <w:szCs w:val="20"/>
          <w:lang w:val="en-US"/>
        </w:rPr>
        <w:t xml:space="preserve"> </w:t>
      </w:r>
    </w:p>
    <w:p w14:paraId="72F61EAE" w14:textId="77777777" w:rsidR="00286D21" w:rsidRPr="00286D21" w:rsidRDefault="00286D21" w:rsidP="00286D21">
      <w:pPr>
        <w:pStyle w:val="BBodyText"/>
        <w:rPr>
          <w:sz w:val="20"/>
          <w:szCs w:val="20"/>
          <w:lang w:val="en-US"/>
        </w:rPr>
      </w:pPr>
      <w:r w:rsidRPr="00286D21">
        <w:rPr>
          <w:sz w:val="20"/>
          <w:szCs w:val="20"/>
          <w:lang w:val="en-US"/>
        </w:rPr>
        <w:t>The government’s action plan to combat racism and promote equality, published in 2024, did not include legislative measures to combat racism, hate speech and hate crimes.</w:t>
      </w:r>
      <w:r w:rsidRPr="00286D21">
        <w:rPr>
          <w:sz w:val="20"/>
          <w:szCs w:val="20"/>
          <w:vertAlign w:val="superscript"/>
          <w:lang w:val="fi-FI"/>
        </w:rPr>
        <w:footnoteReference w:id="5"/>
      </w:r>
      <w:r w:rsidRPr="00286D21">
        <w:rPr>
          <w:sz w:val="20"/>
          <w:szCs w:val="20"/>
          <w:lang w:val="en-US"/>
        </w:rPr>
        <w:t xml:space="preserve"> While it included some positive measures for example regarding equality planning, the action plan showed no clear evidence of a genuine commitment to tackling racism.</w:t>
      </w:r>
      <w:r w:rsidRPr="00286D21">
        <w:rPr>
          <w:sz w:val="20"/>
          <w:szCs w:val="20"/>
          <w:vertAlign w:val="superscript"/>
          <w:lang w:val="fi-FI"/>
        </w:rPr>
        <w:footnoteReference w:id="6"/>
      </w:r>
      <w:r w:rsidRPr="00286D21">
        <w:rPr>
          <w:sz w:val="20"/>
          <w:szCs w:val="20"/>
          <w:lang w:val="en-US"/>
        </w:rPr>
        <w:t xml:space="preserve"> </w:t>
      </w:r>
    </w:p>
    <w:p w14:paraId="6703E4F5" w14:textId="77777777" w:rsidR="00286D21" w:rsidRPr="00286D21" w:rsidRDefault="00286D21" w:rsidP="00286D21">
      <w:pPr>
        <w:pStyle w:val="BBodyText"/>
        <w:rPr>
          <w:sz w:val="20"/>
          <w:szCs w:val="20"/>
          <w:lang w:val="en-US"/>
        </w:rPr>
      </w:pPr>
      <w:r w:rsidRPr="00286D21">
        <w:rPr>
          <w:sz w:val="20"/>
          <w:szCs w:val="20"/>
          <w:lang w:val="en-US"/>
        </w:rPr>
        <w:t xml:space="preserve">A 2023 evaluation report commissioned by the Ministry of Justice (MoJ) found that the previous governmental anti-racism action plan 2021–2023 was meeting the criteria set by the EU. Despite the positive overall assessment, the report recommended the government “allocate sufficient resources for </w:t>
      </w:r>
      <w:r w:rsidRPr="00286D21">
        <w:rPr>
          <w:sz w:val="20"/>
          <w:szCs w:val="20"/>
          <w:lang w:val="en-US"/>
        </w:rPr>
        <w:lastRenderedPageBreak/>
        <w:t>anti-racism policies”, “develop specific measures to combat Afrophobia, Islamophobia and antisemitism”, and “amend the Criminal Code to comply with the EU Framework Decision 2008/913/JHA”.</w:t>
      </w:r>
      <w:r w:rsidRPr="00286D21">
        <w:rPr>
          <w:sz w:val="20"/>
          <w:szCs w:val="20"/>
          <w:vertAlign w:val="superscript"/>
          <w:lang w:val="fi-FI"/>
        </w:rPr>
        <w:footnoteReference w:id="7"/>
      </w:r>
      <w:r w:rsidRPr="00286D21">
        <w:rPr>
          <w:sz w:val="20"/>
          <w:szCs w:val="20"/>
          <w:lang w:val="en-US"/>
        </w:rPr>
        <w:t xml:space="preserve"> </w:t>
      </w:r>
    </w:p>
    <w:p w14:paraId="5A5E9D36" w14:textId="55B6B126" w:rsidR="00286D21" w:rsidRPr="00286D21" w:rsidRDefault="00286D21" w:rsidP="48795532">
      <w:pPr>
        <w:pStyle w:val="BBodyText"/>
        <w:rPr>
          <w:sz w:val="20"/>
          <w:szCs w:val="20"/>
          <w:lang w:val="en-US"/>
        </w:rPr>
      </w:pPr>
      <w:r w:rsidRPr="00286D21">
        <w:rPr>
          <w:sz w:val="20"/>
          <w:szCs w:val="20"/>
          <w:lang w:val="en-US"/>
        </w:rPr>
        <w:t>These recommendations are largely yet to be implemented and the government’s measures to combat racism, hate speech and hate crimes remain insufficient. The activities lack overall coordination, and limited government projects exist to address these issues: a permanent national coordination structure, a whole-of-government action plan to combat hate speech and hate crimes as well as a comprehensive data collection of hate incidents are lacking.</w:t>
      </w:r>
      <w:r w:rsidRPr="00286D21">
        <w:rPr>
          <w:sz w:val="20"/>
          <w:szCs w:val="20"/>
          <w:vertAlign w:val="superscript"/>
          <w:lang w:val="fi-FI"/>
        </w:rPr>
        <w:footnoteReference w:id="8"/>
      </w:r>
    </w:p>
    <w:p w14:paraId="7E37F6B7" w14:textId="77777777" w:rsidR="00BC3741" w:rsidRPr="003D7719" w:rsidRDefault="00BC3741" w:rsidP="00BC3741">
      <w:pPr>
        <w:pStyle w:val="BBodyText"/>
        <w:rPr>
          <w:lang w:eastAsia="en-GB"/>
        </w:rPr>
      </w:pPr>
    </w:p>
    <w:p w14:paraId="4400C37D" w14:textId="62C28585" w:rsidR="00BC3741" w:rsidRPr="00286D21" w:rsidRDefault="007A3EAD" w:rsidP="00BB730C">
      <w:pPr>
        <w:pStyle w:val="BNumberedSubheading"/>
      </w:pPr>
      <w:bookmarkStart w:id="3" w:name="_Toc233898082"/>
      <w:r w:rsidRPr="007A3EAD">
        <w:t>Prevalence of racial discrimination, hate speech and hate crimes</w:t>
      </w:r>
      <w:bookmarkEnd w:id="3"/>
    </w:p>
    <w:p w14:paraId="5D1006C2" w14:textId="77777777" w:rsidR="000C6F0C" w:rsidRPr="006546F1" w:rsidRDefault="000C6F0C" w:rsidP="000C6F0C">
      <w:pPr>
        <w:rPr>
          <w:lang w:val="en-US"/>
        </w:rPr>
      </w:pPr>
      <w:r w:rsidRPr="006546F1">
        <w:rPr>
          <w:lang w:val="en-US"/>
        </w:rPr>
        <w:t>A 2026 report by the Non-Discrimination Ombudsman (NDO) concluded that</w:t>
      </w:r>
      <w:r w:rsidRPr="006546F1">
        <w:rPr>
          <w:b/>
          <w:lang w:val="en-US"/>
        </w:rPr>
        <w:t xml:space="preserve"> </w:t>
      </w:r>
      <w:r w:rsidRPr="006546F1">
        <w:rPr>
          <w:lang w:val="en-US"/>
        </w:rPr>
        <w:t>racial discrimination is a widespread and serious societal problem that affects many minority groups.</w:t>
      </w:r>
      <w:r w:rsidRPr="006546F1">
        <w:rPr>
          <w:rStyle w:val="FootnoteReference"/>
        </w:rPr>
        <w:footnoteReference w:id="9"/>
      </w:r>
      <w:r w:rsidRPr="006546F1">
        <w:rPr>
          <w:lang w:val="en-US"/>
        </w:rPr>
        <w:t xml:space="preserve"> A 2023 report by the European Union Agency for Fundamental Rights (FRA) revealed that 43% of people of African descent in Finland reported experiencing racist harassment and 54% reported experiencing racial discrimination within a year before the survey.</w:t>
      </w:r>
      <w:r w:rsidRPr="006546F1">
        <w:rPr>
          <w:vertAlign w:val="superscript"/>
        </w:rPr>
        <w:footnoteReference w:id="10"/>
      </w:r>
      <w:r w:rsidRPr="006546F1">
        <w:rPr>
          <w:lang w:val="en-US"/>
        </w:rPr>
        <w:t xml:space="preserve"> According to 2021, 2022 and 2023 reports by NGO Anti-Racist Forum, hate incidents reported through its online tool were most or second most often directed at persons who belonged or were presumed to belong to an ethnic minority of people of African descent.</w:t>
      </w:r>
      <w:r w:rsidRPr="006546F1">
        <w:rPr>
          <w:vertAlign w:val="superscript"/>
        </w:rPr>
        <w:footnoteReference w:id="11"/>
      </w:r>
    </w:p>
    <w:p w14:paraId="029D3A04" w14:textId="77777777" w:rsidR="00136DE7" w:rsidRDefault="00136DE7" w:rsidP="000C6F0C">
      <w:pPr>
        <w:pStyle w:val="BBodyText"/>
        <w:rPr>
          <w:sz w:val="20"/>
          <w:szCs w:val="20"/>
          <w:lang w:val="en-US"/>
        </w:rPr>
      </w:pPr>
    </w:p>
    <w:p w14:paraId="4AE036CA" w14:textId="022FE628" w:rsidR="000C6F0C" w:rsidRPr="006546F1" w:rsidRDefault="000C6F0C" w:rsidP="000C6F0C">
      <w:pPr>
        <w:pStyle w:val="BBodyText"/>
        <w:rPr>
          <w:sz w:val="20"/>
          <w:szCs w:val="20"/>
          <w:lang w:val="en-US"/>
        </w:rPr>
      </w:pPr>
      <w:r w:rsidRPr="006546F1">
        <w:rPr>
          <w:sz w:val="20"/>
          <w:szCs w:val="20"/>
          <w:lang w:val="en-US"/>
        </w:rPr>
        <w:t>According to a Special Eurobarometer survey conducted by the European Commission in 2023, a total of 72% of Finns believed that discrimination against Roma was widespread in Finland.</w:t>
      </w:r>
      <w:r w:rsidRPr="006546F1">
        <w:rPr>
          <w:rStyle w:val="FootnoteReference"/>
          <w:sz w:val="20"/>
          <w:szCs w:val="20"/>
        </w:rPr>
        <w:footnoteReference w:id="12"/>
      </w:r>
      <w:r w:rsidRPr="006546F1">
        <w:rPr>
          <w:sz w:val="20"/>
          <w:szCs w:val="20"/>
          <w:lang w:val="en-US"/>
        </w:rPr>
        <w:t xml:space="preserve"> The project Roma Civil Monitoring, which works on the rights of Roma people, noted that ”</w:t>
      </w:r>
      <w:proofErr w:type="spellStart"/>
      <w:r w:rsidRPr="006546F1">
        <w:rPr>
          <w:sz w:val="20"/>
          <w:szCs w:val="20"/>
          <w:lang w:val="en-US"/>
        </w:rPr>
        <w:t>antigypsyism</w:t>
      </w:r>
      <w:proofErr w:type="spellEnd"/>
      <w:r w:rsidRPr="006546F1">
        <w:rPr>
          <w:sz w:val="20"/>
          <w:szCs w:val="20"/>
          <w:lang w:val="en-US"/>
        </w:rPr>
        <w:t xml:space="preserve"> was still not adequately </w:t>
      </w:r>
      <w:proofErr w:type="spellStart"/>
      <w:r w:rsidRPr="006546F1">
        <w:rPr>
          <w:sz w:val="20"/>
          <w:szCs w:val="20"/>
          <w:lang w:val="en-US"/>
        </w:rPr>
        <w:t>recognised</w:t>
      </w:r>
      <w:proofErr w:type="spellEnd"/>
      <w:r w:rsidRPr="006546F1">
        <w:rPr>
          <w:sz w:val="20"/>
          <w:szCs w:val="20"/>
          <w:lang w:val="en-US"/>
        </w:rPr>
        <w:t xml:space="preserve"> or acknowledged at any level of Finnish society”.</w:t>
      </w:r>
      <w:r w:rsidRPr="006546F1">
        <w:rPr>
          <w:sz w:val="20"/>
          <w:szCs w:val="20"/>
          <w:vertAlign w:val="superscript"/>
          <w:lang w:val="en-US"/>
        </w:rPr>
        <w:footnoteReference w:id="13"/>
      </w:r>
    </w:p>
    <w:p w14:paraId="16A2B5F5" w14:textId="77777777" w:rsidR="000C6F0C" w:rsidRPr="006546F1" w:rsidRDefault="000C6F0C" w:rsidP="000C6F0C">
      <w:pPr>
        <w:pStyle w:val="BBodyText"/>
        <w:rPr>
          <w:sz w:val="20"/>
          <w:szCs w:val="20"/>
          <w:lang w:val="en-US"/>
        </w:rPr>
      </w:pPr>
      <w:r w:rsidRPr="006546F1">
        <w:rPr>
          <w:sz w:val="20"/>
          <w:szCs w:val="20"/>
          <w:lang w:val="en-US"/>
        </w:rPr>
        <w:t>In 2024, the National Human Rights Centre and MoJ published a report on the prevalence of antisemitism in Finland.</w:t>
      </w:r>
      <w:r w:rsidRPr="006546F1">
        <w:rPr>
          <w:sz w:val="20"/>
          <w:szCs w:val="20"/>
          <w:vertAlign w:val="superscript"/>
          <w:lang w:val="en-US"/>
        </w:rPr>
        <w:footnoteReference w:id="14"/>
      </w:r>
      <w:r w:rsidRPr="006546F1">
        <w:rPr>
          <w:sz w:val="20"/>
          <w:szCs w:val="20"/>
          <w:vertAlign w:val="superscript"/>
          <w:lang w:val="en-US"/>
        </w:rPr>
        <w:t xml:space="preserve"> </w:t>
      </w:r>
      <w:r w:rsidRPr="006546F1">
        <w:rPr>
          <w:sz w:val="20"/>
          <w:szCs w:val="20"/>
          <w:lang w:val="en-US"/>
        </w:rPr>
        <w:t xml:space="preserve">The report found that most respondents believed antisemitism in Finland had increased over </w:t>
      </w:r>
      <w:r w:rsidRPr="006546F1">
        <w:rPr>
          <w:sz w:val="20"/>
          <w:szCs w:val="20"/>
          <w:lang w:val="en-US"/>
        </w:rPr>
        <w:lastRenderedPageBreak/>
        <w:t>the past five years, with the internet and social media identified as the main arenas, followed by the media and political life.</w:t>
      </w:r>
      <w:r w:rsidRPr="006546F1">
        <w:rPr>
          <w:sz w:val="20"/>
          <w:szCs w:val="20"/>
          <w:vertAlign w:val="superscript"/>
          <w:lang w:val="en-US"/>
        </w:rPr>
        <w:footnoteReference w:id="15"/>
      </w:r>
      <w:r w:rsidRPr="006546F1">
        <w:rPr>
          <w:sz w:val="20"/>
          <w:szCs w:val="20"/>
          <w:vertAlign w:val="superscript"/>
          <w:lang w:val="en-US"/>
        </w:rPr>
        <w:t xml:space="preserve"> </w:t>
      </w:r>
    </w:p>
    <w:p w14:paraId="7B2B31EC" w14:textId="77777777" w:rsidR="000C6F0C" w:rsidRPr="006546F1" w:rsidRDefault="000C6F0C" w:rsidP="000C6F0C">
      <w:pPr>
        <w:pStyle w:val="BBodyText"/>
        <w:rPr>
          <w:sz w:val="20"/>
          <w:szCs w:val="20"/>
          <w:lang w:val="en-US"/>
        </w:rPr>
      </w:pPr>
      <w:r w:rsidRPr="006546F1">
        <w:rPr>
          <w:sz w:val="20"/>
          <w:szCs w:val="20"/>
          <w:lang w:val="en-US"/>
        </w:rPr>
        <w:t xml:space="preserve">According to the European Islamophobia Report 2022, many politicians and public officials portray Muslims as a threat to national security and anti-Muslim racism and xenophobic </w:t>
      </w:r>
      <w:r w:rsidRPr="006546F1" w:rsidDel="004543B1">
        <w:rPr>
          <w:sz w:val="20"/>
          <w:szCs w:val="20"/>
          <w:lang w:val="en-US"/>
        </w:rPr>
        <w:t>sentiment</w:t>
      </w:r>
      <w:r w:rsidRPr="006546F1">
        <w:rPr>
          <w:sz w:val="20"/>
          <w:szCs w:val="20"/>
          <w:lang w:val="en-US"/>
        </w:rPr>
        <w:t xml:space="preserve"> have been fueled by several events, including the parliamentary elections in April 2023.</w:t>
      </w:r>
      <w:r w:rsidRPr="006546F1">
        <w:rPr>
          <w:sz w:val="20"/>
          <w:szCs w:val="20"/>
          <w:vertAlign w:val="superscript"/>
          <w:lang w:val="en-US"/>
        </w:rPr>
        <w:footnoteReference w:id="16"/>
      </w:r>
      <w:r w:rsidRPr="006546F1">
        <w:rPr>
          <w:sz w:val="20"/>
          <w:szCs w:val="20"/>
          <w:vertAlign w:val="superscript"/>
          <w:lang w:val="en-US"/>
        </w:rPr>
        <w:t xml:space="preserve"> </w:t>
      </w:r>
      <w:r w:rsidRPr="006546F1">
        <w:rPr>
          <w:sz w:val="20"/>
          <w:szCs w:val="20"/>
          <w:lang w:val="en-US"/>
        </w:rPr>
        <w:t>In 2024, a FRA report concluded that Finland has one of the highest reported levels of discrimination against Muslims in the EU, with 60% experiencing discrimination within a year and 64% over the past five years before the survey.</w:t>
      </w:r>
      <w:r w:rsidRPr="006546F1">
        <w:rPr>
          <w:sz w:val="20"/>
          <w:szCs w:val="20"/>
          <w:vertAlign w:val="superscript"/>
          <w:lang w:val="en-US"/>
        </w:rPr>
        <w:footnoteReference w:id="17"/>
      </w:r>
    </w:p>
    <w:p w14:paraId="4327143C" w14:textId="77777777" w:rsidR="000C6F0C" w:rsidRPr="006546F1" w:rsidRDefault="000C6F0C" w:rsidP="000C6F0C">
      <w:pPr>
        <w:pStyle w:val="BBodyText"/>
        <w:rPr>
          <w:sz w:val="20"/>
          <w:szCs w:val="20"/>
          <w:lang w:val="en-US"/>
        </w:rPr>
      </w:pPr>
      <w:r w:rsidRPr="006546F1">
        <w:rPr>
          <w:sz w:val="20"/>
          <w:szCs w:val="20"/>
          <w:lang w:val="en-US"/>
        </w:rPr>
        <w:t>According to a report</w:t>
      </w:r>
      <w:r w:rsidRPr="006546F1">
        <w:rPr>
          <w:sz w:val="20"/>
          <w:szCs w:val="20"/>
          <w:vertAlign w:val="superscript"/>
          <w:lang w:val="en-US"/>
        </w:rPr>
        <w:footnoteReference w:id="18"/>
      </w:r>
      <w:r w:rsidRPr="006546F1">
        <w:rPr>
          <w:sz w:val="20"/>
          <w:szCs w:val="20"/>
          <w:lang w:val="en-US"/>
        </w:rPr>
        <w:t xml:space="preserve"> published by the MoJ in 2022, silencing the Sámi people or restricting their participation in society is of concern. Almost half of the Sámi respondents reported experiencing hate speech or harassment, and they said the perpetrator was usually a politician or a person in a public position.</w:t>
      </w:r>
    </w:p>
    <w:p w14:paraId="4D40120B" w14:textId="77777777" w:rsidR="000C6F0C" w:rsidRPr="006546F1" w:rsidRDefault="000C6F0C" w:rsidP="000C6F0C">
      <w:pPr>
        <w:pStyle w:val="BBodyText"/>
        <w:rPr>
          <w:sz w:val="20"/>
          <w:szCs w:val="20"/>
          <w:lang w:val="en-US"/>
        </w:rPr>
      </w:pPr>
      <w:r w:rsidRPr="006546F1">
        <w:rPr>
          <w:sz w:val="20"/>
          <w:szCs w:val="20"/>
          <w:lang w:val="en-US"/>
        </w:rPr>
        <w:t>Most hate crimes reported to the police in Finland are racist crimes.</w:t>
      </w:r>
      <w:r w:rsidRPr="006546F1">
        <w:rPr>
          <w:rStyle w:val="FootnoteReference"/>
          <w:sz w:val="20"/>
          <w:szCs w:val="20"/>
        </w:rPr>
        <w:footnoteReference w:id="19"/>
      </w:r>
      <w:r w:rsidRPr="006546F1">
        <w:rPr>
          <w:sz w:val="20"/>
          <w:szCs w:val="20"/>
          <w:lang w:val="en-US"/>
        </w:rPr>
        <w:t xml:space="preserve"> According to an annual report by the Police University College in 2025, the number of suspected hate crimes continued to increase. In 2024, the police recorded a total of 1, 808 offenses classified as suspected hate crimes, which was the highest number ever recorded in Finland.</w:t>
      </w:r>
      <w:r w:rsidRPr="006546F1">
        <w:rPr>
          <w:rStyle w:val="FootnoteReference"/>
          <w:sz w:val="20"/>
          <w:szCs w:val="20"/>
        </w:rPr>
        <w:footnoteReference w:id="20"/>
      </w:r>
    </w:p>
    <w:p w14:paraId="2E011E71" w14:textId="77777777" w:rsidR="000C6F0C" w:rsidRPr="006546F1" w:rsidRDefault="000C6F0C" w:rsidP="000C6F0C">
      <w:pPr>
        <w:pStyle w:val="BBodyText"/>
        <w:rPr>
          <w:sz w:val="20"/>
          <w:szCs w:val="20"/>
          <w:lang w:val="en-US"/>
        </w:rPr>
      </w:pPr>
      <w:r w:rsidRPr="006546F1">
        <w:rPr>
          <w:sz w:val="20"/>
          <w:szCs w:val="20"/>
          <w:lang w:val="en-US"/>
        </w:rPr>
        <w:t>According to a 2022 survey commissioned by MoJ, the results of many governmental actions taken to combat hate speech are not yet reflected in the experiences of marginalized groups.</w:t>
      </w:r>
      <w:r w:rsidRPr="006546F1">
        <w:rPr>
          <w:sz w:val="20"/>
          <w:szCs w:val="20"/>
          <w:vertAlign w:val="superscript"/>
        </w:rPr>
        <w:footnoteReference w:id="21"/>
      </w:r>
      <w:r w:rsidRPr="006546F1">
        <w:rPr>
          <w:sz w:val="20"/>
          <w:szCs w:val="20"/>
          <w:lang w:val="en-US"/>
        </w:rPr>
        <w:t xml:space="preserve"> Another study commissioned by the government acknowledged that hate speech has become “an integral part of the online culture”.</w:t>
      </w:r>
      <w:r w:rsidRPr="006546F1">
        <w:rPr>
          <w:sz w:val="20"/>
          <w:szCs w:val="20"/>
          <w:vertAlign w:val="superscript"/>
        </w:rPr>
        <w:footnoteReference w:id="22"/>
      </w:r>
      <w:r w:rsidRPr="006546F1">
        <w:rPr>
          <w:sz w:val="20"/>
          <w:szCs w:val="20"/>
          <w:lang w:val="en-US"/>
        </w:rPr>
        <w:t xml:space="preserve"> </w:t>
      </w:r>
    </w:p>
    <w:p w14:paraId="5BD9693E" w14:textId="77777777" w:rsidR="00411667" w:rsidRDefault="00411667" w:rsidP="000C6F0C">
      <w:pPr>
        <w:pStyle w:val="BBodyText"/>
        <w:rPr>
          <w:lang w:val="en-US"/>
        </w:rPr>
      </w:pPr>
    </w:p>
    <w:p w14:paraId="2AAD53B9" w14:textId="4438FD68" w:rsidR="00411667" w:rsidRPr="00286D21" w:rsidRDefault="00C57336" w:rsidP="00BB730C">
      <w:pPr>
        <w:pStyle w:val="BNumberedSubheading"/>
      </w:pPr>
      <w:bookmarkStart w:id="4" w:name="_Toc233898083"/>
      <w:r w:rsidRPr="00C57336">
        <w:t>Under-reporting of racial discrimination and hate incidents</w:t>
      </w:r>
      <w:bookmarkEnd w:id="4"/>
    </w:p>
    <w:p w14:paraId="1781E81F" w14:textId="77777777" w:rsidR="006546F1" w:rsidRPr="003045C4" w:rsidRDefault="006546F1" w:rsidP="006546F1">
      <w:pPr>
        <w:rPr>
          <w:lang w:val="en-US"/>
        </w:rPr>
      </w:pPr>
      <w:r w:rsidRPr="003045C4">
        <w:rPr>
          <w:lang w:val="en-US"/>
        </w:rPr>
        <w:t>The issue of under-reporting discrimination and hate incidents to the authorities remains a significant problem.</w:t>
      </w:r>
      <w:r w:rsidRPr="00EC362B">
        <w:rPr>
          <w:vertAlign w:val="superscript"/>
        </w:rPr>
        <w:footnoteReference w:id="23"/>
      </w:r>
      <w:r w:rsidRPr="003045C4">
        <w:rPr>
          <w:lang w:val="en-US"/>
        </w:rPr>
        <w:t xml:space="preserve"> A 2020 study on experiences of discrimination of people of African descent by the N</w:t>
      </w:r>
      <w:r>
        <w:rPr>
          <w:lang w:val="en-US"/>
        </w:rPr>
        <w:t>DO</w:t>
      </w:r>
      <w:r w:rsidRPr="003045C4">
        <w:rPr>
          <w:lang w:val="en-US"/>
        </w:rPr>
        <w:t xml:space="preserve"> showed that 61% of respondents did not report discrimination they experienced to any authorities.</w:t>
      </w:r>
      <w:r w:rsidRPr="00EC362B">
        <w:rPr>
          <w:rStyle w:val="FootnoteReference"/>
        </w:rPr>
        <w:footnoteReference w:id="24"/>
      </w:r>
      <w:r w:rsidRPr="003045C4">
        <w:rPr>
          <w:lang w:val="en-US"/>
        </w:rPr>
        <w:t xml:space="preserve"> A 2023 report </w:t>
      </w:r>
      <w:r w:rsidRPr="003045C4">
        <w:rPr>
          <w:lang w:val="en-US"/>
        </w:rPr>
        <w:lastRenderedPageBreak/>
        <w:t>by Anti-Racist Forum</w:t>
      </w:r>
      <w:r w:rsidRPr="00EC362B">
        <w:rPr>
          <w:vertAlign w:val="superscript"/>
        </w:rPr>
        <w:footnoteReference w:id="25"/>
      </w:r>
      <w:r w:rsidRPr="003045C4">
        <w:rPr>
          <w:lang w:val="en-US"/>
        </w:rPr>
        <w:t xml:space="preserve"> and a 2022 survey commissioned by the MoJ on hate incidents and discrimination showed similar results.</w:t>
      </w:r>
      <w:r w:rsidRPr="00EC362B">
        <w:rPr>
          <w:rStyle w:val="FootnoteReference"/>
        </w:rPr>
        <w:footnoteReference w:id="26"/>
      </w:r>
      <w:r w:rsidRPr="003045C4">
        <w:rPr>
          <w:lang w:val="en-US"/>
        </w:rPr>
        <w:t xml:space="preserve"> </w:t>
      </w:r>
    </w:p>
    <w:p w14:paraId="7CBEBAD4" w14:textId="77777777" w:rsidR="006546F1" w:rsidRDefault="006546F1" w:rsidP="006546F1">
      <w:pPr>
        <w:rPr>
          <w:lang w:val="en-US"/>
        </w:rPr>
      </w:pPr>
    </w:p>
    <w:p w14:paraId="6DB2B078" w14:textId="53764EED" w:rsidR="006546F1" w:rsidRPr="003045C4" w:rsidRDefault="006546F1" w:rsidP="006546F1">
      <w:pPr>
        <w:rPr>
          <w:lang w:val="en-US"/>
        </w:rPr>
      </w:pPr>
      <w:r w:rsidRPr="003045C4">
        <w:rPr>
          <w:lang w:val="en-US"/>
        </w:rPr>
        <w:t>According to a study commissioned by the MoJ, there are shortcomings in the identification and processing of hate motives in the criminal procedure. The study criticized the guidelines by the National Police Board (NPB) for not requiring the police to assign hate crime codes to reported offences.</w:t>
      </w:r>
      <w:r w:rsidRPr="00EC362B">
        <w:rPr>
          <w:vertAlign w:val="superscript"/>
        </w:rPr>
        <w:footnoteReference w:id="27"/>
      </w:r>
      <w:r w:rsidRPr="003045C4">
        <w:rPr>
          <w:lang w:val="en-US"/>
        </w:rPr>
        <w:t xml:space="preserve"> The study also found problems in investigating whether hate was a motive for crime, as the interviewing instructions issued by the NPB ma</w:t>
      </w:r>
      <w:r>
        <w:rPr>
          <w:lang w:val="en-US"/>
        </w:rPr>
        <w:t>de</w:t>
      </w:r>
      <w:r w:rsidRPr="003045C4">
        <w:rPr>
          <w:lang w:val="en-US"/>
        </w:rPr>
        <w:t xml:space="preserve"> no reference to examining the motives.</w:t>
      </w:r>
      <w:r w:rsidRPr="00EC362B">
        <w:rPr>
          <w:vertAlign w:val="superscript"/>
        </w:rPr>
        <w:footnoteReference w:id="28"/>
      </w:r>
      <w:r w:rsidRPr="003045C4">
        <w:rPr>
          <w:lang w:val="en-US"/>
        </w:rPr>
        <w:t xml:space="preserve"> According to the Minister of the Interior, the NPB has since updated its instructions to highlight the importance of correct recording practices.</w:t>
      </w:r>
      <w:r w:rsidRPr="00EC362B">
        <w:rPr>
          <w:rStyle w:val="FootnoteReference"/>
        </w:rPr>
        <w:footnoteReference w:id="29"/>
      </w:r>
      <w:r w:rsidRPr="003045C4">
        <w:rPr>
          <w:lang w:val="en-US"/>
        </w:rPr>
        <w:t xml:space="preserve"> </w:t>
      </w:r>
    </w:p>
    <w:p w14:paraId="79E52126" w14:textId="77777777" w:rsidR="00136DE7" w:rsidRDefault="00136DE7" w:rsidP="00CA2B26">
      <w:pPr>
        <w:rPr>
          <w:lang w:val="en-US"/>
        </w:rPr>
      </w:pPr>
    </w:p>
    <w:p w14:paraId="404E47F0" w14:textId="1B2FCC4D" w:rsidR="00411667" w:rsidRDefault="006546F1" w:rsidP="00CA2B26">
      <w:pPr>
        <w:rPr>
          <w:lang w:val="en-US"/>
        </w:rPr>
      </w:pPr>
      <w:r w:rsidRPr="003045C4">
        <w:rPr>
          <w:lang w:val="en-US"/>
        </w:rPr>
        <w:t xml:space="preserve">A report published by the MoJ in 2024 noted that </w:t>
      </w:r>
      <w:r w:rsidRPr="5674BD04">
        <w:rPr>
          <w:lang w:val="en-US"/>
        </w:rPr>
        <w:t xml:space="preserve">the rates at which </w:t>
      </w:r>
      <w:r>
        <w:rPr>
          <w:lang w:val="en-US"/>
        </w:rPr>
        <w:t>offences</w:t>
      </w:r>
      <w:r w:rsidRPr="5674BD04">
        <w:rPr>
          <w:lang w:val="en-US"/>
        </w:rPr>
        <w:t xml:space="preserve"> </w:t>
      </w:r>
      <w:r w:rsidR="003247C3">
        <w:rPr>
          <w:lang w:val="en-US"/>
        </w:rPr>
        <w:t xml:space="preserve">related to racism </w:t>
      </w:r>
      <w:r w:rsidRPr="5674BD04">
        <w:rPr>
          <w:lang w:val="en-US"/>
        </w:rPr>
        <w:t>are resolved</w:t>
      </w:r>
      <w:r w:rsidRPr="003045C4">
        <w:rPr>
          <w:lang w:val="en-US"/>
        </w:rPr>
        <w:t xml:space="preserve"> had decreased since 2007, for example from 62% to 50% in the case of discrimination.</w:t>
      </w:r>
      <w:r w:rsidRPr="00EC362B">
        <w:rPr>
          <w:rStyle w:val="FootnoteReference"/>
        </w:rPr>
        <w:footnoteReference w:id="30"/>
      </w:r>
      <w:r w:rsidRPr="003045C4">
        <w:rPr>
          <w:lang w:val="en-US"/>
        </w:rPr>
        <w:t xml:space="preserve"> The </w:t>
      </w:r>
      <w:r w:rsidRPr="002E0082">
        <w:rPr>
          <w:lang w:val="en-US"/>
        </w:rPr>
        <w:t>OSCE Office for Democratic Institutions and Human Rights (</w:t>
      </w:r>
      <w:r w:rsidRPr="003045C4">
        <w:rPr>
          <w:lang w:val="en-US"/>
        </w:rPr>
        <w:t>ODIHR</w:t>
      </w:r>
      <w:r w:rsidRPr="002E0082">
        <w:rPr>
          <w:lang w:val="en-US"/>
        </w:rPr>
        <w:t>)</w:t>
      </w:r>
      <w:r w:rsidRPr="003045C4">
        <w:rPr>
          <w:lang w:val="en-US"/>
        </w:rPr>
        <w:t xml:space="preserve"> has observed that Finland would benefit from increasing awareness and strengthening the skills of criminal justice professionals to better address and record hate crimes.</w:t>
      </w:r>
      <w:r w:rsidRPr="00EC362B">
        <w:rPr>
          <w:rStyle w:val="FootnoteReference"/>
        </w:rPr>
        <w:footnoteReference w:id="31"/>
      </w:r>
    </w:p>
    <w:p w14:paraId="2CFF025F" w14:textId="77777777" w:rsidR="00CA2B26" w:rsidRPr="00CA2B26" w:rsidRDefault="00CA2B26" w:rsidP="00CA2B26">
      <w:pPr>
        <w:rPr>
          <w:lang w:val="en-US"/>
        </w:rPr>
      </w:pPr>
    </w:p>
    <w:p w14:paraId="2AD8F419" w14:textId="389EC520" w:rsidR="00917F5E" w:rsidRPr="003D7719" w:rsidRDefault="00917F5E" w:rsidP="00BB730C">
      <w:pPr>
        <w:pStyle w:val="BNumberedSubheading"/>
      </w:pPr>
      <w:bookmarkStart w:id="5" w:name="_Toc233898084"/>
      <w:r>
        <w:t>Recommendations</w:t>
      </w:r>
      <w:bookmarkEnd w:id="5"/>
    </w:p>
    <w:p w14:paraId="601932BB" w14:textId="53774ACB" w:rsidR="00917F5E" w:rsidRPr="00B35A2E" w:rsidRDefault="00917F5E" w:rsidP="00917F5E">
      <w:pPr>
        <w:pStyle w:val="BBodyText"/>
        <w:rPr>
          <w:bCs w:val="0"/>
          <w:sz w:val="20"/>
          <w:szCs w:val="20"/>
          <w:lang w:eastAsia="en-GB"/>
        </w:rPr>
      </w:pPr>
      <w:r w:rsidRPr="00B35A2E">
        <w:rPr>
          <w:bCs w:val="0"/>
          <w:sz w:val="20"/>
          <w:szCs w:val="20"/>
          <w:lang w:eastAsia="en-GB"/>
        </w:rPr>
        <w:t xml:space="preserve">Amnesty International </w:t>
      </w:r>
      <w:r w:rsidR="00335B02" w:rsidRPr="00B35A2E">
        <w:rPr>
          <w:bCs w:val="0"/>
          <w:sz w:val="20"/>
          <w:szCs w:val="20"/>
          <w:lang w:eastAsia="en-GB"/>
        </w:rPr>
        <w:t>is calling on</w:t>
      </w:r>
      <w:r w:rsidRPr="00B35A2E">
        <w:rPr>
          <w:bCs w:val="0"/>
          <w:sz w:val="20"/>
          <w:szCs w:val="20"/>
          <w:lang w:eastAsia="en-GB"/>
        </w:rPr>
        <w:t xml:space="preserve"> authorities</w:t>
      </w:r>
      <w:r w:rsidR="0011077E">
        <w:rPr>
          <w:bCs w:val="0"/>
          <w:sz w:val="20"/>
          <w:szCs w:val="20"/>
          <w:lang w:eastAsia="en-GB"/>
        </w:rPr>
        <w:t xml:space="preserve"> in Finland</w:t>
      </w:r>
      <w:r w:rsidR="00335B02" w:rsidRPr="00B35A2E">
        <w:rPr>
          <w:bCs w:val="0"/>
          <w:sz w:val="20"/>
          <w:szCs w:val="20"/>
          <w:lang w:eastAsia="en-GB"/>
        </w:rPr>
        <w:t xml:space="preserve"> to</w:t>
      </w:r>
      <w:r w:rsidRPr="00B35A2E">
        <w:rPr>
          <w:bCs w:val="0"/>
          <w:sz w:val="20"/>
          <w:szCs w:val="20"/>
          <w:lang w:eastAsia="en-GB"/>
        </w:rPr>
        <w:t>:</w:t>
      </w:r>
    </w:p>
    <w:p w14:paraId="376FABF1" w14:textId="77777777" w:rsidR="0011077E" w:rsidRPr="0011077E" w:rsidRDefault="0011077E" w:rsidP="003B1B2C">
      <w:pPr>
        <w:pStyle w:val="BBodyText"/>
        <w:numPr>
          <w:ilvl w:val="0"/>
          <w:numId w:val="2"/>
        </w:numPr>
        <w:rPr>
          <w:bCs w:val="0"/>
          <w:sz w:val="20"/>
          <w:szCs w:val="20"/>
          <w:lang w:eastAsia="en-GB"/>
        </w:rPr>
      </w:pPr>
      <w:r w:rsidRPr="0011077E">
        <w:rPr>
          <w:bCs w:val="0"/>
          <w:sz w:val="20"/>
          <w:szCs w:val="20"/>
          <w:lang w:eastAsia="en-GB"/>
        </w:rPr>
        <w:t>Ensure political leaders and government officials refrain from and speak out against discriminatory rhetoric, strictly condemn hate crimes when they occur and make clear that crimes targeting people for discriminatory reasons will not be tolerated.</w:t>
      </w:r>
    </w:p>
    <w:p w14:paraId="5224114B" w14:textId="77777777" w:rsidR="0011077E" w:rsidRPr="0011077E" w:rsidRDefault="0011077E" w:rsidP="003B1B2C">
      <w:pPr>
        <w:pStyle w:val="BBodyText"/>
        <w:numPr>
          <w:ilvl w:val="0"/>
          <w:numId w:val="2"/>
        </w:numPr>
        <w:rPr>
          <w:bCs w:val="0"/>
          <w:sz w:val="20"/>
          <w:szCs w:val="20"/>
          <w:lang w:eastAsia="en-GB"/>
        </w:rPr>
      </w:pPr>
      <w:r w:rsidRPr="0011077E">
        <w:rPr>
          <w:bCs w:val="0"/>
          <w:sz w:val="20"/>
          <w:szCs w:val="20"/>
          <w:lang w:eastAsia="en-GB"/>
        </w:rPr>
        <w:t xml:space="preserve">Establish a permanent body to coordinate and develop national efforts to combat racial discrimination, hate speech and hate crimes and ensure that hate crimes are effectively investigated and those perpetrating them held accountable. </w:t>
      </w:r>
    </w:p>
    <w:p w14:paraId="4CB854CB" w14:textId="77777777" w:rsidR="0011077E" w:rsidRPr="0011077E" w:rsidRDefault="0011077E" w:rsidP="003B1B2C">
      <w:pPr>
        <w:pStyle w:val="BBodyText"/>
        <w:numPr>
          <w:ilvl w:val="0"/>
          <w:numId w:val="2"/>
        </w:numPr>
        <w:rPr>
          <w:bCs w:val="0"/>
          <w:sz w:val="20"/>
          <w:szCs w:val="20"/>
          <w:lang w:eastAsia="en-GB"/>
        </w:rPr>
      </w:pPr>
      <w:r w:rsidRPr="0011077E">
        <w:rPr>
          <w:bCs w:val="0"/>
          <w:sz w:val="20"/>
          <w:szCs w:val="20"/>
          <w:lang w:eastAsia="en-GB"/>
        </w:rPr>
        <w:t>Work with anti-racist civil society actors to develop methodologies for collecting data on hate crimes at all levels, including reporting, investigation, prosecution and sentencing. Data should be disaggregated by protected grounds, made publicly accessible (considering privacy and in line with human rights law and standards), and regularly reviewed to assist the development of policies to combat hate crimes.</w:t>
      </w:r>
    </w:p>
    <w:p w14:paraId="5699D4D3" w14:textId="77777777" w:rsidR="0011077E" w:rsidRPr="0011077E" w:rsidRDefault="0011077E" w:rsidP="003B1B2C">
      <w:pPr>
        <w:pStyle w:val="BBodyText"/>
        <w:numPr>
          <w:ilvl w:val="0"/>
          <w:numId w:val="2"/>
        </w:numPr>
        <w:rPr>
          <w:bCs w:val="0"/>
          <w:sz w:val="20"/>
          <w:szCs w:val="20"/>
          <w:lang w:eastAsia="en-GB"/>
        </w:rPr>
      </w:pPr>
      <w:r w:rsidRPr="0011077E">
        <w:rPr>
          <w:bCs w:val="0"/>
          <w:sz w:val="20"/>
          <w:szCs w:val="20"/>
          <w:lang w:eastAsia="en-GB"/>
        </w:rPr>
        <w:t>Take legislative measures to combat racism, hate speech and hate crimes and promote equality to address the root causes and contemporary manifestation of racism in line with international human rights law and standards.</w:t>
      </w:r>
    </w:p>
    <w:p w14:paraId="2845761B" w14:textId="3A2B1448" w:rsidR="00CA2B26" w:rsidRPr="002E7671" w:rsidRDefault="0011077E" w:rsidP="003B1B2C">
      <w:pPr>
        <w:pStyle w:val="BBodyText"/>
        <w:numPr>
          <w:ilvl w:val="0"/>
          <w:numId w:val="2"/>
        </w:numPr>
        <w:rPr>
          <w:bCs w:val="0"/>
          <w:sz w:val="20"/>
          <w:szCs w:val="20"/>
          <w:lang w:eastAsia="en-GB"/>
        </w:rPr>
      </w:pPr>
      <w:r w:rsidRPr="0011077E">
        <w:rPr>
          <w:bCs w:val="0"/>
          <w:sz w:val="20"/>
          <w:szCs w:val="20"/>
          <w:lang w:eastAsia="en-GB"/>
        </w:rPr>
        <w:lastRenderedPageBreak/>
        <w:t xml:space="preserve">Support anti-racist civil society actors and enable their participation and resources in planning, implementing, monitoring and evaluating the government’s anti-racism work, including the action plan to combat racism and promote equality. </w:t>
      </w:r>
    </w:p>
    <w:p w14:paraId="596EC4EA" w14:textId="2770F7B9" w:rsidR="00CA2B26" w:rsidRPr="003045C4" w:rsidRDefault="00CE33F0" w:rsidP="00CA2B26">
      <w:pPr>
        <w:pStyle w:val="BNumberedHeading"/>
      </w:pPr>
      <w:bookmarkStart w:id="6" w:name="_Toc233898085"/>
      <w:r>
        <w:t xml:space="preserve">Economic and social rights </w:t>
      </w:r>
      <w:r w:rsidR="00CA2B26" w:rsidRPr="003045C4">
        <w:t xml:space="preserve">(ARTICLES </w:t>
      </w:r>
      <w:r w:rsidR="00CA2B26" w:rsidRPr="00E626C1">
        <w:t xml:space="preserve">2 AND </w:t>
      </w:r>
      <w:r w:rsidR="00C11CEF" w:rsidRPr="00E626C1">
        <w:t>5</w:t>
      </w:r>
      <w:r w:rsidR="00CA2B26" w:rsidRPr="003045C4">
        <w:t>)</w:t>
      </w:r>
      <w:bookmarkEnd w:id="6"/>
    </w:p>
    <w:p w14:paraId="3B562039" w14:textId="77777777" w:rsidR="00373C35" w:rsidRDefault="00373C35" w:rsidP="00661C0B">
      <w:pPr>
        <w:pStyle w:val="BBodyText"/>
        <w:rPr>
          <w:lang w:val="en-US" w:eastAsia="en-GB"/>
        </w:rPr>
      </w:pPr>
    </w:p>
    <w:p w14:paraId="721F012C" w14:textId="1A561CD3" w:rsidR="00CE33F0" w:rsidRDefault="00CE33F0" w:rsidP="00BB730C">
      <w:pPr>
        <w:pStyle w:val="BNumberedSubheading"/>
      </w:pPr>
      <w:bookmarkStart w:id="7" w:name="_Toc233898086"/>
      <w:r>
        <w:t>R</w:t>
      </w:r>
      <w:r w:rsidR="001237AA">
        <w:t>ight to adequate housing</w:t>
      </w:r>
      <w:bookmarkEnd w:id="7"/>
      <w:r w:rsidR="001237AA">
        <w:t xml:space="preserve"> </w:t>
      </w:r>
    </w:p>
    <w:p w14:paraId="6C0C7E30" w14:textId="77777777" w:rsidR="001237AA" w:rsidRPr="003045C4" w:rsidRDefault="001237AA" w:rsidP="00AC665D">
      <w:pPr>
        <w:spacing w:after="100"/>
        <w:rPr>
          <w:lang w:val="en-US"/>
        </w:rPr>
      </w:pPr>
      <w:r w:rsidRPr="00F030BF">
        <w:rPr>
          <w:lang w:val="en-US"/>
        </w:rPr>
        <w:t>Racialized groups face significant barriers when accessing the private housing market</w:t>
      </w:r>
      <w:r w:rsidRPr="003045C4">
        <w:rPr>
          <w:lang w:val="en-US"/>
        </w:rPr>
        <w:t>.</w:t>
      </w:r>
      <w:r w:rsidRPr="00EC362B">
        <w:rPr>
          <w:rStyle w:val="FootnoteReference"/>
        </w:rPr>
        <w:footnoteReference w:id="32"/>
      </w:r>
      <w:r w:rsidRPr="003045C4">
        <w:rPr>
          <w:lang w:val="en-US"/>
        </w:rPr>
        <w:t xml:space="preserve"> Approximately 31 % of people of African descent and 43 % of Muslims in Finland reported racial discrimination when attempting to rent or buy a home.</w:t>
      </w:r>
      <w:r w:rsidRPr="00EC362B">
        <w:rPr>
          <w:rStyle w:val="FootnoteReference"/>
        </w:rPr>
        <w:footnoteReference w:id="33"/>
      </w:r>
      <w:r w:rsidRPr="003045C4">
        <w:rPr>
          <w:lang w:val="en-US"/>
        </w:rPr>
        <w:t xml:space="preserve"> The risk </w:t>
      </w:r>
      <w:r w:rsidRPr="5674BD04">
        <w:rPr>
          <w:lang w:val="en-US"/>
        </w:rPr>
        <w:t xml:space="preserve">of </w:t>
      </w:r>
      <w:r w:rsidRPr="003045C4">
        <w:rPr>
          <w:lang w:val="en-US"/>
        </w:rPr>
        <w:t>marginalization and discrimination is heightened by economic status</w:t>
      </w:r>
      <w:r w:rsidRPr="5674BD04">
        <w:rPr>
          <w:lang w:val="en-US"/>
        </w:rPr>
        <w:t>,</w:t>
      </w:r>
      <w:r w:rsidRPr="003045C4">
        <w:rPr>
          <w:lang w:val="en-US"/>
        </w:rPr>
        <w:t xml:space="preserve"> as 64 % of Muslims who struggle to make ends meet </w:t>
      </w:r>
      <w:r w:rsidRPr="03AC9E36">
        <w:rPr>
          <w:lang w:val="en-US"/>
        </w:rPr>
        <w:t xml:space="preserve">are reported to </w:t>
      </w:r>
      <w:r w:rsidRPr="003045C4">
        <w:rPr>
          <w:lang w:val="en-US"/>
        </w:rPr>
        <w:t>experience discrimination in housing, compared to 41 % of those in a better financial position.</w:t>
      </w:r>
      <w:r w:rsidRPr="00EC362B">
        <w:rPr>
          <w:rStyle w:val="FootnoteReference"/>
        </w:rPr>
        <w:footnoteReference w:id="34"/>
      </w:r>
    </w:p>
    <w:p w14:paraId="3651E43C" w14:textId="5D332420" w:rsidR="001237AA" w:rsidRPr="003045C4" w:rsidRDefault="001237AA" w:rsidP="00AC665D">
      <w:pPr>
        <w:spacing w:after="100"/>
        <w:rPr>
          <w:lang w:val="en-US"/>
        </w:rPr>
      </w:pPr>
      <w:r w:rsidRPr="003045C4">
        <w:rPr>
          <w:lang w:val="en-US"/>
        </w:rPr>
        <w:t>Overcrowding and inadequate housing disproportionately affect migrant households and families with children</w:t>
      </w:r>
      <w:r w:rsidRPr="5674BD04">
        <w:rPr>
          <w:lang w:val="en-US"/>
        </w:rPr>
        <w:t>.</w:t>
      </w:r>
      <w:r w:rsidRPr="003045C4">
        <w:rPr>
          <w:lang w:val="en-US"/>
        </w:rPr>
        <w:t xml:space="preserve"> </w:t>
      </w:r>
      <w:r w:rsidRPr="03AC9E36">
        <w:rPr>
          <w:lang w:val="en-US"/>
        </w:rPr>
        <w:t>In interviews with civil society organizations and social workers</w:t>
      </w:r>
      <w:r w:rsidR="00AC665D">
        <w:rPr>
          <w:lang w:val="en-US"/>
        </w:rPr>
        <w:t xml:space="preserve">, </w:t>
      </w:r>
      <w:r w:rsidRPr="003045C4">
        <w:rPr>
          <w:lang w:val="en-US"/>
        </w:rPr>
        <w:t>Amnesty</w:t>
      </w:r>
      <w:r w:rsidRPr="5674BD04">
        <w:rPr>
          <w:lang w:val="en-US"/>
        </w:rPr>
        <w:t xml:space="preserve"> International</w:t>
      </w:r>
      <w:r w:rsidRPr="003045C4">
        <w:rPr>
          <w:lang w:val="en-US"/>
        </w:rPr>
        <w:t xml:space="preserve"> </w:t>
      </w:r>
      <w:r>
        <w:rPr>
          <w:lang w:val="en-US"/>
        </w:rPr>
        <w:t>has been informed</w:t>
      </w:r>
      <w:r w:rsidRPr="03AC9E36">
        <w:rPr>
          <w:lang w:val="en-US"/>
        </w:rPr>
        <w:t xml:space="preserve"> of </w:t>
      </w:r>
      <w:r w:rsidRPr="003045C4">
        <w:rPr>
          <w:lang w:val="en-US"/>
        </w:rPr>
        <w:t xml:space="preserve">cases of large families living in single-room apartments </w:t>
      </w:r>
      <w:r>
        <w:rPr>
          <w:lang w:val="en-US"/>
        </w:rPr>
        <w:t xml:space="preserve">due to inadequate availability of affordable housing </w:t>
      </w:r>
      <w:r w:rsidRPr="003045C4">
        <w:rPr>
          <w:lang w:val="en-US"/>
        </w:rPr>
        <w:t>and how</w:t>
      </w:r>
      <w:r w:rsidRPr="03AC9E36">
        <w:rPr>
          <w:lang w:val="en-US"/>
        </w:rPr>
        <w:t>, in one case, a family with a child with disability also lived in these conditions</w:t>
      </w:r>
      <w:r w:rsidRPr="003045C4">
        <w:rPr>
          <w:lang w:val="en-US"/>
        </w:rPr>
        <w:t>.</w:t>
      </w:r>
      <w:r w:rsidRPr="00EC362B">
        <w:rPr>
          <w:rStyle w:val="FootnoteReference"/>
        </w:rPr>
        <w:footnoteReference w:id="35"/>
      </w:r>
      <w:r w:rsidRPr="003045C4">
        <w:rPr>
          <w:lang w:val="en-US"/>
        </w:rPr>
        <w:t xml:space="preserve"> People of African descent in Finland are </w:t>
      </w:r>
      <w:r w:rsidRPr="03AC9E36">
        <w:rPr>
          <w:lang w:val="en-US"/>
        </w:rPr>
        <w:t xml:space="preserve">reported to be </w:t>
      </w:r>
      <w:r w:rsidRPr="003045C4">
        <w:rPr>
          <w:lang w:val="en-US"/>
        </w:rPr>
        <w:t>ten times more likely to be unable to afford to keep their homes warm (10 %) compared to the general population (1 %) and face significantly higher rates of overcrowding.</w:t>
      </w:r>
      <w:r w:rsidRPr="00EC362B">
        <w:rPr>
          <w:rStyle w:val="FootnoteReference"/>
        </w:rPr>
        <w:footnoteReference w:id="36"/>
      </w:r>
    </w:p>
    <w:p w14:paraId="7EADA1BE" w14:textId="77777777" w:rsidR="001237AA" w:rsidRPr="003045C4" w:rsidRDefault="001237AA" w:rsidP="00AC665D">
      <w:pPr>
        <w:spacing w:after="100"/>
        <w:rPr>
          <w:lang w:val="en-US"/>
        </w:rPr>
      </w:pPr>
      <w:r w:rsidRPr="003045C4">
        <w:rPr>
          <w:lang w:val="en-US"/>
        </w:rPr>
        <w:t>According to the most recent homelessness statistics collected by the Finnish Centre for State-</w:t>
      </w:r>
      <w:proofErr w:type="spellStart"/>
      <w:r w:rsidRPr="003045C4">
        <w:rPr>
          <w:lang w:val="en-US"/>
        </w:rPr>
        <w:t>Subsidised</w:t>
      </w:r>
      <w:proofErr w:type="spellEnd"/>
      <w:r w:rsidRPr="003045C4">
        <w:rPr>
          <w:lang w:val="en-US"/>
        </w:rPr>
        <w:t xml:space="preserve"> Housing Construction </w:t>
      </w:r>
      <w:proofErr w:type="spellStart"/>
      <w:r w:rsidRPr="003045C4">
        <w:rPr>
          <w:lang w:val="en-US"/>
        </w:rPr>
        <w:t>Varke</w:t>
      </w:r>
      <w:proofErr w:type="spellEnd"/>
      <w:r w:rsidRPr="003045C4">
        <w:rPr>
          <w:lang w:val="en-US"/>
        </w:rPr>
        <w:t xml:space="preserve">, the number of people </w:t>
      </w:r>
      <w:r w:rsidRPr="03AC9E36">
        <w:rPr>
          <w:lang w:val="en-US"/>
        </w:rPr>
        <w:t>“</w:t>
      </w:r>
      <w:r w:rsidRPr="003045C4">
        <w:rPr>
          <w:lang w:val="en-US"/>
        </w:rPr>
        <w:t>with a foreign background</w:t>
      </w:r>
      <w:r w:rsidRPr="03AC9E36">
        <w:rPr>
          <w:lang w:val="en-US"/>
        </w:rPr>
        <w:t>”</w:t>
      </w:r>
      <w:r w:rsidRPr="003045C4">
        <w:rPr>
          <w:lang w:val="en-US"/>
        </w:rPr>
        <w:t xml:space="preserve"> experiencing homelessness reached 966 in 2025, representing a substantial 21 % share of the population experiencing homelessness.</w:t>
      </w:r>
      <w:r w:rsidRPr="00EC362B">
        <w:rPr>
          <w:rStyle w:val="FootnoteReference"/>
        </w:rPr>
        <w:footnoteReference w:id="37"/>
      </w:r>
      <w:r w:rsidRPr="003045C4">
        <w:rPr>
          <w:lang w:val="en-US"/>
        </w:rPr>
        <w:t xml:space="preserve"> Th</w:t>
      </w:r>
      <w:r w:rsidRPr="5674BD04">
        <w:rPr>
          <w:lang w:val="en-US"/>
        </w:rPr>
        <w:t xml:space="preserve">e increase in the percentage of people </w:t>
      </w:r>
      <w:r w:rsidRPr="03AC9E36">
        <w:rPr>
          <w:lang w:val="en-US"/>
        </w:rPr>
        <w:t>”</w:t>
      </w:r>
      <w:r w:rsidRPr="5674BD04">
        <w:rPr>
          <w:lang w:val="en-US"/>
        </w:rPr>
        <w:t xml:space="preserve">with a </w:t>
      </w:r>
      <w:r w:rsidRPr="00FE4AB8">
        <w:rPr>
          <w:lang w:val="en-US"/>
        </w:rPr>
        <w:t>foreign background</w:t>
      </w:r>
      <w:r w:rsidRPr="03AC9E36">
        <w:rPr>
          <w:lang w:val="en-US"/>
        </w:rPr>
        <w:t>“</w:t>
      </w:r>
      <w:r w:rsidRPr="5674BD04">
        <w:rPr>
          <w:lang w:val="en-US"/>
        </w:rPr>
        <w:t xml:space="preserve"> experiencing homelessness</w:t>
      </w:r>
      <w:r w:rsidRPr="003045C4">
        <w:rPr>
          <w:lang w:val="en-US"/>
        </w:rPr>
        <w:t xml:space="preserve"> is occurring alongside a broader reversal of Finland’s long-standing decline in homelessness, with overall homelessness rising significantly by 34 % in 2024-2025.</w:t>
      </w:r>
      <w:r w:rsidRPr="00EC362B">
        <w:rPr>
          <w:rStyle w:val="FootnoteReference"/>
        </w:rPr>
        <w:footnoteReference w:id="38"/>
      </w:r>
    </w:p>
    <w:p w14:paraId="6622EEF5" w14:textId="77777777" w:rsidR="001237AA" w:rsidRPr="003045C4" w:rsidRDefault="001237AA" w:rsidP="00AC665D">
      <w:pPr>
        <w:spacing w:after="100"/>
        <w:rPr>
          <w:lang w:val="en-US"/>
        </w:rPr>
      </w:pPr>
      <w:r w:rsidRPr="03AC9E36">
        <w:rPr>
          <w:lang w:val="en-US"/>
        </w:rPr>
        <w:t>A study found that people “</w:t>
      </w:r>
      <w:r w:rsidRPr="003045C4">
        <w:rPr>
          <w:lang w:val="en-US"/>
        </w:rPr>
        <w:t xml:space="preserve">with a </w:t>
      </w:r>
      <w:r>
        <w:rPr>
          <w:lang w:val="en-US"/>
        </w:rPr>
        <w:t>foreign</w:t>
      </w:r>
      <w:r w:rsidRPr="003045C4">
        <w:rPr>
          <w:lang w:val="en-US"/>
        </w:rPr>
        <w:t xml:space="preserve"> background</w:t>
      </w:r>
      <w:r w:rsidRPr="03AC9E36">
        <w:rPr>
          <w:lang w:val="en-US"/>
        </w:rPr>
        <w:t>”</w:t>
      </w:r>
      <w:r w:rsidRPr="003045C4">
        <w:rPr>
          <w:lang w:val="en-US"/>
        </w:rPr>
        <w:t xml:space="preserve"> are disproportionately affected by homelessness due to structural obstacles such as limited access to affordable housing, discrimination in rental markets, insecure employment, and language barriers, all of which increase vulnerability to housing exclusion.</w:t>
      </w:r>
      <w:r w:rsidRPr="00EC362B">
        <w:rPr>
          <w:rStyle w:val="FootnoteReference"/>
        </w:rPr>
        <w:footnoteReference w:id="39"/>
      </w:r>
      <w:r w:rsidRPr="003045C4">
        <w:rPr>
          <w:lang w:val="en-US"/>
        </w:rPr>
        <w:t xml:space="preserve"> </w:t>
      </w:r>
      <w:r>
        <w:rPr>
          <w:lang w:val="en-US"/>
        </w:rPr>
        <w:t>Cuts to the general housing allowance in 2024 and 2025 worsen the situation further for people “with a foreign background”.</w:t>
      </w:r>
      <w:r>
        <w:rPr>
          <w:rStyle w:val="FootnoteReference"/>
          <w:lang w:val="en-US"/>
        </w:rPr>
        <w:footnoteReference w:id="40"/>
      </w:r>
      <w:r>
        <w:rPr>
          <w:lang w:val="en-US"/>
        </w:rPr>
        <w:t xml:space="preserve"> </w:t>
      </w:r>
    </w:p>
    <w:p w14:paraId="3C10D01B" w14:textId="77777777" w:rsidR="001237AA" w:rsidRPr="001237AA" w:rsidRDefault="001237AA" w:rsidP="00AC665D">
      <w:pPr>
        <w:pStyle w:val="BBodyText"/>
        <w:spacing w:after="100"/>
        <w:rPr>
          <w:lang w:val="en-US" w:eastAsia="en-GB"/>
        </w:rPr>
      </w:pPr>
    </w:p>
    <w:p w14:paraId="7B237379" w14:textId="77777777" w:rsidR="005E5A64" w:rsidRDefault="00AC665D" w:rsidP="00BB730C">
      <w:pPr>
        <w:pStyle w:val="BNumberedSubheading"/>
      </w:pPr>
      <w:bookmarkStart w:id="10" w:name="_Toc233898087"/>
      <w:r>
        <w:lastRenderedPageBreak/>
        <w:t xml:space="preserve">Right to </w:t>
      </w:r>
      <w:r w:rsidR="005E5A64">
        <w:t>social security and an adequate standard of living</w:t>
      </w:r>
      <w:bookmarkEnd w:id="10"/>
      <w:r w:rsidR="005E5A64">
        <w:t xml:space="preserve"> </w:t>
      </w:r>
    </w:p>
    <w:p w14:paraId="346CEC5F" w14:textId="7EC0375E" w:rsidR="005E5A64" w:rsidRPr="005E5A64" w:rsidRDefault="005E5A64" w:rsidP="005E5A64">
      <w:pPr>
        <w:spacing w:after="100"/>
        <w:rPr>
          <w:rFonts w:asciiTheme="minorHAnsi" w:hAnsiTheme="minorHAnsi"/>
          <w:lang w:val="en-US"/>
        </w:rPr>
      </w:pPr>
      <w:r w:rsidRPr="005E5A64">
        <w:rPr>
          <w:rFonts w:asciiTheme="minorHAnsi" w:hAnsiTheme="minorHAnsi"/>
          <w:lang w:val="en-US"/>
        </w:rPr>
        <w:t xml:space="preserve">Amnesty International is concerned by the Finnish government’s plans to amend the social security system, to introduce distinctions that would only apply to certain migrant groups, such as stricter criteria to access benefits and lower provision levels. The government has proposed legislative reforms that would introduce an </w:t>
      </w:r>
      <w:r w:rsidRPr="005E5A64">
        <w:rPr>
          <w:rFonts w:asciiTheme="minorHAnsi" w:hAnsiTheme="minorHAnsi" w:cs="Aptos"/>
          <w:lang w:val="en-US"/>
        </w:rPr>
        <w:t>“</w:t>
      </w:r>
      <w:r w:rsidRPr="005E5A64">
        <w:rPr>
          <w:rFonts w:asciiTheme="minorHAnsi" w:hAnsiTheme="minorHAnsi"/>
          <w:lang w:val="en-US"/>
        </w:rPr>
        <w:t>integration benefit</w:t>
      </w:r>
      <w:r w:rsidRPr="005E5A64">
        <w:rPr>
          <w:rFonts w:asciiTheme="minorHAnsi" w:hAnsiTheme="minorHAnsi" w:cs="Aptos"/>
          <w:lang w:val="en-US"/>
        </w:rPr>
        <w:t>”</w:t>
      </w:r>
      <w:r w:rsidRPr="005E5A64">
        <w:rPr>
          <w:rFonts w:asciiTheme="minorHAnsi" w:hAnsiTheme="minorHAnsi"/>
          <w:lang w:val="en-US"/>
        </w:rPr>
        <w:t xml:space="preserve"> for unemployed migrants who have resided in Finland for less than three years and who do not meet employment or language</w:t>
      </w:r>
      <w:r w:rsidRPr="005E5A64">
        <w:rPr>
          <w:rFonts w:asciiTheme="minorHAnsi" w:hAnsiTheme="minorHAnsi" w:cs="Cambria Math"/>
          <w:lang w:val="en-US"/>
        </w:rPr>
        <w:t>-</w:t>
      </w:r>
      <w:r w:rsidRPr="005E5A64">
        <w:rPr>
          <w:rFonts w:asciiTheme="minorHAnsi" w:hAnsiTheme="minorHAnsi"/>
          <w:lang w:val="en-US"/>
        </w:rPr>
        <w:t>based criteria.</w:t>
      </w:r>
      <w:r w:rsidRPr="005E5A64">
        <w:rPr>
          <w:rStyle w:val="FootnoteReference"/>
          <w:rFonts w:asciiTheme="minorHAnsi" w:hAnsiTheme="minorHAnsi"/>
          <w:lang w:val="en-US"/>
        </w:rPr>
        <w:footnoteReference w:id="41"/>
      </w:r>
      <w:r w:rsidRPr="005E5A64">
        <w:rPr>
          <w:rFonts w:asciiTheme="minorHAnsi" w:hAnsiTheme="minorHAnsi"/>
          <w:lang w:val="en-US"/>
        </w:rPr>
        <w:t xml:space="preserve"> This would replace the current system, where they can access the general basic unemployment benefit, which provides a higher amount than the new integration benefit.</w:t>
      </w:r>
      <w:r w:rsidRPr="005E5A64">
        <w:rPr>
          <w:rStyle w:val="FootnoteReference"/>
          <w:rFonts w:asciiTheme="minorHAnsi" w:hAnsiTheme="minorHAnsi"/>
        </w:rPr>
        <w:footnoteReference w:id="42"/>
      </w:r>
      <w:r w:rsidRPr="005E5A64">
        <w:rPr>
          <w:rFonts w:asciiTheme="minorHAnsi" w:hAnsiTheme="minorHAnsi"/>
          <w:lang w:val="en-US"/>
        </w:rPr>
        <w:t xml:space="preserve"> This would represent a significant departure from Finland’s long</w:t>
      </w:r>
      <w:r w:rsidRPr="005E5A64">
        <w:rPr>
          <w:rFonts w:asciiTheme="minorHAnsi" w:hAnsiTheme="minorHAnsi" w:cs="Cambria Math"/>
          <w:lang w:val="en-US"/>
        </w:rPr>
        <w:t>-</w:t>
      </w:r>
      <w:r w:rsidRPr="005E5A64">
        <w:rPr>
          <w:rFonts w:asciiTheme="minorHAnsi" w:hAnsiTheme="minorHAnsi"/>
          <w:lang w:val="en-US"/>
        </w:rPr>
        <w:t>standing principle of equal, residence</w:t>
      </w:r>
      <w:r w:rsidRPr="005E5A64">
        <w:rPr>
          <w:rFonts w:asciiTheme="minorHAnsi" w:hAnsiTheme="minorHAnsi" w:cs="Cambria Math"/>
          <w:lang w:val="en-US"/>
        </w:rPr>
        <w:t>-</w:t>
      </w:r>
      <w:r w:rsidRPr="005E5A64">
        <w:rPr>
          <w:rFonts w:asciiTheme="minorHAnsi" w:hAnsiTheme="minorHAnsi"/>
          <w:lang w:val="en-US"/>
        </w:rPr>
        <w:t>based access to social security.</w:t>
      </w:r>
      <w:r w:rsidRPr="005E5A64">
        <w:rPr>
          <w:rStyle w:val="FootnoteReference"/>
          <w:rFonts w:asciiTheme="minorHAnsi" w:hAnsiTheme="minorHAnsi"/>
        </w:rPr>
        <w:footnoteReference w:id="43"/>
      </w:r>
      <w:r w:rsidRPr="005E5A64">
        <w:rPr>
          <w:rFonts w:asciiTheme="minorHAnsi" w:hAnsiTheme="minorHAnsi"/>
          <w:lang w:val="en-US"/>
        </w:rPr>
        <w:t xml:space="preserve"> </w:t>
      </w:r>
    </w:p>
    <w:p w14:paraId="51B4D353" w14:textId="77777777" w:rsidR="005E5A64" w:rsidRPr="005E5A64" w:rsidRDefault="005E5A64" w:rsidP="005E5A64">
      <w:pPr>
        <w:spacing w:after="100"/>
        <w:rPr>
          <w:rFonts w:asciiTheme="minorHAnsi" w:hAnsiTheme="minorHAnsi"/>
          <w:lang w:val="en-US"/>
        </w:rPr>
      </w:pPr>
      <w:r w:rsidRPr="005E5A64">
        <w:rPr>
          <w:rFonts w:asciiTheme="minorHAnsi" w:hAnsiTheme="minorHAnsi"/>
          <w:lang w:val="en-US"/>
        </w:rPr>
        <w:t>In parallel, the government has proposed amendments to the child home care allowance scheme, that would introduce a residence</w:t>
      </w:r>
      <w:r w:rsidRPr="005E5A64">
        <w:rPr>
          <w:rFonts w:asciiTheme="minorHAnsi" w:hAnsiTheme="minorHAnsi" w:cs="Cambria Math"/>
          <w:lang w:val="en-US"/>
        </w:rPr>
        <w:t>-</w:t>
      </w:r>
      <w:r w:rsidRPr="005E5A64">
        <w:rPr>
          <w:rFonts w:asciiTheme="minorHAnsi" w:hAnsiTheme="minorHAnsi"/>
          <w:lang w:val="en-US"/>
        </w:rPr>
        <w:t>based eligibility requirement of three years for parents who have migrated to Finland.</w:t>
      </w:r>
      <w:r w:rsidRPr="005E5A64">
        <w:rPr>
          <w:rStyle w:val="FootnoteReference"/>
          <w:rFonts w:asciiTheme="minorHAnsi" w:hAnsiTheme="minorHAnsi"/>
        </w:rPr>
        <w:footnoteReference w:id="44"/>
      </w:r>
      <w:r w:rsidRPr="005E5A64">
        <w:rPr>
          <w:rFonts w:asciiTheme="minorHAnsi" w:hAnsiTheme="minorHAnsi"/>
          <w:lang w:val="en-US"/>
        </w:rPr>
        <w:t xml:space="preserve"> In other words, parents who have not been resident in Finland for three years would not be able to access this allowance. The proposal would exclude a significant number of migrant parents</w:t>
      </w:r>
      <w:r w:rsidRPr="005E5A64">
        <w:rPr>
          <w:rFonts w:asciiTheme="minorHAnsi" w:hAnsiTheme="minorHAnsi" w:cs="Aptos"/>
          <w:lang w:val="en-US"/>
        </w:rPr>
        <w:t xml:space="preserve">, </w:t>
      </w:r>
      <w:r w:rsidRPr="005E5A64">
        <w:rPr>
          <w:rFonts w:asciiTheme="minorHAnsi" w:hAnsiTheme="minorHAnsi"/>
          <w:lang w:val="en-US"/>
        </w:rPr>
        <w:t>predominantly mothers</w:t>
      </w:r>
      <w:r w:rsidRPr="005E5A64">
        <w:rPr>
          <w:rFonts w:asciiTheme="minorHAnsi" w:hAnsiTheme="minorHAnsi" w:cs="Aptos"/>
          <w:lang w:val="en-US"/>
        </w:rPr>
        <w:t xml:space="preserve">, </w:t>
      </w:r>
      <w:r w:rsidRPr="005E5A64">
        <w:rPr>
          <w:rFonts w:asciiTheme="minorHAnsi" w:hAnsiTheme="minorHAnsi"/>
          <w:lang w:val="en-US"/>
        </w:rPr>
        <w:t>from access to the allowance, forcing them to manage without income support or to rely on last</w:t>
      </w:r>
      <w:r w:rsidRPr="005E5A64">
        <w:rPr>
          <w:rFonts w:asciiTheme="minorHAnsi" w:hAnsiTheme="minorHAnsi" w:cs="Cambria Math"/>
          <w:lang w:val="en-US"/>
        </w:rPr>
        <w:t>-</w:t>
      </w:r>
      <w:r w:rsidRPr="005E5A64">
        <w:rPr>
          <w:rFonts w:asciiTheme="minorHAnsi" w:hAnsiTheme="minorHAnsi"/>
          <w:lang w:val="en-US"/>
        </w:rPr>
        <w:t>resort social assistance.</w:t>
      </w:r>
      <w:r w:rsidRPr="005E5A64">
        <w:rPr>
          <w:rStyle w:val="FootnoteReference"/>
          <w:rFonts w:asciiTheme="minorHAnsi" w:hAnsiTheme="minorHAnsi"/>
        </w:rPr>
        <w:footnoteReference w:id="45"/>
      </w:r>
    </w:p>
    <w:p w14:paraId="211BF6B0" w14:textId="77777777" w:rsidR="005E5A64" w:rsidRPr="005E5A64" w:rsidRDefault="005E5A64" w:rsidP="005E5A64">
      <w:pPr>
        <w:spacing w:after="100"/>
        <w:rPr>
          <w:rFonts w:asciiTheme="minorHAnsi" w:hAnsiTheme="minorHAnsi"/>
          <w:lang w:val="en-US"/>
        </w:rPr>
      </w:pPr>
      <w:r w:rsidRPr="005E5A64">
        <w:rPr>
          <w:rFonts w:asciiTheme="minorHAnsi" w:eastAsia="Aptos" w:hAnsiTheme="minorHAnsi" w:cs="Aptos"/>
          <w:lang w:val="en-US"/>
        </w:rPr>
        <w:t>Changes also took place in the last few years with regard to t</w:t>
      </w:r>
      <w:r w:rsidRPr="005E5A64">
        <w:rPr>
          <w:rFonts w:asciiTheme="minorHAnsi" w:hAnsiTheme="minorHAnsi"/>
          <w:lang w:val="en-US"/>
        </w:rPr>
        <w:t>he reception allowance, a form of basic subsistence support in Finland provided to asylum seekers, persons granted temporary protection, and those victims of human trafficking who do not have a municipal resident status.</w:t>
      </w:r>
      <w:r w:rsidRPr="005E5A64">
        <w:rPr>
          <w:rStyle w:val="FootnoteReference"/>
          <w:rFonts w:asciiTheme="minorHAnsi" w:hAnsiTheme="minorHAnsi"/>
          <w:lang w:val="en-US"/>
        </w:rPr>
        <w:footnoteReference w:id="46"/>
      </w:r>
      <w:r w:rsidRPr="005E5A64">
        <w:rPr>
          <w:rFonts w:asciiTheme="minorHAnsi" w:hAnsiTheme="minorHAnsi"/>
          <w:lang w:val="en-US"/>
        </w:rPr>
        <w:t xml:space="preserve"> The provision level of reception allowance was</w:t>
      </w:r>
      <w:r w:rsidRPr="005E5A64" w:rsidDel="004835AB">
        <w:rPr>
          <w:rFonts w:asciiTheme="minorHAnsi" w:hAnsiTheme="minorHAnsi"/>
          <w:lang w:val="en-US"/>
        </w:rPr>
        <w:t xml:space="preserve"> </w:t>
      </w:r>
      <w:r w:rsidRPr="005E5A64">
        <w:rPr>
          <w:rFonts w:asciiTheme="minorHAnsi" w:hAnsiTheme="minorHAnsi"/>
          <w:lang w:val="en-US"/>
        </w:rPr>
        <w:t>reduced in 2024 by a temporary amendment to the Reception Act.</w:t>
      </w:r>
      <w:r w:rsidRPr="005E5A64">
        <w:rPr>
          <w:rStyle w:val="FootnoteReference"/>
          <w:rFonts w:asciiTheme="minorHAnsi" w:hAnsiTheme="minorHAnsi"/>
        </w:rPr>
        <w:footnoteReference w:id="47"/>
      </w:r>
      <w:r w:rsidRPr="005E5A64">
        <w:rPr>
          <w:rFonts w:asciiTheme="minorHAnsi" w:hAnsiTheme="minorHAnsi"/>
          <w:lang w:val="en-US"/>
        </w:rPr>
        <w:t xml:space="preserve"> Permanent lower provision levels are expected to take force in 2026.</w:t>
      </w:r>
      <w:r w:rsidRPr="005E5A64">
        <w:rPr>
          <w:rStyle w:val="FootnoteReference"/>
          <w:rFonts w:asciiTheme="minorHAnsi" w:hAnsiTheme="minorHAnsi"/>
        </w:rPr>
        <w:footnoteReference w:id="48"/>
      </w:r>
      <w:r w:rsidRPr="005E5A64">
        <w:rPr>
          <w:rFonts w:asciiTheme="minorHAnsi" w:hAnsiTheme="minorHAnsi"/>
          <w:lang w:val="en-US"/>
        </w:rPr>
        <w:t xml:space="preserve"> </w:t>
      </w:r>
    </w:p>
    <w:p w14:paraId="48D3881E" w14:textId="77777777" w:rsidR="005E5A64" w:rsidRPr="005E5A64" w:rsidRDefault="005E5A64" w:rsidP="005E5A64">
      <w:pPr>
        <w:spacing w:after="100"/>
        <w:rPr>
          <w:rFonts w:asciiTheme="minorHAnsi" w:hAnsiTheme="minorHAnsi"/>
          <w:lang w:val="en-US"/>
        </w:rPr>
      </w:pPr>
      <w:r w:rsidRPr="005E5A64">
        <w:rPr>
          <w:rFonts w:asciiTheme="minorHAnsi" w:hAnsiTheme="minorHAnsi"/>
          <w:lang w:val="en-US"/>
        </w:rPr>
        <w:t>The amount of the  reception allowance after the current reduction would fail to guarantee an adequate standard of living for people eligible for it.</w:t>
      </w:r>
      <w:r w:rsidRPr="005E5A64">
        <w:rPr>
          <w:rStyle w:val="FootnoteReference"/>
          <w:rFonts w:asciiTheme="minorHAnsi" w:hAnsiTheme="minorHAnsi"/>
        </w:rPr>
        <w:footnoteReference w:id="49"/>
      </w:r>
      <w:r w:rsidRPr="005E5A64">
        <w:rPr>
          <w:rFonts w:asciiTheme="minorHAnsi" w:hAnsiTheme="minorHAnsi"/>
          <w:lang w:val="en-US"/>
        </w:rPr>
        <w:t xml:space="preserve"> A 2025 Finnish Immigration Service survey of reception centre officials found that recipients face severe difficulties covering essential daily expenses such as food, clothing, and hygiene items, with many accumulating debt and increasingly forced to rely on external food </w:t>
      </w:r>
      <w:r w:rsidRPr="005E5A64">
        <w:rPr>
          <w:rFonts w:asciiTheme="minorHAnsi" w:hAnsiTheme="minorHAnsi"/>
          <w:lang w:val="en-US"/>
        </w:rPr>
        <w:lastRenderedPageBreak/>
        <w:t>aid.</w:t>
      </w:r>
      <w:r w:rsidRPr="005E5A64">
        <w:rPr>
          <w:rStyle w:val="FootnoteReference"/>
          <w:rFonts w:asciiTheme="minorHAnsi" w:hAnsiTheme="minorHAnsi"/>
        </w:rPr>
        <w:footnoteReference w:id="50"/>
      </w:r>
      <w:r w:rsidRPr="005E5A64">
        <w:rPr>
          <w:rFonts w:asciiTheme="minorHAnsi" w:hAnsiTheme="minorHAnsi"/>
          <w:lang w:val="en-US"/>
        </w:rPr>
        <w:t xml:space="preserve"> Other impacts </w:t>
      </w:r>
      <w:r w:rsidRPr="005E5A64">
        <w:rPr>
          <w:rFonts w:asciiTheme="minorHAnsi" w:eastAsia="Aptos" w:hAnsiTheme="minorHAnsi" w:cs="Aptos"/>
          <w:lang w:val="en-US"/>
        </w:rPr>
        <w:t xml:space="preserve">observed in the survey </w:t>
      </w:r>
      <w:r w:rsidRPr="005E5A64">
        <w:rPr>
          <w:rFonts w:asciiTheme="minorHAnsi" w:hAnsiTheme="minorHAnsi"/>
          <w:lang w:val="en-US"/>
        </w:rPr>
        <w:t>include increased psychological distress, loss of dignity, social isolation, and worsening overall well-being.</w:t>
      </w:r>
      <w:r w:rsidRPr="005E5A64">
        <w:rPr>
          <w:rStyle w:val="FootnoteReference"/>
          <w:rFonts w:asciiTheme="minorHAnsi" w:hAnsiTheme="minorHAnsi"/>
        </w:rPr>
        <w:footnoteReference w:id="51"/>
      </w:r>
      <w:r w:rsidRPr="005E5A64">
        <w:rPr>
          <w:rFonts w:asciiTheme="minorHAnsi" w:hAnsiTheme="minorHAnsi"/>
          <w:lang w:val="en-US"/>
        </w:rPr>
        <w:t xml:space="preserve"> Families with children are reported to be especially affected, with increased inability to meet basic nutritional and developmental needs, and growing barriers to participation in education and social life.</w:t>
      </w:r>
      <w:r w:rsidRPr="005E5A64">
        <w:rPr>
          <w:rStyle w:val="FootnoteReference"/>
          <w:rFonts w:asciiTheme="minorHAnsi" w:hAnsiTheme="minorHAnsi"/>
        </w:rPr>
        <w:footnoteReference w:id="52"/>
      </w:r>
    </w:p>
    <w:p w14:paraId="179A24A1" w14:textId="1B490C9F" w:rsidR="00AC665D" w:rsidRPr="005E5A64" w:rsidRDefault="00AC665D" w:rsidP="00BD7009">
      <w:pPr>
        <w:pStyle w:val="BNumberedSubheading"/>
        <w:numPr>
          <w:ilvl w:val="0"/>
          <w:numId w:val="0"/>
        </w:numPr>
      </w:pPr>
      <w:r w:rsidRPr="005E5A64">
        <w:t xml:space="preserve"> </w:t>
      </w:r>
    </w:p>
    <w:p w14:paraId="714269DA" w14:textId="4DA3F139" w:rsidR="005E5A64" w:rsidRDefault="00D543CA" w:rsidP="00BB730C">
      <w:pPr>
        <w:pStyle w:val="BNumberedSubheading"/>
      </w:pPr>
      <w:r>
        <w:t xml:space="preserve"> </w:t>
      </w:r>
      <w:bookmarkStart w:id="11" w:name="_Toc233898088"/>
      <w:r w:rsidR="005E5A64">
        <w:t xml:space="preserve">Right to </w:t>
      </w:r>
      <w:r w:rsidR="008338D9">
        <w:t>health</w:t>
      </w:r>
      <w:bookmarkEnd w:id="11"/>
      <w:r w:rsidR="008338D9">
        <w:t xml:space="preserve"> </w:t>
      </w:r>
    </w:p>
    <w:p w14:paraId="59C1B3E4" w14:textId="403EC944" w:rsidR="008338D9" w:rsidRPr="003045C4" w:rsidRDefault="008338D9" w:rsidP="008338D9">
      <w:pPr>
        <w:rPr>
          <w:lang w:val="en-US"/>
        </w:rPr>
      </w:pPr>
      <w:r>
        <w:rPr>
          <w:lang w:val="en-US"/>
        </w:rPr>
        <w:t>Retrogressive l</w:t>
      </w:r>
      <w:r w:rsidRPr="003045C4">
        <w:rPr>
          <w:lang w:val="en-US"/>
        </w:rPr>
        <w:t xml:space="preserve">egislation restricting the access of undocumented migrants to mainly urgent </w:t>
      </w:r>
      <w:r>
        <w:rPr>
          <w:lang w:val="en-US"/>
        </w:rPr>
        <w:t xml:space="preserve">health </w:t>
      </w:r>
      <w:r w:rsidRPr="003045C4">
        <w:rPr>
          <w:lang w:val="en-US"/>
        </w:rPr>
        <w:t>care came into force in January 2026.</w:t>
      </w:r>
      <w:r>
        <w:rPr>
          <w:rStyle w:val="FootnoteReference"/>
          <w:lang w:val="en-US"/>
        </w:rPr>
        <w:footnoteReference w:id="53"/>
      </w:r>
      <w:r w:rsidRPr="003045C4">
        <w:rPr>
          <w:lang w:val="en-US"/>
        </w:rPr>
        <w:t xml:space="preserve"> Certain exceptions allowing necessary non-urgent care are in place for children, pregnant persons, persons with disabilities, and persons with chronic diseases. Under previous legislation, which was in force for 2023-2025, irregular or undocumented migrants had access to non-urgent care that is deemed necessary by healthcare personnel, in addition to urgent care.</w:t>
      </w:r>
      <w:r>
        <w:rPr>
          <w:rStyle w:val="FootnoteReference"/>
          <w:lang w:val="en-US"/>
        </w:rPr>
        <w:footnoteReference w:id="54"/>
      </w:r>
      <w:r w:rsidRPr="003045C4">
        <w:rPr>
          <w:lang w:val="en-US"/>
        </w:rPr>
        <w:t xml:space="preserve"> </w:t>
      </w:r>
    </w:p>
    <w:p w14:paraId="73C732B4" w14:textId="77777777" w:rsidR="00CE33F0" w:rsidRDefault="00CE33F0" w:rsidP="00661C0B">
      <w:pPr>
        <w:pStyle w:val="BBodyText"/>
        <w:rPr>
          <w:lang w:eastAsia="en-GB"/>
        </w:rPr>
      </w:pPr>
    </w:p>
    <w:p w14:paraId="3BF10AA4" w14:textId="1674C5E6" w:rsidR="008338D9" w:rsidRDefault="00D543CA" w:rsidP="00BB730C">
      <w:pPr>
        <w:pStyle w:val="BNumberedSubheading"/>
      </w:pPr>
      <w:r>
        <w:t xml:space="preserve"> </w:t>
      </w:r>
      <w:bookmarkStart w:id="12" w:name="_Toc233898089"/>
      <w:r w:rsidR="008338D9">
        <w:t>recommendations</w:t>
      </w:r>
      <w:bookmarkEnd w:id="12"/>
      <w:r w:rsidR="008338D9">
        <w:t xml:space="preserve"> </w:t>
      </w:r>
    </w:p>
    <w:p w14:paraId="0F33896E" w14:textId="09AF5899" w:rsidR="001F5F43" w:rsidRPr="001F5F43" w:rsidRDefault="001F5F43" w:rsidP="00D028F6">
      <w:pPr>
        <w:pStyle w:val="BBodyText"/>
        <w:rPr>
          <w:bCs w:val="0"/>
          <w:sz w:val="20"/>
          <w:szCs w:val="20"/>
          <w:lang w:eastAsia="en-GB"/>
        </w:rPr>
      </w:pPr>
      <w:r w:rsidRPr="00B35A2E">
        <w:rPr>
          <w:bCs w:val="0"/>
          <w:sz w:val="20"/>
          <w:szCs w:val="20"/>
          <w:lang w:eastAsia="en-GB"/>
        </w:rPr>
        <w:t>Amnesty International is calling on authorities</w:t>
      </w:r>
      <w:r>
        <w:rPr>
          <w:bCs w:val="0"/>
          <w:sz w:val="20"/>
          <w:szCs w:val="20"/>
          <w:lang w:eastAsia="en-GB"/>
        </w:rPr>
        <w:t xml:space="preserve"> in Finland</w:t>
      </w:r>
      <w:r w:rsidRPr="00B35A2E">
        <w:rPr>
          <w:bCs w:val="0"/>
          <w:sz w:val="20"/>
          <w:szCs w:val="20"/>
          <w:lang w:eastAsia="en-GB"/>
        </w:rPr>
        <w:t xml:space="preserve"> to:</w:t>
      </w:r>
    </w:p>
    <w:p w14:paraId="7DB592F3" w14:textId="77777777" w:rsidR="00D028F6" w:rsidRPr="00250876" w:rsidRDefault="00D028F6" w:rsidP="003B1B2C">
      <w:pPr>
        <w:numPr>
          <w:ilvl w:val="0"/>
          <w:numId w:val="3"/>
        </w:numPr>
        <w:spacing w:after="160" w:line="278" w:lineRule="auto"/>
        <w:rPr>
          <w:lang w:val="en-US"/>
        </w:rPr>
      </w:pPr>
      <w:r w:rsidRPr="003045C4">
        <w:rPr>
          <w:lang w:val="en-US"/>
        </w:rPr>
        <w:t>Ensure adequate housing and housing-related services for all</w:t>
      </w:r>
      <w:r>
        <w:rPr>
          <w:lang w:val="en-US"/>
        </w:rPr>
        <w:t xml:space="preserve"> without discrimination</w:t>
      </w:r>
      <w:r w:rsidRPr="003045C4">
        <w:rPr>
          <w:lang w:val="en-US"/>
        </w:rPr>
        <w:t xml:space="preserve">. </w:t>
      </w:r>
      <w:r w:rsidRPr="00250876">
        <w:rPr>
          <w:lang w:val="en-US"/>
        </w:rPr>
        <w:t xml:space="preserve">Develop and strengthen housing-related services that address the needs of migrants.  </w:t>
      </w:r>
    </w:p>
    <w:p w14:paraId="39D36C9D" w14:textId="77777777" w:rsidR="00D028F6" w:rsidRPr="003045C4" w:rsidRDefault="00D028F6" w:rsidP="003B1B2C">
      <w:pPr>
        <w:numPr>
          <w:ilvl w:val="0"/>
          <w:numId w:val="3"/>
        </w:numPr>
        <w:spacing w:after="160" w:line="278" w:lineRule="auto"/>
        <w:rPr>
          <w:lang w:val="en-US"/>
        </w:rPr>
      </w:pPr>
      <w:r w:rsidRPr="003045C4">
        <w:rPr>
          <w:lang w:val="en-US"/>
        </w:rPr>
        <w:t xml:space="preserve">Repeal plans to differentiate social security benefit access criteria and provision levels based on migration status </w:t>
      </w:r>
      <w:r w:rsidRPr="5674BD04">
        <w:rPr>
          <w:lang w:val="en-US"/>
        </w:rPr>
        <w:t xml:space="preserve">and </w:t>
      </w:r>
      <w:r w:rsidRPr="003045C4">
        <w:rPr>
          <w:lang w:val="en-US"/>
        </w:rPr>
        <w:t>ensure equal social protection for all.</w:t>
      </w:r>
    </w:p>
    <w:p w14:paraId="7EFA9215" w14:textId="77777777" w:rsidR="00D028F6" w:rsidRDefault="00D028F6" w:rsidP="003B1B2C">
      <w:pPr>
        <w:numPr>
          <w:ilvl w:val="0"/>
          <w:numId w:val="3"/>
        </w:numPr>
        <w:spacing w:after="160" w:line="278" w:lineRule="auto"/>
        <w:rPr>
          <w:lang w:val="en-US"/>
        </w:rPr>
      </w:pPr>
      <w:r w:rsidRPr="003045C4">
        <w:rPr>
          <w:lang w:val="en-US"/>
        </w:rPr>
        <w:t xml:space="preserve">Restore the provision level of </w:t>
      </w:r>
      <w:r w:rsidRPr="5674BD04">
        <w:rPr>
          <w:lang w:val="en-US"/>
        </w:rPr>
        <w:t xml:space="preserve">the </w:t>
      </w:r>
      <w:r w:rsidRPr="003045C4">
        <w:rPr>
          <w:lang w:val="en-US"/>
        </w:rPr>
        <w:t xml:space="preserve">reception allowance to a level that ensures </w:t>
      </w:r>
      <w:r w:rsidRPr="5674BD04">
        <w:rPr>
          <w:lang w:val="en-US"/>
        </w:rPr>
        <w:t xml:space="preserve">that recipients can access </w:t>
      </w:r>
      <w:r w:rsidRPr="003045C4">
        <w:rPr>
          <w:lang w:val="en-US"/>
        </w:rPr>
        <w:t xml:space="preserve">an adequate standard of living. </w:t>
      </w:r>
    </w:p>
    <w:p w14:paraId="6DC321AB" w14:textId="77777777" w:rsidR="00D028F6" w:rsidRPr="003045C4" w:rsidRDefault="00D028F6" w:rsidP="003B1B2C">
      <w:pPr>
        <w:numPr>
          <w:ilvl w:val="0"/>
          <w:numId w:val="3"/>
        </w:numPr>
        <w:spacing w:after="160" w:line="278" w:lineRule="auto"/>
        <w:rPr>
          <w:lang w:val="en-US"/>
        </w:rPr>
      </w:pPr>
      <w:r w:rsidRPr="003045C4">
        <w:rPr>
          <w:lang w:val="en-US"/>
        </w:rPr>
        <w:t xml:space="preserve">Ensure that any future adjustments to reception conditions </w:t>
      </w:r>
      <w:r>
        <w:rPr>
          <w:lang w:val="en-US"/>
        </w:rPr>
        <w:t xml:space="preserve">and </w:t>
      </w:r>
      <w:r w:rsidRPr="00CD679B">
        <w:rPr>
          <w:lang w:val="en-US"/>
        </w:rPr>
        <w:t>changes to housing related services and assistance</w:t>
      </w:r>
      <w:r>
        <w:t xml:space="preserve"> </w:t>
      </w:r>
      <w:r w:rsidRPr="003045C4">
        <w:rPr>
          <w:lang w:val="en-US"/>
        </w:rPr>
        <w:t xml:space="preserve">are subject to rigorous human rights impact assessments and comply with </w:t>
      </w:r>
      <w:r w:rsidRPr="5674BD04">
        <w:rPr>
          <w:lang w:val="en-US"/>
        </w:rPr>
        <w:t xml:space="preserve">human rights law, including the obligation to ensure </w:t>
      </w:r>
      <w:r w:rsidRPr="003045C4">
        <w:rPr>
          <w:lang w:val="en-US"/>
        </w:rPr>
        <w:t>non-discrimination.</w:t>
      </w:r>
    </w:p>
    <w:p w14:paraId="396BF57D" w14:textId="2BBF4194" w:rsidR="00D028F6" w:rsidRPr="00261F4E" w:rsidRDefault="00D028F6" w:rsidP="003B1B2C">
      <w:pPr>
        <w:numPr>
          <w:ilvl w:val="0"/>
          <w:numId w:val="3"/>
        </w:numPr>
        <w:spacing w:after="160" w:line="278" w:lineRule="auto"/>
        <w:rPr>
          <w:lang w:val="en-US"/>
        </w:rPr>
      </w:pPr>
      <w:r w:rsidRPr="57337FA4">
        <w:rPr>
          <w:lang w:val="en-US"/>
        </w:rPr>
        <w:t>Guarantee access to healthcare for all people without discrimination, regardless of their migration status, in accordance with international human rights law and standards.</w:t>
      </w:r>
    </w:p>
    <w:p w14:paraId="09DD3B20" w14:textId="12775BDC" w:rsidR="00261F4E" w:rsidRPr="003045C4" w:rsidRDefault="00261F4E" w:rsidP="00261F4E">
      <w:pPr>
        <w:pStyle w:val="BNumberedHeading"/>
      </w:pPr>
      <w:bookmarkStart w:id="13" w:name="_Toc233898090"/>
      <w:r>
        <w:t xml:space="preserve">violence against women </w:t>
      </w:r>
      <w:r w:rsidRPr="003045C4">
        <w:t>(ARTICLE</w:t>
      </w:r>
      <w:r w:rsidR="000C3904">
        <w:t>s 2 and</w:t>
      </w:r>
      <w:r w:rsidR="00073FBF">
        <w:t xml:space="preserve"> 5</w:t>
      </w:r>
      <w:r w:rsidRPr="003045C4">
        <w:t>)</w:t>
      </w:r>
      <w:bookmarkEnd w:id="13"/>
    </w:p>
    <w:p w14:paraId="07320063" w14:textId="77777777" w:rsidR="00261F4E" w:rsidRDefault="00261F4E" w:rsidP="00261F4E">
      <w:pPr>
        <w:pStyle w:val="BBodyText"/>
        <w:rPr>
          <w:lang w:val="en-US" w:eastAsia="en-GB"/>
        </w:rPr>
      </w:pPr>
    </w:p>
    <w:p w14:paraId="24458D90" w14:textId="116072C8" w:rsidR="00261F4E" w:rsidRDefault="00973117" w:rsidP="00BB730C">
      <w:pPr>
        <w:pStyle w:val="BNumberedSubheading"/>
      </w:pPr>
      <w:bookmarkStart w:id="14" w:name="_Toc233898091"/>
      <w:r w:rsidRPr="00973117">
        <w:t>Lack of data on prevalence of violence against minority women</w:t>
      </w:r>
      <w:bookmarkEnd w:id="14"/>
      <w:r w:rsidR="00261F4E">
        <w:t xml:space="preserve"> </w:t>
      </w:r>
    </w:p>
    <w:p w14:paraId="5D125539" w14:textId="209D3B54" w:rsidR="000B0CB0" w:rsidRPr="003045C4" w:rsidRDefault="000B0CB0" w:rsidP="00BD7009">
      <w:pPr>
        <w:pStyle w:val="BBodyText"/>
        <w:rPr>
          <w:lang w:val="en-US"/>
        </w:rPr>
      </w:pPr>
      <w:r w:rsidRPr="003045C4">
        <w:rPr>
          <w:lang w:val="en-US"/>
        </w:rPr>
        <w:t>Prevalence of violence against women and girls remains high in Finland: 57% of women have experienced physical or sexual violence at least once in their lifetime after the age of 15.</w:t>
      </w:r>
      <w:r w:rsidRPr="00EC362B">
        <w:rPr>
          <w:rStyle w:val="FootnoteReference"/>
        </w:rPr>
        <w:footnoteReference w:id="55"/>
      </w:r>
      <w:r w:rsidRPr="003045C4">
        <w:rPr>
          <w:lang w:val="en-US"/>
        </w:rPr>
        <w:t xml:space="preserve"> There is a no disaggregated data on experiences of gender-based violence among lesbian, bi</w:t>
      </w:r>
      <w:r>
        <w:rPr>
          <w:lang w:val="en-US"/>
        </w:rPr>
        <w:t xml:space="preserve">, </w:t>
      </w:r>
      <w:r w:rsidRPr="003045C4">
        <w:rPr>
          <w:lang w:val="en-US"/>
        </w:rPr>
        <w:t xml:space="preserve">pan, trans, and Sámi women. Also, many other groups that are stigmatized or marginalized are overlooked in research. For example, </w:t>
      </w:r>
      <w:r w:rsidRPr="5674BD04">
        <w:rPr>
          <w:lang w:val="en-US"/>
        </w:rPr>
        <w:t>there is no recent</w:t>
      </w:r>
      <w:r w:rsidRPr="003045C4">
        <w:rPr>
          <w:lang w:val="en-US"/>
        </w:rPr>
        <w:t xml:space="preserve"> research on experiences of violence among sex workers .</w:t>
      </w:r>
      <w:r w:rsidRPr="00EC362B">
        <w:rPr>
          <w:rStyle w:val="FootnoteReference"/>
        </w:rPr>
        <w:footnoteReference w:id="56"/>
      </w:r>
      <w:r w:rsidRPr="003045C4">
        <w:rPr>
          <w:lang w:val="en-US"/>
        </w:rPr>
        <w:t xml:space="preserve"> This is the case also regarding migrant women</w:t>
      </w:r>
      <w:r w:rsidRPr="5674BD04">
        <w:rPr>
          <w:lang w:val="en-US"/>
        </w:rPr>
        <w:t>,</w:t>
      </w:r>
      <w:r w:rsidRPr="003045C4">
        <w:rPr>
          <w:lang w:val="en-US"/>
        </w:rPr>
        <w:t xml:space="preserve"> even though a study from 2014 estimated that women with a migrant background are raped twice as often compared to women belonging to the majority </w:t>
      </w:r>
      <w:r w:rsidRPr="003045C4">
        <w:rPr>
          <w:lang w:val="en-US"/>
        </w:rPr>
        <w:lastRenderedPageBreak/>
        <w:t>population.</w:t>
      </w:r>
      <w:r w:rsidRPr="00EC362B">
        <w:rPr>
          <w:rStyle w:val="FootnoteReference"/>
        </w:rPr>
        <w:footnoteReference w:id="57"/>
      </w:r>
      <w:r w:rsidRPr="003045C4">
        <w:rPr>
          <w:lang w:val="en-US"/>
        </w:rPr>
        <w:t xml:space="preserve"> The lack of </w:t>
      </w:r>
      <w:r w:rsidRPr="5674BD04">
        <w:rPr>
          <w:lang w:val="en-US"/>
        </w:rPr>
        <w:t>adequate data can</w:t>
      </w:r>
      <w:r w:rsidRPr="003045C4">
        <w:rPr>
          <w:lang w:val="en-US"/>
        </w:rPr>
        <w:t xml:space="preserve"> </w:t>
      </w:r>
      <w:r w:rsidRPr="5674BD04">
        <w:rPr>
          <w:lang w:val="en-US"/>
        </w:rPr>
        <w:t>lead</w:t>
      </w:r>
      <w:r w:rsidRPr="003045C4">
        <w:rPr>
          <w:lang w:val="en-US"/>
        </w:rPr>
        <w:t xml:space="preserve"> to insufficient support systems and prevention </w:t>
      </w:r>
      <w:r w:rsidRPr="5674BD04">
        <w:rPr>
          <w:lang w:val="en-US"/>
        </w:rPr>
        <w:t>programs</w:t>
      </w:r>
      <w:r w:rsidRPr="003045C4">
        <w:rPr>
          <w:lang w:val="en-US"/>
        </w:rPr>
        <w:t xml:space="preserve">. </w:t>
      </w:r>
    </w:p>
    <w:p w14:paraId="0F26BBC6" w14:textId="77777777" w:rsidR="000B0CB0" w:rsidRDefault="000B0CB0" w:rsidP="00661C0B">
      <w:pPr>
        <w:pStyle w:val="BBodyText"/>
        <w:rPr>
          <w:lang w:val="en-US" w:eastAsia="en-GB"/>
        </w:rPr>
      </w:pPr>
    </w:p>
    <w:p w14:paraId="5BFE5539" w14:textId="081159AB" w:rsidR="000B0CB0" w:rsidRDefault="00C20545" w:rsidP="00BB730C">
      <w:pPr>
        <w:pStyle w:val="BNumberedSubheading"/>
      </w:pPr>
      <w:r>
        <w:t xml:space="preserve"> </w:t>
      </w:r>
      <w:bookmarkStart w:id="15" w:name="_Toc233898092"/>
      <w:r w:rsidR="00A024DC" w:rsidRPr="00A024DC">
        <w:t>Services for migrant and Sámi women experiencing violence</w:t>
      </w:r>
      <w:bookmarkEnd w:id="15"/>
      <w:r w:rsidR="000B0CB0">
        <w:t xml:space="preserve"> </w:t>
      </w:r>
    </w:p>
    <w:p w14:paraId="07B756AE" w14:textId="3E4B119A" w:rsidR="008053AB" w:rsidRPr="003045C4" w:rsidRDefault="008053AB" w:rsidP="008053AB">
      <w:pPr>
        <w:rPr>
          <w:lang w:val="en-US"/>
        </w:rPr>
      </w:pPr>
      <w:r w:rsidRPr="003045C4">
        <w:rPr>
          <w:lang w:val="en-US"/>
        </w:rPr>
        <w:t>Domestic violence shelters in Finland aim to offer low-threshold services</w:t>
      </w:r>
      <w:r>
        <w:rPr>
          <w:rStyle w:val="FootnoteReference"/>
          <w:lang w:val="en-US"/>
        </w:rPr>
        <w:footnoteReference w:id="58"/>
      </w:r>
      <w:r w:rsidRPr="003045C4">
        <w:rPr>
          <w:lang w:val="en-US"/>
        </w:rPr>
        <w:t xml:space="preserve"> to all survivors. However, survivors</w:t>
      </w:r>
      <w:r w:rsidRPr="5674BD04">
        <w:rPr>
          <w:lang w:val="en-US"/>
        </w:rPr>
        <w:t xml:space="preserve"> from minority groups and racialized groups</w:t>
      </w:r>
      <w:r w:rsidRPr="003045C4">
        <w:rPr>
          <w:lang w:val="en-US"/>
        </w:rPr>
        <w:t>, such as the Roma, often face discrimination</w:t>
      </w:r>
      <w:r w:rsidRPr="5674BD04">
        <w:rPr>
          <w:lang w:val="en-US"/>
        </w:rPr>
        <w:t xml:space="preserve"> in accessing these services</w:t>
      </w:r>
      <w:r w:rsidRPr="003045C4">
        <w:rPr>
          <w:lang w:val="en-US"/>
        </w:rPr>
        <w:t>.</w:t>
      </w:r>
      <w:r w:rsidRPr="00EC362B">
        <w:rPr>
          <w:rStyle w:val="FootnoteReference"/>
        </w:rPr>
        <w:footnoteReference w:id="59"/>
      </w:r>
      <w:r w:rsidRPr="003045C4">
        <w:rPr>
          <w:lang w:val="en-US"/>
        </w:rPr>
        <w:t xml:space="preserve"> For those fleeing violence, obstacles in accessing a shelter can be a matter of life and death.</w:t>
      </w:r>
      <w:r w:rsidRPr="00EC362B">
        <w:rPr>
          <w:rStyle w:val="FootnoteReference"/>
        </w:rPr>
        <w:footnoteReference w:id="60"/>
      </w:r>
      <w:r>
        <w:rPr>
          <w:lang w:val="en-US"/>
        </w:rPr>
        <w:t xml:space="preserve"> </w:t>
      </w:r>
    </w:p>
    <w:p w14:paraId="173A27C4" w14:textId="77777777" w:rsidR="00DF7C7E" w:rsidRDefault="00DF7C7E" w:rsidP="008053AB">
      <w:pPr>
        <w:rPr>
          <w:lang w:val="en-US"/>
        </w:rPr>
      </w:pPr>
    </w:p>
    <w:p w14:paraId="0B46E0AB" w14:textId="557F3203" w:rsidR="008053AB" w:rsidRDefault="008053AB" w:rsidP="00BD7009">
      <w:pPr>
        <w:rPr>
          <w:lang w:val="en-US" w:eastAsia="en-GB"/>
        </w:rPr>
      </w:pPr>
      <w:r w:rsidRPr="003045C4">
        <w:rPr>
          <w:lang w:val="en-US"/>
        </w:rPr>
        <w:t>In their 2023 submission to GREVIO</w:t>
      </w:r>
      <w:r w:rsidRPr="00EC362B">
        <w:rPr>
          <w:rStyle w:val="FootnoteReference"/>
        </w:rPr>
        <w:footnoteReference w:id="61"/>
      </w:r>
      <w:r w:rsidRPr="003045C4">
        <w:rPr>
          <w:lang w:val="en-US"/>
        </w:rPr>
        <w:t>, the Sámi Parliament (</w:t>
      </w:r>
      <w:proofErr w:type="spellStart"/>
      <w:r w:rsidRPr="003045C4">
        <w:rPr>
          <w:lang w:val="en-US"/>
        </w:rPr>
        <w:t>Sámediggi</w:t>
      </w:r>
      <w:proofErr w:type="spellEnd"/>
      <w:r w:rsidRPr="003045C4">
        <w:rPr>
          <w:lang w:val="en-US"/>
        </w:rPr>
        <w:t xml:space="preserve">, </w:t>
      </w:r>
      <w:proofErr w:type="spellStart"/>
      <w:r w:rsidRPr="003045C4">
        <w:rPr>
          <w:lang w:val="en-US"/>
        </w:rPr>
        <w:t>Sämitigge</w:t>
      </w:r>
      <w:proofErr w:type="spellEnd"/>
      <w:r w:rsidRPr="003045C4">
        <w:rPr>
          <w:lang w:val="en-US"/>
        </w:rPr>
        <w:t xml:space="preserve">, </w:t>
      </w:r>
      <w:proofErr w:type="spellStart"/>
      <w:r w:rsidRPr="003045C4">
        <w:rPr>
          <w:lang w:val="en-US"/>
        </w:rPr>
        <w:t>Sää</w:t>
      </w:r>
      <w:r w:rsidRPr="003045C4">
        <w:rPr>
          <w:rFonts w:ascii="Arial" w:hAnsi="Arial"/>
          <w:lang w:val="en-US"/>
        </w:rPr>
        <w:t>ʹ</w:t>
      </w:r>
      <w:r w:rsidRPr="003045C4">
        <w:rPr>
          <w:lang w:val="en-US"/>
        </w:rPr>
        <w:t>mte</w:t>
      </w:r>
      <w:r w:rsidRPr="003045C4">
        <w:rPr>
          <w:rFonts w:ascii="Arial" w:hAnsi="Arial"/>
          <w:lang w:val="en-US"/>
        </w:rPr>
        <w:t>ʹ</w:t>
      </w:r>
      <w:r w:rsidRPr="003045C4">
        <w:rPr>
          <w:rFonts w:ascii="Aptos" w:hAnsi="Aptos" w:cs="Aptos"/>
          <w:lang w:val="en-US"/>
        </w:rPr>
        <w:t>ǧǧ</w:t>
      </w:r>
      <w:proofErr w:type="spellEnd"/>
      <w:r w:rsidRPr="003045C4">
        <w:rPr>
          <w:lang w:val="en-US"/>
        </w:rPr>
        <w:t>)</w:t>
      </w:r>
      <w:r w:rsidRPr="00EC362B">
        <w:rPr>
          <w:rStyle w:val="FootnoteReference"/>
        </w:rPr>
        <w:footnoteReference w:id="62"/>
      </w:r>
      <w:r w:rsidRPr="003045C4">
        <w:rPr>
          <w:lang w:val="en-US"/>
        </w:rPr>
        <w:t xml:space="preserve"> outlined critical gaps in implementation of the Istanbul Convention for Sámi women. The submission highlighted a lack of culturally appropriate support services, systemic data collection issues, and the need for greater Sámi involvement.</w:t>
      </w:r>
      <w:r w:rsidRPr="00EC362B">
        <w:rPr>
          <w:rStyle w:val="FootnoteReference"/>
        </w:rPr>
        <w:footnoteReference w:id="63"/>
      </w:r>
      <w:r w:rsidRPr="003045C4">
        <w:rPr>
          <w:lang w:val="en-US"/>
        </w:rPr>
        <w:t xml:space="preserve"> In its first thematic report in 2025 GREVIO expressed concern over the lack of culturally and linguistically appropriate generalist and specialist services, including the insufficient availability of shelters within the Sámi homeland.</w:t>
      </w:r>
      <w:r w:rsidRPr="00EC362B">
        <w:rPr>
          <w:rStyle w:val="FootnoteReference"/>
        </w:rPr>
        <w:footnoteReference w:id="64"/>
      </w:r>
      <w:r>
        <w:rPr>
          <w:lang w:val="en-US"/>
        </w:rPr>
        <w:t xml:space="preserve"> </w:t>
      </w:r>
    </w:p>
    <w:p w14:paraId="793C25A9" w14:textId="77777777" w:rsidR="008053AB" w:rsidRDefault="008053AB" w:rsidP="00661C0B">
      <w:pPr>
        <w:pStyle w:val="BBodyText"/>
        <w:rPr>
          <w:lang w:val="en-US" w:eastAsia="en-GB"/>
        </w:rPr>
      </w:pPr>
    </w:p>
    <w:p w14:paraId="5ADB3440" w14:textId="17AFB05D" w:rsidR="008F403C" w:rsidRPr="008F403C" w:rsidRDefault="008F403C" w:rsidP="00BD7009">
      <w:pPr>
        <w:pStyle w:val="BNumberedSubheading"/>
      </w:pPr>
      <w:bookmarkStart w:id="16" w:name="_Toc233898093"/>
      <w:r w:rsidRPr="008F403C">
        <w:t>Access to justice by racialized women in cases of sexual violence</w:t>
      </w:r>
      <w:bookmarkEnd w:id="16"/>
      <w:r w:rsidRPr="008F403C">
        <w:t xml:space="preserve"> </w:t>
      </w:r>
    </w:p>
    <w:p w14:paraId="3C1406C0" w14:textId="77777777" w:rsidR="009834EC" w:rsidRPr="003045C4" w:rsidRDefault="009834EC" w:rsidP="009834EC">
      <w:pPr>
        <w:rPr>
          <w:lang w:val="en-US"/>
        </w:rPr>
      </w:pPr>
      <w:r w:rsidRPr="003045C4">
        <w:rPr>
          <w:lang w:val="en-US"/>
        </w:rPr>
        <w:t>Research published by Amnesty International Finland in 2025</w:t>
      </w:r>
      <w:r>
        <w:rPr>
          <w:rStyle w:val="FootnoteReference"/>
          <w:lang w:val="en-US"/>
        </w:rPr>
        <w:footnoteReference w:id="65"/>
      </w:r>
      <w:r w:rsidRPr="003045C4">
        <w:rPr>
          <w:lang w:val="en-US"/>
        </w:rPr>
        <w:t xml:space="preserve"> revealed that women who experience multiple forms of discrimination do not trust the judicial system and authorities to treat them fairly. This </w:t>
      </w:r>
      <w:r w:rsidRPr="003045C4">
        <w:rPr>
          <w:lang w:val="en-US"/>
        </w:rPr>
        <w:lastRenderedPageBreak/>
        <w:t>leads to under</w:t>
      </w:r>
      <w:r w:rsidRPr="24EE192A">
        <w:rPr>
          <w:lang w:val="en-US"/>
        </w:rPr>
        <w:t>reporting of experiences of sexual violence, victims and survivors not receiving support for their recovery, perpetrators not receiving support to change their behavior, and sexual violence going unpunished. This allows sexual violence to continue.</w:t>
      </w:r>
      <w:r w:rsidRPr="24EE192A">
        <w:rPr>
          <w:rStyle w:val="FootnoteReference"/>
        </w:rPr>
        <w:footnoteReference w:id="66"/>
      </w:r>
      <w:r w:rsidRPr="24EE192A">
        <w:rPr>
          <w:lang w:val="en-US"/>
        </w:rPr>
        <w:t xml:space="preserve"> </w:t>
      </w:r>
    </w:p>
    <w:p w14:paraId="5A156319" w14:textId="77777777" w:rsidR="00647643" w:rsidRDefault="00647643" w:rsidP="009834EC">
      <w:pPr>
        <w:rPr>
          <w:lang w:val="en-US"/>
        </w:rPr>
      </w:pPr>
    </w:p>
    <w:p w14:paraId="6753D1EF" w14:textId="6E5F538E" w:rsidR="009834EC" w:rsidRPr="003045C4" w:rsidRDefault="009834EC" w:rsidP="009834EC">
      <w:pPr>
        <w:rPr>
          <w:lang w:val="en-US"/>
        </w:rPr>
      </w:pPr>
      <w:r w:rsidRPr="003045C4">
        <w:rPr>
          <w:lang w:val="en-US"/>
        </w:rPr>
        <w:t xml:space="preserve">A public opinion survey included in the </w:t>
      </w:r>
      <w:r w:rsidRPr="5674BD04">
        <w:rPr>
          <w:lang w:val="en-US"/>
        </w:rPr>
        <w:t xml:space="preserve">Amnesty International research </w:t>
      </w:r>
      <w:r w:rsidRPr="003045C4">
        <w:rPr>
          <w:lang w:val="en-US"/>
        </w:rPr>
        <w:t>showed that over 55% of respondents did not trust the judicial system to treat rape survivors fairly. Mistrust was higher among women: 61% did not trust judicial system.</w:t>
      </w:r>
      <w:r w:rsidRPr="00EC362B">
        <w:rPr>
          <w:rStyle w:val="FootnoteReference"/>
        </w:rPr>
        <w:footnoteReference w:id="67"/>
      </w:r>
      <w:r w:rsidRPr="003045C4">
        <w:rPr>
          <w:lang w:val="en-US"/>
        </w:rPr>
        <w:t xml:space="preserve"> As many as 36% of respondents had little or no trust in public authorities, such as the police and health</w:t>
      </w:r>
      <w:r>
        <w:rPr>
          <w:lang w:val="en-US"/>
        </w:rPr>
        <w:t xml:space="preserve"> </w:t>
      </w:r>
      <w:r w:rsidRPr="003045C4">
        <w:rPr>
          <w:lang w:val="en-US"/>
        </w:rPr>
        <w:t>care providers. These results are significant, as trust in public authorities and the judicial system is generally quite high in Finland.</w:t>
      </w:r>
      <w:r w:rsidRPr="00EC362B">
        <w:rPr>
          <w:rStyle w:val="FootnoteReference"/>
        </w:rPr>
        <w:footnoteReference w:id="68"/>
      </w:r>
    </w:p>
    <w:p w14:paraId="4B440467" w14:textId="77777777" w:rsidR="00647643" w:rsidRDefault="00647643" w:rsidP="009834EC">
      <w:pPr>
        <w:rPr>
          <w:lang w:val="en-US"/>
        </w:rPr>
      </w:pPr>
    </w:p>
    <w:p w14:paraId="15A9A408" w14:textId="0187A14F" w:rsidR="009834EC" w:rsidRPr="003045C4" w:rsidRDefault="009834EC" w:rsidP="009834EC">
      <w:pPr>
        <w:rPr>
          <w:lang w:val="en-US"/>
        </w:rPr>
      </w:pPr>
      <w:r w:rsidRPr="003045C4">
        <w:rPr>
          <w:lang w:val="en-US"/>
        </w:rPr>
        <w:t>Group discussions</w:t>
      </w:r>
      <w:r w:rsidRPr="5674BD04">
        <w:rPr>
          <w:lang w:val="en-US"/>
        </w:rPr>
        <w:t xml:space="preserve"> conducted as a part of this research</w:t>
      </w:r>
      <w:r w:rsidRPr="00FA7E4B">
        <w:rPr>
          <w:vertAlign w:val="superscript"/>
          <w:lang w:val="en-US"/>
        </w:rPr>
        <w:footnoteReference w:id="69"/>
      </w:r>
      <w:r w:rsidRPr="00FA7E4B">
        <w:rPr>
          <w:vertAlign w:val="superscript"/>
          <w:lang w:val="en-US"/>
        </w:rPr>
        <w:t xml:space="preserve"> </w:t>
      </w:r>
      <w:r w:rsidRPr="003045C4">
        <w:rPr>
          <w:lang w:val="en-US"/>
        </w:rPr>
        <w:t xml:space="preserve">revealed that women living in Finland lack trust in the authorities due to racism and </w:t>
      </w:r>
      <w:r w:rsidRPr="5674BD04">
        <w:rPr>
          <w:lang w:val="en-US"/>
        </w:rPr>
        <w:t>institutionalized</w:t>
      </w:r>
      <w:r w:rsidRPr="003045C4">
        <w:rPr>
          <w:lang w:val="en-US"/>
        </w:rPr>
        <w:t xml:space="preserve"> hostility towards minorities. Experiences of racism were mentioned in every group that had participants from racialized ethnic minorities. Every participant in group discussions and 68% of respondents </w:t>
      </w:r>
      <w:r>
        <w:rPr>
          <w:lang w:val="en-US"/>
        </w:rPr>
        <w:t>of</w:t>
      </w:r>
      <w:r w:rsidRPr="003045C4">
        <w:rPr>
          <w:lang w:val="en-US"/>
        </w:rPr>
        <w:t xml:space="preserve"> public opinion survey felt that women and girls are blamed </w:t>
      </w:r>
      <w:r w:rsidRPr="5674BD04">
        <w:rPr>
          <w:lang w:val="en-US"/>
        </w:rPr>
        <w:t>by society</w:t>
      </w:r>
      <w:r w:rsidRPr="5674BD04" w:rsidDel="00BD637D">
        <w:rPr>
          <w:lang w:val="en-US"/>
        </w:rPr>
        <w:t xml:space="preserve"> </w:t>
      </w:r>
      <w:r w:rsidRPr="003045C4">
        <w:rPr>
          <w:lang w:val="en-US"/>
        </w:rPr>
        <w:t xml:space="preserve">for the sexual violence and harassment they experience. </w:t>
      </w:r>
      <w:r w:rsidRPr="00EC362B">
        <w:rPr>
          <w:rStyle w:val="FootnoteReference"/>
        </w:rPr>
        <w:footnoteReference w:id="70"/>
      </w:r>
    </w:p>
    <w:p w14:paraId="72F025B6" w14:textId="77777777" w:rsidR="00647643" w:rsidRDefault="00647643" w:rsidP="009834EC">
      <w:pPr>
        <w:rPr>
          <w:lang w:val="en-US"/>
        </w:rPr>
      </w:pPr>
    </w:p>
    <w:p w14:paraId="28067118" w14:textId="0B69BFCF" w:rsidR="009834EC" w:rsidRPr="003045C4" w:rsidRDefault="009834EC" w:rsidP="009834EC">
      <w:pPr>
        <w:rPr>
          <w:lang w:val="en-US"/>
        </w:rPr>
      </w:pPr>
      <w:r w:rsidRPr="003045C4">
        <w:rPr>
          <w:lang w:val="en-US"/>
        </w:rPr>
        <w:t>A 2022 report</w:t>
      </w:r>
      <w:r w:rsidRPr="005372AD">
        <w:rPr>
          <w:lang w:val="en-US"/>
        </w:rPr>
        <w:t xml:space="preserve"> </w:t>
      </w:r>
      <w:r w:rsidRPr="003045C4">
        <w:rPr>
          <w:lang w:val="en-US"/>
        </w:rPr>
        <w:t xml:space="preserve">on police procedures by the Deputy Chancellor of Justice highlighted </w:t>
      </w:r>
      <w:r w:rsidRPr="5674BD04">
        <w:rPr>
          <w:lang w:val="en-US"/>
        </w:rPr>
        <w:t>that police often lacked</w:t>
      </w:r>
      <w:r w:rsidRPr="003045C4">
        <w:rPr>
          <w:lang w:val="en-US"/>
        </w:rPr>
        <w:t xml:space="preserve"> essential skills and knowledge to identify the characteristics of sexual and domestic violence </w:t>
      </w:r>
      <w:r w:rsidRPr="5674BD04">
        <w:rPr>
          <w:lang w:val="en-US"/>
        </w:rPr>
        <w:t>and lacked</w:t>
      </w:r>
      <w:r w:rsidRPr="003045C4">
        <w:rPr>
          <w:lang w:val="en-US"/>
        </w:rPr>
        <w:t xml:space="preserve"> the capacity to accurately assess the severity of these offences.</w:t>
      </w:r>
      <w:r w:rsidRPr="00EC362B">
        <w:rPr>
          <w:rStyle w:val="FootnoteReference"/>
        </w:rPr>
        <w:footnoteReference w:id="71"/>
      </w:r>
    </w:p>
    <w:p w14:paraId="18B76E0F" w14:textId="77777777" w:rsidR="00647643" w:rsidRDefault="00647643" w:rsidP="00D543CA">
      <w:pPr>
        <w:rPr>
          <w:lang w:val="en-US"/>
        </w:rPr>
      </w:pPr>
    </w:p>
    <w:p w14:paraId="4F3ACDB7" w14:textId="01E3BC32" w:rsidR="009834EC" w:rsidRDefault="009834EC" w:rsidP="00D543CA">
      <w:pPr>
        <w:rPr>
          <w:lang w:val="en-US"/>
        </w:rPr>
      </w:pPr>
      <w:r w:rsidRPr="24EE192A">
        <w:rPr>
          <w:lang w:val="en-US"/>
        </w:rPr>
        <w:t>In the first thematic report on Finland in 2025</w:t>
      </w:r>
      <w:r>
        <w:rPr>
          <w:lang w:val="en-US"/>
        </w:rPr>
        <w:t>,</w:t>
      </w:r>
      <w:r w:rsidRPr="24EE192A">
        <w:rPr>
          <w:lang w:val="en-US"/>
        </w:rPr>
        <w:t xml:space="preserve"> GREVIO identified several issues </w:t>
      </w:r>
      <w:r>
        <w:rPr>
          <w:lang w:val="en-US"/>
        </w:rPr>
        <w:t xml:space="preserve">including </w:t>
      </w:r>
      <w:r w:rsidRPr="008D678B">
        <w:rPr>
          <w:lang w:val="en-US"/>
        </w:rPr>
        <w:t>the lack of systematic integration of a gender-sensitive and trauma-informed understanding into police procedures</w:t>
      </w:r>
      <w:r>
        <w:rPr>
          <w:lang w:val="en-US"/>
        </w:rPr>
        <w:t xml:space="preserve"> and </w:t>
      </w:r>
      <w:r w:rsidRPr="005C5EE1">
        <w:rPr>
          <w:lang w:val="en-US"/>
        </w:rPr>
        <w:t xml:space="preserve">mandatory in-service training for all relevant professional groups </w:t>
      </w:r>
      <w:r>
        <w:rPr>
          <w:lang w:val="en-US"/>
        </w:rPr>
        <w:t xml:space="preserve">– all these </w:t>
      </w:r>
      <w:r w:rsidRPr="24EE192A">
        <w:rPr>
          <w:lang w:val="en-US"/>
        </w:rPr>
        <w:t xml:space="preserve">require sustained action in order to effectively remove barriers </w:t>
      </w:r>
      <w:r>
        <w:rPr>
          <w:lang w:val="en-US"/>
        </w:rPr>
        <w:t>to</w:t>
      </w:r>
      <w:r w:rsidRPr="24EE192A">
        <w:rPr>
          <w:lang w:val="en-US"/>
        </w:rPr>
        <w:t xml:space="preserve"> reporting and build trust by delivering protection, support and justice for acts of violence against women.</w:t>
      </w:r>
      <w:r w:rsidRPr="24EE192A">
        <w:rPr>
          <w:rStyle w:val="FootnoteReference"/>
          <w:lang w:val="en-US"/>
        </w:rPr>
        <w:footnoteReference w:id="72"/>
      </w:r>
    </w:p>
    <w:p w14:paraId="074E9FAF" w14:textId="77777777" w:rsidR="00D543CA" w:rsidRDefault="00D543CA" w:rsidP="009834EC">
      <w:pPr>
        <w:pStyle w:val="BBodyText"/>
        <w:rPr>
          <w:lang w:val="en-US" w:eastAsia="en-GB"/>
        </w:rPr>
      </w:pPr>
    </w:p>
    <w:p w14:paraId="6E50C03B" w14:textId="77777777" w:rsidR="00D543CA" w:rsidRPr="00D543CA" w:rsidRDefault="00D543CA" w:rsidP="00BD7009">
      <w:pPr>
        <w:pStyle w:val="BNumberedSubheading"/>
      </w:pPr>
      <w:bookmarkStart w:id="17" w:name="_Toc233898094"/>
      <w:r w:rsidRPr="00D543CA">
        <w:t>Recommendations to the Finnish government</w:t>
      </w:r>
      <w:bookmarkEnd w:id="17"/>
    </w:p>
    <w:p w14:paraId="5CED3EA7" w14:textId="77777777" w:rsidR="001E6726" w:rsidRDefault="001E6726" w:rsidP="001E6726">
      <w:pPr>
        <w:spacing w:line="278" w:lineRule="auto"/>
        <w:rPr>
          <w:lang w:val="en-US"/>
        </w:rPr>
      </w:pPr>
    </w:p>
    <w:p w14:paraId="1E6D53F6" w14:textId="77777777" w:rsidR="001E6726" w:rsidRPr="00C20545" w:rsidRDefault="001E6726" w:rsidP="001E6726">
      <w:pPr>
        <w:pStyle w:val="BBodyText"/>
        <w:rPr>
          <w:bCs w:val="0"/>
          <w:sz w:val="20"/>
          <w:szCs w:val="20"/>
          <w:lang w:eastAsia="en-GB"/>
        </w:rPr>
      </w:pPr>
      <w:r w:rsidRPr="00C20545">
        <w:rPr>
          <w:bCs w:val="0"/>
          <w:sz w:val="20"/>
          <w:szCs w:val="20"/>
          <w:lang w:eastAsia="en-GB"/>
        </w:rPr>
        <w:t>Amnesty International is calling on authorities in Finland to:</w:t>
      </w:r>
    </w:p>
    <w:p w14:paraId="54BE2A65" w14:textId="77777777" w:rsidR="001E6726" w:rsidRPr="00C20545" w:rsidRDefault="001E6726" w:rsidP="001E6726">
      <w:pPr>
        <w:spacing w:line="278" w:lineRule="auto"/>
      </w:pPr>
    </w:p>
    <w:p w14:paraId="2AEB9876" w14:textId="7D0C5386" w:rsidR="00D543CA" w:rsidRPr="00C20545" w:rsidRDefault="00D543CA" w:rsidP="003B1B2C">
      <w:pPr>
        <w:pStyle w:val="ListParagraph"/>
        <w:numPr>
          <w:ilvl w:val="0"/>
          <w:numId w:val="4"/>
        </w:numPr>
        <w:spacing w:line="278" w:lineRule="auto"/>
        <w:rPr>
          <w:sz w:val="20"/>
          <w:szCs w:val="20"/>
          <w:lang w:val="en-US"/>
        </w:rPr>
      </w:pPr>
      <w:r w:rsidRPr="00C20545">
        <w:rPr>
          <w:sz w:val="20"/>
          <w:szCs w:val="20"/>
          <w:lang w:val="en-US"/>
        </w:rPr>
        <w:t xml:space="preserve">Collect disaggregated data to assess migrant and minority women’s experiences of gender-based violence in Finland. </w:t>
      </w:r>
    </w:p>
    <w:p w14:paraId="2B44B89E" w14:textId="77777777" w:rsidR="00D543CA" w:rsidRPr="00C20545" w:rsidRDefault="00D543CA" w:rsidP="003B1B2C">
      <w:pPr>
        <w:pStyle w:val="ListParagraph"/>
        <w:numPr>
          <w:ilvl w:val="0"/>
          <w:numId w:val="4"/>
        </w:numPr>
        <w:spacing w:line="278" w:lineRule="auto"/>
        <w:rPr>
          <w:sz w:val="20"/>
          <w:szCs w:val="20"/>
          <w:lang w:val="en-US"/>
        </w:rPr>
      </w:pPr>
      <w:r w:rsidRPr="00C20545">
        <w:rPr>
          <w:sz w:val="20"/>
          <w:szCs w:val="20"/>
          <w:lang w:val="en-US"/>
        </w:rPr>
        <w:t>Ensure the availability of immediate, medium and long-term specialist support services, including psychological support to victims of all forms of violence against women, in an appropriate geographical distribution, while catering to the specific needs of marginalized women, those in vulnerable positions and those subjected to multiple and intersectional discrimination.</w:t>
      </w:r>
    </w:p>
    <w:p w14:paraId="3F85B8DA" w14:textId="25DBFC7A" w:rsidR="00D543CA" w:rsidRPr="00C20545" w:rsidRDefault="00D543CA" w:rsidP="003B1B2C">
      <w:pPr>
        <w:pStyle w:val="ListParagraph"/>
        <w:numPr>
          <w:ilvl w:val="0"/>
          <w:numId w:val="4"/>
        </w:numPr>
        <w:spacing w:line="278" w:lineRule="auto"/>
        <w:rPr>
          <w:sz w:val="20"/>
          <w:szCs w:val="20"/>
          <w:lang w:val="en-US"/>
        </w:rPr>
      </w:pPr>
      <w:r w:rsidRPr="00C20545">
        <w:rPr>
          <w:sz w:val="20"/>
          <w:szCs w:val="20"/>
          <w:lang w:val="en-US"/>
        </w:rPr>
        <w:t>Facilitate access to justice for all victims of rape and other sexual violence to ensure that more cases are reported and successfully prosecuted in court.</w:t>
      </w:r>
    </w:p>
    <w:p w14:paraId="317CA0DD" w14:textId="352BD44C" w:rsidR="00C20545" w:rsidRPr="003045C4" w:rsidRDefault="00476026" w:rsidP="00C20545">
      <w:pPr>
        <w:pStyle w:val="BNumberedHeading"/>
      </w:pPr>
      <w:bookmarkStart w:id="18" w:name="_Toc233898095"/>
      <w:r w:rsidRPr="00476026">
        <w:lastRenderedPageBreak/>
        <w:t>RIGHTS OF THE INDIGENOUS SAMI PEOPLE</w:t>
      </w:r>
      <w:r w:rsidR="00C20545">
        <w:t xml:space="preserve"> </w:t>
      </w:r>
      <w:r w:rsidR="00C20545" w:rsidRPr="003045C4">
        <w:t>(ARTICLE</w:t>
      </w:r>
      <w:r w:rsidR="0092307C">
        <w:t>s</w:t>
      </w:r>
      <w:r w:rsidR="001655C9">
        <w:t xml:space="preserve"> 2-7</w:t>
      </w:r>
      <w:r w:rsidR="00C20545" w:rsidRPr="003045C4">
        <w:t>)</w:t>
      </w:r>
      <w:bookmarkEnd w:id="18"/>
    </w:p>
    <w:p w14:paraId="0386304B" w14:textId="77777777" w:rsidR="00796B57" w:rsidRDefault="00796B57" w:rsidP="00796B57">
      <w:pPr>
        <w:rPr>
          <w:rFonts w:asciiTheme="minorHAnsi" w:hAnsiTheme="minorHAnsi"/>
          <w:lang w:val="en-US"/>
        </w:rPr>
      </w:pPr>
      <w:r w:rsidRPr="00796B57">
        <w:rPr>
          <w:rFonts w:asciiTheme="minorHAnsi" w:hAnsiTheme="minorHAnsi"/>
          <w:lang w:val="en-US"/>
        </w:rPr>
        <w:t>In recent years, Finland has taken steps to strengthen the rights of the Sámi people and to respond to recommendations issued by the Committee. Notably, the reform of the Sámi Parliament Act</w:t>
      </w:r>
      <w:r w:rsidRPr="00796B57">
        <w:rPr>
          <w:rStyle w:val="FootnoteReference"/>
          <w:rFonts w:asciiTheme="minorHAnsi" w:hAnsiTheme="minorHAnsi"/>
        </w:rPr>
        <w:footnoteReference w:id="73"/>
      </w:r>
      <w:r w:rsidRPr="00796B57">
        <w:rPr>
          <w:rFonts w:asciiTheme="minorHAnsi" w:hAnsiTheme="minorHAnsi"/>
          <w:lang w:val="en-US"/>
        </w:rPr>
        <w:t xml:space="preserve"> and the publication of the final report of the Sámi Truth and Reconciliation Commission represent important progress. However, significant gaps remain in aligning domestic legislation and practice with Finland’s obligations under the Convention.</w:t>
      </w:r>
    </w:p>
    <w:p w14:paraId="50AE840E" w14:textId="77777777" w:rsidR="001655C9" w:rsidRPr="00796B57" w:rsidRDefault="001655C9" w:rsidP="00796B57">
      <w:pPr>
        <w:rPr>
          <w:rFonts w:asciiTheme="minorHAnsi" w:hAnsiTheme="minorHAnsi"/>
          <w:lang w:val="en-US"/>
        </w:rPr>
      </w:pPr>
    </w:p>
    <w:p w14:paraId="4DF7582E" w14:textId="77777777" w:rsidR="00796B57" w:rsidRPr="00796B57" w:rsidRDefault="00796B57" w:rsidP="00796B57">
      <w:pPr>
        <w:rPr>
          <w:rFonts w:asciiTheme="minorHAnsi" w:hAnsiTheme="minorHAnsi"/>
          <w:lang w:val="en-US"/>
        </w:rPr>
      </w:pPr>
      <w:r w:rsidRPr="00796B57">
        <w:rPr>
          <w:rFonts w:asciiTheme="minorHAnsi" w:hAnsiTheme="minorHAnsi"/>
          <w:lang w:val="en-US"/>
        </w:rPr>
        <w:t>The reform of the Sámi Parliament Act in 2025 addressed long-standing concerns regarding the Sámi people’s right to self-determination. Nevertheless, Amnesty International considers that the reform alone is insufficient to ensure that Sámi people’s rights are fully realized in accordance with international human rights standards.</w:t>
      </w:r>
    </w:p>
    <w:p w14:paraId="24FEB9A0" w14:textId="16D369B3" w:rsidR="00796B57" w:rsidRPr="00796B57" w:rsidRDefault="00796B57" w:rsidP="00796B57">
      <w:pPr>
        <w:rPr>
          <w:rFonts w:asciiTheme="minorHAnsi" w:hAnsiTheme="minorHAnsi"/>
          <w:lang w:val="en-US"/>
        </w:rPr>
      </w:pPr>
      <w:r w:rsidRPr="00796B57">
        <w:rPr>
          <w:rFonts w:asciiTheme="minorHAnsi" w:hAnsiTheme="minorHAnsi"/>
          <w:lang w:val="en-US"/>
        </w:rPr>
        <w:t>Recent evidence indicates persistent shortcomings in the implementation of the principle of free, prior and informed consent (FPIC). A 2025 report by Amnesty International and the Sámi Council highlights that Finnish legislation lacks a consistent framework to ensure that FPIC is obtained before initiating land-use or resource extraction projects affecting Sámi territories.</w:t>
      </w:r>
      <w:r w:rsidRPr="00796B57">
        <w:rPr>
          <w:rStyle w:val="FootnoteReference"/>
          <w:rFonts w:asciiTheme="minorHAnsi" w:hAnsiTheme="minorHAnsi"/>
        </w:rPr>
        <w:footnoteReference w:id="74"/>
      </w:r>
      <w:r w:rsidRPr="00796B57">
        <w:rPr>
          <w:rFonts w:asciiTheme="minorHAnsi" w:hAnsiTheme="minorHAnsi"/>
          <w:lang w:val="en-US"/>
        </w:rPr>
        <w:t xml:space="preserve"> Also in 2024, both the UN Committee on the Rights of the Child (CRC) and CESCR found that Finland had violated Sámi rights by authorizing mineral exploration activities without obtaining FPIC and without conducting adequate cumulative impact assessments.</w:t>
      </w:r>
      <w:r w:rsidRPr="00796B57">
        <w:rPr>
          <w:rStyle w:val="FootnoteReference"/>
          <w:rFonts w:asciiTheme="minorHAnsi" w:hAnsiTheme="minorHAnsi"/>
        </w:rPr>
        <w:footnoteReference w:id="75"/>
      </w:r>
      <w:r w:rsidRPr="00796B57">
        <w:rPr>
          <w:rFonts w:asciiTheme="minorHAnsi" w:hAnsiTheme="minorHAnsi"/>
          <w:lang w:val="en-US"/>
        </w:rPr>
        <w:t xml:space="preserve"> </w:t>
      </w:r>
    </w:p>
    <w:p w14:paraId="557F52B3" w14:textId="77777777" w:rsidR="001655C9" w:rsidRDefault="001655C9" w:rsidP="00796B57">
      <w:pPr>
        <w:rPr>
          <w:rFonts w:asciiTheme="minorHAnsi" w:hAnsiTheme="minorHAnsi"/>
          <w:lang w:val="en-US"/>
        </w:rPr>
      </w:pPr>
    </w:p>
    <w:p w14:paraId="5B23EB97" w14:textId="44935969" w:rsidR="00796B57" w:rsidRPr="00796B57" w:rsidRDefault="00796B57" w:rsidP="00796B57">
      <w:pPr>
        <w:rPr>
          <w:rFonts w:asciiTheme="minorHAnsi" w:hAnsiTheme="minorHAnsi"/>
          <w:lang w:val="en-US"/>
        </w:rPr>
      </w:pPr>
      <w:r w:rsidRPr="00796B57">
        <w:rPr>
          <w:rFonts w:asciiTheme="minorHAnsi" w:hAnsiTheme="minorHAnsi"/>
          <w:lang w:val="en-US"/>
        </w:rPr>
        <w:t>While the reformed Sámi Parliament Act strengthens the authorities’ obligation to negotiate with the Sámi Parliament</w:t>
      </w:r>
      <w:r w:rsidR="00CC629C">
        <w:rPr>
          <w:rFonts w:asciiTheme="minorHAnsi" w:hAnsiTheme="minorHAnsi"/>
          <w:lang w:val="en-US"/>
        </w:rPr>
        <w:t>,</w:t>
      </w:r>
      <w:r w:rsidRPr="00796B57">
        <w:rPr>
          <w:rStyle w:val="FootnoteReference"/>
          <w:rFonts w:asciiTheme="minorHAnsi" w:hAnsiTheme="minorHAnsi"/>
        </w:rPr>
        <w:footnoteReference w:id="76"/>
      </w:r>
      <w:r w:rsidRPr="00796B57">
        <w:rPr>
          <w:rFonts w:asciiTheme="minorHAnsi" w:hAnsiTheme="minorHAnsi"/>
          <w:lang w:val="en-US"/>
        </w:rPr>
        <w:t xml:space="preserve"> there is still no binding legal requirement to obtain the consent of the Sámi people. To ensure compliance with the requirement for FPIC, Finnish legislation should define situations in which consent is required, promote early and meaningful participation, and harmonize sectoral legislation, such as Mining Act and Land Use and Building Act, with the international standards regarding the rights of indigenous peoples</w:t>
      </w:r>
      <w:r w:rsidR="00ED1DB8">
        <w:rPr>
          <w:rFonts w:asciiTheme="minorHAnsi" w:hAnsiTheme="minorHAnsi"/>
          <w:lang w:val="en-US"/>
        </w:rPr>
        <w:t>.</w:t>
      </w:r>
    </w:p>
    <w:p w14:paraId="0C11F01A" w14:textId="77777777" w:rsidR="00796B57" w:rsidRDefault="00796B57" w:rsidP="00796B57">
      <w:pPr>
        <w:rPr>
          <w:rFonts w:asciiTheme="minorHAnsi" w:hAnsiTheme="minorHAnsi"/>
          <w:lang w:val="en-US"/>
        </w:rPr>
      </w:pPr>
      <w:r w:rsidRPr="00796B57">
        <w:rPr>
          <w:rFonts w:asciiTheme="minorHAnsi" w:hAnsiTheme="minorHAnsi"/>
          <w:lang w:val="en-US"/>
        </w:rPr>
        <w:t>The report of the Sámi Truth and Reconciliation Commission, published in December 2025, identifies structural discrimination against the Sámi and includes over 70 proposals addressing language rights, land rights, governance and cultural revitalization.</w:t>
      </w:r>
      <w:r w:rsidRPr="00796B57">
        <w:rPr>
          <w:rStyle w:val="FootnoteReference"/>
          <w:rFonts w:asciiTheme="minorHAnsi" w:hAnsiTheme="minorHAnsi"/>
        </w:rPr>
        <w:footnoteReference w:id="77"/>
      </w:r>
      <w:r w:rsidRPr="00796B57">
        <w:rPr>
          <w:rFonts w:asciiTheme="minorHAnsi" w:hAnsiTheme="minorHAnsi"/>
          <w:lang w:val="en-US"/>
        </w:rPr>
        <w:t xml:space="preserve"> This process is an important step towards addressing historical and ongoing discrimination, but meaningful progress depends on the government’s commitment to implementing these proposals.</w:t>
      </w:r>
    </w:p>
    <w:p w14:paraId="40F86808" w14:textId="77777777" w:rsidR="00796B57" w:rsidRPr="00796B57" w:rsidRDefault="00796B57" w:rsidP="00796B57">
      <w:pPr>
        <w:rPr>
          <w:rFonts w:asciiTheme="minorHAnsi" w:hAnsiTheme="minorHAnsi"/>
          <w:lang w:val="en-US"/>
        </w:rPr>
      </w:pPr>
    </w:p>
    <w:p w14:paraId="02BE4482" w14:textId="63503048" w:rsidR="00796B57" w:rsidRDefault="00796B57" w:rsidP="00BD7009">
      <w:pPr>
        <w:pStyle w:val="BNumberedSubheading"/>
      </w:pPr>
      <w:bookmarkStart w:id="19" w:name="_Toc233898096"/>
      <w:r w:rsidRPr="00796B57">
        <w:t>Recommendations to the Finnish government</w:t>
      </w:r>
      <w:bookmarkEnd w:id="19"/>
    </w:p>
    <w:p w14:paraId="23BEE5A7" w14:textId="0F6B1C26" w:rsidR="00796B57" w:rsidRPr="00796B57" w:rsidRDefault="00796B57" w:rsidP="00796B57">
      <w:pPr>
        <w:pStyle w:val="BBodyText"/>
        <w:rPr>
          <w:bCs w:val="0"/>
          <w:sz w:val="20"/>
          <w:szCs w:val="20"/>
          <w:lang w:eastAsia="en-GB"/>
        </w:rPr>
      </w:pPr>
      <w:r w:rsidRPr="00C20545">
        <w:rPr>
          <w:bCs w:val="0"/>
          <w:sz w:val="20"/>
          <w:szCs w:val="20"/>
          <w:lang w:eastAsia="en-GB"/>
        </w:rPr>
        <w:t>Amnesty International is calling on authorities in Finland to:</w:t>
      </w:r>
    </w:p>
    <w:p w14:paraId="2F9C90F1" w14:textId="77777777" w:rsidR="00796B57" w:rsidRPr="00796B57" w:rsidRDefault="00796B57" w:rsidP="003B1B2C">
      <w:pPr>
        <w:pStyle w:val="ListParagraph"/>
        <w:numPr>
          <w:ilvl w:val="0"/>
          <w:numId w:val="5"/>
        </w:numPr>
        <w:spacing w:line="279" w:lineRule="auto"/>
        <w:rPr>
          <w:sz w:val="20"/>
          <w:szCs w:val="20"/>
          <w:lang w:val="en-US"/>
        </w:rPr>
      </w:pPr>
      <w:r w:rsidRPr="00796B57">
        <w:rPr>
          <w:sz w:val="20"/>
          <w:szCs w:val="20"/>
          <w:lang w:val="en-US"/>
        </w:rPr>
        <w:t>Ensure that the principle of free, prior and informed consent is fully integrated into all legislation and practice affecting the Sámi people.</w:t>
      </w:r>
    </w:p>
    <w:p w14:paraId="247138B5" w14:textId="77777777" w:rsidR="00796B57" w:rsidRPr="00796B57" w:rsidRDefault="00796B57" w:rsidP="003B1B2C">
      <w:pPr>
        <w:pStyle w:val="ListParagraph"/>
        <w:numPr>
          <w:ilvl w:val="0"/>
          <w:numId w:val="5"/>
        </w:numPr>
        <w:spacing w:line="279" w:lineRule="auto"/>
        <w:rPr>
          <w:sz w:val="20"/>
          <w:szCs w:val="20"/>
          <w:lang w:val="en-US"/>
        </w:rPr>
      </w:pPr>
      <w:r w:rsidRPr="00796B57">
        <w:rPr>
          <w:sz w:val="20"/>
          <w:szCs w:val="20"/>
          <w:lang w:val="en-US"/>
        </w:rPr>
        <w:t>Ensure that consultation and participation mechanisms with the Sámi Parliament meet international standards, including the objective of obtaining consent.</w:t>
      </w:r>
    </w:p>
    <w:p w14:paraId="2699325A" w14:textId="77777777" w:rsidR="00796B57" w:rsidRPr="00796B57" w:rsidRDefault="00796B57" w:rsidP="003B1B2C">
      <w:pPr>
        <w:pStyle w:val="ListParagraph"/>
        <w:numPr>
          <w:ilvl w:val="0"/>
          <w:numId w:val="5"/>
        </w:numPr>
        <w:spacing w:line="279" w:lineRule="auto"/>
        <w:rPr>
          <w:sz w:val="20"/>
          <w:szCs w:val="20"/>
          <w:lang w:val="en-US"/>
        </w:rPr>
      </w:pPr>
      <w:r w:rsidRPr="00796B57">
        <w:rPr>
          <w:sz w:val="20"/>
          <w:szCs w:val="20"/>
          <w:lang w:val="en-US"/>
        </w:rPr>
        <w:t>Implement the proposals of the Sámi Truth and Reconciliation Commission.</w:t>
      </w:r>
    </w:p>
    <w:p w14:paraId="6D3DA7AB" w14:textId="30F975D5" w:rsidR="00796B57" w:rsidRPr="00E92305" w:rsidRDefault="00796B57" w:rsidP="003B1B2C">
      <w:pPr>
        <w:pStyle w:val="ListParagraph"/>
        <w:numPr>
          <w:ilvl w:val="0"/>
          <w:numId w:val="5"/>
        </w:numPr>
        <w:spacing w:line="279" w:lineRule="auto"/>
        <w:rPr>
          <w:sz w:val="20"/>
          <w:szCs w:val="20"/>
          <w:lang w:val="en-US"/>
        </w:rPr>
      </w:pPr>
      <w:r w:rsidRPr="00796B57">
        <w:rPr>
          <w:sz w:val="20"/>
          <w:szCs w:val="20"/>
          <w:lang w:val="en-US"/>
        </w:rPr>
        <w:lastRenderedPageBreak/>
        <w:t>Ensure that all land-use, extractive and climate transition projects planned in Sámi homeland area in Northern Finland are subject to robust human rights and cumulative impact assessments.</w:t>
      </w:r>
    </w:p>
    <w:p w14:paraId="3E5C3A9F" w14:textId="0CE27ECE" w:rsidR="00305D1B" w:rsidRPr="00BD7009" w:rsidRDefault="00305D1B" w:rsidP="00DF7C7E">
      <w:pPr>
        <w:pStyle w:val="BNumberedHeading"/>
      </w:pPr>
      <w:bookmarkStart w:id="20" w:name="_Toc233898097"/>
      <w:r w:rsidRPr="00DF7C7E">
        <w:t>RIGHT TO FREEDOM OF PEACEFUL ASSEMBLY (Article</w:t>
      </w:r>
      <w:r w:rsidR="003B146D" w:rsidRPr="00DF7C7E">
        <w:t>S 2 and</w:t>
      </w:r>
      <w:r w:rsidRPr="00DF7C7E">
        <w:t xml:space="preserve"> 5)</w:t>
      </w:r>
      <w:bookmarkEnd w:id="20"/>
    </w:p>
    <w:p w14:paraId="7341C6DE" w14:textId="77777777" w:rsidR="00305D1B" w:rsidRPr="00305D1B" w:rsidRDefault="00305D1B" w:rsidP="00BD7009">
      <w:pPr>
        <w:pStyle w:val="BNumberedSubheading"/>
      </w:pPr>
      <w:bookmarkStart w:id="21" w:name="_Toc233898098"/>
      <w:r w:rsidRPr="00305D1B">
        <w:t>Barriers to participation for racialised people</w:t>
      </w:r>
      <w:bookmarkEnd w:id="21"/>
    </w:p>
    <w:p w14:paraId="3D771C13" w14:textId="33BD68EE" w:rsidR="00305D1B" w:rsidRPr="00E92305" w:rsidRDefault="00305D1B" w:rsidP="00305D1B">
      <w:pPr>
        <w:pStyle w:val="BBodyText"/>
        <w:rPr>
          <w:sz w:val="20"/>
          <w:szCs w:val="20"/>
          <w:lang w:val="en-US" w:eastAsia="en-GB"/>
        </w:rPr>
      </w:pPr>
      <w:r w:rsidRPr="00E92305">
        <w:rPr>
          <w:sz w:val="20"/>
          <w:szCs w:val="20"/>
          <w:lang w:val="en-US" w:eastAsia="en-GB"/>
        </w:rPr>
        <w:t>Amnesty International is concerned that the right to freedom of peaceful assembly is not enjoyed equally by all in Finland. Interviews conducted in 2025 by Amnesty International Finland with individuals from diverse backgrounds suggest that BIPOC (Black, Indigenous, and People of Colour) and other racialized groups face multiple and intersecting barriers that prevent them from participating in civil society and exercising their right to freedom of peaceful assembly on an equal footing with the majority population.</w:t>
      </w:r>
      <w:r w:rsidRPr="00E92305">
        <w:rPr>
          <w:sz w:val="20"/>
          <w:szCs w:val="20"/>
          <w:vertAlign w:val="superscript"/>
          <w:lang w:val="fi-FI" w:eastAsia="en-GB"/>
        </w:rPr>
        <w:footnoteReference w:id="78"/>
      </w:r>
    </w:p>
    <w:p w14:paraId="1D7CCE42" w14:textId="77777777" w:rsidR="00305D1B" w:rsidRPr="00E92305" w:rsidRDefault="00305D1B" w:rsidP="00305D1B">
      <w:pPr>
        <w:pStyle w:val="BBodyText"/>
        <w:rPr>
          <w:sz w:val="20"/>
          <w:szCs w:val="20"/>
          <w:lang w:val="en-US" w:eastAsia="en-GB"/>
        </w:rPr>
      </w:pPr>
      <w:r w:rsidRPr="00E92305">
        <w:rPr>
          <w:sz w:val="20"/>
          <w:szCs w:val="20"/>
          <w:lang w:val="en-US" w:eastAsia="en-GB"/>
        </w:rPr>
        <w:t>Racism was consistently identified as a central factor shaping the interviewees’ experiences, influencing interactions with the police, the likelihood of being targeted during protests, and the overall sense of safety while protesting. Interviewees, especially those who are</w:t>
      </w:r>
      <w:r w:rsidRPr="00E92305" w:rsidDel="00856BDC">
        <w:rPr>
          <w:sz w:val="20"/>
          <w:szCs w:val="20"/>
          <w:lang w:val="en-US" w:eastAsia="en-GB"/>
        </w:rPr>
        <w:t xml:space="preserve"> </w:t>
      </w:r>
      <w:r w:rsidRPr="00E92305">
        <w:rPr>
          <w:sz w:val="20"/>
          <w:szCs w:val="20"/>
          <w:lang w:val="en-US" w:eastAsia="en-GB"/>
        </w:rPr>
        <w:t xml:space="preserve">BIPOC, also reported racist hate speech, harassment and threats in online environments. </w:t>
      </w:r>
    </w:p>
    <w:p w14:paraId="58018D25" w14:textId="77777777" w:rsidR="00305D1B" w:rsidRPr="00E92305" w:rsidRDefault="00305D1B" w:rsidP="00305D1B">
      <w:pPr>
        <w:pStyle w:val="BBodyText"/>
        <w:rPr>
          <w:sz w:val="20"/>
          <w:szCs w:val="20"/>
          <w:lang w:val="en-US" w:eastAsia="en-GB"/>
        </w:rPr>
      </w:pPr>
      <w:r w:rsidRPr="00E92305">
        <w:rPr>
          <w:sz w:val="20"/>
          <w:szCs w:val="20"/>
          <w:lang w:val="en-US" w:eastAsia="en-GB"/>
        </w:rPr>
        <w:t xml:space="preserve">People interviewed reported distrust towards the police, rooted in lived experiences and perceptions of systemic discrimination. Some interviewees perceived double standards; they believed that protests involving </w:t>
      </w:r>
      <w:proofErr w:type="spellStart"/>
      <w:r w:rsidRPr="00E92305">
        <w:rPr>
          <w:sz w:val="20"/>
          <w:szCs w:val="20"/>
          <w:lang w:val="en-US" w:eastAsia="en-GB"/>
        </w:rPr>
        <w:t>racialised</w:t>
      </w:r>
      <w:proofErr w:type="spellEnd"/>
      <w:r w:rsidRPr="00E92305">
        <w:rPr>
          <w:sz w:val="20"/>
          <w:szCs w:val="20"/>
          <w:lang w:val="en-US" w:eastAsia="en-GB"/>
        </w:rPr>
        <w:t xml:space="preserve"> or migrant communities were more likely to be restricted, dispersed, or met with arrests than those led by majority groups. </w:t>
      </w:r>
    </w:p>
    <w:p w14:paraId="4E90B61B" w14:textId="77777777" w:rsidR="00305D1B" w:rsidRPr="00E92305" w:rsidRDefault="00305D1B" w:rsidP="00305D1B">
      <w:pPr>
        <w:pStyle w:val="BBodyText"/>
        <w:rPr>
          <w:sz w:val="20"/>
          <w:szCs w:val="20"/>
          <w:lang w:val="en-US" w:eastAsia="en-GB"/>
        </w:rPr>
      </w:pPr>
      <w:r w:rsidRPr="00E92305">
        <w:rPr>
          <w:sz w:val="20"/>
          <w:szCs w:val="20"/>
          <w:lang w:val="en-US" w:eastAsia="en-GB"/>
        </w:rPr>
        <w:t>Individuals with insecure migration status reported that even minor encounters with police, including fines or arrest, could be potential risks to residence permit renewals or future citizenship applications. Recent political developments and legislative changes making residence permits and citizenship status harder to obtain, exacerbate these fears.</w:t>
      </w:r>
      <w:r w:rsidRPr="00E92305">
        <w:rPr>
          <w:sz w:val="20"/>
          <w:szCs w:val="20"/>
          <w:vertAlign w:val="superscript"/>
          <w:lang w:val="fi-FI" w:eastAsia="en-GB"/>
        </w:rPr>
        <w:footnoteReference w:id="79"/>
      </w:r>
      <w:r w:rsidRPr="00E92305">
        <w:rPr>
          <w:sz w:val="20"/>
          <w:szCs w:val="20"/>
          <w:lang w:val="en-US" w:eastAsia="en-GB"/>
        </w:rPr>
        <w:t xml:space="preserve"> Anticipation of unequal treatment and vulnerable legal status can contribute to a significant “chilling effect” on participation amongst certain groups.</w:t>
      </w:r>
    </w:p>
    <w:p w14:paraId="20A718B4" w14:textId="77777777" w:rsidR="00305D1B" w:rsidRPr="00E92305" w:rsidRDefault="00305D1B" w:rsidP="00305D1B">
      <w:pPr>
        <w:pStyle w:val="BBodyText"/>
        <w:rPr>
          <w:sz w:val="20"/>
          <w:szCs w:val="20"/>
          <w:lang w:val="en-US" w:eastAsia="en-GB"/>
        </w:rPr>
      </w:pPr>
      <w:r w:rsidRPr="00E92305">
        <w:rPr>
          <w:sz w:val="20"/>
          <w:szCs w:val="20"/>
          <w:lang w:val="en-US" w:eastAsia="en-GB"/>
        </w:rPr>
        <w:t>Furthermore, Amnesty International has, through protest observation</w:t>
      </w:r>
      <w:r w:rsidRPr="00E92305">
        <w:rPr>
          <w:sz w:val="20"/>
          <w:szCs w:val="20"/>
          <w:vertAlign w:val="superscript"/>
          <w:lang w:val="fi-FI" w:eastAsia="en-GB"/>
        </w:rPr>
        <w:footnoteReference w:id="80"/>
      </w:r>
      <w:r w:rsidRPr="00E92305">
        <w:rPr>
          <w:sz w:val="20"/>
          <w:szCs w:val="20"/>
          <w:lang w:val="en-US" w:eastAsia="en-GB"/>
        </w:rPr>
        <w:t xml:space="preserve"> and monitoring, noted inconsistencies in policing protest. Oversight bodies have corrected some overly restrictive police orders, but police’s wide discretionary powers may lead to inconsistent treatment of demonstrations. </w:t>
      </w:r>
    </w:p>
    <w:p w14:paraId="456B84A3" w14:textId="3C58216F" w:rsidR="00305D1B" w:rsidRPr="00E92305" w:rsidRDefault="00305D1B" w:rsidP="00305D1B">
      <w:pPr>
        <w:pStyle w:val="BBodyText"/>
        <w:rPr>
          <w:sz w:val="20"/>
          <w:szCs w:val="20"/>
          <w:lang w:val="en-US" w:eastAsia="en-GB"/>
        </w:rPr>
      </w:pPr>
      <w:r w:rsidRPr="00E92305">
        <w:rPr>
          <w:sz w:val="20"/>
          <w:szCs w:val="20"/>
          <w:lang w:val="en-US" w:eastAsia="en-GB"/>
        </w:rPr>
        <w:t>For example, in connection with demonstrations supporting far-right ideology and white supremacy organized by anti-rights groups, the police have sometimes restricted the right to freedom of peaceful assembly of counterprotesters by not allowing them to protest within sight and sound of their target or by using disproportionate force or summary arrests. In contrast, Amnesty International has observed at least two protests, where police failed to intervene in violence by participants of the anti-</w:t>
      </w:r>
      <w:proofErr w:type="gramStart"/>
      <w:r w:rsidRPr="00E92305">
        <w:rPr>
          <w:sz w:val="20"/>
          <w:szCs w:val="20"/>
          <w:lang w:val="en-US" w:eastAsia="en-GB"/>
        </w:rPr>
        <w:t>rights protest against</w:t>
      </w:r>
      <w:proofErr w:type="gramEnd"/>
      <w:r w:rsidRPr="00E92305">
        <w:rPr>
          <w:sz w:val="20"/>
          <w:szCs w:val="20"/>
          <w:lang w:val="en-US" w:eastAsia="en-GB"/>
        </w:rPr>
        <w:t xml:space="preserve"> counterprotesters or bystanders.</w:t>
      </w:r>
      <w:r w:rsidRPr="00E92305">
        <w:rPr>
          <w:sz w:val="20"/>
          <w:szCs w:val="20"/>
          <w:vertAlign w:val="superscript"/>
          <w:lang w:val="fi-FI" w:eastAsia="en-GB"/>
        </w:rPr>
        <w:footnoteReference w:id="81"/>
      </w:r>
      <w:r w:rsidRPr="00E92305">
        <w:rPr>
          <w:sz w:val="20"/>
          <w:szCs w:val="20"/>
          <w:lang w:val="en-US" w:eastAsia="en-GB"/>
        </w:rPr>
        <w:t xml:space="preserve"> </w:t>
      </w:r>
    </w:p>
    <w:p w14:paraId="48CC337C" w14:textId="77777777" w:rsidR="00305D1B" w:rsidRPr="00E92305" w:rsidRDefault="00305D1B" w:rsidP="00305D1B">
      <w:pPr>
        <w:pStyle w:val="BBodyText"/>
        <w:rPr>
          <w:sz w:val="20"/>
          <w:szCs w:val="20"/>
          <w:lang w:val="en-US" w:eastAsia="en-GB"/>
        </w:rPr>
      </w:pPr>
      <w:r w:rsidRPr="00E92305">
        <w:rPr>
          <w:sz w:val="20"/>
          <w:szCs w:val="20"/>
          <w:lang w:val="en-US" w:eastAsia="en-GB"/>
        </w:rPr>
        <w:lastRenderedPageBreak/>
        <w:t>Amnesty International also monitored more than a dozen protests held in solidarity with Palestinians. While most of these protests were protected by police where needed, Amnesty International documented three instances where unnecessary or disproportionate restrictions were imposed, or police have used disproportionate force in dispersal.</w:t>
      </w:r>
      <w:r w:rsidRPr="00E92305">
        <w:rPr>
          <w:sz w:val="20"/>
          <w:szCs w:val="20"/>
          <w:vertAlign w:val="superscript"/>
          <w:lang w:val="fi-FI" w:eastAsia="en-GB"/>
        </w:rPr>
        <w:footnoteReference w:id="82"/>
      </w:r>
      <w:r w:rsidRPr="00E92305">
        <w:rPr>
          <w:sz w:val="20"/>
          <w:szCs w:val="20"/>
          <w:lang w:val="en-US" w:eastAsia="en-GB"/>
        </w:rPr>
        <w:t xml:space="preserve"> </w:t>
      </w:r>
    </w:p>
    <w:p w14:paraId="5CE006D1" w14:textId="77777777" w:rsidR="00305D1B" w:rsidRPr="00E92305" w:rsidRDefault="00305D1B" w:rsidP="00305D1B">
      <w:pPr>
        <w:pStyle w:val="BBodyText"/>
        <w:rPr>
          <w:sz w:val="20"/>
          <w:szCs w:val="20"/>
          <w:lang w:val="en-US" w:eastAsia="en-GB"/>
        </w:rPr>
      </w:pPr>
      <w:r w:rsidRPr="00E92305">
        <w:rPr>
          <w:sz w:val="20"/>
          <w:szCs w:val="20"/>
          <w:lang w:val="en-US" w:eastAsia="en-GB"/>
        </w:rPr>
        <w:t>Amnesty International also monitored how in December 2022, police prohibited the use of Kurdish organizations’ flags in a demonstration where Kurdish activists participated, stating that they may provoke other groups.</w:t>
      </w:r>
      <w:r w:rsidRPr="00E92305">
        <w:rPr>
          <w:sz w:val="20"/>
          <w:szCs w:val="20"/>
          <w:vertAlign w:val="superscript"/>
          <w:lang w:val="fi-FI" w:eastAsia="en-GB"/>
        </w:rPr>
        <w:footnoteReference w:id="83"/>
      </w:r>
      <w:r w:rsidRPr="00E92305">
        <w:rPr>
          <w:sz w:val="20"/>
          <w:szCs w:val="20"/>
          <w:lang w:val="en-US" w:eastAsia="en-GB"/>
        </w:rPr>
        <w:t xml:space="preserve"> Activists complained that the ban was political,</w:t>
      </w:r>
      <w:r w:rsidRPr="00E92305">
        <w:rPr>
          <w:sz w:val="20"/>
          <w:szCs w:val="20"/>
          <w:vertAlign w:val="superscript"/>
          <w:lang w:val="fi-FI" w:eastAsia="en-GB"/>
        </w:rPr>
        <w:footnoteReference w:id="84"/>
      </w:r>
      <w:r w:rsidRPr="00E92305">
        <w:rPr>
          <w:sz w:val="20"/>
          <w:szCs w:val="20"/>
          <w:lang w:val="en-US" w:eastAsia="en-GB"/>
        </w:rPr>
        <w:t xml:space="preserve"> and breached the rights to freedom of peaceful assembly and expression. The Helsinki Administrative Court concluded that the police department had acted within their discretionary powers.</w:t>
      </w:r>
      <w:r w:rsidRPr="00E92305">
        <w:rPr>
          <w:sz w:val="20"/>
          <w:szCs w:val="20"/>
          <w:vertAlign w:val="superscript"/>
          <w:lang w:val="fi-FI" w:eastAsia="en-GB"/>
        </w:rPr>
        <w:footnoteReference w:id="85"/>
      </w:r>
      <w:r w:rsidRPr="00E92305">
        <w:rPr>
          <w:sz w:val="20"/>
          <w:szCs w:val="20"/>
          <w:lang w:val="en-US" w:eastAsia="en-GB"/>
        </w:rPr>
        <w:t xml:space="preserve"> In a  protest organized by Kurdish activists in March 2023, police confiscated an effigy of the Turkish President and filed a criminal complaint on defamation, which was soon closed.</w:t>
      </w:r>
      <w:r w:rsidRPr="00E92305">
        <w:rPr>
          <w:sz w:val="20"/>
          <w:szCs w:val="20"/>
          <w:vertAlign w:val="superscript"/>
          <w:lang w:val="fi-FI" w:eastAsia="en-GB"/>
        </w:rPr>
        <w:footnoteReference w:id="86"/>
      </w:r>
      <w:r w:rsidRPr="00E92305">
        <w:rPr>
          <w:sz w:val="20"/>
          <w:szCs w:val="20"/>
          <w:lang w:val="en-US" w:eastAsia="en-GB"/>
        </w:rPr>
        <w:t xml:space="preserve"> The NPB stated in May 2024 that this police action lacked legal basis.</w:t>
      </w:r>
      <w:r w:rsidRPr="00E92305">
        <w:rPr>
          <w:sz w:val="20"/>
          <w:szCs w:val="20"/>
          <w:vertAlign w:val="superscript"/>
          <w:lang w:val="fi-FI" w:eastAsia="en-GB"/>
        </w:rPr>
        <w:footnoteReference w:id="87"/>
      </w:r>
      <w:r w:rsidRPr="00E92305">
        <w:rPr>
          <w:sz w:val="20"/>
          <w:szCs w:val="20"/>
          <w:lang w:val="en-US" w:eastAsia="en-GB"/>
        </w:rPr>
        <w:t xml:space="preserve"> </w:t>
      </w:r>
    </w:p>
    <w:p w14:paraId="0281842B" w14:textId="77777777" w:rsidR="00305D1B" w:rsidRPr="00305D1B" w:rsidRDefault="00305D1B" w:rsidP="00305D1B">
      <w:pPr>
        <w:pStyle w:val="BBodyText"/>
        <w:rPr>
          <w:lang w:val="en-US" w:eastAsia="en-GB"/>
        </w:rPr>
      </w:pPr>
    </w:p>
    <w:p w14:paraId="197279E9" w14:textId="77777777" w:rsidR="00305D1B" w:rsidRDefault="00305D1B" w:rsidP="00BD7009">
      <w:pPr>
        <w:pStyle w:val="BNumberedSubheading"/>
      </w:pPr>
      <w:bookmarkStart w:id="24" w:name="_Toc233898099"/>
      <w:r w:rsidRPr="00305D1B">
        <w:t>Recommendations to the Finnish government</w:t>
      </w:r>
      <w:bookmarkEnd w:id="24"/>
    </w:p>
    <w:p w14:paraId="33243486" w14:textId="04C95B48" w:rsidR="00305D1B" w:rsidRPr="00305D1B" w:rsidRDefault="00305D1B" w:rsidP="00305D1B">
      <w:pPr>
        <w:pStyle w:val="BBodyText"/>
        <w:rPr>
          <w:bCs w:val="0"/>
          <w:sz w:val="20"/>
          <w:szCs w:val="20"/>
          <w:lang w:eastAsia="en-GB"/>
        </w:rPr>
      </w:pPr>
      <w:r w:rsidRPr="00305D1B">
        <w:rPr>
          <w:bCs w:val="0"/>
          <w:sz w:val="20"/>
          <w:szCs w:val="20"/>
          <w:lang w:eastAsia="en-GB"/>
        </w:rPr>
        <w:t>Amnesty International is calling on authorities in Finland to:</w:t>
      </w:r>
    </w:p>
    <w:p w14:paraId="57BBAE65" w14:textId="77777777" w:rsidR="00305D1B" w:rsidRPr="00305D1B" w:rsidRDefault="00305D1B" w:rsidP="003B1B2C">
      <w:pPr>
        <w:pStyle w:val="BBodyText"/>
        <w:numPr>
          <w:ilvl w:val="0"/>
          <w:numId w:val="6"/>
        </w:numPr>
        <w:rPr>
          <w:sz w:val="20"/>
          <w:szCs w:val="20"/>
          <w:lang w:val="en-US" w:eastAsia="en-GB"/>
        </w:rPr>
      </w:pPr>
      <w:r w:rsidRPr="00305D1B">
        <w:rPr>
          <w:sz w:val="20"/>
          <w:szCs w:val="20"/>
          <w:lang w:val="en-US" w:eastAsia="en-GB"/>
        </w:rPr>
        <w:t>Respect, protect and fulfil the right to freedom of peaceful assembly without discrimination of any kind, and ensure that no group is subjected to stricter policing based on their actual or presumed identity, such as ethnic background, religion, nationality, gender or sexual orientation.</w:t>
      </w:r>
    </w:p>
    <w:p w14:paraId="561E2EDC" w14:textId="77777777" w:rsidR="00305D1B" w:rsidRPr="00305D1B" w:rsidRDefault="00305D1B" w:rsidP="003B1B2C">
      <w:pPr>
        <w:pStyle w:val="BBodyText"/>
        <w:numPr>
          <w:ilvl w:val="0"/>
          <w:numId w:val="6"/>
        </w:numPr>
        <w:rPr>
          <w:sz w:val="20"/>
          <w:szCs w:val="20"/>
          <w:lang w:val="en-US" w:eastAsia="en-GB"/>
        </w:rPr>
      </w:pPr>
      <w:r w:rsidRPr="00305D1B">
        <w:rPr>
          <w:sz w:val="20"/>
          <w:szCs w:val="20"/>
          <w:lang w:val="en-US" w:eastAsia="en-GB"/>
        </w:rPr>
        <w:t>Take measures to remove obstacles to the exercise of the right to freedom of peaceful assembly, including by addressing structural racism and other forms of discrimination.</w:t>
      </w:r>
    </w:p>
    <w:p w14:paraId="5EF8836A" w14:textId="77777777" w:rsidR="00305D1B" w:rsidRPr="00305D1B" w:rsidRDefault="00305D1B" w:rsidP="003B1B2C">
      <w:pPr>
        <w:pStyle w:val="BBodyText"/>
        <w:numPr>
          <w:ilvl w:val="0"/>
          <w:numId w:val="6"/>
        </w:numPr>
        <w:rPr>
          <w:sz w:val="20"/>
          <w:szCs w:val="20"/>
          <w:lang w:val="en-US" w:eastAsia="en-GB"/>
        </w:rPr>
      </w:pPr>
      <w:r w:rsidRPr="00305D1B">
        <w:rPr>
          <w:sz w:val="20"/>
          <w:szCs w:val="20"/>
          <w:lang w:val="en-US" w:eastAsia="en-GB"/>
        </w:rPr>
        <w:t>Guarantee that the exercise of all human rights, such as participating in a peaceful protest, does not negatively impact immigration processes, including an individual's residence permit process or citizenship application.</w:t>
      </w:r>
    </w:p>
    <w:p w14:paraId="24B80E75" w14:textId="751E7C29" w:rsidR="005536F0" w:rsidRPr="00242DCE" w:rsidRDefault="00305D1B" w:rsidP="003B1B2C">
      <w:pPr>
        <w:pStyle w:val="BBodyText"/>
        <w:numPr>
          <w:ilvl w:val="0"/>
          <w:numId w:val="6"/>
        </w:numPr>
        <w:rPr>
          <w:sz w:val="20"/>
          <w:szCs w:val="20"/>
          <w:lang w:val="en-US" w:eastAsia="en-GB"/>
        </w:rPr>
      </w:pPr>
      <w:r w:rsidRPr="00305D1B">
        <w:rPr>
          <w:sz w:val="20"/>
          <w:szCs w:val="20"/>
          <w:lang w:val="en-US" w:eastAsia="en-GB"/>
        </w:rPr>
        <w:t>Ensure that police guidelines and training focus on equal treatment of all people participating in assemblies and on recognizing vulnerabilities that may hinder participation, and</w:t>
      </w:r>
      <w:r w:rsidRPr="00305D1B">
        <w:rPr>
          <w:sz w:val="20"/>
          <w:szCs w:val="20"/>
          <w:u w:val="single"/>
          <w:lang w:val="en-US" w:eastAsia="en-GB"/>
        </w:rPr>
        <w:t xml:space="preserve"> </w:t>
      </w:r>
      <w:r w:rsidRPr="00305D1B">
        <w:rPr>
          <w:sz w:val="20"/>
          <w:szCs w:val="20"/>
          <w:lang w:val="en-US" w:eastAsia="en-GB"/>
        </w:rPr>
        <w:lastRenderedPageBreak/>
        <w:t>robust internal monitoring and administrative enforcement procedures to ensure guidelines are followed by all officers.</w:t>
      </w:r>
    </w:p>
    <w:p w14:paraId="440F66BC" w14:textId="2D152D38" w:rsidR="005536F0" w:rsidRPr="00242DCE" w:rsidRDefault="005536F0" w:rsidP="00242DCE">
      <w:pPr>
        <w:pStyle w:val="BNumberedHeading"/>
      </w:pPr>
      <w:bookmarkStart w:id="25" w:name="_Toc233898100"/>
      <w:r w:rsidRPr="00242DCE">
        <w:t xml:space="preserve">RIGHTS OF ASYLUM SEEKERS, REFUGEES AND MIGRANTS </w:t>
      </w:r>
      <w:r w:rsidR="008B41F9">
        <w:t>(ARTICLES 2-7)</w:t>
      </w:r>
      <w:bookmarkEnd w:id="25"/>
    </w:p>
    <w:p w14:paraId="1DE51809" w14:textId="37234E69" w:rsidR="005536F0" w:rsidRPr="00242DCE" w:rsidRDefault="005536F0" w:rsidP="005536F0">
      <w:pPr>
        <w:rPr>
          <w:rFonts w:asciiTheme="minorHAnsi" w:hAnsiTheme="minorHAnsi"/>
          <w:lang w:val="en-US"/>
        </w:rPr>
      </w:pPr>
      <w:r w:rsidRPr="00242DCE">
        <w:rPr>
          <w:rFonts w:asciiTheme="minorHAnsi" w:hAnsiTheme="minorHAnsi"/>
          <w:lang w:val="en-US"/>
        </w:rPr>
        <w:t>Since the last periodic review of Finland, restrictions on the rights of refugees, asylum seekers</w:t>
      </w:r>
      <w:r w:rsidRPr="00242DCE" w:rsidDel="004835AB">
        <w:rPr>
          <w:rFonts w:asciiTheme="minorHAnsi" w:hAnsiTheme="minorHAnsi"/>
          <w:lang w:val="en-US"/>
        </w:rPr>
        <w:t xml:space="preserve"> and migrants</w:t>
      </w:r>
      <w:r w:rsidRPr="00242DCE">
        <w:rPr>
          <w:rFonts w:asciiTheme="minorHAnsi" w:hAnsiTheme="minorHAnsi"/>
          <w:lang w:val="en-US"/>
        </w:rPr>
        <w:t xml:space="preserve"> have increased sharply even though the number of people seeking asylum during the last 12 months has diminished to only about 2500.</w:t>
      </w:r>
      <w:r w:rsidRPr="00242DCE">
        <w:rPr>
          <w:rStyle w:val="FootnoteReference"/>
          <w:rFonts w:asciiTheme="minorHAnsi" w:hAnsiTheme="minorHAnsi"/>
          <w:lang w:val="en-US"/>
        </w:rPr>
        <w:footnoteReference w:id="88"/>
      </w:r>
    </w:p>
    <w:p w14:paraId="59EAA7BB" w14:textId="77777777" w:rsidR="00242DCE" w:rsidRDefault="00242DCE" w:rsidP="005536F0">
      <w:pPr>
        <w:rPr>
          <w:rFonts w:asciiTheme="minorHAnsi" w:hAnsiTheme="minorHAnsi"/>
          <w:b/>
          <w:lang w:val="en-US"/>
        </w:rPr>
      </w:pPr>
    </w:p>
    <w:p w14:paraId="78D7CDA9" w14:textId="2FA887FC" w:rsidR="005536F0" w:rsidRPr="00242DCE" w:rsidRDefault="005536F0" w:rsidP="00BD7009">
      <w:pPr>
        <w:pStyle w:val="BNumberedSubheading"/>
      </w:pPr>
      <w:bookmarkStart w:id="26" w:name="_Toc233898101"/>
      <w:r w:rsidRPr="00242DCE">
        <w:t>Access to fair asylum procedure and non-refoulement</w:t>
      </w:r>
      <w:bookmarkEnd w:id="26"/>
      <w:r w:rsidRPr="00242DCE">
        <w:t xml:space="preserve"> </w:t>
      </w:r>
    </w:p>
    <w:p w14:paraId="09F9B5AC" w14:textId="77777777" w:rsidR="005536F0" w:rsidRPr="00242DCE" w:rsidRDefault="005536F0" w:rsidP="00242DCE">
      <w:pPr>
        <w:spacing w:after="100"/>
        <w:rPr>
          <w:rFonts w:asciiTheme="minorHAnsi" w:hAnsiTheme="minorHAnsi"/>
          <w:lang w:val="en-US"/>
        </w:rPr>
      </w:pPr>
      <w:r w:rsidRPr="00242DCE">
        <w:rPr>
          <w:rFonts w:asciiTheme="minorHAnsi" w:eastAsia="Aptos" w:hAnsiTheme="minorHAnsi" w:cs="Aptos"/>
          <w:lang w:val="en-US"/>
        </w:rPr>
        <w:t xml:space="preserve">Amnesty International is concerned that legislative changes to the Aliens’ Act from 2015-2019 continue to place asylum seekers at risk of human rights violations such as refoulement. </w:t>
      </w:r>
      <w:r w:rsidRPr="00242DCE">
        <w:rPr>
          <w:rFonts w:asciiTheme="minorHAnsi" w:eastAsiaTheme="minorEastAsia" w:hAnsiTheme="minorHAnsi" w:cstheme="minorBidi"/>
          <w:color w:val="auto"/>
          <w:lang w:val="en-US"/>
        </w:rPr>
        <w:t>Measures introduced include limitations to the right to appeal to the Supreme Administrative Court, the right to choose one’s preferred legal adviser in the asylum determination process as well as the suspensive effect of subsequent asylum applications. Also, a heightened threshold for admissibility of the first subsequent asylum application was set.</w:t>
      </w:r>
      <w:r w:rsidRPr="00242DCE">
        <w:rPr>
          <w:rFonts w:asciiTheme="minorHAnsi" w:eastAsia="Segoe UI" w:hAnsiTheme="minorHAnsi" w:cs="Segoe UI"/>
          <w:color w:val="242424"/>
          <w:lang w:val="en-US"/>
        </w:rPr>
        <w:t xml:space="preserve"> </w:t>
      </w:r>
      <w:r w:rsidRPr="00242DCE">
        <w:rPr>
          <w:rFonts w:asciiTheme="minorHAnsi" w:eastAsia="Aptos" w:hAnsiTheme="minorHAnsi" w:cs="Aptos"/>
          <w:lang w:val="en-US"/>
        </w:rPr>
        <w:t>These amendments restricted asylum seekers’ right to a fair asylum procedure and to an effective remedy, increasing the risks of forcible returns in violation of the principle of non-refoulement.</w:t>
      </w:r>
      <w:r w:rsidRPr="00242DCE">
        <w:rPr>
          <w:rStyle w:val="FootnoteReference"/>
          <w:rFonts w:asciiTheme="minorHAnsi" w:eastAsia="Aptos" w:hAnsiTheme="minorHAnsi" w:cs="Aptos"/>
          <w:lang w:val="en-US"/>
        </w:rPr>
        <w:footnoteReference w:id="89"/>
      </w:r>
      <w:r w:rsidRPr="00242DCE">
        <w:rPr>
          <w:rFonts w:asciiTheme="minorHAnsi" w:eastAsia="Aptos" w:hAnsiTheme="minorHAnsi" w:cs="Aptos"/>
          <w:lang w:val="en-US"/>
        </w:rPr>
        <w:t xml:space="preserve"> Moreover, the current Government programme includes various measures to weaken asylum seekers’ legal protection, many of which have already been implemented (as mentioned below). </w:t>
      </w:r>
    </w:p>
    <w:p w14:paraId="4BBB42E7" w14:textId="77777777" w:rsidR="005536F0" w:rsidRPr="00242DCE" w:rsidRDefault="005536F0" w:rsidP="00242DCE">
      <w:pPr>
        <w:spacing w:after="100"/>
        <w:rPr>
          <w:rFonts w:asciiTheme="minorHAnsi" w:hAnsiTheme="minorHAnsi"/>
          <w:vertAlign w:val="superscript"/>
          <w:lang w:val="en-US"/>
        </w:rPr>
      </w:pPr>
      <w:r w:rsidRPr="00242DCE">
        <w:rPr>
          <w:rFonts w:asciiTheme="minorHAnsi" w:hAnsiTheme="minorHAnsi"/>
          <w:lang w:val="en-US"/>
        </w:rPr>
        <w:t xml:space="preserve">The current government has issued an unprecedented </w:t>
      </w:r>
      <w:r w:rsidRPr="00242DCE" w:rsidDel="2FA94EDC">
        <w:rPr>
          <w:rFonts w:asciiTheme="minorHAnsi" w:hAnsiTheme="minorHAnsi"/>
          <w:lang w:val="en-US"/>
        </w:rPr>
        <w:t>number</w:t>
      </w:r>
      <w:r w:rsidRPr="00242DCE">
        <w:rPr>
          <w:rFonts w:asciiTheme="minorHAnsi" w:hAnsiTheme="minorHAnsi"/>
          <w:lang w:val="en-US"/>
        </w:rPr>
        <w:t xml:space="preserve"> of legislative restrictions on the rights of refugees, asylum seekers and migrants - at least 13 amendments only within the Ministry of Interior’s administrative sector and more in other sectors such as employment and economy as well as health and social affairs, all proposals including several legal amendments. </w:t>
      </w:r>
      <w:r w:rsidRPr="00242DCE">
        <w:rPr>
          <w:rFonts w:asciiTheme="minorHAnsi" w:eastAsiaTheme="minorEastAsia" w:hAnsiTheme="minorHAnsi" w:cstheme="minorBidi"/>
          <w:color w:val="auto"/>
          <w:lang w:val="en-US"/>
        </w:rPr>
        <w:t xml:space="preserve">The </w:t>
      </w:r>
      <w:r w:rsidRPr="00242DCE">
        <w:rPr>
          <w:rFonts w:asciiTheme="minorHAnsi" w:eastAsiaTheme="minorEastAsia" w:hAnsiTheme="minorHAnsi"/>
          <w:lang w:val="en-US"/>
        </w:rPr>
        <w:t>restrictions</w:t>
      </w:r>
      <w:r w:rsidRPr="00242DCE">
        <w:rPr>
          <w:rFonts w:asciiTheme="minorHAnsi" w:eastAsiaTheme="minorEastAsia" w:hAnsiTheme="minorHAnsi" w:cstheme="minorBidi"/>
          <w:color w:val="auto"/>
          <w:lang w:val="en-US"/>
        </w:rPr>
        <w:t xml:space="preserve"> include, among others, reducing the duration of international protection permits, preventing asylum seekers from switching to education or work-based procedures, tightening family reunification and expanding the requirements to obtain permanent residence</w:t>
      </w:r>
      <w:r w:rsidRPr="00242DCE">
        <w:rPr>
          <w:rFonts w:asciiTheme="minorHAnsi" w:eastAsiaTheme="minorEastAsia" w:hAnsiTheme="minorHAnsi"/>
          <w:lang w:val="en-US"/>
        </w:rPr>
        <w:t>.</w:t>
      </w:r>
      <w:r w:rsidRPr="00242DCE">
        <w:rPr>
          <w:rStyle w:val="FootnoteReference"/>
          <w:rFonts w:asciiTheme="minorHAnsi" w:hAnsiTheme="minorHAnsi"/>
          <w:lang w:val="en-US"/>
        </w:rPr>
        <w:footnoteReference w:id="90"/>
      </w:r>
    </w:p>
    <w:p w14:paraId="6A027354" w14:textId="4DE9F879" w:rsidR="005536F0" w:rsidRPr="00242DCE" w:rsidRDefault="005536F0" w:rsidP="00242DCE">
      <w:pPr>
        <w:spacing w:after="100"/>
        <w:rPr>
          <w:rFonts w:asciiTheme="minorHAnsi" w:hAnsiTheme="minorHAnsi"/>
          <w:vertAlign w:val="superscript"/>
          <w:lang w:val="en-US"/>
        </w:rPr>
      </w:pPr>
      <w:r w:rsidRPr="00242DCE">
        <w:rPr>
          <w:rFonts w:asciiTheme="minorHAnsi" w:eastAsiaTheme="minorEastAsia" w:hAnsiTheme="minorHAnsi" w:cstheme="minorBidi"/>
          <w:color w:val="auto"/>
          <w:lang w:val="en-US"/>
        </w:rPr>
        <w:t xml:space="preserve">The new measures introduced by the </w:t>
      </w:r>
      <w:r w:rsidRPr="00242DCE">
        <w:rPr>
          <w:rFonts w:asciiTheme="minorHAnsi" w:eastAsiaTheme="minorEastAsia" w:hAnsiTheme="minorHAnsi"/>
          <w:lang w:val="en-US"/>
        </w:rPr>
        <w:t>g</w:t>
      </w:r>
      <w:r w:rsidRPr="00242DCE">
        <w:rPr>
          <w:rFonts w:asciiTheme="minorHAnsi" w:eastAsiaTheme="minorEastAsia" w:hAnsiTheme="minorHAnsi" w:cstheme="minorBidi"/>
          <w:color w:val="auto"/>
          <w:lang w:val="en-US"/>
        </w:rPr>
        <w:t xml:space="preserve">overnment create obstacles to accessing asylum and raise the bar for migrants' long-term residence and social inclusion in </w:t>
      </w:r>
      <w:r w:rsidRPr="00242DCE">
        <w:rPr>
          <w:rFonts w:asciiTheme="minorHAnsi" w:eastAsiaTheme="minorEastAsia" w:hAnsiTheme="minorHAnsi"/>
          <w:lang w:val="en-US"/>
        </w:rPr>
        <w:t>F</w:t>
      </w:r>
      <w:r w:rsidRPr="00242DCE">
        <w:rPr>
          <w:rFonts w:asciiTheme="minorHAnsi" w:eastAsiaTheme="minorEastAsia" w:hAnsiTheme="minorHAnsi" w:cstheme="minorBidi"/>
          <w:color w:val="auto"/>
          <w:lang w:val="en-US"/>
        </w:rPr>
        <w:t>inland</w:t>
      </w:r>
      <w:r w:rsidRPr="00242DCE">
        <w:rPr>
          <w:rFonts w:asciiTheme="minorHAnsi" w:hAnsiTheme="minorHAnsi"/>
          <w:lang w:val="en-US"/>
        </w:rPr>
        <w:t>. The legislative amendments have been passed without assessing their cumulative and joint impact. However, as they include new means to refuse residence permits, restrict the possibility to apply for a residence permit on different grounds if a person has first applied for asylum, and restrict granting a residence permit in case of a previous irregular stay, there is a high risk that  these changes will increase the number of undocumented people in Finland.</w:t>
      </w:r>
      <w:r w:rsidRPr="00242DCE">
        <w:rPr>
          <w:rStyle w:val="FootnoteReference"/>
          <w:rFonts w:asciiTheme="minorHAnsi" w:hAnsiTheme="minorHAnsi"/>
        </w:rPr>
        <w:footnoteReference w:id="91"/>
      </w:r>
    </w:p>
    <w:p w14:paraId="7B0F4E6E" w14:textId="01B9877A" w:rsidR="005536F0" w:rsidRPr="00242DCE" w:rsidRDefault="005536F0" w:rsidP="00242DCE">
      <w:pPr>
        <w:spacing w:after="100"/>
        <w:rPr>
          <w:rFonts w:asciiTheme="minorHAnsi" w:hAnsiTheme="minorHAnsi"/>
          <w:lang w:val="en-US"/>
        </w:rPr>
      </w:pPr>
      <w:r w:rsidRPr="00242DCE">
        <w:rPr>
          <w:rFonts w:asciiTheme="minorHAnsi" w:hAnsiTheme="minorHAnsi"/>
          <w:lang w:val="en-US"/>
        </w:rPr>
        <w:t xml:space="preserve">These reforms are also likely to increase asylum seekers’ risk of being subjected to refoulement as they have eroded procedural rights in the context of asylum procedures. For example, removing the obligation to review the transcript of the asylum </w:t>
      </w:r>
      <w:r w:rsidRPr="00213B3D">
        <w:rPr>
          <w:rFonts w:asciiTheme="minorHAnsi" w:hAnsiTheme="minorHAnsi"/>
          <w:lang w:val="en-US"/>
        </w:rPr>
        <w:t>interview at the end of the interview</w:t>
      </w:r>
      <w:r w:rsidR="00BA5E82" w:rsidRPr="00213B3D">
        <w:rPr>
          <w:rStyle w:val="FootnoteReference"/>
          <w:rFonts w:asciiTheme="minorHAnsi" w:hAnsiTheme="minorHAnsi"/>
          <w:lang w:val="en-US"/>
        </w:rPr>
        <w:footnoteReference w:id="92"/>
      </w:r>
      <w:r w:rsidRPr="00213B3D">
        <w:rPr>
          <w:rFonts w:asciiTheme="minorHAnsi" w:hAnsiTheme="minorHAnsi"/>
          <w:lang w:val="en-US"/>
        </w:rPr>
        <w:t xml:space="preserve"> risks</w:t>
      </w:r>
      <w:r w:rsidRPr="00242DCE">
        <w:rPr>
          <w:rFonts w:asciiTheme="minorHAnsi" w:hAnsiTheme="minorHAnsi"/>
          <w:lang w:val="en-US"/>
        </w:rPr>
        <w:t xml:space="preserve"> incorrect or incomplete asylum interview transcripts in determining the asylum claim together with a below elaborated change to </w:t>
      </w:r>
      <w:r w:rsidRPr="00242DCE">
        <w:rPr>
          <w:rFonts w:asciiTheme="minorHAnsi" w:hAnsiTheme="minorHAnsi"/>
          <w:lang w:val="en-US"/>
        </w:rPr>
        <w:lastRenderedPageBreak/>
        <w:t>provide free legal aid only to indispensable measures which might hinder the asylum seeker’s possibility to check the transcript with a lawyer.</w:t>
      </w:r>
    </w:p>
    <w:p w14:paraId="1540C7E7" w14:textId="5D25D0CC" w:rsidR="005536F0" w:rsidRPr="00242DCE" w:rsidRDefault="005536F0" w:rsidP="00242DCE">
      <w:pPr>
        <w:spacing w:after="100"/>
        <w:rPr>
          <w:rFonts w:asciiTheme="minorHAnsi" w:hAnsiTheme="minorHAnsi"/>
          <w:lang w:val="en-US"/>
        </w:rPr>
      </w:pPr>
      <w:r w:rsidRPr="00242DCE">
        <w:rPr>
          <w:rFonts w:asciiTheme="minorHAnsi" w:hAnsiTheme="minorHAnsi"/>
          <w:lang w:val="en-US"/>
        </w:rPr>
        <w:t xml:space="preserve">The parliament recently adopted further legal amendment </w:t>
      </w:r>
      <w:r w:rsidRPr="00242DCE" w:rsidDel="505255B7">
        <w:rPr>
          <w:rFonts w:asciiTheme="minorHAnsi" w:hAnsiTheme="minorHAnsi"/>
          <w:lang w:val="en-US"/>
        </w:rPr>
        <w:t>facilitating the</w:t>
      </w:r>
      <w:r w:rsidRPr="00242DCE">
        <w:rPr>
          <w:rFonts w:asciiTheme="minorHAnsi" w:hAnsiTheme="minorHAnsi"/>
          <w:lang w:val="en-US"/>
        </w:rPr>
        <w:t xml:space="preserve"> expulsion of people who have lived in Finland under certain residence permits. </w:t>
      </w:r>
      <w:r w:rsidRPr="00242DCE">
        <w:rPr>
          <w:rFonts w:asciiTheme="minorHAnsi" w:eastAsia="Aptos" w:hAnsiTheme="minorHAnsi" w:cs="Aptos"/>
          <w:color w:val="0F0F0F"/>
          <w:lang w:val="en-US"/>
        </w:rPr>
        <w:t xml:space="preserve">An appeal against an expulsion decision for people whose residence permits (with the exclusion of residence permits issued based on international protection needs) have been withdrawn or have not been </w:t>
      </w:r>
      <w:r w:rsidRPr="00242DCE">
        <w:rPr>
          <w:rFonts w:asciiTheme="minorHAnsi" w:hAnsiTheme="minorHAnsi"/>
          <w:lang w:val="en-US"/>
        </w:rPr>
        <w:t xml:space="preserve">extended, </w:t>
      </w:r>
      <w:r w:rsidRPr="00242DCE">
        <w:rPr>
          <w:rFonts w:asciiTheme="minorHAnsi" w:eastAsia="Aptos" w:hAnsiTheme="minorHAnsi" w:cs="Aptos"/>
          <w:color w:val="0F0F0F"/>
          <w:lang w:val="en-US"/>
        </w:rPr>
        <w:t>no longer automatically postpones or prevents the enforcement of the decision.</w:t>
      </w:r>
      <w:r w:rsidRPr="00242DCE">
        <w:rPr>
          <w:rFonts w:asciiTheme="minorHAnsi" w:eastAsia="Aptos" w:hAnsiTheme="minorHAnsi" w:cs="Aptos"/>
          <w:color w:val="0F0F0F"/>
          <w:vertAlign w:val="superscript"/>
        </w:rPr>
        <w:footnoteReference w:id="93"/>
      </w:r>
      <w:r w:rsidRPr="00242DCE">
        <w:rPr>
          <w:rFonts w:asciiTheme="minorHAnsi" w:hAnsiTheme="minorHAnsi"/>
          <w:vertAlign w:val="superscript"/>
          <w:lang w:val="en-US"/>
        </w:rPr>
        <w:t xml:space="preserve"> </w:t>
      </w:r>
    </w:p>
    <w:p w14:paraId="714198CB" w14:textId="267C1045" w:rsidR="005536F0" w:rsidRPr="00242DCE" w:rsidRDefault="005536F0" w:rsidP="00242DCE">
      <w:pPr>
        <w:spacing w:after="100"/>
        <w:rPr>
          <w:rFonts w:asciiTheme="minorHAnsi" w:eastAsia="Segoe UI" w:hAnsiTheme="minorHAnsi" w:cs="Segoe UI"/>
          <w:color w:val="242424"/>
          <w:lang w:val="en-US"/>
        </w:rPr>
      </w:pPr>
      <w:r w:rsidRPr="00242DCE">
        <w:rPr>
          <w:rFonts w:asciiTheme="minorHAnsi" w:hAnsiTheme="minorHAnsi"/>
          <w:lang w:val="en-US"/>
        </w:rPr>
        <w:t>Also, within the national implementation of the EU pact on migration and asylum (EU pact), free legal aid for asylum seekers in the administrative stage would be restricted to indispensable measures which is a higher threshold compared to that of all other people to whom free legal aid is provided for necessary measures.</w:t>
      </w:r>
      <w:r w:rsidRPr="00242DCE">
        <w:rPr>
          <w:rStyle w:val="FootnoteReference"/>
          <w:rFonts w:asciiTheme="minorHAnsi" w:hAnsiTheme="minorHAnsi"/>
          <w:lang w:val="en-US"/>
        </w:rPr>
        <w:footnoteReference w:id="94"/>
      </w:r>
      <w:r w:rsidRPr="00242DCE">
        <w:rPr>
          <w:rStyle w:val="FootnoteReference"/>
          <w:rFonts w:asciiTheme="minorHAnsi" w:hAnsiTheme="minorHAnsi"/>
          <w:lang w:val="en-US"/>
        </w:rPr>
        <w:t xml:space="preserve">  </w:t>
      </w:r>
      <w:r w:rsidRPr="00242DCE">
        <w:rPr>
          <w:rStyle w:val="FootnoteReference"/>
          <w:rFonts w:asciiTheme="minorHAnsi" w:hAnsiTheme="minorHAnsi"/>
          <w:vertAlign w:val="baseline"/>
          <w:lang w:val="en-US"/>
        </w:rPr>
        <w:t>The implementation proposal specifies that legal aid offices would need to</w:t>
      </w:r>
      <w:r w:rsidRPr="00242DCE">
        <w:rPr>
          <w:rFonts w:asciiTheme="minorHAnsi" w:eastAsia="Segoe UI" w:hAnsiTheme="minorHAnsi" w:cs="Segoe UI"/>
          <w:color w:val="242424"/>
          <w:lang w:val="en-US"/>
        </w:rPr>
        <w:t xml:space="preserve"> make an assessment of the measure's indispensability within each measure they provide instead of simply assessing whether the measure is justified.</w:t>
      </w:r>
      <w:r w:rsidRPr="00242DCE">
        <w:rPr>
          <w:rStyle w:val="FootnoteReference"/>
          <w:rFonts w:asciiTheme="minorHAnsi" w:eastAsia="Segoe UI" w:hAnsiTheme="minorHAnsi" w:cs="Segoe UI"/>
          <w:color w:val="242424"/>
          <w:lang w:val="en-US"/>
        </w:rPr>
        <w:footnoteReference w:id="95"/>
      </w:r>
    </w:p>
    <w:p w14:paraId="3DEDBE1D" w14:textId="650F475C" w:rsidR="007B3AAA" w:rsidRDefault="005536F0" w:rsidP="00242DCE">
      <w:pPr>
        <w:spacing w:after="100"/>
        <w:rPr>
          <w:rFonts w:asciiTheme="minorHAnsi" w:hAnsiTheme="minorHAnsi"/>
          <w:lang w:val="en-US"/>
        </w:rPr>
      </w:pPr>
      <w:r w:rsidRPr="00242DCE">
        <w:rPr>
          <w:rFonts w:asciiTheme="minorHAnsi" w:hAnsiTheme="minorHAnsi"/>
          <w:lang w:val="en-US"/>
        </w:rPr>
        <w:t xml:space="preserve">The national implementation of the EU pact will further restrict asylum seekers’ rights including restricting reception services </w:t>
      </w:r>
      <w:proofErr w:type="gramStart"/>
      <w:r w:rsidRPr="00242DCE">
        <w:rPr>
          <w:rFonts w:asciiTheme="minorHAnsi" w:hAnsiTheme="minorHAnsi"/>
          <w:lang w:val="en-US"/>
        </w:rPr>
        <w:t>and,</w:t>
      </w:r>
      <w:proofErr w:type="gramEnd"/>
      <w:r w:rsidRPr="00242DCE">
        <w:rPr>
          <w:rFonts w:asciiTheme="minorHAnsi" w:hAnsiTheme="minorHAnsi"/>
          <w:lang w:val="en-US"/>
        </w:rPr>
        <w:t xml:space="preserve"> as discussed above, reducing the reception allowance permanently to the minimum level permitted by the Constitution and the EU’s Reception Directive.</w:t>
      </w:r>
      <w:r w:rsidRPr="00242DCE">
        <w:rPr>
          <w:rStyle w:val="FootnoteReference"/>
          <w:rFonts w:asciiTheme="minorHAnsi" w:hAnsiTheme="minorHAnsi"/>
          <w:lang w:val="en-US"/>
        </w:rPr>
        <w:footnoteReference w:id="96"/>
      </w:r>
    </w:p>
    <w:p w14:paraId="7C37B457" w14:textId="77777777" w:rsidR="00242DCE" w:rsidRPr="00242DCE" w:rsidRDefault="00242DCE" w:rsidP="00242DCE">
      <w:pPr>
        <w:spacing w:after="100"/>
        <w:rPr>
          <w:rFonts w:asciiTheme="minorHAnsi" w:hAnsiTheme="minorHAnsi"/>
          <w:lang w:val="en-US"/>
        </w:rPr>
      </w:pPr>
    </w:p>
    <w:p w14:paraId="2DF60E93" w14:textId="101D0BE4" w:rsidR="005536F0" w:rsidRPr="00242DCE" w:rsidRDefault="005536F0" w:rsidP="00BD7009">
      <w:pPr>
        <w:pStyle w:val="BNumberedSubheading"/>
      </w:pPr>
      <w:bookmarkStart w:id="27" w:name="_Toc233898102"/>
      <w:r w:rsidRPr="00242DCE">
        <w:t>Family reunification</w:t>
      </w:r>
      <w:bookmarkEnd w:id="27"/>
      <w:r w:rsidRPr="00242DCE">
        <w:t xml:space="preserve"> </w:t>
      </w:r>
    </w:p>
    <w:p w14:paraId="5399E7A8" w14:textId="38D3152D" w:rsidR="005536F0" w:rsidRPr="00242DCE" w:rsidRDefault="005536F0" w:rsidP="00242DCE">
      <w:pPr>
        <w:spacing w:after="100"/>
        <w:rPr>
          <w:rFonts w:asciiTheme="minorHAnsi" w:hAnsiTheme="minorHAnsi"/>
          <w:lang w:val="en-US"/>
        </w:rPr>
      </w:pPr>
      <w:r w:rsidRPr="00242DCE">
        <w:rPr>
          <w:rFonts w:asciiTheme="minorHAnsi" w:hAnsiTheme="minorHAnsi"/>
          <w:lang w:val="en-US"/>
        </w:rPr>
        <w:t xml:space="preserve">In 2025, the parliament amended the Aliens Act to further tighten requirements for family reunification compared to the earlier restrictions. In 2016, the government had already introduced a “secure income” requirement for family reunifications for people with international protection, establishing a </w:t>
      </w:r>
      <w:proofErr w:type="gramStart"/>
      <w:r w:rsidRPr="00242DCE">
        <w:rPr>
          <w:rFonts w:asciiTheme="minorHAnsi" w:hAnsiTheme="minorHAnsi"/>
          <w:lang w:val="en-US"/>
        </w:rPr>
        <w:t>high income</w:t>
      </w:r>
      <w:proofErr w:type="gramEnd"/>
      <w:r w:rsidR="00E62DE3">
        <w:rPr>
          <w:rFonts w:asciiTheme="minorHAnsi" w:hAnsiTheme="minorHAnsi"/>
          <w:lang w:val="en-US"/>
        </w:rPr>
        <w:t xml:space="preserve"> </w:t>
      </w:r>
      <w:r w:rsidRPr="00242DCE">
        <w:rPr>
          <w:rFonts w:asciiTheme="minorHAnsi" w:hAnsiTheme="minorHAnsi"/>
          <w:lang w:val="en-US"/>
        </w:rPr>
        <w:t>requirement that many cannot meet.</w:t>
      </w:r>
      <w:r w:rsidRPr="00242DCE">
        <w:rPr>
          <w:rStyle w:val="FootnoteReference"/>
          <w:rFonts w:asciiTheme="minorHAnsi" w:hAnsiTheme="minorHAnsi"/>
          <w:lang w:val="en-US"/>
        </w:rPr>
        <w:footnoteReference w:id="97"/>
      </w:r>
    </w:p>
    <w:p w14:paraId="5258F218" w14:textId="77777777" w:rsidR="005536F0" w:rsidRDefault="005536F0" w:rsidP="00242DCE">
      <w:pPr>
        <w:spacing w:after="100"/>
        <w:rPr>
          <w:rFonts w:asciiTheme="minorHAnsi" w:hAnsiTheme="minorHAnsi"/>
          <w:lang w:val="en-US"/>
        </w:rPr>
      </w:pPr>
      <w:r w:rsidRPr="00242DCE">
        <w:rPr>
          <w:rFonts w:asciiTheme="minorHAnsi" w:hAnsiTheme="minorHAnsi"/>
          <w:lang w:val="en-US"/>
        </w:rPr>
        <w:lastRenderedPageBreak/>
        <w:t>The</w:t>
      </w:r>
      <w:r w:rsidRPr="00242DCE" w:rsidDel="000A7696">
        <w:rPr>
          <w:rFonts w:asciiTheme="minorHAnsi" w:hAnsiTheme="minorHAnsi"/>
          <w:lang w:val="en-US"/>
        </w:rPr>
        <w:t xml:space="preserve"> </w:t>
      </w:r>
      <w:r w:rsidRPr="00242DCE">
        <w:rPr>
          <w:rFonts w:asciiTheme="minorHAnsi" w:hAnsiTheme="minorHAnsi"/>
          <w:lang w:val="en-US"/>
        </w:rPr>
        <w:t>2025 restrictions included requirements such as a minimum age-limit of 21 years for spouses</w:t>
      </w:r>
      <w:r w:rsidRPr="00242DCE">
        <w:rPr>
          <w:rStyle w:val="FootnoteReference"/>
          <w:rFonts w:asciiTheme="minorHAnsi" w:hAnsiTheme="minorHAnsi"/>
          <w:lang w:val="en-US"/>
        </w:rPr>
        <w:footnoteReference w:id="98"/>
      </w:r>
      <w:r w:rsidRPr="00242DCE">
        <w:rPr>
          <w:rFonts w:asciiTheme="minorHAnsi" w:hAnsiTheme="minorHAnsi"/>
          <w:lang w:val="en-US"/>
        </w:rPr>
        <w:t xml:space="preserve"> and a two-year residence-period before being eligible to apply for family reunification.</w:t>
      </w:r>
      <w:r w:rsidRPr="00242DCE">
        <w:rPr>
          <w:rStyle w:val="FootnoteReference"/>
          <w:rFonts w:asciiTheme="minorHAnsi" w:hAnsiTheme="minorHAnsi"/>
          <w:lang w:val="en-US"/>
        </w:rPr>
        <w:footnoteReference w:id="99"/>
      </w:r>
      <w:r w:rsidRPr="00242DCE">
        <w:rPr>
          <w:rFonts w:asciiTheme="minorHAnsi" w:hAnsiTheme="minorHAnsi"/>
          <w:lang w:val="en-US"/>
        </w:rPr>
        <w:t xml:space="preserve"> Together with a very high secure income requirement, they risk making enjoyment of the right to a family life impossible to enjoy for many recipients of international protection, including unaccompanied children.</w:t>
      </w:r>
      <w:r w:rsidRPr="00242DCE">
        <w:rPr>
          <w:rStyle w:val="FootnoteReference"/>
          <w:rFonts w:asciiTheme="minorHAnsi" w:hAnsiTheme="minorHAnsi"/>
          <w:lang w:val="en-US"/>
        </w:rPr>
        <w:footnoteReference w:id="100"/>
      </w:r>
    </w:p>
    <w:p w14:paraId="48DFCB3B" w14:textId="77777777" w:rsidR="00242DCE" w:rsidRPr="00242DCE" w:rsidRDefault="00242DCE" w:rsidP="00242DCE">
      <w:pPr>
        <w:spacing w:after="100"/>
        <w:rPr>
          <w:rFonts w:asciiTheme="minorHAnsi" w:hAnsiTheme="minorHAnsi"/>
          <w:vertAlign w:val="superscript"/>
          <w:lang w:val="en-US"/>
        </w:rPr>
      </w:pPr>
    </w:p>
    <w:p w14:paraId="394C694C" w14:textId="3C47D349" w:rsidR="005536F0" w:rsidRPr="00242DCE" w:rsidRDefault="005536F0" w:rsidP="00BD7009">
      <w:pPr>
        <w:pStyle w:val="BNumberedSubheading"/>
      </w:pPr>
      <w:bookmarkStart w:id="28" w:name="_Toc233898103"/>
      <w:r w:rsidRPr="00242DCE">
        <w:t>Detention</w:t>
      </w:r>
      <w:bookmarkEnd w:id="28"/>
      <w:r w:rsidRPr="00242DCE">
        <w:t xml:space="preserve"> </w:t>
      </w:r>
    </w:p>
    <w:p w14:paraId="437055A3" w14:textId="77777777" w:rsidR="005536F0" w:rsidRPr="00242DCE" w:rsidRDefault="005536F0" w:rsidP="00242DCE">
      <w:pPr>
        <w:spacing w:after="100"/>
        <w:rPr>
          <w:rFonts w:asciiTheme="minorHAnsi" w:eastAsia="Aptos" w:hAnsiTheme="minorHAnsi" w:cs="Aptos"/>
          <w:lang w:val="en-US"/>
        </w:rPr>
      </w:pPr>
      <w:r w:rsidRPr="00242DCE">
        <w:rPr>
          <w:rFonts w:asciiTheme="minorHAnsi" w:hAnsiTheme="minorHAnsi"/>
          <w:lang w:val="en-US"/>
        </w:rPr>
        <w:t xml:space="preserve">Contrary to international standards, Finland </w:t>
      </w:r>
      <w:proofErr w:type="gramStart"/>
      <w:r w:rsidRPr="00242DCE">
        <w:rPr>
          <w:rFonts w:asciiTheme="minorHAnsi" w:hAnsiTheme="minorHAnsi"/>
          <w:lang w:val="en-US"/>
        </w:rPr>
        <w:t>still continues</w:t>
      </w:r>
      <w:proofErr w:type="gramEnd"/>
      <w:r w:rsidRPr="00242DCE">
        <w:rPr>
          <w:rFonts w:asciiTheme="minorHAnsi" w:hAnsiTheme="minorHAnsi"/>
          <w:lang w:val="en-US"/>
        </w:rPr>
        <w:t xml:space="preserve"> to detain unaccompanied children and families with children based on their migration status. Children should never be detained for immigration purposes, as it is never in their best interests</w:t>
      </w:r>
      <w:r w:rsidRPr="00865A49">
        <w:rPr>
          <w:rFonts w:asciiTheme="minorHAnsi" w:hAnsiTheme="minorHAnsi"/>
          <w:lang w:val="en-US"/>
        </w:rPr>
        <w:t>. Amnesty International has received reports</w:t>
      </w:r>
      <w:r w:rsidRPr="00242DCE">
        <w:rPr>
          <w:rFonts w:asciiTheme="minorHAnsi" w:hAnsiTheme="minorHAnsi"/>
          <w:lang w:val="en-US"/>
        </w:rPr>
        <w:t xml:space="preserve"> of lengthy detentions of families and single parents who have been detained with young children and babies for several months</w:t>
      </w:r>
      <w:r w:rsidRPr="00242DCE">
        <w:rPr>
          <w:rStyle w:val="FootnoteReference"/>
          <w:rFonts w:asciiTheme="minorHAnsi" w:hAnsiTheme="minorHAnsi"/>
          <w:lang w:val="en-US"/>
        </w:rPr>
        <w:footnoteReference w:id="101"/>
      </w:r>
      <w:r w:rsidRPr="00242DCE">
        <w:rPr>
          <w:rFonts w:asciiTheme="minorHAnsi" w:hAnsiTheme="minorHAnsi"/>
          <w:vertAlign w:val="superscript"/>
          <w:lang w:val="en-US"/>
        </w:rPr>
        <w:t xml:space="preserve"> </w:t>
      </w:r>
      <w:r w:rsidRPr="00242DCE">
        <w:rPr>
          <w:rFonts w:asciiTheme="minorHAnsi" w:hAnsiTheme="minorHAnsi"/>
          <w:lang w:val="en-US"/>
        </w:rPr>
        <w:t>and continues to receive reports that asylum seekers and migrants in need of special care are being detained</w:t>
      </w:r>
      <w:proofErr w:type="gramStart"/>
      <w:r w:rsidRPr="00242DCE">
        <w:rPr>
          <w:rFonts w:asciiTheme="minorHAnsi" w:hAnsiTheme="minorHAnsi"/>
          <w:lang w:val="en-US"/>
        </w:rPr>
        <w:t>, in particular, pending</w:t>
      </w:r>
      <w:proofErr w:type="gramEnd"/>
      <w:r w:rsidRPr="00242DCE">
        <w:rPr>
          <w:rFonts w:asciiTheme="minorHAnsi" w:hAnsiTheme="minorHAnsi"/>
          <w:lang w:val="en-US"/>
        </w:rPr>
        <w:t xml:space="preserve"> their removal from the country. These include pregnant women, persons with serious medical conditions, persons suffering from mental illness or trauma related to torture or ill-treatment, and women who have suffered serious violence.</w:t>
      </w:r>
      <w:r w:rsidRPr="00242DCE">
        <w:rPr>
          <w:rStyle w:val="FootnoteReference"/>
          <w:rFonts w:asciiTheme="minorHAnsi" w:hAnsiTheme="minorHAnsi"/>
          <w:lang w:val="en-US"/>
        </w:rPr>
        <w:footnoteReference w:id="102"/>
      </w:r>
    </w:p>
    <w:p w14:paraId="47921D90" w14:textId="34305E69" w:rsidR="005536F0" w:rsidRPr="00242DCE" w:rsidRDefault="005536F0" w:rsidP="00242DCE">
      <w:pPr>
        <w:spacing w:after="100"/>
        <w:rPr>
          <w:rFonts w:asciiTheme="minorHAnsi" w:eastAsia="Aptos" w:hAnsiTheme="minorHAnsi" w:cs="Aptos"/>
          <w:lang w:val="en-US"/>
        </w:rPr>
      </w:pPr>
      <w:r w:rsidRPr="00242DCE">
        <w:rPr>
          <w:rFonts w:asciiTheme="minorHAnsi" w:hAnsiTheme="minorHAnsi"/>
          <w:lang w:val="en-US"/>
        </w:rPr>
        <w:t>In 2025, new grounds for detaining asylum seekers and migrants were introduced.</w:t>
      </w:r>
      <w:r w:rsidRPr="00242DCE">
        <w:rPr>
          <w:rStyle w:val="FootnoteReference"/>
          <w:rFonts w:asciiTheme="minorHAnsi" w:hAnsiTheme="minorHAnsi"/>
          <w:lang w:val="en-US"/>
        </w:rPr>
        <w:footnoteReference w:id="103"/>
      </w:r>
      <w:r w:rsidRPr="00242DCE">
        <w:rPr>
          <w:rFonts w:asciiTheme="minorHAnsi" w:hAnsiTheme="minorHAnsi"/>
          <w:lang w:val="en-US"/>
        </w:rPr>
        <w:t xml:space="preserve"> Several conditions were added to legislation indicating when there is reason to assume that a person may abscond during their return procedures, which is a ground for detention.</w:t>
      </w:r>
      <w:r w:rsidRPr="00242DCE">
        <w:rPr>
          <w:rStyle w:val="FootnoteReference"/>
          <w:rFonts w:asciiTheme="minorHAnsi" w:hAnsiTheme="minorHAnsi"/>
          <w:lang w:val="en-US"/>
        </w:rPr>
        <w:footnoteReference w:id="104"/>
      </w:r>
      <w:r w:rsidRPr="00242DCE">
        <w:rPr>
          <w:rFonts w:asciiTheme="minorHAnsi" w:eastAsia="Aptos" w:hAnsiTheme="minorHAnsi" w:cs="Aptos"/>
          <w:lang w:val="en-US"/>
        </w:rPr>
        <w:t xml:space="preserve"> </w:t>
      </w:r>
      <w:r w:rsidRPr="00242DCE">
        <w:rPr>
          <w:rFonts w:asciiTheme="minorHAnsi" w:eastAsiaTheme="minorEastAsia" w:hAnsiTheme="minorHAnsi"/>
          <w:lang w:val="en-US"/>
        </w:rPr>
        <w:t>In addition,</w:t>
      </w:r>
      <w:r w:rsidRPr="00242DCE">
        <w:rPr>
          <w:rFonts w:asciiTheme="minorHAnsi" w:eastAsia="Aptos" w:hAnsiTheme="minorHAnsi" w:cs="Aptos"/>
          <w:lang w:val="en-US"/>
        </w:rPr>
        <w:t xml:space="preserve"> public order and national security were introduced as grounds for detention in order to respond to ”new“ and ”unpredictable” situations and phenomena such as situations of alleged “instrumentalization”, where authorities determine that asylum seekers </w:t>
      </w:r>
      <w:r w:rsidRPr="00242DCE">
        <w:rPr>
          <w:rFonts w:asciiTheme="minorHAnsi" w:hAnsiTheme="minorHAnsi"/>
          <w:lang w:val="en-US"/>
        </w:rPr>
        <w:t>we</w:t>
      </w:r>
      <w:r w:rsidRPr="00242DCE">
        <w:rPr>
          <w:rFonts w:asciiTheme="minorHAnsi" w:eastAsia="Aptos" w:hAnsiTheme="minorHAnsi" w:cs="Aptos"/>
          <w:lang w:val="en-US"/>
        </w:rPr>
        <w:t>re directed to a border area by another country.</w:t>
      </w:r>
      <w:r w:rsidRPr="00242DCE">
        <w:rPr>
          <w:rStyle w:val="FootnoteReference"/>
          <w:rFonts w:asciiTheme="minorHAnsi" w:eastAsia="Aptos" w:hAnsiTheme="minorHAnsi" w:cs="Aptos"/>
          <w:lang w:val="en-US"/>
        </w:rPr>
        <w:footnoteReference w:id="105"/>
      </w:r>
      <w:r w:rsidRPr="00242DCE">
        <w:rPr>
          <w:rFonts w:asciiTheme="minorHAnsi" w:eastAsia="Aptos" w:hAnsiTheme="minorHAnsi" w:cs="Aptos"/>
          <w:lang w:val="en-US"/>
        </w:rPr>
        <w:t xml:space="preserve"> These concepts are vague and open to interpretation and risk placing asylum seekers in detention solely because they have sought asylum in a specific border area. </w:t>
      </w:r>
    </w:p>
    <w:p w14:paraId="4B8504DD" w14:textId="77777777" w:rsidR="005536F0" w:rsidRDefault="005536F0" w:rsidP="00242DCE">
      <w:pPr>
        <w:spacing w:after="100"/>
        <w:rPr>
          <w:rFonts w:asciiTheme="minorHAnsi" w:eastAsia="Aptos" w:hAnsiTheme="minorHAnsi" w:cs="Aptos"/>
          <w:lang w:val="en-US"/>
        </w:rPr>
      </w:pPr>
      <w:r w:rsidRPr="00242DCE">
        <w:rPr>
          <w:rFonts w:asciiTheme="minorHAnsi" w:eastAsia="Aptos" w:hAnsiTheme="minorHAnsi" w:cs="Aptos"/>
          <w:lang w:val="en-US"/>
        </w:rPr>
        <w:t xml:space="preserve">This amendment also increased the possible period of detention to 18 months compared to the previous limit of 12 months. </w:t>
      </w:r>
    </w:p>
    <w:p w14:paraId="4AFEAFD8" w14:textId="77777777" w:rsidR="00DF7C7E" w:rsidRPr="00242DCE" w:rsidRDefault="00DF7C7E" w:rsidP="00242DCE">
      <w:pPr>
        <w:spacing w:after="100"/>
        <w:rPr>
          <w:rFonts w:asciiTheme="minorHAnsi" w:hAnsiTheme="minorHAnsi"/>
          <w:lang w:val="en-US"/>
        </w:rPr>
      </w:pPr>
    </w:p>
    <w:p w14:paraId="49186D2C" w14:textId="5405E75C" w:rsidR="005536F0" w:rsidRPr="00242DCE" w:rsidRDefault="005536F0" w:rsidP="00BD7009">
      <w:pPr>
        <w:pStyle w:val="BNumberedSubheading"/>
      </w:pPr>
      <w:bookmarkStart w:id="29" w:name="_Toc233898104"/>
      <w:r w:rsidRPr="00242DCE">
        <w:t>Rights of the child</w:t>
      </w:r>
      <w:bookmarkEnd w:id="29"/>
    </w:p>
    <w:p w14:paraId="4921177C" w14:textId="77777777" w:rsidR="005536F0" w:rsidRDefault="005536F0" w:rsidP="005536F0">
      <w:pPr>
        <w:rPr>
          <w:rFonts w:asciiTheme="minorHAnsi" w:hAnsiTheme="minorHAnsi"/>
          <w:lang w:val="en-US"/>
        </w:rPr>
      </w:pPr>
      <w:r w:rsidRPr="00242DCE">
        <w:rPr>
          <w:rFonts w:asciiTheme="minorHAnsi" w:hAnsiTheme="minorHAnsi"/>
          <w:lang w:val="en-US"/>
        </w:rPr>
        <w:t>There is concern that the best interest of the child is not always a primary consideration in matters related to asylum and migration. In part, this is due to inadequate legislation: Section 6 of the Aliens Act provides that “special attention shall be paid to the best interest of the child”.</w:t>
      </w:r>
      <w:r w:rsidRPr="00242DCE">
        <w:rPr>
          <w:rStyle w:val="FootnoteReference"/>
          <w:rFonts w:asciiTheme="minorHAnsi" w:hAnsiTheme="minorHAnsi"/>
          <w:lang w:val="en-US"/>
        </w:rPr>
        <w:footnoteReference w:id="106"/>
      </w:r>
      <w:r w:rsidRPr="00242DCE">
        <w:rPr>
          <w:rFonts w:asciiTheme="minorHAnsi" w:hAnsiTheme="minorHAnsi"/>
          <w:lang w:val="en-US"/>
        </w:rPr>
        <w:t xml:space="preserve"> The wording differs markedly from </w:t>
      </w:r>
      <w:r w:rsidRPr="00242DCE">
        <w:rPr>
          <w:rFonts w:asciiTheme="minorHAnsi" w:hAnsiTheme="minorHAnsi"/>
          <w:lang w:val="en-US"/>
        </w:rPr>
        <w:lastRenderedPageBreak/>
        <w:t>that of Article 3 of the Convention on the Rights of the Child, which provides that “the best interests of the child shall be a primary consideration”.</w:t>
      </w:r>
      <w:r w:rsidRPr="00242DCE">
        <w:rPr>
          <w:rStyle w:val="FootnoteReference"/>
          <w:rFonts w:asciiTheme="minorHAnsi" w:hAnsiTheme="minorHAnsi"/>
          <w:lang w:val="en-US"/>
        </w:rPr>
        <w:footnoteReference w:id="107"/>
      </w:r>
      <w:r w:rsidRPr="00242DCE">
        <w:rPr>
          <w:rFonts w:asciiTheme="minorHAnsi" w:hAnsiTheme="minorHAnsi"/>
          <w:lang w:val="en-US"/>
        </w:rPr>
        <w:t xml:space="preserve"> Other legislation concerning children mirrors the wording in the Convention, raising concern that children subject to migration proceedings are provided with weaker protections in law.</w:t>
      </w:r>
    </w:p>
    <w:p w14:paraId="4C6993C7" w14:textId="77777777" w:rsidR="00242DCE" w:rsidRPr="00242DCE" w:rsidRDefault="00242DCE" w:rsidP="005536F0">
      <w:pPr>
        <w:rPr>
          <w:rFonts w:asciiTheme="minorHAnsi" w:hAnsiTheme="minorHAnsi"/>
          <w:lang w:val="en-US"/>
        </w:rPr>
      </w:pPr>
    </w:p>
    <w:p w14:paraId="158EDC79" w14:textId="180A3E28" w:rsidR="005536F0" w:rsidRPr="00242DCE" w:rsidRDefault="005536F0" w:rsidP="00BD7009">
      <w:pPr>
        <w:pStyle w:val="BNumberedSubheading"/>
      </w:pPr>
      <w:bookmarkStart w:id="30" w:name="_Toc233898105"/>
      <w:r w:rsidRPr="00242DCE">
        <w:t>Border policies</w:t>
      </w:r>
      <w:bookmarkEnd w:id="30"/>
      <w:r w:rsidRPr="00242DCE">
        <w:t xml:space="preserve"> </w:t>
      </w:r>
    </w:p>
    <w:p w14:paraId="24ACBB11" w14:textId="41BD9FA7" w:rsidR="005536F0" w:rsidRPr="00242DCE" w:rsidRDefault="005536F0" w:rsidP="00242DCE">
      <w:pPr>
        <w:spacing w:after="100"/>
        <w:rPr>
          <w:rFonts w:asciiTheme="minorHAnsi" w:hAnsiTheme="minorHAnsi"/>
          <w:lang w:val="en-US"/>
        </w:rPr>
      </w:pPr>
      <w:r w:rsidRPr="00242DCE">
        <w:rPr>
          <w:rFonts w:asciiTheme="minorHAnsi" w:eastAsiaTheme="minorEastAsia" w:hAnsiTheme="minorHAnsi"/>
          <w:lang w:val="en-US"/>
        </w:rPr>
        <w:t>The government has introduced several legal amendments and new legislation that effectively hindered the right to seek asylum at the eastern border between Finland and Russia. Amendments to the Border Guard Act, which came into force in July 2022, entailed barriers to access the territory and curtailed the right to seek asylum, as they allowed authorities to restrict people’s ability to make asylum applications to specifically designated border crossing points.</w:t>
      </w:r>
      <w:r w:rsidRPr="00242DCE">
        <w:rPr>
          <w:rStyle w:val="FootnoteReference"/>
          <w:rFonts w:asciiTheme="minorHAnsi" w:eastAsiaTheme="minorEastAsia" w:hAnsiTheme="minorHAnsi"/>
          <w:lang w:val="en-US"/>
        </w:rPr>
        <w:footnoteReference w:id="108"/>
      </w:r>
      <w:r w:rsidRPr="00242DCE">
        <w:rPr>
          <w:rFonts w:asciiTheme="minorHAnsi" w:eastAsia="Aptos" w:hAnsiTheme="minorHAnsi" w:cs="Aptos"/>
          <w:lang w:val="en-US"/>
        </w:rPr>
        <w:t xml:space="preserve"> In 2023, the government gradually closed all eastern border crossing points and the eastern border has been closed since.</w:t>
      </w:r>
      <w:r w:rsidRPr="00242DCE">
        <w:rPr>
          <w:rStyle w:val="FootnoteReference"/>
          <w:rFonts w:asciiTheme="minorHAnsi" w:eastAsia="Aptos" w:hAnsiTheme="minorHAnsi" w:cs="Aptos"/>
          <w:lang w:val="en-US"/>
        </w:rPr>
        <w:footnoteReference w:id="109"/>
      </w:r>
      <w:r w:rsidRPr="00242DCE">
        <w:rPr>
          <w:rFonts w:asciiTheme="minorHAnsi" w:eastAsia="Aptos" w:hAnsiTheme="minorHAnsi" w:cs="Aptos"/>
          <w:lang w:val="en-US"/>
        </w:rPr>
        <w:t xml:space="preserve"> The closure of the border can result in individuals being rejected at the border, in violation of the principle of non-refoulement.</w:t>
      </w:r>
      <w:r w:rsidRPr="00242DCE">
        <w:rPr>
          <w:rStyle w:val="FootnoteReference"/>
          <w:rFonts w:asciiTheme="minorHAnsi" w:eastAsia="Aptos" w:hAnsiTheme="minorHAnsi" w:cs="Aptos"/>
          <w:lang w:val="en-US"/>
        </w:rPr>
        <w:footnoteReference w:id="110"/>
      </w:r>
    </w:p>
    <w:p w14:paraId="11913BFE" w14:textId="77777777" w:rsidR="005536F0" w:rsidRPr="00242DCE" w:rsidRDefault="005536F0" w:rsidP="00242DCE">
      <w:pPr>
        <w:spacing w:after="100"/>
        <w:rPr>
          <w:rFonts w:asciiTheme="minorHAnsi" w:eastAsia="Aptos" w:hAnsiTheme="minorHAnsi" w:cs="Aptos"/>
          <w:lang w:val="en-US"/>
        </w:rPr>
      </w:pPr>
      <w:r w:rsidRPr="00242DCE">
        <w:rPr>
          <w:rFonts w:asciiTheme="minorHAnsi" w:eastAsia="Aptos" w:hAnsiTheme="minorHAnsi" w:cs="Aptos"/>
          <w:lang w:val="en-US"/>
        </w:rPr>
        <w:t>In July 2024, the parliament adopted an emergency law allowing the government to make a decision empowering the authorities to limit the reception of asylum applications in specific parts of the Finnish border, granting them powers to prevent entry, including by force.</w:t>
      </w:r>
      <w:r w:rsidRPr="00242DCE">
        <w:rPr>
          <w:rStyle w:val="FootnoteReference"/>
          <w:rFonts w:asciiTheme="minorHAnsi" w:eastAsia="Aptos" w:hAnsiTheme="minorHAnsi" w:cs="Aptos"/>
          <w:lang w:val="en-US"/>
        </w:rPr>
        <w:footnoteReference w:id="111"/>
      </w:r>
      <w:r w:rsidRPr="00242DCE">
        <w:rPr>
          <w:rFonts w:asciiTheme="minorHAnsi" w:eastAsia="Aptos" w:hAnsiTheme="minorHAnsi" w:cs="Aptos"/>
          <w:lang w:val="en-US"/>
        </w:rPr>
        <w:t xml:space="preserve"> The law allows Finnish border guards to make exceptions in cases involving people they consider to be in vulnerable situations or those at risk of serious violations upon return to the country where they crossed from. However, assessing people’s situations and vulnerabilities requires specially trained personnel as well as adequate time. It is highly questionable that such an assessment would be possible in the context of brief interactions with border officials. </w:t>
      </w:r>
    </w:p>
    <w:p w14:paraId="0BB73753" w14:textId="77777777" w:rsidR="005536F0" w:rsidRPr="00242DCE" w:rsidRDefault="005536F0" w:rsidP="00242DCE">
      <w:pPr>
        <w:spacing w:after="100"/>
        <w:rPr>
          <w:rFonts w:asciiTheme="minorHAnsi" w:eastAsia="Aptos" w:hAnsiTheme="minorHAnsi" w:cs="Aptos"/>
          <w:lang w:val="en-US"/>
        </w:rPr>
      </w:pPr>
      <w:r w:rsidRPr="00242DCE">
        <w:rPr>
          <w:rFonts w:asciiTheme="minorHAnsi" w:eastAsia="Aptos" w:hAnsiTheme="minorHAnsi" w:cs="Aptos"/>
          <w:lang w:val="en-US"/>
        </w:rPr>
        <w:t xml:space="preserve">The emergency law also does not offer any real possibility of appeal, only allowing those affected to request an administrative review, which would not suspend the return. This gravely undermines access to asylum and the protection from refoulement. It not only endangers the rights of people seeking safety, but risks leading to arbitrariness and violence at the border. </w:t>
      </w:r>
      <w:r w:rsidRPr="00242DCE">
        <w:rPr>
          <w:rStyle w:val="FootnoteReference"/>
          <w:rFonts w:asciiTheme="minorHAnsi" w:eastAsia="Aptos" w:hAnsiTheme="minorHAnsi" w:cs="Aptos"/>
          <w:lang w:val="en-US"/>
        </w:rPr>
        <w:footnoteReference w:id="112"/>
      </w:r>
    </w:p>
    <w:p w14:paraId="0ED21989" w14:textId="77777777" w:rsidR="005536F0" w:rsidRDefault="005536F0" w:rsidP="005536F0">
      <w:pPr>
        <w:rPr>
          <w:rFonts w:asciiTheme="minorHAnsi" w:eastAsia="Aptos" w:hAnsiTheme="minorHAnsi" w:cs="Aptos"/>
          <w:lang w:val="en-US"/>
        </w:rPr>
      </w:pPr>
      <w:r w:rsidRPr="00242DCE">
        <w:rPr>
          <w:rFonts w:asciiTheme="minorHAnsi" w:eastAsia="Aptos" w:hAnsiTheme="minorHAnsi" w:cs="Aptos"/>
          <w:lang w:val="en-US"/>
        </w:rPr>
        <w:t>The government plans to extend both the closure of the eastern border crossing points as well as the emergency law beyond 2026.</w:t>
      </w:r>
      <w:r w:rsidRPr="00242DCE">
        <w:rPr>
          <w:rStyle w:val="FootnoteReference"/>
          <w:rFonts w:asciiTheme="minorHAnsi" w:eastAsia="Aptos" w:hAnsiTheme="minorHAnsi" w:cs="Aptos"/>
          <w:lang w:val="en-US"/>
        </w:rPr>
        <w:footnoteReference w:id="113"/>
      </w:r>
    </w:p>
    <w:p w14:paraId="48C31F92" w14:textId="77777777" w:rsidR="00242DCE" w:rsidRDefault="00242DCE" w:rsidP="005536F0">
      <w:pPr>
        <w:rPr>
          <w:rFonts w:asciiTheme="minorHAnsi" w:eastAsia="Aptos" w:hAnsiTheme="minorHAnsi" w:cs="Aptos"/>
          <w:lang w:val="en-US"/>
        </w:rPr>
      </w:pPr>
    </w:p>
    <w:p w14:paraId="16A62912" w14:textId="77777777" w:rsidR="00BD7009" w:rsidRPr="00242DCE" w:rsidRDefault="00BD7009" w:rsidP="005536F0">
      <w:pPr>
        <w:rPr>
          <w:rFonts w:asciiTheme="minorHAnsi" w:eastAsia="Aptos" w:hAnsiTheme="minorHAnsi" w:cs="Aptos"/>
          <w:lang w:val="en-US"/>
        </w:rPr>
      </w:pPr>
    </w:p>
    <w:p w14:paraId="2D2A60F5" w14:textId="77777777" w:rsidR="005536F0" w:rsidRDefault="005536F0" w:rsidP="00BD7009">
      <w:pPr>
        <w:pStyle w:val="BNumberedSubheading"/>
      </w:pPr>
      <w:bookmarkStart w:id="31" w:name="_Toc233898106"/>
      <w:r w:rsidRPr="00AE0CEA">
        <w:lastRenderedPageBreak/>
        <w:t>Recommendations to the Finnish government</w:t>
      </w:r>
      <w:bookmarkEnd w:id="31"/>
    </w:p>
    <w:p w14:paraId="69D61486" w14:textId="77777777" w:rsidR="00242DCE" w:rsidRDefault="00242DCE" w:rsidP="00242DCE">
      <w:pPr>
        <w:pStyle w:val="BBodyText"/>
        <w:rPr>
          <w:lang w:val="en-US" w:eastAsia="en-GB"/>
        </w:rPr>
      </w:pPr>
    </w:p>
    <w:p w14:paraId="7121667A" w14:textId="35472810" w:rsidR="00242DCE" w:rsidRPr="00242DCE" w:rsidRDefault="00242DCE" w:rsidP="00242DCE">
      <w:pPr>
        <w:pStyle w:val="BBodyText"/>
        <w:rPr>
          <w:bCs w:val="0"/>
          <w:sz w:val="20"/>
          <w:szCs w:val="20"/>
          <w:lang w:eastAsia="en-GB"/>
        </w:rPr>
      </w:pPr>
      <w:r w:rsidRPr="00305D1B">
        <w:rPr>
          <w:bCs w:val="0"/>
          <w:sz w:val="20"/>
          <w:szCs w:val="20"/>
          <w:lang w:eastAsia="en-GB"/>
        </w:rPr>
        <w:t>Amnesty International is calling on authorities in Finland to:</w:t>
      </w:r>
    </w:p>
    <w:p w14:paraId="4DD655B8" w14:textId="77777777" w:rsidR="005536F0" w:rsidRPr="00242DCE" w:rsidRDefault="005536F0" w:rsidP="003B1B2C">
      <w:pPr>
        <w:pStyle w:val="ListParagraph"/>
        <w:numPr>
          <w:ilvl w:val="0"/>
          <w:numId w:val="7"/>
        </w:numPr>
        <w:spacing w:line="278" w:lineRule="auto"/>
        <w:rPr>
          <w:sz w:val="20"/>
          <w:szCs w:val="20"/>
          <w:lang w:val="en-US"/>
        </w:rPr>
      </w:pPr>
      <w:r w:rsidRPr="00242DCE">
        <w:rPr>
          <w:sz w:val="20"/>
          <w:szCs w:val="20"/>
          <w:lang w:val="en-US"/>
        </w:rPr>
        <w:t>Ensure that the current laws and any further restrictions concerning the removal of foreign nationals do not discriminate, and that asylum seekers and migrants have equal access to effective remedies with respect to asylum procedures and the non-refoulement principle.</w:t>
      </w:r>
    </w:p>
    <w:p w14:paraId="32A34EF5" w14:textId="79A720A4" w:rsidR="005536F0" w:rsidRPr="00242DCE" w:rsidRDefault="005536F0" w:rsidP="003B1B2C">
      <w:pPr>
        <w:pStyle w:val="ListParagraph"/>
        <w:numPr>
          <w:ilvl w:val="0"/>
          <w:numId w:val="7"/>
        </w:numPr>
        <w:spacing w:line="278" w:lineRule="auto"/>
        <w:rPr>
          <w:sz w:val="20"/>
          <w:szCs w:val="20"/>
          <w:lang w:val="en-US"/>
        </w:rPr>
      </w:pPr>
      <w:r w:rsidRPr="00242DCE">
        <w:rPr>
          <w:sz w:val="20"/>
          <w:szCs w:val="20"/>
          <w:lang w:val="en-US"/>
        </w:rPr>
        <w:t>Ensure that the right to enjoy family life is respected and repeal any unreasonable, disproportionate or discriminatory obstacles, such as excessive income or residence-period requirements, or discriminatory age-related restrictions in family reunification processes.</w:t>
      </w:r>
    </w:p>
    <w:p w14:paraId="3E18E20C" w14:textId="77777777" w:rsidR="005536F0" w:rsidRPr="00242DCE" w:rsidRDefault="005536F0" w:rsidP="003B1B2C">
      <w:pPr>
        <w:pStyle w:val="ListParagraph"/>
        <w:numPr>
          <w:ilvl w:val="0"/>
          <w:numId w:val="7"/>
        </w:numPr>
        <w:spacing w:line="278" w:lineRule="auto"/>
        <w:rPr>
          <w:sz w:val="20"/>
          <w:szCs w:val="20"/>
          <w:lang w:val="en-US"/>
        </w:rPr>
      </w:pPr>
      <w:r w:rsidRPr="00242DCE">
        <w:rPr>
          <w:sz w:val="20"/>
          <w:szCs w:val="20"/>
          <w:lang w:val="en-US"/>
        </w:rPr>
        <w:t xml:space="preserve">Cease detaining children, including families with children, and </w:t>
      </w:r>
      <w:proofErr w:type="gramStart"/>
      <w:r w:rsidRPr="00242DCE">
        <w:rPr>
          <w:rFonts w:eastAsiaTheme="minorEastAsia"/>
          <w:sz w:val="20"/>
          <w:szCs w:val="20"/>
          <w:lang w:val="en-US"/>
        </w:rPr>
        <w:t>ensure</w:t>
      </w:r>
      <w:proofErr w:type="gramEnd"/>
      <w:r w:rsidRPr="00242DCE">
        <w:rPr>
          <w:rFonts w:eastAsiaTheme="minorEastAsia"/>
          <w:sz w:val="20"/>
          <w:szCs w:val="20"/>
          <w:lang w:val="en-US"/>
        </w:rPr>
        <w:t xml:space="preserve"> migration detention is used in line with international law standards and never in a punitive manner</w:t>
      </w:r>
      <w:r w:rsidRPr="00242DCE">
        <w:rPr>
          <w:sz w:val="20"/>
          <w:szCs w:val="20"/>
          <w:lang w:val="en-US"/>
        </w:rPr>
        <w:t>.</w:t>
      </w:r>
    </w:p>
    <w:p w14:paraId="5B5CCB77" w14:textId="38292326" w:rsidR="005536F0" w:rsidRPr="00242DCE" w:rsidRDefault="005536F0" w:rsidP="003B1B2C">
      <w:pPr>
        <w:pStyle w:val="ListParagraph"/>
        <w:numPr>
          <w:ilvl w:val="0"/>
          <w:numId w:val="7"/>
        </w:numPr>
        <w:spacing w:line="278" w:lineRule="auto"/>
        <w:rPr>
          <w:sz w:val="20"/>
          <w:szCs w:val="20"/>
          <w:lang w:val="en-US"/>
        </w:rPr>
      </w:pPr>
      <w:r w:rsidRPr="00242DCE">
        <w:rPr>
          <w:sz w:val="20"/>
          <w:szCs w:val="20"/>
          <w:lang w:val="en-US"/>
        </w:rPr>
        <w:t>Amend Section 6 of the Aliens Act to meet the wording of the Convention on the Rights of the Child, to make best interests of the child a primary consideration.</w:t>
      </w:r>
    </w:p>
    <w:p w14:paraId="11F670D8" w14:textId="77777777" w:rsidR="005536F0" w:rsidRPr="00242DCE" w:rsidRDefault="005536F0" w:rsidP="003B1B2C">
      <w:pPr>
        <w:pStyle w:val="ListParagraph"/>
        <w:numPr>
          <w:ilvl w:val="0"/>
          <w:numId w:val="7"/>
        </w:numPr>
        <w:spacing w:line="278" w:lineRule="auto"/>
        <w:rPr>
          <w:sz w:val="20"/>
          <w:szCs w:val="20"/>
          <w:lang w:val="en-US"/>
        </w:rPr>
      </w:pPr>
      <w:r w:rsidRPr="00242DCE">
        <w:rPr>
          <w:sz w:val="20"/>
          <w:szCs w:val="20"/>
          <w:lang w:val="en-US"/>
        </w:rPr>
        <w:t>Safeguard asylum seekers’ access to asylum procedure, including at all border crossing points, and respect the non-refoulement principle.</w:t>
      </w:r>
    </w:p>
    <w:p w14:paraId="66D05CBD" w14:textId="3ED3F418" w:rsidR="005536F0" w:rsidRPr="009834EC" w:rsidRDefault="005536F0" w:rsidP="009834EC">
      <w:pPr>
        <w:pStyle w:val="BBodyText"/>
        <w:rPr>
          <w:lang w:val="en-US" w:eastAsia="en-GB"/>
        </w:rPr>
        <w:sectPr w:rsidR="005536F0" w:rsidRPr="009834EC" w:rsidSect="00DA7998">
          <w:headerReference w:type="default" r:id="rId16"/>
          <w:headerReference w:type="first" r:id="rId17"/>
          <w:footerReference w:type="first" r:id="rId18"/>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3632"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070213" w:rsidRDefault="00070213"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070213" w:rsidRPr="001556CD" w:rsidRDefault="00070213" w:rsidP="005636E7">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070213" w:rsidRDefault="00070213"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070213" w:rsidRPr="001556CD" w:rsidRDefault="00070213" w:rsidP="005636E7">
                      <w:pPr>
                        <w:pStyle w:val="BBodyText"/>
                        <w:tabs>
                          <w:tab w:val="left" w:pos="1200"/>
                        </w:tabs>
                        <w:rPr>
                          <w:rFonts w:ascii="Amnesty Trade Gothic" w:hAnsi="Amnesty Trade Gothic"/>
                          <w:noProof/>
                          <w:color w:val="000000"/>
                        </w:rPr>
                      </w:pPr>
                    </w:p>
                  </w:txbxContent>
                </v:textbox>
                <w10:wrap type="square"/>
              </v:shape>
            </w:pict>
          </mc:Fallback>
        </mc:AlternateContent>
      </w:r>
    </w:p>
    <w:p w14:paraId="12507E74" w14:textId="77777777" w:rsidR="00932357" w:rsidRDefault="00932357" w:rsidP="00DB64F9">
      <w:pPr>
        <w:pStyle w:val="BBodyText"/>
        <w:tabs>
          <w:tab w:val="left" w:pos="1200"/>
        </w:tabs>
        <w:sectPr w:rsidR="00932357" w:rsidSect="00DA7998">
          <w:headerReference w:type="default" r:id="rId19"/>
          <w:headerReference w:type="first" r:id="rId20"/>
          <w:footerReference w:type="first" r:id="rId21"/>
          <w:pgSz w:w="11906" w:h="16838" w:code="9"/>
          <w:pgMar w:top="1474" w:right="1418" w:bottom="1418" w:left="1418" w:header="709" w:footer="709" w:gutter="0"/>
          <w:cols w:space="708"/>
          <w:titlePg/>
          <w:docGrid w:linePitch="360"/>
        </w:sectPr>
      </w:pP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752"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070213" w:rsidRPr="00D4065A" w:rsidRDefault="00070213"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3" w:history="1">
                              <w:r w:rsidRPr="00D4065A">
                                <w:rPr>
                                  <w:rStyle w:val="Hyperlink"/>
                                  <w:rFonts w:ascii="Amnesty Trade Gothic Cn" w:hAnsi="Amnesty Trade Gothic Cn"/>
                                  <w:b/>
                                  <w:bCs/>
                                  <w:color w:val="auto"/>
                                  <w:szCs w:val="21"/>
                                  <w:lang w:val="en-GB"/>
                                </w:rPr>
                                <w:t>info@amnesty.org</w:t>
                              </w:r>
                            </w:hyperlink>
                          </w:p>
                          <w:p w14:paraId="61AA5AD3" w14:textId="77777777" w:rsidR="00070213" w:rsidRPr="00D4065A" w:rsidRDefault="00070213" w:rsidP="004E5E19">
                            <w:pPr>
                              <w:pStyle w:val="BBodyText"/>
                              <w:jc w:val="center"/>
                              <w:rPr>
                                <w:rStyle w:val="Hyperlink"/>
                                <w:rFonts w:ascii="Amnesty Trade Gothic Cn" w:hAnsi="Amnesty Trade Gothic Cn"/>
                                <w:color w:val="auto"/>
                              </w:rPr>
                            </w:pPr>
                            <w:hyperlink r:id="rId24"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070213" w:rsidRPr="00B772D5" w:rsidRDefault="00070213"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6"/>
                                          <a:stretch>
                                            <a:fillRect/>
                                          </a:stretch>
                                        </pic:blipFill>
                                        <pic:spPr>
                                          <a:xfrm>
                                            <a:off x="0" y="0"/>
                                            <a:ext cx="342194" cy="343682"/>
                                          </a:xfrm>
                                          <a:prstGeom prst="rect">
                                            <a:avLst/>
                                          </a:prstGeom>
                                        </pic:spPr>
                                      </pic:pic>
                                    </a:graphicData>
                                  </a:graphic>
                                </wp:inline>
                              </w:drawing>
                            </w:r>
                          </w:p>
                          <w:p w14:paraId="2F831BD7" w14:textId="77777777" w:rsidR="00070213" w:rsidRPr="00D4065A" w:rsidRDefault="00070213"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070213" w:rsidRDefault="00070213"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070213" w:rsidRPr="00D4065A" w:rsidRDefault="00070213"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7" w:history="1">
                        <w:r w:rsidRPr="00D4065A">
                          <w:rPr>
                            <w:rStyle w:val="Hyperlink"/>
                            <w:rFonts w:ascii="Amnesty Trade Gothic Cn" w:hAnsi="Amnesty Trade Gothic Cn"/>
                            <w:b/>
                            <w:bCs/>
                            <w:color w:val="auto"/>
                            <w:szCs w:val="21"/>
                            <w:lang w:val="en-GB"/>
                          </w:rPr>
                          <w:t>info@amnesty.org</w:t>
                        </w:r>
                      </w:hyperlink>
                    </w:p>
                    <w:p w14:paraId="61AA5AD3" w14:textId="77777777" w:rsidR="00070213" w:rsidRPr="00D4065A" w:rsidRDefault="00070213" w:rsidP="004E5E19">
                      <w:pPr>
                        <w:pStyle w:val="BBodyText"/>
                        <w:jc w:val="center"/>
                        <w:rPr>
                          <w:rStyle w:val="Hyperlink"/>
                          <w:rFonts w:ascii="Amnesty Trade Gothic Cn" w:hAnsi="Amnesty Trade Gothic Cn"/>
                          <w:color w:val="auto"/>
                        </w:rPr>
                      </w:pPr>
                      <w:hyperlink r:id="rId28"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070213" w:rsidRPr="00B772D5" w:rsidRDefault="00070213"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6"/>
                                    <a:stretch>
                                      <a:fillRect/>
                                    </a:stretch>
                                  </pic:blipFill>
                                  <pic:spPr>
                                    <a:xfrm>
                                      <a:off x="0" y="0"/>
                                      <a:ext cx="342194" cy="343682"/>
                                    </a:xfrm>
                                    <a:prstGeom prst="rect">
                                      <a:avLst/>
                                    </a:prstGeom>
                                  </pic:spPr>
                                </pic:pic>
                              </a:graphicData>
                            </a:graphic>
                          </wp:inline>
                        </w:drawing>
                      </w:r>
                    </w:p>
                    <w:p w14:paraId="2F831BD7" w14:textId="77777777" w:rsidR="00070213" w:rsidRPr="00D4065A" w:rsidRDefault="00070213"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070213" w:rsidRDefault="00070213"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5680"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070213" w:rsidRPr="000660E7" w:rsidRDefault="00070213"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070213" w:rsidRPr="000660E7" w:rsidRDefault="00070213"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070213" w:rsidRPr="0081658E" w:rsidRDefault="00070213" w:rsidP="000660E7">
                            <w:pPr>
                              <w:pStyle w:val="BCopyrightsmallprint"/>
                              <w:rPr>
                                <w:sz w:val="16"/>
                                <w:szCs w:val="16"/>
                              </w:rPr>
                            </w:pPr>
                            <w:r w:rsidRPr="000660E7">
                              <w:rPr>
                                <w:sz w:val="16"/>
                                <w:szCs w:val="16"/>
                              </w:rPr>
                              <w:t xml:space="preserve">For more information, visit the </w:t>
                            </w:r>
                            <w:hyperlink r:id="rId2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070213" w:rsidRPr="000660E7" w:rsidRDefault="00070213"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070213" w:rsidRPr="000660E7" w:rsidRDefault="00070213"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070213" w:rsidRPr="0081658E" w:rsidRDefault="00070213" w:rsidP="000660E7">
                      <w:pPr>
                        <w:pStyle w:val="BCopyrightsmallprint"/>
                        <w:rPr>
                          <w:sz w:val="16"/>
                          <w:szCs w:val="16"/>
                        </w:rPr>
                      </w:pPr>
                      <w:r w:rsidRPr="000660E7">
                        <w:rPr>
                          <w:sz w:val="16"/>
                          <w:szCs w:val="16"/>
                        </w:rPr>
                        <w:t xml:space="preserve">For more information, visit the </w:t>
                      </w:r>
                      <w:hyperlink r:id="rId3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977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31" cstate="print">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7728"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070213" w:rsidRDefault="00070213"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070213" w:rsidRDefault="00070213"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6260" cy="556260"/>
                                          </a:xfrm>
                                          <a:prstGeom prst="rect">
                                            <a:avLst/>
                                          </a:prstGeom>
                                        </pic:spPr>
                                      </pic:pic>
                                    </a:graphicData>
                                  </a:graphic>
                                </wp:inline>
                              </w:drawing>
                            </w:r>
                          </w:p>
                          <w:p w14:paraId="577429BB" w14:textId="77777777" w:rsidR="00070213" w:rsidRPr="00BE3701" w:rsidRDefault="00070213"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070213" w:rsidRPr="00C8441B" w:rsidRDefault="00070213"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070213" w:rsidRDefault="00070213"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070213" w:rsidRDefault="00070213"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6260" cy="556260"/>
                                    </a:xfrm>
                                    <a:prstGeom prst="rect">
                                      <a:avLst/>
                                    </a:prstGeom>
                                  </pic:spPr>
                                </pic:pic>
                              </a:graphicData>
                            </a:graphic>
                          </wp:inline>
                        </w:drawing>
                      </w:r>
                    </w:p>
                    <w:p w14:paraId="577429BB" w14:textId="77777777" w:rsidR="00070213" w:rsidRPr="00BE3701" w:rsidRDefault="00070213"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070213" w:rsidRPr="00C8441B" w:rsidRDefault="00070213"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60800"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070213" w:rsidRPr="00D90830" w:rsidRDefault="00070213"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070213" w:rsidRDefault="000702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070213" w:rsidRPr="00D90830" w:rsidRDefault="00070213"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070213" w:rsidRDefault="00070213"/>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6704"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03EEF8B2" w:rsidR="00070213" w:rsidRPr="00B304D5" w:rsidRDefault="00070213" w:rsidP="0081658E">
                            <w:pPr>
                              <w:pStyle w:val="BCopyrightsmallprint"/>
                              <w:rPr>
                                <w:rStyle w:val="Boldbodycharacter"/>
                                <w:rFonts w:ascii="Segoe UI" w:eastAsia="Calibri" w:hAnsi="Segoe UI" w:cs="Segoe UI"/>
                                <w:bCs/>
                                <w:color w:val="3B1D1E"/>
                                <w:sz w:val="20"/>
                                <w:szCs w:val="20"/>
                              </w:rPr>
                            </w:pPr>
                            <w:r w:rsidRPr="00392F19">
                              <w:rPr>
                                <w:sz w:val="21"/>
                                <w:szCs w:val="21"/>
                              </w:rPr>
                              <w:t xml:space="preserve">Index: </w:t>
                            </w:r>
                            <w:r w:rsidR="00851B81" w:rsidRPr="00851B81">
                              <w:rPr>
                                <w:rFonts w:ascii="Segoe UI" w:eastAsia="Calibri" w:hAnsi="Segoe UI" w:cs="Segoe UI"/>
                                <w:b/>
                                <w:color w:val="3B1D1E"/>
                                <w:sz w:val="20"/>
                                <w:szCs w:val="20"/>
                              </w:rPr>
                              <w:t>EUR 20/1253/2026</w:t>
                            </w:r>
                          </w:p>
                          <w:p w14:paraId="13BA83E2" w14:textId="703F3C84" w:rsidR="00070213" w:rsidRPr="00014BD2" w:rsidRDefault="00070213" w:rsidP="0081658E">
                            <w:pPr>
                              <w:pStyle w:val="BCopyrightsmallprint"/>
                              <w:rPr>
                                <w:sz w:val="21"/>
                                <w:szCs w:val="21"/>
                              </w:rPr>
                            </w:pPr>
                            <w:r w:rsidRPr="00392F19">
                              <w:rPr>
                                <w:sz w:val="21"/>
                                <w:szCs w:val="21"/>
                              </w:rPr>
                              <w:t>Publication</w:t>
                            </w:r>
                            <w:r w:rsidRPr="00014BD2">
                              <w:rPr>
                                <w:sz w:val="21"/>
                                <w:szCs w:val="21"/>
                              </w:rPr>
                              <w:t xml:space="preserve">: </w:t>
                            </w:r>
                            <w:r w:rsidR="00851B81">
                              <w:rPr>
                                <w:rStyle w:val="Boldbodycharacter"/>
                                <w:sz w:val="21"/>
                                <w:szCs w:val="21"/>
                              </w:rPr>
                              <w:t>July</w:t>
                            </w:r>
                            <w:r w:rsidR="00932357">
                              <w:rPr>
                                <w:rStyle w:val="Boldbodycharacter"/>
                                <w:sz w:val="21"/>
                                <w:szCs w:val="21"/>
                              </w:rPr>
                              <w:t xml:space="preserve"> 2026</w:t>
                            </w:r>
                          </w:p>
                          <w:p w14:paraId="75622893" w14:textId="77777777" w:rsidR="00070213" w:rsidRPr="00014BD2" w:rsidRDefault="00070213" w:rsidP="0081658E">
                            <w:pPr>
                              <w:pStyle w:val="BCopyrightsmallprint"/>
                              <w:rPr>
                                <w:sz w:val="21"/>
                                <w:szCs w:val="21"/>
                              </w:rPr>
                            </w:pPr>
                            <w:r w:rsidRPr="00014BD2">
                              <w:rPr>
                                <w:sz w:val="21"/>
                                <w:szCs w:val="21"/>
                              </w:rPr>
                              <w:t xml:space="preserve">Original language: </w:t>
                            </w:r>
                            <w:r w:rsidRPr="00014BD2">
                              <w:rPr>
                                <w:rFonts w:ascii="Amnesty Trade Gothic" w:hAnsi="Amnesty Trade Gothic"/>
                                <w:b/>
                                <w:sz w:val="21"/>
                                <w:szCs w:val="21"/>
                              </w:rPr>
                              <w:t>English</w:t>
                            </w:r>
                          </w:p>
                          <w:p w14:paraId="51BB8770" w14:textId="5765C0D7" w:rsidR="00070213" w:rsidRPr="000660E7" w:rsidRDefault="00070213" w:rsidP="00140418">
                            <w:pPr>
                              <w:pStyle w:val="BCopyrightsmallprint"/>
                              <w:rPr>
                                <w:sz w:val="16"/>
                                <w:szCs w:val="16"/>
                              </w:rPr>
                            </w:pPr>
                            <w:r w:rsidRPr="00014BD2">
                              <w:rPr>
                                <w:sz w:val="16"/>
                                <w:szCs w:val="16"/>
                              </w:rPr>
                              <w:t>© Amnesty International 202</w:t>
                            </w:r>
                            <w:r w:rsidR="00932357">
                              <w:rPr>
                                <w:sz w:val="16"/>
                                <w:szCs w:val="16"/>
                              </w:rPr>
                              <w:t>6</w:t>
                            </w:r>
                          </w:p>
                          <w:p w14:paraId="2247AD3B" w14:textId="77777777" w:rsidR="00070213" w:rsidRDefault="000702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03EEF8B2" w:rsidR="00070213" w:rsidRPr="00B304D5" w:rsidRDefault="00070213" w:rsidP="0081658E">
                      <w:pPr>
                        <w:pStyle w:val="BCopyrightsmallprint"/>
                        <w:rPr>
                          <w:rStyle w:val="Boldbodycharacter"/>
                          <w:rFonts w:ascii="Segoe UI" w:eastAsia="Calibri" w:hAnsi="Segoe UI" w:cs="Segoe UI"/>
                          <w:bCs/>
                          <w:color w:val="3B1D1E"/>
                          <w:sz w:val="20"/>
                          <w:szCs w:val="20"/>
                        </w:rPr>
                      </w:pPr>
                      <w:r w:rsidRPr="00392F19">
                        <w:rPr>
                          <w:sz w:val="21"/>
                          <w:szCs w:val="21"/>
                        </w:rPr>
                        <w:t xml:space="preserve">Index: </w:t>
                      </w:r>
                      <w:r w:rsidR="00851B81" w:rsidRPr="00851B81">
                        <w:rPr>
                          <w:rFonts w:ascii="Segoe UI" w:eastAsia="Calibri" w:hAnsi="Segoe UI" w:cs="Segoe UI"/>
                          <w:b/>
                          <w:color w:val="3B1D1E"/>
                          <w:sz w:val="20"/>
                          <w:szCs w:val="20"/>
                        </w:rPr>
                        <w:t>EUR 20/1253/2026</w:t>
                      </w:r>
                    </w:p>
                    <w:p w14:paraId="13BA83E2" w14:textId="703F3C84" w:rsidR="00070213" w:rsidRPr="00014BD2" w:rsidRDefault="00070213" w:rsidP="0081658E">
                      <w:pPr>
                        <w:pStyle w:val="BCopyrightsmallprint"/>
                        <w:rPr>
                          <w:sz w:val="21"/>
                          <w:szCs w:val="21"/>
                        </w:rPr>
                      </w:pPr>
                      <w:r w:rsidRPr="00392F19">
                        <w:rPr>
                          <w:sz w:val="21"/>
                          <w:szCs w:val="21"/>
                        </w:rPr>
                        <w:t>Publication</w:t>
                      </w:r>
                      <w:r w:rsidRPr="00014BD2">
                        <w:rPr>
                          <w:sz w:val="21"/>
                          <w:szCs w:val="21"/>
                        </w:rPr>
                        <w:t xml:space="preserve">: </w:t>
                      </w:r>
                      <w:r w:rsidR="00851B81">
                        <w:rPr>
                          <w:rStyle w:val="Boldbodycharacter"/>
                          <w:sz w:val="21"/>
                          <w:szCs w:val="21"/>
                        </w:rPr>
                        <w:t>July</w:t>
                      </w:r>
                      <w:r w:rsidR="00932357">
                        <w:rPr>
                          <w:rStyle w:val="Boldbodycharacter"/>
                          <w:sz w:val="21"/>
                          <w:szCs w:val="21"/>
                        </w:rPr>
                        <w:t xml:space="preserve"> 2026</w:t>
                      </w:r>
                    </w:p>
                    <w:p w14:paraId="75622893" w14:textId="77777777" w:rsidR="00070213" w:rsidRPr="00014BD2" w:rsidRDefault="00070213" w:rsidP="0081658E">
                      <w:pPr>
                        <w:pStyle w:val="BCopyrightsmallprint"/>
                        <w:rPr>
                          <w:sz w:val="21"/>
                          <w:szCs w:val="21"/>
                        </w:rPr>
                      </w:pPr>
                      <w:r w:rsidRPr="00014BD2">
                        <w:rPr>
                          <w:sz w:val="21"/>
                          <w:szCs w:val="21"/>
                        </w:rPr>
                        <w:t xml:space="preserve">Original language: </w:t>
                      </w:r>
                      <w:r w:rsidRPr="00014BD2">
                        <w:rPr>
                          <w:rFonts w:ascii="Amnesty Trade Gothic" w:hAnsi="Amnesty Trade Gothic"/>
                          <w:b/>
                          <w:sz w:val="21"/>
                          <w:szCs w:val="21"/>
                        </w:rPr>
                        <w:t>English</w:t>
                      </w:r>
                    </w:p>
                    <w:p w14:paraId="51BB8770" w14:textId="5765C0D7" w:rsidR="00070213" w:rsidRPr="000660E7" w:rsidRDefault="00070213" w:rsidP="00140418">
                      <w:pPr>
                        <w:pStyle w:val="BCopyrightsmallprint"/>
                        <w:rPr>
                          <w:sz w:val="16"/>
                          <w:szCs w:val="16"/>
                        </w:rPr>
                      </w:pPr>
                      <w:r w:rsidRPr="00014BD2">
                        <w:rPr>
                          <w:sz w:val="16"/>
                          <w:szCs w:val="16"/>
                        </w:rPr>
                        <w:t>© Amnesty International 202</w:t>
                      </w:r>
                      <w:r w:rsidR="00932357">
                        <w:rPr>
                          <w:sz w:val="16"/>
                          <w:szCs w:val="16"/>
                        </w:rPr>
                        <w:t>6</w:t>
                      </w:r>
                    </w:p>
                    <w:p w14:paraId="2247AD3B" w14:textId="77777777" w:rsidR="00070213" w:rsidRDefault="00070213"/>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1584"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070213" w:rsidRPr="00D4065A" w:rsidRDefault="0007021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070213" w:rsidRPr="00D4065A" w:rsidRDefault="0007021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932357">
      <w:headerReference w:type="default" r:id="rId35"/>
      <w:headerReference w:type="first" r:id="rId36"/>
      <w:type w:val="continuous"/>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D5C94" w14:textId="77777777" w:rsidR="001F3076" w:rsidRDefault="001F3076" w:rsidP="003A7195">
      <w:r>
        <w:separator/>
      </w:r>
    </w:p>
  </w:endnote>
  <w:endnote w:type="continuationSeparator" w:id="0">
    <w:p w14:paraId="14C298FD" w14:textId="77777777" w:rsidR="001F3076" w:rsidRDefault="001F3076" w:rsidP="003A7195">
      <w:r>
        <w:continuationSeparator/>
      </w:r>
    </w:p>
  </w:endnote>
  <w:endnote w:type="continuationNotice" w:id="1">
    <w:p w14:paraId="61158E62" w14:textId="77777777" w:rsidR="001F3076" w:rsidRDefault="001F3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20C4" w14:textId="13A12D09" w:rsidR="002B05E8" w:rsidRPr="00914551" w:rsidRDefault="00652E46" w:rsidP="002B05E8">
    <w:pPr>
      <w:pStyle w:val="BFootertitle"/>
      <w:spacing w:before="160"/>
    </w:pPr>
    <w:r>
      <w:rPr>
        <w:noProof/>
      </w:rPr>
      <w:drawing>
        <wp:anchor distT="0" distB="0" distL="114300" distR="114300" simplePos="0" relativeHeight="251652608" behindDoc="0" locked="0" layoutInCell="1" allowOverlap="1" wp14:anchorId="565E04C6" wp14:editId="188B2FD0">
          <wp:simplePos x="0" y="0"/>
          <wp:positionH relativeFrom="page">
            <wp:posOffset>5363210</wp:posOffset>
          </wp:positionH>
          <wp:positionV relativeFrom="paragraph">
            <wp:posOffset>0</wp:posOffset>
          </wp:positionV>
          <wp:extent cx="1468755" cy="626110"/>
          <wp:effectExtent l="0" t="0" r="0" b="2540"/>
          <wp:wrapNone/>
          <wp:docPr id="1749800737" name="Picture 1749800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B05E8">
      <w:t>slovenia</w:t>
    </w:r>
    <w:r w:rsidR="002B05E8" w:rsidRPr="00914551">
      <w:tab/>
    </w:r>
  </w:p>
  <w:p w14:paraId="46C9BD9E" w14:textId="77777777" w:rsidR="002B05E8" w:rsidRDefault="002B05E8" w:rsidP="002B05E8">
    <w:pPr>
      <w:pStyle w:val="BFooterbriefingsubtitle"/>
      <w:rPr>
        <w:lang w:val="en-GB"/>
      </w:rPr>
    </w:pPr>
    <w:r w:rsidRPr="0021319C">
      <w:rPr>
        <w:lang w:val="en-GB"/>
      </w:rPr>
      <w:t xml:space="preserve">SUBMISSION TO THE UN COMMITTEE ON THE ELIMINATION OF RACIAL DISCRIMINATION </w:t>
    </w:r>
  </w:p>
  <w:p w14:paraId="447C3C00" w14:textId="77777777" w:rsidR="002B05E8" w:rsidRPr="0021319C" w:rsidRDefault="002B05E8" w:rsidP="002B05E8">
    <w:pPr>
      <w:pStyle w:val="BFooterbriefingsubtitle"/>
      <w:rPr>
        <w:lang w:val="en-GB"/>
      </w:rPr>
    </w:pPr>
    <w:r w:rsidRPr="00914551">
      <w:tab/>
    </w:r>
  </w:p>
  <w:p w14:paraId="6D16B187" w14:textId="77777777" w:rsidR="002B05E8" w:rsidRPr="003E2AA1" w:rsidRDefault="002B05E8" w:rsidP="002B05E8">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1</w:t>
    </w:r>
    <w:r w:rsidRPr="003E2AA1">
      <w:rPr>
        <w:rFonts w:ascii="Amnesty Trade Gothic Cn" w:hAnsi="Amnesty Trade Gothic Cn"/>
        <w:noProof/>
      </w:rPr>
      <w:fldChar w:fldCharType="end"/>
    </w:r>
  </w:p>
  <w:p w14:paraId="31E3F20E" w14:textId="1AA5669B" w:rsidR="002B05E8" w:rsidRPr="003E2AA1" w:rsidRDefault="002B05E8" w:rsidP="00DB570D">
    <w:pPr>
      <w:pStyle w:val="BFootertitle"/>
      <w:spacing w:before="160"/>
    </w:pPr>
  </w:p>
  <w:p w14:paraId="68376FFA" w14:textId="77777777" w:rsidR="00070213" w:rsidRPr="003E2AA1" w:rsidRDefault="00070213" w:rsidP="004458F9">
    <w:pPr>
      <w:tabs>
        <w:tab w:val="center" w:pos="4423"/>
        <w:tab w:val="right" w:pos="992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337C" w14:textId="121559BA" w:rsidR="00070213" w:rsidRDefault="00070213">
    <w:pPr>
      <w:pStyle w:val="Footer"/>
    </w:pPr>
    <w:r w:rsidRPr="00CB0FBD">
      <w:rPr>
        <w:noProof/>
        <w:lang w:eastAsia="en-GB"/>
      </w:rPr>
      <w:drawing>
        <wp:anchor distT="0" distB="0" distL="114300" distR="114300" simplePos="0" relativeHeight="251654656"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850083408" name="Picture 85008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2ABC" w14:textId="63E7DD13" w:rsidR="002B05E8" w:rsidRPr="00914551" w:rsidRDefault="00242DCE" w:rsidP="002B05E8">
    <w:pPr>
      <w:pStyle w:val="BFootertitle"/>
      <w:spacing w:before="160"/>
    </w:pPr>
    <w:r>
      <w:t>Finland</w:t>
    </w:r>
    <w:r w:rsidR="002B05E8" w:rsidRPr="00914551">
      <w:tab/>
    </w:r>
  </w:p>
  <w:p w14:paraId="2EC762D0" w14:textId="77777777" w:rsidR="002B05E8" w:rsidRDefault="002B05E8" w:rsidP="002B05E8">
    <w:pPr>
      <w:pStyle w:val="BFooterbriefingsubtitle"/>
      <w:rPr>
        <w:lang w:val="en-GB"/>
      </w:rPr>
    </w:pPr>
    <w:r w:rsidRPr="0021319C">
      <w:rPr>
        <w:lang w:val="en-GB"/>
      </w:rPr>
      <w:t xml:space="preserve">SUBMISSION TO THE UN COMMITTEE ON THE ELIMINATION OF RACIAL DISCRIMINATION </w:t>
    </w:r>
  </w:p>
  <w:p w14:paraId="32268A59" w14:textId="77777777" w:rsidR="002B05E8" w:rsidRPr="0021319C" w:rsidRDefault="002B05E8" w:rsidP="002B05E8">
    <w:pPr>
      <w:pStyle w:val="BFooterbriefingsubtitle"/>
      <w:rPr>
        <w:lang w:val="en-GB"/>
      </w:rPr>
    </w:pPr>
    <w:r w:rsidRPr="00914551">
      <w:tab/>
    </w:r>
  </w:p>
  <w:p w14:paraId="3DD85DE7" w14:textId="768AF834" w:rsidR="002B05E8" w:rsidRPr="00B304D5" w:rsidRDefault="002B05E8" w:rsidP="00B304D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1</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9020E" w14:textId="77777777" w:rsidR="00352DEE" w:rsidRPr="00914551" w:rsidRDefault="00352DEE" w:rsidP="00352DEE">
    <w:pPr>
      <w:pStyle w:val="BFootertitle"/>
      <w:spacing w:before="160"/>
    </w:pPr>
    <w:r>
      <w:t>Finland</w:t>
    </w:r>
    <w:r w:rsidRPr="00914551">
      <w:tab/>
    </w:r>
  </w:p>
  <w:p w14:paraId="1830AC67" w14:textId="77777777" w:rsidR="00352DEE" w:rsidRDefault="00352DEE" w:rsidP="00352DEE">
    <w:pPr>
      <w:pStyle w:val="BFooterbriefingsubtitle"/>
      <w:rPr>
        <w:lang w:val="en-GB"/>
      </w:rPr>
    </w:pPr>
    <w:r w:rsidRPr="0021319C">
      <w:rPr>
        <w:lang w:val="en-GB"/>
      </w:rPr>
      <w:t xml:space="preserve">SUBMISSION TO THE UN COMMITTEE ON THE ELIMINATION OF RACIAL DISCRIMINATION </w:t>
    </w:r>
  </w:p>
  <w:p w14:paraId="1E52B2AD" w14:textId="77777777" w:rsidR="00352DEE" w:rsidRPr="0021319C" w:rsidRDefault="00352DEE" w:rsidP="00352DEE">
    <w:pPr>
      <w:pStyle w:val="BFooterbriefingsubtitle"/>
      <w:rPr>
        <w:lang w:val="en-GB"/>
      </w:rPr>
    </w:pPr>
    <w:r w:rsidRPr="00914551">
      <w:tab/>
    </w:r>
  </w:p>
  <w:p w14:paraId="43DFA68C" w14:textId="7A26C788" w:rsidR="00352DEE" w:rsidRPr="00BD7009" w:rsidRDefault="00352DEE" w:rsidP="00BD7009">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8235" w14:textId="655B663C" w:rsidR="00547927" w:rsidRPr="00547927" w:rsidRDefault="00547927" w:rsidP="00547927">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76812" w14:textId="77777777" w:rsidR="001F3076" w:rsidRDefault="001F3076" w:rsidP="003A7195">
      <w:r>
        <w:separator/>
      </w:r>
    </w:p>
  </w:footnote>
  <w:footnote w:type="continuationSeparator" w:id="0">
    <w:p w14:paraId="30E65947" w14:textId="77777777" w:rsidR="001F3076" w:rsidRDefault="001F3076" w:rsidP="003A7195">
      <w:r>
        <w:continuationSeparator/>
      </w:r>
    </w:p>
  </w:footnote>
  <w:footnote w:type="continuationNotice" w:id="1">
    <w:p w14:paraId="493CD480" w14:textId="77777777" w:rsidR="001F3076" w:rsidRDefault="001F3076"/>
  </w:footnote>
  <w:footnote w:id="2">
    <w:p w14:paraId="519A1F3E" w14:textId="77777777" w:rsidR="00286D21" w:rsidRPr="00242DCE" w:rsidRDefault="00286D2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Government, A Strong and Committed Finland: Programme of Prime Minister Petteri Orpo’s Government 20 June 2023, 2023, </w:t>
      </w:r>
      <w:hyperlink r:id="rId1" w:history="1">
        <w:r w:rsidRPr="00242DCE">
          <w:rPr>
            <w:rStyle w:val="Hyperlink"/>
            <w:rFonts w:asciiTheme="minorHAnsi" w:hAnsiTheme="minorHAnsi"/>
            <w:lang w:val="en-US"/>
          </w:rPr>
          <w:t>https://urn.fi/URN:ISBN:978-952-383-818-5</w:t>
        </w:r>
      </w:hyperlink>
      <w:r w:rsidRPr="00242DCE">
        <w:rPr>
          <w:rFonts w:asciiTheme="minorHAnsi" w:hAnsiTheme="minorHAnsi"/>
          <w:lang w:val="en-US"/>
        </w:rPr>
        <w:t xml:space="preserve">; Amnesty International Finnish Section, “Amnesty: </w:t>
      </w:r>
      <w:proofErr w:type="spellStart"/>
      <w:r w:rsidRPr="00242DCE">
        <w:rPr>
          <w:rFonts w:asciiTheme="minorHAnsi" w:hAnsiTheme="minorHAnsi"/>
          <w:lang w:val="en-US"/>
        </w:rPr>
        <w:t>Hallitusohjelma</w:t>
      </w:r>
      <w:proofErr w:type="spellEnd"/>
      <w:r w:rsidRPr="00242DCE">
        <w:rPr>
          <w:rFonts w:asciiTheme="minorHAnsi" w:hAnsiTheme="minorHAnsi"/>
          <w:lang w:val="en-US"/>
        </w:rPr>
        <w:t xml:space="preserve"> </w:t>
      </w:r>
      <w:proofErr w:type="spellStart"/>
      <w:r w:rsidRPr="00242DCE">
        <w:rPr>
          <w:rFonts w:asciiTheme="minorHAnsi" w:hAnsiTheme="minorHAnsi"/>
          <w:lang w:val="en-US"/>
        </w:rPr>
        <w:t>ihmisoikeuksien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näkökulmasta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heikko</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ristiriitainen</w:t>
      </w:r>
      <w:proofErr w:type="spellEnd"/>
      <w:r w:rsidRPr="00242DCE">
        <w:rPr>
          <w:rFonts w:asciiTheme="minorHAnsi" w:hAnsiTheme="minorHAnsi"/>
          <w:lang w:val="en-US"/>
        </w:rPr>
        <w:t xml:space="preserve">” ["Amnesty: Government Programme weak and contradictory from the perspective of human rights"], 21 June 2023, </w:t>
      </w:r>
      <w:hyperlink r:id="rId2" w:history="1">
        <w:r w:rsidRPr="00242DCE">
          <w:rPr>
            <w:rStyle w:val="Hyperlink"/>
            <w:rFonts w:asciiTheme="minorHAnsi" w:hAnsiTheme="minorHAnsi"/>
            <w:lang w:val="en-US"/>
          </w:rPr>
          <w:t>https://www.amnesty.fi/amnesty-hallitusohjelma-ihmisoikeuksien-nakokulmasta-heikko-ja-ristiriitainen/ (in Finnish)</w:t>
        </w:r>
      </w:hyperlink>
      <w:r w:rsidRPr="00242DCE">
        <w:rPr>
          <w:rFonts w:asciiTheme="minorHAnsi" w:hAnsiTheme="minorHAnsi"/>
          <w:lang w:val="en-US"/>
        </w:rPr>
        <w:t>.</w:t>
      </w:r>
    </w:p>
  </w:footnote>
  <w:footnote w:id="3">
    <w:p w14:paraId="20AD718E" w14:textId="77777777" w:rsidR="00286D21" w:rsidRPr="00242DCE" w:rsidRDefault="00286D2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Government, Government statement to Parliament on promoting equality, gender equality and non-discrimination in Finnish society, 2023, </w:t>
      </w:r>
      <w:hyperlink r:id="rId3" w:history="1">
        <w:r w:rsidRPr="00242DCE">
          <w:rPr>
            <w:rStyle w:val="Hyperlink"/>
            <w:rFonts w:asciiTheme="minorHAnsi" w:hAnsiTheme="minorHAnsi"/>
            <w:lang w:val="en-US"/>
          </w:rPr>
          <w:t>https://urn.fi/URN:NBN:fi-fe20230829112043</w:t>
        </w:r>
      </w:hyperlink>
      <w:r w:rsidRPr="00242DCE">
        <w:rPr>
          <w:rFonts w:asciiTheme="minorHAnsi" w:hAnsiTheme="minorHAnsi"/>
          <w:lang w:val="en-US"/>
        </w:rPr>
        <w:t xml:space="preserve">;  Ministry of Justice, Finland, An Equal Finland: Government Action Plan for Combating Racism and Promoting Good Relations between Population Groups, 2022, </w:t>
      </w:r>
      <w:hyperlink r:id="rId4" w:history="1">
        <w:r w:rsidRPr="00242DCE">
          <w:rPr>
            <w:rStyle w:val="Hyperlink"/>
            <w:rFonts w:asciiTheme="minorHAnsi" w:hAnsiTheme="minorHAnsi"/>
            <w:lang w:val="en-US"/>
          </w:rPr>
          <w:t>https://urn.fi/URN:ISBN:978-952-259-813-4</w:t>
        </w:r>
      </w:hyperlink>
      <w:r w:rsidRPr="00242DCE">
        <w:rPr>
          <w:rFonts w:asciiTheme="minorHAnsi" w:hAnsiTheme="minorHAnsi"/>
          <w:lang w:val="en-US"/>
        </w:rPr>
        <w:t>.</w:t>
      </w:r>
    </w:p>
  </w:footnote>
  <w:footnote w:id="4">
    <w:p w14:paraId="38EA1ADF" w14:textId="77777777" w:rsidR="00286D21" w:rsidRPr="00242DCE" w:rsidRDefault="00286D21" w:rsidP="00242DCE">
      <w:pPr>
        <w:pStyle w:val="FootnoteText"/>
        <w:spacing w:after="0"/>
        <w:rPr>
          <w:rFonts w:asciiTheme="minorHAnsi" w:hAnsiTheme="minorHAnsi"/>
          <w:b/>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Finnish Section, ”</w:t>
      </w:r>
      <w:proofErr w:type="spellStart"/>
      <w:r w:rsidRPr="00242DCE">
        <w:rPr>
          <w:rFonts w:asciiTheme="minorHAnsi" w:hAnsiTheme="minorHAnsi"/>
          <w:lang w:val="en-US"/>
        </w:rPr>
        <w:t>Yhteiskannanotto</w:t>
      </w:r>
      <w:proofErr w:type="spellEnd"/>
      <w:r w:rsidRPr="00242DCE">
        <w:rPr>
          <w:rFonts w:asciiTheme="minorHAnsi" w:hAnsiTheme="minorHAnsi"/>
          <w:lang w:val="en-US"/>
        </w:rPr>
        <w:t xml:space="preserve">: </w:t>
      </w:r>
      <w:proofErr w:type="spellStart"/>
      <w:r w:rsidRPr="00242DCE">
        <w:rPr>
          <w:rFonts w:asciiTheme="minorHAnsi" w:hAnsiTheme="minorHAnsi"/>
          <w:lang w:val="en-US"/>
        </w:rPr>
        <w:t>Hallituksen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politiikka</w:t>
      </w:r>
      <w:proofErr w:type="spellEnd"/>
      <w:r w:rsidRPr="00242DCE">
        <w:rPr>
          <w:rFonts w:asciiTheme="minorHAnsi" w:hAnsiTheme="minorHAnsi"/>
          <w:lang w:val="en-US"/>
        </w:rPr>
        <w:t xml:space="preserve"> </w:t>
      </w:r>
      <w:proofErr w:type="spellStart"/>
      <w:r w:rsidRPr="00242DCE">
        <w:rPr>
          <w:rFonts w:asciiTheme="minorHAnsi" w:hAnsiTheme="minorHAnsi"/>
          <w:lang w:val="en-US"/>
        </w:rPr>
        <w:t>uhkaa</w:t>
      </w:r>
      <w:proofErr w:type="spellEnd"/>
      <w:r w:rsidRPr="00242DCE">
        <w:rPr>
          <w:rFonts w:asciiTheme="minorHAnsi" w:hAnsiTheme="minorHAnsi"/>
          <w:lang w:val="en-US"/>
        </w:rPr>
        <w:t xml:space="preserve"> </w:t>
      </w:r>
      <w:proofErr w:type="spellStart"/>
      <w:r w:rsidRPr="00242DCE">
        <w:rPr>
          <w:rFonts w:asciiTheme="minorHAnsi" w:hAnsiTheme="minorHAnsi"/>
          <w:lang w:val="en-US"/>
        </w:rPr>
        <w:t>syventää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rasismia</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syrjintää</w:t>
      </w:r>
      <w:proofErr w:type="spellEnd"/>
      <w:r w:rsidRPr="00242DCE">
        <w:rPr>
          <w:rFonts w:asciiTheme="minorHAnsi" w:hAnsiTheme="minorHAnsi"/>
          <w:lang w:val="en-US"/>
        </w:rPr>
        <w:t xml:space="preserve">” [“Joint statement: Government policy threatens to deepen racism and discrimination”],18 March 2024, </w:t>
      </w:r>
      <w:hyperlink r:id="rId5" w:history="1">
        <w:r w:rsidRPr="00242DCE">
          <w:rPr>
            <w:rStyle w:val="Hyperlink"/>
            <w:rFonts w:asciiTheme="minorHAnsi" w:hAnsiTheme="minorHAnsi"/>
            <w:lang w:val="en-US"/>
          </w:rPr>
          <w:t>https://www.amnesty.fi/yhteiskannanotto-hallituksen-politiikka-uhkaa-syventaa-rasismia-ja-syrjintaa/ (in Finnish)</w:t>
        </w:r>
      </w:hyperlink>
      <w:r w:rsidRPr="00242DCE">
        <w:rPr>
          <w:rFonts w:asciiTheme="minorHAnsi" w:hAnsiTheme="minorHAnsi"/>
          <w:lang w:val="en-US"/>
        </w:rPr>
        <w:t>; Amnesty International Finnish Section, “</w:t>
      </w:r>
      <w:proofErr w:type="spellStart"/>
      <w:r w:rsidRPr="00242DCE">
        <w:rPr>
          <w:rFonts w:asciiTheme="minorHAnsi" w:hAnsiTheme="minorHAnsi"/>
          <w:lang w:val="en-US"/>
        </w:rPr>
        <w:t>Järjestöt</w:t>
      </w:r>
      <w:proofErr w:type="spellEnd"/>
      <w:r w:rsidRPr="00242DCE">
        <w:rPr>
          <w:rFonts w:asciiTheme="minorHAnsi" w:hAnsiTheme="minorHAnsi"/>
          <w:lang w:val="en-US"/>
        </w:rPr>
        <w:t xml:space="preserve"> </w:t>
      </w:r>
      <w:proofErr w:type="spellStart"/>
      <w:r w:rsidRPr="00242DCE">
        <w:rPr>
          <w:rFonts w:asciiTheme="minorHAnsi" w:hAnsiTheme="minorHAnsi"/>
          <w:lang w:val="en-US"/>
        </w:rPr>
        <w:t>peräänkuuluttavat</w:t>
      </w:r>
      <w:proofErr w:type="spellEnd"/>
      <w:r w:rsidRPr="00242DCE">
        <w:rPr>
          <w:rFonts w:asciiTheme="minorHAnsi" w:hAnsiTheme="minorHAnsi"/>
          <w:lang w:val="en-US"/>
        </w:rPr>
        <w:t xml:space="preserve"> </w:t>
      </w:r>
      <w:proofErr w:type="spellStart"/>
      <w:r w:rsidRPr="00242DCE">
        <w:rPr>
          <w:rFonts w:asciiTheme="minorHAnsi" w:hAnsiTheme="minorHAnsi"/>
          <w:lang w:val="en-US"/>
        </w:rPr>
        <w:t>hallitukselta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antirasistista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politiikkaa</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yhdenvertaisuutta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edistävää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lainsäädäntöä</w:t>
      </w:r>
      <w:proofErr w:type="spellEnd"/>
      <w:r w:rsidRPr="00242DCE">
        <w:rPr>
          <w:rFonts w:asciiTheme="minorHAnsi" w:hAnsiTheme="minorHAnsi"/>
          <w:lang w:val="en-US"/>
        </w:rPr>
        <w:t xml:space="preserve">” [“NGOs call on the government to adopt anti-racist policies and legislation that promotes equality”], 12 September 2024, </w:t>
      </w:r>
      <w:hyperlink r:id="rId6" w:history="1">
        <w:r w:rsidRPr="00242DCE">
          <w:rPr>
            <w:rStyle w:val="Hyperlink"/>
            <w:rFonts w:asciiTheme="minorHAnsi" w:hAnsiTheme="minorHAnsi"/>
            <w:lang w:val="en-US"/>
          </w:rPr>
          <w:t>https://www.amnesty.fi/jarjestot-peraankuuluttavat-hallitukselta-antirasistista-politiikkaa-ja-yhdenvertaisuutta-edistavaa-lainsaadantoa/ (in Finnish)</w:t>
        </w:r>
      </w:hyperlink>
      <w:r w:rsidRPr="00242DCE">
        <w:rPr>
          <w:rFonts w:asciiTheme="minorHAnsi" w:hAnsiTheme="minorHAnsi"/>
          <w:lang w:val="en-US"/>
        </w:rPr>
        <w:t xml:space="preserve">. </w:t>
      </w:r>
    </w:p>
  </w:footnote>
  <w:footnote w:id="5">
    <w:p w14:paraId="08159F07" w14:textId="77777777" w:rsidR="00286D21" w:rsidRPr="00242DCE" w:rsidRDefault="00286D2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Government, A New Boost for Equality in Finland: Government action plan to combat racism and promote equality, 2024,  </w:t>
      </w:r>
      <w:hyperlink r:id="rId7" w:history="1">
        <w:r w:rsidRPr="00242DCE">
          <w:rPr>
            <w:rStyle w:val="Hyperlink"/>
            <w:rFonts w:asciiTheme="minorHAnsi" w:hAnsiTheme="minorHAnsi"/>
            <w:lang w:val="en-US"/>
          </w:rPr>
          <w:t>https://urn.fi/URN:ISBN:978-952-383-981-6</w:t>
        </w:r>
      </w:hyperlink>
      <w:r w:rsidRPr="00242DCE">
        <w:rPr>
          <w:rFonts w:asciiTheme="minorHAnsi" w:hAnsiTheme="minorHAnsi"/>
          <w:lang w:val="en-US"/>
        </w:rPr>
        <w:t>.</w:t>
      </w:r>
    </w:p>
  </w:footnote>
  <w:footnote w:id="6">
    <w:p w14:paraId="408283FE" w14:textId="77777777" w:rsidR="00286D21" w:rsidRPr="00242DCE" w:rsidRDefault="00286D21"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242DCE">
        <w:rPr>
          <w:rFonts w:asciiTheme="minorHAnsi" w:hAnsiTheme="minorHAnsi"/>
          <w:sz w:val="16"/>
          <w:szCs w:val="16"/>
          <w:lang w:val="en-US"/>
        </w:rPr>
        <w:t xml:space="preserve"> Amnesty International Finnish Section, Joint statement on anti-racism in Finland and recommendations 2026, 19 March 2026, </w:t>
      </w:r>
      <w:hyperlink r:id="rId8" w:history="1">
        <w:r w:rsidRPr="00242DCE">
          <w:rPr>
            <w:rStyle w:val="Hyperlink"/>
            <w:rFonts w:asciiTheme="minorHAnsi" w:hAnsiTheme="minorHAnsi"/>
            <w:sz w:val="16"/>
            <w:szCs w:val="16"/>
            <w:lang w:val="en-US"/>
          </w:rPr>
          <w:t>https://www.amnesty.fi/en/joint-statement-on-anti-racism-in-finland-and-recommendations-2026/</w:t>
        </w:r>
      </w:hyperlink>
      <w:r w:rsidRPr="00242DCE">
        <w:rPr>
          <w:rFonts w:asciiTheme="minorHAnsi" w:hAnsiTheme="minorHAnsi"/>
          <w:sz w:val="16"/>
          <w:szCs w:val="16"/>
          <w:lang w:val="en-US"/>
        </w:rPr>
        <w:t>. Amnesty International bases its positions on balancing freedom of expression and combating hate speech on the Rabat Plan of Action, see Human Rights Council, 11 January 2013, Rabat Plan of Action on the prohibition of advocacy of national, racial or religious hatred that constitutes incitement to discrimination, hostility or violence, UN Doc. A/HRC/22/17/Add.4, para 29.</w:t>
      </w:r>
    </w:p>
  </w:footnote>
  <w:footnote w:id="7">
    <w:p w14:paraId="6A0E86CE" w14:textId="7AC9343D" w:rsidR="00286D21" w:rsidRPr="00242DCE" w:rsidRDefault="00286D2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MAP Finland </w:t>
      </w:r>
      <w:proofErr w:type="spellStart"/>
      <w:r w:rsidRPr="00242DCE">
        <w:rPr>
          <w:rFonts w:asciiTheme="minorHAnsi" w:hAnsiTheme="minorHAnsi"/>
          <w:lang w:val="en-US"/>
        </w:rPr>
        <w:t>ry</w:t>
      </w:r>
      <w:proofErr w:type="spellEnd"/>
      <w:r w:rsidRPr="00242DCE">
        <w:rPr>
          <w:rFonts w:asciiTheme="minorHAnsi" w:hAnsiTheme="minorHAnsi"/>
          <w:lang w:val="en-US"/>
        </w:rPr>
        <w:t xml:space="preserve">, Artemjeff, </w:t>
      </w:r>
      <w:proofErr w:type="spellStart"/>
      <w:proofErr w:type="gramStart"/>
      <w:r w:rsidRPr="00242DCE">
        <w:rPr>
          <w:rFonts w:asciiTheme="minorHAnsi" w:hAnsiTheme="minorHAnsi"/>
          <w:lang w:val="en-US"/>
        </w:rPr>
        <w:t>P.,Attias</w:t>
      </w:r>
      <w:proofErr w:type="spellEnd"/>
      <w:proofErr w:type="gramEnd"/>
      <w:r w:rsidRPr="00242DCE">
        <w:rPr>
          <w:rFonts w:asciiTheme="minorHAnsi" w:hAnsiTheme="minorHAnsi"/>
          <w:lang w:val="en-US"/>
        </w:rPr>
        <w:t>, M. &amp; Mohammed, A., “</w:t>
      </w:r>
      <w:proofErr w:type="spellStart"/>
      <w:r w:rsidRPr="00242DCE">
        <w:rPr>
          <w:rFonts w:asciiTheme="minorHAnsi" w:hAnsiTheme="minorHAnsi"/>
          <w:lang w:val="en-US"/>
        </w:rPr>
        <w:t>Arviointi</w:t>
      </w:r>
      <w:proofErr w:type="spellEnd"/>
      <w:r w:rsidRPr="00242DCE">
        <w:rPr>
          <w:rFonts w:asciiTheme="minorHAnsi" w:hAnsiTheme="minorHAnsi"/>
          <w:lang w:val="en-US"/>
        </w:rPr>
        <w:t xml:space="preserve"> </w:t>
      </w:r>
      <w:proofErr w:type="spellStart"/>
      <w:r w:rsidRPr="00242DCE">
        <w:rPr>
          <w:rFonts w:asciiTheme="minorHAnsi" w:hAnsiTheme="minorHAnsi"/>
          <w:lang w:val="en-US"/>
        </w:rPr>
        <w:t>valtioneuvoston</w:t>
      </w:r>
      <w:proofErr w:type="spellEnd"/>
      <w:r w:rsidRPr="00242DCE">
        <w:rPr>
          <w:rFonts w:asciiTheme="minorHAnsi" w:hAnsiTheme="minorHAnsi"/>
          <w:lang w:val="en-US"/>
        </w:rPr>
        <w:t xml:space="preserve"> </w:t>
      </w:r>
      <w:proofErr w:type="spellStart"/>
      <w:r w:rsidRPr="00242DCE">
        <w:rPr>
          <w:rFonts w:asciiTheme="minorHAnsi" w:hAnsiTheme="minorHAnsi"/>
          <w:lang w:val="en-US"/>
        </w:rPr>
        <w:t>Yhdenvertainen</w:t>
      </w:r>
      <w:proofErr w:type="spellEnd"/>
      <w:r w:rsidRPr="00242DCE">
        <w:rPr>
          <w:rFonts w:asciiTheme="minorHAnsi" w:hAnsiTheme="minorHAnsi"/>
          <w:lang w:val="en-US"/>
        </w:rPr>
        <w:t xml:space="preserve"> Suomi -</w:t>
      </w:r>
      <w:proofErr w:type="spellStart"/>
      <w:r w:rsidRPr="00242DCE">
        <w:rPr>
          <w:rFonts w:asciiTheme="minorHAnsi" w:hAnsiTheme="minorHAnsi"/>
          <w:lang w:val="en-US"/>
        </w:rPr>
        <w:t>toimintaohjelmasta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rasismin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torjumiseksi</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väestösuhteiden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edistämiseksi</w:t>
      </w:r>
      <w:proofErr w:type="spellEnd"/>
      <w:r w:rsidRPr="00242DCE">
        <w:rPr>
          <w:rFonts w:asciiTheme="minorHAnsi" w:hAnsiTheme="minorHAnsi"/>
          <w:lang w:val="en-US"/>
        </w:rPr>
        <w:t xml:space="preserve">” [“Evaluation of the Government Action Plan on Equal Finland to Combat Racism and to Promote Goof Relations”], 2023, </w:t>
      </w:r>
      <w:hyperlink r:id="rId9" w:history="1">
        <w:r w:rsidRPr="00242DCE">
          <w:rPr>
            <w:rStyle w:val="Hyperlink"/>
            <w:rFonts w:asciiTheme="minorHAnsi" w:hAnsiTheme="minorHAnsi"/>
            <w:lang w:val="en-US"/>
          </w:rPr>
          <w:t>https://urn.fi/URN:ISBN:978-952-400-655-2</w:t>
        </w:r>
      </w:hyperlink>
      <w:r w:rsidRPr="00242DCE">
        <w:rPr>
          <w:rFonts w:asciiTheme="minorHAnsi" w:hAnsiTheme="minorHAnsi"/>
          <w:lang w:val="en-US"/>
        </w:rPr>
        <w:t xml:space="preserve">. See also: European Commission, February infringements package: key decisions, 18 February 2021, </w:t>
      </w:r>
      <w:hyperlink r:id="rId10" w:history="1">
        <w:r w:rsidRPr="00242DCE">
          <w:rPr>
            <w:rStyle w:val="Hyperlink"/>
            <w:rFonts w:asciiTheme="minorHAnsi" w:hAnsiTheme="minorHAnsi"/>
            <w:lang w:val="en-US"/>
          </w:rPr>
          <w:t>https://ec.europa.eu/commission/presscorner/detail/en/INF_21_441</w:t>
        </w:r>
      </w:hyperlink>
      <w:r w:rsidRPr="00242DCE">
        <w:rPr>
          <w:rFonts w:asciiTheme="minorHAnsi" w:hAnsiTheme="minorHAnsi"/>
          <w:lang w:val="en-US"/>
        </w:rPr>
        <w:t xml:space="preserve">. </w:t>
      </w:r>
    </w:p>
  </w:footnote>
  <w:footnote w:id="8">
    <w:p w14:paraId="4A567D61" w14:textId="77777777" w:rsidR="00286D21" w:rsidRPr="00242DCE" w:rsidRDefault="00286D2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See for example: UN Committee against Torture (CAT), Concluding observations: Finland, 3 June 2024, UN Doc. CAT/C/FIN/CO/8; UN Human Rights Committee (HRC), Report on follow-up to the concluding observations: Finland, 16 April 2024, Un Doc. CCPR/C/140/2/Add.1; Senta, C., Knezić, D., </w:t>
      </w:r>
      <w:proofErr w:type="spellStart"/>
      <w:r w:rsidRPr="00242DCE">
        <w:rPr>
          <w:rFonts w:asciiTheme="minorHAnsi" w:hAnsiTheme="minorHAnsi"/>
          <w:lang w:val="en-US"/>
        </w:rPr>
        <w:t>Sillfors</w:t>
      </w:r>
      <w:proofErr w:type="spellEnd"/>
      <w:r w:rsidRPr="00242DCE">
        <w:rPr>
          <w:rFonts w:asciiTheme="minorHAnsi" w:hAnsiTheme="minorHAnsi"/>
          <w:lang w:val="en-US"/>
        </w:rPr>
        <w:t xml:space="preserve">, P., Costa Sa, M. E., Ng'oma, N. &amp; </w:t>
      </w:r>
      <w:proofErr w:type="spellStart"/>
      <w:r w:rsidRPr="00242DCE">
        <w:rPr>
          <w:rFonts w:asciiTheme="minorHAnsi" w:hAnsiTheme="minorHAnsi"/>
          <w:lang w:val="en-US"/>
        </w:rPr>
        <w:t>O’Curry</w:t>
      </w:r>
      <w:proofErr w:type="spellEnd"/>
      <w:r w:rsidRPr="00242DCE">
        <w:rPr>
          <w:rFonts w:asciiTheme="minorHAnsi" w:hAnsiTheme="minorHAnsi"/>
          <w:lang w:val="en-US"/>
        </w:rPr>
        <w:t xml:space="preserve">, S., Mapping of the Needs of Hate Crime Victims in Croatia, Finland and Ireland, 2024, </w:t>
      </w:r>
      <w:hyperlink r:id="rId11" w:history="1">
        <w:r w:rsidRPr="00242DCE">
          <w:rPr>
            <w:rStyle w:val="Hyperlink"/>
            <w:rFonts w:asciiTheme="minorHAnsi" w:hAnsiTheme="minorHAnsi"/>
            <w:lang w:val="en-US"/>
          </w:rPr>
          <w:t>https://julkaisut.valtioneuvosto.fi/items/bc7be417-f5db-48c6-afa9-151975f4be1b</w:t>
        </w:r>
      </w:hyperlink>
      <w:r w:rsidRPr="00242DCE">
        <w:rPr>
          <w:rFonts w:asciiTheme="minorHAnsi" w:hAnsiTheme="minorHAnsi"/>
          <w:lang w:val="en-US"/>
        </w:rPr>
        <w:t xml:space="preserve">; Aaltonen, M. &amp; Al Omair, N., Centre of Excellence for Work against Hate Crimes and Discrimination – Concept report, </w:t>
      </w:r>
      <w:hyperlink r:id="rId12" w:history="1">
        <w:r w:rsidRPr="00242DCE">
          <w:rPr>
            <w:rStyle w:val="Hyperlink"/>
            <w:rFonts w:asciiTheme="minorHAnsi" w:hAnsiTheme="minorHAnsi"/>
            <w:lang w:val="en-US"/>
          </w:rPr>
          <w:t>https://urn.fi/URN:ISBN:978-952-400-759-7</w:t>
        </w:r>
      </w:hyperlink>
      <w:r w:rsidRPr="00242DCE">
        <w:rPr>
          <w:rFonts w:asciiTheme="minorHAnsi" w:hAnsiTheme="minorHAnsi"/>
          <w:lang w:val="en-US"/>
        </w:rPr>
        <w:t xml:space="preserve">;  </w:t>
      </w:r>
      <w:proofErr w:type="spellStart"/>
      <w:r w:rsidRPr="00242DCE">
        <w:rPr>
          <w:rFonts w:asciiTheme="minorHAnsi" w:hAnsiTheme="minorHAnsi"/>
          <w:lang w:val="en-US"/>
        </w:rPr>
        <w:t>Saresma</w:t>
      </w:r>
      <w:proofErr w:type="spellEnd"/>
      <w:r w:rsidRPr="00242DCE">
        <w:rPr>
          <w:rFonts w:asciiTheme="minorHAnsi" w:hAnsiTheme="minorHAnsi"/>
          <w:lang w:val="en-US"/>
        </w:rPr>
        <w:t xml:space="preserve">, T., </w:t>
      </w:r>
      <w:proofErr w:type="spellStart"/>
      <w:r w:rsidRPr="00242DCE">
        <w:rPr>
          <w:rFonts w:asciiTheme="minorHAnsi" w:hAnsiTheme="minorHAnsi"/>
          <w:lang w:val="en-US"/>
        </w:rPr>
        <w:t>Pöyhtäri</w:t>
      </w:r>
      <w:proofErr w:type="spellEnd"/>
      <w:r w:rsidRPr="00242DCE">
        <w:rPr>
          <w:rFonts w:asciiTheme="minorHAnsi" w:hAnsiTheme="minorHAnsi"/>
          <w:lang w:val="en-US"/>
        </w:rPr>
        <w:t xml:space="preserve">, R., Knuutila, A., Kosonen, H., Juutinen, M., Haara, P., Tulonen, U., </w:t>
      </w:r>
      <w:proofErr w:type="spellStart"/>
      <w:r w:rsidRPr="00242DCE">
        <w:rPr>
          <w:rFonts w:asciiTheme="minorHAnsi" w:hAnsiTheme="minorHAnsi"/>
          <w:lang w:val="en-US"/>
        </w:rPr>
        <w:t>Nikunen</w:t>
      </w:r>
      <w:proofErr w:type="spellEnd"/>
      <w:r w:rsidRPr="00242DCE">
        <w:rPr>
          <w:rFonts w:asciiTheme="minorHAnsi" w:hAnsiTheme="minorHAnsi"/>
          <w:lang w:val="en-US"/>
        </w:rPr>
        <w:t>, K. &amp; Rauta, J., “</w:t>
      </w:r>
      <w:proofErr w:type="spellStart"/>
      <w:r w:rsidRPr="00242DCE">
        <w:rPr>
          <w:rFonts w:asciiTheme="minorHAnsi" w:hAnsiTheme="minorHAnsi"/>
          <w:lang w:val="en-US"/>
        </w:rPr>
        <w:t>Verkkoviha</w:t>
      </w:r>
      <w:proofErr w:type="spellEnd"/>
      <w:r w:rsidRPr="00242DCE">
        <w:rPr>
          <w:rFonts w:asciiTheme="minorHAnsi" w:hAnsiTheme="minorHAnsi"/>
          <w:lang w:val="en-US"/>
        </w:rPr>
        <w:t xml:space="preserve"> : </w:t>
      </w:r>
      <w:proofErr w:type="spellStart"/>
      <w:r w:rsidRPr="00242DCE">
        <w:rPr>
          <w:rFonts w:asciiTheme="minorHAnsi" w:hAnsiTheme="minorHAnsi"/>
          <w:lang w:val="en-US"/>
        </w:rPr>
        <w:t>Vihapuheen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tuottajien</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levittäjien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verkostot</w:t>
      </w:r>
      <w:proofErr w:type="spellEnd"/>
      <w:r w:rsidRPr="00242DCE">
        <w:rPr>
          <w:rFonts w:asciiTheme="minorHAnsi" w:hAnsiTheme="minorHAnsi"/>
          <w:lang w:val="en-US"/>
        </w:rPr>
        <w:t xml:space="preserve">, </w:t>
      </w:r>
      <w:proofErr w:type="spellStart"/>
      <w:r w:rsidRPr="00242DCE">
        <w:rPr>
          <w:rFonts w:asciiTheme="minorHAnsi" w:hAnsiTheme="minorHAnsi"/>
          <w:lang w:val="en-US"/>
        </w:rPr>
        <w:t>toimintamuodot</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motiivit</w:t>
      </w:r>
      <w:proofErr w:type="spellEnd"/>
      <w:r w:rsidRPr="00242DCE">
        <w:rPr>
          <w:rFonts w:asciiTheme="minorHAnsi" w:hAnsiTheme="minorHAnsi"/>
          <w:lang w:val="en-US"/>
        </w:rPr>
        <w:t xml:space="preserve">” [“Online Hate: The networks, practices and motivations of the producers and distributors of hate speech”], 2022, </w:t>
      </w:r>
      <w:hyperlink r:id="rId13" w:history="1">
        <w:r w:rsidRPr="00242DCE">
          <w:rPr>
            <w:rStyle w:val="Hyperlink"/>
            <w:rFonts w:asciiTheme="minorHAnsi" w:hAnsiTheme="minorHAnsi"/>
            <w:lang w:val="en-US"/>
          </w:rPr>
          <w:t>https://urn.fi/URN:ISBN:978-952-383-298-5 (in Finnish)</w:t>
        </w:r>
      </w:hyperlink>
      <w:r w:rsidRPr="00242DCE">
        <w:rPr>
          <w:rFonts w:asciiTheme="minorHAnsi" w:hAnsiTheme="minorHAnsi"/>
          <w:lang w:val="en-US"/>
        </w:rPr>
        <w:t>; European Commission against Racism and Intolerance (ECRI) Report on Finland (Fifth monitoring cycle), CRI (2019)38, para. 44–45.</w:t>
      </w:r>
    </w:p>
  </w:footnote>
  <w:footnote w:id="9">
    <w:p w14:paraId="4104A168" w14:textId="77777777" w:rsidR="000C6F0C" w:rsidRPr="00242DCE" w:rsidRDefault="000C6F0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Non-Discrimination Ombudsman, ”</w:t>
      </w:r>
      <w:proofErr w:type="spellStart"/>
      <w:r w:rsidRPr="00242DCE">
        <w:rPr>
          <w:rFonts w:asciiTheme="minorHAnsi" w:hAnsiTheme="minorHAnsi"/>
          <w:lang w:val="en-US"/>
        </w:rPr>
        <w:t>Yhdenvertaisuusvaltuutetun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kertomus</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eduskunnalle</w:t>
      </w:r>
      <w:proofErr w:type="spellEnd"/>
      <w:r w:rsidRPr="00242DCE">
        <w:rPr>
          <w:rFonts w:asciiTheme="minorHAnsi" w:hAnsiTheme="minorHAnsi"/>
          <w:lang w:val="en-US"/>
        </w:rPr>
        <w:t xml:space="preserve"> 2026”, [“Report by the Non-Discrimination Ombudsman to the Parliament 2026”], K2/2026, 2026, </w:t>
      </w:r>
      <w:hyperlink r:id="rId14" w:history="1">
        <w:r w:rsidRPr="00242DCE">
          <w:rPr>
            <w:rStyle w:val="Hyperlink"/>
            <w:rFonts w:asciiTheme="minorHAnsi" w:hAnsiTheme="minorHAnsi"/>
            <w:lang w:val="en-US"/>
          </w:rPr>
          <w:t>https://yhdenvertaisuusvaltuutettu.fi/documents/25249352/42720545/Yhdenvertaisuusvaltuutetun%20kertomus%20eduskunnalle%202026%20(PDF).pdf/73a510ad-aaf5-e573-34b9-a0f1a09929b8?t=1774340587372 (in Finnish)</w:t>
        </w:r>
      </w:hyperlink>
      <w:r w:rsidRPr="00242DCE">
        <w:rPr>
          <w:rFonts w:asciiTheme="minorHAnsi" w:hAnsiTheme="minorHAnsi"/>
          <w:lang w:val="en-US"/>
        </w:rPr>
        <w:t xml:space="preserve">. </w:t>
      </w:r>
    </w:p>
  </w:footnote>
  <w:footnote w:id="10">
    <w:p w14:paraId="69B0E619" w14:textId="77777777" w:rsidR="000C6F0C" w:rsidRPr="00242DCE" w:rsidRDefault="000C6F0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European Union Agency for Fundamental Rights, Being Black in the EU: Experiences of People of African Descent, 2023, </w:t>
      </w:r>
      <w:hyperlink r:id="rId15" w:history="1">
        <w:r w:rsidRPr="00242DCE">
          <w:rPr>
            <w:rStyle w:val="Hyperlink"/>
            <w:rFonts w:asciiTheme="minorHAnsi" w:hAnsiTheme="minorHAnsi"/>
            <w:lang w:val="en-US"/>
          </w:rPr>
          <w:t>https://fra.europa.eu/en/publication/2023/being-black-eu</w:t>
        </w:r>
      </w:hyperlink>
      <w:r w:rsidRPr="00242DCE">
        <w:rPr>
          <w:rFonts w:asciiTheme="minorHAnsi" w:hAnsiTheme="minorHAnsi"/>
          <w:lang w:val="en-US"/>
        </w:rPr>
        <w:t xml:space="preserve">. </w:t>
      </w:r>
    </w:p>
  </w:footnote>
  <w:footnote w:id="11">
    <w:p w14:paraId="42784CAF" w14:textId="77777777" w:rsidR="000C6F0C" w:rsidRPr="00242DCE" w:rsidRDefault="000C6F0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Anti-Racist Forum, Shadow reports I, II and III: Together against Hate – shadow reports, 2021, 2022 and 2023, </w:t>
      </w:r>
      <w:hyperlink r:id="rId16" w:history="1">
        <w:r w:rsidRPr="00242DCE">
          <w:rPr>
            <w:rStyle w:val="Hyperlink"/>
            <w:rFonts w:asciiTheme="minorHAnsi" w:hAnsiTheme="minorHAnsi"/>
            <w:lang w:val="en-US"/>
          </w:rPr>
          <w:t>https://www.antiracistforum.org/together-against-hate-shadow-report</w:t>
        </w:r>
      </w:hyperlink>
      <w:r w:rsidRPr="00242DCE">
        <w:rPr>
          <w:rFonts w:asciiTheme="minorHAnsi" w:hAnsiTheme="minorHAnsi"/>
          <w:lang w:val="en-US"/>
        </w:rPr>
        <w:t xml:space="preserve">. </w:t>
      </w:r>
    </w:p>
  </w:footnote>
  <w:footnote w:id="12">
    <w:p w14:paraId="1C22BC3A" w14:textId="77777777" w:rsidR="000C6F0C" w:rsidRPr="00242DCE" w:rsidRDefault="000C6F0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European Commission, Special Eurobarometer, Discrimination in the European Union – Country Factsheets, Finland, 2023, </w:t>
      </w:r>
      <w:hyperlink r:id="rId17" w:history="1">
        <w:r w:rsidRPr="00242DCE">
          <w:rPr>
            <w:rStyle w:val="Hyperlink"/>
            <w:rFonts w:asciiTheme="minorHAnsi" w:hAnsiTheme="minorHAnsi"/>
            <w:lang w:val="en-US"/>
          </w:rPr>
          <w:t>https://europa.eu/eurobarometer/surveys/detail/2972</w:t>
        </w:r>
      </w:hyperlink>
      <w:r w:rsidRPr="00242DCE">
        <w:rPr>
          <w:rFonts w:asciiTheme="minorHAnsi" w:hAnsiTheme="minorHAnsi"/>
          <w:lang w:val="en-US"/>
        </w:rPr>
        <w:t>; see also Mannila, S., “</w:t>
      </w:r>
      <w:proofErr w:type="spellStart"/>
      <w:r w:rsidRPr="00242DCE">
        <w:rPr>
          <w:rFonts w:asciiTheme="minorHAnsi" w:hAnsiTheme="minorHAnsi"/>
          <w:lang w:val="en-US"/>
        </w:rPr>
        <w:t>Syrjintä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Suomessa</w:t>
      </w:r>
      <w:proofErr w:type="spellEnd"/>
      <w:r w:rsidRPr="00242DCE">
        <w:rPr>
          <w:rFonts w:asciiTheme="minorHAnsi" w:hAnsiTheme="minorHAnsi"/>
          <w:lang w:val="en-US"/>
        </w:rPr>
        <w:t xml:space="preserve"> 2020–2023: </w:t>
      </w:r>
      <w:proofErr w:type="spellStart"/>
      <w:r w:rsidRPr="00242DCE">
        <w:rPr>
          <w:rFonts w:asciiTheme="minorHAnsi" w:hAnsiTheme="minorHAnsi"/>
          <w:lang w:val="en-US"/>
        </w:rPr>
        <w:t>Tietoraportti</w:t>
      </w:r>
      <w:proofErr w:type="spellEnd"/>
      <w:r w:rsidRPr="00242DCE">
        <w:rPr>
          <w:rFonts w:asciiTheme="minorHAnsi" w:hAnsiTheme="minorHAnsi"/>
          <w:lang w:val="en-US"/>
        </w:rPr>
        <w:t xml:space="preserve">” [“Discrimination in Finland 2020–2023: Data Report”], 2024, </w:t>
      </w:r>
      <w:hyperlink r:id="rId18" w:history="1">
        <w:r w:rsidRPr="00242DCE">
          <w:rPr>
            <w:rStyle w:val="Hyperlink"/>
            <w:rFonts w:asciiTheme="minorHAnsi" w:hAnsiTheme="minorHAnsi"/>
            <w:lang w:val="en-US"/>
          </w:rPr>
          <w:t>https://urn.fi/URN:ISBN:978-952-400-955-3 (in Finnish)</w:t>
        </w:r>
      </w:hyperlink>
      <w:r w:rsidRPr="00242DCE">
        <w:rPr>
          <w:rFonts w:asciiTheme="minorHAnsi" w:hAnsiTheme="minorHAnsi"/>
          <w:lang w:val="en-US"/>
        </w:rPr>
        <w:t>,  pp. 15; see also The Finnish Roma Association, “</w:t>
      </w:r>
      <w:proofErr w:type="spellStart"/>
      <w:r w:rsidRPr="00242DCE">
        <w:rPr>
          <w:rFonts w:asciiTheme="minorHAnsi" w:hAnsiTheme="minorHAnsi"/>
          <w:lang w:val="en-US"/>
        </w:rPr>
        <w:t>Antigypsyismista</w:t>
      </w:r>
      <w:proofErr w:type="spellEnd"/>
      <w:r w:rsidRPr="00242DCE">
        <w:rPr>
          <w:rFonts w:asciiTheme="minorHAnsi" w:hAnsiTheme="minorHAnsi"/>
          <w:lang w:val="en-US"/>
        </w:rPr>
        <w:t xml:space="preserve">” [“On </w:t>
      </w:r>
      <w:proofErr w:type="spellStart"/>
      <w:r w:rsidRPr="00242DCE">
        <w:rPr>
          <w:rFonts w:asciiTheme="minorHAnsi" w:hAnsiTheme="minorHAnsi"/>
          <w:lang w:val="en-US"/>
        </w:rPr>
        <w:t>antigypsyism</w:t>
      </w:r>
      <w:proofErr w:type="spellEnd"/>
      <w:r w:rsidRPr="00242DCE">
        <w:rPr>
          <w:rFonts w:asciiTheme="minorHAnsi" w:hAnsiTheme="minorHAnsi"/>
          <w:lang w:val="en-US"/>
        </w:rPr>
        <w:t xml:space="preserve">”], </w:t>
      </w:r>
      <w:hyperlink r:id="rId19" w:history="1">
        <w:r w:rsidRPr="00242DCE">
          <w:rPr>
            <w:rStyle w:val="Hyperlink"/>
            <w:rFonts w:asciiTheme="minorHAnsi" w:hAnsiTheme="minorHAnsi"/>
            <w:lang w:val="en-US"/>
          </w:rPr>
          <w:t>https://www.suomenromaniyhdistys.fi/poliittinen-vaikuttaminen/rasisminvastainen-tyo/antigypsyismista/ (in Finnish)</w:t>
        </w:r>
      </w:hyperlink>
      <w:r w:rsidRPr="00242DCE">
        <w:rPr>
          <w:rFonts w:asciiTheme="minorHAnsi" w:hAnsiTheme="minorHAnsi"/>
          <w:lang w:val="en-US"/>
        </w:rPr>
        <w:t xml:space="preserve"> (accessed on 27 May 2026). </w:t>
      </w:r>
    </w:p>
  </w:footnote>
  <w:footnote w:id="13">
    <w:p w14:paraId="7B9BD110" w14:textId="77777777" w:rsidR="000C6F0C" w:rsidRPr="00242DCE" w:rsidRDefault="000C6F0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Roma Civil Monitoring, Finland – Country Fiche, 2025, </w:t>
      </w:r>
      <w:hyperlink r:id="rId20" w:history="1">
        <w:r w:rsidRPr="00242DCE">
          <w:rPr>
            <w:rStyle w:val="Hyperlink"/>
            <w:rFonts w:asciiTheme="minorHAnsi" w:hAnsiTheme="minorHAnsi"/>
            <w:lang w:val="en-US"/>
          </w:rPr>
          <w:t>https://www.romacivilmonitoring.eu/wp-content/uploads/2025/10/C3-FI-Country-Fiche-2025.pdf</w:t>
        </w:r>
      </w:hyperlink>
      <w:r w:rsidRPr="00242DCE">
        <w:rPr>
          <w:rFonts w:asciiTheme="minorHAnsi" w:hAnsiTheme="minorHAnsi"/>
          <w:lang w:val="en-US"/>
        </w:rPr>
        <w:t xml:space="preserve">. </w:t>
      </w:r>
    </w:p>
  </w:footnote>
  <w:footnote w:id="14">
    <w:p w14:paraId="23B04468" w14:textId="77777777" w:rsidR="000C6F0C" w:rsidRPr="00242DCE" w:rsidRDefault="000C6F0C"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242DCE">
        <w:rPr>
          <w:rFonts w:asciiTheme="minorHAnsi" w:hAnsiTheme="minorHAnsi"/>
          <w:sz w:val="16"/>
          <w:szCs w:val="16"/>
        </w:rPr>
        <w:t xml:space="preserve"> Human Rights Centre, “</w:t>
      </w:r>
      <w:proofErr w:type="spellStart"/>
      <w:r w:rsidRPr="00242DCE">
        <w:rPr>
          <w:rFonts w:asciiTheme="minorHAnsi" w:hAnsiTheme="minorHAnsi"/>
          <w:sz w:val="16"/>
          <w:szCs w:val="16"/>
        </w:rPr>
        <w:t>Kokemuksia</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ja</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näkemyksiä</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antisemitismistä</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Suomessa</w:t>
      </w:r>
      <w:proofErr w:type="spellEnd"/>
      <w:r w:rsidRPr="00242DCE">
        <w:rPr>
          <w:rFonts w:asciiTheme="minorHAnsi" w:hAnsiTheme="minorHAnsi"/>
          <w:sz w:val="16"/>
          <w:szCs w:val="16"/>
        </w:rPr>
        <w:t xml:space="preserve"> – </w:t>
      </w:r>
      <w:proofErr w:type="spellStart"/>
      <w:r w:rsidRPr="00242DCE">
        <w:rPr>
          <w:rFonts w:asciiTheme="minorHAnsi" w:hAnsiTheme="minorHAnsi"/>
          <w:sz w:val="16"/>
          <w:szCs w:val="16"/>
        </w:rPr>
        <w:t>Selvitys</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juutalaisiin</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kohdistuvasta</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syrjinnästä</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ja</w:t>
      </w:r>
      <w:proofErr w:type="spellEnd"/>
      <w:r w:rsidRPr="00242DCE">
        <w:rPr>
          <w:rFonts w:asciiTheme="minorHAnsi" w:hAnsiTheme="minorHAnsi"/>
          <w:sz w:val="16"/>
          <w:szCs w:val="16"/>
        </w:rPr>
        <w:t xml:space="preserve"> </w:t>
      </w:r>
      <w:proofErr w:type="spellStart"/>
      <w:r w:rsidRPr="00242DCE">
        <w:rPr>
          <w:rFonts w:asciiTheme="minorHAnsi" w:hAnsiTheme="minorHAnsi"/>
          <w:sz w:val="16"/>
          <w:szCs w:val="16"/>
        </w:rPr>
        <w:t>viharikollisuudesta</w:t>
      </w:r>
      <w:proofErr w:type="spellEnd"/>
      <w:r w:rsidRPr="00242DCE">
        <w:rPr>
          <w:rFonts w:asciiTheme="minorHAnsi" w:hAnsiTheme="minorHAnsi"/>
          <w:sz w:val="16"/>
          <w:szCs w:val="16"/>
        </w:rPr>
        <w:t xml:space="preserve">” [Experiences of and Views on Antisemitism in Finland – a Report on Discrimination and Hate Crimes against Jews], 2024, </w:t>
      </w:r>
      <w:hyperlink r:id="rId21" w:history="1">
        <w:r w:rsidRPr="00242DCE">
          <w:rPr>
            <w:rStyle w:val="Hyperlink"/>
            <w:rFonts w:asciiTheme="minorHAnsi" w:hAnsiTheme="minorHAnsi"/>
            <w:sz w:val="16"/>
            <w:szCs w:val="16"/>
          </w:rPr>
          <w:t>https://bin.yhdistysavain.fi/1586428/RWMi5qFyISAkQRjVPSEY0aINBa/Antisemitismiselvitys%202024.pdf (in Finnish)</w:t>
        </w:r>
      </w:hyperlink>
      <w:r w:rsidRPr="00242DCE">
        <w:rPr>
          <w:rFonts w:asciiTheme="minorHAnsi" w:hAnsiTheme="minorHAnsi"/>
          <w:sz w:val="16"/>
          <w:szCs w:val="16"/>
        </w:rPr>
        <w:t xml:space="preserve">. The report does not seek to </w:t>
      </w:r>
      <w:r w:rsidRPr="00242DCE">
        <w:rPr>
          <w:rFonts w:asciiTheme="minorHAnsi" w:hAnsiTheme="minorHAnsi"/>
          <w:sz w:val="16"/>
          <w:szCs w:val="16"/>
          <w:lang w:val="en"/>
        </w:rPr>
        <w:t xml:space="preserve">define antisemitism, or base its analysis in any definition of antisemitism, but to reflect on the perceptions and experiences of antisemitism and antisemitic discrimination among people who identify themselves as Jewish. </w:t>
      </w:r>
      <w:r w:rsidRPr="00242DCE">
        <w:rPr>
          <w:rFonts w:asciiTheme="minorHAnsi" w:hAnsiTheme="minorHAnsi"/>
          <w:sz w:val="16"/>
          <w:szCs w:val="16"/>
          <w:lang w:val="en-US"/>
        </w:rPr>
        <w:t>The study examined experiences of antisemitism and discrimination among people 16 years of age who identify themselves as Jews in Finland and who lived in Finland at the time of the study. The report utilized both quantitative and qualitative data and studied the experiences based on religion, culture, upbringing, ethnicity, kinship, or other reasons.</w:t>
      </w:r>
    </w:p>
  </w:footnote>
  <w:footnote w:id="15">
    <w:p w14:paraId="3C3D0B58" w14:textId="77777777" w:rsidR="000C6F0C" w:rsidRPr="00242DCE" w:rsidRDefault="000C6F0C" w:rsidP="00242DCE">
      <w:pPr>
        <w:pStyle w:val="FootnoteText"/>
        <w:spacing w:after="0"/>
        <w:rPr>
          <w:rFonts w:asciiTheme="minorHAnsi" w:hAnsiTheme="minorHAnsi"/>
          <w:lang w:val="sv-SE"/>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hAnsiTheme="minorHAnsi"/>
          <w:i/>
          <w:iCs/>
          <w:lang w:val="en-US"/>
        </w:rPr>
        <w:t>Ibid</w:t>
      </w:r>
      <w:r w:rsidRPr="00242DCE">
        <w:rPr>
          <w:rFonts w:asciiTheme="minorHAnsi" w:hAnsiTheme="minorHAnsi"/>
          <w:lang w:val="en-US"/>
        </w:rPr>
        <w:t xml:space="preserve">., pp. 3; see also Hiltunen Rainer, Country report – </w:t>
      </w:r>
      <w:proofErr w:type="gramStart"/>
      <w:r w:rsidRPr="00242DCE">
        <w:rPr>
          <w:rFonts w:asciiTheme="minorHAnsi" w:hAnsiTheme="minorHAnsi"/>
          <w:lang w:val="en-US"/>
        </w:rPr>
        <w:t>Non-discrimination</w:t>
      </w:r>
      <w:proofErr w:type="gramEnd"/>
      <w:r w:rsidRPr="00242DCE">
        <w:rPr>
          <w:rFonts w:asciiTheme="minorHAnsi" w:hAnsiTheme="minorHAnsi"/>
          <w:lang w:val="en-US"/>
        </w:rPr>
        <w:t xml:space="preserve">. Transposition and implementation at national level of Council Directives 2000/43 and 2000/78. </w:t>
      </w:r>
      <w:r w:rsidRPr="00242DCE">
        <w:rPr>
          <w:rFonts w:asciiTheme="minorHAnsi" w:hAnsiTheme="minorHAnsi"/>
          <w:lang w:val="sv-SE"/>
        </w:rPr>
        <w:t xml:space="preserve">Finland, 2025, </w:t>
      </w:r>
      <w:hyperlink r:id="rId22" w:history="1">
        <w:r w:rsidRPr="00242DCE">
          <w:rPr>
            <w:rStyle w:val="Hyperlink"/>
            <w:rFonts w:asciiTheme="minorHAnsi" w:hAnsiTheme="minorHAnsi"/>
            <w:lang w:val="sv-SE"/>
          </w:rPr>
          <w:t>https://www.migpolgroup.com/wp-content/uploads/2025/08/Finland-country-report-non-discrimination-DS0125069ENN.pdf</w:t>
        </w:r>
      </w:hyperlink>
      <w:r w:rsidRPr="00242DCE">
        <w:rPr>
          <w:rFonts w:asciiTheme="minorHAnsi" w:hAnsiTheme="minorHAnsi"/>
          <w:lang w:val="sv-SE"/>
        </w:rPr>
        <w:t>, pp. 66.</w:t>
      </w:r>
    </w:p>
  </w:footnote>
  <w:footnote w:id="16">
    <w:p w14:paraId="0CE90657" w14:textId="77777777" w:rsidR="000C6F0C" w:rsidRPr="00242DCE" w:rsidRDefault="000C6F0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proofErr w:type="spellStart"/>
      <w:r w:rsidRPr="00242DCE">
        <w:rPr>
          <w:rFonts w:asciiTheme="minorHAnsi" w:hAnsiTheme="minorHAnsi"/>
          <w:lang w:val="en-US"/>
        </w:rPr>
        <w:t>Bayrakli</w:t>
      </w:r>
      <w:proofErr w:type="spellEnd"/>
      <w:r w:rsidRPr="00242DCE">
        <w:rPr>
          <w:rFonts w:asciiTheme="minorHAnsi" w:hAnsiTheme="minorHAnsi"/>
          <w:lang w:val="en-US"/>
        </w:rPr>
        <w:t xml:space="preserve">, E. &amp; Hafez, F. (eds.), European Islamophobia Report 2022, 2023, </w:t>
      </w:r>
      <w:hyperlink r:id="rId23" w:history="1">
        <w:r w:rsidRPr="00242DCE">
          <w:rPr>
            <w:rStyle w:val="Hyperlink"/>
            <w:rFonts w:asciiTheme="minorHAnsi" w:hAnsiTheme="minorHAnsi"/>
            <w:lang w:val="en-US"/>
          </w:rPr>
          <w:t>https://islamophobiareport.com/islamophobiareport-2022.pdf</w:t>
        </w:r>
      </w:hyperlink>
      <w:r w:rsidRPr="00242DCE">
        <w:rPr>
          <w:rFonts w:asciiTheme="minorHAnsi" w:hAnsiTheme="minorHAnsi"/>
          <w:lang w:val="en-US"/>
        </w:rPr>
        <w:t xml:space="preserve">. </w:t>
      </w:r>
    </w:p>
  </w:footnote>
  <w:footnote w:id="17">
    <w:p w14:paraId="62A4E323" w14:textId="77777777" w:rsidR="000C6F0C" w:rsidRPr="00242DCE" w:rsidRDefault="000C6F0C" w:rsidP="00242DCE">
      <w:pPr>
        <w:pStyle w:val="FootnoteText"/>
        <w:spacing w:after="0"/>
        <w:rPr>
          <w:rFonts w:asciiTheme="minorHAnsi" w:hAnsiTheme="minorHAnsi"/>
        </w:rPr>
      </w:pPr>
      <w:r w:rsidRPr="00242DCE">
        <w:rPr>
          <w:rStyle w:val="FootnoteReference"/>
          <w:rFonts w:asciiTheme="minorHAnsi" w:hAnsiTheme="minorHAnsi"/>
        </w:rPr>
        <w:footnoteRef/>
      </w:r>
      <w:r w:rsidRPr="00242DCE">
        <w:rPr>
          <w:rFonts w:asciiTheme="minorHAnsi" w:hAnsiTheme="minorHAnsi"/>
          <w:lang w:val="en-US"/>
        </w:rPr>
        <w:t xml:space="preserve"> The statistics describe the discrimination experienced by Muslim respondents across the following grounds: skin colour, ethnic or immigrant background, religion or religious beliefs, age, sex/gender, disability, sexual orientation and gender identity </w:t>
      </w:r>
      <w:r w:rsidRPr="00242DCE">
        <w:rPr>
          <w:rFonts w:asciiTheme="minorHAnsi" w:hAnsiTheme="minorHAnsi"/>
        </w:rPr>
        <w:t xml:space="preserve">or gender expression. European Union Agency for Fundamental Rights, Being Muslim in the EU – Experiences of Muslims, 2024, </w:t>
      </w:r>
      <w:hyperlink r:id="rId24" w:history="1">
        <w:r w:rsidRPr="00242DCE">
          <w:rPr>
            <w:rStyle w:val="Hyperlink"/>
            <w:rFonts w:asciiTheme="minorHAnsi" w:hAnsiTheme="minorHAnsi"/>
          </w:rPr>
          <w:t>https://fra.europa.eu/en/publication/2024/being-muslim-eu</w:t>
        </w:r>
      </w:hyperlink>
      <w:r w:rsidRPr="00242DCE">
        <w:rPr>
          <w:rFonts w:asciiTheme="minorHAnsi" w:hAnsiTheme="minorHAnsi"/>
        </w:rPr>
        <w:t>.</w:t>
      </w:r>
    </w:p>
  </w:footnote>
  <w:footnote w:id="18">
    <w:p w14:paraId="6AAAA402" w14:textId="77777777" w:rsidR="000C6F0C" w:rsidRPr="00CD679B" w:rsidRDefault="000C6F0C"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CD679B">
        <w:rPr>
          <w:rFonts w:asciiTheme="minorHAnsi" w:hAnsiTheme="minorHAnsi"/>
          <w:lang w:val="fi-FI"/>
        </w:rPr>
        <w:t xml:space="preserve"> Owal Group, Jauhola, L., Siltala, J. &amp; Nieminen, K. </w:t>
      </w:r>
      <w:r w:rsidRPr="00CD679B">
        <w:rPr>
          <w:rFonts w:asciiTheme="minorHAnsi" w:hAnsiTheme="minorHAnsi"/>
          <w:lang w:val="fi-FI"/>
        </w:rPr>
        <w:t xml:space="preserve">“”Että puututtaisiin konkreettisesti”: Seurantaselvitys vihapuheesta ja häirinnästä ja niiden vaikutuksista eri vähemmistöryhmiin [“Hoping for a Concrete Intervention”: Follow-Up Survey on Hate Speech and Harassment and Their Effects on Different Minority Groups], 2022, </w:t>
      </w:r>
      <w:hyperlink r:id="rId25" w:history="1">
        <w:r w:rsidRPr="00CD679B">
          <w:rPr>
            <w:rStyle w:val="Hyperlink"/>
            <w:rFonts w:asciiTheme="minorHAnsi" w:hAnsiTheme="minorHAnsi"/>
            <w:lang w:val="fi-FI"/>
          </w:rPr>
          <w:t>http://urn.fi/URN:ISBN:978-952-400-482-4 (in Finnish)</w:t>
        </w:r>
      </w:hyperlink>
      <w:r w:rsidRPr="00CD679B">
        <w:rPr>
          <w:rFonts w:asciiTheme="minorHAnsi" w:hAnsiTheme="minorHAnsi"/>
          <w:lang w:val="fi-FI"/>
        </w:rPr>
        <w:t xml:space="preserve">.  </w:t>
      </w:r>
    </w:p>
  </w:footnote>
  <w:footnote w:id="19">
    <w:p w14:paraId="2F62C8F4" w14:textId="77777777" w:rsidR="000C6F0C" w:rsidRPr="00242DCE" w:rsidRDefault="000C6F0C" w:rsidP="00242DCE">
      <w:pPr>
        <w:pStyle w:val="FootnoteText"/>
        <w:spacing w:after="0"/>
        <w:rPr>
          <w:rFonts w:asciiTheme="minorHAnsi" w:hAnsiTheme="minorHAnsi"/>
          <w:b/>
        </w:rPr>
      </w:pPr>
      <w:r w:rsidRPr="00242DCE">
        <w:rPr>
          <w:rStyle w:val="FootnoteReference"/>
          <w:rFonts w:asciiTheme="minorHAnsi" w:hAnsiTheme="minorHAnsi"/>
        </w:rPr>
        <w:footnoteRef/>
      </w:r>
      <w:r w:rsidRPr="00242DCE">
        <w:rPr>
          <w:rFonts w:asciiTheme="minorHAnsi" w:hAnsiTheme="minorHAnsi"/>
        </w:rPr>
        <w:t xml:space="preserve"> Ministry of Interior, Finland, Racist crimes account for most hate crimes, </w:t>
      </w:r>
      <w:hyperlink r:id="rId26" w:history="1">
        <w:r w:rsidRPr="00242DCE">
          <w:rPr>
            <w:rStyle w:val="Hyperlink"/>
            <w:rFonts w:asciiTheme="minorHAnsi" w:hAnsiTheme="minorHAnsi"/>
          </w:rPr>
          <w:t>https://intermin.fi/en/police/hate-crime</w:t>
        </w:r>
      </w:hyperlink>
      <w:r w:rsidRPr="00242DCE">
        <w:rPr>
          <w:rFonts w:asciiTheme="minorHAnsi" w:hAnsiTheme="minorHAnsi"/>
          <w:b/>
          <w:bCs/>
        </w:rPr>
        <w:t xml:space="preserve"> </w:t>
      </w:r>
      <w:r w:rsidRPr="00242DCE">
        <w:rPr>
          <w:rFonts w:asciiTheme="minorHAnsi" w:hAnsiTheme="minorHAnsi"/>
        </w:rPr>
        <w:t xml:space="preserve"> (accessed on 26 May 2026). </w:t>
      </w:r>
    </w:p>
  </w:footnote>
  <w:footnote w:id="20">
    <w:p w14:paraId="7BC40584" w14:textId="77777777" w:rsidR="000C6F0C" w:rsidRPr="00242DCE" w:rsidRDefault="000C6F0C" w:rsidP="00242DCE">
      <w:pPr>
        <w:pStyle w:val="FootnoteText"/>
        <w:spacing w:after="0"/>
        <w:rPr>
          <w:rFonts w:asciiTheme="minorHAnsi" w:hAnsiTheme="minorHAnsi"/>
        </w:rPr>
      </w:pPr>
      <w:r w:rsidRPr="00242DCE">
        <w:rPr>
          <w:rStyle w:val="FootnoteReference"/>
          <w:rFonts w:asciiTheme="minorHAnsi" w:hAnsiTheme="minorHAnsi"/>
        </w:rPr>
        <w:footnoteRef/>
      </w:r>
      <w:r w:rsidRPr="00242DCE">
        <w:rPr>
          <w:rFonts w:asciiTheme="minorHAnsi" w:hAnsiTheme="minorHAnsi"/>
        </w:rPr>
        <w:t xml:space="preserve"> Rauta, J.</w:t>
      </w:r>
      <w:proofErr w:type="gramStart"/>
      <w:r w:rsidRPr="00242DCE">
        <w:rPr>
          <w:rFonts w:asciiTheme="minorHAnsi" w:hAnsiTheme="minorHAnsi"/>
        </w:rPr>
        <w:t>, ”</w:t>
      </w:r>
      <w:proofErr w:type="spellStart"/>
      <w:r w:rsidRPr="00242DCE">
        <w:rPr>
          <w:rFonts w:asciiTheme="minorHAnsi" w:hAnsiTheme="minorHAnsi"/>
        </w:rPr>
        <w:t>Poliisin</w:t>
      </w:r>
      <w:proofErr w:type="spellEnd"/>
      <w:proofErr w:type="gramEnd"/>
      <w:r w:rsidRPr="00242DCE">
        <w:rPr>
          <w:rFonts w:asciiTheme="minorHAnsi" w:hAnsiTheme="minorHAnsi"/>
        </w:rPr>
        <w:t xml:space="preserve"> </w:t>
      </w:r>
      <w:proofErr w:type="spellStart"/>
      <w:r w:rsidRPr="00242DCE">
        <w:rPr>
          <w:rFonts w:asciiTheme="minorHAnsi" w:hAnsiTheme="minorHAnsi"/>
        </w:rPr>
        <w:t>tietoon</w:t>
      </w:r>
      <w:proofErr w:type="spellEnd"/>
      <w:r w:rsidRPr="00242DCE">
        <w:rPr>
          <w:rFonts w:asciiTheme="minorHAnsi" w:hAnsiTheme="minorHAnsi"/>
        </w:rPr>
        <w:t xml:space="preserve"> </w:t>
      </w:r>
      <w:proofErr w:type="spellStart"/>
      <w:r w:rsidRPr="00242DCE">
        <w:rPr>
          <w:rFonts w:asciiTheme="minorHAnsi" w:hAnsiTheme="minorHAnsi"/>
        </w:rPr>
        <w:t>tullut</w:t>
      </w:r>
      <w:proofErr w:type="spellEnd"/>
      <w:r w:rsidRPr="00242DCE">
        <w:rPr>
          <w:rFonts w:asciiTheme="minorHAnsi" w:hAnsiTheme="minorHAnsi"/>
        </w:rPr>
        <w:t xml:space="preserve"> </w:t>
      </w:r>
      <w:proofErr w:type="spellStart"/>
      <w:r w:rsidRPr="00242DCE">
        <w:rPr>
          <w:rFonts w:asciiTheme="minorHAnsi" w:hAnsiTheme="minorHAnsi"/>
        </w:rPr>
        <w:t>viharikollisuus</w:t>
      </w:r>
      <w:proofErr w:type="spellEnd"/>
      <w:r w:rsidRPr="00242DCE">
        <w:rPr>
          <w:rFonts w:asciiTheme="minorHAnsi" w:hAnsiTheme="minorHAnsi"/>
        </w:rPr>
        <w:t xml:space="preserve"> </w:t>
      </w:r>
      <w:proofErr w:type="spellStart"/>
      <w:r w:rsidRPr="00242DCE">
        <w:rPr>
          <w:rFonts w:asciiTheme="minorHAnsi" w:hAnsiTheme="minorHAnsi"/>
        </w:rPr>
        <w:t>Suomessa</w:t>
      </w:r>
      <w:proofErr w:type="spellEnd"/>
      <w:r w:rsidRPr="00242DCE">
        <w:rPr>
          <w:rFonts w:asciiTheme="minorHAnsi" w:hAnsiTheme="minorHAnsi"/>
        </w:rPr>
        <w:t xml:space="preserve"> 2024” [“Suspected hate crimes reported to the police in Finland in 2024”], 2025, </w:t>
      </w:r>
      <w:hyperlink r:id="rId27" w:history="1">
        <w:r w:rsidRPr="00242DCE">
          <w:rPr>
            <w:rStyle w:val="Hyperlink"/>
            <w:rFonts w:asciiTheme="minorHAnsi" w:hAnsiTheme="minorHAnsi"/>
            <w:lang w:val="en-US"/>
          </w:rPr>
          <w:t>https://urn.fi/URN:NBN:fi-fe2025100299240 (in Finnish)</w:t>
        </w:r>
      </w:hyperlink>
      <w:r w:rsidRPr="00242DCE">
        <w:rPr>
          <w:rFonts w:asciiTheme="minorHAnsi" w:hAnsiTheme="minorHAnsi"/>
        </w:rPr>
        <w:t>.</w:t>
      </w:r>
    </w:p>
  </w:footnote>
  <w:footnote w:id="21">
    <w:p w14:paraId="2A1480BB" w14:textId="494631F8" w:rsidR="000C6F0C" w:rsidRPr="00352DEE" w:rsidRDefault="000C6F0C" w:rsidP="00242DCE">
      <w:pPr>
        <w:pStyle w:val="FootnoteText"/>
        <w:spacing w:after="0"/>
        <w:rPr>
          <w:rFonts w:asciiTheme="minorHAnsi" w:hAnsiTheme="minorHAnsi"/>
        </w:rPr>
      </w:pPr>
      <w:r w:rsidRPr="00242DCE">
        <w:rPr>
          <w:rStyle w:val="FootnoteReference"/>
          <w:rFonts w:asciiTheme="minorHAnsi" w:hAnsiTheme="minorHAnsi"/>
        </w:rPr>
        <w:footnoteRef/>
      </w:r>
      <w:r w:rsidRPr="00352DEE">
        <w:rPr>
          <w:rFonts w:asciiTheme="minorHAnsi" w:hAnsiTheme="minorHAnsi"/>
        </w:rPr>
        <w:t xml:space="preserve"> </w:t>
      </w:r>
      <w:proofErr w:type="spellStart"/>
      <w:r w:rsidRPr="00352DEE">
        <w:rPr>
          <w:rFonts w:asciiTheme="minorHAnsi" w:hAnsiTheme="minorHAnsi"/>
        </w:rPr>
        <w:t>Owal</w:t>
      </w:r>
      <w:proofErr w:type="spellEnd"/>
      <w:r w:rsidRPr="00352DEE">
        <w:rPr>
          <w:rFonts w:asciiTheme="minorHAnsi" w:hAnsiTheme="minorHAnsi"/>
        </w:rPr>
        <w:t xml:space="preserve"> Group, </w:t>
      </w:r>
      <w:proofErr w:type="spellStart"/>
      <w:r w:rsidRPr="00352DEE">
        <w:rPr>
          <w:rFonts w:asciiTheme="minorHAnsi" w:hAnsiTheme="minorHAnsi"/>
        </w:rPr>
        <w:t>Jauhola</w:t>
      </w:r>
      <w:proofErr w:type="spellEnd"/>
      <w:r w:rsidRPr="00352DEE">
        <w:rPr>
          <w:rFonts w:asciiTheme="minorHAnsi" w:hAnsiTheme="minorHAnsi"/>
        </w:rPr>
        <w:t xml:space="preserve">, L., Siltala, J. &amp; Nieminen, K., </w:t>
      </w:r>
      <w:r w:rsidR="001176E7" w:rsidRPr="00352DEE">
        <w:rPr>
          <w:rFonts w:asciiTheme="minorHAnsi" w:hAnsiTheme="minorHAnsi"/>
        </w:rPr>
        <w:t xml:space="preserve">2022, </w:t>
      </w:r>
      <w:r w:rsidRPr="00352DEE">
        <w:rPr>
          <w:rFonts w:asciiTheme="minorHAnsi" w:hAnsiTheme="minorHAnsi"/>
          <w:i/>
          <w:iCs/>
        </w:rPr>
        <w:t>supra</w:t>
      </w:r>
      <w:r w:rsidR="008D5192" w:rsidRPr="00352DEE">
        <w:rPr>
          <w:rFonts w:asciiTheme="minorHAnsi" w:hAnsiTheme="minorHAnsi"/>
          <w:i/>
          <w:iCs/>
        </w:rPr>
        <w:t xml:space="preserve"> note 1</w:t>
      </w:r>
      <w:r w:rsidR="001176E7" w:rsidRPr="00352DEE">
        <w:rPr>
          <w:rFonts w:asciiTheme="minorHAnsi" w:hAnsiTheme="minorHAnsi"/>
          <w:i/>
          <w:iCs/>
        </w:rPr>
        <w:t>7</w:t>
      </w:r>
      <w:r w:rsidRPr="00352DEE">
        <w:rPr>
          <w:rFonts w:asciiTheme="minorHAnsi" w:hAnsiTheme="minorHAnsi"/>
        </w:rPr>
        <w:t>.</w:t>
      </w:r>
    </w:p>
  </w:footnote>
  <w:footnote w:id="22">
    <w:p w14:paraId="6F9B4F70" w14:textId="0195716B" w:rsidR="000C6F0C" w:rsidRPr="00352DEE" w:rsidRDefault="000C6F0C" w:rsidP="00242DCE">
      <w:pPr>
        <w:pStyle w:val="FootnoteText"/>
        <w:spacing w:after="0"/>
        <w:rPr>
          <w:rFonts w:asciiTheme="minorHAnsi" w:hAnsiTheme="minorHAnsi"/>
        </w:rPr>
      </w:pPr>
      <w:r w:rsidRPr="00242DCE">
        <w:rPr>
          <w:rStyle w:val="FootnoteReference"/>
          <w:rFonts w:asciiTheme="minorHAnsi" w:hAnsiTheme="minorHAnsi"/>
        </w:rPr>
        <w:footnoteRef/>
      </w:r>
      <w:r w:rsidRPr="00352DEE">
        <w:rPr>
          <w:rFonts w:asciiTheme="minorHAnsi" w:hAnsiTheme="minorHAnsi"/>
        </w:rPr>
        <w:t xml:space="preserve"> </w:t>
      </w:r>
      <w:proofErr w:type="spellStart"/>
      <w:r w:rsidRPr="00352DEE">
        <w:rPr>
          <w:rFonts w:asciiTheme="minorHAnsi" w:hAnsiTheme="minorHAnsi"/>
        </w:rPr>
        <w:t>Saresma</w:t>
      </w:r>
      <w:proofErr w:type="spellEnd"/>
      <w:r w:rsidRPr="00352DEE">
        <w:rPr>
          <w:rFonts w:asciiTheme="minorHAnsi" w:hAnsiTheme="minorHAnsi"/>
        </w:rPr>
        <w:t xml:space="preserve">, T., </w:t>
      </w:r>
      <w:proofErr w:type="spellStart"/>
      <w:r w:rsidRPr="00352DEE">
        <w:rPr>
          <w:rFonts w:asciiTheme="minorHAnsi" w:hAnsiTheme="minorHAnsi"/>
        </w:rPr>
        <w:t>Pöyhtäri</w:t>
      </w:r>
      <w:proofErr w:type="spellEnd"/>
      <w:r w:rsidRPr="00352DEE">
        <w:rPr>
          <w:rFonts w:asciiTheme="minorHAnsi" w:hAnsiTheme="minorHAnsi"/>
        </w:rPr>
        <w:t xml:space="preserve">, R., Knuutila, A., Kosonen, H., Juutinen, M., Haara, P., Tulonen, Urho, </w:t>
      </w:r>
      <w:proofErr w:type="spellStart"/>
      <w:r w:rsidRPr="00352DEE">
        <w:rPr>
          <w:rFonts w:asciiTheme="minorHAnsi" w:hAnsiTheme="minorHAnsi"/>
        </w:rPr>
        <w:t>Nikunen</w:t>
      </w:r>
      <w:proofErr w:type="spellEnd"/>
      <w:r w:rsidRPr="00352DEE">
        <w:rPr>
          <w:rFonts w:asciiTheme="minorHAnsi" w:hAnsiTheme="minorHAnsi"/>
        </w:rPr>
        <w:t xml:space="preserve">, K. &amp; Rauta, J., </w:t>
      </w:r>
      <w:r w:rsidR="001176E7" w:rsidRPr="00352DEE">
        <w:rPr>
          <w:rFonts w:asciiTheme="minorHAnsi" w:hAnsiTheme="minorHAnsi"/>
        </w:rPr>
        <w:t xml:space="preserve">2022 </w:t>
      </w:r>
      <w:r w:rsidRPr="00352DEE">
        <w:rPr>
          <w:rFonts w:asciiTheme="minorHAnsi" w:hAnsiTheme="minorHAnsi"/>
          <w:i/>
          <w:iCs/>
        </w:rPr>
        <w:t>supra</w:t>
      </w:r>
      <w:r w:rsidR="006C7F9C" w:rsidRPr="00352DEE">
        <w:rPr>
          <w:rFonts w:asciiTheme="minorHAnsi" w:hAnsiTheme="minorHAnsi"/>
          <w:i/>
          <w:iCs/>
        </w:rPr>
        <w:t xml:space="preserve"> note 7</w:t>
      </w:r>
      <w:r w:rsidRPr="00352DEE">
        <w:rPr>
          <w:rFonts w:asciiTheme="minorHAnsi" w:hAnsiTheme="minorHAnsi"/>
        </w:rPr>
        <w:t xml:space="preserve">. </w:t>
      </w:r>
    </w:p>
  </w:footnote>
  <w:footnote w:id="23">
    <w:p w14:paraId="0BA7A53C" w14:textId="77777777" w:rsidR="006546F1" w:rsidRPr="00242DCE" w:rsidRDefault="006546F1" w:rsidP="00242DCE">
      <w:pPr>
        <w:pStyle w:val="FootnoteText"/>
        <w:spacing w:after="0"/>
        <w:rPr>
          <w:rFonts w:asciiTheme="minorHAnsi" w:hAnsiTheme="minorHAnsi"/>
        </w:rPr>
      </w:pPr>
      <w:r w:rsidRPr="00242DCE">
        <w:rPr>
          <w:rStyle w:val="FootnoteReference"/>
          <w:rFonts w:asciiTheme="minorHAnsi" w:hAnsiTheme="minorHAnsi"/>
        </w:rPr>
        <w:footnoteRef/>
      </w:r>
      <w:r w:rsidRPr="00242DCE">
        <w:rPr>
          <w:rFonts w:asciiTheme="minorHAnsi" w:hAnsiTheme="minorHAnsi"/>
        </w:rPr>
        <w:t xml:space="preserve"> According to a survey, only approximately 20% of hate crime victims reported to the police. Ministry of Interior, Finland, Racist crimes account for most hate crimes, </w:t>
      </w:r>
      <w:hyperlink r:id="rId28" w:history="1">
        <w:r w:rsidRPr="00242DCE">
          <w:rPr>
            <w:rStyle w:val="Hyperlink"/>
            <w:rFonts w:asciiTheme="minorHAnsi" w:hAnsiTheme="minorHAnsi"/>
          </w:rPr>
          <w:t>https://intermin.fi/en/police/hate-crime</w:t>
        </w:r>
      </w:hyperlink>
      <w:r w:rsidRPr="00242DCE">
        <w:rPr>
          <w:rFonts w:asciiTheme="minorHAnsi" w:hAnsiTheme="minorHAnsi"/>
          <w:b/>
          <w:bCs/>
        </w:rPr>
        <w:t xml:space="preserve"> </w:t>
      </w:r>
      <w:r w:rsidRPr="00242DCE">
        <w:rPr>
          <w:rFonts w:asciiTheme="minorHAnsi" w:hAnsiTheme="minorHAnsi"/>
        </w:rPr>
        <w:t xml:space="preserve"> (accessed on 26 May 2026);</w:t>
      </w:r>
    </w:p>
    <w:p w14:paraId="397AB155" w14:textId="77777777" w:rsidR="006546F1" w:rsidRPr="00242DCE" w:rsidRDefault="006546F1" w:rsidP="00242DCE">
      <w:pPr>
        <w:pStyle w:val="FootnoteText"/>
        <w:spacing w:after="0"/>
        <w:rPr>
          <w:rFonts w:asciiTheme="minorHAnsi" w:hAnsiTheme="minorHAnsi"/>
          <w:lang w:val="en-US"/>
        </w:rPr>
      </w:pPr>
      <w:r w:rsidRPr="00242DCE">
        <w:rPr>
          <w:rFonts w:asciiTheme="minorHAnsi" w:hAnsiTheme="minorHAnsi"/>
        </w:rPr>
        <w:t>Victim Support Finland (RIKU) and The National Forum for Cooperation of Religions in Finland (CORE Forum), “</w:t>
      </w:r>
      <w:proofErr w:type="spellStart"/>
      <w:r w:rsidRPr="00242DCE">
        <w:rPr>
          <w:rFonts w:asciiTheme="minorHAnsi" w:hAnsiTheme="minorHAnsi"/>
        </w:rPr>
        <w:t>Uhrien</w:t>
      </w:r>
      <w:proofErr w:type="spellEnd"/>
      <w:r w:rsidRPr="00242DCE">
        <w:rPr>
          <w:rFonts w:asciiTheme="minorHAnsi" w:hAnsiTheme="minorHAnsi"/>
        </w:rPr>
        <w:t xml:space="preserve"> </w:t>
      </w:r>
      <w:proofErr w:type="spellStart"/>
      <w:r w:rsidRPr="00242DCE">
        <w:rPr>
          <w:rFonts w:asciiTheme="minorHAnsi" w:hAnsiTheme="minorHAnsi"/>
        </w:rPr>
        <w:t>kokemuksia</w:t>
      </w:r>
      <w:proofErr w:type="spellEnd"/>
      <w:r w:rsidRPr="00242DCE">
        <w:rPr>
          <w:rFonts w:asciiTheme="minorHAnsi" w:hAnsiTheme="minorHAnsi"/>
        </w:rPr>
        <w:t xml:space="preserve"> </w:t>
      </w:r>
      <w:proofErr w:type="spellStart"/>
      <w:r w:rsidRPr="00242DCE">
        <w:rPr>
          <w:rFonts w:asciiTheme="minorHAnsi" w:hAnsiTheme="minorHAnsi"/>
        </w:rPr>
        <w:t>viharikoksista</w:t>
      </w:r>
      <w:proofErr w:type="spellEnd"/>
      <w:r w:rsidRPr="00242DCE">
        <w:rPr>
          <w:rFonts w:asciiTheme="minorHAnsi" w:hAnsiTheme="minorHAnsi"/>
        </w:rPr>
        <w:t xml:space="preserve"> </w:t>
      </w:r>
      <w:proofErr w:type="spellStart"/>
      <w:r w:rsidRPr="00242DCE">
        <w:rPr>
          <w:rFonts w:asciiTheme="minorHAnsi" w:hAnsiTheme="minorHAnsi"/>
        </w:rPr>
        <w:t>Suomessa</w:t>
      </w:r>
      <w:proofErr w:type="spellEnd"/>
      <w:r w:rsidRPr="00242DCE">
        <w:rPr>
          <w:rFonts w:asciiTheme="minorHAnsi" w:hAnsiTheme="minorHAnsi"/>
        </w:rPr>
        <w:t xml:space="preserve"> </w:t>
      </w:r>
      <w:proofErr w:type="spellStart"/>
      <w:r w:rsidRPr="00242DCE">
        <w:rPr>
          <w:rFonts w:asciiTheme="minorHAnsi" w:hAnsiTheme="minorHAnsi"/>
        </w:rPr>
        <w:t>vuosina</w:t>
      </w:r>
      <w:proofErr w:type="spellEnd"/>
      <w:r w:rsidRPr="00242DCE">
        <w:rPr>
          <w:rFonts w:asciiTheme="minorHAnsi" w:hAnsiTheme="minorHAnsi"/>
        </w:rPr>
        <w:t xml:space="preserve"> 2014-2018” [“Victims’ experiences of hate crime in Finland 2014-2018”], 2018, </w:t>
      </w:r>
      <w:hyperlink r:id="rId29" w:history="1">
        <w:r w:rsidRPr="00242DCE">
          <w:rPr>
            <w:rStyle w:val="Hyperlink"/>
            <w:rFonts w:asciiTheme="minorHAnsi" w:hAnsiTheme="minorHAnsi"/>
          </w:rPr>
          <w:t>https://www.riku.fi/content/uploads/su_file/2140__Uhrien_kokemuksia_viharikoksista_2014_2018.pdf (in Finnish)</w:t>
        </w:r>
      </w:hyperlink>
      <w:r w:rsidRPr="00242DCE">
        <w:rPr>
          <w:rFonts w:asciiTheme="minorHAnsi" w:hAnsiTheme="minorHAnsi"/>
        </w:rPr>
        <w:t>.</w:t>
      </w:r>
      <w:r w:rsidRPr="00242DCE">
        <w:rPr>
          <w:rFonts w:asciiTheme="minorHAnsi" w:hAnsiTheme="minorHAnsi"/>
          <w:lang w:val="en-US"/>
        </w:rPr>
        <w:t xml:space="preserve"> </w:t>
      </w:r>
    </w:p>
  </w:footnote>
  <w:footnote w:id="24">
    <w:p w14:paraId="32F1EF1C" w14:textId="77777777" w:rsidR="006546F1" w:rsidRPr="00242DC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Non-Discrimination Ombudsman, Report of the Non-Discrimination Ombudsman: Racism and discrimination - everyday experiences for People of African descent in Finland, 9 June 2020, </w:t>
      </w:r>
      <w:hyperlink r:id="rId30" w:history="1">
        <w:r w:rsidRPr="00242DCE">
          <w:rPr>
            <w:rStyle w:val="Hyperlink"/>
            <w:rFonts w:asciiTheme="minorHAnsi" w:hAnsiTheme="minorHAnsi"/>
            <w:lang w:val="en-US"/>
          </w:rPr>
          <w:t>https://yhdenvertaisuusvaltuutettu.fi/en/-/report-of-the-non-discrimination-ombudsman-racism-and-discrimination-everyday-experiences-for-people-of-african-descent-in-finland</w:t>
        </w:r>
      </w:hyperlink>
      <w:r w:rsidRPr="00242DCE">
        <w:rPr>
          <w:rFonts w:asciiTheme="minorHAnsi" w:hAnsiTheme="minorHAnsi"/>
          <w:lang w:val="en-US"/>
        </w:rPr>
        <w:t>; Non-Discrimination Ombudsman, “</w:t>
      </w:r>
      <w:proofErr w:type="spellStart"/>
      <w:r w:rsidRPr="00242DCE">
        <w:rPr>
          <w:rFonts w:asciiTheme="minorHAnsi" w:hAnsiTheme="minorHAnsi"/>
          <w:lang w:val="en-US"/>
        </w:rPr>
        <w:t>Selvitys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afrikkalaistaustaisten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henkilöiden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kokemasta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syrjinnästä</w:t>
      </w:r>
      <w:proofErr w:type="spellEnd"/>
      <w:r w:rsidRPr="00242DCE">
        <w:rPr>
          <w:rFonts w:asciiTheme="minorHAnsi" w:hAnsiTheme="minorHAnsi"/>
          <w:lang w:val="en-US"/>
        </w:rPr>
        <w:t xml:space="preserve">” [“Study on experiences of discrimination against people of African descent”], 2020, </w:t>
      </w:r>
      <w:hyperlink r:id="rId31" w:history="1">
        <w:r w:rsidRPr="00242DCE">
          <w:rPr>
            <w:rStyle w:val="Hyperlink"/>
            <w:rFonts w:asciiTheme="minorHAnsi" w:hAnsiTheme="minorHAnsi"/>
            <w:lang w:val="en-US"/>
          </w:rPr>
          <w:t>https://yhdenvertaisuusvaltuutettu.fi/documents/25249352/0/Selvitys+afrikkalaistaustaisten+henkil%C3%B6iden+kokemasta+syrjinn%C3%A4st%C3%A4+(PDF,+2204+kt).pdf (in Finnish)</w:t>
        </w:r>
      </w:hyperlink>
      <w:r w:rsidRPr="00242DCE">
        <w:rPr>
          <w:rFonts w:asciiTheme="minorHAnsi" w:hAnsiTheme="minorHAnsi"/>
          <w:lang w:val="en-US"/>
        </w:rPr>
        <w:t xml:space="preserve">, pp. 15. </w:t>
      </w:r>
    </w:p>
  </w:footnote>
  <w:footnote w:id="25">
    <w:p w14:paraId="066EC7DD" w14:textId="77777777" w:rsidR="006546F1" w:rsidRPr="00242DC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Anti-Racist Forum, Shadow report III: Together against hate, 2023, </w:t>
      </w:r>
      <w:hyperlink r:id="rId32" w:history="1">
        <w:r w:rsidRPr="00242DCE">
          <w:rPr>
            <w:rStyle w:val="Hyperlink"/>
            <w:rFonts w:asciiTheme="minorHAnsi" w:hAnsiTheme="minorHAnsi"/>
            <w:lang w:val="en-US"/>
          </w:rPr>
          <w:t>https://static1.squarespace.com/static/5c61e3977980b3278f57db6e/t/6659e9892db6c77e9b0c3233/1717168536263/shadowreportIII-ENG+%281%29-min.pdf</w:t>
        </w:r>
      </w:hyperlink>
      <w:r w:rsidRPr="00242DCE">
        <w:rPr>
          <w:rFonts w:asciiTheme="minorHAnsi" w:hAnsiTheme="minorHAnsi"/>
          <w:lang w:val="en-US"/>
        </w:rPr>
        <w:t xml:space="preserve">. </w:t>
      </w:r>
    </w:p>
  </w:footnote>
  <w:footnote w:id="26">
    <w:p w14:paraId="62F60FB9" w14:textId="64C40673" w:rsidR="006546F1" w:rsidRPr="00352DE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352DEE">
        <w:rPr>
          <w:rFonts w:asciiTheme="minorHAnsi" w:hAnsiTheme="minorHAnsi"/>
          <w:lang w:val="en-US"/>
        </w:rPr>
        <w:t xml:space="preserve"> </w:t>
      </w:r>
      <w:proofErr w:type="spellStart"/>
      <w:r w:rsidRPr="00352DEE">
        <w:rPr>
          <w:rFonts w:asciiTheme="minorHAnsi" w:hAnsiTheme="minorHAnsi"/>
          <w:lang w:val="en-US"/>
        </w:rPr>
        <w:t>Owal</w:t>
      </w:r>
      <w:proofErr w:type="spellEnd"/>
      <w:r w:rsidRPr="00352DEE">
        <w:rPr>
          <w:rFonts w:asciiTheme="minorHAnsi" w:hAnsiTheme="minorHAnsi"/>
          <w:lang w:val="en-US"/>
        </w:rPr>
        <w:t xml:space="preserve"> Group, </w:t>
      </w:r>
      <w:proofErr w:type="spellStart"/>
      <w:r w:rsidRPr="00352DEE">
        <w:rPr>
          <w:rFonts w:asciiTheme="minorHAnsi" w:hAnsiTheme="minorHAnsi"/>
          <w:lang w:val="en-US"/>
        </w:rPr>
        <w:t>Jauhola</w:t>
      </w:r>
      <w:proofErr w:type="spellEnd"/>
      <w:r w:rsidRPr="00352DEE">
        <w:rPr>
          <w:rFonts w:asciiTheme="minorHAnsi" w:hAnsiTheme="minorHAnsi"/>
          <w:lang w:val="en-US"/>
        </w:rPr>
        <w:t xml:space="preserve">, L., Siltala, J. &amp; Nieminen, K., </w:t>
      </w:r>
      <w:r w:rsidR="00915154" w:rsidRPr="00352DEE">
        <w:rPr>
          <w:rFonts w:asciiTheme="minorHAnsi" w:hAnsiTheme="minorHAnsi"/>
          <w:lang w:val="en-US"/>
        </w:rPr>
        <w:t xml:space="preserve">2022, </w:t>
      </w:r>
      <w:r w:rsidRPr="00352DEE">
        <w:rPr>
          <w:rFonts w:asciiTheme="minorHAnsi" w:hAnsiTheme="minorHAnsi"/>
          <w:i/>
          <w:iCs/>
          <w:lang w:val="en-US"/>
        </w:rPr>
        <w:t>supra</w:t>
      </w:r>
      <w:r w:rsidR="00915154" w:rsidRPr="00352DEE">
        <w:rPr>
          <w:rFonts w:asciiTheme="minorHAnsi" w:hAnsiTheme="minorHAnsi"/>
          <w:i/>
          <w:iCs/>
          <w:lang w:val="en-US"/>
        </w:rPr>
        <w:t xml:space="preserve"> note 17</w:t>
      </w:r>
      <w:r w:rsidRPr="00352DEE">
        <w:rPr>
          <w:rFonts w:asciiTheme="minorHAnsi" w:hAnsiTheme="minorHAnsi"/>
          <w:lang w:val="en-US"/>
        </w:rPr>
        <w:t>.</w:t>
      </w:r>
    </w:p>
  </w:footnote>
  <w:footnote w:id="27">
    <w:p w14:paraId="14C60D04" w14:textId="77777777" w:rsidR="006546F1" w:rsidRPr="00242DC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National Police Board</w:t>
      </w:r>
      <w:proofErr w:type="gramStart"/>
      <w:r w:rsidRPr="00242DCE">
        <w:rPr>
          <w:rFonts w:asciiTheme="minorHAnsi" w:hAnsiTheme="minorHAnsi"/>
          <w:lang w:val="en-US"/>
        </w:rPr>
        <w:t>, ”</w:t>
      </w:r>
      <w:proofErr w:type="spellStart"/>
      <w:r w:rsidRPr="00242DCE">
        <w:rPr>
          <w:rFonts w:asciiTheme="minorHAnsi" w:hAnsiTheme="minorHAnsi"/>
          <w:lang w:val="en-US"/>
        </w:rPr>
        <w:t>Epäillyn</w:t>
      </w:r>
      <w:proofErr w:type="spellEnd"/>
      <w:proofErr w:type="gramEnd"/>
      <w:r w:rsidRPr="00242DCE">
        <w:rPr>
          <w:rFonts w:asciiTheme="minorHAnsi" w:hAnsiTheme="minorHAnsi"/>
          <w:lang w:val="en-US"/>
        </w:rPr>
        <w:t xml:space="preserve"> </w:t>
      </w:r>
      <w:proofErr w:type="spellStart"/>
      <w:r w:rsidRPr="00242DCE">
        <w:rPr>
          <w:rFonts w:asciiTheme="minorHAnsi" w:hAnsiTheme="minorHAnsi"/>
          <w:lang w:val="en-US"/>
        </w:rPr>
        <w:t>viharikoksen</w:t>
      </w:r>
      <w:proofErr w:type="spellEnd"/>
      <w:r w:rsidRPr="00242DCE">
        <w:rPr>
          <w:rFonts w:asciiTheme="minorHAnsi" w:hAnsiTheme="minorHAnsi"/>
          <w:lang w:val="en-US"/>
        </w:rPr>
        <w:t xml:space="preserve"> tai </w:t>
      </w:r>
      <w:proofErr w:type="spellStart"/>
      <w:r w:rsidRPr="00242DCE">
        <w:rPr>
          <w:rFonts w:asciiTheme="minorHAnsi" w:hAnsiTheme="minorHAnsi"/>
          <w:lang w:val="en-US"/>
        </w:rPr>
        <w:t>sellaisia</w:t>
      </w:r>
      <w:proofErr w:type="spellEnd"/>
      <w:r w:rsidRPr="00242DCE">
        <w:rPr>
          <w:rFonts w:asciiTheme="minorHAnsi" w:hAnsiTheme="minorHAnsi"/>
          <w:lang w:val="en-US"/>
        </w:rPr>
        <w:t xml:space="preserve"> </w:t>
      </w:r>
      <w:proofErr w:type="spellStart"/>
      <w:r w:rsidRPr="00242DCE">
        <w:rPr>
          <w:rFonts w:asciiTheme="minorHAnsi" w:hAnsiTheme="minorHAnsi"/>
          <w:lang w:val="en-US"/>
        </w:rPr>
        <w:t>piirteitä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sisältävän</w:t>
      </w:r>
      <w:proofErr w:type="spellEnd"/>
      <w:r w:rsidRPr="00242DCE">
        <w:rPr>
          <w:rFonts w:asciiTheme="minorHAnsi" w:hAnsiTheme="minorHAnsi"/>
          <w:lang w:val="en-US"/>
        </w:rPr>
        <w:t xml:space="preserve"> </w:t>
      </w:r>
      <w:proofErr w:type="spellStart"/>
      <w:r w:rsidRPr="00242DCE">
        <w:rPr>
          <w:rFonts w:asciiTheme="minorHAnsi" w:hAnsiTheme="minorHAnsi"/>
          <w:lang w:val="en-US"/>
        </w:rPr>
        <w:t>rikoksen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luokitteleminen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poliisiasiain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tietojärjestelmään</w:t>
      </w:r>
      <w:proofErr w:type="spellEnd"/>
      <w:r w:rsidRPr="00242DCE">
        <w:rPr>
          <w:rFonts w:asciiTheme="minorHAnsi" w:hAnsiTheme="minorHAnsi"/>
          <w:lang w:val="en-US"/>
        </w:rPr>
        <w:t xml:space="preserve"> (</w:t>
      </w:r>
      <w:proofErr w:type="spellStart"/>
      <w:r w:rsidRPr="00242DCE">
        <w:rPr>
          <w:rFonts w:asciiTheme="minorHAnsi" w:hAnsiTheme="minorHAnsi"/>
          <w:lang w:val="en-US"/>
        </w:rPr>
        <w:t>Ohje</w:t>
      </w:r>
      <w:proofErr w:type="spellEnd"/>
      <w:r w:rsidRPr="00242DCE">
        <w:rPr>
          <w:rFonts w:asciiTheme="minorHAnsi" w:hAnsiTheme="minorHAnsi"/>
          <w:lang w:val="en-US"/>
        </w:rPr>
        <w:t xml:space="preserve"> 2020/2011/2098</w:t>
      </w:r>
      <w:proofErr w:type="gramStart"/>
      <w:r w:rsidRPr="00242DCE">
        <w:rPr>
          <w:rFonts w:asciiTheme="minorHAnsi" w:hAnsiTheme="minorHAnsi"/>
          <w:lang w:val="en-US"/>
        </w:rPr>
        <w:t>)”[</w:t>
      </w:r>
      <w:proofErr w:type="gramEnd"/>
      <w:r w:rsidRPr="00242DCE">
        <w:rPr>
          <w:rFonts w:asciiTheme="minorHAnsi" w:hAnsiTheme="minorHAnsi"/>
          <w:lang w:val="en-US"/>
        </w:rPr>
        <w:t xml:space="preserve">”Classifying a suspected hate crime or a crime containing such elements in the police information system (Guideline 2020/2011/2098)”], 13.12.2011, cited in Juutinen, M., Hate Crimes and their Handling in the Criminal Process, 2021, </w:t>
      </w:r>
      <w:hyperlink r:id="rId33" w:history="1">
        <w:r w:rsidRPr="00242DCE">
          <w:rPr>
            <w:rStyle w:val="Hyperlink"/>
            <w:rFonts w:asciiTheme="minorHAnsi" w:hAnsiTheme="minorHAnsi"/>
            <w:lang w:val="en-US"/>
          </w:rPr>
          <w:t>https://urn.fi/URN:ISBN:978-952-259-934-6</w:t>
        </w:r>
      </w:hyperlink>
      <w:r w:rsidRPr="00242DCE">
        <w:rPr>
          <w:rFonts w:asciiTheme="minorHAnsi" w:hAnsiTheme="minorHAnsi"/>
          <w:lang w:val="en-US"/>
        </w:rPr>
        <w:t xml:space="preserve">. </w:t>
      </w:r>
    </w:p>
  </w:footnote>
  <w:footnote w:id="28">
    <w:p w14:paraId="0CEE2002" w14:textId="77777777" w:rsidR="006546F1" w:rsidRPr="00242DC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CD679B">
        <w:rPr>
          <w:rFonts w:asciiTheme="minorHAnsi" w:hAnsiTheme="minorHAnsi"/>
          <w:lang w:val="fi-FI"/>
        </w:rPr>
        <w:t xml:space="preserve"> National Police Board, ”Ohje esitutkintapöytäkirjan laadinnasta. </w:t>
      </w:r>
      <w:proofErr w:type="spellStart"/>
      <w:r w:rsidRPr="00242DCE">
        <w:rPr>
          <w:rFonts w:asciiTheme="minorHAnsi" w:hAnsiTheme="minorHAnsi"/>
          <w:lang w:val="en-US"/>
        </w:rPr>
        <w:t>Liite</w:t>
      </w:r>
      <w:proofErr w:type="spellEnd"/>
      <w:r w:rsidRPr="00242DCE">
        <w:rPr>
          <w:rFonts w:asciiTheme="minorHAnsi" w:hAnsiTheme="minorHAnsi"/>
          <w:lang w:val="en-US"/>
        </w:rPr>
        <w:t xml:space="preserve"> 2. </w:t>
      </w:r>
      <w:proofErr w:type="spellStart"/>
      <w:r w:rsidRPr="00242DCE">
        <w:rPr>
          <w:rFonts w:asciiTheme="minorHAnsi" w:hAnsiTheme="minorHAnsi"/>
          <w:lang w:val="en-US"/>
        </w:rPr>
        <w:t>Käsikirja</w:t>
      </w:r>
      <w:proofErr w:type="spellEnd"/>
      <w:r w:rsidRPr="00242DCE">
        <w:rPr>
          <w:rFonts w:asciiTheme="minorHAnsi" w:hAnsiTheme="minorHAnsi"/>
          <w:lang w:val="en-US"/>
        </w:rPr>
        <w:t xml:space="preserve"> </w:t>
      </w:r>
      <w:proofErr w:type="spellStart"/>
      <w:r w:rsidRPr="00242DCE">
        <w:rPr>
          <w:rFonts w:asciiTheme="minorHAnsi" w:hAnsiTheme="minorHAnsi"/>
          <w:lang w:val="en-US"/>
        </w:rPr>
        <w:t>kuulustelujen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kirjaamisesta</w:t>
      </w:r>
      <w:proofErr w:type="spellEnd"/>
      <w:r w:rsidRPr="00242DCE">
        <w:rPr>
          <w:rFonts w:asciiTheme="minorHAnsi" w:hAnsiTheme="minorHAnsi"/>
          <w:lang w:val="en-US"/>
        </w:rPr>
        <w:t>. (</w:t>
      </w:r>
      <w:proofErr w:type="spellStart"/>
      <w:r w:rsidRPr="00242DCE">
        <w:rPr>
          <w:rFonts w:asciiTheme="minorHAnsi" w:hAnsiTheme="minorHAnsi"/>
          <w:lang w:val="en-US"/>
        </w:rPr>
        <w:t>Ohje</w:t>
      </w:r>
      <w:proofErr w:type="spellEnd"/>
      <w:r w:rsidRPr="00242DCE">
        <w:rPr>
          <w:rFonts w:asciiTheme="minorHAnsi" w:hAnsiTheme="minorHAnsi"/>
          <w:lang w:val="en-US"/>
        </w:rPr>
        <w:t xml:space="preserve"> POL-2016-8514)” [“Instructions for preparing the preliminary investigation report. Attachment 2. Manual for recording interrogations (Guideline POL-2016-8514)”], cited in Juutinen, M.,</w:t>
      </w:r>
      <w:r w:rsidRPr="00242DCE">
        <w:rPr>
          <w:rFonts w:asciiTheme="minorHAnsi" w:hAnsiTheme="minorHAnsi"/>
          <w:i/>
          <w:iCs/>
          <w:lang w:val="en-US"/>
        </w:rPr>
        <w:t xml:space="preserve"> ibid</w:t>
      </w:r>
      <w:r w:rsidRPr="00242DCE">
        <w:rPr>
          <w:rFonts w:asciiTheme="minorHAnsi" w:hAnsiTheme="minorHAnsi"/>
          <w:lang w:val="en-US"/>
        </w:rPr>
        <w:t xml:space="preserve">. </w:t>
      </w:r>
    </w:p>
  </w:footnote>
  <w:footnote w:id="29">
    <w:p w14:paraId="264EA021" w14:textId="77777777" w:rsidR="006546F1" w:rsidRPr="00242DC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Parliament of Finland, ”</w:t>
      </w:r>
      <w:proofErr w:type="spellStart"/>
      <w:r w:rsidRPr="00242DCE">
        <w:rPr>
          <w:rFonts w:asciiTheme="minorHAnsi" w:hAnsiTheme="minorHAnsi"/>
          <w:lang w:val="en-US"/>
        </w:rPr>
        <w:t>Vastaus</w:t>
      </w:r>
      <w:proofErr w:type="spellEnd"/>
      <w:r w:rsidRPr="00242DCE">
        <w:rPr>
          <w:rFonts w:asciiTheme="minorHAnsi" w:hAnsiTheme="minorHAnsi"/>
          <w:lang w:val="en-US"/>
        </w:rPr>
        <w:t xml:space="preserve"> </w:t>
      </w:r>
      <w:proofErr w:type="spellStart"/>
      <w:r w:rsidRPr="00242DCE">
        <w:rPr>
          <w:rFonts w:asciiTheme="minorHAnsi" w:hAnsiTheme="minorHAnsi"/>
          <w:lang w:val="en-US"/>
        </w:rPr>
        <w:t>kirjalliseen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kysymykseen</w:t>
      </w:r>
      <w:proofErr w:type="spellEnd"/>
      <w:r w:rsidRPr="00242DCE">
        <w:rPr>
          <w:rFonts w:asciiTheme="minorHAnsi" w:hAnsiTheme="minorHAnsi"/>
          <w:lang w:val="en-US"/>
        </w:rPr>
        <w:t xml:space="preserve"> KKV 392/2025vp” [“Answer to a written question KKV 392/2025vp”], 2025, </w:t>
      </w:r>
      <w:hyperlink r:id="rId34" w:history="1">
        <w:r w:rsidRPr="00242DCE">
          <w:rPr>
            <w:rStyle w:val="Hyperlink"/>
            <w:rFonts w:asciiTheme="minorHAnsi" w:hAnsiTheme="minorHAnsi"/>
            <w:lang w:val="en-US"/>
          </w:rPr>
          <w:t>https://www.eduskunta.fi/asiat-ja-aanestykset/valtiopaivaasiat/KK%20392%2F2025%20vp (in Finnish)</w:t>
        </w:r>
      </w:hyperlink>
      <w:r w:rsidRPr="00242DCE">
        <w:rPr>
          <w:rFonts w:asciiTheme="minorHAnsi" w:hAnsiTheme="minorHAnsi"/>
          <w:lang w:val="en-US"/>
        </w:rPr>
        <w:t>;  see National Police Board, “</w:t>
      </w:r>
      <w:proofErr w:type="spellStart"/>
      <w:r w:rsidRPr="00242DCE">
        <w:rPr>
          <w:rFonts w:asciiTheme="minorHAnsi" w:hAnsiTheme="minorHAnsi"/>
          <w:lang w:val="en-US"/>
        </w:rPr>
        <w:t>Epäillyn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viharikoksen</w:t>
      </w:r>
      <w:proofErr w:type="spellEnd"/>
      <w:r w:rsidRPr="00242DCE">
        <w:rPr>
          <w:rFonts w:asciiTheme="minorHAnsi" w:hAnsiTheme="minorHAnsi"/>
          <w:lang w:val="en-US"/>
        </w:rPr>
        <w:t xml:space="preserve"> tai </w:t>
      </w:r>
      <w:proofErr w:type="spellStart"/>
      <w:r w:rsidRPr="00242DCE">
        <w:rPr>
          <w:rFonts w:asciiTheme="minorHAnsi" w:hAnsiTheme="minorHAnsi"/>
          <w:lang w:val="en-US"/>
        </w:rPr>
        <w:t>sellaisia</w:t>
      </w:r>
      <w:proofErr w:type="spellEnd"/>
      <w:r w:rsidRPr="00242DCE">
        <w:rPr>
          <w:rFonts w:asciiTheme="minorHAnsi" w:hAnsiTheme="minorHAnsi"/>
          <w:lang w:val="en-US"/>
        </w:rPr>
        <w:t xml:space="preserve"> </w:t>
      </w:r>
      <w:proofErr w:type="spellStart"/>
      <w:r w:rsidRPr="00242DCE">
        <w:rPr>
          <w:rFonts w:asciiTheme="minorHAnsi" w:hAnsiTheme="minorHAnsi"/>
          <w:lang w:val="en-US"/>
        </w:rPr>
        <w:t>piirteitä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sisältävän</w:t>
      </w:r>
      <w:proofErr w:type="spellEnd"/>
      <w:r w:rsidRPr="00242DCE">
        <w:rPr>
          <w:rFonts w:asciiTheme="minorHAnsi" w:hAnsiTheme="minorHAnsi"/>
          <w:lang w:val="en-US"/>
        </w:rPr>
        <w:t xml:space="preserve"> </w:t>
      </w:r>
      <w:proofErr w:type="spellStart"/>
      <w:r w:rsidRPr="00242DCE">
        <w:rPr>
          <w:rFonts w:asciiTheme="minorHAnsi" w:hAnsiTheme="minorHAnsi"/>
          <w:lang w:val="en-US"/>
        </w:rPr>
        <w:t>rikoksen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tunnistaminen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tutkinta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sekä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kirjaaminen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poliisitoiminnassa</w:t>
      </w:r>
      <w:proofErr w:type="spellEnd"/>
      <w:r w:rsidRPr="00242DCE">
        <w:rPr>
          <w:rFonts w:asciiTheme="minorHAnsi" w:hAnsiTheme="minorHAnsi"/>
          <w:lang w:val="en-US"/>
        </w:rPr>
        <w:t xml:space="preserve">” [“Identifying, investigating and recording a suspected hate crime or an offence containing such characteristics in police activities”], 2023, </w:t>
      </w:r>
      <w:hyperlink r:id="rId35" w:history="1">
        <w:r w:rsidRPr="00242DCE">
          <w:rPr>
            <w:rStyle w:val="Hyperlink"/>
            <w:rFonts w:asciiTheme="minorHAnsi" w:hAnsiTheme="minorHAnsi"/>
            <w:lang w:val="en-US"/>
          </w:rPr>
          <w:t>https://poliisi.fi/documents/25235045/138938434/POL-2023-127636,+27.11.2023,+Epa%CC%88illyn+viharikoksen+tai+sellaisia+piirteita%CC%88+sisa%CC%88lta%CC%88va%CC%88n+rikoksen+tunnistaminen,+tutkinta+seka%CC%88+kirjaaminen+poliisitoiminnassa.pdf/ae2f7e0c-363e-ff86-482e-8238b83714b4/POL-2023-127636,+27.11.2023,+Epa%CC%88illyn+viharikoksen+tai+sellaisia+piirteita%CC%88+sisa%CC%88lta%CC%88va%CC%88n+rikoksen+tunnistaminen,+tutkinta+seka%CC%88+kirjaaminen+poliisitoiminnassa.pdf?t=1701681965864 (in Finnish)</w:t>
        </w:r>
      </w:hyperlink>
      <w:r w:rsidRPr="00242DCE">
        <w:rPr>
          <w:rFonts w:asciiTheme="minorHAnsi" w:hAnsiTheme="minorHAnsi"/>
          <w:lang w:val="en-US"/>
        </w:rPr>
        <w:t xml:space="preserve">. </w:t>
      </w:r>
    </w:p>
  </w:footnote>
  <w:footnote w:id="30">
    <w:p w14:paraId="3161DCB1" w14:textId="75192223" w:rsidR="006546F1" w:rsidRPr="00352DEE" w:rsidRDefault="006546F1" w:rsidP="00242DCE">
      <w:pPr>
        <w:pStyle w:val="FootnoteText"/>
        <w:spacing w:after="0"/>
        <w:rPr>
          <w:rFonts w:asciiTheme="minorHAnsi" w:hAnsiTheme="minorHAnsi"/>
          <w:lang w:val="it-IT"/>
        </w:rPr>
      </w:pPr>
      <w:r w:rsidRPr="00242DCE">
        <w:rPr>
          <w:rStyle w:val="FootnoteReference"/>
          <w:rFonts w:asciiTheme="minorHAnsi" w:hAnsiTheme="minorHAnsi"/>
        </w:rPr>
        <w:footnoteRef/>
      </w:r>
      <w:r w:rsidRPr="00352DEE">
        <w:rPr>
          <w:rFonts w:asciiTheme="minorHAnsi" w:hAnsiTheme="minorHAnsi"/>
          <w:lang w:val="it-IT"/>
        </w:rPr>
        <w:t xml:space="preserve"> Mannila, S.,</w:t>
      </w:r>
      <w:r w:rsidR="004B0185" w:rsidRPr="00352DEE">
        <w:rPr>
          <w:rFonts w:asciiTheme="minorHAnsi" w:hAnsiTheme="minorHAnsi"/>
          <w:lang w:val="it-IT"/>
        </w:rPr>
        <w:t xml:space="preserve"> 2024,</w:t>
      </w:r>
      <w:r w:rsidRPr="00352DEE">
        <w:rPr>
          <w:rFonts w:asciiTheme="minorHAnsi" w:hAnsiTheme="minorHAnsi"/>
          <w:lang w:val="it-IT"/>
        </w:rPr>
        <w:t xml:space="preserve"> </w:t>
      </w:r>
      <w:r w:rsidRPr="00352DEE">
        <w:rPr>
          <w:rFonts w:asciiTheme="minorHAnsi" w:hAnsiTheme="minorHAnsi"/>
          <w:i/>
          <w:iCs/>
          <w:lang w:val="it-IT"/>
        </w:rPr>
        <w:t>supra</w:t>
      </w:r>
      <w:r w:rsidR="00FF68D0" w:rsidRPr="00352DEE">
        <w:rPr>
          <w:rFonts w:asciiTheme="minorHAnsi" w:hAnsiTheme="minorHAnsi"/>
          <w:i/>
          <w:iCs/>
          <w:lang w:val="it-IT"/>
        </w:rPr>
        <w:t xml:space="preserve"> note 11</w:t>
      </w:r>
      <w:r w:rsidRPr="00352DEE">
        <w:rPr>
          <w:rFonts w:asciiTheme="minorHAnsi" w:hAnsiTheme="minorHAnsi"/>
          <w:i/>
          <w:iCs/>
          <w:lang w:val="it-IT"/>
        </w:rPr>
        <w:t xml:space="preserve">, </w:t>
      </w:r>
      <w:r w:rsidRPr="00352DEE">
        <w:rPr>
          <w:rFonts w:asciiTheme="minorHAnsi" w:hAnsiTheme="minorHAnsi"/>
          <w:lang w:val="it-IT"/>
        </w:rPr>
        <w:t xml:space="preserve">pp. 61. </w:t>
      </w:r>
    </w:p>
  </w:footnote>
  <w:footnote w:id="31">
    <w:p w14:paraId="125C4FD0" w14:textId="77777777" w:rsidR="006546F1" w:rsidRPr="00242DCE" w:rsidRDefault="006546F1"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ODIHR, 2024 Hate Crime Report, </w:t>
      </w:r>
      <w:hyperlink r:id="rId36" w:history="1">
        <w:r w:rsidRPr="00242DCE">
          <w:rPr>
            <w:rStyle w:val="Hyperlink"/>
            <w:rFonts w:asciiTheme="minorHAnsi" w:hAnsiTheme="minorHAnsi"/>
            <w:lang w:val="en-US"/>
          </w:rPr>
          <w:t>https://hatecrime.osce.org/reporting/finland/2024</w:t>
        </w:r>
      </w:hyperlink>
      <w:r w:rsidRPr="00242DCE">
        <w:rPr>
          <w:rFonts w:asciiTheme="minorHAnsi" w:hAnsiTheme="minorHAnsi"/>
          <w:lang w:val="en-US"/>
        </w:rPr>
        <w:t xml:space="preserve"> (accessed on 27 May 2026).</w:t>
      </w:r>
    </w:p>
  </w:footnote>
  <w:footnote w:id="32">
    <w:p w14:paraId="3AF22CC9" w14:textId="77777777"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w:t>
      </w:r>
      <w:r w:rsidRPr="00242DCE">
        <w:rPr>
          <w:rFonts w:asciiTheme="minorHAnsi" w:hAnsiTheme="minorHAnsi"/>
          <w:i/>
          <w:lang w:val="en-US"/>
        </w:rPr>
        <w:t>“I have to choose whether to buy food or pay my rent”: The impact of austerity measures on the right to adequate housing in Finland</w:t>
      </w:r>
      <w:r w:rsidRPr="00242DCE">
        <w:rPr>
          <w:rFonts w:asciiTheme="minorHAnsi" w:hAnsiTheme="minorHAnsi"/>
          <w:lang w:val="en-US"/>
        </w:rPr>
        <w:t xml:space="preserve"> (Index: EUR 20/9219/2025), 14 April 2025, </w:t>
      </w:r>
      <w:hyperlink r:id="rId37" w:history="1">
        <w:r w:rsidRPr="00242DCE">
          <w:rPr>
            <w:rStyle w:val="Hyperlink"/>
            <w:rFonts w:asciiTheme="minorHAnsi" w:hAnsiTheme="minorHAnsi"/>
            <w:lang w:val="en-US"/>
          </w:rPr>
          <w:t>amnesty.org/</w:t>
        </w:r>
        <w:proofErr w:type="spellStart"/>
        <w:r w:rsidRPr="00242DCE">
          <w:rPr>
            <w:rStyle w:val="Hyperlink"/>
            <w:rFonts w:asciiTheme="minorHAnsi" w:hAnsiTheme="minorHAnsi"/>
            <w:lang w:val="en-US"/>
          </w:rPr>
          <w:t>en</w:t>
        </w:r>
        <w:proofErr w:type="spellEnd"/>
        <w:r w:rsidRPr="00242DCE">
          <w:rPr>
            <w:rStyle w:val="Hyperlink"/>
            <w:rFonts w:asciiTheme="minorHAnsi" w:hAnsiTheme="minorHAnsi"/>
            <w:lang w:val="en-US"/>
          </w:rPr>
          <w:t>/docum</w:t>
        </w:r>
        <w:bookmarkStart w:id="8" w:name="_Hlt231208338"/>
        <w:bookmarkStart w:id="9" w:name="_Hlt231208339"/>
        <w:bookmarkEnd w:id="8"/>
        <w:bookmarkEnd w:id="9"/>
        <w:r w:rsidRPr="00242DCE">
          <w:rPr>
            <w:rStyle w:val="Hyperlink"/>
            <w:rFonts w:asciiTheme="minorHAnsi" w:hAnsiTheme="minorHAnsi"/>
            <w:lang w:val="en-US"/>
          </w:rPr>
          <w:t>ents/eur20/9219/2025/</w:t>
        </w:r>
        <w:proofErr w:type="spellStart"/>
        <w:r w:rsidRPr="00242DCE">
          <w:rPr>
            <w:rStyle w:val="Hyperlink"/>
            <w:rFonts w:asciiTheme="minorHAnsi" w:hAnsiTheme="minorHAnsi"/>
            <w:lang w:val="en-US"/>
          </w:rPr>
          <w:t>en</w:t>
        </w:r>
        <w:proofErr w:type="spellEnd"/>
        <w:r w:rsidRPr="00242DCE">
          <w:rPr>
            <w:rStyle w:val="Hyperlink"/>
            <w:rFonts w:asciiTheme="minorHAnsi" w:hAnsiTheme="minorHAnsi"/>
            <w:lang w:val="en-US"/>
          </w:rPr>
          <w:t>/</w:t>
        </w:r>
      </w:hyperlink>
      <w:r w:rsidRPr="00242DCE">
        <w:rPr>
          <w:rFonts w:asciiTheme="minorHAnsi" w:hAnsiTheme="minorHAnsi"/>
          <w:lang w:val="en-US"/>
        </w:rPr>
        <w:t>, pp. 15, 32.</w:t>
      </w:r>
    </w:p>
  </w:footnote>
  <w:footnote w:id="33">
    <w:p w14:paraId="77ACF9A7" w14:textId="41D09BC5"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European Union Agency for Fundamental Rights,</w:t>
      </w:r>
      <w:r w:rsidR="00AE5B21">
        <w:rPr>
          <w:rFonts w:asciiTheme="minorHAnsi" w:hAnsiTheme="minorHAnsi"/>
          <w:lang w:val="en-US"/>
        </w:rPr>
        <w:t xml:space="preserve"> 2023,</w:t>
      </w:r>
      <w:r w:rsidRPr="00242DCE">
        <w:rPr>
          <w:rFonts w:asciiTheme="minorHAnsi" w:hAnsiTheme="minorHAnsi"/>
          <w:lang w:val="en-US"/>
        </w:rPr>
        <w:t xml:space="preserve"> </w:t>
      </w:r>
      <w:r w:rsidRPr="00242DCE">
        <w:rPr>
          <w:rFonts w:asciiTheme="minorHAnsi" w:hAnsiTheme="minorHAnsi"/>
          <w:i/>
          <w:iCs/>
          <w:lang w:val="en-US"/>
        </w:rPr>
        <w:t>supra</w:t>
      </w:r>
      <w:r w:rsidR="008B4CF0">
        <w:rPr>
          <w:rFonts w:asciiTheme="minorHAnsi" w:hAnsiTheme="minorHAnsi"/>
          <w:i/>
          <w:iCs/>
          <w:lang w:val="en-US"/>
        </w:rPr>
        <w:t xml:space="preserve"> note</w:t>
      </w:r>
      <w:r w:rsidR="007937E1">
        <w:rPr>
          <w:rFonts w:asciiTheme="minorHAnsi" w:hAnsiTheme="minorHAnsi"/>
          <w:i/>
          <w:iCs/>
          <w:lang w:val="en-US"/>
        </w:rPr>
        <w:t xml:space="preserve"> 9</w:t>
      </w:r>
      <w:r w:rsidRPr="00242DCE">
        <w:rPr>
          <w:rFonts w:asciiTheme="minorHAnsi" w:hAnsiTheme="minorHAnsi"/>
          <w:lang w:val="en-US"/>
        </w:rPr>
        <w:t>, pp. 42; European Union Agency for Fundamental Rights,</w:t>
      </w:r>
      <w:r w:rsidR="00AE5B21">
        <w:rPr>
          <w:rFonts w:asciiTheme="minorHAnsi" w:hAnsiTheme="minorHAnsi"/>
          <w:lang w:val="en-US"/>
        </w:rPr>
        <w:t xml:space="preserve"> 2024,</w:t>
      </w:r>
      <w:r w:rsidRPr="00242DCE">
        <w:rPr>
          <w:rFonts w:asciiTheme="minorHAnsi" w:hAnsiTheme="minorHAnsi"/>
          <w:lang w:val="en-US"/>
        </w:rPr>
        <w:t xml:space="preserve"> </w:t>
      </w:r>
      <w:r w:rsidRPr="00242DCE">
        <w:rPr>
          <w:rFonts w:asciiTheme="minorHAnsi" w:hAnsiTheme="minorHAnsi"/>
          <w:i/>
          <w:iCs/>
          <w:lang w:val="en-US"/>
        </w:rPr>
        <w:t>supra</w:t>
      </w:r>
      <w:r w:rsidR="007937E1">
        <w:rPr>
          <w:rFonts w:asciiTheme="minorHAnsi" w:hAnsiTheme="minorHAnsi"/>
          <w:i/>
          <w:iCs/>
          <w:lang w:val="en-US"/>
        </w:rPr>
        <w:t xml:space="preserve"> </w:t>
      </w:r>
      <w:r w:rsidR="008B4CF0">
        <w:rPr>
          <w:rFonts w:asciiTheme="minorHAnsi" w:hAnsiTheme="minorHAnsi"/>
          <w:i/>
          <w:iCs/>
          <w:lang w:val="en-US"/>
        </w:rPr>
        <w:t xml:space="preserve">note </w:t>
      </w:r>
      <w:r w:rsidR="007937E1">
        <w:rPr>
          <w:rFonts w:asciiTheme="minorHAnsi" w:hAnsiTheme="minorHAnsi"/>
          <w:i/>
          <w:iCs/>
          <w:lang w:val="en-US"/>
        </w:rPr>
        <w:t>16</w:t>
      </w:r>
      <w:r w:rsidRPr="00242DCE">
        <w:rPr>
          <w:rFonts w:asciiTheme="minorHAnsi" w:hAnsiTheme="minorHAnsi"/>
          <w:lang w:val="en-US"/>
        </w:rPr>
        <w:t>, pp. 30.</w:t>
      </w:r>
    </w:p>
  </w:footnote>
  <w:footnote w:id="34">
    <w:p w14:paraId="41F26551" w14:textId="77777777"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European Union Agency for Fundamental Rights, </w:t>
      </w:r>
      <w:r w:rsidRPr="00242DCE">
        <w:rPr>
          <w:rFonts w:asciiTheme="minorHAnsi" w:hAnsiTheme="minorHAnsi"/>
          <w:i/>
          <w:iCs/>
          <w:lang w:val="en-US"/>
        </w:rPr>
        <w:t>ibid</w:t>
      </w:r>
      <w:r w:rsidRPr="00242DCE">
        <w:rPr>
          <w:rFonts w:asciiTheme="minorHAnsi" w:hAnsiTheme="minorHAnsi"/>
          <w:lang w:val="en-US"/>
        </w:rPr>
        <w:t>., pp. 31.</w:t>
      </w:r>
    </w:p>
  </w:footnote>
  <w:footnote w:id="35">
    <w:p w14:paraId="0B25B2C4" w14:textId="24CE56A4"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w:t>
      </w:r>
      <w:r w:rsidR="00E62137">
        <w:rPr>
          <w:rFonts w:asciiTheme="minorHAnsi" w:hAnsiTheme="minorHAnsi"/>
          <w:lang w:val="en-US"/>
        </w:rPr>
        <w:t xml:space="preserve"> </w:t>
      </w:r>
      <w:r w:rsidR="00E62137" w:rsidRPr="00242DCE">
        <w:rPr>
          <w:rFonts w:asciiTheme="minorHAnsi" w:hAnsiTheme="minorHAnsi"/>
          <w:lang w:val="en-US"/>
        </w:rPr>
        <w:t xml:space="preserve">14 April 2025, </w:t>
      </w:r>
      <w:r w:rsidRPr="00242DCE">
        <w:rPr>
          <w:rFonts w:asciiTheme="minorHAnsi" w:hAnsiTheme="minorHAnsi"/>
          <w:i/>
          <w:iCs/>
          <w:lang w:val="en-US"/>
        </w:rPr>
        <w:t>supra</w:t>
      </w:r>
      <w:r w:rsidR="000513F1">
        <w:rPr>
          <w:rFonts w:asciiTheme="minorHAnsi" w:hAnsiTheme="minorHAnsi"/>
          <w:i/>
          <w:iCs/>
          <w:lang w:val="en-US"/>
        </w:rPr>
        <w:t xml:space="preserve"> note 31</w:t>
      </w:r>
      <w:r w:rsidRPr="00242DCE">
        <w:rPr>
          <w:rFonts w:asciiTheme="minorHAnsi" w:hAnsiTheme="minorHAnsi"/>
          <w:lang w:val="en-US"/>
        </w:rPr>
        <w:t xml:space="preserve">, pp. 30-31. </w:t>
      </w:r>
    </w:p>
  </w:footnote>
  <w:footnote w:id="36">
    <w:p w14:paraId="4047B09E" w14:textId="372DCAC9"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European Union Agency for Fundamental Rights,</w:t>
      </w:r>
      <w:r w:rsidR="003F1821">
        <w:rPr>
          <w:rFonts w:asciiTheme="minorHAnsi" w:hAnsiTheme="minorHAnsi"/>
          <w:lang w:val="en-US"/>
        </w:rPr>
        <w:t xml:space="preserve"> </w:t>
      </w:r>
      <w:r w:rsidR="003F1821" w:rsidRPr="00242DCE">
        <w:rPr>
          <w:rFonts w:asciiTheme="minorHAnsi" w:hAnsiTheme="minorHAnsi"/>
          <w:lang w:val="en-US"/>
        </w:rPr>
        <w:t xml:space="preserve">2023, </w:t>
      </w:r>
      <w:r w:rsidRPr="00242DCE">
        <w:rPr>
          <w:rFonts w:asciiTheme="minorHAnsi" w:hAnsiTheme="minorHAnsi"/>
          <w:i/>
          <w:iCs/>
          <w:lang w:val="en-US"/>
        </w:rPr>
        <w:t>supra</w:t>
      </w:r>
      <w:r w:rsidR="003F1821">
        <w:rPr>
          <w:rFonts w:asciiTheme="minorHAnsi" w:hAnsiTheme="minorHAnsi"/>
          <w:i/>
          <w:iCs/>
          <w:lang w:val="en-US"/>
        </w:rPr>
        <w:t xml:space="preserve"> note 9</w:t>
      </w:r>
      <w:r w:rsidRPr="00242DCE">
        <w:rPr>
          <w:rFonts w:asciiTheme="minorHAnsi" w:hAnsiTheme="minorHAnsi"/>
          <w:lang w:val="en-US"/>
        </w:rPr>
        <w:t>, pp. 76, 78.</w:t>
      </w:r>
    </w:p>
  </w:footnote>
  <w:footnote w:id="37">
    <w:p w14:paraId="194F65B5" w14:textId="77777777"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The term “people with a foreign background” is used by Statistics Finland. It refers to “persons whose both parents </w:t>
      </w:r>
      <w:proofErr w:type="gramStart"/>
      <w:r w:rsidRPr="00242DCE">
        <w:rPr>
          <w:rFonts w:asciiTheme="minorHAnsi" w:hAnsiTheme="minorHAnsi"/>
          <w:lang w:val="en-US"/>
        </w:rPr>
        <w:t>or</w:t>
      </w:r>
      <w:proofErr w:type="gramEnd"/>
      <w:r w:rsidRPr="00242DCE">
        <w:rPr>
          <w:rFonts w:asciiTheme="minorHAnsi" w:hAnsiTheme="minorHAnsi"/>
          <w:lang w:val="en-US"/>
        </w:rPr>
        <w:t xml:space="preserve"> the only known parent have been born abroad </w:t>
      </w:r>
      <w:proofErr w:type="gramStart"/>
      <w:r w:rsidRPr="00242DCE">
        <w:rPr>
          <w:rFonts w:asciiTheme="minorHAnsi" w:hAnsiTheme="minorHAnsi"/>
          <w:lang w:val="en-US"/>
        </w:rPr>
        <w:t>are considered to be</w:t>
      </w:r>
      <w:proofErr w:type="gramEnd"/>
      <w:r w:rsidRPr="00242DCE">
        <w:rPr>
          <w:rFonts w:asciiTheme="minorHAnsi" w:hAnsiTheme="minorHAnsi"/>
          <w:lang w:val="en-US"/>
        </w:rPr>
        <w:t xml:space="preserve"> persons with foreign background. Persons who have been born abroad and whose parents' data are not included in the Population Information System are also considered to be persons with foreign background”. Finnish Centre for State-</w:t>
      </w:r>
      <w:proofErr w:type="spellStart"/>
      <w:r w:rsidRPr="00242DCE">
        <w:rPr>
          <w:rFonts w:asciiTheme="minorHAnsi" w:hAnsiTheme="minorHAnsi"/>
          <w:lang w:val="en-US"/>
        </w:rPr>
        <w:t>Subsidised</w:t>
      </w:r>
      <w:proofErr w:type="spellEnd"/>
      <w:r w:rsidRPr="00242DCE">
        <w:rPr>
          <w:rFonts w:asciiTheme="minorHAnsi" w:hAnsiTheme="minorHAnsi"/>
          <w:lang w:val="en-US"/>
        </w:rPr>
        <w:t xml:space="preserve"> Housing Construction </w:t>
      </w:r>
      <w:proofErr w:type="spellStart"/>
      <w:r w:rsidRPr="00242DCE">
        <w:rPr>
          <w:rFonts w:asciiTheme="minorHAnsi" w:hAnsiTheme="minorHAnsi"/>
          <w:lang w:val="en-US"/>
        </w:rPr>
        <w:t>Varke</w:t>
      </w:r>
      <w:proofErr w:type="spellEnd"/>
      <w:r w:rsidRPr="00242DCE">
        <w:rPr>
          <w:rFonts w:asciiTheme="minorHAnsi" w:hAnsiTheme="minorHAnsi"/>
          <w:lang w:val="en-US"/>
        </w:rPr>
        <w:t xml:space="preserve">, Homelessness in Finland statistics, 2025, </w:t>
      </w:r>
      <w:hyperlink r:id="rId38" w:history="1">
        <w:r w:rsidRPr="00242DCE">
          <w:rPr>
            <w:rStyle w:val="Hyperlink"/>
            <w:rFonts w:asciiTheme="minorHAnsi" w:hAnsiTheme="minorHAnsi"/>
            <w:lang w:val="en-US"/>
          </w:rPr>
          <w:t>varke.fi/</w:t>
        </w:r>
        <w:proofErr w:type="spellStart"/>
        <w:r w:rsidRPr="00242DCE">
          <w:rPr>
            <w:rStyle w:val="Hyperlink"/>
            <w:rFonts w:asciiTheme="minorHAnsi" w:hAnsiTheme="minorHAnsi"/>
            <w:lang w:val="en-US"/>
          </w:rPr>
          <w:t>en</w:t>
        </w:r>
        <w:proofErr w:type="spellEnd"/>
        <w:r w:rsidRPr="00242DCE">
          <w:rPr>
            <w:rStyle w:val="Hyperlink"/>
            <w:rFonts w:asciiTheme="minorHAnsi" w:hAnsiTheme="minorHAnsi"/>
            <w:lang w:val="en-US"/>
          </w:rPr>
          <w:t>/statistics/homelessness/homeless-people-2024</w:t>
        </w:r>
      </w:hyperlink>
      <w:r w:rsidRPr="00242DCE">
        <w:rPr>
          <w:rFonts w:asciiTheme="minorHAnsi" w:hAnsiTheme="minorHAnsi"/>
          <w:lang w:val="en-US"/>
        </w:rPr>
        <w:t>, pp. 8.</w:t>
      </w:r>
    </w:p>
  </w:footnote>
  <w:footnote w:id="38">
    <w:p w14:paraId="15FD8F19" w14:textId="77777777"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Centre for State-</w:t>
      </w:r>
      <w:proofErr w:type="spellStart"/>
      <w:r w:rsidRPr="00242DCE">
        <w:rPr>
          <w:rFonts w:asciiTheme="minorHAnsi" w:hAnsiTheme="minorHAnsi"/>
          <w:lang w:val="en-US"/>
        </w:rPr>
        <w:t>Subsidised</w:t>
      </w:r>
      <w:proofErr w:type="spellEnd"/>
      <w:r w:rsidRPr="00242DCE">
        <w:rPr>
          <w:rFonts w:asciiTheme="minorHAnsi" w:hAnsiTheme="minorHAnsi"/>
          <w:lang w:val="en-US"/>
        </w:rPr>
        <w:t xml:space="preserve"> Housing Construction </w:t>
      </w:r>
      <w:proofErr w:type="spellStart"/>
      <w:r w:rsidRPr="00242DCE">
        <w:rPr>
          <w:rFonts w:asciiTheme="minorHAnsi" w:hAnsiTheme="minorHAnsi"/>
          <w:lang w:val="en-US"/>
        </w:rPr>
        <w:t>Varke</w:t>
      </w:r>
      <w:proofErr w:type="spellEnd"/>
      <w:r w:rsidRPr="00242DCE">
        <w:rPr>
          <w:rFonts w:asciiTheme="minorHAnsi" w:hAnsiTheme="minorHAnsi"/>
          <w:lang w:val="en-US"/>
        </w:rPr>
        <w:t xml:space="preserve">, Homelessness in Finland statistics, 2025, </w:t>
      </w:r>
      <w:hyperlink r:id="rId39" w:history="1">
        <w:r w:rsidRPr="00242DCE">
          <w:rPr>
            <w:rStyle w:val="Hyperlink"/>
            <w:rFonts w:asciiTheme="minorHAnsi" w:hAnsiTheme="minorHAnsi"/>
            <w:lang w:val="en-US"/>
          </w:rPr>
          <w:t>varke.fi/</w:t>
        </w:r>
        <w:proofErr w:type="spellStart"/>
        <w:r w:rsidRPr="00242DCE">
          <w:rPr>
            <w:rStyle w:val="Hyperlink"/>
            <w:rFonts w:asciiTheme="minorHAnsi" w:hAnsiTheme="minorHAnsi"/>
            <w:lang w:val="en-US"/>
          </w:rPr>
          <w:t>en</w:t>
        </w:r>
        <w:proofErr w:type="spellEnd"/>
        <w:r w:rsidRPr="00242DCE">
          <w:rPr>
            <w:rStyle w:val="Hyperlink"/>
            <w:rFonts w:asciiTheme="minorHAnsi" w:hAnsiTheme="minorHAnsi"/>
            <w:lang w:val="en-US"/>
          </w:rPr>
          <w:t>/statistics/homelessness/homeless-people-2024</w:t>
        </w:r>
      </w:hyperlink>
      <w:r w:rsidRPr="00242DCE">
        <w:rPr>
          <w:rFonts w:asciiTheme="minorHAnsi" w:hAnsiTheme="minorHAnsi"/>
          <w:lang w:val="en-US"/>
        </w:rPr>
        <w:t>, pp. 3-4; Finnish Centre for State-</w:t>
      </w:r>
      <w:proofErr w:type="spellStart"/>
      <w:r w:rsidRPr="00242DCE">
        <w:rPr>
          <w:rFonts w:asciiTheme="minorHAnsi" w:hAnsiTheme="minorHAnsi"/>
          <w:lang w:val="en-US"/>
        </w:rPr>
        <w:t>Subsidised</w:t>
      </w:r>
      <w:proofErr w:type="spellEnd"/>
      <w:r w:rsidRPr="00242DCE">
        <w:rPr>
          <w:rFonts w:asciiTheme="minorHAnsi" w:hAnsiTheme="minorHAnsi"/>
          <w:lang w:val="en-US"/>
        </w:rPr>
        <w:t xml:space="preserve"> Housing Construction </w:t>
      </w:r>
      <w:proofErr w:type="spellStart"/>
      <w:r w:rsidRPr="00242DCE">
        <w:rPr>
          <w:rFonts w:asciiTheme="minorHAnsi" w:hAnsiTheme="minorHAnsi"/>
          <w:lang w:val="en-US"/>
        </w:rPr>
        <w:t>Varke</w:t>
      </w:r>
      <w:proofErr w:type="spellEnd"/>
      <w:r w:rsidRPr="00242DCE">
        <w:rPr>
          <w:rFonts w:asciiTheme="minorHAnsi" w:hAnsiTheme="minorHAnsi"/>
          <w:lang w:val="en-US"/>
        </w:rPr>
        <w:t xml:space="preserve">, Homelessness in Finland statistics, 2026,  </w:t>
      </w:r>
      <w:hyperlink r:id="rId40" w:history="1">
        <w:r w:rsidRPr="00242DCE">
          <w:rPr>
            <w:rStyle w:val="Hyperlink"/>
            <w:rFonts w:asciiTheme="minorHAnsi" w:hAnsiTheme="minorHAnsi"/>
            <w:lang w:val="en-US"/>
          </w:rPr>
          <w:t>varke.fi/</w:t>
        </w:r>
        <w:proofErr w:type="spellStart"/>
        <w:r w:rsidRPr="00242DCE">
          <w:rPr>
            <w:rStyle w:val="Hyperlink"/>
            <w:rFonts w:asciiTheme="minorHAnsi" w:hAnsiTheme="minorHAnsi"/>
            <w:lang w:val="en-US"/>
          </w:rPr>
          <w:t>en</w:t>
        </w:r>
        <w:proofErr w:type="spellEnd"/>
        <w:r w:rsidRPr="00242DCE">
          <w:rPr>
            <w:rStyle w:val="Hyperlink"/>
            <w:rFonts w:asciiTheme="minorHAnsi" w:hAnsiTheme="minorHAnsi"/>
            <w:lang w:val="en-US"/>
          </w:rPr>
          <w:t>/statistics/homelessness/homeless-people-2025</w:t>
        </w:r>
      </w:hyperlink>
      <w:r w:rsidRPr="00242DCE">
        <w:rPr>
          <w:rFonts w:asciiTheme="minorHAnsi" w:hAnsiTheme="minorHAnsi"/>
          <w:lang w:val="en-US"/>
        </w:rPr>
        <w:t>.</w:t>
      </w:r>
    </w:p>
  </w:footnote>
  <w:footnote w:id="39">
    <w:p w14:paraId="3B676A5B" w14:textId="77777777"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Hedayati, N., Migrants’ pathways into homelessness in Finland’s Capital Region, </w:t>
      </w:r>
      <w:proofErr w:type="spellStart"/>
      <w:r w:rsidRPr="00242DCE">
        <w:rPr>
          <w:rFonts w:asciiTheme="minorHAnsi" w:hAnsiTheme="minorHAnsi"/>
          <w:lang w:val="en-US"/>
        </w:rPr>
        <w:t>Sininauhasäätiö</w:t>
      </w:r>
      <w:proofErr w:type="spellEnd"/>
      <w:r w:rsidRPr="00242DCE">
        <w:rPr>
          <w:rFonts w:asciiTheme="minorHAnsi" w:hAnsiTheme="minorHAnsi"/>
          <w:lang w:val="en-US"/>
        </w:rPr>
        <w:t xml:space="preserve"> (MASE Project, funded by the Housing Finance and Development Centre of Finland ARA), 2024, </w:t>
      </w:r>
      <w:hyperlink r:id="rId41" w:history="1">
        <w:r w:rsidRPr="00242DCE">
          <w:rPr>
            <w:rStyle w:val="Hyperlink"/>
            <w:rFonts w:asciiTheme="minorHAnsi" w:hAnsiTheme="minorHAnsi"/>
            <w:lang w:val="en-US"/>
          </w:rPr>
          <w:t>sininauhasaatio.fi/wp-content/uploads/2024/06/Migrants-pathways-into-homelessness.pdf</w:t>
        </w:r>
      </w:hyperlink>
      <w:r w:rsidRPr="00242DCE">
        <w:rPr>
          <w:rFonts w:asciiTheme="minorHAnsi" w:hAnsiTheme="minorHAnsi"/>
          <w:lang w:val="en-US"/>
        </w:rPr>
        <w:t>, pp. 10.</w:t>
      </w:r>
    </w:p>
  </w:footnote>
  <w:footnote w:id="40">
    <w:p w14:paraId="0967E859" w14:textId="77777777" w:rsidR="001237AA" w:rsidRPr="00242DCE" w:rsidRDefault="001237AA"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Social Insurance Institution of Finland Kela</w:t>
      </w:r>
      <w:proofErr w:type="gramStart"/>
      <w:r w:rsidRPr="00242DCE">
        <w:rPr>
          <w:rFonts w:asciiTheme="minorHAnsi" w:hAnsiTheme="minorHAnsi"/>
          <w:lang w:val="en-US"/>
        </w:rPr>
        <w:t>, ”General</w:t>
      </w:r>
      <w:proofErr w:type="gramEnd"/>
      <w:r w:rsidRPr="00242DCE">
        <w:rPr>
          <w:rFonts w:asciiTheme="minorHAnsi" w:hAnsiTheme="minorHAnsi"/>
          <w:lang w:val="en-US"/>
        </w:rPr>
        <w:t xml:space="preserve"> housing allowance reduced in 2024, will no longer be available for owner-occupied homes starting in 2025”, 2023, </w:t>
      </w:r>
      <w:hyperlink r:id="rId42" w:history="1">
        <w:r w:rsidRPr="00242DCE">
          <w:rPr>
            <w:rStyle w:val="Hyperlink"/>
            <w:rFonts w:asciiTheme="minorHAnsi" w:hAnsiTheme="minorHAnsi"/>
            <w:lang w:val="en-US"/>
          </w:rPr>
          <w:t>https://www.kela.fi/news/general-housing-allowance-reduced-in-2024-will-no-longer-be-available-for-owner-occupied-homes-starting-in-2025</w:t>
        </w:r>
      </w:hyperlink>
      <w:r w:rsidRPr="00242DCE">
        <w:rPr>
          <w:rFonts w:asciiTheme="minorHAnsi" w:hAnsiTheme="minorHAnsi"/>
          <w:lang w:val="en-US"/>
        </w:rPr>
        <w:t xml:space="preserve">. </w:t>
      </w:r>
    </w:p>
  </w:footnote>
  <w:footnote w:id="41">
    <w:p w14:paraId="09FACF31"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Government, ”</w:t>
      </w:r>
      <w:proofErr w:type="spellStart"/>
      <w:r w:rsidRPr="00242DCE">
        <w:rPr>
          <w:rFonts w:asciiTheme="minorHAnsi" w:hAnsiTheme="minorHAnsi"/>
          <w:lang w:val="en-US"/>
        </w:rPr>
        <w:t>Hallituksen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esitys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eduskunnalle</w:t>
      </w:r>
      <w:proofErr w:type="spellEnd"/>
      <w:r w:rsidRPr="00242DCE">
        <w:rPr>
          <w:rFonts w:asciiTheme="minorHAnsi" w:hAnsiTheme="minorHAnsi"/>
          <w:lang w:val="en-US"/>
        </w:rPr>
        <w:t xml:space="preserve"> </w:t>
      </w:r>
      <w:proofErr w:type="spellStart"/>
      <w:r w:rsidRPr="00242DCE">
        <w:rPr>
          <w:rFonts w:asciiTheme="minorHAnsi" w:hAnsiTheme="minorHAnsi"/>
          <w:lang w:val="en-US"/>
        </w:rPr>
        <w:t>laeiksi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yleistukilain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työvoimapalveluiden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järjestämisestä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annetun</w:t>
      </w:r>
      <w:proofErr w:type="spellEnd"/>
      <w:r w:rsidRPr="00242DCE">
        <w:rPr>
          <w:rFonts w:asciiTheme="minorHAnsi" w:hAnsiTheme="minorHAnsi"/>
          <w:lang w:val="en-US"/>
        </w:rPr>
        <w:t xml:space="preserve"> lain </w:t>
      </w:r>
      <w:proofErr w:type="spellStart"/>
      <w:r w:rsidRPr="00242DCE">
        <w:rPr>
          <w:rFonts w:asciiTheme="minorHAnsi" w:hAnsiTheme="minorHAnsi"/>
          <w:lang w:val="en-US"/>
        </w:rPr>
        <w:t>sekä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yleisistä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kielitutkinnoista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annetun</w:t>
      </w:r>
      <w:proofErr w:type="spellEnd"/>
      <w:r w:rsidRPr="00242DCE">
        <w:rPr>
          <w:rFonts w:asciiTheme="minorHAnsi" w:hAnsiTheme="minorHAnsi"/>
          <w:lang w:val="en-US"/>
        </w:rPr>
        <w:t xml:space="preserve"> lain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(HE 109/2026) [“Government proposal for acts amending the Act on General Support, the Act on the Promotion of Immigrant Integration and the Act on the National Certificate of Language Proficiency”], </w:t>
      </w:r>
      <w:hyperlink r:id="rId43" w:history="1">
        <w:r w:rsidRPr="00242DCE">
          <w:rPr>
            <w:rStyle w:val="Hyperlink"/>
            <w:rFonts w:asciiTheme="minorHAnsi" w:hAnsiTheme="minorHAnsi"/>
            <w:lang w:val="en-US"/>
          </w:rPr>
          <w:t>https://www.finlex.fi/fi/hallituksen-esitykset/2026/109 (in Finnish)</w:t>
        </w:r>
      </w:hyperlink>
      <w:r w:rsidRPr="00242DCE">
        <w:rPr>
          <w:rFonts w:asciiTheme="minorHAnsi" w:hAnsiTheme="minorHAnsi"/>
          <w:lang w:val="en-US"/>
        </w:rPr>
        <w:t xml:space="preserve"> </w:t>
      </w:r>
    </w:p>
  </w:footnote>
  <w:footnote w:id="42">
    <w:p w14:paraId="75EB41CC" w14:textId="77777777" w:rsidR="005E5A64" w:rsidRPr="00CD679B" w:rsidRDefault="005E5A64"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CD679B">
        <w:rPr>
          <w:rFonts w:asciiTheme="minorHAnsi" w:hAnsiTheme="minorHAnsi"/>
          <w:lang w:val="fi-FI"/>
        </w:rPr>
        <w:t xml:space="preserve"> </w:t>
      </w:r>
      <w:r w:rsidRPr="00CD679B">
        <w:rPr>
          <w:rFonts w:asciiTheme="minorHAnsi" w:hAnsiTheme="minorHAnsi"/>
          <w:lang w:val="fi-FI"/>
        </w:rPr>
        <w:t>Finnish Government, ”Hallituksen esitys eduskunnalle laiksi kotoutumisen edistämisestä annetun lain muuttamisesta ja siihen liittyviksi laeiksi (HE 74/2026 vp)” [”Government proposal to the Parliament: Act on Promoting Integration (HE</w:t>
      </w:r>
      <w:r w:rsidRPr="00CD679B">
        <w:rPr>
          <w:rFonts w:ascii="Arial" w:hAnsi="Arial"/>
          <w:lang w:val="fi-FI"/>
        </w:rPr>
        <w:t> </w:t>
      </w:r>
      <w:r w:rsidRPr="00CD679B">
        <w:rPr>
          <w:rFonts w:asciiTheme="minorHAnsi" w:hAnsiTheme="minorHAnsi"/>
          <w:lang w:val="fi-FI"/>
        </w:rPr>
        <w:t>74/2026</w:t>
      </w:r>
      <w:r w:rsidRPr="00CD679B">
        <w:rPr>
          <w:rFonts w:ascii="Arial" w:hAnsi="Arial"/>
          <w:lang w:val="fi-FI"/>
        </w:rPr>
        <w:t> </w:t>
      </w:r>
      <w:r w:rsidRPr="00CD679B">
        <w:rPr>
          <w:rFonts w:asciiTheme="minorHAnsi" w:hAnsiTheme="minorHAnsi"/>
          <w:lang w:val="fi-FI"/>
        </w:rPr>
        <w:t xml:space="preserve">vp)”], 2026, </w:t>
      </w:r>
      <w:hyperlink r:id="rId44" w:history="1">
        <w:r w:rsidRPr="00CD679B">
          <w:rPr>
            <w:rStyle w:val="Hyperlink"/>
            <w:rFonts w:asciiTheme="minorHAnsi" w:hAnsiTheme="minorHAnsi"/>
            <w:lang w:val="fi-FI"/>
          </w:rPr>
          <w:t>https://www.eduskunta.fi/asiat-ja-aanestykset/valtiopaivaasiat/asiakirjat/edktunnus/EDK-2026-AK-22400 (in Finnish)</w:t>
        </w:r>
      </w:hyperlink>
      <w:r w:rsidRPr="00CD679B">
        <w:rPr>
          <w:rFonts w:asciiTheme="minorHAnsi" w:hAnsiTheme="minorHAnsi"/>
          <w:lang w:val="fi-FI"/>
        </w:rPr>
        <w:t xml:space="preserve">. </w:t>
      </w:r>
    </w:p>
  </w:footnote>
  <w:footnote w:id="43">
    <w:p w14:paraId="5D482C61" w14:textId="77777777" w:rsidR="005E5A64" w:rsidRPr="00CD679B" w:rsidRDefault="005E5A64"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CD679B">
        <w:rPr>
          <w:rFonts w:asciiTheme="minorHAnsi" w:hAnsiTheme="minorHAnsi"/>
          <w:lang w:val="fi-FI"/>
        </w:rPr>
        <w:t xml:space="preserve"> Amnesty International Finnish Section. </w:t>
      </w:r>
      <w:r w:rsidRPr="00CD679B">
        <w:rPr>
          <w:rFonts w:asciiTheme="minorHAnsi" w:hAnsiTheme="minorHAnsi"/>
          <w:lang w:val="fi-FI"/>
        </w:rPr>
        <w:t xml:space="preserve">”Lausunto hallituksen esitysluonnoksesta laeiksi yleistukilain, kotoutumisen edistämisestä annetun lain sekä yleisistä kielitutkinnoista annetun lain muuttamisesta” [”Comment on the Government's draft proposal for acts amending the Act on General Support, the Act on the Promotion of Immigrant Integration and the Act on the National Certificate of Language Proficiency”], AI FI 6/2026, 2026, </w:t>
      </w:r>
      <w:hyperlink r:id="rId45" w:history="1">
        <w:r w:rsidRPr="00CD679B">
          <w:rPr>
            <w:rStyle w:val="Hyperlink"/>
            <w:rFonts w:asciiTheme="minorHAnsi" w:hAnsiTheme="minorHAnsi"/>
            <w:lang w:val="fi-FI"/>
          </w:rPr>
          <w:t>amnesty.fi/app/uploads/2026/02/Lausunto-AI-FI-6_2026-STM-yleistuki-kotoutuminen-kieli.pdf (in Finnish)</w:t>
        </w:r>
      </w:hyperlink>
      <w:r w:rsidRPr="00CD679B">
        <w:rPr>
          <w:rFonts w:asciiTheme="minorHAnsi" w:hAnsiTheme="minorHAnsi"/>
          <w:lang w:val="fi-FI"/>
        </w:rPr>
        <w:t xml:space="preserve">, pp. 3–5. </w:t>
      </w:r>
    </w:p>
  </w:footnote>
  <w:footnote w:id="44">
    <w:p w14:paraId="34DB6AEB" w14:textId="77777777" w:rsidR="005E5A64" w:rsidRPr="00CD679B" w:rsidRDefault="005E5A64"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CD679B">
        <w:rPr>
          <w:rFonts w:asciiTheme="minorHAnsi" w:hAnsiTheme="minorHAnsi"/>
          <w:lang w:val="fi-FI"/>
        </w:rPr>
        <w:t xml:space="preserve"> </w:t>
      </w:r>
      <w:r w:rsidRPr="00CD679B">
        <w:rPr>
          <w:rFonts w:asciiTheme="minorHAnsi" w:hAnsiTheme="minorHAnsi"/>
          <w:lang w:val="fi-FI"/>
        </w:rPr>
        <w:t>Finnish Government, ”Hallituksen esitys eduskunnalle laiksi lasten kotihoidon ja yksityisen hoidon tuesta annetun lain muuttamisesta (HE 69/2026 vp)”, [“Government proposal to Parliament: Act amending the Act on Child Home Care and Private Care Support (HE</w:t>
      </w:r>
      <w:r w:rsidRPr="00CD679B">
        <w:rPr>
          <w:rFonts w:ascii="Arial" w:hAnsi="Arial"/>
          <w:lang w:val="fi-FI"/>
        </w:rPr>
        <w:t> </w:t>
      </w:r>
      <w:r w:rsidRPr="00CD679B">
        <w:rPr>
          <w:rFonts w:asciiTheme="minorHAnsi" w:hAnsiTheme="minorHAnsi"/>
          <w:lang w:val="fi-FI"/>
        </w:rPr>
        <w:t>69/2026</w:t>
      </w:r>
      <w:r w:rsidRPr="00CD679B">
        <w:rPr>
          <w:rFonts w:ascii="Arial" w:hAnsi="Arial"/>
          <w:lang w:val="fi-FI"/>
        </w:rPr>
        <w:t> </w:t>
      </w:r>
      <w:r w:rsidRPr="00CD679B">
        <w:rPr>
          <w:rFonts w:asciiTheme="minorHAnsi" w:hAnsiTheme="minorHAnsi"/>
          <w:lang w:val="fi-FI"/>
        </w:rPr>
        <w:t xml:space="preserve">vp)”], 2026, </w:t>
      </w:r>
      <w:hyperlink r:id="rId46" w:history="1">
        <w:r w:rsidRPr="00CD679B">
          <w:rPr>
            <w:rStyle w:val="Hyperlink"/>
            <w:rFonts w:asciiTheme="minorHAnsi" w:hAnsiTheme="minorHAnsi"/>
            <w:lang w:val="fi-FI"/>
          </w:rPr>
          <w:t>eduskunta.fi/asiat-ja-aanestykset/valtiopaivaasiat/asiakirjat/edktunnus/EDK-2026-AK-20573 (in Finnish)</w:t>
        </w:r>
      </w:hyperlink>
      <w:r w:rsidRPr="00CD679B">
        <w:rPr>
          <w:rFonts w:asciiTheme="minorHAnsi" w:hAnsiTheme="minorHAnsi"/>
          <w:lang w:val="fi-FI"/>
        </w:rPr>
        <w:t xml:space="preserve">. </w:t>
      </w:r>
    </w:p>
  </w:footnote>
  <w:footnote w:id="45">
    <w:p w14:paraId="60A17F81"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CD679B">
        <w:rPr>
          <w:rFonts w:asciiTheme="minorHAnsi" w:hAnsiTheme="minorHAnsi"/>
          <w:lang w:val="fi-FI"/>
        </w:rPr>
        <w:t xml:space="preserve"> </w:t>
      </w:r>
      <w:r w:rsidRPr="00CD679B">
        <w:rPr>
          <w:rFonts w:asciiTheme="minorHAnsi" w:hAnsiTheme="minorHAnsi"/>
          <w:lang w:val="fi-FI"/>
        </w:rPr>
        <w:t xml:space="preserve">Amnesty International Finnish Section, ”Lausunto luonnoksesta hallituksen esitykseksi eduskunnalle laiksi lasten kotihoidon ja yksityisen hoidon tuesta annetun lain muuttamisesta” [”Comment on the draft government proposal to Parliament for an act amending the Act on Child Home Care and Private Day Care Allowance”], AI FI 12/2026, 2026, </w:t>
      </w:r>
      <w:hyperlink r:id="rId47" w:history="1">
        <w:r w:rsidRPr="00CD679B">
          <w:rPr>
            <w:rStyle w:val="Hyperlink"/>
            <w:rFonts w:asciiTheme="minorHAnsi" w:hAnsiTheme="minorHAnsi"/>
            <w:lang w:val="fi-FI"/>
          </w:rPr>
          <w:t>amnesty.fi/app/uploads/2026/03/Lausunto-AI-FI-2026-STM-kotihoidontuki.pdf (in Finnish)</w:t>
        </w:r>
      </w:hyperlink>
      <w:r w:rsidRPr="00CD679B">
        <w:rPr>
          <w:rFonts w:asciiTheme="minorHAnsi" w:hAnsiTheme="minorHAnsi"/>
          <w:lang w:val="fi-FI"/>
        </w:rPr>
        <w:t xml:space="preserve">, pp. 2–3. </w:t>
      </w:r>
      <w:r w:rsidRPr="00242DCE">
        <w:rPr>
          <w:rFonts w:asciiTheme="minorHAnsi" w:hAnsiTheme="minorHAnsi"/>
          <w:lang w:val="en-US"/>
        </w:rPr>
        <w:t xml:space="preserve">About social assistance, see Ministry of Social Affairs and Health, </w:t>
      </w:r>
      <w:hyperlink r:id="rId48" w:history="1">
        <w:r w:rsidRPr="00242DCE">
          <w:rPr>
            <w:rStyle w:val="Hyperlink"/>
            <w:rFonts w:asciiTheme="minorHAnsi" w:hAnsiTheme="minorHAnsi"/>
            <w:lang w:val="en-US"/>
          </w:rPr>
          <w:t>https://stm.fi/en/income-security/social-assistance</w:t>
        </w:r>
      </w:hyperlink>
      <w:r w:rsidRPr="00242DCE">
        <w:rPr>
          <w:rFonts w:asciiTheme="minorHAnsi" w:hAnsiTheme="minorHAnsi"/>
          <w:lang w:val="en-US"/>
        </w:rPr>
        <w:t xml:space="preserve"> (accessed on 26 June 2026).</w:t>
      </w:r>
    </w:p>
  </w:footnote>
  <w:footnote w:id="46">
    <w:p w14:paraId="2EA5524E"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As a tule, those eligible for the reception allowance are not eligible for others benefits. </w:t>
      </w:r>
    </w:p>
  </w:footnote>
  <w:footnote w:id="47">
    <w:p w14:paraId="17533708"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Reception Act (Act on the Reception of Persons Applying for International Protection and on the Identification of and Assistance to Victims of Trafficking in Human Beings), Amendment 466/2024.</w:t>
      </w:r>
    </w:p>
  </w:footnote>
  <w:footnote w:id="48">
    <w:p w14:paraId="6E72E653" w14:textId="77777777" w:rsidR="005E5A64" w:rsidRPr="00CD679B" w:rsidRDefault="005E5A64" w:rsidP="00242DCE">
      <w:pPr>
        <w:pStyle w:val="FootnoteText"/>
        <w:spacing w:after="0"/>
        <w:rPr>
          <w:rFonts w:asciiTheme="minorHAnsi" w:hAnsiTheme="minorHAnsi"/>
          <w:b/>
          <w:lang w:val="fi-FI"/>
        </w:rPr>
      </w:pPr>
      <w:r w:rsidRPr="00242DCE">
        <w:rPr>
          <w:rStyle w:val="FootnoteReference"/>
          <w:rFonts w:asciiTheme="minorHAnsi" w:hAnsiTheme="minorHAnsi"/>
        </w:rPr>
        <w:footnoteRef/>
      </w:r>
      <w:r w:rsidRPr="00242DCE">
        <w:rPr>
          <w:rFonts w:asciiTheme="minorHAnsi" w:hAnsiTheme="minorHAnsi"/>
          <w:lang w:val="en-US"/>
        </w:rPr>
        <w:t xml:space="preserve"> Finnish Government, “</w:t>
      </w:r>
      <w:proofErr w:type="spellStart"/>
      <w:r w:rsidRPr="00242DCE">
        <w:rPr>
          <w:rFonts w:asciiTheme="minorHAnsi" w:hAnsiTheme="minorHAnsi"/>
          <w:lang w:val="en-US"/>
        </w:rPr>
        <w:t>Hallituksen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esitys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eduskunnalle</w:t>
      </w:r>
      <w:proofErr w:type="spellEnd"/>
      <w:r w:rsidRPr="00242DCE">
        <w:rPr>
          <w:rFonts w:asciiTheme="minorHAnsi" w:hAnsiTheme="minorHAnsi"/>
          <w:lang w:val="en-US"/>
        </w:rPr>
        <w:t xml:space="preserve"> </w:t>
      </w:r>
      <w:proofErr w:type="spellStart"/>
      <w:proofErr w:type="gramStart"/>
      <w:r w:rsidRPr="00242DCE">
        <w:rPr>
          <w:rFonts w:asciiTheme="minorHAnsi" w:hAnsiTheme="minorHAnsi"/>
          <w:lang w:val="en-US"/>
        </w:rPr>
        <w:t>EU:n</w:t>
      </w:r>
      <w:proofErr w:type="spellEnd"/>
      <w:proofErr w:type="gramEnd"/>
      <w:r w:rsidRPr="00242DCE">
        <w:rPr>
          <w:rFonts w:asciiTheme="minorHAnsi" w:hAnsiTheme="minorHAnsi"/>
          <w:lang w:val="en-US"/>
        </w:rPr>
        <w:t xml:space="preserve"> </w:t>
      </w:r>
      <w:proofErr w:type="spellStart"/>
      <w:r w:rsidRPr="00242DCE">
        <w:rPr>
          <w:rFonts w:asciiTheme="minorHAnsi" w:hAnsiTheme="minorHAnsi"/>
          <w:lang w:val="en-US"/>
        </w:rPr>
        <w:t>muuttoliike</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turvapaikkasopimuksen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muodostavien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säädösten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täytäntöönpanemiseksi</w:t>
      </w:r>
      <w:proofErr w:type="spellEnd"/>
      <w:r w:rsidRPr="00242DCE">
        <w:rPr>
          <w:rFonts w:asciiTheme="minorHAnsi" w:hAnsiTheme="minorHAnsi"/>
          <w:lang w:val="en-US"/>
        </w:rPr>
        <w:t>”</w:t>
      </w:r>
      <w:r w:rsidRPr="00242DCE">
        <w:rPr>
          <w:rFonts w:asciiTheme="minorHAnsi" w:hAnsiTheme="minorHAnsi"/>
          <w:b/>
          <w:bCs/>
          <w:lang w:val="en-US"/>
        </w:rPr>
        <w:t xml:space="preserve"> </w:t>
      </w:r>
      <w:r w:rsidRPr="00242DCE">
        <w:rPr>
          <w:rFonts w:asciiTheme="minorHAnsi" w:hAnsiTheme="minorHAnsi"/>
          <w:lang w:val="en-US"/>
        </w:rPr>
        <w:t xml:space="preserve">[“Government proposal to Parliament on the implementation of the legislative acts constituting the EU Migration and Asylum Pact (HE 52/2026 </w:t>
      </w:r>
      <w:proofErr w:type="spellStart"/>
      <w:r w:rsidRPr="00242DCE">
        <w:rPr>
          <w:rFonts w:asciiTheme="minorHAnsi" w:hAnsiTheme="minorHAnsi"/>
          <w:lang w:val="en-US"/>
        </w:rPr>
        <w:t>vp</w:t>
      </w:r>
      <w:proofErr w:type="spellEnd"/>
      <w:r w:rsidRPr="00242DCE">
        <w:rPr>
          <w:rFonts w:asciiTheme="minorHAnsi" w:hAnsiTheme="minorHAnsi"/>
          <w:lang w:val="en-US"/>
        </w:rPr>
        <w:t xml:space="preserve">)”]. </w:t>
      </w:r>
      <w:hyperlink r:id="rId49" w:history="1">
        <w:r w:rsidRPr="00CD679B">
          <w:rPr>
            <w:rStyle w:val="Hyperlink"/>
            <w:rFonts w:asciiTheme="minorHAnsi" w:hAnsiTheme="minorHAnsi"/>
            <w:lang w:val="fi-FI"/>
          </w:rPr>
          <w:t>eduskunta.fi/asiat-ja-aanestykset/valtiopaivaasiat/HE%2052%2F2026%20vp (in Finnish)</w:t>
        </w:r>
      </w:hyperlink>
      <w:r w:rsidRPr="00CD679B">
        <w:rPr>
          <w:rFonts w:asciiTheme="minorHAnsi" w:hAnsiTheme="minorHAnsi"/>
          <w:lang w:val="fi-FI"/>
        </w:rPr>
        <w:t xml:space="preserve">. </w:t>
      </w:r>
    </w:p>
  </w:footnote>
  <w:footnote w:id="49">
    <w:p w14:paraId="48FAF5BD" w14:textId="77777777" w:rsidR="005E5A64" w:rsidRPr="00CD679B" w:rsidRDefault="005E5A64"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242DCE">
        <w:rPr>
          <w:rFonts w:asciiTheme="minorHAnsi" w:hAnsiTheme="minorHAnsi"/>
          <w:lang w:val="en-US"/>
        </w:rPr>
        <w:t xml:space="preserve"> This information is from an unpublished 2025 survey (n.d.) by the Finnish Immigration Service and obtained by Amnesty International with a freedom of information request on 30 June 2025. The survey was conducted between 16 January and 6 February 2025. There were 68 respondents from 48 different reception centres. Some of the results were outlined in the government’s legislative proposal to continue the temporary cuts to the reception allowance (“</w:t>
      </w:r>
      <w:proofErr w:type="spellStart"/>
      <w:r w:rsidRPr="00242DCE">
        <w:rPr>
          <w:rFonts w:asciiTheme="minorHAnsi" w:hAnsiTheme="minorHAnsi"/>
          <w:lang w:val="en-US"/>
        </w:rPr>
        <w:t>Hallituksen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esitys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eduskunnalle</w:t>
      </w:r>
      <w:proofErr w:type="spellEnd"/>
      <w:r w:rsidRPr="00242DCE">
        <w:rPr>
          <w:rFonts w:asciiTheme="minorHAnsi" w:hAnsiTheme="minorHAnsi"/>
          <w:lang w:val="en-US"/>
        </w:rPr>
        <w:t xml:space="preserve"> </w:t>
      </w:r>
      <w:proofErr w:type="spellStart"/>
      <w:r w:rsidRPr="00242DCE">
        <w:rPr>
          <w:rFonts w:asciiTheme="minorHAnsi" w:hAnsiTheme="minorHAnsi"/>
          <w:lang w:val="en-US"/>
        </w:rPr>
        <w:t>laiksi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kansainvälistä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suojelua</w:t>
      </w:r>
      <w:proofErr w:type="spellEnd"/>
      <w:r w:rsidRPr="00242DCE">
        <w:rPr>
          <w:rFonts w:asciiTheme="minorHAnsi" w:hAnsiTheme="minorHAnsi"/>
          <w:lang w:val="en-US"/>
        </w:rPr>
        <w:t xml:space="preserve"> </w:t>
      </w:r>
      <w:proofErr w:type="spellStart"/>
      <w:r w:rsidRPr="00242DCE">
        <w:rPr>
          <w:rFonts w:asciiTheme="minorHAnsi" w:hAnsiTheme="minorHAnsi"/>
          <w:lang w:val="en-US"/>
        </w:rPr>
        <w:t>hakevan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vastaanotosta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sekä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ihmiskaupan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uhrin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tunnistamisesta</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auttamisesta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annetun</w:t>
      </w:r>
      <w:proofErr w:type="spellEnd"/>
      <w:r w:rsidRPr="00242DCE">
        <w:rPr>
          <w:rFonts w:asciiTheme="minorHAnsi" w:hAnsiTheme="minorHAnsi"/>
          <w:lang w:val="en-US"/>
        </w:rPr>
        <w:t xml:space="preserve"> lain </w:t>
      </w:r>
      <w:proofErr w:type="spellStart"/>
      <w:r w:rsidRPr="00242DCE">
        <w:rPr>
          <w:rFonts w:asciiTheme="minorHAnsi" w:hAnsiTheme="minorHAnsi"/>
          <w:lang w:val="en-US"/>
        </w:rPr>
        <w:t>väliaikaisesta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annetun</w:t>
      </w:r>
      <w:proofErr w:type="spellEnd"/>
      <w:r w:rsidRPr="00242DCE">
        <w:rPr>
          <w:rFonts w:asciiTheme="minorHAnsi" w:hAnsiTheme="minorHAnsi"/>
          <w:lang w:val="en-US"/>
        </w:rPr>
        <w:t xml:space="preserve"> lain </w:t>
      </w:r>
      <w:proofErr w:type="spellStart"/>
      <w:r w:rsidRPr="00242DCE">
        <w:rPr>
          <w:rFonts w:asciiTheme="minorHAnsi" w:hAnsiTheme="minorHAnsi"/>
          <w:lang w:val="en-US"/>
        </w:rPr>
        <w:t>voimaantulosäännöksen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[“Government proposal on the amendment to the entry into force provision on the Act on the Reception of Persons Applying for International Protection and on the Identification of and Assistance to Victims of Trafficking in Human Beings, HE 90/2025 </w:t>
      </w:r>
      <w:proofErr w:type="spellStart"/>
      <w:r w:rsidRPr="00242DCE">
        <w:rPr>
          <w:rFonts w:asciiTheme="minorHAnsi" w:hAnsiTheme="minorHAnsi"/>
          <w:lang w:val="en-US"/>
        </w:rPr>
        <w:t>vp</w:t>
      </w:r>
      <w:proofErr w:type="spellEnd"/>
      <w:r w:rsidRPr="00242DCE">
        <w:rPr>
          <w:rFonts w:asciiTheme="minorHAnsi" w:hAnsiTheme="minorHAnsi"/>
          <w:lang w:val="en-US"/>
        </w:rPr>
        <w:t xml:space="preserve">”]). </w:t>
      </w:r>
      <w:hyperlink r:id="rId50" w:history="1">
        <w:r w:rsidRPr="00CD679B">
          <w:rPr>
            <w:rStyle w:val="Hyperlink"/>
            <w:rFonts w:asciiTheme="minorHAnsi" w:hAnsiTheme="minorHAnsi"/>
            <w:lang w:val="fi-FI"/>
          </w:rPr>
          <w:t>eduskunta.fi/asiat-ja-aanestykset/valtiopaivaasiat/asiakirjat/edktunnus/EDK-2025-AK-36908 (in Finnish)</w:t>
        </w:r>
      </w:hyperlink>
      <w:r w:rsidRPr="00CD679B">
        <w:rPr>
          <w:rFonts w:asciiTheme="minorHAnsi" w:hAnsiTheme="minorHAnsi"/>
          <w:lang w:val="fi-FI"/>
        </w:rPr>
        <w:t xml:space="preserve">. </w:t>
      </w:r>
    </w:p>
  </w:footnote>
  <w:footnote w:id="50">
    <w:p w14:paraId="5EB2299A"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Unpublished 2025 survey (n.d.) by the Finnish Immigration Service. Amnesty International has the survey on file. </w:t>
      </w:r>
    </w:p>
  </w:footnote>
  <w:footnote w:id="51">
    <w:p w14:paraId="73F2DFE5"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hAnsiTheme="minorHAnsi"/>
          <w:i/>
          <w:iCs/>
          <w:lang w:val="en-US"/>
        </w:rPr>
        <w:t>Ibid.</w:t>
      </w:r>
    </w:p>
  </w:footnote>
  <w:footnote w:id="52">
    <w:p w14:paraId="4784440F" w14:textId="77777777" w:rsidR="005E5A64" w:rsidRPr="00242DCE" w:rsidRDefault="005E5A64"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hAnsiTheme="minorHAnsi"/>
          <w:i/>
          <w:iCs/>
          <w:lang w:val="en-US"/>
        </w:rPr>
        <w:t>Ibid.</w:t>
      </w:r>
    </w:p>
  </w:footnote>
  <w:footnote w:id="53">
    <w:p w14:paraId="7F551B8B" w14:textId="77777777" w:rsidR="008338D9" w:rsidRPr="00242DCE" w:rsidRDefault="008338D9"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for Social Affairs and Health, Healthcare and social welfare for undocumented persons, 25 March 2026, </w:t>
      </w:r>
      <w:hyperlink r:id="rId51" w:history="1">
        <w:r w:rsidRPr="00242DCE">
          <w:rPr>
            <w:rStyle w:val="Hyperlink"/>
            <w:rFonts w:asciiTheme="minorHAnsi" w:hAnsiTheme="minorHAnsi"/>
            <w:lang w:val="en-US"/>
          </w:rPr>
          <w:t>stm.fi/en/healthcare-and-social-welfare-for-undocumented-persons</w:t>
        </w:r>
      </w:hyperlink>
      <w:r w:rsidRPr="00242DCE">
        <w:rPr>
          <w:rFonts w:asciiTheme="minorHAnsi" w:hAnsiTheme="minorHAnsi"/>
          <w:lang w:val="en-US"/>
        </w:rPr>
        <w:t xml:space="preserve">.  </w:t>
      </w:r>
    </w:p>
  </w:footnote>
  <w:footnote w:id="54">
    <w:p w14:paraId="43BC05E0" w14:textId="48A2FFF4" w:rsidR="008338D9" w:rsidRPr="00242DCE" w:rsidRDefault="008338D9" w:rsidP="00242DCE">
      <w:pPr>
        <w:pStyle w:val="FootnoteText"/>
        <w:spacing w:after="0"/>
        <w:rPr>
          <w:rFonts w:asciiTheme="minorHAnsi" w:hAnsiTheme="minorHAnsi"/>
        </w:rPr>
      </w:pPr>
      <w:r w:rsidRPr="00242DCE">
        <w:rPr>
          <w:rStyle w:val="FootnoteReference"/>
          <w:rFonts w:asciiTheme="minorHAnsi" w:hAnsiTheme="minorHAnsi"/>
        </w:rPr>
        <w:footnoteRef/>
      </w:r>
      <w:r w:rsidRPr="00242DCE">
        <w:rPr>
          <w:rFonts w:asciiTheme="minorHAnsi" w:hAnsiTheme="minorHAnsi"/>
        </w:rPr>
        <w:t xml:space="preserve"> </w:t>
      </w:r>
      <w:hyperlink r:id="rId52" w:history="1">
        <w:r w:rsidRPr="00242DCE">
          <w:rPr>
            <w:rStyle w:val="Hyperlink"/>
            <w:rFonts w:asciiTheme="minorHAnsi" w:hAnsiTheme="minorHAnsi"/>
          </w:rPr>
          <w:t>https://www.amnesty.org/en/documents/eur20/6899/2023/en/</w:t>
        </w:r>
      </w:hyperlink>
    </w:p>
  </w:footnote>
  <w:footnote w:id="55">
    <w:p w14:paraId="235C5C2D" w14:textId="77777777" w:rsidR="000B0CB0" w:rsidRPr="00242DCE" w:rsidRDefault="000B0CB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European Institute of Gender Equality, Gender Equality Index: Violence against women in Finland 2025, </w:t>
      </w:r>
      <w:hyperlink r:id="rId53" w:history="1">
        <w:r w:rsidRPr="00242DCE">
          <w:rPr>
            <w:rStyle w:val="Hyperlink"/>
            <w:rFonts w:asciiTheme="minorHAnsi" w:hAnsiTheme="minorHAnsi"/>
            <w:lang w:val="en-US"/>
          </w:rPr>
          <w:t>https://eige.europa.eu/gender-equality-index/2025/domain/violence/FI</w:t>
        </w:r>
      </w:hyperlink>
      <w:r w:rsidRPr="00242DCE">
        <w:rPr>
          <w:rFonts w:asciiTheme="minorHAnsi" w:hAnsiTheme="minorHAnsi"/>
          <w:lang w:val="en-US"/>
        </w:rPr>
        <w:t xml:space="preserve"> (accessed on 1 June 2026).</w:t>
      </w:r>
    </w:p>
  </w:footnote>
  <w:footnote w:id="56">
    <w:p w14:paraId="2948F67A" w14:textId="77777777" w:rsidR="000B0CB0" w:rsidRPr="00242DCE" w:rsidRDefault="000B0CB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CD679B">
        <w:rPr>
          <w:rFonts w:asciiTheme="minorHAnsi" w:hAnsiTheme="minorHAnsi"/>
          <w:lang w:val="fi-FI"/>
        </w:rPr>
        <w:t xml:space="preserve"> Liitsola, K., Kauppinen, J., Nikula, M., Thesslund, E., Huovinen, M., Aalto, E., Ollgren, J. &amp; Brummer-Korvenkontio, H., ”Terveyttä seksi- ja erotiikka-alalla. Erotiikka-, escort-, ja seksityötä tekevien terveys- ja hyvinvointi Suomessa” [”Health in sex and erotic work. </w:t>
      </w:r>
      <w:r w:rsidRPr="00242DCE">
        <w:rPr>
          <w:rFonts w:asciiTheme="minorHAnsi" w:hAnsiTheme="minorHAnsi"/>
          <w:lang w:val="en-US"/>
        </w:rPr>
        <w:t xml:space="preserve">The health and welfare of erotic, escort and sex workers in Finland “], 2013, </w:t>
      </w:r>
      <w:hyperlink r:id="rId54" w:history="1">
        <w:r w:rsidRPr="00242DCE">
          <w:rPr>
            <w:rStyle w:val="Hyperlink"/>
            <w:rFonts w:asciiTheme="minorHAnsi" w:hAnsiTheme="minorHAnsi"/>
            <w:lang w:val="en-US"/>
          </w:rPr>
          <w:t>https://www.julkari.fi/bitstream/handle/10024/110829/URN_ISBN_978-952-302-105-1.pdf?sequence=1&amp;isAllowed=y (in Finnish)</w:t>
        </w:r>
      </w:hyperlink>
      <w:r w:rsidRPr="00242DCE">
        <w:rPr>
          <w:rFonts w:asciiTheme="minorHAnsi" w:hAnsiTheme="minorHAnsi"/>
          <w:lang w:val="en-US"/>
        </w:rPr>
        <w:t>.</w:t>
      </w:r>
    </w:p>
  </w:footnote>
  <w:footnote w:id="57">
    <w:p w14:paraId="6F246EC6" w14:textId="77777777" w:rsidR="000B0CB0" w:rsidRPr="00CD679B" w:rsidRDefault="000B0CB0"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CD679B">
        <w:rPr>
          <w:rFonts w:asciiTheme="minorHAnsi" w:hAnsiTheme="minorHAnsi"/>
          <w:lang w:val="fi-FI"/>
        </w:rPr>
        <w:t xml:space="preserve"> See Lehti, M., Salmi, V., Aaltonen, M., Danielsson, P., Hinkkanen, V., Niemi, H., Sirén, R. &amp; Suonpää, K., ”Maahanmuuttajat rikosten uhreina ja tekijöinä” [”Immigrants as crime victims and offenders in Finland”], 2014;</w:t>
      </w:r>
    </w:p>
    <w:p w14:paraId="63BA9491" w14:textId="77777777" w:rsidR="000B0CB0" w:rsidRPr="00352DEE" w:rsidRDefault="000B0CB0" w:rsidP="00242DCE">
      <w:pPr>
        <w:pStyle w:val="FootnoteText"/>
        <w:spacing w:after="0"/>
        <w:rPr>
          <w:rFonts w:asciiTheme="minorHAnsi" w:hAnsiTheme="minorHAnsi"/>
          <w:lang w:val="fi-FI"/>
        </w:rPr>
      </w:pPr>
      <w:hyperlink r:id="rId55" w:history="1">
        <w:r w:rsidRPr="00352DEE">
          <w:rPr>
            <w:rStyle w:val="Hyperlink"/>
            <w:rFonts w:asciiTheme="minorHAnsi" w:hAnsiTheme="minorHAnsi"/>
            <w:lang w:val="fi-FI"/>
          </w:rPr>
          <w:t>https://helda.helsinki.fi/server/api/core/bitstreams/03626293-30e9-4bed-9a43-7d052d5004ab/content (in Finnish)</w:t>
        </w:r>
      </w:hyperlink>
    </w:p>
    <w:p w14:paraId="07E27B96" w14:textId="77777777" w:rsidR="000B0CB0" w:rsidRPr="00352DEE" w:rsidRDefault="000B0CB0" w:rsidP="00242DCE">
      <w:pPr>
        <w:pStyle w:val="FootnoteText"/>
        <w:spacing w:after="0"/>
        <w:rPr>
          <w:rFonts w:asciiTheme="minorHAnsi" w:hAnsiTheme="minorHAnsi"/>
          <w:lang w:val="fi-FI"/>
        </w:rPr>
      </w:pPr>
      <w:r w:rsidRPr="00352DEE">
        <w:rPr>
          <w:rFonts w:asciiTheme="minorHAnsi" w:hAnsiTheme="minorHAnsi"/>
          <w:lang w:val="fi-FI"/>
        </w:rPr>
        <w:t xml:space="preserve">See also Niemi, H. &amp; Lehti, M., ”Ulkomaalaiset, maahanmuuttajat ja rikollisuus”  [”Foreigners, immigrants and crime”] in ”Rikollisuustilanne 2016: Rikollisuuskehitys tilastojen ja tutkimusten valossa” [”Crimes in 2016: Crime development in the light of statistics and surveys”], 2017, </w:t>
      </w:r>
      <w:hyperlink r:id="rId56" w:history="1">
        <w:r w:rsidRPr="00352DEE">
          <w:rPr>
            <w:rStyle w:val="Hyperlink"/>
            <w:rFonts w:asciiTheme="minorHAnsi" w:hAnsiTheme="minorHAnsi"/>
            <w:lang w:val="fi-FI"/>
          </w:rPr>
          <w:t>https://helda.helsinki.fi/server/api/core/bitstreams/b3d5d9c6-8c05-4aa1-97a1-c19e9aa3b9a3/content (in Finnish)</w:t>
        </w:r>
      </w:hyperlink>
      <w:r w:rsidRPr="00352DEE">
        <w:rPr>
          <w:rFonts w:asciiTheme="minorHAnsi" w:hAnsiTheme="minorHAnsi"/>
          <w:lang w:val="fi-FI"/>
        </w:rPr>
        <w:t>, pp. 229–264.</w:t>
      </w:r>
    </w:p>
  </w:footnote>
  <w:footnote w:id="58">
    <w:p w14:paraId="4DC3DD97" w14:textId="77777777" w:rsidR="008053AB" w:rsidRPr="00242DCE" w:rsidRDefault="008053AB" w:rsidP="00242DCE">
      <w:pPr>
        <w:pStyle w:val="FootnoteText"/>
        <w:spacing w:after="0"/>
        <w:rPr>
          <w:rFonts w:asciiTheme="minorHAnsi" w:hAnsiTheme="minorHAnsi"/>
        </w:rPr>
      </w:pPr>
      <w:r w:rsidRPr="00242DCE">
        <w:rPr>
          <w:rStyle w:val="FootnoteReference"/>
          <w:rFonts w:asciiTheme="minorHAnsi" w:hAnsiTheme="minorHAnsi"/>
        </w:rPr>
        <w:footnoteRef/>
      </w:r>
      <w:r w:rsidRPr="00242DCE">
        <w:rPr>
          <w:rFonts w:asciiTheme="minorHAnsi" w:hAnsiTheme="minorHAnsi"/>
          <w:lang w:val="en-US"/>
        </w:rPr>
        <w:t xml:space="preserve"> Low threshold services include, for example, these characteristics in Finland: they are open 24/7, no reservation is needed and it is possible to come with children. Shelter services are free of charge for all service users. Information about accessibility is provided on the webpage of each shelter. Few shelters allow pets. </w:t>
      </w:r>
      <w:proofErr w:type="gramStart"/>
      <w:r w:rsidRPr="00242DCE">
        <w:rPr>
          <w:rFonts w:asciiTheme="minorHAnsi" w:hAnsiTheme="minorHAnsi"/>
          <w:lang w:val="en-US"/>
        </w:rPr>
        <w:t>At the moment</w:t>
      </w:r>
      <w:proofErr w:type="gramEnd"/>
      <w:r w:rsidRPr="00242DCE">
        <w:rPr>
          <w:rFonts w:asciiTheme="minorHAnsi" w:hAnsiTheme="minorHAnsi"/>
          <w:lang w:val="en-US"/>
        </w:rPr>
        <w:t xml:space="preserve">, there is only one shelter for people with substance dependencies. Victims of trafficking or victims of violence in cases in which the perpetrator is a stranger are not permitted to use shelter services. </w:t>
      </w:r>
    </w:p>
  </w:footnote>
  <w:footnote w:id="59">
    <w:p w14:paraId="6E18D048" w14:textId="77777777" w:rsidR="008053AB" w:rsidRPr="00242DCE" w:rsidRDefault="008053AB"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CD679B">
        <w:rPr>
          <w:rFonts w:asciiTheme="minorHAnsi" w:hAnsiTheme="minorHAnsi"/>
          <w:sz w:val="16"/>
          <w:szCs w:val="16"/>
          <w:lang w:val="fi-FI"/>
        </w:rPr>
        <w:t xml:space="preserve"> Törmä, S., Toukkola, K. &amp; Hurtig, J., ”Lähisuhde- ja perheväkivalta romaninaisten kokemana. Avun tarpeet yhteisössä ja palvelujärjestelmässä” [”Domestic violence experienced by Roma women. </w:t>
      </w:r>
      <w:r w:rsidRPr="00242DCE">
        <w:rPr>
          <w:rFonts w:asciiTheme="minorHAnsi" w:hAnsiTheme="minorHAnsi"/>
          <w:sz w:val="16"/>
          <w:szCs w:val="16"/>
          <w:lang w:val="en-US"/>
        </w:rPr>
        <w:t xml:space="preserve">Needs for help in the community and service system”], 2013, </w:t>
      </w:r>
      <w:hyperlink r:id="rId57" w:history="1">
        <w:r w:rsidRPr="00242DCE">
          <w:rPr>
            <w:rStyle w:val="Hyperlink"/>
            <w:rFonts w:asciiTheme="minorHAnsi" w:hAnsiTheme="minorHAnsi"/>
            <w:sz w:val="16"/>
            <w:szCs w:val="16"/>
            <w:lang w:val="en-US"/>
          </w:rPr>
          <w:t>http://urn.fi/URN:ISBN:978-952-00-3629-4 (in Finnish)</w:t>
        </w:r>
      </w:hyperlink>
      <w:r w:rsidRPr="00242DCE">
        <w:rPr>
          <w:rFonts w:asciiTheme="minorHAnsi" w:hAnsiTheme="minorHAnsi"/>
          <w:sz w:val="16"/>
          <w:szCs w:val="16"/>
          <w:lang w:val="en-US"/>
        </w:rPr>
        <w:t>.</w:t>
      </w:r>
    </w:p>
  </w:footnote>
  <w:footnote w:id="60">
    <w:p w14:paraId="48FB3F9C" w14:textId="77777777" w:rsidR="008053AB" w:rsidRPr="00242DCE" w:rsidRDefault="008053A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proofErr w:type="spellStart"/>
      <w:r w:rsidRPr="00242DCE">
        <w:rPr>
          <w:rFonts w:asciiTheme="minorHAnsi" w:hAnsiTheme="minorHAnsi"/>
          <w:lang w:val="en-US"/>
        </w:rPr>
        <w:t>Mojškerc</w:t>
      </w:r>
      <w:proofErr w:type="spellEnd"/>
      <w:r w:rsidRPr="00242DCE">
        <w:rPr>
          <w:rFonts w:asciiTheme="minorHAnsi" w:hAnsiTheme="minorHAnsi"/>
          <w:lang w:val="en-US"/>
        </w:rPr>
        <w:t xml:space="preserve">, N., Racialized Access to Domestic Violence Shelter. NORA - Nordic Journal of Feminist and Gender Research, 2026, </w:t>
      </w:r>
      <w:hyperlink r:id="rId58" w:history="1">
        <w:r w:rsidRPr="00242DCE">
          <w:rPr>
            <w:rStyle w:val="Hyperlink"/>
            <w:rFonts w:asciiTheme="minorHAnsi" w:hAnsiTheme="minorHAnsi"/>
            <w:lang w:val="en-US"/>
          </w:rPr>
          <w:t>https://doi.org/10.1080/08038740.2025.2606266</w:t>
        </w:r>
      </w:hyperlink>
      <w:r w:rsidRPr="00242DCE">
        <w:rPr>
          <w:rFonts w:asciiTheme="minorHAnsi" w:hAnsiTheme="minorHAnsi"/>
          <w:lang w:val="en-US"/>
        </w:rPr>
        <w:t>, pp. 1–18.</w:t>
      </w:r>
    </w:p>
  </w:footnote>
  <w:footnote w:id="61">
    <w:p w14:paraId="69C41B69" w14:textId="77777777" w:rsidR="008053AB" w:rsidRPr="00242DCE" w:rsidRDefault="008053A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GREVIO: Group of Experts on Action against Violence against Women and Domestic Violence overseeing the implementation of the Council of Europe Convention on preventing and combating violence against women and domestic violence which came into force in Finland in 2025. See: Ministry for Foreign Affairs of Finland, “</w:t>
      </w:r>
      <w:proofErr w:type="spellStart"/>
      <w:r w:rsidRPr="00242DCE">
        <w:rPr>
          <w:rFonts w:asciiTheme="minorHAnsi" w:hAnsiTheme="minorHAnsi"/>
          <w:lang w:val="en-US"/>
        </w:rPr>
        <w:t>Yleissopimus</w:t>
      </w:r>
      <w:proofErr w:type="spellEnd"/>
      <w:r w:rsidRPr="00242DCE">
        <w:rPr>
          <w:rFonts w:asciiTheme="minorHAnsi" w:hAnsiTheme="minorHAnsi"/>
          <w:lang w:val="en-US"/>
        </w:rPr>
        <w:t xml:space="preserve"> </w:t>
      </w:r>
      <w:proofErr w:type="spellStart"/>
      <w:r w:rsidRPr="00242DCE">
        <w:rPr>
          <w:rFonts w:asciiTheme="minorHAnsi" w:hAnsiTheme="minorHAnsi"/>
          <w:lang w:val="en-US"/>
        </w:rPr>
        <w:t>naisiin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kohdistuvan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väkivallan</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perheväkivallan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ehkäisemisestä</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torjumisesta</w:t>
      </w:r>
      <w:proofErr w:type="spellEnd"/>
      <w:r w:rsidRPr="00242DCE">
        <w:rPr>
          <w:rFonts w:asciiTheme="minorHAnsi" w:hAnsiTheme="minorHAnsi"/>
          <w:lang w:val="en-US"/>
        </w:rPr>
        <w:t xml:space="preserve"> (2011)” </w:t>
      </w:r>
      <w:proofErr w:type="gramStart"/>
      <w:r w:rsidRPr="00242DCE">
        <w:rPr>
          <w:rFonts w:asciiTheme="minorHAnsi" w:hAnsiTheme="minorHAnsi"/>
          <w:lang w:val="en-US"/>
        </w:rPr>
        <w:t>[”The</w:t>
      </w:r>
      <w:proofErr w:type="gramEnd"/>
      <w:r w:rsidRPr="00242DCE">
        <w:rPr>
          <w:rFonts w:asciiTheme="minorHAnsi" w:hAnsiTheme="minorHAnsi"/>
          <w:lang w:val="en-US"/>
        </w:rPr>
        <w:t xml:space="preserve"> Council of Europe Convention on preventing and combating violence against women and domestic violence (2011)”],</w:t>
      </w:r>
    </w:p>
    <w:p w14:paraId="235C7FE3" w14:textId="77777777" w:rsidR="008053AB" w:rsidRPr="00242DCE" w:rsidRDefault="008053AB" w:rsidP="00242DCE">
      <w:pPr>
        <w:pStyle w:val="FootnoteText"/>
        <w:spacing w:after="0"/>
        <w:rPr>
          <w:rFonts w:asciiTheme="minorHAnsi" w:hAnsiTheme="minorHAnsi"/>
          <w:lang w:val="en-US"/>
        </w:rPr>
      </w:pPr>
      <w:r w:rsidRPr="00242DCE">
        <w:rPr>
          <w:rFonts w:asciiTheme="minorHAnsi" w:hAnsiTheme="minorHAnsi"/>
          <w:lang w:val="en-US"/>
        </w:rPr>
        <w:t xml:space="preserve"> </w:t>
      </w:r>
      <w:hyperlink r:id="rId59" w:history="1">
        <w:r w:rsidRPr="00242DCE">
          <w:rPr>
            <w:rStyle w:val="Hyperlink"/>
            <w:rFonts w:asciiTheme="minorHAnsi" w:hAnsiTheme="minorHAnsi"/>
            <w:lang w:val="en-US"/>
          </w:rPr>
          <w:t>https://um.fi/euroopan-neuvoston-voimassa-olevat-ihmisoikeussopimukset/-/asset_publisher/mnr92wS4p1l3/content/yleissopimus-naisiin-kohdistuvan-vakivallan-ja-perhevakivallan-ehkaisemisesta-ja-torjumisesta-2011-/35732</w:t>
        </w:r>
      </w:hyperlink>
      <w:r w:rsidRPr="00242DCE">
        <w:rPr>
          <w:rFonts w:asciiTheme="minorHAnsi" w:hAnsiTheme="minorHAnsi"/>
          <w:lang w:val="en-US"/>
        </w:rPr>
        <w:t>.</w:t>
      </w:r>
    </w:p>
  </w:footnote>
  <w:footnote w:id="62">
    <w:p w14:paraId="2EA2DACB" w14:textId="77777777" w:rsidR="008053AB" w:rsidRPr="00242DCE" w:rsidRDefault="008053A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The Sámi Parliament is the representative self-government body of the Sámi people in Finland. The Sámi Parliament decides on matters concerning the Sámi languages, culture, and status as an Indigenous People and is responsible for related tasks. The Sámi Parliament, The Sámi Parliament,</w:t>
      </w:r>
      <w:r w:rsidRPr="00242DCE">
        <w:rPr>
          <w:rFonts w:asciiTheme="minorHAnsi" w:hAnsiTheme="minorHAnsi"/>
          <w:b/>
          <w:bCs/>
          <w:lang w:val="en-US"/>
        </w:rPr>
        <w:t xml:space="preserve"> </w:t>
      </w:r>
      <w:hyperlink r:id="rId60" w:history="1">
        <w:r w:rsidRPr="00242DCE">
          <w:rPr>
            <w:rStyle w:val="Hyperlink"/>
            <w:rFonts w:asciiTheme="minorHAnsi" w:hAnsiTheme="minorHAnsi"/>
            <w:lang w:val="en-US"/>
          </w:rPr>
          <w:t>https://samediggi.fi/en/the-sami-parliament/</w:t>
        </w:r>
      </w:hyperlink>
      <w:r w:rsidRPr="00242DCE">
        <w:rPr>
          <w:rFonts w:asciiTheme="minorHAnsi" w:hAnsiTheme="minorHAnsi"/>
          <w:lang w:val="en-US"/>
        </w:rPr>
        <w:t xml:space="preserve"> (accessed on 1 June 2026). </w:t>
      </w:r>
    </w:p>
  </w:footnote>
  <w:footnote w:id="63">
    <w:p w14:paraId="38B0617B" w14:textId="77777777" w:rsidR="008053AB" w:rsidRPr="00242DCE" w:rsidRDefault="008053A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The Sámi Parliament, The Shadow report from the Sámi Parliament to GREVIO, 2023,</w:t>
      </w:r>
    </w:p>
    <w:p w14:paraId="61988D50" w14:textId="77777777" w:rsidR="008053AB" w:rsidRPr="00242DCE" w:rsidRDefault="008053AB" w:rsidP="00242DCE">
      <w:pPr>
        <w:pStyle w:val="FootnoteText"/>
        <w:spacing w:after="0"/>
        <w:rPr>
          <w:rFonts w:asciiTheme="minorHAnsi" w:hAnsiTheme="minorHAnsi"/>
          <w:lang w:val="en-US"/>
        </w:rPr>
      </w:pPr>
      <w:hyperlink r:id="rId61" w:history="1">
        <w:r w:rsidRPr="00242DCE">
          <w:rPr>
            <w:rStyle w:val="Hyperlink"/>
            <w:rFonts w:asciiTheme="minorHAnsi" w:hAnsiTheme="minorHAnsi"/>
            <w:lang w:val="en-US"/>
          </w:rPr>
          <w:t>https://rm.coe.int/shadow-report-finland-first-thematic-evaluation/1680ac512c</w:t>
        </w:r>
      </w:hyperlink>
      <w:r w:rsidRPr="00242DCE">
        <w:rPr>
          <w:rFonts w:asciiTheme="minorHAnsi" w:hAnsiTheme="minorHAnsi"/>
          <w:lang w:val="en-US"/>
        </w:rPr>
        <w:t>.</w:t>
      </w:r>
    </w:p>
  </w:footnote>
  <w:footnote w:id="64">
    <w:p w14:paraId="347229E7" w14:textId="77777777" w:rsidR="008053AB" w:rsidRPr="00242DCE" w:rsidRDefault="008053A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GREVIO, Group of Experts on Action against Violence against Women and Domestic Violence, </w:t>
      </w:r>
      <w:proofErr w:type="gramStart"/>
      <w:r w:rsidRPr="00242DCE">
        <w:rPr>
          <w:rFonts w:asciiTheme="minorHAnsi" w:hAnsiTheme="minorHAnsi"/>
          <w:lang w:val="en-US"/>
        </w:rPr>
        <w:t>Building</w:t>
      </w:r>
      <w:proofErr w:type="gramEnd"/>
      <w:r w:rsidRPr="00242DCE">
        <w:rPr>
          <w:rFonts w:asciiTheme="minorHAnsi" w:hAnsiTheme="minorHAnsi"/>
          <w:lang w:val="en-US"/>
        </w:rPr>
        <w:t xml:space="preserve"> trust by delivering support, protection and justice. Finland. First thematic evaluation report, 2025, </w:t>
      </w:r>
      <w:hyperlink r:id="rId62" w:history="1">
        <w:r w:rsidRPr="00242DCE">
          <w:rPr>
            <w:rStyle w:val="Hyperlink"/>
            <w:rFonts w:asciiTheme="minorHAnsi" w:hAnsiTheme="minorHAnsi"/>
            <w:lang w:val="en-US"/>
          </w:rPr>
          <w:t>https://rm.coe.int/first-thematic-evaluation-report-finland/1680b2ab48</w:t>
        </w:r>
      </w:hyperlink>
      <w:r w:rsidRPr="00242DCE">
        <w:rPr>
          <w:rFonts w:asciiTheme="minorHAnsi" w:hAnsiTheme="minorHAnsi"/>
          <w:lang w:val="en-US"/>
        </w:rPr>
        <w:t>.</w:t>
      </w:r>
    </w:p>
  </w:footnote>
  <w:footnote w:id="65">
    <w:p w14:paraId="2C4ED156" w14:textId="77777777" w:rsidR="009834EC" w:rsidRPr="00242DCE" w:rsidRDefault="009834E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CD679B">
        <w:rPr>
          <w:rFonts w:asciiTheme="minorHAnsi" w:hAnsiTheme="minorHAnsi"/>
          <w:lang w:val="fi-FI"/>
        </w:rPr>
        <w:t xml:space="preserve"> Viini, M., Oksanen, P., Lyytikkä, H. </w:t>
      </w:r>
      <w:r w:rsidRPr="00CD679B">
        <w:rPr>
          <w:rFonts w:asciiTheme="minorHAnsi" w:hAnsiTheme="minorHAnsi"/>
          <w:lang w:val="fi-FI"/>
        </w:rPr>
        <w:t xml:space="preserve">(edit), ”Asenne esiin” [”Attitudes revealed”], 2025, </w:t>
      </w:r>
      <w:hyperlink r:id="rId63" w:history="1">
        <w:r w:rsidRPr="00CD679B">
          <w:rPr>
            <w:rStyle w:val="Hyperlink"/>
            <w:rFonts w:asciiTheme="minorHAnsi" w:hAnsiTheme="minorHAnsi"/>
            <w:lang w:val="fi-FI"/>
          </w:rPr>
          <w:t>https://www.amnesty.fi/uploads/2025/02/amnesty-asenne-esiin-tutkimusraportti.pdf (in Finnish)</w:t>
        </w:r>
      </w:hyperlink>
      <w:r w:rsidRPr="00CD679B">
        <w:rPr>
          <w:rFonts w:asciiTheme="minorHAnsi" w:hAnsiTheme="minorHAnsi"/>
          <w:lang w:val="fi-FI"/>
        </w:rPr>
        <w:t xml:space="preserve">. </w:t>
      </w:r>
      <w:r w:rsidRPr="00242DCE">
        <w:rPr>
          <w:rFonts w:asciiTheme="minorHAnsi" w:hAnsiTheme="minorHAnsi"/>
          <w:lang w:val="en-US"/>
        </w:rPr>
        <w:t>The data for this research was collected in 2024 with the following methods:</w:t>
      </w:r>
    </w:p>
    <w:p w14:paraId="66C188A9" w14:textId="151A5AB0" w:rsidR="009834EC" w:rsidRPr="00242DCE" w:rsidRDefault="009834EC" w:rsidP="00242DCE">
      <w:pPr>
        <w:pStyle w:val="FootnoteText"/>
        <w:spacing w:after="0"/>
        <w:rPr>
          <w:rFonts w:asciiTheme="minorHAnsi" w:hAnsiTheme="minorHAnsi"/>
          <w:b/>
          <w:bCs/>
          <w:lang w:val="en-US"/>
        </w:rPr>
      </w:pPr>
      <w:r w:rsidRPr="00242DCE">
        <w:rPr>
          <w:rFonts w:asciiTheme="minorHAnsi" w:hAnsiTheme="minorHAnsi"/>
          <w:lang w:val="en-US"/>
        </w:rPr>
        <w:t>1) A web-based public opinion survey (N = 1058). The survey was conducted by order by Aula Research. See the compilation of results: Amnesty International Finnish Section, “</w:t>
      </w:r>
      <w:proofErr w:type="spellStart"/>
      <w:r w:rsidRPr="00242DCE">
        <w:rPr>
          <w:rFonts w:asciiTheme="minorHAnsi" w:hAnsiTheme="minorHAnsi"/>
          <w:lang w:val="en-US"/>
        </w:rPr>
        <w:t>Amnestyn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kansalaiskysely</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Suostumuksen</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uudistuneen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seksuaalirikoslainsäädännön</w:t>
      </w:r>
      <w:proofErr w:type="spellEnd"/>
      <w:r w:rsidRPr="00242DCE">
        <w:rPr>
          <w:rFonts w:asciiTheme="minorHAnsi" w:hAnsiTheme="minorHAnsi"/>
          <w:lang w:val="en-US"/>
        </w:rPr>
        <w:t xml:space="preserve"> </w:t>
      </w:r>
      <w:proofErr w:type="spellStart"/>
      <w:r w:rsidRPr="00242DCE">
        <w:rPr>
          <w:rFonts w:asciiTheme="minorHAnsi" w:hAnsiTheme="minorHAnsi"/>
          <w:lang w:val="en-US"/>
        </w:rPr>
        <w:t>ymmärrys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riittämätöntä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Suomessa</w:t>
      </w:r>
      <w:proofErr w:type="spellEnd"/>
      <w:r w:rsidRPr="00242DCE">
        <w:rPr>
          <w:rFonts w:asciiTheme="minorHAnsi" w:hAnsiTheme="minorHAnsi"/>
          <w:lang w:val="en-US"/>
        </w:rPr>
        <w:t>” </w:t>
      </w:r>
      <w:proofErr w:type="gramStart"/>
      <w:r w:rsidRPr="00242DCE">
        <w:rPr>
          <w:rFonts w:asciiTheme="minorHAnsi" w:hAnsiTheme="minorHAnsi"/>
          <w:lang w:val="en-US"/>
        </w:rPr>
        <w:t>[”Amnesty</w:t>
      </w:r>
      <w:proofErr w:type="gramEnd"/>
      <w:r w:rsidRPr="00242DCE">
        <w:rPr>
          <w:rFonts w:asciiTheme="minorHAnsi" w:hAnsiTheme="minorHAnsi"/>
          <w:lang w:val="en-US"/>
        </w:rPr>
        <w:t xml:space="preserve"> International's citizen survey: Understanding of consent and the reformed sexual offence legislation is insufficient in Finland”], 7 March 2024,</w:t>
      </w:r>
    </w:p>
    <w:p w14:paraId="29A4B2FB" w14:textId="77777777" w:rsidR="009834EC" w:rsidRPr="00242DCE" w:rsidRDefault="009834EC" w:rsidP="00242DCE">
      <w:pPr>
        <w:pStyle w:val="FootnoteText"/>
        <w:spacing w:after="0"/>
        <w:rPr>
          <w:rFonts w:asciiTheme="minorHAnsi" w:hAnsiTheme="minorHAnsi"/>
          <w:lang w:val="en-US"/>
        </w:rPr>
      </w:pPr>
      <w:hyperlink r:id="rId64" w:history="1">
        <w:r w:rsidRPr="00242DCE">
          <w:rPr>
            <w:rStyle w:val="Hyperlink"/>
            <w:rFonts w:asciiTheme="minorHAnsi" w:hAnsiTheme="minorHAnsi"/>
            <w:lang w:val="en-US"/>
          </w:rPr>
          <w:t>https://www.amnesty.fi/amnestyn-kansalaiskysely-suostumuksen-ja-uudistuneen-seksuaalirikoslainsaadannon-ymmarrys-riittamatonta-suomessa/ (in Finnish)</w:t>
        </w:r>
      </w:hyperlink>
      <w:r w:rsidRPr="00242DCE">
        <w:rPr>
          <w:rFonts w:asciiTheme="minorHAnsi" w:hAnsiTheme="minorHAnsi"/>
          <w:lang w:val="en-US"/>
        </w:rPr>
        <w:t>.</w:t>
      </w:r>
    </w:p>
    <w:p w14:paraId="2E731D21" w14:textId="77777777" w:rsidR="009834EC" w:rsidRPr="00242DCE" w:rsidRDefault="009834EC" w:rsidP="00242DCE">
      <w:pPr>
        <w:pStyle w:val="FootnoteText"/>
        <w:spacing w:after="0"/>
        <w:rPr>
          <w:rFonts w:asciiTheme="minorHAnsi" w:hAnsiTheme="minorHAnsi"/>
          <w:lang w:val="en-US"/>
        </w:rPr>
      </w:pPr>
      <w:r w:rsidRPr="00242DCE">
        <w:rPr>
          <w:rFonts w:asciiTheme="minorHAnsi" w:hAnsiTheme="minorHAnsi"/>
          <w:lang w:val="en-US"/>
        </w:rPr>
        <w:t>2) A series of group discussions (seven discussions with 37 participants in total)</w:t>
      </w:r>
    </w:p>
  </w:footnote>
  <w:footnote w:id="66">
    <w:p w14:paraId="11313B94" w14:textId="77777777" w:rsidR="009834EC" w:rsidRPr="00242DCE" w:rsidRDefault="009834E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hAnsiTheme="minorHAnsi"/>
          <w:i/>
          <w:iCs/>
          <w:lang w:val="en-US"/>
        </w:rPr>
        <w:t>Ibid</w:t>
      </w:r>
      <w:r w:rsidRPr="00242DCE">
        <w:rPr>
          <w:rFonts w:asciiTheme="minorHAnsi" w:hAnsiTheme="minorHAnsi"/>
          <w:lang w:val="en-US"/>
        </w:rPr>
        <w:t>.</w:t>
      </w:r>
    </w:p>
  </w:footnote>
  <w:footnote w:id="67">
    <w:p w14:paraId="28C76646" w14:textId="77777777" w:rsidR="009834EC" w:rsidRPr="00242DCE" w:rsidRDefault="009834E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hAnsiTheme="minorHAnsi"/>
          <w:i/>
          <w:iCs/>
          <w:lang w:val="en-US"/>
        </w:rPr>
        <w:t>Ibid</w:t>
      </w:r>
      <w:r w:rsidRPr="00242DCE">
        <w:rPr>
          <w:rFonts w:asciiTheme="minorHAnsi" w:hAnsiTheme="minorHAnsi"/>
          <w:lang w:val="en-US"/>
        </w:rPr>
        <w:t xml:space="preserve">. Trust in the judicial system is virtually unchanged when compared to results from 2010. </w:t>
      </w:r>
    </w:p>
  </w:footnote>
  <w:footnote w:id="68">
    <w:p w14:paraId="04AB462D" w14:textId="0ED1D508" w:rsidR="009834EC" w:rsidRPr="00242DCE" w:rsidRDefault="009834E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proofErr w:type="spellStart"/>
      <w:r w:rsidRPr="00242DCE">
        <w:rPr>
          <w:rFonts w:asciiTheme="minorHAnsi" w:hAnsiTheme="minorHAnsi"/>
          <w:lang w:val="en-US"/>
        </w:rPr>
        <w:t>Vuorensyrjä</w:t>
      </w:r>
      <w:proofErr w:type="spellEnd"/>
      <w:r w:rsidRPr="00242DCE">
        <w:rPr>
          <w:rFonts w:asciiTheme="minorHAnsi" w:hAnsiTheme="minorHAnsi"/>
          <w:lang w:val="en-US"/>
        </w:rPr>
        <w:t>,</w:t>
      </w:r>
      <w:r w:rsidR="004C35DD">
        <w:rPr>
          <w:rFonts w:asciiTheme="minorHAnsi" w:hAnsiTheme="minorHAnsi"/>
          <w:lang w:val="en-US"/>
        </w:rPr>
        <w:t xml:space="preserve"> </w:t>
      </w:r>
      <w:r w:rsidRPr="00242DCE">
        <w:rPr>
          <w:rFonts w:asciiTheme="minorHAnsi" w:hAnsiTheme="minorHAnsi"/>
          <w:lang w:val="en-US"/>
        </w:rPr>
        <w:t xml:space="preserve">M., Rauta, J., Salmi A., Koivula, J., von Bell, A. &amp; Ollila, </w:t>
      </w:r>
      <w:proofErr w:type="gramStart"/>
      <w:r w:rsidRPr="00242DCE">
        <w:rPr>
          <w:rFonts w:asciiTheme="minorHAnsi" w:hAnsiTheme="minorHAnsi"/>
          <w:lang w:val="en-US"/>
        </w:rPr>
        <w:t>P. ”</w:t>
      </w:r>
      <w:proofErr w:type="spellStart"/>
      <w:r w:rsidRPr="00242DCE">
        <w:rPr>
          <w:rFonts w:asciiTheme="minorHAnsi" w:hAnsiTheme="minorHAnsi"/>
          <w:lang w:val="en-US"/>
        </w:rPr>
        <w:t>Poliisibarometri</w:t>
      </w:r>
      <w:proofErr w:type="spellEnd"/>
      <w:proofErr w:type="gramEnd"/>
      <w:r w:rsidRPr="00242DCE">
        <w:rPr>
          <w:rFonts w:asciiTheme="minorHAnsi" w:hAnsiTheme="minorHAnsi"/>
          <w:lang w:val="en-US"/>
        </w:rPr>
        <w:t xml:space="preserve"> 2024: </w:t>
      </w:r>
      <w:proofErr w:type="spellStart"/>
      <w:r w:rsidRPr="00242DCE">
        <w:rPr>
          <w:rFonts w:asciiTheme="minorHAnsi" w:hAnsiTheme="minorHAnsi"/>
          <w:lang w:val="en-US"/>
        </w:rPr>
        <w:t>Kansalaisten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arviot</w:t>
      </w:r>
      <w:proofErr w:type="spellEnd"/>
      <w:r w:rsidRPr="00242DCE">
        <w:rPr>
          <w:rFonts w:asciiTheme="minorHAnsi" w:hAnsiTheme="minorHAnsi"/>
          <w:lang w:val="en-US"/>
        </w:rPr>
        <w:t xml:space="preserve"> </w:t>
      </w:r>
      <w:proofErr w:type="spellStart"/>
      <w:r w:rsidRPr="00242DCE">
        <w:rPr>
          <w:rFonts w:asciiTheme="minorHAnsi" w:hAnsiTheme="minorHAnsi"/>
          <w:lang w:val="en-US"/>
        </w:rPr>
        <w:t>poliisin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toiminnasta</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Suomen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sisäisen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turvallisuuden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tilasta</w:t>
      </w:r>
      <w:proofErr w:type="spellEnd"/>
      <w:r w:rsidRPr="00242DCE">
        <w:rPr>
          <w:rFonts w:asciiTheme="minorHAnsi" w:hAnsiTheme="minorHAnsi"/>
          <w:lang w:val="en-US"/>
        </w:rPr>
        <w:t xml:space="preserve">” [“Police Barometer 2024: Citizens’ Assessments of the Operation of the Police and the State of Internal Security in Finland”], 2025, </w:t>
      </w:r>
      <w:hyperlink r:id="rId65" w:history="1">
        <w:r w:rsidRPr="00242DCE">
          <w:rPr>
            <w:rStyle w:val="Hyperlink"/>
            <w:rFonts w:asciiTheme="minorHAnsi" w:hAnsiTheme="minorHAnsi"/>
            <w:lang w:val="en-US"/>
          </w:rPr>
          <w:t>https://urn.fi/URN:ISBN:978-952-324-347-7 (in Finnish)</w:t>
        </w:r>
      </w:hyperlink>
      <w:r w:rsidRPr="00242DCE">
        <w:rPr>
          <w:rFonts w:asciiTheme="minorHAnsi" w:hAnsiTheme="minorHAnsi"/>
          <w:lang w:val="en-US"/>
        </w:rPr>
        <w:t>.</w:t>
      </w:r>
    </w:p>
  </w:footnote>
  <w:footnote w:id="69">
    <w:p w14:paraId="39AFEF69" w14:textId="77777777" w:rsidR="009834EC" w:rsidRPr="00242DCE" w:rsidRDefault="009834E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The group discussions involved incarcerated women, immigrant women, women of colour, disabled women, trans women, and women in sex work.</w:t>
      </w:r>
    </w:p>
  </w:footnote>
  <w:footnote w:id="70">
    <w:p w14:paraId="2D80586D" w14:textId="38B19782" w:rsidR="009834EC" w:rsidRPr="00CD679B" w:rsidRDefault="009834EC" w:rsidP="00242DCE">
      <w:pPr>
        <w:pStyle w:val="FootnoteText"/>
        <w:spacing w:after="0"/>
        <w:rPr>
          <w:rFonts w:asciiTheme="minorHAnsi" w:hAnsiTheme="minorHAnsi"/>
          <w:lang w:val="fi-FI"/>
        </w:rPr>
      </w:pPr>
      <w:r w:rsidRPr="00242DCE">
        <w:rPr>
          <w:rStyle w:val="FootnoteReference"/>
          <w:rFonts w:asciiTheme="minorHAnsi" w:hAnsiTheme="minorHAnsi"/>
        </w:rPr>
        <w:footnoteRef/>
      </w:r>
      <w:r w:rsidRPr="00CD679B">
        <w:rPr>
          <w:rFonts w:asciiTheme="minorHAnsi" w:hAnsiTheme="minorHAnsi"/>
          <w:lang w:val="fi-FI"/>
        </w:rPr>
        <w:t xml:space="preserve"> Viini, M., Oksanen, P., Lyytikkä, H. (edit), </w:t>
      </w:r>
      <w:r w:rsidR="005A2A46" w:rsidRPr="00CD679B">
        <w:rPr>
          <w:rFonts w:asciiTheme="minorHAnsi" w:hAnsiTheme="minorHAnsi"/>
          <w:lang w:val="fi-FI"/>
        </w:rPr>
        <w:t>2025</w:t>
      </w:r>
      <w:r w:rsidR="005A2A46">
        <w:rPr>
          <w:rFonts w:asciiTheme="minorHAnsi" w:hAnsiTheme="minorHAnsi"/>
          <w:lang w:val="fi-FI"/>
        </w:rPr>
        <w:t xml:space="preserve">, </w:t>
      </w:r>
      <w:r w:rsidRPr="00CD679B">
        <w:rPr>
          <w:rFonts w:asciiTheme="minorHAnsi" w:hAnsiTheme="minorHAnsi"/>
          <w:i/>
          <w:iCs/>
          <w:lang w:val="fi-FI"/>
        </w:rPr>
        <w:t>supra</w:t>
      </w:r>
      <w:r w:rsidR="00B21362">
        <w:rPr>
          <w:rFonts w:asciiTheme="minorHAnsi" w:hAnsiTheme="minorHAnsi"/>
          <w:i/>
          <w:iCs/>
          <w:lang w:val="fi-FI"/>
        </w:rPr>
        <w:t xml:space="preserve"> note 64</w:t>
      </w:r>
      <w:r w:rsidRPr="00CD679B">
        <w:rPr>
          <w:rFonts w:asciiTheme="minorHAnsi" w:hAnsiTheme="minorHAnsi"/>
          <w:lang w:val="fi-FI"/>
        </w:rPr>
        <w:t>.</w:t>
      </w:r>
    </w:p>
  </w:footnote>
  <w:footnote w:id="71">
    <w:p w14:paraId="2FCD19CD" w14:textId="77777777" w:rsidR="009834EC" w:rsidRPr="00CD679B" w:rsidRDefault="009834EC" w:rsidP="00242DCE">
      <w:pPr>
        <w:pStyle w:val="FootnoteText"/>
        <w:spacing w:after="0"/>
        <w:rPr>
          <w:rFonts w:asciiTheme="minorHAnsi" w:hAnsiTheme="minorHAnsi"/>
          <w:b/>
          <w:bCs/>
          <w:lang w:val="fi-FI"/>
        </w:rPr>
      </w:pPr>
      <w:r w:rsidRPr="00242DCE">
        <w:rPr>
          <w:rStyle w:val="FootnoteReference"/>
          <w:rFonts w:asciiTheme="minorHAnsi" w:hAnsiTheme="minorHAnsi"/>
        </w:rPr>
        <w:footnoteRef/>
      </w:r>
      <w:r w:rsidRPr="00CD679B">
        <w:rPr>
          <w:rFonts w:asciiTheme="minorHAnsi" w:hAnsiTheme="minorHAnsi"/>
          <w:lang w:val="fi-FI"/>
        </w:rPr>
        <w:t xml:space="preserve"> Deputy Chancellor of Justice, “Poliisin menettely lähisuhdeväkivallan ja seksuaalirikosten esitutkinnoissa”</w:t>
      </w:r>
    </w:p>
    <w:p w14:paraId="6A639CE5" w14:textId="77777777" w:rsidR="009834EC" w:rsidRPr="00242DCE" w:rsidRDefault="009834EC" w:rsidP="00242DCE">
      <w:pPr>
        <w:pStyle w:val="FootnoteText"/>
        <w:spacing w:after="0"/>
        <w:rPr>
          <w:rFonts w:asciiTheme="minorHAnsi" w:hAnsiTheme="minorHAnsi"/>
          <w:lang w:val="en-US"/>
        </w:rPr>
      </w:pPr>
      <w:r w:rsidRPr="00242DCE">
        <w:rPr>
          <w:rFonts w:asciiTheme="minorHAnsi" w:hAnsiTheme="minorHAnsi"/>
          <w:lang w:val="en-US"/>
        </w:rPr>
        <w:t xml:space="preserve">[“Police procedure in preliminary investigations of intimate partner violence and sexual Crimes”], 2022,  </w:t>
      </w:r>
      <w:hyperlink r:id="rId66" w:history="1">
        <w:r w:rsidRPr="00242DCE">
          <w:rPr>
            <w:rStyle w:val="Hyperlink"/>
            <w:rFonts w:asciiTheme="minorHAnsi" w:hAnsiTheme="minorHAnsi"/>
            <w:lang w:val="en-US"/>
          </w:rPr>
          <w:t>https://oikeuskansleri.fi/-/poliisin-menettely-lahisuhdevakivallan-ja-seksuaalirikosten-esitutkinnoissa (in Finnish)</w:t>
        </w:r>
      </w:hyperlink>
      <w:r w:rsidRPr="00242DCE">
        <w:rPr>
          <w:rFonts w:asciiTheme="minorHAnsi" w:hAnsiTheme="minorHAnsi"/>
          <w:lang w:val="en-US"/>
        </w:rPr>
        <w:t xml:space="preserve">. </w:t>
      </w:r>
    </w:p>
  </w:footnote>
  <w:footnote w:id="72">
    <w:p w14:paraId="0A86EBB7" w14:textId="3DF7AA2C" w:rsidR="009834EC" w:rsidRPr="00242DCE" w:rsidRDefault="009834EC"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GREVIO, Group of Experts on Action against Violence against Women and Domestic Violence,</w:t>
      </w:r>
      <w:r w:rsidR="00557C3F">
        <w:rPr>
          <w:rFonts w:asciiTheme="minorHAnsi" w:hAnsiTheme="minorHAnsi"/>
          <w:lang w:val="en-US"/>
        </w:rPr>
        <w:t xml:space="preserve"> </w:t>
      </w:r>
      <w:r w:rsidR="00557C3F" w:rsidRPr="00242DCE">
        <w:rPr>
          <w:rFonts w:asciiTheme="minorHAnsi" w:hAnsiTheme="minorHAnsi"/>
          <w:lang w:val="en-US"/>
        </w:rPr>
        <w:t>2025</w:t>
      </w:r>
      <w:r w:rsidR="00557C3F">
        <w:rPr>
          <w:rFonts w:asciiTheme="minorHAnsi" w:hAnsiTheme="minorHAnsi"/>
          <w:lang w:val="en-US"/>
        </w:rPr>
        <w:t>,</w:t>
      </w:r>
      <w:r w:rsidRPr="00242DCE">
        <w:rPr>
          <w:rFonts w:asciiTheme="minorHAnsi" w:hAnsiTheme="minorHAnsi"/>
          <w:lang w:val="en-US"/>
        </w:rPr>
        <w:t xml:space="preserve"> </w:t>
      </w:r>
      <w:r w:rsidRPr="00242DCE">
        <w:rPr>
          <w:rFonts w:asciiTheme="minorHAnsi" w:hAnsiTheme="minorHAnsi"/>
          <w:i/>
          <w:iCs/>
          <w:lang w:val="en-US"/>
        </w:rPr>
        <w:t>supra</w:t>
      </w:r>
      <w:r w:rsidR="00EF77DD">
        <w:rPr>
          <w:rFonts w:asciiTheme="minorHAnsi" w:hAnsiTheme="minorHAnsi"/>
          <w:i/>
          <w:iCs/>
          <w:lang w:val="en-US"/>
        </w:rPr>
        <w:t xml:space="preserve"> note </w:t>
      </w:r>
      <w:r w:rsidR="00557C3F">
        <w:rPr>
          <w:rFonts w:asciiTheme="minorHAnsi" w:hAnsiTheme="minorHAnsi"/>
          <w:i/>
          <w:iCs/>
          <w:lang w:val="en-US"/>
        </w:rPr>
        <w:t>63</w:t>
      </w:r>
      <w:r w:rsidRPr="00242DCE">
        <w:rPr>
          <w:rFonts w:asciiTheme="minorHAnsi" w:hAnsiTheme="minorHAnsi"/>
          <w:lang w:val="en-US"/>
        </w:rPr>
        <w:t>.</w:t>
      </w:r>
    </w:p>
  </w:footnote>
  <w:footnote w:id="73">
    <w:p w14:paraId="0A427FAF" w14:textId="77777777" w:rsidR="00796B57" w:rsidRPr="00242DCE" w:rsidRDefault="00796B57"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Finland, Act on the Sámi Parliament (974/1995, amended in 2025, 414/2025), </w:t>
      </w:r>
      <w:hyperlink r:id="rId67" w:history="1">
        <w:r w:rsidRPr="00242DCE">
          <w:rPr>
            <w:rStyle w:val="Hyperlink"/>
            <w:rFonts w:asciiTheme="minorHAnsi" w:hAnsiTheme="minorHAnsi"/>
            <w:lang w:val="en-US"/>
          </w:rPr>
          <w:t>https://www.finlex.fi/en/legislation/translations/1995/eng/974</w:t>
        </w:r>
      </w:hyperlink>
      <w:r w:rsidRPr="00242DCE">
        <w:rPr>
          <w:rFonts w:asciiTheme="minorHAnsi" w:hAnsiTheme="minorHAnsi"/>
          <w:lang w:val="en-US"/>
        </w:rPr>
        <w:t xml:space="preserve">. </w:t>
      </w:r>
      <w:r w:rsidRPr="00242DCE">
        <w:rPr>
          <w:rFonts w:asciiTheme="minorHAnsi" w:hAnsiTheme="minorHAnsi" w:cs="Cambria Math"/>
          <w:lang w:val="en-US"/>
        </w:rPr>
        <w:t xml:space="preserve"> </w:t>
      </w:r>
    </w:p>
  </w:footnote>
  <w:footnote w:id="74">
    <w:p w14:paraId="342919F1" w14:textId="77777777" w:rsidR="00796B57" w:rsidRPr="00242DCE" w:rsidRDefault="00796B57"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242DCE">
        <w:rPr>
          <w:rFonts w:asciiTheme="minorHAnsi" w:hAnsiTheme="minorHAnsi"/>
          <w:sz w:val="16"/>
          <w:szCs w:val="16"/>
          <w:lang w:val="en-US"/>
        </w:rPr>
        <w:t xml:space="preserve">Amnesty International and Sámi Council, </w:t>
      </w:r>
      <w:r w:rsidRPr="00242DCE">
        <w:rPr>
          <w:rFonts w:asciiTheme="minorHAnsi" w:hAnsiTheme="minorHAnsi"/>
          <w:i/>
          <w:sz w:val="16"/>
          <w:szCs w:val="16"/>
          <w:lang w:val="en-US"/>
        </w:rPr>
        <w:t>Just Transition Or ‘Green Colonialism</w:t>
      </w:r>
      <w:proofErr w:type="gramStart"/>
      <w:r w:rsidRPr="00242DCE">
        <w:rPr>
          <w:rFonts w:asciiTheme="minorHAnsi" w:hAnsiTheme="minorHAnsi"/>
          <w:i/>
          <w:sz w:val="16"/>
          <w:szCs w:val="16"/>
          <w:lang w:val="en-US"/>
        </w:rPr>
        <w:t>’?:</w:t>
      </w:r>
      <w:proofErr w:type="gramEnd"/>
      <w:r w:rsidRPr="00242DCE">
        <w:rPr>
          <w:rFonts w:asciiTheme="minorHAnsi" w:hAnsiTheme="minorHAnsi"/>
          <w:i/>
          <w:sz w:val="16"/>
          <w:szCs w:val="16"/>
          <w:lang w:val="en-US"/>
        </w:rPr>
        <w:t xml:space="preserve"> How mineral extraction and new energy projects without free, prior and informed consent are threatening Indigenous Sámi livelihoods and culture in Sweden, Norway and Finland </w:t>
      </w:r>
      <w:r w:rsidRPr="00242DCE">
        <w:rPr>
          <w:rFonts w:asciiTheme="minorHAnsi" w:hAnsiTheme="minorHAnsi"/>
          <w:iCs/>
          <w:sz w:val="16"/>
          <w:szCs w:val="16"/>
          <w:lang w:val="en-US"/>
        </w:rPr>
        <w:t>(Index: EUR 20/8913/2025</w:t>
      </w:r>
      <w:r w:rsidRPr="00242DCE">
        <w:rPr>
          <w:rFonts w:asciiTheme="minorHAnsi" w:hAnsiTheme="minorHAnsi"/>
          <w:i/>
          <w:sz w:val="16"/>
          <w:szCs w:val="16"/>
          <w:lang w:val="en-US"/>
        </w:rPr>
        <w:t xml:space="preserve">), </w:t>
      </w:r>
      <w:r w:rsidRPr="00242DCE">
        <w:rPr>
          <w:rFonts w:asciiTheme="minorHAnsi" w:hAnsiTheme="minorHAnsi"/>
          <w:sz w:val="16"/>
          <w:szCs w:val="16"/>
          <w:lang w:val="en-US"/>
        </w:rPr>
        <w:t xml:space="preserve">1 January 2025, </w:t>
      </w:r>
      <w:hyperlink r:id="rId68" w:history="1">
        <w:r w:rsidRPr="00242DCE">
          <w:rPr>
            <w:rStyle w:val="Hyperlink"/>
            <w:rFonts w:asciiTheme="minorHAnsi" w:hAnsiTheme="minorHAnsi"/>
            <w:sz w:val="16"/>
            <w:szCs w:val="16"/>
            <w:lang w:val="en-US"/>
          </w:rPr>
          <w:t>https://www.amnesty.org/en/documents/eur20/8913/2025/en/</w:t>
        </w:r>
      </w:hyperlink>
      <w:r w:rsidRPr="00242DCE">
        <w:rPr>
          <w:rFonts w:asciiTheme="minorHAnsi" w:hAnsiTheme="minorHAnsi"/>
          <w:sz w:val="16"/>
          <w:szCs w:val="16"/>
          <w:lang w:val="en-US"/>
        </w:rPr>
        <w:t xml:space="preserve">, pp. 59–72. </w:t>
      </w:r>
    </w:p>
  </w:footnote>
  <w:footnote w:id="75">
    <w:p w14:paraId="27D50353" w14:textId="77777777" w:rsidR="00796B57" w:rsidRPr="00242DCE" w:rsidRDefault="00796B57"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242DCE">
        <w:rPr>
          <w:rFonts w:asciiTheme="minorHAnsi" w:hAnsiTheme="minorHAnsi"/>
          <w:sz w:val="16"/>
          <w:szCs w:val="16"/>
          <w:lang w:val="en-US"/>
        </w:rPr>
        <w:t xml:space="preserve">UN Committee on the Rights of the Child, </w:t>
      </w:r>
      <w:r w:rsidRPr="00242DCE">
        <w:rPr>
          <w:rFonts w:asciiTheme="minorHAnsi" w:hAnsiTheme="minorHAnsi"/>
          <w:i/>
          <w:sz w:val="16"/>
          <w:szCs w:val="16"/>
          <w:lang w:val="en-US"/>
        </w:rPr>
        <w:t>Views adopted under the Optional Protocol to the Convention on the Rights of the Child on a communications procedure</w:t>
      </w:r>
      <w:r w:rsidRPr="00242DCE">
        <w:rPr>
          <w:rFonts w:asciiTheme="minorHAnsi" w:hAnsiTheme="minorHAnsi"/>
          <w:sz w:val="16"/>
          <w:szCs w:val="16"/>
          <w:lang w:val="en-US"/>
        </w:rPr>
        <w:t xml:space="preserve"> concerning communication No. 172/2022, UN Doc. CRC/C/97/D/172/2022, adopted 13 September 2024; UN Committee on Economic, Social and Cultural Rights, </w:t>
      </w:r>
      <w:r w:rsidRPr="00242DCE">
        <w:rPr>
          <w:rFonts w:asciiTheme="minorHAnsi" w:hAnsiTheme="minorHAnsi"/>
          <w:i/>
          <w:sz w:val="16"/>
          <w:szCs w:val="16"/>
          <w:lang w:val="en-US"/>
        </w:rPr>
        <w:t>Views adopted under the Optional Protocol to the International Covenant on Economic, Social and Cultural Rights</w:t>
      </w:r>
      <w:r w:rsidRPr="00242DCE">
        <w:rPr>
          <w:rFonts w:asciiTheme="minorHAnsi" w:hAnsiTheme="minorHAnsi"/>
          <w:sz w:val="16"/>
          <w:szCs w:val="16"/>
          <w:lang w:val="en-US"/>
        </w:rPr>
        <w:t>, Communications Nos. 251/2022 and 289/2022, UN Doc. E/C.12/76/D/251/2022–E/C.12/76/D/289/2022, adopted 27 September 2024. A cumulative Impact Assessment evaluates the combined effects of multiple past, present, and reasonably foreseeable activities on the environment and society. Unlike single-project assessments, it focuses on incremental and interacting impacts over time and space, supporting more sustainable, rights</w:t>
      </w:r>
      <w:r w:rsidRPr="00242DCE">
        <w:rPr>
          <w:rFonts w:ascii="Cambria Math" w:hAnsi="Cambria Math" w:cs="Cambria Math"/>
          <w:sz w:val="16"/>
          <w:szCs w:val="16"/>
          <w:lang w:val="en-US"/>
        </w:rPr>
        <w:t>‑</w:t>
      </w:r>
      <w:r w:rsidRPr="00242DCE">
        <w:rPr>
          <w:rFonts w:asciiTheme="minorHAnsi" w:hAnsiTheme="minorHAnsi"/>
          <w:sz w:val="16"/>
          <w:szCs w:val="16"/>
          <w:lang w:val="en-US"/>
        </w:rPr>
        <w:t>respecting decision-making.</w:t>
      </w:r>
    </w:p>
  </w:footnote>
  <w:footnote w:id="76">
    <w:p w14:paraId="31ED59A6" w14:textId="77777777" w:rsidR="00796B57" w:rsidRPr="00242DCE" w:rsidRDefault="00796B57"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Finland, Act on the Sámi Parliament (974/1995, amended in 2025, 414/2025), </w:t>
      </w:r>
      <w:hyperlink r:id="rId69" w:anchor="OT0" w:history="1">
        <w:r w:rsidRPr="00242DCE">
          <w:rPr>
            <w:rStyle w:val="Hyperlink"/>
            <w:rFonts w:asciiTheme="minorHAnsi" w:hAnsiTheme="minorHAnsi" w:cs="Cambria Math"/>
            <w:lang w:val="en-US"/>
          </w:rPr>
          <w:t>https://www.finlex.fi/fi/lainsaadanto/saadoskokoelma/2025/414#OT0 (in Finnish)</w:t>
        </w:r>
      </w:hyperlink>
      <w:r w:rsidRPr="00242DCE">
        <w:rPr>
          <w:rFonts w:asciiTheme="minorHAnsi" w:hAnsiTheme="minorHAnsi" w:cs="Cambria Math"/>
          <w:lang w:val="en-US"/>
        </w:rPr>
        <w:t xml:space="preserve">, </w:t>
      </w:r>
      <w:r w:rsidRPr="00242DCE">
        <w:rPr>
          <w:rFonts w:asciiTheme="minorHAnsi" w:hAnsiTheme="minorHAnsi"/>
          <w:lang w:val="en-US"/>
        </w:rPr>
        <w:t>Article 9.</w:t>
      </w:r>
    </w:p>
  </w:footnote>
  <w:footnote w:id="77">
    <w:p w14:paraId="79950E9E" w14:textId="77777777" w:rsidR="00796B57" w:rsidRPr="00242DCE" w:rsidRDefault="00796B57"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242DCE">
        <w:rPr>
          <w:rFonts w:asciiTheme="minorHAnsi" w:hAnsiTheme="minorHAnsi"/>
          <w:i/>
          <w:sz w:val="16"/>
          <w:szCs w:val="16"/>
          <w:lang w:val="en-US"/>
        </w:rPr>
        <w:t xml:space="preserve"> </w:t>
      </w:r>
      <w:r w:rsidRPr="00242DCE">
        <w:rPr>
          <w:rFonts w:asciiTheme="minorHAnsi" w:hAnsiTheme="minorHAnsi"/>
          <w:iCs/>
          <w:sz w:val="16"/>
          <w:szCs w:val="16"/>
          <w:lang w:val="en-US"/>
        </w:rPr>
        <w:t>Sámi Truth and Reconciliation Commission in Finland,</w:t>
      </w:r>
      <w:r w:rsidRPr="00242DCE">
        <w:rPr>
          <w:rFonts w:asciiTheme="minorHAnsi" w:hAnsiTheme="minorHAnsi"/>
          <w:i/>
          <w:sz w:val="16"/>
          <w:szCs w:val="16"/>
          <w:lang w:val="en-US"/>
        </w:rPr>
        <w:t xml:space="preserve"> </w:t>
      </w:r>
      <w:r w:rsidRPr="00242DCE">
        <w:rPr>
          <w:rFonts w:asciiTheme="minorHAnsi" w:hAnsiTheme="minorHAnsi"/>
          <w:sz w:val="16"/>
          <w:szCs w:val="16"/>
          <w:lang w:val="en-US"/>
        </w:rPr>
        <w:t xml:space="preserve">“I want a better life for my people”: A summary of the proposals given by the Sámi Truth and Reconciliation Commission in Finland, 2025, </w:t>
      </w:r>
      <w:hyperlink r:id="rId70" w:history="1">
        <w:r w:rsidRPr="00242DCE">
          <w:rPr>
            <w:rStyle w:val="Hyperlink"/>
            <w:rFonts w:asciiTheme="minorHAnsi" w:hAnsiTheme="minorHAnsi"/>
            <w:sz w:val="16"/>
            <w:szCs w:val="16"/>
            <w:lang w:val="en-US"/>
          </w:rPr>
          <w:t>https://urn.fi/URN:ISBN:978-952-383-956-4</w:t>
        </w:r>
      </w:hyperlink>
      <w:r w:rsidRPr="00242DCE">
        <w:rPr>
          <w:rFonts w:asciiTheme="minorHAnsi" w:hAnsiTheme="minorHAnsi"/>
          <w:sz w:val="16"/>
          <w:szCs w:val="16"/>
          <w:lang w:val="en-US"/>
        </w:rPr>
        <w:t>.</w:t>
      </w:r>
    </w:p>
  </w:footnote>
  <w:footnote w:id="78">
    <w:p w14:paraId="59E33D16"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Finnish Section, “Barriers to participation: racism and the unequal right to protest”, 13 November 2025, </w:t>
      </w:r>
      <w:hyperlink r:id="rId71" w:history="1">
        <w:r w:rsidRPr="00242DCE">
          <w:rPr>
            <w:rStyle w:val="Hyperlink"/>
            <w:rFonts w:asciiTheme="minorHAnsi" w:hAnsiTheme="minorHAnsi"/>
            <w:lang w:val="en-US"/>
          </w:rPr>
          <w:t>https://www.amnesty.fi/en/barriers-to-participation-racism-and-the-unequal-right-to-protest/</w:t>
        </w:r>
      </w:hyperlink>
      <w:r w:rsidRPr="00242DCE">
        <w:rPr>
          <w:rFonts w:asciiTheme="minorHAnsi" w:hAnsiTheme="minorHAnsi"/>
          <w:lang w:val="en-US"/>
        </w:rPr>
        <w:t>. The article is a summary of an unpublished study based on 15 interviews with individuals belonging to marginalized groups, focusing on BIPOC and racialized people’s experiences. The interviews were conducted between April and September 2025.</w:t>
      </w:r>
    </w:p>
  </w:footnote>
  <w:footnote w:id="79">
    <w:p w14:paraId="7DAB678E" w14:textId="1E707CE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See </w:t>
      </w:r>
      <w:r w:rsidR="00F72245">
        <w:rPr>
          <w:rFonts w:asciiTheme="minorHAnsi" w:hAnsiTheme="minorHAnsi"/>
          <w:lang w:val="en-US"/>
        </w:rPr>
        <w:t>Chapter</w:t>
      </w:r>
      <w:r w:rsidR="00372256">
        <w:rPr>
          <w:rFonts w:asciiTheme="minorHAnsi" w:hAnsiTheme="minorHAnsi"/>
          <w:lang w:val="en-US"/>
        </w:rPr>
        <w:t xml:space="preserve"> 7. R</w:t>
      </w:r>
      <w:r w:rsidRPr="00242DCE">
        <w:rPr>
          <w:rFonts w:asciiTheme="minorHAnsi" w:hAnsiTheme="minorHAnsi"/>
          <w:lang w:val="en-US"/>
        </w:rPr>
        <w:t>ights of asylum-seekers, refugees and migrants in this submission.</w:t>
      </w:r>
    </w:p>
  </w:footnote>
  <w:footnote w:id="80">
    <w:p w14:paraId="33B0A860"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Between December 2021 and June 2026, Amnesty International Finnish Section has organized over 100 human rights observations in different demonstrations. Observation teams consist of Amnesty staff members and trained volunteers.</w:t>
      </w:r>
    </w:p>
  </w:footnote>
  <w:footnote w:id="81">
    <w:p w14:paraId="1B383309"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Finland: Submission to the United Nations Committee Against Torture, 79th session, 15 April – 10 May 2024 (Index: EUR 20/7832/2024), 15 March 2024, </w:t>
      </w:r>
      <w:hyperlink r:id="rId72" w:history="1">
        <w:r w:rsidRPr="00242DCE">
          <w:rPr>
            <w:rStyle w:val="Hyperlink"/>
            <w:rFonts w:asciiTheme="minorHAnsi" w:hAnsiTheme="minorHAnsi"/>
            <w:lang w:val="en-US"/>
          </w:rPr>
          <w:t>https://www.amnesty.org/en/documents/eur20/7832/2024/en/</w:t>
        </w:r>
      </w:hyperlink>
      <w:r w:rsidRPr="00242DCE">
        <w:rPr>
          <w:rFonts w:asciiTheme="minorHAnsi" w:hAnsiTheme="minorHAnsi"/>
          <w:lang w:val="en-US"/>
        </w:rPr>
        <w:t xml:space="preserve"> , pp. 17;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2022” [“Protest observation report 2022”], 2023, </w:t>
      </w:r>
      <w:hyperlink r:id="rId73" w:history="1">
        <w:r w:rsidRPr="00242DCE">
          <w:rPr>
            <w:rStyle w:val="Hyperlink"/>
            <w:rFonts w:asciiTheme="minorHAnsi" w:hAnsiTheme="minorHAnsi"/>
            <w:lang w:val="en-US"/>
          </w:rPr>
          <w:t>https://www.amnesty.fi/app/uploads/2023/02/raportti_mielenosoitustarkkailu.pdf (in Finnish)</w:t>
        </w:r>
      </w:hyperlink>
      <w:r w:rsidRPr="00242DCE">
        <w:rPr>
          <w:rFonts w:asciiTheme="minorHAnsi" w:hAnsiTheme="minorHAnsi"/>
          <w:lang w:val="en-US"/>
        </w:rPr>
        <w:t>, pp.13-14;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2023” [“Protest observation report 2023”], 2024, </w:t>
      </w:r>
      <w:hyperlink r:id="rId74" w:history="1">
        <w:r w:rsidRPr="00242DCE">
          <w:rPr>
            <w:rStyle w:val="Hyperlink"/>
            <w:rFonts w:asciiTheme="minorHAnsi" w:hAnsiTheme="minorHAnsi"/>
            <w:lang w:val="en-US"/>
          </w:rPr>
          <w:t>https://www.amnesty.fi/app/uploads/2024/02/mielenosoitustarkkailun-vuosiraportti-2023_valmis.pdf (in Finnish)</w:t>
        </w:r>
      </w:hyperlink>
      <w:r w:rsidRPr="00242DCE">
        <w:rPr>
          <w:rFonts w:asciiTheme="minorHAnsi" w:hAnsiTheme="minorHAnsi"/>
          <w:lang w:val="en-US"/>
        </w:rPr>
        <w:t xml:space="preserve">, pp. 26, 31;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2024, [“Protest observation report 2024”], 2025, </w:t>
      </w:r>
      <w:hyperlink r:id="rId75" w:history="1">
        <w:r w:rsidRPr="00242DCE">
          <w:rPr>
            <w:rStyle w:val="Hyperlink"/>
            <w:rFonts w:asciiTheme="minorHAnsi" w:hAnsiTheme="minorHAnsi"/>
            <w:lang w:val="en-US"/>
          </w:rPr>
          <w:t>https://www.amnesty.fi/app/uploads/2025/04/tarkkailuraportti-mielenosoituksista-2024.pdf (in Finnish)</w:t>
        </w:r>
      </w:hyperlink>
      <w:r w:rsidRPr="00242DCE">
        <w:rPr>
          <w:rFonts w:asciiTheme="minorHAnsi" w:hAnsiTheme="minorHAnsi"/>
          <w:lang w:val="en-US"/>
        </w:rPr>
        <w:t>, pp. 13-14. Amnesty International Finnish Section, “</w:t>
      </w:r>
      <w:proofErr w:type="spellStart"/>
      <w:r w:rsidRPr="00242DCE">
        <w:rPr>
          <w:rFonts w:asciiTheme="minorHAnsi" w:hAnsiTheme="minorHAnsi"/>
          <w:lang w:val="en-US"/>
        </w:rPr>
        <w:t>Viranomaiset</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tukahduttavat</w:t>
      </w:r>
      <w:proofErr w:type="spellEnd"/>
      <w:r w:rsidRPr="00242DCE">
        <w:rPr>
          <w:rFonts w:asciiTheme="minorHAnsi" w:hAnsiTheme="minorHAnsi"/>
          <w:lang w:val="en-US"/>
        </w:rPr>
        <w:t xml:space="preserve"> </w:t>
      </w:r>
      <w:proofErr w:type="spellStart"/>
      <w:r w:rsidRPr="00242DCE">
        <w:rPr>
          <w:rFonts w:asciiTheme="minorHAnsi" w:hAnsiTheme="minorHAnsi"/>
          <w:lang w:val="en-US"/>
        </w:rPr>
        <w:t>kansalaisyhteiskuntaa</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Suomessa</w:t>
      </w:r>
      <w:proofErr w:type="spellEnd"/>
      <w:r w:rsidRPr="00242DCE">
        <w:rPr>
          <w:rFonts w:asciiTheme="minorHAnsi" w:hAnsiTheme="minorHAnsi"/>
          <w:lang w:val="en-US"/>
        </w:rPr>
        <w:t xml:space="preserve"> – </w:t>
      </w:r>
      <w:proofErr w:type="spellStart"/>
      <w:r w:rsidRPr="00242DCE">
        <w:rPr>
          <w:rFonts w:asciiTheme="minorHAnsi" w:hAnsiTheme="minorHAnsi"/>
          <w:lang w:val="en-US"/>
        </w:rPr>
        <w:t>havaintojamme</w:t>
      </w:r>
      <w:proofErr w:type="spellEnd"/>
      <w:r w:rsidRPr="00242DCE">
        <w:rPr>
          <w:rFonts w:asciiTheme="minorHAnsi" w:hAnsiTheme="minorHAnsi"/>
          <w:lang w:val="en-US"/>
        </w:rPr>
        <w:t xml:space="preserve"> </w:t>
      </w:r>
      <w:proofErr w:type="spellStart"/>
      <w:r w:rsidRPr="00242DCE">
        <w:rPr>
          <w:rFonts w:asciiTheme="minorHAnsi" w:hAnsiTheme="minorHAnsi"/>
          <w:lang w:val="en-US"/>
        </w:rPr>
        <w:t>mielenosoitustarkkailuista</w:t>
      </w:r>
      <w:proofErr w:type="spellEnd"/>
      <w:r w:rsidRPr="00242DCE">
        <w:rPr>
          <w:rFonts w:asciiTheme="minorHAnsi" w:hAnsiTheme="minorHAnsi"/>
          <w:lang w:val="en-US"/>
        </w:rPr>
        <w:t xml:space="preserve">”, [“Authorities are suppressing civil society in Finland – our observations from protest observation”], 9 March 2026, </w:t>
      </w:r>
      <w:hyperlink r:id="rId76" w:history="1">
        <w:r w:rsidRPr="00242DCE">
          <w:rPr>
            <w:rStyle w:val="Hyperlink"/>
            <w:rFonts w:asciiTheme="minorHAnsi" w:hAnsiTheme="minorHAnsi"/>
            <w:lang w:val="en-US"/>
          </w:rPr>
          <w:t>https://www.amnesty.fi/viranomaiset-tukahduttavat-kansalaisyhteiskuntaa-suomessa-havaintojamme-mielenosoitustarkkailuista/ (in Finnish)</w:t>
        </w:r>
      </w:hyperlink>
      <w:r w:rsidRPr="00242DCE">
        <w:rPr>
          <w:rFonts w:asciiTheme="minorHAnsi" w:hAnsiTheme="minorHAnsi"/>
          <w:lang w:val="en-US"/>
        </w:rPr>
        <w:t xml:space="preserve">; see also OSCE Office for democracy and human rights, 5th Report on Monitoring of Freedom of Peaceful Assembly in Selected OSCE Participating States, 2 August 2023, </w:t>
      </w:r>
      <w:hyperlink r:id="rId77" w:history="1">
        <w:r w:rsidRPr="00242DCE">
          <w:rPr>
            <w:rStyle w:val="Hyperlink"/>
            <w:rFonts w:asciiTheme="minorHAnsi" w:hAnsiTheme="minorHAnsi"/>
            <w:lang w:val="en-US"/>
          </w:rPr>
          <w:t>https://www.osce.org/odihr/549388</w:t>
        </w:r>
      </w:hyperlink>
      <w:r w:rsidRPr="00242DCE">
        <w:rPr>
          <w:rFonts w:asciiTheme="minorHAnsi" w:hAnsiTheme="minorHAnsi"/>
          <w:lang w:val="en-US"/>
        </w:rPr>
        <w:t>, pp. 51; Amnesty International Finnish Section, “</w:t>
      </w:r>
      <w:proofErr w:type="spellStart"/>
      <w:r w:rsidRPr="00242DCE">
        <w:rPr>
          <w:rFonts w:asciiTheme="minorHAnsi" w:hAnsiTheme="minorHAnsi"/>
          <w:lang w:val="en-US"/>
        </w:rPr>
        <w:t>Poliisi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käytti</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suhteetonta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voimaa</w:t>
      </w:r>
      <w:proofErr w:type="spellEnd"/>
      <w:r w:rsidRPr="00242DCE">
        <w:rPr>
          <w:rFonts w:asciiTheme="minorHAnsi" w:hAnsiTheme="minorHAnsi"/>
          <w:lang w:val="en-US"/>
        </w:rPr>
        <w:t xml:space="preserve">, </w:t>
      </w:r>
      <w:proofErr w:type="spellStart"/>
      <w:r w:rsidRPr="00242DCE">
        <w:rPr>
          <w:rFonts w:asciiTheme="minorHAnsi" w:hAnsiTheme="minorHAnsi"/>
          <w:lang w:val="en-US"/>
        </w:rPr>
        <w:t>eikä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onnistunut</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estämään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mielenosoittajien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väkivaltaisi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hyökkäyksiä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vappuna</w:t>
      </w:r>
      <w:proofErr w:type="spellEnd"/>
      <w:r w:rsidRPr="00242DCE">
        <w:rPr>
          <w:rFonts w:asciiTheme="minorHAnsi" w:hAnsiTheme="minorHAnsi"/>
          <w:lang w:val="en-US"/>
        </w:rPr>
        <w:t xml:space="preserve"> </w:t>
      </w:r>
      <w:proofErr w:type="spellStart"/>
      <w:r w:rsidRPr="00242DCE">
        <w:rPr>
          <w:rFonts w:asciiTheme="minorHAnsi" w:hAnsiTheme="minorHAnsi"/>
          <w:lang w:val="en-US"/>
        </w:rPr>
        <w:t>Tampereella</w:t>
      </w:r>
      <w:proofErr w:type="spellEnd"/>
      <w:r w:rsidRPr="00242DCE">
        <w:rPr>
          <w:rFonts w:asciiTheme="minorHAnsi" w:hAnsiTheme="minorHAnsi"/>
          <w:lang w:val="en-US"/>
        </w:rPr>
        <w:t xml:space="preserve">” [“The police used disproportionate force and failed to prevent violent attacks by demonstrators in Tampere on May Day”], 11 June 2025, </w:t>
      </w:r>
      <w:hyperlink r:id="rId78" w:history="1">
        <w:r w:rsidRPr="00242DCE">
          <w:rPr>
            <w:rStyle w:val="Hyperlink"/>
            <w:rFonts w:asciiTheme="minorHAnsi" w:hAnsiTheme="minorHAnsi"/>
            <w:lang w:val="en-US"/>
          </w:rPr>
          <w:t>https://www.amnesty.fi/amnesty-poliisi-kaytti-suhteetonta-voimaa-eika-onnistunut-estamaan-mielenosoittajien-vakivaltaisia-hyokkayksia-vappuna-tampereella/ (in Finnish)</w:t>
        </w:r>
      </w:hyperlink>
      <w:r w:rsidRPr="00242DCE">
        <w:rPr>
          <w:rFonts w:asciiTheme="minorHAnsi" w:hAnsiTheme="minorHAnsi"/>
          <w:lang w:val="en-US"/>
        </w:rPr>
        <w:t>; Amnesty International Finnish Section, “</w:t>
      </w:r>
      <w:proofErr w:type="spellStart"/>
      <w:r w:rsidRPr="00242DCE">
        <w:rPr>
          <w:rFonts w:asciiTheme="minorHAnsi" w:hAnsiTheme="minorHAnsi"/>
          <w:lang w:val="en-US"/>
        </w:rPr>
        <w:t>Poliisin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läsnäolo</w:t>
      </w:r>
      <w:proofErr w:type="spellEnd"/>
      <w:r w:rsidRPr="00242DCE">
        <w:rPr>
          <w:rFonts w:asciiTheme="minorHAnsi" w:hAnsiTheme="minorHAnsi"/>
          <w:lang w:val="en-US"/>
        </w:rPr>
        <w:t xml:space="preserve"> </w:t>
      </w:r>
      <w:proofErr w:type="spellStart"/>
      <w:r w:rsidRPr="00242DCE">
        <w:rPr>
          <w:rFonts w:asciiTheme="minorHAnsi" w:hAnsiTheme="minorHAnsi"/>
          <w:lang w:val="en-US"/>
        </w:rPr>
        <w:t>olisi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voinut</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estää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pahoinpitelyn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Valkoinen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vappu</w:t>
      </w:r>
      <w:proofErr w:type="spellEnd"/>
      <w:r w:rsidRPr="00242DCE">
        <w:rPr>
          <w:rFonts w:asciiTheme="minorHAnsi" w:hAnsiTheme="minorHAnsi"/>
          <w:lang w:val="en-US"/>
        </w:rPr>
        <w:t xml:space="preserve"> -</w:t>
      </w:r>
      <w:proofErr w:type="spellStart"/>
      <w:r w:rsidRPr="00242DCE">
        <w:rPr>
          <w:rFonts w:asciiTheme="minorHAnsi" w:hAnsiTheme="minorHAnsi"/>
          <w:lang w:val="en-US"/>
        </w:rPr>
        <w:t>kulkueessa</w:t>
      </w:r>
      <w:proofErr w:type="spellEnd"/>
      <w:r w:rsidRPr="00242DCE">
        <w:rPr>
          <w:rFonts w:asciiTheme="minorHAnsi" w:hAnsiTheme="minorHAnsi"/>
          <w:lang w:val="en-US"/>
        </w:rPr>
        <w:t xml:space="preserve">”[“The presence of the police could have prevented an assault in the White May Day parade”], 5 May 2026,  </w:t>
      </w:r>
      <w:hyperlink r:id="rId79" w:history="1">
        <w:r w:rsidRPr="00242DCE">
          <w:rPr>
            <w:rStyle w:val="Hyperlink"/>
            <w:rFonts w:asciiTheme="minorHAnsi" w:hAnsiTheme="minorHAnsi"/>
            <w:lang w:val="en-US"/>
          </w:rPr>
          <w:t>https://www.amnesty.fi/amnesty-poliisin-lasnaolo-olisi-voinut-estaa-pahoinpitelyn-valkoinen-vappu-kulkueessa/ (in Finnish)</w:t>
        </w:r>
      </w:hyperlink>
      <w:r w:rsidRPr="00242DCE">
        <w:rPr>
          <w:rFonts w:asciiTheme="minorHAnsi" w:hAnsiTheme="minorHAnsi"/>
          <w:lang w:val="en-US"/>
        </w:rPr>
        <w:t xml:space="preserve">; see also MTV </w:t>
      </w:r>
      <w:proofErr w:type="spellStart"/>
      <w:r w:rsidRPr="00242DCE">
        <w:rPr>
          <w:rFonts w:asciiTheme="minorHAnsi" w:hAnsiTheme="minorHAnsi"/>
          <w:lang w:val="en-US"/>
        </w:rPr>
        <w:t>uutiset</w:t>
      </w:r>
      <w:proofErr w:type="spellEnd"/>
      <w:r w:rsidRPr="00242DCE">
        <w:rPr>
          <w:rFonts w:asciiTheme="minorHAnsi" w:hAnsiTheme="minorHAnsi"/>
          <w:lang w:val="en-US"/>
        </w:rPr>
        <w:t>, “</w:t>
      </w:r>
      <w:proofErr w:type="spellStart"/>
      <w:r w:rsidRPr="00242DCE">
        <w:rPr>
          <w:rFonts w:asciiTheme="minorHAnsi" w:hAnsiTheme="minorHAnsi"/>
          <w:lang w:val="en-US"/>
        </w:rPr>
        <w:t>Silminnäkijä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STT:lle</w:t>
      </w:r>
      <w:proofErr w:type="spellEnd"/>
      <w:r w:rsidRPr="00242DCE">
        <w:rPr>
          <w:rFonts w:asciiTheme="minorHAnsi" w:hAnsiTheme="minorHAnsi"/>
          <w:lang w:val="en-US"/>
        </w:rPr>
        <w:t xml:space="preserve">: </w:t>
      </w:r>
      <w:proofErr w:type="spellStart"/>
      <w:r w:rsidRPr="00242DCE">
        <w:rPr>
          <w:rFonts w:asciiTheme="minorHAnsi" w:hAnsiTheme="minorHAnsi"/>
          <w:lang w:val="en-US"/>
        </w:rPr>
        <w:t>Naamioitunut</w:t>
      </w:r>
      <w:proofErr w:type="spellEnd"/>
      <w:r w:rsidRPr="00242DCE">
        <w:rPr>
          <w:rFonts w:asciiTheme="minorHAnsi" w:hAnsiTheme="minorHAnsi"/>
          <w:lang w:val="en-US"/>
        </w:rPr>
        <w:t xml:space="preserve"> </w:t>
      </w:r>
      <w:proofErr w:type="spellStart"/>
      <w:r w:rsidRPr="00242DCE">
        <w:rPr>
          <w:rFonts w:asciiTheme="minorHAnsi" w:hAnsiTheme="minorHAnsi"/>
          <w:lang w:val="en-US"/>
        </w:rPr>
        <w:t>joukkio</w:t>
      </w:r>
      <w:proofErr w:type="spellEnd"/>
      <w:r w:rsidRPr="00242DCE">
        <w:rPr>
          <w:rFonts w:asciiTheme="minorHAnsi" w:hAnsiTheme="minorHAnsi"/>
          <w:lang w:val="en-US"/>
        </w:rPr>
        <w:t xml:space="preserve"> </w:t>
      </w:r>
      <w:proofErr w:type="spellStart"/>
      <w:r w:rsidRPr="00242DCE">
        <w:rPr>
          <w:rFonts w:asciiTheme="minorHAnsi" w:hAnsiTheme="minorHAnsi"/>
          <w:lang w:val="en-US"/>
        </w:rPr>
        <w:t>työnsi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ulkomaalaisen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naisen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katuun</w:t>
      </w:r>
      <w:proofErr w:type="spellEnd"/>
      <w:r w:rsidRPr="00242DCE">
        <w:rPr>
          <w:rFonts w:asciiTheme="minorHAnsi" w:hAnsiTheme="minorHAnsi"/>
          <w:lang w:val="en-US"/>
        </w:rPr>
        <w:t xml:space="preserve"> Töölöntorilla, </w:t>
      </w:r>
      <w:proofErr w:type="spellStart"/>
      <w:r w:rsidRPr="00242DCE">
        <w:rPr>
          <w:rFonts w:asciiTheme="minorHAnsi" w:hAnsiTheme="minorHAnsi"/>
          <w:lang w:val="en-US"/>
        </w:rPr>
        <w:t>poliisi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ei</w:t>
      </w:r>
      <w:proofErr w:type="spellEnd"/>
      <w:r w:rsidRPr="00242DCE">
        <w:rPr>
          <w:rFonts w:asciiTheme="minorHAnsi" w:hAnsiTheme="minorHAnsi"/>
          <w:lang w:val="en-US"/>
        </w:rPr>
        <w:t xml:space="preserve"> </w:t>
      </w:r>
      <w:proofErr w:type="spellStart"/>
      <w:r w:rsidRPr="00242DCE">
        <w:rPr>
          <w:rFonts w:asciiTheme="minorHAnsi" w:hAnsiTheme="minorHAnsi"/>
          <w:lang w:val="en-US"/>
        </w:rPr>
        <w:t>puuttunut</w:t>
      </w:r>
      <w:proofErr w:type="spellEnd"/>
      <w:r w:rsidRPr="00242DCE">
        <w:rPr>
          <w:rFonts w:asciiTheme="minorHAnsi" w:hAnsiTheme="minorHAnsi"/>
          <w:lang w:val="en-US"/>
        </w:rPr>
        <w:t xml:space="preserve"> </w:t>
      </w:r>
      <w:proofErr w:type="spellStart"/>
      <w:r w:rsidRPr="00242DCE">
        <w:rPr>
          <w:rFonts w:asciiTheme="minorHAnsi" w:hAnsiTheme="minorHAnsi"/>
          <w:lang w:val="en-US"/>
        </w:rPr>
        <w:t>asiaan</w:t>
      </w:r>
      <w:proofErr w:type="spellEnd"/>
      <w:r w:rsidRPr="00242DCE">
        <w:rPr>
          <w:rFonts w:asciiTheme="minorHAnsi" w:hAnsiTheme="minorHAnsi"/>
          <w:lang w:val="en-US"/>
        </w:rPr>
        <w:t xml:space="preserve">” [“Eyewitness to STT: A masked gang pushed a foreign woman into the street at </w:t>
      </w:r>
      <w:proofErr w:type="spellStart"/>
      <w:r w:rsidRPr="00242DCE">
        <w:rPr>
          <w:rFonts w:asciiTheme="minorHAnsi" w:hAnsiTheme="minorHAnsi"/>
          <w:lang w:val="en-US"/>
        </w:rPr>
        <w:t>Töölöntori</w:t>
      </w:r>
      <w:proofErr w:type="spellEnd"/>
      <w:r w:rsidRPr="00242DCE">
        <w:rPr>
          <w:rFonts w:asciiTheme="minorHAnsi" w:hAnsiTheme="minorHAnsi"/>
          <w:lang w:val="en-US"/>
        </w:rPr>
        <w:t xml:space="preserve"> Square, the police did not intervene”], 6 December 2025, </w:t>
      </w:r>
      <w:hyperlink r:id="rId80" w:history="1">
        <w:r w:rsidRPr="00242DCE">
          <w:rPr>
            <w:rStyle w:val="Hyperlink"/>
            <w:rFonts w:asciiTheme="minorHAnsi" w:hAnsiTheme="minorHAnsi"/>
            <w:lang w:val="en-US"/>
          </w:rPr>
          <w:t>https://www.mtvuutiset.fi/artikkeli/silminnakija-stt-lle-naamioitunut-joukkio-tonaisi-ulkomaalaisen-naisen-katuun-helsingissa-poliisi-ei-puuttunut-asiaan/9266542 (in Finnish)</w:t>
        </w:r>
      </w:hyperlink>
      <w:r w:rsidRPr="00242DCE">
        <w:rPr>
          <w:rFonts w:asciiTheme="minorHAnsi" w:hAnsiTheme="minorHAnsi"/>
          <w:lang w:val="en-US"/>
        </w:rPr>
        <w:t>; on the use of horses in a demonstration and other remarks on the use of force see also Parliamentary Ombudsman decision 8038/2023, “</w:t>
      </w:r>
      <w:proofErr w:type="spellStart"/>
      <w:r w:rsidRPr="00242DCE">
        <w:rPr>
          <w:rFonts w:asciiTheme="minorHAnsi" w:hAnsiTheme="minorHAnsi"/>
          <w:lang w:val="en-US"/>
        </w:rPr>
        <w:t>Poliisin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menettely</w:t>
      </w:r>
      <w:proofErr w:type="spellEnd"/>
      <w:r w:rsidRPr="00242DCE">
        <w:rPr>
          <w:rFonts w:asciiTheme="minorHAnsi" w:hAnsiTheme="minorHAnsi"/>
          <w:lang w:val="en-US"/>
        </w:rPr>
        <w:t xml:space="preserve"> </w:t>
      </w:r>
      <w:proofErr w:type="spellStart"/>
      <w:r w:rsidRPr="00242DCE">
        <w:rPr>
          <w:rFonts w:asciiTheme="minorHAnsi" w:hAnsiTheme="minorHAnsi"/>
          <w:lang w:val="en-US"/>
        </w:rPr>
        <w:t>mielenosoituksessa</w:t>
      </w:r>
      <w:proofErr w:type="spellEnd"/>
      <w:r w:rsidRPr="00242DCE">
        <w:rPr>
          <w:rFonts w:asciiTheme="minorHAnsi" w:hAnsiTheme="minorHAnsi"/>
          <w:lang w:val="en-US"/>
        </w:rPr>
        <w:t xml:space="preserve">” [“The police's procedure in the demonstration” ], 15 November 2024, </w:t>
      </w:r>
      <w:hyperlink r:id="rId81" w:history="1">
        <w:r w:rsidRPr="00242DCE">
          <w:rPr>
            <w:rStyle w:val="Hyperlink"/>
            <w:rFonts w:asciiTheme="minorHAnsi" w:hAnsiTheme="minorHAnsi"/>
            <w:lang w:val="en-US"/>
          </w:rPr>
          <w:t>https://oikeusasiamies.fi/-/poliisin-menettely-mielenosoituksessa-2 (in Finnish)</w:t>
        </w:r>
      </w:hyperlink>
      <w:r w:rsidRPr="00242DCE">
        <w:rPr>
          <w:rFonts w:asciiTheme="minorHAnsi" w:hAnsiTheme="minorHAnsi"/>
          <w:lang w:val="en-US"/>
        </w:rPr>
        <w:t xml:space="preserve">, pp. 16-18.  </w:t>
      </w:r>
    </w:p>
  </w:footnote>
  <w:footnote w:id="82">
    <w:p w14:paraId="560A90AC" w14:textId="55C2C160"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Amnesty International, </w:t>
      </w:r>
      <w:r w:rsidRPr="00242DCE">
        <w:rPr>
          <w:rFonts w:asciiTheme="minorHAnsi" w:hAnsiTheme="minorHAnsi"/>
          <w:i/>
          <w:iCs/>
          <w:lang w:val="en-US"/>
        </w:rPr>
        <w:t>The State of the World's Human Rights: April</w:t>
      </w:r>
      <w:r w:rsidRPr="00242DCE">
        <w:rPr>
          <w:rFonts w:asciiTheme="minorHAnsi" w:hAnsiTheme="minorHAnsi"/>
          <w:lang w:val="en-US"/>
        </w:rPr>
        <w:t xml:space="preserve"> 2025</w:t>
      </w:r>
      <w:r w:rsidRPr="00242DCE">
        <w:rPr>
          <w:rFonts w:asciiTheme="minorHAnsi" w:hAnsiTheme="minorHAnsi"/>
          <w:i/>
          <w:iCs/>
          <w:lang w:val="en-US"/>
        </w:rPr>
        <w:t xml:space="preserve"> </w:t>
      </w:r>
      <w:r w:rsidRPr="00242DCE">
        <w:rPr>
          <w:rFonts w:asciiTheme="minorHAnsi" w:hAnsiTheme="minorHAnsi"/>
          <w:lang w:val="en-US"/>
        </w:rPr>
        <w:t xml:space="preserve">(Index: POL 10/8515/2025), 28 April 2025, </w:t>
      </w:r>
      <w:hyperlink r:id="rId82" w:history="1">
        <w:r w:rsidRPr="00242DCE">
          <w:rPr>
            <w:rStyle w:val="Hyperlink"/>
            <w:rFonts w:asciiTheme="minorHAnsi" w:hAnsiTheme="minorHAnsi"/>
            <w:lang w:val="en-US"/>
          </w:rPr>
          <w:t>https://www.amnesty.org/en/documents/pol10/8515/2025/en/</w:t>
        </w:r>
      </w:hyperlink>
      <w:r w:rsidRPr="00242DCE">
        <w:rPr>
          <w:rFonts w:asciiTheme="minorHAnsi" w:hAnsiTheme="minorHAnsi"/>
          <w:lang w:val="en-US"/>
        </w:rPr>
        <w:t>, pp. 169;  Amnesty International,</w:t>
      </w:r>
      <w:r w:rsidR="004E27E9">
        <w:rPr>
          <w:rFonts w:asciiTheme="minorHAnsi" w:hAnsiTheme="minorHAnsi"/>
          <w:lang w:val="en-US"/>
        </w:rPr>
        <w:t xml:space="preserve"> </w:t>
      </w:r>
      <w:r w:rsidR="004E27E9" w:rsidRPr="00242DCE">
        <w:rPr>
          <w:rFonts w:asciiTheme="minorHAnsi" w:hAnsiTheme="minorHAnsi"/>
          <w:lang w:val="en-US"/>
        </w:rPr>
        <w:t>15 March 2024,</w:t>
      </w:r>
      <w:r w:rsidRPr="00242DCE">
        <w:rPr>
          <w:rFonts w:asciiTheme="minorHAnsi" w:hAnsiTheme="minorHAnsi"/>
          <w:lang w:val="en-US"/>
        </w:rPr>
        <w:t xml:space="preserve"> </w:t>
      </w:r>
      <w:r w:rsidR="004E27E9">
        <w:rPr>
          <w:rFonts w:asciiTheme="minorHAnsi" w:hAnsiTheme="minorHAnsi"/>
          <w:i/>
          <w:iCs/>
          <w:lang w:val="en-US"/>
        </w:rPr>
        <w:t>ibid</w:t>
      </w:r>
      <w:r w:rsidRPr="00242DCE">
        <w:rPr>
          <w:rFonts w:asciiTheme="minorHAnsi" w:hAnsiTheme="minorHAnsi"/>
          <w:lang w:val="en-US"/>
        </w:rPr>
        <w:t>, pp. 16;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2024” [“Protest observation report 2024”], 2025, </w:t>
      </w:r>
      <w:hyperlink r:id="rId83" w:history="1">
        <w:r w:rsidRPr="00242DCE">
          <w:rPr>
            <w:rStyle w:val="Hyperlink"/>
            <w:rFonts w:asciiTheme="minorHAnsi" w:hAnsiTheme="minorHAnsi"/>
            <w:lang w:val="en-US"/>
          </w:rPr>
          <w:t>https://www.amnesty.fi/app/uploads/2025/04/tarkkailuraportti-mielenosoituksista-2024.pdf (in Finnish)</w:t>
        </w:r>
      </w:hyperlink>
      <w:r w:rsidRPr="00242DCE">
        <w:rPr>
          <w:rFonts w:asciiTheme="minorHAnsi" w:hAnsiTheme="minorHAnsi"/>
          <w:lang w:val="en-US"/>
        </w:rPr>
        <w:t xml:space="preserve"> , pp. 9,16;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2023”, [“Protest observation report 2023”], 2024, </w:t>
      </w:r>
      <w:hyperlink r:id="rId84" w:history="1">
        <w:r w:rsidRPr="00242DCE">
          <w:rPr>
            <w:rStyle w:val="Hyperlink"/>
            <w:rFonts w:asciiTheme="minorHAnsi" w:hAnsiTheme="minorHAnsi"/>
            <w:lang w:val="en-US"/>
          </w:rPr>
          <w:t>https://www.amnesty.fi/app/uploads/2024/02/mielenosoitustarkkailun-vuosiraportti-2023_valmis.pdf (in Finnish)</w:t>
        </w:r>
      </w:hyperlink>
      <w:r w:rsidRPr="00242DCE">
        <w:rPr>
          <w:rFonts w:asciiTheme="minorHAnsi" w:hAnsiTheme="minorHAnsi"/>
          <w:lang w:val="en-US"/>
        </w:rPr>
        <w:t>,  pp. 29.</w:t>
      </w:r>
    </w:p>
  </w:footnote>
  <w:footnote w:id="83">
    <w:p w14:paraId="6E5CFD5C"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2022" [“Protest observation report 2022”], 2023, </w:t>
      </w:r>
      <w:hyperlink r:id="rId85" w:history="1">
        <w:r w:rsidRPr="00242DCE">
          <w:rPr>
            <w:rStyle w:val="Hyperlink"/>
            <w:rFonts w:asciiTheme="minorHAnsi" w:hAnsiTheme="minorHAnsi"/>
            <w:lang w:val="en-US"/>
          </w:rPr>
          <w:t>https://www.amnesty.fi/uploads/2023/02/raportti_mielenosoitustarkkailu.pdf (in Finnish)</w:t>
        </w:r>
      </w:hyperlink>
      <w:r w:rsidRPr="00242DCE">
        <w:rPr>
          <w:rFonts w:asciiTheme="minorHAnsi" w:hAnsiTheme="minorHAnsi"/>
          <w:lang w:val="en-US"/>
        </w:rPr>
        <w:t xml:space="preserve">, pp. 15; see also </w:t>
      </w:r>
      <w:proofErr w:type="spellStart"/>
      <w:r w:rsidRPr="00242DCE">
        <w:rPr>
          <w:rFonts w:asciiTheme="minorHAnsi" w:hAnsiTheme="minorHAnsi"/>
          <w:lang w:val="en-US"/>
        </w:rPr>
        <w:t>Yle</w:t>
      </w:r>
      <w:proofErr w:type="spellEnd"/>
      <w:r w:rsidRPr="00242DCE">
        <w:rPr>
          <w:rFonts w:asciiTheme="minorHAnsi" w:hAnsiTheme="minorHAnsi"/>
          <w:lang w:val="en-US"/>
        </w:rPr>
        <w:t xml:space="preserve"> News, “Police: Helsinki demo PKK flag ban “not motivated” by Nato process”, 12.12.2022, </w:t>
      </w:r>
      <w:hyperlink r:id="rId86" w:history="1">
        <w:r w:rsidRPr="00242DCE">
          <w:rPr>
            <w:rStyle w:val="Hyperlink"/>
            <w:rFonts w:asciiTheme="minorHAnsi" w:hAnsiTheme="minorHAnsi"/>
            <w:lang w:val="en-US"/>
          </w:rPr>
          <w:t>https://yle.fi/a/74-20008276</w:t>
        </w:r>
      </w:hyperlink>
      <w:r w:rsidRPr="00242DCE">
        <w:rPr>
          <w:rFonts w:asciiTheme="minorHAnsi" w:hAnsiTheme="minorHAnsi"/>
          <w:lang w:val="en-US"/>
        </w:rPr>
        <w:t xml:space="preserve">.   </w:t>
      </w:r>
    </w:p>
  </w:footnote>
  <w:footnote w:id="84">
    <w:p w14:paraId="00709B53"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See for example </w:t>
      </w:r>
      <w:proofErr w:type="spellStart"/>
      <w:r w:rsidRPr="00242DCE">
        <w:rPr>
          <w:rFonts w:asciiTheme="minorHAnsi" w:hAnsiTheme="minorHAnsi"/>
          <w:lang w:val="en-US"/>
        </w:rPr>
        <w:t>Yle</w:t>
      </w:r>
      <w:proofErr w:type="spellEnd"/>
      <w:r w:rsidRPr="00242DCE">
        <w:rPr>
          <w:rFonts w:asciiTheme="minorHAnsi" w:hAnsiTheme="minorHAnsi"/>
          <w:lang w:val="en-US"/>
        </w:rPr>
        <w:t xml:space="preserve"> News, “Researcher: “Hard not to see” link between Nato bid and PKK flag ban”, 8.12.2022, </w:t>
      </w:r>
      <w:hyperlink r:id="rId87" w:history="1">
        <w:r w:rsidRPr="00242DCE">
          <w:rPr>
            <w:rStyle w:val="Hyperlink"/>
            <w:rFonts w:asciiTheme="minorHAnsi" w:hAnsiTheme="minorHAnsi"/>
            <w:lang w:val="en-US"/>
          </w:rPr>
          <w:t>https://yle.fi/a/74</w:t>
        </w:r>
        <w:bookmarkStart w:id="22" w:name="_Hlt231215254"/>
        <w:bookmarkStart w:id="23" w:name="_Hlt231215255"/>
        <w:bookmarkEnd w:id="22"/>
        <w:bookmarkEnd w:id="23"/>
        <w:r w:rsidRPr="00242DCE">
          <w:rPr>
            <w:rStyle w:val="Hyperlink"/>
            <w:rFonts w:asciiTheme="minorHAnsi" w:hAnsiTheme="minorHAnsi"/>
            <w:lang w:val="en-US"/>
          </w:rPr>
          <w:t>-20007769</w:t>
        </w:r>
      </w:hyperlink>
      <w:r w:rsidRPr="00242DCE">
        <w:rPr>
          <w:rFonts w:asciiTheme="minorHAnsi" w:hAnsiTheme="minorHAnsi"/>
          <w:lang w:val="en-US"/>
        </w:rPr>
        <w:t>;  “</w:t>
      </w:r>
      <w:proofErr w:type="spellStart"/>
      <w:r w:rsidRPr="00242DCE">
        <w:rPr>
          <w:rFonts w:asciiTheme="minorHAnsi" w:hAnsiTheme="minorHAnsi"/>
          <w:lang w:val="en-US"/>
        </w:rPr>
        <w:t>Natoon</w:t>
      </w:r>
      <w:proofErr w:type="spellEnd"/>
      <w:r w:rsidRPr="00242DCE">
        <w:rPr>
          <w:rFonts w:asciiTheme="minorHAnsi" w:hAnsiTheme="minorHAnsi"/>
          <w:lang w:val="en-US"/>
        </w:rPr>
        <w:t xml:space="preserve"> </w:t>
      </w:r>
      <w:proofErr w:type="spellStart"/>
      <w:r w:rsidRPr="00242DCE">
        <w:rPr>
          <w:rFonts w:asciiTheme="minorHAnsi" w:hAnsiTheme="minorHAnsi"/>
          <w:lang w:val="en-US"/>
        </w:rPr>
        <w:t>pyrkinyt</w:t>
      </w:r>
      <w:proofErr w:type="spellEnd"/>
      <w:r w:rsidRPr="00242DCE">
        <w:rPr>
          <w:rFonts w:asciiTheme="minorHAnsi" w:hAnsiTheme="minorHAnsi"/>
          <w:lang w:val="en-US"/>
        </w:rPr>
        <w:t xml:space="preserve"> Suomi </w:t>
      </w:r>
      <w:proofErr w:type="spellStart"/>
      <w:r w:rsidRPr="00242DCE">
        <w:rPr>
          <w:rFonts w:asciiTheme="minorHAnsi" w:hAnsiTheme="minorHAnsi"/>
          <w:lang w:val="en-US"/>
        </w:rPr>
        <w:t>teki</w:t>
      </w:r>
      <w:proofErr w:type="spellEnd"/>
      <w:r w:rsidRPr="00242DCE">
        <w:rPr>
          <w:rFonts w:asciiTheme="minorHAnsi" w:hAnsiTheme="minorHAnsi"/>
          <w:lang w:val="en-US"/>
        </w:rPr>
        <w:t xml:space="preserve"> </w:t>
      </w:r>
      <w:proofErr w:type="spellStart"/>
      <w:r w:rsidRPr="00242DCE">
        <w:rPr>
          <w:rFonts w:asciiTheme="minorHAnsi" w:hAnsiTheme="minorHAnsi"/>
          <w:lang w:val="en-US"/>
        </w:rPr>
        <w:t>turvallisuuspolitiikan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nimissä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asioita</w:t>
      </w:r>
      <w:proofErr w:type="spellEnd"/>
      <w:r w:rsidRPr="00242DCE">
        <w:rPr>
          <w:rFonts w:asciiTheme="minorHAnsi" w:hAnsiTheme="minorHAnsi"/>
          <w:lang w:val="en-US"/>
        </w:rPr>
        <w:t xml:space="preserve">, </w:t>
      </w:r>
      <w:proofErr w:type="spellStart"/>
      <w:r w:rsidRPr="00242DCE">
        <w:rPr>
          <w:rFonts w:asciiTheme="minorHAnsi" w:hAnsiTheme="minorHAnsi"/>
          <w:lang w:val="en-US"/>
        </w:rPr>
        <w:t>joita</w:t>
      </w:r>
      <w:proofErr w:type="spellEnd"/>
      <w:r w:rsidRPr="00242DCE">
        <w:rPr>
          <w:rFonts w:asciiTheme="minorHAnsi" w:hAnsiTheme="minorHAnsi"/>
          <w:lang w:val="en-US"/>
        </w:rPr>
        <w:t xml:space="preserve"> se </w:t>
      </w:r>
      <w:proofErr w:type="spellStart"/>
      <w:r w:rsidRPr="00242DCE">
        <w:rPr>
          <w:rFonts w:asciiTheme="minorHAnsi" w:hAnsiTheme="minorHAnsi"/>
          <w:lang w:val="en-US"/>
        </w:rPr>
        <w:t>ei</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olisi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tehnyt</w:t>
      </w:r>
      <w:proofErr w:type="spellEnd"/>
      <w:r w:rsidRPr="00242DCE">
        <w:rPr>
          <w:rFonts w:asciiTheme="minorHAnsi" w:hAnsiTheme="minorHAnsi"/>
          <w:lang w:val="en-US"/>
        </w:rPr>
        <w:t xml:space="preserve">, </w:t>
      </w:r>
      <w:proofErr w:type="spellStart"/>
      <w:r w:rsidRPr="00242DCE">
        <w:rPr>
          <w:rFonts w:asciiTheme="minorHAnsi" w:hAnsiTheme="minorHAnsi"/>
          <w:lang w:val="en-US"/>
        </w:rPr>
        <w:t>sanoo</w:t>
      </w:r>
      <w:proofErr w:type="spellEnd"/>
      <w:r w:rsidRPr="00242DCE">
        <w:rPr>
          <w:rFonts w:asciiTheme="minorHAnsi" w:hAnsiTheme="minorHAnsi"/>
          <w:lang w:val="en-US"/>
        </w:rPr>
        <w:t xml:space="preserve"> </w:t>
      </w:r>
      <w:proofErr w:type="spellStart"/>
      <w:r w:rsidRPr="00242DCE">
        <w:rPr>
          <w:rFonts w:asciiTheme="minorHAnsi" w:hAnsiTheme="minorHAnsi"/>
          <w:lang w:val="en-US"/>
        </w:rPr>
        <w:t>professori</w:t>
      </w:r>
      <w:proofErr w:type="spellEnd"/>
      <w:r w:rsidRPr="00242DCE">
        <w:rPr>
          <w:rFonts w:asciiTheme="minorHAnsi" w:hAnsiTheme="minorHAnsi"/>
          <w:lang w:val="en-US"/>
        </w:rPr>
        <w:t xml:space="preserve">” [“Finland, which aspired to join NATO, did things in the name of security policy that it would not have done otherwise, says Professor”], 9 April 2023, </w:t>
      </w:r>
      <w:hyperlink r:id="rId88" w:history="1">
        <w:r w:rsidRPr="00242DCE">
          <w:rPr>
            <w:rStyle w:val="Hyperlink"/>
            <w:rFonts w:asciiTheme="minorHAnsi" w:hAnsiTheme="minorHAnsi"/>
            <w:lang w:val="en-US"/>
          </w:rPr>
          <w:t>https://yle.fi/a/74-20024819 (in Finnish)</w:t>
        </w:r>
      </w:hyperlink>
      <w:r w:rsidRPr="00242DCE">
        <w:rPr>
          <w:rFonts w:asciiTheme="minorHAnsi" w:hAnsiTheme="minorHAnsi"/>
          <w:lang w:val="en-US"/>
        </w:rPr>
        <w:t xml:space="preserve">; see also </w:t>
      </w:r>
      <w:proofErr w:type="spellStart"/>
      <w:r w:rsidRPr="00242DCE">
        <w:rPr>
          <w:rFonts w:asciiTheme="minorHAnsi" w:hAnsiTheme="minorHAnsi"/>
          <w:lang w:val="en-US"/>
        </w:rPr>
        <w:t>Yle</w:t>
      </w:r>
      <w:proofErr w:type="spellEnd"/>
      <w:r w:rsidRPr="00242DCE">
        <w:rPr>
          <w:rFonts w:asciiTheme="minorHAnsi" w:hAnsiTheme="minorHAnsi"/>
          <w:lang w:val="en-US"/>
        </w:rPr>
        <w:t xml:space="preserve"> News, “Finland releases 3 men suspected of financing PKK terrorism”, 26 December 2025, </w:t>
      </w:r>
      <w:hyperlink r:id="rId89" w:history="1">
        <w:r w:rsidRPr="00242DCE">
          <w:rPr>
            <w:rStyle w:val="Hyperlink"/>
            <w:rFonts w:asciiTheme="minorHAnsi" w:hAnsiTheme="minorHAnsi"/>
            <w:lang w:val="en-US"/>
          </w:rPr>
          <w:t>https://yle.fi/a/74-20201502</w:t>
        </w:r>
      </w:hyperlink>
      <w:r w:rsidRPr="00242DCE">
        <w:rPr>
          <w:rFonts w:asciiTheme="minorHAnsi" w:hAnsiTheme="minorHAnsi"/>
          <w:lang w:val="en-US"/>
        </w:rPr>
        <w:t xml:space="preserve">. </w:t>
      </w:r>
    </w:p>
  </w:footnote>
  <w:footnote w:id="85">
    <w:p w14:paraId="7B037E04"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Helsinki Administrative Court decision 6975/2023, 30 November 2023.</w:t>
      </w:r>
    </w:p>
  </w:footnote>
  <w:footnote w:id="86">
    <w:p w14:paraId="50064881"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Finnish Section, </w:t>
      </w:r>
      <w:proofErr w:type="spellStart"/>
      <w:r w:rsidRPr="00242DCE">
        <w:rPr>
          <w:rFonts w:asciiTheme="minorHAnsi" w:hAnsiTheme="minorHAnsi"/>
          <w:lang w:val="en-US"/>
        </w:rPr>
        <w:t>Mielenosoitustarkkailuraportti</w:t>
      </w:r>
      <w:proofErr w:type="spellEnd"/>
      <w:r w:rsidRPr="00242DCE">
        <w:rPr>
          <w:rFonts w:asciiTheme="minorHAnsi" w:hAnsiTheme="minorHAnsi"/>
          <w:lang w:val="en-US"/>
        </w:rPr>
        <w:t xml:space="preserve"> 2023, [“Protest observation report 2023”], 2024, </w:t>
      </w:r>
      <w:hyperlink r:id="rId90" w:history="1">
        <w:r w:rsidRPr="00242DCE">
          <w:rPr>
            <w:rStyle w:val="Hyperlink"/>
            <w:rFonts w:asciiTheme="minorHAnsi" w:hAnsiTheme="minorHAnsi"/>
            <w:lang w:val="en-US"/>
          </w:rPr>
          <w:t>https://www.amnesty.fi/app/uploads/2024/02/mielenosoitustarkkailun-vuosiraportti-2023_valmis.pdf (in Finnish)</w:t>
        </w:r>
      </w:hyperlink>
      <w:r w:rsidRPr="00242DCE">
        <w:rPr>
          <w:rFonts w:asciiTheme="minorHAnsi" w:hAnsiTheme="minorHAnsi"/>
          <w:lang w:val="en-US"/>
        </w:rPr>
        <w:t>, pp. 34.</w:t>
      </w:r>
    </w:p>
  </w:footnote>
  <w:footnote w:id="87">
    <w:p w14:paraId="1C185535" w14:textId="77777777" w:rsidR="00305D1B" w:rsidRPr="00242DCE" w:rsidRDefault="00305D1B"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proofErr w:type="spellStart"/>
      <w:r w:rsidRPr="00242DCE">
        <w:rPr>
          <w:rFonts w:asciiTheme="minorHAnsi" w:hAnsiTheme="minorHAnsi"/>
          <w:lang w:val="en-US"/>
        </w:rPr>
        <w:t>Poliisi</w:t>
      </w:r>
      <w:proofErr w:type="spellEnd"/>
      <w:r w:rsidRPr="00242DCE">
        <w:rPr>
          <w:rFonts w:asciiTheme="minorHAnsi" w:hAnsiTheme="minorHAnsi"/>
          <w:lang w:val="en-US"/>
        </w:rPr>
        <w:t xml:space="preserve">, “National Police Board: Effigy of Turkish President should not have been seized”, 17 May 2024,  </w:t>
      </w:r>
      <w:hyperlink r:id="rId91" w:history="1">
        <w:r w:rsidRPr="00242DCE">
          <w:rPr>
            <w:rStyle w:val="Hyperlink"/>
            <w:rFonts w:asciiTheme="minorHAnsi" w:hAnsiTheme="minorHAnsi"/>
            <w:lang w:val="en-US"/>
          </w:rPr>
          <w:t>https://poliisi.fi/-/poliisihallitus-turkin-presidenttia-esittavaa-nukkea-ei-olisi-saanut-ottaa-haltuun?languageId=en_US</w:t>
        </w:r>
      </w:hyperlink>
      <w:r w:rsidRPr="00242DCE">
        <w:rPr>
          <w:rFonts w:asciiTheme="minorHAnsi" w:hAnsiTheme="minorHAnsi"/>
          <w:lang w:val="en-US"/>
        </w:rPr>
        <w:t xml:space="preserve">. </w:t>
      </w:r>
    </w:p>
  </w:footnote>
  <w:footnote w:id="88">
    <w:p w14:paraId="44B99208"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Immigration Service, Statistics: International protection, 15 May 2026, </w:t>
      </w:r>
      <w:hyperlink r:id="rId92" w:anchor="applications/23330?l=en&amp;start=664" w:history="1">
        <w:r w:rsidRPr="00242DCE">
          <w:rPr>
            <w:rStyle w:val="Hyperlink"/>
            <w:rFonts w:asciiTheme="minorHAnsi" w:hAnsiTheme="minorHAnsi"/>
            <w:lang w:val="en-US"/>
          </w:rPr>
          <w:t>https://tilastot.migri.fi/#applications/23330?l=en&amp;start=664</w:t>
        </w:r>
      </w:hyperlink>
      <w:r w:rsidRPr="00242DCE">
        <w:rPr>
          <w:rFonts w:asciiTheme="minorHAnsi" w:hAnsiTheme="minorHAnsi"/>
          <w:lang w:val="en-US"/>
        </w:rPr>
        <w:t xml:space="preserve">. </w:t>
      </w:r>
    </w:p>
  </w:footnote>
  <w:footnote w:id="89">
    <w:p w14:paraId="1E2406DD"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Finland: Time to Address Remaining Gaps in Human Rights Protection: Amnesty International Submission for the 41st Session of the UPR Working Group, 7 – 18 November 2022 (Index: EUR 20/5402/2022), 31 March 2022, </w:t>
      </w:r>
      <w:hyperlink r:id="rId93" w:history="1">
        <w:r w:rsidRPr="00242DCE">
          <w:rPr>
            <w:rStyle w:val="Hyperlink"/>
            <w:rFonts w:asciiTheme="minorHAnsi" w:hAnsiTheme="minorHAnsi"/>
            <w:lang w:val="en-US"/>
          </w:rPr>
          <w:t>https://www.amnesty.org/en/documents/eur20/5402/2022/en/</w:t>
        </w:r>
      </w:hyperlink>
      <w:r w:rsidRPr="00242DCE">
        <w:rPr>
          <w:rFonts w:asciiTheme="minorHAnsi" w:hAnsiTheme="minorHAnsi"/>
          <w:lang w:val="en-US"/>
        </w:rPr>
        <w:t xml:space="preserve">. </w:t>
      </w:r>
    </w:p>
  </w:footnote>
  <w:footnote w:id="90">
    <w:p w14:paraId="67280A79" w14:textId="77777777" w:rsidR="005536F0" w:rsidRPr="00242DCE" w:rsidRDefault="005536F0" w:rsidP="00242DCE">
      <w:pPr>
        <w:pStyle w:val="FootnoteText"/>
        <w:spacing w:after="0"/>
        <w:rPr>
          <w:rFonts w:asciiTheme="minorHAnsi" w:eastAsia="Segoe UI" w:hAnsiTheme="minorHAnsi" w:cs="Segoe UI"/>
          <w:color w:val="242424"/>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eastAsia="Segoe UI" w:hAnsiTheme="minorHAnsi" w:cs="Segoe UI"/>
          <w:color w:val="242424"/>
          <w:lang w:val="en-US"/>
        </w:rPr>
        <w:t xml:space="preserve">Ministry of Interior, Government Programme measures to reform migration policy, </w:t>
      </w:r>
      <w:hyperlink r:id="rId94" w:history="1">
        <w:r w:rsidRPr="00242DCE">
          <w:rPr>
            <w:rStyle w:val="Hyperlink"/>
            <w:rFonts w:asciiTheme="minorHAnsi" w:eastAsia="Segoe UI" w:hAnsiTheme="minorHAnsi" w:cs="Segoe UI"/>
            <w:lang w:val="en-US"/>
          </w:rPr>
          <w:t>https://intermin.fi/en/areas-of-expertise/migration/government-programme-measures-to-reform-migration-policy</w:t>
        </w:r>
      </w:hyperlink>
      <w:r w:rsidRPr="00242DCE">
        <w:rPr>
          <w:rFonts w:asciiTheme="minorHAnsi" w:eastAsia="Segoe UI" w:hAnsiTheme="minorHAnsi" w:cs="Segoe UI"/>
          <w:color w:val="242424"/>
          <w:lang w:val="en-US"/>
        </w:rPr>
        <w:t xml:space="preserve"> (accessed on 1 June 2026). </w:t>
      </w:r>
    </w:p>
  </w:footnote>
  <w:footnote w:id="91">
    <w:p w14:paraId="6E8C105D" w14:textId="4558AFFC" w:rsidR="008C32C5" w:rsidRPr="00213B3D"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of the Interior, “Legislative amendments preventing evasion of entry rules to come into effect starting 1 September”, 4 July 2024, </w:t>
      </w:r>
      <w:hyperlink r:id="rId95" w:history="1">
        <w:r w:rsidRPr="00242DCE">
          <w:rPr>
            <w:rStyle w:val="Hyperlink"/>
            <w:rFonts w:asciiTheme="minorHAnsi" w:hAnsiTheme="minorHAnsi"/>
            <w:lang w:val="en-US"/>
          </w:rPr>
          <w:t>https://intermin.fi/-/maahantulosaannosten-kiertamista-estavat-lakimuutokset-voimaan-1.9?languageId=en_US</w:t>
        </w:r>
      </w:hyperlink>
      <w:r w:rsidRPr="00242DCE">
        <w:rPr>
          <w:rFonts w:asciiTheme="minorHAnsi" w:hAnsiTheme="minorHAnsi"/>
          <w:lang w:val="en-US"/>
        </w:rPr>
        <w:t xml:space="preserve">. Approved legislation: “Laki </w:t>
      </w:r>
      <w:proofErr w:type="spellStart"/>
      <w:r w:rsidRPr="00242DCE">
        <w:rPr>
          <w:rFonts w:asciiTheme="minorHAnsi" w:hAnsiTheme="minorHAnsi"/>
          <w:lang w:val="en-US"/>
        </w:rPr>
        <w:t>ulkomaalaislain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255/2025” [“Act amending the Aliens Act 255/2025”], </w:t>
      </w:r>
      <w:hyperlink r:id="rId96" w:history="1">
        <w:r w:rsidRPr="00213B3D">
          <w:rPr>
            <w:rStyle w:val="Hyperlink"/>
            <w:rFonts w:asciiTheme="minorHAnsi" w:hAnsiTheme="minorHAnsi"/>
            <w:lang w:val="en-US"/>
          </w:rPr>
          <w:t>https://www.finlex.fi/fi/lainsaadanto/saadoskokoelma/2025/255 (in Finnish)</w:t>
        </w:r>
      </w:hyperlink>
      <w:r w:rsidRPr="00213B3D">
        <w:rPr>
          <w:rFonts w:asciiTheme="minorHAnsi" w:hAnsiTheme="minorHAnsi"/>
          <w:lang w:val="en-US"/>
        </w:rPr>
        <w:t xml:space="preserve">;  “Laki </w:t>
      </w:r>
      <w:proofErr w:type="spellStart"/>
      <w:r w:rsidRPr="00213B3D">
        <w:rPr>
          <w:rFonts w:asciiTheme="minorHAnsi" w:hAnsiTheme="minorHAnsi"/>
          <w:lang w:val="en-US"/>
        </w:rPr>
        <w:t>kolmansien</w:t>
      </w:r>
      <w:proofErr w:type="spellEnd"/>
      <w:r w:rsidRPr="00213B3D">
        <w:rPr>
          <w:rFonts w:asciiTheme="minorHAnsi" w:hAnsiTheme="minorHAnsi"/>
          <w:lang w:val="en-US"/>
        </w:rPr>
        <w:t xml:space="preserve"> maiden </w:t>
      </w:r>
      <w:proofErr w:type="spellStart"/>
      <w:r w:rsidRPr="00213B3D">
        <w:rPr>
          <w:rFonts w:asciiTheme="minorHAnsi" w:hAnsiTheme="minorHAnsi"/>
          <w:lang w:val="en-US"/>
        </w:rPr>
        <w:t>kansalaisten</w:t>
      </w:r>
      <w:proofErr w:type="spellEnd"/>
      <w:r w:rsidRPr="00213B3D">
        <w:rPr>
          <w:rFonts w:asciiTheme="minorHAnsi" w:hAnsiTheme="minorHAnsi"/>
          <w:lang w:val="en-US"/>
        </w:rPr>
        <w:t xml:space="preserve"> </w:t>
      </w:r>
      <w:proofErr w:type="spellStart"/>
      <w:r w:rsidRPr="00213B3D">
        <w:rPr>
          <w:rFonts w:asciiTheme="minorHAnsi" w:hAnsiTheme="minorHAnsi"/>
          <w:lang w:val="en-US"/>
        </w:rPr>
        <w:t>maahantulon</w:t>
      </w:r>
      <w:proofErr w:type="spellEnd"/>
      <w:r w:rsidRPr="00213B3D">
        <w:rPr>
          <w:rFonts w:asciiTheme="minorHAnsi" w:hAnsiTheme="minorHAnsi"/>
          <w:lang w:val="en-US"/>
        </w:rPr>
        <w:t xml:space="preserve"> ja </w:t>
      </w:r>
      <w:proofErr w:type="spellStart"/>
      <w:r w:rsidRPr="00213B3D">
        <w:rPr>
          <w:rFonts w:asciiTheme="minorHAnsi" w:hAnsiTheme="minorHAnsi"/>
          <w:lang w:val="en-US"/>
        </w:rPr>
        <w:t>oleskelun</w:t>
      </w:r>
      <w:proofErr w:type="spellEnd"/>
      <w:r w:rsidRPr="00213B3D">
        <w:rPr>
          <w:rFonts w:asciiTheme="minorHAnsi" w:hAnsiTheme="minorHAnsi"/>
          <w:lang w:val="en-US"/>
        </w:rPr>
        <w:t xml:space="preserve"> </w:t>
      </w:r>
      <w:proofErr w:type="spellStart"/>
      <w:r w:rsidRPr="00213B3D">
        <w:rPr>
          <w:rFonts w:asciiTheme="minorHAnsi" w:hAnsiTheme="minorHAnsi"/>
          <w:lang w:val="en-US"/>
        </w:rPr>
        <w:t>edellytyksistä</w:t>
      </w:r>
      <w:proofErr w:type="spellEnd"/>
      <w:r w:rsidRPr="00213B3D">
        <w:rPr>
          <w:rFonts w:asciiTheme="minorHAnsi" w:hAnsiTheme="minorHAnsi"/>
          <w:lang w:val="en-US"/>
        </w:rPr>
        <w:t xml:space="preserve"> </w:t>
      </w:r>
      <w:proofErr w:type="spellStart"/>
      <w:r w:rsidRPr="00213B3D">
        <w:rPr>
          <w:rFonts w:asciiTheme="minorHAnsi" w:hAnsiTheme="minorHAnsi"/>
          <w:lang w:val="en-US"/>
        </w:rPr>
        <w:t>tutkimuksen</w:t>
      </w:r>
      <w:proofErr w:type="spellEnd"/>
      <w:r w:rsidRPr="00213B3D">
        <w:rPr>
          <w:rFonts w:asciiTheme="minorHAnsi" w:hAnsiTheme="minorHAnsi"/>
          <w:lang w:val="en-US"/>
        </w:rPr>
        <w:t xml:space="preserve">, </w:t>
      </w:r>
      <w:proofErr w:type="spellStart"/>
      <w:r w:rsidRPr="00213B3D">
        <w:rPr>
          <w:rFonts w:asciiTheme="minorHAnsi" w:hAnsiTheme="minorHAnsi"/>
          <w:lang w:val="en-US"/>
        </w:rPr>
        <w:t>opiskelun</w:t>
      </w:r>
      <w:proofErr w:type="spellEnd"/>
      <w:r w:rsidRPr="00213B3D">
        <w:rPr>
          <w:rFonts w:asciiTheme="minorHAnsi" w:hAnsiTheme="minorHAnsi"/>
          <w:lang w:val="en-US"/>
        </w:rPr>
        <w:t xml:space="preserve">, </w:t>
      </w:r>
      <w:proofErr w:type="spellStart"/>
      <w:r w:rsidRPr="00213B3D">
        <w:rPr>
          <w:rFonts w:asciiTheme="minorHAnsi" w:hAnsiTheme="minorHAnsi"/>
          <w:lang w:val="en-US"/>
        </w:rPr>
        <w:t>työharjoittelun</w:t>
      </w:r>
      <w:proofErr w:type="spellEnd"/>
      <w:r w:rsidRPr="00213B3D">
        <w:rPr>
          <w:rFonts w:asciiTheme="minorHAnsi" w:hAnsiTheme="minorHAnsi"/>
          <w:lang w:val="en-US"/>
        </w:rPr>
        <w:t xml:space="preserve"> ja </w:t>
      </w:r>
      <w:proofErr w:type="spellStart"/>
      <w:r w:rsidRPr="00213B3D">
        <w:rPr>
          <w:rFonts w:asciiTheme="minorHAnsi" w:hAnsiTheme="minorHAnsi"/>
          <w:lang w:val="en-US"/>
        </w:rPr>
        <w:t>vapaaehtoistoiminnan</w:t>
      </w:r>
      <w:proofErr w:type="spellEnd"/>
      <w:r w:rsidRPr="00213B3D">
        <w:rPr>
          <w:rFonts w:asciiTheme="minorHAnsi" w:hAnsiTheme="minorHAnsi"/>
          <w:lang w:val="en-US"/>
        </w:rPr>
        <w:t xml:space="preserve"> </w:t>
      </w:r>
      <w:proofErr w:type="spellStart"/>
      <w:r w:rsidRPr="00213B3D">
        <w:rPr>
          <w:rFonts w:asciiTheme="minorHAnsi" w:hAnsiTheme="minorHAnsi"/>
          <w:lang w:val="en-US"/>
        </w:rPr>
        <w:t>perusteella</w:t>
      </w:r>
      <w:proofErr w:type="spellEnd"/>
      <w:r w:rsidRPr="00213B3D">
        <w:rPr>
          <w:rFonts w:asciiTheme="minorHAnsi" w:hAnsiTheme="minorHAnsi"/>
          <w:lang w:val="en-US"/>
        </w:rPr>
        <w:t xml:space="preserve"> </w:t>
      </w:r>
      <w:proofErr w:type="spellStart"/>
      <w:r w:rsidRPr="00213B3D">
        <w:rPr>
          <w:rFonts w:asciiTheme="minorHAnsi" w:hAnsiTheme="minorHAnsi"/>
          <w:lang w:val="en-US"/>
        </w:rPr>
        <w:t>annetun</w:t>
      </w:r>
      <w:proofErr w:type="spellEnd"/>
      <w:r w:rsidRPr="00213B3D">
        <w:rPr>
          <w:rFonts w:asciiTheme="minorHAnsi" w:hAnsiTheme="minorHAnsi"/>
          <w:lang w:val="en-US"/>
        </w:rPr>
        <w:t xml:space="preserve"> lain 2 §:n </w:t>
      </w:r>
      <w:proofErr w:type="spellStart"/>
      <w:r w:rsidRPr="00213B3D">
        <w:rPr>
          <w:rFonts w:asciiTheme="minorHAnsi" w:hAnsiTheme="minorHAnsi"/>
          <w:lang w:val="en-US"/>
        </w:rPr>
        <w:t>muuttamisesta</w:t>
      </w:r>
      <w:proofErr w:type="spellEnd"/>
      <w:r w:rsidRPr="00213B3D">
        <w:rPr>
          <w:rFonts w:asciiTheme="minorHAnsi" w:hAnsiTheme="minorHAnsi"/>
          <w:lang w:val="en-US"/>
        </w:rPr>
        <w:t xml:space="preserve"> 473/2024” [“Act amending section 2 of the Act on the Conditions of Entry and Residence of Third-Country Nationals on the Basis of Research, Studies, Internship and Voluntary Activities 473/2024”], </w:t>
      </w:r>
      <w:hyperlink r:id="rId97" w:history="1">
        <w:r w:rsidRPr="00213B3D">
          <w:rPr>
            <w:rStyle w:val="Hyperlink"/>
            <w:rFonts w:asciiTheme="minorHAnsi" w:hAnsiTheme="minorHAnsi"/>
            <w:lang w:val="en-US"/>
          </w:rPr>
          <w:t>https://www.finlex.fi/fi/lainsaadanto/saadoskokoelma/2024/473 (in Finnish)</w:t>
        </w:r>
      </w:hyperlink>
      <w:r w:rsidRPr="00213B3D">
        <w:rPr>
          <w:rFonts w:asciiTheme="minorHAnsi" w:hAnsiTheme="minorHAnsi"/>
          <w:lang w:val="en-US"/>
        </w:rPr>
        <w:t xml:space="preserve">. </w:t>
      </w:r>
    </w:p>
  </w:footnote>
  <w:footnote w:id="92">
    <w:p w14:paraId="54FBBB1E" w14:textId="77777777" w:rsidR="00BA5E82" w:rsidRPr="007B3AAA" w:rsidRDefault="00BA5E82" w:rsidP="00BA5E82">
      <w:pPr>
        <w:pStyle w:val="FootnoteText"/>
      </w:pPr>
      <w:r w:rsidRPr="00213B3D">
        <w:rPr>
          <w:rStyle w:val="FootnoteReference"/>
        </w:rPr>
        <w:footnoteRef/>
      </w:r>
      <w:r w:rsidRPr="00213B3D">
        <w:t xml:space="preserve"> </w:t>
      </w:r>
      <w:r w:rsidRPr="00213B3D">
        <w:rPr>
          <w:rFonts w:asciiTheme="minorHAnsi" w:hAnsiTheme="minorHAnsi"/>
          <w:lang w:val="en-US"/>
        </w:rPr>
        <w:t>Ministry of the Interior, “Legislative amendments improving efficiency of asylum system to enter into force on 1 June”, 22 May 2025,</w:t>
      </w:r>
      <w:r w:rsidRPr="00213B3D">
        <w:rPr>
          <w:rFonts w:asciiTheme="minorHAnsi" w:hAnsiTheme="minorHAnsi"/>
          <w:b/>
          <w:bCs/>
          <w:lang w:val="en-US"/>
        </w:rPr>
        <w:t xml:space="preserve"> </w:t>
      </w:r>
      <w:hyperlink r:id="rId98" w:history="1">
        <w:r w:rsidRPr="00213B3D">
          <w:rPr>
            <w:rStyle w:val="Hyperlink"/>
            <w:rFonts w:asciiTheme="minorHAnsi" w:hAnsiTheme="minorHAnsi"/>
            <w:lang w:val="en-US"/>
          </w:rPr>
          <w:t>https://intermin.fi/en/-/legislative-amendments-improving-efficiency-of-asylum-system-to-enter-into-force-on-1-june</w:t>
        </w:r>
      </w:hyperlink>
      <w:r w:rsidRPr="00213B3D">
        <w:rPr>
          <w:rFonts w:asciiTheme="minorHAnsi" w:hAnsiTheme="minorHAnsi"/>
          <w:lang w:val="en-US"/>
        </w:rPr>
        <w:t xml:space="preserve">.  Approved legislation: “Laki </w:t>
      </w:r>
      <w:proofErr w:type="spellStart"/>
      <w:r w:rsidRPr="00213B3D">
        <w:rPr>
          <w:rFonts w:asciiTheme="minorHAnsi" w:hAnsiTheme="minorHAnsi"/>
          <w:lang w:val="en-US"/>
        </w:rPr>
        <w:t>ulkomaalaislain</w:t>
      </w:r>
      <w:proofErr w:type="spellEnd"/>
      <w:r w:rsidRPr="00213B3D">
        <w:rPr>
          <w:rFonts w:asciiTheme="minorHAnsi" w:hAnsiTheme="minorHAnsi"/>
          <w:lang w:val="en-US"/>
        </w:rPr>
        <w:t xml:space="preserve"> </w:t>
      </w:r>
      <w:proofErr w:type="spellStart"/>
      <w:r w:rsidRPr="00213B3D">
        <w:rPr>
          <w:rFonts w:asciiTheme="minorHAnsi" w:hAnsiTheme="minorHAnsi"/>
          <w:lang w:val="en-US"/>
        </w:rPr>
        <w:t>muuttamisesta</w:t>
      </w:r>
      <w:proofErr w:type="spellEnd"/>
      <w:r w:rsidRPr="00213B3D">
        <w:rPr>
          <w:rFonts w:asciiTheme="minorHAnsi" w:hAnsiTheme="minorHAnsi"/>
          <w:lang w:val="en-US"/>
        </w:rPr>
        <w:t xml:space="preserve"> 247/2025” [“Act amending the Aliens Act 247/2025”], </w:t>
      </w:r>
      <w:hyperlink r:id="rId99" w:history="1">
        <w:r w:rsidRPr="00213B3D">
          <w:rPr>
            <w:rStyle w:val="Hyperlink"/>
            <w:rFonts w:asciiTheme="minorHAnsi" w:hAnsiTheme="minorHAnsi"/>
            <w:lang w:val="en-US"/>
          </w:rPr>
          <w:t>https://www.finlex.fi/fi/lainsaadanto/saadoskokoelma/2025/247 (in Finnish)</w:t>
        </w:r>
      </w:hyperlink>
      <w:r w:rsidRPr="00213B3D">
        <w:rPr>
          <w:rFonts w:asciiTheme="minorHAnsi" w:hAnsiTheme="minorHAnsi"/>
          <w:lang w:val="en-US"/>
        </w:rPr>
        <w:t>.</w:t>
      </w:r>
    </w:p>
  </w:footnote>
  <w:footnote w:id="93">
    <w:p w14:paraId="631F5F67" w14:textId="2E46BEDE"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00CD0F04">
        <w:rPr>
          <w:rFonts w:asciiTheme="minorHAnsi" w:hAnsiTheme="minorHAnsi"/>
          <w:lang w:val="en-US"/>
        </w:rPr>
        <w:t xml:space="preserve"> </w:t>
      </w:r>
      <w:r w:rsidRPr="00242DCE">
        <w:rPr>
          <w:rFonts w:asciiTheme="minorHAnsi" w:hAnsiTheme="minorHAnsi"/>
          <w:lang w:val="en-US"/>
        </w:rPr>
        <w:t xml:space="preserve">Ministry of the Interior, “Government proposes faster enforcement of deportation decisions and introduction of entry ban to be imposed in advance”, 16 April 2026, </w:t>
      </w:r>
      <w:hyperlink r:id="rId100" w:history="1">
        <w:r w:rsidRPr="00242DCE">
          <w:rPr>
            <w:rStyle w:val="Hyperlink"/>
            <w:rFonts w:asciiTheme="minorHAnsi" w:hAnsiTheme="minorHAnsi"/>
            <w:lang w:val="en-US"/>
          </w:rPr>
          <w:t>https://intermin.fi/-/hallitus-esittaa-karkottamispaatosten-taytantoonpanon-nopeuttamista-ja-ennakollista-maahantulokieltoa?languageId=en_US</w:t>
        </w:r>
      </w:hyperlink>
      <w:r w:rsidRPr="00242DCE">
        <w:rPr>
          <w:rFonts w:asciiTheme="minorHAnsi" w:hAnsiTheme="minorHAnsi"/>
          <w:lang w:val="en-US"/>
        </w:rPr>
        <w:t xml:space="preserve">. Appealing an expulsion decision would no longer automatically postpone the enforcement of the decision. The decision could be enforced 30 days after it was notified.  However, the administrative court can, upon application, prohibit or suspend the enforcement until it has processed the appeal. This law change does not apply to enforcement of expulsion decisions made in asylum cases, but it does apply to cases where people have lived in Finland with other type of residence permits.  </w:t>
      </w:r>
    </w:p>
  </w:footnote>
  <w:footnote w:id="94">
    <w:p w14:paraId="459BDFAA"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Government, “</w:t>
      </w:r>
      <w:proofErr w:type="spellStart"/>
      <w:r w:rsidRPr="00242DCE">
        <w:rPr>
          <w:rFonts w:asciiTheme="minorHAnsi" w:hAnsiTheme="minorHAnsi"/>
          <w:lang w:val="en-US"/>
        </w:rPr>
        <w:t>Hallituksen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esitys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eduskunnalle</w:t>
      </w:r>
      <w:proofErr w:type="spellEnd"/>
      <w:r w:rsidRPr="00242DCE">
        <w:rPr>
          <w:rFonts w:asciiTheme="minorHAnsi" w:hAnsiTheme="minorHAnsi"/>
          <w:lang w:val="en-US"/>
        </w:rPr>
        <w:t xml:space="preserve"> </w:t>
      </w:r>
      <w:proofErr w:type="spellStart"/>
      <w:proofErr w:type="gramStart"/>
      <w:r w:rsidRPr="00242DCE">
        <w:rPr>
          <w:rFonts w:asciiTheme="minorHAnsi" w:hAnsiTheme="minorHAnsi"/>
          <w:lang w:val="en-US"/>
        </w:rPr>
        <w:t>EU:n</w:t>
      </w:r>
      <w:proofErr w:type="spellEnd"/>
      <w:proofErr w:type="gramEnd"/>
      <w:r w:rsidRPr="00242DCE">
        <w:rPr>
          <w:rFonts w:asciiTheme="minorHAnsi" w:hAnsiTheme="minorHAnsi"/>
          <w:lang w:val="en-US"/>
        </w:rPr>
        <w:t xml:space="preserve"> </w:t>
      </w:r>
      <w:proofErr w:type="spellStart"/>
      <w:r w:rsidRPr="00242DCE">
        <w:rPr>
          <w:rFonts w:asciiTheme="minorHAnsi" w:hAnsiTheme="minorHAnsi"/>
          <w:lang w:val="en-US"/>
        </w:rPr>
        <w:t>muuttoliike</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turvapaikkasopimuksen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muodostavien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säädösten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täytäntöönpanemiseksi</w:t>
      </w:r>
      <w:proofErr w:type="spellEnd"/>
      <w:r w:rsidRPr="00242DCE">
        <w:rPr>
          <w:rFonts w:asciiTheme="minorHAnsi" w:hAnsiTheme="minorHAnsi"/>
          <w:lang w:val="en-US"/>
        </w:rPr>
        <w:t xml:space="preserve"> HE 52/2026 </w:t>
      </w:r>
      <w:proofErr w:type="spellStart"/>
      <w:r w:rsidRPr="00242DCE">
        <w:rPr>
          <w:rFonts w:asciiTheme="minorHAnsi" w:hAnsiTheme="minorHAnsi"/>
          <w:lang w:val="en-US"/>
        </w:rPr>
        <w:t>vp</w:t>
      </w:r>
      <w:proofErr w:type="spellEnd"/>
      <w:r w:rsidRPr="00242DCE">
        <w:rPr>
          <w:rFonts w:asciiTheme="minorHAnsi" w:hAnsiTheme="minorHAnsi"/>
          <w:lang w:val="en-US"/>
        </w:rPr>
        <w:t>”</w:t>
      </w:r>
      <w:r w:rsidRPr="00242DCE">
        <w:rPr>
          <w:rFonts w:asciiTheme="minorHAnsi" w:hAnsiTheme="minorHAnsi"/>
          <w:b/>
          <w:bCs/>
          <w:lang w:val="en-US"/>
        </w:rPr>
        <w:t xml:space="preserve"> </w:t>
      </w:r>
      <w:r w:rsidRPr="00242DCE">
        <w:rPr>
          <w:rFonts w:asciiTheme="minorHAnsi" w:hAnsiTheme="minorHAnsi"/>
          <w:lang w:val="en-US"/>
        </w:rPr>
        <w:t xml:space="preserve">[“The Government proposal on the national implementation of the EU pact on migration and asylum HE 52/2026 </w:t>
      </w:r>
      <w:proofErr w:type="spellStart"/>
      <w:r w:rsidRPr="00242DCE">
        <w:rPr>
          <w:rFonts w:asciiTheme="minorHAnsi" w:hAnsiTheme="minorHAnsi"/>
          <w:lang w:val="en-US"/>
        </w:rPr>
        <w:t>vp</w:t>
      </w:r>
      <w:proofErr w:type="spellEnd"/>
      <w:r w:rsidRPr="00242DCE">
        <w:rPr>
          <w:rFonts w:asciiTheme="minorHAnsi" w:hAnsiTheme="minorHAnsi"/>
          <w:lang w:val="en-US"/>
        </w:rPr>
        <w:t xml:space="preserve">”], 2026, </w:t>
      </w:r>
      <w:hyperlink r:id="rId101" w:history="1">
        <w:r w:rsidRPr="00242DCE">
          <w:rPr>
            <w:rStyle w:val="Hyperlink"/>
            <w:rFonts w:asciiTheme="minorHAnsi" w:hAnsiTheme="minorHAnsi"/>
            <w:lang w:val="en-US"/>
          </w:rPr>
          <w:t>https://www.eduskunta.fi/en/matters-and-voting/matters/HE%2052%2F2026%20vp (in Finnish)</w:t>
        </w:r>
      </w:hyperlink>
      <w:r w:rsidRPr="00242DCE">
        <w:rPr>
          <w:rFonts w:asciiTheme="minorHAnsi" w:hAnsiTheme="minorHAnsi"/>
          <w:lang w:val="en-US"/>
        </w:rPr>
        <w:t xml:space="preserve">. The list of approved legislation can be found on the same web page. </w:t>
      </w:r>
    </w:p>
  </w:footnote>
  <w:footnote w:id="95">
    <w:p w14:paraId="07E05028" w14:textId="77777777" w:rsidR="005536F0" w:rsidRPr="00242DCE" w:rsidRDefault="005536F0" w:rsidP="00242DCE">
      <w:pPr>
        <w:rPr>
          <w:rFonts w:asciiTheme="minorHAnsi" w:hAnsiTheme="minorHAnsi"/>
          <w:sz w:val="16"/>
          <w:szCs w:val="16"/>
          <w:lang w:val="en-US"/>
        </w:rPr>
      </w:pPr>
      <w:r w:rsidRPr="00242DCE">
        <w:rPr>
          <w:rStyle w:val="FootnoteReference"/>
          <w:rFonts w:asciiTheme="minorHAnsi" w:hAnsiTheme="minorHAnsi"/>
          <w:sz w:val="16"/>
          <w:szCs w:val="16"/>
        </w:rPr>
        <w:footnoteRef/>
      </w:r>
      <w:r w:rsidRPr="00242DCE">
        <w:rPr>
          <w:rFonts w:asciiTheme="minorHAnsi" w:hAnsiTheme="minorHAnsi"/>
          <w:sz w:val="16"/>
          <w:szCs w:val="16"/>
          <w:lang w:val="en-US"/>
        </w:rPr>
        <w:t xml:space="preserve"> See section 5.2.4.6 in the proposal HE 52/2026 </w:t>
      </w:r>
      <w:proofErr w:type="spellStart"/>
      <w:r w:rsidRPr="00242DCE">
        <w:rPr>
          <w:rFonts w:asciiTheme="minorHAnsi" w:hAnsiTheme="minorHAnsi"/>
          <w:sz w:val="16"/>
          <w:szCs w:val="16"/>
          <w:lang w:val="en-US"/>
        </w:rPr>
        <w:t>vp</w:t>
      </w:r>
      <w:proofErr w:type="spellEnd"/>
      <w:r w:rsidRPr="00242DCE">
        <w:rPr>
          <w:rFonts w:asciiTheme="minorHAnsi" w:hAnsiTheme="minorHAnsi"/>
          <w:sz w:val="16"/>
          <w:szCs w:val="16"/>
          <w:lang w:val="en-US"/>
        </w:rPr>
        <w:t>: Finnish Government</w:t>
      </w:r>
      <w:proofErr w:type="gramStart"/>
      <w:r w:rsidRPr="00242DCE">
        <w:rPr>
          <w:rFonts w:asciiTheme="minorHAnsi" w:hAnsiTheme="minorHAnsi"/>
          <w:sz w:val="16"/>
          <w:szCs w:val="16"/>
          <w:lang w:val="en-US"/>
        </w:rPr>
        <w:t>, ”</w:t>
      </w:r>
      <w:proofErr w:type="spellStart"/>
      <w:r w:rsidRPr="00242DCE">
        <w:rPr>
          <w:rFonts w:asciiTheme="minorHAnsi" w:hAnsiTheme="minorHAnsi"/>
          <w:sz w:val="16"/>
          <w:szCs w:val="16"/>
          <w:lang w:val="en-US"/>
        </w:rPr>
        <w:t>Hallituksen</w:t>
      </w:r>
      <w:proofErr w:type="spellEnd"/>
      <w:proofErr w:type="gramEnd"/>
      <w:r w:rsidRPr="00242DCE">
        <w:rPr>
          <w:rFonts w:asciiTheme="minorHAnsi" w:hAnsiTheme="minorHAnsi"/>
          <w:sz w:val="16"/>
          <w:szCs w:val="16"/>
          <w:lang w:val="en-US"/>
        </w:rPr>
        <w:t xml:space="preserve"> </w:t>
      </w:r>
      <w:proofErr w:type="spellStart"/>
      <w:r w:rsidRPr="00242DCE">
        <w:rPr>
          <w:rFonts w:asciiTheme="minorHAnsi" w:hAnsiTheme="minorHAnsi"/>
          <w:sz w:val="16"/>
          <w:szCs w:val="16"/>
          <w:lang w:val="en-US"/>
        </w:rPr>
        <w:t>esitys</w:t>
      </w:r>
      <w:proofErr w:type="spellEnd"/>
      <w:r w:rsidRPr="00242DCE">
        <w:rPr>
          <w:rFonts w:asciiTheme="minorHAnsi" w:hAnsiTheme="minorHAnsi"/>
          <w:sz w:val="16"/>
          <w:szCs w:val="16"/>
          <w:lang w:val="en-US"/>
        </w:rPr>
        <w:t xml:space="preserve"> </w:t>
      </w:r>
      <w:proofErr w:type="spellStart"/>
      <w:r w:rsidRPr="00242DCE">
        <w:rPr>
          <w:rFonts w:asciiTheme="minorHAnsi" w:hAnsiTheme="minorHAnsi"/>
          <w:sz w:val="16"/>
          <w:szCs w:val="16"/>
          <w:lang w:val="en-US"/>
        </w:rPr>
        <w:t>eduskunnalle</w:t>
      </w:r>
      <w:proofErr w:type="spellEnd"/>
      <w:r w:rsidRPr="00242DCE">
        <w:rPr>
          <w:rFonts w:asciiTheme="minorHAnsi" w:hAnsiTheme="minorHAnsi"/>
          <w:sz w:val="16"/>
          <w:szCs w:val="16"/>
          <w:lang w:val="en-US"/>
        </w:rPr>
        <w:t xml:space="preserve"> </w:t>
      </w:r>
      <w:proofErr w:type="spellStart"/>
      <w:proofErr w:type="gramStart"/>
      <w:r w:rsidRPr="00242DCE">
        <w:rPr>
          <w:rFonts w:asciiTheme="minorHAnsi" w:hAnsiTheme="minorHAnsi"/>
          <w:sz w:val="16"/>
          <w:szCs w:val="16"/>
          <w:lang w:val="en-US"/>
        </w:rPr>
        <w:t>EU:n</w:t>
      </w:r>
      <w:proofErr w:type="spellEnd"/>
      <w:proofErr w:type="gramEnd"/>
      <w:r w:rsidRPr="00242DCE">
        <w:rPr>
          <w:rFonts w:asciiTheme="minorHAnsi" w:hAnsiTheme="minorHAnsi"/>
          <w:sz w:val="16"/>
          <w:szCs w:val="16"/>
          <w:lang w:val="en-US"/>
        </w:rPr>
        <w:t xml:space="preserve"> </w:t>
      </w:r>
      <w:proofErr w:type="spellStart"/>
      <w:r w:rsidRPr="00242DCE">
        <w:rPr>
          <w:rFonts w:asciiTheme="minorHAnsi" w:hAnsiTheme="minorHAnsi"/>
          <w:sz w:val="16"/>
          <w:szCs w:val="16"/>
          <w:lang w:val="en-US"/>
        </w:rPr>
        <w:t>muuttoliike</w:t>
      </w:r>
      <w:proofErr w:type="spellEnd"/>
      <w:r w:rsidRPr="00242DCE">
        <w:rPr>
          <w:rFonts w:asciiTheme="minorHAnsi" w:hAnsiTheme="minorHAnsi"/>
          <w:sz w:val="16"/>
          <w:szCs w:val="16"/>
          <w:lang w:val="en-US"/>
        </w:rPr>
        <w:t xml:space="preserve">- ja </w:t>
      </w:r>
      <w:proofErr w:type="spellStart"/>
      <w:r w:rsidRPr="00242DCE">
        <w:rPr>
          <w:rFonts w:asciiTheme="minorHAnsi" w:hAnsiTheme="minorHAnsi"/>
          <w:sz w:val="16"/>
          <w:szCs w:val="16"/>
          <w:lang w:val="en-US"/>
        </w:rPr>
        <w:t>turvapaikkasopimuksen</w:t>
      </w:r>
      <w:proofErr w:type="spellEnd"/>
      <w:r w:rsidRPr="00242DCE">
        <w:rPr>
          <w:rFonts w:asciiTheme="minorHAnsi" w:hAnsiTheme="minorHAnsi"/>
          <w:sz w:val="16"/>
          <w:szCs w:val="16"/>
          <w:lang w:val="en-US"/>
        </w:rPr>
        <w:t xml:space="preserve"> </w:t>
      </w:r>
      <w:proofErr w:type="spellStart"/>
      <w:r w:rsidRPr="00242DCE">
        <w:rPr>
          <w:rFonts w:asciiTheme="minorHAnsi" w:hAnsiTheme="minorHAnsi"/>
          <w:sz w:val="16"/>
          <w:szCs w:val="16"/>
          <w:lang w:val="en-US"/>
        </w:rPr>
        <w:t>muodostavien</w:t>
      </w:r>
      <w:proofErr w:type="spellEnd"/>
      <w:r w:rsidRPr="00242DCE">
        <w:rPr>
          <w:rFonts w:asciiTheme="minorHAnsi" w:hAnsiTheme="minorHAnsi"/>
          <w:sz w:val="16"/>
          <w:szCs w:val="16"/>
          <w:lang w:val="en-US"/>
        </w:rPr>
        <w:t xml:space="preserve"> </w:t>
      </w:r>
      <w:proofErr w:type="spellStart"/>
      <w:r w:rsidRPr="00242DCE">
        <w:rPr>
          <w:rFonts w:asciiTheme="minorHAnsi" w:hAnsiTheme="minorHAnsi"/>
          <w:sz w:val="16"/>
          <w:szCs w:val="16"/>
          <w:lang w:val="en-US"/>
        </w:rPr>
        <w:t>säädösten</w:t>
      </w:r>
      <w:proofErr w:type="spellEnd"/>
      <w:r w:rsidRPr="00242DCE">
        <w:rPr>
          <w:rFonts w:asciiTheme="minorHAnsi" w:hAnsiTheme="minorHAnsi"/>
          <w:sz w:val="16"/>
          <w:szCs w:val="16"/>
          <w:lang w:val="en-US"/>
        </w:rPr>
        <w:t xml:space="preserve"> </w:t>
      </w:r>
      <w:proofErr w:type="spellStart"/>
      <w:r w:rsidRPr="00242DCE">
        <w:rPr>
          <w:rFonts w:asciiTheme="minorHAnsi" w:hAnsiTheme="minorHAnsi"/>
          <w:sz w:val="16"/>
          <w:szCs w:val="16"/>
          <w:lang w:val="en-US"/>
        </w:rPr>
        <w:t>täytäntöönpanemiseksi</w:t>
      </w:r>
      <w:proofErr w:type="spellEnd"/>
      <w:r w:rsidRPr="00242DCE">
        <w:rPr>
          <w:rFonts w:asciiTheme="minorHAnsi" w:hAnsiTheme="minorHAnsi"/>
          <w:sz w:val="16"/>
          <w:szCs w:val="16"/>
          <w:lang w:val="en-US"/>
        </w:rPr>
        <w:t xml:space="preserve">” [“Government proposal to Parliament for the implementation of the provisions constituting the EU Pact on Migration and Asylum”], </w:t>
      </w:r>
      <w:hyperlink r:id="rId102" w:history="1">
        <w:r w:rsidRPr="00242DCE">
          <w:rPr>
            <w:rStyle w:val="Hyperlink"/>
            <w:rFonts w:asciiTheme="minorHAnsi" w:hAnsiTheme="minorHAnsi"/>
            <w:sz w:val="16"/>
            <w:szCs w:val="16"/>
            <w:lang w:val="en-US"/>
          </w:rPr>
          <w:t>https://www.finlex.fi/fi/hallituksen-esitykset/2026/52 (in Finnish)</w:t>
        </w:r>
      </w:hyperlink>
      <w:r w:rsidRPr="00242DCE">
        <w:rPr>
          <w:rFonts w:asciiTheme="minorHAnsi" w:hAnsiTheme="minorHAnsi"/>
          <w:sz w:val="16"/>
          <w:szCs w:val="16"/>
          <w:lang w:val="en-US"/>
        </w:rPr>
        <w:t xml:space="preserve"> </w:t>
      </w:r>
    </w:p>
  </w:footnote>
  <w:footnote w:id="96">
    <w:p w14:paraId="436FC860"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of the Interior, “Government proposal implementing EU Pact on Migration and Asylum submitted to Parliament”, 16 April 2026, </w:t>
      </w:r>
      <w:hyperlink r:id="rId103" w:history="1">
        <w:r w:rsidRPr="00242DCE">
          <w:rPr>
            <w:rStyle w:val="Hyperlink"/>
            <w:rFonts w:asciiTheme="minorHAnsi" w:hAnsiTheme="minorHAnsi"/>
            <w:lang w:val="en-US"/>
          </w:rPr>
          <w:t>https://valtioneuvosto.fi/-/1410869/eu-n-muuttoliike-ja-turvapaikkasopimusta-koskeva-hallituksen-esitys-eduskuntaan?languageId=en_US</w:t>
        </w:r>
      </w:hyperlink>
      <w:r w:rsidRPr="00242DCE">
        <w:rPr>
          <w:rFonts w:asciiTheme="minorHAnsi" w:hAnsiTheme="minorHAnsi"/>
          <w:lang w:val="en-US"/>
        </w:rPr>
        <w:t xml:space="preserve">. </w:t>
      </w:r>
    </w:p>
  </w:footnote>
  <w:footnote w:id="97">
    <w:p w14:paraId="3266ED68" w14:textId="77777777" w:rsidR="005536F0" w:rsidRPr="00242DCE" w:rsidRDefault="005536F0" w:rsidP="00242DCE">
      <w:pPr>
        <w:pStyle w:val="FootnoteText"/>
        <w:spacing w:after="0"/>
        <w:rPr>
          <w:rFonts w:asciiTheme="minorHAnsi" w:hAnsiTheme="minorHAnsi"/>
          <w:b/>
          <w:bCs/>
          <w:lang w:val="en-US"/>
        </w:rPr>
      </w:pPr>
      <w:r w:rsidRPr="00242DCE">
        <w:rPr>
          <w:rStyle w:val="FootnoteReference"/>
          <w:rFonts w:asciiTheme="minorHAnsi" w:hAnsiTheme="minorHAnsi"/>
        </w:rPr>
        <w:footnoteRef/>
      </w:r>
      <w:r w:rsidRPr="00242DCE">
        <w:rPr>
          <w:rFonts w:asciiTheme="minorHAnsi" w:hAnsiTheme="minorHAnsi"/>
          <w:lang w:val="en-US"/>
        </w:rPr>
        <w:t xml:space="preserve"> The income requirement for a family of four (two adults and two children) living in the capital region is </w:t>
      </w:r>
      <w:proofErr w:type="gramStart"/>
      <w:r w:rsidRPr="00242DCE">
        <w:rPr>
          <w:rFonts w:asciiTheme="minorHAnsi" w:hAnsiTheme="minorHAnsi"/>
          <w:lang w:val="en-US"/>
        </w:rPr>
        <w:t>at the moment</w:t>
      </w:r>
      <w:proofErr w:type="gramEnd"/>
      <w:r w:rsidRPr="00242DCE">
        <w:rPr>
          <w:rFonts w:asciiTheme="minorHAnsi" w:hAnsiTheme="minorHAnsi"/>
          <w:lang w:val="en-US"/>
        </w:rPr>
        <w:t xml:space="preserve"> 2.910 euros after taxes per month. See: Finnish Immigration Service, Income requirement for family members of a person who has been granted a residence permit in Finland, </w:t>
      </w:r>
      <w:hyperlink r:id="rId104" w:history="1">
        <w:r w:rsidRPr="00242DCE">
          <w:rPr>
            <w:rStyle w:val="Hyperlink"/>
            <w:rFonts w:asciiTheme="minorHAnsi" w:hAnsiTheme="minorHAnsi"/>
            <w:lang w:val="en-US"/>
          </w:rPr>
          <w:t>https://migri.fi/en/income-requirement-for-family-members-of-a-person-who-has-been-granted-a-residence-permit-in-finland</w:t>
        </w:r>
      </w:hyperlink>
      <w:r w:rsidRPr="00242DCE">
        <w:rPr>
          <w:rFonts w:asciiTheme="minorHAnsi" w:hAnsiTheme="minorHAnsi"/>
          <w:lang w:val="en-US"/>
        </w:rPr>
        <w:t xml:space="preserve"> (accessed on 26 June). The median salary in Finland was 3.520 euros before taxes per month. See: Statistics in Finland, “</w:t>
      </w:r>
      <w:proofErr w:type="spellStart"/>
      <w:r w:rsidRPr="00242DCE">
        <w:rPr>
          <w:rFonts w:asciiTheme="minorHAnsi" w:hAnsiTheme="minorHAnsi"/>
          <w:lang w:val="en-US"/>
        </w:rPr>
        <w:t>Palkka</w:t>
      </w:r>
      <w:proofErr w:type="spellEnd"/>
      <w:r w:rsidRPr="00242DCE">
        <w:rPr>
          <w:rFonts w:asciiTheme="minorHAnsi" w:hAnsiTheme="minorHAnsi"/>
          <w:lang w:val="en-US"/>
        </w:rPr>
        <w:t xml:space="preserve">- ja </w:t>
      </w:r>
      <w:proofErr w:type="spellStart"/>
      <w:r w:rsidRPr="00242DCE">
        <w:rPr>
          <w:rFonts w:asciiTheme="minorHAnsi" w:hAnsiTheme="minorHAnsi"/>
          <w:lang w:val="en-US"/>
        </w:rPr>
        <w:t>palkkiotulojen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mediaani</w:t>
      </w:r>
      <w:proofErr w:type="spellEnd"/>
      <w:r w:rsidRPr="00242DCE">
        <w:rPr>
          <w:rFonts w:asciiTheme="minorHAnsi" w:hAnsiTheme="minorHAnsi"/>
          <w:lang w:val="en-US"/>
        </w:rPr>
        <w:br/>
        <w:t xml:space="preserve">3 520 </w:t>
      </w:r>
      <w:proofErr w:type="spellStart"/>
      <w:r w:rsidRPr="00242DCE">
        <w:rPr>
          <w:rFonts w:asciiTheme="minorHAnsi" w:hAnsiTheme="minorHAnsi"/>
          <w:lang w:val="en-US"/>
        </w:rPr>
        <w:t>euroa</w:t>
      </w:r>
      <w:proofErr w:type="spellEnd"/>
      <w:r w:rsidRPr="00242DCE">
        <w:rPr>
          <w:rFonts w:asciiTheme="minorHAnsi" w:hAnsiTheme="minorHAnsi"/>
          <w:lang w:val="en-US"/>
        </w:rPr>
        <w:t xml:space="preserve"> </w:t>
      </w:r>
      <w:proofErr w:type="spellStart"/>
      <w:r w:rsidRPr="00242DCE">
        <w:rPr>
          <w:rFonts w:asciiTheme="minorHAnsi" w:hAnsiTheme="minorHAnsi"/>
          <w:lang w:val="en-US"/>
        </w:rPr>
        <w:t>huhtikuussa</w:t>
      </w:r>
      <w:proofErr w:type="spellEnd"/>
      <w:r w:rsidRPr="00242DCE">
        <w:rPr>
          <w:rFonts w:asciiTheme="minorHAnsi" w:hAnsiTheme="minorHAnsi"/>
          <w:lang w:val="en-US"/>
        </w:rPr>
        <w:t xml:space="preserve"> 2026” [“Median wage and salary income EUR 3 520 in April 2026”], </w:t>
      </w:r>
      <w:hyperlink r:id="rId105" w:history="1">
        <w:r w:rsidRPr="00242DCE">
          <w:rPr>
            <w:rStyle w:val="Hyperlink"/>
            <w:rFonts w:asciiTheme="minorHAnsi" w:hAnsiTheme="minorHAnsi"/>
            <w:lang w:val="en-US"/>
          </w:rPr>
          <w:t>https://stat.fi/tup/kokeelliset-tilastot/tulorekisterin_palkat_ja_palkkiot/2026-06-08/index.html (in Finnish)</w:t>
        </w:r>
      </w:hyperlink>
      <w:r w:rsidRPr="00242DCE">
        <w:rPr>
          <w:rFonts w:asciiTheme="minorHAnsi" w:hAnsiTheme="minorHAnsi"/>
          <w:lang w:val="en-US"/>
        </w:rPr>
        <w:t xml:space="preserve">. After taxes the median salary would be about 2.600 euros per month which is less than the income requirement for a four-member family. The earned income of people arriving </w:t>
      </w:r>
      <w:proofErr w:type="gramStart"/>
      <w:r w:rsidRPr="00242DCE">
        <w:rPr>
          <w:rFonts w:asciiTheme="minorHAnsi" w:hAnsiTheme="minorHAnsi"/>
          <w:lang w:val="en-US"/>
        </w:rPr>
        <w:t>on the basis of</w:t>
      </w:r>
      <w:proofErr w:type="gramEnd"/>
      <w:r w:rsidRPr="00242DCE">
        <w:rPr>
          <w:rFonts w:asciiTheme="minorHAnsi" w:hAnsiTheme="minorHAnsi"/>
          <w:lang w:val="en-US"/>
        </w:rPr>
        <w:t xml:space="preserve"> international protection is less than half of the income of those arriving with a work permit after ten years of residence. See: Ministry of Economic Affairs and Employment, Report offers new data on labour market performance of people who have moved to Finland for different reasons, 4 March 2024, </w:t>
      </w:r>
      <w:hyperlink r:id="rId106" w:history="1">
        <w:r w:rsidRPr="00242DCE">
          <w:rPr>
            <w:rStyle w:val="Hyperlink"/>
            <w:rFonts w:asciiTheme="minorHAnsi" w:hAnsiTheme="minorHAnsi"/>
            <w:lang w:val="en-US"/>
          </w:rPr>
          <w:t>https://tem.fi/en/-/report-offers-new-data-on-labour-market-performance-of-people-who-have-moved-to-finland-for-different-reasons</w:t>
        </w:r>
      </w:hyperlink>
      <w:r w:rsidRPr="00242DCE">
        <w:rPr>
          <w:rFonts w:asciiTheme="minorHAnsi" w:hAnsiTheme="minorHAnsi"/>
          <w:lang w:val="en-US"/>
        </w:rPr>
        <w:t xml:space="preserve">; Pesola, H., </w:t>
      </w:r>
      <w:proofErr w:type="spellStart"/>
      <w:r w:rsidRPr="00242DCE">
        <w:rPr>
          <w:rFonts w:asciiTheme="minorHAnsi" w:hAnsiTheme="minorHAnsi"/>
          <w:lang w:val="en-US"/>
        </w:rPr>
        <w:t>Sarvimäki</w:t>
      </w:r>
      <w:proofErr w:type="spellEnd"/>
      <w:r w:rsidRPr="00242DCE">
        <w:rPr>
          <w:rFonts w:asciiTheme="minorHAnsi" w:hAnsiTheme="minorHAnsi"/>
          <w:lang w:val="en-US"/>
        </w:rPr>
        <w:t xml:space="preserve">, M. &amp; </w:t>
      </w:r>
      <w:proofErr w:type="spellStart"/>
      <w:r w:rsidRPr="00242DCE">
        <w:rPr>
          <w:rFonts w:asciiTheme="minorHAnsi" w:hAnsiTheme="minorHAnsi"/>
          <w:lang w:val="en-US"/>
        </w:rPr>
        <w:t>Virkola</w:t>
      </w:r>
      <w:proofErr w:type="spellEnd"/>
      <w:r w:rsidRPr="00242DCE">
        <w:rPr>
          <w:rFonts w:asciiTheme="minorHAnsi" w:hAnsiTheme="minorHAnsi"/>
          <w:lang w:val="en-US"/>
        </w:rPr>
        <w:t xml:space="preserve">, T., “Eri </w:t>
      </w:r>
      <w:proofErr w:type="spellStart"/>
      <w:r w:rsidRPr="00242DCE">
        <w:rPr>
          <w:rFonts w:asciiTheme="minorHAnsi" w:hAnsiTheme="minorHAnsi"/>
          <w:lang w:val="en-US"/>
        </w:rPr>
        <w:t>syistä</w:t>
      </w:r>
      <w:proofErr w:type="spellEnd"/>
      <w:r w:rsidRPr="00242DCE">
        <w:rPr>
          <w:rFonts w:asciiTheme="minorHAnsi" w:hAnsiTheme="minorHAnsi"/>
          <w:lang w:val="en-US"/>
        </w:rPr>
        <w:t xml:space="preserve"> </w:t>
      </w:r>
      <w:proofErr w:type="spellStart"/>
      <w:r w:rsidRPr="00242DCE">
        <w:rPr>
          <w:rFonts w:asciiTheme="minorHAnsi" w:hAnsiTheme="minorHAnsi"/>
          <w:lang w:val="en-US"/>
        </w:rPr>
        <w:t>maahan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muuttaneiden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työllistyminen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Suomessa</w:t>
      </w:r>
      <w:proofErr w:type="spellEnd"/>
      <w:r w:rsidRPr="00242DCE">
        <w:rPr>
          <w:rFonts w:asciiTheme="minorHAnsi" w:hAnsiTheme="minorHAnsi"/>
          <w:lang w:val="en-US"/>
        </w:rPr>
        <w:t xml:space="preserve">” [“Employment of People Immigrating to Finland for Different Reasons”], 2024, </w:t>
      </w:r>
      <w:hyperlink r:id="rId107" w:history="1">
        <w:r w:rsidRPr="00242DCE">
          <w:rPr>
            <w:rStyle w:val="Hyperlink"/>
            <w:rFonts w:asciiTheme="minorHAnsi" w:hAnsiTheme="minorHAnsi"/>
            <w:lang w:val="en-US"/>
          </w:rPr>
          <w:t>https://urn.fi/URN:ISBN:978-952-327-870-7 (in Finnish)</w:t>
        </w:r>
      </w:hyperlink>
      <w:r w:rsidRPr="00242DCE">
        <w:rPr>
          <w:rFonts w:asciiTheme="minorHAnsi" w:hAnsiTheme="minorHAnsi"/>
          <w:lang w:val="en-US"/>
        </w:rPr>
        <w:t xml:space="preserve">. </w:t>
      </w:r>
    </w:p>
  </w:footnote>
  <w:footnote w:id="98">
    <w:p w14:paraId="0EEA36E1" w14:textId="1906BD02" w:rsidR="005536F0" w:rsidRPr="00242DCE" w:rsidRDefault="005536F0" w:rsidP="00242DCE">
      <w:pPr>
        <w:pStyle w:val="FootnoteText"/>
        <w:spacing w:after="0"/>
        <w:rPr>
          <w:rFonts w:asciiTheme="minorHAnsi" w:hAnsiTheme="minorHAnsi"/>
          <w:b/>
          <w:bCs/>
          <w:lang w:val="en-US"/>
        </w:rPr>
      </w:pPr>
      <w:r w:rsidRPr="00242DCE">
        <w:rPr>
          <w:rStyle w:val="FootnoteReference"/>
          <w:rFonts w:asciiTheme="minorHAnsi" w:hAnsiTheme="minorHAnsi"/>
        </w:rPr>
        <w:footnoteRef/>
      </w:r>
      <w:r w:rsidRPr="00242DCE">
        <w:rPr>
          <w:rFonts w:asciiTheme="minorHAnsi" w:hAnsiTheme="minorHAnsi"/>
          <w:lang w:val="en-US"/>
        </w:rPr>
        <w:t xml:space="preserve">  This new age-limit requirement applies only to spouses of foreign nationals. If a Finnish national’s spouse applies for family reunification, this requirement is not applicable. Both the applicant and their spouse need to fulfil the minimu</w:t>
      </w:r>
      <w:r w:rsidR="00FD0355">
        <w:rPr>
          <w:rFonts w:asciiTheme="minorHAnsi" w:hAnsiTheme="minorHAnsi"/>
          <w:lang w:val="en-US"/>
        </w:rPr>
        <w:t>m</w:t>
      </w:r>
      <w:r w:rsidRPr="00242DCE">
        <w:rPr>
          <w:rFonts w:asciiTheme="minorHAnsi" w:hAnsiTheme="minorHAnsi"/>
          <w:lang w:val="en-US"/>
        </w:rPr>
        <w:t xml:space="preserve"> age-limit. See: Finnish Government, Legislative amendments and new requirements for family reunification, 16 June 2025, </w:t>
      </w:r>
      <w:hyperlink r:id="rId108" w:history="1">
        <w:r w:rsidRPr="00242DCE">
          <w:rPr>
            <w:rStyle w:val="Hyperlink"/>
            <w:rFonts w:asciiTheme="minorHAnsi" w:hAnsiTheme="minorHAnsi"/>
            <w:lang w:val="en-US"/>
          </w:rPr>
          <w:t>https://valtioneuvosto.fi/-/5202425/perheenyhdistamiseen-muutoksia-ja-uusia-edellytyksia?languageId=en_US</w:t>
        </w:r>
      </w:hyperlink>
      <w:r w:rsidRPr="00242DCE">
        <w:rPr>
          <w:rFonts w:asciiTheme="minorHAnsi" w:hAnsiTheme="minorHAnsi"/>
          <w:lang w:val="en-US"/>
        </w:rPr>
        <w:t xml:space="preserve">. </w:t>
      </w:r>
    </w:p>
  </w:footnote>
  <w:footnote w:id="99">
    <w:p w14:paraId="4A4802B2"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This new residence-period requirement applies to persons who have received international protection.</w:t>
      </w:r>
    </w:p>
  </w:footnote>
  <w:footnote w:id="100">
    <w:p w14:paraId="479C3FE7"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The amendments are outlined in the Government information page: Finnish Government, “</w:t>
      </w:r>
      <w:proofErr w:type="spellStart"/>
      <w:r w:rsidRPr="00242DCE">
        <w:rPr>
          <w:rFonts w:asciiTheme="minorHAnsi" w:hAnsiTheme="minorHAnsi"/>
          <w:lang w:val="en-US"/>
        </w:rPr>
        <w:t>Hallituksen</w:t>
      </w:r>
      <w:proofErr w:type="spellEnd"/>
      <w:r w:rsidRPr="00242DCE">
        <w:rPr>
          <w:rFonts w:asciiTheme="minorHAnsi" w:hAnsiTheme="minorHAnsi"/>
          <w:lang w:val="en-US"/>
        </w:rPr>
        <w:t xml:space="preserve"> </w:t>
      </w:r>
      <w:proofErr w:type="spellStart"/>
      <w:r w:rsidRPr="00242DCE">
        <w:rPr>
          <w:rFonts w:asciiTheme="minorHAnsi" w:hAnsiTheme="minorHAnsi"/>
          <w:lang w:val="en-US"/>
        </w:rPr>
        <w:t>esitys</w:t>
      </w:r>
      <w:proofErr w:type="spellEnd"/>
      <w:r w:rsidRPr="00242DCE">
        <w:rPr>
          <w:rFonts w:asciiTheme="minorHAnsi" w:hAnsiTheme="minorHAnsi"/>
          <w:lang w:val="en-US"/>
        </w:rPr>
        <w:t xml:space="preserve"> </w:t>
      </w:r>
      <w:proofErr w:type="spellStart"/>
      <w:r w:rsidRPr="00242DCE">
        <w:rPr>
          <w:rFonts w:asciiTheme="minorHAnsi" w:hAnsiTheme="minorHAnsi"/>
          <w:lang w:val="en-US"/>
        </w:rPr>
        <w:t>eduskunnalle</w:t>
      </w:r>
      <w:proofErr w:type="spellEnd"/>
      <w:r w:rsidRPr="00242DCE">
        <w:rPr>
          <w:rFonts w:asciiTheme="minorHAnsi" w:hAnsiTheme="minorHAnsi"/>
          <w:lang w:val="en-US"/>
        </w:rPr>
        <w:t xml:space="preserve"> </w:t>
      </w:r>
      <w:proofErr w:type="spellStart"/>
      <w:r w:rsidRPr="00242DCE">
        <w:rPr>
          <w:rFonts w:asciiTheme="minorHAnsi" w:hAnsiTheme="minorHAnsi"/>
          <w:lang w:val="en-US"/>
        </w:rPr>
        <w:t>laiksi</w:t>
      </w:r>
      <w:proofErr w:type="spellEnd"/>
      <w:r w:rsidRPr="00242DCE">
        <w:rPr>
          <w:rFonts w:asciiTheme="minorHAnsi" w:hAnsiTheme="minorHAnsi"/>
          <w:lang w:val="en-US"/>
        </w:rPr>
        <w:t xml:space="preserve"> </w:t>
      </w:r>
      <w:proofErr w:type="spellStart"/>
      <w:r w:rsidRPr="00242DCE">
        <w:rPr>
          <w:rFonts w:asciiTheme="minorHAnsi" w:hAnsiTheme="minorHAnsi"/>
          <w:lang w:val="en-US"/>
        </w:rPr>
        <w:t>ulkomaalaislain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HE 11/2025 </w:t>
      </w:r>
      <w:proofErr w:type="spellStart"/>
      <w:r w:rsidRPr="00242DCE">
        <w:rPr>
          <w:rFonts w:asciiTheme="minorHAnsi" w:hAnsiTheme="minorHAnsi"/>
          <w:lang w:val="en-US"/>
        </w:rPr>
        <w:t>vp</w:t>
      </w:r>
      <w:proofErr w:type="spellEnd"/>
      <w:r w:rsidRPr="00242DCE">
        <w:rPr>
          <w:rFonts w:asciiTheme="minorHAnsi" w:hAnsiTheme="minorHAnsi"/>
          <w:lang w:val="en-US"/>
        </w:rPr>
        <w:t xml:space="preserve">” [“Government proposal to Parliament for an act amending the Aliens Act HE 11/2025 </w:t>
      </w:r>
      <w:proofErr w:type="spellStart"/>
      <w:r w:rsidRPr="00242DCE">
        <w:rPr>
          <w:rFonts w:asciiTheme="minorHAnsi" w:hAnsiTheme="minorHAnsi"/>
          <w:lang w:val="en-US"/>
        </w:rPr>
        <w:t>vp</w:t>
      </w:r>
      <w:proofErr w:type="spellEnd"/>
      <w:r w:rsidRPr="00242DCE">
        <w:rPr>
          <w:rFonts w:asciiTheme="minorHAnsi" w:hAnsiTheme="minorHAnsi"/>
          <w:lang w:val="en-US"/>
        </w:rPr>
        <w:t xml:space="preserve">”] </w:t>
      </w:r>
      <w:hyperlink r:id="rId109" w:history="1">
        <w:r w:rsidRPr="00242DCE">
          <w:rPr>
            <w:rStyle w:val="Hyperlink"/>
            <w:rFonts w:asciiTheme="minorHAnsi" w:hAnsiTheme="minorHAnsi"/>
            <w:lang w:val="en-US"/>
          </w:rPr>
          <w:t>https://valtioneuvosto.fi/paatokset/paatos?decisionId=3317 (in Finnish)</w:t>
        </w:r>
      </w:hyperlink>
      <w:r w:rsidRPr="00242DCE">
        <w:rPr>
          <w:rFonts w:asciiTheme="minorHAnsi" w:hAnsiTheme="minorHAnsi"/>
          <w:lang w:val="en-US"/>
        </w:rPr>
        <w:t xml:space="preserve">. </w:t>
      </w:r>
    </w:p>
  </w:footnote>
  <w:footnote w:id="101">
    <w:p w14:paraId="504C6792" w14:textId="5CB82BB7" w:rsidR="005536F0" w:rsidRPr="00242DCE" w:rsidRDefault="005536F0" w:rsidP="00242DCE">
      <w:pPr>
        <w:pStyle w:val="FootnoteText"/>
        <w:spacing w:after="0"/>
        <w:rPr>
          <w:rFonts w:asciiTheme="minorHAnsi" w:eastAsia="Segoe UI" w:hAnsiTheme="minorHAnsi" w:cs="Segoe UI"/>
          <w:color w:val="242424"/>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eastAsiaTheme="minorEastAsia" w:hAnsiTheme="minorHAnsi"/>
          <w:color w:val="242424"/>
          <w:lang w:val="en-US"/>
        </w:rPr>
        <w:t>Information received in interviews with an NGO in May 2026. Also, s</w:t>
      </w:r>
      <w:r w:rsidRPr="00242DCE">
        <w:rPr>
          <w:rFonts w:asciiTheme="minorHAnsi" w:eastAsia="Segoe UI" w:hAnsiTheme="minorHAnsi" w:cs="Segoe UI"/>
          <w:color w:val="242424"/>
          <w:lang w:val="en-US"/>
        </w:rPr>
        <w:t xml:space="preserve">ee for example: </w:t>
      </w:r>
      <w:proofErr w:type="spellStart"/>
      <w:r w:rsidRPr="00242DCE">
        <w:rPr>
          <w:rFonts w:asciiTheme="minorHAnsi" w:eastAsia="Segoe UI" w:hAnsiTheme="minorHAnsi" w:cs="Segoe UI"/>
          <w:color w:val="242424"/>
          <w:lang w:val="en-US"/>
        </w:rPr>
        <w:t>Yle</w:t>
      </w:r>
      <w:proofErr w:type="spellEnd"/>
      <w:r w:rsidRPr="00242DCE">
        <w:rPr>
          <w:rFonts w:asciiTheme="minorHAnsi" w:eastAsia="Segoe UI" w:hAnsiTheme="minorHAnsi" w:cs="Segoe UI"/>
          <w:color w:val="242424"/>
          <w:lang w:val="en-US"/>
        </w:rPr>
        <w:t xml:space="preserve"> news, </w:t>
      </w:r>
      <w:proofErr w:type="gramStart"/>
      <w:r w:rsidRPr="00242DCE">
        <w:rPr>
          <w:rFonts w:asciiTheme="minorHAnsi" w:hAnsiTheme="minorHAnsi"/>
          <w:lang w:val="en-US"/>
        </w:rPr>
        <w:t>[</w:t>
      </w:r>
      <w:r w:rsidRPr="00242DCE">
        <w:rPr>
          <w:rFonts w:asciiTheme="minorHAnsi" w:eastAsia="Segoe UI" w:hAnsiTheme="minorHAnsi" w:cs="Segoe UI"/>
          <w:color w:val="242424"/>
          <w:lang w:val="en-US"/>
        </w:rPr>
        <w:t>”</w:t>
      </w:r>
      <w:proofErr w:type="spellStart"/>
      <w:r w:rsidRPr="00242DCE">
        <w:rPr>
          <w:rFonts w:asciiTheme="minorHAnsi" w:eastAsia="Segoe UI" w:hAnsiTheme="minorHAnsi" w:cs="Segoe UI"/>
          <w:color w:val="242424"/>
          <w:lang w:val="en-US"/>
        </w:rPr>
        <w:t>Pikkulapset</w:t>
      </w:r>
      <w:proofErr w:type="spellEnd"/>
      <w:proofErr w:type="gram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suljettiin</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ennätyspitkäksi</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aikaa</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säilöön</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Lappeenrannassa</w:t>
      </w:r>
      <w:proofErr w:type="spellEnd"/>
      <w:r w:rsidRPr="00242DCE">
        <w:rPr>
          <w:rFonts w:asciiTheme="minorHAnsi" w:eastAsia="Segoe UI" w:hAnsiTheme="minorHAnsi" w:cs="Segoe UI"/>
          <w:color w:val="242424"/>
          <w:lang w:val="en-US"/>
        </w:rPr>
        <w:t xml:space="preserve"> </w:t>
      </w:r>
      <w:proofErr w:type="gramStart"/>
      <w:r w:rsidRPr="00242DCE">
        <w:rPr>
          <w:rFonts w:asciiTheme="minorHAnsi" w:eastAsia="Segoe UI" w:hAnsiTheme="minorHAnsi" w:cs="Segoe UI"/>
          <w:color w:val="242424"/>
          <w:lang w:val="en-US"/>
        </w:rPr>
        <w:t>– ”Se</w:t>
      </w:r>
      <w:proofErr w:type="gram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oli</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vankila</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sanoo</w:t>
      </w:r>
      <w:proofErr w:type="spellEnd"/>
      <w:r w:rsidRPr="00242DCE">
        <w:rPr>
          <w:rFonts w:asciiTheme="minorHAnsi" w:eastAsia="Segoe UI" w:hAnsiTheme="minorHAnsi" w:cs="Segoe UI"/>
          <w:color w:val="242424"/>
          <w:lang w:val="en-US"/>
        </w:rPr>
        <w:t xml:space="preserve"> </w:t>
      </w:r>
      <w:proofErr w:type="spellStart"/>
      <w:r w:rsidRPr="00242DCE">
        <w:rPr>
          <w:rFonts w:asciiTheme="minorHAnsi" w:eastAsia="Segoe UI" w:hAnsiTheme="minorHAnsi" w:cs="Segoe UI"/>
          <w:color w:val="242424"/>
          <w:lang w:val="en-US"/>
        </w:rPr>
        <w:t>äiti</w:t>
      </w:r>
      <w:proofErr w:type="spellEnd"/>
      <w:r w:rsidRPr="00242DCE">
        <w:rPr>
          <w:rFonts w:asciiTheme="minorHAnsi" w:eastAsia="Segoe UI" w:hAnsiTheme="minorHAnsi" w:cs="Segoe UI"/>
          <w:color w:val="242424"/>
          <w:lang w:val="en-US"/>
        </w:rPr>
        <w:t xml:space="preserve"> Mary” </w:t>
      </w:r>
      <w:proofErr w:type="gramStart"/>
      <w:r w:rsidRPr="00242DCE">
        <w:rPr>
          <w:rFonts w:asciiTheme="minorHAnsi" w:hAnsiTheme="minorHAnsi"/>
          <w:lang w:val="en-US"/>
        </w:rPr>
        <w:t>[</w:t>
      </w:r>
      <w:r w:rsidRPr="00242DCE">
        <w:rPr>
          <w:rFonts w:asciiTheme="minorHAnsi" w:eastAsia="Segoe UI" w:hAnsiTheme="minorHAnsi" w:cs="Segoe UI"/>
          <w:color w:val="242424"/>
          <w:lang w:val="en-US"/>
        </w:rPr>
        <w:t>”Toddlers</w:t>
      </w:r>
      <w:proofErr w:type="gramEnd"/>
      <w:r w:rsidRPr="00242DCE">
        <w:rPr>
          <w:rFonts w:asciiTheme="minorHAnsi" w:eastAsia="Segoe UI" w:hAnsiTheme="minorHAnsi" w:cs="Segoe UI"/>
          <w:color w:val="242424"/>
          <w:lang w:val="en-US"/>
        </w:rPr>
        <w:t xml:space="preserve"> were </w:t>
      </w:r>
      <w:r w:rsidR="00B23BAF">
        <w:rPr>
          <w:rFonts w:asciiTheme="minorHAnsi" w:eastAsia="Segoe UI" w:hAnsiTheme="minorHAnsi" w:cs="Segoe UI"/>
          <w:color w:val="242424"/>
          <w:lang w:val="en-US"/>
        </w:rPr>
        <w:t>detained</w:t>
      </w:r>
      <w:r w:rsidRPr="00242DCE">
        <w:rPr>
          <w:rFonts w:asciiTheme="minorHAnsi" w:eastAsia="Segoe UI" w:hAnsiTheme="minorHAnsi" w:cs="Segoe UI"/>
          <w:color w:val="242424"/>
          <w:lang w:val="en-US"/>
        </w:rPr>
        <w:t xml:space="preserve"> for a record-breaking time in Lappeenranta – "It was a prison," says </w:t>
      </w:r>
      <w:proofErr w:type="gramStart"/>
      <w:r w:rsidRPr="00242DCE">
        <w:rPr>
          <w:rFonts w:asciiTheme="minorHAnsi" w:eastAsia="Segoe UI" w:hAnsiTheme="minorHAnsi" w:cs="Segoe UI"/>
          <w:color w:val="242424"/>
          <w:lang w:val="en-US"/>
        </w:rPr>
        <w:t>mother</w:t>
      </w:r>
      <w:proofErr w:type="gramEnd"/>
      <w:r w:rsidRPr="00242DCE">
        <w:rPr>
          <w:rFonts w:asciiTheme="minorHAnsi" w:eastAsia="Segoe UI" w:hAnsiTheme="minorHAnsi" w:cs="Segoe UI"/>
          <w:color w:val="242424"/>
          <w:lang w:val="en-US"/>
        </w:rPr>
        <w:t xml:space="preserve"> Mary"</w:t>
      </w:r>
      <w:r w:rsidRPr="00242DCE">
        <w:rPr>
          <w:rFonts w:asciiTheme="minorHAnsi" w:hAnsiTheme="minorHAnsi"/>
          <w:lang w:val="en-US"/>
        </w:rPr>
        <w:t>]</w:t>
      </w:r>
      <w:r w:rsidRPr="00242DCE">
        <w:rPr>
          <w:rFonts w:asciiTheme="minorHAnsi" w:eastAsia="Segoe UI" w:hAnsiTheme="minorHAnsi" w:cs="Segoe UI"/>
          <w:color w:val="242424"/>
          <w:lang w:val="en-US"/>
        </w:rPr>
        <w:t xml:space="preserve">, 24 April 2025, </w:t>
      </w:r>
      <w:hyperlink r:id="rId110">
        <w:r w:rsidRPr="00242DCE">
          <w:rPr>
            <w:rStyle w:val="Hyperlink"/>
            <w:rFonts w:asciiTheme="minorHAnsi" w:eastAsia="Segoe UI" w:hAnsiTheme="minorHAnsi" w:cs="Segoe UI"/>
            <w:lang w:val="en-US"/>
          </w:rPr>
          <w:t>https://yle.fi/a/74-20156277 (in Finnish)</w:t>
        </w:r>
      </w:hyperlink>
      <w:r w:rsidRPr="00242DCE">
        <w:rPr>
          <w:rFonts w:asciiTheme="minorHAnsi" w:eastAsia="Segoe UI" w:hAnsiTheme="minorHAnsi" w:cs="Segoe UI"/>
          <w:color w:val="242424"/>
          <w:lang w:val="en-US"/>
        </w:rPr>
        <w:t xml:space="preserve">.  </w:t>
      </w:r>
    </w:p>
  </w:footnote>
  <w:footnote w:id="102">
    <w:p w14:paraId="1E2E2009"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eastAsiaTheme="minorEastAsia" w:hAnsiTheme="minorHAnsi"/>
          <w:color w:val="242424"/>
          <w:lang w:val="en-US"/>
        </w:rPr>
        <w:t xml:space="preserve">Information received in interviews with an NGO in May 2026. </w:t>
      </w:r>
      <w:r w:rsidRPr="00242DCE">
        <w:rPr>
          <w:rFonts w:asciiTheme="minorHAnsi" w:eastAsia="Segoe UI" w:hAnsiTheme="minorHAnsi" w:cs="Segoe UI"/>
          <w:color w:val="242424"/>
          <w:lang w:val="en-US"/>
        </w:rPr>
        <w:t xml:space="preserve">Earlier this year Amnesty International received information from an </w:t>
      </w:r>
      <w:proofErr w:type="spellStart"/>
      <w:r w:rsidRPr="00242DCE">
        <w:rPr>
          <w:rFonts w:asciiTheme="minorHAnsi" w:eastAsia="Segoe UI" w:hAnsiTheme="minorHAnsi" w:cs="Segoe UI"/>
          <w:color w:val="242424"/>
          <w:lang w:val="en-US"/>
        </w:rPr>
        <w:t>organisation</w:t>
      </w:r>
      <w:proofErr w:type="spellEnd"/>
      <w:r w:rsidRPr="00242DCE">
        <w:rPr>
          <w:rFonts w:asciiTheme="minorHAnsi" w:eastAsia="Segoe UI" w:hAnsiTheme="minorHAnsi" w:cs="Segoe UI"/>
          <w:color w:val="242424"/>
          <w:lang w:val="en-US"/>
        </w:rPr>
        <w:t xml:space="preserve"> working with refugees that a vulnerable person who would need constant medical care (suffering from medical conditions that don't even allow him to sit) was kept in detention.</w:t>
      </w:r>
    </w:p>
  </w:footnote>
  <w:footnote w:id="103">
    <w:p w14:paraId="6A8FC47F"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of the Interior, “Government proposes amendments to regulation on detention and entry bans”, 3 October 2024, </w:t>
      </w:r>
      <w:hyperlink r:id="rId111" w:history="1">
        <w:r w:rsidRPr="00242DCE">
          <w:rPr>
            <w:rStyle w:val="Hyperlink"/>
            <w:rFonts w:asciiTheme="minorHAnsi" w:hAnsiTheme="minorHAnsi"/>
            <w:lang w:val="en-US"/>
          </w:rPr>
          <w:t>https://valtioneuvosto.fi/-/1410869/hallitus-esittaa-muutoksia-sailoonoton-ja-maahantulokiellon-saantelyyn?languageId=en_US</w:t>
        </w:r>
      </w:hyperlink>
      <w:r w:rsidRPr="00242DCE">
        <w:rPr>
          <w:rFonts w:asciiTheme="minorHAnsi" w:hAnsiTheme="minorHAnsi"/>
          <w:lang w:val="en-US"/>
        </w:rPr>
        <w:t xml:space="preserve">.  The approved legislation: “Laki </w:t>
      </w:r>
      <w:proofErr w:type="spellStart"/>
      <w:r w:rsidRPr="00242DCE">
        <w:rPr>
          <w:rFonts w:asciiTheme="minorHAnsi" w:hAnsiTheme="minorHAnsi"/>
          <w:lang w:val="en-US"/>
        </w:rPr>
        <w:t>ulkomaalaislain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147/2025” [“Act amending the Aliens Act 147/2025”], </w:t>
      </w:r>
      <w:hyperlink r:id="rId112" w:history="1">
        <w:r w:rsidRPr="00242DCE">
          <w:rPr>
            <w:rStyle w:val="Hyperlink"/>
            <w:rFonts w:asciiTheme="minorHAnsi" w:hAnsiTheme="minorHAnsi"/>
            <w:lang w:val="en-US"/>
          </w:rPr>
          <w:t>https://www.finlex.fi/fi/lainsaadanto/saadoskokoelma/2025/147 (in Finnish)</w:t>
        </w:r>
      </w:hyperlink>
      <w:r w:rsidRPr="00242DCE">
        <w:rPr>
          <w:rFonts w:asciiTheme="minorHAnsi" w:hAnsiTheme="minorHAnsi"/>
          <w:lang w:val="en-US"/>
        </w:rPr>
        <w:t>.</w:t>
      </w:r>
      <w:r w:rsidRPr="00242DCE">
        <w:rPr>
          <w:rFonts w:asciiTheme="minorHAnsi" w:hAnsiTheme="minorHAnsi"/>
          <w:b/>
          <w:bCs/>
          <w:lang w:val="en-US"/>
        </w:rPr>
        <w:t xml:space="preserve"> </w:t>
      </w:r>
    </w:p>
  </w:footnote>
  <w:footnote w:id="104">
    <w:p w14:paraId="28722410"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eastAsia="Aptos" w:hAnsiTheme="minorHAnsi" w:cs="Aptos"/>
          <w:lang w:val="en-US"/>
        </w:rPr>
        <w:t>These criteria include details that, in many cases, may not mean that such a risk would exist, such as presenting forged documents, destroying existing documents or not being able to present identity documents. These criteria would rather imply difficulties in obtaining necessary documents in the country of origin or acting on instruction of a smuggler, than the risk of absconding.</w:t>
      </w:r>
    </w:p>
  </w:footnote>
  <w:footnote w:id="105">
    <w:p w14:paraId="3DDE512E"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of the Interior, “Government proposes amendments to regulation on detention and entry bans”, 3 October 2024, </w:t>
      </w:r>
      <w:hyperlink r:id="rId113" w:history="1">
        <w:r w:rsidRPr="00242DCE">
          <w:rPr>
            <w:rStyle w:val="Hyperlink"/>
            <w:rFonts w:asciiTheme="minorHAnsi" w:hAnsiTheme="minorHAnsi"/>
            <w:lang w:val="en-US"/>
          </w:rPr>
          <w:t>https://valtioneuvosto.fi/-/1410869/hallitus-esittaa-muutoksia-sailoonoton-ja-maahantulokiellon-saantelyyn?languageId=en_US</w:t>
        </w:r>
      </w:hyperlink>
      <w:r w:rsidRPr="00242DCE">
        <w:rPr>
          <w:rFonts w:asciiTheme="minorHAnsi" w:hAnsiTheme="minorHAnsi"/>
          <w:lang w:val="en-US"/>
        </w:rPr>
        <w:t xml:space="preserve">.  The approved legislation: “Laki </w:t>
      </w:r>
      <w:proofErr w:type="spellStart"/>
      <w:r w:rsidRPr="00242DCE">
        <w:rPr>
          <w:rFonts w:asciiTheme="minorHAnsi" w:hAnsiTheme="minorHAnsi"/>
          <w:lang w:val="en-US"/>
        </w:rPr>
        <w:t>ulkomaalaislain</w:t>
      </w:r>
      <w:proofErr w:type="spellEnd"/>
      <w:r w:rsidRPr="00242DCE">
        <w:rPr>
          <w:rFonts w:asciiTheme="minorHAnsi" w:hAnsiTheme="minorHAnsi"/>
          <w:lang w:val="en-US"/>
        </w:rPr>
        <w:t xml:space="preserve"> </w:t>
      </w:r>
      <w:proofErr w:type="spellStart"/>
      <w:r w:rsidRPr="00242DCE">
        <w:rPr>
          <w:rFonts w:asciiTheme="minorHAnsi" w:hAnsiTheme="minorHAnsi"/>
          <w:lang w:val="en-US"/>
        </w:rPr>
        <w:t>muuttamisesta</w:t>
      </w:r>
      <w:proofErr w:type="spellEnd"/>
      <w:r w:rsidRPr="00242DCE">
        <w:rPr>
          <w:rFonts w:asciiTheme="minorHAnsi" w:hAnsiTheme="minorHAnsi"/>
          <w:lang w:val="en-US"/>
        </w:rPr>
        <w:t xml:space="preserve"> 147/2025” [“Act amending the Aliens Act 147/2025”], </w:t>
      </w:r>
      <w:hyperlink r:id="rId114" w:history="1">
        <w:r w:rsidRPr="00242DCE">
          <w:rPr>
            <w:rStyle w:val="Hyperlink"/>
            <w:rFonts w:asciiTheme="minorHAnsi" w:hAnsiTheme="minorHAnsi"/>
            <w:lang w:val="en-US"/>
          </w:rPr>
          <w:t>https://www.finlex.fi/fi/lainsaadanto/saadoskokoelma/2025/147 (in Finnish)</w:t>
        </w:r>
      </w:hyperlink>
      <w:r w:rsidRPr="00242DCE">
        <w:rPr>
          <w:rFonts w:asciiTheme="minorHAnsi" w:hAnsiTheme="minorHAnsi"/>
          <w:lang w:val="en-US"/>
        </w:rPr>
        <w:t>.</w:t>
      </w:r>
    </w:p>
  </w:footnote>
  <w:footnote w:id="106">
    <w:p w14:paraId="14DD239C"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Section 6, Aliens Act: “[i]n any decisions issued under this Act that concern a child under eighteen years of age, special attention shall be paid to the best interest of the child and to circumstances related to the child’s development and health”. Finland, Aliens Act, (301/2004; amendments up to 389/2023 included) </w:t>
      </w:r>
      <w:hyperlink r:id="rId115" w:history="1">
        <w:r w:rsidRPr="00242DCE">
          <w:rPr>
            <w:rStyle w:val="Hyperlink"/>
            <w:rFonts w:asciiTheme="minorHAnsi" w:hAnsiTheme="minorHAnsi"/>
            <w:lang w:val="en-US"/>
          </w:rPr>
          <w:t>https://www.finlex.fi/fi/lainsaadanto/saadoskaannokset/2004/eng/301</w:t>
        </w:r>
      </w:hyperlink>
      <w:r w:rsidRPr="00242DCE">
        <w:rPr>
          <w:rFonts w:asciiTheme="minorHAnsi" w:hAnsiTheme="minorHAnsi"/>
          <w:lang w:val="en-US"/>
        </w:rPr>
        <w:t xml:space="preserve">, Section 6. </w:t>
      </w:r>
    </w:p>
  </w:footnote>
  <w:footnote w:id="107">
    <w:p w14:paraId="02ABDF9B"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Numerous studies have provided evidence that the best interest of the child is not a primary consideration in asylum and migration proceedings in Finland, a concern reflected in the concluding observations of the Committee on the Rights of the Child. See for example Annika Parsons’ research for the Ombudsperson of the Minorities in 2010: Parsons, A., The best interest of the child in asylum and refugee procedures in Finland, Publication 6, 2010, </w:t>
      </w:r>
      <w:hyperlink r:id="rId116" w:history="1">
        <w:r w:rsidRPr="00242DCE">
          <w:rPr>
            <w:rStyle w:val="Hyperlink"/>
            <w:rFonts w:asciiTheme="minorHAnsi" w:hAnsiTheme="minorHAnsi"/>
            <w:lang w:val="en-US"/>
          </w:rPr>
          <w:t>https://yhdenvertaisuusvaltuutettu.fi/documents/25249352/34271292/The+best+interests+of+the+child+in+asylum+and+refugee+procedures+in+Finland.pdf/13a6a442-710f-426e-9bbd-2daefea7cd6f?version=1.1&amp;t=1600521915976</w:t>
        </w:r>
      </w:hyperlink>
      <w:r w:rsidRPr="00242DCE">
        <w:rPr>
          <w:rFonts w:asciiTheme="minorHAnsi" w:hAnsiTheme="minorHAnsi"/>
          <w:lang w:val="en-US"/>
        </w:rPr>
        <w:t xml:space="preserve">. </w:t>
      </w:r>
    </w:p>
  </w:footnote>
  <w:footnote w:id="108">
    <w:p w14:paraId="16ADFF2C"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Finland, Border Guard Act, 1999, </w:t>
      </w:r>
      <w:hyperlink r:id="rId117" w:history="1">
        <w:r w:rsidRPr="00242DCE">
          <w:rPr>
            <w:rStyle w:val="Hyperlink"/>
            <w:rFonts w:asciiTheme="minorHAnsi" w:hAnsiTheme="minorHAnsi"/>
            <w:lang w:val="en-US"/>
          </w:rPr>
          <w:t>https://www.finlex.fi/fi/lainsaadanto/saadoskaannokset/2005/eng/578</w:t>
        </w:r>
      </w:hyperlink>
      <w:r w:rsidRPr="00242DCE">
        <w:rPr>
          <w:rFonts w:asciiTheme="minorHAnsi" w:hAnsiTheme="minorHAnsi"/>
          <w:lang w:val="en-US"/>
        </w:rPr>
        <w:t>,  Section 16.</w:t>
      </w:r>
    </w:p>
  </w:footnote>
  <w:footnote w:id="109">
    <w:p w14:paraId="2C2307DD"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Finnish Government, Situation at Finland’s eastern border,</w:t>
      </w:r>
      <w:r w:rsidRPr="00242DCE">
        <w:rPr>
          <w:rFonts w:asciiTheme="minorHAnsi" w:hAnsiTheme="minorHAnsi"/>
          <w:b/>
          <w:bCs/>
          <w:lang w:val="en-US"/>
        </w:rPr>
        <w:t xml:space="preserve"> </w:t>
      </w:r>
      <w:r w:rsidRPr="00242DCE">
        <w:rPr>
          <w:rFonts w:asciiTheme="minorHAnsi" w:hAnsiTheme="minorHAnsi"/>
          <w:lang w:val="en-US"/>
        </w:rPr>
        <w:t xml:space="preserve"> </w:t>
      </w:r>
      <w:hyperlink r:id="rId118" w:history="1">
        <w:r w:rsidRPr="00242DCE">
          <w:rPr>
            <w:rStyle w:val="Hyperlink"/>
            <w:rFonts w:asciiTheme="minorHAnsi" w:hAnsiTheme="minorHAnsi"/>
            <w:lang w:val="en-US"/>
          </w:rPr>
          <w:t>https://valtioneuvosto.fi/en/situation-at-finlands-eastern-border</w:t>
        </w:r>
      </w:hyperlink>
      <w:r w:rsidRPr="00242DCE">
        <w:rPr>
          <w:rFonts w:asciiTheme="minorHAnsi" w:hAnsiTheme="minorHAnsi"/>
          <w:lang w:val="en-US"/>
        </w:rPr>
        <w:t xml:space="preserve"> (accessed on 1 June 2026).</w:t>
      </w:r>
    </w:p>
  </w:footnote>
  <w:footnote w:id="110">
    <w:p w14:paraId="56F181B3" w14:textId="77777777" w:rsidR="005536F0" w:rsidRPr="00242DCE" w:rsidRDefault="005536F0" w:rsidP="00242DCE">
      <w:pPr>
        <w:pStyle w:val="FootnoteText"/>
        <w:spacing w:after="0"/>
        <w:rPr>
          <w:rFonts w:asciiTheme="minorHAnsi" w:hAnsiTheme="minorHAnsi"/>
          <w:lang w:val="en-US"/>
        </w:rPr>
      </w:pPr>
      <w:r w:rsidRPr="00242DCE">
        <w:rPr>
          <w:rStyle w:val="FootnoteReference"/>
          <w:rFonts w:asciiTheme="minorHAnsi" w:hAnsiTheme="minorHAnsi"/>
        </w:rPr>
        <w:footnoteRef/>
      </w:r>
      <w:r w:rsidRPr="00242DCE">
        <w:rPr>
          <w:rFonts w:asciiTheme="minorHAnsi" w:hAnsiTheme="minorHAnsi"/>
          <w:lang w:val="en-US"/>
        </w:rPr>
        <w:t xml:space="preserve"> Amnesty International Finnish Section has continuously criticized the decision to close the border, see for example: Amnesty International Finnish Section, “</w:t>
      </w:r>
      <w:proofErr w:type="spellStart"/>
      <w:r w:rsidRPr="00242DCE">
        <w:rPr>
          <w:rFonts w:asciiTheme="minorHAnsi" w:hAnsiTheme="minorHAnsi"/>
          <w:lang w:val="en-US"/>
        </w:rPr>
        <w:t>Päätös</w:t>
      </w:r>
      <w:proofErr w:type="spellEnd"/>
      <w:r w:rsidRPr="00242DCE">
        <w:rPr>
          <w:rFonts w:asciiTheme="minorHAnsi" w:hAnsiTheme="minorHAnsi"/>
          <w:lang w:val="en-US"/>
        </w:rPr>
        <w:t xml:space="preserve"> </w:t>
      </w:r>
      <w:proofErr w:type="spellStart"/>
      <w:r w:rsidRPr="00242DCE">
        <w:rPr>
          <w:rFonts w:asciiTheme="minorHAnsi" w:hAnsiTheme="minorHAnsi"/>
          <w:lang w:val="en-US"/>
        </w:rPr>
        <w:t>jatkaa</w:t>
      </w:r>
      <w:proofErr w:type="spellEnd"/>
      <w:r w:rsidRPr="00242DCE">
        <w:rPr>
          <w:rFonts w:asciiTheme="minorHAnsi" w:hAnsiTheme="minorHAnsi"/>
          <w:lang w:val="en-US"/>
        </w:rPr>
        <w:t xml:space="preserve"> </w:t>
      </w:r>
      <w:proofErr w:type="spellStart"/>
      <w:r w:rsidRPr="00242DCE">
        <w:rPr>
          <w:rFonts w:asciiTheme="minorHAnsi" w:hAnsiTheme="minorHAnsi"/>
          <w:lang w:val="en-US"/>
        </w:rPr>
        <w:t>itärajan</w:t>
      </w:r>
      <w:proofErr w:type="spellEnd"/>
      <w:r w:rsidRPr="00242DCE">
        <w:rPr>
          <w:rFonts w:asciiTheme="minorHAnsi" w:hAnsiTheme="minorHAnsi"/>
          <w:lang w:val="en-US"/>
        </w:rPr>
        <w:t xml:space="preserve"> </w:t>
      </w:r>
      <w:proofErr w:type="spellStart"/>
      <w:r w:rsidRPr="00242DCE">
        <w:rPr>
          <w:rFonts w:asciiTheme="minorHAnsi" w:hAnsiTheme="minorHAnsi"/>
          <w:lang w:val="en-US"/>
        </w:rPr>
        <w:t>täyssulkua</w:t>
      </w:r>
      <w:proofErr w:type="spellEnd"/>
      <w:r w:rsidRPr="00242DCE">
        <w:rPr>
          <w:rFonts w:asciiTheme="minorHAnsi" w:hAnsiTheme="minorHAnsi"/>
          <w:lang w:val="en-US"/>
        </w:rPr>
        <w:t xml:space="preserve"> on </w:t>
      </w:r>
      <w:proofErr w:type="spellStart"/>
      <w:r w:rsidRPr="00242DCE">
        <w:rPr>
          <w:rFonts w:asciiTheme="minorHAnsi" w:hAnsiTheme="minorHAnsi"/>
          <w:lang w:val="en-US"/>
        </w:rPr>
        <w:t>kohtuuton</w:t>
      </w:r>
      <w:proofErr w:type="spellEnd"/>
      <w:r w:rsidRPr="00242DCE">
        <w:rPr>
          <w:rFonts w:asciiTheme="minorHAnsi" w:hAnsiTheme="minorHAnsi"/>
          <w:lang w:val="en-US"/>
        </w:rPr>
        <w:t xml:space="preserve">” [“Decision to continue closure of Eastern border is unreasonable”], 8 February 2024, </w:t>
      </w:r>
      <w:hyperlink r:id="rId119" w:history="1">
        <w:r w:rsidRPr="00242DCE">
          <w:rPr>
            <w:rStyle w:val="Hyperlink"/>
            <w:rFonts w:asciiTheme="minorHAnsi" w:hAnsiTheme="minorHAnsi"/>
            <w:lang w:val="en-US"/>
          </w:rPr>
          <w:t>https://www.amnesty.fi/paatos-jatkaa-itarajan-tayssulkua-on-kohtuuton/ (in Finnish)</w:t>
        </w:r>
      </w:hyperlink>
      <w:r w:rsidRPr="00242DCE">
        <w:rPr>
          <w:rFonts w:asciiTheme="minorHAnsi" w:hAnsiTheme="minorHAnsi"/>
          <w:lang w:val="en-US"/>
        </w:rPr>
        <w:t xml:space="preserve">. </w:t>
      </w:r>
    </w:p>
  </w:footnote>
  <w:footnote w:id="111">
    <w:p w14:paraId="0A0996C2" w14:textId="77777777" w:rsidR="005536F0" w:rsidRPr="00242DCE" w:rsidRDefault="005536F0" w:rsidP="00242DCE">
      <w:pPr>
        <w:pStyle w:val="FootnoteText"/>
        <w:spacing w:after="0"/>
        <w:rPr>
          <w:rFonts w:asciiTheme="minorHAnsi" w:hAnsiTheme="minorHAnsi"/>
          <w:b/>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of the Interior, “Finland enacts legislation to combat </w:t>
      </w:r>
      <w:proofErr w:type="spellStart"/>
      <w:r w:rsidRPr="00242DCE">
        <w:rPr>
          <w:rFonts w:asciiTheme="minorHAnsi" w:hAnsiTheme="minorHAnsi"/>
          <w:lang w:val="en-US"/>
        </w:rPr>
        <w:t>instrumentalised</w:t>
      </w:r>
      <w:proofErr w:type="spellEnd"/>
      <w:r w:rsidRPr="00242DCE">
        <w:rPr>
          <w:rFonts w:asciiTheme="minorHAnsi" w:hAnsiTheme="minorHAnsi"/>
          <w:lang w:val="en-US"/>
        </w:rPr>
        <w:t xml:space="preserve"> migration”, 16 July 2024, </w:t>
      </w:r>
      <w:hyperlink r:id="rId120" w:history="1">
        <w:r w:rsidRPr="00242DCE">
          <w:rPr>
            <w:rStyle w:val="Hyperlink"/>
            <w:rFonts w:asciiTheme="minorHAnsi" w:hAnsiTheme="minorHAnsi"/>
            <w:lang w:val="en-US"/>
          </w:rPr>
          <w:t>https://valtioneuvosto.fi/-/1410869/suomi-varautuu-valineellistetyn-maahantulon-torjumiseen-uudella-lainsaadannolla?languageId=en_US</w:t>
        </w:r>
      </w:hyperlink>
      <w:r w:rsidRPr="00242DCE">
        <w:rPr>
          <w:rFonts w:asciiTheme="minorHAnsi" w:hAnsiTheme="minorHAnsi"/>
          <w:lang w:val="en-US"/>
        </w:rPr>
        <w:t xml:space="preserve">. </w:t>
      </w:r>
    </w:p>
  </w:footnote>
  <w:footnote w:id="112">
    <w:p w14:paraId="2CE94514" w14:textId="77777777" w:rsidR="005536F0" w:rsidRPr="00242DCE" w:rsidRDefault="005536F0" w:rsidP="00242DCE">
      <w:pPr>
        <w:pStyle w:val="FootnoteText"/>
        <w:spacing w:after="0"/>
        <w:rPr>
          <w:rFonts w:asciiTheme="minorHAnsi" w:eastAsia="Aptos" w:hAnsiTheme="minorHAnsi" w:cs="Aptos"/>
          <w:lang w:val="en-US"/>
        </w:rPr>
      </w:pPr>
      <w:r w:rsidRPr="00242DCE">
        <w:rPr>
          <w:rStyle w:val="FootnoteReference"/>
          <w:rFonts w:asciiTheme="minorHAnsi" w:hAnsiTheme="minorHAnsi"/>
        </w:rPr>
        <w:footnoteRef/>
      </w:r>
      <w:r w:rsidRPr="00242DCE">
        <w:rPr>
          <w:rFonts w:asciiTheme="minorHAnsi" w:hAnsiTheme="minorHAnsi"/>
          <w:lang w:val="en-US"/>
        </w:rPr>
        <w:t xml:space="preserve"> </w:t>
      </w:r>
      <w:r w:rsidRPr="00242DCE">
        <w:rPr>
          <w:rFonts w:asciiTheme="minorHAnsi" w:eastAsia="Aptos" w:hAnsiTheme="minorHAnsi" w:cs="Aptos"/>
          <w:lang w:val="en-US"/>
        </w:rPr>
        <w:t>The Finnish Non-Discrimination Ombudsman wrote a letter to the Minister of Interior stating that in the current situation where the eastern border crossing points are closed, Finland is jeopardizing the right to seek asylum and risks breaching the principle of non-refoulement. The Ombudsman continued that these circumstances do not allow an effective and genuine access to asylum: Non-Discrimination Ombudsman, “</w:t>
      </w:r>
      <w:proofErr w:type="spellStart"/>
      <w:r w:rsidRPr="00242DCE">
        <w:rPr>
          <w:rFonts w:asciiTheme="minorHAnsi" w:eastAsia="Aptos" w:hAnsiTheme="minorHAnsi" w:cs="Aptos"/>
          <w:lang w:val="en-US"/>
        </w:rPr>
        <w:t>Yhdenvertaisuusvaltuutetun</w:t>
      </w:r>
      <w:proofErr w:type="spellEnd"/>
      <w:r w:rsidRPr="00242DCE">
        <w:rPr>
          <w:rFonts w:asciiTheme="minorHAnsi" w:eastAsia="Aptos" w:hAnsiTheme="minorHAnsi" w:cs="Aptos"/>
          <w:lang w:val="en-US"/>
        </w:rPr>
        <w:t xml:space="preserve"> </w:t>
      </w:r>
      <w:proofErr w:type="spellStart"/>
      <w:r w:rsidRPr="00242DCE">
        <w:rPr>
          <w:rFonts w:asciiTheme="minorHAnsi" w:eastAsia="Aptos" w:hAnsiTheme="minorHAnsi" w:cs="Aptos"/>
          <w:lang w:val="en-US"/>
        </w:rPr>
        <w:t>kirje</w:t>
      </w:r>
      <w:proofErr w:type="spellEnd"/>
      <w:r w:rsidRPr="00242DCE">
        <w:rPr>
          <w:rFonts w:asciiTheme="minorHAnsi" w:eastAsia="Aptos" w:hAnsiTheme="minorHAnsi" w:cs="Aptos"/>
          <w:lang w:val="en-US"/>
        </w:rPr>
        <w:t xml:space="preserve"> </w:t>
      </w:r>
      <w:proofErr w:type="spellStart"/>
      <w:r w:rsidRPr="00242DCE">
        <w:rPr>
          <w:rFonts w:asciiTheme="minorHAnsi" w:eastAsia="Aptos" w:hAnsiTheme="minorHAnsi" w:cs="Aptos"/>
          <w:lang w:val="en-US"/>
        </w:rPr>
        <w:t>sisäministeri</w:t>
      </w:r>
      <w:proofErr w:type="spellEnd"/>
      <w:r w:rsidRPr="00242DCE">
        <w:rPr>
          <w:rFonts w:asciiTheme="minorHAnsi" w:eastAsia="Aptos" w:hAnsiTheme="minorHAnsi" w:cs="Aptos"/>
          <w:lang w:val="en-US"/>
        </w:rPr>
        <w:t xml:space="preserve"> Mari </w:t>
      </w:r>
      <w:proofErr w:type="spellStart"/>
      <w:r w:rsidRPr="00242DCE">
        <w:rPr>
          <w:rFonts w:asciiTheme="minorHAnsi" w:eastAsia="Aptos" w:hAnsiTheme="minorHAnsi" w:cs="Aptos"/>
          <w:lang w:val="en-US"/>
        </w:rPr>
        <w:t>Rantaselle</w:t>
      </w:r>
      <w:proofErr w:type="spellEnd"/>
      <w:r w:rsidRPr="00242DCE">
        <w:rPr>
          <w:rFonts w:asciiTheme="minorHAnsi" w:eastAsia="Aptos" w:hAnsiTheme="minorHAnsi" w:cs="Aptos"/>
          <w:lang w:val="en-US"/>
        </w:rPr>
        <w:t xml:space="preserve"> </w:t>
      </w:r>
      <w:proofErr w:type="spellStart"/>
      <w:r w:rsidRPr="00242DCE">
        <w:rPr>
          <w:rFonts w:asciiTheme="minorHAnsi" w:eastAsia="Aptos" w:hAnsiTheme="minorHAnsi" w:cs="Aptos"/>
          <w:lang w:val="en-US"/>
        </w:rPr>
        <w:t>koskien</w:t>
      </w:r>
      <w:proofErr w:type="spellEnd"/>
      <w:r w:rsidRPr="00242DCE">
        <w:rPr>
          <w:rFonts w:asciiTheme="minorHAnsi" w:eastAsia="Aptos" w:hAnsiTheme="minorHAnsi" w:cs="Aptos"/>
          <w:lang w:val="en-US"/>
        </w:rPr>
        <w:t xml:space="preserve"> </w:t>
      </w:r>
      <w:proofErr w:type="spellStart"/>
      <w:r w:rsidRPr="00242DCE">
        <w:rPr>
          <w:rFonts w:asciiTheme="minorHAnsi" w:eastAsia="Aptos" w:hAnsiTheme="minorHAnsi" w:cs="Aptos"/>
          <w:lang w:val="en-US"/>
        </w:rPr>
        <w:t>itärajan</w:t>
      </w:r>
      <w:proofErr w:type="spellEnd"/>
      <w:r w:rsidRPr="00242DCE">
        <w:rPr>
          <w:rFonts w:asciiTheme="minorHAnsi" w:eastAsia="Aptos" w:hAnsiTheme="minorHAnsi" w:cs="Aptos"/>
          <w:lang w:val="en-US"/>
        </w:rPr>
        <w:t xml:space="preserve"> </w:t>
      </w:r>
      <w:proofErr w:type="spellStart"/>
      <w:r w:rsidRPr="00242DCE">
        <w:rPr>
          <w:rFonts w:asciiTheme="minorHAnsi" w:eastAsia="Aptos" w:hAnsiTheme="minorHAnsi" w:cs="Aptos"/>
          <w:lang w:val="en-US"/>
        </w:rPr>
        <w:t>ihmisoikeustilannetta</w:t>
      </w:r>
      <w:proofErr w:type="spellEnd"/>
      <w:r w:rsidRPr="00242DCE">
        <w:rPr>
          <w:rFonts w:asciiTheme="minorHAnsi" w:eastAsia="Aptos" w:hAnsiTheme="minorHAnsi" w:cs="Aptos"/>
          <w:lang w:val="en-US"/>
        </w:rPr>
        <w:t xml:space="preserve">” </w:t>
      </w:r>
      <w:r w:rsidRPr="00242DCE">
        <w:rPr>
          <w:rFonts w:asciiTheme="minorHAnsi" w:hAnsiTheme="minorHAnsi"/>
          <w:lang w:val="en-US"/>
        </w:rPr>
        <w:t>[</w:t>
      </w:r>
      <w:r w:rsidRPr="00242DCE">
        <w:rPr>
          <w:rFonts w:asciiTheme="minorHAnsi" w:eastAsia="Aptos" w:hAnsiTheme="minorHAnsi" w:cs="Aptos"/>
          <w:lang w:val="en-US"/>
        </w:rPr>
        <w:t>“Non-Discrimination Ombudsman's letter to Minister of the Interior Mari Rantanen regarding the human rights situation on the eastern border”</w:t>
      </w:r>
      <w:r w:rsidRPr="00242DCE">
        <w:rPr>
          <w:rFonts w:asciiTheme="minorHAnsi" w:hAnsiTheme="minorHAnsi"/>
          <w:lang w:val="en-US"/>
        </w:rPr>
        <w:t>]</w:t>
      </w:r>
      <w:r w:rsidRPr="00242DCE">
        <w:rPr>
          <w:rFonts w:asciiTheme="minorHAnsi" w:eastAsia="Aptos" w:hAnsiTheme="minorHAnsi" w:cs="Aptos"/>
          <w:lang w:val="en-US"/>
        </w:rPr>
        <w:t xml:space="preserve">, 30 January 2024, </w:t>
      </w:r>
      <w:hyperlink r:id="rId121" w:history="1">
        <w:r w:rsidRPr="00242DCE">
          <w:rPr>
            <w:rStyle w:val="Hyperlink"/>
            <w:rFonts w:asciiTheme="minorHAnsi" w:eastAsia="Aptos" w:hAnsiTheme="minorHAnsi" w:cs="Aptos"/>
            <w:lang w:val="en-US"/>
          </w:rPr>
          <w:t>https://yhdenvertaisuusvaltuutettu.fi/-/yhdenvertaisuusvaltuutetun-kirje-sisaministeri-mari-rantaselle-koskien-itarajan-ihmisoikeustilannetta</w:t>
        </w:r>
      </w:hyperlink>
      <w:r w:rsidRPr="00242DCE">
        <w:rPr>
          <w:rFonts w:asciiTheme="minorHAnsi" w:eastAsia="Aptos" w:hAnsiTheme="minorHAnsi" w:cs="Aptos"/>
          <w:lang w:val="en-US"/>
        </w:rPr>
        <w:t xml:space="preserve">. </w:t>
      </w:r>
    </w:p>
    <w:p w14:paraId="0C0BD760" w14:textId="77777777" w:rsidR="005536F0" w:rsidRPr="00242DCE" w:rsidRDefault="005536F0" w:rsidP="00242DCE">
      <w:pPr>
        <w:pStyle w:val="FootnoteText"/>
        <w:spacing w:after="0"/>
        <w:rPr>
          <w:rFonts w:asciiTheme="minorHAnsi" w:hAnsiTheme="minorHAnsi"/>
          <w:lang w:val="en-US"/>
        </w:rPr>
      </w:pPr>
      <w:r w:rsidRPr="00242DCE">
        <w:rPr>
          <w:rFonts w:asciiTheme="minorHAnsi" w:eastAsia="Aptos" w:hAnsiTheme="minorHAnsi" w:cs="Aptos"/>
          <w:lang w:val="en-US"/>
        </w:rPr>
        <w:t xml:space="preserve">The Council of Europe’s Human Rights Commissioner and the UNHCR have also expressed their concerns about the risk of violation of access to asylum and non-refoulement: see Commissioner for Human Rights, Finland: Concern over right to seek asylum and need for human rights safeguards after full closure of Eastern land border, 11 December 2023, </w:t>
      </w:r>
      <w:hyperlink r:id="rId122" w:history="1">
        <w:r w:rsidRPr="00242DCE">
          <w:rPr>
            <w:rStyle w:val="Hyperlink"/>
            <w:rFonts w:asciiTheme="minorHAnsi" w:eastAsia="Aptos" w:hAnsiTheme="minorHAnsi" w:cs="Aptos"/>
            <w:lang w:val="en-US"/>
          </w:rPr>
          <w:t>https://www.coe.int/en/web/commissioner/-/finland-concern-over%20right-to-seek-asylum-and-need-for-human-rights-safeguards-after-full-closure-of-eastern-land-border</w:t>
        </w:r>
      </w:hyperlink>
      <w:r w:rsidRPr="00242DCE">
        <w:rPr>
          <w:rFonts w:asciiTheme="minorHAnsi" w:eastAsia="Aptos" w:hAnsiTheme="minorHAnsi" w:cs="Aptos"/>
          <w:lang w:val="en-US"/>
        </w:rPr>
        <w:t xml:space="preserve">. </w:t>
      </w:r>
    </w:p>
  </w:footnote>
  <w:footnote w:id="113">
    <w:p w14:paraId="3D523FD0" w14:textId="77777777" w:rsidR="005536F0" w:rsidRPr="00242DCE" w:rsidRDefault="005536F0" w:rsidP="00242DCE">
      <w:pPr>
        <w:pStyle w:val="FootnoteText"/>
        <w:spacing w:after="0"/>
        <w:rPr>
          <w:rFonts w:asciiTheme="minorHAnsi" w:hAnsiTheme="minorHAnsi"/>
          <w:b/>
          <w:lang w:val="en-US"/>
        </w:rPr>
      </w:pPr>
      <w:r w:rsidRPr="00242DCE">
        <w:rPr>
          <w:rStyle w:val="FootnoteReference"/>
          <w:rFonts w:asciiTheme="minorHAnsi" w:hAnsiTheme="minorHAnsi"/>
        </w:rPr>
        <w:footnoteRef/>
      </w:r>
      <w:r w:rsidRPr="00242DCE">
        <w:rPr>
          <w:rFonts w:asciiTheme="minorHAnsi" w:hAnsiTheme="minorHAnsi"/>
          <w:lang w:val="en-US"/>
        </w:rPr>
        <w:t xml:space="preserve"> Ministry of the Interior, “Finnish Government prepares to extend validity of Border Security Act”, 26 May 2026, </w:t>
      </w:r>
      <w:hyperlink r:id="rId123" w:history="1">
        <w:r w:rsidRPr="00242DCE">
          <w:rPr>
            <w:rStyle w:val="Hyperlink"/>
            <w:rFonts w:asciiTheme="minorHAnsi" w:hAnsiTheme="minorHAnsi"/>
            <w:lang w:val="en-US"/>
          </w:rPr>
          <w:t>https://intermin.fi/-/hallitus-valmistelee-rajaturvallisuuslain-voimassaololle-jatkoa?languageId=en_US</w:t>
        </w:r>
      </w:hyperlink>
      <w:r w:rsidRPr="00242DCE">
        <w:rPr>
          <w:rFonts w:asciiTheme="minorHAnsi" w:hAnsiTheme="minorHAnsi"/>
          <w:b/>
          <w:bCs/>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7073BE" w14:paraId="59CA6E80" w14:textId="77777777" w:rsidTr="49BF71E3">
      <w:trPr>
        <w:trHeight w:val="300"/>
      </w:trPr>
      <w:tc>
        <w:tcPr>
          <w:tcW w:w="3020" w:type="dxa"/>
        </w:tcPr>
        <w:p w14:paraId="011DE333" w14:textId="5C0306B5" w:rsidR="49BF71E3" w:rsidRDefault="49BF71E3" w:rsidP="49BF71E3">
          <w:pPr>
            <w:pStyle w:val="Header"/>
            <w:ind w:left="-115"/>
          </w:pPr>
        </w:p>
      </w:tc>
      <w:tc>
        <w:tcPr>
          <w:tcW w:w="3020" w:type="dxa"/>
        </w:tcPr>
        <w:p w14:paraId="61679FCD" w14:textId="24008FFE" w:rsidR="49BF71E3" w:rsidRDefault="49BF71E3" w:rsidP="49BF71E3">
          <w:pPr>
            <w:pStyle w:val="Header"/>
            <w:jc w:val="center"/>
          </w:pPr>
        </w:p>
      </w:tc>
      <w:tc>
        <w:tcPr>
          <w:tcW w:w="3020" w:type="dxa"/>
        </w:tcPr>
        <w:p w14:paraId="72A99FB3" w14:textId="4944CC85" w:rsidR="49BF71E3" w:rsidRDefault="49BF71E3" w:rsidP="49BF71E3">
          <w:pPr>
            <w:pStyle w:val="Header"/>
            <w:ind w:right="-115"/>
            <w:jc w:val="right"/>
          </w:pPr>
        </w:p>
      </w:tc>
    </w:tr>
  </w:tbl>
  <w:p w14:paraId="39857D36" w14:textId="698F16F3" w:rsidR="004458F9" w:rsidRDefault="004458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6A02F87C" w14:textId="77777777" w:rsidTr="03616661">
      <w:trPr>
        <w:trHeight w:val="300"/>
      </w:trPr>
      <w:tc>
        <w:tcPr>
          <w:tcW w:w="3020" w:type="dxa"/>
        </w:tcPr>
        <w:p w14:paraId="569DB005" w14:textId="02477152" w:rsidR="03616661" w:rsidRDefault="03616661" w:rsidP="03616661">
          <w:pPr>
            <w:pStyle w:val="Header"/>
            <w:ind w:left="-115"/>
          </w:pPr>
        </w:p>
      </w:tc>
      <w:tc>
        <w:tcPr>
          <w:tcW w:w="3020" w:type="dxa"/>
        </w:tcPr>
        <w:p w14:paraId="2E9F3FFD" w14:textId="01FB5A63" w:rsidR="03616661" w:rsidRDefault="03616661" w:rsidP="03616661">
          <w:pPr>
            <w:pStyle w:val="Header"/>
            <w:jc w:val="center"/>
          </w:pPr>
        </w:p>
      </w:tc>
      <w:tc>
        <w:tcPr>
          <w:tcW w:w="3020" w:type="dxa"/>
        </w:tcPr>
        <w:p w14:paraId="34684A03" w14:textId="0FCFFAC8" w:rsidR="03616661" w:rsidRDefault="03616661" w:rsidP="03616661">
          <w:pPr>
            <w:pStyle w:val="Header"/>
            <w:ind w:right="-115"/>
            <w:jc w:val="right"/>
          </w:pPr>
        </w:p>
      </w:tc>
    </w:tr>
  </w:tbl>
  <w:p w14:paraId="1EDDC845" w14:textId="7DC7A820" w:rsidR="004458F9" w:rsidRDefault="004458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7073BE" w14:paraId="1651AC1E" w14:textId="77777777" w:rsidTr="49BF71E3">
      <w:trPr>
        <w:trHeight w:val="300"/>
      </w:trPr>
      <w:tc>
        <w:tcPr>
          <w:tcW w:w="3020" w:type="dxa"/>
        </w:tcPr>
        <w:p w14:paraId="6BB9D09C" w14:textId="430A7907" w:rsidR="49BF71E3" w:rsidRDefault="49BF71E3" w:rsidP="49BF71E3">
          <w:pPr>
            <w:pStyle w:val="Header"/>
            <w:ind w:left="-115"/>
          </w:pPr>
        </w:p>
      </w:tc>
      <w:tc>
        <w:tcPr>
          <w:tcW w:w="3020" w:type="dxa"/>
        </w:tcPr>
        <w:p w14:paraId="290A59E5" w14:textId="31F4EF96" w:rsidR="49BF71E3" w:rsidRDefault="49BF71E3" w:rsidP="49BF71E3">
          <w:pPr>
            <w:pStyle w:val="Header"/>
            <w:jc w:val="center"/>
          </w:pPr>
        </w:p>
      </w:tc>
      <w:tc>
        <w:tcPr>
          <w:tcW w:w="3020" w:type="dxa"/>
        </w:tcPr>
        <w:p w14:paraId="25B45EB0" w14:textId="7B31CC56" w:rsidR="49BF71E3" w:rsidRDefault="49BF71E3" w:rsidP="49BF71E3">
          <w:pPr>
            <w:pStyle w:val="Header"/>
            <w:ind w:right="-115"/>
            <w:jc w:val="right"/>
          </w:pPr>
        </w:p>
      </w:tc>
    </w:tr>
  </w:tbl>
  <w:p w14:paraId="5C34BFC5" w14:textId="39C2C361" w:rsidR="004458F9" w:rsidRDefault="004458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2A7E9878" w14:textId="77777777" w:rsidTr="03616661">
      <w:trPr>
        <w:trHeight w:val="300"/>
      </w:trPr>
      <w:tc>
        <w:tcPr>
          <w:tcW w:w="3020" w:type="dxa"/>
        </w:tcPr>
        <w:p w14:paraId="272E40C5" w14:textId="167275A6" w:rsidR="03616661" w:rsidRDefault="03616661" w:rsidP="03616661">
          <w:pPr>
            <w:pStyle w:val="Header"/>
            <w:ind w:left="-115"/>
          </w:pPr>
        </w:p>
      </w:tc>
      <w:tc>
        <w:tcPr>
          <w:tcW w:w="3020" w:type="dxa"/>
        </w:tcPr>
        <w:p w14:paraId="34B5966B" w14:textId="4404E00A" w:rsidR="03616661" w:rsidRDefault="03616661" w:rsidP="03616661">
          <w:pPr>
            <w:pStyle w:val="Header"/>
            <w:jc w:val="center"/>
          </w:pPr>
        </w:p>
      </w:tc>
      <w:tc>
        <w:tcPr>
          <w:tcW w:w="3020" w:type="dxa"/>
        </w:tcPr>
        <w:p w14:paraId="1AB121C0" w14:textId="6B5D6B28" w:rsidR="03616661" w:rsidRDefault="03616661" w:rsidP="03616661">
          <w:pPr>
            <w:pStyle w:val="Header"/>
            <w:ind w:right="-115"/>
            <w:jc w:val="right"/>
          </w:pPr>
        </w:p>
      </w:tc>
    </w:tr>
  </w:tbl>
  <w:p w14:paraId="4D1B483C" w14:textId="52B83640" w:rsidR="004458F9" w:rsidRDefault="004458F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0956CF" w14:paraId="5F595216" w14:textId="77777777" w:rsidTr="49BF71E3">
      <w:trPr>
        <w:trHeight w:val="300"/>
      </w:trPr>
      <w:tc>
        <w:tcPr>
          <w:tcW w:w="3020" w:type="dxa"/>
        </w:tcPr>
        <w:p w14:paraId="2A6E024E" w14:textId="0F460731" w:rsidR="49BF71E3" w:rsidRDefault="49BF71E3" w:rsidP="49BF71E3">
          <w:pPr>
            <w:pStyle w:val="Header"/>
            <w:ind w:left="-115"/>
          </w:pPr>
        </w:p>
      </w:tc>
      <w:tc>
        <w:tcPr>
          <w:tcW w:w="3020" w:type="dxa"/>
        </w:tcPr>
        <w:p w14:paraId="0BF61DCE" w14:textId="4018CEF8" w:rsidR="49BF71E3" w:rsidRDefault="49BF71E3" w:rsidP="49BF71E3">
          <w:pPr>
            <w:pStyle w:val="Header"/>
            <w:jc w:val="center"/>
          </w:pPr>
        </w:p>
      </w:tc>
      <w:tc>
        <w:tcPr>
          <w:tcW w:w="3020" w:type="dxa"/>
        </w:tcPr>
        <w:p w14:paraId="74FF30B4" w14:textId="6146D076" w:rsidR="49BF71E3" w:rsidRDefault="49BF71E3" w:rsidP="49BF71E3">
          <w:pPr>
            <w:pStyle w:val="Header"/>
            <w:ind w:right="-115"/>
            <w:jc w:val="right"/>
          </w:pPr>
        </w:p>
      </w:tc>
    </w:tr>
  </w:tbl>
  <w:p w14:paraId="453A0E53" w14:textId="5FD2ED51" w:rsidR="004458F9" w:rsidRDefault="004458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01004B31" w14:textId="77777777" w:rsidTr="03616661">
      <w:trPr>
        <w:trHeight w:val="300"/>
      </w:trPr>
      <w:tc>
        <w:tcPr>
          <w:tcW w:w="3020" w:type="dxa"/>
        </w:tcPr>
        <w:p w14:paraId="679CEB66" w14:textId="2C5DE419" w:rsidR="03616661" w:rsidRDefault="03616661" w:rsidP="03616661">
          <w:pPr>
            <w:pStyle w:val="Header"/>
            <w:ind w:left="-115"/>
          </w:pPr>
        </w:p>
      </w:tc>
      <w:tc>
        <w:tcPr>
          <w:tcW w:w="3020" w:type="dxa"/>
        </w:tcPr>
        <w:p w14:paraId="7CC80ACF" w14:textId="10248276" w:rsidR="03616661" w:rsidRDefault="03616661" w:rsidP="03616661">
          <w:pPr>
            <w:pStyle w:val="Header"/>
            <w:jc w:val="center"/>
          </w:pPr>
        </w:p>
      </w:tc>
      <w:tc>
        <w:tcPr>
          <w:tcW w:w="3020" w:type="dxa"/>
        </w:tcPr>
        <w:p w14:paraId="15A86ABF" w14:textId="2BC97156" w:rsidR="03616661" w:rsidRDefault="03616661" w:rsidP="03616661">
          <w:pPr>
            <w:pStyle w:val="Header"/>
            <w:ind w:right="-115"/>
            <w:jc w:val="right"/>
          </w:pPr>
        </w:p>
      </w:tc>
    </w:tr>
  </w:tbl>
  <w:p w14:paraId="2AAF0196" w14:textId="12E48534" w:rsidR="004458F9" w:rsidRDefault="004458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9BF71E3" w14:paraId="59EFA5F9" w14:textId="77777777" w:rsidTr="49BF71E3">
      <w:trPr>
        <w:trHeight w:val="300"/>
      </w:trPr>
      <w:tc>
        <w:tcPr>
          <w:tcW w:w="3020" w:type="dxa"/>
        </w:tcPr>
        <w:p w14:paraId="14788D22" w14:textId="1A7677EC" w:rsidR="49BF71E3" w:rsidRDefault="49BF71E3" w:rsidP="49BF71E3">
          <w:pPr>
            <w:pStyle w:val="Header"/>
            <w:ind w:left="-115"/>
          </w:pPr>
        </w:p>
      </w:tc>
      <w:tc>
        <w:tcPr>
          <w:tcW w:w="3020" w:type="dxa"/>
        </w:tcPr>
        <w:p w14:paraId="0CC92EC6" w14:textId="3D6168BD" w:rsidR="49BF71E3" w:rsidRDefault="49BF71E3" w:rsidP="49BF71E3">
          <w:pPr>
            <w:pStyle w:val="Header"/>
            <w:jc w:val="center"/>
          </w:pPr>
        </w:p>
      </w:tc>
      <w:tc>
        <w:tcPr>
          <w:tcW w:w="3020" w:type="dxa"/>
        </w:tcPr>
        <w:p w14:paraId="7CD418AC" w14:textId="4CEB9283" w:rsidR="49BF71E3" w:rsidRDefault="49BF71E3" w:rsidP="49BF71E3">
          <w:pPr>
            <w:pStyle w:val="Header"/>
            <w:ind w:right="-115"/>
            <w:jc w:val="right"/>
          </w:pPr>
        </w:p>
      </w:tc>
    </w:tr>
  </w:tbl>
  <w:p w14:paraId="64AD6CEA" w14:textId="08828881" w:rsidR="004458F9" w:rsidRDefault="004458F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0956CF" w14:paraId="649BFACA" w14:textId="77777777" w:rsidTr="03616661">
      <w:trPr>
        <w:trHeight w:val="300"/>
      </w:trPr>
      <w:tc>
        <w:tcPr>
          <w:tcW w:w="3020" w:type="dxa"/>
        </w:tcPr>
        <w:p w14:paraId="586790D0" w14:textId="688823D0" w:rsidR="03616661" w:rsidRDefault="03616661" w:rsidP="03616661">
          <w:pPr>
            <w:pStyle w:val="Header"/>
            <w:ind w:left="-115"/>
          </w:pPr>
        </w:p>
      </w:tc>
      <w:tc>
        <w:tcPr>
          <w:tcW w:w="3020" w:type="dxa"/>
        </w:tcPr>
        <w:p w14:paraId="6E0B261F" w14:textId="78130480" w:rsidR="03616661" w:rsidRDefault="03616661" w:rsidP="03616661">
          <w:pPr>
            <w:pStyle w:val="Header"/>
            <w:jc w:val="center"/>
          </w:pPr>
        </w:p>
      </w:tc>
      <w:tc>
        <w:tcPr>
          <w:tcW w:w="3020" w:type="dxa"/>
        </w:tcPr>
        <w:p w14:paraId="0699A05C" w14:textId="7219567F" w:rsidR="03616661" w:rsidRDefault="03616661" w:rsidP="03616661">
          <w:pPr>
            <w:pStyle w:val="Header"/>
            <w:ind w:right="-115"/>
            <w:jc w:val="right"/>
          </w:pPr>
        </w:p>
      </w:tc>
    </w:tr>
  </w:tbl>
  <w:p w14:paraId="4A5744CD" w14:textId="1149108C" w:rsidR="004458F9" w:rsidRDefault="004458F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9BF71E3" w14:paraId="78F223BD" w14:textId="77777777" w:rsidTr="49BF71E3">
      <w:trPr>
        <w:trHeight w:val="300"/>
      </w:trPr>
      <w:tc>
        <w:tcPr>
          <w:tcW w:w="3020" w:type="dxa"/>
        </w:tcPr>
        <w:p w14:paraId="0FA4F7AE" w14:textId="5842290E" w:rsidR="49BF71E3" w:rsidRDefault="49BF71E3" w:rsidP="49BF71E3">
          <w:pPr>
            <w:pStyle w:val="Header"/>
            <w:ind w:left="-115"/>
          </w:pPr>
        </w:p>
      </w:tc>
      <w:tc>
        <w:tcPr>
          <w:tcW w:w="3020" w:type="dxa"/>
        </w:tcPr>
        <w:p w14:paraId="665EBA2B" w14:textId="790D00E9" w:rsidR="49BF71E3" w:rsidRDefault="49BF71E3" w:rsidP="49BF71E3">
          <w:pPr>
            <w:pStyle w:val="Header"/>
            <w:jc w:val="center"/>
          </w:pPr>
        </w:p>
      </w:tc>
      <w:tc>
        <w:tcPr>
          <w:tcW w:w="3020" w:type="dxa"/>
        </w:tcPr>
        <w:p w14:paraId="0ADEDD0E" w14:textId="0CE61FA1" w:rsidR="49BF71E3" w:rsidRDefault="49BF71E3" w:rsidP="49BF71E3">
          <w:pPr>
            <w:pStyle w:val="Header"/>
            <w:ind w:right="-115"/>
            <w:jc w:val="right"/>
          </w:pPr>
        </w:p>
      </w:tc>
    </w:tr>
  </w:tbl>
  <w:p w14:paraId="0C0A19DA" w14:textId="27553195" w:rsidR="004458F9" w:rsidRDefault="004458F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7AA75ECD" w14:textId="77777777" w:rsidTr="03616661">
      <w:trPr>
        <w:trHeight w:val="300"/>
      </w:trPr>
      <w:tc>
        <w:tcPr>
          <w:tcW w:w="3020" w:type="dxa"/>
        </w:tcPr>
        <w:p w14:paraId="0F3A61E0" w14:textId="7A9136E4" w:rsidR="03616661" w:rsidRDefault="03616661" w:rsidP="03616661">
          <w:pPr>
            <w:pStyle w:val="Header"/>
            <w:ind w:left="-115"/>
          </w:pPr>
        </w:p>
      </w:tc>
      <w:tc>
        <w:tcPr>
          <w:tcW w:w="3020" w:type="dxa"/>
        </w:tcPr>
        <w:p w14:paraId="19051925" w14:textId="0EA92A7C" w:rsidR="03616661" w:rsidRDefault="03616661" w:rsidP="03616661">
          <w:pPr>
            <w:pStyle w:val="Header"/>
            <w:jc w:val="center"/>
          </w:pPr>
        </w:p>
      </w:tc>
      <w:tc>
        <w:tcPr>
          <w:tcW w:w="3020" w:type="dxa"/>
        </w:tcPr>
        <w:p w14:paraId="6FF9F921" w14:textId="0A627A2B" w:rsidR="03616661" w:rsidRDefault="03616661" w:rsidP="03616661">
          <w:pPr>
            <w:pStyle w:val="Header"/>
            <w:ind w:right="-115"/>
            <w:jc w:val="right"/>
          </w:pPr>
        </w:p>
      </w:tc>
    </w:tr>
  </w:tbl>
  <w:p w14:paraId="46D620BB" w14:textId="66C6EA60" w:rsidR="004458F9" w:rsidRDefault="00445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76421"/>
    <w:multiLevelType w:val="hybridMultilevel"/>
    <w:tmpl w:val="39FAAA74"/>
    <w:lvl w:ilvl="0" w:tplc="A76C48CE">
      <w:start w:val="1"/>
      <w:numFmt w:val="bullet"/>
      <w:lvlText w:val="§"/>
      <w:lvlJc w:val="left"/>
      <w:pPr>
        <w:ind w:left="720" w:hanging="360"/>
      </w:pPr>
      <w:rPr>
        <w:rFonts w:ascii="Wingdings" w:eastAsia="Wingdings" w:hAnsi="Wingdings" w:cs="Wingdings"/>
      </w:rPr>
    </w:lvl>
    <w:lvl w:ilvl="1" w:tplc="7EE4912E">
      <w:start w:val="1"/>
      <w:numFmt w:val="bullet"/>
      <w:lvlText w:val="o"/>
      <w:lvlJc w:val="left"/>
      <w:pPr>
        <w:ind w:left="1440" w:hanging="360"/>
      </w:pPr>
      <w:rPr>
        <w:rFonts w:ascii="Courier New" w:eastAsia="Courier New" w:hAnsi="Courier New" w:cs="Courier New" w:hint="default"/>
      </w:rPr>
    </w:lvl>
    <w:lvl w:ilvl="2" w:tplc="00FC0FEE">
      <w:start w:val="1"/>
      <w:numFmt w:val="bullet"/>
      <w:lvlText w:val="§"/>
      <w:lvlJc w:val="left"/>
      <w:pPr>
        <w:ind w:left="2160" w:hanging="360"/>
      </w:pPr>
      <w:rPr>
        <w:rFonts w:ascii="Wingdings" w:eastAsia="Wingdings" w:hAnsi="Wingdings" w:cs="Wingdings" w:hint="default"/>
      </w:rPr>
    </w:lvl>
    <w:lvl w:ilvl="3" w:tplc="7278CBF0">
      <w:start w:val="1"/>
      <w:numFmt w:val="bullet"/>
      <w:lvlText w:val="·"/>
      <w:lvlJc w:val="left"/>
      <w:pPr>
        <w:ind w:left="2880" w:hanging="360"/>
      </w:pPr>
      <w:rPr>
        <w:rFonts w:ascii="Symbol" w:eastAsia="Symbol" w:hAnsi="Symbol" w:cs="Symbol" w:hint="default"/>
      </w:rPr>
    </w:lvl>
    <w:lvl w:ilvl="4" w:tplc="5876011A">
      <w:start w:val="1"/>
      <w:numFmt w:val="bullet"/>
      <w:lvlText w:val="o"/>
      <w:lvlJc w:val="left"/>
      <w:pPr>
        <w:ind w:left="3600" w:hanging="360"/>
      </w:pPr>
      <w:rPr>
        <w:rFonts w:ascii="Courier New" w:eastAsia="Courier New" w:hAnsi="Courier New" w:cs="Courier New" w:hint="default"/>
      </w:rPr>
    </w:lvl>
    <w:lvl w:ilvl="5" w:tplc="B572472A">
      <w:start w:val="1"/>
      <w:numFmt w:val="bullet"/>
      <w:lvlText w:val="§"/>
      <w:lvlJc w:val="left"/>
      <w:pPr>
        <w:ind w:left="4320" w:hanging="360"/>
      </w:pPr>
      <w:rPr>
        <w:rFonts w:ascii="Wingdings" w:eastAsia="Wingdings" w:hAnsi="Wingdings" w:cs="Wingdings" w:hint="default"/>
      </w:rPr>
    </w:lvl>
    <w:lvl w:ilvl="6" w:tplc="9BC2D6D6">
      <w:start w:val="1"/>
      <w:numFmt w:val="bullet"/>
      <w:lvlText w:val="·"/>
      <w:lvlJc w:val="left"/>
      <w:pPr>
        <w:ind w:left="5040" w:hanging="360"/>
      </w:pPr>
      <w:rPr>
        <w:rFonts w:ascii="Symbol" w:eastAsia="Symbol" w:hAnsi="Symbol" w:cs="Symbol" w:hint="default"/>
      </w:rPr>
    </w:lvl>
    <w:lvl w:ilvl="7" w:tplc="7132094A">
      <w:start w:val="1"/>
      <w:numFmt w:val="bullet"/>
      <w:lvlText w:val="o"/>
      <w:lvlJc w:val="left"/>
      <w:pPr>
        <w:ind w:left="5760" w:hanging="360"/>
      </w:pPr>
      <w:rPr>
        <w:rFonts w:ascii="Courier New" w:eastAsia="Courier New" w:hAnsi="Courier New" w:cs="Courier New" w:hint="default"/>
      </w:rPr>
    </w:lvl>
    <w:lvl w:ilvl="8" w:tplc="AC2A3C80">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4F6D4526"/>
    <w:multiLevelType w:val="multilevel"/>
    <w:tmpl w:val="29CE2A8A"/>
    <w:lvl w:ilvl="0">
      <w:start w:val="1"/>
      <w:numFmt w:val="decimal"/>
      <w:pStyle w:val="BNumberedHeading"/>
      <w:lvlText w:val="%1."/>
      <w:lvlJc w:val="left"/>
      <w:pPr>
        <w:ind w:left="786" w:hanging="360"/>
      </w:pPr>
      <w:rPr>
        <w:rFonts w:hint="default"/>
      </w:rPr>
    </w:lvl>
    <w:lvl w:ilvl="1">
      <w:start w:val="1"/>
      <w:numFmt w:val="decimal"/>
      <w:pStyle w:val="BNumberedSubheading"/>
      <w:lvlText w:val="%1.%2"/>
      <w:lvlJc w:val="left"/>
      <w:pPr>
        <w:ind w:left="502"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5F6458FE"/>
    <w:multiLevelType w:val="hybridMultilevel"/>
    <w:tmpl w:val="76562B42"/>
    <w:lvl w:ilvl="0" w:tplc="6ABC24FC">
      <w:start w:val="4"/>
      <w:numFmt w:val="bullet"/>
      <w:lvlText w:val="-"/>
      <w:lvlJc w:val="left"/>
      <w:pPr>
        <w:ind w:left="1080" w:hanging="360"/>
      </w:pPr>
      <w:rPr>
        <w:rFonts w:ascii="Amnesty Trade Gothic" w:eastAsia="Times New Roman" w:hAnsi="Amnesty Trade Gothic" w:cs="Times New Roman" w:hint="default"/>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3" w15:restartNumberingAfterBreak="0">
    <w:nsid w:val="5FA7419A"/>
    <w:multiLevelType w:val="multilevel"/>
    <w:tmpl w:val="C47C4438"/>
    <w:lvl w:ilvl="0">
      <w:start w:val="4"/>
      <w:numFmt w:val="bullet"/>
      <w:lvlText w:val="-"/>
      <w:lvlJc w:val="left"/>
      <w:pPr>
        <w:tabs>
          <w:tab w:val="num" w:pos="720"/>
        </w:tabs>
        <w:ind w:left="720" w:hanging="360"/>
      </w:pPr>
      <w:rPr>
        <w:rFonts w:ascii="Amnesty Trade Gothic" w:eastAsia="Times New Roman" w:hAnsi="Amnesty Trade Gothic"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323934"/>
    <w:multiLevelType w:val="hybridMultilevel"/>
    <w:tmpl w:val="A0F441CE"/>
    <w:lvl w:ilvl="0" w:tplc="6ABC24FC">
      <w:start w:val="4"/>
      <w:numFmt w:val="bullet"/>
      <w:lvlText w:val="-"/>
      <w:lvlJc w:val="left"/>
      <w:pPr>
        <w:ind w:left="720" w:hanging="360"/>
      </w:pPr>
      <w:rPr>
        <w:rFonts w:ascii="Amnesty Trade Gothic" w:eastAsia="Times New Roman" w:hAnsi="Amnesty Trade Gothic" w:cs="Times New Roman" w:hint="default"/>
      </w:rPr>
    </w:lvl>
    <w:lvl w:ilvl="1" w:tplc="FFFFFFFF">
      <w:start w:val="1"/>
      <w:numFmt w:val="bullet"/>
      <w:lvlText w:val="o"/>
      <w:lvlJc w:val="left"/>
      <w:pPr>
        <w:ind w:left="1440" w:hanging="360"/>
      </w:pPr>
      <w:rPr>
        <w:rFonts w:ascii="Courier New" w:eastAsia="Courier New" w:hAnsi="Courier New" w:cs="Courier New"/>
      </w:rPr>
    </w:lvl>
    <w:lvl w:ilvl="2" w:tplc="FFFFFFFF">
      <w:start w:val="1"/>
      <w:numFmt w:val="bullet"/>
      <w:lvlText w:val=""/>
      <w:lvlJc w:val="left"/>
      <w:pPr>
        <w:ind w:left="2160" w:hanging="360"/>
      </w:pPr>
      <w:rPr>
        <w:rFonts w:ascii="Wingdings" w:eastAsia="Wingdings" w:hAnsi="Wingdings" w:cs="Wingdings"/>
      </w:rPr>
    </w:lvl>
    <w:lvl w:ilvl="3" w:tplc="FFFFFFFF">
      <w:start w:val="1"/>
      <w:numFmt w:val="bullet"/>
      <w:lvlText w:val=""/>
      <w:lvlJc w:val="left"/>
      <w:pPr>
        <w:ind w:left="2880" w:hanging="360"/>
      </w:pPr>
      <w:rPr>
        <w:rFonts w:ascii="Symbol" w:eastAsia="Symbol" w:hAnsi="Symbol" w:cs="Symbol"/>
      </w:rPr>
    </w:lvl>
    <w:lvl w:ilvl="4" w:tplc="FFFFFFFF">
      <w:start w:val="1"/>
      <w:numFmt w:val="bullet"/>
      <w:lvlText w:val="o"/>
      <w:lvlJc w:val="left"/>
      <w:pPr>
        <w:ind w:left="3600" w:hanging="360"/>
      </w:pPr>
      <w:rPr>
        <w:rFonts w:ascii="Courier New" w:eastAsia="Courier New" w:hAnsi="Courier New" w:cs="Courier New"/>
      </w:rPr>
    </w:lvl>
    <w:lvl w:ilvl="5" w:tplc="FFFFFFFF">
      <w:start w:val="1"/>
      <w:numFmt w:val="bullet"/>
      <w:lvlText w:val=""/>
      <w:lvlJc w:val="left"/>
      <w:pPr>
        <w:ind w:left="4320" w:hanging="360"/>
      </w:pPr>
      <w:rPr>
        <w:rFonts w:ascii="Wingdings" w:eastAsia="Wingdings" w:hAnsi="Wingdings" w:cs="Wingdings"/>
      </w:rPr>
    </w:lvl>
    <w:lvl w:ilvl="6" w:tplc="FFFFFFFF">
      <w:start w:val="1"/>
      <w:numFmt w:val="bullet"/>
      <w:lvlText w:val=""/>
      <w:lvlJc w:val="left"/>
      <w:pPr>
        <w:ind w:left="5040" w:hanging="360"/>
      </w:pPr>
      <w:rPr>
        <w:rFonts w:ascii="Symbol" w:eastAsia="Symbol" w:hAnsi="Symbol" w:cs="Symbol"/>
      </w:rPr>
    </w:lvl>
    <w:lvl w:ilvl="7" w:tplc="FFFFFFFF">
      <w:start w:val="1"/>
      <w:numFmt w:val="bullet"/>
      <w:lvlText w:val="o"/>
      <w:lvlJc w:val="left"/>
      <w:pPr>
        <w:ind w:left="5760" w:hanging="360"/>
      </w:pPr>
      <w:rPr>
        <w:rFonts w:ascii="Courier New" w:eastAsia="Courier New" w:hAnsi="Courier New" w:cs="Courier New"/>
      </w:rPr>
    </w:lvl>
    <w:lvl w:ilvl="8" w:tplc="FFFFFFFF">
      <w:start w:val="1"/>
      <w:numFmt w:val="bullet"/>
      <w:lvlText w:val=""/>
      <w:lvlJc w:val="left"/>
      <w:pPr>
        <w:ind w:left="6480" w:hanging="360"/>
      </w:pPr>
      <w:rPr>
        <w:rFonts w:ascii="Wingdings" w:eastAsia="Wingdings" w:hAnsi="Wingdings" w:cs="Wingdings"/>
      </w:rPr>
    </w:lvl>
  </w:abstractNum>
  <w:abstractNum w:abstractNumId="5" w15:restartNumberingAfterBreak="0">
    <w:nsid w:val="744D70C3"/>
    <w:multiLevelType w:val="hybridMultilevel"/>
    <w:tmpl w:val="5EC88CD4"/>
    <w:lvl w:ilvl="0" w:tplc="6ABC24FC">
      <w:start w:val="4"/>
      <w:numFmt w:val="bullet"/>
      <w:lvlText w:val="-"/>
      <w:lvlJc w:val="left"/>
      <w:pPr>
        <w:ind w:left="720" w:hanging="360"/>
      </w:pPr>
      <w:rPr>
        <w:rFonts w:ascii="Amnesty Trade Gothic" w:eastAsia="Times New Roman" w:hAnsi="Amnesty Trade Gothic"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788A1F0D"/>
    <w:multiLevelType w:val="multilevel"/>
    <w:tmpl w:val="F4C6080C"/>
    <w:lvl w:ilvl="0">
      <w:start w:val="4"/>
      <w:numFmt w:val="bullet"/>
      <w:lvlText w:val="-"/>
      <w:lvlJc w:val="left"/>
      <w:pPr>
        <w:tabs>
          <w:tab w:val="num" w:pos="720"/>
        </w:tabs>
        <w:ind w:left="720" w:hanging="360"/>
      </w:pPr>
      <w:rPr>
        <w:rFonts w:ascii="Amnesty Trade Gothic" w:eastAsia="Times New Roman" w:hAnsi="Amnesty Trade Gothic"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85061">
    <w:abstractNumId w:val="1"/>
  </w:num>
  <w:num w:numId="2" w16cid:durableId="915699735">
    <w:abstractNumId w:val="0"/>
  </w:num>
  <w:num w:numId="3" w16cid:durableId="1938367179">
    <w:abstractNumId w:val="6"/>
  </w:num>
  <w:num w:numId="4" w16cid:durableId="74589839">
    <w:abstractNumId w:val="5"/>
  </w:num>
  <w:num w:numId="5" w16cid:durableId="854459303">
    <w:abstractNumId w:val="4"/>
  </w:num>
  <w:num w:numId="6" w16cid:durableId="1940603006">
    <w:abstractNumId w:val="3"/>
  </w:num>
  <w:num w:numId="7" w16cid:durableId="112184982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removePersonalInformation/>
  <w:removeDateAndTime/>
  <w:displayBackgroundShap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D2B"/>
    <w:rsid w:val="00002967"/>
    <w:rsid w:val="0000759A"/>
    <w:rsid w:val="000076C7"/>
    <w:rsid w:val="0001250D"/>
    <w:rsid w:val="00012E5D"/>
    <w:rsid w:val="00014BD2"/>
    <w:rsid w:val="00021154"/>
    <w:rsid w:val="000216A6"/>
    <w:rsid w:val="00021885"/>
    <w:rsid w:val="000219C8"/>
    <w:rsid w:val="000220A1"/>
    <w:rsid w:val="00022B80"/>
    <w:rsid w:val="00024DCB"/>
    <w:rsid w:val="000259F7"/>
    <w:rsid w:val="00025AFD"/>
    <w:rsid w:val="00025BEA"/>
    <w:rsid w:val="00027642"/>
    <w:rsid w:val="00031C00"/>
    <w:rsid w:val="000321A1"/>
    <w:rsid w:val="000357E2"/>
    <w:rsid w:val="0004125F"/>
    <w:rsid w:val="00047715"/>
    <w:rsid w:val="00047E34"/>
    <w:rsid w:val="0005087E"/>
    <w:rsid w:val="000513F1"/>
    <w:rsid w:val="00051856"/>
    <w:rsid w:val="00051870"/>
    <w:rsid w:val="000541AE"/>
    <w:rsid w:val="0006015B"/>
    <w:rsid w:val="00060365"/>
    <w:rsid w:val="000604C6"/>
    <w:rsid w:val="000614B5"/>
    <w:rsid w:val="00063F8B"/>
    <w:rsid w:val="000659FC"/>
    <w:rsid w:val="00065FFC"/>
    <w:rsid w:val="000660E7"/>
    <w:rsid w:val="0006664D"/>
    <w:rsid w:val="0006667A"/>
    <w:rsid w:val="00070213"/>
    <w:rsid w:val="00070657"/>
    <w:rsid w:val="00070F7F"/>
    <w:rsid w:val="00071228"/>
    <w:rsid w:val="0007232C"/>
    <w:rsid w:val="00073FBF"/>
    <w:rsid w:val="00076582"/>
    <w:rsid w:val="0007677B"/>
    <w:rsid w:val="00077EBB"/>
    <w:rsid w:val="000808AF"/>
    <w:rsid w:val="00081537"/>
    <w:rsid w:val="0008415F"/>
    <w:rsid w:val="00085AA0"/>
    <w:rsid w:val="00087161"/>
    <w:rsid w:val="00090DB1"/>
    <w:rsid w:val="000913EF"/>
    <w:rsid w:val="000922C7"/>
    <w:rsid w:val="000956CF"/>
    <w:rsid w:val="00096555"/>
    <w:rsid w:val="00097649"/>
    <w:rsid w:val="000A1082"/>
    <w:rsid w:val="000A208A"/>
    <w:rsid w:val="000A24AA"/>
    <w:rsid w:val="000A2ED3"/>
    <w:rsid w:val="000A3D06"/>
    <w:rsid w:val="000A5C98"/>
    <w:rsid w:val="000A6D87"/>
    <w:rsid w:val="000A7758"/>
    <w:rsid w:val="000A7F82"/>
    <w:rsid w:val="000B0CB0"/>
    <w:rsid w:val="000B3317"/>
    <w:rsid w:val="000B3BD6"/>
    <w:rsid w:val="000B527D"/>
    <w:rsid w:val="000B7EEA"/>
    <w:rsid w:val="000C1241"/>
    <w:rsid w:val="000C2825"/>
    <w:rsid w:val="000C3904"/>
    <w:rsid w:val="000C3C34"/>
    <w:rsid w:val="000C5B09"/>
    <w:rsid w:val="000C6161"/>
    <w:rsid w:val="000C6F0C"/>
    <w:rsid w:val="000D1B66"/>
    <w:rsid w:val="000D25B0"/>
    <w:rsid w:val="000D2639"/>
    <w:rsid w:val="000D26A3"/>
    <w:rsid w:val="000D2BD5"/>
    <w:rsid w:val="000D7368"/>
    <w:rsid w:val="000E2461"/>
    <w:rsid w:val="000E486F"/>
    <w:rsid w:val="000F5DC9"/>
    <w:rsid w:val="001008FE"/>
    <w:rsid w:val="00103AA0"/>
    <w:rsid w:val="001041FE"/>
    <w:rsid w:val="00104574"/>
    <w:rsid w:val="001057C5"/>
    <w:rsid w:val="00106326"/>
    <w:rsid w:val="00106694"/>
    <w:rsid w:val="001078C8"/>
    <w:rsid w:val="0011077E"/>
    <w:rsid w:val="00111FCC"/>
    <w:rsid w:val="00112CAF"/>
    <w:rsid w:val="00113E91"/>
    <w:rsid w:val="001140D3"/>
    <w:rsid w:val="001153D5"/>
    <w:rsid w:val="00116223"/>
    <w:rsid w:val="001169EE"/>
    <w:rsid w:val="001176E7"/>
    <w:rsid w:val="001178FF"/>
    <w:rsid w:val="00121885"/>
    <w:rsid w:val="00123192"/>
    <w:rsid w:val="001231E9"/>
    <w:rsid w:val="001237AA"/>
    <w:rsid w:val="00124692"/>
    <w:rsid w:val="00124E0C"/>
    <w:rsid w:val="001255EF"/>
    <w:rsid w:val="00125850"/>
    <w:rsid w:val="001263C5"/>
    <w:rsid w:val="00126A84"/>
    <w:rsid w:val="00130C4E"/>
    <w:rsid w:val="00131015"/>
    <w:rsid w:val="00132C3D"/>
    <w:rsid w:val="00132E35"/>
    <w:rsid w:val="00133396"/>
    <w:rsid w:val="00133535"/>
    <w:rsid w:val="0013566B"/>
    <w:rsid w:val="00135846"/>
    <w:rsid w:val="00135C10"/>
    <w:rsid w:val="00136367"/>
    <w:rsid w:val="00136468"/>
    <w:rsid w:val="00136DE7"/>
    <w:rsid w:val="00137621"/>
    <w:rsid w:val="00140418"/>
    <w:rsid w:val="00140BD9"/>
    <w:rsid w:val="00140CB1"/>
    <w:rsid w:val="0014349E"/>
    <w:rsid w:val="00144601"/>
    <w:rsid w:val="00144F63"/>
    <w:rsid w:val="00145497"/>
    <w:rsid w:val="0014679B"/>
    <w:rsid w:val="0015226A"/>
    <w:rsid w:val="00154926"/>
    <w:rsid w:val="00154C32"/>
    <w:rsid w:val="00155553"/>
    <w:rsid w:val="0015578A"/>
    <w:rsid w:val="001609FC"/>
    <w:rsid w:val="00161703"/>
    <w:rsid w:val="0016172B"/>
    <w:rsid w:val="00162896"/>
    <w:rsid w:val="00163908"/>
    <w:rsid w:val="001652F6"/>
    <w:rsid w:val="001655C9"/>
    <w:rsid w:val="00165EED"/>
    <w:rsid w:val="0016768A"/>
    <w:rsid w:val="001716AB"/>
    <w:rsid w:val="00172B3E"/>
    <w:rsid w:val="001737F7"/>
    <w:rsid w:val="00174EBB"/>
    <w:rsid w:val="001763E0"/>
    <w:rsid w:val="00177915"/>
    <w:rsid w:val="00180ABC"/>
    <w:rsid w:val="00181769"/>
    <w:rsid w:val="001822A9"/>
    <w:rsid w:val="00183E7F"/>
    <w:rsid w:val="00185CE2"/>
    <w:rsid w:val="00186073"/>
    <w:rsid w:val="0018743F"/>
    <w:rsid w:val="0018795D"/>
    <w:rsid w:val="00187CDD"/>
    <w:rsid w:val="001908A3"/>
    <w:rsid w:val="0019203A"/>
    <w:rsid w:val="00192767"/>
    <w:rsid w:val="001935D5"/>
    <w:rsid w:val="00195520"/>
    <w:rsid w:val="001A0359"/>
    <w:rsid w:val="001A03AE"/>
    <w:rsid w:val="001A089F"/>
    <w:rsid w:val="001A0C83"/>
    <w:rsid w:val="001A0E99"/>
    <w:rsid w:val="001A1A6A"/>
    <w:rsid w:val="001A1EBA"/>
    <w:rsid w:val="001A3A7D"/>
    <w:rsid w:val="001A685A"/>
    <w:rsid w:val="001A6EFC"/>
    <w:rsid w:val="001B1230"/>
    <w:rsid w:val="001B2194"/>
    <w:rsid w:val="001B2B26"/>
    <w:rsid w:val="001B38A3"/>
    <w:rsid w:val="001B3A03"/>
    <w:rsid w:val="001B4168"/>
    <w:rsid w:val="001B787D"/>
    <w:rsid w:val="001C2B8A"/>
    <w:rsid w:val="001C36E1"/>
    <w:rsid w:val="001C4B99"/>
    <w:rsid w:val="001C5866"/>
    <w:rsid w:val="001D411B"/>
    <w:rsid w:val="001D51A7"/>
    <w:rsid w:val="001D5317"/>
    <w:rsid w:val="001D7D31"/>
    <w:rsid w:val="001E41B9"/>
    <w:rsid w:val="001E449A"/>
    <w:rsid w:val="001E6726"/>
    <w:rsid w:val="001E7692"/>
    <w:rsid w:val="001E76B1"/>
    <w:rsid w:val="001E7BBB"/>
    <w:rsid w:val="001F0B46"/>
    <w:rsid w:val="001F0F4A"/>
    <w:rsid w:val="001F3076"/>
    <w:rsid w:val="001F36F8"/>
    <w:rsid w:val="001F392A"/>
    <w:rsid w:val="001F4352"/>
    <w:rsid w:val="001F5F43"/>
    <w:rsid w:val="001F6ADE"/>
    <w:rsid w:val="00200DC1"/>
    <w:rsid w:val="00202191"/>
    <w:rsid w:val="00203E03"/>
    <w:rsid w:val="00203E8F"/>
    <w:rsid w:val="0020551D"/>
    <w:rsid w:val="0020600F"/>
    <w:rsid w:val="00210F45"/>
    <w:rsid w:val="00212E93"/>
    <w:rsid w:val="0021319C"/>
    <w:rsid w:val="002138D6"/>
    <w:rsid w:val="00213B3D"/>
    <w:rsid w:val="002146C5"/>
    <w:rsid w:val="00215394"/>
    <w:rsid w:val="00217DDF"/>
    <w:rsid w:val="00220669"/>
    <w:rsid w:val="0022147F"/>
    <w:rsid w:val="0022249F"/>
    <w:rsid w:val="002229AD"/>
    <w:rsid w:val="0022451F"/>
    <w:rsid w:val="0022613B"/>
    <w:rsid w:val="00226522"/>
    <w:rsid w:val="002311B1"/>
    <w:rsid w:val="00231581"/>
    <w:rsid w:val="00232DD3"/>
    <w:rsid w:val="00233841"/>
    <w:rsid w:val="00233B50"/>
    <w:rsid w:val="00233D0D"/>
    <w:rsid w:val="00237933"/>
    <w:rsid w:val="00242AF2"/>
    <w:rsid w:val="00242DCE"/>
    <w:rsid w:val="00243174"/>
    <w:rsid w:val="002433E7"/>
    <w:rsid w:val="00246DCB"/>
    <w:rsid w:val="0025203F"/>
    <w:rsid w:val="002541A8"/>
    <w:rsid w:val="002545E8"/>
    <w:rsid w:val="00254FC0"/>
    <w:rsid w:val="00256D45"/>
    <w:rsid w:val="002603C2"/>
    <w:rsid w:val="0026103D"/>
    <w:rsid w:val="00261BFF"/>
    <w:rsid w:val="00261F4E"/>
    <w:rsid w:val="00262EB8"/>
    <w:rsid w:val="00263834"/>
    <w:rsid w:val="00264526"/>
    <w:rsid w:val="00266153"/>
    <w:rsid w:val="00266AD4"/>
    <w:rsid w:val="00270C21"/>
    <w:rsid w:val="002710FE"/>
    <w:rsid w:val="002712A3"/>
    <w:rsid w:val="00272FBA"/>
    <w:rsid w:val="002731B3"/>
    <w:rsid w:val="002758E9"/>
    <w:rsid w:val="00276728"/>
    <w:rsid w:val="00282E4D"/>
    <w:rsid w:val="00284B69"/>
    <w:rsid w:val="00286619"/>
    <w:rsid w:val="00286D21"/>
    <w:rsid w:val="00292DFB"/>
    <w:rsid w:val="002959EB"/>
    <w:rsid w:val="00295C31"/>
    <w:rsid w:val="0029650E"/>
    <w:rsid w:val="00297B06"/>
    <w:rsid w:val="002A4507"/>
    <w:rsid w:val="002A76CF"/>
    <w:rsid w:val="002B05E8"/>
    <w:rsid w:val="002B255A"/>
    <w:rsid w:val="002B379B"/>
    <w:rsid w:val="002B5487"/>
    <w:rsid w:val="002B5E67"/>
    <w:rsid w:val="002B6063"/>
    <w:rsid w:val="002B69BA"/>
    <w:rsid w:val="002B6CD5"/>
    <w:rsid w:val="002C1757"/>
    <w:rsid w:val="002C26F6"/>
    <w:rsid w:val="002C3FB0"/>
    <w:rsid w:val="002C4B9C"/>
    <w:rsid w:val="002C4EAA"/>
    <w:rsid w:val="002C5CBC"/>
    <w:rsid w:val="002C6498"/>
    <w:rsid w:val="002C745E"/>
    <w:rsid w:val="002C7AC6"/>
    <w:rsid w:val="002D2743"/>
    <w:rsid w:val="002D3CF6"/>
    <w:rsid w:val="002D4112"/>
    <w:rsid w:val="002D7BA1"/>
    <w:rsid w:val="002E05E9"/>
    <w:rsid w:val="002E15F3"/>
    <w:rsid w:val="002E4CC8"/>
    <w:rsid w:val="002E5E57"/>
    <w:rsid w:val="002E7671"/>
    <w:rsid w:val="002E7F19"/>
    <w:rsid w:val="002F193D"/>
    <w:rsid w:val="002F23A4"/>
    <w:rsid w:val="002F283E"/>
    <w:rsid w:val="002F2C56"/>
    <w:rsid w:val="002F4F98"/>
    <w:rsid w:val="002F5913"/>
    <w:rsid w:val="002F6FCC"/>
    <w:rsid w:val="002F7011"/>
    <w:rsid w:val="003002FD"/>
    <w:rsid w:val="00300D32"/>
    <w:rsid w:val="00300EFF"/>
    <w:rsid w:val="0030159B"/>
    <w:rsid w:val="00301724"/>
    <w:rsid w:val="00301B12"/>
    <w:rsid w:val="00301EE2"/>
    <w:rsid w:val="00303A78"/>
    <w:rsid w:val="003047FD"/>
    <w:rsid w:val="00305D1B"/>
    <w:rsid w:val="00306B2C"/>
    <w:rsid w:val="00306C0E"/>
    <w:rsid w:val="00311291"/>
    <w:rsid w:val="00313DC6"/>
    <w:rsid w:val="003141AA"/>
    <w:rsid w:val="00315190"/>
    <w:rsid w:val="003159EB"/>
    <w:rsid w:val="00315AAE"/>
    <w:rsid w:val="00317C85"/>
    <w:rsid w:val="00321055"/>
    <w:rsid w:val="00321B36"/>
    <w:rsid w:val="003247C3"/>
    <w:rsid w:val="0032480A"/>
    <w:rsid w:val="0032574A"/>
    <w:rsid w:val="00325CB9"/>
    <w:rsid w:val="00326603"/>
    <w:rsid w:val="003301AC"/>
    <w:rsid w:val="003311FC"/>
    <w:rsid w:val="003345F7"/>
    <w:rsid w:val="00335368"/>
    <w:rsid w:val="00335B02"/>
    <w:rsid w:val="00335C33"/>
    <w:rsid w:val="003408CB"/>
    <w:rsid w:val="00340DD4"/>
    <w:rsid w:val="00342011"/>
    <w:rsid w:val="003446FC"/>
    <w:rsid w:val="00345178"/>
    <w:rsid w:val="003454C8"/>
    <w:rsid w:val="00345756"/>
    <w:rsid w:val="00346173"/>
    <w:rsid w:val="003462A4"/>
    <w:rsid w:val="0034709B"/>
    <w:rsid w:val="0035046C"/>
    <w:rsid w:val="00350C5D"/>
    <w:rsid w:val="00350C78"/>
    <w:rsid w:val="00352162"/>
    <w:rsid w:val="00352DEE"/>
    <w:rsid w:val="00352EB8"/>
    <w:rsid w:val="00355567"/>
    <w:rsid w:val="00356FF9"/>
    <w:rsid w:val="0035786F"/>
    <w:rsid w:val="003601D0"/>
    <w:rsid w:val="00360496"/>
    <w:rsid w:val="003618E5"/>
    <w:rsid w:val="00361EFD"/>
    <w:rsid w:val="00363BFE"/>
    <w:rsid w:val="00364BCD"/>
    <w:rsid w:val="00364F9F"/>
    <w:rsid w:val="00365804"/>
    <w:rsid w:val="00372256"/>
    <w:rsid w:val="00373C35"/>
    <w:rsid w:val="00376059"/>
    <w:rsid w:val="003770CB"/>
    <w:rsid w:val="00377AF4"/>
    <w:rsid w:val="00382277"/>
    <w:rsid w:val="00383048"/>
    <w:rsid w:val="00384208"/>
    <w:rsid w:val="0038753F"/>
    <w:rsid w:val="0038754A"/>
    <w:rsid w:val="003910D6"/>
    <w:rsid w:val="0039149B"/>
    <w:rsid w:val="00391A8E"/>
    <w:rsid w:val="00391D04"/>
    <w:rsid w:val="00392F19"/>
    <w:rsid w:val="0039314E"/>
    <w:rsid w:val="003938EE"/>
    <w:rsid w:val="00397074"/>
    <w:rsid w:val="003A1382"/>
    <w:rsid w:val="003A15C9"/>
    <w:rsid w:val="003A412F"/>
    <w:rsid w:val="003A4CFD"/>
    <w:rsid w:val="003A4DBA"/>
    <w:rsid w:val="003A5B2E"/>
    <w:rsid w:val="003A7195"/>
    <w:rsid w:val="003B146D"/>
    <w:rsid w:val="003B1B2C"/>
    <w:rsid w:val="003B1E1B"/>
    <w:rsid w:val="003B2433"/>
    <w:rsid w:val="003B366A"/>
    <w:rsid w:val="003B589C"/>
    <w:rsid w:val="003B6AFE"/>
    <w:rsid w:val="003C17C4"/>
    <w:rsid w:val="003C2477"/>
    <w:rsid w:val="003C499F"/>
    <w:rsid w:val="003C54DB"/>
    <w:rsid w:val="003C5F3A"/>
    <w:rsid w:val="003C7457"/>
    <w:rsid w:val="003D1AB2"/>
    <w:rsid w:val="003D3442"/>
    <w:rsid w:val="003D4123"/>
    <w:rsid w:val="003D61B4"/>
    <w:rsid w:val="003D7719"/>
    <w:rsid w:val="003E008B"/>
    <w:rsid w:val="003E027B"/>
    <w:rsid w:val="003E2AA1"/>
    <w:rsid w:val="003E4915"/>
    <w:rsid w:val="003E5D30"/>
    <w:rsid w:val="003E7C09"/>
    <w:rsid w:val="003F07A4"/>
    <w:rsid w:val="003F0AC3"/>
    <w:rsid w:val="003F1316"/>
    <w:rsid w:val="003F1821"/>
    <w:rsid w:val="003F1C68"/>
    <w:rsid w:val="003F20BF"/>
    <w:rsid w:val="003F57E4"/>
    <w:rsid w:val="003F5ED3"/>
    <w:rsid w:val="003F6CBC"/>
    <w:rsid w:val="00401691"/>
    <w:rsid w:val="00404524"/>
    <w:rsid w:val="00410A85"/>
    <w:rsid w:val="00411667"/>
    <w:rsid w:val="00413312"/>
    <w:rsid w:val="004135A1"/>
    <w:rsid w:val="004172C3"/>
    <w:rsid w:val="0042150F"/>
    <w:rsid w:val="00422DCB"/>
    <w:rsid w:val="00423306"/>
    <w:rsid w:val="00424BBC"/>
    <w:rsid w:val="00425F1E"/>
    <w:rsid w:val="00425FE9"/>
    <w:rsid w:val="00426FE9"/>
    <w:rsid w:val="0043148C"/>
    <w:rsid w:val="004325EC"/>
    <w:rsid w:val="00436285"/>
    <w:rsid w:val="004379E9"/>
    <w:rsid w:val="00437CDA"/>
    <w:rsid w:val="004408C5"/>
    <w:rsid w:val="0044168B"/>
    <w:rsid w:val="00442144"/>
    <w:rsid w:val="00442E70"/>
    <w:rsid w:val="004458F9"/>
    <w:rsid w:val="00446399"/>
    <w:rsid w:val="00447C8F"/>
    <w:rsid w:val="0045051A"/>
    <w:rsid w:val="00454EAC"/>
    <w:rsid w:val="004559AD"/>
    <w:rsid w:val="00457BE4"/>
    <w:rsid w:val="00457E73"/>
    <w:rsid w:val="00460632"/>
    <w:rsid w:val="00460E06"/>
    <w:rsid w:val="00461301"/>
    <w:rsid w:val="00461CFE"/>
    <w:rsid w:val="00464E20"/>
    <w:rsid w:val="0046532B"/>
    <w:rsid w:val="00465463"/>
    <w:rsid w:val="00466371"/>
    <w:rsid w:val="00467843"/>
    <w:rsid w:val="004678F1"/>
    <w:rsid w:val="00471A1F"/>
    <w:rsid w:val="00471BAD"/>
    <w:rsid w:val="00472AFA"/>
    <w:rsid w:val="00473186"/>
    <w:rsid w:val="004736CE"/>
    <w:rsid w:val="00473A0E"/>
    <w:rsid w:val="004746E3"/>
    <w:rsid w:val="00476026"/>
    <w:rsid w:val="00476E6C"/>
    <w:rsid w:val="0048111D"/>
    <w:rsid w:val="004812EC"/>
    <w:rsid w:val="00482B32"/>
    <w:rsid w:val="00482BF3"/>
    <w:rsid w:val="00483FD6"/>
    <w:rsid w:val="00484563"/>
    <w:rsid w:val="004864DC"/>
    <w:rsid w:val="00486C42"/>
    <w:rsid w:val="004876A8"/>
    <w:rsid w:val="00487719"/>
    <w:rsid w:val="00490DE5"/>
    <w:rsid w:val="00491A95"/>
    <w:rsid w:val="00491B58"/>
    <w:rsid w:val="00492062"/>
    <w:rsid w:val="004953E8"/>
    <w:rsid w:val="004960A3"/>
    <w:rsid w:val="00496BE9"/>
    <w:rsid w:val="00497578"/>
    <w:rsid w:val="004A1448"/>
    <w:rsid w:val="004A5972"/>
    <w:rsid w:val="004A5CF5"/>
    <w:rsid w:val="004A6A03"/>
    <w:rsid w:val="004B00C1"/>
    <w:rsid w:val="004B0185"/>
    <w:rsid w:val="004B041C"/>
    <w:rsid w:val="004B0C92"/>
    <w:rsid w:val="004B24A7"/>
    <w:rsid w:val="004B33BC"/>
    <w:rsid w:val="004B5658"/>
    <w:rsid w:val="004C01CF"/>
    <w:rsid w:val="004C01F4"/>
    <w:rsid w:val="004C0478"/>
    <w:rsid w:val="004C0741"/>
    <w:rsid w:val="004C297F"/>
    <w:rsid w:val="004C33B2"/>
    <w:rsid w:val="004C35DD"/>
    <w:rsid w:val="004C5B99"/>
    <w:rsid w:val="004C6D9E"/>
    <w:rsid w:val="004C7867"/>
    <w:rsid w:val="004C7BEC"/>
    <w:rsid w:val="004D04A0"/>
    <w:rsid w:val="004D279E"/>
    <w:rsid w:val="004D32F0"/>
    <w:rsid w:val="004D4A80"/>
    <w:rsid w:val="004D4B8F"/>
    <w:rsid w:val="004D50B5"/>
    <w:rsid w:val="004D7A53"/>
    <w:rsid w:val="004E0C71"/>
    <w:rsid w:val="004E0D0A"/>
    <w:rsid w:val="004E1901"/>
    <w:rsid w:val="004E247F"/>
    <w:rsid w:val="004E27E9"/>
    <w:rsid w:val="004E2DCF"/>
    <w:rsid w:val="004E3F54"/>
    <w:rsid w:val="004E5B3E"/>
    <w:rsid w:val="004E5E19"/>
    <w:rsid w:val="004E60C7"/>
    <w:rsid w:val="004F2B82"/>
    <w:rsid w:val="004F3A5F"/>
    <w:rsid w:val="004F3E9C"/>
    <w:rsid w:val="004F41F5"/>
    <w:rsid w:val="004F7351"/>
    <w:rsid w:val="004F7FE7"/>
    <w:rsid w:val="00504D59"/>
    <w:rsid w:val="0050527D"/>
    <w:rsid w:val="00505990"/>
    <w:rsid w:val="00506088"/>
    <w:rsid w:val="00506147"/>
    <w:rsid w:val="00506C83"/>
    <w:rsid w:val="00506DCF"/>
    <w:rsid w:val="00507292"/>
    <w:rsid w:val="00507A8D"/>
    <w:rsid w:val="005109C7"/>
    <w:rsid w:val="00510BDA"/>
    <w:rsid w:val="0051177D"/>
    <w:rsid w:val="00511F2A"/>
    <w:rsid w:val="00512576"/>
    <w:rsid w:val="00513BFE"/>
    <w:rsid w:val="005148F8"/>
    <w:rsid w:val="00514A8A"/>
    <w:rsid w:val="00515126"/>
    <w:rsid w:val="0051756F"/>
    <w:rsid w:val="005202FA"/>
    <w:rsid w:val="00524A26"/>
    <w:rsid w:val="00525E44"/>
    <w:rsid w:val="0052612C"/>
    <w:rsid w:val="00526609"/>
    <w:rsid w:val="005309BB"/>
    <w:rsid w:val="0053111B"/>
    <w:rsid w:val="00531567"/>
    <w:rsid w:val="00531A00"/>
    <w:rsid w:val="00531BAC"/>
    <w:rsid w:val="0053287C"/>
    <w:rsid w:val="005347AB"/>
    <w:rsid w:val="005411A5"/>
    <w:rsid w:val="00541474"/>
    <w:rsid w:val="00542848"/>
    <w:rsid w:val="00547487"/>
    <w:rsid w:val="00547927"/>
    <w:rsid w:val="00550480"/>
    <w:rsid w:val="0055130C"/>
    <w:rsid w:val="00552A55"/>
    <w:rsid w:val="00552DA7"/>
    <w:rsid w:val="005536F0"/>
    <w:rsid w:val="00553D39"/>
    <w:rsid w:val="005542B1"/>
    <w:rsid w:val="00556F7B"/>
    <w:rsid w:val="00557C3F"/>
    <w:rsid w:val="00557F9F"/>
    <w:rsid w:val="00560D5E"/>
    <w:rsid w:val="0056163B"/>
    <w:rsid w:val="005636E7"/>
    <w:rsid w:val="0056576E"/>
    <w:rsid w:val="005673F7"/>
    <w:rsid w:val="0056A24A"/>
    <w:rsid w:val="00570449"/>
    <w:rsid w:val="005717BB"/>
    <w:rsid w:val="0057194B"/>
    <w:rsid w:val="00572F6E"/>
    <w:rsid w:val="00574091"/>
    <w:rsid w:val="00575CFA"/>
    <w:rsid w:val="005761EA"/>
    <w:rsid w:val="00577572"/>
    <w:rsid w:val="005805A9"/>
    <w:rsid w:val="00580C70"/>
    <w:rsid w:val="00581876"/>
    <w:rsid w:val="00584185"/>
    <w:rsid w:val="005846D9"/>
    <w:rsid w:val="005868CA"/>
    <w:rsid w:val="005876F9"/>
    <w:rsid w:val="0059086F"/>
    <w:rsid w:val="00591BC6"/>
    <w:rsid w:val="00592F83"/>
    <w:rsid w:val="00593F68"/>
    <w:rsid w:val="00594E3E"/>
    <w:rsid w:val="00596471"/>
    <w:rsid w:val="00597411"/>
    <w:rsid w:val="00597634"/>
    <w:rsid w:val="0059765A"/>
    <w:rsid w:val="005A19E8"/>
    <w:rsid w:val="005A2A46"/>
    <w:rsid w:val="005A2CDF"/>
    <w:rsid w:val="005A3530"/>
    <w:rsid w:val="005A4670"/>
    <w:rsid w:val="005A6C3C"/>
    <w:rsid w:val="005B0527"/>
    <w:rsid w:val="005B1BF1"/>
    <w:rsid w:val="005B1E64"/>
    <w:rsid w:val="005B3B02"/>
    <w:rsid w:val="005B4CC8"/>
    <w:rsid w:val="005B4CE5"/>
    <w:rsid w:val="005B6A4A"/>
    <w:rsid w:val="005B723E"/>
    <w:rsid w:val="005C12D1"/>
    <w:rsid w:val="005C14E2"/>
    <w:rsid w:val="005C281F"/>
    <w:rsid w:val="005C57D4"/>
    <w:rsid w:val="005C5864"/>
    <w:rsid w:val="005C58FF"/>
    <w:rsid w:val="005C6BB3"/>
    <w:rsid w:val="005C759A"/>
    <w:rsid w:val="005D106B"/>
    <w:rsid w:val="005D3676"/>
    <w:rsid w:val="005D3A1B"/>
    <w:rsid w:val="005D5C6F"/>
    <w:rsid w:val="005D6062"/>
    <w:rsid w:val="005D6E6B"/>
    <w:rsid w:val="005E0E0C"/>
    <w:rsid w:val="005E3AD1"/>
    <w:rsid w:val="005E5767"/>
    <w:rsid w:val="005E5A64"/>
    <w:rsid w:val="005E6F94"/>
    <w:rsid w:val="005E7AF5"/>
    <w:rsid w:val="005F4006"/>
    <w:rsid w:val="005F406C"/>
    <w:rsid w:val="005F5691"/>
    <w:rsid w:val="00600DA0"/>
    <w:rsid w:val="00603851"/>
    <w:rsid w:val="0060427A"/>
    <w:rsid w:val="006059B7"/>
    <w:rsid w:val="00605C7F"/>
    <w:rsid w:val="00606269"/>
    <w:rsid w:val="00607A4C"/>
    <w:rsid w:val="00612824"/>
    <w:rsid w:val="00612A03"/>
    <w:rsid w:val="006154D8"/>
    <w:rsid w:val="00615A29"/>
    <w:rsid w:val="00615C7D"/>
    <w:rsid w:val="006164DC"/>
    <w:rsid w:val="00620197"/>
    <w:rsid w:val="0062144F"/>
    <w:rsid w:val="006222F7"/>
    <w:rsid w:val="00622B95"/>
    <w:rsid w:val="00624209"/>
    <w:rsid w:val="006247AA"/>
    <w:rsid w:val="00625E6A"/>
    <w:rsid w:val="00627AA9"/>
    <w:rsid w:val="006363D8"/>
    <w:rsid w:val="00636E70"/>
    <w:rsid w:val="00637E8A"/>
    <w:rsid w:val="006400A6"/>
    <w:rsid w:val="006413B2"/>
    <w:rsid w:val="006413F2"/>
    <w:rsid w:val="006415A3"/>
    <w:rsid w:val="0064277D"/>
    <w:rsid w:val="00643792"/>
    <w:rsid w:val="00647643"/>
    <w:rsid w:val="0065068D"/>
    <w:rsid w:val="00651242"/>
    <w:rsid w:val="00651A22"/>
    <w:rsid w:val="00651CAD"/>
    <w:rsid w:val="00652E46"/>
    <w:rsid w:val="006544D5"/>
    <w:rsid w:val="006546F1"/>
    <w:rsid w:val="00655718"/>
    <w:rsid w:val="00656B9B"/>
    <w:rsid w:val="006570CD"/>
    <w:rsid w:val="0065763F"/>
    <w:rsid w:val="00657FF3"/>
    <w:rsid w:val="00661C0B"/>
    <w:rsid w:val="00662C5D"/>
    <w:rsid w:val="00663EEA"/>
    <w:rsid w:val="006650B9"/>
    <w:rsid w:val="006655C0"/>
    <w:rsid w:val="00665AB7"/>
    <w:rsid w:val="00666420"/>
    <w:rsid w:val="00667BD2"/>
    <w:rsid w:val="00675EFB"/>
    <w:rsid w:val="00676006"/>
    <w:rsid w:val="00676CAC"/>
    <w:rsid w:val="00676D96"/>
    <w:rsid w:val="0067719B"/>
    <w:rsid w:val="00681143"/>
    <w:rsid w:val="006820C6"/>
    <w:rsid w:val="006824CD"/>
    <w:rsid w:val="0068394F"/>
    <w:rsid w:val="006878AC"/>
    <w:rsid w:val="00690A68"/>
    <w:rsid w:val="00691739"/>
    <w:rsid w:val="00691935"/>
    <w:rsid w:val="006934DD"/>
    <w:rsid w:val="00693A5C"/>
    <w:rsid w:val="00694741"/>
    <w:rsid w:val="0069644B"/>
    <w:rsid w:val="00696B4C"/>
    <w:rsid w:val="006A05B0"/>
    <w:rsid w:val="006A12A3"/>
    <w:rsid w:val="006A33A9"/>
    <w:rsid w:val="006A3D0F"/>
    <w:rsid w:val="006A52B2"/>
    <w:rsid w:val="006A5487"/>
    <w:rsid w:val="006B1D9C"/>
    <w:rsid w:val="006B273B"/>
    <w:rsid w:val="006B358C"/>
    <w:rsid w:val="006B44F3"/>
    <w:rsid w:val="006B6D97"/>
    <w:rsid w:val="006C28C8"/>
    <w:rsid w:val="006C7F9C"/>
    <w:rsid w:val="006D1757"/>
    <w:rsid w:val="006D1C61"/>
    <w:rsid w:val="006D26B1"/>
    <w:rsid w:val="006D41EE"/>
    <w:rsid w:val="006D7894"/>
    <w:rsid w:val="006E1F46"/>
    <w:rsid w:val="006E2ED9"/>
    <w:rsid w:val="006E39F3"/>
    <w:rsid w:val="006E4064"/>
    <w:rsid w:val="006E59B1"/>
    <w:rsid w:val="006E5F23"/>
    <w:rsid w:val="006F1AE8"/>
    <w:rsid w:val="006F2A33"/>
    <w:rsid w:val="006F41F0"/>
    <w:rsid w:val="006F4625"/>
    <w:rsid w:val="006F5182"/>
    <w:rsid w:val="006F546F"/>
    <w:rsid w:val="006F6716"/>
    <w:rsid w:val="006F6DCB"/>
    <w:rsid w:val="006F729A"/>
    <w:rsid w:val="007000E2"/>
    <w:rsid w:val="00701CB3"/>
    <w:rsid w:val="00705969"/>
    <w:rsid w:val="007073BE"/>
    <w:rsid w:val="007108E2"/>
    <w:rsid w:val="00712159"/>
    <w:rsid w:val="00712C7F"/>
    <w:rsid w:val="00713BED"/>
    <w:rsid w:val="00713FE0"/>
    <w:rsid w:val="00715BC7"/>
    <w:rsid w:val="0072109E"/>
    <w:rsid w:val="00721BD5"/>
    <w:rsid w:val="00725146"/>
    <w:rsid w:val="007279B6"/>
    <w:rsid w:val="007304C2"/>
    <w:rsid w:val="0073199D"/>
    <w:rsid w:val="00733577"/>
    <w:rsid w:val="00735443"/>
    <w:rsid w:val="0073651F"/>
    <w:rsid w:val="00740516"/>
    <w:rsid w:val="00740FFE"/>
    <w:rsid w:val="007416F5"/>
    <w:rsid w:val="00742EE9"/>
    <w:rsid w:val="00743197"/>
    <w:rsid w:val="00743842"/>
    <w:rsid w:val="00745F5C"/>
    <w:rsid w:val="00746563"/>
    <w:rsid w:val="0074750D"/>
    <w:rsid w:val="0075025D"/>
    <w:rsid w:val="00751603"/>
    <w:rsid w:val="007517E0"/>
    <w:rsid w:val="00751870"/>
    <w:rsid w:val="0075296D"/>
    <w:rsid w:val="0075418A"/>
    <w:rsid w:val="0075717A"/>
    <w:rsid w:val="0075741F"/>
    <w:rsid w:val="00760F20"/>
    <w:rsid w:val="0076197C"/>
    <w:rsid w:val="00761E03"/>
    <w:rsid w:val="00762378"/>
    <w:rsid w:val="00764239"/>
    <w:rsid w:val="00764EBD"/>
    <w:rsid w:val="007655C9"/>
    <w:rsid w:val="0076770C"/>
    <w:rsid w:val="00767E86"/>
    <w:rsid w:val="007706BA"/>
    <w:rsid w:val="00772F7D"/>
    <w:rsid w:val="0077595B"/>
    <w:rsid w:val="00775BE0"/>
    <w:rsid w:val="00775C13"/>
    <w:rsid w:val="0077659D"/>
    <w:rsid w:val="007765EF"/>
    <w:rsid w:val="00777E96"/>
    <w:rsid w:val="00780136"/>
    <w:rsid w:val="0078125C"/>
    <w:rsid w:val="00782841"/>
    <w:rsid w:val="00782D0F"/>
    <w:rsid w:val="00783AE3"/>
    <w:rsid w:val="00784336"/>
    <w:rsid w:val="00785060"/>
    <w:rsid w:val="00785C64"/>
    <w:rsid w:val="00790B31"/>
    <w:rsid w:val="00791E7E"/>
    <w:rsid w:val="007930D0"/>
    <w:rsid w:val="0079376A"/>
    <w:rsid w:val="007937E1"/>
    <w:rsid w:val="00794843"/>
    <w:rsid w:val="007951EA"/>
    <w:rsid w:val="00795C79"/>
    <w:rsid w:val="00795CA9"/>
    <w:rsid w:val="00796B57"/>
    <w:rsid w:val="0079717C"/>
    <w:rsid w:val="007975C7"/>
    <w:rsid w:val="00797AC1"/>
    <w:rsid w:val="007A0803"/>
    <w:rsid w:val="007A1863"/>
    <w:rsid w:val="007A2733"/>
    <w:rsid w:val="007A369B"/>
    <w:rsid w:val="007A36D8"/>
    <w:rsid w:val="007A3EAD"/>
    <w:rsid w:val="007A577D"/>
    <w:rsid w:val="007A618E"/>
    <w:rsid w:val="007A69E5"/>
    <w:rsid w:val="007A7750"/>
    <w:rsid w:val="007B0764"/>
    <w:rsid w:val="007B0778"/>
    <w:rsid w:val="007B2A1F"/>
    <w:rsid w:val="007B3029"/>
    <w:rsid w:val="007B3AAA"/>
    <w:rsid w:val="007B44E0"/>
    <w:rsid w:val="007B4FD8"/>
    <w:rsid w:val="007B55A9"/>
    <w:rsid w:val="007B7274"/>
    <w:rsid w:val="007C116E"/>
    <w:rsid w:val="007C2D0D"/>
    <w:rsid w:val="007C3AC6"/>
    <w:rsid w:val="007C3D92"/>
    <w:rsid w:val="007C431D"/>
    <w:rsid w:val="007C528E"/>
    <w:rsid w:val="007C538A"/>
    <w:rsid w:val="007C632C"/>
    <w:rsid w:val="007C65F8"/>
    <w:rsid w:val="007C6C3F"/>
    <w:rsid w:val="007D096D"/>
    <w:rsid w:val="007D1506"/>
    <w:rsid w:val="007D1698"/>
    <w:rsid w:val="007D1AE8"/>
    <w:rsid w:val="007D2CC8"/>
    <w:rsid w:val="007D73F7"/>
    <w:rsid w:val="007E2272"/>
    <w:rsid w:val="007E29FD"/>
    <w:rsid w:val="007E442C"/>
    <w:rsid w:val="007E4B97"/>
    <w:rsid w:val="007E4F34"/>
    <w:rsid w:val="007E5713"/>
    <w:rsid w:val="007E5AEF"/>
    <w:rsid w:val="007F01D1"/>
    <w:rsid w:val="007F14B1"/>
    <w:rsid w:val="007F23A5"/>
    <w:rsid w:val="007F3308"/>
    <w:rsid w:val="007F3C4C"/>
    <w:rsid w:val="007F56FB"/>
    <w:rsid w:val="007F57B9"/>
    <w:rsid w:val="0080068A"/>
    <w:rsid w:val="0080082C"/>
    <w:rsid w:val="00800BD5"/>
    <w:rsid w:val="008027CC"/>
    <w:rsid w:val="00803328"/>
    <w:rsid w:val="0080466E"/>
    <w:rsid w:val="008053AB"/>
    <w:rsid w:val="00805A10"/>
    <w:rsid w:val="00806CDF"/>
    <w:rsid w:val="0080701A"/>
    <w:rsid w:val="00810C01"/>
    <w:rsid w:val="0081292E"/>
    <w:rsid w:val="008129AE"/>
    <w:rsid w:val="008139F1"/>
    <w:rsid w:val="0081473E"/>
    <w:rsid w:val="008150CC"/>
    <w:rsid w:val="0081583A"/>
    <w:rsid w:val="0081658E"/>
    <w:rsid w:val="008165FD"/>
    <w:rsid w:val="00816669"/>
    <w:rsid w:val="00817CB7"/>
    <w:rsid w:val="008204B5"/>
    <w:rsid w:val="00820B6D"/>
    <w:rsid w:val="00820E39"/>
    <w:rsid w:val="00821E10"/>
    <w:rsid w:val="00823A57"/>
    <w:rsid w:val="00823DED"/>
    <w:rsid w:val="008248E5"/>
    <w:rsid w:val="008276B3"/>
    <w:rsid w:val="00830B02"/>
    <w:rsid w:val="0083175A"/>
    <w:rsid w:val="008338D9"/>
    <w:rsid w:val="00833DAA"/>
    <w:rsid w:val="00835B48"/>
    <w:rsid w:val="008361E8"/>
    <w:rsid w:val="00840170"/>
    <w:rsid w:val="008424EC"/>
    <w:rsid w:val="00842FBC"/>
    <w:rsid w:val="008432CA"/>
    <w:rsid w:val="00844605"/>
    <w:rsid w:val="008453D1"/>
    <w:rsid w:val="00846859"/>
    <w:rsid w:val="0085042F"/>
    <w:rsid w:val="00851882"/>
    <w:rsid w:val="00851B81"/>
    <w:rsid w:val="008532A2"/>
    <w:rsid w:val="00855DC9"/>
    <w:rsid w:val="00856032"/>
    <w:rsid w:val="0085723D"/>
    <w:rsid w:val="00857AA6"/>
    <w:rsid w:val="0086029C"/>
    <w:rsid w:val="0086048F"/>
    <w:rsid w:val="00860DE8"/>
    <w:rsid w:val="00860E5B"/>
    <w:rsid w:val="0086381A"/>
    <w:rsid w:val="00864E37"/>
    <w:rsid w:val="00865A49"/>
    <w:rsid w:val="00865E1A"/>
    <w:rsid w:val="00866F74"/>
    <w:rsid w:val="00870391"/>
    <w:rsid w:val="008732DF"/>
    <w:rsid w:val="008767CB"/>
    <w:rsid w:val="00881CC4"/>
    <w:rsid w:val="00882303"/>
    <w:rsid w:val="00882E86"/>
    <w:rsid w:val="00884185"/>
    <w:rsid w:val="00884365"/>
    <w:rsid w:val="00884F2B"/>
    <w:rsid w:val="00885D28"/>
    <w:rsid w:val="00886604"/>
    <w:rsid w:val="00890508"/>
    <w:rsid w:val="0089413E"/>
    <w:rsid w:val="008946FB"/>
    <w:rsid w:val="00895609"/>
    <w:rsid w:val="0089560C"/>
    <w:rsid w:val="008A2963"/>
    <w:rsid w:val="008A2D9A"/>
    <w:rsid w:val="008B1FF0"/>
    <w:rsid w:val="008B241C"/>
    <w:rsid w:val="008B3697"/>
    <w:rsid w:val="008B400A"/>
    <w:rsid w:val="008B40AB"/>
    <w:rsid w:val="008B41F9"/>
    <w:rsid w:val="008B4BA3"/>
    <w:rsid w:val="008B4CF0"/>
    <w:rsid w:val="008B7DE3"/>
    <w:rsid w:val="008C02DD"/>
    <w:rsid w:val="008C3077"/>
    <w:rsid w:val="008C32C5"/>
    <w:rsid w:val="008C3A6B"/>
    <w:rsid w:val="008C4788"/>
    <w:rsid w:val="008C486F"/>
    <w:rsid w:val="008C5E2A"/>
    <w:rsid w:val="008C6FBB"/>
    <w:rsid w:val="008D0969"/>
    <w:rsid w:val="008D157E"/>
    <w:rsid w:val="008D2844"/>
    <w:rsid w:val="008D437B"/>
    <w:rsid w:val="008D5192"/>
    <w:rsid w:val="008D5384"/>
    <w:rsid w:val="008D6363"/>
    <w:rsid w:val="008D6A56"/>
    <w:rsid w:val="008D738F"/>
    <w:rsid w:val="008E02FC"/>
    <w:rsid w:val="008E169D"/>
    <w:rsid w:val="008E2010"/>
    <w:rsid w:val="008E445D"/>
    <w:rsid w:val="008E5340"/>
    <w:rsid w:val="008E6226"/>
    <w:rsid w:val="008E7903"/>
    <w:rsid w:val="008E7CF2"/>
    <w:rsid w:val="008F00FC"/>
    <w:rsid w:val="008F138A"/>
    <w:rsid w:val="008F20A9"/>
    <w:rsid w:val="008F345D"/>
    <w:rsid w:val="008F3561"/>
    <w:rsid w:val="008F3C96"/>
    <w:rsid w:val="008F403C"/>
    <w:rsid w:val="008F55FB"/>
    <w:rsid w:val="008F6180"/>
    <w:rsid w:val="008F73F6"/>
    <w:rsid w:val="00900248"/>
    <w:rsid w:val="0090057B"/>
    <w:rsid w:val="009007F1"/>
    <w:rsid w:val="00902564"/>
    <w:rsid w:val="00902A92"/>
    <w:rsid w:val="00902F16"/>
    <w:rsid w:val="009055DA"/>
    <w:rsid w:val="00905FCD"/>
    <w:rsid w:val="009071EE"/>
    <w:rsid w:val="00910C10"/>
    <w:rsid w:val="0091311E"/>
    <w:rsid w:val="009148A6"/>
    <w:rsid w:val="00915154"/>
    <w:rsid w:val="00915CBF"/>
    <w:rsid w:val="00917A5A"/>
    <w:rsid w:val="00917F5E"/>
    <w:rsid w:val="00920BD5"/>
    <w:rsid w:val="00921650"/>
    <w:rsid w:val="00921F43"/>
    <w:rsid w:val="0092307C"/>
    <w:rsid w:val="00924775"/>
    <w:rsid w:val="009254DD"/>
    <w:rsid w:val="00926614"/>
    <w:rsid w:val="009269C7"/>
    <w:rsid w:val="00926BAA"/>
    <w:rsid w:val="009275FE"/>
    <w:rsid w:val="00932357"/>
    <w:rsid w:val="00932504"/>
    <w:rsid w:val="0093259F"/>
    <w:rsid w:val="009374A1"/>
    <w:rsid w:val="0094023C"/>
    <w:rsid w:val="00941599"/>
    <w:rsid w:val="00942016"/>
    <w:rsid w:val="0094225F"/>
    <w:rsid w:val="00945313"/>
    <w:rsid w:val="0094789C"/>
    <w:rsid w:val="00947912"/>
    <w:rsid w:val="00951603"/>
    <w:rsid w:val="00954A9F"/>
    <w:rsid w:val="0095511C"/>
    <w:rsid w:val="0095521F"/>
    <w:rsid w:val="00956105"/>
    <w:rsid w:val="00956FFA"/>
    <w:rsid w:val="009574C2"/>
    <w:rsid w:val="00957B4A"/>
    <w:rsid w:val="00960BB2"/>
    <w:rsid w:val="00961312"/>
    <w:rsid w:val="009614E3"/>
    <w:rsid w:val="00961543"/>
    <w:rsid w:val="00962784"/>
    <w:rsid w:val="00963BF0"/>
    <w:rsid w:val="009645AB"/>
    <w:rsid w:val="00967C06"/>
    <w:rsid w:val="00970C19"/>
    <w:rsid w:val="00970D4C"/>
    <w:rsid w:val="00971684"/>
    <w:rsid w:val="009730BD"/>
    <w:rsid w:val="00973117"/>
    <w:rsid w:val="009734C6"/>
    <w:rsid w:val="00973F85"/>
    <w:rsid w:val="00976B93"/>
    <w:rsid w:val="00981DD2"/>
    <w:rsid w:val="009834EC"/>
    <w:rsid w:val="00983730"/>
    <w:rsid w:val="00991D5F"/>
    <w:rsid w:val="0099574F"/>
    <w:rsid w:val="009A059B"/>
    <w:rsid w:val="009A065E"/>
    <w:rsid w:val="009A0CBC"/>
    <w:rsid w:val="009A0E4B"/>
    <w:rsid w:val="009A3965"/>
    <w:rsid w:val="009A4506"/>
    <w:rsid w:val="009A6D60"/>
    <w:rsid w:val="009A6F95"/>
    <w:rsid w:val="009A7FB8"/>
    <w:rsid w:val="009B08DA"/>
    <w:rsid w:val="009B141F"/>
    <w:rsid w:val="009B17B4"/>
    <w:rsid w:val="009B25BB"/>
    <w:rsid w:val="009C22FE"/>
    <w:rsid w:val="009C24A1"/>
    <w:rsid w:val="009C5580"/>
    <w:rsid w:val="009C58F9"/>
    <w:rsid w:val="009C6598"/>
    <w:rsid w:val="009C6E4A"/>
    <w:rsid w:val="009C7548"/>
    <w:rsid w:val="009D09B1"/>
    <w:rsid w:val="009D20B7"/>
    <w:rsid w:val="009D29D1"/>
    <w:rsid w:val="009D38F3"/>
    <w:rsid w:val="009D73D6"/>
    <w:rsid w:val="009E0814"/>
    <w:rsid w:val="009E0E23"/>
    <w:rsid w:val="009E1385"/>
    <w:rsid w:val="009E2738"/>
    <w:rsid w:val="009E31E5"/>
    <w:rsid w:val="009E3F41"/>
    <w:rsid w:val="009E5B43"/>
    <w:rsid w:val="009E5CD2"/>
    <w:rsid w:val="009E60E3"/>
    <w:rsid w:val="009E6786"/>
    <w:rsid w:val="009F20B2"/>
    <w:rsid w:val="009F603B"/>
    <w:rsid w:val="009F60B3"/>
    <w:rsid w:val="009F6BAA"/>
    <w:rsid w:val="009F7136"/>
    <w:rsid w:val="009F756E"/>
    <w:rsid w:val="009F7FE7"/>
    <w:rsid w:val="00A008E9"/>
    <w:rsid w:val="00A024DC"/>
    <w:rsid w:val="00A02FAA"/>
    <w:rsid w:val="00A042D1"/>
    <w:rsid w:val="00A051FF"/>
    <w:rsid w:val="00A0531B"/>
    <w:rsid w:val="00A10480"/>
    <w:rsid w:val="00A131DD"/>
    <w:rsid w:val="00A134AC"/>
    <w:rsid w:val="00A13590"/>
    <w:rsid w:val="00A138BD"/>
    <w:rsid w:val="00A17087"/>
    <w:rsid w:val="00A17793"/>
    <w:rsid w:val="00A17A76"/>
    <w:rsid w:val="00A2033A"/>
    <w:rsid w:val="00A219E1"/>
    <w:rsid w:val="00A22524"/>
    <w:rsid w:val="00A22EE0"/>
    <w:rsid w:val="00A2318F"/>
    <w:rsid w:val="00A2345F"/>
    <w:rsid w:val="00A241D7"/>
    <w:rsid w:val="00A26406"/>
    <w:rsid w:val="00A268BB"/>
    <w:rsid w:val="00A27EFD"/>
    <w:rsid w:val="00A31034"/>
    <w:rsid w:val="00A321CA"/>
    <w:rsid w:val="00A33932"/>
    <w:rsid w:val="00A34475"/>
    <w:rsid w:val="00A354A1"/>
    <w:rsid w:val="00A361D0"/>
    <w:rsid w:val="00A37055"/>
    <w:rsid w:val="00A373E9"/>
    <w:rsid w:val="00A379B4"/>
    <w:rsid w:val="00A37FD7"/>
    <w:rsid w:val="00A4020F"/>
    <w:rsid w:val="00A41B27"/>
    <w:rsid w:val="00A41BBA"/>
    <w:rsid w:val="00A4235A"/>
    <w:rsid w:val="00A42F05"/>
    <w:rsid w:val="00A44684"/>
    <w:rsid w:val="00A44D23"/>
    <w:rsid w:val="00A46D47"/>
    <w:rsid w:val="00A5109B"/>
    <w:rsid w:val="00A5275F"/>
    <w:rsid w:val="00A52768"/>
    <w:rsid w:val="00A52E32"/>
    <w:rsid w:val="00A57297"/>
    <w:rsid w:val="00A6153A"/>
    <w:rsid w:val="00A64BD0"/>
    <w:rsid w:val="00A6718C"/>
    <w:rsid w:val="00A72775"/>
    <w:rsid w:val="00A72D74"/>
    <w:rsid w:val="00A73B7C"/>
    <w:rsid w:val="00A73C47"/>
    <w:rsid w:val="00A75A60"/>
    <w:rsid w:val="00A778EB"/>
    <w:rsid w:val="00A85D3D"/>
    <w:rsid w:val="00A916B2"/>
    <w:rsid w:val="00A91818"/>
    <w:rsid w:val="00A92C02"/>
    <w:rsid w:val="00A93A4E"/>
    <w:rsid w:val="00A952BE"/>
    <w:rsid w:val="00A96594"/>
    <w:rsid w:val="00AA319E"/>
    <w:rsid w:val="00AA3417"/>
    <w:rsid w:val="00AA354E"/>
    <w:rsid w:val="00AA45E1"/>
    <w:rsid w:val="00AA4BC3"/>
    <w:rsid w:val="00AA6BA7"/>
    <w:rsid w:val="00AA6C22"/>
    <w:rsid w:val="00AB0170"/>
    <w:rsid w:val="00AB0F34"/>
    <w:rsid w:val="00AB1AD5"/>
    <w:rsid w:val="00AB1DF3"/>
    <w:rsid w:val="00AB224A"/>
    <w:rsid w:val="00AB2BF0"/>
    <w:rsid w:val="00AB4821"/>
    <w:rsid w:val="00AB643B"/>
    <w:rsid w:val="00AC0372"/>
    <w:rsid w:val="00AC05CD"/>
    <w:rsid w:val="00AC13E8"/>
    <w:rsid w:val="00AC3B6E"/>
    <w:rsid w:val="00AC4142"/>
    <w:rsid w:val="00AC424A"/>
    <w:rsid w:val="00AC5A52"/>
    <w:rsid w:val="00AC665D"/>
    <w:rsid w:val="00AC6D8A"/>
    <w:rsid w:val="00AC7F90"/>
    <w:rsid w:val="00AD1086"/>
    <w:rsid w:val="00AD1D3F"/>
    <w:rsid w:val="00AD2583"/>
    <w:rsid w:val="00AD266D"/>
    <w:rsid w:val="00AD41E6"/>
    <w:rsid w:val="00AD63CF"/>
    <w:rsid w:val="00AD7989"/>
    <w:rsid w:val="00AE029B"/>
    <w:rsid w:val="00AE5421"/>
    <w:rsid w:val="00AE5B21"/>
    <w:rsid w:val="00AE6573"/>
    <w:rsid w:val="00AE7D00"/>
    <w:rsid w:val="00AE7DCC"/>
    <w:rsid w:val="00AF0168"/>
    <w:rsid w:val="00AF3B1F"/>
    <w:rsid w:val="00AF3B21"/>
    <w:rsid w:val="00AF40B5"/>
    <w:rsid w:val="00AF4B66"/>
    <w:rsid w:val="00B00D7A"/>
    <w:rsid w:val="00B016DD"/>
    <w:rsid w:val="00B01BE4"/>
    <w:rsid w:val="00B0223B"/>
    <w:rsid w:val="00B033C1"/>
    <w:rsid w:val="00B05860"/>
    <w:rsid w:val="00B07E94"/>
    <w:rsid w:val="00B1028D"/>
    <w:rsid w:val="00B11505"/>
    <w:rsid w:val="00B124C1"/>
    <w:rsid w:val="00B12535"/>
    <w:rsid w:val="00B13504"/>
    <w:rsid w:val="00B1389B"/>
    <w:rsid w:val="00B1534B"/>
    <w:rsid w:val="00B15D70"/>
    <w:rsid w:val="00B21362"/>
    <w:rsid w:val="00B2264C"/>
    <w:rsid w:val="00B22AA7"/>
    <w:rsid w:val="00B23BAF"/>
    <w:rsid w:val="00B24DAB"/>
    <w:rsid w:val="00B2598B"/>
    <w:rsid w:val="00B26264"/>
    <w:rsid w:val="00B26770"/>
    <w:rsid w:val="00B2691C"/>
    <w:rsid w:val="00B304D5"/>
    <w:rsid w:val="00B311E5"/>
    <w:rsid w:val="00B317AE"/>
    <w:rsid w:val="00B31B96"/>
    <w:rsid w:val="00B3222A"/>
    <w:rsid w:val="00B326B3"/>
    <w:rsid w:val="00B336C1"/>
    <w:rsid w:val="00B33BCE"/>
    <w:rsid w:val="00B34CE2"/>
    <w:rsid w:val="00B35A2E"/>
    <w:rsid w:val="00B40834"/>
    <w:rsid w:val="00B40A2B"/>
    <w:rsid w:val="00B420F9"/>
    <w:rsid w:val="00B43DA3"/>
    <w:rsid w:val="00B43E12"/>
    <w:rsid w:val="00B44931"/>
    <w:rsid w:val="00B471EA"/>
    <w:rsid w:val="00B4757D"/>
    <w:rsid w:val="00B501CE"/>
    <w:rsid w:val="00B52198"/>
    <w:rsid w:val="00B529DC"/>
    <w:rsid w:val="00B56991"/>
    <w:rsid w:val="00B60C9E"/>
    <w:rsid w:val="00B60E41"/>
    <w:rsid w:val="00B614F6"/>
    <w:rsid w:val="00B61AFE"/>
    <w:rsid w:val="00B632E8"/>
    <w:rsid w:val="00B64F84"/>
    <w:rsid w:val="00B66768"/>
    <w:rsid w:val="00B66EDD"/>
    <w:rsid w:val="00B702DD"/>
    <w:rsid w:val="00B7100E"/>
    <w:rsid w:val="00B7402F"/>
    <w:rsid w:val="00B772D5"/>
    <w:rsid w:val="00B80C70"/>
    <w:rsid w:val="00B830F7"/>
    <w:rsid w:val="00B85318"/>
    <w:rsid w:val="00B85619"/>
    <w:rsid w:val="00B87C92"/>
    <w:rsid w:val="00B93717"/>
    <w:rsid w:val="00B946FF"/>
    <w:rsid w:val="00B94978"/>
    <w:rsid w:val="00B960A4"/>
    <w:rsid w:val="00B97309"/>
    <w:rsid w:val="00BA0CF4"/>
    <w:rsid w:val="00BA23EB"/>
    <w:rsid w:val="00BA319D"/>
    <w:rsid w:val="00BA5E82"/>
    <w:rsid w:val="00BA71FC"/>
    <w:rsid w:val="00BB031B"/>
    <w:rsid w:val="00BB07E4"/>
    <w:rsid w:val="00BB0E98"/>
    <w:rsid w:val="00BB144F"/>
    <w:rsid w:val="00BB1C71"/>
    <w:rsid w:val="00BB1FC3"/>
    <w:rsid w:val="00BB5A51"/>
    <w:rsid w:val="00BB730C"/>
    <w:rsid w:val="00BB7697"/>
    <w:rsid w:val="00BC3741"/>
    <w:rsid w:val="00BC3FCB"/>
    <w:rsid w:val="00BC751E"/>
    <w:rsid w:val="00BC7BD9"/>
    <w:rsid w:val="00BD07B1"/>
    <w:rsid w:val="00BD139E"/>
    <w:rsid w:val="00BD175B"/>
    <w:rsid w:val="00BD2757"/>
    <w:rsid w:val="00BD4571"/>
    <w:rsid w:val="00BD5ACA"/>
    <w:rsid w:val="00BD7009"/>
    <w:rsid w:val="00BE030D"/>
    <w:rsid w:val="00BE10DC"/>
    <w:rsid w:val="00BE1493"/>
    <w:rsid w:val="00BE3701"/>
    <w:rsid w:val="00BE4363"/>
    <w:rsid w:val="00BE57D1"/>
    <w:rsid w:val="00BE738B"/>
    <w:rsid w:val="00BF0833"/>
    <w:rsid w:val="00BF1CC6"/>
    <w:rsid w:val="00BF1FCD"/>
    <w:rsid w:val="00BF2619"/>
    <w:rsid w:val="00BF2E8D"/>
    <w:rsid w:val="00BF4869"/>
    <w:rsid w:val="00BF51EF"/>
    <w:rsid w:val="00BF799E"/>
    <w:rsid w:val="00C00672"/>
    <w:rsid w:val="00C007C1"/>
    <w:rsid w:val="00C01087"/>
    <w:rsid w:val="00C02A18"/>
    <w:rsid w:val="00C035C7"/>
    <w:rsid w:val="00C04895"/>
    <w:rsid w:val="00C05063"/>
    <w:rsid w:val="00C0692A"/>
    <w:rsid w:val="00C074C2"/>
    <w:rsid w:val="00C10DB5"/>
    <w:rsid w:val="00C11CEF"/>
    <w:rsid w:val="00C15B32"/>
    <w:rsid w:val="00C16CC3"/>
    <w:rsid w:val="00C172ED"/>
    <w:rsid w:val="00C20545"/>
    <w:rsid w:val="00C2110B"/>
    <w:rsid w:val="00C219BE"/>
    <w:rsid w:val="00C22641"/>
    <w:rsid w:val="00C230D8"/>
    <w:rsid w:val="00C23B6E"/>
    <w:rsid w:val="00C246D9"/>
    <w:rsid w:val="00C253FD"/>
    <w:rsid w:val="00C308F8"/>
    <w:rsid w:val="00C30A09"/>
    <w:rsid w:val="00C316E8"/>
    <w:rsid w:val="00C327E5"/>
    <w:rsid w:val="00C3287C"/>
    <w:rsid w:val="00C3289F"/>
    <w:rsid w:val="00C36179"/>
    <w:rsid w:val="00C37B37"/>
    <w:rsid w:val="00C41D97"/>
    <w:rsid w:val="00C43020"/>
    <w:rsid w:val="00C4322C"/>
    <w:rsid w:val="00C462AC"/>
    <w:rsid w:val="00C46866"/>
    <w:rsid w:val="00C46F30"/>
    <w:rsid w:val="00C470A5"/>
    <w:rsid w:val="00C5176F"/>
    <w:rsid w:val="00C51D87"/>
    <w:rsid w:val="00C53C76"/>
    <w:rsid w:val="00C57336"/>
    <w:rsid w:val="00C6112B"/>
    <w:rsid w:val="00C61350"/>
    <w:rsid w:val="00C61BB7"/>
    <w:rsid w:val="00C626C6"/>
    <w:rsid w:val="00C6391A"/>
    <w:rsid w:val="00C63CDC"/>
    <w:rsid w:val="00C64B53"/>
    <w:rsid w:val="00C65095"/>
    <w:rsid w:val="00C6674F"/>
    <w:rsid w:val="00C7001F"/>
    <w:rsid w:val="00C717AA"/>
    <w:rsid w:val="00C722AF"/>
    <w:rsid w:val="00C738E5"/>
    <w:rsid w:val="00C759D5"/>
    <w:rsid w:val="00C76B04"/>
    <w:rsid w:val="00C824B5"/>
    <w:rsid w:val="00C84167"/>
    <w:rsid w:val="00C8441B"/>
    <w:rsid w:val="00C84646"/>
    <w:rsid w:val="00C84B78"/>
    <w:rsid w:val="00C86AB9"/>
    <w:rsid w:val="00C93969"/>
    <w:rsid w:val="00C95AC9"/>
    <w:rsid w:val="00C9790D"/>
    <w:rsid w:val="00C97F7D"/>
    <w:rsid w:val="00CA0AD5"/>
    <w:rsid w:val="00CA0DA3"/>
    <w:rsid w:val="00CA2279"/>
    <w:rsid w:val="00CA2524"/>
    <w:rsid w:val="00CA2778"/>
    <w:rsid w:val="00CA2B26"/>
    <w:rsid w:val="00CA2D51"/>
    <w:rsid w:val="00CA5BC8"/>
    <w:rsid w:val="00CB0A7E"/>
    <w:rsid w:val="00CB2762"/>
    <w:rsid w:val="00CB2FAF"/>
    <w:rsid w:val="00CB3301"/>
    <w:rsid w:val="00CB4453"/>
    <w:rsid w:val="00CB4C18"/>
    <w:rsid w:val="00CB4F4E"/>
    <w:rsid w:val="00CB69E1"/>
    <w:rsid w:val="00CC014D"/>
    <w:rsid w:val="00CC5F50"/>
    <w:rsid w:val="00CC629C"/>
    <w:rsid w:val="00CC676C"/>
    <w:rsid w:val="00CC7781"/>
    <w:rsid w:val="00CC7D9F"/>
    <w:rsid w:val="00CD0A25"/>
    <w:rsid w:val="00CD0F04"/>
    <w:rsid w:val="00CD25A8"/>
    <w:rsid w:val="00CD4164"/>
    <w:rsid w:val="00CD5EED"/>
    <w:rsid w:val="00CD679B"/>
    <w:rsid w:val="00CE20C4"/>
    <w:rsid w:val="00CE33F0"/>
    <w:rsid w:val="00CE56F4"/>
    <w:rsid w:val="00CE6089"/>
    <w:rsid w:val="00CE795F"/>
    <w:rsid w:val="00CF1451"/>
    <w:rsid w:val="00CF1A91"/>
    <w:rsid w:val="00CF2F2F"/>
    <w:rsid w:val="00CF4A36"/>
    <w:rsid w:val="00D008BD"/>
    <w:rsid w:val="00D01FE4"/>
    <w:rsid w:val="00D028F6"/>
    <w:rsid w:val="00D04A9E"/>
    <w:rsid w:val="00D05ABF"/>
    <w:rsid w:val="00D05F34"/>
    <w:rsid w:val="00D1130E"/>
    <w:rsid w:val="00D121AC"/>
    <w:rsid w:val="00D1507D"/>
    <w:rsid w:val="00D157EC"/>
    <w:rsid w:val="00D15AF7"/>
    <w:rsid w:val="00D172EF"/>
    <w:rsid w:val="00D22B76"/>
    <w:rsid w:val="00D30D32"/>
    <w:rsid w:val="00D31FCC"/>
    <w:rsid w:val="00D3200C"/>
    <w:rsid w:val="00D32342"/>
    <w:rsid w:val="00D32933"/>
    <w:rsid w:val="00D32C52"/>
    <w:rsid w:val="00D33C30"/>
    <w:rsid w:val="00D33ED7"/>
    <w:rsid w:val="00D35769"/>
    <w:rsid w:val="00D3663E"/>
    <w:rsid w:val="00D4065A"/>
    <w:rsid w:val="00D45868"/>
    <w:rsid w:val="00D46FC4"/>
    <w:rsid w:val="00D4722E"/>
    <w:rsid w:val="00D51E44"/>
    <w:rsid w:val="00D52AA7"/>
    <w:rsid w:val="00D53899"/>
    <w:rsid w:val="00D540F9"/>
    <w:rsid w:val="00D543CA"/>
    <w:rsid w:val="00D57BB5"/>
    <w:rsid w:val="00D60846"/>
    <w:rsid w:val="00D6093F"/>
    <w:rsid w:val="00D6113A"/>
    <w:rsid w:val="00D61266"/>
    <w:rsid w:val="00D632E3"/>
    <w:rsid w:val="00D6346E"/>
    <w:rsid w:val="00D70E36"/>
    <w:rsid w:val="00D7128C"/>
    <w:rsid w:val="00D717C7"/>
    <w:rsid w:val="00D72572"/>
    <w:rsid w:val="00D733E4"/>
    <w:rsid w:val="00D73A4B"/>
    <w:rsid w:val="00D744EB"/>
    <w:rsid w:val="00D7535E"/>
    <w:rsid w:val="00D76EB1"/>
    <w:rsid w:val="00D80EE1"/>
    <w:rsid w:val="00D81E9E"/>
    <w:rsid w:val="00D83012"/>
    <w:rsid w:val="00D90830"/>
    <w:rsid w:val="00D927E8"/>
    <w:rsid w:val="00D92977"/>
    <w:rsid w:val="00D929FA"/>
    <w:rsid w:val="00D92B0B"/>
    <w:rsid w:val="00D92DAD"/>
    <w:rsid w:val="00D93A1B"/>
    <w:rsid w:val="00D977EA"/>
    <w:rsid w:val="00DA174A"/>
    <w:rsid w:val="00DA585B"/>
    <w:rsid w:val="00DA7998"/>
    <w:rsid w:val="00DB194B"/>
    <w:rsid w:val="00DB244A"/>
    <w:rsid w:val="00DB255F"/>
    <w:rsid w:val="00DB3CAB"/>
    <w:rsid w:val="00DB3D7F"/>
    <w:rsid w:val="00DB43E8"/>
    <w:rsid w:val="00DB44C6"/>
    <w:rsid w:val="00DB4FC4"/>
    <w:rsid w:val="00DB570D"/>
    <w:rsid w:val="00DB62A0"/>
    <w:rsid w:val="00DB64F9"/>
    <w:rsid w:val="00DB6939"/>
    <w:rsid w:val="00DB6ED7"/>
    <w:rsid w:val="00DB7E91"/>
    <w:rsid w:val="00DC1BC4"/>
    <w:rsid w:val="00DC42B7"/>
    <w:rsid w:val="00DC5B3B"/>
    <w:rsid w:val="00DC5C46"/>
    <w:rsid w:val="00DC7082"/>
    <w:rsid w:val="00DD3CCC"/>
    <w:rsid w:val="00DD4458"/>
    <w:rsid w:val="00DD4548"/>
    <w:rsid w:val="00DD4780"/>
    <w:rsid w:val="00DE0207"/>
    <w:rsid w:val="00DE06BC"/>
    <w:rsid w:val="00DE0F4E"/>
    <w:rsid w:val="00DE19B7"/>
    <w:rsid w:val="00DE43A0"/>
    <w:rsid w:val="00DE65C6"/>
    <w:rsid w:val="00DF0D0A"/>
    <w:rsid w:val="00DF132C"/>
    <w:rsid w:val="00DF2D2B"/>
    <w:rsid w:val="00DF3C9E"/>
    <w:rsid w:val="00DF585A"/>
    <w:rsid w:val="00DF6439"/>
    <w:rsid w:val="00DF6720"/>
    <w:rsid w:val="00DF7982"/>
    <w:rsid w:val="00DF7C7E"/>
    <w:rsid w:val="00E01215"/>
    <w:rsid w:val="00E02FEE"/>
    <w:rsid w:val="00E03177"/>
    <w:rsid w:val="00E049FE"/>
    <w:rsid w:val="00E052B3"/>
    <w:rsid w:val="00E056B3"/>
    <w:rsid w:val="00E1023C"/>
    <w:rsid w:val="00E105E7"/>
    <w:rsid w:val="00E10AFB"/>
    <w:rsid w:val="00E118FF"/>
    <w:rsid w:val="00E11935"/>
    <w:rsid w:val="00E13576"/>
    <w:rsid w:val="00E15DA8"/>
    <w:rsid w:val="00E2030E"/>
    <w:rsid w:val="00E226FA"/>
    <w:rsid w:val="00E230C4"/>
    <w:rsid w:val="00E2382E"/>
    <w:rsid w:val="00E24A2D"/>
    <w:rsid w:val="00E26D9C"/>
    <w:rsid w:val="00E273C8"/>
    <w:rsid w:val="00E31933"/>
    <w:rsid w:val="00E3223D"/>
    <w:rsid w:val="00E33427"/>
    <w:rsid w:val="00E350B8"/>
    <w:rsid w:val="00E3733D"/>
    <w:rsid w:val="00E37C0D"/>
    <w:rsid w:val="00E45E8D"/>
    <w:rsid w:val="00E46AC8"/>
    <w:rsid w:val="00E46ACE"/>
    <w:rsid w:val="00E472AF"/>
    <w:rsid w:val="00E479CE"/>
    <w:rsid w:val="00E50346"/>
    <w:rsid w:val="00E50C7F"/>
    <w:rsid w:val="00E50DC9"/>
    <w:rsid w:val="00E51AA3"/>
    <w:rsid w:val="00E54ECA"/>
    <w:rsid w:val="00E60E45"/>
    <w:rsid w:val="00E61907"/>
    <w:rsid w:val="00E62137"/>
    <w:rsid w:val="00E626C1"/>
    <w:rsid w:val="00E62DE3"/>
    <w:rsid w:val="00E630D5"/>
    <w:rsid w:val="00E635D6"/>
    <w:rsid w:val="00E64338"/>
    <w:rsid w:val="00E64EB5"/>
    <w:rsid w:val="00E65296"/>
    <w:rsid w:val="00E660B6"/>
    <w:rsid w:val="00E672DC"/>
    <w:rsid w:val="00E71379"/>
    <w:rsid w:val="00E71906"/>
    <w:rsid w:val="00E71B3E"/>
    <w:rsid w:val="00E7277F"/>
    <w:rsid w:val="00E72BE2"/>
    <w:rsid w:val="00E764BD"/>
    <w:rsid w:val="00E80A02"/>
    <w:rsid w:val="00E811AA"/>
    <w:rsid w:val="00E816B7"/>
    <w:rsid w:val="00E835C1"/>
    <w:rsid w:val="00E84F9E"/>
    <w:rsid w:val="00E856D2"/>
    <w:rsid w:val="00E85A9C"/>
    <w:rsid w:val="00E91854"/>
    <w:rsid w:val="00E92305"/>
    <w:rsid w:val="00E92348"/>
    <w:rsid w:val="00E939E0"/>
    <w:rsid w:val="00E93F77"/>
    <w:rsid w:val="00E9433D"/>
    <w:rsid w:val="00E949DB"/>
    <w:rsid w:val="00E9578B"/>
    <w:rsid w:val="00E96AE8"/>
    <w:rsid w:val="00E96BCC"/>
    <w:rsid w:val="00E975D2"/>
    <w:rsid w:val="00EA00D2"/>
    <w:rsid w:val="00EA1109"/>
    <w:rsid w:val="00EA1A3C"/>
    <w:rsid w:val="00EA243E"/>
    <w:rsid w:val="00EA3C51"/>
    <w:rsid w:val="00EA3EDB"/>
    <w:rsid w:val="00EA643D"/>
    <w:rsid w:val="00EA6B7F"/>
    <w:rsid w:val="00EB16A9"/>
    <w:rsid w:val="00EB4A4A"/>
    <w:rsid w:val="00EB5121"/>
    <w:rsid w:val="00EB527B"/>
    <w:rsid w:val="00EB799C"/>
    <w:rsid w:val="00EB7D20"/>
    <w:rsid w:val="00EC348C"/>
    <w:rsid w:val="00EC41A9"/>
    <w:rsid w:val="00EC462E"/>
    <w:rsid w:val="00EC4F29"/>
    <w:rsid w:val="00EC4FF5"/>
    <w:rsid w:val="00EC526E"/>
    <w:rsid w:val="00ED183A"/>
    <w:rsid w:val="00ED1DB8"/>
    <w:rsid w:val="00ED1F35"/>
    <w:rsid w:val="00ED31F8"/>
    <w:rsid w:val="00ED4369"/>
    <w:rsid w:val="00ED4D01"/>
    <w:rsid w:val="00ED770F"/>
    <w:rsid w:val="00EE02A8"/>
    <w:rsid w:val="00EE08CD"/>
    <w:rsid w:val="00EE0AF0"/>
    <w:rsid w:val="00EE3C56"/>
    <w:rsid w:val="00EE5141"/>
    <w:rsid w:val="00EE546C"/>
    <w:rsid w:val="00EE7F7B"/>
    <w:rsid w:val="00EF1389"/>
    <w:rsid w:val="00EF16A3"/>
    <w:rsid w:val="00EF1CA2"/>
    <w:rsid w:val="00EF4EC9"/>
    <w:rsid w:val="00EF63A0"/>
    <w:rsid w:val="00EF77DD"/>
    <w:rsid w:val="00F02BCF"/>
    <w:rsid w:val="00F05869"/>
    <w:rsid w:val="00F06EBF"/>
    <w:rsid w:val="00F1370A"/>
    <w:rsid w:val="00F1413C"/>
    <w:rsid w:val="00F146AD"/>
    <w:rsid w:val="00F15084"/>
    <w:rsid w:val="00F166D9"/>
    <w:rsid w:val="00F16B15"/>
    <w:rsid w:val="00F17443"/>
    <w:rsid w:val="00F20974"/>
    <w:rsid w:val="00F2228B"/>
    <w:rsid w:val="00F2286B"/>
    <w:rsid w:val="00F234FC"/>
    <w:rsid w:val="00F23ABE"/>
    <w:rsid w:val="00F2480F"/>
    <w:rsid w:val="00F25805"/>
    <w:rsid w:val="00F26799"/>
    <w:rsid w:val="00F30C72"/>
    <w:rsid w:val="00F31D56"/>
    <w:rsid w:val="00F3349E"/>
    <w:rsid w:val="00F3427D"/>
    <w:rsid w:val="00F34A03"/>
    <w:rsid w:val="00F372EE"/>
    <w:rsid w:val="00F374C5"/>
    <w:rsid w:val="00F379E9"/>
    <w:rsid w:val="00F407E1"/>
    <w:rsid w:val="00F41217"/>
    <w:rsid w:val="00F41619"/>
    <w:rsid w:val="00F42BC2"/>
    <w:rsid w:val="00F42E68"/>
    <w:rsid w:val="00F444B5"/>
    <w:rsid w:val="00F46113"/>
    <w:rsid w:val="00F47693"/>
    <w:rsid w:val="00F47ABC"/>
    <w:rsid w:val="00F507D3"/>
    <w:rsid w:val="00F52821"/>
    <w:rsid w:val="00F54B00"/>
    <w:rsid w:val="00F54C24"/>
    <w:rsid w:val="00F56B59"/>
    <w:rsid w:val="00F60155"/>
    <w:rsid w:val="00F60BC2"/>
    <w:rsid w:val="00F60EFF"/>
    <w:rsid w:val="00F62375"/>
    <w:rsid w:val="00F632CD"/>
    <w:rsid w:val="00F6666B"/>
    <w:rsid w:val="00F708A6"/>
    <w:rsid w:val="00F71B9B"/>
    <w:rsid w:val="00F72245"/>
    <w:rsid w:val="00F73053"/>
    <w:rsid w:val="00F74DF9"/>
    <w:rsid w:val="00F7662B"/>
    <w:rsid w:val="00F81376"/>
    <w:rsid w:val="00F83B54"/>
    <w:rsid w:val="00F8479C"/>
    <w:rsid w:val="00F84C25"/>
    <w:rsid w:val="00F86DDB"/>
    <w:rsid w:val="00F87828"/>
    <w:rsid w:val="00F91C6C"/>
    <w:rsid w:val="00F9362C"/>
    <w:rsid w:val="00F95BFA"/>
    <w:rsid w:val="00FA088B"/>
    <w:rsid w:val="00FA0C47"/>
    <w:rsid w:val="00FA1198"/>
    <w:rsid w:val="00FA29BD"/>
    <w:rsid w:val="00FA3488"/>
    <w:rsid w:val="00FA57B9"/>
    <w:rsid w:val="00FB12B9"/>
    <w:rsid w:val="00FB1406"/>
    <w:rsid w:val="00FB221B"/>
    <w:rsid w:val="00FB42CD"/>
    <w:rsid w:val="00FB7091"/>
    <w:rsid w:val="00FB74B0"/>
    <w:rsid w:val="00FB7FA0"/>
    <w:rsid w:val="00FC0F37"/>
    <w:rsid w:val="00FC3179"/>
    <w:rsid w:val="00FC36BB"/>
    <w:rsid w:val="00FC3C88"/>
    <w:rsid w:val="00FC5338"/>
    <w:rsid w:val="00FC714D"/>
    <w:rsid w:val="00FD0355"/>
    <w:rsid w:val="00FD0454"/>
    <w:rsid w:val="00FD4F8C"/>
    <w:rsid w:val="00FE071F"/>
    <w:rsid w:val="00FE0F15"/>
    <w:rsid w:val="00FE2105"/>
    <w:rsid w:val="00FE27DA"/>
    <w:rsid w:val="00FE3EC1"/>
    <w:rsid w:val="00FE5783"/>
    <w:rsid w:val="00FE6C00"/>
    <w:rsid w:val="00FE7394"/>
    <w:rsid w:val="00FE7B5F"/>
    <w:rsid w:val="00FF05B9"/>
    <w:rsid w:val="00FF09EE"/>
    <w:rsid w:val="00FF1637"/>
    <w:rsid w:val="00FF375B"/>
    <w:rsid w:val="00FF571D"/>
    <w:rsid w:val="00FF68D0"/>
    <w:rsid w:val="00FF6FDF"/>
    <w:rsid w:val="00FF71DB"/>
    <w:rsid w:val="00FF7D8B"/>
    <w:rsid w:val="0171F4D5"/>
    <w:rsid w:val="01CDC965"/>
    <w:rsid w:val="01E65062"/>
    <w:rsid w:val="0243CA05"/>
    <w:rsid w:val="02B12267"/>
    <w:rsid w:val="02BE1D59"/>
    <w:rsid w:val="02CBE3D9"/>
    <w:rsid w:val="02D14A8E"/>
    <w:rsid w:val="02FFD1D8"/>
    <w:rsid w:val="031B4709"/>
    <w:rsid w:val="032D5079"/>
    <w:rsid w:val="0335DFE5"/>
    <w:rsid w:val="03399D7D"/>
    <w:rsid w:val="0349EB5A"/>
    <w:rsid w:val="03616661"/>
    <w:rsid w:val="037B1A02"/>
    <w:rsid w:val="038D3C0A"/>
    <w:rsid w:val="03B0C3A6"/>
    <w:rsid w:val="03D6C1B5"/>
    <w:rsid w:val="0409D733"/>
    <w:rsid w:val="041B034B"/>
    <w:rsid w:val="043D3C0A"/>
    <w:rsid w:val="04751B74"/>
    <w:rsid w:val="04968F0A"/>
    <w:rsid w:val="04A8F785"/>
    <w:rsid w:val="04C3A7BA"/>
    <w:rsid w:val="04C5CBDF"/>
    <w:rsid w:val="05137025"/>
    <w:rsid w:val="0513B459"/>
    <w:rsid w:val="053A94BE"/>
    <w:rsid w:val="05531C67"/>
    <w:rsid w:val="057D70B8"/>
    <w:rsid w:val="05890D05"/>
    <w:rsid w:val="05AA57B1"/>
    <w:rsid w:val="05FA7055"/>
    <w:rsid w:val="06036394"/>
    <w:rsid w:val="061B165B"/>
    <w:rsid w:val="063CA28D"/>
    <w:rsid w:val="0641D005"/>
    <w:rsid w:val="065397C0"/>
    <w:rsid w:val="06ABF58D"/>
    <w:rsid w:val="06AC7A5C"/>
    <w:rsid w:val="06BB0301"/>
    <w:rsid w:val="06BE86ED"/>
    <w:rsid w:val="06CA8FA0"/>
    <w:rsid w:val="0719B692"/>
    <w:rsid w:val="071A2CE1"/>
    <w:rsid w:val="07676FC7"/>
    <w:rsid w:val="07B4B234"/>
    <w:rsid w:val="07C50B28"/>
    <w:rsid w:val="082AC111"/>
    <w:rsid w:val="083CB924"/>
    <w:rsid w:val="08519063"/>
    <w:rsid w:val="08651ED4"/>
    <w:rsid w:val="08D763E9"/>
    <w:rsid w:val="08EE71E9"/>
    <w:rsid w:val="09018243"/>
    <w:rsid w:val="0996811A"/>
    <w:rsid w:val="09A8C892"/>
    <w:rsid w:val="09CA2A48"/>
    <w:rsid w:val="09CD39E7"/>
    <w:rsid w:val="09D7F314"/>
    <w:rsid w:val="0A53C732"/>
    <w:rsid w:val="0A69E8EF"/>
    <w:rsid w:val="0A99AB4F"/>
    <w:rsid w:val="0AB263BC"/>
    <w:rsid w:val="0B048BC3"/>
    <w:rsid w:val="0B298064"/>
    <w:rsid w:val="0B3495F6"/>
    <w:rsid w:val="0B3CED7A"/>
    <w:rsid w:val="0B9BA7A1"/>
    <w:rsid w:val="0BA9732D"/>
    <w:rsid w:val="0C55E594"/>
    <w:rsid w:val="0C7A6F4B"/>
    <w:rsid w:val="0C89EF19"/>
    <w:rsid w:val="0CC04327"/>
    <w:rsid w:val="0CD02FBB"/>
    <w:rsid w:val="0CD03411"/>
    <w:rsid w:val="0D1C3B80"/>
    <w:rsid w:val="0D37672F"/>
    <w:rsid w:val="0D777342"/>
    <w:rsid w:val="0D99DF88"/>
    <w:rsid w:val="0DE6D0B6"/>
    <w:rsid w:val="0DE8B497"/>
    <w:rsid w:val="0DE9CDDB"/>
    <w:rsid w:val="0E090734"/>
    <w:rsid w:val="0E51F341"/>
    <w:rsid w:val="0E5F0421"/>
    <w:rsid w:val="0E851BD3"/>
    <w:rsid w:val="0E928317"/>
    <w:rsid w:val="0ED8BD42"/>
    <w:rsid w:val="0F1532F6"/>
    <w:rsid w:val="0F84E14E"/>
    <w:rsid w:val="0F9C3201"/>
    <w:rsid w:val="0F9FFCDB"/>
    <w:rsid w:val="0FF9C607"/>
    <w:rsid w:val="10153EF1"/>
    <w:rsid w:val="10B05118"/>
    <w:rsid w:val="10CE2A02"/>
    <w:rsid w:val="10ECEFF7"/>
    <w:rsid w:val="11612DCC"/>
    <w:rsid w:val="117956DC"/>
    <w:rsid w:val="11808D85"/>
    <w:rsid w:val="1190E81F"/>
    <w:rsid w:val="11AFF396"/>
    <w:rsid w:val="12042179"/>
    <w:rsid w:val="121B330C"/>
    <w:rsid w:val="1220DD14"/>
    <w:rsid w:val="12619111"/>
    <w:rsid w:val="128E34A9"/>
    <w:rsid w:val="12B3C847"/>
    <w:rsid w:val="12FEBBFF"/>
    <w:rsid w:val="1390F4E5"/>
    <w:rsid w:val="13B17CA1"/>
    <w:rsid w:val="13B603A0"/>
    <w:rsid w:val="13F657AD"/>
    <w:rsid w:val="14021E98"/>
    <w:rsid w:val="1416F3A5"/>
    <w:rsid w:val="142099E6"/>
    <w:rsid w:val="1427C6F8"/>
    <w:rsid w:val="1429C560"/>
    <w:rsid w:val="142E66F2"/>
    <w:rsid w:val="14523817"/>
    <w:rsid w:val="14595972"/>
    <w:rsid w:val="1462A92E"/>
    <w:rsid w:val="146C9CD8"/>
    <w:rsid w:val="148050EA"/>
    <w:rsid w:val="14A37C15"/>
    <w:rsid w:val="14A8F043"/>
    <w:rsid w:val="14B7F1E4"/>
    <w:rsid w:val="14C05273"/>
    <w:rsid w:val="1513185E"/>
    <w:rsid w:val="155FA70B"/>
    <w:rsid w:val="15BE43DA"/>
    <w:rsid w:val="15BF74BD"/>
    <w:rsid w:val="162C63EF"/>
    <w:rsid w:val="162DF504"/>
    <w:rsid w:val="168CB01A"/>
    <w:rsid w:val="171FE426"/>
    <w:rsid w:val="17C1B586"/>
    <w:rsid w:val="17F29DAF"/>
    <w:rsid w:val="180BBB14"/>
    <w:rsid w:val="185978F6"/>
    <w:rsid w:val="18CF8047"/>
    <w:rsid w:val="19199B88"/>
    <w:rsid w:val="196E5F56"/>
    <w:rsid w:val="197A3FA5"/>
    <w:rsid w:val="19821BE8"/>
    <w:rsid w:val="198963B3"/>
    <w:rsid w:val="19B41096"/>
    <w:rsid w:val="19DEBC66"/>
    <w:rsid w:val="19EFB0F8"/>
    <w:rsid w:val="1A0A11F9"/>
    <w:rsid w:val="1A461E08"/>
    <w:rsid w:val="1A5EE808"/>
    <w:rsid w:val="1AC65564"/>
    <w:rsid w:val="1AF0E43D"/>
    <w:rsid w:val="1B2455B8"/>
    <w:rsid w:val="1B485E33"/>
    <w:rsid w:val="1B5541EB"/>
    <w:rsid w:val="1B6982F2"/>
    <w:rsid w:val="1B7A4D8F"/>
    <w:rsid w:val="1B9108C5"/>
    <w:rsid w:val="1BDE1E9E"/>
    <w:rsid w:val="1C01F0C7"/>
    <w:rsid w:val="1C1CDB48"/>
    <w:rsid w:val="1C3144AF"/>
    <w:rsid w:val="1C577C30"/>
    <w:rsid w:val="1CA39AFE"/>
    <w:rsid w:val="1D1B719C"/>
    <w:rsid w:val="1D2034A5"/>
    <w:rsid w:val="1D59E763"/>
    <w:rsid w:val="1D932C9B"/>
    <w:rsid w:val="1DD9C838"/>
    <w:rsid w:val="1DF695A5"/>
    <w:rsid w:val="1E0B2C99"/>
    <w:rsid w:val="1E0ECAD6"/>
    <w:rsid w:val="1E18B858"/>
    <w:rsid w:val="1E8253D1"/>
    <w:rsid w:val="1ECA82DE"/>
    <w:rsid w:val="1EF8C893"/>
    <w:rsid w:val="1F082AEC"/>
    <w:rsid w:val="1F1AB7F6"/>
    <w:rsid w:val="1F323A83"/>
    <w:rsid w:val="1F37ECF3"/>
    <w:rsid w:val="1FA80029"/>
    <w:rsid w:val="1FA9CD8C"/>
    <w:rsid w:val="1FB6FACA"/>
    <w:rsid w:val="1FEA6BEB"/>
    <w:rsid w:val="1FEE51FD"/>
    <w:rsid w:val="1FEFFC64"/>
    <w:rsid w:val="1FF18071"/>
    <w:rsid w:val="209474B7"/>
    <w:rsid w:val="20E175AD"/>
    <w:rsid w:val="2175B159"/>
    <w:rsid w:val="2181E1B2"/>
    <w:rsid w:val="21A47077"/>
    <w:rsid w:val="21CBADC1"/>
    <w:rsid w:val="229FB457"/>
    <w:rsid w:val="22D64F4B"/>
    <w:rsid w:val="22EDA643"/>
    <w:rsid w:val="2327B9E5"/>
    <w:rsid w:val="23820929"/>
    <w:rsid w:val="23986327"/>
    <w:rsid w:val="23B2693F"/>
    <w:rsid w:val="23B714EA"/>
    <w:rsid w:val="23E28C0E"/>
    <w:rsid w:val="2410675A"/>
    <w:rsid w:val="24273402"/>
    <w:rsid w:val="2428030F"/>
    <w:rsid w:val="242B4976"/>
    <w:rsid w:val="24371DB8"/>
    <w:rsid w:val="243804DA"/>
    <w:rsid w:val="24CA3661"/>
    <w:rsid w:val="250D5DA5"/>
    <w:rsid w:val="2517C127"/>
    <w:rsid w:val="251D319D"/>
    <w:rsid w:val="2533FED0"/>
    <w:rsid w:val="25597BA5"/>
    <w:rsid w:val="258D0E45"/>
    <w:rsid w:val="25BDCD6F"/>
    <w:rsid w:val="26128510"/>
    <w:rsid w:val="2624750F"/>
    <w:rsid w:val="264D72C2"/>
    <w:rsid w:val="265672A4"/>
    <w:rsid w:val="265D6BB0"/>
    <w:rsid w:val="26CAFDD4"/>
    <w:rsid w:val="26D1BD6E"/>
    <w:rsid w:val="272F2368"/>
    <w:rsid w:val="2767209A"/>
    <w:rsid w:val="27875FC1"/>
    <w:rsid w:val="27A5D835"/>
    <w:rsid w:val="27B230C2"/>
    <w:rsid w:val="27C5A63B"/>
    <w:rsid w:val="28173804"/>
    <w:rsid w:val="282AA989"/>
    <w:rsid w:val="2861C9B7"/>
    <w:rsid w:val="289ED8DB"/>
    <w:rsid w:val="28E1DABB"/>
    <w:rsid w:val="28E852CB"/>
    <w:rsid w:val="28EF99FA"/>
    <w:rsid w:val="2901DE73"/>
    <w:rsid w:val="2908CACF"/>
    <w:rsid w:val="2909CC47"/>
    <w:rsid w:val="2946F8ED"/>
    <w:rsid w:val="2985AA58"/>
    <w:rsid w:val="29A78E3F"/>
    <w:rsid w:val="29C47F04"/>
    <w:rsid w:val="29EC7410"/>
    <w:rsid w:val="29EE4061"/>
    <w:rsid w:val="29EE65AE"/>
    <w:rsid w:val="29FCBEE9"/>
    <w:rsid w:val="29FE5E85"/>
    <w:rsid w:val="2A56C97E"/>
    <w:rsid w:val="2A670234"/>
    <w:rsid w:val="2A9AC683"/>
    <w:rsid w:val="2AFFAAD7"/>
    <w:rsid w:val="2B1E1872"/>
    <w:rsid w:val="2BAE9D86"/>
    <w:rsid w:val="2BB6076A"/>
    <w:rsid w:val="2BBDC844"/>
    <w:rsid w:val="2BDC2339"/>
    <w:rsid w:val="2C0297B4"/>
    <w:rsid w:val="2C066826"/>
    <w:rsid w:val="2C0AA0DB"/>
    <w:rsid w:val="2C133ADF"/>
    <w:rsid w:val="2C4F9309"/>
    <w:rsid w:val="2C5078F7"/>
    <w:rsid w:val="2C60CA20"/>
    <w:rsid w:val="2C9EE7B2"/>
    <w:rsid w:val="2CB2D61B"/>
    <w:rsid w:val="2CD267EE"/>
    <w:rsid w:val="2CEC4256"/>
    <w:rsid w:val="2CF0A493"/>
    <w:rsid w:val="2D21B727"/>
    <w:rsid w:val="2D262B02"/>
    <w:rsid w:val="2D3712A2"/>
    <w:rsid w:val="2D9A1A61"/>
    <w:rsid w:val="2D9E7AFE"/>
    <w:rsid w:val="2DDDB774"/>
    <w:rsid w:val="2DF9A628"/>
    <w:rsid w:val="2E19CDE9"/>
    <w:rsid w:val="2E1B01EE"/>
    <w:rsid w:val="2E3865AF"/>
    <w:rsid w:val="2E72D2AE"/>
    <w:rsid w:val="2EB85304"/>
    <w:rsid w:val="2F128570"/>
    <w:rsid w:val="2F1C479C"/>
    <w:rsid w:val="2F2B4610"/>
    <w:rsid w:val="2F318660"/>
    <w:rsid w:val="2F3E94C9"/>
    <w:rsid w:val="2F4F1868"/>
    <w:rsid w:val="2F70AB63"/>
    <w:rsid w:val="2F8287C0"/>
    <w:rsid w:val="2FAD3794"/>
    <w:rsid w:val="300F52E2"/>
    <w:rsid w:val="3056ED27"/>
    <w:rsid w:val="3070F62F"/>
    <w:rsid w:val="308BF2EC"/>
    <w:rsid w:val="30C02D38"/>
    <w:rsid w:val="30F3FA0D"/>
    <w:rsid w:val="313AA039"/>
    <w:rsid w:val="3176BBE0"/>
    <w:rsid w:val="31A40A5E"/>
    <w:rsid w:val="31B52E60"/>
    <w:rsid w:val="31CBF854"/>
    <w:rsid w:val="31CD45D4"/>
    <w:rsid w:val="32072E2F"/>
    <w:rsid w:val="321C3069"/>
    <w:rsid w:val="329109F4"/>
    <w:rsid w:val="330A559C"/>
    <w:rsid w:val="330D4DB0"/>
    <w:rsid w:val="331439BB"/>
    <w:rsid w:val="333030BD"/>
    <w:rsid w:val="3336023D"/>
    <w:rsid w:val="33C82D95"/>
    <w:rsid w:val="34298BAD"/>
    <w:rsid w:val="342D9416"/>
    <w:rsid w:val="3431BD1E"/>
    <w:rsid w:val="3459AA1F"/>
    <w:rsid w:val="345D4600"/>
    <w:rsid w:val="34747E15"/>
    <w:rsid w:val="3592067B"/>
    <w:rsid w:val="35AC8854"/>
    <w:rsid w:val="35D001BE"/>
    <w:rsid w:val="364D85B6"/>
    <w:rsid w:val="37CA2062"/>
    <w:rsid w:val="37F4B7FE"/>
    <w:rsid w:val="3804C8C6"/>
    <w:rsid w:val="385C9482"/>
    <w:rsid w:val="3886A2D0"/>
    <w:rsid w:val="38FD7F82"/>
    <w:rsid w:val="39233A56"/>
    <w:rsid w:val="39736C77"/>
    <w:rsid w:val="3979D95C"/>
    <w:rsid w:val="39811367"/>
    <w:rsid w:val="39900E92"/>
    <w:rsid w:val="39B76110"/>
    <w:rsid w:val="39C52752"/>
    <w:rsid w:val="3A27003A"/>
    <w:rsid w:val="3A31FEF4"/>
    <w:rsid w:val="3A5C1B9C"/>
    <w:rsid w:val="3A6807F6"/>
    <w:rsid w:val="3AB5D38A"/>
    <w:rsid w:val="3AB62789"/>
    <w:rsid w:val="3ABE5F42"/>
    <w:rsid w:val="3AC54AD5"/>
    <w:rsid w:val="3AD6433D"/>
    <w:rsid w:val="3AE49E87"/>
    <w:rsid w:val="3AF6559C"/>
    <w:rsid w:val="3B5EF036"/>
    <w:rsid w:val="3B60EEC9"/>
    <w:rsid w:val="3BC5C5F3"/>
    <w:rsid w:val="3BDE22BA"/>
    <w:rsid w:val="3C10D8CC"/>
    <w:rsid w:val="3C2BBAA4"/>
    <w:rsid w:val="3C3719BB"/>
    <w:rsid w:val="3C563F3D"/>
    <w:rsid w:val="3C6A3B20"/>
    <w:rsid w:val="3CEB45F1"/>
    <w:rsid w:val="3D08F30F"/>
    <w:rsid w:val="3D732BA0"/>
    <w:rsid w:val="3D778EEE"/>
    <w:rsid w:val="3D79E3CE"/>
    <w:rsid w:val="3D991B94"/>
    <w:rsid w:val="3D9DC2DC"/>
    <w:rsid w:val="3DB9ED54"/>
    <w:rsid w:val="3DC1C88B"/>
    <w:rsid w:val="3DE8D07C"/>
    <w:rsid w:val="3E15EE8F"/>
    <w:rsid w:val="3E3B8E29"/>
    <w:rsid w:val="3E963568"/>
    <w:rsid w:val="3E9D7628"/>
    <w:rsid w:val="3EC34BBB"/>
    <w:rsid w:val="3F168310"/>
    <w:rsid w:val="3F54F18E"/>
    <w:rsid w:val="3F764C50"/>
    <w:rsid w:val="3F787ECF"/>
    <w:rsid w:val="3FFF2F22"/>
    <w:rsid w:val="400F8D79"/>
    <w:rsid w:val="407FF0BD"/>
    <w:rsid w:val="40B12E5A"/>
    <w:rsid w:val="40B98E01"/>
    <w:rsid w:val="40E8442A"/>
    <w:rsid w:val="41245537"/>
    <w:rsid w:val="41374171"/>
    <w:rsid w:val="41555715"/>
    <w:rsid w:val="416551BF"/>
    <w:rsid w:val="416BB6D9"/>
    <w:rsid w:val="41909FED"/>
    <w:rsid w:val="41A63803"/>
    <w:rsid w:val="41BEC8DA"/>
    <w:rsid w:val="42909E26"/>
    <w:rsid w:val="42C92FFE"/>
    <w:rsid w:val="43399FCD"/>
    <w:rsid w:val="435277B7"/>
    <w:rsid w:val="43D71E91"/>
    <w:rsid w:val="43E7F8D5"/>
    <w:rsid w:val="4404A418"/>
    <w:rsid w:val="445BFD2F"/>
    <w:rsid w:val="4466E6BB"/>
    <w:rsid w:val="44FB0B7E"/>
    <w:rsid w:val="451A2902"/>
    <w:rsid w:val="45D77F39"/>
    <w:rsid w:val="45EA7300"/>
    <w:rsid w:val="45EC4497"/>
    <w:rsid w:val="46101C5C"/>
    <w:rsid w:val="4634408D"/>
    <w:rsid w:val="46459C56"/>
    <w:rsid w:val="46AB1328"/>
    <w:rsid w:val="46D2BB63"/>
    <w:rsid w:val="46FA339F"/>
    <w:rsid w:val="4750298A"/>
    <w:rsid w:val="47845FE8"/>
    <w:rsid w:val="4788C024"/>
    <w:rsid w:val="479DB224"/>
    <w:rsid w:val="48795532"/>
    <w:rsid w:val="48CB6DA0"/>
    <w:rsid w:val="48D5D4EF"/>
    <w:rsid w:val="4921747E"/>
    <w:rsid w:val="4965BB55"/>
    <w:rsid w:val="49666389"/>
    <w:rsid w:val="499037C5"/>
    <w:rsid w:val="49BA111C"/>
    <w:rsid w:val="49BF71E3"/>
    <w:rsid w:val="49D18FB9"/>
    <w:rsid w:val="4AA39902"/>
    <w:rsid w:val="4ADD233B"/>
    <w:rsid w:val="4B04ABE8"/>
    <w:rsid w:val="4BDA0344"/>
    <w:rsid w:val="4BFE3655"/>
    <w:rsid w:val="4C1F57F9"/>
    <w:rsid w:val="4C574CAE"/>
    <w:rsid w:val="4C5C8D57"/>
    <w:rsid w:val="4CA2E7DC"/>
    <w:rsid w:val="4CDF3517"/>
    <w:rsid w:val="4D4F4144"/>
    <w:rsid w:val="4D85B27F"/>
    <w:rsid w:val="4DB56D07"/>
    <w:rsid w:val="4DF24068"/>
    <w:rsid w:val="4E21703C"/>
    <w:rsid w:val="4E3C6193"/>
    <w:rsid w:val="4E60E524"/>
    <w:rsid w:val="4E8961B6"/>
    <w:rsid w:val="4EAC434F"/>
    <w:rsid w:val="4EC194B0"/>
    <w:rsid w:val="4EC870FE"/>
    <w:rsid w:val="4EE1E1E4"/>
    <w:rsid w:val="4F092BBB"/>
    <w:rsid w:val="4F223783"/>
    <w:rsid w:val="4F4843B8"/>
    <w:rsid w:val="4F7CC596"/>
    <w:rsid w:val="4F9D1EF5"/>
    <w:rsid w:val="4FB602B6"/>
    <w:rsid w:val="4FB66C41"/>
    <w:rsid w:val="4FD1F313"/>
    <w:rsid w:val="4FE351E3"/>
    <w:rsid w:val="4FF778DD"/>
    <w:rsid w:val="50462DFC"/>
    <w:rsid w:val="50602ABA"/>
    <w:rsid w:val="5068FBAC"/>
    <w:rsid w:val="50701BD3"/>
    <w:rsid w:val="50873EFC"/>
    <w:rsid w:val="5087D6CE"/>
    <w:rsid w:val="508CD0E7"/>
    <w:rsid w:val="50B9A160"/>
    <w:rsid w:val="5128F8CE"/>
    <w:rsid w:val="51518217"/>
    <w:rsid w:val="5152E1A0"/>
    <w:rsid w:val="5175DF16"/>
    <w:rsid w:val="51840C04"/>
    <w:rsid w:val="51BCFF18"/>
    <w:rsid w:val="51D4FEF8"/>
    <w:rsid w:val="51FCD9D0"/>
    <w:rsid w:val="524B85E0"/>
    <w:rsid w:val="5259D9F5"/>
    <w:rsid w:val="5259F0D6"/>
    <w:rsid w:val="526D172B"/>
    <w:rsid w:val="52745AB7"/>
    <w:rsid w:val="52939575"/>
    <w:rsid w:val="52B6FA78"/>
    <w:rsid w:val="52E31BA8"/>
    <w:rsid w:val="52E839CA"/>
    <w:rsid w:val="52F71A0A"/>
    <w:rsid w:val="5302A0DD"/>
    <w:rsid w:val="533E6097"/>
    <w:rsid w:val="537AFD55"/>
    <w:rsid w:val="53828EFB"/>
    <w:rsid w:val="542E39A1"/>
    <w:rsid w:val="543EC387"/>
    <w:rsid w:val="548DB09A"/>
    <w:rsid w:val="551D0255"/>
    <w:rsid w:val="556AD838"/>
    <w:rsid w:val="55969A40"/>
    <w:rsid w:val="559B64D2"/>
    <w:rsid w:val="5606A385"/>
    <w:rsid w:val="5609F6E3"/>
    <w:rsid w:val="56157266"/>
    <w:rsid w:val="56D08D6D"/>
    <w:rsid w:val="57B4EE78"/>
    <w:rsid w:val="57F0222B"/>
    <w:rsid w:val="5826B0FD"/>
    <w:rsid w:val="5846D420"/>
    <w:rsid w:val="588E39D0"/>
    <w:rsid w:val="58EECD94"/>
    <w:rsid w:val="596D05BE"/>
    <w:rsid w:val="596D9462"/>
    <w:rsid w:val="59DF84DD"/>
    <w:rsid w:val="59F60B63"/>
    <w:rsid w:val="5A536F97"/>
    <w:rsid w:val="5A53F0C1"/>
    <w:rsid w:val="5A760800"/>
    <w:rsid w:val="5A89B208"/>
    <w:rsid w:val="5AF563D9"/>
    <w:rsid w:val="5B1A2171"/>
    <w:rsid w:val="5B1DFC44"/>
    <w:rsid w:val="5B1F0A0C"/>
    <w:rsid w:val="5B654C40"/>
    <w:rsid w:val="5B8E35B7"/>
    <w:rsid w:val="5BC3CB07"/>
    <w:rsid w:val="5BC92691"/>
    <w:rsid w:val="5BF19C93"/>
    <w:rsid w:val="5BF8F3AA"/>
    <w:rsid w:val="5C6309D4"/>
    <w:rsid w:val="5C63435D"/>
    <w:rsid w:val="5C8509CE"/>
    <w:rsid w:val="5C9DFD02"/>
    <w:rsid w:val="5CA85B46"/>
    <w:rsid w:val="5CE8F1E3"/>
    <w:rsid w:val="5D252868"/>
    <w:rsid w:val="5E4A1185"/>
    <w:rsid w:val="5ECB28BB"/>
    <w:rsid w:val="5ED1E954"/>
    <w:rsid w:val="5ED29D12"/>
    <w:rsid w:val="5ED5394D"/>
    <w:rsid w:val="5F089273"/>
    <w:rsid w:val="5F181D62"/>
    <w:rsid w:val="5F427469"/>
    <w:rsid w:val="5F4EF566"/>
    <w:rsid w:val="5F65F17C"/>
    <w:rsid w:val="5F967C04"/>
    <w:rsid w:val="5FA01173"/>
    <w:rsid w:val="5FC1B746"/>
    <w:rsid w:val="60225A45"/>
    <w:rsid w:val="608D256E"/>
    <w:rsid w:val="60A53FDB"/>
    <w:rsid w:val="60A99B8A"/>
    <w:rsid w:val="60BD8612"/>
    <w:rsid w:val="60EEB2A8"/>
    <w:rsid w:val="60F94E12"/>
    <w:rsid w:val="6158DB6E"/>
    <w:rsid w:val="61593702"/>
    <w:rsid w:val="61A4F612"/>
    <w:rsid w:val="61D6E1A6"/>
    <w:rsid w:val="61F2705D"/>
    <w:rsid w:val="61FFC75E"/>
    <w:rsid w:val="62442D38"/>
    <w:rsid w:val="62513236"/>
    <w:rsid w:val="62E7DA47"/>
    <w:rsid w:val="6321F90E"/>
    <w:rsid w:val="63295E58"/>
    <w:rsid w:val="63361089"/>
    <w:rsid w:val="638A0AA0"/>
    <w:rsid w:val="638F3F5C"/>
    <w:rsid w:val="63909F50"/>
    <w:rsid w:val="63BE675B"/>
    <w:rsid w:val="63D9382D"/>
    <w:rsid w:val="63F44C9C"/>
    <w:rsid w:val="63F5D28B"/>
    <w:rsid w:val="6410DA52"/>
    <w:rsid w:val="641B315F"/>
    <w:rsid w:val="641C4C07"/>
    <w:rsid w:val="64271194"/>
    <w:rsid w:val="649B0016"/>
    <w:rsid w:val="64A8844E"/>
    <w:rsid w:val="64EC87C4"/>
    <w:rsid w:val="6503E5F1"/>
    <w:rsid w:val="6543D74E"/>
    <w:rsid w:val="65CD1A50"/>
    <w:rsid w:val="65E4E29E"/>
    <w:rsid w:val="65F5CC31"/>
    <w:rsid w:val="66732500"/>
    <w:rsid w:val="66970E6F"/>
    <w:rsid w:val="66DCCF96"/>
    <w:rsid w:val="66E89800"/>
    <w:rsid w:val="6701EC94"/>
    <w:rsid w:val="67172E03"/>
    <w:rsid w:val="672F68E5"/>
    <w:rsid w:val="674201D4"/>
    <w:rsid w:val="67422CD1"/>
    <w:rsid w:val="674C7890"/>
    <w:rsid w:val="6759F6BD"/>
    <w:rsid w:val="67AE2A9D"/>
    <w:rsid w:val="67BFC43E"/>
    <w:rsid w:val="67C1721E"/>
    <w:rsid w:val="67FDE33E"/>
    <w:rsid w:val="6848F450"/>
    <w:rsid w:val="6850B098"/>
    <w:rsid w:val="68745395"/>
    <w:rsid w:val="688AB429"/>
    <w:rsid w:val="68FBCFB9"/>
    <w:rsid w:val="698CFCC4"/>
    <w:rsid w:val="69AAF463"/>
    <w:rsid w:val="6A0B570D"/>
    <w:rsid w:val="6A1A4A45"/>
    <w:rsid w:val="6A7C55FC"/>
    <w:rsid w:val="6B035910"/>
    <w:rsid w:val="6B0CE4E3"/>
    <w:rsid w:val="6B13037F"/>
    <w:rsid w:val="6B81F032"/>
    <w:rsid w:val="6B91515E"/>
    <w:rsid w:val="6B9B38E2"/>
    <w:rsid w:val="6BAD6C19"/>
    <w:rsid w:val="6BB54DDE"/>
    <w:rsid w:val="6C34F761"/>
    <w:rsid w:val="6C72BAE2"/>
    <w:rsid w:val="6CC4BB7C"/>
    <w:rsid w:val="6D0C1FA3"/>
    <w:rsid w:val="6D5DDB04"/>
    <w:rsid w:val="6E3DA3CC"/>
    <w:rsid w:val="6E433C8A"/>
    <w:rsid w:val="6E5669C8"/>
    <w:rsid w:val="6EAC0E24"/>
    <w:rsid w:val="6EC099C6"/>
    <w:rsid w:val="6ED5CE45"/>
    <w:rsid w:val="6EDF74D1"/>
    <w:rsid w:val="6EF23E7B"/>
    <w:rsid w:val="6EF8C7DC"/>
    <w:rsid w:val="6F097B06"/>
    <w:rsid w:val="6F356C7E"/>
    <w:rsid w:val="6F4B5D4D"/>
    <w:rsid w:val="6F9CA134"/>
    <w:rsid w:val="6FB74D17"/>
    <w:rsid w:val="6FF2DB03"/>
    <w:rsid w:val="6FFAD2E8"/>
    <w:rsid w:val="701B294B"/>
    <w:rsid w:val="707658EA"/>
    <w:rsid w:val="709A9317"/>
    <w:rsid w:val="709E1E52"/>
    <w:rsid w:val="70C8D49F"/>
    <w:rsid w:val="70F5D9A7"/>
    <w:rsid w:val="70FBEC41"/>
    <w:rsid w:val="7157C0E5"/>
    <w:rsid w:val="716BC6CA"/>
    <w:rsid w:val="716F9A36"/>
    <w:rsid w:val="719F50B3"/>
    <w:rsid w:val="71F858AF"/>
    <w:rsid w:val="72272B39"/>
    <w:rsid w:val="7228361E"/>
    <w:rsid w:val="725A3210"/>
    <w:rsid w:val="727C193E"/>
    <w:rsid w:val="72A5DF45"/>
    <w:rsid w:val="72B52F4C"/>
    <w:rsid w:val="72CC97E6"/>
    <w:rsid w:val="72D82B1A"/>
    <w:rsid w:val="72F32560"/>
    <w:rsid w:val="7326DB64"/>
    <w:rsid w:val="737033D5"/>
    <w:rsid w:val="73703CC7"/>
    <w:rsid w:val="73A1BA5A"/>
    <w:rsid w:val="73A6FB08"/>
    <w:rsid w:val="73C07CD6"/>
    <w:rsid w:val="73D117E6"/>
    <w:rsid w:val="73D8499D"/>
    <w:rsid w:val="73DD00E5"/>
    <w:rsid w:val="73F7199B"/>
    <w:rsid w:val="74152ACB"/>
    <w:rsid w:val="7424234A"/>
    <w:rsid w:val="748D585C"/>
    <w:rsid w:val="752D5A58"/>
    <w:rsid w:val="754593B3"/>
    <w:rsid w:val="754DBEE7"/>
    <w:rsid w:val="7560A93D"/>
    <w:rsid w:val="75AC70B6"/>
    <w:rsid w:val="75CE2B52"/>
    <w:rsid w:val="75E9EB6C"/>
    <w:rsid w:val="75F7045E"/>
    <w:rsid w:val="760EAA9F"/>
    <w:rsid w:val="767DA4B9"/>
    <w:rsid w:val="768566EB"/>
    <w:rsid w:val="7693D9ED"/>
    <w:rsid w:val="76D14461"/>
    <w:rsid w:val="76E39424"/>
    <w:rsid w:val="771C6A4A"/>
    <w:rsid w:val="772DA410"/>
    <w:rsid w:val="772DCDC1"/>
    <w:rsid w:val="7763F523"/>
    <w:rsid w:val="776ADC76"/>
    <w:rsid w:val="7782D38F"/>
    <w:rsid w:val="7799BD9C"/>
    <w:rsid w:val="779D15FF"/>
    <w:rsid w:val="7828DDCA"/>
    <w:rsid w:val="783430D5"/>
    <w:rsid w:val="78362393"/>
    <w:rsid w:val="78623B02"/>
    <w:rsid w:val="78DA0E65"/>
    <w:rsid w:val="7927C448"/>
    <w:rsid w:val="796D45C4"/>
    <w:rsid w:val="79A8F715"/>
    <w:rsid w:val="79EF8706"/>
    <w:rsid w:val="7A45EDDE"/>
    <w:rsid w:val="7A4671C6"/>
    <w:rsid w:val="7A508D12"/>
    <w:rsid w:val="7A836E16"/>
    <w:rsid w:val="7AA42D80"/>
    <w:rsid w:val="7ACCBFCF"/>
    <w:rsid w:val="7AE766DD"/>
    <w:rsid w:val="7B1266F2"/>
    <w:rsid w:val="7B9ED26F"/>
    <w:rsid w:val="7BB7F0FD"/>
    <w:rsid w:val="7BD05F2F"/>
    <w:rsid w:val="7BF9607A"/>
    <w:rsid w:val="7C12D748"/>
    <w:rsid w:val="7C135EE9"/>
    <w:rsid w:val="7C3522ED"/>
    <w:rsid w:val="7C51F1C3"/>
    <w:rsid w:val="7C61E185"/>
    <w:rsid w:val="7C9AF9B9"/>
    <w:rsid w:val="7CB06C56"/>
    <w:rsid w:val="7CD1C050"/>
    <w:rsid w:val="7CFC4968"/>
    <w:rsid w:val="7D4DCE86"/>
    <w:rsid w:val="7D4E5A7B"/>
    <w:rsid w:val="7D7D9F65"/>
    <w:rsid w:val="7DD8A775"/>
    <w:rsid w:val="7DF441AC"/>
    <w:rsid w:val="7DFBA151"/>
    <w:rsid w:val="7E320D6B"/>
    <w:rsid w:val="7E39A353"/>
    <w:rsid w:val="7E408E39"/>
    <w:rsid w:val="7E56ADA6"/>
    <w:rsid w:val="7EA9BC65"/>
    <w:rsid w:val="7EE5DC93"/>
    <w:rsid w:val="7EEA872A"/>
    <w:rsid w:val="7F011C67"/>
    <w:rsid w:val="7F02690A"/>
    <w:rsid w:val="7F33CBA4"/>
    <w:rsid w:val="7F4185CF"/>
    <w:rsid w:val="7FA95DCB"/>
    <w:rsid w:val="7FB5511C"/>
    <w:rsid w:val="7FCF38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B336C1"/>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unhideWhenUsed/>
    <w:qFormat/>
    <w:rsid w:val="00917F5E"/>
    <w:pPr>
      <w:keepNext/>
      <w:keepLines/>
      <w:spacing w:before="320" w:after="200" w:line="259" w:lineRule="auto"/>
      <w:outlineLvl w:val="3"/>
    </w:pPr>
    <w:rPr>
      <w:rFonts w:ascii="Arial" w:eastAsia="Arial" w:hAnsi="Arial"/>
      <w:b/>
      <w:bCs/>
      <w:color w:val="auto"/>
      <w:sz w:val="26"/>
      <w:szCs w:val="26"/>
      <w:lang w:val="de-DE"/>
    </w:rPr>
  </w:style>
  <w:style w:type="paragraph" w:styleId="Heading5">
    <w:name w:val="heading 5"/>
    <w:basedOn w:val="Normal"/>
    <w:next w:val="Normal"/>
    <w:link w:val="Heading5Char"/>
    <w:uiPriority w:val="9"/>
    <w:unhideWhenUsed/>
    <w:qFormat/>
    <w:rsid w:val="00917F5E"/>
    <w:pPr>
      <w:keepNext/>
      <w:keepLines/>
      <w:spacing w:before="320" w:after="200" w:line="259" w:lineRule="auto"/>
      <w:outlineLvl w:val="4"/>
    </w:pPr>
    <w:rPr>
      <w:rFonts w:ascii="Arial" w:eastAsia="Arial" w:hAnsi="Arial"/>
      <w:b/>
      <w:bCs/>
      <w:color w:val="auto"/>
      <w:sz w:val="24"/>
      <w:szCs w:val="24"/>
      <w:lang w:val="de-DE"/>
    </w:rPr>
  </w:style>
  <w:style w:type="paragraph" w:styleId="Heading6">
    <w:name w:val="heading 6"/>
    <w:basedOn w:val="Normal"/>
    <w:next w:val="Normal"/>
    <w:link w:val="Heading6Char"/>
    <w:uiPriority w:val="9"/>
    <w:unhideWhenUsed/>
    <w:qFormat/>
    <w:rsid w:val="00917F5E"/>
    <w:pPr>
      <w:keepNext/>
      <w:keepLines/>
      <w:spacing w:before="320" w:after="200" w:line="259" w:lineRule="auto"/>
      <w:outlineLvl w:val="5"/>
    </w:pPr>
    <w:rPr>
      <w:rFonts w:ascii="Arial" w:eastAsia="Arial" w:hAnsi="Arial"/>
      <w:b/>
      <w:bCs/>
      <w:color w:val="auto"/>
      <w:sz w:val="22"/>
      <w:szCs w:val="22"/>
      <w:lang w:val="de-DE"/>
    </w:rPr>
  </w:style>
  <w:style w:type="paragraph" w:styleId="Heading7">
    <w:name w:val="heading 7"/>
    <w:basedOn w:val="Normal"/>
    <w:next w:val="Normal"/>
    <w:link w:val="Heading7Char"/>
    <w:uiPriority w:val="9"/>
    <w:unhideWhenUsed/>
    <w:qFormat/>
    <w:rsid w:val="00917F5E"/>
    <w:pPr>
      <w:keepNext/>
      <w:keepLines/>
      <w:spacing w:before="320" w:after="200" w:line="259" w:lineRule="auto"/>
      <w:outlineLvl w:val="6"/>
    </w:pPr>
    <w:rPr>
      <w:rFonts w:ascii="Arial" w:eastAsia="Arial" w:hAnsi="Arial"/>
      <w:b/>
      <w:bCs/>
      <w:i/>
      <w:iCs/>
      <w:color w:val="auto"/>
      <w:sz w:val="22"/>
      <w:szCs w:val="22"/>
      <w:lang w:val="de-DE"/>
    </w:rPr>
  </w:style>
  <w:style w:type="paragraph" w:styleId="Heading8">
    <w:name w:val="heading 8"/>
    <w:basedOn w:val="Normal"/>
    <w:next w:val="Normal"/>
    <w:link w:val="Heading8Char"/>
    <w:uiPriority w:val="9"/>
    <w:unhideWhenUsed/>
    <w:qFormat/>
    <w:rsid w:val="00917F5E"/>
    <w:pPr>
      <w:keepNext/>
      <w:keepLines/>
      <w:spacing w:before="320" w:after="200" w:line="259" w:lineRule="auto"/>
      <w:outlineLvl w:val="7"/>
    </w:pPr>
    <w:rPr>
      <w:rFonts w:ascii="Arial" w:eastAsia="Arial" w:hAnsi="Arial"/>
      <w:i/>
      <w:iCs/>
      <w:color w:val="auto"/>
      <w:sz w:val="22"/>
      <w:szCs w:val="22"/>
      <w:lang w:val="de-DE"/>
    </w:rPr>
  </w:style>
  <w:style w:type="paragraph" w:styleId="Heading9">
    <w:name w:val="heading 9"/>
    <w:basedOn w:val="Normal"/>
    <w:next w:val="Normal"/>
    <w:link w:val="Heading9Char"/>
    <w:uiPriority w:val="9"/>
    <w:unhideWhenUsed/>
    <w:qFormat/>
    <w:rsid w:val="00917F5E"/>
    <w:pPr>
      <w:keepNext/>
      <w:keepLines/>
      <w:spacing w:before="320" w:after="200" w:line="259" w:lineRule="auto"/>
      <w:outlineLvl w:val="8"/>
    </w:pPr>
    <w:rPr>
      <w:rFonts w:ascii="Arial" w:eastAsia="Arial" w:hAnsi="Arial"/>
      <w:i/>
      <w:iCs/>
      <w:color w:val="auto"/>
      <w:sz w:val="21"/>
      <w:szCs w:val="21"/>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6285"/>
    <w:pPr>
      <w:suppressAutoHyphens/>
      <w:spacing w:line="440" w:lineRule="exact"/>
    </w:pPr>
    <w:rPr>
      <w:rFonts w:ascii="Amnesty Trade Gothic Cn" w:eastAsia="MS Mincho" w:hAnsi="Amnesty Trade Gothic Cn"/>
      <w:b/>
      <w:caps/>
      <w:sz w:val="56"/>
      <w:szCs w:val="56"/>
      <w:shd w:val="clear" w:color="auto" w:fill="FFFF00"/>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DF7C7E"/>
    <w:pPr>
      <w:keepNext/>
      <w:numPr>
        <w:numId w:val="1"/>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val="en-US"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BB730C"/>
    <w:pPr>
      <w:numPr>
        <w:ilvl w:val="1"/>
        <w:numId w:val="1"/>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C0692A"/>
    <w:pPr>
      <w:spacing w:after="60"/>
    </w:pPr>
    <w:rPr>
      <w:sz w:val="16"/>
      <w:szCs w:val="16"/>
    </w:rPr>
  </w:style>
  <w:style w:type="character" w:customStyle="1" w:styleId="FootnoteTextChar">
    <w:name w:val="Footnote Text Char"/>
    <w:basedOn w:val="DefaultParagraphFont"/>
    <w:link w:val="FootnoteText"/>
    <w:uiPriority w:val="99"/>
    <w:rsid w:val="00C0692A"/>
    <w:rPr>
      <w:sz w:val="16"/>
      <w:szCs w:val="16"/>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val="en-US"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DF7C7E"/>
    <w:rPr>
      <w:rFonts w:ascii="Amnesty Trade Gothic Cn" w:hAnsi="Amnesty Trade Gothic Cn" w:cs="Calibri"/>
      <w:b/>
      <w:caps/>
      <w:noProof/>
      <w:color w:val="auto"/>
      <w:sz w:val="42"/>
      <w:szCs w:val="22"/>
      <w:lang w:val="en-US"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val="en-US"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customStyle="1" w:styleId="Heading4Char">
    <w:name w:val="Heading 4 Char"/>
    <w:basedOn w:val="DefaultParagraphFont"/>
    <w:link w:val="Heading4"/>
    <w:uiPriority w:val="9"/>
    <w:rsid w:val="00917F5E"/>
    <w:rPr>
      <w:rFonts w:ascii="Arial" w:eastAsia="Arial" w:hAnsi="Arial"/>
      <w:b/>
      <w:bCs/>
      <w:color w:val="auto"/>
      <w:sz w:val="26"/>
      <w:szCs w:val="26"/>
      <w:lang w:val="de-DE"/>
    </w:rPr>
  </w:style>
  <w:style w:type="character" w:customStyle="1" w:styleId="Heading5Char">
    <w:name w:val="Heading 5 Char"/>
    <w:basedOn w:val="DefaultParagraphFont"/>
    <w:link w:val="Heading5"/>
    <w:uiPriority w:val="9"/>
    <w:rsid w:val="00917F5E"/>
    <w:rPr>
      <w:rFonts w:ascii="Arial" w:eastAsia="Arial" w:hAnsi="Arial"/>
      <w:b/>
      <w:bCs/>
      <w:color w:val="auto"/>
      <w:sz w:val="24"/>
      <w:szCs w:val="24"/>
      <w:lang w:val="de-DE"/>
    </w:rPr>
  </w:style>
  <w:style w:type="character" w:customStyle="1" w:styleId="Heading6Char">
    <w:name w:val="Heading 6 Char"/>
    <w:basedOn w:val="DefaultParagraphFont"/>
    <w:link w:val="Heading6"/>
    <w:uiPriority w:val="9"/>
    <w:rsid w:val="00917F5E"/>
    <w:rPr>
      <w:rFonts w:ascii="Arial" w:eastAsia="Arial" w:hAnsi="Arial"/>
      <w:b/>
      <w:bCs/>
      <w:color w:val="auto"/>
      <w:sz w:val="22"/>
      <w:szCs w:val="22"/>
      <w:lang w:val="de-DE"/>
    </w:rPr>
  </w:style>
  <w:style w:type="character" w:customStyle="1" w:styleId="Heading7Char">
    <w:name w:val="Heading 7 Char"/>
    <w:basedOn w:val="DefaultParagraphFont"/>
    <w:link w:val="Heading7"/>
    <w:uiPriority w:val="9"/>
    <w:rsid w:val="00917F5E"/>
    <w:rPr>
      <w:rFonts w:ascii="Arial" w:eastAsia="Arial" w:hAnsi="Arial"/>
      <w:b/>
      <w:bCs/>
      <w:i/>
      <w:iCs/>
      <w:color w:val="auto"/>
      <w:sz w:val="22"/>
      <w:szCs w:val="22"/>
      <w:lang w:val="de-DE"/>
    </w:rPr>
  </w:style>
  <w:style w:type="character" w:customStyle="1" w:styleId="Heading8Char">
    <w:name w:val="Heading 8 Char"/>
    <w:basedOn w:val="DefaultParagraphFont"/>
    <w:link w:val="Heading8"/>
    <w:uiPriority w:val="9"/>
    <w:rsid w:val="00917F5E"/>
    <w:rPr>
      <w:rFonts w:ascii="Arial" w:eastAsia="Arial" w:hAnsi="Arial"/>
      <w:i/>
      <w:iCs/>
      <w:color w:val="auto"/>
      <w:sz w:val="22"/>
      <w:szCs w:val="22"/>
      <w:lang w:val="de-DE"/>
    </w:rPr>
  </w:style>
  <w:style w:type="character" w:customStyle="1" w:styleId="Heading9Char">
    <w:name w:val="Heading 9 Char"/>
    <w:basedOn w:val="DefaultParagraphFont"/>
    <w:link w:val="Heading9"/>
    <w:uiPriority w:val="9"/>
    <w:rsid w:val="00917F5E"/>
    <w:rPr>
      <w:rFonts w:ascii="Arial" w:eastAsia="Arial" w:hAnsi="Arial"/>
      <w:i/>
      <w:iCs/>
      <w:color w:val="auto"/>
      <w:sz w:val="21"/>
      <w:szCs w:val="21"/>
      <w:lang w:val="de-DE"/>
    </w:rPr>
  </w:style>
  <w:style w:type="paragraph" w:styleId="NoSpacing">
    <w:name w:val="No Spacing"/>
    <w:uiPriority w:val="1"/>
    <w:qFormat/>
    <w:rsid w:val="00917F5E"/>
    <w:rPr>
      <w:rFonts w:asciiTheme="minorHAnsi" w:hAnsiTheme="minorHAnsi" w:cstheme="minorBidi"/>
      <w:color w:val="auto"/>
      <w:sz w:val="22"/>
      <w:szCs w:val="22"/>
      <w:lang w:val="de-DE"/>
    </w:rPr>
  </w:style>
  <w:style w:type="paragraph" w:styleId="Title">
    <w:name w:val="Title"/>
    <w:basedOn w:val="Normal"/>
    <w:next w:val="Normal"/>
    <w:link w:val="TitleChar"/>
    <w:uiPriority w:val="10"/>
    <w:qFormat/>
    <w:rsid w:val="00917F5E"/>
    <w:pPr>
      <w:spacing w:before="300" w:after="200" w:line="259" w:lineRule="auto"/>
      <w:contextualSpacing/>
    </w:pPr>
    <w:rPr>
      <w:rFonts w:asciiTheme="minorHAnsi" w:hAnsiTheme="minorHAnsi" w:cstheme="minorBidi"/>
      <w:color w:val="auto"/>
      <w:sz w:val="48"/>
      <w:szCs w:val="48"/>
      <w:lang w:val="de-DE"/>
    </w:rPr>
  </w:style>
  <w:style w:type="character" w:customStyle="1" w:styleId="TitleChar">
    <w:name w:val="Title Char"/>
    <w:basedOn w:val="DefaultParagraphFont"/>
    <w:link w:val="Title"/>
    <w:uiPriority w:val="10"/>
    <w:rsid w:val="00917F5E"/>
    <w:rPr>
      <w:rFonts w:asciiTheme="minorHAnsi" w:hAnsiTheme="minorHAnsi" w:cstheme="minorBidi"/>
      <w:color w:val="auto"/>
      <w:sz w:val="48"/>
      <w:szCs w:val="48"/>
      <w:lang w:val="de-DE"/>
    </w:rPr>
  </w:style>
  <w:style w:type="paragraph" w:styleId="Subtitle">
    <w:name w:val="Subtitle"/>
    <w:basedOn w:val="Normal"/>
    <w:next w:val="Normal"/>
    <w:link w:val="SubtitleChar"/>
    <w:uiPriority w:val="11"/>
    <w:qFormat/>
    <w:rsid w:val="00917F5E"/>
    <w:pPr>
      <w:spacing w:before="200" w:after="200" w:line="259" w:lineRule="auto"/>
    </w:pPr>
    <w:rPr>
      <w:rFonts w:asciiTheme="minorHAnsi" w:hAnsiTheme="minorHAnsi" w:cstheme="minorBidi"/>
      <w:color w:val="auto"/>
      <w:sz w:val="24"/>
      <w:szCs w:val="24"/>
      <w:lang w:val="de-DE"/>
    </w:rPr>
  </w:style>
  <w:style w:type="character" w:customStyle="1" w:styleId="SubtitleChar">
    <w:name w:val="Subtitle Char"/>
    <w:basedOn w:val="DefaultParagraphFont"/>
    <w:link w:val="Subtitle"/>
    <w:uiPriority w:val="11"/>
    <w:rsid w:val="00917F5E"/>
    <w:rPr>
      <w:rFonts w:asciiTheme="minorHAnsi" w:hAnsiTheme="minorHAnsi" w:cstheme="minorBidi"/>
      <w:color w:val="auto"/>
      <w:sz w:val="24"/>
      <w:szCs w:val="24"/>
      <w:lang w:val="de-DE"/>
    </w:rPr>
  </w:style>
  <w:style w:type="paragraph" w:styleId="Quote">
    <w:name w:val="Quote"/>
    <w:basedOn w:val="Normal"/>
    <w:next w:val="Normal"/>
    <w:link w:val="QuoteChar"/>
    <w:uiPriority w:val="29"/>
    <w:qFormat/>
    <w:rsid w:val="00917F5E"/>
    <w:pPr>
      <w:spacing w:after="160" w:line="259" w:lineRule="auto"/>
      <w:ind w:left="720" w:right="720"/>
    </w:pPr>
    <w:rPr>
      <w:rFonts w:asciiTheme="minorHAnsi" w:hAnsiTheme="minorHAnsi" w:cstheme="minorBidi"/>
      <w:i/>
      <w:color w:val="auto"/>
      <w:sz w:val="22"/>
      <w:szCs w:val="22"/>
      <w:lang w:val="de-DE"/>
    </w:rPr>
  </w:style>
  <w:style w:type="character" w:customStyle="1" w:styleId="QuoteChar">
    <w:name w:val="Quote Char"/>
    <w:basedOn w:val="DefaultParagraphFont"/>
    <w:link w:val="Quote"/>
    <w:uiPriority w:val="29"/>
    <w:rsid w:val="00917F5E"/>
    <w:rPr>
      <w:rFonts w:asciiTheme="minorHAnsi" w:hAnsiTheme="minorHAnsi" w:cstheme="minorBidi"/>
      <w:i/>
      <w:color w:val="auto"/>
      <w:sz w:val="22"/>
      <w:szCs w:val="22"/>
      <w:lang w:val="de-DE"/>
    </w:rPr>
  </w:style>
  <w:style w:type="paragraph" w:styleId="IntenseQuote">
    <w:name w:val="Intense Quote"/>
    <w:basedOn w:val="Normal"/>
    <w:next w:val="Normal"/>
    <w:link w:val="IntenseQuoteChar"/>
    <w:uiPriority w:val="30"/>
    <w:qFormat/>
    <w:rsid w:val="00917F5E"/>
    <w:pPr>
      <w:pBdr>
        <w:top w:val="single" w:sz="4" w:space="5" w:color="FFFFFF"/>
        <w:left w:val="single" w:sz="4" w:space="10" w:color="FFFFFF"/>
        <w:bottom w:val="single" w:sz="4" w:space="5" w:color="FFFFFF"/>
        <w:right w:val="single" w:sz="4" w:space="10" w:color="FFFFFF"/>
      </w:pBdr>
      <w:shd w:val="clear" w:color="auto" w:fill="F2F2F2"/>
      <w:spacing w:after="160" w:line="259" w:lineRule="auto"/>
      <w:ind w:left="720" w:right="720"/>
    </w:pPr>
    <w:rPr>
      <w:rFonts w:asciiTheme="minorHAnsi" w:hAnsiTheme="minorHAnsi" w:cstheme="minorBidi"/>
      <w:i/>
      <w:color w:val="auto"/>
      <w:sz w:val="22"/>
      <w:szCs w:val="22"/>
      <w:lang w:val="de-DE"/>
    </w:rPr>
  </w:style>
  <w:style w:type="character" w:customStyle="1" w:styleId="IntenseQuoteChar">
    <w:name w:val="Intense Quote Char"/>
    <w:basedOn w:val="DefaultParagraphFont"/>
    <w:link w:val="IntenseQuote"/>
    <w:uiPriority w:val="30"/>
    <w:rsid w:val="00917F5E"/>
    <w:rPr>
      <w:rFonts w:asciiTheme="minorHAnsi" w:hAnsiTheme="minorHAnsi" w:cstheme="minorBidi"/>
      <w:i/>
      <w:color w:val="auto"/>
      <w:sz w:val="22"/>
      <w:szCs w:val="22"/>
      <w:shd w:val="clear" w:color="auto" w:fill="F2F2F2"/>
      <w:lang w:val="de-DE"/>
    </w:rPr>
  </w:style>
  <w:style w:type="character" w:customStyle="1" w:styleId="FooterChar1">
    <w:name w:val="Footer Char1"/>
    <w:uiPriority w:val="99"/>
    <w:rsid w:val="00917F5E"/>
  </w:style>
  <w:style w:type="paragraph" w:styleId="Caption">
    <w:name w:val="caption"/>
    <w:basedOn w:val="Normal"/>
    <w:next w:val="Normal"/>
    <w:uiPriority w:val="35"/>
    <w:semiHidden/>
    <w:unhideWhenUsed/>
    <w:qFormat/>
    <w:rsid w:val="00917F5E"/>
    <w:pPr>
      <w:spacing w:after="160" w:line="276" w:lineRule="auto"/>
    </w:pPr>
    <w:rPr>
      <w:rFonts w:asciiTheme="minorHAnsi" w:hAnsiTheme="minorHAnsi" w:cstheme="minorBidi"/>
      <w:b/>
      <w:bCs/>
      <w:color w:val="FFFF00" w:themeColor="accent1"/>
      <w:sz w:val="18"/>
      <w:szCs w:val="18"/>
      <w:lang w:val="de-DE"/>
    </w:rPr>
  </w:style>
  <w:style w:type="table" w:customStyle="1" w:styleId="TableGridLight1">
    <w:name w:val="Table Grid Light1"/>
    <w:basedOn w:val="TableNormal"/>
    <w:uiPriority w:val="59"/>
    <w:rsid w:val="00917F5E"/>
    <w:rPr>
      <w:rFonts w:asciiTheme="minorHAnsi" w:hAnsiTheme="minorHAnsi" w:cstheme="minorBidi"/>
      <w:color w:val="auto"/>
      <w:sz w:val="22"/>
      <w:szCs w:val="22"/>
      <w:lang w:val="de-D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917F5E"/>
    <w:rPr>
      <w:rFonts w:asciiTheme="minorHAnsi" w:hAnsiTheme="minorHAnsi" w:cstheme="minorBidi"/>
      <w:color w:val="auto"/>
      <w:sz w:val="22"/>
      <w:szCs w:val="22"/>
      <w:lang w:val="de-D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917F5E"/>
    <w:rPr>
      <w:rFonts w:asciiTheme="minorHAnsi" w:hAnsiTheme="minorHAnsi" w:cstheme="minorBidi"/>
      <w:color w:val="auto"/>
      <w:sz w:val="22"/>
      <w:szCs w:val="22"/>
      <w:lang w:val="de-D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insideH w:val="single" w:sz="4" w:space="0" w:color="FFFF98" w:themeColor="accent1" w:themeTint="67"/>
        <w:insideV w:val="single" w:sz="4" w:space="0" w:color="FFFF98" w:themeColor="accent1" w:themeTint="67"/>
      </w:tblBorders>
    </w:tblPr>
    <w:tblStylePr w:type="firstRow">
      <w:rPr>
        <w:b/>
        <w:color w:val="404040"/>
      </w:rPr>
      <w:tblPr/>
      <w:tcPr>
        <w:tcBorders>
          <w:bottom w:val="single" w:sz="12" w:space="0" w:color="FFFF6A"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tcBorders>
      </w:tcPr>
    </w:tblStylePr>
  </w:style>
  <w:style w:type="table" w:customStyle="1" w:styleId="GridTable1Light-Accent31">
    <w:name w:val="Grid Table 1 Light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insideH w:val="single" w:sz="4" w:space="0" w:color="C7C4C4" w:themeColor="accent4" w:themeTint="67"/>
        <w:insideV w:val="single" w:sz="4" w:space="0" w:color="C7C4C4" w:themeColor="accent4" w:themeTint="67"/>
      </w:tblBorders>
    </w:tblPr>
    <w:tblStylePr w:type="firstRow">
      <w:rPr>
        <w:b/>
        <w:color w:val="404040"/>
      </w:rPr>
      <w:tblPr/>
      <w:tcPr>
        <w:tcBorders>
          <w:bottom w:val="single" w:sz="12" w:space="0" w:color="AEABAB"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tcBorders>
      </w:tcPr>
    </w:tblStylePr>
  </w:style>
  <w:style w:type="table" w:customStyle="1" w:styleId="GridTable1Light-Accent51">
    <w:name w:val="Grid Table 1 Light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insideH w:val="single" w:sz="4" w:space="0" w:color="CBCBCB" w:themeColor="accent5" w:themeTint="67"/>
        <w:insideV w:val="single" w:sz="4" w:space="0" w:color="CBCBCB" w:themeColor="accent5" w:themeTint="67"/>
      </w:tblBorders>
    </w:tblPr>
    <w:tblStylePr w:type="firstRow">
      <w:rPr>
        <w:b/>
        <w:color w:val="404040"/>
      </w:rPr>
      <w:tblPr/>
      <w:tcPr>
        <w:tcBorders>
          <w:bottom w:val="single" w:sz="12" w:space="0" w:color="B4B4B4"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tcBorders>
      </w:tcPr>
    </w:tblStylePr>
  </w:style>
  <w:style w:type="table" w:customStyle="1" w:styleId="GridTable1Light-Accent61">
    <w:name w:val="Grid Table 1 Light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insideH w:val="single" w:sz="4" w:space="0" w:color="F5F4F4" w:themeColor="accent6" w:themeTint="67"/>
        <w:insideV w:val="single" w:sz="4" w:space="0" w:color="F5F4F4" w:themeColor="accent6" w:themeTint="67"/>
      </w:tblBorders>
    </w:tblPr>
    <w:tblStylePr w:type="firstRow">
      <w:rPr>
        <w:b/>
        <w:color w:val="404040"/>
      </w:rPr>
      <w:tblPr/>
      <w:tcPr>
        <w:tcBorders>
          <w:bottom w:val="single" w:sz="12" w:space="0" w:color="F1F0F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tcBorders>
      </w:tcPr>
    </w:tblStylePr>
  </w:style>
  <w:style w:type="table" w:styleId="GridTable2">
    <w:name w:val="Grid Table 2"/>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15" w:themeColor="accent1" w:themeTint="EA"/>
        <w:insideH w:val="single" w:sz="4" w:space="0" w:color="FFFF15" w:themeColor="accent1" w:themeTint="EA"/>
        <w:insideV w:val="single" w:sz="4" w:space="0" w:color="FFFF15" w:themeColor="accent1" w:themeTint="EA"/>
      </w:tblBorders>
    </w:tblPr>
    <w:tblStylePr w:type="firstRow">
      <w:rPr>
        <w:b/>
        <w:color w:val="404040"/>
      </w:rPr>
      <w:tblPr/>
      <w:tcPr>
        <w:tcBorders>
          <w:top w:val="none" w:sz="4" w:space="0" w:color="000000"/>
          <w:left w:val="none" w:sz="4" w:space="0" w:color="000000"/>
          <w:bottom w:val="single" w:sz="12" w:space="0" w:color="FFFF15" w:themeColor="accent1" w:themeTint="EA"/>
          <w:right w:val="none" w:sz="4" w:space="0" w:color="000000"/>
        </w:tcBorders>
        <w:shd w:val="clear" w:color="FFFFFF" w:fill="auto"/>
      </w:tcPr>
    </w:tblStylePr>
    <w:tblStylePr w:type="lastRow">
      <w:rPr>
        <w:b/>
        <w:color w:val="404040"/>
      </w:rPr>
      <w:tblPr/>
      <w:tcPr>
        <w:tcBorders>
          <w:top w:val="single" w:sz="4" w:space="0" w:color="FFFF15"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CB" w:themeColor="accent1" w:themeTint="34" w:fill="FFFFCB" w:themeFill="accent1" w:themeFillTint="34"/>
      </w:tcPr>
    </w:tblStylePr>
    <w:tblStylePr w:type="band1Horz">
      <w:rPr>
        <w:rFonts w:ascii="Arial" w:hAnsi="Arial"/>
        <w:color w:val="404040"/>
        <w:sz w:val="22"/>
      </w:rPr>
      <w:tblPr/>
      <w:tcPr>
        <w:shd w:val="clear" w:color="FFFFCB" w:themeColor="accent1" w:themeTint="34" w:fill="FFFFCB" w:themeFill="accent1" w:themeFillTint="34"/>
      </w:tcPr>
    </w:tblStylePr>
  </w:style>
  <w:style w:type="table" w:customStyle="1" w:styleId="GridTable2-Accent21">
    <w:name w:val="Grid Table 2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404040"/>
      </w:rPr>
      <w:tblPr/>
      <w:tcPr>
        <w:tcBorders>
          <w:top w:val="none" w:sz="4" w:space="0" w:color="000000"/>
          <w:left w:val="none" w:sz="4" w:space="0" w:color="000000"/>
          <w:bottom w:val="single" w:sz="12" w:space="0" w:color="E3E1E1" w:themeColor="accent2" w:themeTint="97"/>
          <w:right w:val="none" w:sz="4" w:space="0" w:color="000000"/>
        </w:tcBorders>
        <w:shd w:val="clear" w:color="FFFFFF" w:fill="auto"/>
      </w:tcPr>
    </w:tblStylePr>
    <w:tblStylePr w:type="lastRow">
      <w:rPr>
        <w:b/>
        <w:color w:val="404040"/>
      </w:rPr>
      <w:tblPr/>
      <w:tcPr>
        <w:tcBorders>
          <w:top w:val="single" w:sz="4" w:space="0" w:color="E3E1E1"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2-Accent31">
    <w:name w:val="Grid Table 2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404040"/>
      </w:rPr>
      <w:tblPr/>
      <w:tcPr>
        <w:tcBorders>
          <w:top w:val="none" w:sz="4" w:space="0" w:color="000000"/>
          <w:left w:val="none" w:sz="4" w:space="0" w:color="000000"/>
          <w:bottom w:val="single" w:sz="12" w:space="0" w:color="ABA8A8" w:themeColor="accent4" w:themeTint="9A"/>
          <w:right w:val="none" w:sz="4" w:space="0" w:color="000000"/>
        </w:tcBorders>
        <w:shd w:val="clear" w:color="FFFFFF" w:fill="auto"/>
      </w:tcPr>
    </w:tblStylePr>
    <w:tblStylePr w:type="lastRow">
      <w:rPr>
        <w:b/>
        <w:color w:val="404040"/>
      </w:rPr>
      <w:tblPr/>
      <w:tcPr>
        <w:tcBorders>
          <w:top w:val="single" w:sz="4" w:space="0" w:color="ABA8A8"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2-Accent51">
    <w:name w:val="Grid Table 2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accent5"/>
        <w:insideH w:val="single" w:sz="4" w:space="0" w:color="7F7F7F" w:themeColor="accent5"/>
        <w:insideV w:val="single" w:sz="4" w:space="0" w:color="7F7F7F" w:themeColor="accent5"/>
      </w:tblBorders>
    </w:tblPr>
    <w:tblStylePr w:type="firstRow">
      <w:rPr>
        <w:b/>
        <w:color w:val="404040"/>
      </w:rPr>
      <w:tblPr/>
      <w:tcPr>
        <w:tcBorders>
          <w:top w:val="none" w:sz="4" w:space="0" w:color="000000"/>
          <w:left w:val="none" w:sz="4" w:space="0" w:color="000000"/>
          <w:bottom w:val="single" w:sz="12" w:space="0" w:color="7F7F7F" w:themeColor="accent5"/>
          <w:right w:val="none" w:sz="4" w:space="0" w:color="000000"/>
        </w:tcBorders>
        <w:shd w:val="clear" w:color="FFFFFF" w:fill="auto"/>
      </w:tcPr>
    </w:tblStylePr>
    <w:tblStylePr w:type="lastRow">
      <w:rPr>
        <w:b/>
        <w:color w:val="404040"/>
      </w:rPr>
      <w:tblPr/>
      <w:tcPr>
        <w:tcBorders>
          <w:top w:val="single" w:sz="4" w:space="0" w:color="7F7F7F"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2-Accent61">
    <w:name w:val="Grid Table 2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7E6E6" w:themeColor="accent6"/>
        <w:insideH w:val="single" w:sz="4" w:space="0" w:color="E7E6E6" w:themeColor="accent6"/>
        <w:insideV w:val="single" w:sz="4" w:space="0" w:color="E7E6E6" w:themeColor="accent6"/>
      </w:tblBorders>
    </w:tblPr>
    <w:tblStylePr w:type="firstRow">
      <w:rPr>
        <w:b/>
        <w:color w:val="404040"/>
      </w:rPr>
      <w:tblPr/>
      <w:tcPr>
        <w:tcBorders>
          <w:top w:val="none" w:sz="4" w:space="0" w:color="000000"/>
          <w:left w:val="none" w:sz="4" w:space="0" w:color="000000"/>
          <w:bottom w:val="single" w:sz="12" w:space="0" w:color="E7E6E6" w:themeColor="accent6"/>
          <w:right w:val="none" w:sz="4" w:space="0" w:color="000000"/>
        </w:tcBorders>
        <w:shd w:val="clear" w:color="FFFFFF" w:fill="auto"/>
      </w:tcPr>
    </w:tblStylePr>
    <w:tblStylePr w:type="lastRow">
      <w:rPr>
        <w:b/>
        <w:color w:val="404040"/>
      </w:rPr>
      <w:tblPr/>
      <w:tcPr>
        <w:tcBorders>
          <w:top w:val="single" w:sz="4" w:space="0" w:color="E7E6E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3">
    <w:name w:val="Grid Table 3"/>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15" w:themeColor="accent1" w:themeTint="EA"/>
        <w:insideH w:val="single" w:sz="4" w:space="0" w:color="FFFF15" w:themeColor="accent1" w:themeTint="EA"/>
        <w:insideV w:val="single" w:sz="4" w:space="0" w:color="FFFF15"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CB" w:themeColor="accent1" w:themeTint="34" w:fill="FFFFCB" w:themeFill="accent1" w:themeFillTint="34"/>
      </w:tcPr>
    </w:tblStylePr>
    <w:tblStylePr w:type="band1Horz">
      <w:rPr>
        <w:rFonts w:ascii="Arial" w:hAnsi="Arial"/>
        <w:color w:val="404040"/>
        <w:sz w:val="22"/>
      </w:rPr>
      <w:tblPr/>
      <w:tcPr>
        <w:shd w:val="clear" w:color="FFFFCB" w:themeColor="accent1" w:themeTint="34" w:fill="FFFFCB" w:themeFill="accent1" w:themeFillTint="34"/>
      </w:tcPr>
    </w:tblStylePr>
  </w:style>
  <w:style w:type="table" w:customStyle="1" w:styleId="GridTable3-Accent21">
    <w:name w:val="Grid Table 3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3-Accent31">
    <w:name w:val="Grid Table 3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3-Accent51">
    <w:name w:val="Grid Table 3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accent5"/>
        <w:insideH w:val="single" w:sz="4" w:space="0" w:color="7F7F7F" w:themeColor="accent5"/>
        <w:insideV w:val="single" w:sz="4" w:space="0" w:color="7F7F7F"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3-Accent61">
    <w:name w:val="Grid Table 3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7E6E6" w:themeColor="accent6"/>
        <w:insideH w:val="single" w:sz="4" w:space="0" w:color="E7E6E6" w:themeColor="accent6"/>
        <w:insideV w:val="single" w:sz="4" w:space="0" w:color="E7E6E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4">
    <w:name w:val="Grid Table 4"/>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left w:val="single" w:sz="4" w:space="0" w:color="FFFF6F" w:themeColor="accent1" w:themeTint="90"/>
        <w:bottom w:val="single" w:sz="4" w:space="0" w:color="FFFF6F" w:themeColor="accent1" w:themeTint="90"/>
        <w:right w:val="single" w:sz="4" w:space="0" w:color="FFFF6F" w:themeColor="accent1" w:themeTint="90"/>
        <w:insideH w:val="single" w:sz="4" w:space="0" w:color="FFFF6F" w:themeColor="accent1" w:themeTint="90"/>
        <w:insideV w:val="single" w:sz="4" w:space="0" w:color="FFFF6F" w:themeColor="accent1" w:themeTint="90"/>
      </w:tblBorders>
    </w:tblPr>
    <w:tblStylePr w:type="firstRow">
      <w:rPr>
        <w:rFonts w:ascii="Arial" w:hAnsi="Arial"/>
        <w:b/>
        <w:color w:val="FFFFFF"/>
        <w:sz w:val="22"/>
      </w:rPr>
      <w:tblPr/>
      <w:tcPr>
        <w:tcBorders>
          <w:top w:val="single" w:sz="4" w:space="0" w:color="FFFF15" w:themeColor="accent1" w:themeTint="EA"/>
          <w:left w:val="single" w:sz="4" w:space="0" w:color="FFFF15" w:themeColor="accent1" w:themeTint="EA"/>
          <w:bottom w:val="single" w:sz="4" w:space="0" w:color="FFFF15" w:themeColor="accent1" w:themeTint="EA"/>
          <w:right w:val="single" w:sz="4" w:space="0" w:color="FFFF15" w:themeColor="accent1" w:themeTint="EA"/>
        </w:tcBorders>
        <w:shd w:val="clear" w:color="FFFF15" w:themeColor="accent1" w:themeTint="EA" w:fill="FFFF15" w:themeFill="accent1" w:themeFillTint="EA"/>
      </w:tcPr>
    </w:tblStylePr>
    <w:tblStylePr w:type="lastRow">
      <w:rPr>
        <w:b/>
        <w:color w:val="404040"/>
      </w:rPr>
      <w:tblPr/>
      <w:tcPr>
        <w:tcBorders>
          <w:top w:val="single" w:sz="4" w:space="0" w:color="FFFF15"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CD" w:themeColor="accent1" w:themeTint="32" w:fill="FFFFCD" w:themeFill="accent1" w:themeFillTint="32"/>
      </w:tcPr>
    </w:tblStylePr>
    <w:tblStylePr w:type="band1Horz">
      <w:rPr>
        <w:rFonts w:ascii="Arial" w:hAnsi="Arial"/>
        <w:color w:val="404040"/>
        <w:sz w:val="22"/>
      </w:rPr>
      <w:tblPr/>
      <w:tcPr>
        <w:shd w:val="clear" w:color="FFFFCD" w:themeColor="accent1" w:themeTint="32" w:fill="FFFFCD" w:themeFill="accent1" w:themeFillTint="32"/>
      </w:tcPr>
    </w:tblStylePr>
  </w:style>
  <w:style w:type="table" w:customStyle="1" w:styleId="GridTable4-Accent21">
    <w:name w:val="Grid Table 4 - Accent 2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left w:val="single" w:sz="4" w:space="0" w:color="E4E3E3" w:themeColor="accent2" w:themeTint="90"/>
        <w:bottom w:val="single" w:sz="4" w:space="0" w:color="E4E3E3" w:themeColor="accent2" w:themeTint="90"/>
        <w:right w:val="single" w:sz="4" w:space="0" w:color="E4E3E3" w:themeColor="accent2" w:themeTint="90"/>
        <w:insideH w:val="single" w:sz="4" w:space="0" w:color="E4E3E3" w:themeColor="accent2" w:themeTint="90"/>
        <w:insideV w:val="single" w:sz="4" w:space="0" w:color="E4E3E3" w:themeColor="accent2" w:themeTint="90"/>
      </w:tblBorders>
    </w:tblPr>
    <w:tblStylePr w:type="firstRow">
      <w:rPr>
        <w:rFonts w:ascii="Arial" w:hAnsi="Arial"/>
        <w:b/>
        <w:color w:val="FFFFFF"/>
        <w:sz w:val="22"/>
      </w:rPr>
      <w:tblPr/>
      <w:tcPr>
        <w:tc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tcBorders>
        <w:shd w:val="clear" w:color="E3E1E1" w:themeColor="accent2" w:themeTint="97" w:fill="E3E1E1" w:themeFill="accent2" w:themeFillTint="97"/>
      </w:tcPr>
    </w:tblStylePr>
    <w:tblStylePr w:type="lastRow">
      <w:rPr>
        <w:b/>
        <w:color w:val="404040"/>
      </w:rPr>
      <w:tblPr/>
      <w:tcPr>
        <w:tcBorders>
          <w:top w:val="single" w:sz="4" w:space="0" w:color="E3E1E1"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4-Accent31">
    <w:name w:val="Grid Table 4 - Accent 3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left w:val="single" w:sz="4" w:space="0" w:color="B1ADAD" w:themeColor="accent4" w:themeTint="90"/>
        <w:bottom w:val="single" w:sz="4" w:space="0" w:color="B1ADAD" w:themeColor="accent4" w:themeTint="90"/>
        <w:right w:val="single" w:sz="4" w:space="0" w:color="B1ADAD" w:themeColor="accent4" w:themeTint="90"/>
        <w:insideH w:val="single" w:sz="4" w:space="0" w:color="B1ADAD" w:themeColor="accent4" w:themeTint="90"/>
        <w:insideV w:val="single" w:sz="4" w:space="0" w:color="B1ADAD" w:themeColor="accent4" w:themeTint="90"/>
      </w:tblBorders>
    </w:tblPr>
    <w:tblStylePr w:type="firstRow">
      <w:rPr>
        <w:rFonts w:ascii="Arial" w:hAnsi="Arial"/>
        <w:b/>
        <w:color w:val="FFFFFF"/>
        <w:sz w:val="22"/>
      </w:rPr>
      <w:tblPr/>
      <w:tcPr>
        <w:tc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tcBorders>
        <w:shd w:val="clear" w:color="ABA8A8" w:themeColor="accent4" w:themeTint="9A" w:fill="ABA8A8" w:themeFill="accent4" w:themeFillTint="9A"/>
      </w:tcPr>
    </w:tblStylePr>
    <w:tblStylePr w:type="lastRow">
      <w:rPr>
        <w:b/>
        <w:color w:val="404040"/>
      </w:rPr>
      <w:tblPr/>
      <w:tcPr>
        <w:tcBorders>
          <w:top w:val="single" w:sz="4" w:space="0" w:color="ABA8A8"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4-Accent51">
    <w:name w:val="Grid Table 4 - Accent 5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left w:val="single" w:sz="4" w:space="0" w:color="B6B6B6" w:themeColor="accent5" w:themeTint="90"/>
        <w:bottom w:val="single" w:sz="4" w:space="0" w:color="B6B6B6" w:themeColor="accent5" w:themeTint="90"/>
        <w:right w:val="single" w:sz="4" w:space="0" w:color="B6B6B6" w:themeColor="accent5" w:themeTint="90"/>
        <w:insideH w:val="single" w:sz="4" w:space="0" w:color="B6B6B6" w:themeColor="accent5" w:themeTint="90"/>
        <w:insideV w:val="single" w:sz="4" w:space="0" w:color="B6B6B6" w:themeColor="accent5" w:themeTint="90"/>
      </w:tblBorders>
    </w:tblPr>
    <w:tblStylePr w:type="firstRow">
      <w:rPr>
        <w:rFonts w:ascii="Arial" w:hAnsi="Arial"/>
        <w:b/>
        <w:color w:val="FFFFFF"/>
        <w:sz w:val="22"/>
      </w:rPr>
      <w:tblPr/>
      <w:tcPr>
        <w:tcBorders>
          <w:top w:val="single" w:sz="4" w:space="0" w:color="7F7F7F" w:themeColor="accent5"/>
          <w:left w:val="single" w:sz="4" w:space="0" w:color="7F7F7F" w:themeColor="accent5"/>
          <w:bottom w:val="single" w:sz="4" w:space="0" w:color="7F7F7F" w:themeColor="accent5"/>
          <w:right w:val="single" w:sz="4" w:space="0" w:color="7F7F7F" w:themeColor="accent5"/>
        </w:tcBorders>
        <w:shd w:val="clear" w:color="7F7F7F" w:themeColor="accent5" w:fill="7F7F7F" w:themeFill="accent5"/>
      </w:tcPr>
    </w:tblStylePr>
    <w:tblStylePr w:type="lastRow">
      <w:rPr>
        <w:b/>
        <w:color w:val="404040"/>
      </w:rPr>
      <w:tblPr/>
      <w:tcPr>
        <w:tcBorders>
          <w:top w:val="single" w:sz="4" w:space="0" w:color="7F7F7F"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4-Accent61">
    <w:name w:val="Grid Table 4 - Accent 6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left w:val="single" w:sz="4" w:space="0" w:color="F1F0F0" w:themeColor="accent6" w:themeTint="90"/>
        <w:bottom w:val="single" w:sz="4" w:space="0" w:color="F1F0F0" w:themeColor="accent6" w:themeTint="90"/>
        <w:right w:val="single" w:sz="4" w:space="0" w:color="F1F0F0" w:themeColor="accent6" w:themeTint="90"/>
        <w:insideH w:val="single" w:sz="4" w:space="0" w:color="F1F0F0" w:themeColor="accent6" w:themeTint="90"/>
        <w:insideV w:val="single" w:sz="4" w:space="0" w:color="F1F0F0" w:themeColor="accent6" w:themeTint="90"/>
      </w:tblBorders>
    </w:tblPr>
    <w:tblStylePr w:type="firstRow">
      <w:rPr>
        <w:rFonts w:ascii="Arial" w:hAnsi="Arial"/>
        <w:b/>
        <w:color w:val="FFFFFF"/>
        <w:sz w:val="22"/>
      </w:rPr>
      <w:tblPr/>
      <w:tcPr>
        <w:tcBorders>
          <w:top w:val="single" w:sz="4" w:space="0" w:color="E7E6E6" w:themeColor="accent6"/>
          <w:left w:val="single" w:sz="4" w:space="0" w:color="E7E6E6" w:themeColor="accent6"/>
          <w:bottom w:val="single" w:sz="4" w:space="0" w:color="E7E6E6" w:themeColor="accent6"/>
          <w:right w:val="single" w:sz="4" w:space="0" w:color="E7E6E6" w:themeColor="accent6"/>
        </w:tcBorders>
        <w:shd w:val="clear" w:color="E7E6E6" w:themeColor="accent6" w:fill="E7E6E6" w:themeFill="accent6"/>
      </w:tcPr>
    </w:tblStylePr>
    <w:tblStylePr w:type="lastRow">
      <w:rPr>
        <w:b/>
        <w:color w:val="404040"/>
      </w:rPr>
      <w:tblPr/>
      <w:tcPr>
        <w:tcBorders>
          <w:top w:val="single" w:sz="4" w:space="0" w:color="E7E6E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5Dark">
    <w:name w:val="Grid Table 5 Dark"/>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21">
    <w:name w:val="Grid Table 5 Dark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5F5F5" w:themeColor="accent2" w:themeTint="32" w:fill="F5F5F5" w:themeFill="accent2" w:themeFillTint="32"/>
    </w:tblPr>
    <w:tblStylePr w:type="firstRow">
      <w:rPr>
        <w:rFonts w:ascii="Arial" w:hAnsi="Arial"/>
        <w:b/>
        <w:color w:val="FFFFFF"/>
        <w:sz w:val="22"/>
      </w:rPr>
      <w:tblPr/>
      <w:tcPr>
        <w:shd w:val="clear" w:color="D0CECE" w:themeColor="accent2" w:fill="D0CECE" w:themeFill="accent2"/>
      </w:tcPr>
    </w:tblStylePr>
    <w:tblStylePr w:type="lastRow">
      <w:rPr>
        <w:rFonts w:ascii="Arial" w:hAnsi="Arial"/>
        <w:b/>
        <w:color w:val="FFFFFF"/>
        <w:sz w:val="22"/>
      </w:rPr>
      <w:tblPr/>
      <w:tcPr>
        <w:tcBorders>
          <w:top w:val="single" w:sz="4" w:space="0" w:color="FFFFFF" w:themeColor="light1"/>
        </w:tcBorders>
        <w:shd w:val="clear" w:color="D0CECE" w:themeColor="accent2" w:fill="D0CECE" w:themeFill="accent2"/>
      </w:tcPr>
    </w:tblStylePr>
    <w:tblStylePr w:type="firstCol">
      <w:rPr>
        <w:rFonts w:ascii="Arial" w:hAnsi="Arial"/>
        <w:b/>
        <w:color w:val="FFFFFF"/>
        <w:sz w:val="22"/>
      </w:rPr>
      <w:tblPr/>
      <w:tcPr>
        <w:shd w:val="clear" w:color="D0CECE" w:themeColor="accent2" w:fill="D0CECE" w:themeFill="accent2"/>
      </w:tcPr>
    </w:tblStylePr>
    <w:tblStylePr w:type="lastCol">
      <w:rPr>
        <w:rFonts w:ascii="Arial" w:hAnsi="Arial"/>
        <w:b/>
        <w:color w:val="FFFFFF"/>
        <w:sz w:val="22"/>
      </w:rPr>
      <w:tblPr/>
      <w:tcPr>
        <w:shd w:val="clear" w:color="D0CECE" w:themeColor="accent2" w:fill="D0CECE" w:themeFill="accent2"/>
      </w:tcPr>
    </w:tblStylePr>
    <w:tblStylePr w:type="band1Vert">
      <w:tblPr/>
      <w:tcPr>
        <w:shd w:val="clear" w:color="E9E8E8" w:themeColor="accent2" w:themeTint="75" w:fill="E9E8E8" w:themeFill="accent2" w:themeFillTint="75"/>
      </w:tcPr>
    </w:tblStylePr>
    <w:tblStylePr w:type="band1Horz">
      <w:tblPr/>
      <w:tcPr>
        <w:shd w:val="clear" w:color="E9E8E8" w:themeColor="accent2" w:themeTint="75" w:fill="E9E8E8" w:themeFill="accent2" w:themeFillTint="75"/>
      </w:tcPr>
    </w:tblStylePr>
  </w:style>
  <w:style w:type="table" w:customStyle="1" w:styleId="GridTable5Dark-Accent31">
    <w:name w:val="Grid Table 5 Dark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4E4E4" w:themeColor="accent5" w:themeTint="34" w:fill="E4E4E4" w:themeFill="accent5" w:themeFillTint="34"/>
    </w:tblPr>
    <w:tblStylePr w:type="firstRow">
      <w:rPr>
        <w:rFonts w:ascii="Arial" w:hAnsi="Arial"/>
        <w:b/>
        <w:color w:val="FFFFFF"/>
        <w:sz w:val="22"/>
      </w:rPr>
      <w:tblPr/>
      <w:tcPr>
        <w:shd w:val="clear" w:color="7F7F7F" w:themeColor="accent5" w:fill="7F7F7F" w:themeFill="accent5"/>
      </w:tcPr>
    </w:tblStylePr>
    <w:tblStylePr w:type="lastRow">
      <w:rPr>
        <w:rFonts w:ascii="Arial" w:hAnsi="Arial"/>
        <w:b/>
        <w:color w:val="FFFFFF"/>
        <w:sz w:val="22"/>
      </w:rPr>
      <w:tblPr/>
      <w:tcPr>
        <w:tcBorders>
          <w:top w:val="single" w:sz="4" w:space="0" w:color="FFFFFF" w:themeColor="light1"/>
        </w:tcBorders>
        <w:shd w:val="clear" w:color="7F7F7F" w:themeColor="accent5" w:fill="7F7F7F" w:themeFill="accent5"/>
      </w:tcPr>
    </w:tblStylePr>
    <w:tblStylePr w:type="firstCol">
      <w:rPr>
        <w:rFonts w:ascii="Arial" w:hAnsi="Arial"/>
        <w:b/>
        <w:color w:val="FFFFFF"/>
        <w:sz w:val="22"/>
      </w:rPr>
      <w:tblPr/>
      <w:tcPr>
        <w:shd w:val="clear" w:color="7F7F7F" w:themeColor="accent5" w:fill="7F7F7F" w:themeFill="accent5"/>
      </w:tcPr>
    </w:tblStylePr>
    <w:tblStylePr w:type="lastCol">
      <w:rPr>
        <w:rFonts w:ascii="Arial" w:hAnsi="Arial"/>
        <w:b/>
        <w:color w:val="FFFFFF"/>
        <w:sz w:val="22"/>
      </w:rPr>
      <w:tblPr/>
      <w:tcPr>
        <w:shd w:val="clear" w:color="7F7F7F" w:themeColor="accent5" w:fill="7F7F7F" w:themeFill="accent5"/>
      </w:tcPr>
    </w:tblStylePr>
    <w:tblStylePr w:type="band1Vert">
      <w:tblPr/>
      <w:tcPr>
        <w:shd w:val="clear" w:color="C4C4C4" w:themeColor="accent5" w:themeTint="75" w:fill="C4C4C4" w:themeFill="accent5" w:themeFillTint="75"/>
      </w:tcPr>
    </w:tblStylePr>
    <w:tblStylePr w:type="band1Horz">
      <w:tblPr/>
      <w:tcPr>
        <w:shd w:val="clear" w:color="C4C4C4" w:themeColor="accent5" w:themeTint="75" w:fill="C4C4C4" w:themeFill="accent5" w:themeFillTint="75"/>
      </w:tcPr>
    </w:tblStylePr>
  </w:style>
  <w:style w:type="table" w:customStyle="1" w:styleId="GridTable5Dark-Accent61">
    <w:name w:val="Grid Table 5 Dark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F9F9" w:themeColor="accent6" w:themeTint="34" w:fill="FAF9F9" w:themeFill="accent6" w:themeFillTint="34"/>
    </w:tblPr>
    <w:tblStylePr w:type="firstRow">
      <w:rPr>
        <w:rFonts w:ascii="Arial" w:hAnsi="Arial"/>
        <w:b/>
        <w:color w:val="FFFFFF"/>
        <w:sz w:val="22"/>
      </w:rPr>
      <w:tblPr/>
      <w:tcPr>
        <w:shd w:val="clear" w:color="E7E6E6" w:themeColor="accent6" w:fill="E7E6E6" w:themeFill="accent6"/>
      </w:tcPr>
    </w:tblStylePr>
    <w:tblStylePr w:type="lastRow">
      <w:rPr>
        <w:rFonts w:ascii="Arial" w:hAnsi="Arial"/>
        <w:b/>
        <w:color w:val="FFFFFF"/>
        <w:sz w:val="22"/>
      </w:rPr>
      <w:tblPr/>
      <w:tcPr>
        <w:tcBorders>
          <w:top w:val="single" w:sz="4" w:space="0" w:color="FFFFFF" w:themeColor="light1"/>
        </w:tcBorders>
        <w:shd w:val="clear" w:color="E7E6E6" w:themeColor="accent6" w:fill="E7E6E6" w:themeFill="accent6"/>
      </w:tcPr>
    </w:tblStylePr>
    <w:tblStylePr w:type="firstCol">
      <w:rPr>
        <w:rFonts w:ascii="Arial" w:hAnsi="Arial"/>
        <w:b/>
        <w:color w:val="FFFFFF"/>
        <w:sz w:val="22"/>
      </w:rPr>
      <w:tblPr/>
      <w:tcPr>
        <w:shd w:val="clear" w:color="E7E6E6" w:themeColor="accent6" w:fill="E7E6E6" w:themeFill="accent6"/>
      </w:tcPr>
    </w:tblStylePr>
    <w:tblStylePr w:type="lastCol">
      <w:rPr>
        <w:rFonts w:ascii="Arial" w:hAnsi="Arial"/>
        <w:b/>
        <w:color w:val="FFFFFF"/>
        <w:sz w:val="22"/>
      </w:rPr>
      <w:tblPr/>
      <w:tcPr>
        <w:shd w:val="clear" w:color="E7E6E6" w:themeColor="accent6" w:fill="E7E6E6" w:themeFill="accent6"/>
      </w:tcPr>
    </w:tblStylePr>
    <w:tblStylePr w:type="band1Vert">
      <w:tblPr/>
      <w:tcPr>
        <w:shd w:val="clear" w:color="F4F3F3" w:themeColor="accent6" w:themeTint="75" w:fill="F4F3F3" w:themeFill="accent6" w:themeFillTint="75"/>
      </w:tcPr>
    </w:tblStylePr>
    <w:tblStylePr w:type="band1Horz">
      <w:tblPr/>
      <w:tcPr>
        <w:shd w:val="clear" w:color="F4F3F3" w:themeColor="accent6" w:themeTint="75" w:fill="F4F3F3" w:themeFill="accent6" w:themeFillTint="75"/>
      </w:tcPr>
    </w:tblStylePr>
  </w:style>
  <w:style w:type="table" w:styleId="GridTable6Colorful">
    <w:name w:val="Grid Table 6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FFFF00" w:themeColor="accent1"/>
          <w:right w:val="none" w:sz="4" w:space="0" w:color="000000"/>
        </w:tcBorders>
      </w:tcPr>
    </w:tblStylePr>
    <w:tblStylePr w:type="lastRow">
      <w:rPr>
        <w:b/>
        <w:color w:val="404040"/>
      </w:rPr>
      <w:tblPr/>
      <w:tcPr>
        <w:tcBorders>
          <w:top w:val="single" w:sz="4" w:space="0" w:color="FFFF00"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BF" w:themeColor="accent1" w:themeTint="40" w:fill="FFFFBF" w:themeFill="accent1" w:themeFillTint="40"/>
      </w:tcPr>
    </w:tblStylePr>
    <w:tblStylePr w:type="band1Horz">
      <w:tblPr/>
      <w:tcPr>
        <w:shd w:val="clear" w:color="FFFFBF" w:themeColor="accent1" w:themeTint="40" w:fill="FFFFBF" w:themeFill="accent1" w:themeFillTint="40"/>
      </w:tcPr>
    </w:tblStylePr>
  </w:style>
  <w:style w:type="table" w:customStyle="1" w:styleId="ListTable1Light-Accent21">
    <w:name w:val="List Table 1 Light - Accent 2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D0CECE" w:themeColor="accent2"/>
          <w:right w:val="none" w:sz="4" w:space="0" w:color="000000"/>
        </w:tcBorders>
      </w:tcPr>
    </w:tblStylePr>
    <w:tblStylePr w:type="lastRow">
      <w:rPr>
        <w:b/>
        <w:color w:val="404040"/>
      </w:rPr>
      <w:tblPr/>
      <w:tcPr>
        <w:tcBorders>
          <w:top w:val="single" w:sz="4" w:space="0" w:color="D0CECE"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3F2F2" w:themeColor="accent2" w:themeTint="40" w:fill="F3F2F2" w:themeFill="accent2" w:themeFillTint="40"/>
      </w:tcPr>
    </w:tblStylePr>
    <w:tblStylePr w:type="band1Horz">
      <w:tblPr/>
      <w:tcPr>
        <w:shd w:val="clear" w:color="F3F2F2" w:themeColor="accent2" w:themeTint="40" w:fill="F3F2F2" w:themeFill="accent2" w:themeFillTint="40"/>
      </w:tcPr>
    </w:tblStylePr>
  </w:style>
  <w:style w:type="table" w:customStyle="1" w:styleId="ListTable1Light-Accent31">
    <w:name w:val="List Table 1 Light - Accent 3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757070" w:themeColor="accent4"/>
          <w:right w:val="none" w:sz="4" w:space="0" w:color="000000"/>
        </w:tcBorders>
      </w:tcPr>
    </w:tblStylePr>
    <w:tblStylePr w:type="lastRow">
      <w:rPr>
        <w:b/>
        <w:color w:val="404040"/>
      </w:rPr>
      <w:tblPr/>
      <w:tcPr>
        <w:tcBorders>
          <w:top w:val="single" w:sz="4" w:space="0" w:color="75707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CDADA" w:themeColor="accent4" w:themeTint="40" w:fill="DCDADA" w:themeFill="accent4" w:themeFillTint="40"/>
      </w:tcPr>
    </w:tblStylePr>
    <w:tblStylePr w:type="band1Horz">
      <w:tblPr/>
      <w:tcPr>
        <w:shd w:val="clear" w:color="DCDADA" w:themeColor="accent4" w:themeTint="40" w:fill="DCDADA" w:themeFill="accent4" w:themeFillTint="40"/>
      </w:tcPr>
    </w:tblStylePr>
  </w:style>
  <w:style w:type="table" w:customStyle="1" w:styleId="ListTable1Light-Accent51">
    <w:name w:val="List Table 1 Light - Accent 5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7F7F7F" w:themeColor="accent5"/>
          <w:right w:val="none" w:sz="4" w:space="0" w:color="000000"/>
        </w:tcBorders>
      </w:tcPr>
    </w:tblStylePr>
    <w:tblStylePr w:type="lastRow">
      <w:rPr>
        <w:b/>
        <w:color w:val="404040"/>
      </w:rPr>
      <w:tblPr/>
      <w:tcPr>
        <w:tcBorders>
          <w:top w:val="single" w:sz="4" w:space="0" w:color="7F7F7F"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EDEDE" w:themeColor="accent5" w:themeTint="40" w:fill="DEDEDE" w:themeFill="accent5" w:themeFillTint="40"/>
      </w:tcPr>
    </w:tblStylePr>
    <w:tblStylePr w:type="band1Horz">
      <w:tblPr/>
      <w:tcPr>
        <w:shd w:val="clear" w:color="DEDEDE" w:themeColor="accent5" w:themeTint="40" w:fill="DEDEDE" w:themeFill="accent5" w:themeFillTint="40"/>
      </w:tcPr>
    </w:tblStylePr>
  </w:style>
  <w:style w:type="table" w:customStyle="1" w:styleId="ListTable1Light-Accent61">
    <w:name w:val="List Table 1 Light - Accent 6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E7E6E6" w:themeColor="accent6"/>
          <w:right w:val="none" w:sz="4" w:space="0" w:color="000000"/>
        </w:tcBorders>
      </w:tcPr>
    </w:tblStylePr>
    <w:tblStylePr w:type="lastRow">
      <w:rPr>
        <w:b/>
        <w:color w:val="404040"/>
      </w:rPr>
      <w:tblPr/>
      <w:tcPr>
        <w:tcBorders>
          <w:top w:val="single" w:sz="4" w:space="0" w:color="E7E6E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F8F8" w:themeColor="accent6" w:themeTint="40" w:fill="F9F8F8" w:themeFill="accent6" w:themeFillTint="40"/>
      </w:tcPr>
    </w:tblStylePr>
    <w:tblStylePr w:type="band1Horz">
      <w:tblPr/>
      <w:tcPr>
        <w:shd w:val="clear" w:color="F9F8F8" w:themeColor="accent6" w:themeTint="40" w:fill="F9F8F8" w:themeFill="accent6" w:themeFillTint="40"/>
      </w:tcPr>
    </w:tblStylePr>
  </w:style>
  <w:style w:type="table" w:styleId="ListTable2">
    <w:name w:val="List Table 2"/>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bottom w:val="single" w:sz="4" w:space="0" w:color="FFFF6F" w:themeColor="accent1" w:themeTint="90"/>
        <w:insideH w:val="single" w:sz="4" w:space="0" w:color="FFFF6F" w:themeColor="accent1" w:themeTint="90"/>
      </w:tblBorders>
    </w:tblPr>
    <w:tblStylePr w:type="firstRow">
      <w:rPr>
        <w:rFonts w:ascii="Arial" w:hAnsi="Arial"/>
        <w:b/>
        <w:color w:val="404040"/>
        <w:sz w:val="22"/>
      </w:rPr>
      <w:tblPr/>
      <w:tcPr>
        <w:tcBorders>
          <w:top w:val="single" w:sz="4" w:space="0" w:color="FFFF6F" w:themeColor="accent1" w:themeTint="90"/>
          <w:left w:val="none" w:sz="4" w:space="0" w:color="000000"/>
          <w:bottom w:val="single" w:sz="4" w:space="0" w:color="FFFF6F" w:themeColor="accent1" w:themeTint="90"/>
          <w:right w:val="none" w:sz="4" w:space="0" w:color="000000"/>
        </w:tcBorders>
      </w:tcPr>
    </w:tblStylePr>
    <w:tblStylePr w:type="lastRow">
      <w:rPr>
        <w:rFonts w:ascii="Arial" w:hAnsi="Arial"/>
        <w:b/>
        <w:color w:val="404040"/>
        <w:sz w:val="22"/>
      </w:rPr>
      <w:tblPr/>
      <w:tcPr>
        <w:tcBorders>
          <w:top w:val="single" w:sz="4" w:space="0" w:color="FFFF6F" w:themeColor="accent1" w:themeTint="90"/>
          <w:left w:val="none" w:sz="4" w:space="0" w:color="000000"/>
          <w:bottom w:val="single" w:sz="4" w:space="0" w:color="FFFF6F"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BF" w:themeColor="accent1" w:themeTint="40" w:fill="FFFFBF" w:themeFill="accent1" w:themeFillTint="40"/>
      </w:tcPr>
    </w:tblStylePr>
    <w:tblStylePr w:type="band1Horz">
      <w:rPr>
        <w:rFonts w:ascii="Arial" w:hAnsi="Arial"/>
        <w:color w:val="404040"/>
        <w:sz w:val="22"/>
      </w:rPr>
      <w:tblPr/>
      <w:tcPr>
        <w:shd w:val="clear" w:color="FFFFBF" w:themeColor="accent1" w:themeTint="40" w:fill="FFFFBF" w:themeFill="accent1" w:themeFillTint="40"/>
      </w:tcPr>
    </w:tblStylePr>
  </w:style>
  <w:style w:type="table" w:customStyle="1" w:styleId="ListTable2-Accent21">
    <w:name w:val="List Table 2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bottom w:val="single" w:sz="4" w:space="0" w:color="E4E3E3" w:themeColor="accent2" w:themeTint="90"/>
        <w:insideH w:val="single" w:sz="4" w:space="0" w:color="E4E3E3" w:themeColor="accent2" w:themeTint="90"/>
      </w:tblBorders>
    </w:tblPr>
    <w:tblStylePr w:type="firstRow">
      <w:rPr>
        <w:rFonts w:ascii="Arial" w:hAnsi="Arial"/>
        <w:b/>
        <w:color w:val="404040"/>
        <w:sz w:val="22"/>
      </w:rPr>
      <w:tblPr/>
      <w:tcPr>
        <w:tcBorders>
          <w:top w:val="single" w:sz="4" w:space="0" w:color="E4E3E3" w:themeColor="accent2" w:themeTint="90"/>
          <w:left w:val="none" w:sz="4" w:space="0" w:color="000000"/>
          <w:bottom w:val="single" w:sz="4" w:space="0" w:color="E4E3E3" w:themeColor="accent2" w:themeTint="90"/>
          <w:right w:val="none" w:sz="4" w:space="0" w:color="000000"/>
        </w:tcBorders>
      </w:tcPr>
    </w:tblStylePr>
    <w:tblStylePr w:type="lastRow">
      <w:rPr>
        <w:rFonts w:ascii="Arial" w:hAnsi="Arial"/>
        <w:b/>
        <w:color w:val="404040"/>
        <w:sz w:val="22"/>
      </w:rPr>
      <w:tblPr/>
      <w:tcPr>
        <w:tcBorders>
          <w:top w:val="single" w:sz="4" w:space="0" w:color="E4E3E3" w:themeColor="accent2" w:themeTint="90"/>
          <w:left w:val="none" w:sz="4" w:space="0" w:color="000000"/>
          <w:bottom w:val="single" w:sz="4" w:space="0" w:color="E4E3E3"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3F2F2" w:themeColor="accent2" w:themeTint="40" w:fill="F3F2F2" w:themeFill="accent2" w:themeFillTint="40"/>
      </w:tcPr>
    </w:tblStylePr>
    <w:tblStylePr w:type="band1Horz">
      <w:rPr>
        <w:rFonts w:ascii="Arial" w:hAnsi="Arial"/>
        <w:color w:val="404040"/>
        <w:sz w:val="22"/>
      </w:rPr>
      <w:tblPr/>
      <w:tcPr>
        <w:shd w:val="clear" w:color="F3F2F2" w:themeColor="accent2" w:themeTint="40" w:fill="F3F2F2" w:themeFill="accent2" w:themeFillTint="40"/>
      </w:tcPr>
    </w:tblStylePr>
  </w:style>
  <w:style w:type="table" w:customStyle="1" w:styleId="ListTable2-Accent31">
    <w:name w:val="List Table 2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bottom w:val="single" w:sz="4" w:space="0" w:color="B1ADAD" w:themeColor="accent4" w:themeTint="90"/>
        <w:insideH w:val="single" w:sz="4" w:space="0" w:color="B1ADAD" w:themeColor="accent4" w:themeTint="90"/>
      </w:tblBorders>
    </w:tblPr>
    <w:tblStylePr w:type="firstRow">
      <w:rPr>
        <w:rFonts w:ascii="Arial" w:hAnsi="Arial"/>
        <w:b/>
        <w:color w:val="404040"/>
        <w:sz w:val="22"/>
      </w:rPr>
      <w:tblPr/>
      <w:tcPr>
        <w:tcBorders>
          <w:top w:val="single" w:sz="4" w:space="0" w:color="B1ADAD" w:themeColor="accent4" w:themeTint="90"/>
          <w:left w:val="none" w:sz="4" w:space="0" w:color="000000"/>
          <w:bottom w:val="single" w:sz="4" w:space="0" w:color="B1ADAD" w:themeColor="accent4" w:themeTint="90"/>
          <w:right w:val="none" w:sz="4" w:space="0" w:color="000000"/>
        </w:tcBorders>
      </w:tcPr>
    </w:tblStylePr>
    <w:tblStylePr w:type="lastRow">
      <w:rPr>
        <w:rFonts w:ascii="Arial" w:hAnsi="Arial"/>
        <w:b/>
        <w:color w:val="404040"/>
        <w:sz w:val="22"/>
      </w:rPr>
      <w:tblPr/>
      <w:tcPr>
        <w:tcBorders>
          <w:top w:val="single" w:sz="4" w:space="0" w:color="B1ADAD" w:themeColor="accent4" w:themeTint="90"/>
          <w:left w:val="none" w:sz="4" w:space="0" w:color="000000"/>
          <w:bottom w:val="single" w:sz="4" w:space="0" w:color="B1ADAD"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DADA" w:themeColor="accent4" w:themeTint="40" w:fill="DCDADA" w:themeFill="accent4" w:themeFillTint="40"/>
      </w:tcPr>
    </w:tblStylePr>
    <w:tblStylePr w:type="band1Horz">
      <w:rPr>
        <w:rFonts w:ascii="Arial" w:hAnsi="Arial"/>
        <w:color w:val="404040"/>
        <w:sz w:val="22"/>
      </w:rPr>
      <w:tblPr/>
      <w:tcPr>
        <w:shd w:val="clear" w:color="DCDADA" w:themeColor="accent4" w:themeTint="40" w:fill="DCDADA" w:themeFill="accent4" w:themeFillTint="40"/>
      </w:tcPr>
    </w:tblStylePr>
  </w:style>
  <w:style w:type="table" w:customStyle="1" w:styleId="ListTable2-Accent51">
    <w:name w:val="List Table 2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bottom w:val="single" w:sz="4" w:space="0" w:color="B6B6B6" w:themeColor="accent5" w:themeTint="90"/>
        <w:insideH w:val="single" w:sz="4" w:space="0" w:color="B6B6B6" w:themeColor="accent5" w:themeTint="90"/>
      </w:tblBorders>
    </w:tblPr>
    <w:tblStylePr w:type="firstRow">
      <w:rPr>
        <w:rFonts w:ascii="Arial" w:hAnsi="Arial"/>
        <w:b/>
        <w:color w:val="404040"/>
        <w:sz w:val="22"/>
      </w:rPr>
      <w:tblPr/>
      <w:tcPr>
        <w:tcBorders>
          <w:top w:val="single" w:sz="4" w:space="0" w:color="B6B6B6" w:themeColor="accent5" w:themeTint="90"/>
          <w:left w:val="none" w:sz="4" w:space="0" w:color="000000"/>
          <w:bottom w:val="single" w:sz="4" w:space="0" w:color="B6B6B6" w:themeColor="accent5" w:themeTint="90"/>
          <w:right w:val="none" w:sz="4" w:space="0" w:color="000000"/>
        </w:tcBorders>
      </w:tcPr>
    </w:tblStylePr>
    <w:tblStylePr w:type="lastRow">
      <w:rPr>
        <w:rFonts w:ascii="Arial" w:hAnsi="Arial"/>
        <w:b/>
        <w:color w:val="404040"/>
        <w:sz w:val="22"/>
      </w:rPr>
      <w:tblPr/>
      <w:tcPr>
        <w:tcBorders>
          <w:top w:val="single" w:sz="4" w:space="0" w:color="B6B6B6" w:themeColor="accent5" w:themeTint="90"/>
          <w:left w:val="none" w:sz="4" w:space="0" w:color="000000"/>
          <w:bottom w:val="single" w:sz="4" w:space="0" w:color="B6B6B6"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EDEDE" w:themeColor="accent5" w:themeTint="40" w:fill="DEDEDE" w:themeFill="accent5" w:themeFillTint="40"/>
      </w:tcPr>
    </w:tblStylePr>
    <w:tblStylePr w:type="band1Horz">
      <w:rPr>
        <w:rFonts w:ascii="Arial" w:hAnsi="Arial"/>
        <w:color w:val="404040"/>
        <w:sz w:val="22"/>
      </w:rPr>
      <w:tblPr/>
      <w:tcPr>
        <w:shd w:val="clear" w:color="DEDEDE" w:themeColor="accent5" w:themeTint="40" w:fill="DEDEDE" w:themeFill="accent5" w:themeFillTint="40"/>
      </w:tcPr>
    </w:tblStylePr>
  </w:style>
  <w:style w:type="table" w:customStyle="1" w:styleId="ListTable2-Accent61">
    <w:name w:val="List Table 2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bottom w:val="single" w:sz="4" w:space="0" w:color="F1F0F0" w:themeColor="accent6" w:themeTint="90"/>
        <w:insideH w:val="single" w:sz="4" w:space="0" w:color="F1F0F0" w:themeColor="accent6" w:themeTint="90"/>
      </w:tblBorders>
    </w:tblPr>
    <w:tblStylePr w:type="firstRow">
      <w:rPr>
        <w:rFonts w:ascii="Arial" w:hAnsi="Arial"/>
        <w:b/>
        <w:color w:val="404040"/>
        <w:sz w:val="22"/>
      </w:rPr>
      <w:tblPr/>
      <w:tcPr>
        <w:tcBorders>
          <w:top w:val="single" w:sz="4" w:space="0" w:color="F1F0F0" w:themeColor="accent6" w:themeTint="90"/>
          <w:left w:val="none" w:sz="4" w:space="0" w:color="000000"/>
          <w:bottom w:val="single" w:sz="4" w:space="0" w:color="F1F0F0" w:themeColor="accent6" w:themeTint="90"/>
          <w:right w:val="none" w:sz="4" w:space="0" w:color="000000"/>
        </w:tcBorders>
      </w:tcPr>
    </w:tblStylePr>
    <w:tblStylePr w:type="lastRow">
      <w:rPr>
        <w:rFonts w:ascii="Arial" w:hAnsi="Arial"/>
        <w:b/>
        <w:color w:val="404040"/>
        <w:sz w:val="22"/>
      </w:rPr>
      <w:tblPr/>
      <w:tcPr>
        <w:tcBorders>
          <w:top w:val="single" w:sz="4" w:space="0" w:color="F1F0F0" w:themeColor="accent6" w:themeTint="90"/>
          <w:left w:val="none" w:sz="4" w:space="0" w:color="000000"/>
          <w:bottom w:val="single" w:sz="4" w:space="0" w:color="F1F0F0"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F8F8" w:themeColor="accent6" w:themeTint="40" w:fill="F9F8F8" w:themeFill="accent6" w:themeFillTint="40"/>
      </w:tcPr>
    </w:tblStylePr>
    <w:tblStylePr w:type="band1Horz">
      <w:rPr>
        <w:rFonts w:ascii="Arial" w:hAnsi="Arial"/>
        <w:color w:val="404040"/>
        <w:sz w:val="22"/>
      </w:rPr>
      <w:tblPr/>
      <w:tcPr>
        <w:shd w:val="clear" w:color="F9F8F8" w:themeColor="accent6" w:themeTint="40" w:fill="F9F8F8" w:themeFill="accent6" w:themeFillTint="40"/>
      </w:tcPr>
    </w:tblStylePr>
  </w:style>
  <w:style w:type="table" w:styleId="ListTable3">
    <w:name w:val="List Table 3"/>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00" w:themeColor="accent1"/>
        <w:left w:val="single" w:sz="4" w:space="0" w:color="FFFF00" w:themeColor="accent1"/>
        <w:bottom w:val="single" w:sz="4" w:space="0" w:color="FFFF00" w:themeColor="accent1"/>
        <w:right w:val="single" w:sz="4" w:space="0" w:color="FFFF00" w:themeColor="accent1"/>
      </w:tblBorders>
    </w:tblPr>
    <w:tblStylePr w:type="firstRow">
      <w:rPr>
        <w:rFonts w:ascii="Arial" w:hAnsi="Arial"/>
        <w:b/>
        <w:color w:val="FFFFFF"/>
        <w:sz w:val="22"/>
      </w:rPr>
      <w:tblPr/>
      <w:tcPr>
        <w:shd w:val="clear" w:color="FFFF00" w:themeColor="accent1" w:fill="FFFF00"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00" w:themeColor="accent1"/>
          <w:right w:val="single" w:sz="4" w:space="0" w:color="FFFF00" w:themeColor="accent1"/>
        </w:tcBorders>
      </w:tcPr>
    </w:tblStylePr>
    <w:tblStylePr w:type="band1Horz">
      <w:rPr>
        <w:rFonts w:ascii="Arial" w:hAnsi="Arial"/>
        <w:color w:val="404040"/>
        <w:sz w:val="22"/>
      </w:rPr>
      <w:tblPr/>
      <w:tcPr>
        <w:tcBorders>
          <w:top w:val="single" w:sz="4" w:space="0" w:color="FFFF00" w:themeColor="accent1"/>
          <w:bottom w:val="single" w:sz="4" w:space="0" w:color="FFFF00" w:themeColor="accent1"/>
        </w:tcBorders>
      </w:tcPr>
    </w:tblStylePr>
  </w:style>
  <w:style w:type="table" w:customStyle="1" w:styleId="ListTable3-Accent21">
    <w:name w:val="List Table 3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tblBorders>
    </w:tblPr>
    <w:tblStylePr w:type="firstRow">
      <w:rPr>
        <w:rFonts w:ascii="Arial" w:hAnsi="Arial"/>
        <w:b/>
        <w:color w:val="FFFFFF"/>
        <w:sz w:val="22"/>
      </w:rPr>
      <w:tblPr/>
      <w:tcPr>
        <w:shd w:val="clear" w:color="E3E1E1" w:themeColor="accent2" w:themeTint="97" w:fill="E3E1E1"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3E1E1" w:themeColor="accent2" w:themeTint="97"/>
          <w:right w:val="single" w:sz="4" w:space="0" w:color="E3E1E1" w:themeColor="accent2" w:themeTint="97"/>
        </w:tcBorders>
      </w:tcPr>
    </w:tblStylePr>
    <w:tblStylePr w:type="band1Horz">
      <w:rPr>
        <w:rFonts w:ascii="Arial" w:hAnsi="Arial"/>
        <w:color w:val="404040"/>
        <w:sz w:val="22"/>
      </w:rPr>
      <w:tblPr/>
      <w:tcPr>
        <w:tcBorders>
          <w:top w:val="single" w:sz="4" w:space="0" w:color="E3E1E1" w:themeColor="accent2" w:themeTint="97"/>
          <w:bottom w:val="single" w:sz="4" w:space="0" w:color="E3E1E1" w:themeColor="accent2" w:themeTint="97"/>
        </w:tcBorders>
      </w:tcPr>
    </w:tblStylePr>
  </w:style>
  <w:style w:type="table" w:customStyle="1" w:styleId="ListTable3-Accent31">
    <w:name w:val="List Table 3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tblBorders>
    </w:tblPr>
    <w:tblStylePr w:type="firstRow">
      <w:rPr>
        <w:rFonts w:ascii="Arial" w:hAnsi="Arial"/>
        <w:b/>
        <w:color w:val="FFFFFF"/>
        <w:sz w:val="22"/>
      </w:rPr>
      <w:tblPr/>
      <w:tcPr>
        <w:shd w:val="clear" w:color="ABA8A8" w:themeColor="accent4" w:themeTint="9A" w:fill="ABA8A8"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A8A8" w:themeColor="accent4" w:themeTint="9A"/>
          <w:right w:val="single" w:sz="4" w:space="0" w:color="ABA8A8" w:themeColor="accent4" w:themeTint="9A"/>
        </w:tcBorders>
      </w:tcPr>
    </w:tblStylePr>
    <w:tblStylePr w:type="band1Horz">
      <w:rPr>
        <w:rFonts w:ascii="Arial" w:hAnsi="Arial"/>
        <w:color w:val="404040"/>
        <w:sz w:val="22"/>
      </w:rPr>
      <w:tblPr/>
      <w:tcPr>
        <w:tcBorders>
          <w:top w:val="single" w:sz="4" w:space="0" w:color="ABA8A8" w:themeColor="accent4" w:themeTint="9A"/>
          <w:bottom w:val="single" w:sz="4" w:space="0" w:color="ABA8A8" w:themeColor="accent4" w:themeTint="9A"/>
        </w:tcBorders>
      </w:tcPr>
    </w:tblStylePr>
  </w:style>
  <w:style w:type="table" w:customStyle="1" w:styleId="ListTable3-Accent51">
    <w:name w:val="List Table 3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B1B1" w:themeColor="accent5" w:themeTint="9A"/>
        <w:left w:val="single" w:sz="4" w:space="0" w:color="B1B1B1" w:themeColor="accent5" w:themeTint="9A"/>
        <w:bottom w:val="single" w:sz="4" w:space="0" w:color="B1B1B1" w:themeColor="accent5" w:themeTint="9A"/>
        <w:right w:val="single" w:sz="4" w:space="0" w:color="B1B1B1" w:themeColor="accent5" w:themeTint="9A"/>
      </w:tblBorders>
    </w:tblPr>
    <w:tblStylePr w:type="firstRow">
      <w:rPr>
        <w:rFonts w:ascii="Arial" w:hAnsi="Arial"/>
        <w:b/>
        <w:color w:val="FFFFFF"/>
        <w:sz w:val="22"/>
      </w:rPr>
      <w:tblPr/>
      <w:tcPr>
        <w:shd w:val="clear" w:color="B1B1B1" w:themeColor="accent5" w:themeTint="9A" w:fill="B1B1B1"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1B1B1" w:themeColor="accent5" w:themeTint="9A"/>
          <w:right w:val="single" w:sz="4" w:space="0" w:color="B1B1B1" w:themeColor="accent5" w:themeTint="9A"/>
        </w:tcBorders>
      </w:tcPr>
    </w:tblStylePr>
    <w:tblStylePr w:type="band1Horz">
      <w:rPr>
        <w:rFonts w:ascii="Arial" w:hAnsi="Arial"/>
        <w:color w:val="404040"/>
        <w:sz w:val="22"/>
      </w:rPr>
      <w:tblPr/>
      <w:tcPr>
        <w:tcBorders>
          <w:top w:val="single" w:sz="4" w:space="0" w:color="B1B1B1" w:themeColor="accent5" w:themeTint="9A"/>
          <w:bottom w:val="single" w:sz="4" w:space="0" w:color="B1B1B1" w:themeColor="accent5" w:themeTint="9A"/>
        </w:tcBorders>
      </w:tcPr>
    </w:tblStylePr>
  </w:style>
  <w:style w:type="table" w:customStyle="1" w:styleId="ListTable3-Accent61">
    <w:name w:val="List Table 3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0F0F0" w:themeColor="accent6" w:themeTint="98"/>
        <w:left w:val="single" w:sz="4" w:space="0" w:color="F0F0F0" w:themeColor="accent6" w:themeTint="98"/>
        <w:bottom w:val="single" w:sz="4" w:space="0" w:color="F0F0F0" w:themeColor="accent6" w:themeTint="98"/>
        <w:right w:val="single" w:sz="4" w:space="0" w:color="F0F0F0" w:themeColor="accent6" w:themeTint="98"/>
      </w:tblBorders>
    </w:tblPr>
    <w:tblStylePr w:type="firstRow">
      <w:rPr>
        <w:rFonts w:ascii="Arial" w:hAnsi="Arial"/>
        <w:b/>
        <w:color w:val="FFFFFF"/>
        <w:sz w:val="22"/>
      </w:rPr>
      <w:tblPr/>
      <w:tcPr>
        <w:shd w:val="clear" w:color="F0F0F0" w:themeColor="accent6" w:themeTint="98" w:fill="F0F0F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0F0F0" w:themeColor="accent6" w:themeTint="98"/>
          <w:right w:val="single" w:sz="4" w:space="0" w:color="F0F0F0" w:themeColor="accent6" w:themeTint="98"/>
        </w:tcBorders>
      </w:tcPr>
    </w:tblStylePr>
    <w:tblStylePr w:type="band1Horz">
      <w:rPr>
        <w:rFonts w:ascii="Arial" w:hAnsi="Arial"/>
        <w:color w:val="404040"/>
        <w:sz w:val="22"/>
      </w:rPr>
      <w:tblPr/>
      <w:tcPr>
        <w:tcBorders>
          <w:top w:val="single" w:sz="4" w:space="0" w:color="F0F0F0" w:themeColor="accent6" w:themeTint="98"/>
          <w:bottom w:val="single" w:sz="4" w:space="0" w:color="F0F0F0" w:themeColor="accent6" w:themeTint="98"/>
        </w:tcBorders>
      </w:tcPr>
    </w:tblStylePr>
  </w:style>
  <w:style w:type="table" w:styleId="ListTable4">
    <w:name w:val="List Table 4"/>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left w:val="single" w:sz="4" w:space="0" w:color="FFFF6F" w:themeColor="accent1" w:themeTint="90"/>
        <w:bottom w:val="single" w:sz="4" w:space="0" w:color="FFFF6F" w:themeColor="accent1" w:themeTint="90"/>
        <w:right w:val="single" w:sz="4" w:space="0" w:color="FFFF6F" w:themeColor="accent1" w:themeTint="90"/>
        <w:insideH w:val="single" w:sz="4" w:space="0" w:color="FFFF6F" w:themeColor="accent1" w:themeTint="90"/>
      </w:tblBorders>
    </w:tblPr>
    <w:tblStylePr w:type="firstRow">
      <w:rPr>
        <w:rFonts w:ascii="Arial" w:hAnsi="Arial"/>
        <w:b/>
        <w:color w:val="FFFFFF"/>
        <w:sz w:val="22"/>
      </w:rPr>
      <w:tblPr/>
      <w:tcPr>
        <w:shd w:val="clear" w:color="FFFF00" w:themeColor="accent1" w:fill="FFFF00"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BF" w:themeColor="accent1" w:themeTint="40" w:fill="FFFFBF" w:themeFill="accent1" w:themeFillTint="40"/>
      </w:tcPr>
    </w:tblStylePr>
    <w:tblStylePr w:type="band1Horz">
      <w:rPr>
        <w:rFonts w:ascii="Arial" w:hAnsi="Arial"/>
        <w:color w:val="404040"/>
        <w:sz w:val="22"/>
      </w:rPr>
      <w:tblPr/>
      <w:tcPr>
        <w:shd w:val="clear" w:color="FFFFBF" w:themeColor="accent1" w:themeTint="40" w:fill="FFFFBF" w:themeFill="accent1" w:themeFillTint="40"/>
      </w:tcPr>
    </w:tblStylePr>
  </w:style>
  <w:style w:type="table" w:customStyle="1" w:styleId="ListTable4-Accent21">
    <w:name w:val="List Table 4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left w:val="single" w:sz="4" w:space="0" w:color="E4E3E3" w:themeColor="accent2" w:themeTint="90"/>
        <w:bottom w:val="single" w:sz="4" w:space="0" w:color="E4E3E3" w:themeColor="accent2" w:themeTint="90"/>
        <w:right w:val="single" w:sz="4" w:space="0" w:color="E4E3E3" w:themeColor="accent2" w:themeTint="90"/>
        <w:insideH w:val="single" w:sz="4" w:space="0" w:color="E4E3E3" w:themeColor="accent2" w:themeTint="90"/>
      </w:tblBorders>
    </w:tblPr>
    <w:tblStylePr w:type="firstRow">
      <w:rPr>
        <w:rFonts w:ascii="Arial" w:hAnsi="Arial"/>
        <w:b/>
        <w:color w:val="FFFFFF"/>
        <w:sz w:val="22"/>
      </w:rPr>
      <w:tblPr/>
      <w:tcPr>
        <w:shd w:val="clear" w:color="D0CECE" w:themeColor="accent2" w:fill="D0CECE"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3F2F2" w:themeColor="accent2" w:themeTint="40" w:fill="F3F2F2" w:themeFill="accent2" w:themeFillTint="40"/>
      </w:tcPr>
    </w:tblStylePr>
    <w:tblStylePr w:type="band1Horz">
      <w:rPr>
        <w:rFonts w:ascii="Arial" w:hAnsi="Arial"/>
        <w:color w:val="404040"/>
        <w:sz w:val="22"/>
      </w:rPr>
      <w:tblPr/>
      <w:tcPr>
        <w:shd w:val="clear" w:color="F3F2F2" w:themeColor="accent2" w:themeTint="40" w:fill="F3F2F2" w:themeFill="accent2" w:themeFillTint="40"/>
      </w:tcPr>
    </w:tblStylePr>
  </w:style>
  <w:style w:type="table" w:customStyle="1" w:styleId="ListTable4-Accent31">
    <w:name w:val="List Table 4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left w:val="single" w:sz="4" w:space="0" w:color="B1ADAD" w:themeColor="accent4" w:themeTint="90"/>
        <w:bottom w:val="single" w:sz="4" w:space="0" w:color="B1ADAD" w:themeColor="accent4" w:themeTint="90"/>
        <w:right w:val="single" w:sz="4" w:space="0" w:color="B1ADAD" w:themeColor="accent4" w:themeTint="90"/>
        <w:insideH w:val="single" w:sz="4" w:space="0" w:color="B1ADAD" w:themeColor="accent4" w:themeTint="90"/>
      </w:tblBorders>
    </w:tblPr>
    <w:tblStylePr w:type="firstRow">
      <w:rPr>
        <w:rFonts w:ascii="Arial" w:hAnsi="Arial"/>
        <w:b/>
        <w:color w:val="FFFFFF"/>
        <w:sz w:val="22"/>
      </w:rPr>
      <w:tblPr/>
      <w:tcPr>
        <w:shd w:val="clear" w:color="757070" w:themeColor="accent4" w:fill="75707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DADA" w:themeColor="accent4" w:themeTint="40" w:fill="DCDADA" w:themeFill="accent4" w:themeFillTint="40"/>
      </w:tcPr>
    </w:tblStylePr>
    <w:tblStylePr w:type="band1Horz">
      <w:rPr>
        <w:rFonts w:ascii="Arial" w:hAnsi="Arial"/>
        <w:color w:val="404040"/>
        <w:sz w:val="22"/>
      </w:rPr>
      <w:tblPr/>
      <w:tcPr>
        <w:shd w:val="clear" w:color="DCDADA" w:themeColor="accent4" w:themeTint="40" w:fill="DCDADA" w:themeFill="accent4" w:themeFillTint="40"/>
      </w:tcPr>
    </w:tblStylePr>
  </w:style>
  <w:style w:type="table" w:customStyle="1" w:styleId="ListTable4-Accent51">
    <w:name w:val="List Table 4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left w:val="single" w:sz="4" w:space="0" w:color="B6B6B6" w:themeColor="accent5" w:themeTint="90"/>
        <w:bottom w:val="single" w:sz="4" w:space="0" w:color="B6B6B6" w:themeColor="accent5" w:themeTint="90"/>
        <w:right w:val="single" w:sz="4" w:space="0" w:color="B6B6B6" w:themeColor="accent5" w:themeTint="90"/>
        <w:insideH w:val="single" w:sz="4" w:space="0" w:color="B6B6B6" w:themeColor="accent5" w:themeTint="90"/>
      </w:tblBorders>
    </w:tblPr>
    <w:tblStylePr w:type="firstRow">
      <w:rPr>
        <w:rFonts w:ascii="Arial" w:hAnsi="Arial"/>
        <w:b/>
        <w:color w:val="FFFFFF"/>
        <w:sz w:val="22"/>
      </w:rPr>
      <w:tblPr/>
      <w:tcPr>
        <w:shd w:val="clear" w:color="7F7F7F" w:themeColor="accent5" w:fill="7F7F7F"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DEDE" w:themeColor="accent5" w:themeTint="40" w:fill="DEDEDE" w:themeFill="accent5" w:themeFillTint="40"/>
      </w:tcPr>
    </w:tblStylePr>
    <w:tblStylePr w:type="band1Horz">
      <w:rPr>
        <w:rFonts w:ascii="Arial" w:hAnsi="Arial"/>
        <w:color w:val="404040"/>
        <w:sz w:val="22"/>
      </w:rPr>
      <w:tblPr/>
      <w:tcPr>
        <w:shd w:val="clear" w:color="DEDEDE" w:themeColor="accent5" w:themeTint="40" w:fill="DEDEDE" w:themeFill="accent5" w:themeFillTint="40"/>
      </w:tcPr>
    </w:tblStylePr>
  </w:style>
  <w:style w:type="table" w:customStyle="1" w:styleId="ListTable4-Accent61">
    <w:name w:val="List Table 4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left w:val="single" w:sz="4" w:space="0" w:color="F1F0F0" w:themeColor="accent6" w:themeTint="90"/>
        <w:bottom w:val="single" w:sz="4" w:space="0" w:color="F1F0F0" w:themeColor="accent6" w:themeTint="90"/>
        <w:right w:val="single" w:sz="4" w:space="0" w:color="F1F0F0" w:themeColor="accent6" w:themeTint="90"/>
        <w:insideH w:val="single" w:sz="4" w:space="0" w:color="F1F0F0" w:themeColor="accent6" w:themeTint="90"/>
      </w:tblBorders>
    </w:tblPr>
    <w:tblStylePr w:type="firstRow">
      <w:rPr>
        <w:rFonts w:ascii="Arial" w:hAnsi="Arial"/>
        <w:b/>
        <w:color w:val="FFFFFF"/>
        <w:sz w:val="22"/>
      </w:rPr>
      <w:tblPr/>
      <w:tcPr>
        <w:shd w:val="clear" w:color="E7E6E6" w:themeColor="accent6" w:fill="E7E6E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F8F8" w:themeColor="accent6" w:themeTint="40" w:fill="F9F8F8" w:themeFill="accent6" w:themeFillTint="40"/>
      </w:tcPr>
    </w:tblStylePr>
    <w:tblStylePr w:type="band1Horz">
      <w:rPr>
        <w:rFonts w:ascii="Arial" w:hAnsi="Arial"/>
        <w:color w:val="404040"/>
        <w:sz w:val="22"/>
      </w:rPr>
      <w:tblPr/>
      <w:tcPr>
        <w:shd w:val="clear" w:color="F9F8F8" w:themeColor="accent6" w:themeTint="40" w:fill="F9F8F8" w:themeFill="accent6" w:themeFillTint="40"/>
      </w:tcPr>
    </w:tblStylePr>
  </w:style>
  <w:style w:type="table" w:styleId="ListTable5Dark">
    <w:name w:val="List Table 5 Dark"/>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FFFF00" w:themeColor="accent1"/>
        <w:left w:val="single" w:sz="32" w:space="0" w:color="FFFF00" w:themeColor="accent1"/>
        <w:bottom w:val="single" w:sz="32" w:space="0" w:color="FFFF00" w:themeColor="accent1"/>
        <w:right w:val="single" w:sz="32" w:space="0" w:color="FFFF00" w:themeColor="accent1"/>
      </w:tblBorders>
      <w:shd w:val="clear" w:color="FFFF00" w:themeColor="accent1" w:fill="FFFF00" w:themeFill="accent1"/>
    </w:tblPr>
    <w:tblStylePr w:type="firstRow">
      <w:rPr>
        <w:rFonts w:ascii="Arial" w:hAnsi="Arial"/>
        <w:b/>
        <w:color w:val="FFFFFF" w:themeColor="light1"/>
        <w:sz w:val="22"/>
      </w:rPr>
      <w:tblPr/>
      <w:tcPr>
        <w:tcBorders>
          <w:top w:val="single" w:sz="32" w:space="0" w:color="FFFF00" w:themeColor="accent1"/>
          <w:bottom w:val="single" w:sz="12" w:space="0" w:color="FFFFFF" w:themeColor="light1"/>
        </w:tcBorders>
        <w:shd w:val="clear" w:color="FFFF00" w:themeColor="accent1" w:fill="FFFF00"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00" w:themeColor="accent1"/>
          <w:right w:val="single" w:sz="4" w:space="0" w:color="FFFFFF" w:themeColor="light1"/>
        </w:tcBorders>
      </w:tcPr>
    </w:tblStylePr>
    <w:tblStylePr w:type="lastCol">
      <w:tblPr/>
      <w:tcPr>
        <w:tcBorders>
          <w:left w:val="single" w:sz="4" w:space="0" w:color="FFFFFF" w:themeColor="light1"/>
          <w:right w:val="single" w:sz="32" w:space="0" w:color="FFFF00" w:themeColor="accent1"/>
        </w:tcBorders>
      </w:tcPr>
    </w:tblStylePr>
    <w:tblStylePr w:type="band1Vert">
      <w:tblPr/>
      <w:tcPr>
        <w:tcBorders>
          <w:left w:val="single" w:sz="4" w:space="0" w:color="FFFFFF" w:themeColor="light1"/>
          <w:right w:val="single" w:sz="4" w:space="0" w:color="FFFFFF" w:themeColor="light1"/>
        </w:tcBorders>
        <w:shd w:val="clear" w:color="FFFF00" w:themeColor="accent1" w:fill="FFFF00"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00" w:themeColor="accent1" w:fill="FFFF00" w:themeFill="accent1"/>
      </w:tcPr>
    </w:tblStylePr>
    <w:tblStylePr w:type="band2Horz">
      <w:tblPr/>
      <w:tcPr>
        <w:tcBorders>
          <w:top w:val="single" w:sz="4" w:space="0" w:color="FFFFFF" w:themeColor="light1"/>
          <w:bottom w:val="single" w:sz="4" w:space="0" w:color="FFFFFF" w:themeColor="light1"/>
        </w:tcBorders>
        <w:shd w:val="clear" w:color="FFFF00" w:themeColor="accent1" w:fill="FFFF00" w:themeFill="accent1"/>
      </w:tcPr>
    </w:tblStylePr>
  </w:style>
  <w:style w:type="table" w:customStyle="1" w:styleId="ListTable5Dark-Accent21">
    <w:name w:val="List Table 5 Dark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E3E1E1" w:themeColor="accent2" w:themeTint="97"/>
        <w:left w:val="single" w:sz="32" w:space="0" w:color="E3E1E1" w:themeColor="accent2" w:themeTint="97"/>
        <w:bottom w:val="single" w:sz="32" w:space="0" w:color="E3E1E1" w:themeColor="accent2" w:themeTint="97"/>
        <w:right w:val="single" w:sz="32" w:space="0" w:color="E3E1E1" w:themeColor="accent2" w:themeTint="97"/>
      </w:tblBorders>
      <w:shd w:val="clear" w:color="E3E1E1" w:themeColor="accent2" w:themeTint="97" w:fill="E3E1E1" w:themeFill="accent2" w:themeFillTint="97"/>
    </w:tblPr>
    <w:tblStylePr w:type="firstRow">
      <w:rPr>
        <w:rFonts w:ascii="Arial" w:hAnsi="Arial"/>
        <w:b/>
        <w:color w:val="FFFFFF" w:themeColor="light1"/>
        <w:sz w:val="22"/>
      </w:rPr>
      <w:tblPr/>
      <w:tcPr>
        <w:tcBorders>
          <w:top w:val="single" w:sz="32" w:space="0" w:color="E3E1E1" w:themeColor="accent2" w:themeTint="97"/>
          <w:bottom w:val="single" w:sz="12" w:space="0" w:color="FFFFFF" w:themeColor="light1"/>
        </w:tcBorders>
        <w:shd w:val="clear" w:color="E3E1E1" w:themeColor="accent2" w:themeTint="97" w:fill="E3E1E1"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3E1E1" w:themeColor="accent2" w:themeTint="97"/>
          <w:right w:val="single" w:sz="4" w:space="0" w:color="FFFFFF" w:themeColor="light1"/>
        </w:tcBorders>
      </w:tcPr>
    </w:tblStylePr>
    <w:tblStylePr w:type="lastCol">
      <w:tblPr/>
      <w:tcPr>
        <w:tcBorders>
          <w:left w:val="single" w:sz="4" w:space="0" w:color="FFFFFF" w:themeColor="light1"/>
          <w:right w:val="single" w:sz="32" w:space="0" w:color="E3E1E1" w:themeColor="accent2" w:themeTint="97"/>
        </w:tcBorders>
      </w:tcPr>
    </w:tblStylePr>
    <w:tblStylePr w:type="band1Vert">
      <w:tblPr/>
      <w:tcPr>
        <w:tcBorders>
          <w:left w:val="single" w:sz="4" w:space="0" w:color="FFFFFF" w:themeColor="light1"/>
          <w:right w:val="single" w:sz="4" w:space="0" w:color="FFFFFF" w:themeColor="light1"/>
        </w:tcBorders>
        <w:shd w:val="clear" w:color="E3E1E1" w:themeColor="accent2" w:themeTint="97" w:fill="E3E1E1"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3E1E1" w:themeColor="accent2" w:themeTint="97" w:fill="E3E1E1" w:themeFill="accent2" w:themeFillTint="97"/>
      </w:tcPr>
    </w:tblStylePr>
    <w:tblStylePr w:type="band2Horz">
      <w:tblPr/>
      <w:tcPr>
        <w:tcBorders>
          <w:top w:val="single" w:sz="4" w:space="0" w:color="FFFFFF" w:themeColor="light1"/>
          <w:bottom w:val="single" w:sz="4" w:space="0" w:color="FFFFFF" w:themeColor="light1"/>
        </w:tcBorders>
        <w:shd w:val="clear" w:color="E3E1E1" w:themeColor="accent2" w:themeTint="97" w:fill="E3E1E1" w:themeFill="accent2" w:themeFillTint="97"/>
      </w:tcPr>
    </w:tblStylePr>
  </w:style>
  <w:style w:type="table" w:customStyle="1" w:styleId="ListTable5Dark-Accent31">
    <w:name w:val="List Table 5 Dark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ABA8A8" w:themeColor="accent4" w:themeTint="9A"/>
        <w:left w:val="single" w:sz="32" w:space="0" w:color="ABA8A8" w:themeColor="accent4" w:themeTint="9A"/>
        <w:bottom w:val="single" w:sz="32" w:space="0" w:color="ABA8A8" w:themeColor="accent4" w:themeTint="9A"/>
        <w:right w:val="single" w:sz="32" w:space="0" w:color="ABA8A8" w:themeColor="accent4" w:themeTint="9A"/>
      </w:tblBorders>
      <w:shd w:val="clear" w:color="ABA8A8" w:themeColor="accent4" w:themeTint="9A" w:fill="ABA8A8" w:themeFill="accent4" w:themeFillTint="9A"/>
    </w:tblPr>
    <w:tblStylePr w:type="firstRow">
      <w:rPr>
        <w:rFonts w:ascii="Arial" w:hAnsi="Arial"/>
        <w:b/>
        <w:color w:val="FFFFFF" w:themeColor="light1"/>
        <w:sz w:val="22"/>
      </w:rPr>
      <w:tblPr/>
      <w:tcPr>
        <w:tcBorders>
          <w:top w:val="single" w:sz="32" w:space="0" w:color="ABA8A8" w:themeColor="accent4" w:themeTint="9A"/>
          <w:bottom w:val="single" w:sz="12" w:space="0" w:color="FFFFFF" w:themeColor="light1"/>
        </w:tcBorders>
        <w:shd w:val="clear" w:color="ABA8A8" w:themeColor="accent4" w:themeTint="9A" w:fill="ABA8A8"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A8A8" w:themeColor="accent4" w:themeTint="9A"/>
          <w:right w:val="single" w:sz="4" w:space="0" w:color="FFFFFF" w:themeColor="light1"/>
        </w:tcBorders>
      </w:tcPr>
    </w:tblStylePr>
    <w:tblStylePr w:type="lastCol">
      <w:tblPr/>
      <w:tcPr>
        <w:tcBorders>
          <w:left w:val="single" w:sz="4" w:space="0" w:color="FFFFFF" w:themeColor="light1"/>
          <w:right w:val="single" w:sz="32" w:space="0" w:color="ABA8A8" w:themeColor="accent4" w:themeTint="9A"/>
        </w:tcBorders>
      </w:tcPr>
    </w:tblStylePr>
    <w:tblStylePr w:type="band1Vert">
      <w:tblPr/>
      <w:tcPr>
        <w:tcBorders>
          <w:left w:val="single" w:sz="4" w:space="0" w:color="FFFFFF" w:themeColor="light1"/>
          <w:right w:val="single" w:sz="4" w:space="0" w:color="FFFFFF" w:themeColor="light1"/>
        </w:tcBorders>
        <w:shd w:val="clear" w:color="ABA8A8" w:themeColor="accent4" w:themeTint="9A" w:fill="ABA8A8"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A8A8" w:themeColor="accent4" w:themeTint="9A" w:fill="ABA8A8" w:themeFill="accent4" w:themeFillTint="9A"/>
      </w:tcPr>
    </w:tblStylePr>
    <w:tblStylePr w:type="band2Horz">
      <w:tblPr/>
      <w:tcPr>
        <w:tcBorders>
          <w:top w:val="single" w:sz="4" w:space="0" w:color="FFFFFF" w:themeColor="light1"/>
          <w:bottom w:val="single" w:sz="4" w:space="0" w:color="FFFFFF" w:themeColor="light1"/>
        </w:tcBorders>
        <w:shd w:val="clear" w:color="ABA8A8" w:themeColor="accent4" w:themeTint="9A" w:fill="ABA8A8" w:themeFill="accent4" w:themeFillTint="9A"/>
      </w:tcPr>
    </w:tblStylePr>
  </w:style>
  <w:style w:type="table" w:customStyle="1" w:styleId="ListTable5Dark-Accent51">
    <w:name w:val="List Table 5 Dark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B1B1B1" w:themeColor="accent5" w:themeTint="9A"/>
        <w:left w:val="single" w:sz="32" w:space="0" w:color="B1B1B1" w:themeColor="accent5" w:themeTint="9A"/>
        <w:bottom w:val="single" w:sz="32" w:space="0" w:color="B1B1B1" w:themeColor="accent5" w:themeTint="9A"/>
        <w:right w:val="single" w:sz="32" w:space="0" w:color="B1B1B1" w:themeColor="accent5" w:themeTint="9A"/>
      </w:tblBorders>
      <w:shd w:val="clear" w:color="B1B1B1" w:themeColor="accent5" w:themeTint="9A" w:fill="B1B1B1" w:themeFill="accent5" w:themeFillTint="9A"/>
    </w:tblPr>
    <w:tblStylePr w:type="firstRow">
      <w:rPr>
        <w:rFonts w:ascii="Arial" w:hAnsi="Arial"/>
        <w:b/>
        <w:color w:val="FFFFFF" w:themeColor="light1"/>
        <w:sz w:val="22"/>
      </w:rPr>
      <w:tblPr/>
      <w:tcPr>
        <w:tcBorders>
          <w:top w:val="single" w:sz="32" w:space="0" w:color="B1B1B1" w:themeColor="accent5" w:themeTint="9A"/>
          <w:bottom w:val="single" w:sz="12" w:space="0" w:color="FFFFFF" w:themeColor="light1"/>
        </w:tcBorders>
        <w:shd w:val="clear" w:color="B1B1B1" w:themeColor="accent5" w:themeTint="9A" w:fill="B1B1B1"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1B1B1" w:themeColor="accent5" w:themeTint="9A"/>
          <w:right w:val="single" w:sz="4" w:space="0" w:color="FFFFFF" w:themeColor="light1"/>
        </w:tcBorders>
      </w:tcPr>
    </w:tblStylePr>
    <w:tblStylePr w:type="lastCol">
      <w:tblPr/>
      <w:tcPr>
        <w:tcBorders>
          <w:left w:val="single" w:sz="4" w:space="0" w:color="FFFFFF" w:themeColor="light1"/>
          <w:right w:val="single" w:sz="32" w:space="0" w:color="B1B1B1" w:themeColor="accent5" w:themeTint="9A"/>
        </w:tcBorders>
      </w:tcPr>
    </w:tblStylePr>
    <w:tblStylePr w:type="band1Vert">
      <w:tblPr/>
      <w:tcPr>
        <w:tcBorders>
          <w:left w:val="single" w:sz="4" w:space="0" w:color="FFFFFF" w:themeColor="light1"/>
          <w:right w:val="single" w:sz="4" w:space="0" w:color="FFFFFF" w:themeColor="light1"/>
        </w:tcBorders>
        <w:shd w:val="clear" w:color="B1B1B1" w:themeColor="accent5" w:themeTint="9A" w:fill="B1B1B1"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1B1B1" w:themeColor="accent5" w:themeTint="9A" w:fill="B1B1B1" w:themeFill="accent5" w:themeFillTint="9A"/>
      </w:tcPr>
    </w:tblStylePr>
    <w:tblStylePr w:type="band2Horz">
      <w:tblPr/>
      <w:tcPr>
        <w:tcBorders>
          <w:top w:val="single" w:sz="4" w:space="0" w:color="FFFFFF" w:themeColor="light1"/>
          <w:bottom w:val="single" w:sz="4" w:space="0" w:color="FFFFFF" w:themeColor="light1"/>
        </w:tcBorders>
        <w:shd w:val="clear" w:color="B1B1B1" w:themeColor="accent5" w:themeTint="9A" w:fill="B1B1B1" w:themeFill="accent5" w:themeFillTint="9A"/>
      </w:tcPr>
    </w:tblStylePr>
  </w:style>
  <w:style w:type="table" w:customStyle="1" w:styleId="ListTable5Dark-Accent61">
    <w:name w:val="List Table 5 Dark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F0F0F0" w:themeColor="accent6" w:themeTint="98"/>
        <w:left w:val="single" w:sz="32" w:space="0" w:color="F0F0F0" w:themeColor="accent6" w:themeTint="98"/>
        <w:bottom w:val="single" w:sz="32" w:space="0" w:color="F0F0F0" w:themeColor="accent6" w:themeTint="98"/>
        <w:right w:val="single" w:sz="32" w:space="0" w:color="F0F0F0" w:themeColor="accent6" w:themeTint="98"/>
      </w:tblBorders>
      <w:shd w:val="clear" w:color="F0F0F0" w:themeColor="accent6" w:themeTint="98" w:fill="F0F0F0" w:themeFill="accent6" w:themeFillTint="98"/>
    </w:tblPr>
    <w:tblStylePr w:type="firstRow">
      <w:rPr>
        <w:rFonts w:ascii="Arial" w:hAnsi="Arial"/>
        <w:b/>
        <w:color w:val="FFFFFF" w:themeColor="light1"/>
        <w:sz w:val="22"/>
      </w:rPr>
      <w:tblPr/>
      <w:tcPr>
        <w:tcBorders>
          <w:top w:val="single" w:sz="32" w:space="0" w:color="F0F0F0" w:themeColor="accent6" w:themeTint="98"/>
          <w:bottom w:val="single" w:sz="12" w:space="0" w:color="FFFFFF" w:themeColor="light1"/>
        </w:tcBorders>
        <w:shd w:val="clear" w:color="F0F0F0" w:themeColor="accent6" w:themeTint="98" w:fill="F0F0F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0F0F0" w:themeColor="accent6" w:themeTint="98"/>
          <w:right w:val="single" w:sz="4" w:space="0" w:color="FFFFFF" w:themeColor="light1"/>
        </w:tcBorders>
      </w:tcPr>
    </w:tblStylePr>
    <w:tblStylePr w:type="lastCol">
      <w:tblPr/>
      <w:tcPr>
        <w:tcBorders>
          <w:left w:val="single" w:sz="4" w:space="0" w:color="FFFFFF" w:themeColor="light1"/>
          <w:right w:val="single" w:sz="32" w:space="0" w:color="F0F0F0" w:themeColor="accent6" w:themeTint="98"/>
        </w:tcBorders>
      </w:tcPr>
    </w:tblStylePr>
    <w:tblStylePr w:type="band1Vert">
      <w:tblPr/>
      <w:tcPr>
        <w:tcBorders>
          <w:left w:val="single" w:sz="4" w:space="0" w:color="FFFFFF" w:themeColor="light1"/>
          <w:right w:val="single" w:sz="4" w:space="0" w:color="FFFFFF" w:themeColor="light1"/>
        </w:tcBorders>
        <w:shd w:val="clear" w:color="F0F0F0" w:themeColor="accent6" w:themeTint="98" w:fill="F0F0F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0F0F0" w:themeColor="accent6" w:themeTint="98" w:fill="F0F0F0" w:themeFill="accent6" w:themeFillTint="98"/>
      </w:tcPr>
    </w:tblStylePr>
    <w:tblStylePr w:type="band2Horz">
      <w:tblPr/>
      <w:tcPr>
        <w:tcBorders>
          <w:top w:val="single" w:sz="4" w:space="0" w:color="FFFFFF" w:themeColor="light1"/>
          <w:bottom w:val="single" w:sz="4" w:space="0" w:color="FFFFFF" w:themeColor="light1"/>
        </w:tcBorders>
        <w:shd w:val="clear" w:color="F0F0F0" w:themeColor="accent6" w:themeTint="98" w:fill="F0F0F0" w:themeFill="accent6" w:themeFillTint="98"/>
      </w:tcPr>
    </w:tblStylePr>
  </w:style>
  <w:style w:type="table" w:styleId="ListTable6Colorful">
    <w:name w:val="List Table 6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FFFF15" w:themeColor="accent1" w:themeTint="EA" w:fill="FFFF15" w:themeFill="accent1" w:themeFillTint="EA"/>
      </w:tcPr>
    </w:tblStylePr>
    <w:tblStylePr w:type="lastRow">
      <w:rPr>
        <w:rFonts w:ascii="Arial" w:hAnsi="Arial"/>
        <w:color w:val="F2F2F2"/>
        <w:sz w:val="22"/>
      </w:rPr>
      <w:tblPr/>
      <w:tcPr>
        <w:shd w:val="clear" w:color="FFFF15" w:themeColor="accent1" w:themeTint="EA" w:fill="FFFF15" w:themeFill="accent1" w:themeFillTint="EA"/>
      </w:tcPr>
    </w:tblStylePr>
    <w:tblStylePr w:type="firstCol">
      <w:rPr>
        <w:rFonts w:ascii="Arial" w:hAnsi="Arial"/>
        <w:color w:val="F2F2F2"/>
        <w:sz w:val="22"/>
      </w:rPr>
      <w:tblPr/>
      <w:tcPr>
        <w:shd w:val="clear" w:color="FFFF15" w:themeColor="accent1" w:themeTint="EA" w:fill="FFFF15" w:themeFill="accent1" w:themeFillTint="EA"/>
      </w:tcPr>
    </w:tblStylePr>
    <w:tblStylePr w:type="lastCol">
      <w:rPr>
        <w:rFonts w:ascii="Arial" w:hAnsi="Arial"/>
        <w:color w:val="F2F2F2"/>
        <w:sz w:val="22"/>
      </w:rPr>
      <w:tblPr/>
      <w:tcPr>
        <w:shd w:val="clear" w:color="FFFF15" w:themeColor="accent1" w:themeTint="EA" w:fill="FFFF1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AF" w:themeColor="accent1" w:themeTint="50" w:fill="FFFFA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AF" w:themeColor="accent1" w:themeTint="50" w:fill="FFFFAF" w:themeFill="accent1" w:themeFillTint="50"/>
      </w:tcPr>
    </w:tblStylePr>
  </w:style>
  <w:style w:type="table" w:customStyle="1" w:styleId="Lined-Accent2">
    <w:name w:val="Lined - Accent 2"/>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E3E1E1" w:themeColor="accent2" w:themeTint="97" w:fill="E3E1E1" w:themeFill="accent2" w:themeFillTint="97"/>
      </w:tcPr>
    </w:tblStylePr>
    <w:tblStylePr w:type="lastRow">
      <w:rPr>
        <w:rFonts w:ascii="Arial" w:hAnsi="Arial"/>
        <w:color w:val="F2F2F2"/>
        <w:sz w:val="22"/>
      </w:rPr>
      <w:tblPr/>
      <w:tcPr>
        <w:shd w:val="clear" w:color="E3E1E1" w:themeColor="accent2" w:themeTint="97" w:fill="E3E1E1" w:themeFill="accent2" w:themeFillTint="97"/>
      </w:tcPr>
    </w:tblStylePr>
    <w:tblStylePr w:type="firstCol">
      <w:rPr>
        <w:rFonts w:ascii="Arial" w:hAnsi="Arial"/>
        <w:color w:val="F2F2F2"/>
        <w:sz w:val="22"/>
      </w:rPr>
      <w:tblPr/>
      <w:tcPr>
        <w:shd w:val="clear" w:color="E3E1E1" w:themeColor="accent2" w:themeTint="97" w:fill="E3E1E1" w:themeFill="accent2" w:themeFillTint="97"/>
      </w:tcPr>
    </w:tblStylePr>
    <w:tblStylePr w:type="lastCol">
      <w:rPr>
        <w:rFonts w:ascii="Arial" w:hAnsi="Arial"/>
        <w:color w:val="F2F2F2"/>
        <w:sz w:val="22"/>
      </w:rPr>
      <w:tblPr/>
      <w:tcPr>
        <w:shd w:val="clear" w:color="E3E1E1" w:themeColor="accent2" w:themeTint="97" w:fill="E3E1E1"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5F5F5" w:themeColor="accent2" w:themeTint="32" w:fill="F5F5F5" w:themeFill="accent2" w:themeFillTint="32"/>
      </w:tcPr>
    </w:tblStylePr>
  </w:style>
  <w:style w:type="table" w:customStyle="1" w:styleId="Lined-Accent3">
    <w:name w:val="Lined - Accent 3"/>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ABA8A8" w:themeColor="accent4" w:themeTint="9A" w:fill="ABA8A8" w:themeFill="accent4" w:themeFillTint="9A"/>
      </w:tcPr>
    </w:tblStylePr>
    <w:tblStylePr w:type="lastRow">
      <w:rPr>
        <w:rFonts w:ascii="Arial" w:hAnsi="Arial"/>
        <w:color w:val="F2F2F2"/>
        <w:sz w:val="22"/>
      </w:rPr>
      <w:tblPr/>
      <w:tcPr>
        <w:shd w:val="clear" w:color="ABA8A8" w:themeColor="accent4" w:themeTint="9A" w:fill="ABA8A8" w:themeFill="accent4" w:themeFillTint="9A"/>
      </w:tcPr>
    </w:tblStylePr>
    <w:tblStylePr w:type="firstCol">
      <w:rPr>
        <w:rFonts w:ascii="Arial" w:hAnsi="Arial"/>
        <w:color w:val="F2F2F2"/>
        <w:sz w:val="22"/>
      </w:rPr>
      <w:tblPr/>
      <w:tcPr>
        <w:shd w:val="clear" w:color="ABA8A8" w:themeColor="accent4" w:themeTint="9A" w:fill="ABA8A8" w:themeFill="accent4" w:themeFillTint="9A"/>
      </w:tcPr>
    </w:tblStylePr>
    <w:tblStylePr w:type="lastCol">
      <w:rPr>
        <w:rFonts w:ascii="Arial" w:hAnsi="Arial"/>
        <w:color w:val="F2F2F2"/>
        <w:sz w:val="22"/>
      </w:rPr>
      <w:tblPr/>
      <w:tcPr>
        <w:shd w:val="clear" w:color="ABA8A8" w:themeColor="accent4" w:themeTint="9A" w:fill="ABA8A8"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3E1E1" w:themeColor="accent4" w:themeTint="34" w:fill="E3E1E1" w:themeFill="accent4" w:themeFillTint="34"/>
      </w:tcPr>
    </w:tblStylePr>
  </w:style>
  <w:style w:type="table" w:customStyle="1" w:styleId="Lined-Accent5">
    <w:name w:val="Lined - Accent 5"/>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7F7F7F" w:themeColor="accent5" w:fill="7F7F7F" w:themeFill="accent5"/>
      </w:tcPr>
    </w:tblStylePr>
    <w:tblStylePr w:type="lastRow">
      <w:rPr>
        <w:rFonts w:ascii="Arial" w:hAnsi="Arial"/>
        <w:color w:val="F2F2F2"/>
        <w:sz w:val="22"/>
      </w:rPr>
      <w:tblPr/>
      <w:tcPr>
        <w:shd w:val="clear" w:color="7F7F7F" w:themeColor="accent5" w:fill="7F7F7F" w:themeFill="accent5"/>
      </w:tcPr>
    </w:tblStylePr>
    <w:tblStylePr w:type="firstCol">
      <w:rPr>
        <w:rFonts w:ascii="Arial" w:hAnsi="Arial"/>
        <w:color w:val="F2F2F2"/>
        <w:sz w:val="22"/>
      </w:rPr>
      <w:tblPr/>
      <w:tcPr>
        <w:shd w:val="clear" w:color="7F7F7F" w:themeColor="accent5" w:fill="7F7F7F" w:themeFill="accent5"/>
      </w:tcPr>
    </w:tblStylePr>
    <w:tblStylePr w:type="lastCol">
      <w:rPr>
        <w:rFonts w:ascii="Arial" w:hAnsi="Arial"/>
        <w:color w:val="F2F2F2"/>
        <w:sz w:val="22"/>
      </w:rPr>
      <w:tblPr/>
      <w:tcPr>
        <w:shd w:val="clear" w:color="7F7F7F" w:themeColor="accent5" w:fill="7F7F7F"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4E4E4" w:themeColor="accent5" w:themeTint="34" w:fill="E4E4E4" w:themeFill="accent5" w:themeFillTint="34"/>
      </w:tcPr>
    </w:tblStylePr>
  </w:style>
  <w:style w:type="table" w:customStyle="1" w:styleId="Lined-Accent6">
    <w:name w:val="Lined - Accent 6"/>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E7E6E6" w:themeColor="accent6" w:fill="E7E6E6" w:themeFill="accent6"/>
      </w:tcPr>
    </w:tblStylePr>
    <w:tblStylePr w:type="lastRow">
      <w:rPr>
        <w:rFonts w:ascii="Arial" w:hAnsi="Arial"/>
        <w:color w:val="F2F2F2"/>
        <w:sz w:val="22"/>
      </w:rPr>
      <w:tblPr/>
      <w:tcPr>
        <w:shd w:val="clear" w:color="E7E6E6" w:themeColor="accent6" w:fill="E7E6E6" w:themeFill="accent6"/>
      </w:tcPr>
    </w:tblStylePr>
    <w:tblStylePr w:type="firstCol">
      <w:rPr>
        <w:rFonts w:ascii="Arial" w:hAnsi="Arial"/>
        <w:color w:val="F2F2F2"/>
        <w:sz w:val="22"/>
      </w:rPr>
      <w:tblPr/>
      <w:tcPr>
        <w:shd w:val="clear" w:color="E7E6E6" w:themeColor="accent6" w:fill="E7E6E6" w:themeFill="accent6"/>
      </w:tcPr>
    </w:tblStylePr>
    <w:tblStylePr w:type="lastCol">
      <w:rPr>
        <w:rFonts w:ascii="Arial" w:hAnsi="Arial"/>
        <w:color w:val="F2F2F2"/>
        <w:sz w:val="22"/>
      </w:rPr>
      <w:tblPr/>
      <w:tcPr>
        <w:shd w:val="clear" w:color="E7E6E6" w:themeColor="accent6" w:fill="E7E6E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AF9F9" w:themeColor="accent6" w:themeTint="34" w:fill="FAF9F9" w:themeFill="accent6" w:themeFillTint="34"/>
      </w:tcPr>
    </w:tblStylePr>
  </w:style>
  <w:style w:type="table" w:customStyle="1" w:styleId="BorderedLined-Accent">
    <w:name w:val="Bordered &amp; Lined - Accent"/>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959500" w:themeColor="accent1" w:themeShade="95"/>
        <w:left w:val="single" w:sz="4" w:space="0" w:color="959500" w:themeColor="accent1" w:themeShade="95"/>
        <w:bottom w:val="single" w:sz="4" w:space="0" w:color="959500" w:themeColor="accent1" w:themeShade="95"/>
        <w:right w:val="single" w:sz="4" w:space="0" w:color="959500" w:themeColor="accent1" w:themeShade="95"/>
        <w:insideH w:val="single" w:sz="4" w:space="0" w:color="959500" w:themeColor="accent1" w:themeShade="95"/>
        <w:insideV w:val="single" w:sz="4" w:space="0" w:color="959500" w:themeColor="accent1" w:themeShade="95"/>
      </w:tblBorders>
    </w:tblPr>
    <w:tblStylePr w:type="firstRow">
      <w:rPr>
        <w:rFonts w:ascii="Arial" w:hAnsi="Arial"/>
        <w:color w:val="F2F2F2"/>
        <w:sz w:val="22"/>
      </w:rPr>
      <w:tblPr/>
      <w:tcPr>
        <w:shd w:val="clear" w:color="FFFF15" w:themeColor="accent1" w:themeTint="EA" w:fill="FFFF15" w:themeFill="accent1" w:themeFillTint="EA"/>
      </w:tcPr>
    </w:tblStylePr>
    <w:tblStylePr w:type="lastRow">
      <w:rPr>
        <w:rFonts w:ascii="Arial" w:hAnsi="Arial"/>
        <w:color w:val="F2F2F2"/>
        <w:sz w:val="22"/>
      </w:rPr>
      <w:tblPr/>
      <w:tcPr>
        <w:shd w:val="clear" w:color="FFFF15" w:themeColor="accent1" w:themeTint="EA" w:fill="FFFF15" w:themeFill="accent1" w:themeFillTint="EA"/>
      </w:tcPr>
    </w:tblStylePr>
    <w:tblStylePr w:type="firstCol">
      <w:rPr>
        <w:rFonts w:ascii="Arial" w:hAnsi="Arial"/>
        <w:color w:val="F2F2F2"/>
        <w:sz w:val="22"/>
      </w:rPr>
      <w:tblPr/>
      <w:tcPr>
        <w:shd w:val="clear" w:color="FFFF15" w:themeColor="accent1" w:themeTint="EA" w:fill="FFFF15" w:themeFill="accent1" w:themeFillTint="EA"/>
      </w:tcPr>
    </w:tblStylePr>
    <w:tblStylePr w:type="lastCol">
      <w:rPr>
        <w:rFonts w:ascii="Arial" w:hAnsi="Arial"/>
        <w:color w:val="F2F2F2"/>
        <w:sz w:val="22"/>
      </w:rPr>
      <w:tblPr/>
      <w:tcPr>
        <w:shd w:val="clear" w:color="FFFF15" w:themeColor="accent1" w:themeTint="EA" w:fill="FFFF1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AF" w:themeColor="accent1" w:themeTint="50" w:fill="FFFFA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AF" w:themeColor="accent1" w:themeTint="50" w:fill="FFFFAF" w:themeFill="accent1" w:themeFillTint="50"/>
      </w:tcPr>
    </w:tblStylePr>
  </w:style>
  <w:style w:type="table" w:customStyle="1" w:styleId="BorderedLined-Accent2">
    <w:name w:val="Bordered &amp; Lined - Accent 2"/>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7B7676" w:themeColor="accent2" w:themeShade="95"/>
        <w:left w:val="single" w:sz="4" w:space="0" w:color="7B7676" w:themeColor="accent2" w:themeShade="95"/>
        <w:bottom w:val="single" w:sz="4" w:space="0" w:color="7B7676" w:themeColor="accent2" w:themeShade="95"/>
        <w:right w:val="single" w:sz="4" w:space="0" w:color="7B7676" w:themeColor="accent2" w:themeShade="95"/>
        <w:insideH w:val="single" w:sz="4" w:space="0" w:color="7B7676" w:themeColor="accent2" w:themeShade="95"/>
        <w:insideV w:val="single" w:sz="4" w:space="0" w:color="7B7676" w:themeColor="accent2" w:themeShade="95"/>
      </w:tblBorders>
    </w:tblPr>
    <w:tblStylePr w:type="firstRow">
      <w:rPr>
        <w:rFonts w:ascii="Arial" w:hAnsi="Arial"/>
        <w:color w:val="F2F2F2"/>
        <w:sz w:val="22"/>
      </w:rPr>
      <w:tblPr/>
      <w:tcPr>
        <w:shd w:val="clear" w:color="E3E1E1" w:themeColor="accent2" w:themeTint="97" w:fill="E3E1E1" w:themeFill="accent2" w:themeFillTint="97"/>
      </w:tcPr>
    </w:tblStylePr>
    <w:tblStylePr w:type="lastRow">
      <w:rPr>
        <w:rFonts w:ascii="Arial" w:hAnsi="Arial"/>
        <w:color w:val="F2F2F2"/>
        <w:sz w:val="22"/>
      </w:rPr>
      <w:tblPr/>
      <w:tcPr>
        <w:shd w:val="clear" w:color="E3E1E1" w:themeColor="accent2" w:themeTint="97" w:fill="E3E1E1" w:themeFill="accent2" w:themeFillTint="97"/>
      </w:tcPr>
    </w:tblStylePr>
    <w:tblStylePr w:type="firstCol">
      <w:rPr>
        <w:rFonts w:ascii="Arial" w:hAnsi="Arial"/>
        <w:color w:val="F2F2F2"/>
        <w:sz w:val="22"/>
      </w:rPr>
      <w:tblPr/>
      <w:tcPr>
        <w:shd w:val="clear" w:color="E3E1E1" w:themeColor="accent2" w:themeTint="97" w:fill="E3E1E1" w:themeFill="accent2" w:themeFillTint="97"/>
      </w:tcPr>
    </w:tblStylePr>
    <w:tblStylePr w:type="lastCol">
      <w:rPr>
        <w:rFonts w:ascii="Arial" w:hAnsi="Arial"/>
        <w:color w:val="F2F2F2"/>
        <w:sz w:val="22"/>
      </w:rPr>
      <w:tblPr/>
      <w:tcPr>
        <w:shd w:val="clear" w:color="E3E1E1" w:themeColor="accent2" w:themeTint="97" w:fill="E3E1E1"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5F5F5" w:themeColor="accent2" w:themeTint="32" w:fill="F5F5F5" w:themeFill="accent2" w:themeFillTint="32"/>
      </w:tcPr>
    </w:tblStylePr>
  </w:style>
  <w:style w:type="table" w:customStyle="1" w:styleId="BorderedLined-Accent3">
    <w:name w:val="Bordered &amp; Lined - Accent 3"/>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444141" w:themeColor="accent4" w:themeShade="95"/>
        <w:left w:val="single" w:sz="4" w:space="0" w:color="444141" w:themeColor="accent4" w:themeShade="95"/>
        <w:bottom w:val="single" w:sz="4" w:space="0" w:color="444141" w:themeColor="accent4" w:themeShade="95"/>
        <w:right w:val="single" w:sz="4" w:space="0" w:color="444141" w:themeColor="accent4" w:themeShade="95"/>
        <w:insideH w:val="single" w:sz="4" w:space="0" w:color="444141" w:themeColor="accent4" w:themeShade="95"/>
        <w:insideV w:val="single" w:sz="4" w:space="0" w:color="444141" w:themeColor="accent4" w:themeShade="95"/>
      </w:tblBorders>
    </w:tblPr>
    <w:tblStylePr w:type="firstRow">
      <w:rPr>
        <w:rFonts w:ascii="Arial" w:hAnsi="Arial"/>
        <w:color w:val="F2F2F2"/>
        <w:sz w:val="22"/>
      </w:rPr>
      <w:tblPr/>
      <w:tcPr>
        <w:shd w:val="clear" w:color="ABA8A8" w:themeColor="accent4" w:themeTint="9A" w:fill="ABA8A8" w:themeFill="accent4" w:themeFillTint="9A"/>
      </w:tcPr>
    </w:tblStylePr>
    <w:tblStylePr w:type="lastRow">
      <w:rPr>
        <w:rFonts w:ascii="Arial" w:hAnsi="Arial"/>
        <w:color w:val="F2F2F2"/>
        <w:sz w:val="22"/>
      </w:rPr>
      <w:tblPr/>
      <w:tcPr>
        <w:shd w:val="clear" w:color="ABA8A8" w:themeColor="accent4" w:themeTint="9A" w:fill="ABA8A8" w:themeFill="accent4" w:themeFillTint="9A"/>
      </w:tcPr>
    </w:tblStylePr>
    <w:tblStylePr w:type="firstCol">
      <w:rPr>
        <w:rFonts w:ascii="Arial" w:hAnsi="Arial"/>
        <w:color w:val="F2F2F2"/>
        <w:sz w:val="22"/>
      </w:rPr>
      <w:tblPr/>
      <w:tcPr>
        <w:shd w:val="clear" w:color="ABA8A8" w:themeColor="accent4" w:themeTint="9A" w:fill="ABA8A8" w:themeFill="accent4" w:themeFillTint="9A"/>
      </w:tcPr>
    </w:tblStylePr>
    <w:tblStylePr w:type="lastCol">
      <w:rPr>
        <w:rFonts w:ascii="Arial" w:hAnsi="Arial"/>
        <w:color w:val="F2F2F2"/>
        <w:sz w:val="22"/>
      </w:rPr>
      <w:tblPr/>
      <w:tcPr>
        <w:shd w:val="clear" w:color="ABA8A8" w:themeColor="accent4" w:themeTint="9A" w:fill="ABA8A8"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3E1E1" w:themeColor="accent4" w:themeTint="34" w:fill="E3E1E1" w:themeFill="accent4" w:themeFillTint="34"/>
      </w:tcPr>
    </w:tblStylePr>
  </w:style>
  <w:style w:type="table" w:customStyle="1" w:styleId="BorderedLined-Accent5">
    <w:name w:val="Bordered &amp; Lined - Accent 5"/>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4A4A4A" w:themeColor="accent5" w:themeShade="95"/>
        <w:left w:val="single" w:sz="4" w:space="0" w:color="4A4A4A" w:themeColor="accent5" w:themeShade="95"/>
        <w:bottom w:val="single" w:sz="4" w:space="0" w:color="4A4A4A" w:themeColor="accent5" w:themeShade="95"/>
        <w:right w:val="single" w:sz="4" w:space="0" w:color="4A4A4A" w:themeColor="accent5" w:themeShade="95"/>
        <w:insideH w:val="single" w:sz="4" w:space="0" w:color="4A4A4A" w:themeColor="accent5" w:themeShade="95"/>
        <w:insideV w:val="single" w:sz="4" w:space="0" w:color="4A4A4A" w:themeColor="accent5" w:themeShade="95"/>
      </w:tblBorders>
    </w:tblPr>
    <w:tblStylePr w:type="firstRow">
      <w:rPr>
        <w:rFonts w:ascii="Arial" w:hAnsi="Arial"/>
        <w:color w:val="F2F2F2"/>
        <w:sz w:val="22"/>
      </w:rPr>
      <w:tblPr/>
      <w:tcPr>
        <w:shd w:val="clear" w:color="7F7F7F" w:themeColor="accent5" w:fill="7F7F7F" w:themeFill="accent5"/>
      </w:tcPr>
    </w:tblStylePr>
    <w:tblStylePr w:type="lastRow">
      <w:rPr>
        <w:rFonts w:ascii="Arial" w:hAnsi="Arial"/>
        <w:color w:val="F2F2F2"/>
        <w:sz w:val="22"/>
      </w:rPr>
      <w:tblPr/>
      <w:tcPr>
        <w:shd w:val="clear" w:color="7F7F7F" w:themeColor="accent5" w:fill="7F7F7F" w:themeFill="accent5"/>
      </w:tcPr>
    </w:tblStylePr>
    <w:tblStylePr w:type="firstCol">
      <w:rPr>
        <w:rFonts w:ascii="Arial" w:hAnsi="Arial"/>
        <w:color w:val="F2F2F2"/>
        <w:sz w:val="22"/>
      </w:rPr>
      <w:tblPr/>
      <w:tcPr>
        <w:shd w:val="clear" w:color="7F7F7F" w:themeColor="accent5" w:fill="7F7F7F" w:themeFill="accent5"/>
      </w:tcPr>
    </w:tblStylePr>
    <w:tblStylePr w:type="lastCol">
      <w:rPr>
        <w:rFonts w:ascii="Arial" w:hAnsi="Arial"/>
        <w:color w:val="F2F2F2"/>
        <w:sz w:val="22"/>
      </w:rPr>
      <w:tblPr/>
      <w:tcPr>
        <w:shd w:val="clear" w:color="7F7F7F" w:themeColor="accent5" w:fill="7F7F7F"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4E4E4" w:themeColor="accent5" w:themeTint="34" w:fill="E4E4E4" w:themeFill="accent5" w:themeFillTint="34"/>
      </w:tcPr>
    </w:tblStylePr>
  </w:style>
  <w:style w:type="table" w:customStyle="1" w:styleId="BorderedLined-Accent6">
    <w:name w:val="Bordered &amp; Lined - Accent 6"/>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898484" w:themeColor="accent6" w:themeShade="95"/>
        <w:left w:val="single" w:sz="4" w:space="0" w:color="898484" w:themeColor="accent6" w:themeShade="95"/>
        <w:bottom w:val="single" w:sz="4" w:space="0" w:color="898484" w:themeColor="accent6" w:themeShade="95"/>
        <w:right w:val="single" w:sz="4" w:space="0" w:color="898484" w:themeColor="accent6" w:themeShade="95"/>
        <w:insideH w:val="single" w:sz="4" w:space="0" w:color="898484" w:themeColor="accent6" w:themeShade="95"/>
        <w:insideV w:val="single" w:sz="4" w:space="0" w:color="898484" w:themeColor="accent6" w:themeShade="95"/>
      </w:tblBorders>
    </w:tblPr>
    <w:tblStylePr w:type="firstRow">
      <w:rPr>
        <w:rFonts w:ascii="Arial" w:hAnsi="Arial"/>
        <w:color w:val="F2F2F2"/>
        <w:sz w:val="22"/>
      </w:rPr>
      <w:tblPr/>
      <w:tcPr>
        <w:shd w:val="clear" w:color="E7E6E6" w:themeColor="accent6" w:fill="E7E6E6" w:themeFill="accent6"/>
      </w:tcPr>
    </w:tblStylePr>
    <w:tblStylePr w:type="lastRow">
      <w:rPr>
        <w:rFonts w:ascii="Arial" w:hAnsi="Arial"/>
        <w:color w:val="F2F2F2"/>
        <w:sz w:val="22"/>
      </w:rPr>
      <w:tblPr/>
      <w:tcPr>
        <w:shd w:val="clear" w:color="E7E6E6" w:themeColor="accent6" w:fill="E7E6E6" w:themeFill="accent6"/>
      </w:tcPr>
    </w:tblStylePr>
    <w:tblStylePr w:type="firstCol">
      <w:rPr>
        <w:rFonts w:ascii="Arial" w:hAnsi="Arial"/>
        <w:color w:val="F2F2F2"/>
        <w:sz w:val="22"/>
      </w:rPr>
      <w:tblPr/>
      <w:tcPr>
        <w:shd w:val="clear" w:color="E7E6E6" w:themeColor="accent6" w:fill="E7E6E6" w:themeFill="accent6"/>
      </w:tcPr>
    </w:tblStylePr>
    <w:tblStylePr w:type="lastCol">
      <w:rPr>
        <w:rFonts w:ascii="Arial" w:hAnsi="Arial"/>
        <w:color w:val="F2F2F2"/>
        <w:sz w:val="22"/>
      </w:rPr>
      <w:tblPr/>
      <w:tcPr>
        <w:shd w:val="clear" w:color="E7E6E6" w:themeColor="accent6" w:fill="E7E6E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AF9F9" w:themeColor="accent6" w:themeTint="34" w:fill="FAF9F9" w:themeFill="accent6" w:themeFillTint="34"/>
      </w:tcPr>
    </w:tblStylePr>
  </w:style>
  <w:style w:type="table" w:customStyle="1" w:styleId="Bordered">
    <w:name w:val="Bordered"/>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insideH w:val="single" w:sz="4" w:space="0" w:color="FFFF98" w:themeColor="accent1" w:themeTint="67"/>
        <w:insideV w:val="single" w:sz="4" w:space="0" w:color="FFFF98" w:themeColor="accent1" w:themeTint="67"/>
      </w:tblBorders>
    </w:tblPr>
    <w:tblStylePr w:type="firstRow">
      <w:rPr>
        <w:rFonts w:ascii="Arial" w:hAnsi="Arial"/>
        <w:color w:val="404040"/>
        <w:sz w:val="22"/>
      </w:rPr>
      <w:tblPr/>
      <w:tcPr>
        <w:tcBorders>
          <w:bottom w:val="single" w:sz="12" w:space="0" w:color="FFFF00" w:themeColor="accent1"/>
        </w:tcBorders>
      </w:tcPr>
    </w:tblStylePr>
    <w:tblStylePr w:type="lastRow">
      <w:rPr>
        <w:rFonts w:ascii="Arial" w:hAnsi="Arial"/>
        <w:color w:val="404040"/>
        <w:sz w:val="22"/>
      </w:rPr>
      <w:tblPr/>
      <w:tcPr>
        <w:tcBorders>
          <w:top w:val="single" w:sz="12" w:space="0" w:color="FFFF00"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00" w:themeColor="accent1"/>
        </w:tcBorders>
      </w:tcPr>
    </w:tblStylePr>
    <w:tblStylePr w:type="band1Horz">
      <w:rPr>
        <w:rFonts w:ascii="Arial" w:hAnsi="Arial"/>
        <w:color w:val="404040"/>
        <w:sz w:val="22"/>
      </w:rPr>
      <w:tblPr/>
      <w:tcPr>
        <w:tc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tcBorders>
      </w:tcPr>
    </w:tblStylePr>
  </w:style>
  <w:style w:type="table" w:customStyle="1" w:styleId="Bordered-Accent2">
    <w:name w:val="Bordered - Accent 2"/>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insideH w:val="single" w:sz="4" w:space="0" w:color="ECEBEB" w:themeColor="accent2" w:themeTint="67"/>
        <w:insideV w:val="single" w:sz="4" w:space="0" w:color="ECEBEB" w:themeColor="accent2" w:themeTint="67"/>
      </w:tblBorders>
    </w:tblPr>
    <w:tblStylePr w:type="firstRow">
      <w:rPr>
        <w:rFonts w:ascii="Arial" w:hAnsi="Arial"/>
        <w:color w:val="404040"/>
        <w:sz w:val="22"/>
      </w:rPr>
      <w:tblPr/>
      <w:tcPr>
        <w:tcBorders>
          <w:bottom w:val="single" w:sz="12" w:space="0" w:color="E3E1E1" w:themeColor="accent2" w:themeTint="97"/>
        </w:tcBorders>
      </w:tcPr>
    </w:tblStylePr>
    <w:tblStylePr w:type="lastRow">
      <w:rPr>
        <w:rFonts w:ascii="Arial" w:hAnsi="Arial"/>
        <w:color w:val="404040"/>
        <w:sz w:val="22"/>
      </w:rPr>
      <w:tblPr/>
      <w:tcPr>
        <w:tcBorders>
          <w:top w:val="single" w:sz="12" w:space="0" w:color="E3E1E1"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3E1E1" w:themeColor="accent2" w:themeTint="97"/>
        </w:tcBorders>
      </w:tcPr>
    </w:tblStylePr>
    <w:tblStylePr w:type="band1Horz">
      <w:rPr>
        <w:rFonts w:ascii="Arial" w:hAnsi="Arial"/>
        <w:color w:val="404040"/>
        <w:sz w:val="22"/>
      </w:rPr>
      <w:tblPr/>
      <w:tcPr>
        <w:tc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tcBorders>
      </w:tcPr>
    </w:tblStylePr>
  </w:style>
  <w:style w:type="table" w:customStyle="1" w:styleId="Bordered-Accent3">
    <w:name w:val="Bordered - Accent 3"/>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insideH w:val="single" w:sz="4" w:space="0" w:color="C7C4C4" w:themeColor="accent4" w:themeTint="67"/>
        <w:insideV w:val="single" w:sz="4" w:space="0" w:color="C7C4C4" w:themeColor="accent4" w:themeTint="67"/>
      </w:tblBorders>
    </w:tblPr>
    <w:tblStylePr w:type="firstRow">
      <w:rPr>
        <w:rFonts w:ascii="Arial" w:hAnsi="Arial"/>
        <w:color w:val="404040"/>
        <w:sz w:val="22"/>
      </w:rPr>
      <w:tblPr/>
      <w:tcPr>
        <w:tcBorders>
          <w:bottom w:val="single" w:sz="12" w:space="0" w:color="ABA8A8" w:themeColor="accent4" w:themeTint="9A"/>
        </w:tcBorders>
      </w:tcPr>
    </w:tblStylePr>
    <w:tblStylePr w:type="lastRow">
      <w:rPr>
        <w:rFonts w:ascii="Arial" w:hAnsi="Arial"/>
        <w:color w:val="404040"/>
        <w:sz w:val="22"/>
      </w:rPr>
      <w:tblPr/>
      <w:tcPr>
        <w:tcBorders>
          <w:top w:val="single" w:sz="12" w:space="0" w:color="ABA8A8"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A8A8" w:themeColor="accent4" w:themeTint="9A"/>
        </w:tcBorders>
      </w:tcPr>
    </w:tblStylePr>
    <w:tblStylePr w:type="band1Horz">
      <w:rPr>
        <w:rFonts w:ascii="Arial" w:hAnsi="Arial"/>
        <w:color w:val="404040"/>
        <w:sz w:val="22"/>
      </w:rPr>
      <w:tblPr/>
      <w:tcPr>
        <w:tc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tcBorders>
      </w:tcPr>
    </w:tblStylePr>
  </w:style>
  <w:style w:type="table" w:customStyle="1" w:styleId="Bordered-Accent5">
    <w:name w:val="Bordered - Accent 5"/>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insideH w:val="single" w:sz="4" w:space="0" w:color="CBCBCB" w:themeColor="accent5" w:themeTint="67"/>
        <w:insideV w:val="single" w:sz="4" w:space="0" w:color="CBCBCB" w:themeColor="accent5" w:themeTint="67"/>
      </w:tblBorders>
    </w:tblPr>
    <w:tblStylePr w:type="firstRow">
      <w:rPr>
        <w:rFonts w:ascii="Arial" w:hAnsi="Arial"/>
        <w:color w:val="404040"/>
        <w:sz w:val="22"/>
      </w:rPr>
      <w:tblPr/>
      <w:tcPr>
        <w:tcBorders>
          <w:bottom w:val="single" w:sz="12" w:space="0" w:color="B1B1B1" w:themeColor="accent5" w:themeTint="9A"/>
        </w:tcBorders>
      </w:tcPr>
    </w:tblStylePr>
    <w:tblStylePr w:type="lastRow">
      <w:rPr>
        <w:rFonts w:ascii="Arial" w:hAnsi="Arial"/>
        <w:color w:val="404040"/>
        <w:sz w:val="22"/>
      </w:rPr>
      <w:tblPr/>
      <w:tcPr>
        <w:tcBorders>
          <w:top w:val="single" w:sz="12" w:space="0" w:color="B1B1B1"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1B1B1" w:themeColor="accent5" w:themeTint="9A"/>
        </w:tcBorders>
      </w:tcPr>
    </w:tblStylePr>
    <w:tblStylePr w:type="band1Horz">
      <w:rPr>
        <w:rFonts w:ascii="Arial" w:hAnsi="Arial"/>
        <w:color w:val="404040"/>
        <w:sz w:val="22"/>
      </w:rPr>
      <w:tblPr/>
      <w:tcPr>
        <w:tc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tcBorders>
      </w:tcPr>
    </w:tblStylePr>
  </w:style>
  <w:style w:type="table" w:customStyle="1" w:styleId="Bordered-Accent6">
    <w:name w:val="Bordered - Accent 6"/>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insideH w:val="single" w:sz="4" w:space="0" w:color="F5F4F4" w:themeColor="accent6" w:themeTint="67"/>
        <w:insideV w:val="single" w:sz="4" w:space="0" w:color="F5F4F4" w:themeColor="accent6" w:themeTint="67"/>
      </w:tblBorders>
    </w:tblPr>
    <w:tblStylePr w:type="firstRow">
      <w:rPr>
        <w:rFonts w:ascii="Arial" w:hAnsi="Arial"/>
        <w:color w:val="404040"/>
        <w:sz w:val="22"/>
      </w:rPr>
      <w:tblPr/>
      <w:tcPr>
        <w:tcBorders>
          <w:bottom w:val="single" w:sz="12" w:space="0" w:color="F0F0F0" w:themeColor="accent6" w:themeTint="98"/>
        </w:tcBorders>
      </w:tcPr>
    </w:tblStylePr>
    <w:tblStylePr w:type="lastRow">
      <w:rPr>
        <w:rFonts w:ascii="Arial" w:hAnsi="Arial"/>
        <w:color w:val="404040"/>
        <w:sz w:val="22"/>
      </w:rPr>
      <w:tblPr/>
      <w:tcPr>
        <w:tcBorders>
          <w:top w:val="single" w:sz="12" w:space="0" w:color="F0F0F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0F0F0" w:themeColor="accent6" w:themeTint="98"/>
        </w:tcBorders>
      </w:tcPr>
    </w:tblStylePr>
    <w:tblStylePr w:type="band1Horz">
      <w:rPr>
        <w:rFonts w:ascii="Arial" w:hAnsi="Arial"/>
        <w:color w:val="404040"/>
        <w:sz w:val="22"/>
      </w:rPr>
      <w:tblPr/>
      <w:tcPr>
        <w:tc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tcBorders>
      </w:tcPr>
    </w:tblStylePr>
  </w:style>
  <w:style w:type="paragraph" w:styleId="EndnoteText">
    <w:name w:val="endnote text"/>
    <w:basedOn w:val="Normal"/>
    <w:link w:val="EndnoteTextChar"/>
    <w:uiPriority w:val="99"/>
    <w:semiHidden/>
    <w:unhideWhenUsed/>
    <w:rsid w:val="00917F5E"/>
    <w:rPr>
      <w:rFonts w:asciiTheme="minorHAnsi" w:hAnsiTheme="minorHAnsi" w:cstheme="minorBidi"/>
      <w:color w:val="auto"/>
      <w:szCs w:val="22"/>
      <w:lang w:val="de-DE"/>
    </w:rPr>
  </w:style>
  <w:style w:type="character" w:customStyle="1" w:styleId="EndnoteTextChar">
    <w:name w:val="Endnote Text Char"/>
    <w:basedOn w:val="DefaultParagraphFont"/>
    <w:link w:val="EndnoteText"/>
    <w:uiPriority w:val="99"/>
    <w:semiHidden/>
    <w:rsid w:val="00917F5E"/>
    <w:rPr>
      <w:rFonts w:asciiTheme="minorHAnsi" w:hAnsiTheme="minorHAnsi" w:cstheme="minorBidi"/>
      <w:color w:val="auto"/>
      <w:szCs w:val="22"/>
      <w:lang w:val="de-DE"/>
    </w:rPr>
  </w:style>
  <w:style w:type="character" w:styleId="EndnoteReference">
    <w:name w:val="endnote reference"/>
    <w:basedOn w:val="DefaultParagraphFont"/>
    <w:uiPriority w:val="99"/>
    <w:semiHidden/>
    <w:unhideWhenUsed/>
    <w:rsid w:val="00917F5E"/>
    <w:rPr>
      <w:vertAlign w:val="superscript"/>
    </w:rPr>
  </w:style>
  <w:style w:type="paragraph" w:styleId="TOC5">
    <w:name w:val="toc 5"/>
    <w:basedOn w:val="Normal"/>
    <w:next w:val="Normal"/>
    <w:uiPriority w:val="39"/>
    <w:unhideWhenUsed/>
    <w:rsid w:val="00917F5E"/>
    <w:pPr>
      <w:spacing w:after="57" w:line="259" w:lineRule="auto"/>
      <w:ind w:left="1134"/>
    </w:pPr>
    <w:rPr>
      <w:rFonts w:asciiTheme="minorHAnsi" w:hAnsiTheme="minorHAnsi" w:cstheme="minorBidi"/>
      <w:color w:val="auto"/>
      <w:sz w:val="22"/>
      <w:szCs w:val="22"/>
      <w:lang w:val="de-DE"/>
    </w:rPr>
  </w:style>
  <w:style w:type="paragraph" w:styleId="TOC6">
    <w:name w:val="toc 6"/>
    <w:basedOn w:val="Normal"/>
    <w:next w:val="Normal"/>
    <w:uiPriority w:val="39"/>
    <w:unhideWhenUsed/>
    <w:rsid w:val="00917F5E"/>
    <w:pPr>
      <w:spacing w:after="57" w:line="259" w:lineRule="auto"/>
      <w:ind w:left="1417"/>
    </w:pPr>
    <w:rPr>
      <w:rFonts w:asciiTheme="minorHAnsi" w:hAnsiTheme="minorHAnsi" w:cstheme="minorBidi"/>
      <w:color w:val="auto"/>
      <w:sz w:val="22"/>
      <w:szCs w:val="22"/>
      <w:lang w:val="de-DE"/>
    </w:rPr>
  </w:style>
  <w:style w:type="paragraph" w:styleId="TOC7">
    <w:name w:val="toc 7"/>
    <w:basedOn w:val="Normal"/>
    <w:next w:val="Normal"/>
    <w:uiPriority w:val="39"/>
    <w:unhideWhenUsed/>
    <w:rsid w:val="00917F5E"/>
    <w:pPr>
      <w:spacing w:after="57" w:line="259" w:lineRule="auto"/>
      <w:ind w:left="1701"/>
    </w:pPr>
    <w:rPr>
      <w:rFonts w:asciiTheme="minorHAnsi" w:hAnsiTheme="minorHAnsi" w:cstheme="minorBidi"/>
      <w:color w:val="auto"/>
      <w:sz w:val="22"/>
      <w:szCs w:val="22"/>
      <w:lang w:val="de-DE"/>
    </w:rPr>
  </w:style>
  <w:style w:type="paragraph" w:styleId="TOC8">
    <w:name w:val="toc 8"/>
    <w:basedOn w:val="Normal"/>
    <w:next w:val="Normal"/>
    <w:uiPriority w:val="39"/>
    <w:unhideWhenUsed/>
    <w:rsid w:val="00917F5E"/>
    <w:pPr>
      <w:spacing w:after="57" w:line="259" w:lineRule="auto"/>
      <w:ind w:left="1984"/>
    </w:pPr>
    <w:rPr>
      <w:rFonts w:asciiTheme="minorHAnsi" w:hAnsiTheme="minorHAnsi" w:cstheme="minorBidi"/>
      <w:color w:val="auto"/>
      <w:sz w:val="22"/>
      <w:szCs w:val="22"/>
      <w:lang w:val="de-DE"/>
    </w:rPr>
  </w:style>
  <w:style w:type="paragraph" w:styleId="TOC9">
    <w:name w:val="toc 9"/>
    <w:basedOn w:val="Normal"/>
    <w:next w:val="Normal"/>
    <w:uiPriority w:val="39"/>
    <w:unhideWhenUsed/>
    <w:rsid w:val="00917F5E"/>
    <w:pPr>
      <w:spacing w:after="57" w:line="259" w:lineRule="auto"/>
      <w:ind w:left="2268"/>
    </w:pPr>
    <w:rPr>
      <w:rFonts w:asciiTheme="minorHAnsi" w:hAnsiTheme="minorHAnsi" w:cstheme="minorBidi"/>
      <w:color w:val="auto"/>
      <w:sz w:val="22"/>
      <w:szCs w:val="22"/>
      <w:lang w:val="de-DE"/>
    </w:rPr>
  </w:style>
  <w:style w:type="paragraph" w:styleId="TableofFigures">
    <w:name w:val="table of figures"/>
    <w:basedOn w:val="Normal"/>
    <w:next w:val="Normal"/>
    <w:uiPriority w:val="99"/>
    <w:unhideWhenUsed/>
    <w:rsid w:val="00917F5E"/>
    <w:pPr>
      <w:spacing w:line="259" w:lineRule="auto"/>
    </w:pPr>
    <w:rPr>
      <w:rFonts w:asciiTheme="minorHAnsi" w:hAnsiTheme="minorHAnsi" w:cstheme="minorBidi"/>
      <w:color w:val="auto"/>
      <w:sz w:val="22"/>
      <w:szCs w:val="22"/>
      <w:lang w:val="de-DE"/>
    </w:rPr>
  </w:style>
  <w:style w:type="paragraph" w:styleId="NormalWeb">
    <w:name w:val="Normal (Web)"/>
    <w:basedOn w:val="Normal"/>
    <w:uiPriority w:val="99"/>
    <w:unhideWhenUsed/>
    <w:rsid w:val="00917F5E"/>
    <w:pPr>
      <w:spacing w:before="100" w:beforeAutospacing="1" w:after="100" w:afterAutospacing="1"/>
    </w:pPr>
    <w:rPr>
      <w:rFonts w:ascii="Times New Roman" w:eastAsia="Times New Roman" w:hAnsi="Times New Roman" w:cs="Times New Roman"/>
      <w:color w:val="auto"/>
      <w:sz w:val="24"/>
      <w:szCs w:val="24"/>
      <w:lang w:val="de-DE" w:eastAsia="de-DE"/>
    </w:rPr>
  </w:style>
  <w:style w:type="paragraph" w:styleId="CommentText">
    <w:name w:val="annotation text"/>
    <w:basedOn w:val="Normal"/>
    <w:link w:val="CommentTextChar"/>
    <w:uiPriority w:val="99"/>
    <w:unhideWhenUsed/>
    <w:rsid w:val="00917F5E"/>
    <w:pPr>
      <w:spacing w:after="160"/>
    </w:pPr>
    <w:rPr>
      <w:rFonts w:asciiTheme="minorHAnsi" w:hAnsiTheme="minorHAnsi" w:cstheme="minorBidi"/>
      <w:color w:val="auto"/>
      <w:lang w:val="de-DE"/>
    </w:rPr>
  </w:style>
  <w:style w:type="character" w:customStyle="1" w:styleId="CommentTextChar">
    <w:name w:val="Comment Text Char"/>
    <w:basedOn w:val="DefaultParagraphFont"/>
    <w:link w:val="CommentText"/>
    <w:uiPriority w:val="99"/>
    <w:rsid w:val="00917F5E"/>
    <w:rPr>
      <w:rFonts w:asciiTheme="minorHAnsi" w:hAnsiTheme="minorHAnsi" w:cstheme="minorBidi"/>
      <w:color w:val="auto"/>
      <w:lang w:val="de-DE"/>
    </w:rPr>
  </w:style>
  <w:style w:type="paragraph" w:styleId="ListParagraph">
    <w:name w:val="List Paragraph"/>
    <w:basedOn w:val="Normal"/>
    <w:uiPriority w:val="34"/>
    <w:qFormat/>
    <w:rsid w:val="00917F5E"/>
    <w:pPr>
      <w:spacing w:after="160" w:line="259" w:lineRule="auto"/>
      <w:ind w:left="720"/>
      <w:contextualSpacing/>
    </w:pPr>
    <w:rPr>
      <w:rFonts w:asciiTheme="minorHAnsi" w:hAnsiTheme="minorHAnsi" w:cstheme="minorBidi"/>
      <w:color w:val="auto"/>
      <w:sz w:val="22"/>
      <w:szCs w:val="22"/>
      <w:lang w:val="de-DE"/>
    </w:rPr>
  </w:style>
  <w:style w:type="character" w:customStyle="1" w:styleId="cf01">
    <w:name w:val="cf01"/>
    <w:basedOn w:val="DefaultParagraphFont"/>
    <w:rsid w:val="00917F5E"/>
    <w:rPr>
      <w:rFonts w:ascii="Segoe UI" w:hAnsi="Segoe UI" w:cs="Segoe UI" w:hint="default"/>
      <w:sz w:val="18"/>
      <w:szCs w:val="18"/>
    </w:rPr>
  </w:style>
  <w:style w:type="table" w:customStyle="1" w:styleId="GridTable1Light-Accent21">
    <w:name w:val="Grid Table 1 Light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insideH w:val="single" w:sz="4" w:space="0" w:color="ECEBEB" w:themeColor="accent2" w:themeTint="67"/>
        <w:insideV w:val="single" w:sz="4" w:space="0" w:color="ECEBEB" w:themeColor="accent2" w:themeTint="67"/>
      </w:tblBorders>
    </w:tblPr>
    <w:tblStylePr w:type="firstRow">
      <w:rPr>
        <w:b/>
        <w:color w:val="404040"/>
      </w:rPr>
      <w:tblPr/>
      <w:tcPr>
        <w:tcBorders>
          <w:bottom w:val="single" w:sz="12" w:space="0" w:color="E3E2E2"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tcBorders>
      </w:tcPr>
    </w:tblStylePr>
  </w:style>
  <w:style w:type="table" w:customStyle="1" w:styleId="GridTable6Colorful-Accent11">
    <w:name w:val="Grid Table 6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7F" w:themeColor="accent1" w:themeTint="80"/>
        <w:left w:val="single" w:sz="4" w:space="0" w:color="FFFF7F" w:themeColor="accent1" w:themeTint="80"/>
        <w:bottom w:val="single" w:sz="4" w:space="0" w:color="FFFF7F" w:themeColor="accent1" w:themeTint="80"/>
        <w:right w:val="single" w:sz="4" w:space="0" w:color="FFFF7F" w:themeColor="accent1" w:themeTint="80"/>
        <w:insideH w:val="single" w:sz="4" w:space="0" w:color="FFFF7F" w:themeColor="accent1" w:themeTint="80"/>
        <w:insideV w:val="single" w:sz="4" w:space="0" w:color="FFFF7F" w:themeColor="accent1" w:themeTint="80"/>
      </w:tblBorders>
    </w:tblPr>
    <w:tblStylePr w:type="firstRow">
      <w:rPr>
        <w:b/>
        <w:color w:val="FFFF7F" w:themeColor="accent1" w:themeTint="80" w:themeShade="95"/>
      </w:rPr>
      <w:tblPr/>
      <w:tcPr>
        <w:tcBorders>
          <w:bottom w:val="single" w:sz="12" w:space="0" w:color="FFFF7F" w:themeColor="accent1" w:themeTint="80"/>
        </w:tcBorders>
      </w:tcPr>
    </w:tblStylePr>
    <w:tblStylePr w:type="lastRow">
      <w:rPr>
        <w:b/>
        <w:color w:val="FFFF7F" w:themeColor="accent1" w:themeTint="80" w:themeShade="95"/>
      </w:rPr>
    </w:tblStylePr>
    <w:tblStylePr w:type="firstCol">
      <w:rPr>
        <w:b/>
        <w:color w:val="FFFF7F" w:themeColor="accent1" w:themeTint="80" w:themeShade="95"/>
      </w:rPr>
    </w:tblStylePr>
    <w:tblStylePr w:type="lastCol">
      <w:rPr>
        <w:b/>
        <w:color w:val="FFFF7F" w:themeColor="accent1" w:themeTint="80" w:themeShade="95"/>
      </w:rPr>
    </w:tblStylePr>
    <w:tblStylePr w:type="band1Vert">
      <w:tblPr/>
      <w:tcPr>
        <w:shd w:val="clear" w:color="FFFFCB" w:themeColor="accent1" w:themeTint="34" w:fill="FFFFCB" w:themeFill="accent1" w:themeFillTint="34"/>
      </w:tcPr>
    </w:tblStylePr>
    <w:tblStylePr w:type="band1Horz">
      <w:rPr>
        <w:rFonts w:ascii="Arial" w:hAnsi="Arial"/>
        <w:color w:val="FFFF7F" w:themeColor="accent1" w:themeTint="80" w:themeShade="95"/>
        <w:sz w:val="22"/>
      </w:rPr>
      <w:tblPr/>
      <w:tcPr>
        <w:shd w:val="clear" w:color="FFFFCB" w:themeColor="accent1" w:themeTint="34" w:fill="FFFFCB" w:themeFill="accent1" w:themeFillTint="34"/>
      </w:tcPr>
    </w:tblStylePr>
    <w:tblStylePr w:type="band2Horz">
      <w:rPr>
        <w:rFonts w:ascii="Arial" w:hAnsi="Arial"/>
        <w:color w:val="FFFF7F" w:themeColor="accent1" w:themeTint="80" w:themeShade="95"/>
        <w:sz w:val="22"/>
      </w:rPr>
    </w:tblStylePr>
  </w:style>
  <w:style w:type="table" w:customStyle="1" w:styleId="GridTable6Colorful-Accent21">
    <w:name w:val="Grid Table 6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E3E1E1" w:themeColor="accent2" w:themeTint="97" w:themeShade="95"/>
      </w:rPr>
      <w:tblPr/>
      <w:tcPr>
        <w:tcBorders>
          <w:bottom w:val="single" w:sz="12" w:space="0" w:color="E3E1E1" w:themeColor="accent2" w:themeTint="97"/>
        </w:tcBorders>
      </w:tcPr>
    </w:tblStylePr>
    <w:tblStylePr w:type="lastRow">
      <w:rPr>
        <w:b/>
        <w:color w:val="E3E1E1" w:themeColor="accent2" w:themeTint="97" w:themeShade="95"/>
      </w:rPr>
    </w:tblStylePr>
    <w:tblStylePr w:type="firstCol">
      <w:rPr>
        <w:b/>
        <w:color w:val="E3E1E1" w:themeColor="accent2" w:themeTint="97" w:themeShade="95"/>
      </w:rPr>
    </w:tblStylePr>
    <w:tblStylePr w:type="lastCol">
      <w:rPr>
        <w:b/>
        <w:color w:val="E3E1E1" w:themeColor="accent2" w:themeTint="97" w:themeShade="95"/>
      </w:rPr>
    </w:tblStylePr>
    <w:tblStylePr w:type="band1Vert">
      <w:tblPr/>
      <w:tcPr>
        <w:shd w:val="clear" w:color="F5F5F5" w:themeColor="accent2" w:themeTint="32" w:fill="F5F5F5" w:themeFill="accent2" w:themeFillTint="32"/>
      </w:tcPr>
    </w:tblStylePr>
    <w:tblStylePr w:type="band1Horz">
      <w:rPr>
        <w:rFonts w:ascii="Arial" w:hAnsi="Arial"/>
        <w:color w:val="E3E1E1" w:themeColor="accent2" w:themeTint="97" w:themeShade="95"/>
        <w:sz w:val="22"/>
      </w:rPr>
      <w:tblPr/>
      <w:tcPr>
        <w:shd w:val="clear" w:color="F5F5F5" w:themeColor="accent2" w:themeTint="32" w:fill="F5F5F5" w:themeFill="accent2" w:themeFillTint="32"/>
      </w:tcPr>
    </w:tblStylePr>
    <w:tblStylePr w:type="band2Horz">
      <w:rPr>
        <w:rFonts w:ascii="Arial" w:hAnsi="Arial"/>
        <w:color w:val="E3E1E1" w:themeColor="accent2" w:themeTint="97" w:themeShade="95"/>
        <w:sz w:val="22"/>
      </w:rPr>
    </w:tblStylePr>
  </w:style>
  <w:style w:type="table" w:customStyle="1" w:styleId="GridTable6Colorful-Accent31">
    <w:name w:val="Grid Table 6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ABA8A8" w:themeColor="accent4" w:themeTint="9A" w:themeShade="95"/>
      </w:rPr>
      <w:tblPr/>
      <w:tcPr>
        <w:tcBorders>
          <w:bottom w:val="single" w:sz="12" w:space="0" w:color="ABA8A8" w:themeColor="accent4" w:themeTint="9A"/>
        </w:tcBorders>
      </w:tcPr>
    </w:tblStylePr>
    <w:tblStylePr w:type="lastRow">
      <w:rPr>
        <w:b/>
        <w:color w:val="ABA8A8" w:themeColor="accent4" w:themeTint="9A" w:themeShade="95"/>
      </w:rPr>
    </w:tblStylePr>
    <w:tblStylePr w:type="firstCol">
      <w:rPr>
        <w:b/>
        <w:color w:val="ABA8A8" w:themeColor="accent4" w:themeTint="9A" w:themeShade="95"/>
      </w:rPr>
    </w:tblStylePr>
    <w:tblStylePr w:type="lastCol">
      <w:rPr>
        <w:b/>
        <w:color w:val="ABA8A8" w:themeColor="accent4" w:themeTint="9A" w:themeShade="95"/>
      </w:rPr>
    </w:tblStylePr>
    <w:tblStylePr w:type="band1Vert">
      <w:tblPr/>
      <w:tcPr>
        <w:shd w:val="clear" w:color="E3E1E1" w:themeColor="accent4" w:themeTint="34" w:fill="E3E1E1" w:themeFill="accent4" w:themeFillTint="34"/>
      </w:tcPr>
    </w:tblStylePr>
    <w:tblStylePr w:type="band1Horz">
      <w:rPr>
        <w:rFonts w:ascii="Arial" w:hAnsi="Arial"/>
        <w:color w:val="ABA8A8" w:themeColor="accent4" w:themeTint="9A" w:themeShade="95"/>
        <w:sz w:val="22"/>
      </w:rPr>
      <w:tblPr/>
      <w:tcPr>
        <w:shd w:val="clear" w:color="E3E1E1" w:themeColor="accent4" w:themeTint="34" w:fill="E3E1E1" w:themeFill="accent4" w:themeFillTint="34"/>
      </w:tcPr>
    </w:tblStylePr>
    <w:tblStylePr w:type="band2Horz">
      <w:rPr>
        <w:rFonts w:ascii="Arial" w:hAnsi="Arial"/>
        <w:color w:val="ABA8A8" w:themeColor="accent4" w:themeTint="9A" w:themeShade="95"/>
        <w:sz w:val="22"/>
      </w:rPr>
    </w:tblStylePr>
  </w:style>
  <w:style w:type="table" w:customStyle="1" w:styleId="GridTable6Colorful-Accent51">
    <w:name w:val="Grid Table 6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accent5"/>
        <w:left w:val="single" w:sz="4" w:space="0" w:color="7F7F7F" w:themeColor="accent5"/>
        <w:bottom w:val="single" w:sz="4" w:space="0" w:color="7F7F7F" w:themeColor="accent5"/>
        <w:right w:val="single" w:sz="4" w:space="0" w:color="7F7F7F" w:themeColor="accent5"/>
        <w:insideH w:val="single" w:sz="4" w:space="0" w:color="7F7F7F" w:themeColor="accent5"/>
        <w:insideV w:val="single" w:sz="4" w:space="0" w:color="7F7F7F" w:themeColor="accent5"/>
      </w:tblBorders>
    </w:tblPr>
    <w:tblStylePr w:type="firstRow">
      <w:rPr>
        <w:b/>
        <w:color w:val="4A4A4A" w:themeColor="accent5" w:themeShade="95"/>
      </w:rPr>
      <w:tblPr/>
      <w:tcPr>
        <w:tcBorders>
          <w:bottom w:val="single" w:sz="12" w:space="0" w:color="7F7F7F" w:themeColor="accent5"/>
        </w:tcBorders>
      </w:tcPr>
    </w:tblStylePr>
    <w:tblStylePr w:type="lastRow">
      <w:rPr>
        <w:b/>
        <w:color w:val="4A4A4A" w:themeColor="accent5" w:themeShade="95"/>
      </w:rPr>
    </w:tblStylePr>
    <w:tblStylePr w:type="firstCol">
      <w:rPr>
        <w:b/>
        <w:color w:val="4A4A4A" w:themeColor="accent5" w:themeShade="95"/>
      </w:rPr>
    </w:tblStylePr>
    <w:tblStylePr w:type="lastCol">
      <w:rPr>
        <w:b/>
        <w:color w:val="4A4A4A" w:themeColor="accent5" w:themeShade="95"/>
      </w:rPr>
    </w:tblStylePr>
    <w:tblStylePr w:type="band1Vert">
      <w:tblPr/>
      <w:tcPr>
        <w:shd w:val="clear" w:color="E4E4E4" w:themeColor="accent5" w:themeTint="34" w:fill="E4E4E4" w:themeFill="accent5" w:themeFillTint="34"/>
      </w:tcPr>
    </w:tblStylePr>
    <w:tblStylePr w:type="band1Horz">
      <w:rPr>
        <w:rFonts w:ascii="Arial" w:hAnsi="Arial"/>
        <w:color w:val="4A4A4A" w:themeColor="accent5" w:themeShade="95"/>
        <w:sz w:val="22"/>
      </w:rPr>
      <w:tblPr/>
      <w:tcPr>
        <w:shd w:val="clear" w:color="E4E4E4" w:themeColor="accent5" w:themeTint="34" w:fill="E4E4E4" w:themeFill="accent5" w:themeFillTint="34"/>
      </w:tcPr>
    </w:tblStylePr>
    <w:tblStylePr w:type="band2Horz">
      <w:rPr>
        <w:rFonts w:ascii="Arial" w:hAnsi="Arial"/>
        <w:color w:val="4A4A4A" w:themeColor="accent5" w:themeShade="95"/>
        <w:sz w:val="22"/>
      </w:rPr>
    </w:tblStylePr>
  </w:style>
  <w:style w:type="table" w:customStyle="1" w:styleId="GridTable6Colorful-Accent61">
    <w:name w:val="Grid Table 6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7E6E6" w:themeColor="accent6"/>
        <w:left w:val="single" w:sz="4" w:space="0" w:color="E7E6E6" w:themeColor="accent6"/>
        <w:bottom w:val="single" w:sz="4" w:space="0" w:color="E7E6E6" w:themeColor="accent6"/>
        <w:right w:val="single" w:sz="4" w:space="0" w:color="E7E6E6" w:themeColor="accent6"/>
        <w:insideH w:val="single" w:sz="4" w:space="0" w:color="E7E6E6" w:themeColor="accent6"/>
        <w:insideV w:val="single" w:sz="4" w:space="0" w:color="E7E6E6" w:themeColor="accent6"/>
      </w:tblBorders>
    </w:tblPr>
    <w:tblStylePr w:type="firstRow">
      <w:rPr>
        <w:b/>
        <w:color w:val="4A4A4A" w:themeColor="accent5" w:themeShade="95"/>
      </w:rPr>
      <w:tblPr/>
      <w:tcPr>
        <w:tcBorders>
          <w:bottom w:val="single" w:sz="12" w:space="0" w:color="E7E6E6" w:themeColor="accent6"/>
        </w:tcBorders>
      </w:tcPr>
    </w:tblStylePr>
    <w:tblStylePr w:type="lastRow">
      <w:rPr>
        <w:b/>
        <w:color w:val="4A4A4A" w:themeColor="accent5" w:themeShade="95"/>
      </w:rPr>
    </w:tblStylePr>
    <w:tblStylePr w:type="firstCol">
      <w:rPr>
        <w:b/>
        <w:color w:val="4A4A4A" w:themeColor="accent5" w:themeShade="95"/>
      </w:rPr>
    </w:tblStylePr>
    <w:tblStylePr w:type="lastCol">
      <w:rPr>
        <w:b/>
        <w:color w:val="4A4A4A" w:themeColor="accent5" w:themeShade="95"/>
      </w:rPr>
    </w:tblStylePr>
    <w:tblStylePr w:type="band1Vert">
      <w:tblPr/>
      <w:tcPr>
        <w:shd w:val="clear" w:color="FAF9F9" w:themeColor="accent6" w:themeTint="34" w:fill="FAF9F9" w:themeFill="accent6" w:themeFillTint="34"/>
      </w:tcPr>
    </w:tblStylePr>
    <w:tblStylePr w:type="band1Horz">
      <w:rPr>
        <w:rFonts w:ascii="Arial" w:hAnsi="Arial"/>
        <w:color w:val="4A4A4A" w:themeColor="accent5" w:themeShade="95"/>
        <w:sz w:val="22"/>
      </w:rPr>
      <w:tblPr/>
      <w:tcPr>
        <w:shd w:val="clear" w:color="FAF9F9" w:themeColor="accent6" w:themeTint="34" w:fill="FAF9F9" w:themeFill="accent6" w:themeFillTint="34"/>
      </w:tcPr>
    </w:tblStylePr>
    <w:tblStylePr w:type="band2Horz">
      <w:rPr>
        <w:rFonts w:ascii="Arial" w:hAnsi="Arial"/>
        <w:color w:val="4A4A4A" w:themeColor="accent5" w:themeShade="95"/>
        <w:sz w:val="22"/>
      </w:rPr>
    </w:tblStylePr>
  </w:style>
  <w:style w:type="table" w:customStyle="1" w:styleId="GridTable7Colorful-Accent11">
    <w:name w:val="Grid Table 7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7F" w:themeColor="accent1" w:themeTint="80"/>
        <w:right w:val="single" w:sz="4" w:space="0" w:color="FFFF7F" w:themeColor="accent1" w:themeTint="80"/>
        <w:insideH w:val="single" w:sz="4" w:space="0" w:color="FFFF7F" w:themeColor="accent1" w:themeTint="80"/>
        <w:insideV w:val="single" w:sz="4" w:space="0" w:color="FFFF7F" w:themeColor="accent1" w:themeTint="80"/>
      </w:tblBorders>
    </w:tblPr>
    <w:tblStylePr w:type="firstRow">
      <w:rPr>
        <w:rFonts w:ascii="Arial" w:hAnsi="Arial"/>
        <w:b/>
        <w:color w:val="FFFF7F" w:themeColor="accent1" w:themeTint="80" w:themeShade="95"/>
        <w:sz w:val="22"/>
      </w:rPr>
      <w:tblPr/>
      <w:tcPr>
        <w:tcBorders>
          <w:top w:val="none" w:sz="4" w:space="0" w:color="000000"/>
          <w:left w:val="none" w:sz="4" w:space="0" w:color="000000"/>
          <w:bottom w:val="single" w:sz="4" w:space="0" w:color="FFFF7F" w:themeColor="accent1" w:themeTint="80"/>
          <w:right w:val="none" w:sz="4" w:space="0" w:color="000000"/>
        </w:tcBorders>
        <w:shd w:val="clear" w:color="FFFFFF" w:themeColor="light1" w:fill="FFFFFF" w:themeFill="light1"/>
      </w:tcPr>
    </w:tblStylePr>
    <w:tblStylePr w:type="lastRow">
      <w:rPr>
        <w:rFonts w:ascii="Arial" w:hAnsi="Arial"/>
        <w:b/>
        <w:color w:val="FFFF7F" w:themeColor="accent1" w:themeTint="80" w:themeShade="95"/>
        <w:sz w:val="22"/>
      </w:rPr>
      <w:tblPr/>
      <w:tcPr>
        <w:tcBorders>
          <w:top w:val="single" w:sz="4" w:space="0" w:color="FFFF7F"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7F" w:themeColor="accent1" w:themeTint="80" w:themeShade="95"/>
        <w:sz w:val="22"/>
      </w:rPr>
      <w:tblPr/>
      <w:tcPr>
        <w:tcBorders>
          <w:top w:val="none" w:sz="4" w:space="0" w:color="000000"/>
          <w:left w:val="none" w:sz="4" w:space="0" w:color="000000"/>
          <w:bottom w:val="none" w:sz="4" w:space="0" w:color="000000"/>
          <w:right w:val="single" w:sz="4" w:space="0" w:color="FFFF7F" w:themeColor="accent1" w:themeTint="80"/>
        </w:tcBorders>
        <w:shd w:val="clear" w:color="FFFFFF" w:fill="auto"/>
      </w:tcPr>
    </w:tblStylePr>
    <w:tblStylePr w:type="lastCol">
      <w:rPr>
        <w:rFonts w:ascii="Arial" w:hAnsi="Arial"/>
        <w:i/>
        <w:color w:val="FFFF7F" w:themeColor="accent1" w:themeTint="80" w:themeShade="95"/>
        <w:sz w:val="22"/>
      </w:rPr>
      <w:tblPr/>
      <w:tcPr>
        <w:tcBorders>
          <w:top w:val="none" w:sz="4" w:space="0" w:color="000000"/>
          <w:left w:val="single" w:sz="4" w:space="0" w:color="FFFF7F" w:themeColor="accent1" w:themeTint="80"/>
          <w:bottom w:val="none" w:sz="4" w:space="0" w:color="000000"/>
          <w:right w:val="none" w:sz="4" w:space="0" w:color="000000"/>
        </w:tcBorders>
        <w:shd w:val="clear" w:color="FFFFFF" w:fill="auto"/>
      </w:tcPr>
    </w:tblStylePr>
    <w:tblStylePr w:type="band1Vert">
      <w:tblPr/>
      <w:tcPr>
        <w:shd w:val="clear" w:color="FFFFCB" w:themeColor="accent1" w:themeTint="34" w:fill="FFFFCB" w:themeFill="accent1" w:themeFillTint="34"/>
      </w:tcPr>
    </w:tblStylePr>
    <w:tblStylePr w:type="band1Horz">
      <w:rPr>
        <w:rFonts w:ascii="Arial" w:hAnsi="Arial"/>
        <w:color w:val="FFFF7F" w:themeColor="accent1" w:themeTint="80" w:themeShade="95"/>
        <w:sz w:val="22"/>
      </w:rPr>
      <w:tblPr/>
      <w:tcPr>
        <w:shd w:val="clear" w:color="FFFFCB" w:themeColor="accent1" w:themeTint="34" w:fill="FFFFCB" w:themeFill="accent1" w:themeFillTint="34"/>
      </w:tcPr>
    </w:tblStylePr>
    <w:tblStylePr w:type="band2Horz">
      <w:rPr>
        <w:rFonts w:ascii="Arial" w:hAnsi="Arial"/>
        <w:color w:val="FFFF7F" w:themeColor="accent1" w:themeTint="80" w:themeShade="95"/>
        <w:sz w:val="22"/>
      </w:rPr>
    </w:tblStylePr>
  </w:style>
  <w:style w:type="table" w:customStyle="1" w:styleId="GridTable7Colorful-Accent21">
    <w:name w:val="Grid Table 7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right w:val="single" w:sz="4" w:space="0" w:color="E3E1E1" w:themeColor="accent2" w:themeTint="97"/>
        <w:insideH w:val="single" w:sz="4" w:space="0" w:color="E3E1E1" w:themeColor="accent2" w:themeTint="97"/>
        <w:insideV w:val="single" w:sz="4" w:space="0" w:color="E3E1E1" w:themeColor="accent2" w:themeTint="97"/>
      </w:tblBorders>
    </w:tblPr>
    <w:tblStylePr w:type="firstRow">
      <w:rPr>
        <w:rFonts w:ascii="Arial" w:hAnsi="Arial"/>
        <w:b/>
        <w:color w:val="E3E1E1" w:themeColor="accent2" w:themeTint="97" w:themeShade="95"/>
        <w:sz w:val="22"/>
      </w:rPr>
      <w:tblPr/>
      <w:tcPr>
        <w:tcBorders>
          <w:top w:val="none" w:sz="4" w:space="0" w:color="000000"/>
          <w:left w:val="none" w:sz="4" w:space="0" w:color="000000"/>
          <w:bottom w:val="single" w:sz="4" w:space="0" w:color="E3E1E1" w:themeColor="accent2" w:themeTint="97"/>
          <w:right w:val="none" w:sz="4" w:space="0" w:color="000000"/>
        </w:tcBorders>
        <w:shd w:val="clear" w:color="FFFFFF" w:themeColor="light1" w:fill="FFFFFF" w:themeFill="light1"/>
      </w:tcPr>
    </w:tblStylePr>
    <w:tblStylePr w:type="lastRow">
      <w:rPr>
        <w:rFonts w:ascii="Arial" w:hAnsi="Arial"/>
        <w:b/>
        <w:color w:val="E3E1E1" w:themeColor="accent2" w:themeTint="97" w:themeShade="95"/>
        <w:sz w:val="22"/>
      </w:rPr>
      <w:tblPr/>
      <w:tcPr>
        <w:tcBorders>
          <w:top w:val="single" w:sz="4" w:space="0" w:color="E3E1E1"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3E1E1" w:themeColor="accent2" w:themeTint="97" w:themeShade="95"/>
        <w:sz w:val="22"/>
      </w:rPr>
      <w:tblPr/>
      <w:tcPr>
        <w:tcBorders>
          <w:top w:val="none" w:sz="4" w:space="0" w:color="000000"/>
          <w:left w:val="none" w:sz="4" w:space="0" w:color="000000"/>
          <w:bottom w:val="none" w:sz="4" w:space="0" w:color="000000"/>
          <w:right w:val="single" w:sz="4" w:space="0" w:color="E3E1E1" w:themeColor="accent2" w:themeTint="97"/>
        </w:tcBorders>
        <w:shd w:val="clear" w:color="FFFFFF" w:fill="auto"/>
      </w:tcPr>
    </w:tblStylePr>
    <w:tblStylePr w:type="lastCol">
      <w:rPr>
        <w:rFonts w:ascii="Arial" w:hAnsi="Arial"/>
        <w:i/>
        <w:color w:val="E3E1E1" w:themeColor="accent2" w:themeTint="97" w:themeShade="95"/>
        <w:sz w:val="22"/>
      </w:rPr>
      <w:tblPr/>
      <w:tcPr>
        <w:tcBorders>
          <w:top w:val="none" w:sz="4" w:space="0" w:color="000000"/>
          <w:left w:val="single" w:sz="4" w:space="0" w:color="E3E1E1" w:themeColor="accent2" w:themeTint="97"/>
          <w:bottom w:val="none" w:sz="4" w:space="0" w:color="000000"/>
          <w:right w:val="none" w:sz="4" w:space="0" w:color="000000"/>
        </w:tcBorders>
        <w:shd w:val="clear" w:color="FFFFFF" w:fill="auto"/>
      </w:tcPr>
    </w:tblStylePr>
    <w:tblStylePr w:type="band1Vert">
      <w:tblPr/>
      <w:tcPr>
        <w:shd w:val="clear" w:color="F5F5F5" w:themeColor="accent2" w:themeTint="32" w:fill="F5F5F5" w:themeFill="accent2" w:themeFillTint="32"/>
      </w:tcPr>
    </w:tblStylePr>
    <w:tblStylePr w:type="band1Horz">
      <w:rPr>
        <w:rFonts w:ascii="Arial" w:hAnsi="Arial"/>
        <w:color w:val="E3E1E1" w:themeColor="accent2" w:themeTint="97" w:themeShade="95"/>
        <w:sz w:val="22"/>
      </w:rPr>
      <w:tblPr/>
      <w:tcPr>
        <w:shd w:val="clear" w:color="F5F5F5" w:themeColor="accent2" w:themeTint="32" w:fill="F5F5F5" w:themeFill="accent2" w:themeFillTint="32"/>
      </w:tcPr>
    </w:tblStylePr>
    <w:tblStylePr w:type="band2Horz">
      <w:rPr>
        <w:rFonts w:ascii="Arial" w:hAnsi="Arial"/>
        <w:color w:val="E3E1E1" w:themeColor="accent2" w:themeTint="97" w:themeShade="95"/>
        <w:sz w:val="22"/>
      </w:rPr>
    </w:tblStylePr>
  </w:style>
  <w:style w:type="table" w:customStyle="1" w:styleId="GridTable7Colorful-Accent31">
    <w:name w:val="Grid Table 7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right w:val="single" w:sz="4" w:space="0" w:color="ABA8A8" w:themeColor="accent4" w:themeTint="9A"/>
        <w:insideH w:val="single" w:sz="4" w:space="0" w:color="ABA8A8" w:themeColor="accent4" w:themeTint="9A"/>
        <w:insideV w:val="single" w:sz="4" w:space="0" w:color="ABA8A8" w:themeColor="accent4" w:themeTint="9A"/>
      </w:tblBorders>
    </w:tblPr>
    <w:tblStylePr w:type="firstRow">
      <w:rPr>
        <w:rFonts w:ascii="Arial" w:hAnsi="Arial"/>
        <w:b/>
        <w:color w:val="ABA8A8" w:themeColor="accent4" w:themeTint="9A" w:themeShade="95"/>
        <w:sz w:val="22"/>
      </w:rPr>
      <w:tblPr/>
      <w:tcPr>
        <w:tcBorders>
          <w:top w:val="none" w:sz="4" w:space="0" w:color="000000"/>
          <w:left w:val="none" w:sz="4" w:space="0" w:color="000000"/>
          <w:bottom w:val="single" w:sz="4" w:space="0" w:color="ABA8A8" w:themeColor="accent4" w:themeTint="9A"/>
          <w:right w:val="none" w:sz="4" w:space="0" w:color="000000"/>
        </w:tcBorders>
        <w:shd w:val="clear" w:color="FFFFFF" w:themeColor="light1" w:fill="FFFFFF" w:themeFill="light1"/>
      </w:tcPr>
    </w:tblStylePr>
    <w:tblStylePr w:type="lastRow">
      <w:rPr>
        <w:rFonts w:ascii="Arial" w:hAnsi="Arial"/>
        <w:b/>
        <w:color w:val="ABA8A8" w:themeColor="accent4" w:themeTint="9A" w:themeShade="95"/>
        <w:sz w:val="22"/>
      </w:rPr>
      <w:tblPr/>
      <w:tcPr>
        <w:tcBorders>
          <w:top w:val="single" w:sz="4" w:space="0" w:color="ABA8A8"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A8A8" w:themeColor="accent4" w:themeTint="9A" w:themeShade="95"/>
        <w:sz w:val="22"/>
      </w:rPr>
      <w:tblPr/>
      <w:tcPr>
        <w:tcBorders>
          <w:top w:val="none" w:sz="4" w:space="0" w:color="000000"/>
          <w:left w:val="none" w:sz="4" w:space="0" w:color="000000"/>
          <w:bottom w:val="none" w:sz="4" w:space="0" w:color="000000"/>
          <w:right w:val="single" w:sz="4" w:space="0" w:color="ABA8A8" w:themeColor="accent4" w:themeTint="9A"/>
        </w:tcBorders>
        <w:shd w:val="clear" w:color="FFFFFF" w:fill="auto"/>
      </w:tcPr>
    </w:tblStylePr>
    <w:tblStylePr w:type="lastCol">
      <w:rPr>
        <w:rFonts w:ascii="Arial" w:hAnsi="Arial"/>
        <w:i/>
        <w:color w:val="ABA8A8" w:themeColor="accent4" w:themeTint="9A" w:themeShade="95"/>
        <w:sz w:val="22"/>
      </w:rPr>
      <w:tblPr/>
      <w:tcPr>
        <w:tcBorders>
          <w:top w:val="none" w:sz="4" w:space="0" w:color="000000"/>
          <w:left w:val="single" w:sz="4" w:space="0" w:color="ABA8A8" w:themeColor="accent4" w:themeTint="9A"/>
          <w:bottom w:val="none" w:sz="4" w:space="0" w:color="000000"/>
          <w:right w:val="none" w:sz="4" w:space="0" w:color="000000"/>
        </w:tcBorders>
        <w:shd w:val="clear" w:color="FFFFFF" w:fill="auto"/>
      </w:tcPr>
    </w:tblStylePr>
    <w:tblStylePr w:type="band1Vert">
      <w:tblPr/>
      <w:tcPr>
        <w:shd w:val="clear" w:color="E3E1E1" w:themeColor="accent4" w:themeTint="34" w:fill="E3E1E1" w:themeFill="accent4" w:themeFillTint="34"/>
      </w:tcPr>
    </w:tblStylePr>
    <w:tblStylePr w:type="band1Horz">
      <w:rPr>
        <w:rFonts w:ascii="Arial" w:hAnsi="Arial"/>
        <w:color w:val="ABA8A8" w:themeColor="accent4" w:themeTint="9A" w:themeShade="95"/>
        <w:sz w:val="22"/>
      </w:rPr>
      <w:tblPr/>
      <w:tcPr>
        <w:shd w:val="clear" w:color="E3E1E1" w:themeColor="accent4" w:themeTint="34" w:fill="E3E1E1" w:themeFill="accent4" w:themeFillTint="34"/>
      </w:tcPr>
    </w:tblStylePr>
    <w:tblStylePr w:type="band2Horz">
      <w:rPr>
        <w:rFonts w:ascii="Arial" w:hAnsi="Arial"/>
        <w:color w:val="ABA8A8" w:themeColor="accent4" w:themeTint="9A" w:themeShade="95"/>
        <w:sz w:val="22"/>
      </w:rPr>
    </w:tblStylePr>
  </w:style>
  <w:style w:type="table" w:customStyle="1" w:styleId="GridTable7Colorful-Accent51">
    <w:name w:val="Grid Table 7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B6B6B6" w:themeColor="accent5" w:themeTint="90"/>
        <w:right w:val="single" w:sz="4" w:space="0" w:color="B6B6B6" w:themeColor="accent5" w:themeTint="90"/>
        <w:insideH w:val="single" w:sz="4" w:space="0" w:color="B6B6B6" w:themeColor="accent5" w:themeTint="90"/>
        <w:insideV w:val="single" w:sz="4" w:space="0" w:color="B6B6B6" w:themeColor="accent5" w:themeTint="90"/>
      </w:tblBorders>
    </w:tblPr>
    <w:tblStylePr w:type="firstRow">
      <w:rPr>
        <w:rFonts w:ascii="Arial" w:hAnsi="Arial"/>
        <w:b/>
        <w:color w:val="4A4A4A" w:themeColor="accent5" w:themeShade="95"/>
        <w:sz w:val="22"/>
      </w:rPr>
      <w:tblPr/>
      <w:tcPr>
        <w:tcBorders>
          <w:top w:val="none" w:sz="4" w:space="0" w:color="000000"/>
          <w:left w:val="none" w:sz="4" w:space="0" w:color="000000"/>
          <w:bottom w:val="single" w:sz="4" w:space="0" w:color="B6B6B6" w:themeColor="accent5" w:themeTint="90"/>
          <w:right w:val="none" w:sz="4" w:space="0" w:color="000000"/>
        </w:tcBorders>
        <w:shd w:val="clear" w:color="FFFFFF" w:themeColor="light1" w:fill="FFFFFF" w:themeFill="light1"/>
      </w:tcPr>
    </w:tblStylePr>
    <w:tblStylePr w:type="lastRow">
      <w:rPr>
        <w:rFonts w:ascii="Arial" w:hAnsi="Arial"/>
        <w:b/>
        <w:color w:val="4A4A4A" w:themeColor="accent5" w:themeShade="95"/>
        <w:sz w:val="22"/>
      </w:rPr>
      <w:tblPr/>
      <w:tcPr>
        <w:tcBorders>
          <w:top w:val="single" w:sz="4" w:space="0" w:color="B6B6B6"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A4A4A" w:themeColor="accent5" w:themeShade="95"/>
        <w:sz w:val="22"/>
      </w:rPr>
      <w:tblPr/>
      <w:tcPr>
        <w:tcBorders>
          <w:top w:val="none" w:sz="4" w:space="0" w:color="000000"/>
          <w:left w:val="none" w:sz="4" w:space="0" w:color="000000"/>
          <w:bottom w:val="none" w:sz="4" w:space="0" w:color="000000"/>
          <w:right w:val="single" w:sz="4" w:space="0" w:color="B6B6B6" w:themeColor="accent5" w:themeTint="90"/>
        </w:tcBorders>
        <w:shd w:val="clear" w:color="FFFFFF" w:fill="auto"/>
      </w:tcPr>
    </w:tblStylePr>
    <w:tblStylePr w:type="lastCol">
      <w:rPr>
        <w:rFonts w:ascii="Arial" w:hAnsi="Arial"/>
        <w:i/>
        <w:color w:val="4A4A4A" w:themeColor="accent5" w:themeShade="95"/>
        <w:sz w:val="22"/>
      </w:rPr>
      <w:tblPr/>
      <w:tcPr>
        <w:tcBorders>
          <w:top w:val="none" w:sz="4" w:space="0" w:color="000000"/>
          <w:left w:val="single" w:sz="4" w:space="0" w:color="B6B6B6" w:themeColor="accent5" w:themeTint="90"/>
          <w:bottom w:val="none" w:sz="4" w:space="0" w:color="000000"/>
          <w:right w:val="none" w:sz="4" w:space="0" w:color="000000"/>
        </w:tcBorders>
        <w:shd w:val="clear" w:color="FFFFFF" w:fill="auto"/>
      </w:tcPr>
    </w:tblStylePr>
    <w:tblStylePr w:type="band1Vert">
      <w:tblPr/>
      <w:tcPr>
        <w:shd w:val="clear" w:color="E4E4E4" w:themeColor="accent5" w:themeTint="34" w:fill="E4E4E4" w:themeFill="accent5" w:themeFillTint="34"/>
      </w:tcPr>
    </w:tblStylePr>
    <w:tblStylePr w:type="band1Horz">
      <w:rPr>
        <w:rFonts w:ascii="Arial" w:hAnsi="Arial"/>
        <w:color w:val="4A4A4A" w:themeColor="accent5" w:themeShade="95"/>
        <w:sz w:val="22"/>
      </w:rPr>
      <w:tblPr/>
      <w:tcPr>
        <w:shd w:val="clear" w:color="E4E4E4" w:themeColor="accent5" w:themeTint="34" w:fill="E4E4E4" w:themeFill="accent5" w:themeFillTint="34"/>
      </w:tcPr>
    </w:tblStylePr>
    <w:tblStylePr w:type="band2Horz">
      <w:rPr>
        <w:rFonts w:ascii="Arial" w:hAnsi="Arial"/>
        <w:color w:val="4A4A4A" w:themeColor="accent5" w:themeShade="95"/>
        <w:sz w:val="22"/>
      </w:rPr>
    </w:tblStylePr>
  </w:style>
  <w:style w:type="table" w:customStyle="1" w:styleId="GridTable7Colorful-Accent61">
    <w:name w:val="Grid Table 7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1F0F0" w:themeColor="accent6" w:themeTint="90"/>
        <w:right w:val="single" w:sz="4" w:space="0" w:color="F1F0F0" w:themeColor="accent6" w:themeTint="90"/>
        <w:insideH w:val="single" w:sz="4" w:space="0" w:color="F1F0F0" w:themeColor="accent6" w:themeTint="90"/>
        <w:insideV w:val="single" w:sz="4" w:space="0" w:color="F1F0F0" w:themeColor="accent6" w:themeTint="90"/>
      </w:tblBorders>
    </w:tblPr>
    <w:tblStylePr w:type="firstRow">
      <w:rPr>
        <w:rFonts w:ascii="Arial" w:hAnsi="Arial"/>
        <w:b/>
        <w:color w:val="898484" w:themeColor="accent6" w:themeShade="95"/>
        <w:sz w:val="22"/>
      </w:rPr>
      <w:tblPr/>
      <w:tcPr>
        <w:tcBorders>
          <w:top w:val="none" w:sz="4" w:space="0" w:color="000000"/>
          <w:left w:val="none" w:sz="4" w:space="0" w:color="000000"/>
          <w:bottom w:val="single" w:sz="4" w:space="0" w:color="F1F0F0" w:themeColor="accent6" w:themeTint="90"/>
          <w:right w:val="none" w:sz="4" w:space="0" w:color="000000"/>
        </w:tcBorders>
        <w:shd w:val="clear" w:color="FFFFFF" w:themeColor="light1" w:fill="FFFFFF" w:themeFill="light1"/>
      </w:tcPr>
    </w:tblStylePr>
    <w:tblStylePr w:type="lastRow">
      <w:rPr>
        <w:rFonts w:ascii="Arial" w:hAnsi="Arial"/>
        <w:b/>
        <w:color w:val="898484" w:themeColor="accent6" w:themeShade="95"/>
        <w:sz w:val="22"/>
      </w:rPr>
      <w:tblPr/>
      <w:tcPr>
        <w:tcBorders>
          <w:top w:val="single" w:sz="4" w:space="0" w:color="F1F0F0"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98484" w:themeColor="accent6" w:themeShade="95"/>
        <w:sz w:val="22"/>
      </w:rPr>
      <w:tblPr/>
      <w:tcPr>
        <w:tcBorders>
          <w:top w:val="none" w:sz="4" w:space="0" w:color="000000"/>
          <w:left w:val="none" w:sz="4" w:space="0" w:color="000000"/>
          <w:bottom w:val="none" w:sz="4" w:space="0" w:color="000000"/>
          <w:right w:val="single" w:sz="4" w:space="0" w:color="F1F0F0" w:themeColor="accent6" w:themeTint="90"/>
        </w:tcBorders>
        <w:shd w:val="clear" w:color="FFFFFF" w:fill="auto"/>
      </w:tcPr>
    </w:tblStylePr>
    <w:tblStylePr w:type="lastCol">
      <w:rPr>
        <w:rFonts w:ascii="Arial" w:hAnsi="Arial"/>
        <w:i/>
        <w:color w:val="898484" w:themeColor="accent6" w:themeShade="95"/>
        <w:sz w:val="22"/>
      </w:rPr>
      <w:tblPr/>
      <w:tcPr>
        <w:tcBorders>
          <w:top w:val="none" w:sz="4" w:space="0" w:color="000000"/>
          <w:left w:val="single" w:sz="4" w:space="0" w:color="F1F0F0" w:themeColor="accent6" w:themeTint="90"/>
          <w:bottom w:val="none" w:sz="4" w:space="0" w:color="000000"/>
          <w:right w:val="none" w:sz="4" w:space="0" w:color="000000"/>
        </w:tcBorders>
        <w:shd w:val="clear" w:color="FFFFFF" w:fill="auto"/>
      </w:tcPr>
    </w:tblStylePr>
    <w:tblStylePr w:type="band1Vert">
      <w:tblPr/>
      <w:tcPr>
        <w:shd w:val="clear" w:color="FAF9F9" w:themeColor="accent6" w:themeTint="34" w:fill="FAF9F9" w:themeFill="accent6" w:themeFillTint="34"/>
      </w:tcPr>
    </w:tblStylePr>
    <w:tblStylePr w:type="band1Horz">
      <w:rPr>
        <w:rFonts w:ascii="Arial" w:hAnsi="Arial"/>
        <w:color w:val="898484" w:themeColor="accent6" w:themeShade="95"/>
        <w:sz w:val="22"/>
      </w:rPr>
      <w:tblPr/>
      <w:tcPr>
        <w:shd w:val="clear" w:color="FAF9F9" w:themeColor="accent6" w:themeTint="34" w:fill="FAF9F9" w:themeFill="accent6" w:themeFillTint="34"/>
      </w:tcPr>
    </w:tblStylePr>
    <w:tblStylePr w:type="band2Horz">
      <w:rPr>
        <w:rFonts w:ascii="Arial" w:hAnsi="Arial"/>
        <w:color w:val="898484" w:themeColor="accent6" w:themeShade="95"/>
        <w:sz w:val="22"/>
      </w:rPr>
    </w:tblStylePr>
  </w:style>
  <w:style w:type="table" w:customStyle="1" w:styleId="ListTable6Colorful-Accent11">
    <w:name w:val="List Table 6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00" w:themeColor="accent1"/>
        <w:bottom w:val="single" w:sz="4" w:space="0" w:color="FFFF00" w:themeColor="accent1"/>
      </w:tblBorders>
    </w:tblPr>
    <w:tblStylePr w:type="firstRow">
      <w:rPr>
        <w:b/>
        <w:color w:val="959500" w:themeColor="accent1" w:themeShade="95"/>
      </w:rPr>
      <w:tblPr/>
      <w:tcPr>
        <w:tcBorders>
          <w:bottom w:val="single" w:sz="4" w:space="0" w:color="FFFF00" w:themeColor="accent1"/>
        </w:tcBorders>
      </w:tcPr>
    </w:tblStylePr>
    <w:tblStylePr w:type="lastRow">
      <w:rPr>
        <w:b/>
        <w:color w:val="959500" w:themeColor="accent1" w:themeShade="95"/>
      </w:rPr>
      <w:tblPr/>
      <w:tcPr>
        <w:tcBorders>
          <w:top w:val="single" w:sz="4" w:space="0" w:color="FFFF00" w:themeColor="accent1"/>
        </w:tcBorders>
      </w:tcPr>
    </w:tblStylePr>
    <w:tblStylePr w:type="firstCol">
      <w:rPr>
        <w:b/>
        <w:color w:val="959500" w:themeColor="accent1" w:themeShade="95"/>
      </w:rPr>
    </w:tblStylePr>
    <w:tblStylePr w:type="lastCol">
      <w:rPr>
        <w:b/>
        <w:color w:val="959500" w:themeColor="accent1" w:themeShade="95"/>
      </w:rPr>
    </w:tblStylePr>
    <w:tblStylePr w:type="band1Vert">
      <w:tblPr/>
      <w:tcPr>
        <w:shd w:val="clear" w:color="FFFFBF" w:themeColor="accent1" w:themeTint="40" w:fill="FFFFBF" w:themeFill="accent1" w:themeFillTint="40"/>
      </w:tcPr>
    </w:tblStylePr>
    <w:tblStylePr w:type="band1Horz">
      <w:rPr>
        <w:rFonts w:ascii="Arial" w:hAnsi="Arial"/>
        <w:color w:val="959500" w:themeColor="accent1" w:themeShade="95"/>
        <w:sz w:val="22"/>
      </w:rPr>
      <w:tblPr/>
      <w:tcPr>
        <w:shd w:val="clear" w:color="FFFFBF" w:themeColor="accent1" w:themeTint="40" w:fill="FFFFBF" w:themeFill="accent1" w:themeFillTint="40"/>
      </w:tcPr>
    </w:tblStylePr>
    <w:tblStylePr w:type="band2Horz">
      <w:rPr>
        <w:rFonts w:ascii="Arial" w:hAnsi="Arial"/>
        <w:color w:val="959500" w:themeColor="accent1" w:themeShade="95"/>
        <w:sz w:val="22"/>
      </w:rPr>
    </w:tblStylePr>
  </w:style>
  <w:style w:type="table" w:customStyle="1" w:styleId="ListTable6Colorful-Accent21">
    <w:name w:val="List Table 6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bottom w:val="single" w:sz="4" w:space="0" w:color="E3E1E1" w:themeColor="accent2" w:themeTint="97"/>
      </w:tblBorders>
    </w:tblPr>
    <w:tblStylePr w:type="firstRow">
      <w:rPr>
        <w:b/>
        <w:color w:val="E3E1E1" w:themeColor="accent2" w:themeTint="97" w:themeShade="95"/>
      </w:rPr>
      <w:tblPr/>
      <w:tcPr>
        <w:tcBorders>
          <w:bottom w:val="single" w:sz="4" w:space="0" w:color="E3E1E1" w:themeColor="accent2" w:themeTint="97"/>
        </w:tcBorders>
      </w:tcPr>
    </w:tblStylePr>
    <w:tblStylePr w:type="lastRow">
      <w:rPr>
        <w:b/>
        <w:color w:val="E3E1E1" w:themeColor="accent2" w:themeTint="97" w:themeShade="95"/>
      </w:rPr>
      <w:tblPr/>
      <w:tcPr>
        <w:tcBorders>
          <w:top w:val="single" w:sz="4" w:space="0" w:color="E3E1E1" w:themeColor="accent2" w:themeTint="97"/>
        </w:tcBorders>
      </w:tcPr>
    </w:tblStylePr>
    <w:tblStylePr w:type="firstCol">
      <w:rPr>
        <w:b/>
        <w:color w:val="E3E1E1" w:themeColor="accent2" w:themeTint="97" w:themeShade="95"/>
      </w:rPr>
    </w:tblStylePr>
    <w:tblStylePr w:type="lastCol">
      <w:rPr>
        <w:b/>
        <w:color w:val="E3E1E1" w:themeColor="accent2" w:themeTint="97" w:themeShade="95"/>
      </w:rPr>
    </w:tblStylePr>
    <w:tblStylePr w:type="band1Vert">
      <w:tblPr/>
      <w:tcPr>
        <w:shd w:val="clear" w:color="F3F2F2" w:themeColor="accent2" w:themeTint="40" w:fill="F3F2F2" w:themeFill="accent2" w:themeFillTint="40"/>
      </w:tcPr>
    </w:tblStylePr>
    <w:tblStylePr w:type="band1Horz">
      <w:rPr>
        <w:rFonts w:ascii="Arial" w:hAnsi="Arial"/>
        <w:color w:val="E3E1E1" w:themeColor="accent2" w:themeTint="97" w:themeShade="95"/>
        <w:sz w:val="22"/>
      </w:rPr>
      <w:tblPr/>
      <w:tcPr>
        <w:shd w:val="clear" w:color="F3F2F2" w:themeColor="accent2" w:themeTint="40" w:fill="F3F2F2" w:themeFill="accent2" w:themeFillTint="40"/>
      </w:tcPr>
    </w:tblStylePr>
    <w:tblStylePr w:type="band2Horz">
      <w:rPr>
        <w:rFonts w:ascii="Arial" w:hAnsi="Arial"/>
        <w:color w:val="E3E1E1" w:themeColor="accent2" w:themeTint="97" w:themeShade="95"/>
        <w:sz w:val="22"/>
      </w:rPr>
    </w:tblStylePr>
  </w:style>
  <w:style w:type="table" w:customStyle="1" w:styleId="ListTable6Colorful-Accent31">
    <w:name w:val="List Table 6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bottom w:val="single" w:sz="4" w:space="0" w:color="ABA8A8" w:themeColor="accent4" w:themeTint="9A"/>
      </w:tblBorders>
    </w:tblPr>
    <w:tblStylePr w:type="firstRow">
      <w:rPr>
        <w:b/>
        <w:color w:val="ABA8A8" w:themeColor="accent4" w:themeTint="9A" w:themeShade="95"/>
      </w:rPr>
      <w:tblPr/>
      <w:tcPr>
        <w:tcBorders>
          <w:bottom w:val="single" w:sz="4" w:space="0" w:color="ABA8A8" w:themeColor="accent4" w:themeTint="9A"/>
        </w:tcBorders>
      </w:tcPr>
    </w:tblStylePr>
    <w:tblStylePr w:type="lastRow">
      <w:rPr>
        <w:b/>
        <w:color w:val="ABA8A8" w:themeColor="accent4" w:themeTint="9A" w:themeShade="95"/>
      </w:rPr>
      <w:tblPr/>
      <w:tcPr>
        <w:tcBorders>
          <w:top w:val="single" w:sz="4" w:space="0" w:color="ABA8A8" w:themeColor="accent4" w:themeTint="9A"/>
        </w:tcBorders>
      </w:tcPr>
    </w:tblStylePr>
    <w:tblStylePr w:type="firstCol">
      <w:rPr>
        <w:b/>
        <w:color w:val="ABA8A8" w:themeColor="accent4" w:themeTint="9A" w:themeShade="95"/>
      </w:rPr>
    </w:tblStylePr>
    <w:tblStylePr w:type="lastCol">
      <w:rPr>
        <w:b/>
        <w:color w:val="ABA8A8" w:themeColor="accent4" w:themeTint="9A" w:themeShade="95"/>
      </w:rPr>
    </w:tblStylePr>
    <w:tblStylePr w:type="band1Vert">
      <w:tblPr/>
      <w:tcPr>
        <w:shd w:val="clear" w:color="DCDADA" w:themeColor="accent4" w:themeTint="40" w:fill="DCDADA" w:themeFill="accent4" w:themeFillTint="40"/>
      </w:tcPr>
    </w:tblStylePr>
    <w:tblStylePr w:type="band1Horz">
      <w:rPr>
        <w:rFonts w:ascii="Arial" w:hAnsi="Arial"/>
        <w:color w:val="ABA8A8" w:themeColor="accent4" w:themeTint="9A" w:themeShade="95"/>
        <w:sz w:val="22"/>
      </w:rPr>
      <w:tblPr/>
      <w:tcPr>
        <w:shd w:val="clear" w:color="DCDADA" w:themeColor="accent4" w:themeTint="40" w:fill="DCDADA" w:themeFill="accent4" w:themeFillTint="40"/>
      </w:tcPr>
    </w:tblStylePr>
    <w:tblStylePr w:type="band2Horz">
      <w:rPr>
        <w:rFonts w:ascii="Arial" w:hAnsi="Arial"/>
        <w:color w:val="ABA8A8" w:themeColor="accent4" w:themeTint="9A" w:themeShade="95"/>
        <w:sz w:val="22"/>
      </w:rPr>
    </w:tblStylePr>
  </w:style>
  <w:style w:type="table" w:customStyle="1" w:styleId="ListTable6Colorful-Accent51">
    <w:name w:val="List Table 6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B1B1" w:themeColor="accent5" w:themeTint="9A"/>
        <w:bottom w:val="single" w:sz="4" w:space="0" w:color="B1B1B1" w:themeColor="accent5" w:themeTint="9A"/>
      </w:tblBorders>
    </w:tblPr>
    <w:tblStylePr w:type="firstRow">
      <w:rPr>
        <w:b/>
        <w:color w:val="B1B1B1" w:themeColor="accent5" w:themeTint="9A" w:themeShade="95"/>
      </w:rPr>
      <w:tblPr/>
      <w:tcPr>
        <w:tcBorders>
          <w:bottom w:val="single" w:sz="4" w:space="0" w:color="B1B1B1" w:themeColor="accent5" w:themeTint="9A"/>
        </w:tcBorders>
      </w:tcPr>
    </w:tblStylePr>
    <w:tblStylePr w:type="lastRow">
      <w:rPr>
        <w:b/>
        <w:color w:val="B1B1B1" w:themeColor="accent5" w:themeTint="9A" w:themeShade="95"/>
      </w:rPr>
      <w:tblPr/>
      <w:tcPr>
        <w:tcBorders>
          <w:top w:val="single" w:sz="4" w:space="0" w:color="B1B1B1" w:themeColor="accent5" w:themeTint="9A"/>
        </w:tcBorders>
      </w:tcPr>
    </w:tblStylePr>
    <w:tblStylePr w:type="firstCol">
      <w:rPr>
        <w:b/>
        <w:color w:val="B1B1B1" w:themeColor="accent5" w:themeTint="9A" w:themeShade="95"/>
      </w:rPr>
    </w:tblStylePr>
    <w:tblStylePr w:type="lastCol">
      <w:rPr>
        <w:b/>
        <w:color w:val="B1B1B1" w:themeColor="accent5" w:themeTint="9A" w:themeShade="95"/>
      </w:rPr>
    </w:tblStylePr>
    <w:tblStylePr w:type="band1Vert">
      <w:tblPr/>
      <w:tcPr>
        <w:shd w:val="clear" w:color="DEDEDE" w:themeColor="accent5" w:themeTint="40" w:fill="DEDEDE" w:themeFill="accent5" w:themeFillTint="40"/>
      </w:tcPr>
    </w:tblStylePr>
    <w:tblStylePr w:type="band1Horz">
      <w:rPr>
        <w:rFonts w:ascii="Arial" w:hAnsi="Arial"/>
        <w:color w:val="B1B1B1" w:themeColor="accent5" w:themeTint="9A" w:themeShade="95"/>
        <w:sz w:val="22"/>
      </w:rPr>
      <w:tblPr/>
      <w:tcPr>
        <w:shd w:val="clear" w:color="DEDEDE" w:themeColor="accent5" w:themeTint="40" w:fill="DEDEDE" w:themeFill="accent5" w:themeFillTint="40"/>
      </w:tcPr>
    </w:tblStylePr>
    <w:tblStylePr w:type="band2Horz">
      <w:rPr>
        <w:rFonts w:ascii="Arial" w:hAnsi="Arial"/>
        <w:color w:val="B1B1B1" w:themeColor="accent5" w:themeTint="9A" w:themeShade="95"/>
        <w:sz w:val="22"/>
      </w:rPr>
    </w:tblStylePr>
  </w:style>
  <w:style w:type="table" w:customStyle="1" w:styleId="ListTable6Colorful-Accent61">
    <w:name w:val="List Table 6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0F0F0" w:themeColor="accent6" w:themeTint="98"/>
        <w:bottom w:val="single" w:sz="4" w:space="0" w:color="F0F0F0" w:themeColor="accent6" w:themeTint="98"/>
      </w:tblBorders>
    </w:tblPr>
    <w:tblStylePr w:type="firstRow">
      <w:rPr>
        <w:b/>
        <w:color w:val="F0F0F0" w:themeColor="accent6" w:themeTint="98" w:themeShade="95"/>
      </w:rPr>
      <w:tblPr/>
      <w:tcPr>
        <w:tcBorders>
          <w:bottom w:val="single" w:sz="4" w:space="0" w:color="F0F0F0" w:themeColor="accent6" w:themeTint="98"/>
        </w:tcBorders>
      </w:tcPr>
    </w:tblStylePr>
    <w:tblStylePr w:type="lastRow">
      <w:rPr>
        <w:b/>
        <w:color w:val="F0F0F0" w:themeColor="accent6" w:themeTint="98" w:themeShade="95"/>
      </w:rPr>
      <w:tblPr/>
      <w:tcPr>
        <w:tcBorders>
          <w:top w:val="single" w:sz="4" w:space="0" w:color="F0F0F0" w:themeColor="accent6" w:themeTint="98"/>
        </w:tcBorders>
      </w:tcPr>
    </w:tblStylePr>
    <w:tblStylePr w:type="firstCol">
      <w:rPr>
        <w:b/>
        <w:color w:val="F0F0F0" w:themeColor="accent6" w:themeTint="98" w:themeShade="95"/>
      </w:rPr>
    </w:tblStylePr>
    <w:tblStylePr w:type="lastCol">
      <w:rPr>
        <w:b/>
        <w:color w:val="F0F0F0" w:themeColor="accent6" w:themeTint="98" w:themeShade="95"/>
      </w:rPr>
    </w:tblStylePr>
    <w:tblStylePr w:type="band1Vert">
      <w:tblPr/>
      <w:tcPr>
        <w:shd w:val="clear" w:color="F9F8F8" w:themeColor="accent6" w:themeTint="40" w:fill="F9F8F8" w:themeFill="accent6" w:themeFillTint="40"/>
      </w:tcPr>
    </w:tblStylePr>
    <w:tblStylePr w:type="band1Horz">
      <w:rPr>
        <w:rFonts w:ascii="Arial" w:hAnsi="Arial"/>
        <w:color w:val="F0F0F0" w:themeColor="accent6" w:themeTint="98" w:themeShade="95"/>
        <w:sz w:val="22"/>
      </w:rPr>
      <w:tblPr/>
      <w:tcPr>
        <w:shd w:val="clear" w:color="F9F8F8" w:themeColor="accent6" w:themeTint="40" w:fill="F9F8F8" w:themeFill="accent6" w:themeFillTint="40"/>
      </w:tcPr>
    </w:tblStylePr>
    <w:tblStylePr w:type="band2Horz">
      <w:rPr>
        <w:rFonts w:ascii="Arial" w:hAnsi="Arial"/>
        <w:color w:val="F0F0F0" w:themeColor="accent6" w:themeTint="98" w:themeShade="95"/>
        <w:sz w:val="22"/>
      </w:rPr>
    </w:tblStylePr>
  </w:style>
  <w:style w:type="table" w:customStyle="1" w:styleId="ListTable7Colorful-Accent11">
    <w:name w:val="List Table 7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FFFF00" w:themeColor="accent1"/>
      </w:tblBorders>
    </w:tblPr>
    <w:tblStylePr w:type="firstRow">
      <w:rPr>
        <w:rFonts w:ascii="Arial" w:hAnsi="Arial"/>
        <w:i/>
        <w:color w:val="959500" w:themeColor="accent1" w:themeShade="95"/>
        <w:sz w:val="22"/>
      </w:rPr>
      <w:tblPr/>
      <w:tcPr>
        <w:tcBorders>
          <w:top w:val="none" w:sz="4" w:space="0" w:color="000000"/>
          <w:left w:val="none" w:sz="4" w:space="0" w:color="000000"/>
          <w:bottom w:val="single" w:sz="4" w:space="0" w:color="FFFF00" w:themeColor="accent1"/>
          <w:right w:val="none" w:sz="4" w:space="0" w:color="000000"/>
        </w:tcBorders>
        <w:shd w:val="clear" w:color="FFFFFF" w:themeColor="light1" w:fill="FFFFFF" w:themeFill="light1"/>
      </w:tcPr>
    </w:tblStylePr>
    <w:tblStylePr w:type="lastRow">
      <w:rPr>
        <w:rFonts w:ascii="Arial" w:hAnsi="Arial"/>
        <w:i/>
        <w:color w:val="959500" w:themeColor="accent1" w:themeShade="95"/>
        <w:sz w:val="22"/>
      </w:rPr>
      <w:tblPr/>
      <w:tcPr>
        <w:tcBorders>
          <w:top w:val="single" w:sz="4" w:space="0" w:color="FFFF00"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59500" w:themeColor="accent1" w:themeShade="95"/>
        <w:sz w:val="22"/>
      </w:rPr>
      <w:tblPr/>
      <w:tcPr>
        <w:tcBorders>
          <w:top w:val="none" w:sz="4" w:space="0" w:color="000000"/>
          <w:left w:val="none" w:sz="4" w:space="0" w:color="000000"/>
          <w:bottom w:val="none" w:sz="4" w:space="0" w:color="000000"/>
          <w:right w:val="single" w:sz="4" w:space="0" w:color="FFFF00" w:themeColor="accent1"/>
        </w:tcBorders>
        <w:shd w:val="clear" w:color="FFFFFF" w:fill="auto"/>
      </w:tcPr>
    </w:tblStylePr>
    <w:tblStylePr w:type="lastCol">
      <w:rPr>
        <w:rFonts w:ascii="Arial" w:hAnsi="Arial"/>
        <w:i/>
        <w:color w:val="959500" w:themeColor="accent1" w:themeShade="95"/>
        <w:sz w:val="22"/>
      </w:rPr>
      <w:tblPr/>
      <w:tcPr>
        <w:tcBorders>
          <w:top w:val="none" w:sz="4" w:space="0" w:color="000000"/>
          <w:left w:val="single" w:sz="4" w:space="0" w:color="FFFF00" w:themeColor="accent1"/>
          <w:bottom w:val="none" w:sz="4" w:space="0" w:color="000000"/>
          <w:right w:val="none" w:sz="4" w:space="0" w:color="000000"/>
        </w:tcBorders>
        <w:shd w:val="clear" w:color="FFFFFF" w:fill="auto"/>
      </w:tcPr>
    </w:tblStylePr>
    <w:tblStylePr w:type="band1Vert">
      <w:tblPr/>
      <w:tcPr>
        <w:shd w:val="clear" w:color="FFFFBF" w:themeColor="accent1" w:themeTint="40" w:fill="FFFFBF" w:themeFill="accent1" w:themeFillTint="40"/>
      </w:tcPr>
    </w:tblStylePr>
    <w:tblStylePr w:type="band1Horz">
      <w:rPr>
        <w:rFonts w:ascii="Arial" w:hAnsi="Arial"/>
        <w:color w:val="959500" w:themeColor="accent1" w:themeShade="95"/>
        <w:sz w:val="22"/>
      </w:rPr>
      <w:tblPr/>
      <w:tcPr>
        <w:shd w:val="clear" w:color="FFFFBF" w:themeColor="accent1" w:themeTint="40" w:fill="FFFFBF" w:themeFill="accent1" w:themeFillTint="40"/>
      </w:tcPr>
    </w:tblStylePr>
    <w:tblStylePr w:type="band2Horz">
      <w:rPr>
        <w:rFonts w:ascii="Arial" w:hAnsi="Arial"/>
        <w:color w:val="959500" w:themeColor="accent1" w:themeShade="95"/>
        <w:sz w:val="22"/>
      </w:rPr>
    </w:tblStylePr>
  </w:style>
  <w:style w:type="table" w:customStyle="1" w:styleId="ListTable7Colorful-Accent21">
    <w:name w:val="List Table 7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E3E1E1" w:themeColor="accent2" w:themeTint="97"/>
      </w:tblBorders>
    </w:tblPr>
    <w:tblStylePr w:type="firstRow">
      <w:rPr>
        <w:rFonts w:ascii="Arial" w:hAnsi="Arial"/>
        <w:i/>
        <w:color w:val="E3E1E1" w:themeColor="accent2" w:themeTint="97" w:themeShade="95"/>
        <w:sz w:val="22"/>
      </w:rPr>
      <w:tblPr/>
      <w:tcPr>
        <w:tcBorders>
          <w:top w:val="none" w:sz="4" w:space="0" w:color="000000"/>
          <w:left w:val="none" w:sz="4" w:space="0" w:color="000000"/>
          <w:bottom w:val="single" w:sz="4" w:space="0" w:color="E3E1E1" w:themeColor="accent2" w:themeTint="97"/>
          <w:right w:val="none" w:sz="4" w:space="0" w:color="000000"/>
        </w:tcBorders>
        <w:shd w:val="clear" w:color="FFFFFF" w:themeColor="light1" w:fill="FFFFFF" w:themeFill="light1"/>
      </w:tcPr>
    </w:tblStylePr>
    <w:tblStylePr w:type="lastRow">
      <w:rPr>
        <w:rFonts w:ascii="Arial" w:hAnsi="Arial"/>
        <w:i/>
        <w:color w:val="E3E1E1" w:themeColor="accent2" w:themeTint="97" w:themeShade="95"/>
        <w:sz w:val="22"/>
      </w:rPr>
      <w:tblPr/>
      <w:tcPr>
        <w:tcBorders>
          <w:top w:val="single" w:sz="4" w:space="0" w:color="E3E1E1"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3E1E1" w:themeColor="accent2" w:themeTint="97" w:themeShade="95"/>
        <w:sz w:val="22"/>
      </w:rPr>
      <w:tblPr/>
      <w:tcPr>
        <w:tcBorders>
          <w:top w:val="none" w:sz="4" w:space="0" w:color="000000"/>
          <w:left w:val="none" w:sz="4" w:space="0" w:color="000000"/>
          <w:bottom w:val="none" w:sz="4" w:space="0" w:color="000000"/>
          <w:right w:val="single" w:sz="4" w:space="0" w:color="E3E1E1" w:themeColor="accent2" w:themeTint="97"/>
        </w:tcBorders>
        <w:shd w:val="clear" w:color="FFFFFF" w:fill="auto"/>
      </w:tcPr>
    </w:tblStylePr>
    <w:tblStylePr w:type="lastCol">
      <w:rPr>
        <w:rFonts w:ascii="Arial" w:hAnsi="Arial"/>
        <w:i/>
        <w:color w:val="E3E1E1" w:themeColor="accent2" w:themeTint="97" w:themeShade="95"/>
        <w:sz w:val="22"/>
      </w:rPr>
      <w:tblPr/>
      <w:tcPr>
        <w:tcBorders>
          <w:top w:val="none" w:sz="4" w:space="0" w:color="000000"/>
          <w:left w:val="single" w:sz="4" w:space="0" w:color="E3E1E1" w:themeColor="accent2" w:themeTint="97"/>
          <w:bottom w:val="none" w:sz="4" w:space="0" w:color="000000"/>
          <w:right w:val="none" w:sz="4" w:space="0" w:color="000000"/>
        </w:tcBorders>
        <w:shd w:val="clear" w:color="FFFFFF" w:fill="auto"/>
      </w:tcPr>
    </w:tblStylePr>
    <w:tblStylePr w:type="band1Vert">
      <w:tblPr/>
      <w:tcPr>
        <w:shd w:val="clear" w:color="F3F2F2" w:themeColor="accent2" w:themeTint="40" w:fill="F3F2F2" w:themeFill="accent2" w:themeFillTint="40"/>
      </w:tcPr>
    </w:tblStylePr>
    <w:tblStylePr w:type="band1Horz">
      <w:rPr>
        <w:rFonts w:ascii="Arial" w:hAnsi="Arial"/>
        <w:color w:val="E3E1E1" w:themeColor="accent2" w:themeTint="97" w:themeShade="95"/>
        <w:sz w:val="22"/>
      </w:rPr>
      <w:tblPr/>
      <w:tcPr>
        <w:shd w:val="clear" w:color="F3F2F2" w:themeColor="accent2" w:themeTint="40" w:fill="F3F2F2" w:themeFill="accent2" w:themeFillTint="40"/>
      </w:tcPr>
    </w:tblStylePr>
    <w:tblStylePr w:type="band2Horz">
      <w:rPr>
        <w:rFonts w:ascii="Arial" w:hAnsi="Arial"/>
        <w:color w:val="E3E1E1" w:themeColor="accent2" w:themeTint="97" w:themeShade="95"/>
        <w:sz w:val="22"/>
      </w:rPr>
    </w:tblStylePr>
  </w:style>
  <w:style w:type="table" w:customStyle="1" w:styleId="ListTable7Colorful-Accent31">
    <w:name w:val="List Table 7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ABA8A8" w:themeColor="accent4" w:themeTint="9A"/>
      </w:tblBorders>
    </w:tblPr>
    <w:tblStylePr w:type="firstRow">
      <w:rPr>
        <w:rFonts w:ascii="Arial" w:hAnsi="Arial"/>
        <w:i/>
        <w:color w:val="ABA8A8" w:themeColor="accent4" w:themeTint="9A" w:themeShade="95"/>
        <w:sz w:val="22"/>
      </w:rPr>
      <w:tblPr/>
      <w:tcPr>
        <w:tcBorders>
          <w:top w:val="none" w:sz="4" w:space="0" w:color="000000"/>
          <w:left w:val="none" w:sz="4" w:space="0" w:color="000000"/>
          <w:bottom w:val="single" w:sz="4" w:space="0" w:color="ABA8A8" w:themeColor="accent4" w:themeTint="9A"/>
          <w:right w:val="none" w:sz="4" w:space="0" w:color="000000"/>
        </w:tcBorders>
        <w:shd w:val="clear" w:color="FFFFFF" w:themeColor="light1" w:fill="FFFFFF" w:themeFill="light1"/>
      </w:tcPr>
    </w:tblStylePr>
    <w:tblStylePr w:type="lastRow">
      <w:rPr>
        <w:rFonts w:ascii="Arial" w:hAnsi="Arial"/>
        <w:i/>
        <w:color w:val="ABA8A8" w:themeColor="accent4" w:themeTint="9A" w:themeShade="95"/>
        <w:sz w:val="22"/>
      </w:rPr>
      <w:tblPr/>
      <w:tcPr>
        <w:tcBorders>
          <w:top w:val="single" w:sz="4" w:space="0" w:color="ABA8A8"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A8A8" w:themeColor="accent4" w:themeTint="9A" w:themeShade="95"/>
        <w:sz w:val="22"/>
      </w:rPr>
      <w:tblPr/>
      <w:tcPr>
        <w:tcBorders>
          <w:top w:val="none" w:sz="4" w:space="0" w:color="000000"/>
          <w:left w:val="none" w:sz="4" w:space="0" w:color="000000"/>
          <w:bottom w:val="none" w:sz="4" w:space="0" w:color="000000"/>
          <w:right w:val="single" w:sz="4" w:space="0" w:color="ABA8A8" w:themeColor="accent4" w:themeTint="9A"/>
        </w:tcBorders>
        <w:shd w:val="clear" w:color="FFFFFF" w:fill="auto"/>
      </w:tcPr>
    </w:tblStylePr>
    <w:tblStylePr w:type="lastCol">
      <w:rPr>
        <w:rFonts w:ascii="Arial" w:hAnsi="Arial"/>
        <w:i/>
        <w:color w:val="ABA8A8" w:themeColor="accent4" w:themeTint="9A" w:themeShade="95"/>
        <w:sz w:val="22"/>
      </w:rPr>
      <w:tblPr/>
      <w:tcPr>
        <w:tcBorders>
          <w:top w:val="none" w:sz="4" w:space="0" w:color="000000"/>
          <w:left w:val="single" w:sz="4" w:space="0" w:color="ABA8A8" w:themeColor="accent4" w:themeTint="9A"/>
          <w:bottom w:val="none" w:sz="4" w:space="0" w:color="000000"/>
          <w:right w:val="none" w:sz="4" w:space="0" w:color="000000"/>
        </w:tcBorders>
        <w:shd w:val="clear" w:color="FFFFFF" w:fill="auto"/>
      </w:tcPr>
    </w:tblStylePr>
    <w:tblStylePr w:type="band1Vert">
      <w:tblPr/>
      <w:tcPr>
        <w:shd w:val="clear" w:color="DCDADA" w:themeColor="accent4" w:themeTint="40" w:fill="DCDADA" w:themeFill="accent4" w:themeFillTint="40"/>
      </w:tcPr>
    </w:tblStylePr>
    <w:tblStylePr w:type="band1Horz">
      <w:rPr>
        <w:rFonts w:ascii="Arial" w:hAnsi="Arial"/>
        <w:color w:val="ABA8A8" w:themeColor="accent4" w:themeTint="9A" w:themeShade="95"/>
        <w:sz w:val="22"/>
      </w:rPr>
      <w:tblPr/>
      <w:tcPr>
        <w:shd w:val="clear" w:color="DCDADA" w:themeColor="accent4" w:themeTint="40" w:fill="DCDADA" w:themeFill="accent4" w:themeFillTint="40"/>
      </w:tcPr>
    </w:tblStylePr>
    <w:tblStylePr w:type="band2Horz">
      <w:rPr>
        <w:rFonts w:ascii="Arial" w:hAnsi="Arial"/>
        <w:color w:val="ABA8A8" w:themeColor="accent4" w:themeTint="9A" w:themeShade="95"/>
        <w:sz w:val="22"/>
      </w:rPr>
    </w:tblStylePr>
  </w:style>
  <w:style w:type="table" w:customStyle="1" w:styleId="ListTable7Colorful-Accent51">
    <w:name w:val="List Table 7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B1B1B1" w:themeColor="accent5" w:themeTint="9A"/>
      </w:tblBorders>
    </w:tblPr>
    <w:tblStylePr w:type="firstRow">
      <w:rPr>
        <w:rFonts w:ascii="Arial" w:hAnsi="Arial"/>
        <w:i/>
        <w:color w:val="B1B1B1" w:themeColor="accent5" w:themeTint="9A" w:themeShade="95"/>
        <w:sz w:val="22"/>
      </w:rPr>
      <w:tblPr/>
      <w:tcPr>
        <w:tcBorders>
          <w:top w:val="none" w:sz="4" w:space="0" w:color="000000"/>
          <w:left w:val="none" w:sz="4" w:space="0" w:color="000000"/>
          <w:bottom w:val="single" w:sz="4" w:space="0" w:color="B1B1B1" w:themeColor="accent5" w:themeTint="9A"/>
          <w:right w:val="none" w:sz="4" w:space="0" w:color="000000"/>
        </w:tcBorders>
        <w:shd w:val="clear" w:color="FFFFFF" w:themeColor="light1" w:fill="FFFFFF" w:themeFill="light1"/>
      </w:tcPr>
    </w:tblStylePr>
    <w:tblStylePr w:type="lastRow">
      <w:rPr>
        <w:rFonts w:ascii="Arial" w:hAnsi="Arial"/>
        <w:i/>
        <w:color w:val="B1B1B1" w:themeColor="accent5" w:themeTint="9A" w:themeShade="95"/>
        <w:sz w:val="22"/>
      </w:rPr>
      <w:tblPr/>
      <w:tcPr>
        <w:tcBorders>
          <w:top w:val="single" w:sz="4" w:space="0" w:color="B1B1B1"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B1B1" w:themeColor="accent5" w:themeTint="9A" w:themeShade="95"/>
        <w:sz w:val="22"/>
      </w:rPr>
      <w:tblPr/>
      <w:tcPr>
        <w:tcBorders>
          <w:top w:val="none" w:sz="4" w:space="0" w:color="000000"/>
          <w:left w:val="none" w:sz="4" w:space="0" w:color="000000"/>
          <w:bottom w:val="none" w:sz="4" w:space="0" w:color="000000"/>
          <w:right w:val="single" w:sz="4" w:space="0" w:color="B1B1B1" w:themeColor="accent5" w:themeTint="9A"/>
        </w:tcBorders>
        <w:shd w:val="clear" w:color="FFFFFF" w:fill="auto"/>
      </w:tcPr>
    </w:tblStylePr>
    <w:tblStylePr w:type="lastCol">
      <w:rPr>
        <w:rFonts w:ascii="Arial" w:hAnsi="Arial"/>
        <w:i/>
        <w:color w:val="B1B1B1" w:themeColor="accent5" w:themeTint="9A" w:themeShade="95"/>
        <w:sz w:val="22"/>
      </w:rPr>
      <w:tblPr/>
      <w:tcPr>
        <w:tcBorders>
          <w:top w:val="none" w:sz="4" w:space="0" w:color="000000"/>
          <w:left w:val="single" w:sz="4" w:space="0" w:color="B1B1B1" w:themeColor="accent5" w:themeTint="9A"/>
          <w:bottom w:val="none" w:sz="4" w:space="0" w:color="000000"/>
          <w:right w:val="none" w:sz="4" w:space="0" w:color="000000"/>
        </w:tcBorders>
        <w:shd w:val="clear" w:color="FFFFFF" w:fill="auto"/>
      </w:tcPr>
    </w:tblStylePr>
    <w:tblStylePr w:type="band1Vert">
      <w:tblPr/>
      <w:tcPr>
        <w:shd w:val="clear" w:color="DEDEDE" w:themeColor="accent5" w:themeTint="40" w:fill="DEDEDE" w:themeFill="accent5" w:themeFillTint="40"/>
      </w:tcPr>
    </w:tblStylePr>
    <w:tblStylePr w:type="band1Horz">
      <w:rPr>
        <w:rFonts w:ascii="Arial" w:hAnsi="Arial"/>
        <w:color w:val="B1B1B1" w:themeColor="accent5" w:themeTint="9A" w:themeShade="95"/>
        <w:sz w:val="22"/>
      </w:rPr>
      <w:tblPr/>
      <w:tcPr>
        <w:shd w:val="clear" w:color="DEDEDE" w:themeColor="accent5" w:themeTint="40" w:fill="DEDEDE" w:themeFill="accent5" w:themeFillTint="40"/>
      </w:tcPr>
    </w:tblStylePr>
    <w:tblStylePr w:type="band2Horz">
      <w:rPr>
        <w:rFonts w:ascii="Arial" w:hAnsi="Arial"/>
        <w:color w:val="B1B1B1" w:themeColor="accent5" w:themeTint="9A" w:themeShade="95"/>
        <w:sz w:val="22"/>
      </w:rPr>
    </w:tblStylePr>
  </w:style>
  <w:style w:type="table" w:customStyle="1" w:styleId="ListTable7Colorful-Accent61">
    <w:name w:val="List Table 7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F0F0F0" w:themeColor="accent6" w:themeTint="98"/>
      </w:tblBorders>
    </w:tblPr>
    <w:tblStylePr w:type="firstRow">
      <w:rPr>
        <w:rFonts w:ascii="Arial" w:hAnsi="Arial"/>
        <w:i/>
        <w:color w:val="F0F0F0" w:themeColor="accent6" w:themeTint="98" w:themeShade="95"/>
        <w:sz w:val="22"/>
      </w:rPr>
      <w:tblPr/>
      <w:tcPr>
        <w:tcBorders>
          <w:top w:val="none" w:sz="4" w:space="0" w:color="000000"/>
          <w:left w:val="none" w:sz="4" w:space="0" w:color="000000"/>
          <w:bottom w:val="single" w:sz="4" w:space="0" w:color="F0F0F0" w:themeColor="accent6" w:themeTint="98"/>
          <w:right w:val="none" w:sz="4" w:space="0" w:color="000000"/>
        </w:tcBorders>
        <w:shd w:val="clear" w:color="FFFFFF" w:themeColor="light1" w:fill="FFFFFF" w:themeFill="light1"/>
      </w:tcPr>
    </w:tblStylePr>
    <w:tblStylePr w:type="lastRow">
      <w:rPr>
        <w:rFonts w:ascii="Arial" w:hAnsi="Arial"/>
        <w:i/>
        <w:color w:val="F0F0F0" w:themeColor="accent6" w:themeTint="98" w:themeShade="95"/>
        <w:sz w:val="22"/>
      </w:rPr>
      <w:tblPr/>
      <w:tcPr>
        <w:tcBorders>
          <w:top w:val="single" w:sz="4" w:space="0" w:color="F0F0F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0F0F0" w:themeColor="accent6" w:themeTint="98" w:themeShade="95"/>
        <w:sz w:val="22"/>
      </w:rPr>
      <w:tblPr/>
      <w:tcPr>
        <w:tcBorders>
          <w:top w:val="none" w:sz="4" w:space="0" w:color="000000"/>
          <w:left w:val="none" w:sz="4" w:space="0" w:color="000000"/>
          <w:bottom w:val="none" w:sz="4" w:space="0" w:color="000000"/>
          <w:right w:val="single" w:sz="4" w:space="0" w:color="F0F0F0" w:themeColor="accent6" w:themeTint="98"/>
        </w:tcBorders>
        <w:shd w:val="clear" w:color="FFFFFF" w:fill="auto"/>
      </w:tcPr>
    </w:tblStylePr>
    <w:tblStylePr w:type="lastCol">
      <w:rPr>
        <w:rFonts w:ascii="Arial" w:hAnsi="Arial"/>
        <w:i/>
        <w:color w:val="F0F0F0" w:themeColor="accent6" w:themeTint="98" w:themeShade="95"/>
        <w:sz w:val="22"/>
      </w:rPr>
      <w:tblPr/>
      <w:tcPr>
        <w:tcBorders>
          <w:top w:val="none" w:sz="4" w:space="0" w:color="000000"/>
          <w:left w:val="single" w:sz="4" w:space="0" w:color="F0F0F0" w:themeColor="accent6" w:themeTint="98"/>
          <w:bottom w:val="none" w:sz="4" w:space="0" w:color="000000"/>
          <w:right w:val="none" w:sz="4" w:space="0" w:color="000000"/>
        </w:tcBorders>
        <w:shd w:val="clear" w:color="FFFFFF" w:fill="auto"/>
      </w:tcPr>
    </w:tblStylePr>
    <w:tblStylePr w:type="band1Vert">
      <w:tblPr/>
      <w:tcPr>
        <w:shd w:val="clear" w:color="F9F8F8" w:themeColor="accent6" w:themeTint="40" w:fill="F9F8F8" w:themeFill="accent6" w:themeFillTint="40"/>
      </w:tcPr>
    </w:tblStylePr>
    <w:tblStylePr w:type="band1Horz">
      <w:rPr>
        <w:rFonts w:ascii="Arial" w:hAnsi="Arial"/>
        <w:color w:val="F0F0F0" w:themeColor="accent6" w:themeTint="98" w:themeShade="95"/>
        <w:sz w:val="22"/>
      </w:rPr>
      <w:tblPr/>
      <w:tcPr>
        <w:shd w:val="clear" w:color="F9F8F8" w:themeColor="accent6" w:themeTint="40" w:fill="F9F8F8" w:themeFill="accent6" w:themeFillTint="40"/>
      </w:tcPr>
    </w:tblStylePr>
    <w:tblStylePr w:type="band2Horz">
      <w:rPr>
        <w:rFonts w:ascii="Arial" w:hAnsi="Arial"/>
        <w:color w:val="F0F0F0" w:themeColor="accent6" w:themeTint="98" w:themeShade="95"/>
        <w:sz w:val="22"/>
      </w:rPr>
    </w:tblStylePr>
  </w:style>
  <w:style w:type="character" w:customStyle="1" w:styleId="indexnumber">
    <w:name w:val="indexnumber"/>
    <w:basedOn w:val="DefaultParagraphFont"/>
    <w:rsid w:val="00917F5E"/>
  </w:style>
  <w:style w:type="table" w:customStyle="1" w:styleId="GridTable5Dark-Accent11">
    <w:name w:val="Grid Table 5 Dark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CB" w:themeColor="accent1" w:themeTint="34" w:fill="FFFFCB" w:themeFill="accent1" w:themeFillTint="34"/>
    </w:tblPr>
    <w:tblStylePr w:type="firstRow">
      <w:rPr>
        <w:rFonts w:ascii="Arial" w:hAnsi="Arial"/>
        <w:b/>
        <w:color w:val="FFFFFF"/>
        <w:sz w:val="22"/>
      </w:rPr>
      <w:tblPr/>
      <w:tcPr>
        <w:shd w:val="clear" w:color="FFFF00" w:themeColor="accent1" w:fill="FFFF00" w:themeFill="accent1"/>
      </w:tcPr>
    </w:tblStylePr>
    <w:tblStylePr w:type="lastRow">
      <w:rPr>
        <w:rFonts w:ascii="Arial" w:hAnsi="Arial"/>
        <w:b/>
        <w:color w:val="FFFFFF"/>
        <w:sz w:val="22"/>
      </w:rPr>
      <w:tblPr/>
      <w:tcPr>
        <w:tcBorders>
          <w:top w:val="single" w:sz="4" w:space="0" w:color="FFFFFF" w:themeColor="light1"/>
        </w:tcBorders>
        <w:shd w:val="clear" w:color="FFFF00" w:themeColor="accent1" w:fill="FFFF00" w:themeFill="accent1"/>
      </w:tcPr>
    </w:tblStylePr>
    <w:tblStylePr w:type="firstCol">
      <w:rPr>
        <w:rFonts w:ascii="Arial" w:hAnsi="Arial"/>
        <w:b/>
        <w:color w:val="FFFFFF"/>
        <w:sz w:val="22"/>
      </w:rPr>
      <w:tblPr/>
      <w:tcPr>
        <w:shd w:val="clear" w:color="FFFF00" w:themeColor="accent1" w:fill="FFFF00" w:themeFill="accent1"/>
      </w:tcPr>
    </w:tblStylePr>
    <w:tblStylePr w:type="lastCol">
      <w:rPr>
        <w:rFonts w:ascii="Arial" w:hAnsi="Arial"/>
        <w:b/>
        <w:color w:val="FFFFFF"/>
        <w:sz w:val="22"/>
      </w:rPr>
      <w:tblPr/>
      <w:tcPr>
        <w:shd w:val="clear" w:color="FFFF00" w:themeColor="accent1" w:fill="FFFF00" w:themeFill="accent1"/>
      </w:tcPr>
    </w:tblStylePr>
    <w:tblStylePr w:type="band1Vert">
      <w:tblPr/>
      <w:tcPr>
        <w:shd w:val="clear" w:color="FFFF8A" w:themeColor="accent1" w:themeTint="75" w:fill="FFFF8A" w:themeFill="accent1" w:themeFillTint="75"/>
      </w:tcPr>
    </w:tblStylePr>
    <w:tblStylePr w:type="band1Horz">
      <w:tblPr/>
      <w:tcPr>
        <w:shd w:val="clear" w:color="FFFF8A" w:themeColor="accent1" w:themeTint="75" w:fill="FFFF8A" w:themeFill="accent1" w:themeFillTint="75"/>
      </w:tcPr>
    </w:tblStylePr>
  </w:style>
  <w:style w:type="table" w:customStyle="1" w:styleId="GridTable5Dark-Accent41">
    <w:name w:val="Grid Table 5 Dark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3E1E1" w:themeColor="accent4" w:themeTint="34" w:fill="E3E1E1" w:themeFill="accent4" w:themeFillTint="34"/>
    </w:tblPr>
    <w:tblStylePr w:type="firstRow">
      <w:rPr>
        <w:rFonts w:ascii="Arial" w:hAnsi="Arial"/>
        <w:b/>
        <w:color w:val="FFFFFF"/>
        <w:sz w:val="22"/>
      </w:rPr>
      <w:tblPr/>
      <w:tcPr>
        <w:shd w:val="clear" w:color="757070" w:themeColor="accent4" w:fill="757070" w:themeFill="accent4"/>
      </w:tcPr>
    </w:tblStylePr>
    <w:tblStylePr w:type="lastRow">
      <w:rPr>
        <w:rFonts w:ascii="Arial" w:hAnsi="Arial"/>
        <w:b/>
        <w:color w:val="FFFFFF"/>
        <w:sz w:val="22"/>
      </w:rPr>
      <w:tblPr/>
      <w:tcPr>
        <w:tcBorders>
          <w:top w:val="single" w:sz="4" w:space="0" w:color="FFFFFF" w:themeColor="light1"/>
        </w:tcBorders>
        <w:shd w:val="clear" w:color="757070" w:themeColor="accent4" w:fill="757070" w:themeFill="accent4"/>
      </w:tcPr>
    </w:tblStylePr>
    <w:tblStylePr w:type="firstCol">
      <w:rPr>
        <w:rFonts w:ascii="Arial" w:hAnsi="Arial"/>
        <w:b/>
        <w:color w:val="FFFFFF"/>
        <w:sz w:val="22"/>
      </w:rPr>
      <w:tblPr/>
      <w:tcPr>
        <w:shd w:val="clear" w:color="757070" w:themeColor="accent4" w:fill="757070" w:themeFill="accent4"/>
      </w:tcPr>
    </w:tblStylePr>
    <w:tblStylePr w:type="lastCol">
      <w:rPr>
        <w:rFonts w:ascii="Arial" w:hAnsi="Arial"/>
        <w:b/>
        <w:color w:val="FFFFFF"/>
        <w:sz w:val="22"/>
      </w:rPr>
      <w:tblPr/>
      <w:tcPr>
        <w:shd w:val="clear" w:color="757070" w:themeColor="accent4" w:fill="757070" w:themeFill="accent4"/>
      </w:tcPr>
    </w:tblStylePr>
    <w:tblStylePr w:type="band1Vert">
      <w:tblPr/>
      <w:tcPr>
        <w:shd w:val="clear" w:color="C0BDBD" w:themeColor="accent4" w:themeTint="75" w:fill="C0BDBD" w:themeFill="accent4" w:themeFillTint="75"/>
      </w:tcPr>
    </w:tblStylePr>
    <w:tblStylePr w:type="band1Horz">
      <w:tblPr/>
      <w:tcPr>
        <w:shd w:val="clear" w:color="C0BDBD" w:themeColor="accent4" w:themeTint="75" w:fill="C0BDBD" w:themeFill="accent4" w:themeFillTint="75"/>
      </w:tcPr>
    </w:tblStylePr>
  </w:style>
  <w:style w:type="character" w:styleId="Mention">
    <w:name w:val="Mention"/>
    <w:basedOn w:val="DefaultParagraphFont"/>
    <w:uiPriority w:val="99"/>
    <w:unhideWhenUsed/>
    <w:rsid w:val="00917F5E"/>
    <w:rPr>
      <w:color w:val="2B579A"/>
      <w:shd w:val="clear" w:color="auto" w:fill="E6E6E6"/>
    </w:rPr>
  </w:style>
  <w:style w:type="character" w:styleId="HTMLCite">
    <w:name w:val="HTML Cite"/>
    <w:basedOn w:val="DefaultParagraphFont"/>
    <w:uiPriority w:val="99"/>
    <w:semiHidden/>
    <w:unhideWhenUsed/>
    <w:rsid w:val="00866F74"/>
    <w:rPr>
      <w:i/>
      <w:iCs/>
    </w:rPr>
  </w:style>
  <w:style w:type="character" w:customStyle="1" w:styleId="normaltextrun">
    <w:name w:val="normaltextrun"/>
    <w:basedOn w:val="DefaultParagraphFont"/>
    <w:rsid w:val="00CC7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330333312">
      <w:bodyDiv w:val="1"/>
      <w:marLeft w:val="0"/>
      <w:marRight w:val="0"/>
      <w:marTop w:val="0"/>
      <w:marBottom w:val="0"/>
      <w:divBdr>
        <w:top w:val="none" w:sz="0" w:space="0" w:color="auto"/>
        <w:left w:val="none" w:sz="0" w:space="0" w:color="auto"/>
        <w:bottom w:val="none" w:sz="0" w:space="0" w:color="auto"/>
        <w:right w:val="none" w:sz="0" w:space="0" w:color="auto"/>
      </w:divBdr>
    </w:div>
    <w:div w:id="357507740">
      <w:bodyDiv w:val="1"/>
      <w:marLeft w:val="0"/>
      <w:marRight w:val="0"/>
      <w:marTop w:val="0"/>
      <w:marBottom w:val="0"/>
      <w:divBdr>
        <w:top w:val="none" w:sz="0" w:space="0" w:color="auto"/>
        <w:left w:val="none" w:sz="0" w:space="0" w:color="auto"/>
        <w:bottom w:val="none" w:sz="0" w:space="0" w:color="auto"/>
        <w:right w:val="none" w:sz="0" w:space="0" w:color="auto"/>
      </w:divBdr>
    </w:div>
    <w:div w:id="399523559">
      <w:bodyDiv w:val="1"/>
      <w:marLeft w:val="0"/>
      <w:marRight w:val="0"/>
      <w:marTop w:val="0"/>
      <w:marBottom w:val="0"/>
      <w:divBdr>
        <w:top w:val="none" w:sz="0" w:space="0" w:color="auto"/>
        <w:left w:val="none" w:sz="0" w:space="0" w:color="auto"/>
        <w:bottom w:val="none" w:sz="0" w:space="0" w:color="auto"/>
        <w:right w:val="none" w:sz="0" w:space="0" w:color="auto"/>
      </w:divBdr>
    </w:div>
    <w:div w:id="1296448635">
      <w:bodyDiv w:val="1"/>
      <w:marLeft w:val="0"/>
      <w:marRight w:val="0"/>
      <w:marTop w:val="0"/>
      <w:marBottom w:val="0"/>
      <w:divBdr>
        <w:top w:val="none" w:sz="0" w:space="0" w:color="auto"/>
        <w:left w:val="none" w:sz="0" w:space="0" w:color="auto"/>
        <w:bottom w:val="none" w:sz="0" w:space="0" w:color="auto"/>
        <w:right w:val="none" w:sz="0" w:space="0" w:color="auto"/>
      </w:divBdr>
    </w:div>
    <w:div w:id="1813058824">
      <w:bodyDiv w:val="1"/>
      <w:marLeft w:val="0"/>
      <w:marRight w:val="0"/>
      <w:marTop w:val="0"/>
      <w:marBottom w:val="0"/>
      <w:divBdr>
        <w:top w:val="none" w:sz="0" w:space="0" w:color="auto"/>
        <w:left w:val="none" w:sz="0" w:space="0" w:color="auto"/>
        <w:bottom w:val="none" w:sz="0" w:space="0" w:color="auto"/>
        <w:right w:val="none" w:sz="0" w:space="0" w:color="auto"/>
      </w:divBdr>
    </w:div>
    <w:div w:id="20467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image" Target="media/image5.png"/><Relationship Id="rId21" Type="http://schemas.openxmlformats.org/officeDocument/2006/relationships/footer" Target="footer5.xml"/><Relationship Id="rId34" Type="http://schemas.openxmlformats.org/officeDocument/2006/relationships/image" Target="media/image9.sv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6.xml"/><Relationship Id="rId25" Type="http://schemas.openxmlformats.org/officeDocument/2006/relationships/image" Target="media/image4.png"/><Relationship Id="rId33" Type="http://schemas.openxmlformats.org/officeDocument/2006/relationships/image" Target="media/image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facebook.com/AmnestyGlobal" TargetMode="External"/><Relationship Id="rId32" Type="http://schemas.openxmlformats.org/officeDocument/2006/relationships/image" Target="media/image7.sv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mailto:info@amnesty.org" TargetMode="External"/><Relationship Id="rId28" Type="http://schemas.openxmlformats.org/officeDocument/2006/relationships/hyperlink" Target="http://www.facebook.com/AmnestyGlobal" TargetMode="External"/><Relationship Id="rId36"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yperlink" Target="mailto:info@amnesty.org" TargetMode="External"/><Relationship Id="rId30" Type="http://schemas.openxmlformats.org/officeDocument/2006/relationships/hyperlink" Target="https://www.amnesty.org/en/about-us/permissions/" TargetMode="External"/><Relationship Id="rId35" Type="http://schemas.openxmlformats.org/officeDocument/2006/relationships/header" Target="header9.xm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intermin.fi/en/police/hate-crime" TargetMode="External"/><Relationship Id="rId117" Type="http://schemas.openxmlformats.org/officeDocument/2006/relationships/hyperlink" Target="https://www.finlex.fi/fi/lainsaadanto/saadoskaannokset/2005/eng/578" TargetMode="External"/><Relationship Id="rId21" Type="http://schemas.openxmlformats.org/officeDocument/2006/relationships/hyperlink" Target="https://bin.yhdistysavain.fi/1586428/RWMi5qFyISAkQRjVPSEY0aINBa/Antisemitismiselvitys%202024.pdf" TargetMode="External"/><Relationship Id="rId42" Type="http://schemas.openxmlformats.org/officeDocument/2006/relationships/hyperlink" Target="https://www.kela.fi/news/general-housing-allowance-reduced-in-2024-will-no-longer-be-available-for-owner-occupied-homes-starting-in-2025" TargetMode="External"/><Relationship Id="rId47" Type="http://schemas.openxmlformats.org/officeDocument/2006/relationships/hyperlink" Target="https://www.amnesty.fi/app/uploads/2026/03/Lausunto-AI-FI-2026-STM-kotihoidontuki.pdf" TargetMode="External"/><Relationship Id="rId63" Type="http://schemas.openxmlformats.org/officeDocument/2006/relationships/hyperlink" Target="https://www.amnesty.fi/uploads/2025/02/amnesty-asenne-esiin-tutkimusraportti.pdf" TargetMode="External"/><Relationship Id="rId68" Type="http://schemas.openxmlformats.org/officeDocument/2006/relationships/hyperlink" Target="https://www.amnesty.org/en/documents/eur20/8913/2025/en/" TargetMode="External"/><Relationship Id="rId84" Type="http://schemas.openxmlformats.org/officeDocument/2006/relationships/hyperlink" Target="https://www.amnesty.fi/app/uploads/2024/02/mielenosoitustarkkailun-vuosiraportti-2023_valmis.pdf" TargetMode="External"/><Relationship Id="rId89" Type="http://schemas.openxmlformats.org/officeDocument/2006/relationships/hyperlink" Target="https://yle.fi/a/74-20201502" TargetMode="External"/><Relationship Id="rId112" Type="http://schemas.openxmlformats.org/officeDocument/2006/relationships/hyperlink" Target="https://www.finlex.fi/fi/lainsaadanto/saadoskokoelma/2025/147" TargetMode="External"/><Relationship Id="rId16" Type="http://schemas.openxmlformats.org/officeDocument/2006/relationships/hyperlink" Target="https://www.antiracistforum.org/together-against-hate-shadow-report" TargetMode="External"/><Relationship Id="rId107" Type="http://schemas.openxmlformats.org/officeDocument/2006/relationships/hyperlink" Target="https://urn.fi/URN:ISBN:978-952-327-870-7" TargetMode="External"/><Relationship Id="rId11" Type="http://schemas.openxmlformats.org/officeDocument/2006/relationships/hyperlink" Target="https://julkaisut.valtioneuvosto.fi/items/bc7be417-f5db-48c6-afa9-151975f4be1b" TargetMode="External"/><Relationship Id="rId32" Type="http://schemas.openxmlformats.org/officeDocument/2006/relationships/hyperlink" Target="https://static1.squarespace.com/static/5c61e3977980b3278f57db6e/t/6659e9892db6c77e9b0c3233/1717168536263/shadowreportIII-ENG+%281%29-min.pdf" TargetMode="External"/><Relationship Id="rId37" Type="http://schemas.openxmlformats.org/officeDocument/2006/relationships/hyperlink" Target="https://www.amnesty.org/en/documents/eur20/9219/2025/en/" TargetMode="External"/><Relationship Id="rId53" Type="http://schemas.openxmlformats.org/officeDocument/2006/relationships/hyperlink" Target="https://eige.europa.eu/gender-equality-index/2025/domain/violence/FI" TargetMode="External"/><Relationship Id="rId58" Type="http://schemas.openxmlformats.org/officeDocument/2006/relationships/hyperlink" Target="https://doi.org/10.1080/08038740.2025.2606266" TargetMode="External"/><Relationship Id="rId74" Type="http://schemas.openxmlformats.org/officeDocument/2006/relationships/hyperlink" Target="https://www.amnesty.fi/app/uploads/2024/02/mielenosoitustarkkailun-vuosiraportti-2023_valmis.pdf" TargetMode="External"/><Relationship Id="rId79" Type="http://schemas.openxmlformats.org/officeDocument/2006/relationships/hyperlink" Target="https://www.amnesty.fi/amnesty-poliisin-lasnaolo-olisi-voinut-estaa-pahoinpitelyn-valkoinen-vappu-kulkueessa/" TargetMode="External"/><Relationship Id="rId102" Type="http://schemas.openxmlformats.org/officeDocument/2006/relationships/hyperlink" Target="https://www.finlex.fi/fi/hallituksen-esitykset/2026/52" TargetMode="External"/><Relationship Id="rId123" Type="http://schemas.openxmlformats.org/officeDocument/2006/relationships/hyperlink" Target="https://intermin.fi/-/hallitus-valmistelee-rajaturvallisuuslain-voimassaololle-jatkoa?languageId=en_US" TargetMode="External"/><Relationship Id="rId5" Type="http://schemas.openxmlformats.org/officeDocument/2006/relationships/hyperlink" Target="https://www.amnesty.fi/yhteiskannanotto-hallituksen-politiikka-uhkaa-syventaa-rasismia-ja-syrjintaa/" TargetMode="External"/><Relationship Id="rId90" Type="http://schemas.openxmlformats.org/officeDocument/2006/relationships/hyperlink" Target="https://www.amnesty.fi/app/uploads/2024/02/mielenosoitustarkkailun-vuosiraportti-2023_valmis.pdf" TargetMode="External"/><Relationship Id="rId95" Type="http://schemas.openxmlformats.org/officeDocument/2006/relationships/hyperlink" Target="https://intermin.fi/-/maahantulosaannosten-kiertamista-estavat-lakimuutokset-voimaan-1.9?languageId=en_US" TargetMode="External"/><Relationship Id="rId22" Type="http://schemas.openxmlformats.org/officeDocument/2006/relationships/hyperlink" Target="https://www.migpolgroup.com/wp-content/uploads/2025/08/Finland-country-report-non-discrimination-DS0125069ENN.pdf" TargetMode="External"/><Relationship Id="rId27" Type="http://schemas.openxmlformats.org/officeDocument/2006/relationships/hyperlink" Target="https://urn.fi/URN:NBN:fi-fe2025100299240" TargetMode="External"/><Relationship Id="rId43" Type="http://schemas.openxmlformats.org/officeDocument/2006/relationships/hyperlink" Target="https://www.finlex.fi/fi/hallituksen-esitykset/2026/109" TargetMode="External"/><Relationship Id="rId48" Type="http://schemas.openxmlformats.org/officeDocument/2006/relationships/hyperlink" Target="https://stm.fi/en/income-security/social-assistance" TargetMode="External"/><Relationship Id="rId64" Type="http://schemas.openxmlformats.org/officeDocument/2006/relationships/hyperlink" Target="https://www.amnesty.fi/amnestyn-kansalaiskysely-suostumuksen-ja-uudistuneen-seksuaalirikoslainsaadannon-ymmarrys-riittamatonta-suomessa/" TargetMode="External"/><Relationship Id="rId69" Type="http://schemas.openxmlformats.org/officeDocument/2006/relationships/hyperlink" Target="https://www.finlex.fi/fi/lainsaadanto/saadoskokoelma/2025/414" TargetMode="External"/><Relationship Id="rId113" Type="http://schemas.openxmlformats.org/officeDocument/2006/relationships/hyperlink" Target="https://valtioneuvosto.fi/-/1410869/hallitus-esittaa-muutoksia-sailoonoton-ja-maahantulokiellon-saantelyyn?languageId=en_US" TargetMode="External"/><Relationship Id="rId118" Type="http://schemas.openxmlformats.org/officeDocument/2006/relationships/hyperlink" Target="https://valtioneuvosto.fi/en/situation-at-finlands-eastern-border" TargetMode="External"/><Relationship Id="rId80" Type="http://schemas.openxmlformats.org/officeDocument/2006/relationships/hyperlink" Target="https://www.mtvuutiset.fi/artikkeli/silminnakija-stt-lle-naamioitunut-joukkio-tonaisi-ulkomaalaisen-naisen-katuun-helsingissa-poliisi-ei-puuttunut-asiaan/9266542" TargetMode="External"/><Relationship Id="rId85" Type="http://schemas.openxmlformats.org/officeDocument/2006/relationships/hyperlink" Target="https://www.amnesty.fi/uploads/2023/02/raportti_mielenosoitustarkkailu.pdf" TargetMode="External"/><Relationship Id="rId12" Type="http://schemas.openxmlformats.org/officeDocument/2006/relationships/hyperlink" Target="https://urn.fi/URN:ISBN:978-952-400-759-7" TargetMode="External"/><Relationship Id="rId17" Type="http://schemas.openxmlformats.org/officeDocument/2006/relationships/hyperlink" Target="https://europa.eu/eurobarometer/surveys/detail/2972" TargetMode="External"/><Relationship Id="rId33" Type="http://schemas.openxmlformats.org/officeDocument/2006/relationships/hyperlink" Target="https://urn.fi/URN:ISBN:978-952-259-934-6" TargetMode="External"/><Relationship Id="rId38" Type="http://schemas.openxmlformats.org/officeDocument/2006/relationships/hyperlink" Target="https://www.varke.fi/en/statistics/homelessness/homeless-people-2024" TargetMode="External"/><Relationship Id="rId59" Type="http://schemas.openxmlformats.org/officeDocument/2006/relationships/hyperlink" Target="https://um.fi/euroopan-neuvoston-voimassa-olevat-ihmisoikeussopimukset/-/asset_publisher/mnr92wS4p1l3/content/yleissopimus-naisiin-kohdistuvan-vakivallan-ja-perhevakivallan-ehkaisemisesta-ja-torjumisesta-2011-/35732" TargetMode="External"/><Relationship Id="rId103" Type="http://schemas.openxmlformats.org/officeDocument/2006/relationships/hyperlink" Target="https://valtioneuvosto.fi/-/1410869/eu-n-muuttoliike-ja-turvapaikkasopimusta-koskeva-hallituksen-esitys-eduskuntaan?languageId=en_US" TargetMode="External"/><Relationship Id="rId108" Type="http://schemas.openxmlformats.org/officeDocument/2006/relationships/hyperlink" Target="https://valtioneuvosto.fi/-/5202425/perheenyhdistamiseen-muutoksia-ja-uusia-edellytyksia?languageId=en_US" TargetMode="External"/><Relationship Id="rId54" Type="http://schemas.openxmlformats.org/officeDocument/2006/relationships/hyperlink" Target="https://www.julkari.fi/bitstream/handle/10024/110829/URN_ISBN_978-952-302-105-1.pdf?sequence=1&amp;isAllowed=y" TargetMode="External"/><Relationship Id="rId70" Type="http://schemas.openxmlformats.org/officeDocument/2006/relationships/hyperlink" Target="https://urn.fi/URN:ISBN:978-952-383-956-4" TargetMode="External"/><Relationship Id="rId75" Type="http://schemas.openxmlformats.org/officeDocument/2006/relationships/hyperlink" Target="https://www.amnesty.fi/app/uploads/2025/04/tarkkailuraportti-mielenosoituksista-2024.pdf" TargetMode="External"/><Relationship Id="rId91" Type="http://schemas.openxmlformats.org/officeDocument/2006/relationships/hyperlink" Target="https://poliisi.fi/-/poliisihallitus-turkin-presidenttia-esittavaa-nukkea-ei-olisi-saanut-ottaa-haltuun?languageId=en_US" TargetMode="External"/><Relationship Id="rId96" Type="http://schemas.openxmlformats.org/officeDocument/2006/relationships/hyperlink" Target="https://www.finlex.fi/fi/lainsaadanto/saadoskokoelma/2025/255" TargetMode="External"/><Relationship Id="rId1" Type="http://schemas.openxmlformats.org/officeDocument/2006/relationships/hyperlink" Target="https://urn.fi/URN:ISBN:978-952-383-818-5" TargetMode="External"/><Relationship Id="rId6" Type="http://schemas.openxmlformats.org/officeDocument/2006/relationships/hyperlink" Target="https://www.amnesty.fi/jarjestot-peraankuuluttavat-hallitukselta-antirasistista-politiikkaa-ja-yhdenvertaisuutta-edistavaa-lainsaadantoa/" TargetMode="External"/><Relationship Id="rId23" Type="http://schemas.openxmlformats.org/officeDocument/2006/relationships/hyperlink" Target="https://islamophobiareport.com/islamophobiareport-2022.pdf" TargetMode="External"/><Relationship Id="rId28" Type="http://schemas.openxmlformats.org/officeDocument/2006/relationships/hyperlink" Target="https://intermin.fi/en/police/hate-crime" TargetMode="External"/><Relationship Id="rId49" Type="http://schemas.openxmlformats.org/officeDocument/2006/relationships/hyperlink" Target="https://www.eduskunta.fi/asiat-ja-aanestykset/valtiopaivaasiat/HE%2052%2F2026%20vp" TargetMode="External"/><Relationship Id="rId114" Type="http://schemas.openxmlformats.org/officeDocument/2006/relationships/hyperlink" Target="https://www.finlex.fi/fi/lainsaadanto/saadoskokoelma/2025/147" TargetMode="External"/><Relationship Id="rId119" Type="http://schemas.openxmlformats.org/officeDocument/2006/relationships/hyperlink" Target="https://www.amnesty.fi/paatos-jatkaa-itarajan-tayssulkua-on-kohtuuton/" TargetMode="External"/><Relationship Id="rId44" Type="http://schemas.openxmlformats.org/officeDocument/2006/relationships/hyperlink" Target="https://www.eduskunta.fi/asiat-ja-aanestykset/valtiopaivaasiat/asiakirjat/edktunnus/EDK-2026-AK-22400" TargetMode="External"/><Relationship Id="rId60" Type="http://schemas.openxmlformats.org/officeDocument/2006/relationships/hyperlink" Target="https://samediggi.fi/en/the-sami-parliament/" TargetMode="External"/><Relationship Id="rId65" Type="http://schemas.openxmlformats.org/officeDocument/2006/relationships/hyperlink" Target="https://urn.fi/URN:ISBN:978-952-324-347-7" TargetMode="External"/><Relationship Id="rId81" Type="http://schemas.openxmlformats.org/officeDocument/2006/relationships/hyperlink" Target="https://oikeusasiamies.fi/-/poliisin-menettely-mielenosoituksessa-2" TargetMode="External"/><Relationship Id="rId86" Type="http://schemas.openxmlformats.org/officeDocument/2006/relationships/hyperlink" Target="https://yle.fi/a/74-20008276" TargetMode="External"/><Relationship Id="rId4" Type="http://schemas.openxmlformats.org/officeDocument/2006/relationships/hyperlink" Target="https://urn.fi/URN:ISBN:978-952-259-813-4" TargetMode="External"/><Relationship Id="rId9" Type="http://schemas.openxmlformats.org/officeDocument/2006/relationships/hyperlink" Target="https://urn.fi/URN:ISBN:978-952-400-655-2" TargetMode="External"/><Relationship Id="rId13" Type="http://schemas.openxmlformats.org/officeDocument/2006/relationships/hyperlink" Target="https://urn.fi/URN:ISBN:978-952-383-298-5" TargetMode="External"/><Relationship Id="rId18" Type="http://schemas.openxmlformats.org/officeDocument/2006/relationships/hyperlink" Target="https://urn.fi/URN:ISBN:978-952-400-955-3" TargetMode="External"/><Relationship Id="rId39" Type="http://schemas.openxmlformats.org/officeDocument/2006/relationships/hyperlink" Target="https://www.varke.fi/en/statistics/homelessness/homeless-people-2024" TargetMode="External"/><Relationship Id="rId109" Type="http://schemas.openxmlformats.org/officeDocument/2006/relationships/hyperlink" Target="https://valtioneuvosto.fi/paatokset/paatos?decisionId=3317" TargetMode="External"/><Relationship Id="rId34" Type="http://schemas.openxmlformats.org/officeDocument/2006/relationships/hyperlink" Target="https://www.eduskunta.fi/asiat-ja-aanestykset/valtiopaivaasiat/KK%20392%2F2025%20vp" TargetMode="External"/><Relationship Id="rId50" Type="http://schemas.openxmlformats.org/officeDocument/2006/relationships/hyperlink" Target="https://www.eduskunta.fi/asiat-ja-aanestykset/valtiopaivaasiat/asiakirjat/edktunnus/EDK-2025-AK-36908" TargetMode="External"/><Relationship Id="rId55" Type="http://schemas.openxmlformats.org/officeDocument/2006/relationships/hyperlink" Target="https://helda.helsinki.fi/server/api/core/bitstreams/03626293-30e9-4bed-9a43-7d052d5004ab/content" TargetMode="External"/><Relationship Id="rId76" Type="http://schemas.openxmlformats.org/officeDocument/2006/relationships/hyperlink" Target="https://www.amnesty.fi/viranomaiset-tukahduttavat-kansalaisyhteiskuntaa-suomessa-havaintojamme-mielenosoitustarkkailuista/" TargetMode="External"/><Relationship Id="rId97" Type="http://schemas.openxmlformats.org/officeDocument/2006/relationships/hyperlink" Target="https://www.finlex.fi/fi/lainsaadanto/saadoskokoelma/2024/473" TargetMode="External"/><Relationship Id="rId104" Type="http://schemas.openxmlformats.org/officeDocument/2006/relationships/hyperlink" Target="https://migri.fi/en/income-requirement-for-family-members-of-a-person-who-has-been-granted-a-residence-permit-in-finland" TargetMode="External"/><Relationship Id="rId120" Type="http://schemas.openxmlformats.org/officeDocument/2006/relationships/hyperlink" Target="https://valtioneuvosto.fi/-/1410869/suomi-varautuu-valineellistetyn-maahantulon-torjumiseen-uudella-lainsaadannolla?languageId=en_US" TargetMode="External"/><Relationship Id="rId7" Type="http://schemas.openxmlformats.org/officeDocument/2006/relationships/hyperlink" Target="https://urn.fi/URN:ISBN:978-952-383-981-6" TargetMode="External"/><Relationship Id="rId71" Type="http://schemas.openxmlformats.org/officeDocument/2006/relationships/hyperlink" Target="https://www.amnesty.fi/en/barriers-to-participation-racism-and-the-unequal-right-to-protest/" TargetMode="External"/><Relationship Id="rId92" Type="http://schemas.openxmlformats.org/officeDocument/2006/relationships/hyperlink" Target="https://tilastot.migri.fi/" TargetMode="External"/><Relationship Id="rId2" Type="http://schemas.openxmlformats.org/officeDocument/2006/relationships/hyperlink" Target="https://www.amnesty.fi/amnesty-hallitusohjelma-ihmisoikeuksien-nakokulmasta-heikko-ja-ristiriitainen/" TargetMode="External"/><Relationship Id="rId29" Type="http://schemas.openxmlformats.org/officeDocument/2006/relationships/hyperlink" Target="https://www.riku.fi/content/uploads/su_file/2140__Uhrien_kokemuksia_viharikoksista_2014_2018.pdf" TargetMode="External"/><Relationship Id="rId24" Type="http://schemas.openxmlformats.org/officeDocument/2006/relationships/hyperlink" Target="https://fra.europa.eu/en/publication/2024/being-muslim-eu" TargetMode="External"/><Relationship Id="rId40" Type="http://schemas.openxmlformats.org/officeDocument/2006/relationships/hyperlink" Target="https://www.varke.fi/en/statistics/homelessness/homeless-people-2025" TargetMode="External"/><Relationship Id="rId45" Type="http://schemas.openxmlformats.org/officeDocument/2006/relationships/hyperlink" Target="https://www.amnesty.fi/app/uploads/2026/02/Lausunto-AI-FI-6_2026-STM-yleistuki-kotoutuminen-kieli.pdf" TargetMode="External"/><Relationship Id="rId66" Type="http://schemas.openxmlformats.org/officeDocument/2006/relationships/hyperlink" Target="https://oikeuskansleri.fi/-/poliisin-menettely-lahisuhdevakivallan-ja-seksuaalirikosten-esitutkinnoissa" TargetMode="External"/><Relationship Id="rId87" Type="http://schemas.openxmlformats.org/officeDocument/2006/relationships/hyperlink" Target="https://yle.fi/a/74-20007769" TargetMode="External"/><Relationship Id="rId110" Type="http://schemas.openxmlformats.org/officeDocument/2006/relationships/hyperlink" Target="https://yle.fi/a/74-20156277" TargetMode="External"/><Relationship Id="rId115" Type="http://schemas.openxmlformats.org/officeDocument/2006/relationships/hyperlink" Target="https://www.finlex.fi/fi/lainsaadanto/saadoskaannokset/2004/eng/301" TargetMode="External"/><Relationship Id="rId61" Type="http://schemas.openxmlformats.org/officeDocument/2006/relationships/hyperlink" Target="https://rm.coe.int/shadow-report-finland-first-thematic-evaluation/1680ac512c" TargetMode="External"/><Relationship Id="rId82" Type="http://schemas.openxmlformats.org/officeDocument/2006/relationships/hyperlink" Target="https://www.amnesty.org/en/documents/pol10/8515/2025/en/" TargetMode="External"/><Relationship Id="rId19" Type="http://schemas.openxmlformats.org/officeDocument/2006/relationships/hyperlink" Target="https://www.suomenromaniyhdistys.fi/poliittinen-vaikuttaminen/rasisminvastainen-tyo/antigypsyismista/" TargetMode="External"/><Relationship Id="rId14" Type="http://schemas.openxmlformats.org/officeDocument/2006/relationships/hyperlink" Target="https://yhdenvertaisuusvaltuutettu.fi/documents/25249352/42720545/Yhdenvertaisuusvaltuutetun%20kertomus%20eduskunnalle%202026%20(PDF).pdf/73a510ad-aaf5-e573-34b9-a0f1a09929b8?t=1774340587372" TargetMode="External"/><Relationship Id="rId30" Type="http://schemas.openxmlformats.org/officeDocument/2006/relationships/hyperlink" Target="https://yhdenvertaisuusvaltuutettu.fi/en/-/report-of-the-non-discrimination-ombudsman-racism-and-discrimination-everyday-experiences-for-people-of-african-descent-in-finland" TargetMode="External"/><Relationship Id="rId35" Type="http://schemas.openxmlformats.org/officeDocument/2006/relationships/hyperlink" Target="https://poliisi.fi/documents/25235045/138938434/POL-2023-127636,+27.11.2023,+Epa%CC%88illyn+viharikoksen+tai+sellaisia+piirteita%CC%88+sisa%CC%88lta%CC%88va%CC%88n+rikoksen+tunnistaminen,+tutkinta+seka%CC%88+kirjaaminen+poliisitoiminnassa.pdf/ae2f7e0c-363e-ff86-482e-8238b83714b4/POL-2023-127636,+27.11.2023,+Epa%CC%88illyn+viharikoksen+tai+sellaisia+piirteita%CC%88+sisa%CC%88lta%CC%88va%CC%88n+rikoksen+tunnistaminen,+tutkinta+seka%CC%88+kirjaaminen+poliisitoiminnassa.pdf?t=1701681965864" TargetMode="External"/><Relationship Id="rId56" Type="http://schemas.openxmlformats.org/officeDocument/2006/relationships/hyperlink" Target="https://helda.helsinki.fi/server/api/core/bitstreams/b3d5d9c6-8c05-4aa1-97a1-c19e9aa3b9a3/content" TargetMode="External"/><Relationship Id="rId77" Type="http://schemas.openxmlformats.org/officeDocument/2006/relationships/hyperlink" Target="https://www.osce.org/odihr/549388" TargetMode="External"/><Relationship Id="rId100" Type="http://schemas.openxmlformats.org/officeDocument/2006/relationships/hyperlink" Target="https://intermin.fi/-/hallitus-esittaa-karkottamispaatosten-taytantoonpanon-nopeuttamista-ja-ennakollista-maahantulokieltoa?languageId=en_US" TargetMode="External"/><Relationship Id="rId105" Type="http://schemas.openxmlformats.org/officeDocument/2006/relationships/hyperlink" Target="https://stat.fi/tup/kokeelliset-tilastot/tulorekisterin_palkat_ja_palkkiot/2026-06-08/index.html" TargetMode="External"/><Relationship Id="rId8" Type="http://schemas.openxmlformats.org/officeDocument/2006/relationships/hyperlink" Target="https://www.amnesty.fi/en/joint-statement-on-anti-racism-in-finland-and-recommendations-2026/" TargetMode="External"/><Relationship Id="rId51" Type="http://schemas.openxmlformats.org/officeDocument/2006/relationships/hyperlink" Target="https://stm.fi/en/healthcare-and-social-welfare-for-undocumented-persons" TargetMode="External"/><Relationship Id="rId72" Type="http://schemas.openxmlformats.org/officeDocument/2006/relationships/hyperlink" Target="https://www.amnesty.org/en/documents/eur20/7832/2024/en/" TargetMode="External"/><Relationship Id="rId93" Type="http://schemas.openxmlformats.org/officeDocument/2006/relationships/hyperlink" Target="https://www.amnesty.org/en/documents/eur20/5402/2022/en/" TargetMode="External"/><Relationship Id="rId98" Type="http://schemas.openxmlformats.org/officeDocument/2006/relationships/hyperlink" Target="https://intermin.fi/en/-/legislative-amendments-improving-efficiency-of-asylum-system-to-enter-into-force-on-1-june" TargetMode="External"/><Relationship Id="rId121" Type="http://schemas.openxmlformats.org/officeDocument/2006/relationships/hyperlink" Target="https://yhdenvertaisuusvaltuutettu.fi/-/yhdenvertaisuusvaltuutetun-kirje-sisaministeri-mari-rantaselle-koskien-itarajan-ihmisoikeustilannetta" TargetMode="External"/><Relationship Id="rId3" Type="http://schemas.openxmlformats.org/officeDocument/2006/relationships/hyperlink" Target="https://urn.fi/URN:NBN:fi-fe20230829112043" TargetMode="External"/><Relationship Id="rId25" Type="http://schemas.openxmlformats.org/officeDocument/2006/relationships/hyperlink" Target="http://urn.fi/URN:ISBN:978-952-400-482-4" TargetMode="External"/><Relationship Id="rId46" Type="http://schemas.openxmlformats.org/officeDocument/2006/relationships/hyperlink" Target="https://www.eduskunta.fi/asiat-ja-aanestykset/valtiopaivaasiat/asiakirjat/edktunnus/EDK-2026-AK-20573" TargetMode="External"/><Relationship Id="rId67" Type="http://schemas.openxmlformats.org/officeDocument/2006/relationships/hyperlink" Target="https://www.finlex.fi/en/legislation/translations/1995/eng/974" TargetMode="External"/><Relationship Id="rId116" Type="http://schemas.openxmlformats.org/officeDocument/2006/relationships/hyperlink" Target="https://yhdenvertaisuusvaltuutettu.fi/documents/25249352/34271292/The+best+interests+of+the+child+in+asylum+and+refugee+procedures+in+Finland.pdf/13a6a442-710f-426e-9bbd-2daefea7cd6f?version=1.1&amp;t=1600521915976" TargetMode="External"/><Relationship Id="rId20" Type="http://schemas.openxmlformats.org/officeDocument/2006/relationships/hyperlink" Target="https://www.romacivilmonitoring.eu/wp-content/uploads/2025/10/C3-FI-Country-Fiche-2025.pdf" TargetMode="External"/><Relationship Id="rId41" Type="http://schemas.openxmlformats.org/officeDocument/2006/relationships/hyperlink" Target="https://sininauhasaatio.fi/wp-content/uploads/2024/06/Migrants-pathways-into-homelessness.pdf" TargetMode="External"/><Relationship Id="rId62" Type="http://schemas.openxmlformats.org/officeDocument/2006/relationships/hyperlink" Target="https://rm.coe.int/first-thematic-evaluation-report-finland/1680b2ab48" TargetMode="External"/><Relationship Id="rId83" Type="http://schemas.openxmlformats.org/officeDocument/2006/relationships/hyperlink" Target="https://www.amnesty.fi/app/uploads/2025/04/tarkkailuraportti-mielenosoituksista-2024.pdf" TargetMode="External"/><Relationship Id="rId88" Type="http://schemas.openxmlformats.org/officeDocument/2006/relationships/hyperlink" Target="https://yle.fi/a/74-20024819" TargetMode="External"/><Relationship Id="rId111" Type="http://schemas.openxmlformats.org/officeDocument/2006/relationships/hyperlink" Target="https://valtioneuvosto.fi/-/1410869/hallitus-esittaa-muutoksia-sailoonoton-ja-maahantulokiellon-saantelyyn?languageId=en_US" TargetMode="External"/><Relationship Id="rId15" Type="http://schemas.openxmlformats.org/officeDocument/2006/relationships/hyperlink" Target="https://fra.europa.eu/en/publication/2023/being-black-eu" TargetMode="External"/><Relationship Id="rId36" Type="http://schemas.openxmlformats.org/officeDocument/2006/relationships/hyperlink" Target="https://hatecrime.osce.org/reporting/finland/2024" TargetMode="External"/><Relationship Id="rId57" Type="http://schemas.openxmlformats.org/officeDocument/2006/relationships/hyperlink" Target="http://urn.fi/URN:ISBN:978-952-00-3629-4" TargetMode="External"/><Relationship Id="rId106" Type="http://schemas.openxmlformats.org/officeDocument/2006/relationships/hyperlink" Target="https://tem.fi/en/-/report-offers-new-data-on-labour-market-performance-of-people-who-have-moved-to-finland-for-different-reasons" TargetMode="External"/><Relationship Id="rId10" Type="http://schemas.openxmlformats.org/officeDocument/2006/relationships/hyperlink" Target="https://ec.europa.eu/commission/presscorner/detail/en/INF_21_441" TargetMode="External"/><Relationship Id="rId31" Type="http://schemas.openxmlformats.org/officeDocument/2006/relationships/hyperlink" Target="https://yhdenvertaisuusvaltuutettu.fi/documents/25249352/0/Selvitys+afrikkalaistaustaisten+henkil%C3%B6iden+kokemasta+syrjinn%C3%A4st%C3%A4+(PDF,+2204+kt).pdf" TargetMode="External"/><Relationship Id="rId52" Type="http://schemas.openxmlformats.org/officeDocument/2006/relationships/hyperlink" Target="https://www.amnesty.org/en/documents/eur20/6899/2023/en/" TargetMode="External"/><Relationship Id="rId73" Type="http://schemas.openxmlformats.org/officeDocument/2006/relationships/hyperlink" Target="https://www.amnesty.fi/app/uploads/2023/02/raportti_mielenosoitustarkkailu.pdf" TargetMode="External"/><Relationship Id="rId78" Type="http://schemas.openxmlformats.org/officeDocument/2006/relationships/hyperlink" Target="https://www.amnesty.fi/amnesty-poliisi-kaytti-suhteetonta-voimaa-eika-onnistunut-estamaan-mielenosoittajien-vakivaltaisia-hyokkayksia-vappuna-tampereella/" TargetMode="External"/><Relationship Id="rId94" Type="http://schemas.openxmlformats.org/officeDocument/2006/relationships/hyperlink" Target="https://intermin.fi/en/areas-of-expertise/migration/government-programme-measures-to-reform-migration-policy" TargetMode="External"/><Relationship Id="rId99" Type="http://schemas.openxmlformats.org/officeDocument/2006/relationships/hyperlink" Target="https://www.finlex.fi/fi/lainsaadanto/saadoskokoelma/2025/247" TargetMode="External"/><Relationship Id="rId101" Type="http://schemas.openxmlformats.org/officeDocument/2006/relationships/hyperlink" Target="https://www.eduskunta.fi/en/matters-and-voting/matters/HE%2052%2F2026%20vp" TargetMode="External"/><Relationship Id="rId122" Type="http://schemas.openxmlformats.org/officeDocument/2006/relationships/hyperlink" Target="https://www.coe.int/en/web/commissioner/-/finland-concern-over%20right-to-seek-asylum-and-need-for-human-rights-safeguards-after-full-closure-of-eastern-land-border"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2C794-7834-49D7-AB99-76DF8091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6293</Words>
  <Characters>35872</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42081</CharactersWithSpaces>
  <SharedDoc>false</SharedDoc>
  <HLinks>
    <vt:vector size="240" baseType="variant">
      <vt:variant>
        <vt:i4>1638448</vt:i4>
      </vt:variant>
      <vt:variant>
        <vt:i4>56</vt:i4>
      </vt:variant>
      <vt:variant>
        <vt:i4>0</vt:i4>
      </vt:variant>
      <vt:variant>
        <vt:i4>5</vt:i4>
      </vt:variant>
      <vt:variant>
        <vt:lpwstr/>
      </vt:variant>
      <vt:variant>
        <vt:lpwstr>_Toc225175087</vt:lpwstr>
      </vt:variant>
      <vt:variant>
        <vt:i4>1638448</vt:i4>
      </vt:variant>
      <vt:variant>
        <vt:i4>50</vt:i4>
      </vt:variant>
      <vt:variant>
        <vt:i4>0</vt:i4>
      </vt:variant>
      <vt:variant>
        <vt:i4>5</vt:i4>
      </vt:variant>
      <vt:variant>
        <vt:lpwstr/>
      </vt:variant>
      <vt:variant>
        <vt:lpwstr>_Toc225175086</vt:lpwstr>
      </vt:variant>
      <vt:variant>
        <vt:i4>1638448</vt:i4>
      </vt:variant>
      <vt:variant>
        <vt:i4>44</vt:i4>
      </vt:variant>
      <vt:variant>
        <vt:i4>0</vt:i4>
      </vt:variant>
      <vt:variant>
        <vt:i4>5</vt:i4>
      </vt:variant>
      <vt:variant>
        <vt:lpwstr/>
      </vt:variant>
      <vt:variant>
        <vt:lpwstr>_Toc225175085</vt:lpwstr>
      </vt:variant>
      <vt:variant>
        <vt:i4>1638448</vt:i4>
      </vt:variant>
      <vt:variant>
        <vt:i4>38</vt:i4>
      </vt:variant>
      <vt:variant>
        <vt:i4>0</vt:i4>
      </vt:variant>
      <vt:variant>
        <vt:i4>5</vt:i4>
      </vt:variant>
      <vt:variant>
        <vt:lpwstr/>
      </vt:variant>
      <vt:variant>
        <vt:lpwstr>_Toc225175084</vt:lpwstr>
      </vt:variant>
      <vt:variant>
        <vt:i4>1638448</vt:i4>
      </vt:variant>
      <vt:variant>
        <vt:i4>32</vt:i4>
      </vt:variant>
      <vt:variant>
        <vt:i4>0</vt:i4>
      </vt:variant>
      <vt:variant>
        <vt:i4>5</vt:i4>
      </vt:variant>
      <vt:variant>
        <vt:lpwstr/>
      </vt:variant>
      <vt:variant>
        <vt:lpwstr>_Toc225175083</vt:lpwstr>
      </vt:variant>
      <vt:variant>
        <vt:i4>1638448</vt:i4>
      </vt:variant>
      <vt:variant>
        <vt:i4>26</vt:i4>
      </vt:variant>
      <vt:variant>
        <vt:i4>0</vt:i4>
      </vt:variant>
      <vt:variant>
        <vt:i4>5</vt:i4>
      </vt:variant>
      <vt:variant>
        <vt:lpwstr/>
      </vt:variant>
      <vt:variant>
        <vt:lpwstr>_Toc225175082</vt:lpwstr>
      </vt:variant>
      <vt:variant>
        <vt:i4>1638448</vt:i4>
      </vt:variant>
      <vt:variant>
        <vt:i4>20</vt:i4>
      </vt:variant>
      <vt:variant>
        <vt:i4>0</vt:i4>
      </vt:variant>
      <vt:variant>
        <vt:i4>5</vt:i4>
      </vt:variant>
      <vt:variant>
        <vt:lpwstr/>
      </vt:variant>
      <vt:variant>
        <vt:lpwstr>_Toc225175081</vt:lpwstr>
      </vt:variant>
      <vt:variant>
        <vt:i4>1638448</vt:i4>
      </vt:variant>
      <vt:variant>
        <vt:i4>14</vt:i4>
      </vt:variant>
      <vt:variant>
        <vt:i4>0</vt:i4>
      </vt:variant>
      <vt:variant>
        <vt:i4>5</vt:i4>
      </vt:variant>
      <vt:variant>
        <vt:lpwstr/>
      </vt:variant>
      <vt:variant>
        <vt:lpwstr>_Toc225175080</vt:lpwstr>
      </vt:variant>
      <vt:variant>
        <vt:i4>1441840</vt:i4>
      </vt:variant>
      <vt:variant>
        <vt:i4>8</vt:i4>
      </vt:variant>
      <vt:variant>
        <vt:i4>0</vt:i4>
      </vt:variant>
      <vt:variant>
        <vt:i4>5</vt:i4>
      </vt:variant>
      <vt:variant>
        <vt:lpwstr/>
      </vt:variant>
      <vt:variant>
        <vt:lpwstr>_Toc225175079</vt:lpwstr>
      </vt:variant>
      <vt:variant>
        <vt:i4>1441840</vt:i4>
      </vt:variant>
      <vt:variant>
        <vt:i4>2</vt:i4>
      </vt:variant>
      <vt:variant>
        <vt:i4>0</vt:i4>
      </vt:variant>
      <vt:variant>
        <vt:i4>5</vt:i4>
      </vt:variant>
      <vt:variant>
        <vt:lpwstr/>
      </vt:variant>
      <vt:variant>
        <vt:lpwstr>_Toc225175078</vt:lpwstr>
      </vt:variant>
      <vt:variant>
        <vt:i4>2097268</vt:i4>
      </vt:variant>
      <vt:variant>
        <vt:i4>78</vt:i4>
      </vt:variant>
      <vt:variant>
        <vt:i4>0</vt:i4>
      </vt:variant>
      <vt:variant>
        <vt:i4>5</vt:i4>
      </vt:variant>
      <vt:variant>
        <vt:lpwstr>https://pisrs.si/pregledPredpisa?id=ZAKO448</vt:lpwstr>
      </vt:variant>
      <vt:variant>
        <vt:lpwstr/>
      </vt:variant>
      <vt:variant>
        <vt:i4>1048642</vt:i4>
      </vt:variant>
      <vt:variant>
        <vt:i4>75</vt:i4>
      </vt:variant>
      <vt:variant>
        <vt:i4>0</vt:i4>
      </vt:variant>
      <vt:variant>
        <vt:i4>5</vt:i4>
      </vt:variant>
      <vt:variant>
        <vt:lpwstr>https://zagovornik.si/wp-content/uploads/2025/10/Izzivi-pri-vzgoji-in-izobrazevanju-romskih-otrok-in-mladostnikov-posebno-porocilo-1.pdf</vt:lpwstr>
      </vt:variant>
      <vt:variant>
        <vt:lpwstr/>
      </vt:variant>
      <vt:variant>
        <vt:i4>6291567</vt:i4>
      </vt:variant>
      <vt:variant>
        <vt:i4>72</vt:i4>
      </vt:variant>
      <vt:variant>
        <vt:i4>0</vt:i4>
      </vt:variant>
      <vt:variant>
        <vt:i4>5</vt:i4>
      </vt:variant>
      <vt:variant>
        <vt:lpwstr>https://rm.coe.int/sixth-report-on-slovenia/4880291ae8</vt:lpwstr>
      </vt:variant>
      <vt:variant>
        <vt:lpwstr/>
      </vt:variant>
      <vt:variant>
        <vt:i4>4194416</vt:i4>
      </vt:variant>
      <vt:variant>
        <vt:i4>69</vt:i4>
      </vt:variant>
      <vt:variant>
        <vt:i4>0</vt:i4>
      </vt:variant>
      <vt:variant>
        <vt:i4>5</vt:i4>
      </vt:variant>
      <vt:variant>
        <vt:lpwstr>https://www.gov.si/assets/vladne-sluzbe/UN/Dokumenti-Romi/35778fa671/Program_ukrepov.pdf</vt:lpwstr>
      </vt:variant>
      <vt:variant>
        <vt:lpwstr/>
      </vt:variant>
      <vt:variant>
        <vt:i4>983057</vt:i4>
      </vt:variant>
      <vt:variant>
        <vt:i4>66</vt:i4>
      </vt:variant>
      <vt:variant>
        <vt:i4>0</vt:i4>
      </vt:variant>
      <vt:variant>
        <vt:i4>5</vt:i4>
      </vt:variant>
      <vt:variant>
        <vt:lpwstr>https://www.sta.si/2440688/vlada-potrdila-projekt-ureditve-novomeskega-romskega-naselja-zabjak-brezje</vt:lpwstr>
      </vt:variant>
      <vt:variant>
        <vt:lpwstr/>
      </vt:variant>
      <vt:variant>
        <vt:i4>5308506</vt:i4>
      </vt:variant>
      <vt:variant>
        <vt:i4>63</vt:i4>
      </vt:variant>
      <vt:variant>
        <vt:i4>0</vt:i4>
      </vt:variant>
      <vt:variant>
        <vt:i4>5</vt:i4>
      </vt:variant>
      <vt:variant>
        <vt:lpwstr>https://obcina-skocjan.si/DownloadFile?id=660822</vt:lpwstr>
      </vt:variant>
      <vt:variant>
        <vt:lpwstr/>
      </vt:variant>
      <vt:variant>
        <vt:i4>2621498</vt:i4>
      </vt:variant>
      <vt:variant>
        <vt:i4>60</vt:i4>
      </vt:variant>
      <vt:variant>
        <vt:i4>0</vt:i4>
      </vt:variant>
      <vt:variant>
        <vt:i4>5</vt:i4>
      </vt:variant>
      <vt:variant>
        <vt:lpwstr>https://www.us-rs.si/en/case-law/decisions/u-i-6414</vt:lpwstr>
      </vt:variant>
      <vt:variant>
        <vt:lpwstr/>
      </vt:variant>
      <vt:variant>
        <vt:i4>5046377</vt:i4>
      </vt:variant>
      <vt:variant>
        <vt:i4>57</vt:i4>
      </vt:variant>
      <vt:variant>
        <vt:i4>0</vt:i4>
      </vt:variant>
      <vt:variant>
        <vt:i4>5</vt:i4>
      </vt:variant>
      <vt:variant>
        <vt:lpwstr>https://www.ohchr.org/sites/default/files/english/bodies/hrcouncil/docs/18session/A-HRC-18-33-Add2_en.pdf</vt:lpwstr>
      </vt:variant>
      <vt:variant>
        <vt:lpwstr/>
      </vt:variant>
      <vt:variant>
        <vt:i4>1179717</vt:i4>
      </vt:variant>
      <vt:variant>
        <vt:i4>54</vt:i4>
      </vt:variant>
      <vt:variant>
        <vt:i4>0</vt:i4>
      </vt:variant>
      <vt:variant>
        <vt:i4>5</vt:i4>
      </vt:variant>
      <vt:variant>
        <vt:lpwstr>https://www.varuh-rs.si/assets/uploads/publications/2565/2025/letno-porocilo-vcp-rs-za-leto-2024.pdf</vt:lpwstr>
      </vt:variant>
      <vt:variant>
        <vt:lpwstr/>
      </vt:variant>
      <vt:variant>
        <vt:i4>5767177</vt:i4>
      </vt:variant>
      <vt:variant>
        <vt:i4>51</vt:i4>
      </vt:variant>
      <vt:variant>
        <vt:i4>0</vt:i4>
      </vt:variant>
      <vt:variant>
        <vt:i4>5</vt:i4>
      </vt:variant>
      <vt:variant>
        <vt:lpwstr>https://www.varuh-rs.si/assets/uploads/publications/63/2024/letno-poroc-ilo-vc-p-rs-za-leto-2022.pdf</vt:lpwstr>
      </vt:variant>
      <vt:variant>
        <vt:lpwstr/>
      </vt:variant>
      <vt:variant>
        <vt:i4>3014777</vt:i4>
      </vt:variant>
      <vt:variant>
        <vt:i4>48</vt:i4>
      </vt:variant>
      <vt:variant>
        <vt:i4>0</vt:i4>
      </vt:variant>
      <vt:variant>
        <vt:i4>5</vt:i4>
      </vt:variant>
      <vt:variant>
        <vt:lpwstr>https://www.varuh-rs.si/assets/uploads/publications/65/2024/letno-porocilo2020-pop.pdf</vt:lpwstr>
      </vt:variant>
      <vt:variant>
        <vt:lpwstr/>
      </vt:variant>
      <vt:variant>
        <vt:i4>5636127</vt:i4>
      </vt:variant>
      <vt:variant>
        <vt:i4>45</vt:i4>
      </vt:variant>
      <vt:variant>
        <vt:i4>0</vt:i4>
      </vt:variant>
      <vt:variant>
        <vt:i4>5</vt:i4>
      </vt:variant>
      <vt:variant>
        <vt:lpwstr>https://www.varuh-rs.si/en/news/public-information/the-ombudsman-will-request-a-constitutional-review-of-article-8-of-the-so-called-sutar-act</vt:lpwstr>
      </vt:variant>
      <vt:variant>
        <vt:lpwstr/>
      </vt:variant>
      <vt:variant>
        <vt:i4>7864367</vt:i4>
      </vt:variant>
      <vt:variant>
        <vt:i4>42</vt:i4>
      </vt:variant>
      <vt:variant>
        <vt:i4>0</vt:i4>
      </vt:variant>
      <vt:variant>
        <vt:i4>5</vt:i4>
      </vt:variant>
      <vt:variant>
        <vt:lpwstr>https://www.amnesty.org/en/latest/news/2026/02/slovenia-amnesty-joins-constitutional-court-challenge-to-stop-vulnerable-communities-being-stripped-of-critical-social-support/</vt:lpwstr>
      </vt:variant>
      <vt:variant>
        <vt:lpwstr/>
      </vt:variant>
      <vt:variant>
        <vt:i4>1048601</vt:i4>
      </vt:variant>
      <vt:variant>
        <vt:i4>39</vt:i4>
      </vt:variant>
      <vt:variant>
        <vt:i4>0</vt:i4>
      </vt:variant>
      <vt:variant>
        <vt:i4>5</vt:i4>
      </vt:variant>
      <vt:variant>
        <vt:lpwstr>https://www.rtvslo.si/slovenija/vrhovno-sodisce-vlozilo-zahtevo-za-ustavno-presojo-dela-sutarjevega-zakona/770119</vt:lpwstr>
      </vt:variant>
      <vt:variant>
        <vt:lpwstr/>
      </vt:variant>
      <vt:variant>
        <vt:i4>983065</vt:i4>
      </vt:variant>
      <vt:variant>
        <vt:i4>36</vt:i4>
      </vt:variant>
      <vt:variant>
        <vt:i4>0</vt:i4>
      </vt:variant>
      <vt:variant>
        <vt:i4>5</vt:i4>
      </vt:variant>
      <vt:variant>
        <vt:lpwstr>https://www.amnesty.org/en/latest/news/2025/11/slovenia-mps-must-reject-draconian-security-bill-which-puts-rights-at-risk-and-targets-roma-community/</vt:lpwstr>
      </vt:variant>
      <vt:variant>
        <vt:lpwstr/>
      </vt:variant>
      <vt:variant>
        <vt:i4>983065</vt:i4>
      </vt:variant>
      <vt:variant>
        <vt:i4>33</vt:i4>
      </vt:variant>
      <vt:variant>
        <vt:i4>0</vt:i4>
      </vt:variant>
      <vt:variant>
        <vt:i4>5</vt:i4>
      </vt:variant>
      <vt:variant>
        <vt:lpwstr>https://www.amnesty.org/en/latest/news/2025/11/slovenia-mps-must-reject-draconian-security-bill-which-puts-rights-at-risk-and-targets-roma-community/</vt:lpwstr>
      </vt:variant>
      <vt:variant>
        <vt:lpwstr/>
      </vt:variant>
      <vt:variant>
        <vt:i4>3276906</vt:i4>
      </vt:variant>
      <vt:variant>
        <vt:i4>30</vt:i4>
      </vt:variant>
      <vt:variant>
        <vt:i4>0</vt:i4>
      </vt:variant>
      <vt:variant>
        <vt:i4>5</vt:i4>
      </vt:variant>
      <vt:variant>
        <vt:lpwstr>https://www.amnesty.org/en/wp-content/uploads/2026/02/EUR6807022026ENGLISH.pdf</vt:lpwstr>
      </vt:variant>
      <vt:variant>
        <vt:lpwstr/>
      </vt:variant>
      <vt:variant>
        <vt:i4>1179659</vt:i4>
      </vt:variant>
      <vt:variant>
        <vt:i4>27</vt:i4>
      </vt:variant>
      <vt:variant>
        <vt:i4>0</vt:i4>
      </vt:variant>
      <vt:variant>
        <vt:i4>5</vt:i4>
      </vt:variant>
      <vt:variant>
        <vt:lpwstr>https://www.amnesty.org/en/documents/eur68/0702/2026/en/</vt:lpwstr>
      </vt:variant>
      <vt:variant>
        <vt:lpwstr/>
      </vt:variant>
      <vt:variant>
        <vt:i4>1507407</vt:i4>
      </vt:variant>
      <vt:variant>
        <vt:i4>24</vt:i4>
      </vt:variant>
      <vt:variant>
        <vt:i4>0</vt:i4>
      </vt:variant>
      <vt:variant>
        <vt:i4>5</vt:i4>
      </vt:variant>
      <vt:variant>
        <vt:lpwstr>https://pisrs.si/pregledPredpisa?id=ZAKO9360</vt:lpwstr>
      </vt:variant>
      <vt:variant>
        <vt:lpwstr/>
      </vt:variant>
      <vt:variant>
        <vt:i4>7929962</vt:i4>
      </vt:variant>
      <vt:variant>
        <vt:i4>21</vt:i4>
      </vt:variant>
      <vt:variant>
        <vt:i4>0</vt:i4>
      </vt:variant>
      <vt:variant>
        <vt:i4>5</vt:i4>
      </vt:variant>
      <vt:variant>
        <vt:lpwstr>https://www.varuh-rs.si/en/news/public-information/the-ombudsman-warns-of-the-risks-of-interference-in-cash-social-assistance-and-inadequate-implementation-of-the-law</vt:lpwstr>
      </vt:variant>
      <vt:variant>
        <vt:lpwstr/>
      </vt:variant>
      <vt:variant>
        <vt:i4>1507407</vt:i4>
      </vt:variant>
      <vt:variant>
        <vt:i4>18</vt:i4>
      </vt:variant>
      <vt:variant>
        <vt:i4>0</vt:i4>
      </vt:variant>
      <vt:variant>
        <vt:i4>5</vt:i4>
      </vt:variant>
      <vt:variant>
        <vt:lpwstr>https://pisrs.si/pregledPredpisa?id=ZAKO9360</vt:lpwstr>
      </vt:variant>
      <vt:variant>
        <vt:lpwstr/>
      </vt:variant>
      <vt:variant>
        <vt:i4>6815800</vt:i4>
      </vt:variant>
      <vt:variant>
        <vt:i4>15</vt:i4>
      </vt:variant>
      <vt:variant>
        <vt:i4>0</vt:i4>
      </vt:variant>
      <vt:variant>
        <vt:i4>5</vt:i4>
      </vt:variant>
      <vt:variant>
        <vt:lpwstr>https://www.rtvslo.si/slovenija/na-podlagi-sutarjevega-zakona-razglaseni-tvegani-obmocji-v-ljubljani-in-novem-mestu/771075</vt:lpwstr>
      </vt:variant>
      <vt:variant>
        <vt:lpwstr/>
      </vt:variant>
      <vt:variant>
        <vt:i4>6291567</vt:i4>
      </vt:variant>
      <vt:variant>
        <vt:i4>12</vt:i4>
      </vt:variant>
      <vt:variant>
        <vt:i4>0</vt:i4>
      </vt:variant>
      <vt:variant>
        <vt:i4>5</vt:i4>
      </vt:variant>
      <vt:variant>
        <vt:lpwstr>https://rm.coe.int/sixth-report-on-slovenia/4880291ae8</vt:lpwstr>
      </vt:variant>
      <vt:variant>
        <vt:lpwstr/>
      </vt:variant>
      <vt:variant>
        <vt:i4>1048642</vt:i4>
      </vt:variant>
      <vt:variant>
        <vt:i4>9</vt:i4>
      </vt:variant>
      <vt:variant>
        <vt:i4>0</vt:i4>
      </vt:variant>
      <vt:variant>
        <vt:i4>5</vt:i4>
      </vt:variant>
      <vt:variant>
        <vt:lpwstr>https://zagovornik.si/wp-content/uploads/2025/10/Izzivi-pri-vzgoji-in-izobrazevanju-romskih-otrok-in-mladostnikov-posebno-porocilo-1.pdf</vt:lpwstr>
      </vt:variant>
      <vt:variant>
        <vt:lpwstr/>
      </vt:variant>
      <vt:variant>
        <vt:i4>2293879</vt:i4>
      </vt:variant>
      <vt:variant>
        <vt:i4>6</vt:i4>
      </vt:variant>
      <vt:variant>
        <vt:i4>0</vt:i4>
      </vt:variant>
      <vt:variant>
        <vt:i4>5</vt:i4>
      </vt:variant>
      <vt:variant>
        <vt:lpwstr>https://www.gov.si/assets/vladne-sluzbe/UN/SIFOROMA-3/Letna-evalvacija-uresnicevanja-NPUR-2017-2021.pdf</vt:lpwstr>
      </vt:variant>
      <vt:variant>
        <vt:lpwstr/>
      </vt:variant>
      <vt:variant>
        <vt:i4>4194416</vt:i4>
      </vt:variant>
      <vt:variant>
        <vt:i4>3</vt:i4>
      </vt:variant>
      <vt:variant>
        <vt:i4>0</vt:i4>
      </vt:variant>
      <vt:variant>
        <vt:i4>5</vt:i4>
      </vt:variant>
      <vt:variant>
        <vt:lpwstr>https://www.gov.si/assets/vladne-sluzbe/UN/Dokumenti-Romi/35778fa671/Program_ukrepov.pdf</vt:lpwstr>
      </vt:variant>
      <vt:variant>
        <vt:lpwstr/>
      </vt:variant>
      <vt:variant>
        <vt:i4>6029386</vt:i4>
      </vt:variant>
      <vt:variant>
        <vt:i4>0</vt:i4>
      </vt:variant>
      <vt:variant>
        <vt:i4>0</vt:i4>
      </vt:variant>
      <vt:variant>
        <vt:i4>5</vt:i4>
      </vt:variant>
      <vt:variant>
        <vt:lpwstr>https://www.amnesty.org/en/wp-content/uploads/2021/06/eur680052011en.pdf</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2026-07-03T10:22:00Z</dcterms:created>
  <dcterms:modified xsi:type="dcterms:W3CDTF">2026-07-03T10:49:00Z</dcterms:modified>
</cp:coreProperties>
</file>