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91742B" w14:textId="25522441" w:rsidR="004711DF" w:rsidRDefault="004711DF" w:rsidP="00064CCD">
      <w:pPr>
        <w:spacing w:line="360" w:lineRule="auto"/>
        <w:rPr>
          <w:rFonts w:ascii="Arial" w:hAnsi="Arial" w:cs="Arial"/>
          <w:b/>
          <w:sz w:val="24"/>
          <w:szCs w:val="24"/>
        </w:rPr>
      </w:pPr>
    </w:p>
    <w:p w14:paraId="73767EF0" w14:textId="77777777" w:rsidR="00643520" w:rsidRDefault="00643520" w:rsidP="00643520">
      <w:pPr>
        <w:spacing w:line="360" w:lineRule="auto"/>
        <w:jc w:val="center"/>
        <w:rPr>
          <w:rFonts w:ascii="Century Gothic" w:hAnsi="Century Gothic" w:cs="Arial"/>
          <w:b/>
          <w:bCs/>
        </w:rPr>
      </w:pPr>
      <w:r>
        <w:rPr>
          <w:rFonts w:ascii="Century Gothic" w:hAnsi="Century Gothic" w:cs="Arial"/>
          <w:b/>
          <w:bCs/>
        </w:rPr>
        <w:t xml:space="preserve">STATEMENT TO THE CEDAW COMMITTEE </w:t>
      </w:r>
    </w:p>
    <w:p w14:paraId="23F0A245" w14:textId="77777777" w:rsidR="00643520" w:rsidRDefault="00643520" w:rsidP="00643520">
      <w:pPr>
        <w:spacing w:line="360" w:lineRule="auto"/>
        <w:jc w:val="center"/>
        <w:rPr>
          <w:rFonts w:ascii="Century Gothic" w:hAnsi="Century Gothic" w:cs="Arial"/>
          <w:b/>
          <w:bCs/>
        </w:rPr>
      </w:pPr>
      <w:r>
        <w:rPr>
          <w:rFonts w:ascii="Century Gothic" w:hAnsi="Century Gothic" w:cs="Arial"/>
          <w:b/>
          <w:bCs/>
        </w:rPr>
        <w:t xml:space="preserve">REGARDING SOUTH AFRICA’S PROGRESS IN THE IMPLEMENTATON OF CEDAW COMMITTEE RECOMMENDATIONS </w:t>
      </w:r>
    </w:p>
    <w:p w14:paraId="5B458F5A" w14:textId="77777777" w:rsidR="00703C22" w:rsidRDefault="00703C22" w:rsidP="00064CCD">
      <w:pPr>
        <w:spacing w:line="360" w:lineRule="auto"/>
        <w:rPr>
          <w:rFonts w:ascii="Arial" w:hAnsi="Arial" w:cs="Arial"/>
          <w:b/>
          <w:sz w:val="24"/>
          <w:szCs w:val="24"/>
        </w:rPr>
      </w:pPr>
    </w:p>
    <w:p w14:paraId="1564F34E" w14:textId="77777777" w:rsidR="001A1098" w:rsidRDefault="001A1098" w:rsidP="00064CCD">
      <w:pPr>
        <w:spacing w:line="360" w:lineRule="auto"/>
        <w:rPr>
          <w:rFonts w:ascii="Arial" w:hAnsi="Arial" w:cs="Arial"/>
          <w:b/>
          <w:sz w:val="24"/>
          <w:szCs w:val="24"/>
        </w:rPr>
      </w:pPr>
    </w:p>
    <w:p w14:paraId="242ADD1F" w14:textId="77777777" w:rsidR="001A1098" w:rsidRDefault="001A1098" w:rsidP="00064CCD">
      <w:pPr>
        <w:spacing w:line="360" w:lineRule="auto"/>
        <w:rPr>
          <w:rFonts w:ascii="Arial" w:hAnsi="Arial" w:cs="Arial"/>
          <w:b/>
          <w:sz w:val="24"/>
          <w:szCs w:val="24"/>
        </w:rPr>
      </w:pPr>
      <w:r>
        <w:rPr>
          <w:rFonts w:ascii="Arial" w:hAnsi="Arial" w:cs="Arial"/>
          <w:b/>
          <w:noProof/>
          <w:sz w:val="24"/>
          <w:szCs w:val="24"/>
          <w:lang w:eastAsia="en-ZA"/>
        </w:rPr>
        <w:drawing>
          <wp:inline distT="0" distB="0" distL="0" distR="0" wp14:anchorId="623256A9" wp14:editId="40337FFD">
            <wp:extent cx="5943600" cy="13533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353310"/>
                    </a:xfrm>
                    <a:prstGeom prst="rect">
                      <a:avLst/>
                    </a:prstGeom>
                    <a:noFill/>
                  </pic:spPr>
                </pic:pic>
              </a:graphicData>
            </a:graphic>
          </wp:inline>
        </w:drawing>
      </w:r>
    </w:p>
    <w:p w14:paraId="1B71BD63" w14:textId="77777777" w:rsidR="006424F6" w:rsidRDefault="006424F6" w:rsidP="001A1098">
      <w:pPr>
        <w:spacing w:line="360" w:lineRule="auto"/>
        <w:jc w:val="center"/>
        <w:rPr>
          <w:rFonts w:ascii="Arial" w:hAnsi="Arial" w:cs="Arial"/>
          <w:b/>
          <w:sz w:val="24"/>
          <w:szCs w:val="24"/>
        </w:rPr>
      </w:pPr>
    </w:p>
    <w:p w14:paraId="1187A744" w14:textId="6FB3FE7D" w:rsidR="001A1098" w:rsidRDefault="00AC7DAB" w:rsidP="000C201A">
      <w:pPr>
        <w:spacing w:line="360" w:lineRule="auto"/>
        <w:jc w:val="center"/>
        <w:rPr>
          <w:rFonts w:ascii="Arial" w:hAnsi="Arial" w:cs="Arial"/>
          <w:b/>
          <w:sz w:val="32"/>
          <w:szCs w:val="32"/>
        </w:rPr>
      </w:pPr>
      <w:r w:rsidRPr="00AC7DAB">
        <w:rPr>
          <w:rFonts w:ascii="Arial" w:hAnsi="Arial" w:cs="Arial"/>
          <w:b/>
          <w:sz w:val="32"/>
          <w:szCs w:val="32"/>
        </w:rPr>
        <w:t xml:space="preserve">77th session (2-6 March 2020), Geneva, </w:t>
      </w:r>
      <w:r w:rsidR="000A037C">
        <w:rPr>
          <w:rFonts w:ascii="Arial" w:hAnsi="Arial" w:cs="Arial"/>
          <w:b/>
          <w:sz w:val="32"/>
          <w:szCs w:val="32"/>
        </w:rPr>
        <w:t>Swit</w:t>
      </w:r>
      <w:r w:rsidR="000C201A">
        <w:rPr>
          <w:rFonts w:ascii="Arial" w:hAnsi="Arial" w:cs="Arial"/>
          <w:b/>
          <w:sz w:val="32"/>
          <w:szCs w:val="32"/>
        </w:rPr>
        <w:t>zerland</w:t>
      </w:r>
      <w:r w:rsidR="000A037C">
        <w:rPr>
          <w:rFonts w:ascii="Arial" w:hAnsi="Arial" w:cs="Arial"/>
          <w:b/>
          <w:sz w:val="32"/>
          <w:szCs w:val="32"/>
        </w:rPr>
        <w:t>.</w:t>
      </w:r>
    </w:p>
    <w:p w14:paraId="1C2893E7" w14:textId="77777777" w:rsidR="00E544A9" w:rsidRPr="00D809D2" w:rsidRDefault="00E544A9" w:rsidP="00064CCD">
      <w:pPr>
        <w:spacing w:line="360" w:lineRule="auto"/>
        <w:rPr>
          <w:rFonts w:ascii="Arial" w:hAnsi="Arial" w:cs="Arial"/>
          <w:b/>
          <w:sz w:val="24"/>
          <w:szCs w:val="24"/>
        </w:rPr>
      </w:pPr>
    </w:p>
    <w:p w14:paraId="466CF991" w14:textId="77777777" w:rsidR="004D2193" w:rsidRDefault="004D2193" w:rsidP="00E45D69">
      <w:pPr>
        <w:spacing w:line="360" w:lineRule="auto"/>
        <w:jc w:val="center"/>
        <w:rPr>
          <w:rFonts w:ascii="Arial" w:hAnsi="Arial" w:cs="Arial"/>
          <w:b/>
          <w:sz w:val="28"/>
          <w:szCs w:val="28"/>
        </w:rPr>
      </w:pPr>
    </w:p>
    <w:p w14:paraId="1C667D26" w14:textId="2021B8B1" w:rsidR="004D2193" w:rsidRDefault="004D2193" w:rsidP="00E45D69">
      <w:pPr>
        <w:spacing w:line="360" w:lineRule="auto"/>
        <w:jc w:val="center"/>
        <w:rPr>
          <w:rFonts w:ascii="Arial" w:hAnsi="Arial" w:cs="Arial"/>
          <w:b/>
          <w:sz w:val="28"/>
          <w:szCs w:val="28"/>
        </w:rPr>
      </w:pPr>
    </w:p>
    <w:p w14:paraId="48B7240F" w14:textId="34EF3169" w:rsidR="00643520" w:rsidRDefault="00643520" w:rsidP="00E45D69">
      <w:pPr>
        <w:spacing w:line="360" w:lineRule="auto"/>
        <w:jc w:val="center"/>
        <w:rPr>
          <w:rFonts w:ascii="Arial" w:hAnsi="Arial" w:cs="Arial"/>
          <w:b/>
          <w:sz w:val="28"/>
          <w:szCs w:val="28"/>
        </w:rPr>
      </w:pPr>
    </w:p>
    <w:p w14:paraId="57475A71" w14:textId="67657DF6" w:rsidR="00643520" w:rsidRDefault="00643520" w:rsidP="00E45D69">
      <w:pPr>
        <w:spacing w:line="360" w:lineRule="auto"/>
        <w:jc w:val="center"/>
        <w:rPr>
          <w:rFonts w:ascii="Arial" w:hAnsi="Arial" w:cs="Arial"/>
          <w:b/>
          <w:sz w:val="28"/>
          <w:szCs w:val="28"/>
        </w:rPr>
      </w:pPr>
    </w:p>
    <w:p w14:paraId="3B9E2933" w14:textId="678E11B3" w:rsidR="00643520" w:rsidRDefault="000A037C" w:rsidP="000A037C">
      <w:pPr>
        <w:tabs>
          <w:tab w:val="left" w:pos="2145"/>
        </w:tabs>
        <w:spacing w:line="360" w:lineRule="auto"/>
        <w:rPr>
          <w:rFonts w:ascii="Arial" w:hAnsi="Arial" w:cs="Arial"/>
          <w:b/>
          <w:sz w:val="28"/>
          <w:szCs w:val="28"/>
        </w:rPr>
      </w:pPr>
      <w:r>
        <w:rPr>
          <w:rFonts w:ascii="Arial" w:hAnsi="Arial" w:cs="Arial"/>
          <w:b/>
          <w:sz w:val="28"/>
          <w:szCs w:val="28"/>
        </w:rPr>
        <w:tab/>
      </w:r>
    </w:p>
    <w:p w14:paraId="5049E7BA" w14:textId="77777777" w:rsidR="000A037C" w:rsidRDefault="000A037C" w:rsidP="000A037C">
      <w:pPr>
        <w:tabs>
          <w:tab w:val="left" w:pos="2145"/>
        </w:tabs>
        <w:spacing w:line="360" w:lineRule="auto"/>
        <w:rPr>
          <w:rFonts w:ascii="Arial" w:hAnsi="Arial" w:cs="Arial"/>
          <w:b/>
          <w:sz w:val="28"/>
          <w:szCs w:val="28"/>
        </w:rPr>
      </w:pPr>
    </w:p>
    <w:p w14:paraId="792E07F3" w14:textId="77777777" w:rsidR="000A037C" w:rsidRDefault="000A037C" w:rsidP="00643520">
      <w:pPr>
        <w:spacing w:line="360" w:lineRule="auto"/>
        <w:jc w:val="center"/>
        <w:rPr>
          <w:rFonts w:ascii="Century Gothic" w:hAnsi="Century Gothic" w:cs="Arial"/>
          <w:b/>
          <w:bCs/>
          <w:u w:val="single"/>
        </w:rPr>
      </w:pPr>
    </w:p>
    <w:p w14:paraId="28432248" w14:textId="77777777" w:rsidR="000A037C" w:rsidRDefault="000A037C" w:rsidP="00643520">
      <w:pPr>
        <w:spacing w:line="360" w:lineRule="auto"/>
        <w:jc w:val="center"/>
        <w:rPr>
          <w:rFonts w:ascii="Century Gothic" w:hAnsi="Century Gothic" w:cs="Arial"/>
          <w:b/>
          <w:bCs/>
          <w:u w:val="single"/>
        </w:rPr>
      </w:pPr>
    </w:p>
    <w:p w14:paraId="2EDD8366" w14:textId="75F3E272" w:rsidR="00643520" w:rsidRDefault="00643520" w:rsidP="00643520">
      <w:pPr>
        <w:spacing w:line="360" w:lineRule="auto"/>
        <w:jc w:val="center"/>
        <w:rPr>
          <w:rFonts w:ascii="Century Gothic" w:hAnsi="Century Gothic" w:cs="Arial"/>
          <w:b/>
          <w:bCs/>
          <w:u w:val="single"/>
        </w:rPr>
      </w:pPr>
      <w:r>
        <w:rPr>
          <w:rFonts w:ascii="Century Gothic" w:hAnsi="Century Gothic" w:cs="Arial"/>
          <w:b/>
          <w:bCs/>
          <w:u w:val="single"/>
        </w:rPr>
        <w:lastRenderedPageBreak/>
        <w:t xml:space="preserve">COMMISSION FOR GENDER EQUALITY </w:t>
      </w:r>
    </w:p>
    <w:p w14:paraId="0306B7CD" w14:textId="77777777" w:rsidR="00643520" w:rsidRDefault="00643520" w:rsidP="00643520">
      <w:pPr>
        <w:spacing w:line="360" w:lineRule="auto"/>
        <w:jc w:val="center"/>
        <w:rPr>
          <w:rFonts w:ascii="Century Gothic" w:hAnsi="Century Gothic" w:cs="Arial"/>
          <w:b/>
          <w:bCs/>
        </w:rPr>
      </w:pPr>
      <w:r>
        <w:rPr>
          <w:rFonts w:ascii="Century Gothic" w:hAnsi="Century Gothic" w:cs="Arial"/>
          <w:b/>
          <w:bCs/>
        </w:rPr>
        <w:t xml:space="preserve">STATEMENT TO THE CEDAW COMMITTEE </w:t>
      </w:r>
    </w:p>
    <w:p w14:paraId="33C5DB7C" w14:textId="77777777" w:rsidR="00643520" w:rsidRDefault="00643520" w:rsidP="00643520">
      <w:pPr>
        <w:spacing w:line="360" w:lineRule="auto"/>
        <w:jc w:val="center"/>
        <w:rPr>
          <w:rFonts w:ascii="Century Gothic" w:hAnsi="Century Gothic" w:cs="Arial"/>
          <w:b/>
          <w:bCs/>
        </w:rPr>
      </w:pPr>
      <w:r>
        <w:rPr>
          <w:rFonts w:ascii="Century Gothic" w:hAnsi="Century Gothic" w:cs="Arial"/>
          <w:b/>
          <w:bCs/>
        </w:rPr>
        <w:t xml:space="preserve">REGARDING SOUTH AFRICA’S PROGRESS IN THE IMPLEMENTATON OF CEDAW COMMITTEE RECOMMENDATIONS </w:t>
      </w:r>
    </w:p>
    <w:p w14:paraId="4881FDBD" w14:textId="77777777" w:rsidR="00643520" w:rsidRDefault="00643520" w:rsidP="00643520">
      <w:pPr>
        <w:spacing w:line="360" w:lineRule="auto"/>
        <w:jc w:val="center"/>
        <w:rPr>
          <w:rFonts w:ascii="Century Gothic" w:hAnsi="Century Gothic" w:cs="Arial"/>
          <w:b/>
          <w:bCs/>
        </w:rPr>
      </w:pPr>
      <w:r>
        <w:rPr>
          <w:rFonts w:ascii="Century Gothic" w:hAnsi="Century Gothic" w:cs="Arial"/>
          <w:b/>
          <w:bCs/>
        </w:rPr>
        <w:t>MARCH, 2020</w:t>
      </w:r>
    </w:p>
    <w:p w14:paraId="3DF01666" w14:textId="77777777" w:rsidR="00643520" w:rsidRDefault="00643520" w:rsidP="00643520">
      <w:pPr>
        <w:spacing w:line="360" w:lineRule="auto"/>
        <w:jc w:val="both"/>
        <w:rPr>
          <w:rFonts w:ascii="Century Gothic" w:hAnsi="Century Gothic" w:cs="Arial"/>
          <w:b/>
          <w:bCs/>
        </w:rPr>
      </w:pPr>
      <w:r>
        <w:rPr>
          <w:rFonts w:ascii="Century Gothic" w:hAnsi="Century Gothic" w:cs="Arial"/>
          <w:b/>
          <w:bCs/>
        </w:rPr>
        <w:t>Introduction</w:t>
      </w:r>
    </w:p>
    <w:p w14:paraId="3E981F9F" w14:textId="77777777" w:rsidR="00643520" w:rsidRDefault="00643520" w:rsidP="00643520">
      <w:pPr>
        <w:spacing w:line="360" w:lineRule="auto"/>
        <w:jc w:val="both"/>
        <w:rPr>
          <w:rFonts w:ascii="Century Gothic" w:hAnsi="Century Gothic" w:cs="Arial"/>
        </w:rPr>
      </w:pPr>
      <w:r>
        <w:rPr>
          <w:rFonts w:ascii="Century Gothic" w:hAnsi="Century Gothic" w:cs="Arial"/>
        </w:rPr>
        <w:t>This statement presents some of the highlights and key developments contained in the Commission for Gender Equality’s report on the South Africa’s response and implementation of the concluding observations and recommendations issued by the CEDAW Committee in its 967th and 968th Sessions of 2011.</w:t>
      </w:r>
    </w:p>
    <w:p w14:paraId="6D01E50F" w14:textId="77777777" w:rsidR="00643520" w:rsidRDefault="00643520" w:rsidP="00643520">
      <w:pPr>
        <w:spacing w:line="360" w:lineRule="auto"/>
        <w:jc w:val="both"/>
        <w:rPr>
          <w:rFonts w:ascii="Century Gothic" w:hAnsi="Century Gothic" w:cs="Arial"/>
        </w:rPr>
      </w:pPr>
    </w:p>
    <w:p w14:paraId="7CBD6988" w14:textId="77777777" w:rsidR="00643520" w:rsidRDefault="00643520" w:rsidP="00643520">
      <w:pPr>
        <w:spacing w:line="360" w:lineRule="auto"/>
        <w:jc w:val="both"/>
        <w:rPr>
          <w:rFonts w:ascii="Century Gothic" w:hAnsi="Century Gothic" w:cs="Arial"/>
          <w:b/>
          <w:bCs/>
        </w:rPr>
      </w:pPr>
      <w:r>
        <w:rPr>
          <w:rFonts w:ascii="Century Gothic" w:hAnsi="Century Gothic" w:cs="Arial"/>
          <w:b/>
          <w:bCs/>
        </w:rPr>
        <w:t>Violence against women</w:t>
      </w:r>
    </w:p>
    <w:p w14:paraId="098674A1" w14:textId="77777777" w:rsidR="00643520" w:rsidRDefault="00643520" w:rsidP="00643520">
      <w:pPr>
        <w:spacing w:line="360" w:lineRule="auto"/>
        <w:jc w:val="both"/>
      </w:pPr>
      <w:r>
        <w:rPr>
          <w:rFonts w:ascii="Century Gothic" w:hAnsi="Century Gothic" w:cs="Arial"/>
        </w:rPr>
        <w:t>The area of combating and/or prevention of gender-based violence is the key area of policy where major developments have taken place during this reporting period. One of the key institutional developments carried out by government during this period was the establishment and launch in 2011 of the National Council on Gender Based Violence (NCGBV) as a direct response to the CEDAW Committee general recommendation 19 that called upon the country to establish an independent national coordinating structure to coordinate national strategies and programmes to deal with gender based violence. The government established National Council on Gender Based Violence and formally launched it on the 10</w:t>
      </w:r>
      <w:r>
        <w:rPr>
          <w:rFonts w:ascii="Century Gothic" w:hAnsi="Century Gothic" w:cs="Arial"/>
          <w:vertAlign w:val="superscript"/>
        </w:rPr>
        <w:t>th</w:t>
      </w:r>
      <w:r>
        <w:rPr>
          <w:rFonts w:ascii="Century Gothic" w:hAnsi="Century Gothic" w:cs="Arial"/>
        </w:rPr>
        <w:t xml:space="preserve"> of December 2012. The Council was established to function as a multi-stakeholder (i.e. involving independent civil society organisations, government and other partners from the development sector) national coordinating structure that would coordinate, monitor and evaluate national strategies and programmes to combat gender-based violence in South Africa. </w:t>
      </w:r>
    </w:p>
    <w:p w14:paraId="0634FF76" w14:textId="77777777" w:rsidR="00643520" w:rsidRDefault="00643520" w:rsidP="00643520">
      <w:pPr>
        <w:spacing w:line="360" w:lineRule="auto"/>
        <w:jc w:val="both"/>
      </w:pPr>
      <w:r>
        <w:rPr>
          <w:rFonts w:ascii="Century Gothic" w:hAnsi="Century Gothic" w:cs="Arial"/>
        </w:rPr>
        <w:t xml:space="preserve">Despite the good intentions behind its establishment, the NCGBV did not last for more than two years.  It collapsed in 2013/2014 under the weight of a multitude of problems. </w:t>
      </w:r>
      <w:r>
        <w:rPr>
          <w:rFonts w:ascii="Century Gothic" w:hAnsi="Century Gothic" w:cs="Arial"/>
        </w:rPr>
        <w:lastRenderedPageBreak/>
        <w:t>Among others, its failure stemmed from its unclear legal and institutional status; lack of institutional independence, limited financial and other resources (i.e. an uncertain and insecure funding) which severely affected its operational capacity, lack of diversity among its civil society component and the dominance of the government component in its decision making structures.</w:t>
      </w:r>
    </w:p>
    <w:p w14:paraId="3A390378" w14:textId="77777777" w:rsidR="00643520" w:rsidRDefault="00643520" w:rsidP="00643520">
      <w:pPr>
        <w:spacing w:line="360" w:lineRule="auto"/>
        <w:jc w:val="both"/>
      </w:pPr>
      <w:r>
        <w:rPr>
          <w:rFonts w:ascii="Century Gothic" w:hAnsi="Century Gothic" w:cs="Arial"/>
        </w:rPr>
        <w:t xml:space="preserve">Following the unrelenting levels of gender based violence over the past few years, as reflected in increased national media coverage and reporting of brutal   incidents of violence against women and femicide, on the 1st of August 2018, civil society organisations, gender activists and ordinary men and women across the country embarked on public marches and widespread protests demanding the President of the country, Cyril </w:t>
      </w:r>
      <w:proofErr w:type="spellStart"/>
      <w:r>
        <w:rPr>
          <w:rFonts w:ascii="Century Gothic" w:hAnsi="Century Gothic" w:cs="Arial"/>
        </w:rPr>
        <w:t>Ramaphosa</w:t>
      </w:r>
      <w:proofErr w:type="spellEnd"/>
      <w:r>
        <w:rPr>
          <w:rFonts w:ascii="Century Gothic" w:hAnsi="Century Gothic" w:cs="Arial"/>
        </w:rPr>
        <w:t xml:space="preserve">, to place the issue of GBV on the national agenda. Among other demands was the need for re-establishment of an independent National Structure to coordinate national strategies and programmes to deal effectively with GBV in South Africa. The public protest actions led to the first ever Presidential Summit on GBV and Femicide held in November 2018. The Summit led to a Declaration signed and launched by the President in March 2019. Among the resolutions contained in the Summit Declaration was an agreement to establish an Interim Steering Committee that would work towards the establishment of a national multi-stakeholder coordinating structure to deal with gender-based violence. The Interim Steering Committee was established early in 2019 and, at the time of writing the report, was still driving the processes of establishing a national coordinating structure on GBV. </w:t>
      </w:r>
    </w:p>
    <w:p w14:paraId="3846F5E0" w14:textId="77777777" w:rsidR="00643520" w:rsidRDefault="00643520" w:rsidP="00643520">
      <w:pPr>
        <w:spacing w:line="360" w:lineRule="auto"/>
        <w:jc w:val="both"/>
        <w:rPr>
          <w:rFonts w:ascii="Century Gothic" w:hAnsi="Century Gothic" w:cs="Arial"/>
        </w:rPr>
      </w:pPr>
      <w:r>
        <w:rPr>
          <w:rFonts w:ascii="Century Gothic" w:hAnsi="Century Gothic" w:cs="Arial"/>
        </w:rPr>
        <w:t>At the same time as national efforts to re-establish a national council on gender-based violence, there were also efforts (based on nation-wide consultations led by the interim committee on GBV) to develop a National Strategic Plan (NSP) to combat GBV. These efforts are at an advanced stage and there is great anticipation regarding the official launch of the NSP.</w:t>
      </w:r>
    </w:p>
    <w:p w14:paraId="15535FB4" w14:textId="72E639BB" w:rsidR="00643520" w:rsidRDefault="00643520" w:rsidP="00643520">
      <w:pPr>
        <w:spacing w:line="360" w:lineRule="auto"/>
        <w:jc w:val="both"/>
        <w:rPr>
          <w:rFonts w:ascii="Century Gothic" w:hAnsi="Century Gothic" w:cs="Arial"/>
        </w:rPr>
      </w:pPr>
      <w:r>
        <w:rPr>
          <w:rFonts w:ascii="Century Gothic" w:hAnsi="Century Gothic" w:cs="Arial"/>
        </w:rPr>
        <w:t xml:space="preserve">In addition to the establishment of the national coordinating body on GBV, and the development of the NSP, in September 2019, President Cyril </w:t>
      </w:r>
      <w:proofErr w:type="spellStart"/>
      <w:r>
        <w:rPr>
          <w:rFonts w:ascii="Century Gothic" w:hAnsi="Century Gothic" w:cs="Arial"/>
        </w:rPr>
        <w:t>Ramaphosa</w:t>
      </w:r>
      <w:proofErr w:type="spellEnd"/>
      <w:r>
        <w:rPr>
          <w:rFonts w:ascii="Century Gothic" w:hAnsi="Century Gothic" w:cs="Arial"/>
        </w:rPr>
        <w:t xml:space="preserve"> called for a joint seating of parliament where he announced a six months Emergency Response Action Plan with a government budget of R1.1 billion, which was later increased to R1.6 billion. </w:t>
      </w:r>
      <w:r>
        <w:rPr>
          <w:rFonts w:ascii="Century Gothic" w:hAnsi="Century Gothic" w:cs="Arial"/>
        </w:rPr>
        <w:lastRenderedPageBreak/>
        <w:t>While the development of the plan does signal government’s political willingness to lead national efforts to deal with gender-based violence in the country, in practice the implementation of the plan is still unfolding</w:t>
      </w:r>
      <w:r w:rsidR="004E4DD3">
        <w:rPr>
          <w:rFonts w:ascii="Century Gothic" w:hAnsi="Century Gothic" w:cs="Arial"/>
        </w:rPr>
        <w:t>.</w:t>
      </w:r>
    </w:p>
    <w:p w14:paraId="3A8B4140" w14:textId="77777777" w:rsidR="00643520" w:rsidRDefault="00643520" w:rsidP="00643520">
      <w:pPr>
        <w:spacing w:line="360" w:lineRule="auto"/>
        <w:jc w:val="both"/>
      </w:pPr>
      <w:r>
        <w:rPr>
          <w:rFonts w:ascii="Century Gothic" w:hAnsi="Century Gothic" w:cs="Arial"/>
        </w:rPr>
        <w:t>In 2013/14, government did attempt to formulate a national strategic plan (NSP) to combat gender-based violence but these efforts never culminated into a completed NSP. Prior to this attempt at developing the NSP, the government had commissioned a number of studies to uncover the underlying causal factors of gender-based violence in the country. These studies were intended to inform the process of developing the NSP. However, these studies were never made public, and the NSP was never developed, thus prompting civil society organisations to embark on their own separate/shadow NSP process, eventually leading to a civil society-sponsored NSP that was in turn rejected by the government.</w:t>
      </w:r>
    </w:p>
    <w:p w14:paraId="0B530B52" w14:textId="77777777" w:rsidR="00643520" w:rsidRDefault="00643520" w:rsidP="00643520">
      <w:pPr>
        <w:spacing w:line="360" w:lineRule="auto"/>
        <w:jc w:val="both"/>
      </w:pPr>
      <w:r>
        <w:rPr>
          <w:rFonts w:ascii="Century Gothic" w:hAnsi="Century Gothic" w:cs="Arial"/>
        </w:rPr>
        <w:t xml:space="preserve">Also, in 2013/14 the Department of Social Development introduced the Intergraded Programme of Action (IPOA) which was intended to bring together and coordinate the activities and programmes of several departments (e.g. SAPS, Justice, Health and education) aimed at addressing the scourge of gender-based violence. However, the implementation of the IPOA suffered several operational and other challenges including lack of cooperation by other departments, poor coordination, limited capacity and poor resource allocation. </w:t>
      </w:r>
    </w:p>
    <w:p w14:paraId="0BE5FED1" w14:textId="77777777" w:rsidR="00643520" w:rsidRDefault="00643520" w:rsidP="00643520">
      <w:pPr>
        <w:spacing w:line="360" w:lineRule="auto"/>
        <w:jc w:val="both"/>
        <w:rPr>
          <w:rFonts w:ascii="Century Gothic" w:hAnsi="Century Gothic" w:cs="Arial"/>
        </w:rPr>
      </w:pPr>
      <w:r>
        <w:rPr>
          <w:rFonts w:ascii="Century Gothic" w:hAnsi="Century Gothic" w:cs="Arial"/>
        </w:rPr>
        <w:t>In 2013, the government introduced some legislative reforms within the justice sector, particularly by passing the Judicial Matters Second Amendment Act 2013 (Act No.43 of 2013). This led to the re-establish Sexual Offences Courts in South Africa. This amendment included Section 55A that empowers the Minister of Justice and Correctional Services to designate a court as a Sexual Offences Court and for government to develop regulations relating to the resourcing and management of these courts. Initially, government had intended to establish a total of 54 Sexual Offences Courts across the country. Currently, the number of Sexual Offices Courts in the country is 74. While this number exceeds the initial target, it is still relatively small given the scale of reported sexual offences and GBV in general in the country.</w:t>
      </w:r>
    </w:p>
    <w:p w14:paraId="055F9AEF" w14:textId="68740048" w:rsidR="00B927E9" w:rsidRPr="007A439C" w:rsidRDefault="00643520" w:rsidP="00156D5F">
      <w:pPr>
        <w:spacing w:line="360" w:lineRule="auto"/>
        <w:jc w:val="both"/>
      </w:pPr>
      <w:r>
        <w:rPr>
          <w:rFonts w:ascii="Century Gothic" w:hAnsi="Century Gothic" w:cs="Arial"/>
        </w:rPr>
        <w:lastRenderedPageBreak/>
        <w:t>Also, as already mentioned above, South Africa has adopted a number of plans, strategies and institutions changes by various national departments as part of addressing the scourge of violence against women and children. However, various budgetary and resource related challenges continue to impact negatively on some of these developments.</w:t>
      </w:r>
      <w:r w:rsidR="00B927E9">
        <w:rPr>
          <w:rFonts w:ascii="Century Gothic" w:hAnsi="Century Gothic" w:cs="Arial"/>
        </w:rPr>
        <w:t xml:space="preserve">  </w:t>
      </w:r>
      <w:r w:rsidR="00B927E9" w:rsidRPr="00B927E9">
        <w:rPr>
          <w:rFonts w:ascii="Century Gothic" w:hAnsi="Century Gothic"/>
        </w:rPr>
        <w:t>The plight of women in South Africa, where the femicide rate is almost </w:t>
      </w:r>
      <w:r w:rsidR="00B927E9" w:rsidRPr="00452191">
        <w:rPr>
          <w:rFonts w:ascii="Century Gothic" w:hAnsi="Century Gothic"/>
        </w:rPr>
        <w:t>five times</w:t>
      </w:r>
      <w:r w:rsidR="00B927E9" w:rsidRPr="00B927E9">
        <w:rPr>
          <w:rFonts w:ascii="Century Gothic" w:hAnsi="Century Gothic"/>
        </w:rPr>
        <w:t> the global average and sexual assault is rampant: in 2018-2019, the police recorded an </w:t>
      </w:r>
      <w:r w:rsidR="00B927E9" w:rsidRPr="00452191">
        <w:rPr>
          <w:rFonts w:ascii="Century Gothic" w:hAnsi="Century Gothic"/>
        </w:rPr>
        <w:t>average</w:t>
      </w:r>
      <w:r w:rsidR="00B927E9" w:rsidRPr="00B927E9">
        <w:rPr>
          <w:rFonts w:ascii="Century Gothic" w:hAnsi="Century Gothic"/>
        </w:rPr>
        <w:t> of 114 rapes per day – an increase of nearly 5% from the previous year. To add insult to injury, women and girls – including victims of such assaults – often lack access to sexual and reproductive health services, including safe, affordable abortion.</w:t>
      </w:r>
    </w:p>
    <w:p w14:paraId="116D49FB" w14:textId="3FC784E9" w:rsidR="00643520" w:rsidRDefault="00643520" w:rsidP="00643520">
      <w:pPr>
        <w:spacing w:line="360" w:lineRule="auto"/>
        <w:jc w:val="both"/>
        <w:rPr>
          <w:rFonts w:ascii="Century Gothic" w:hAnsi="Century Gothic" w:cs="Arial"/>
        </w:rPr>
      </w:pPr>
      <w:r>
        <w:rPr>
          <w:rFonts w:ascii="Century Gothic" w:hAnsi="Century Gothic" w:cs="Arial"/>
        </w:rPr>
        <w:t>In particular, six departments responsible for carrying out specific government programmes aimed at addressing gender-based violence are affected in various ways by resource limitations as indicated below:</w:t>
      </w:r>
    </w:p>
    <w:p w14:paraId="28BBE28C" w14:textId="77777777" w:rsidR="00643520" w:rsidRDefault="00643520" w:rsidP="00643520">
      <w:pPr>
        <w:numPr>
          <w:ilvl w:val="0"/>
          <w:numId w:val="27"/>
        </w:numPr>
        <w:suppressAutoHyphens/>
        <w:autoSpaceDN w:val="0"/>
        <w:spacing w:after="160" w:line="360" w:lineRule="auto"/>
        <w:jc w:val="both"/>
        <w:textAlignment w:val="baseline"/>
        <w:rPr>
          <w:rFonts w:ascii="Century Gothic" w:hAnsi="Century Gothic" w:cs="Arial"/>
        </w:rPr>
      </w:pPr>
      <w:r>
        <w:rPr>
          <w:rFonts w:ascii="Century Gothic" w:hAnsi="Century Gothic" w:cs="Arial"/>
        </w:rPr>
        <w:t>The South African Police Services</w:t>
      </w:r>
    </w:p>
    <w:p w14:paraId="4AEEEFD2" w14:textId="77777777" w:rsidR="00643520" w:rsidRDefault="00643520" w:rsidP="00643520">
      <w:pPr>
        <w:numPr>
          <w:ilvl w:val="0"/>
          <w:numId w:val="28"/>
        </w:numPr>
        <w:suppressAutoHyphens/>
        <w:autoSpaceDN w:val="0"/>
        <w:spacing w:after="160" w:line="360" w:lineRule="auto"/>
        <w:jc w:val="both"/>
        <w:textAlignment w:val="baseline"/>
        <w:rPr>
          <w:rFonts w:ascii="Century Gothic" w:hAnsi="Century Gothic" w:cs="Arial"/>
        </w:rPr>
      </w:pPr>
      <w:r>
        <w:rPr>
          <w:rFonts w:ascii="Century Gothic" w:hAnsi="Century Gothic" w:cs="Arial"/>
        </w:rPr>
        <w:t xml:space="preserve">Inadequate training of SAPS officials to deal effectively with gender-based violence, including training on the relevant national strategic programmes of action, as well as legislative and policy frameworks. </w:t>
      </w:r>
    </w:p>
    <w:p w14:paraId="4B7338C2" w14:textId="33DA3C90" w:rsidR="00643520" w:rsidRDefault="00643520" w:rsidP="00643520">
      <w:pPr>
        <w:numPr>
          <w:ilvl w:val="0"/>
          <w:numId w:val="28"/>
        </w:numPr>
        <w:suppressAutoHyphens/>
        <w:autoSpaceDN w:val="0"/>
        <w:spacing w:after="160" w:line="360" w:lineRule="auto"/>
        <w:jc w:val="both"/>
        <w:textAlignment w:val="baseline"/>
        <w:rPr>
          <w:rFonts w:ascii="Century Gothic" w:hAnsi="Century Gothic" w:cs="Arial"/>
        </w:rPr>
      </w:pPr>
      <w:r>
        <w:rPr>
          <w:rFonts w:ascii="Century Gothic" w:hAnsi="Century Gothic" w:cs="Arial"/>
        </w:rPr>
        <w:t xml:space="preserve">Lack of provisions for the establishment of adequate victim friendly rooms </w:t>
      </w:r>
      <w:r w:rsidR="00CF2060">
        <w:rPr>
          <w:rFonts w:ascii="Century Gothic" w:hAnsi="Century Gothic" w:cs="Arial"/>
        </w:rPr>
        <w:t xml:space="preserve">and specialised detectives (FCS Units) </w:t>
      </w:r>
      <w:r>
        <w:rPr>
          <w:rFonts w:ascii="Century Gothic" w:hAnsi="Century Gothic" w:cs="Arial"/>
        </w:rPr>
        <w:t>in police stations.</w:t>
      </w:r>
    </w:p>
    <w:p w14:paraId="1E5552C7" w14:textId="77777777" w:rsidR="00643520" w:rsidRDefault="00643520" w:rsidP="00643520">
      <w:pPr>
        <w:numPr>
          <w:ilvl w:val="0"/>
          <w:numId w:val="28"/>
        </w:numPr>
        <w:suppressAutoHyphens/>
        <w:autoSpaceDN w:val="0"/>
        <w:spacing w:after="160" w:line="360" w:lineRule="auto"/>
        <w:jc w:val="both"/>
        <w:textAlignment w:val="baseline"/>
        <w:rPr>
          <w:rFonts w:ascii="Century Gothic" w:hAnsi="Century Gothic" w:cs="Arial"/>
        </w:rPr>
      </w:pPr>
      <w:r>
        <w:rPr>
          <w:rFonts w:ascii="Century Gothic" w:hAnsi="Century Gothic" w:cs="Arial"/>
        </w:rPr>
        <w:t>Shortages of rape kits.</w:t>
      </w:r>
    </w:p>
    <w:p w14:paraId="4ABBD25F" w14:textId="77777777" w:rsidR="00643520" w:rsidRDefault="00643520" w:rsidP="00643520">
      <w:pPr>
        <w:numPr>
          <w:ilvl w:val="0"/>
          <w:numId w:val="28"/>
        </w:numPr>
        <w:suppressAutoHyphens/>
        <w:autoSpaceDN w:val="0"/>
        <w:spacing w:after="160" w:line="360" w:lineRule="auto"/>
        <w:jc w:val="both"/>
        <w:textAlignment w:val="baseline"/>
        <w:rPr>
          <w:rFonts w:ascii="Century Gothic" w:hAnsi="Century Gothic" w:cs="Arial"/>
        </w:rPr>
      </w:pPr>
      <w:r>
        <w:rPr>
          <w:rFonts w:ascii="Century Gothic" w:hAnsi="Century Gothic" w:cs="Arial"/>
        </w:rPr>
        <w:t>Lack of vehicles to transport survivors to shelters, places of safety, and the medical facility for examination.</w:t>
      </w:r>
    </w:p>
    <w:p w14:paraId="22825051" w14:textId="77777777" w:rsidR="00643520" w:rsidRDefault="00643520" w:rsidP="00643520">
      <w:pPr>
        <w:numPr>
          <w:ilvl w:val="0"/>
          <w:numId w:val="27"/>
        </w:numPr>
        <w:suppressAutoHyphens/>
        <w:autoSpaceDN w:val="0"/>
        <w:spacing w:after="160" w:line="360" w:lineRule="auto"/>
        <w:jc w:val="both"/>
        <w:textAlignment w:val="baseline"/>
        <w:rPr>
          <w:rFonts w:ascii="Century Gothic" w:hAnsi="Century Gothic" w:cs="Arial"/>
        </w:rPr>
      </w:pPr>
      <w:r>
        <w:rPr>
          <w:rFonts w:ascii="Century Gothic" w:hAnsi="Century Gothic" w:cs="Arial"/>
        </w:rPr>
        <w:t>National Prosecuting Authority</w:t>
      </w:r>
    </w:p>
    <w:p w14:paraId="7C500A0A" w14:textId="77777777" w:rsidR="00643520" w:rsidRDefault="00643520" w:rsidP="00643520">
      <w:pPr>
        <w:numPr>
          <w:ilvl w:val="0"/>
          <w:numId w:val="29"/>
        </w:numPr>
        <w:suppressAutoHyphens/>
        <w:autoSpaceDN w:val="0"/>
        <w:spacing w:after="160" w:line="360" w:lineRule="auto"/>
        <w:jc w:val="both"/>
        <w:textAlignment w:val="baseline"/>
        <w:rPr>
          <w:rFonts w:ascii="Century Gothic" w:hAnsi="Century Gothic" w:cs="Arial"/>
        </w:rPr>
      </w:pPr>
      <w:r>
        <w:rPr>
          <w:rFonts w:ascii="Century Gothic" w:hAnsi="Century Gothic" w:cs="Arial"/>
        </w:rPr>
        <w:t xml:space="preserve">Poorly resourced </w:t>
      </w:r>
      <w:proofErr w:type="spellStart"/>
      <w:r>
        <w:rPr>
          <w:rFonts w:ascii="Century Gothic" w:hAnsi="Century Gothic" w:cs="Arial"/>
        </w:rPr>
        <w:t>Thuthuzela</w:t>
      </w:r>
      <w:proofErr w:type="spellEnd"/>
      <w:r>
        <w:rPr>
          <w:rFonts w:ascii="Century Gothic" w:hAnsi="Century Gothic" w:cs="Arial"/>
        </w:rPr>
        <w:t xml:space="preserve"> Care Centres (TCCs). </w:t>
      </w:r>
    </w:p>
    <w:p w14:paraId="3E62620B" w14:textId="77777777" w:rsidR="00643520" w:rsidRDefault="00643520" w:rsidP="00643520">
      <w:pPr>
        <w:numPr>
          <w:ilvl w:val="0"/>
          <w:numId w:val="29"/>
        </w:numPr>
        <w:suppressAutoHyphens/>
        <w:autoSpaceDN w:val="0"/>
        <w:spacing w:after="160" w:line="360" w:lineRule="auto"/>
        <w:jc w:val="both"/>
        <w:textAlignment w:val="baseline"/>
        <w:rPr>
          <w:rFonts w:ascii="Century Gothic" w:hAnsi="Century Gothic" w:cs="Arial"/>
        </w:rPr>
      </w:pPr>
      <w:r>
        <w:rPr>
          <w:rFonts w:ascii="Century Gothic" w:hAnsi="Century Gothic" w:cs="Arial"/>
        </w:rPr>
        <w:t xml:space="preserve">Lack of training of prosecutors, particularly on the Victims Charter. </w:t>
      </w:r>
    </w:p>
    <w:p w14:paraId="5F580514" w14:textId="77777777" w:rsidR="00643520" w:rsidRDefault="00643520" w:rsidP="00643520">
      <w:pPr>
        <w:numPr>
          <w:ilvl w:val="0"/>
          <w:numId w:val="27"/>
        </w:numPr>
        <w:suppressAutoHyphens/>
        <w:autoSpaceDN w:val="0"/>
        <w:spacing w:after="160" w:line="360" w:lineRule="auto"/>
        <w:jc w:val="both"/>
        <w:textAlignment w:val="baseline"/>
        <w:rPr>
          <w:rFonts w:ascii="Century Gothic" w:hAnsi="Century Gothic" w:cs="Arial"/>
        </w:rPr>
      </w:pPr>
      <w:r>
        <w:rPr>
          <w:rFonts w:ascii="Century Gothic" w:hAnsi="Century Gothic" w:cs="Arial"/>
        </w:rPr>
        <w:t>Department of Justice and Constitutional Development</w:t>
      </w:r>
    </w:p>
    <w:p w14:paraId="4EC7BC3D" w14:textId="77777777" w:rsidR="00643520" w:rsidRDefault="00643520" w:rsidP="00643520">
      <w:pPr>
        <w:numPr>
          <w:ilvl w:val="0"/>
          <w:numId w:val="30"/>
        </w:numPr>
        <w:suppressAutoHyphens/>
        <w:autoSpaceDN w:val="0"/>
        <w:spacing w:after="160" w:line="360" w:lineRule="auto"/>
        <w:jc w:val="both"/>
        <w:textAlignment w:val="baseline"/>
        <w:rPr>
          <w:rFonts w:ascii="Century Gothic" w:hAnsi="Century Gothic" w:cs="Arial"/>
        </w:rPr>
      </w:pPr>
      <w:r>
        <w:rPr>
          <w:rFonts w:ascii="Century Gothic" w:hAnsi="Century Gothic" w:cs="Arial"/>
        </w:rPr>
        <w:t>In 2014 the Department re-launched the Sexual Offences Courts (SOC)</w:t>
      </w:r>
    </w:p>
    <w:p w14:paraId="735D7732" w14:textId="77777777" w:rsidR="00643520" w:rsidRDefault="00643520" w:rsidP="00643520">
      <w:pPr>
        <w:numPr>
          <w:ilvl w:val="0"/>
          <w:numId w:val="30"/>
        </w:numPr>
        <w:suppressAutoHyphens/>
        <w:autoSpaceDN w:val="0"/>
        <w:spacing w:after="160" w:line="360" w:lineRule="auto"/>
        <w:jc w:val="both"/>
        <w:textAlignment w:val="baseline"/>
        <w:rPr>
          <w:rFonts w:ascii="Century Gothic" w:hAnsi="Century Gothic" w:cs="Arial"/>
        </w:rPr>
      </w:pPr>
      <w:r>
        <w:rPr>
          <w:rFonts w:ascii="Century Gothic" w:hAnsi="Century Gothic" w:cs="Arial"/>
        </w:rPr>
        <w:lastRenderedPageBreak/>
        <w:t xml:space="preserve">Inadequately resourced Sexual Offences Courts. </w:t>
      </w:r>
    </w:p>
    <w:p w14:paraId="63B2A309" w14:textId="77777777" w:rsidR="00643520" w:rsidRDefault="00643520" w:rsidP="00643520">
      <w:pPr>
        <w:numPr>
          <w:ilvl w:val="0"/>
          <w:numId w:val="30"/>
        </w:numPr>
        <w:suppressAutoHyphens/>
        <w:autoSpaceDN w:val="0"/>
        <w:spacing w:after="160" w:line="360" w:lineRule="auto"/>
        <w:jc w:val="both"/>
        <w:textAlignment w:val="baseline"/>
        <w:rPr>
          <w:rFonts w:ascii="Century Gothic" w:hAnsi="Century Gothic" w:cs="Arial"/>
        </w:rPr>
      </w:pPr>
      <w:r>
        <w:rPr>
          <w:rFonts w:ascii="Century Gothic" w:hAnsi="Century Gothic" w:cs="Arial"/>
        </w:rPr>
        <w:t>Lack of trained specialised staff (magistrates, intermediaries, and interpreters).</w:t>
      </w:r>
    </w:p>
    <w:p w14:paraId="5725836F" w14:textId="77777777" w:rsidR="00643520" w:rsidRDefault="00643520" w:rsidP="00643520">
      <w:pPr>
        <w:numPr>
          <w:ilvl w:val="0"/>
          <w:numId w:val="27"/>
        </w:numPr>
        <w:suppressAutoHyphens/>
        <w:autoSpaceDN w:val="0"/>
        <w:spacing w:after="160" w:line="360" w:lineRule="auto"/>
        <w:jc w:val="both"/>
        <w:textAlignment w:val="baseline"/>
        <w:rPr>
          <w:rFonts w:ascii="Century Gothic" w:hAnsi="Century Gothic" w:cs="Arial"/>
        </w:rPr>
      </w:pPr>
      <w:r>
        <w:rPr>
          <w:rFonts w:ascii="Century Gothic" w:hAnsi="Century Gothic" w:cs="Arial"/>
        </w:rPr>
        <w:t>Department of Health</w:t>
      </w:r>
    </w:p>
    <w:p w14:paraId="55301A21" w14:textId="77777777" w:rsidR="00643520" w:rsidRDefault="00643520" w:rsidP="00643520">
      <w:pPr>
        <w:numPr>
          <w:ilvl w:val="0"/>
          <w:numId w:val="31"/>
        </w:numPr>
        <w:suppressAutoHyphens/>
        <w:autoSpaceDN w:val="0"/>
        <w:spacing w:after="160" w:line="360" w:lineRule="auto"/>
        <w:jc w:val="both"/>
        <w:textAlignment w:val="baseline"/>
        <w:rPr>
          <w:rFonts w:ascii="Century Gothic" w:hAnsi="Century Gothic" w:cs="Arial"/>
        </w:rPr>
      </w:pPr>
      <w:r>
        <w:rPr>
          <w:rFonts w:ascii="Century Gothic" w:hAnsi="Century Gothic" w:cs="Arial"/>
        </w:rPr>
        <w:t>Limited number of trained Clinical Forensic Nurses.</w:t>
      </w:r>
    </w:p>
    <w:p w14:paraId="316757E7" w14:textId="77777777" w:rsidR="00643520" w:rsidRDefault="00643520" w:rsidP="00643520">
      <w:pPr>
        <w:numPr>
          <w:ilvl w:val="0"/>
          <w:numId w:val="31"/>
        </w:numPr>
        <w:suppressAutoHyphens/>
        <w:autoSpaceDN w:val="0"/>
        <w:spacing w:after="160" w:line="360" w:lineRule="auto"/>
        <w:jc w:val="both"/>
        <w:textAlignment w:val="baseline"/>
        <w:rPr>
          <w:rFonts w:ascii="Century Gothic" w:hAnsi="Century Gothic" w:cs="Arial"/>
        </w:rPr>
      </w:pPr>
      <w:r>
        <w:rPr>
          <w:rFonts w:ascii="Century Gothic" w:hAnsi="Century Gothic" w:cs="Arial"/>
        </w:rPr>
        <w:t>Shortages of rape kits.</w:t>
      </w:r>
    </w:p>
    <w:p w14:paraId="64A412AE" w14:textId="77777777" w:rsidR="00643520" w:rsidRDefault="00643520" w:rsidP="00643520">
      <w:pPr>
        <w:numPr>
          <w:ilvl w:val="0"/>
          <w:numId w:val="27"/>
        </w:numPr>
        <w:suppressAutoHyphens/>
        <w:autoSpaceDN w:val="0"/>
        <w:spacing w:after="160" w:line="360" w:lineRule="auto"/>
        <w:jc w:val="both"/>
        <w:textAlignment w:val="baseline"/>
        <w:rPr>
          <w:rFonts w:ascii="Century Gothic" w:hAnsi="Century Gothic" w:cs="Arial"/>
        </w:rPr>
      </w:pPr>
      <w:r>
        <w:rPr>
          <w:rFonts w:ascii="Century Gothic" w:hAnsi="Century Gothic" w:cs="Arial"/>
        </w:rPr>
        <w:t xml:space="preserve">Department of Social Development </w:t>
      </w:r>
    </w:p>
    <w:p w14:paraId="056D8E48" w14:textId="77777777" w:rsidR="00643520" w:rsidRDefault="00643520" w:rsidP="00643520">
      <w:pPr>
        <w:numPr>
          <w:ilvl w:val="0"/>
          <w:numId w:val="32"/>
        </w:numPr>
        <w:suppressAutoHyphens/>
        <w:autoSpaceDN w:val="0"/>
        <w:spacing w:after="160" w:line="360" w:lineRule="auto"/>
        <w:jc w:val="both"/>
        <w:textAlignment w:val="baseline"/>
        <w:rPr>
          <w:rFonts w:ascii="Century Gothic" w:hAnsi="Century Gothic" w:cs="Arial"/>
        </w:rPr>
      </w:pPr>
      <w:r>
        <w:rPr>
          <w:rFonts w:ascii="Century Gothic" w:hAnsi="Century Gothic" w:cs="Arial"/>
        </w:rPr>
        <w:t>Shut down of shelters for survivors of violence due to cuts in government funding.</w:t>
      </w:r>
    </w:p>
    <w:p w14:paraId="06A2D931" w14:textId="77777777" w:rsidR="00643520" w:rsidRDefault="00643520" w:rsidP="00643520">
      <w:pPr>
        <w:numPr>
          <w:ilvl w:val="0"/>
          <w:numId w:val="32"/>
        </w:numPr>
        <w:suppressAutoHyphens/>
        <w:autoSpaceDN w:val="0"/>
        <w:spacing w:after="160" w:line="360" w:lineRule="auto"/>
        <w:jc w:val="both"/>
        <w:textAlignment w:val="baseline"/>
        <w:rPr>
          <w:rFonts w:ascii="Century Gothic" w:hAnsi="Century Gothic" w:cs="Arial"/>
        </w:rPr>
      </w:pPr>
      <w:r>
        <w:rPr>
          <w:rFonts w:ascii="Century Gothic" w:hAnsi="Century Gothic" w:cs="Arial"/>
        </w:rPr>
        <w:t>Lack of DSD counsellors in police stations and TCCs.</w:t>
      </w:r>
    </w:p>
    <w:p w14:paraId="3072D5B7" w14:textId="77777777" w:rsidR="00643520" w:rsidRDefault="00643520" w:rsidP="00643520">
      <w:pPr>
        <w:numPr>
          <w:ilvl w:val="0"/>
          <w:numId w:val="27"/>
        </w:numPr>
        <w:suppressAutoHyphens/>
        <w:autoSpaceDN w:val="0"/>
        <w:spacing w:after="160" w:line="360" w:lineRule="auto"/>
        <w:jc w:val="both"/>
        <w:textAlignment w:val="baseline"/>
        <w:rPr>
          <w:rFonts w:ascii="Century Gothic" w:hAnsi="Century Gothic" w:cs="Arial"/>
        </w:rPr>
      </w:pPr>
      <w:r>
        <w:rPr>
          <w:rFonts w:ascii="Century Gothic" w:hAnsi="Century Gothic" w:cs="Arial"/>
        </w:rPr>
        <w:t>Department of Correctional Services</w:t>
      </w:r>
    </w:p>
    <w:p w14:paraId="407D87B3" w14:textId="77777777" w:rsidR="00643520" w:rsidRDefault="00643520" w:rsidP="00643520">
      <w:pPr>
        <w:numPr>
          <w:ilvl w:val="0"/>
          <w:numId w:val="33"/>
        </w:numPr>
        <w:suppressAutoHyphens/>
        <w:autoSpaceDN w:val="0"/>
        <w:spacing w:after="160" w:line="360" w:lineRule="auto"/>
        <w:jc w:val="both"/>
        <w:textAlignment w:val="baseline"/>
        <w:rPr>
          <w:rFonts w:ascii="Century Gothic" w:hAnsi="Century Gothic" w:cs="Arial"/>
        </w:rPr>
      </w:pPr>
      <w:r>
        <w:rPr>
          <w:rFonts w:ascii="Century Gothic" w:hAnsi="Century Gothic" w:cs="Arial"/>
        </w:rPr>
        <w:t xml:space="preserve">Lack of support for survivors of violence against women, particularly when it comes to victim-offender dialogues and mediation by the parole boards. </w:t>
      </w:r>
    </w:p>
    <w:p w14:paraId="2ACBBD0A" w14:textId="77777777" w:rsidR="00643520" w:rsidRDefault="00643520" w:rsidP="00643520">
      <w:pPr>
        <w:numPr>
          <w:ilvl w:val="0"/>
          <w:numId w:val="33"/>
        </w:numPr>
        <w:suppressAutoHyphens/>
        <w:autoSpaceDN w:val="0"/>
        <w:spacing w:after="160" w:line="360" w:lineRule="auto"/>
        <w:jc w:val="both"/>
        <w:textAlignment w:val="baseline"/>
        <w:rPr>
          <w:rFonts w:ascii="Century Gothic" w:hAnsi="Century Gothic" w:cs="Arial"/>
        </w:rPr>
      </w:pPr>
      <w:r>
        <w:rPr>
          <w:rFonts w:ascii="Century Gothic" w:hAnsi="Century Gothic" w:cs="Arial"/>
        </w:rPr>
        <w:t xml:space="preserve">Inadequate resources to track survivors to participate in the victim-offender dialogues and mediation processes. </w:t>
      </w:r>
    </w:p>
    <w:p w14:paraId="651FE865" w14:textId="47FB07D4" w:rsidR="00643520" w:rsidRDefault="00643520" w:rsidP="00643520">
      <w:pPr>
        <w:spacing w:line="360" w:lineRule="auto"/>
        <w:jc w:val="both"/>
        <w:rPr>
          <w:rFonts w:ascii="Century Gothic" w:hAnsi="Century Gothic" w:cs="Arial"/>
          <w:b/>
        </w:rPr>
      </w:pPr>
      <w:r>
        <w:rPr>
          <w:rFonts w:ascii="Century Gothic" w:hAnsi="Century Gothic" w:cs="Arial"/>
          <w:b/>
        </w:rPr>
        <w:t>Women’s Representation and Participation in Political and Public Life</w:t>
      </w:r>
    </w:p>
    <w:p w14:paraId="14235AA3" w14:textId="77777777" w:rsidR="00643520" w:rsidRDefault="00643520" w:rsidP="00643520">
      <w:pPr>
        <w:spacing w:after="0" w:line="360" w:lineRule="auto"/>
        <w:jc w:val="both"/>
      </w:pPr>
      <w:r>
        <w:rPr>
          <w:rFonts w:ascii="Century Gothic" w:hAnsi="Century Gothic" w:cs="Arial"/>
          <w:bCs/>
          <w:lang w:eastAsia="en-ZA"/>
        </w:rPr>
        <w:t xml:space="preserve">To date the South African government has not formally introduced or adopted any formal special temporary measures in line with the Recommendation as contained in the 2011 CEDAW Committee Report on the South Africa Country report. While the country has signed up to the Southern Africa Development Community (SADC) Protocol on Gender and Development which sets a target of 50% women’s representation in politics and public life, this has not been formally adopted and incorporated into the country’s domestic legislative frameworks. This shortcoming has been acknowledged in </w:t>
      </w:r>
      <w:r>
        <w:rPr>
          <w:rFonts w:ascii="Century Gothic" w:hAnsi="Century Gothic" w:cs="Arial"/>
          <w:lang w:eastAsia="en-ZA"/>
        </w:rPr>
        <w:t>South Africa’s 5</w:t>
      </w:r>
      <w:r>
        <w:rPr>
          <w:rFonts w:ascii="Century Gothic" w:hAnsi="Century Gothic" w:cs="Arial"/>
          <w:vertAlign w:val="superscript"/>
          <w:lang w:eastAsia="en-ZA"/>
        </w:rPr>
        <w:t>th</w:t>
      </w:r>
      <w:r>
        <w:rPr>
          <w:rFonts w:ascii="Century Gothic" w:hAnsi="Century Gothic" w:cs="Arial"/>
          <w:lang w:eastAsia="en-ZA"/>
        </w:rPr>
        <w:t xml:space="preserve"> Periodic Report on the Implementation of CEDAW Recommendations. </w:t>
      </w:r>
    </w:p>
    <w:p w14:paraId="2B58E0EE" w14:textId="77777777" w:rsidR="00643520" w:rsidRDefault="00643520" w:rsidP="00643520">
      <w:pPr>
        <w:spacing w:after="0" w:line="360" w:lineRule="auto"/>
        <w:jc w:val="both"/>
        <w:rPr>
          <w:rFonts w:ascii="Century Gothic" w:hAnsi="Century Gothic" w:cs="Arial"/>
          <w:lang w:eastAsia="en-ZA"/>
        </w:rPr>
      </w:pPr>
    </w:p>
    <w:p w14:paraId="0BB9C967" w14:textId="77777777" w:rsidR="00643520" w:rsidRDefault="00643520" w:rsidP="00643520">
      <w:pPr>
        <w:spacing w:after="0" w:line="360" w:lineRule="auto"/>
        <w:jc w:val="both"/>
      </w:pPr>
      <w:r>
        <w:rPr>
          <w:rFonts w:ascii="Century Gothic" w:hAnsi="Century Gothic" w:cs="Arial"/>
          <w:lang w:eastAsia="en-ZA"/>
        </w:rPr>
        <w:t xml:space="preserve">Although an attempted legislative reform was made in 2015 with the introduction of the Women Empowerment and Gender Equality (WEGE) Bill (2013/14), the initiative lost </w:t>
      </w:r>
      <w:r>
        <w:rPr>
          <w:rFonts w:ascii="Century Gothic" w:hAnsi="Century Gothic" w:cs="Arial"/>
          <w:lang w:eastAsia="en-ZA"/>
        </w:rPr>
        <w:lastRenderedPageBreak/>
        <w:t xml:space="preserve">momentum with the parliamentary process eventually elapsing. Despite this, the Commission for Gender Equality has taken a public position on several discussion forums to advocate for the speedy enactment of the WEGE Bill, and continues to monitor, evaluate and hold government and other institutions to account on compliance with existing national policy and legislative frameworks as well as regional and global instruments aimed at promoting gender equality and transformation. </w:t>
      </w:r>
    </w:p>
    <w:p w14:paraId="71703E12" w14:textId="77777777" w:rsidR="00643520" w:rsidRDefault="00643520" w:rsidP="00643520">
      <w:pPr>
        <w:spacing w:after="0" w:line="360" w:lineRule="auto"/>
        <w:jc w:val="both"/>
        <w:rPr>
          <w:rFonts w:ascii="Century Gothic" w:hAnsi="Century Gothic" w:cs="Arial"/>
          <w:lang w:eastAsia="en-ZA"/>
        </w:rPr>
      </w:pPr>
    </w:p>
    <w:p w14:paraId="7A0A2794" w14:textId="77777777" w:rsidR="00643520" w:rsidRDefault="00643520" w:rsidP="00643520">
      <w:pPr>
        <w:spacing w:after="0" w:line="360" w:lineRule="auto"/>
        <w:jc w:val="both"/>
        <w:rPr>
          <w:rFonts w:ascii="Century Gothic" w:hAnsi="Century Gothic" w:cs="Arial"/>
          <w:lang w:eastAsia="en-ZA"/>
        </w:rPr>
      </w:pPr>
      <w:r>
        <w:rPr>
          <w:rFonts w:ascii="Century Gothic" w:hAnsi="Century Gothic" w:cs="Arial"/>
          <w:lang w:eastAsia="en-ZA"/>
        </w:rPr>
        <w:t xml:space="preserve">With regard to women’s representation and participation within the top leadership structures of major political parties in the country, the African National Congress (ANC), which is the ruling party, is the only political party at present to have formally adopted a specific quota (i.e. 50/50) for women’s representation, reinforced with the party’s so-called ‘zebra stripes’ candidate placement strategy during periods of elections in the country. The Zebra-Stripes strategy is intended to ensure that men and women have equal opportunities to compete for positions in the party, although this approach is not always applied consistently in all internal party structures, especially the top leadership structure which is currently heavily skewed in favour of male leaders. </w:t>
      </w:r>
    </w:p>
    <w:p w14:paraId="729D6075" w14:textId="77777777" w:rsidR="00643520" w:rsidRDefault="00643520" w:rsidP="00643520">
      <w:pPr>
        <w:spacing w:after="0" w:line="360" w:lineRule="auto"/>
        <w:jc w:val="both"/>
        <w:rPr>
          <w:rFonts w:ascii="Century Gothic" w:hAnsi="Century Gothic" w:cs="Arial"/>
          <w:lang w:eastAsia="en-ZA"/>
        </w:rPr>
      </w:pPr>
    </w:p>
    <w:p w14:paraId="1A8A66E9" w14:textId="51C2CEE3" w:rsidR="00643520" w:rsidRDefault="00643520" w:rsidP="00643520">
      <w:pPr>
        <w:spacing w:after="0" w:line="360" w:lineRule="auto"/>
        <w:jc w:val="both"/>
        <w:rPr>
          <w:rFonts w:ascii="Century Gothic" w:hAnsi="Century Gothic" w:cs="Arial"/>
          <w:lang w:eastAsia="en-ZA"/>
        </w:rPr>
      </w:pPr>
      <w:r>
        <w:rPr>
          <w:rFonts w:ascii="Century Gothic" w:hAnsi="Century Gothic" w:cs="Arial"/>
          <w:lang w:eastAsia="en-ZA"/>
        </w:rPr>
        <w:t>The Economic Freedom Fighters (EFF), which is the third largest party represented in the National Assembly, has also adopted in practice the 50/50 quota for women’s representation, including the application of the same Zebra-Stripes candidate placement policy adopted by the ANC</w:t>
      </w:r>
      <w:r w:rsidR="001574C5">
        <w:rPr>
          <w:rFonts w:ascii="Century Gothic" w:hAnsi="Century Gothic" w:cs="Arial"/>
          <w:lang w:eastAsia="en-ZA"/>
        </w:rPr>
        <w:t>.</w:t>
      </w:r>
      <w:r>
        <w:rPr>
          <w:rFonts w:ascii="Century Gothic" w:hAnsi="Century Gothic" w:cs="Arial"/>
          <w:lang w:eastAsia="en-ZA"/>
        </w:rPr>
        <w:t xml:space="preserve"> </w:t>
      </w:r>
      <w:r w:rsidR="001574C5">
        <w:rPr>
          <w:rFonts w:ascii="Century Gothic" w:hAnsi="Century Gothic" w:cs="Arial"/>
          <w:lang w:eastAsia="en-ZA"/>
        </w:rPr>
        <w:t>T</w:t>
      </w:r>
      <w:r>
        <w:rPr>
          <w:rFonts w:ascii="Century Gothic" w:hAnsi="Century Gothic" w:cs="Arial"/>
          <w:lang w:eastAsia="en-ZA"/>
        </w:rPr>
        <w:t>he adoption of these practices by the ruling party and the EFF has contributed significantly to increased women’s representation</w:t>
      </w:r>
      <w:r w:rsidR="00A4390D">
        <w:rPr>
          <w:rFonts w:ascii="Century Gothic" w:hAnsi="Century Gothic" w:cs="Arial"/>
          <w:lang w:eastAsia="en-ZA"/>
        </w:rPr>
        <w:t>. A</w:t>
      </w:r>
      <w:r>
        <w:rPr>
          <w:rFonts w:ascii="Century Gothic" w:hAnsi="Century Gothic" w:cs="Arial"/>
          <w:lang w:eastAsia="en-ZA"/>
        </w:rPr>
        <w:t xml:space="preserve"> report compiled by the CGE on the recent 2019 national and provincial elections in South Africa revealed the extend of under-representation of women within the top leadership structures of the six major political parties represented in the National Assembly. </w:t>
      </w:r>
    </w:p>
    <w:p w14:paraId="4A9ABC9B" w14:textId="77777777" w:rsidR="00643520" w:rsidRDefault="00643520" w:rsidP="00643520">
      <w:pPr>
        <w:spacing w:after="0" w:line="360" w:lineRule="auto"/>
        <w:jc w:val="both"/>
        <w:rPr>
          <w:rFonts w:ascii="Century Gothic" w:hAnsi="Century Gothic" w:cs="Arial"/>
          <w:lang w:eastAsia="en-ZA"/>
        </w:rPr>
      </w:pPr>
    </w:p>
    <w:p w14:paraId="2D42567C" w14:textId="25A42B71" w:rsidR="00643520" w:rsidRDefault="00643520" w:rsidP="00643520">
      <w:pPr>
        <w:spacing w:line="360" w:lineRule="auto"/>
        <w:jc w:val="both"/>
        <w:rPr>
          <w:rFonts w:ascii="Century Gothic" w:hAnsi="Century Gothic" w:cs="Arial"/>
          <w:lang w:eastAsia="en-ZA"/>
        </w:rPr>
      </w:pPr>
      <w:r>
        <w:rPr>
          <w:rFonts w:ascii="Century Gothic" w:hAnsi="Century Gothic" w:cs="Arial"/>
          <w:lang w:eastAsia="en-ZA"/>
        </w:rPr>
        <w:t xml:space="preserve">Improvements have nevertheless occurred in women’s representation in the national parliament, with an increase in women elected to the National Assembly following the May 2019 elections. This constitutes the highest recorded level (i.e. 45%) since the dawn of democracy in 1994. </w:t>
      </w:r>
      <w:r w:rsidR="00A4390D">
        <w:rPr>
          <w:rFonts w:ascii="Century Gothic" w:hAnsi="Century Gothic" w:cs="Arial"/>
          <w:lang w:eastAsia="en-ZA"/>
        </w:rPr>
        <w:t xml:space="preserve"> </w:t>
      </w:r>
    </w:p>
    <w:p w14:paraId="64FC9428" w14:textId="3EABCF5C" w:rsidR="00643520" w:rsidRDefault="00643520" w:rsidP="00643520">
      <w:pPr>
        <w:spacing w:after="0" w:line="360" w:lineRule="auto"/>
        <w:jc w:val="both"/>
        <w:rPr>
          <w:rFonts w:ascii="Century Gothic" w:hAnsi="Century Gothic" w:cs="Arial"/>
          <w:lang w:eastAsia="en-ZA"/>
        </w:rPr>
      </w:pPr>
      <w:r>
        <w:rPr>
          <w:rFonts w:ascii="Century Gothic" w:hAnsi="Century Gothic" w:cs="Arial"/>
          <w:lang w:eastAsia="en-ZA"/>
        </w:rPr>
        <w:lastRenderedPageBreak/>
        <w:t xml:space="preserve">In terms of the public service, women in senior positions </w:t>
      </w:r>
      <w:r w:rsidR="0057606C">
        <w:rPr>
          <w:rFonts w:ascii="Century Gothic" w:hAnsi="Century Gothic" w:cs="Arial"/>
          <w:lang w:eastAsia="en-ZA"/>
        </w:rPr>
        <w:t>have sl</w:t>
      </w:r>
      <w:r w:rsidR="004250AD">
        <w:rPr>
          <w:rFonts w:ascii="Century Gothic" w:hAnsi="Century Gothic" w:cs="Arial"/>
          <w:lang w:eastAsia="en-ZA"/>
        </w:rPr>
        <w:t>i</w:t>
      </w:r>
      <w:r w:rsidR="0057606C">
        <w:rPr>
          <w:rFonts w:ascii="Century Gothic" w:hAnsi="Century Gothic" w:cs="Arial"/>
          <w:lang w:eastAsia="en-ZA"/>
        </w:rPr>
        <w:t>ght</w:t>
      </w:r>
      <w:r w:rsidR="004250AD">
        <w:rPr>
          <w:rFonts w:ascii="Century Gothic" w:hAnsi="Century Gothic" w:cs="Arial"/>
          <w:lang w:eastAsia="en-ZA"/>
        </w:rPr>
        <w:t>l</w:t>
      </w:r>
      <w:r w:rsidR="0057606C">
        <w:rPr>
          <w:rFonts w:ascii="Century Gothic" w:hAnsi="Century Gothic" w:cs="Arial"/>
          <w:lang w:eastAsia="en-ZA"/>
        </w:rPr>
        <w:t>y increased yet</w:t>
      </w:r>
      <w:r>
        <w:rPr>
          <w:rFonts w:ascii="Century Gothic" w:hAnsi="Century Gothic" w:cs="Arial"/>
          <w:lang w:eastAsia="en-ZA"/>
        </w:rPr>
        <w:t xml:space="preserve"> progress in women’s representation in the SMS has been very minimal since 2009</w:t>
      </w:r>
      <w:bookmarkStart w:id="0" w:name="_GoBack"/>
      <w:bookmarkEnd w:id="0"/>
      <w:r>
        <w:rPr>
          <w:rFonts w:ascii="Century Gothic" w:hAnsi="Century Gothic" w:cs="Arial"/>
          <w:lang w:eastAsia="en-ZA"/>
        </w:rPr>
        <w:t xml:space="preserve">, with 1 percent increases over a 10-year period. </w:t>
      </w:r>
    </w:p>
    <w:p w14:paraId="48CCBCD0" w14:textId="77777777" w:rsidR="00643520" w:rsidRDefault="00643520" w:rsidP="00643520">
      <w:pPr>
        <w:spacing w:after="0" w:line="360" w:lineRule="auto"/>
        <w:jc w:val="both"/>
        <w:rPr>
          <w:rFonts w:ascii="Century Gothic" w:hAnsi="Century Gothic" w:cs="Arial"/>
          <w:lang w:eastAsia="en-ZA"/>
        </w:rPr>
      </w:pPr>
    </w:p>
    <w:p w14:paraId="7174622F" w14:textId="06681FA0" w:rsidR="00643520" w:rsidRDefault="0057606C" w:rsidP="00643520">
      <w:pPr>
        <w:spacing w:after="0" w:line="360" w:lineRule="auto"/>
        <w:jc w:val="both"/>
        <w:rPr>
          <w:rFonts w:ascii="Century Gothic" w:hAnsi="Century Gothic" w:cs="Arial"/>
          <w:bCs/>
          <w:lang w:eastAsia="en-ZA"/>
        </w:rPr>
      </w:pPr>
      <w:r>
        <w:rPr>
          <w:rFonts w:ascii="Century Gothic" w:hAnsi="Century Gothic" w:cs="Arial"/>
          <w:bCs/>
          <w:lang w:eastAsia="en-ZA"/>
        </w:rPr>
        <w:t>At</w:t>
      </w:r>
      <w:r w:rsidR="00643520">
        <w:rPr>
          <w:rFonts w:ascii="Century Gothic" w:hAnsi="Century Gothic" w:cs="Arial"/>
          <w:bCs/>
          <w:lang w:eastAsia="en-ZA"/>
        </w:rPr>
        <w:t xml:space="preserve"> Constitutional Court level</w:t>
      </w:r>
      <w:r>
        <w:rPr>
          <w:rFonts w:ascii="Century Gothic" w:hAnsi="Century Gothic" w:cs="Arial"/>
          <w:bCs/>
          <w:lang w:eastAsia="en-ZA"/>
        </w:rPr>
        <w:t>,</w:t>
      </w:r>
      <w:r w:rsidR="00643520">
        <w:rPr>
          <w:rFonts w:ascii="Century Gothic" w:hAnsi="Century Gothic" w:cs="Arial"/>
          <w:bCs/>
          <w:lang w:eastAsia="en-ZA"/>
        </w:rPr>
        <w:t xml:space="preserve"> women comprise 40% of the Justices</w:t>
      </w:r>
      <w:r>
        <w:rPr>
          <w:rFonts w:ascii="Century Gothic" w:hAnsi="Century Gothic" w:cs="Arial"/>
          <w:bCs/>
          <w:lang w:eastAsia="en-ZA"/>
        </w:rPr>
        <w:t xml:space="preserve">; </w:t>
      </w:r>
      <w:r w:rsidR="00643520">
        <w:rPr>
          <w:rFonts w:ascii="Century Gothic" w:hAnsi="Century Gothic" w:cs="Arial"/>
          <w:bCs/>
          <w:lang w:eastAsia="en-ZA"/>
        </w:rPr>
        <w:t xml:space="preserve">4 out of a total of 11 Justices are women, with one vacancy. </w:t>
      </w:r>
      <w:r>
        <w:rPr>
          <w:rFonts w:ascii="Century Gothic" w:hAnsi="Century Gothic" w:cs="Arial"/>
          <w:bCs/>
          <w:lang w:eastAsia="en-ZA"/>
        </w:rPr>
        <w:t xml:space="preserve">At the </w:t>
      </w:r>
      <w:r w:rsidR="00643520">
        <w:rPr>
          <w:rFonts w:ascii="Century Gothic" w:hAnsi="Century Gothic" w:cs="Arial"/>
          <w:bCs/>
          <w:lang w:eastAsia="en-ZA"/>
        </w:rPr>
        <w:t>Supreme Court of Appeal, women represented 33% of the Judges with the President of the SCA being a woman. In terms of Magistrate appointments 47.8% were women</w:t>
      </w:r>
      <w:r w:rsidR="008D7517">
        <w:rPr>
          <w:rFonts w:ascii="Century Gothic" w:hAnsi="Century Gothic" w:cs="Arial"/>
          <w:bCs/>
          <w:lang w:eastAsia="en-ZA"/>
        </w:rPr>
        <w:t>.</w:t>
      </w:r>
    </w:p>
    <w:p w14:paraId="18E79120" w14:textId="77777777" w:rsidR="00643520" w:rsidRDefault="00643520" w:rsidP="00643520">
      <w:pPr>
        <w:spacing w:after="0" w:line="360" w:lineRule="auto"/>
        <w:jc w:val="both"/>
        <w:rPr>
          <w:rFonts w:ascii="Century Gothic" w:hAnsi="Century Gothic" w:cs="Arial"/>
          <w:lang w:eastAsia="en-ZA"/>
        </w:rPr>
      </w:pPr>
    </w:p>
    <w:p w14:paraId="06B72968" w14:textId="3A6EA2AB" w:rsidR="00643520" w:rsidRDefault="00643520" w:rsidP="00643520">
      <w:pPr>
        <w:spacing w:after="0" w:line="360" w:lineRule="auto"/>
        <w:jc w:val="both"/>
        <w:rPr>
          <w:rFonts w:ascii="Century Gothic" w:hAnsi="Century Gothic" w:cs="Arial"/>
          <w:bCs/>
          <w:lang w:eastAsia="en-ZA"/>
        </w:rPr>
      </w:pPr>
      <w:r>
        <w:rPr>
          <w:rFonts w:ascii="Century Gothic" w:hAnsi="Century Gothic" w:cs="Arial"/>
          <w:bCs/>
          <w:lang w:eastAsia="en-ZA"/>
        </w:rPr>
        <w:t xml:space="preserve">According to Business Women Association of South Africa, JSE-listed companies have a higher representation of female Executive Directors, with three in twenty female Directors holding Executive Director positions and the number of women CEO’s has increased from seven in 2015 to fourteen in 2017, with </w:t>
      </w:r>
      <w:r w:rsidR="008D7517">
        <w:rPr>
          <w:rFonts w:ascii="Century Gothic" w:hAnsi="Century Gothic" w:cs="Arial"/>
          <w:bCs/>
          <w:lang w:eastAsia="en-ZA"/>
        </w:rPr>
        <w:t>women</w:t>
      </w:r>
      <w:r>
        <w:rPr>
          <w:rFonts w:ascii="Century Gothic" w:hAnsi="Century Gothic" w:cs="Arial"/>
          <w:bCs/>
          <w:lang w:eastAsia="en-ZA"/>
        </w:rPr>
        <w:t xml:space="preserve"> Directors at JSE-listed companies accounting for 19.1%. Despite this, the share of JSE-listed companies with at least three female Directors has decreased to 25.6% in 2017, from 35.9% in 2015 further hampering gender-diverse boards. </w:t>
      </w:r>
    </w:p>
    <w:p w14:paraId="3BBC37C6" w14:textId="77777777" w:rsidR="00643520" w:rsidRDefault="00643520" w:rsidP="00643520">
      <w:pPr>
        <w:spacing w:after="0" w:line="360" w:lineRule="auto"/>
        <w:jc w:val="both"/>
        <w:rPr>
          <w:rFonts w:ascii="Century Gothic" w:hAnsi="Century Gothic" w:cs="Arial"/>
          <w:bCs/>
          <w:lang w:eastAsia="en-ZA"/>
        </w:rPr>
      </w:pPr>
    </w:p>
    <w:p w14:paraId="3EB47B39" w14:textId="77777777" w:rsidR="00643520" w:rsidRDefault="00643520" w:rsidP="00643520">
      <w:pPr>
        <w:spacing w:line="360" w:lineRule="auto"/>
        <w:jc w:val="both"/>
        <w:rPr>
          <w:rFonts w:ascii="Century Gothic" w:hAnsi="Century Gothic" w:cs="Arial"/>
          <w:b/>
          <w:bCs/>
          <w:lang w:eastAsia="en-ZA"/>
        </w:rPr>
      </w:pPr>
      <w:r>
        <w:rPr>
          <w:rFonts w:ascii="Century Gothic" w:hAnsi="Century Gothic" w:cs="Arial"/>
          <w:b/>
          <w:bCs/>
          <w:lang w:eastAsia="en-ZA"/>
        </w:rPr>
        <w:t>Education</w:t>
      </w:r>
    </w:p>
    <w:p w14:paraId="2CE820CF" w14:textId="77777777" w:rsidR="00643520" w:rsidRDefault="00643520" w:rsidP="00643520">
      <w:pPr>
        <w:spacing w:line="360" w:lineRule="auto"/>
        <w:jc w:val="both"/>
        <w:rPr>
          <w:rFonts w:ascii="Century Gothic" w:hAnsi="Century Gothic" w:cs="Arial"/>
          <w:bCs/>
          <w:lang w:val="en"/>
        </w:rPr>
      </w:pPr>
      <w:r>
        <w:rPr>
          <w:rFonts w:ascii="Century Gothic" w:hAnsi="Century Gothic" w:cs="Arial"/>
          <w:bCs/>
          <w:lang w:val="en"/>
        </w:rPr>
        <w:t xml:space="preserve">The Department of Basic Education drafted the National Policy on the Prevention and Management of Learner Pregnancy in Schools. The policy is underscored by the alarming rate of learner pregnancy in South Africa which Statistics South Africa asserts as 97 143 births by teenagers in 2017. Teenage pregnancy is understood as an important factor that hinders the educational outcomes for girls which have life-long consequences. </w:t>
      </w:r>
    </w:p>
    <w:p w14:paraId="603F7CA4" w14:textId="6904CC5A" w:rsidR="00643520" w:rsidRDefault="00643520" w:rsidP="00643520">
      <w:pPr>
        <w:spacing w:line="360" w:lineRule="auto"/>
        <w:jc w:val="both"/>
        <w:rPr>
          <w:rFonts w:ascii="Century Gothic" w:hAnsi="Century Gothic" w:cs="Arial"/>
          <w:bCs/>
          <w:lang w:val="en"/>
        </w:rPr>
      </w:pPr>
      <w:r>
        <w:rPr>
          <w:rFonts w:ascii="Century Gothic" w:hAnsi="Century Gothic" w:cs="Arial"/>
          <w:bCs/>
          <w:lang w:val="en"/>
        </w:rPr>
        <w:t xml:space="preserve">While the National Policy on the Prevention and Management of Learner Pregnancy in Schools is welcomed, it has its shortcomings. Civil Society </w:t>
      </w:r>
      <w:proofErr w:type="spellStart"/>
      <w:r>
        <w:rPr>
          <w:rFonts w:ascii="Century Gothic" w:hAnsi="Century Gothic" w:cs="Arial"/>
          <w:bCs/>
          <w:lang w:val="en"/>
        </w:rPr>
        <w:t>Organisations</w:t>
      </w:r>
      <w:proofErr w:type="spellEnd"/>
      <w:r>
        <w:rPr>
          <w:rFonts w:ascii="Century Gothic" w:hAnsi="Century Gothic" w:cs="Arial"/>
          <w:bCs/>
          <w:lang w:val="en"/>
        </w:rPr>
        <w:t xml:space="preserve"> have highlighted the lack of grounding data that drives the policy and therefore is </w:t>
      </w:r>
      <w:proofErr w:type="spellStart"/>
      <w:r>
        <w:rPr>
          <w:rFonts w:ascii="Century Gothic" w:hAnsi="Century Gothic" w:cs="Arial"/>
          <w:bCs/>
          <w:lang w:val="en"/>
        </w:rPr>
        <w:t>characterised</w:t>
      </w:r>
      <w:proofErr w:type="spellEnd"/>
      <w:r>
        <w:rPr>
          <w:rFonts w:ascii="Century Gothic" w:hAnsi="Century Gothic" w:cs="Arial"/>
          <w:bCs/>
          <w:lang w:val="en"/>
        </w:rPr>
        <w:t xml:space="preserve"> by vague claims and questionable plans. </w:t>
      </w:r>
      <w:r w:rsidR="008D7517">
        <w:rPr>
          <w:rFonts w:ascii="Century Gothic" w:hAnsi="Century Gothic" w:cs="Arial"/>
          <w:bCs/>
          <w:lang w:val="en"/>
        </w:rPr>
        <w:t xml:space="preserve">  </w:t>
      </w:r>
      <w:r>
        <w:rPr>
          <w:rFonts w:ascii="Century Gothic" w:hAnsi="Century Gothic" w:cs="Arial"/>
          <w:bCs/>
          <w:lang w:val="en"/>
        </w:rPr>
        <w:t xml:space="preserve">The National Policy on the Prevention and Management of Learner Pregnancy in Schools underlines that Comprehensive Sexual Education (CSE) provides for the right of learners to return to school following the delivery of their babies. Despite this, the national policy has not been implemented and individual school governing bodies are at liberty to create and implement their own policies which are </w:t>
      </w:r>
      <w:r>
        <w:rPr>
          <w:rFonts w:ascii="Century Gothic" w:hAnsi="Century Gothic" w:cs="Arial"/>
          <w:bCs/>
          <w:lang w:val="en"/>
        </w:rPr>
        <w:lastRenderedPageBreak/>
        <w:t xml:space="preserve">often discriminatory. This discrimination ranges from learners not being given access to missed academic content, suspension from school, forced repetition of the same grade or even expulsion. </w:t>
      </w:r>
    </w:p>
    <w:p w14:paraId="7E9D7871" w14:textId="78207887" w:rsidR="00643520" w:rsidRDefault="00643520" w:rsidP="00643520">
      <w:pPr>
        <w:spacing w:line="360" w:lineRule="auto"/>
        <w:jc w:val="both"/>
        <w:rPr>
          <w:rFonts w:ascii="Century Gothic" w:hAnsi="Century Gothic" w:cs="Arial"/>
          <w:bCs/>
          <w:lang w:val="en"/>
        </w:rPr>
      </w:pPr>
      <w:r>
        <w:rPr>
          <w:rFonts w:ascii="Century Gothic" w:hAnsi="Century Gothic" w:cs="Arial"/>
          <w:bCs/>
          <w:lang w:val="en"/>
        </w:rPr>
        <w:t>The Stellenbosch Law Clinic has found that 30% of girls miss school during their period which forms part of valuable time missed for education. The state has made strides through the inclusion of sanitary towels in the list of value-added tax (VAT) free items following strong movements against the products being taxed. Be that as it may, this increasing rate of absenteeism is concerning regarding the retention of girls in school. Girls in rural areas and those with disabilities continue to suffer the most due to their environments, difficulties associated with disability and the remaining cost of sanitary products.</w:t>
      </w:r>
    </w:p>
    <w:p w14:paraId="7A227139" w14:textId="462C769C" w:rsidR="00643520" w:rsidRDefault="00643520" w:rsidP="00643520">
      <w:pPr>
        <w:spacing w:line="360" w:lineRule="auto"/>
        <w:jc w:val="both"/>
        <w:rPr>
          <w:rFonts w:ascii="Century Gothic" w:hAnsi="Century Gothic" w:cs="Arial"/>
          <w:bCs/>
          <w:lang w:val="en"/>
        </w:rPr>
      </w:pPr>
      <w:r>
        <w:rPr>
          <w:rFonts w:ascii="Century Gothic" w:hAnsi="Century Gothic" w:cs="Arial"/>
          <w:bCs/>
          <w:lang w:val="en"/>
        </w:rPr>
        <w:t xml:space="preserve">There has been a scourge of violence in schools over the last few years which has very often been fatal amongst students as well as between learners and educators, including learners fatally stabbed or shot and teachers killed or injured severely. This in recent years is demonstrating the culture of violence been filtering into the schools hence making schools very unsafe space for teachers and learners. For young girls who are among the most vulnerable groups in society, the widespread prevalence of violence in schools places their safety in jeopardy. </w:t>
      </w:r>
    </w:p>
    <w:p w14:paraId="165E8062" w14:textId="77777777" w:rsidR="00643520" w:rsidRDefault="00643520" w:rsidP="00643520">
      <w:pPr>
        <w:spacing w:line="360" w:lineRule="auto"/>
        <w:jc w:val="both"/>
        <w:rPr>
          <w:rFonts w:ascii="Century Gothic" w:hAnsi="Century Gothic" w:cs="Arial"/>
          <w:bCs/>
          <w:lang w:val="en"/>
        </w:rPr>
      </w:pPr>
      <w:r>
        <w:rPr>
          <w:rFonts w:ascii="Century Gothic" w:hAnsi="Century Gothic" w:cs="Arial"/>
          <w:bCs/>
          <w:lang w:val="en"/>
        </w:rPr>
        <w:t>While South Africa has appropriate legislation including the Criminal Procedures Act of 1977, the Children’s Act of 2005 and the Children’s Amendment Act of 2007, the South African Schools Act of 1996, violence and discrimination remain a grave reality and a serious concern for girls in schools. For queer learners the schooling system is seemingly a violent space and perpetuates negative stereotypes. A study found that these negative experiences range from punitive actions expressed through derogatory language to vicious reactionary hate, often expressed through violence and often perpetrated mainly by male teachers and learners. Even with this legislation in place, it is incredibly difficult for survivors of sexual abuse and rape in particular to come forward due to their distrust of the system and its effectiveness.</w:t>
      </w:r>
    </w:p>
    <w:p w14:paraId="606B5736" w14:textId="77777777" w:rsidR="00F64B38" w:rsidRDefault="00643520" w:rsidP="00643520">
      <w:pPr>
        <w:spacing w:line="360" w:lineRule="auto"/>
        <w:jc w:val="both"/>
        <w:rPr>
          <w:rFonts w:ascii="Century Gothic" w:hAnsi="Century Gothic" w:cs="Arial"/>
          <w:bCs/>
          <w:lang w:val="en"/>
        </w:rPr>
      </w:pPr>
      <w:r>
        <w:rPr>
          <w:rFonts w:ascii="Century Gothic" w:hAnsi="Century Gothic" w:cs="Arial"/>
          <w:bCs/>
          <w:lang w:val="en"/>
        </w:rPr>
        <w:t xml:space="preserve">The National School Safety Framework (NSSF) was established and later approved by the Minister of Education in April 2015. The framework underscores the fact that the safety of </w:t>
      </w:r>
      <w:r>
        <w:rPr>
          <w:rFonts w:ascii="Century Gothic" w:hAnsi="Century Gothic" w:cs="Arial"/>
          <w:bCs/>
          <w:lang w:val="en"/>
        </w:rPr>
        <w:lastRenderedPageBreak/>
        <w:t xml:space="preserve">the learners and teachers remains integral in the functioning of the schooling system and the provision of a good quality education. The government’s implementation guidelines for the framework, published in 2015, adopts an ecological approach that places emphasis on the inter-relations between the individual, community and society. Nevertheless, the Safe Schools </w:t>
      </w:r>
      <w:proofErr w:type="spellStart"/>
      <w:r>
        <w:rPr>
          <w:rFonts w:ascii="Century Gothic" w:hAnsi="Century Gothic" w:cs="Arial"/>
          <w:bCs/>
          <w:lang w:val="en"/>
        </w:rPr>
        <w:t>Programme</w:t>
      </w:r>
      <w:proofErr w:type="spellEnd"/>
      <w:r>
        <w:rPr>
          <w:rFonts w:ascii="Century Gothic" w:hAnsi="Century Gothic" w:cs="Arial"/>
          <w:bCs/>
          <w:lang w:val="en"/>
        </w:rPr>
        <w:t xml:space="preserve"> has not been far reaching in its scope and extent. While some provinces in the country are active and engaged in the implementation of the </w:t>
      </w:r>
      <w:proofErr w:type="spellStart"/>
      <w:r>
        <w:rPr>
          <w:rFonts w:ascii="Century Gothic" w:hAnsi="Century Gothic" w:cs="Arial"/>
          <w:bCs/>
          <w:lang w:val="en"/>
        </w:rPr>
        <w:t>programme</w:t>
      </w:r>
      <w:proofErr w:type="spellEnd"/>
      <w:r>
        <w:rPr>
          <w:rFonts w:ascii="Century Gothic" w:hAnsi="Century Gothic" w:cs="Arial"/>
          <w:bCs/>
          <w:lang w:val="en"/>
        </w:rPr>
        <w:t xml:space="preserve">, others are not well resourced and appropriately included in the structures of the Department of Basic Education. Much of the program’s reach is primarily centered on the partnerships between public schools and local police stations, which serves to expose its limited scope. As such, the Safe School </w:t>
      </w:r>
      <w:proofErr w:type="spellStart"/>
      <w:r>
        <w:rPr>
          <w:rFonts w:ascii="Century Gothic" w:hAnsi="Century Gothic" w:cs="Arial"/>
          <w:bCs/>
          <w:lang w:val="en"/>
        </w:rPr>
        <w:t>Programme</w:t>
      </w:r>
      <w:proofErr w:type="spellEnd"/>
      <w:r>
        <w:rPr>
          <w:rFonts w:ascii="Century Gothic" w:hAnsi="Century Gothic" w:cs="Arial"/>
          <w:bCs/>
          <w:lang w:val="en"/>
        </w:rPr>
        <w:t xml:space="preserve"> has not been adequately effective nationally and does not live up to its multi-pronged theoretical expectations.</w:t>
      </w:r>
    </w:p>
    <w:p w14:paraId="5DBCD604" w14:textId="713E07F2" w:rsidR="00643520" w:rsidRPr="00F64B38" w:rsidRDefault="00643520" w:rsidP="00643520">
      <w:pPr>
        <w:spacing w:line="360" w:lineRule="auto"/>
        <w:jc w:val="both"/>
        <w:rPr>
          <w:rFonts w:ascii="Century Gothic" w:hAnsi="Century Gothic" w:cs="Arial"/>
          <w:bCs/>
          <w:lang w:val="en"/>
        </w:rPr>
      </w:pPr>
      <w:r>
        <w:rPr>
          <w:rFonts w:ascii="Century Gothic" w:hAnsi="Century Gothic" w:cs="Arial"/>
          <w:lang w:eastAsia="en-ZA"/>
        </w:rPr>
        <w:t xml:space="preserve">Sexual </w:t>
      </w:r>
      <w:r w:rsidRPr="00E02371">
        <w:rPr>
          <w:rFonts w:ascii="Century Gothic" w:hAnsi="Century Gothic"/>
        </w:rPr>
        <w:t xml:space="preserve">violence and harassment in schools remains high. </w:t>
      </w:r>
      <w:r w:rsidR="00F64B38" w:rsidRPr="00E02371">
        <w:rPr>
          <w:rFonts w:ascii="Century Gothic" w:hAnsi="Century Gothic"/>
        </w:rPr>
        <w:t xml:space="preserve">This pattern is replicated even in institutions </w:t>
      </w:r>
      <w:r w:rsidR="000A0C50" w:rsidRPr="00E02371">
        <w:rPr>
          <w:rFonts w:ascii="Century Gothic" w:hAnsi="Century Gothic"/>
        </w:rPr>
        <w:t xml:space="preserve">of Higher Learning and </w:t>
      </w:r>
      <w:r w:rsidR="00B01592" w:rsidRPr="00E02371">
        <w:rPr>
          <w:rFonts w:ascii="Century Gothic" w:hAnsi="Century Gothic"/>
        </w:rPr>
        <w:t>Technical Vocational Education and Training (TVET) colleges</w:t>
      </w:r>
      <w:r w:rsidR="003F3AC1">
        <w:rPr>
          <w:rStyle w:val="Emphasis"/>
          <w:rFonts w:ascii="Arial" w:hAnsi="Arial" w:cs="Arial"/>
          <w:b/>
          <w:bCs/>
          <w:i w:val="0"/>
          <w:iCs w:val="0"/>
          <w:color w:val="52565A"/>
          <w:sz w:val="21"/>
          <w:szCs w:val="21"/>
          <w:shd w:val="clear" w:color="auto" w:fill="FFFFFF"/>
        </w:rPr>
        <w:t xml:space="preserve">. </w:t>
      </w:r>
      <w:r>
        <w:rPr>
          <w:rFonts w:ascii="Century Gothic" w:hAnsi="Century Gothic" w:cs="Arial"/>
          <w:lang w:eastAsia="en-ZA"/>
        </w:rPr>
        <w:t>Civil Society Organisations working in the sector have highlighted sensitive issues, including the sex for marks scandals in both basic and higher education facilities as particularly important as this forms another microcosm of the abuse of the gendered power relations in schools by educators who prey on vulnerable young girls.  While legislation is an important part of curbing the scourge, it evidently has not been enough. The South African Council for Educators (SACE) - a teacher’s regulatory body- tabled their report in Parliament and highlighted that in 2018/19, out of 633 misconduct cases, 93 were associated with sexual assault, indecent assault, sexual misconduct and rape. In a document published on the website of the Department of Basic Education (DBE), the department concedes that sexual violence in schools is dynamic and takes place in hallways, empty classrooms, dormitories and toilets and while all learners are affected by it, it is girls and learners with disabilities that are mostly at risk.</w:t>
      </w:r>
      <w:r w:rsidR="008C47CE">
        <w:rPr>
          <w:rFonts w:ascii="Century Gothic" w:hAnsi="Century Gothic" w:cs="Arial"/>
          <w:lang w:eastAsia="en-ZA"/>
        </w:rPr>
        <w:t xml:space="preserve"> </w:t>
      </w:r>
    </w:p>
    <w:p w14:paraId="306B4560" w14:textId="77777777" w:rsidR="00643520" w:rsidRDefault="00643520" w:rsidP="00643520">
      <w:pPr>
        <w:spacing w:line="360" w:lineRule="auto"/>
        <w:jc w:val="both"/>
        <w:rPr>
          <w:rFonts w:ascii="Century Gothic" w:hAnsi="Century Gothic" w:cs="Arial"/>
          <w:b/>
          <w:bCs/>
          <w:lang w:eastAsia="en-ZA"/>
        </w:rPr>
      </w:pPr>
      <w:r>
        <w:rPr>
          <w:rFonts w:ascii="Century Gothic" w:hAnsi="Century Gothic" w:cs="Arial"/>
          <w:b/>
          <w:bCs/>
          <w:lang w:eastAsia="en-ZA"/>
        </w:rPr>
        <w:t xml:space="preserve">Health </w:t>
      </w:r>
    </w:p>
    <w:p w14:paraId="1E513943" w14:textId="77777777" w:rsidR="00643520" w:rsidRDefault="00643520" w:rsidP="00643520">
      <w:pPr>
        <w:spacing w:line="360" w:lineRule="auto"/>
        <w:jc w:val="both"/>
        <w:rPr>
          <w:rFonts w:ascii="Century Gothic" w:hAnsi="Century Gothic" w:cs="Arial"/>
          <w:bCs/>
        </w:rPr>
      </w:pPr>
      <w:r>
        <w:rPr>
          <w:rFonts w:ascii="Century Gothic" w:hAnsi="Century Gothic" w:cs="Arial"/>
          <w:bCs/>
        </w:rPr>
        <w:t xml:space="preserve">The South African government has certainly made attempts to address recommendations outlined by the CEDAW Committee with regards to Equality in Access to Health Care. Several challenges, however, do remain. Some of these challenges in </w:t>
      </w:r>
      <w:r>
        <w:rPr>
          <w:rFonts w:ascii="Century Gothic" w:hAnsi="Century Gothic" w:cs="Arial"/>
          <w:bCs/>
        </w:rPr>
        <w:lastRenderedPageBreak/>
        <w:t>general include a lack of funding and resources (human and capital), lack of implementation, negative attitudes, prejudices and stereotypes that exist within society especially with regards to women.</w:t>
      </w:r>
    </w:p>
    <w:p w14:paraId="2D0E7A76" w14:textId="55974A8B" w:rsidR="00643520" w:rsidRDefault="00643520" w:rsidP="00643520">
      <w:pPr>
        <w:spacing w:line="360" w:lineRule="auto"/>
        <w:jc w:val="both"/>
      </w:pPr>
      <w:r>
        <w:rPr>
          <w:rFonts w:ascii="Century Gothic" w:hAnsi="Century Gothic" w:cs="Arial"/>
          <w:bCs/>
        </w:rPr>
        <w:t>The South Africa government developed a National Strategic Plan on HIV, STIs and TB 2012-2016 which consists of five goals. The goals that relate to violence against women are (</w:t>
      </w:r>
      <w:proofErr w:type="spellStart"/>
      <w:r>
        <w:rPr>
          <w:rFonts w:ascii="Century Gothic" w:hAnsi="Century Gothic" w:cs="Arial"/>
          <w:bCs/>
        </w:rPr>
        <w:t>i</w:t>
      </w:r>
      <w:proofErr w:type="spellEnd"/>
      <w:r>
        <w:rPr>
          <w:rFonts w:ascii="Century Gothic" w:hAnsi="Century Gothic" w:cs="Arial"/>
          <w:bCs/>
        </w:rPr>
        <w:t xml:space="preserve">) ensuring an enabling and accessible legal framework that protects and promotes human rights and (ii) reduce self-reported stigma related to HIV and TB by at least 50%. 161. The key strategic objectives of the National Strategic Plan include: (a) addressing social and structural barriers that increase vulnerability to HIV, STI and TB infection; (b) preventing new HIV, TB and STI infections; and (c) increasing the protection of human rights and improving access to justice. </w:t>
      </w:r>
    </w:p>
    <w:p w14:paraId="1F7CC069" w14:textId="77777777" w:rsidR="00643520" w:rsidRDefault="00643520" w:rsidP="00643520">
      <w:pPr>
        <w:spacing w:line="360" w:lineRule="auto"/>
        <w:jc w:val="both"/>
      </w:pPr>
      <w:r>
        <w:rPr>
          <w:rFonts w:ascii="Century Gothic" w:hAnsi="Century Gothic" w:cs="Arial"/>
          <w:bCs/>
        </w:rPr>
        <w:t xml:space="preserve">In addition to this South African government has developed several pieces of legislation and policies which place emphasis on the intersection between violence and HIV/AIDS. Some of these include the following: </w:t>
      </w:r>
      <w:r>
        <w:rPr>
          <w:rFonts w:ascii="Century Gothic" w:hAnsi="Century Gothic" w:cs="Arial"/>
        </w:rPr>
        <w:t>Domestic Violence Act (DVA, 1998); The Criminal Law (Sexual Offences and Related Matters) Amendment Act (SOA, 2007); 365 Days National Action Plan against (Violence against women (VAW); Victim Empowerment Programme (VEP); and the National Council on Gender Based Violence (NCGBV). The implementation of these policies and legislative frameworks\ has, however, been undermined by poor resources, lack of training of the relevant service providers, lack of skills capacity, as well as poor monitoring and evaluation systems.</w:t>
      </w:r>
      <w:r>
        <w:rPr>
          <w:rFonts w:ascii="Century Gothic" w:hAnsi="Century Gothic" w:cs="Arial"/>
          <w:b/>
          <w:bCs/>
        </w:rPr>
        <w:t xml:space="preserve"> </w:t>
      </w:r>
    </w:p>
    <w:p w14:paraId="27DAA567" w14:textId="75940EE5" w:rsidR="004558DB" w:rsidRPr="00D5452F" w:rsidRDefault="004558DB" w:rsidP="00196AC1">
      <w:pPr>
        <w:spacing w:line="360" w:lineRule="auto"/>
        <w:jc w:val="both"/>
        <w:rPr>
          <w:rFonts w:ascii="Century Gothic" w:hAnsi="Century Gothic"/>
        </w:rPr>
      </w:pPr>
      <w:r w:rsidRPr="00D5452F">
        <w:rPr>
          <w:rFonts w:ascii="Century Gothic" w:hAnsi="Century Gothic"/>
        </w:rPr>
        <w:t xml:space="preserve">Based on South Africa’s high rate of sexual assault </w:t>
      </w:r>
      <w:r w:rsidR="00D5452F">
        <w:rPr>
          <w:rFonts w:ascii="Century Gothic" w:hAnsi="Century Gothic"/>
        </w:rPr>
        <w:t>and rape</w:t>
      </w:r>
      <w:r w:rsidR="00837EC8">
        <w:rPr>
          <w:rFonts w:ascii="Century Gothic" w:hAnsi="Century Gothic"/>
        </w:rPr>
        <w:t xml:space="preserve">, many women are at risk for both HIV </w:t>
      </w:r>
      <w:r w:rsidR="00777E44">
        <w:rPr>
          <w:rFonts w:ascii="Century Gothic" w:hAnsi="Century Gothic"/>
        </w:rPr>
        <w:t xml:space="preserve">acquisition and </w:t>
      </w:r>
      <w:r w:rsidRPr="00D5452F">
        <w:rPr>
          <w:rFonts w:ascii="Century Gothic" w:hAnsi="Century Gothic"/>
        </w:rPr>
        <w:t>unwanted and unsupportable pregnancies</w:t>
      </w:r>
      <w:r w:rsidR="00777E44">
        <w:rPr>
          <w:rFonts w:ascii="Century Gothic" w:hAnsi="Century Gothic"/>
        </w:rPr>
        <w:t>,</w:t>
      </w:r>
      <w:r w:rsidRPr="00D5452F">
        <w:rPr>
          <w:rFonts w:ascii="Century Gothic" w:hAnsi="Century Gothic"/>
        </w:rPr>
        <w:t xml:space="preserve"> </w:t>
      </w:r>
      <w:r w:rsidR="00C151F2">
        <w:rPr>
          <w:rFonts w:ascii="Century Gothic" w:hAnsi="Century Gothic"/>
        </w:rPr>
        <w:t>as a result of</w:t>
      </w:r>
      <w:r w:rsidRPr="00D5452F">
        <w:rPr>
          <w:rFonts w:ascii="Century Gothic" w:hAnsi="Century Gothic"/>
        </w:rPr>
        <w:t xml:space="preserve"> violence.</w:t>
      </w:r>
      <w:r w:rsidR="00837EC8" w:rsidRPr="00837EC8">
        <w:rPr>
          <w:rFonts w:ascii="Century Gothic" w:hAnsi="Century Gothic"/>
        </w:rPr>
        <w:t xml:space="preserve"> </w:t>
      </w:r>
      <w:r w:rsidR="00837EC8" w:rsidRPr="00D5452F">
        <w:rPr>
          <w:rFonts w:ascii="Century Gothic" w:hAnsi="Century Gothic"/>
        </w:rPr>
        <w:t>South Africa’s constitution guarantees access to reproductive health care, and the 1996 Choice on Termination of Pregnancy (CTOP) act allows abortion on demand up to the twelfth week of pregnancy. And yet unsafe abortions still </w:t>
      </w:r>
      <w:r w:rsidR="00837EC8">
        <w:rPr>
          <w:rFonts w:ascii="Century Gothic" w:hAnsi="Century Gothic"/>
        </w:rPr>
        <w:t xml:space="preserve">contribute to a high mortality due to unsafe procedures happening outside of health facilities.  </w:t>
      </w:r>
    </w:p>
    <w:p w14:paraId="0FEE30D3" w14:textId="77777777" w:rsidR="00643520" w:rsidRDefault="00643520" w:rsidP="00643520">
      <w:pPr>
        <w:spacing w:line="360" w:lineRule="auto"/>
        <w:jc w:val="both"/>
      </w:pPr>
      <w:r>
        <w:rPr>
          <w:rFonts w:ascii="Century Gothic" w:hAnsi="Century Gothic" w:cs="Arial"/>
          <w:bCs/>
        </w:rPr>
        <w:t xml:space="preserve">Progress has been recorded in scaling up Prevention of Mother to Child Treatment (PMTCT) of HIV from 71% in 2009 to 99% in 2013, resulting in reduction in mother to child transmission from 8% in 2008 to 2.0% in 2013. The PMTCT had managed to attain a total of 79.4% eligible HIV positive pregnant women placed on Highly Active Anti-Retroviral </w:t>
      </w:r>
      <w:r>
        <w:rPr>
          <w:rFonts w:ascii="Century Gothic" w:hAnsi="Century Gothic" w:cs="Arial"/>
          <w:bCs/>
        </w:rPr>
        <w:lastRenderedPageBreak/>
        <w:t>Therapy. Furthermore, the South African government in partnership with various organisations across the country introduced a national programme called “She Conquers” in 2016, with technical support from the UNFPA. The aim of this programme was to decrease new HIV infections, teenage pregnancies and gender-based violence among young women and adolescent girls while also increasing and retaining young women and adolescent girls in schools, and also increasing economic opportunities for young people, particularly young women.</w:t>
      </w:r>
    </w:p>
    <w:p w14:paraId="3FD3B65D" w14:textId="77777777" w:rsidR="00643520" w:rsidRDefault="00643520" w:rsidP="00643520">
      <w:pPr>
        <w:spacing w:line="360" w:lineRule="auto"/>
        <w:jc w:val="both"/>
        <w:rPr>
          <w:rFonts w:ascii="Century Gothic" w:hAnsi="Century Gothic" w:cs="Arial"/>
          <w:bCs/>
        </w:rPr>
      </w:pPr>
      <w:r>
        <w:rPr>
          <w:rFonts w:ascii="Century Gothic" w:hAnsi="Century Gothic" w:cs="Arial"/>
          <w:bCs/>
        </w:rPr>
        <w:t>The “She Conquers” programme seems to have proved successful according to Hasina Subedar and colleagues who conducted a research case study of the programme. They point out the following with regard successes of the programme based on their case study of it.</w:t>
      </w:r>
    </w:p>
    <w:p w14:paraId="63ADE13E" w14:textId="77777777" w:rsidR="00643520" w:rsidRDefault="00643520" w:rsidP="00643520">
      <w:pPr>
        <w:spacing w:line="360" w:lineRule="auto"/>
        <w:jc w:val="both"/>
      </w:pPr>
      <w:r>
        <w:rPr>
          <w:rFonts w:ascii="Century Gothic" w:hAnsi="Century Gothic" w:cs="Arial"/>
          <w:b/>
          <w:bCs/>
        </w:rPr>
        <w:t>Progress on She Conquers interventions (1 July 2016-31 December 2017)</w:t>
      </w:r>
      <w:r>
        <w:rPr>
          <w:rFonts w:ascii="Century Gothic" w:hAnsi="Century Gothic" w:cs="Arial"/>
          <w:bCs/>
        </w:rPr>
        <w:t xml:space="preserve"> </w:t>
      </w:r>
    </w:p>
    <w:p w14:paraId="20A6F538" w14:textId="77777777" w:rsidR="00643520" w:rsidRDefault="00643520" w:rsidP="00643520">
      <w:pPr>
        <w:numPr>
          <w:ilvl w:val="0"/>
          <w:numId w:val="35"/>
        </w:numPr>
        <w:suppressAutoHyphens/>
        <w:autoSpaceDN w:val="0"/>
        <w:spacing w:after="160" w:line="360" w:lineRule="auto"/>
        <w:jc w:val="both"/>
        <w:textAlignment w:val="baseline"/>
        <w:rPr>
          <w:rFonts w:ascii="Century Gothic" w:hAnsi="Century Gothic" w:cs="Arial"/>
          <w:bCs/>
        </w:rPr>
      </w:pPr>
      <w:r>
        <w:rPr>
          <w:rFonts w:ascii="Century Gothic" w:hAnsi="Century Gothic" w:cs="Arial"/>
          <w:bCs/>
        </w:rPr>
        <w:t>More than 700 000 adolescent girls and young women have had an HIV test</w:t>
      </w:r>
    </w:p>
    <w:p w14:paraId="401A3C30" w14:textId="77777777" w:rsidR="00643520" w:rsidRDefault="00643520" w:rsidP="00643520">
      <w:pPr>
        <w:numPr>
          <w:ilvl w:val="0"/>
          <w:numId w:val="35"/>
        </w:numPr>
        <w:suppressAutoHyphens/>
        <w:autoSpaceDN w:val="0"/>
        <w:spacing w:after="160" w:line="360" w:lineRule="auto"/>
        <w:jc w:val="both"/>
        <w:textAlignment w:val="baseline"/>
        <w:rPr>
          <w:rFonts w:ascii="Century Gothic" w:hAnsi="Century Gothic" w:cs="Arial"/>
          <w:bCs/>
        </w:rPr>
      </w:pPr>
      <w:r>
        <w:rPr>
          <w:rFonts w:ascii="Century Gothic" w:hAnsi="Century Gothic" w:cs="Arial"/>
          <w:bCs/>
        </w:rPr>
        <w:t>26 000 adolescent girls and young women who tested HIV positive were linked to care.</w:t>
      </w:r>
    </w:p>
    <w:p w14:paraId="4983C4EB" w14:textId="77777777" w:rsidR="00643520" w:rsidRDefault="00643520" w:rsidP="00643520">
      <w:pPr>
        <w:numPr>
          <w:ilvl w:val="0"/>
          <w:numId w:val="35"/>
        </w:numPr>
        <w:suppressAutoHyphens/>
        <w:autoSpaceDN w:val="0"/>
        <w:spacing w:after="160" w:line="360" w:lineRule="auto"/>
        <w:jc w:val="both"/>
        <w:textAlignment w:val="baseline"/>
        <w:rPr>
          <w:rFonts w:ascii="Century Gothic" w:hAnsi="Century Gothic" w:cs="Arial"/>
          <w:bCs/>
        </w:rPr>
      </w:pPr>
      <w:r>
        <w:rPr>
          <w:rFonts w:ascii="Century Gothic" w:hAnsi="Century Gothic" w:cs="Arial"/>
          <w:bCs/>
        </w:rPr>
        <w:t>Over 560 000 adolescent girls received life skills and sexual education.</w:t>
      </w:r>
    </w:p>
    <w:p w14:paraId="5F265026" w14:textId="77777777" w:rsidR="00643520" w:rsidRDefault="00643520" w:rsidP="00643520">
      <w:pPr>
        <w:numPr>
          <w:ilvl w:val="0"/>
          <w:numId w:val="35"/>
        </w:numPr>
        <w:suppressAutoHyphens/>
        <w:autoSpaceDN w:val="0"/>
        <w:spacing w:after="160" w:line="360" w:lineRule="auto"/>
        <w:jc w:val="both"/>
        <w:textAlignment w:val="baseline"/>
        <w:rPr>
          <w:rFonts w:ascii="Century Gothic" w:hAnsi="Century Gothic" w:cs="Arial"/>
          <w:bCs/>
        </w:rPr>
      </w:pPr>
      <w:r>
        <w:rPr>
          <w:rFonts w:ascii="Century Gothic" w:hAnsi="Century Gothic" w:cs="Arial"/>
          <w:bCs/>
        </w:rPr>
        <w:t>More than 90 000 adolescent girls and young women received post-violence care.</w:t>
      </w:r>
    </w:p>
    <w:p w14:paraId="5BDDA768" w14:textId="77777777" w:rsidR="00643520" w:rsidRDefault="00643520" w:rsidP="00643520">
      <w:pPr>
        <w:numPr>
          <w:ilvl w:val="0"/>
          <w:numId w:val="35"/>
        </w:numPr>
        <w:suppressAutoHyphens/>
        <w:autoSpaceDN w:val="0"/>
        <w:spacing w:after="160" w:line="360" w:lineRule="auto"/>
        <w:jc w:val="both"/>
        <w:textAlignment w:val="baseline"/>
        <w:rPr>
          <w:rFonts w:ascii="Century Gothic" w:hAnsi="Century Gothic" w:cs="Arial"/>
          <w:bCs/>
        </w:rPr>
      </w:pPr>
      <w:r>
        <w:rPr>
          <w:rFonts w:ascii="Century Gothic" w:hAnsi="Century Gothic" w:cs="Arial"/>
          <w:bCs/>
        </w:rPr>
        <w:t>Nearly 19 000 young boys and girls participated in violence prevention programmes.</w:t>
      </w:r>
    </w:p>
    <w:p w14:paraId="616C264F" w14:textId="77777777" w:rsidR="00643520" w:rsidRDefault="00643520" w:rsidP="00643520">
      <w:pPr>
        <w:numPr>
          <w:ilvl w:val="0"/>
          <w:numId w:val="35"/>
        </w:numPr>
        <w:suppressAutoHyphens/>
        <w:autoSpaceDN w:val="0"/>
        <w:spacing w:after="160" w:line="360" w:lineRule="auto"/>
        <w:jc w:val="both"/>
        <w:textAlignment w:val="baseline"/>
        <w:rPr>
          <w:rFonts w:ascii="Century Gothic" w:hAnsi="Century Gothic" w:cs="Arial"/>
          <w:bCs/>
        </w:rPr>
      </w:pPr>
      <w:r>
        <w:rPr>
          <w:rFonts w:ascii="Century Gothic" w:hAnsi="Century Gothic" w:cs="Arial"/>
          <w:bCs/>
        </w:rPr>
        <w:t>More than 72 000 adolescent girls received support to remain in school</w:t>
      </w:r>
    </w:p>
    <w:p w14:paraId="0D068343" w14:textId="77777777" w:rsidR="00643520" w:rsidRDefault="00643520" w:rsidP="00643520">
      <w:pPr>
        <w:numPr>
          <w:ilvl w:val="0"/>
          <w:numId w:val="35"/>
        </w:numPr>
        <w:suppressAutoHyphens/>
        <w:autoSpaceDN w:val="0"/>
        <w:spacing w:after="160" w:line="360" w:lineRule="auto"/>
        <w:jc w:val="both"/>
        <w:textAlignment w:val="baseline"/>
        <w:rPr>
          <w:rFonts w:ascii="Century Gothic" w:hAnsi="Century Gothic" w:cs="Arial"/>
          <w:bCs/>
        </w:rPr>
      </w:pPr>
      <w:r>
        <w:rPr>
          <w:rFonts w:ascii="Century Gothic" w:hAnsi="Century Gothic" w:cs="Arial"/>
          <w:bCs/>
        </w:rPr>
        <w:t>More than 19 000 adolescent girls and young women attended economic strengthening programmes.</w:t>
      </w:r>
    </w:p>
    <w:p w14:paraId="4DE65DA8" w14:textId="77777777" w:rsidR="00643520" w:rsidRDefault="00643520" w:rsidP="00643520">
      <w:pPr>
        <w:numPr>
          <w:ilvl w:val="0"/>
          <w:numId w:val="35"/>
        </w:numPr>
        <w:suppressAutoHyphens/>
        <w:autoSpaceDN w:val="0"/>
        <w:spacing w:after="160" w:line="360" w:lineRule="auto"/>
        <w:jc w:val="both"/>
        <w:textAlignment w:val="baseline"/>
        <w:rPr>
          <w:rFonts w:ascii="Century Gothic" w:hAnsi="Century Gothic" w:cs="Arial"/>
          <w:bCs/>
        </w:rPr>
      </w:pPr>
      <w:r>
        <w:rPr>
          <w:rFonts w:ascii="Century Gothic" w:hAnsi="Century Gothic" w:cs="Arial"/>
          <w:bCs/>
        </w:rPr>
        <w:t>Over 6000 completed a parenting programme (including teen parents).</w:t>
      </w:r>
    </w:p>
    <w:p w14:paraId="19A3D857" w14:textId="77777777" w:rsidR="00643520" w:rsidRDefault="00643520" w:rsidP="00643520">
      <w:pPr>
        <w:ind w:left="720"/>
        <w:rPr>
          <w:rFonts w:ascii="Century Gothic" w:hAnsi="Century Gothic"/>
        </w:rPr>
      </w:pPr>
    </w:p>
    <w:p w14:paraId="3812CD74" w14:textId="7A2F2152" w:rsidR="00643520" w:rsidRPr="00531EEA" w:rsidRDefault="00643520" w:rsidP="002C3D6D">
      <w:pPr>
        <w:spacing w:line="360" w:lineRule="auto"/>
        <w:jc w:val="both"/>
        <w:rPr>
          <w:rFonts w:ascii="Century Gothic" w:hAnsi="Century Gothic"/>
        </w:rPr>
      </w:pPr>
      <w:r>
        <w:rPr>
          <w:rFonts w:ascii="Century Gothic" w:hAnsi="Century Gothic" w:cs="Arial"/>
          <w:bCs/>
        </w:rPr>
        <w:t xml:space="preserve">Despite some of the successes of the She Conquers programme in reducing PMTCT, </w:t>
      </w:r>
      <w:proofErr w:type="spellStart"/>
      <w:r>
        <w:rPr>
          <w:rFonts w:ascii="Century Gothic" w:hAnsi="Century Gothic" w:cs="Arial"/>
          <w:bCs/>
        </w:rPr>
        <w:t>Subdear</w:t>
      </w:r>
      <w:proofErr w:type="spellEnd"/>
      <w:r>
        <w:rPr>
          <w:rFonts w:ascii="Century Gothic" w:hAnsi="Century Gothic" w:cs="Arial"/>
          <w:bCs/>
        </w:rPr>
        <w:t xml:space="preserve"> </w:t>
      </w:r>
      <w:r>
        <w:rPr>
          <w:rFonts w:ascii="Century Gothic" w:hAnsi="Century Gothic" w:cs="Arial"/>
          <w:bCs/>
          <w:i/>
        </w:rPr>
        <w:t>et al</w:t>
      </w:r>
      <w:r>
        <w:rPr>
          <w:rFonts w:ascii="Century Gothic" w:hAnsi="Century Gothic" w:cs="Arial"/>
          <w:bCs/>
        </w:rPr>
        <w:t xml:space="preserve"> point out that several challenges</w:t>
      </w:r>
      <w:r w:rsidR="002C3D6D">
        <w:rPr>
          <w:rFonts w:ascii="Century Gothic" w:hAnsi="Century Gothic" w:cs="Arial"/>
          <w:bCs/>
        </w:rPr>
        <w:t xml:space="preserve">.  </w:t>
      </w:r>
      <w:r>
        <w:rPr>
          <w:rFonts w:ascii="Century Gothic" w:hAnsi="Century Gothic" w:cs="Arial"/>
          <w:bCs/>
        </w:rPr>
        <w:t xml:space="preserve">A lack of dedicated resources for </w:t>
      </w:r>
      <w:r>
        <w:rPr>
          <w:rFonts w:ascii="Century Gothic" w:hAnsi="Century Gothic" w:cs="Arial"/>
          <w:bCs/>
        </w:rPr>
        <w:lastRenderedPageBreak/>
        <w:t xml:space="preserve">sustained youth </w:t>
      </w:r>
      <w:r w:rsidRPr="00531EEA">
        <w:rPr>
          <w:rFonts w:ascii="Century Gothic" w:hAnsi="Century Gothic" w:cs="Arial"/>
          <w:bCs/>
        </w:rPr>
        <w:t>engagement at all levels. Engagement was hampered by the shortage of strong youth networks and the lack of a common platform for young people.</w:t>
      </w:r>
    </w:p>
    <w:p w14:paraId="49F16002" w14:textId="77777777" w:rsidR="00643520" w:rsidRPr="00531EEA" w:rsidRDefault="00643520" w:rsidP="00643520">
      <w:pPr>
        <w:spacing w:line="360" w:lineRule="auto"/>
        <w:jc w:val="both"/>
        <w:rPr>
          <w:rFonts w:ascii="Century Gothic" w:hAnsi="Century Gothic" w:cs="Arial"/>
          <w:b/>
        </w:rPr>
      </w:pPr>
      <w:r w:rsidRPr="00531EEA">
        <w:rPr>
          <w:rFonts w:ascii="Century Gothic" w:hAnsi="Century Gothic" w:cs="Arial"/>
          <w:b/>
        </w:rPr>
        <w:t>Conclusion</w:t>
      </w:r>
    </w:p>
    <w:p w14:paraId="6F64BCDA" w14:textId="77777777" w:rsidR="00531EEA" w:rsidRDefault="00643520" w:rsidP="00196AC1">
      <w:pPr>
        <w:spacing w:line="360" w:lineRule="auto"/>
        <w:jc w:val="both"/>
        <w:rPr>
          <w:rFonts w:ascii="Century Gothic" w:hAnsi="Century Gothic"/>
        </w:rPr>
      </w:pPr>
      <w:r w:rsidRPr="00531EEA">
        <w:rPr>
          <w:rFonts w:ascii="Century Gothic" w:hAnsi="Century Gothic"/>
        </w:rPr>
        <w:t xml:space="preserve">The document sought to highlight the various key developments in various policy sectors (i.e. policy, legislative, institutional, practical, etc.)  sought to underscore the fact that the country has taken steps in its attempts to respond to and implement the recommendations contained in the 2011 CEDAW Report with its concluding observations and recommendations as issued after its 967th and 968th Sessions. This document sought to capture some of the key developments and improvements various sectors such as policy and legislative reforms, politics, the judiciary and health, while also identifying the continued challenges particularly in the areas of combating gender based violence, the limited resource allocations and ineffective implementation of existing policies and legislative frameworks, including weaknesses of some institutions and departments tasked with driving the country’s fight against gender based violence and violence against women and children. </w:t>
      </w:r>
      <w:r w:rsidR="00531EEA" w:rsidRPr="00531EEA">
        <w:rPr>
          <w:rFonts w:ascii="Century Gothic" w:hAnsi="Century Gothic"/>
        </w:rPr>
        <w:t xml:space="preserve">  </w:t>
      </w:r>
    </w:p>
    <w:p w14:paraId="504DFCFF" w14:textId="6BA21F2A" w:rsidR="00531EEA" w:rsidRPr="00531EEA" w:rsidRDefault="00531EEA" w:rsidP="00196AC1">
      <w:pPr>
        <w:spacing w:line="360" w:lineRule="auto"/>
        <w:jc w:val="both"/>
        <w:rPr>
          <w:rFonts w:ascii="Century Gothic" w:hAnsi="Century Gothic"/>
        </w:rPr>
      </w:pPr>
      <w:r w:rsidRPr="00531EEA">
        <w:rPr>
          <w:rFonts w:ascii="Century Gothic" w:hAnsi="Century Gothic"/>
        </w:rPr>
        <w:t>Modern development strategies</w:t>
      </w:r>
      <w:r w:rsidR="00BE70F7">
        <w:rPr>
          <w:rFonts w:ascii="Century Gothic" w:hAnsi="Century Gothic"/>
        </w:rPr>
        <w:t xml:space="preserve"> and</w:t>
      </w:r>
      <w:r w:rsidRPr="00531EEA">
        <w:rPr>
          <w:rFonts w:ascii="Century Gothic" w:hAnsi="Century Gothic"/>
        </w:rPr>
        <w:t xml:space="preserve"> </w:t>
      </w:r>
      <w:r w:rsidR="0051270B">
        <w:rPr>
          <w:rFonts w:ascii="Century Gothic" w:hAnsi="Century Gothic"/>
        </w:rPr>
        <w:t>in-country</w:t>
      </w:r>
      <w:r w:rsidR="000F34DF">
        <w:rPr>
          <w:rFonts w:ascii="Century Gothic" w:hAnsi="Century Gothic"/>
        </w:rPr>
        <w:t xml:space="preserve"> efforts </w:t>
      </w:r>
      <w:r w:rsidRPr="00531EEA">
        <w:rPr>
          <w:rFonts w:ascii="Century Gothic" w:hAnsi="Century Gothic"/>
        </w:rPr>
        <w:t xml:space="preserve">often recognize the pivotal importance of enabling women to </w:t>
      </w:r>
      <w:r w:rsidR="00016F8D" w:rsidRPr="00531EEA">
        <w:rPr>
          <w:rFonts w:ascii="Century Gothic" w:hAnsi="Century Gothic"/>
        </w:rPr>
        <w:t>fulfil</w:t>
      </w:r>
      <w:r w:rsidRPr="00531EEA">
        <w:rPr>
          <w:rFonts w:ascii="Century Gothic" w:hAnsi="Century Gothic"/>
        </w:rPr>
        <w:t xml:space="preserve"> their potential and contribute effectively to their economies</w:t>
      </w:r>
      <w:r w:rsidR="0051270B">
        <w:rPr>
          <w:rFonts w:ascii="Century Gothic" w:hAnsi="Century Gothic"/>
        </w:rPr>
        <w:t>,</w:t>
      </w:r>
      <w:r w:rsidR="00C80D8E">
        <w:rPr>
          <w:rFonts w:ascii="Century Gothic" w:hAnsi="Century Gothic"/>
        </w:rPr>
        <w:t xml:space="preserve"> y</w:t>
      </w:r>
      <w:r w:rsidRPr="00531EEA">
        <w:rPr>
          <w:rFonts w:ascii="Century Gothic" w:hAnsi="Century Gothic"/>
        </w:rPr>
        <w:t>et</w:t>
      </w:r>
      <w:r w:rsidR="00C80D8E">
        <w:rPr>
          <w:rFonts w:ascii="Century Gothic" w:hAnsi="Century Gothic"/>
        </w:rPr>
        <w:t xml:space="preserve"> </w:t>
      </w:r>
      <w:r w:rsidRPr="00531EEA">
        <w:rPr>
          <w:rFonts w:ascii="Century Gothic" w:hAnsi="Century Gothic"/>
        </w:rPr>
        <w:t>fail to recognize the need for concerted action</w:t>
      </w:r>
      <w:r w:rsidR="00B37BBE">
        <w:rPr>
          <w:rFonts w:ascii="Century Gothic" w:hAnsi="Century Gothic"/>
        </w:rPr>
        <w:t xml:space="preserve"> and resourced plans</w:t>
      </w:r>
      <w:r w:rsidRPr="00531EEA">
        <w:rPr>
          <w:rFonts w:ascii="Century Gothic" w:hAnsi="Century Gothic"/>
        </w:rPr>
        <w:t xml:space="preserve"> to uphold the rights of </w:t>
      </w:r>
      <w:r w:rsidR="00B37BBE">
        <w:rPr>
          <w:rFonts w:ascii="Century Gothic" w:hAnsi="Century Gothic"/>
        </w:rPr>
        <w:t>women</w:t>
      </w:r>
      <w:r w:rsidR="009B3F92">
        <w:rPr>
          <w:rFonts w:ascii="Century Gothic" w:hAnsi="Century Gothic"/>
        </w:rPr>
        <w:t xml:space="preserve"> including but not limited </w:t>
      </w:r>
      <w:r w:rsidR="00FF3FBF">
        <w:rPr>
          <w:rFonts w:ascii="Century Gothic" w:hAnsi="Century Gothic"/>
        </w:rPr>
        <w:t xml:space="preserve"> to</w:t>
      </w:r>
      <w:r w:rsidR="00B37BBE">
        <w:rPr>
          <w:rFonts w:ascii="Century Gothic" w:hAnsi="Century Gothic"/>
        </w:rPr>
        <w:t xml:space="preserve"> </w:t>
      </w:r>
      <w:r w:rsidR="008D4038">
        <w:rPr>
          <w:rFonts w:ascii="Century Gothic" w:hAnsi="Century Gothic"/>
        </w:rPr>
        <w:t>participation</w:t>
      </w:r>
      <w:r w:rsidR="00193B14">
        <w:rPr>
          <w:rFonts w:ascii="Century Gothic" w:hAnsi="Century Gothic"/>
        </w:rPr>
        <w:t xml:space="preserve"> in </w:t>
      </w:r>
      <w:r w:rsidR="00BE70F7">
        <w:rPr>
          <w:rFonts w:ascii="Century Gothic" w:hAnsi="Century Gothic"/>
        </w:rPr>
        <w:t xml:space="preserve">political and public life, </w:t>
      </w:r>
      <w:r w:rsidR="00151447">
        <w:rPr>
          <w:rFonts w:ascii="Century Gothic" w:hAnsi="Century Gothic"/>
        </w:rPr>
        <w:t>safety and</w:t>
      </w:r>
      <w:r w:rsidR="009F1383">
        <w:rPr>
          <w:rFonts w:ascii="Century Gothic" w:hAnsi="Century Gothic"/>
        </w:rPr>
        <w:t xml:space="preserve"> </w:t>
      </w:r>
      <w:r w:rsidR="00151447">
        <w:rPr>
          <w:rFonts w:ascii="Century Gothic" w:hAnsi="Century Gothic"/>
        </w:rPr>
        <w:t>security, dignity, bodily autonomy, access to health</w:t>
      </w:r>
      <w:r w:rsidR="00823076">
        <w:rPr>
          <w:rFonts w:ascii="Century Gothic" w:hAnsi="Century Gothic"/>
        </w:rPr>
        <w:t>, education</w:t>
      </w:r>
      <w:r w:rsidR="009F1383">
        <w:rPr>
          <w:rFonts w:ascii="Century Gothic" w:hAnsi="Century Gothic"/>
        </w:rPr>
        <w:t xml:space="preserve"> and information</w:t>
      </w:r>
      <w:r w:rsidRPr="00531EEA">
        <w:rPr>
          <w:rFonts w:ascii="Century Gothic" w:hAnsi="Century Gothic"/>
        </w:rPr>
        <w:t xml:space="preserve">. </w:t>
      </w:r>
    </w:p>
    <w:p w14:paraId="1FE6E140" w14:textId="3A2A7847" w:rsidR="00643520" w:rsidRPr="00531EEA" w:rsidRDefault="009F1383" w:rsidP="00196AC1">
      <w:pPr>
        <w:spacing w:line="360" w:lineRule="auto"/>
        <w:jc w:val="both"/>
        <w:rPr>
          <w:rFonts w:ascii="Century Gothic" w:hAnsi="Century Gothic" w:cs="Arial"/>
          <w:b/>
          <w:sz w:val="28"/>
          <w:szCs w:val="28"/>
        </w:rPr>
      </w:pPr>
      <w:r>
        <w:rPr>
          <w:rFonts w:ascii="Century Gothic" w:hAnsi="Century Gothic"/>
        </w:rPr>
        <w:t>We must commit to ending systems of oppression to ensure that discrimination and violence against women</w:t>
      </w:r>
      <w:r w:rsidR="007B6253">
        <w:rPr>
          <w:rFonts w:ascii="Century Gothic" w:hAnsi="Century Gothic"/>
        </w:rPr>
        <w:t xml:space="preserve"> ends, in order to achieve </w:t>
      </w:r>
      <w:r w:rsidR="00016F8D">
        <w:rPr>
          <w:rFonts w:ascii="Century Gothic" w:hAnsi="Century Gothic"/>
        </w:rPr>
        <w:t xml:space="preserve">a more </w:t>
      </w:r>
      <w:r w:rsidR="007B6253">
        <w:rPr>
          <w:rFonts w:ascii="Century Gothic" w:hAnsi="Century Gothic"/>
        </w:rPr>
        <w:t>g</w:t>
      </w:r>
      <w:r w:rsidR="00016F8D">
        <w:rPr>
          <w:rFonts w:ascii="Century Gothic" w:hAnsi="Century Gothic"/>
        </w:rPr>
        <w:t xml:space="preserve">ender </w:t>
      </w:r>
      <w:r w:rsidR="007B6253">
        <w:rPr>
          <w:rFonts w:ascii="Century Gothic" w:hAnsi="Century Gothic"/>
        </w:rPr>
        <w:t>e</w:t>
      </w:r>
      <w:r w:rsidR="00016F8D">
        <w:rPr>
          <w:rFonts w:ascii="Century Gothic" w:hAnsi="Century Gothic"/>
        </w:rPr>
        <w:t>qual</w:t>
      </w:r>
      <w:r w:rsidR="007B6253">
        <w:rPr>
          <w:rFonts w:ascii="Century Gothic" w:hAnsi="Century Gothic"/>
        </w:rPr>
        <w:t xml:space="preserve"> country and global community.</w:t>
      </w:r>
    </w:p>
    <w:p w14:paraId="48F03C81" w14:textId="77777777" w:rsidR="000A278A" w:rsidRPr="00531EEA" w:rsidRDefault="000A278A" w:rsidP="00E45D69">
      <w:pPr>
        <w:spacing w:line="360" w:lineRule="auto"/>
        <w:jc w:val="center"/>
        <w:rPr>
          <w:rFonts w:ascii="Century Gothic" w:hAnsi="Century Gothic" w:cs="Arial"/>
          <w:b/>
          <w:sz w:val="28"/>
          <w:szCs w:val="28"/>
        </w:rPr>
      </w:pPr>
    </w:p>
    <w:p w14:paraId="052962C1" w14:textId="77777777" w:rsidR="00D450E5" w:rsidRPr="00531EEA" w:rsidRDefault="00D450E5" w:rsidP="002E56F5">
      <w:pPr>
        <w:spacing w:line="360" w:lineRule="auto"/>
        <w:jc w:val="both"/>
        <w:rPr>
          <w:rFonts w:ascii="Century Gothic" w:hAnsi="Century Gothic" w:cs="Arial"/>
          <w:b/>
          <w:sz w:val="24"/>
          <w:szCs w:val="24"/>
        </w:rPr>
      </w:pPr>
    </w:p>
    <w:sectPr w:rsidR="00D450E5" w:rsidRPr="00531EEA" w:rsidSect="00D41F6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FEE19C" w14:textId="77777777" w:rsidR="00700BBD" w:rsidRDefault="00700BBD" w:rsidP="00A66D3E">
      <w:pPr>
        <w:spacing w:after="0" w:line="240" w:lineRule="auto"/>
      </w:pPr>
      <w:r>
        <w:separator/>
      </w:r>
    </w:p>
  </w:endnote>
  <w:endnote w:type="continuationSeparator" w:id="0">
    <w:p w14:paraId="0D193CB1" w14:textId="77777777" w:rsidR="00700BBD" w:rsidRDefault="00700BBD" w:rsidP="00A66D3E">
      <w:pPr>
        <w:spacing w:after="0" w:line="240" w:lineRule="auto"/>
      </w:pPr>
      <w:r>
        <w:continuationSeparator/>
      </w:r>
    </w:p>
  </w:endnote>
  <w:endnote w:type="continuationNotice" w:id="1">
    <w:p w14:paraId="7C2CD03C" w14:textId="77777777" w:rsidR="00700BBD" w:rsidRDefault="00700B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7687876"/>
      <w:docPartObj>
        <w:docPartGallery w:val="Page Numbers (Bottom of Page)"/>
        <w:docPartUnique/>
      </w:docPartObj>
    </w:sdtPr>
    <w:sdtEndPr/>
    <w:sdtContent>
      <w:sdt>
        <w:sdtPr>
          <w:id w:val="-1769616900"/>
          <w:docPartObj>
            <w:docPartGallery w:val="Page Numbers (Top of Page)"/>
            <w:docPartUnique/>
          </w:docPartObj>
        </w:sdtPr>
        <w:sdtEndPr/>
        <w:sdtContent>
          <w:p w14:paraId="20CBC1C6" w14:textId="77777777" w:rsidR="00683543" w:rsidRDefault="0068354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3D5956E" w14:textId="77777777" w:rsidR="00F5384F" w:rsidRDefault="00F538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B3DB4A" w14:textId="77777777" w:rsidR="00700BBD" w:rsidRDefault="00700BBD" w:rsidP="00A66D3E">
      <w:pPr>
        <w:spacing w:after="0" w:line="240" w:lineRule="auto"/>
      </w:pPr>
      <w:r>
        <w:separator/>
      </w:r>
    </w:p>
  </w:footnote>
  <w:footnote w:type="continuationSeparator" w:id="0">
    <w:p w14:paraId="6B30D523" w14:textId="77777777" w:rsidR="00700BBD" w:rsidRDefault="00700BBD" w:rsidP="00A66D3E">
      <w:pPr>
        <w:spacing w:after="0" w:line="240" w:lineRule="auto"/>
      </w:pPr>
      <w:r>
        <w:continuationSeparator/>
      </w:r>
    </w:p>
  </w:footnote>
  <w:footnote w:type="continuationNotice" w:id="1">
    <w:p w14:paraId="42E2A2A4" w14:textId="77777777" w:rsidR="00700BBD" w:rsidRDefault="00700BB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A5DAC"/>
    <w:multiLevelType w:val="multilevel"/>
    <w:tmpl w:val="B316E054"/>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05831FD4"/>
    <w:multiLevelType w:val="multilevel"/>
    <w:tmpl w:val="7AFA47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92049C3"/>
    <w:multiLevelType w:val="hybridMultilevel"/>
    <w:tmpl w:val="0BF62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B86A12"/>
    <w:multiLevelType w:val="hybridMultilevel"/>
    <w:tmpl w:val="F4806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1E7988"/>
    <w:multiLevelType w:val="multilevel"/>
    <w:tmpl w:val="6B10AF10"/>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 w15:restartNumberingAfterBreak="0">
    <w:nsid w:val="12602966"/>
    <w:multiLevelType w:val="hybridMultilevel"/>
    <w:tmpl w:val="E8F0CA4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21AB4353"/>
    <w:multiLevelType w:val="multilevel"/>
    <w:tmpl w:val="34BEE8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200003C"/>
    <w:multiLevelType w:val="hybridMultilevel"/>
    <w:tmpl w:val="8CEE2AE2"/>
    <w:lvl w:ilvl="0" w:tplc="0DF4B7C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56617D"/>
    <w:multiLevelType w:val="hybridMultilevel"/>
    <w:tmpl w:val="ABA8FEE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26BD4F4C"/>
    <w:multiLevelType w:val="multilevel"/>
    <w:tmpl w:val="B9D4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C1A97"/>
    <w:multiLevelType w:val="hybridMultilevel"/>
    <w:tmpl w:val="B2BC6CC2"/>
    <w:lvl w:ilvl="0" w:tplc="28C67A4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8B4698"/>
    <w:multiLevelType w:val="multilevel"/>
    <w:tmpl w:val="E0AA838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2" w15:restartNumberingAfterBreak="0">
    <w:nsid w:val="30E86E3F"/>
    <w:multiLevelType w:val="multilevel"/>
    <w:tmpl w:val="586238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1C51166"/>
    <w:multiLevelType w:val="hybridMultilevel"/>
    <w:tmpl w:val="6F160FE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32774915"/>
    <w:multiLevelType w:val="multilevel"/>
    <w:tmpl w:val="900E0E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3CC92F8E"/>
    <w:multiLevelType w:val="hybridMultilevel"/>
    <w:tmpl w:val="2D1C091E"/>
    <w:lvl w:ilvl="0" w:tplc="04090005">
      <w:start w:val="1"/>
      <w:numFmt w:val="bullet"/>
      <w:lvlText w:val=""/>
      <w:lvlJc w:val="left"/>
      <w:pPr>
        <w:ind w:left="855" w:hanging="360"/>
      </w:pPr>
      <w:rPr>
        <w:rFonts w:ascii="Wingdings" w:hAnsi="Wingdings"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6" w15:restartNumberingAfterBreak="0">
    <w:nsid w:val="417D0880"/>
    <w:multiLevelType w:val="hybridMultilevel"/>
    <w:tmpl w:val="A4909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63495"/>
    <w:multiLevelType w:val="hybridMultilevel"/>
    <w:tmpl w:val="D3B6909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48757556"/>
    <w:multiLevelType w:val="multilevel"/>
    <w:tmpl w:val="4F5E296C"/>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9" w15:restartNumberingAfterBreak="0">
    <w:nsid w:val="4B7F0E06"/>
    <w:multiLevelType w:val="hybridMultilevel"/>
    <w:tmpl w:val="9950356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4C2562D5"/>
    <w:multiLevelType w:val="hybridMultilevel"/>
    <w:tmpl w:val="A1EA283E"/>
    <w:lvl w:ilvl="0" w:tplc="F2AE969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B95564"/>
    <w:multiLevelType w:val="hybridMultilevel"/>
    <w:tmpl w:val="6F72DD9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57B33003"/>
    <w:multiLevelType w:val="hybridMultilevel"/>
    <w:tmpl w:val="47B4257E"/>
    <w:lvl w:ilvl="0" w:tplc="7EF60C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BB53AC"/>
    <w:multiLevelType w:val="hybridMultilevel"/>
    <w:tmpl w:val="F02A357E"/>
    <w:lvl w:ilvl="0" w:tplc="B0B8F0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456D51"/>
    <w:multiLevelType w:val="hybridMultilevel"/>
    <w:tmpl w:val="39302EC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621748C5"/>
    <w:multiLevelType w:val="hybridMultilevel"/>
    <w:tmpl w:val="F9CE1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290CF4"/>
    <w:multiLevelType w:val="hybridMultilevel"/>
    <w:tmpl w:val="61B6F99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63E05741"/>
    <w:multiLevelType w:val="multilevel"/>
    <w:tmpl w:val="5C382B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4F5642B"/>
    <w:multiLevelType w:val="hybridMultilevel"/>
    <w:tmpl w:val="40FA051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15:restartNumberingAfterBreak="0">
    <w:nsid w:val="68AC56B7"/>
    <w:multiLevelType w:val="hybridMultilevel"/>
    <w:tmpl w:val="EB50F9DA"/>
    <w:lvl w:ilvl="0" w:tplc="E3C6D160">
      <w:start w:val="1"/>
      <w:numFmt w:val="decimal"/>
      <w:lvlText w:val="%1."/>
      <w:lvlJc w:val="left"/>
      <w:pPr>
        <w:ind w:left="405" w:hanging="360"/>
      </w:pPr>
    </w:lvl>
    <w:lvl w:ilvl="1" w:tplc="1C090019">
      <w:start w:val="1"/>
      <w:numFmt w:val="lowerLetter"/>
      <w:lvlText w:val="%2."/>
      <w:lvlJc w:val="left"/>
      <w:pPr>
        <w:ind w:left="1125" w:hanging="360"/>
      </w:pPr>
    </w:lvl>
    <w:lvl w:ilvl="2" w:tplc="1C09001B">
      <w:start w:val="1"/>
      <w:numFmt w:val="lowerRoman"/>
      <w:lvlText w:val="%3."/>
      <w:lvlJc w:val="right"/>
      <w:pPr>
        <w:ind w:left="1845" w:hanging="180"/>
      </w:pPr>
    </w:lvl>
    <w:lvl w:ilvl="3" w:tplc="1C09000F">
      <w:start w:val="1"/>
      <w:numFmt w:val="decimal"/>
      <w:lvlText w:val="%4."/>
      <w:lvlJc w:val="left"/>
      <w:pPr>
        <w:ind w:left="2565" w:hanging="360"/>
      </w:pPr>
    </w:lvl>
    <w:lvl w:ilvl="4" w:tplc="1C090019">
      <w:start w:val="1"/>
      <w:numFmt w:val="lowerLetter"/>
      <w:lvlText w:val="%5."/>
      <w:lvlJc w:val="left"/>
      <w:pPr>
        <w:ind w:left="3285" w:hanging="360"/>
      </w:pPr>
    </w:lvl>
    <w:lvl w:ilvl="5" w:tplc="1C09001B">
      <w:start w:val="1"/>
      <w:numFmt w:val="lowerRoman"/>
      <w:lvlText w:val="%6."/>
      <w:lvlJc w:val="right"/>
      <w:pPr>
        <w:ind w:left="4005" w:hanging="180"/>
      </w:pPr>
    </w:lvl>
    <w:lvl w:ilvl="6" w:tplc="1C09000F">
      <w:start w:val="1"/>
      <w:numFmt w:val="decimal"/>
      <w:lvlText w:val="%7."/>
      <w:lvlJc w:val="left"/>
      <w:pPr>
        <w:ind w:left="4725" w:hanging="360"/>
      </w:pPr>
    </w:lvl>
    <w:lvl w:ilvl="7" w:tplc="1C090019">
      <w:start w:val="1"/>
      <w:numFmt w:val="lowerLetter"/>
      <w:lvlText w:val="%8."/>
      <w:lvlJc w:val="left"/>
      <w:pPr>
        <w:ind w:left="5445" w:hanging="360"/>
      </w:pPr>
    </w:lvl>
    <w:lvl w:ilvl="8" w:tplc="1C09001B">
      <w:start w:val="1"/>
      <w:numFmt w:val="lowerRoman"/>
      <w:lvlText w:val="%9."/>
      <w:lvlJc w:val="right"/>
      <w:pPr>
        <w:ind w:left="6165" w:hanging="180"/>
      </w:pPr>
    </w:lvl>
  </w:abstractNum>
  <w:abstractNum w:abstractNumId="30" w15:restartNumberingAfterBreak="0">
    <w:nsid w:val="68CB12DE"/>
    <w:multiLevelType w:val="multilevel"/>
    <w:tmpl w:val="F6E43B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A422108"/>
    <w:multiLevelType w:val="hybridMultilevel"/>
    <w:tmpl w:val="D0561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B549E5"/>
    <w:multiLevelType w:val="multilevel"/>
    <w:tmpl w:val="58F660FC"/>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3" w15:restartNumberingAfterBreak="0">
    <w:nsid w:val="7D85241B"/>
    <w:multiLevelType w:val="multilevel"/>
    <w:tmpl w:val="D0E47B46"/>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4" w15:restartNumberingAfterBreak="0">
    <w:nsid w:val="7E4F6800"/>
    <w:multiLevelType w:val="hybridMultilevel"/>
    <w:tmpl w:val="29E0EF8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31"/>
  </w:num>
  <w:num w:numId="4">
    <w:abstractNumId w:val="24"/>
  </w:num>
  <w:num w:numId="5">
    <w:abstractNumId w:val="29"/>
  </w:num>
  <w:num w:numId="6">
    <w:abstractNumId w:val="17"/>
  </w:num>
  <w:num w:numId="7">
    <w:abstractNumId w:val="19"/>
  </w:num>
  <w:num w:numId="8">
    <w:abstractNumId w:val="21"/>
  </w:num>
  <w:num w:numId="9">
    <w:abstractNumId w:val="8"/>
  </w:num>
  <w:num w:numId="10">
    <w:abstractNumId w:val="34"/>
  </w:num>
  <w:num w:numId="11">
    <w:abstractNumId w:val="13"/>
  </w:num>
  <w:num w:numId="12">
    <w:abstractNumId w:val="28"/>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7"/>
  </w:num>
  <w:num w:numId="17">
    <w:abstractNumId w:val="2"/>
  </w:num>
  <w:num w:numId="18">
    <w:abstractNumId w:val="3"/>
  </w:num>
  <w:num w:numId="19">
    <w:abstractNumId w:val="14"/>
  </w:num>
  <w:num w:numId="20">
    <w:abstractNumId w:val="9"/>
  </w:num>
  <w:num w:numId="21">
    <w:abstractNumId w:val="16"/>
  </w:num>
  <w:num w:numId="22">
    <w:abstractNumId w:val="10"/>
  </w:num>
  <w:num w:numId="23">
    <w:abstractNumId w:val="23"/>
  </w:num>
  <w:num w:numId="24">
    <w:abstractNumId w:val="22"/>
  </w:num>
  <w:num w:numId="25">
    <w:abstractNumId w:val="5"/>
  </w:num>
  <w:num w:numId="26">
    <w:abstractNumId w:val="15"/>
  </w:num>
  <w:num w:numId="27">
    <w:abstractNumId w:val="30"/>
  </w:num>
  <w:num w:numId="28">
    <w:abstractNumId w:val="11"/>
  </w:num>
  <w:num w:numId="29">
    <w:abstractNumId w:val="4"/>
  </w:num>
  <w:num w:numId="30">
    <w:abstractNumId w:val="0"/>
  </w:num>
  <w:num w:numId="31">
    <w:abstractNumId w:val="33"/>
  </w:num>
  <w:num w:numId="32">
    <w:abstractNumId w:val="32"/>
  </w:num>
  <w:num w:numId="33">
    <w:abstractNumId w:val="18"/>
  </w:num>
  <w:num w:numId="34">
    <w:abstractNumId w:val="1"/>
  </w:num>
  <w:num w:numId="35">
    <w:abstractNumId w:val="6"/>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D3E"/>
    <w:rsid w:val="0000050F"/>
    <w:rsid w:val="000008F9"/>
    <w:rsid w:val="00016F8D"/>
    <w:rsid w:val="00020A9C"/>
    <w:rsid w:val="00022D0F"/>
    <w:rsid w:val="00023572"/>
    <w:rsid w:val="000311B3"/>
    <w:rsid w:val="000345BE"/>
    <w:rsid w:val="00040C13"/>
    <w:rsid w:val="0004359C"/>
    <w:rsid w:val="000573CE"/>
    <w:rsid w:val="000576DF"/>
    <w:rsid w:val="00064CCD"/>
    <w:rsid w:val="00066B92"/>
    <w:rsid w:val="000848F6"/>
    <w:rsid w:val="000931AA"/>
    <w:rsid w:val="00093E78"/>
    <w:rsid w:val="00096BDD"/>
    <w:rsid w:val="000A037C"/>
    <w:rsid w:val="000A0C50"/>
    <w:rsid w:val="000A21B6"/>
    <w:rsid w:val="000A278A"/>
    <w:rsid w:val="000B1585"/>
    <w:rsid w:val="000B5D12"/>
    <w:rsid w:val="000C201A"/>
    <w:rsid w:val="000C3C5D"/>
    <w:rsid w:val="000C3FE5"/>
    <w:rsid w:val="000D08E6"/>
    <w:rsid w:val="000D1CF9"/>
    <w:rsid w:val="000D3861"/>
    <w:rsid w:val="000D3BBD"/>
    <w:rsid w:val="000D7440"/>
    <w:rsid w:val="000E284E"/>
    <w:rsid w:val="000E50BF"/>
    <w:rsid w:val="000E69C2"/>
    <w:rsid w:val="000F34DF"/>
    <w:rsid w:val="000F3FCE"/>
    <w:rsid w:val="000F4A4C"/>
    <w:rsid w:val="000F607E"/>
    <w:rsid w:val="00100098"/>
    <w:rsid w:val="00103465"/>
    <w:rsid w:val="0011303A"/>
    <w:rsid w:val="00117238"/>
    <w:rsid w:val="00134F46"/>
    <w:rsid w:val="00135295"/>
    <w:rsid w:val="001432E1"/>
    <w:rsid w:val="001437EE"/>
    <w:rsid w:val="001460C8"/>
    <w:rsid w:val="0014659A"/>
    <w:rsid w:val="00147DCE"/>
    <w:rsid w:val="00151447"/>
    <w:rsid w:val="00156D5F"/>
    <w:rsid w:val="001574C5"/>
    <w:rsid w:val="00165D28"/>
    <w:rsid w:val="00171092"/>
    <w:rsid w:val="0017259A"/>
    <w:rsid w:val="00173ACC"/>
    <w:rsid w:val="001740CF"/>
    <w:rsid w:val="001806AD"/>
    <w:rsid w:val="001826D0"/>
    <w:rsid w:val="00193B14"/>
    <w:rsid w:val="00195992"/>
    <w:rsid w:val="00196AC1"/>
    <w:rsid w:val="001A1098"/>
    <w:rsid w:val="001A2206"/>
    <w:rsid w:val="001A6036"/>
    <w:rsid w:val="001A78E3"/>
    <w:rsid w:val="001B6045"/>
    <w:rsid w:val="001C1E21"/>
    <w:rsid w:val="001C2015"/>
    <w:rsid w:val="001C2B34"/>
    <w:rsid w:val="001D4F43"/>
    <w:rsid w:val="001D6322"/>
    <w:rsid w:val="001D6D71"/>
    <w:rsid w:val="001D7E83"/>
    <w:rsid w:val="001E1B1C"/>
    <w:rsid w:val="001F3682"/>
    <w:rsid w:val="00200C8C"/>
    <w:rsid w:val="00205E14"/>
    <w:rsid w:val="00211247"/>
    <w:rsid w:val="0022579F"/>
    <w:rsid w:val="00225AE0"/>
    <w:rsid w:val="002312CC"/>
    <w:rsid w:val="0024236D"/>
    <w:rsid w:val="00243BEC"/>
    <w:rsid w:val="00251471"/>
    <w:rsid w:val="0026350F"/>
    <w:rsid w:val="0027584D"/>
    <w:rsid w:val="002816B8"/>
    <w:rsid w:val="00290349"/>
    <w:rsid w:val="00293A33"/>
    <w:rsid w:val="0029537F"/>
    <w:rsid w:val="002A25CC"/>
    <w:rsid w:val="002A25DB"/>
    <w:rsid w:val="002B5C02"/>
    <w:rsid w:val="002B7DD3"/>
    <w:rsid w:val="002C3D6D"/>
    <w:rsid w:val="002C3F48"/>
    <w:rsid w:val="002C67AD"/>
    <w:rsid w:val="002D1BF7"/>
    <w:rsid w:val="002D4AB5"/>
    <w:rsid w:val="002E4D59"/>
    <w:rsid w:val="002E56F5"/>
    <w:rsid w:val="002F3921"/>
    <w:rsid w:val="002F5C0A"/>
    <w:rsid w:val="002F7860"/>
    <w:rsid w:val="002F79D3"/>
    <w:rsid w:val="00303AD1"/>
    <w:rsid w:val="003136E5"/>
    <w:rsid w:val="00316050"/>
    <w:rsid w:val="00330FCE"/>
    <w:rsid w:val="0033308B"/>
    <w:rsid w:val="00333BD0"/>
    <w:rsid w:val="00335E16"/>
    <w:rsid w:val="00336767"/>
    <w:rsid w:val="00340A87"/>
    <w:rsid w:val="0035131E"/>
    <w:rsid w:val="0035138E"/>
    <w:rsid w:val="00363E93"/>
    <w:rsid w:val="0037700C"/>
    <w:rsid w:val="00381536"/>
    <w:rsid w:val="00384165"/>
    <w:rsid w:val="00385E5A"/>
    <w:rsid w:val="0039416B"/>
    <w:rsid w:val="003975F1"/>
    <w:rsid w:val="003A0D4D"/>
    <w:rsid w:val="003B2F8A"/>
    <w:rsid w:val="003B44DE"/>
    <w:rsid w:val="003B5170"/>
    <w:rsid w:val="003B5267"/>
    <w:rsid w:val="003B52F6"/>
    <w:rsid w:val="003B5979"/>
    <w:rsid w:val="003B78EF"/>
    <w:rsid w:val="003C15CA"/>
    <w:rsid w:val="003C25C6"/>
    <w:rsid w:val="003C6D94"/>
    <w:rsid w:val="003D141C"/>
    <w:rsid w:val="003D668D"/>
    <w:rsid w:val="003E3009"/>
    <w:rsid w:val="003E4372"/>
    <w:rsid w:val="003E5E9D"/>
    <w:rsid w:val="003F2B46"/>
    <w:rsid w:val="003F3AC1"/>
    <w:rsid w:val="003F59D7"/>
    <w:rsid w:val="0040002E"/>
    <w:rsid w:val="0040166A"/>
    <w:rsid w:val="0040633A"/>
    <w:rsid w:val="00407E9E"/>
    <w:rsid w:val="00421596"/>
    <w:rsid w:val="004250AD"/>
    <w:rsid w:val="00425334"/>
    <w:rsid w:val="00442349"/>
    <w:rsid w:val="00442B29"/>
    <w:rsid w:val="004460DC"/>
    <w:rsid w:val="00450D89"/>
    <w:rsid w:val="00452191"/>
    <w:rsid w:val="0045287D"/>
    <w:rsid w:val="004558DB"/>
    <w:rsid w:val="00461140"/>
    <w:rsid w:val="004622E3"/>
    <w:rsid w:val="00463D70"/>
    <w:rsid w:val="00464B93"/>
    <w:rsid w:val="00470722"/>
    <w:rsid w:val="004711DF"/>
    <w:rsid w:val="00475B1C"/>
    <w:rsid w:val="004855AC"/>
    <w:rsid w:val="0048711F"/>
    <w:rsid w:val="00490311"/>
    <w:rsid w:val="00490460"/>
    <w:rsid w:val="00491359"/>
    <w:rsid w:val="00495A0C"/>
    <w:rsid w:val="00495EDD"/>
    <w:rsid w:val="004C4388"/>
    <w:rsid w:val="004C6B94"/>
    <w:rsid w:val="004C73E3"/>
    <w:rsid w:val="004D2193"/>
    <w:rsid w:val="004D31A9"/>
    <w:rsid w:val="004D6372"/>
    <w:rsid w:val="004E4DD3"/>
    <w:rsid w:val="004F519A"/>
    <w:rsid w:val="00505636"/>
    <w:rsid w:val="0051270B"/>
    <w:rsid w:val="00525855"/>
    <w:rsid w:val="00526BFE"/>
    <w:rsid w:val="005279D1"/>
    <w:rsid w:val="00531EEA"/>
    <w:rsid w:val="0053230F"/>
    <w:rsid w:val="0053407B"/>
    <w:rsid w:val="00536F3C"/>
    <w:rsid w:val="005543B0"/>
    <w:rsid w:val="0057148C"/>
    <w:rsid w:val="0057606C"/>
    <w:rsid w:val="005767BB"/>
    <w:rsid w:val="00581674"/>
    <w:rsid w:val="005902D4"/>
    <w:rsid w:val="0059158E"/>
    <w:rsid w:val="00592A9F"/>
    <w:rsid w:val="00594540"/>
    <w:rsid w:val="00596B21"/>
    <w:rsid w:val="005A1E8A"/>
    <w:rsid w:val="005A1FF7"/>
    <w:rsid w:val="005A5E79"/>
    <w:rsid w:val="005B072B"/>
    <w:rsid w:val="005B07BA"/>
    <w:rsid w:val="005B1910"/>
    <w:rsid w:val="005B5274"/>
    <w:rsid w:val="005B5C93"/>
    <w:rsid w:val="005C00B4"/>
    <w:rsid w:val="005C5610"/>
    <w:rsid w:val="005D1DCE"/>
    <w:rsid w:val="005D2D80"/>
    <w:rsid w:val="005D67B0"/>
    <w:rsid w:val="005D6FDD"/>
    <w:rsid w:val="005F1470"/>
    <w:rsid w:val="005F6A56"/>
    <w:rsid w:val="00611808"/>
    <w:rsid w:val="006165FD"/>
    <w:rsid w:val="00630FEE"/>
    <w:rsid w:val="00631F53"/>
    <w:rsid w:val="0063296B"/>
    <w:rsid w:val="0063637B"/>
    <w:rsid w:val="006405A0"/>
    <w:rsid w:val="006423C5"/>
    <w:rsid w:val="006424F6"/>
    <w:rsid w:val="00643520"/>
    <w:rsid w:val="00645899"/>
    <w:rsid w:val="00646343"/>
    <w:rsid w:val="00647619"/>
    <w:rsid w:val="00657D4E"/>
    <w:rsid w:val="00663502"/>
    <w:rsid w:val="006645CB"/>
    <w:rsid w:val="00670E5E"/>
    <w:rsid w:val="0068286F"/>
    <w:rsid w:val="00683543"/>
    <w:rsid w:val="00685552"/>
    <w:rsid w:val="0069283D"/>
    <w:rsid w:val="006958C5"/>
    <w:rsid w:val="006A1D9D"/>
    <w:rsid w:val="006A27EB"/>
    <w:rsid w:val="006B3C9B"/>
    <w:rsid w:val="006B79B2"/>
    <w:rsid w:val="006C3387"/>
    <w:rsid w:val="006C7994"/>
    <w:rsid w:val="006D198C"/>
    <w:rsid w:val="006D40C6"/>
    <w:rsid w:val="006E6E3D"/>
    <w:rsid w:val="006E71AE"/>
    <w:rsid w:val="006F1EAC"/>
    <w:rsid w:val="00700BBD"/>
    <w:rsid w:val="00702F55"/>
    <w:rsid w:val="00703C22"/>
    <w:rsid w:val="007057BC"/>
    <w:rsid w:val="007138B8"/>
    <w:rsid w:val="00715BD5"/>
    <w:rsid w:val="00716269"/>
    <w:rsid w:val="00720661"/>
    <w:rsid w:val="00722B9E"/>
    <w:rsid w:val="00730C6E"/>
    <w:rsid w:val="007330DD"/>
    <w:rsid w:val="0073554D"/>
    <w:rsid w:val="0073753B"/>
    <w:rsid w:val="007402CD"/>
    <w:rsid w:val="00754A2F"/>
    <w:rsid w:val="00761710"/>
    <w:rsid w:val="0076242F"/>
    <w:rsid w:val="00773EED"/>
    <w:rsid w:val="00777E44"/>
    <w:rsid w:val="007830D4"/>
    <w:rsid w:val="00783BD2"/>
    <w:rsid w:val="007868B8"/>
    <w:rsid w:val="0079277A"/>
    <w:rsid w:val="00795F8E"/>
    <w:rsid w:val="007A439C"/>
    <w:rsid w:val="007B0406"/>
    <w:rsid w:val="007B5084"/>
    <w:rsid w:val="007B6253"/>
    <w:rsid w:val="007B7298"/>
    <w:rsid w:val="007C2116"/>
    <w:rsid w:val="007E4F63"/>
    <w:rsid w:val="007E6940"/>
    <w:rsid w:val="007F1998"/>
    <w:rsid w:val="007F4B8B"/>
    <w:rsid w:val="007F61D8"/>
    <w:rsid w:val="007F6F86"/>
    <w:rsid w:val="00800F3F"/>
    <w:rsid w:val="0080573F"/>
    <w:rsid w:val="00810222"/>
    <w:rsid w:val="008117D9"/>
    <w:rsid w:val="008158B8"/>
    <w:rsid w:val="00823076"/>
    <w:rsid w:val="00830881"/>
    <w:rsid w:val="00834E39"/>
    <w:rsid w:val="008352DB"/>
    <w:rsid w:val="00837EC8"/>
    <w:rsid w:val="00837FFC"/>
    <w:rsid w:val="0084517B"/>
    <w:rsid w:val="008465AB"/>
    <w:rsid w:val="00857712"/>
    <w:rsid w:val="00866A6F"/>
    <w:rsid w:val="00870823"/>
    <w:rsid w:val="00870AD0"/>
    <w:rsid w:val="00872836"/>
    <w:rsid w:val="00873E1D"/>
    <w:rsid w:val="00874429"/>
    <w:rsid w:val="0088269E"/>
    <w:rsid w:val="008A3D62"/>
    <w:rsid w:val="008A4237"/>
    <w:rsid w:val="008B0576"/>
    <w:rsid w:val="008B06CA"/>
    <w:rsid w:val="008B0DE4"/>
    <w:rsid w:val="008B7EA3"/>
    <w:rsid w:val="008C2B73"/>
    <w:rsid w:val="008C47CE"/>
    <w:rsid w:val="008D1940"/>
    <w:rsid w:val="008D4038"/>
    <w:rsid w:val="008D4802"/>
    <w:rsid w:val="008D7517"/>
    <w:rsid w:val="008E2AD0"/>
    <w:rsid w:val="008E3205"/>
    <w:rsid w:val="008E3303"/>
    <w:rsid w:val="008E6FC4"/>
    <w:rsid w:val="008F51F4"/>
    <w:rsid w:val="008F5F13"/>
    <w:rsid w:val="009008DD"/>
    <w:rsid w:val="00906555"/>
    <w:rsid w:val="00917979"/>
    <w:rsid w:val="00917E77"/>
    <w:rsid w:val="0092160C"/>
    <w:rsid w:val="009234FD"/>
    <w:rsid w:val="00924A2B"/>
    <w:rsid w:val="00930C35"/>
    <w:rsid w:val="00935491"/>
    <w:rsid w:val="00943093"/>
    <w:rsid w:val="00952066"/>
    <w:rsid w:val="00953469"/>
    <w:rsid w:val="0095416A"/>
    <w:rsid w:val="009544EB"/>
    <w:rsid w:val="00960B85"/>
    <w:rsid w:val="009721CF"/>
    <w:rsid w:val="0097237E"/>
    <w:rsid w:val="0097356E"/>
    <w:rsid w:val="00983F17"/>
    <w:rsid w:val="00984C4B"/>
    <w:rsid w:val="00993281"/>
    <w:rsid w:val="009963EC"/>
    <w:rsid w:val="009A0320"/>
    <w:rsid w:val="009B2FFF"/>
    <w:rsid w:val="009B3F92"/>
    <w:rsid w:val="009B6B24"/>
    <w:rsid w:val="009C5E08"/>
    <w:rsid w:val="009C7AA9"/>
    <w:rsid w:val="009D1796"/>
    <w:rsid w:val="009E40A5"/>
    <w:rsid w:val="009E4149"/>
    <w:rsid w:val="009F1383"/>
    <w:rsid w:val="009F2B45"/>
    <w:rsid w:val="009F32AE"/>
    <w:rsid w:val="009F5639"/>
    <w:rsid w:val="009F602D"/>
    <w:rsid w:val="00A070EA"/>
    <w:rsid w:val="00A12CA9"/>
    <w:rsid w:val="00A12FA6"/>
    <w:rsid w:val="00A313FB"/>
    <w:rsid w:val="00A32B55"/>
    <w:rsid w:val="00A4390D"/>
    <w:rsid w:val="00A4568B"/>
    <w:rsid w:val="00A50403"/>
    <w:rsid w:val="00A63470"/>
    <w:rsid w:val="00A66D3E"/>
    <w:rsid w:val="00A66F7B"/>
    <w:rsid w:val="00A67539"/>
    <w:rsid w:val="00A74045"/>
    <w:rsid w:val="00A76966"/>
    <w:rsid w:val="00A84341"/>
    <w:rsid w:val="00A84C8F"/>
    <w:rsid w:val="00A92A93"/>
    <w:rsid w:val="00A96A30"/>
    <w:rsid w:val="00AA5377"/>
    <w:rsid w:val="00AA69EB"/>
    <w:rsid w:val="00AB0BFF"/>
    <w:rsid w:val="00AB215C"/>
    <w:rsid w:val="00AB25B2"/>
    <w:rsid w:val="00AB3154"/>
    <w:rsid w:val="00AB365A"/>
    <w:rsid w:val="00AB42A7"/>
    <w:rsid w:val="00AB5E3A"/>
    <w:rsid w:val="00AC1D52"/>
    <w:rsid w:val="00AC40D7"/>
    <w:rsid w:val="00AC7DAB"/>
    <w:rsid w:val="00AD5D2B"/>
    <w:rsid w:val="00AE75C2"/>
    <w:rsid w:val="00AF26A8"/>
    <w:rsid w:val="00AF5F3F"/>
    <w:rsid w:val="00AF6B63"/>
    <w:rsid w:val="00AF7E8B"/>
    <w:rsid w:val="00B002A7"/>
    <w:rsid w:val="00B008BE"/>
    <w:rsid w:val="00B01592"/>
    <w:rsid w:val="00B01A7D"/>
    <w:rsid w:val="00B12047"/>
    <w:rsid w:val="00B17183"/>
    <w:rsid w:val="00B229EC"/>
    <w:rsid w:val="00B2375C"/>
    <w:rsid w:val="00B25E59"/>
    <w:rsid w:val="00B30E6D"/>
    <w:rsid w:val="00B34A7C"/>
    <w:rsid w:val="00B37BBE"/>
    <w:rsid w:val="00B55B0D"/>
    <w:rsid w:val="00B63626"/>
    <w:rsid w:val="00B8160D"/>
    <w:rsid w:val="00B8181E"/>
    <w:rsid w:val="00B84521"/>
    <w:rsid w:val="00B84B44"/>
    <w:rsid w:val="00B86E0C"/>
    <w:rsid w:val="00B875A7"/>
    <w:rsid w:val="00B927E9"/>
    <w:rsid w:val="00BA05AE"/>
    <w:rsid w:val="00BA07FF"/>
    <w:rsid w:val="00BA3021"/>
    <w:rsid w:val="00BB27A7"/>
    <w:rsid w:val="00BB6DFF"/>
    <w:rsid w:val="00BB7124"/>
    <w:rsid w:val="00BC0858"/>
    <w:rsid w:val="00BC1BCB"/>
    <w:rsid w:val="00BC5A74"/>
    <w:rsid w:val="00BD1A5B"/>
    <w:rsid w:val="00BE1E4C"/>
    <w:rsid w:val="00BE70F7"/>
    <w:rsid w:val="00BF063C"/>
    <w:rsid w:val="00BF2E3B"/>
    <w:rsid w:val="00BF5452"/>
    <w:rsid w:val="00C03F77"/>
    <w:rsid w:val="00C043C3"/>
    <w:rsid w:val="00C13970"/>
    <w:rsid w:val="00C151F2"/>
    <w:rsid w:val="00C2202E"/>
    <w:rsid w:val="00C22219"/>
    <w:rsid w:val="00C225D3"/>
    <w:rsid w:val="00C233D8"/>
    <w:rsid w:val="00C25FB8"/>
    <w:rsid w:val="00C301A7"/>
    <w:rsid w:val="00C372EB"/>
    <w:rsid w:val="00C4038B"/>
    <w:rsid w:val="00C42978"/>
    <w:rsid w:val="00C43E28"/>
    <w:rsid w:val="00C44A8C"/>
    <w:rsid w:val="00C45035"/>
    <w:rsid w:val="00C63168"/>
    <w:rsid w:val="00C648D7"/>
    <w:rsid w:val="00C76EF4"/>
    <w:rsid w:val="00C80D8E"/>
    <w:rsid w:val="00C94BFF"/>
    <w:rsid w:val="00CA32A5"/>
    <w:rsid w:val="00CA7837"/>
    <w:rsid w:val="00CB0F85"/>
    <w:rsid w:val="00CB1104"/>
    <w:rsid w:val="00CB5F76"/>
    <w:rsid w:val="00CB6415"/>
    <w:rsid w:val="00CC1274"/>
    <w:rsid w:val="00CC4CD5"/>
    <w:rsid w:val="00CD22CD"/>
    <w:rsid w:val="00CD7A95"/>
    <w:rsid w:val="00CE0971"/>
    <w:rsid w:val="00CF2060"/>
    <w:rsid w:val="00CF682E"/>
    <w:rsid w:val="00D058D3"/>
    <w:rsid w:val="00D06A0A"/>
    <w:rsid w:val="00D22C65"/>
    <w:rsid w:val="00D24953"/>
    <w:rsid w:val="00D25A22"/>
    <w:rsid w:val="00D41F69"/>
    <w:rsid w:val="00D43B39"/>
    <w:rsid w:val="00D44410"/>
    <w:rsid w:val="00D44768"/>
    <w:rsid w:val="00D450E5"/>
    <w:rsid w:val="00D47165"/>
    <w:rsid w:val="00D5452F"/>
    <w:rsid w:val="00D557F4"/>
    <w:rsid w:val="00D570A5"/>
    <w:rsid w:val="00D62A8A"/>
    <w:rsid w:val="00D65105"/>
    <w:rsid w:val="00D809D2"/>
    <w:rsid w:val="00D81CED"/>
    <w:rsid w:val="00D8315A"/>
    <w:rsid w:val="00D8391B"/>
    <w:rsid w:val="00D866A5"/>
    <w:rsid w:val="00D86C94"/>
    <w:rsid w:val="00D934E0"/>
    <w:rsid w:val="00DA5F61"/>
    <w:rsid w:val="00DB3173"/>
    <w:rsid w:val="00DC0741"/>
    <w:rsid w:val="00DC1267"/>
    <w:rsid w:val="00DD21B6"/>
    <w:rsid w:val="00DD2BA0"/>
    <w:rsid w:val="00DE0383"/>
    <w:rsid w:val="00DE208B"/>
    <w:rsid w:val="00DF56C4"/>
    <w:rsid w:val="00E010EE"/>
    <w:rsid w:val="00E02371"/>
    <w:rsid w:val="00E04D5C"/>
    <w:rsid w:val="00E11728"/>
    <w:rsid w:val="00E1358F"/>
    <w:rsid w:val="00E40CF7"/>
    <w:rsid w:val="00E45D69"/>
    <w:rsid w:val="00E51D6A"/>
    <w:rsid w:val="00E544A9"/>
    <w:rsid w:val="00E60DE1"/>
    <w:rsid w:val="00E62C29"/>
    <w:rsid w:val="00E65BB7"/>
    <w:rsid w:val="00E73858"/>
    <w:rsid w:val="00E805D9"/>
    <w:rsid w:val="00E8090A"/>
    <w:rsid w:val="00E809F9"/>
    <w:rsid w:val="00E83FDB"/>
    <w:rsid w:val="00EA1224"/>
    <w:rsid w:val="00EA2C2F"/>
    <w:rsid w:val="00EB0492"/>
    <w:rsid w:val="00EB310D"/>
    <w:rsid w:val="00EB39C7"/>
    <w:rsid w:val="00EB5676"/>
    <w:rsid w:val="00EB74BE"/>
    <w:rsid w:val="00EC0675"/>
    <w:rsid w:val="00EC194A"/>
    <w:rsid w:val="00EC1D03"/>
    <w:rsid w:val="00EC3634"/>
    <w:rsid w:val="00EC5731"/>
    <w:rsid w:val="00ED22E6"/>
    <w:rsid w:val="00ED528B"/>
    <w:rsid w:val="00EE1FE6"/>
    <w:rsid w:val="00EF1AE0"/>
    <w:rsid w:val="00EF5799"/>
    <w:rsid w:val="00EF7339"/>
    <w:rsid w:val="00F00E9D"/>
    <w:rsid w:val="00F05217"/>
    <w:rsid w:val="00F0663F"/>
    <w:rsid w:val="00F0697E"/>
    <w:rsid w:val="00F133B3"/>
    <w:rsid w:val="00F15C2A"/>
    <w:rsid w:val="00F15D29"/>
    <w:rsid w:val="00F20FED"/>
    <w:rsid w:val="00F254D3"/>
    <w:rsid w:val="00F26A40"/>
    <w:rsid w:val="00F35174"/>
    <w:rsid w:val="00F36589"/>
    <w:rsid w:val="00F37B4D"/>
    <w:rsid w:val="00F37D4C"/>
    <w:rsid w:val="00F5071A"/>
    <w:rsid w:val="00F51081"/>
    <w:rsid w:val="00F51860"/>
    <w:rsid w:val="00F5321F"/>
    <w:rsid w:val="00F5384F"/>
    <w:rsid w:val="00F56BBA"/>
    <w:rsid w:val="00F628D5"/>
    <w:rsid w:val="00F63C61"/>
    <w:rsid w:val="00F64783"/>
    <w:rsid w:val="00F64B38"/>
    <w:rsid w:val="00F74C60"/>
    <w:rsid w:val="00F74E7F"/>
    <w:rsid w:val="00F75629"/>
    <w:rsid w:val="00F82618"/>
    <w:rsid w:val="00F82FF9"/>
    <w:rsid w:val="00F866EF"/>
    <w:rsid w:val="00F87FE4"/>
    <w:rsid w:val="00F93781"/>
    <w:rsid w:val="00FA2C3B"/>
    <w:rsid w:val="00FA2F9F"/>
    <w:rsid w:val="00FA681D"/>
    <w:rsid w:val="00FB22F0"/>
    <w:rsid w:val="00FB4606"/>
    <w:rsid w:val="00FB7834"/>
    <w:rsid w:val="00FC10C6"/>
    <w:rsid w:val="00FD3BA5"/>
    <w:rsid w:val="00FD604A"/>
    <w:rsid w:val="00FD60AF"/>
    <w:rsid w:val="00FD64B1"/>
    <w:rsid w:val="00FE06D9"/>
    <w:rsid w:val="00FE563F"/>
    <w:rsid w:val="00FE585B"/>
    <w:rsid w:val="00FE75C5"/>
    <w:rsid w:val="00FF1EE8"/>
    <w:rsid w:val="00FF342B"/>
    <w:rsid w:val="00FF3FBF"/>
    <w:rsid w:val="00FF630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9A9F73"/>
  <w15:docId w15:val="{6593D1CC-BEBB-4FA2-9DF1-6E5D5257D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66D3E"/>
    <w:pPr>
      <w:spacing w:after="200" w:line="276" w:lineRule="auto"/>
    </w:pPr>
    <w:rPr>
      <w:lang w:val="en-Z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Footnote Text Char Char,Footnote Text Char1 Char Char,Footnote Text Char Char Char Char,Footnote Text Char Char1,Char Char Char Char,Char,Char Char Char Char Char,Char Char Char,Char Char, Char Char Char Char"/>
    <w:basedOn w:val="Normal"/>
    <w:link w:val="FootnoteTextChar"/>
    <w:unhideWhenUsed/>
    <w:rsid w:val="00A66D3E"/>
    <w:pPr>
      <w:spacing w:after="0" w:line="240" w:lineRule="auto"/>
    </w:pPr>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 Char1 Char,Char Char Char Char Char1,Char Char1,Char Char Char Char Char Char"/>
    <w:basedOn w:val="DefaultParagraphFont"/>
    <w:link w:val="FootnoteText"/>
    <w:rsid w:val="00A66D3E"/>
    <w:rPr>
      <w:sz w:val="20"/>
      <w:szCs w:val="20"/>
      <w:lang w:val="en-ZA"/>
    </w:rPr>
  </w:style>
  <w:style w:type="character" w:styleId="FootnoteReference">
    <w:name w:val="footnote reference"/>
    <w:aliases w:val="Footnotes refss"/>
    <w:basedOn w:val="DefaultParagraphFont"/>
    <w:unhideWhenUsed/>
    <w:rsid w:val="00A66D3E"/>
    <w:rPr>
      <w:vertAlign w:val="superscript"/>
    </w:rPr>
  </w:style>
  <w:style w:type="paragraph" w:styleId="Header">
    <w:name w:val="header"/>
    <w:basedOn w:val="Normal"/>
    <w:link w:val="HeaderChar"/>
    <w:uiPriority w:val="99"/>
    <w:unhideWhenUsed/>
    <w:rsid w:val="004855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55AC"/>
    <w:rPr>
      <w:lang w:val="en-ZA"/>
    </w:rPr>
  </w:style>
  <w:style w:type="paragraph" w:styleId="Footer">
    <w:name w:val="footer"/>
    <w:basedOn w:val="Normal"/>
    <w:link w:val="FooterChar"/>
    <w:uiPriority w:val="99"/>
    <w:unhideWhenUsed/>
    <w:rsid w:val="004855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55AC"/>
    <w:rPr>
      <w:lang w:val="en-ZA"/>
    </w:rPr>
  </w:style>
  <w:style w:type="paragraph" w:styleId="ListParagraph">
    <w:name w:val="List Paragraph"/>
    <w:basedOn w:val="Normal"/>
    <w:uiPriority w:val="34"/>
    <w:qFormat/>
    <w:rsid w:val="00A84341"/>
    <w:pPr>
      <w:ind w:left="720"/>
      <w:contextualSpacing/>
    </w:pPr>
  </w:style>
  <w:style w:type="paragraph" w:styleId="BalloonText">
    <w:name w:val="Balloon Text"/>
    <w:basedOn w:val="Normal"/>
    <w:link w:val="BalloonTextChar"/>
    <w:uiPriority w:val="99"/>
    <w:semiHidden/>
    <w:unhideWhenUsed/>
    <w:rsid w:val="00FB2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2F0"/>
    <w:rPr>
      <w:rFonts w:ascii="Tahoma" w:hAnsi="Tahoma" w:cs="Tahoma"/>
      <w:sz w:val="16"/>
      <w:szCs w:val="16"/>
      <w:lang w:val="en-ZA"/>
    </w:rPr>
  </w:style>
  <w:style w:type="paragraph" w:styleId="NormalWeb">
    <w:name w:val="Normal (Web)"/>
    <w:basedOn w:val="Normal"/>
    <w:uiPriority w:val="99"/>
    <w:unhideWhenUsed/>
    <w:rsid w:val="006B79B2"/>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Hyperlink">
    <w:name w:val="Hyperlink"/>
    <w:basedOn w:val="DefaultParagraphFont"/>
    <w:uiPriority w:val="99"/>
    <w:unhideWhenUsed/>
    <w:rsid w:val="006B79B2"/>
    <w:rPr>
      <w:color w:val="0000FF"/>
      <w:u w:val="single"/>
    </w:rPr>
  </w:style>
  <w:style w:type="paragraph" w:customStyle="1" w:styleId="Default">
    <w:name w:val="Default"/>
    <w:rsid w:val="00AB215C"/>
    <w:pPr>
      <w:autoSpaceDE w:val="0"/>
      <w:autoSpaceDN w:val="0"/>
      <w:adjustRightInd w:val="0"/>
      <w:spacing w:after="0" w:line="240" w:lineRule="auto"/>
    </w:pPr>
    <w:rPr>
      <w:rFonts w:ascii="Arial" w:hAnsi="Arial" w:cs="Arial"/>
      <w:color w:val="000000"/>
      <w:sz w:val="24"/>
      <w:szCs w:val="24"/>
      <w:lang w:val="en-ZA"/>
    </w:rPr>
  </w:style>
  <w:style w:type="character" w:styleId="CommentReference">
    <w:name w:val="annotation reference"/>
    <w:basedOn w:val="DefaultParagraphFont"/>
    <w:uiPriority w:val="99"/>
    <w:semiHidden/>
    <w:unhideWhenUsed/>
    <w:rsid w:val="00A66F7B"/>
    <w:rPr>
      <w:sz w:val="16"/>
      <w:szCs w:val="16"/>
    </w:rPr>
  </w:style>
  <w:style w:type="paragraph" w:styleId="CommentText">
    <w:name w:val="annotation text"/>
    <w:basedOn w:val="Normal"/>
    <w:link w:val="CommentTextChar"/>
    <w:uiPriority w:val="99"/>
    <w:semiHidden/>
    <w:unhideWhenUsed/>
    <w:rsid w:val="00A66F7B"/>
    <w:pPr>
      <w:spacing w:line="240" w:lineRule="auto"/>
    </w:pPr>
    <w:rPr>
      <w:sz w:val="20"/>
      <w:szCs w:val="20"/>
    </w:rPr>
  </w:style>
  <w:style w:type="character" w:customStyle="1" w:styleId="CommentTextChar">
    <w:name w:val="Comment Text Char"/>
    <w:basedOn w:val="DefaultParagraphFont"/>
    <w:link w:val="CommentText"/>
    <w:uiPriority w:val="99"/>
    <w:semiHidden/>
    <w:rsid w:val="00A66F7B"/>
    <w:rPr>
      <w:sz w:val="20"/>
      <w:szCs w:val="20"/>
      <w:lang w:val="en-ZA"/>
    </w:rPr>
  </w:style>
  <w:style w:type="paragraph" w:styleId="CommentSubject">
    <w:name w:val="annotation subject"/>
    <w:basedOn w:val="CommentText"/>
    <w:next w:val="CommentText"/>
    <w:link w:val="CommentSubjectChar"/>
    <w:uiPriority w:val="99"/>
    <w:semiHidden/>
    <w:unhideWhenUsed/>
    <w:rsid w:val="00A66F7B"/>
    <w:rPr>
      <w:b/>
      <w:bCs/>
    </w:rPr>
  </w:style>
  <w:style w:type="character" w:customStyle="1" w:styleId="CommentSubjectChar">
    <w:name w:val="Comment Subject Char"/>
    <w:basedOn w:val="CommentTextChar"/>
    <w:link w:val="CommentSubject"/>
    <w:uiPriority w:val="99"/>
    <w:semiHidden/>
    <w:rsid w:val="00A66F7B"/>
    <w:rPr>
      <w:b/>
      <w:bCs/>
      <w:sz w:val="20"/>
      <w:szCs w:val="20"/>
      <w:lang w:val="en-ZA"/>
    </w:rPr>
  </w:style>
  <w:style w:type="paragraph" w:styleId="Subtitle">
    <w:name w:val="Subtitle"/>
    <w:basedOn w:val="Normal"/>
    <w:next w:val="Normal"/>
    <w:link w:val="SubtitleChar"/>
    <w:uiPriority w:val="11"/>
    <w:qFormat/>
    <w:rsid w:val="00F56BBA"/>
    <w:pPr>
      <w:numPr>
        <w:ilvl w:val="1"/>
      </w:numPr>
      <w:spacing w:after="160" w:line="259" w:lineRule="auto"/>
    </w:pPr>
    <w:rPr>
      <w:rFonts w:eastAsiaTheme="minorEastAsia"/>
      <w:color w:val="5A5A5A" w:themeColor="text1" w:themeTint="A5"/>
      <w:spacing w:val="15"/>
      <w:lang w:val="en-US"/>
    </w:rPr>
  </w:style>
  <w:style w:type="character" w:customStyle="1" w:styleId="SubtitleChar">
    <w:name w:val="Subtitle Char"/>
    <w:basedOn w:val="DefaultParagraphFont"/>
    <w:link w:val="Subtitle"/>
    <w:uiPriority w:val="11"/>
    <w:rsid w:val="00F56BBA"/>
    <w:rPr>
      <w:rFonts w:eastAsiaTheme="minorEastAsia"/>
      <w:color w:val="5A5A5A" w:themeColor="text1" w:themeTint="A5"/>
      <w:spacing w:val="15"/>
    </w:rPr>
  </w:style>
  <w:style w:type="character" w:styleId="Emphasis">
    <w:name w:val="Emphasis"/>
    <w:basedOn w:val="DefaultParagraphFont"/>
    <w:uiPriority w:val="20"/>
    <w:qFormat/>
    <w:rsid w:val="00B015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83110">
      <w:bodyDiv w:val="1"/>
      <w:marLeft w:val="0"/>
      <w:marRight w:val="0"/>
      <w:marTop w:val="0"/>
      <w:marBottom w:val="0"/>
      <w:divBdr>
        <w:top w:val="none" w:sz="0" w:space="0" w:color="auto"/>
        <w:left w:val="none" w:sz="0" w:space="0" w:color="auto"/>
        <w:bottom w:val="none" w:sz="0" w:space="0" w:color="auto"/>
        <w:right w:val="none" w:sz="0" w:space="0" w:color="auto"/>
      </w:divBdr>
    </w:div>
    <w:div w:id="409691031">
      <w:bodyDiv w:val="1"/>
      <w:marLeft w:val="0"/>
      <w:marRight w:val="0"/>
      <w:marTop w:val="0"/>
      <w:marBottom w:val="0"/>
      <w:divBdr>
        <w:top w:val="none" w:sz="0" w:space="0" w:color="auto"/>
        <w:left w:val="none" w:sz="0" w:space="0" w:color="auto"/>
        <w:bottom w:val="none" w:sz="0" w:space="0" w:color="auto"/>
        <w:right w:val="none" w:sz="0" w:space="0" w:color="auto"/>
      </w:divBdr>
    </w:div>
    <w:div w:id="467405187">
      <w:bodyDiv w:val="1"/>
      <w:marLeft w:val="0"/>
      <w:marRight w:val="0"/>
      <w:marTop w:val="0"/>
      <w:marBottom w:val="0"/>
      <w:divBdr>
        <w:top w:val="none" w:sz="0" w:space="0" w:color="auto"/>
        <w:left w:val="none" w:sz="0" w:space="0" w:color="auto"/>
        <w:bottom w:val="none" w:sz="0" w:space="0" w:color="auto"/>
        <w:right w:val="none" w:sz="0" w:space="0" w:color="auto"/>
      </w:divBdr>
    </w:div>
    <w:div w:id="793712552">
      <w:bodyDiv w:val="1"/>
      <w:marLeft w:val="0"/>
      <w:marRight w:val="0"/>
      <w:marTop w:val="0"/>
      <w:marBottom w:val="0"/>
      <w:divBdr>
        <w:top w:val="none" w:sz="0" w:space="0" w:color="auto"/>
        <w:left w:val="none" w:sz="0" w:space="0" w:color="auto"/>
        <w:bottom w:val="none" w:sz="0" w:space="0" w:color="auto"/>
        <w:right w:val="none" w:sz="0" w:space="0" w:color="auto"/>
      </w:divBdr>
    </w:div>
    <w:div w:id="821433171">
      <w:bodyDiv w:val="1"/>
      <w:marLeft w:val="0"/>
      <w:marRight w:val="0"/>
      <w:marTop w:val="0"/>
      <w:marBottom w:val="0"/>
      <w:divBdr>
        <w:top w:val="none" w:sz="0" w:space="0" w:color="auto"/>
        <w:left w:val="none" w:sz="0" w:space="0" w:color="auto"/>
        <w:bottom w:val="none" w:sz="0" w:space="0" w:color="auto"/>
        <w:right w:val="none" w:sz="0" w:space="0" w:color="auto"/>
      </w:divBdr>
    </w:div>
    <w:div w:id="999381006">
      <w:bodyDiv w:val="1"/>
      <w:marLeft w:val="0"/>
      <w:marRight w:val="0"/>
      <w:marTop w:val="0"/>
      <w:marBottom w:val="0"/>
      <w:divBdr>
        <w:top w:val="none" w:sz="0" w:space="0" w:color="auto"/>
        <w:left w:val="none" w:sz="0" w:space="0" w:color="auto"/>
        <w:bottom w:val="none" w:sz="0" w:space="0" w:color="auto"/>
        <w:right w:val="none" w:sz="0" w:space="0" w:color="auto"/>
      </w:divBdr>
    </w:div>
    <w:div w:id="1416589618">
      <w:bodyDiv w:val="1"/>
      <w:marLeft w:val="0"/>
      <w:marRight w:val="0"/>
      <w:marTop w:val="0"/>
      <w:marBottom w:val="0"/>
      <w:divBdr>
        <w:top w:val="none" w:sz="0" w:space="0" w:color="auto"/>
        <w:left w:val="none" w:sz="0" w:space="0" w:color="auto"/>
        <w:bottom w:val="none" w:sz="0" w:space="0" w:color="auto"/>
        <w:right w:val="none" w:sz="0" w:space="0" w:color="auto"/>
      </w:divBdr>
    </w:div>
    <w:div w:id="1518080281">
      <w:bodyDiv w:val="1"/>
      <w:marLeft w:val="0"/>
      <w:marRight w:val="0"/>
      <w:marTop w:val="0"/>
      <w:marBottom w:val="0"/>
      <w:divBdr>
        <w:top w:val="none" w:sz="0" w:space="0" w:color="auto"/>
        <w:left w:val="none" w:sz="0" w:space="0" w:color="auto"/>
        <w:bottom w:val="none" w:sz="0" w:space="0" w:color="auto"/>
        <w:right w:val="none" w:sz="0" w:space="0" w:color="auto"/>
      </w:divBdr>
    </w:div>
    <w:div w:id="160414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3005AF-4BEA-424F-BD5B-17A8017F94C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DF0352-0ABC-4591-B473-46718C887DD9}">
  <ds:schemaRefs>
    <ds:schemaRef ds:uri="http://schemas.microsoft.com/sharepoint/v3/contenttype/forms"/>
  </ds:schemaRefs>
</ds:datastoreItem>
</file>

<file path=customXml/itemProps3.xml><?xml version="1.0" encoding="utf-8"?>
<ds:datastoreItem xmlns:ds="http://schemas.openxmlformats.org/officeDocument/2006/customXml" ds:itemID="{5EF70335-55D1-4B75-9849-96525225460A}"/>
</file>

<file path=docProps/app.xml><?xml version="1.0" encoding="utf-8"?>
<Properties xmlns="http://schemas.openxmlformats.org/officeDocument/2006/extended-properties" xmlns:vt="http://schemas.openxmlformats.org/officeDocument/2006/docPropsVTypes">
  <Template>Normal</Template>
  <TotalTime>69</TotalTime>
  <Pages>13</Pages>
  <Words>3730</Words>
  <Characters>21267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Lieketseng Mohlakoana-motopi</dc:creator>
  <cp:lastModifiedBy>Naledi Selebano</cp:lastModifiedBy>
  <cp:revision>56</cp:revision>
  <dcterms:created xsi:type="dcterms:W3CDTF">2020-02-20T13:30:00Z</dcterms:created>
  <dcterms:modified xsi:type="dcterms:W3CDTF">2020-03-03T10:59:00Z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