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9387E" w14:paraId="50AC9E8B" w14:textId="77777777">
        <w:trPr>
          <w:cantSplit/>
          <w:trHeight w:hRule="exact" w:val="851"/>
        </w:trPr>
        <w:tc>
          <w:tcPr>
            <w:tcW w:w="1276" w:type="dxa"/>
            <w:tcBorders>
              <w:bottom w:val="single" w:sz="4" w:space="0" w:color="auto"/>
            </w:tcBorders>
            <w:vAlign w:val="bottom"/>
          </w:tcPr>
          <w:p w14:paraId="521DD84A" w14:textId="77777777" w:rsidR="00E77578" w:rsidRDefault="00E77578">
            <w:pPr>
              <w:spacing w:after="80"/>
            </w:pPr>
          </w:p>
        </w:tc>
        <w:tc>
          <w:tcPr>
            <w:tcW w:w="2268" w:type="dxa"/>
            <w:tcBorders>
              <w:bottom w:val="single" w:sz="4" w:space="0" w:color="auto"/>
            </w:tcBorders>
            <w:vAlign w:val="bottom"/>
          </w:tcPr>
          <w:p w14:paraId="5DFF7F0D" w14:textId="40DAA986" w:rsidR="00E77578" w:rsidRDefault="00E77578">
            <w:pPr>
              <w:spacing w:after="80" w:line="300" w:lineRule="exact"/>
              <w:rPr>
                <w:b/>
                <w:sz w:val="24"/>
                <w:szCs w:val="24"/>
              </w:rPr>
            </w:pPr>
          </w:p>
        </w:tc>
        <w:tc>
          <w:tcPr>
            <w:tcW w:w="6095" w:type="dxa"/>
            <w:gridSpan w:val="2"/>
            <w:tcBorders>
              <w:bottom w:val="single" w:sz="4" w:space="0" w:color="auto"/>
            </w:tcBorders>
            <w:vAlign w:val="bottom"/>
          </w:tcPr>
          <w:p w14:paraId="2DB9EC57" w14:textId="77777777" w:rsidR="00E77578" w:rsidRDefault="00902C92">
            <w:pPr>
              <w:suppressAutoHyphens w:val="0"/>
              <w:spacing w:after="20"/>
              <w:jc w:val="right"/>
            </w:pPr>
            <w:r>
              <w:rPr>
                <w:sz w:val="40"/>
              </w:rPr>
              <w:t>CCPR</w:t>
            </w:r>
            <w:r>
              <w:t>/C/CYP/FCO/5</w:t>
            </w:r>
          </w:p>
        </w:tc>
      </w:tr>
      <w:tr w:rsidR="00E9387E" w14:paraId="3397146C" w14:textId="77777777">
        <w:trPr>
          <w:cantSplit/>
          <w:trHeight w:hRule="exact" w:val="2835"/>
        </w:trPr>
        <w:tc>
          <w:tcPr>
            <w:tcW w:w="1276" w:type="dxa"/>
            <w:tcBorders>
              <w:top w:val="single" w:sz="4" w:space="0" w:color="auto"/>
              <w:bottom w:val="single" w:sz="12" w:space="0" w:color="auto"/>
            </w:tcBorders>
          </w:tcPr>
          <w:p w14:paraId="094B2BA4" w14:textId="1FF6A9EE" w:rsidR="00E77578" w:rsidRDefault="00E77578">
            <w:pPr>
              <w:spacing w:before="120"/>
              <w:jc w:val="center"/>
            </w:pPr>
          </w:p>
        </w:tc>
        <w:tc>
          <w:tcPr>
            <w:tcW w:w="5528" w:type="dxa"/>
            <w:gridSpan w:val="2"/>
            <w:tcBorders>
              <w:top w:val="single" w:sz="4" w:space="0" w:color="auto"/>
              <w:bottom w:val="single" w:sz="12" w:space="0" w:color="auto"/>
            </w:tcBorders>
          </w:tcPr>
          <w:p w14:paraId="63C1E36A" w14:textId="77777777" w:rsidR="00E3673F" w:rsidRPr="00E3673F" w:rsidRDefault="00E3673F" w:rsidP="00E3673F">
            <w:pPr>
              <w:spacing w:before="120" w:line="380" w:lineRule="exact"/>
              <w:rPr>
                <w:b/>
                <w:bCs/>
                <w:sz w:val="32"/>
                <w:szCs w:val="32"/>
                <w:lang w:val="en-US"/>
              </w:rPr>
            </w:pPr>
            <w:r w:rsidRPr="00E3673F">
              <w:rPr>
                <w:b/>
                <w:bCs/>
                <w:sz w:val="32"/>
                <w:szCs w:val="32"/>
                <w:lang w:val="en-US"/>
              </w:rPr>
              <w:t>Advance unedited version</w:t>
            </w:r>
          </w:p>
          <w:p w14:paraId="23D5F0B2" w14:textId="76088B73" w:rsidR="00E77578" w:rsidRDefault="00E77578">
            <w:pPr>
              <w:spacing w:before="120" w:line="380" w:lineRule="exact"/>
            </w:pPr>
          </w:p>
        </w:tc>
        <w:tc>
          <w:tcPr>
            <w:tcW w:w="2835" w:type="dxa"/>
            <w:tcBorders>
              <w:top w:val="single" w:sz="4" w:space="0" w:color="auto"/>
              <w:bottom w:val="single" w:sz="12" w:space="0" w:color="auto"/>
            </w:tcBorders>
          </w:tcPr>
          <w:p w14:paraId="617FA664" w14:textId="77777777" w:rsidR="00E77578" w:rsidRPr="001732AD" w:rsidRDefault="00902C92">
            <w:pPr>
              <w:suppressAutoHyphens w:val="0"/>
              <w:spacing w:before="240" w:line="240" w:lineRule="exact"/>
              <w:rPr>
                <w:lang w:val="en-US"/>
              </w:rPr>
            </w:pPr>
            <w:r w:rsidRPr="001732AD">
              <w:rPr>
                <w:lang w:val="en-US"/>
              </w:rPr>
              <w:t>Distr.: General</w:t>
            </w:r>
          </w:p>
          <w:p w14:paraId="791F4056" w14:textId="77777777" w:rsidR="00E77578" w:rsidRPr="001732AD" w:rsidRDefault="00902C92">
            <w:pPr>
              <w:suppressAutoHyphens w:val="0"/>
              <w:rPr>
                <w:lang w:val="en-US"/>
              </w:rPr>
            </w:pPr>
            <w:r w:rsidRPr="001732AD">
              <w:rPr>
                <w:lang w:val="en-US"/>
              </w:rPr>
              <w:t>23 July 2026</w:t>
            </w:r>
          </w:p>
          <w:p w14:paraId="3EF426AB" w14:textId="77777777" w:rsidR="00E77578" w:rsidRPr="001732AD" w:rsidRDefault="00E77578">
            <w:pPr>
              <w:suppressAutoHyphens w:val="0"/>
              <w:rPr>
                <w:lang w:val="en-US"/>
              </w:rPr>
            </w:pPr>
          </w:p>
          <w:p w14:paraId="377C38AD" w14:textId="77777777" w:rsidR="00E77578" w:rsidRDefault="00EA458E">
            <w:pPr>
              <w:suppressAutoHyphens w:val="0"/>
            </w:pPr>
            <w:r>
              <w:t>English only</w:t>
            </w:r>
          </w:p>
        </w:tc>
      </w:tr>
    </w:tbl>
    <w:p w14:paraId="45F74954" w14:textId="77777777" w:rsidR="00E77578" w:rsidRDefault="00902C92">
      <w:pPr>
        <w:spacing w:before="120"/>
        <w:rPr>
          <w:b/>
          <w:sz w:val="24"/>
        </w:rPr>
      </w:pPr>
      <w:r>
        <w:rPr>
          <w:b/>
          <w:sz w:val="24"/>
        </w:rPr>
        <w:t>Human Rights Committee</w:t>
      </w:r>
    </w:p>
    <w:p w14:paraId="3AC4EA0B" w14:textId="77777777" w:rsidR="00E77578" w:rsidRDefault="00902C92" w:rsidP="002D6C55">
      <w:pPr>
        <w:pStyle w:val="HMG"/>
      </w:pPr>
      <w:r>
        <w:tab/>
      </w:r>
      <w:r>
        <w:tab/>
        <w:t>Information received from Cyprus on follow-up to the concluding observations</w:t>
      </w:r>
      <w:r w:rsidR="00CF258E">
        <w:t xml:space="preserve"> on its </w:t>
      </w:r>
      <w:r w:rsidR="0003111F">
        <w:t>fifth periodic report</w:t>
      </w:r>
      <w:r>
        <w:rPr>
          <w:rStyle w:val="FootnoteReference"/>
          <w:b w:val="0"/>
          <w:sz w:val="20"/>
          <w:vertAlign w:val="baseline"/>
        </w:rPr>
        <w:footnoteReference w:customMarkFollows="1" w:id="2"/>
        <w:t>*</w:t>
      </w:r>
    </w:p>
    <w:p w14:paraId="2F536943" w14:textId="6EDC239E" w:rsidR="00E77578" w:rsidRDefault="00902C92">
      <w:pPr>
        <w:pStyle w:val="SingleTxtG"/>
        <w:jc w:val="right"/>
        <w:rPr>
          <w:color w:val="000000" w:themeColor="text1"/>
        </w:rPr>
      </w:pPr>
      <w:r>
        <w:t>[Date r</w:t>
      </w:r>
      <w:r w:rsidRPr="000C3FB2">
        <w:rPr>
          <w:color w:val="000000" w:themeColor="text1"/>
        </w:rPr>
        <w:t>eceived:</w:t>
      </w:r>
      <w:r w:rsidRPr="000C3FB2">
        <w:rPr>
          <w:color w:val="000000" w:themeColor="text1"/>
        </w:rPr>
        <w:t xml:space="preserve"> </w:t>
      </w:r>
      <w:r w:rsidR="00585B00">
        <w:rPr>
          <w:color w:val="000000" w:themeColor="text1"/>
        </w:rPr>
        <w:t>16</w:t>
      </w:r>
      <w:r w:rsidR="000C3FB2" w:rsidRPr="000C3FB2">
        <w:rPr>
          <w:color w:val="000000" w:themeColor="text1"/>
        </w:rPr>
        <w:t xml:space="preserve"> July 2026</w:t>
      </w:r>
      <w:r w:rsidRPr="000C3FB2">
        <w:rPr>
          <w:color w:val="000000" w:themeColor="text1"/>
        </w:rPr>
        <w:t>]</w:t>
      </w:r>
    </w:p>
    <w:p w14:paraId="392AB5E7" w14:textId="3691340A" w:rsidR="000C3FB2" w:rsidRDefault="000C3FB2">
      <w:pPr>
        <w:suppressAutoHyphens w:val="0"/>
        <w:spacing w:after="200" w:line="276" w:lineRule="auto"/>
        <w:rPr>
          <w:rFonts w:eastAsiaTheme="minorHAnsi"/>
          <w:color w:val="000000" w:themeColor="text1"/>
        </w:rPr>
      </w:pPr>
      <w:r>
        <w:rPr>
          <w:color w:val="000000" w:themeColor="text1"/>
        </w:rPr>
        <w:br w:type="page"/>
      </w:r>
    </w:p>
    <w:p w14:paraId="107AC8EA" w14:textId="280F952F" w:rsidR="00C85A1E" w:rsidRPr="00AD0C6D" w:rsidRDefault="00C93FD7" w:rsidP="00C93FD7">
      <w:pPr>
        <w:pStyle w:val="HChG"/>
        <w:rPr>
          <w:lang w:val="en-US"/>
        </w:rPr>
      </w:pPr>
      <w:r>
        <w:rPr>
          <w:lang w:val="en-US"/>
        </w:rPr>
        <w:lastRenderedPageBreak/>
        <w:tab/>
      </w:r>
      <w:r>
        <w:rPr>
          <w:lang w:val="en-US"/>
        </w:rPr>
        <w:tab/>
      </w:r>
      <w:r w:rsidR="00E20757">
        <w:rPr>
          <w:lang w:val="en-US"/>
        </w:rPr>
        <w:t>Follow-up</w:t>
      </w:r>
      <w:r w:rsidR="00C85A1E" w:rsidRPr="00AD0C6D">
        <w:rPr>
          <w:lang w:val="en-US"/>
        </w:rPr>
        <w:t xml:space="preserve"> </w:t>
      </w:r>
      <w:r w:rsidR="00EE6B6E">
        <w:rPr>
          <w:lang w:val="en-US"/>
        </w:rPr>
        <w:t>i</w:t>
      </w:r>
      <w:r w:rsidR="00C85A1E" w:rsidRPr="00AD0C6D">
        <w:rPr>
          <w:lang w:val="en-US"/>
        </w:rPr>
        <w:t xml:space="preserve">nformation by Cyprus on the </w:t>
      </w:r>
      <w:r w:rsidR="00EE6B6E">
        <w:rPr>
          <w:lang w:val="en-US"/>
        </w:rPr>
        <w:t>i</w:t>
      </w:r>
      <w:r w:rsidR="00C85A1E" w:rsidRPr="00AD0C6D">
        <w:rPr>
          <w:lang w:val="en-US"/>
        </w:rPr>
        <w:t xml:space="preserve">mplementation of </w:t>
      </w:r>
      <w:r w:rsidR="00EE6B6E">
        <w:rPr>
          <w:lang w:val="en-US"/>
        </w:rPr>
        <w:t>r</w:t>
      </w:r>
      <w:r w:rsidR="00C85A1E" w:rsidRPr="00AD0C6D">
        <w:rPr>
          <w:lang w:val="en-US"/>
        </w:rPr>
        <w:t>ecommendations in paragraphs 10, 24 and 44</w:t>
      </w:r>
      <w:r w:rsidR="00EE6B6E" w:rsidRPr="00EE6B6E">
        <w:rPr>
          <w:color w:val="000000" w:themeColor="text1"/>
          <w:lang w:val="en-US"/>
        </w:rPr>
        <w:t xml:space="preserve"> </w:t>
      </w:r>
      <w:r w:rsidR="00EE6B6E" w:rsidRPr="003F3A9E">
        <w:rPr>
          <w:color w:val="000000" w:themeColor="text1"/>
          <w:lang w:val="en-US"/>
        </w:rPr>
        <w:t xml:space="preserve">of the concluding observations </w:t>
      </w:r>
      <w:r w:rsidR="00EE6B6E" w:rsidRPr="003F3A9E">
        <w:rPr>
          <w:color w:val="000000" w:themeColor="text1"/>
        </w:rPr>
        <w:t>(</w:t>
      </w:r>
      <w:hyperlink r:id="rId10" w:history="1">
        <w:r w:rsidR="00EE6B6E" w:rsidRPr="00046776">
          <w:rPr>
            <w:rStyle w:val="Hyperlink"/>
          </w:rPr>
          <w:t>CCPR/C/CYP/CO/5</w:t>
        </w:r>
      </w:hyperlink>
      <w:r w:rsidR="00EE6B6E" w:rsidRPr="003F3A9E">
        <w:rPr>
          <w:color w:val="000000" w:themeColor="text1"/>
        </w:rPr>
        <w:t>)</w:t>
      </w:r>
    </w:p>
    <w:p w14:paraId="5EC937ED" w14:textId="0E0ADBC1" w:rsidR="00C85A1E" w:rsidRPr="00834698" w:rsidRDefault="00C93FD7" w:rsidP="00834698">
      <w:pPr>
        <w:pStyle w:val="H1G"/>
      </w:pPr>
      <w:r>
        <w:rPr>
          <w:lang w:val="en-US"/>
        </w:rPr>
        <w:tab/>
      </w:r>
      <w:r>
        <w:rPr>
          <w:lang w:val="en-US"/>
        </w:rPr>
        <w:tab/>
      </w:r>
      <w:r w:rsidR="00834698" w:rsidRPr="001604FE">
        <w:rPr>
          <w:lang w:val="en-US"/>
        </w:rPr>
        <w:t>Follow-up information relating to paragra</w:t>
      </w:r>
      <w:r w:rsidR="00834698" w:rsidRPr="003F3A9E">
        <w:rPr>
          <w:color w:val="000000" w:themeColor="text1"/>
          <w:lang w:val="en-US"/>
        </w:rPr>
        <w:t>ph</w:t>
      </w:r>
      <w:r w:rsidR="00834698" w:rsidRPr="003F3A9E">
        <w:rPr>
          <w:color w:val="000000" w:themeColor="text1"/>
          <w:lang w:val="en-US"/>
        </w:rPr>
        <w:t xml:space="preserve"> 10 </w:t>
      </w:r>
      <w:r w:rsidR="00834698" w:rsidRPr="003F3A9E">
        <w:rPr>
          <w:color w:val="000000" w:themeColor="text1"/>
          <w:lang w:val="en-US"/>
        </w:rPr>
        <w:t xml:space="preserve">of the concluding observations </w:t>
      </w:r>
    </w:p>
    <w:p w14:paraId="6873702A" w14:textId="3AFC6E43" w:rsidR="00C85A1E" w:rsidRPr="00AD0C6D" w:rsidRDefault="00C93FD7" w:rsidP="00C93FD7">
      <w:pPr>
        <w:pStyle w:val="SingleTxtG"/>
        <w:rPr>
          <w:lang w:val="en-US"/>
        </w:rPr>
      </w:pPr>
      <w:r>
        <w:rPr>
          <w:lang w:val="en-US"/>
        </w:rPr>
        <w:t>1.</w:t>
      </w:r>
      <w:r>
        <w:rPr>
          <w:lang w:val="en-US"/>
        </w:rPr>
        <w:tab/>
      </w:r>
      <w:r w:rsidR="00C85A1E" w:rsidRPr="00AD0C6D">
        <w:rPr>
          <w:lang w:val="en-US"/>
        </w:rPr>
        <w:t>In response to the Committee’s recommendation in paragraph 10, Cyprus has taken and continues to take legislative, policy, institutional, operational, awareness-raising and training measures to combat discrimination, hate speech and hate crime, both online and offline.</w:t>
      </w:r>
    </w:p>
    <w:p w14:paraId="2FA2D8C5" w14:textId="6E8354A0" w:rsidR="00C85A1E" w:rsidRPr="00AD0C6D" w:rsidRDefault="00C93FD7" w:rsidP="00C93FD7">
      <w:pPr>
        <w:pStyle w:val="SingleTxtG"/>
        <w:rPr>
          <w:lang w:val="en-US"/>
        </w:rPr>
      </w:pPr>
      <w:r>
        <w:rPr>
          <w:lang w:val="en-US"/>
        </w:rPr>
        <w:t>2.</w:t>
      </w:r>
      <w:r>
        <w:rPr>
          <w:lang w:val="en-US"/>
        </w:rPr>
        <w:tab/>
      </w:r>
      <w:r w:rsidR="00C85A1E" w:rsidRPr="00AD0C6D">
        <w:rPr>
          <w:lang w:val="en-US"/>
        </w:rPr>
        <w:t>At a national level, a comprehensive national action plan specifically targeting all forms of discrimination has not yet been developed.  Nevertheless, concrete policy, legislative and institutional measures address discrimination, racism, xenophobia, hate speech and hate crime.</w:t>
      </w:r>
    </w:p>
    <w:p w14:paraId="1562CB6B" w14:textId="7F6A6FD4" w:rsidR="00C85A1E" w:rsidRPr="00AD0C6D" w:rsidRDefault="005347B0" w:rsidP="005347B0">
      <w:pPr>
        <w:pStyle w:val="SingleTxtG"/>
        <w:rPr>
          <w:lang w:val="en-US"/>
        </w:rPr>
      </w:pPr>
      <w:r>
        <w:rPr>
          <w:lang w:val="en-US"/>
        </w:rPr>
        <w:t>3.</w:t>
      </w:r>
      <w:r>
        <w:rPr>
          <w:lang w:val="en-US"/>
        </w:rPr>
        <w:tab/>
      </w:r>
      <w:r w:rsidR="00C85A1E" w:rsidRPr="00AD0C6D">
        <w:rPr>
          <w:lang w:val="en-US"/>
        </w:rPr>
        <w:t xml:space="preserve">The existing legal framework criminalizes racial and other forms of discrimination, and manifestations of racism and xenophobia.  The First National Strategy for the Protection and Promotion of Human Rights, approved by the Council of Ministers on 2 June 2021, endorses equality and non-discrimination as fundamental human rights principles. </w:t>
      </w:r>
    </w:p>
    <w:p w14:paraId="0A229726" w14:textId="589CAF2C" w:rsidR="00C85A1E" w:rsidRPr="00AD0C6D" w:rsidRDefault="005347B0" w:rsidP="005347B0">
      <w:pPr>
        <w:pStyle w:val="SingleTxtG"/>
        <w:rPr>
          <w:lang w:val="en-US"/>
        </w:rPr>
      </w:pPr>
      <w:r>
        <w:rPr>
          <w:lang w:val="en-US"/>
        </w:rPr>
        <w:t>4.</w:t>
      </w:r>
      <w:r>
        <w:rPr>
          <w:lang w:val="en-US"/>
        </w:rPr>
        <w:tab/>
      </w:r>
      <w:r w:rsidR="00C85A1E" w:rsidRPr="00AD0C6D">
        <w:rPr>
          <w:lang w:val="en-US"/>
        </w:rPr>
        <w:t xml:space="preserve">In October 2024, the Council of Ministers approved the creation of a National Strategy for the Protection and Promotion of the Rights of LGBTI persons, which aims </w:t>
      </w:r>
      <w:r w:rsidR="00C85A1E" w:rsidRPr="00AD0C6D">
        <w:rPr>
          <w:i/>
          <w:iCs/>
          <w:lang w:val="en-US"/>
        </w:rPr>
        <w:t>inter alia</w:t>
      </w:r>
      <w:r w:rsidR="00C85A1E" w:rsidRPr="00AD0C6D">
        <w:rPr>
          <w:lang w:val="en-US"/>
        </w:rPr>
        <w:t xml:space="preserve"> to combat discrimination against LGBTI persons and align Cypriot regulatory framework with EU standards.  Cyprus is currently in the process of developing the national LGBTI strategy. </w:t>
      </w:r>
    </w:p>
    <w:p w14:paraId="6C0D4706" w14:textId="573E18DC" w:rsidR="00C85A1E" w:rsidRPr="00AD0C6D" w:rsidRDefault="005347B0" w:rsidP="005347B0">
      <w:pPr>
        <w:pStyle w:val="SingleTxtG"/>
        <w:rPr>
          <w:lang w:val="en-US"/>
        </w:rPr>
      </w:pPr>
      <w:r>
        <w:rPr>
          <w:lang w:val="en-US"/>
        </w:rPr>
        <w:t>5.</w:t>
      </w:r>
      <w:r>
        <w:rPr>
          <w:lang w:val="en-US"/>
        </w:rPr>
        <w:tab/>
      </w:r>
      <w:r w:rsidR="00C85A1E" w:rsidRPr="00AD0C6D">
        <w:rPr>
          <w:lang w:val="en-US"/>
        </w:rPr>
        <w:t>In line with the EU Anti-Racism Strategy (2026-2030), Cyprus, as a Member State of the European Union, is committed to implementing effective policies to ensure national application of the EU anti-discrimination legal framework.</w:t>
      </w:r>
    </w:p>
    <w:p w14:paraId="546A9030" w14:textId="5530B17E" w:rsidR="00C85A1E" w:rsidRPr="00AD0C6D" w:rsidRDefault="005347B0" w:rsidP="005347B0">
      <w:pPr>
        <w:pStyle w:val="SingleTxtG"/>
        <w:rPr>
          <w:lang w:val="en-US"/>
        </w:rPr>
      </w:pPr>
      <w:r>
        <w:rPr>
          <w:lang w:val="en-US"/>
        </w:rPr>
        <w:t>6.</w:t>
      </w:r>
      <w:r>
        <w:rPr>
          <w:lang w:val="en-US"/>
        </w:rPr>
        <w:tab/>
      </w:r>
      <w:r w:rsidR="00C85A1E" w:rsidRPr="00AD0C6D">
        <w:rPr>
          <w:lang w:val="en-US"/>
        </w:rPr>
        <w:t xml:space="preserve">The </w:t>
      </w:r>
      <w:bookmarkStart w:id="0" w:name="_Hlk231364891"/>
      <w:r w:rsidR="00C85A1E" w:rsidRPr="00AD0C6D">
        <w:rPr>
          <w:lang w:val="en-US"/>
        </w:rPr>
        <w:t>Commissioner for Administration and the Protection of Human Rights (Ombudsperson</w:t>
      </w:r>
      <w:bookmarkEnd w:id="0"/>
      <w:r w:rsidR="00C85A1E" w:rsidRPr="00AD0C6D">
        <w:rPr>
          <w:lang w:val="en-US"/>
        </w:rPr>
        <w:t>), acting as National Human Rights Institution, Equality Body and Independent Authority for the Rights of Persons with Disabilities, supports this process through coordinated approaches to equality, structured consultation with civil society, investigations, equality decisions, monitoring activities, awareness-raising initiatives and cooperation with public authorities and civil society organizations.</w:t>
      </w:r>
    </w:p>
    <w:p w14:paraId="172A6791" w14:textId="182BF5AD" w:rsidR="00C85A1E" w:rsidRPr="00FA116E" w:rsidRDefault="005347B0" w:rsidP="005347B0">
      <w:pPr>
        <w:pStyle w:val="SingleTxtG"/>
        <w:rPr>
          <w:lang w:val="en-US"/>
        </w:rPr>
      </w:pPr>
      <w:r>
        <w:rPr>
          <w:lang w:val="en-US"/>
        </w:rPr>
        <w:t>7.</w:t>
      </w:r>
      <w:r>
        <w:rPr>
          <w:lang w:val="en-US"/>
        </w:rPr>
        <w:tab/>
      </w:r>
      <w:r w:rsidR="00C85A1E" w:rsidRPr="00AD0C6D">
        <w:rPr>
          <w:lang w:val="en-US"/>
        </w:rPr>
        <w:t xml:space="preserve">Cyprus has amended and further reinforced the legal and operational framework to prevent, investigate, record and sanction hate speech and hate crime, both online and offline.  In addition to the Criminal Code and specialized anti-discrimination legislation, the Criminal Code Amendment Law (L.129(I)/2024), significantly increased penalties for incitement to violence or hatred on grounds of sexual orientation or gender identity.  </w:t>
      </w:r>
      <w:r w:rsidR="00C85A1E" w:rsidRPr="00FA116E">
        <w:rPr>
          <w:lang w:val="en-US"/>
        </w:rPr>
        <w:t xml:space="preserve">The Combating of Certain Forms and Expressions of Racism and Xenophobia by Means of Criminal Law (Amendment) Law (L.43(I)/2026) expanded the material scope to prohibit expressions inciting violence or hatred against individuals or groups on grounds of age or disability.  </w:t>
      </w:r>
    </w:p>
    <w:p w14:paraId="50D3EF41" w14:textId="70A2D7A6" w:rsidR="00C85A1E" w:rsidRPr="00FA116E" w:rsidRDefault="005347B0" w:rsidP="005347B0">
      <w:pPr>
        <w:pStyle w:val="SingleTxtG"/>
        <w:rPr>
          <w:lang w:val="en-US"/>
        </w:rPr>
      </w:pPr>
      <w:r>
        <w:rPr>
          <w:lang w:val="en-US"/>
        </w:rPr>
        <w:t>8.</w:t>
      </w:r>
      <w:r>
        <w:rPr>
          <w:lang w:val="en-US"/>
        </w:rPr>
        <w:tab/>
      </w:r>
      <w:r w:rsidR="00C85A1E" w:rsidRPr="00FA116E">
        <w:rPr>
          <w:lang w:val="en-US"/>
        </w:rPr>
        <w:t>The legal framework on victims’ rights has also been strengthened.  The Victims’ Rights Protection (Amendment) Law (L.36(I)/2022) enhanced safeguards for victims of crime.  The Combatting of Sexism and Online Dissemination of Sexism and Related Matters Law (L.209(I)/2020) provides further protection for victims of sexism and sexist conduct that demeans persons or undermines their dignity.  In addition, the Legal Aid (Amendment) Law (L.128(I)/2024) expanded legal aid and expressly provides free legal aid to women who have suffered abuse or domestic violence.</w:t>
      </w:r>
    </w:p>
    <w:p w14:paraId="6D8E78B0" w14:textId="707482CD" w:rsidR="00C85A1E" w:rsidRPr="00AD0C6D" w:rsidRDefault="005347B0" w:rsidP="005347B0">
      <w:pPr>
        <w:pStyle w:val="SingleTxtG"/>
        <w:rPr>
          <w:lang w:val="en-US"/>
        </w:rPr>
      </w:pPr>
      <w:r>
        <w:rPr>
          <w:lang w:val="en-US"/>
        </w:rPr>
        <w:t>9.</w:t>
      </w:r>
      <w:r>
        <w:rPr>
          <w:lang w:val="en-US"/>
        </w:rPr>
        <w:tab/>
      </w:r>
      <w:r w:rsidR="00C85A1E" w:rsidRPr="00AD0C6D">
        <w:rPr>
          <w:lang w:val="en-US"/>
        </w:rPr>
        <w:t>The Cyprus Police has issued a binding Police Standing Order on discrimination and hate crime, providing operational guidance to police officers on identifying, investigating and recording such offences, including bias indicators and victim protection measures.</w:t>
      </w:r>
    </w:p>
    <w:p w14:paraId="0DB8DD3E" w14:textId="2EEAB350" w:rsidR="00C85A1E" w:rsidRPr="00FA116E" w:rsidRDefault="005347B0" w:rsidP="005347B0">
      <w:pPr>
        <w:pStyle w:val="SingleTxtG"/>
        <w:rPr>
          <w:lang w:val="en-US"/>
        </w:rPr>
      </w:pPr>
      <w:r>
        <w:rPr>
          <w:lang w:val="en-US"/>
        </w:rPr>
        <w:t>10.</w:t>
      </w:r>
      <w:r>
        <w:rPr>
          <w:lang w:val="en-US"/>
        </w:rPr>
        <w:tab/>
      </w:r>
      <w:r w:rsidR="00C85A1E" w:rsidRPr="00AD0C6D">
        <w:rPr>
          <w:lang w:val="en-US"/>
        </w:rPr>
        <w:t xml:space="preserve">Hate crime cases are investigated by the Criminal Investigation Department or local Police Stations, according to severity, and assigned to experienced investigators.  Senior officers supervise investigations, monitored by liaison officers for combating discrimination; </w:t>
      </w:r>
      <w:r w:rsidR="00C85A1E" w:rsidRPr="00AD0C6D">
        <w:rPr>
          <w:lang w:val="en-US"/>
        </w:rPr>
        <w:lastRenderedPageBreak/>
        <w:t>two have been appointed in each District Police Directorate.  Investigators assess victims’ protection and support needs and use a structured questionnaire to identify possible bias motivation.  Bias findings must be included in the report submitted to the Public Prosecutor, for consideration during prosecution and sentencing.</w:t>
      </w:r>
    </w:p>
    <w:p w14:paraId="080C5D2F" w14:textId="7E9933C3" w:rsidR="00C85A1E" w:rsidRPr="00AD0C6D" w:rsidRDefault="005347B0" w:rsidP="005347B0">
      <w:pPr>
        <w:pStyle w:val="SingleTxtG"/>
        <w:rPr>
          <w:lang w:val="en-US"/>
        </w:rPr>
      </w:pPr>
      <w:r>
        <w:rPr>
          <w:lang w:val="en-US"/>
        </w:rPr>
        <w:t>11.</w:t>
      </w:r>
      <w:r>
        <w:rPr>
          <w:lang w:val="en-US"/>
        </w:rPr>
        <w:tab/>
      </w:r>
      <w:r w:rsidR="00C85A1E" w:rsidRPr="00FA116E">
        <w:rPr>
          <w:lang w:val="en-US"/>
        </w:rPr>
        <w:t xml:space="preserve">For data collection purposes, </w:t>
      </w:r>
      <w:r w:rsidR="00C85A1E" w:rsidRPr="00AD0C6D">
        <w:rPr>
          <w:lang w:val="en-US"/>
        </w:rPr>
        <w:t xml:space="preserve">the Human Rights and Combating Discrimination Office of the Cyprus Police maintain statistical data on complaints and criminal cases involving hate crime.  Hate-related incidents are recorded in the Police electronic system under Police Standing Order 3/38, </w:t>
      </w:r>
      <w:r w:rsidR="00C85A1E" w:rsidRPr="00AD0C6D">
        <w:rPr>
          <w:i/>
          <w:iCs/>
          <w:lang w:val="en-US"/>
        </w:rPr>
        <w:t>“Management of Offences and Anti-Discrimination Issues”</w:t>
      </w:r>
      <w:r w:rsidR="00C85A1E" w:rsidRPr="00AD0C6D">
        <w:rPr>
          <w:lang w:val="en-US"/>
        </w:rPr>
        <w:t xml:space="preserve">.  A case is registered as a hate crime where bias motivation is identified on grounds including race, community, language, color, religion, political or other belief, ethnic origin, disability, age, sexual orientation or gender identity. </w:t>
      </w:r>
    </w:p>
    <w:p w14:paraId="5D5F7664" w14:textId="74225A0E" w:rsidR="00C85A1E" w:rsidRPr="00AD0C6D" w:rsidRDefault="005347B0" w:rsidP="005347B0">
      <w:pPr>
        <w:pStyle w:val="SingleTxtG"/>
        <w:rPr>
          <w:lang w:val="en-US"/>
        </w:rPr>
      </w:pPr>
      <w:r>
        <w:rPr>
          <w:lang w:val="en-US"/>
        </w:rPr>
        <w:t>12.</w:t>
      </w:r>
      <w:r>
        <w:rPr>
          <w:lang w:val="en-US"/>
        </w:rPr>
        <w:tab/>
      </w:r>
      <w:r w:rsidR="00C85A1E" w:rsidRPr="00AD0C6D">
        <w:rPr>
          <w:lang w:val="en-US"/>
        </w:rPr>
        <w:t xml:space="preserve">Reports may be initiated by the victim, a representative, witness, police officer or the Ombudsperson.  A standardized reporting form is forwarded through the District Liaison Officer to the Human Rights and Combating Discrimination Office for statistical processing.  Supplementary information from police station records, civil society organizations, other public authorities, media reports and direct victim disclosures is cross-checked and, where appropriate, formally recorded as hate crime. </w:t>
      </w:r>
    </w:p>
    <w:p w14:paraId="324DBB83" w14:textId="79CFE1A6" w:rsidR="00C85A1E" w:rsidRPr="00AD0C6D" w:rsidRDefault="006F2276" w:rsidP="005347B0">
      <w:pPr>
        <w:pStyle w:val="SingleTxtG"/>
        <w:rPr>
          <w:lang w:val="en-US"/>
        </w:rPr>
      </w:pPr>
      <w:r>
        <w:rPr>
          <w:lang w:val="en-US"/>
        </w:rPr>
        <w:t>13.</w:t>
      </w:r>
      <w:r>
        <w:rPr>
          <w:lang w:val="en-US"/>
        </w:rPr>
        <w:tab/>
      </w:r>
      <w:r w:rsidR="00C85A1E" w:rsidRPr="00AD0C6D">
        <w:rPr>
          <w:lang w:val="en-US"/>
        </w:rPr>
        <w:t>Online hate offences may be reported through the specialized police portal, of the Cyber Crime Sub-Directorate.</w:t>
      </w:r>
    </w:p>
    <w:p w14:paraId="6B1F5A9E" w14:textId="6C62B0F6" w:rsidR="00C85A1E" w:rsidRPr="00AD0C6D" w:rsidRDefault="006F2276" w:rsidP="005347B0">
      <w:pPr>
        <w:pStyle w:val="SingleTxtG"/>
        <w:rPr>
          <w:lang w:val="en-US"/>
        </w:rPr>
      </w:pPr>
      <w:r>
        <w:rPr>
          <w:lang w:val="en-US"/>
        </w:rPr>
        <w:t>14.</w:t>
      </w:r>
      <w:r>
        <w:rPr>
          <w:lang w:val="en-US"/>
        </w:rPr>
        <w:tab/>
      </w:r>
      <w:r w:rsidR="00C85A1E" w:rsidRPr="00AD0C6D">
        <w:rPr>
          <w:lang w:val="en-US"/>
        </w:rPr>
        <w:t xml:space="preserve">In the digital and audiovisual environment, the Radiotelevision and Digital Services Authority (RTDSA) contributes to prevention and enforcement as the national regulator for audiovisual media services and as Digital Services Coordinator under the Digital Services Act framework.  Law 122(I)/2025, Law 123(I)/2025 and Regulations R.A.A. 218/2025 established a system of supervision and enforcement, including structured complaint-handling mechanisms and administrative and criminal enforcement measures. </w:t>
      </w:r>
    </w:p>
    <w:p w14:paraId="2CE44AEC" w14:textId="35754B61" w:rsidR="00C85A1E" w:rsidRPr="00AD0C6D" w:rsidRDefault="006F2276" w:rsidP="005347B0">
      <w:pPr>
        <w:pStyle w:val="SingleTxtG"/>
        <w:rPr>
          <w:lang w:val="en-US"/>
        </w:rPr>
      </w:pPr>
      <w:r>
        <w:rPr>
          <w:lang w:val="en-US"/>
        </w:rPr>
        <w:t>15.</w:t>
      </w:r>
      <w:r>
        <w:rPr>
          <w:lang w:val="en-US"/>
        </w:rPr>
        <w:tab/>
      </w:r>
      <w:r w:rsidR="00C85A1E" w:rsidRPr="00AD0C6D">
        <w:rPr>
          <w:lang w:val="en-US"/>
        </w:rPr>
        <w:t>During the period 2023–2026, RTDSA examined harmful audiovisual content concerning hate speech, discrimination, sexism, gender-based violence and media reporting on violence against women and girls.  Administrative sanctions were imposed in seven cases concerning hate speech and/or discrimination and in twenty-four cases concerning sexism, violence against women and girls, gender-based discrimination and lack of respect for the dignity of women and girls.  Administrative fines reached up to €24,000 in serious cases.</w:t>
      </w:r>
    </w:p>
    <w:p w14:paraId="4D1B0C63" w14:textId="3AEB18DE" w:rsidR="00C85A1E" w:rsidRPr="00AD0C6D" w:rsidRDefault="006F2276" w:rsidP="005347B0">
      <w:pPr>
        <w:pStyle w:val="SingleTxtG"/>
        <w:rPr>
          <w:lang w:val="en-US"/>
        </w:rPr>
      </w:pPr>
      <w:r>
        <w:rPr>
          <w:lang w:val="en-US"/>
        </w:rPr>
        <w:t>16.</w:t>
      </w:r>
      <w:r>
        <w:rPr>
          <w:lang w:val="en-US"/>
        </w:rPr>
        <w:tab/>
      </w:r>
      <w:r w:rsidR="00C85A1E" w:rsidRPr="00AD0C6D">
        <w:rPr>
          <w:lang w:val="en-US"/>
        </w:rPr>
        <w:t xml:space="preserve">Cyprus has also strengthened awareness-raising measures aimed at promoting respect for human rights, equality and diversity and preventing prejudice.  </w:t>
      </w:r>
    </w:p>
    <w:p w14:paraId="21B704D6" w14:textId="48734FF3" w:rsidR="00C85A1E" w:rsidRPr="00AD0C6D" w:rsidRDefault="006F2276" w:rsidP="005347B0">
      <w:pPr>
        <w:pStyle w:val="SingleTxtG"/>
        <w:rPr>
          <w:lang w:val="en-US"/>
        </w:rPr>
      </w:pPr>
      <w:r>
        <w:rPr>
          <w:lang w:val="en-US"/>
        </w:rPr>
        <w:t>17.</w:t>
      </w:r>
      <w:r>
        <w:rPr>
          <w:lang w:val="en-US"/>
        </w:rPr>
        <w:tab/>
      </w:r>
      <w:r w:rsidR="00C85A1E" w:rsidRPr="00AD0C6D">
        <w:rPr>
          <w:lang w:val="en-US"/>
        </w:rPr>
        <w:t xml:space="preserve">The Cyprus Police regularly disseminate circular instructions on human rights and non-discrimination to its members.  Dedicated internal portal sections provide continuous access to legislation, circulars, best practices and training material.  The Police Code of Ethics, available in Greek and English, has been revised in line with European standards and includes enhanced provisions on equality, respect for diversity and non-discrimination.  It explicitly prohibits conduct that may incite discrimination, hatred or violence. </w:t>
      </w:r>
    </w:p>
    <w:p w14:paraId="05415B8A" w14:textId="24D51C59" w:rsidR="00C85A1E" w:rsidRPr="00AD0C6D" w:rsidRDefault="006F2276" w:rsidP="005347B0">
      <w:pPr>
        <w:pStyle w:val="SingleTxtG"/>
        <w:rPr>
          <w:lang w:val="en-US"/>
        </w:rPr>
      </w:pPr>
      <w:r>
        <w:rPr>
          <w:lang w:val="en-US"/>
        </w:rPr>
        <w:t>18.</w:t>
      </w:r>
      <w:r>
        <w:rPr>
          <w:lang w:val="en-US"/>
        </w:rPr>
        <w:tab/>
      </w:r>
      <w:r w:rsidR="00C85A1E" w:rsidRPr="00AD0C6D">
        <w:rPr>
          <w:lang w:val="en-US"/>
        </w:rPr>
        <w:t xml:space="preserve">The Police has also developed a Human Rights Handbook, a Manual on the Treatment of Juvenile Victims and specialized training on racism, xenophobia, LGBTI rights, disability rights and antisemitism.  Since 2016, annual conferences have been organized on International Human Rights Day to strengthen awareness and respect for human rights in policing. </w:t>
      </w:r>
    </w:p>
    <w:p w14:paraId="37616FC9" w14:textId="72F4E96D" w:rsidR="00C85A1E" w:rsidRPr="00AD0C6D" w:rsidRDefault="006F2276" w:rsidP="005347B0">
      <w:pPr>
        <w:pStyle w:val="SingleTxtG"/>
        <w:rPr>
          <w:lang w:val="en-US"/>
        </w:rPr>
      </w:pPr>
      <w:r>
        <w:rPr>
          <w:lang w:val="en-US"/>
        </w:rPr>
        <w:t>19.</w:t>
      </w:r>
      <w:r>
        <w:rPr>
          <w:lang w:val="en-US"/>
        </w:rPr>
        <w:tab/>
      </w:r>
      <w:r w:rsidR="00C85A1E" w:rsidRPr="00AD0C6D">
        <w:rPr>
          <w:lang w:val="en-US"/>
        </w:rPr>
        <w:t>The Police has also circulated a directive on racial profiling, clarifying that stopping, searching or detaining a person solely on the basis of ethnic origin or other personal characteristics is prohibited.  The relevant European Union Agency for Fundamental Rights handbook has also been disseminated to Police Departments. Community policing initiatives further promote cooperation with embassies, minority community representatives and local authorities, with a view to building trust and promoting social cohesion.</w:t>
      </w:r>
    </w:p>
    <w:p w14:paraId="300A43C5" w14:textId="4A145725" w:rsidR="00C85A1E" w:rsidRPr="00AD0C6D" w:rsidRDefault="006F2276" w:rsidP="005347B0">
      <w:pPr>
        <w:pStyle w:val="SingleTxtG"/>
        <w:rPr>
          <w:lang w:val="en-US"/>
        </w:rPr>
      </w:pPr>
      <w:r>
        <w:rPr>
          <w:lang w:val="en-US"/>
        </w:rPr>
        <w:t>20.</w:t>
      </w:r>
      <w:r>
        <w:rPr>
          <w:lang w:val="en-US"/>
        </w:rPr>
        <w:tab/>
      </w:r>
      <w:r w:rsidR="00C85A1E" w:rsidRPr="00AD0C6D">
        <w:rPr>
          <w:lang w:val="en-US"/>
        </w:rPr>
        <w:t xml:space="preserve">Additionally, the Cyprus Police has strengthened cooperation with civil society organizations through Memoranda of Understanding, including agreements with NGOs and the Cyprus Red Cross.  These partnerships enhance awareness, training, monitoring and </w:t>
      </w:r>
      <w:r w:rsidR="00C85A1E" w:rsidRPr="00AD0C6D">
        <w:rPr>
          <w:lang w:val="en-US"/>
        </w:rPr>
        <w:lastRenderedPageBreak/>
        <w:t>support mechanisms, contributing to the promotion of equality, human dignity and respect for diversity.</w:t>
      </w:r>
    </w:p>
    <w:p w14:paraId="14D69690" w14:textId="101FEBFF" w:rsidR="00C85A1E" w:rsidRPr="00AD0C6D" w:rsidRDefault="006F2276" w:rsidP="005347B0">
      <w:pPr>
        <w:pStyle w:val="SingleTxtG"/>
        <w:rPr>
          <w:lang w:val="en-US"/>
        </w:rPr>
      </w:pPr>
      <w:r>
        <w:rPr>
          <w:lang w:val="en-US"/>
        </w:rPr>
        <w:t>21.</w:t>
      </w:r>
      <w:r>
        <w:rPr>
          <w:lang w:val="en-US"/>
        </w:rPr>
        <w:tab/>
      </w:r>
      <w:r w:rsidR="00C85A1E" w:rsidRPr="00AD0C6D">
        <w:rPr>
          <w:lang w:val="en-US"/>
        </w:rPr>
        <w:t xml:space="preserve">In 2025, the Ombudsperson implemented an information and awareness campaign against hate speech and disinformation, in cooperation with members of the Human Rights Advisory Committee, on the occasion of the International Day for Countering Hate Speech.  The campaign included social media materials, public messages under the slogan </w:t>
      </w:r>
      <w:r w:rsidR="00C85A1E" w:rsidRPr="00AD0C6D">
        <w:rPr>
          <w:i/>
          <w:iCs/>
          <w:lang w:val="en-US"/>
        </w:rPr>
        <w:t>“STOP HATE SPEECH &amp; DISINFORMATION”</w:t>
      </w:r>
      <w:r w:rsidR="00C85A1E" w:rsidRPr="00AD0C6D">
        <w:rPr>
          <w:lang w:val="en-US"/>
        </w:rPr>
        <w:t xml:space="preserve"> in public spaces and roadside billboards in Nicosia, distribution of printed materials and posters to state services, and reproduction of campaign messages by the Cyprus Police through its own social media channels.  The Ombudsperson also submitted a report on an antisemitic incident in a private school, addressing disinformation, historical revisionism, denial of crimes against humanity and incitement to hatred against a specific group. </w:t>
      </w:r>
    </w:p>
    <w:p w14:paraId="075ADC6C" w14:textId="73980AB2" w:rsidR="00C85A1E" w:rsidRPr="00AD0C6D" w:rsidRDefault="006F2276" w:rsidP="005347B0">
      <w:pPr>
        <w:pStyle w:val="SingleTxtG"/>
        <w:rPr>
          <w:lang w:val="en-US"/>
        </w:rPr>
      </w:pPr>
      <w:r>
        <w:rPr>
          <w:lang w:val="en-US"/>
        </w:rPr>
        <w:t>22.</w:t>
      </w:r>
      <w:r>
        <w:rPr>
          <w:lang w:val="en-US"/>
        </w:rPr>
        <w:tab/>
      </w:r>
      <w:r w:rsidR="00C85A1E" w:rsidRPr="00AD0C6D">
        <w:rPr>
          <w:lang w:val="en-US"/>
        </w:rPr>
        <w:t xml:space="preserve">RTDSA has implemented media literacy and public awareness initiatives to strengthen the capacity of students, professionals and the public to identify hate speech, disinformation and harmful content.  In 2026, it established a Media Literacy Centre in Evrychou, a rural area, thereby extending outreach beyond urban centers. In cooperation with the Cyprus Pedagogical Institute, RTDSA conducted workshops for approximately 2,000 students during 2024–2026 on human rights in the media environment, gender stereotypes, disinformation, critical media analysis and responsible online behavior. </w:t>
      </w:r>
    </w:p>
    <w:p w14:paraId="43C6C100" w14:textId="68A4B2F3" w:rsidR="00C85A1E" w:rsidRPr="00AD0C6D" w:rsidRDefault="006F2276" w:rsidP="005347B0">
      <w:pPr>
        <w:pStyle w:val="SingleTxtG"/>
        <w:rPr>
          <w:lang w:val="en-US"/>
        </w:rPr>
      </w:pPr>
      <w:r>
        <w:rPr>
          <w:lang w:val="en-US"/>
        </w:rPr>
        <w:t>23.</w:t>
      </w:r>
      <w:r>
        <w:rPr>
          <w:lang w:val="en-US"/>
        </w:rPr>
        <w:tab/>
      </w:r>
      <w:r w:rsidR="00C85A1E" w:rsidRPr="00AD0C6D">
        <w:rPr>
          <w:lang w:val="en-US"/>
        </w:rPr>
        <w:t xml:space="preserve">RTDSA, in cooperation with the Mediterranean Digital Media Observatory, launched a public awareness campaign against disinformation, consisting of three videos and three audio messages: </w:t>
      </w:r>
      <w:r w:rsidR="00C85A1E" w:rsidRPr="00AD0C6D">
        <w:rPr>
          <w:i/>
          <w:iCs/>
          <w:lang w:val="en-US"/>
        </w:rPr>
        <w:t>“Deep Fakes”, “Debunk a False Claim”</w:t>
      </w:r>
      <w:r w:rsidR="00C85A1E" w:rsidRPr="00AD0C6D">
        <w:rPr>
          <w:lang w:val="en-US"/>
        </w:rPr>
        <w:t xml:space="preserve"> and</w:t>
      </w:r>
      <w:r w:rsidR="00C85A1E" w:rsidRPr="00AD0C6D">
        <w:rPr>
          <w:i/>
          <w:iCs/>
          <w:lang w:val="en-US"/>
        </w:rPr>
        <w:t xml:space="preserve"> “Fake News”</w:t>
      </w:r>
      <w:r w:rsidR="00C85A1E" w:rsidRPr="00AD0C6D">
        <w:rPr>
          <w:lang w:val="en-US"/>
        </w:rPr>
        <w:t xml:space="preserve">.  These were broadcast by licensed audiovisual media service providers during March–May 2026, including the pre-election period of the 2026 Parliamentary Elections, and were also disseminated online. </w:t>
      </w:r>
    </w:p>
    <w:p w14:paraId="3AE6E575" w14:textId="6662E9C3" w:rsidR="00C85A1E" w:rsidRPr="00AD0C6D" w:rsidRDefault="006F2276" w:rsidP="005347B0">
      <w:pPr>
        <w:pStyle w:val="SingleTxtG"/>
        <w:rPr>
          <w:lang w:val="en-US"/>
        </w:rPr>
      </w:pPr>
      <w:r>
        <w:rPr>
          <w:lang w:val="en-US"/>
        </w:rPr>
        <w:t>24.</w:t>
      </w:r>
      <w:r>
        <w:rPr>
          <w:lang w:val="en-US"/>
        </w:rPr>
        <w:tab/>
      </w:r>
      <w:r w:rsidR="00C85A1E" w:rsidRPr="00AD0C6D">
        <w:rPr>
          <w:lang w:val="en-US"/>
        </w:rPr>
        <w:t>RTDSA also implemented a three-month campaign from December 2025 to February 2026 on its mandate under the Digital Services Act, informing users about their rights, platform obligations, online safety, protection of minors, transparency, accountability and mechanisms for reporting illegal content.</w:t>
      </w:r>
    </w:p>
    <w:p w14:paraId="46FD85C8" w14:textId="51ADBA00" w:rsidR="00C85A1E" w:rsidRPr="00AD0C6D" w:rsidRDefault="006F2276" w:rsidP="005347B0">
      <w:pPr>
        <w:pStyle w:val="SingleTxtG"/>
        <w:rPr>
          <w:lang w:val="en-US"/>
        </w:rPr>
      </w:pPr>
      <w:r>
        <w:rPr>
          <w:lang w:val="en-US"/>
        </w:rPr>
        <w:t>25.</w:t>
      </w:r>
      <w:r>
        <w:rPr>
          <w:lang w:val="en-US"/>
        </w:rPr>
        <w:tab/>
      </w:r>
      <w:r w:rsidR="00C85A1E" w:rsidRPr="00AD0C6D">
        <w:rPr>
          <w:lang w:val="en-US"/>
        </w:rPr>
        <w:t>In asylum and reception procedures, awareness-raising activities and information sessions are conducted in cooperation with specialized organizations and civil society actors on equality, discrimination and protection of vulnerable groups.  Applicants for international protection receive multilingual information on their rights and available support services.</w:t>
      </w:r>
    </w:p>
    <w:p w14:paraId="0702200D" w14:textId="3ECE7CFA" w:rsidR="00C85A1E" w:rsidRPr="00AD0C6D" w:rsidRDefault="006F2276" w:rsidP="005347B0">
      <w:pPr>
        <w:pStyle w:val="SingleTxtG"/>
        <w:rPr>
          <w:lang w:val="en-US"/>
        </w:rPr>
      </w:pPr>
      <w:r>
        <w:rPr>
          <w:lang w:val="en-US"/>
        </w:rPr>
        <w:t>26.</w:t>
      </w:r>
      <w:r>
        <w:rPr>
          <w:lang w:val="en-US"/>
        </w:rPr>
        <w:tab/>
      </w:r>
      <w:r w:rsidR="00C85A1E" w:rsidRPr="00AD0C6D">
        <w:rPr>
          <w:lang w:val="en-US"/>
        </w:rPr>
        <w:t xml:space="preserve">The Cyprus Police has taken specific measures to encourage reporting of hate crimes and ensure accessible reporting channels.  These include information to victims on their rights and support services, complaint mechanisms through Police Stations and specialized units, multilingual information material, and cooperation with community representatives, embassies and civil society organizations to build trust and facilitate reporting. </w:t>
      </w:r>
    </w:p>
    <w:p w14:paraId="779456C1" w14:textId="607B2CEA" w:rsidR="00C85A1E" w:rsidRPr="00AD0C6D" w:rsidRDefault="006F2276" w:rsidP="005347B0">
      <w:pPr>
        <w:pStyle w:val="SingleTxtG"/>
        <w:rPr>
          <w:lang w:val="en-US"/>
        </w:rPr>
      </w:pPr>
      <w:r>
        <w:rPr>
          <w:lang w:val="en-US"/>
        </w:rPr>
        <w:t>27.</w:t>
      </w:r>
      <w:r>
        <w:rPr>
          <w:lang w:val="en-US"/>
        </w:rPr>
        <w:tab/>
      </w:r>
      <w:r w:rsidR="00C85A1E" w:rsidRPr="00AD0C6D">
        <w:rPr>
          <w:lang w:val="en-US"/>
        </w:rPr>
        <w:t>Complaints alleging misconduct by Police members, including ill-treatment, torture or abuse of authority, are immediately reported to the Attorney General and to the Independent Authority for the Investigation of Allegations and Complaints against the Police.  In such cases, the Police does not investigate the complaint.  The Independent Authority, in consultation with the Attorney General, appoints an independent criminal investigator, whose findings are submitted to the Attorney General for further instructions.  Complaints may also be submitted to the Ombudsperson.</w:t>
      </w:r>
    </w:p>
    <w:p w14:paraId="10D1279F" w14:textId="2256A231" w:rsidR="00C85A1E" w:rsidRPr="00AD0C6D" w:rsidRDefault="006F2276" w:rsidP="005347B0">
      <w:pPr>
        <w:pStyle w:val="SingleTxtG"/>
        <w:rPr>
          <w:lang w:val="en-US"/>
        </w:rPr>
      </w:pPr>
      <w:r>
        <w:rPr>
          <w:lang w:val="en-US"/>
        </w:rPr>
        <w:t>28.</w:t>
      </w:r>
      <w:r>
        <w:rPr>
          <w:lang w:val="en-US"/>
        </w:rPr>
        <w:tab/>
      </w:r>
      <w:r w:rsidR="00C85A1E" w:rsidRPr="00AD0C6D">
        <w:rPr>
          <w:lang w:val="en-US"/>
        </w:rPr>
        <w:t xml:space="preserve">Victim support measures include a document on the rights of victims of crime, translated into nine languages, available online and in printed form, and produced in Braille; an information booklet on </w:t>
      </w:r>
      <w:r w:rsidR="00C85A1E" w:rsidRPr="00AD0C6D">
        <w:rPr>
          <w:i/>
          <w:iCs/>
          <w:lang w:val="en-US"/>
        </w:rPr>
        <w:t>“Rights, Support and Protection of Victims of Gender-Based Violence”</w:t>
      </w:r>
      <w:r w:rsidR="00C85A1E" w:rsidRPr="00AD0C6D">
        <w:rPr>
          <w:lang w:val="en-US"/>
        </w:rPr>
        <w:t xml:space="preserve">; a Code of Conduct for the Handling of Victims of Crime; a Police Standing Order on the Rights and Protection of Victims of Crime; relevant Police Academy training modules; circulars on Police obligations towards victims; provision of a </w:t>
      </w:r>
      <w:r w:rsidR="00C85A1E" w:rsidRPr="00AD0C6D">
        <w:rPr>
          <w:i/>
          <w:iCs/>
          <w:lang w:val="en-US"/>
        </w:rPr>
        <w:t>“Confirmation of Complaint”</w:t>
      </w:r>
      <w:r w:rsidR="00C85A1E" w:rsidRPr="00AD0C6D">
        <w:rPr>
          <w:lang w:val="en-US"/>
        </w:rPr>
        <w:t xml:space="preserve"> document; use of a personalized victim assessment questionnaire; and designation of a liaison officer to monitor compliance with victim protection standards.</w:t>
      </w:r>
    </w:p>
    <w:p w14:paraId="42E9BBD4" w14:textId="2B53EB98" w:rsidR="00C85A1E" w:rsidRPr="00AD0C6D" w:rsidRDefault="006F2276" w:rsidP="005347B0">
      <w:pPr>
        <w:pStyle w:val="SingleTxtG"/>
        <w:rPr>
          <w:lang w:val="en-US"/>
        </w:rPr>
      </w:pPr>
      <w:r>
        <w:rPr>
          <w:lang w:val="en-US"/>
        </w:rPr>
        <w:lastRenderedPageBreak/>
        <w:t>29.</w:t>
      </w:r>
      <w:r>
        <w:rPr>
          <w:lang w:val="en-US"/>
        </w:rPr>
        <w:tab/>
      </w:r>
      <w:r w:rsidR="00C85A1E" w:rsidRPr="00AD0C6D">
        <w:rPr>
          <w:lang w:val="en-US"/>
        </w:rPr>
        <w:t>Where necessary, victims are referred to State Medical Services, Mental Health Services, Social Welfare Services, the Educational Psychology Service for minors, helpline 1440 for domestic violence cases, and non-governmental organizations.</w:t>
      </w:r>
    </w:p>
    <w:p w14:paraId="1BD78F48" w14:textId="1D452469" w:rsidR="00C85A1E" w:rsidRPr="00AD0C6D" w:rsidRDefault="006F2276" w:rsidP="005347B0">
      <w:pPr>
        <w:pStyle w:val="SingleTxtG"/>
        <w:rPr>
          <w:lang w:val="en-US"/>
        </w:rPr>
      </w:pPr>
      <w:r>
        <w:rPr>
          <w:lang w:val="en-US"/>
        </w:rPr>
        <w:t>30.</w:t>
      </w:r>
      <w:r>
        <w:rPr>
          <w:lang w:val="en-US"/>
        </w:rPr>
        <w:tab/>
      </w:r>
      <w:r w:rsidR="00C85A1E" w:rsidRPr="00AD0C6D">
        <w:rPr>
          <w:lang w:val="en-US"/>
        </w:rPr>
        <w:t xml:space="preserve">Cyprus has reinforced cooperation and training among relevant stakeholders.  </w:t>
      </w:r>
      <w:r w:rsidR="00C85A1E" w:rsidRPr="00FA116E">
        <w:rPr>
          <w:lang w:val="en-US"/>
        </w:rPr>
        <w:t xml:space="preserve">Firstly, the Cyprus Judicial Training School was established in 2020 by Law 101(I)/2020, and provides training programmes to judges that cover inter alia the area of non-discrimination.  Secondly, the Cyprus Bar Association Training Centre provides seminars, lectures and training sessions to all practising and non-practising lawyers on different areas of law, which include non-discrimination law.  Thirdly, the Academy of the Law Office of the Republic of Cyprus, which has been established as an in-house training Academy in 2022 and has become fully operational in October 2023, organizes training activities and seminars that promote human rights and non-discrimination as enshrined in the Covenant.  Fourthly, the Cyprus Academy of Public Administration organizes seminars and training sessions for all governmental employees, covering </w:t>
      </w:r>
      <w:r w:rsidR="00C85A1E" w:rsidRPr="00FA116E">
        <w:rPr>
          <w:i/>
          <w:iCs/>
          <w:lang w:val="en-US"/>
        </w:rPr>
        <w:t>inter alia</w:t>
      </w:r>
      <w:r w:rsidR="00C85A1E" w:rsidRPr="00FA116E">
        <w:rPr>
          <w:lang w:val="en-US"/>
        </w:rPr>
        <w:t xml:space="preserve"> the area of equality and non-discrimination law. </w:t>
      </w:r>
    </w:p>
    <w:p w14:paraId="37A079C6" w14:textId="521E1148" w:rsidR="00C85A1E" w:rsidRPr="00AD0C6D" w:rsidRDefault="006F2276" w:rsidP="005347B0">
      <w:pPr>
        <w:pStyle w:val="SingleTxtG"/>
        <w:rPr>
          <w:lang w:val="en-US"/>
        </w:rPr>
      </w:pPr>
      <w:r>
        <w:rPr>
          <w:lang w:val="en-US"/>
        </w:rPr>
        <w:t>31.</w:t>
      </w:r>
      <w:r>
        <w:rPr>
          <w:lang w:val="en-US"/>
        </w:rPr>
        <w:tab/>
      </w:r>
      <w:r w:rsidR="00C85A1E" w:rsidRPr="00AD0C6D">
        <w:rPr>
          <w:lang w:val="en-US"/>
        </w:rPr>
        <w:t>Finally, the Cyprus Police cooperate with governmental services, independent authorities, international organizations, civil society organizations, non-governmental organizations and academic institutions.  Representatives of these bodies participate in Police training programmes, seminars and awareness-raising activities, ensuring a multidisciplinary approach to hate speech, hate crime, equality and diversity.</w:t>
      </w:r>
    </w:p>
    <w:p w14:paraId="226C78BF" w14:textId="42377930" w:rsidR="00C85A1E" w:rsidRPr="00FA116E" w:rsidRDefault="006F2276" w:rsidP="005347B0">
      <w:pPr>
        <w:pStyle w:val="SingleTxtG"/>
        <w:rPr>
          <w:i/>
          <w:iCs/>
          <w:lang w:val="en-US"/>
        </w:rPr>
      </w:pPr>
      <w:r>
        <w:rPr>
          <w:lang w:val="en-US"/>
        </w:rPr>
        <w:t>32.</w:t>
      </w:r>
      <w:r>
        <w:rPr>
          <w:lang w:val="en-US"/>
        </w:rPr>
        <w:tab/>
      </w:r>
      <w:r w:rsidR="00C85A1E" w:rsidRPr="00AD0C6D">
        <w:rPr>
          <w:lang w:val="en-US"/>
        </w:rPr>
        <w:t>The Cyprus Police Academy provides structured training on human rights, racial discrimination, racism and xenophobia at all levels.  Following a cooperation agreement with the University of Cyprus, the Police Recruit Training Programme includes an academic semester on “</w:t>
      </w:r>
      <w:r w:rsidR="00C85A1E" w:rsidRPr="00AD0C6D">
        <w:rPr>
          <w:i/>
          <w:iCs/>
          <w:lang w:val="en-US"/>
        </w:rPr>
        <w:t xml:space="preserve">Policing and Human Rights” </w:t>
      </w:r>
      <w:r w:rsidR="00C85A1E" w:rsidRPr="00AD0C6D">
        <w:rPr>
          <w:lang w:val="en-US"/>
        </w:rPr>
        <w:t xml:space="preserve">equivalent to 6 ECTS, while the updated 2025 programme includes </w:t>
      </w:r>
      <w:r w:rsidR="00C85A1E" w:rsidRPr="00AD0C6D">
        <w:rPr>
          <w:i/>
          <w:iCs/>
          <w:lang w:val="en-US"/>
        </w:rPr>
        <w:t xml:space="preserve">“Fundamental Rights and Liberties” </w:t>
      </w:r>
      <w:r w:rsidR="00C85A1E" w:rsidRPr="00AD0C6D">
        <w:rPr>
          <w:lang w:val="en-US"/>
        </w:rPr>
        <w:t>and</w:t>
      </w:r>
      <w:r w:rsidR="00C85A1E" w:rsidRPr="00AD0C6D">
        <w:rPr>
          <w:i/>
          <w:iCs/>
          <w:lang w:val="en-US"/>
        </w:rPr>
        <w:t xml:space="preserve"> “Treatment of Vulnerable Persons”.</w:t>
      </w:r>
      <w:r w:rsidR="00C85A1E" w:rsidRPr="00FA116E">
        <w:rPr>
          <w:i/>
          <w:iCs/>
          <w:lang w:val="en-US"/>
        </w:rPr>
        <w:t xml:space="preserve"> </w:t>
      </w:r>
    </w:p>
    <w:p w14:paraId="36610CBB" w14:textId="026C0A19" w:rsidR="00C85A1E" w:rsidRPr="00AD0C6D" w:rsidRDefault="006F2276" w:rsidP="005347B0">
      <w:pPr>
        <w:pStyle w:val="SingleTxtG"/>
        <w:rPr>
          <w:lang w:val="en-US"/>
        </w:rPr>
      </w:pPr>
      <w:r>
        <w:rPr>
          <w:lang w:val="en-US"/>
        </w:rPr>
        <w:t>33.</w:t>
      </w:r>
      <w:r>
        <w:rPr>
          <w:lang w:val="en-US"/>
        </w:rPr>
        <w:tab/>
      </w:r>
      <w:r w:rsidR="00C85A1E" w:rsidRPr="00AD0C6D">
        <w:rPr>
          <w:lang w:val="en-US"/>
        </w:rPr>
        <w:t>Specialized programmes cover racial and other discrimination legislation and investigation, combating racism, discrimination and xenophobia, human rights and handling of detainees, border control, international protection of refugees, identification and protection of vulnerable asylum seekers, trafficking in human beings, data protection and communication in a multicultural environment.  Human rights themes are horizontally integrated across training programmes, including respect for diversity, policing a multicultural society, police ethics, prohibition of torture and ill-treatment, investigation of racist offences and combating xenophobia and racism.</w:t>
      </w:r>
    </w:p>
    <w:p w14:paraId="44323780" w14:textId="7431D578" w:rsidR="00C85A1E" w:rsidRPr="00AD0C6D" w:rsidRDefault="006F2276" w:rsidP="005347B0">
      <w:pPr>
        <w:pStyle w:val="SingleTxtG"/>
        <w:rPr>
          <w:lang w:val="en-US"/>
        </w:rPr>
      </w:pPr>
      <w:r>
        <w:rPr>
          <w:lang w:val="en-US"/>
        </w:rPr>
        <w:t>34.</w:t>
      </w:r>
      <w:r>
        <w:rPr>
          <w:lang w:val="en-US"/>
        </w:rPr>
        <w:tab/>
      </w:r>
      <w:r w:rsidR="00C85A1E" w:rsidRPr="00AD0C6D">
        <w:rPr>
          <w:lang w:val="en-US"/>
        </w:rPr>
        <w:t xml:space="preserve">Annual seminars are organized by the Cyprus Police Academy, in cooperation with the Human Rights and Combating Discrimination Office, on respect for human rights and diversity, racism and xenophobia, disability awareness and antisemitism.  Police Standing Orders and protocols are continuously updated, and guidance is made available through training modules and the Police Portal. </w:t>
      </w:r>
    </w:p>
    <w:p w14:paraId="558813F9" w14:textId="6C91A8DA" w:rsidR="00C85A1E" w:rsidRPr="00AD0C6D" w:rsidRDefault="006F2276" w:rsidP="005347B0">
      <w:pPr>
        <w:pStyle w:val="SingleTxtG"/>
        <w:rPr>
          <w:lang w:val="en-US"/>
        </w:rPr>
      </w:pPr>
      <w:r>
        <w:rPr>
          <w:lang w:val="en-US"/>
        </w:rPr>
        <w:t>35.</w:t>
      </w:r>
      <w:r>
        <w:rPr>
          <w:lang w:val="en-US"/>
        </w:rPr>
        <w:tab/>
      </w:r>
      <w:r w:rsidR="00C85A1E" w:rsidRPr="00AD0C6D">
        <w:rPr>
          <w:lang w:val="en-US"/>
        </w:rPr>
        <w:t>Police members also participate in European and international training, including European Union Police and Civilian Service Training (EUPCST) on international standards for the protection of individuals and groups and European Union Agency for Law Enforcement Training (CEPOL) on fundamental rights, hate crimes and preventing racism and intolerance.</w:t>
      </w:r>
    </w:p>
    <w:p w14:paraId="60731591" w14:textId="7EF57509" w:rsidR="00C85A1E" w:rsidRPr="00AD0C6D" w:rsidRDefault="006F2276" w:rsidP="005347B0">
      <w:pPr>
        <w:pStyle w:val="SingleTxtG"/>
        <w:rPr>
          <w:lang w:val="en-US"/>
        </w:rPr>
      </w:pPr>
      <w:r>
        <w:rPr>
          <w:lang w:val="en-US"/>
        </w:rPr>
        <w:t>36.</w:t>
      </w:r>
      <w:r>
        <w:rPr>
          <w:lang w:val="en-US"/>
        </w:rPr>
        <w:tab/>
      </w:r>
      <w:r w:rsidR="00C85A1E" w:rsidRPr="00AD0C6D">
        <w:rPr>
          <w:lang w:val="en-US"/>
        </w:rPr>
        <w:t>The Cyprus Police actively participated in EU-funded projects aimed at strengthening the protection of fundamental rights and combating discrimination. These included the “No Hate Police” project, implemented between March 2024 and February 2026, through which 180 police officers received face-to-face training and 148 officers, mainly police cadets, completed e-learning courses. Furthermore, under the “Dismantle” project, implemented from May 2024 to April 2026, eight training seminars were organized, benefiting approximately 180 police officers.</w:t>
      </w:r>
    </w:p>
    <w:p w14:paraId="3A0F3AE9" w14:textId="24C0A803" w:rsidR="00C85A1E" w:rsidRPr="00AD0C6D" w:rsidRDefault="006F2276" w:rsidP="005347B0">
      <w:pPr>
        <w:pStyle w:val="SingleTxtG"/>
        <w:rPr>
          <w:lang w:val="en-US"/>
        </w:rPr>
      </w:pPr>
      <w:r>
        <w:rPr>
          <w:lang w:val="en-US"/>
        </w:rPr>
        <w:t>37.</w:t>
      </w:r>
      <w:r>
        <w:rPr>
          <w:lang w:val="en-US"/>
        </w:rPr>
        <w:tab/>
      </w:r>
      <w:r w:rsidR="00C85A1E" w:rsidRPr="00AD0C6D">
        <w:rPr>
          <w:lang w:val="en-US"/>
        </w:rPr>
        <w:t xml:space="preserve">For media workers and regulators, RTDSA delivered five specialized workshops in 2025, in cooperation with the Mediterranean Digital Media Observatory, for approximately 70 journalists and media professionals on disinformation, including discriminatory and racially charged narratives, verification techniques and deconstruction of misleading content.  </w:t>
      </w:r>
      <w:r w:rsidR="00C85A1E" w:rsidRPr="00AD0C6D">
        <w:rPr>
          <w:lang w:val="en-US"/>
        </w:rPr>
        <w:lastRenderedPageBreak/>
        <w:t>RTDSA also contributes to the Cyprus Safer Internet Centre, coordinated by the Cyprus Pedagogical Institute.</w:t>
      </w:r>
    </w:p>
    <w:p w14:paraId="7553D150" w14:textId="6E76763D" w:rsidR="00C85A1E" w:rsidRPr="00AD0C6D" w:rsidRDefault="006F2276" w:rsidP="005347B0">
      <w:pPr>
        <w:pStyle w:val="SingleTxtG"/>
        <w:rPr>
          <w:lang w:val="en-US"/>
        </w:rPr>
      </w:pPr>
      <w:r>
        <w:rPr>
          <w:lang w:val="en-US"/>
        </w:rPr>
        <w:t>38.</w:t>
      </w:r>
      <w:r>
        <w:rPr>
          <w:lang w:val="en-US"/>
        </w:rPr>
        <w:tab/>
      </w:r>
      <w:r w:rsidR="00C85A1E" w:rsidRPr="00AD0C6D">
        <w:rPr>
          <w:lang w:val="en-US"/>
        </w:rPr>
        <w:t xml:space="preserve">RTDSA hosted the 60th meeting of the European Platform of Regulatory Authorities in Limassol in October 2024, including a session on </w:t>
      </w:r>
      <w:r w:rsidR="00C85A1E" w:rsidRPr="00AD0C6D">
        <w:rPr>
          <w:i/>
          <w:iCs/>
          <w:lang w:val="en-US"/>
        </w:rPr>
        <w:t>“Fighting hateful content: The role of regulators”,</w:t>
      </w:r>
      <w:r w:rsidR="00C85A1E" w:rsidRPr="00AD0C6D">
        <w:rPr>
          <w:lang w:val="en-US"/>
        </w:rPr>
        <w:t xml:space="preserve"> addressing illegal hate speech, harmful expression, Digital Services Act implementation, cooperation with trusted flaggers, academia and civil society, and the role of regulators in detecting, monitoring and reporting online hate speech. </w:t>
      </w:r>
    </w:p>
    <w:p w14:paraId="2B91CDA5" w14:textId="5DE50859" w:rsidR="00C85A1E" w:rsidRPr="00AD0C6D" w:rsidRDefault="006F2276" w:rsidP="005347B0">
      <w:pPr>
        <w:pStyle w:val="SingleTxtG"/>
        <w:rPr>
          <w:lang w:val="en-US"/>
        </w:rPr>
      </w:pPr>
      <w:r>
        <w:rPr>
          <w:lang w:val="en-US"/>
        </w:rPr>
        <w:t>39.</w:t>
      </w:r>
      <w:r>
        <w:rPr>
          <w:lang w:val="en-US"/>
        </w:rPr>
        <w:tab/>
      </w:r>
      <w:r w:rsidR="00C85A1E" w:rsidRPr="00AD0C6D">
        <w:rPr>
          <w:lang w:val="en-US"/>
        </w:rPr>
        <w:t>Finally, the Ombudsperson continues to cooperate with public authorities, law enforcement bodies, equality stakeholders and civil society through training and institutional dialogue on anti-discrimination standards and victim protection.</w:t>
      </w:r>
    </w:p>
    <w:p w14:paraId="55068DE7" w14:textId="5A742329" w:rsidR="00C85A1E" w:rsidRPr="00FA116E" w:rsidRDefault="006F2276" w:rsidP="006F2276">
      <w:pPr>
        <w:pStyle w:val="H1G"/>
        <w:rPr>
          <w:lang w:val="en-US"/>
        </w:rPr>
      </w:pPr>
      <w:r>
        <w:rPr>
          <w:lang w:val="en-US"/>
        </w:rPr>
        <w:tab/>
      </w:r>
      <w:r>
        <w:rPr>
          <w:lang w:val="en-US"/>
        </w:rPr>
        <w:tab/>
      </w:r>
      <w:r w:rsidR="00834698" w:rsidRPr="001604FE">
        <w:rPr>
          <w:lang w:val="en-US"/>
        </w:rPr>
        <w:t>Follow-up information relating to paragra</w:t>
      </w:r>
      <w:r w:rsidR="00834698" w:rsidRPr="003F3A9E">
        <w:rPr>
          <w:color w:val="000000" w:themeColor="text1"/>
          <w:lang w:val="en-US"/>
        </w:rPr>
        <w:t xml:space="preserve">ph </w:t>
      </w:r>
      <w:r w:rsidR="00834698" w:rsidRPr="003F3A9E">
        <w:rPr>
          <w:color w:val="000000" w:themeColor="text1"/>
          <w:lang w:val="en-US"/>
        </w:rPr>
        <w:t>24</w:t>
      </w:r>
      <w:r w:rsidR="00834698" w:rsidRPr="003F3A9E">
        <w:rPr>
          <w:color w:val="000000" w:themeColor="text1"/>
          <w:lang w:val="en-US"/>
        </w:rPr>
        <w:t xml:space="preserve"> of the concluding observations</w:t>
      </w:r>
    </w:p>
    <w:p w14:paraId="777EAB5C" w14:textId="58A5CAB4" w:rsidR="00C85A1E" w:rsidRPr="00AD0C6D" w:rsidRDefault="006F2276" w:rsidP="005347B0">
      <w:pPr>
        <w:pStyle w:val="SingleTxtG"/>
        <w:rPr>
          <w:lang w:val="en-US"/>
        </w:rPr>
      </w:pPr>
      <w:r>
        <w:rPr>
          <w:lang w:val="en-US"/>
        </w:rPr>
        <w:t>40.</w:t>
      </w:r>
      <w:r>
        <w:rPr>
          <w:lang w:val="en-US"/>
        </w:rPr>
        <w:tab/>
      </w:r>
      <w:r w:rsidR="00C85A1E" w:rsidRPr="00AD0C6D">
        <w:rPr>
          <w:lang w:val="en-US"/>
        </w:rPr>
        <w:t>In response to the Committee’s recommendation in paragraph 24, Cyprus has taken measures to enforce statutory limits on pretrial detention, increase alternatives to detention, ensure that detention of migrants and asylum seekers is used only where necessary and proportionate, and maintain the separation of pretrial detainees from convicted prisoners.</w:t>
      </w:r>
    </w:p>
    <w:p w14:paraId="5180DD76" w14:textId="261A9C77" w:rsidR="00C85A1E" w:rsidRPr="00AD0C6D" w:rsidRDefault="006F2276" w:rsidP="005347B0">
      <w:pPr>
        <w:pStyle w:val="SingleTxtG"/>
        <w:rPr>
          <w:lang w:val="en-US"/>
        </w:rPr>
      </w:pPr>
      <w:r>
        <w:rPr>
          <w:lang w:val="en-US"/>
        </w:rPr>
        <w:t>41.</w:t>
      </w:r>
      <w:r>
        <w:rPr>
          <w:lang w:val="en-US"/>
        </w:rPr>
        <w:tab/>
      </w:r>
      <w:r w:rsidR="00C85A1E" w:rsidRPr="00AD0C6D">
        <w:rPr>
          <w:lang w:val="en-US"/>
        </w:rPr>
        <w:t>The Constitution of the Republic of Cyprus and the Criminal Procedure Law (Cap. 155), provide strict safeguards regarding deprivation of liberty and the duration of pretrial detention.  A person arrested must be brought before a judge as soon as possible and, in any event, no later than twenty-four hours from the time of arrest.  The judge then decides whether the person should be released or remain in custody.</w:t>
      </w:r>
    </w:p>
    <w:p w14:paraId="57BCC737" w14:textId="4F230C77" w:rsidR="00C85A1E" w:rsidRPr="00AD0C6D" w:rsidRDefault="006F2276" w:rsidP="005347B0">
      <w:pPr>
        <w:pStyle w:val="SingleTxtG"/>
        <w:rPr>
          <w:lang w:val="en-US"/>
        </w:rPr>
      </w:pPr>
      <w:r>
        <w:rPr>
          <w:lang w:val="en-US"/>
        </w:rPr>
        <w:t>42.</w:t>
      </w:r>
      <w:r>
        <w:rPr>
          <w:lang w:val="en-US"/>
        </w:rPr>
        <w:tab/>
      </w:r>
      <w:r w:rsidR="00C85A1E" w:rsidRPr="00AD0C6D">
        <w:rPr>
          <w:lang w:val="en-US"/>
        </w:rPr>
        <w:t>Pretrial detention may be ordered by a court only where the legal conditions are satisfied.  These include that a specific offence has been committed, there is reasonable suspicion supported by evidence linking the suspect to the offence, the investigation has not yet been completed, the Police must specify, the outstanding investigative steps, and detention is necessary for the proper conduct of the investigation, including to prevent interference with witnesses, destruction of evidence or risk of absconding.</w:t>
      </w:r>
    </w:p>
    <w:p w14:paraId="00337089" w14:textId="1D754A4B" w:rsidR="00C85A1E" w:rsidRPr="00AD0C6D" w:rsidRDefault="006F2276" w:rsidP="005347B0">
      <w:pPr>
        <w:pStyle w:val="SingleTxtG"/>
        <w:rPr>
          <w:lang w:val="en-US"/>
        </w:rPr>
      </w:pPr>
      <w:r>
        <w:rPr>
          <w:lang w:val="en-US"/>
        </w:rPr>
        <w:t>43.</w:t>
      </w:r>
      <w:r>
        <w:rPr>
          <w:lang w:val="en-US"/>
        </w:rPr>
        <w:tab/>
      </w:r>
      <w:r w:rsidR="00C85A1E" w:rsidRPr="00AD0C6D">
        <w:rPr>
          <w:lang w:val="en-US"/>
        </w:rPr>
        <w:t>Remand may be ordered for periods not exceeding eight days at a time.  The total duration of pretrial detention cannot exceed three months, in accordance with section 24 of the Criminal Procedure Law and article 11(6) of the Constitution.  The Police cannot extend detention without a court order.  Each request for further detention is subject to judicial scrutiny, necessity and proportionality.  Courts exercise continuous supervision over the duration of detention, and failure to meet the required legal thresholds results in the immediate release of the detainee.</w:t>
      </w:r>
    </w:p>
    <w:p w14:paraId="5070EC4B" w14:textId="3ACE12A2" w:rsidR="00C85A1E" w:rsidRPr="00AD0C6D" w:rsidRDefault="006F2276" w:rsidP="005347B0">
      <w:pPr>
        <w:pStyle w:val="SingleTxtG"/>
        <w:rPr>
          <w:lang w:val="en-US"/>
        </w:rPr>
      </w:pPr>
      <w:r>
        <w:rPr>
          <w:lang w:val="en-US"/>
        </w:rPr>
        <w:t>44.</w:t>
      </w:r>
      <w:r>
        <w:rPr>
          <w:lang w:val="en-US"/>
        </w:rPr>
        <w:tab/>
      </w:r>
      <w:r w:rsidR="00C85A1E" w:rsidRPr="00AD0C6D">
        <w:rPr>
          <w:lang w:val="en-US"/>
        </w:rPr>
        <w:t>The Ombudsperson, acting also as National Preventive Mechanism under the Optional Protocol to the Convention Against Torture (OPCAT), monitors the use and duration of pretrial detention and has emphasized the importance of strict judicial oversight, proportionality, necessity and effective enforcement of statutory limits.</w:t>
      </w:r>
    </w:p>
    <w:p w14:paraId="1725DFC1" w14:textId="3851480B" w:rsidR="00C85A1E" w:rsidRPr="00AD0C6D" w:rsidRDefault="006F2276" w:rsidP="005347B0">
      <w:pPr>
        <w:pStyle w:val="SingleTxtG"/>
        <w:rPr>
          <w:lang w:val="en-US"/>
        </w:rPr>
      </w:pPr>
      <w:r>
        <w:rPr>
          <w:lang w:val="en-US"/>
        </w:rPr>
        <w:t>45.</w:t>
      </w:r>
      <w:r>
        <w:rPr>
          <w:lang w:val="en-US"/>
        </w:rPr>
        <w:tab/>
      </w:r>
      <w:r w:rsidR="00C85A1E" w:rsidRPr="00AD0C6D">
        <w:rPr>
          <w:lang w:val="en-US"/>
        </w:rPr>
        <w:t xml:space="preserve">Cyprus remains committed to strengthening the use of alternatives to pretrial detention, in line with the United Nations Standard Minimum Rules for Non-custodial Measures, the Tokyo Rules, and the principle of individualized and proportionate measures. </w:t>
      </w:r>
    </w:p>
    <w:p w14:paraId="23059D32" w14:textId="600D6C4F" w:rsidR="00C85A1E" w:rsidRPr="00AD0C6D" w:rsidRDefault="006F2276" w:rsidP="005347B0">
      <w:pPr>
        <w:pStyle w:val="SingleTxtG"/>
        <w:rPr>
          <w:lang w:val="en-US"/>
        </w:rPr>
      </w:pPr>
      <w:r>
        <w:rPr>
          <w:lang w:val="en-US"/>
        </w:rPr>
        <w:t>46.</w:t>
      </w:r>
      <w:r>
        <w:rPr>
          <w:lang w:val="en-US"/>
        </w:rPr>
        <w:tab/>
      </w:r>
      <w:r w:rsidR="00C85A1E" w:rsidRPr="00AD0C6D">
        <w:rPr>
          <w:lang w:val="en-US"/>
        </w:rPr>
        <w:t>In migration and asylum procedures, Cyprus applies detention measures on the basis of an individual assessment and in accordance with the applicable national and European legal framework.  Detention of asylum seekers and migrants is used only where necessary and proportionate, and efforts continue to promote alternatives whenever possible.</w:t>
      </w:r>
    </w:p>
    <w:p w14:paraId="296C55D7" w14:textId="0C559B38" w:rsidR="00C85A1E" w:rsidRPr="00AD0C6D" w:rsidRDefault="006F2276" w:rsidP="005347B0">
      <w:pPr>
        <w:pStyle w:val="SingleTxtG"/>
        <w:rPr>
          <w:lang w:val="en-US"/>
        </w:rPr>
      </w:pPr>
      <w:r>
        <w:rPr>
          <w:lang w:val="en-US"/>
        </w:rPr>
        <w:t>47.</w:t>
      </w:r>
      <w:r>
        <w:rPr>
          <w:lang w:val="en-US"/>
        </w:rPr>
        <w:tab/>
      </w:r>
      <w:r w:rsidR="00C85A1E" w:rsidRPr="00AD0C6D">
        <w:rPr>
          <w:lang w:val="en-US"/>
        </w:rPr>
        <w:t xml:space="preserve">Alternatives may include placement in reception facilities or accommodation in the community, depending on the circumstances of each case.  Relevant authorities cooperate to ensure that detention is applied for the shortest period necessary and in line with fundamental rights safeguards.  Vulnerability assessments are carried out in order to identify applicants with specific needs, and appropriate referrals and accommodation arrangements are made where required.  Particular consideration is given to vulnerable persons, including families, </w:t>
      </w:r>
      <w:r w:rsidR="00C85A1E" w:rsidRPr="00AD0C6D">
        <w:rPr>
          <w:lang w:val="en-US"/>
        </w:rPr>
        <w:lastRenderedPageBreak/>
        <w:t>victims of trafficking, persons with mental health concerns and other applicants with specific protection needs.</w:t>
      </w:r>
    </w:p>
    <w:p w14:paraId="3C25E84E" w14:textId="6B638819" w:rsidR="00C85A1E" w:rsidRPr="00AD0C6D" w:rsidRDefault="006F2276" w:rsidP="005347B0">
      <w:pPr>
        <w:pStyle w:val="SingleTxtG"/>
        <w:rPr>
          <w:lang w:val="en-US"/>
        </w:rPr>
      </w:pPr>
      <w:r>
        <w:rPr>
          <w:lang w:val="en-US"/>
        </w:rPr>
        <w:t>48.</w:t>
      </w:r>
      <w:r>
        <w:rPr>
          <w:lang w:val="en-US"/>
        </w:rPr>
        <w:tab/>
      </w:r>
      <w:r w:rsidR="00C85A1E" w:rsidRPr="00AD0C6D">
        <w:rPr>
          <w:lang w:val="en-US"/>
        </w:rPr>
        <w:t>The Ombudsperson continues to monitor compliance with the requirement that pretrial detainees are held separately from convicted prisoners, in line with international standards and the presumption of innocence.  Monitoring of detention facilities, including police detention centers, prisons and immigration detention facilities, remains part of the Ombudsperson’s mandate as National Preventive Mechanism under OPCAT.</w:t>
      </w:r>
    </w:p>
    <w:p w14:paraId="657C3A68" w14:textId="1E48C43B" w:rsidR="00C85A1E" w:rsidRPr="00FA116E" w:rsidRDefault="006F2276" w:rsidP="006F2276">
      <w:pPr>
        <w:pStyle w:val="H1G"/>
        <w:rPr>
          <w:lang w:val="en-US"/>
        </w:rPr>
      </w:pPr>
      <w:r>
        <w:rPr>
          <w:lang w:val="en-US"/>
        </w:rPr>
        <w:tab/>
      </w:r>
      <w:r>
        <w:rPr>
          <w:lang w:val="en-US"/>
        </w:rPr>
        <w:tab/>
      </w:r>
      <w:r w:rsidR="00834698" w:rsidRPr="001604FE">
        <w:rPr>
          <w:lang w:val="en-US"/>
        </w:rPr>
        <w:t>Follow-up information relating to</w:t>
      </w:r>
      <w:r w:rsidR="00834698" w:rsidRPr="003F3A9E">
        <w:rPr>
          <w:color w:val="000000" w:themeColor="text1"/>
          <w:lang w:val="en-US"/>
        </w:rPr>
        <w:t xml:space="preserve"> paragraph </w:t>
      </w:r>
      <w:r w:rsidR="00834698" w:rsidRPr="003F3A9E">
        <w:rPr>
          <w:color w:val="000000" w:themeColor="text1"/>
          <w:lang w:val="en-US"/>
        </w:rPr>
        <w:t>4</w:t>
      </w:r>
      <w:r w:rsidR="00834698" w:rsidRPr="003F3A9E">
        <w:rPr>
          <w:color w:val="000000" w:themeColor="text1"/>
          <w:lang w:val="en-US"/>
        </w:rPr>
        <w:t xml:space="preserve">4 </w:t>
      </w:r>
      <w:r w:rsidR="003F3A9E" w:rsidRPr="003F3A9E">
        <w:rPr>
          <w:color w:val="000000" w:themeColor="text1"/>
          <w:lang w:val="en-US"/>
        </w:rPr>
        <w:t>of the concluding observations</w:t>
      </w:r>
    </w:p>
    <w:p w14:paraId="69D98D88" w14:textId="5C7F51F4" w:rsidR="00C85A1E" w:rsidRPr="00AD0C6D" w:rsidRDefault="006F2276" w:rsidP="005347B0">
      <w:pPr>
        <w:pStyle w:val="SingleTxtG"/>
        <w:rPr>
          <w:lang w:val="en-US"/>
        </w:rPr>
      </w:pPr>
      <w:r>
        <w:rPr>
          <w:lang w:val="en-US"/>
        </w:rPr>
        <w:t>49.</w:t>
      </w:r>
      <w:r>
        <w:rPr>
          <w:lang w:val="en-US"/>
        </w:rPr>
        <w:tab/>
      </w:r>
      <w:r w:rsidR="00C85A1E" w:rsidRPr="00AD0C6D">
        <w:rPr>
          <w:lang w:val="en-US"/>
        </w:rPr>
        <w:t>In response to the Committee’s recommendation in paragraph 44, Cyprus has taken administrative, organizational and institutional measures to facilitate participation in electoral processes by Turkish Cypriots and persons with disabilities.</w:t>
      </w:r>
    </w:p>
    <w:p w14:paraId="5A178DDF" w14:textId="524CB802" w:rsidR="00C85A1E" w:rsidRPr="00AD0C6D" w:rsidRDefault="006F2276" w:rsidP="005347B0">
      <w:pPr>
        <w:pStyle w:val="SingleTxtG"/>
        <w:rPr>
          <w:lang w:val="en-US"/>
        </w:rPr>
      </w:pPr>
      <w:r>
        <w:rPr>
          <w:lang w:val="en-US"/>
        </w:rPr>
        <w:t>50.</w:t>
      </w:r>
      <w:r>
        <w:rPr>
          <w:lang w:val="en-US"/>
        </w:rPr>
        <w:tab/>
      </w:r>
      <w:r w:rsidR="00C85A1E" w:rsidRPr="00AD0C6D">
        <w:rPr>
          <w:lang w:val="en-US"/>
        </w:rPr>
        <w:t>As regards Turkish Cypriots, polling stations at which they exercise their right to vote provide information in the Turkish language, and all voters are allocated to polling stations on the basis of the same criteria.  Turkish Cypriots residing in the areas of the Republic, under the effective control of the Government, enjoy the same electoral rights as Greek Cypriots.</w:t>
      </w:r>
    </w:p>
    <w:p w14:paraId="54AA7A54" w14:textId="2AEF939A" w:rsidR="00C85A1E" w:rsidRPr="00AD0C6D" w:rsidRDefault="006F2276" w:rsidP="005347B0">
      <w:pPr>
        <w:pStyle w:val="SingleTxtG"/>
        <w:rPr>
          <w:lang w:val="en-US"/>
        </w:rPr>
      </w:pPr>
      <w:r>
        <w:rPr>
          <w:lang w:val="en-US"/>
        </w:rPr>
        <w:t>51.</w:t>
      </w:r>
      <w:r>
        <w:rPr>
          <w:lang w:val="en-US"/>
        </w:rPr>
        <w:tab/>
      </w:r>
      <w:r w:rsidR="00C85A1E" w:rsidRPr="00AD0C6D">
        <w:rPr>
          <w:lang w:val="en-US"/>
        </w:rPr>
        <w:t xml:space="preserve">For European Parliament elections, in which Turkish Cypriots residing in areas of the Republic not under the effective control of the Government are also entitled to participate, specific measures are taken to facilitate participation.  Turkish Cypriots are automatically registered in the special electoral roll for European Parliament elections upon reaching the age of eighteen, following a legislative amendment adopted in 2014.  All voters, including Greek Cypriots, Turkish Cypriots and members of Religious Groups, have access to electronic information services enabling them to identify their designated polling station easily. </w:t>
      </w:r>
    </w:p>
    <w:p w14:paraId="2B23CBF2" w14:textId="0788CD80" w:rsidR="00C85A1E" w:rsidRPr="00AD0C6D" w:rsidRDefault="006F2276" w:rsidP="005347B0">
      <w:pPr>
        <w:pStyle w:val="SingleTxtG"/>
        <w:rPr>
          <w:lang w:val="en-US"/>
        </w:rPr>
      </w:pPr>
      <w:r>
        <w:rPr>
          <w:lang w:val="en-US"/>
        </w:rPr>
        <w:t>52.</w:t>
      </w:r>
      <w:r>
        <w:rPr>
          <w:lang w:val="en-US"/>
        </w:rPr>
        <w:tab/>
      </w:r>
      <w:r w:rsidR="00C85A1E" w:rsidRPr="00AD0C6D">
        <w:rPr>
          <w:lang w:val="en-US"/>
        </w:rPr>
        <w:t>In the 2024 European Parliament elections, Cyprus operated a dedicated information webpage on voter registration status, established twenty-nine special polling stations for Turkish Cypriots at selected locations along the Green Line and provided facilitative measures, including bus transportation from crossing points to the special polling stations.  Prior to each European Parliament electoral process, all potential polling-station locations are examined in a manner that safeguards the integrity of the electoral process while facilitating participation.</w:t>
      </w:r>
    </w:p>
    <w:p w14:paraId="1753DE2E" w14:textId="27A683E7" w:rsidR="00C85A1E" w:rsidRPr="00AD0C6D" w:rsidRDefault="006F2276" w:rsidP="005347B0">
      <w:pPr>
        <w:pStyle w:val="SingleTxtG"/>
        <w:rPr>
          <w:lang w:val="en-US"/>
        </w:rPr>
      </w:pPr>
      <w:r>
        <w:rPr>
          <w:lang w:val="en-US"/>
        </w:rPr>
        <w:t>53.</w:t>
      </w:r>
      <w:r>
        <w:rPr>
          <w:lang w:val="en-US"/>
        </w:rPr>
        <w:tab/>
      </w:r>
      <w:r w:rsidR="00C85A1E" w:rsidRPr="00AD0C6D">
        <w:rPr>
          <w:lang w:val="en-US"/>
        </w:rPr>
        <w:t>As regards persons with disabilities, Cyprus adopts specific administrative and organizational measures to ensure that polling stations are accessible to all voters, including persons with disabilities and mobility impairments, in cooperation with organizations representing persons with disabilities.  There is no prohibition on the exercise of the right to vote for persons with intellectual disabilities.  The Elections Section of the Ministry of Interior has clarified that the relevant restriction in the Constitution and electoral legislation concerns eligibility to stand for election, namely the requirement that a person must not suffer from a mental condition understood as rendering the individual incapable of performing the duties of the office.</w:t>
      </w:r>
    </w:p>
    <w:p w14:paraId="077F4755" w14:textId="6DB8845F" w:rsidR="00C85A1E" w:rsidRPr="00AD0C6D" w:rsidRDefault="006F2276" w:rsidP="005347B0">
      <w:pPr>
        <w:pStyle w:val="SingleTxtG"/>
        <w:rPr>
          <w:lang w:val="en-US"/>
        </w:rPr>
      </w:pPr>
      <w:r>
        <w:rPr>
          <w:lang w:val="en-US"/>
        </w:rPr>
        <w:t>54.</w:t>
      </w:r>
      <w:r>
        <w:rPr>
          <w:lang w:val="en-US"/>
        </w:rPr>
        <w:tab/>
      </w:r>
      <w:r w:rsidR="00C85A1E" w:rsidRPr="00AD0C6D">
        <w:rPr>
          <w:lang w:val="en-US"/>
        </w:rPr>
        <w:t>The Ombudsperson has also carried out an awareness-raising campaign on equal participation in elections, and cooperates with civil society, ministries and competent authorities to promote inclusive democratic participation.</w:t>
      </w:r>
    </w:p>
    <w:p w14:paraId="38E03955" w14:textId="0C48B47D" w:rsidR="00C85A1E" w:rsidRPr="00AD0C6D" w:rsidRDefault="006F2276" w:rsidP="005347B0">
      <w:pPr>
        <w:pStyle w:val="SingleTxtG"/>
        <w:rPr>
          <w:lang w:val="en-US"/>
        </w:rPr>
      </w:pPr>
      <w:r>
        <w:rPr>
          <w:lang w:val="en-US"/>
        </w:rPr>
        <w:t>55.</w:t>
      </w:r>
      <w:r>
        <w:rPr>
          <w:lang w:val="en-US"/>
        </w:rPr>
        <w:tab/>
      </w:r>
      <w:r w:rsidR="00C85A1E" w:rsidRPr="00AD0C6D">
        <w:rPr>
          <w:lang w:val="en-US"/>
        </w:rPr>
        <w:t xml:space="preserve">A Human Rights Advisory Committee was established in the context of the reaccreditation of the Ombudsperson as a National Human Rights Institution in 2022, with a view to ensuring pluralistic representation of civil society actors engaged in the promotion and protection of human rights.  The Committee contributed to the accreditation of the Office as an A-status National Human Rights Institution by the Global Alliance of National Human Rights Institutions Sub-Committee on Accreditation and brings together representatives from civil society organizations working on, </w:t>
      </w:r>
      <w:r w:rsidR="00C85A1E" w:rsidRPr="00AD0C6D">
        <w:rPr>
          <w:i/>
          <w:iCs/>
          <w:lang w:val="en-US"/>
        </w:rPr>
        <w:t>inter alia</w:t>
      </w:r>
      <w:r w:rsidR="00C85A1E" w:rsidRPr="00AD0C6D">
        <w:rPr>
          <w:lang w:val="en-US"/>
        </w:rPr>
        <w:t>, domestic violence, refugees, persons with disabilities, prisoners and ex-prisoners, gender equality, older persons and LGBTI rights.</w:t>
      </w:r>
    </w:p>
    <w:p w14:paraId="0D04473A" w14:textId="2431E7A0" w:rsidR="00C85A1E" w:rsidRDefault="00A14B40" w:rsidP="00A14B40">
      <w:pPr>
        <w:pStyle w:val="SingleTxtG"/>
        <w:keepNext/>
        <w:keepLines/>
        <w:rPr>
          <w:lang w:val="en-US"/>
        </w:rPr>
      </w:pPr>
      <w:r>
        <w:rPr>
          <w:lang w:val="en-US"/>
        </w:rPr>
        <w:lastRenderedPageBreak/>
        <w:t>56.</w:t>
      </w:r>
      <w:r>
        <w:rPr>
          <w:lang w:val="en-US"/>
        </w:rPr>
        <w:tab/>
      </w:r>
      <w:r w:rsidR="00C85A1E" w:rsidRPr="00AD0C6D">
        <w:rPr>
          <w:lang w:val="en-US"/>
        </w:rPr>
        <w:t>In the field of disability rights, the Ombudsperson has also been designated as the independent mechanism under article 33(2) of the Convention on the Rights of Persons with Disabilities.  Within this framework, the Ombudsperson convenes and consults with the Advisory Committee on the UN CRPD, which includes representatives of the Cyprus Confederation of Organizations of Persons with Disabilities and other representatives of persons with disabilities and their families.</w:t>
      </w:r>
    </w:p>
    <w:p w14:paraId="7E119E0A" w14:textId="41668657" w:rsidR="00C85A1E" w:rsidRPr="00A14B40" w:rsidRDefault="00A14B40" w:rsidP="00A14B40">
      <w:pPr>
        <w:pStyle w:val="SingleTxtG"/>
        <w:keepNext/>
        <w:keepLines/>
        <w:jc w:val="center"/>
        <w:rPr>
          <w:lang w:val="en-US"/>
        </w:rPr>
      </w:pPr>
      <w:r>
        <w:rPr>
          <w:lang w:val="en-US"/>
        </w:rPr>
        <w:t>______________</w:t>
      </w:r>
    </w:p>
    <w:p w14:paraId="04E8D727" w14:textId="77777777" w:rsidR="00C85A1E" w:rsidRPr="00AD0C6D" w:rsidRDefault="00C85A1E" w:rsidP="00C85A1E">
      <w:pPr>
        <w:rPr>
          <w:rFonts w:ascii="Candara" w:hAnsi="Candara"/>
          <w:sz w:val="24"/>
          <w:szCs w:val="24"/>
          <w:lang w:val="en-US"/>
        </w:rPr>
      </w:pPr>
    </w:p>
    <w:p w14:paraId="7392ADD6" w14:textId="77777777" w:rsidR="00C85A1E" w:rsidRPr="00AD0C6D" w:rsidRDefault="00C85A1E" w:rsidP="00C85A1E">
      <w:pPr>
        <w:rPr>
          <w:rFonts w:ascii="Candara" w:hAnsi="Candara"/>
          <w:sz w:val="24"/>
          <w:szCs w:val="24"/>
          <w:lang w:val="en-US"/>
        </w:rPr>
      </w:pPr>
    </w:p>
    <w:p w14:paraId="5D23CD32" w14:textId="77777777" w:rsidR="00C85A1E" w:rsidRPr="00AD0C6D" w:rsidRDefault="00C85A1E" w:rsidP="00C85A1E">
      <w:pPr>
        <w:rPr>
          <w:rFonts w:ascii="Candara" w:hAnsi="Candara"/>
          <w:sz w:val="24"/>
          <w:szCs w:val="24"/>
          <w:lang w:val="en-US"/>
        </w:rPr>
      </w:pPr>
    </w:p>
    <w:p w14:paraId="4183EB14" w14:textId="77777777" w:rsidR="00C85A1E" w:rsidRPr="00AD0C6D" w:rsidRDefault="00C85A1E" w:rsidP="00C85A1E">
      <w:pPr>
        <w:rPr>
          <w:rFonts w:ascii="Candara" w:hAnsi="Candara"/>
          <w:sz w:val="24"/>
          <w:szCs w:val="24"/>
          <w:lang w:val="en-US"/>
        </w:rPr>
      </w:pPr>
    </w:p>
    <w:p w14:paraId="7CDE3807" w14:textId="77777777" w:rsidR="00C85A1E" w:rsidRPr="00AD0C6D" w:rsidRDefault="00C85A1E" w:rsidP="00C85A1E">
      <w:pPr>
        <w:rPr>
          <w:rFonts w:ascii="Candara" w:hAnsi="Candara"/>
          <w:sz w:val="24"/>
          <w:szCs w:val="24"/>
          <w:lang w:val="en-US"/>
        </w:rPr>
      </w:pPr>
    </w:p>
    <w:p w14:paraId="67B2CFC2" w14:textId="77777777" w:rsidR="00E77578" w:rsidRPr="00C85A1E" w:rsidRDefault="00E77578">
      <w:pPr>
        <w:pStyle w:val="SingleTxtG"/>
        <w:rPr>
          <w:lang w:val="en-US"/>
        </w:rPr>
      </w:pPr>
    </w:p>
    <w:sectPr w:rsidR="00E77578" w:rsidRPr="00C85A1E">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F48A75" w14:textId="77777777" w:rsidR="00902C92" w:rsidRDefault="00902C92">
      <w:pPr>
        <w:spacing w:line="240" w:lineRule="auto"/>
      </w:pPr>
    </w:p>
  </w:endnote>
  <w:endnote w:type="continuationSeparator" w:id="0">
    <w:p w14:paraId="091734C1" w14:textId="77777777" w:rsidR="00902C92" w:rsidRDefault="00902C92">
      <w:pPr>
        <w:pStyle w:val="Footer"/>
      </w:pPr>
    </w:p>
  </w:endnote>
  <w:endnote w:type="continuationNotice" w:id="1">
    <w:p w14:paraId="39D3AE5F" w14:textId="77777777" w:rsidR="00902C92" w:rsidRDefault="00902C9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9E9F5" w14:textId="77777777" w:rsidR="00E77578" w:rsidRDefault="00902C92">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B064BC">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4F8F5" w14:textId="77777777" w:rsidR="00E77578" w:rsidRDefault="00EA458E">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A9EBC" w14:textId="77777777" w:rsidR="00E77578" w:rsidRDefault="00902C92">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7E006C93" wp14:editId="715249E5">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E9387E" w14:paraId="2111273A" w14:textId="77777777">
      <w:tc>
        <w:tcPr>
          <w:tcW w:w="1848" w:type="dxa"/>
          <w:vAlign w:val="bottom"/>
        </w:tcPr>
        <w:p w14:paraId="14787E0C" w14:textId="77777777" w:rsidR="00E77578" w:rsidRDefault="00902C92">
          <w:pPr>
            <w:kinsoku w:val="0"/>
            <w:overflowPunct w:val="0"/>
            <w:autoSpaceDE w:val="0"/>
            <w:autoSpaceDN w:val="0"/>
            <w:adjustRightInd w:val="0"/>
            <w:snapToGrid w:val="0"/>
            <w:spacing w:before="120" w:after="120" w:line="240" w:lineRule="auto"/>
            <w:jc w:val="right"/>
            <w:rPr>
              <w:rFonts w:eastAsiaTheme="minorHAnsi"/>
              <w:sz w:val="16"/>
              <w:lang w:val="fr-CH"/>
            </w:rPr>
          </w:pPr>
          <w:r>
            <w:rPr>
              <w:rFonts w:eastAsiaTheme="minorHAnsi"/>
              <w:noProof/>
              <w:lang w:val="fr-CH" w:eastAsia="fr-CH"/>
            </w:rPr>
            <w:drawing>
              <wp:inline distT="0" distB="0" distL="0" distR="0" wp14:anchorId="7CE9D830" wp14:editId="3217AF56">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6D884D7A" w14:textId="77777777" w:rsidR="00E77578" w:rsidRDefault="00E77578">
          <w:pPr>
            <w:kinsoku w:val="0"/>
            <w:overflowPunct w:val="0"/>
            <w:autoSpaceDE w:val="0"/>
            <w:autoSpaceDN w:val="0"/>
            <w:adjustRightInd w:val="0"/>
            <w:snapToGrid w:val="0"/>
            <w:spacing w:line="240" w:lineRule="auto"/>
            <w:jc w:val="right"/>
            <w:rPr>
              <w:rFonts w:eastAsiaTheme="minorHAnsi"/>
              <w:sz w:val="16"/>
              <w:lang w:val="fr-CH"/>
            </w:rPr>
          </w:pPr>
        </w:p>
      </w:tc>
    </w:tr>
  </w:tbl>
  <w:p w14:paraId="2A1A90BF" w14:textId="77777777" w:rsidR="00E77578" w:rsidRDefault="00E775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39FE7F" w14:textId="77777777" w:rsidR="00902C92" w:rsidRDefault="00902C92">
      <w:pPr>
        <w:pStyle w:val="Footer"/>
        <w:tabs>
          <w:tab w:val="right" w:pos="2155"/>
        </w:tabs>
        <w:spacing w:after="80" w:line="240" w:lineRule="atLeast"/>
        <w:ind w:left="680"/>
        <w:rPr>
          <w:u w:val="single"/>
        </w:rPr>
      </w:pPr>
      <w:r>
        <w:rPr>
          <w:u w:val="single"/>
        </w:rPr>
        <w:tab/>
      </w:r>
    </w:p>
  </w:footnote>
  <w:footnote w:type="continuationSeparator" w:id="0">
    <w:p w14:paraId="29C05B96" w14:textId="77777777" w:rsidR="00902C92" w:rsidRDefault="00902C92">
      <w:pPr>
        <w:pStyle w:val="Footer"/>
        <w:tabs>
          <w:tab w:val="right" w:pos="2155"/>
        </w:tabs>
        <w:spacing w:after="80" w:line="240" w:lineRule="atLeast"/>
        <w:ind w:left="680"/>
        <w:rPr>
          <w:u w:val="single"/>
        </w:rPr>
      </w:pPr>
      <w:r>
        <w:rPr>
          <w:u w:val="single"/>
        </w:rPr>
        <w:tab/>
      </w:r>
    </w:p>
  </w:footnote>
  <w:footnote w:type="continuationNotice" w:id="1">
    <w:p w14:paraId="618734A0" w14:textId="77777777" w:rsidR="00902C92" w:rsidRDefault="00902C92">
      <w:pPr>
        <w:spacing w:line="240" w:lineRule="auto"/>
        <w:rPr>
          <w:sz w:val="2"/>
          <w:szCs w:val="2"/>
        </w:rPr>
      </w:pPr>
    </w:p>
  </w:footnote>
  <w:footnote w:id="2">
    <w:p w14:paraId="51AE407F" w14:textId="77777777" w:rsidR="00E77578" w:rsidRDefault="00902C92">
      <w:pPr>
        <w:pStyle w:val="FootnoteText"/>
        <w:rPr>
          <w:lang w:val="en-US"/>
        </w:rPr>
      </w:pPr>
      <w:r>
        <w:tab/>
      </w:r>
      <w:r>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502A0" w14:textId="77777777" w:rsidR="00E77578" w:rsidRDefault="00EA458E">
    <w:pPr>
      <w:pStyle w:val="Header"/>
    </w:pPr>
    <w:r>
      <w:t>CCPR/C/CYP/FCO/5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956E2" w14:textId="77777777" w:rsidR="00E77578" w:rsidRDefault="00EA458E">
    <w:pPr>
      <w:pStyle w:val="Header"/>
      <w:jc w:val="right"/>
    </w:pPr>
    <w:r>
      <w:t>CCPR/C/CYP/FCO/5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7E0043B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326AEDA" w:tentative="1">
      <w:start w:val="1"/>
      <w:numFmt w:val="lowerLetter"/>
      <w:lvlText w:val="%2."/>
      <w:lvlJc w:val="left"/>
      <w:pPr>
        <w:tabs>
          <w:tab w:val="num" w:pos="1440"/>
        </w:tabs>
        <w:ind w:left="1440" w:hanging="360"/>
      </w:pPr>
    </w:lvl>
    <w:lvl w:ilvl="2" w:tplc="5EC29E6E" w:tentative="1">
      <w:start w:val="1"/>
      <w:numFmt w:val="lowerRoman"/>
      <w:lvlText w:val="%3."/>
      <w:lvlJc w:val="right"/>
      <w:pPr>
        <w:tabs>
          <w:tab w:val="num" w:pos="2160"/>
        </w:tabs>
        <w:ind w:left="2160" w:hanging="180"/>
      </w:pPr>
    </w:lvl>
    <w:lvl w:ilvl="3" w:tplc="802ECE8A" w:tentative="1">
      <w:start w:val="1"/>
      <w:numFmt w:val="decimal"/>
      <w:lvlText w:val="%4."/>
      <w:lvlJc w:val="left"/>
      <w:pPr>
        <w:tabs>
          <w:tab w:val="num" w:pos="2880"/>
        </w:tabs>
        <w:ind w:left="2880" w:hanging="360"/>
      </w:pPr>
    </w:lvl>
    <w:lvl w:ilvl="4" w:tplc="228A5746" w:tentative="1">
      <w:start w:val="1"/>
      <w:numFmt w:val="lowerLetter"/>
      <w:lvlText w:val="%5."/>
      <w:lvlJc w:val="left"/>
      <w:pPr>
        <w:tabs>
          <w:tab w:val="num" w:pos="3600"/>
        </w:tabs>
        <w:ind w:left="3600" w:hanging="360"/>
      </w:pPr>
    </w:lvl>
    <w:lvl w:ilvl="5" w:tplc="B13010DE" w:tentative="1">
      <w:start w:val="1"/>
      <w:numFmt w:val="lowerRoman"/>
      <w:lvlText w:val="%6."/>
      <w:lvlJc w:val="right"/>
      <w:pPr>
        <w:tabs>
          <w:tab w:val="num" w:pos="4320"/>
        </w:tabs>
        <w:ind w:left="4320" w:hanging="180"/>
      </w:pPr>
    </w:lvl>
    <w:lvl w:ilvl="6" w:tplc="6ABE5412" w:tentative="1">
      <w:start w:val="1"/>
      <w:numFmt w:val="decimal"/>
      <w:lvlText w:val="%7."/>
      <w:lvlJc w:val="left"/>
      <w:pPr>
        <w:tabs>
          <w:tab w:val="num" w:pos="5040"/>
        </w:tabs>
        <w:ind w:left="5040" w:hanging="360"/>
      </w:pPr>
    </w:lvl>
    <w:lvl w:ilvl="7" w:tplc="897A7A0C" w:tentative="1">
      <w:start w:val="1"/>
      <w:numFmt w:val="lowerLetter"/>
      <w:lvlText w:val="%8."/>
      <w:lvlJc w:val="left"/>
      <w:pPr>
        <w:tabs>
          <w:tab w:val="num" w:pos="5760"/>
        </w:tabs>
        <w:ind w:left="5760" w:hanging="360"/>
      </w:pPr>
    </w:lvl>
    <w:lvl w:ilvl="8" w:tplc="A00C52A8" w:tentative="1">
      <w:start w:val="1"/>
      <w:numFmt w:val="lowerRoman"/>
      <w:lvlText w:val="%9."/>
      <w:lvlJc w:val="right"/>
      <w:pPr>
        <w:tabs>
          <w:tab w:val="num" w:pos="6480"/>
        </w:tabs>
        <w:ind w:left="6480" w:hanging="180"/>
      </w:pPr>
    </w:lvl>
  </w:abstractNum>
  <w:abstractNum w:abstractNumId="11" w15:restartNumberingAfterBreak="0">
    <w:nsid w:val="1B0D020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ACF4EB2"/>
    <w:multiLevelType w:val="hybridMultilevel"/>
    <w:tmpl w:val="CB6C816A"/>
    <w:lvl w:ilvl="0" w:tplc="E67490DE">
      <w:start w:val="1"/>
      <w:numFmt w:val="bullet"/>
      <w:pStyle w:val="Bullet2G"/>
      <w:lvlText w:val="•"/>
      <w:lvlJc w:val="left"/>
      <w:pPr>
        <w:tabs>
          <w:tab w:val="num" w:pos="2268"/>
        </w:tabs>
        <w:ind w:left="2268" w:hanging="170"/>
      </w:pPr>
      <w:rPr>
        <w:rFonts w:ascii="Times New Roman" w:hAnsi="Times New Roman" w:cs="Times New Roman" w:hint="default"/>
      </w:rPr>
    </w:lvl>
    <w:lvl w:ilvl="1" w:tplc="0FDA61B0" w:tentative="1">
      <w:start w:val="1"/>
      <w:numFmt w:val="bullet"/>
      <w:lvlText w:val="o"/>
      <w:lvlJc w:val="left"/>
      <w:pPr>
        <w:tabs>
          <w:tab w:val="num" w:pos="3708"/>
        </w:tabs>
        <w:ind w:left="3708" w:hanging="360"/>
      </w:pPr>
      <w:rPr>
        <w:rFonts w:ascii="Courier New" w:hAnsi="Courier New" w:hint="default"/>
      </w:rPr>
    </w:lvl>
    <w:lvl w:ilvl="2" w:tplc="16C84838" w:tentative="1">
      <w:start w:val="1"/>
      <w:numFmt w:val="bullet"/>
      <w:lvlText w:val=""/>
      <w:lvlJc w:val="left"/>
      <w:pPr>
        <w:tabs>
          <w:tab w:val="num" w:pos="4428"/>
        </w:tabs>
        <w:ind w:left="4428" w:hanging="360"/>
      </w:pPr>
      <w:rPr>
        <w:rFonts w:ascii="Wingdings" w:hAnsi="Wingdings" w:hint="default"/>
      </w:rPr>
    </w:lvl>
    <w:lvl w:ilvl="3" w:tplc="F3849290" w:tentative="1">
      <w:start w:val="1"/>
      <w:numFmt w:val="bullet"/>
      <w:lvlText w:val=""/>
      <w:lvlJc w:val="left"/>
      <w:pPr>
        <w:tabs>
          <w:tab w:val="num" w:pos="5148"/>
        </w:tabs>
        <w:ind w:left="5148" w:hanging="360"/>
      </w:pPr>
      <w:rPr>
        <w:rFonts w:ascii="Symbol" w:hAnsi="Symbol" w:hint="default"/>
      </w:rPr>
    </w:lvl>
    <w:lvl w:ilvl="4" w:tplc="3F40E8C6" w:tentative="1">
      <w:start w:val="1"/>
      <w:numFmt w:val="bullet"/>
      <w:lvlText w:val="o"/>
      <w:lvlJc w:val="left"/>
      <w:pPr>
        <w:tabs>
          <w:tab w:val="num" w:pos="5868"/>
        </w:tabs>
        <w:ind w:left="5868" w:hanging="360"/>
      </w:pPr>
      <w:rPr>
        <w:rFonts w:ascii="Courier New" w:hAnsi="Courier New" w:hint="default"/>
      </w:rPr>
    </w:lvl>
    <w:lvl w:ilvl="5" w:tplc="922E5EDE" w:tentative="1">
      <w:start w:val="1"/>
      <w:numFmt w:val="bullet"/>
      <w:lvlText w:val=""/>
      <w:lvlJc w:val="left"/>
      <w:pPr>
        <w:tabs>
          <w:tab w:val="num" w:pos="6588"/>
        </w:tabs>
        <w:ind w:left="6588" w:hanging="360"/>
      </w:pPr>
      <w:rPr>
        <w:rFonts w:ascii="Wingdings" w:hAnsi="Wingdings" w:hint="default"/>
      </w:rPr>
    </w:lvl>
    <w:lvl w:ilvl="6" w:tplc="DF28B16E" w:tentative="1">
      <w:start w:val="1"/>
      <w:numFmt w:val="bullet"/>
      <w:lvlText w:val=""/>
      <w:lvlJc w:val="left"/>
      <w:pPr>
        <w:tabs>
          <w:tab w:val="num" w:pos="7308"/>
        </w:tabs>
        <w:ind w:left="7308" w:hanging="360"/>
      </w:pPr>
      <w:rPr>
        <w:rFonts w:ascii="Symbol" w:hAnsi="Symbol" w:hint="default"/>
      </w:rPr>
    </w:lvl>
    <w:lvl w:ilvl="7" w:tplc="71EE2808" w:tentative="1">
      <w:start w:val="1"/>
      <w:numFmt w:val="bullet"/>
      <w:lvlText w:val="o"/>
      <w:lvlJc w:val="left"/>
      <w:pPr>
        <w:tabs>
          <w:tab w:val="num" w:pos="8028"/>
        </w:tabs>
        <w:ind w:left="8028" w:hanging="360"/>
      </w:pPr>
      <w:rPr>
        <w:rFonts w:ascii="Courier New" w:hAnsi="Courier New" w:hint="default"/>
      </w:rPr>
    </w:lvl>
    <w:lvl w:ilvl="8" w:tplc="167AA64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5A8F60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4712FB30">
      <w:start w:val="1"/>
      <w:numFmt w:val="bullet"/>
      <w:pStyle w:val="Bullet1G"/>
      <w:lvlText w:val="•"/>
      <w:lvlJc w:val="left"/>
      <w:pPr>
        <w:tabs>
          <w:tab w:val="num" w:pos="1701"/>
        </w:tabs>
        <w:ind w:left="1701" w:hanging="170"/>
      </w:pPr>
      <w:rPr>
        <w:rFonts w:ascii="Times New Roman" w:hAnsi="Times New Roman" w:cs="Times New Roman" w:hint="default"/>
      </w:rPr>
    </w:lvl>
    <w:lvl w:ilvl="1" w:tplc="1102DB60" w:tentative="1">
      <w:start w:val="1"/>
      <w:numFmt w:val="bullet"/>
      <w:lvlText w:val="o"/>
      <w:lvlJc w:val="left"/>
      <w:pPr>
        <w:tabs>
          <w:tab w:val="num" w:pos="3141"/>
        </w:tabs>
        <w:ind w:left="3141" w:hanging="360"/>
      </w:pPr>
      <w:rPr>
        <w:rFonts w:ascii="Courier New" w:hAnsi="Courier New" w:hint="default"/>
      </w:rPr>
    </w:lvl>
    <w:lvl w:ilvl="2" w:tplc="95BE3F08" w:tentative="1">
      <w:start w:val="1"/>
      <w:numFmt w:val="bullet"/>
      <w:lvlText w:val=""/>
      <w:lvlJc w:val="left"/>
      <w:pPr>
        <w:tabs>
          <w:tab w:val="num" w:pos="3861"/>
        </w:tabs>
        <w:ind w:left="3861" w:hanging="360"/>
      </w:pPr>
      <w:rPr>
        <w:rFonts w:ascii="Wingdings" w:hAnsi="Wingdings" w:hint="default"/>
      </w:rPr>
    </w:lvl>
    <w:lvl w:ilvl="3" w:tplc="7314496C" w:tentative="1">
      <w:start w:val="1"/>
      <w:numFmt w:val="bullet"/>
      <w:lvlText w:val=""/>
      <w:lvlJc w:val="left"/>
      <w:pPr>
        <w:tabs>
          <w:tab w:val="num" w:pos="4581"/>
        </w:tabs>
        <w:ind w:left="4581" w:hanging="360"/>
      </w:pPr>
      <w:rPr>
        <w:rFonts w:ascii="Symbol" w:hAnsi="Symbol" w:hint="default"/>
      </w:rPr>
    </w:lvl>
    <w:lvl w:ilvl="4" w:tplc="017EB616" w:tentative="1">
      <w:start w:val="1"/>
      <w:numFmt w:val="bullet"/>
      <w:lvlText w:val="o"/>
      <w:lvlJc w:val="left"/>
      <w:pPr>
        <w:tabs>
          <w:tab w:val="num" w:pos="5301"/>
        </w:tabs>
        <w:ind w:left="5301" w:hanging="360"/>
      </w:pPr>
      <w:rPr>
        <w:rFonts w:ascii="Courier New" w:hAnsi="Courier New" w:hint="default"/>
      </w:rPr>
    </w:lvl>
    <w:lvl w:ilvl="5" w:tplc="F9E6A5D0" w:tentative="1">
      <w:start w:val="1"/>
      <w:numFmt w:val="bullet"/>
      <w:lvlText w:val=""/>
      <w:lvlJc w:val="left"/>
      <w:pPr>
        <w:tabs>
          <w:tab w:val="num" w:pos="6021"/>
        </w:tabs>
        <w:ind w:left="6021" w:hanging="360"/>
      </w:pPr>
      <w:rPr>
        <w:rFonts w:ascii="Wingdings" w:hAnsi="Wingdings" w:hint="default"/>
      </w:rPr>
    </w:lvl>
    <w:lvl w:ilvl="6" w:tplc="A09ADB42" w:tentative="1">
      <w:start w:val="1"/>
      <w:numFmt w:val="bullet"/>
      <w:lvlText w:val=""/>
      <w:lvlJc w:val="left"/>
      <w:pPr>
        <w:tabs>
          <w:tab w:val="num" w:pos="6741"/>
        </w:tabs>
        <w:ind w:left="6741" w:hanging="360"/>
      </w:pPr>
      <w:rPr>
        <w:rFonts w:ascii="Symbol" w:hAnsi="Symbol" w:hint="default"/>
      </w:rPr>
    </w:lvl>
    <w:lvl w:ilvl="7" w:tplc="F89C25BA" w:tentative="1">
      <w:start w:val="1"/>
      <w:numFmt w:val="bullet"/>
      <w:lvlText w:val="o"/>
      <w:lvlJc w:val="left"/>
      <w:pPr>
        <w:tabs>
          <w:tab w:val="num" w:pos="7461"/>
        </w:tabs>
        <w:ind w:left="7461" w:hanging="360"/>
      </w:pPr>
      <w:rPr>
        <w:rFonts w:ascii="Courier New" w:hAnsi="Courier New" w:hint="default"/>
      </w:rPr>
    </w:lvl>
    <w:lvl w:ilvl="8" w:tplc="B13CEC5E"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06510428">
    <w:abstractNumId w:val="15"/>
  </w:num>
  <w:num w:numId="2" w16cid:durableId="99960663">
    <w:abstractNumId w:val="12"/>
  </w:num>
  <w:num w:numId="3" w16cid:durableId="1342393765">
    <w:abstractNumId w:val="10"/>
  </w:num>
  <w:num w:numId="4" w16cid:durableId="1421364370">
    <w:abstractNumId w:val="8"/>
  </w:num>
  <w:num w:numId="5" w16cid:durableId="612058763">
    <w:abstractNumId w:val="3"/>
  </w:num>
  <w:num w:numId="6" w16cid:durableId="1396007643">
    <w:abstractNumId w:val="2"/>
  </w:num>
  <w:num w:numId="7" w16cid:durableId="857960890">
    <w:abstractNumId w:val="1"/>
  </w:num>
  <w:num w:numId="8" w16cid:durableId="981929780">
    <w:abstractNumId w:val="0"/>
  </w:num>
  <w:num w:numId="9" w16cid:durableId="1352685417">
    <w:abstractNumId w:val="9"/>
  </w:num>
  <w:num w:numId="10" w16cid:durableId="1948536372">
    <w:abstractNumId w:val="7"/>
  </w:num>
  <w:num w:numId="11" w16cid:durableId="1972975692">
    <w:abstractNumId w:val="6"/>
  </w:num>
  <w:num w:numId="12" w16cid:durableId="1317563459">
    <w:abstractNumId w:val="5"/>
  </w:num>
  <w:num w:numId="13" w16cid:durableId="2054427237">
    <w:abstractNumId w:val="4"/>
  </w:num>
  <w:num w:numId="14" w16cid:durableId="730925774">
    <w:abstractNumId w:val="15"/>
  </w:num>
  <w:num w:numId="15" w16cid:durableId="1020820959">
    <w:abstractNumId w:val="12"/>
  </w:num>
  <w:num w:numId="16" w16cid:durableId="1095594154">
    <w:abstractNumId w:val="10"/>
  </w:num>
  <w:num w:numId="17" w16cid:durableId="1850873055">
    <w:abstractNumId w:val="13"/>
  </w:num>
  <w:num w:numId="18" w16cid:durableId="991524886">
    <w:abstractNumId w:val="14"/>
  </w:num>
  <w:num w:numId="19" w16cid:durableId="1898009556">
    <w:abstractNumId w:val="11"/>
  </w:num>
  <w:num w:numId="20" w16cid:durableId="193504508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7578"/>
    <w:rsid w:val="0003111F"/>
    <w:rsid w:val="00046776"/>
    <w:rsid w:val="000C3FB2"/>
    <w:rsid w:val="001732AD"/>
    <w:rsid w:val="00237485"/>
    <w:rsid w:val="002D6C55"/>
    <w:rsid w:val="003F3A9E"/>
    <w:rsid w:val="0042032B"/>
    <w:rsid w:val="004769CF"/>
    <w:rsid w:val="004A71E3"/>
    <w:rsid w:val="005347B0"/>
    <w:rsid w:val="00585B00"/>
    <w:rsid w:val="006F2276"/>
    <w:rsid w:val="0076410B"/>
    <w:rsid w:val="007673D2"/>
    <w:rsid w:val="007D4C66"/>
    <w:rsid w:val="00834698"/>
    <w:rsid w:val="008A178B"/>
    <w:rsid w:val="008D2563"/>
    <w:rsid w:val="00902C92"/>
    <w:rsid w:val="00A14B40"/>
    <w:rsid w:val="00B064BC"/>
    <w:rsid w:val="00C42E3A"/>
    <w:rsid w:val="00C85A1E"/>
    <w:rsid w:val="00C93FD7"/>
    <w:rsid w:val="00CF258E"/>
    <w:rsid w:val="00DB3769"/>
    <w:rsid w:val="00E20757"/>
    <w:rsid w:val="00E3673F"/>
    <w:rsid w:val="00E77578"/>
    <w:rsid w:val="00E9387E"/>
    <w:rsid w:val="00EA3A47"/>
    <w:rsid w:val="00EA458E"/>
    <w:rsid w:val="00EC777E"/>
    <w:rsid w:val="00EE6B6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7309D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32B"/>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rsid w:val="008D2563"/>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qFormat/>
    <w:rsid w:val="008D2563"/>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qFormat/>
    <w:rsid w:val="008D2563"/>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qFormat/>
    <w:rsid w:val="008D2563"/>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8D2563"/>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8D2563"/>
    <w:pPr>
      <w:keepNext/>
      <w:keepLines/>
      <w:tabs>
        <w:tab w:val="right" w:pos="851"/>
      </w:tabs>
      <w:suppressAutoHyphens w:val="0"/>
      <w:spacing w:before="240" w:after="120" w:line="240" w:lineRule="exact"/>
      <w:ind w:left="1134" w:right="1134" w:hanging="1134"/>
      <w:outlineLvl w:val="5"/>
    </w:pPr>
    <w:rPr>
      <w:rFonts w:eastAsia="SimSun"/>
      <w:lang w:eastAsia="zh-CN"/>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0467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yperlink" Target="https://docs.un.org/en/CCPR/C/CYP/CO/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8" ma:contentTypeDescription="Crée un document." ma:contentTypeScope="" ma:versionID="2788b176ada5b48f97d2a3e5b030145b">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b7682f99a0d9e0e0f19914f150de0b0b"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142A1D21-A60E-4210-A78A-40D49010133F}">
  <ds:schemaRefs>
    <ds:schemaRef ds:uri="http://schemas.microsoft.com/sharepoint/v3/contenttype/forms"/>
  </ds:schemaRefs>
</ds:datastoreItem>
</file>

<file path=customXml/itemProps2.xml><?xml version="1.0" encoding="utf-8"?>
<ds:datastoreItem xmlns:ds="http://schemas.openxmlformats.org/officeDocument/2006/customXml" ds:itemID="{BD8A0E3D-55C4-438A-9549-CA14B79A52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B0D6AD-58BA-4859-951C-D99DA0E3B43A}">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4</TotalTime>
  <Pages>8</Pages>
  <Words>3933</Words>
  <Characters>22424</Characters>
  <Application>Microsoft Office Word</Application>
  <DocSecurity>0</DocSecurity>
  <Lines>186</Lines>
  <Paragraphs>52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CCPR/C/CYP/FCO/5</vt:lpstr>
      <vt:lpstr/>
      <vt:lpstr/>
    </vt:vector>
  </TitlesOfParts>
  <Company>DCM</Company>
  <LinksUpToDate>false</LinksUpToDate>
  <CharactersWithSpaces>26305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CCPR/C/CYP/FCO/5</dc:title>
  <dc:creator>Gloria</dc:creator>
  <cp:lastModifiedBy>Cherry Balmaceda</cp:lastModifiedBy>
  <cp:revision>4</cp:revision>
  <cp:lastPrinted>2017-04-21T12:16:00Z</cp:lastPrinted>
  <dcterms:created xsi:type="dcterms:W3CDTF">2026-07-23T15:28:00Z</dcterms:created>
  <dcterms:modified xsi:type="dcterms:W3CDTF">2026-07-23T15:32:00Z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ntentTypeId">
    <vt:lpwstr>0x010100EF7F3C829DF7D944B160ED13BF208A7C</vt:lpwstr>
  </property>
  <property fmtid="{D5CDD505-2E9C-101B-9397-08002B2CF9AE}" pid="8" name="count">
    <vt:lpwstr>Cyprus</vt:lpwstr>
  </property>
  <property fmtid="{D5CDD505-2E9C-101B-9397-08002B2CF9AE}" pid="9" name="countw">
    <vt:lpwstr>Cyprus</vt:lpwstr>
  </property>
  <property fmtid="{D5CDD505-2E9C-101B-9397-08002B2CF9AE}" pid="10" name="countwd">
    <vt:lpwstr>Cyprus</vt:lpwstr>
  </property>
  <property fmtid="{D5CDD505-2E9C-101B-9397-08002B2CF9AE}" pid="11" name="date">
    <vt:lpwstr>23 July 2026</vt:lpwstr>
  </property>
  <property fmtid="{D5CDD505-2E9C-101B-9397-08002B2CF9AE}" pid="12" name="Date-Generated">
    <vt:filetime>2026-07-23T13:19:33Z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Concluding observations -  Follow-up</vt:lpwstr>
  </property>
  <property fmtid="{D5CDD505-2E9C-101B-9397-08002B2CF9AE}" pid="16" name="gdoc">
    <vt:lpwstr/>
  </property>
  <property fmtid="{D5CDD505-2E9C-101B-9397-08002B2CF9AE}" pid="17" name="gdocf">
    <vt:lpwstr/>
  </property>
  <property fmtid="{D5CDD505-2E9C-101B-9397-08002B2CF9AE}" pid="18" name="GrammarlyDocumentId">
    <vt:lpwstr>eed7e71d224b9d08da8bd71cde4b3994c35c8b9b17beaf900efb3bbeb2d33900</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English</vt:lpwstr>
  </property>
  <property fmtid="{D5CDD505-2E9C-101B-9397-08002B2CF9AE}" pid="22" name="Order">
    <vt:r8>152200</vt:r8>
  </property>
  <property fmtid="{D5CDD505-2E9C-101B-9397-08002B2CF9AE}" pid="23" name="Org">
    <vt:lpwstr>OHCHR</vt:lpwstr>
  </property>
  <property fmtid="{D5CDD505-2E9C-101B-9397-08002B2CF9AE}" pid="24" name="prep">
    <vt:lpwstr>fifth periodic report of Cyprus</vt:lpwstr>
  </property>
  <property fmtid="{D5CDD505-2E9C-101B-9397-08002B2CF9AE}" pid="25" name="preps">
    <vt:lpwstr>fifth periodic report of Cyprus</vt:lpwstr>
  </property>
  <property fmtid="{D5CDD505-2E9C-101B-9397-08002B2CF9AE}" pid="26" name="prepw">
    <vt:lpwstr>fifth periodic report</vt:lpwstr>
  </property>
  <property fmtid="{D5CDD505-2E9C-101B-9397-08002B2CF9AE}" pid="27" name="prepwc">
    <vt:lpwstr>Fifth periodic report </vt:lpwstr>
  </property>
  <property fmtid="{D5CDD505-2E9C-101B-9397-08002B2CF9AE}" pid="28" name="prepws">
    <vt:lpwstr>fifth periodic report</vt:lpwstr>
  </property>
  <property fmtid="{D5CDD505-2E9C-101B-9397-08002B2CF9AE}" pid="29" name="sdate">
    <vt:lpwstr>[Start-End Dates]</vt:lpwstr>
  </property>
  <property fmtid="{D5CDD505-2E9C-101B-9397-08002B2CF9AE}" pid="30" name="sloca">
    <vt:lpwstr>[Location]</vt:lpwstr>
  </property>
  <property fmtid="{D5CDD505-2E9C-101B-9397-08002B2CF9AE}" pid="31" name="snum">
    <vt:lpwstr>[NUMBER]</vt:lpwstr>
  </property>
  <property fmtid="{D5CDD505-2E9C-101B-9397-08002B2CF9AE}" pid="32" name="stitle">
    <vt:lpwstr>[Title]</vt:lpwstr>
  </property>
  <property fmtid="{D5CDD505-2E9C-101B-9397-08002B2CF9AE}" pid="33" name="sym1">
    <vt:lpwstr>C/CYP/FCO/5</vt:lpwstr>
  </property>
  <property fmtid="{D5CDD505-2E9C-101B-9397-08002B2CF9AE}" pid="34" name="symh">
    <vt:lpwstr>CCPR/C/CYP/FCO/5</vt:lpwstr>
  </property>
  <property fmtid="{D5CDD505-2E9C-101B-9397-08002B2CF9AE}" pid="35" name="Title">
    <vt:lpwstr>CCPR/C/CYP/FCO/5</vt:lpwstr>
  </property>
  <property fmtid="{D5CDD505-2E9C-101B-9397-08002B2CF9AE}" pid="36" name="tlang">
    <vt:lpwstr/>
  </property>
  <property fmtid="{D5CDD505-2E9C-101B-9397-08002B2CF9AE}" pid="37" name="virs">
    <vt:lpwstr>English only</vt:lpwstr>
  </property>
</Properties>
</file>