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395118549"/>
        <w:docPartObj>
          <w:docPartGallery w:val="Cover Pages"/>
          <w:docPartUnique/>
        </w:docPartObj>
      </w:sdtPr>
      <w:sdtEndPr>
        <w:rPr>
          <w:rFonts w:asciiTheme="majorHAnsi" w:eastAsiaTheme="majorEastAsia" w:hAnsiTheme="majorHAnsi" w:cstheme="majorBidi"/>
          <w:caps/>
          <w:color w:val="FFFFFF" w:themeColor="background1"/>
          <w:sz w:val="64"/>
          <w:szCs w:val="64"/>
          <w:lang w:eastAsia="en-US"/>
        </w:rPr>
      </w:sdtEndPr>
      <w:sdtContent>
        <w:p w14:paraId="0C350741" w14:textId="70A07318" w:rsidR="00B10A4F" w:rsidRDefault="00B10A4F"/>
        <w:p w14:paraId="5EF7514D" w14:textId="4C7D2379" w:rsidR="00B10A4F" w:rsidRDefault="008039C1">
          <w:pPr>
            <w:rPr>
              <w:rFonts w:asciiTheme="majorHAnsi" w:eastAsiaTheme="majorEastAsia" w:hAnsiTheme="majorHAnsi" w:cstheme="majorBidi"/>
              <w:caps/>
              <w:color w:val="FFFFFF" w:themeColor="background1"/>
              <w:sz w:val="64"/>
              <w:szCs w:val="64"/>
              <w:lang w:eastAsia="en-US"/>
            </w:rPr>
          </w:pPr>
          <w:r>
            <w:rPr>
              <w:noProof/>
              <w:lang w:val="en-GB" w:eastAsia="en-GB"/>
            </w:rPr>
            <mc:AlternateContent>
              <mc:Choice Requires="wps">
                <w:drawing>
                  <wp:anchor distT="0" distB="0" distL="114300" distR="114300" simplePos="0" relativeHeight="251662336" behindDoc="0" locked="0" layoutInCell="1" allowOverlap="1" wp14:anchorId="5D7D1F4B" wp14:editId="0A59EB43">
                    <wp:simplePos x="0" y="0"/>
                    <wp:positionH relativeFrom="page">
                      <wp:posOffset>38100</wp:posOffset>
                    </wp:positionH>
                    <wp:positionV relativeFrom="margin">
                      <wp:posOffset>7451090</wp:posOffset>
                    </wp:positionV>
                    <wp:extent cx="5753100" cy="828675"/>
                    <wp:effectExtent l="0" t="0" r="0" b="9525"/>
                    <wp:wrapSquare wrapText="bothSides"/>
                    <wp:docPr id="128" name="Cuadro de texto 128"/>
                    <wp:cNvGraphicFramePr/>
                    <a:graphic xmlns:a="http://schemas.openxmlformats.org/drawingml/2006/main">
                      <a:graphicData uri="http://schemas.microsoft.com/office/word/2010/wordprocessingShape">
                        <wps:wsp>
                          <wps:cNvSpPr txBox="1"/>
                          <wps:spPr>
                            <a:xfrm>
                              <a:off x="0" y="0"/>
                              <a:ext cx="5753100" cy="82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FB3C6" w14:textId="25E5DE69" w:rsidR="008039C1" w:rsidRDefault="00855822" w:rsidP="008039C1">
                                <w:pPr>
                                  <w:pStyle w:val="NoSpacing"/>
                                  <w:jc w:val="right"/>
                                  <w:rPr>
                                    <w:b/>
                                    <w:bCs/>
                                    <w:color w:val="7F7F7F" w:themeColor="text1" w:themeTint="80"/>
                                    <w:sz w:val="28"/>
                                    <w:szCs w:val="28"/>
                                    <w:lang w:val="es-GT"/>
                                  </w:rPr>
                                </w:pPr>
                                <w:r>
                                  <w:rPr>
                                    <w:b/>
                                    <w:bCs/>
                                    <w:color w:val="7F7F7F" w:themeColor="text1" w:themeTint="80"/>
                                    <w:sz w:val="28"/>
                                    <w:szCs w:val="28"/>
                                    <w:lang w:val="es-GT"/>
                                  </w:rPr>
                                  <w:t>C</w:t>
                                </w:r>
                                <w:r w:rsidR="008039C1">
                                  <w:rPr>
                                    <w:b/>
                                    <w:bCs/>
                                    <w:color w:val="7F7F7F" w:themeColor="text1" w:themeTint="80"/>
                                    <w:sz w:val="28"/>
                                    <w:szCs w:val="28"/>
                                    <w:lang w:val="es-GT"/>
                                  </w:rPr>
                                  <w:t xml:space="preserve">ontacto: </w:t>
                                </w:r>
                              </w:p>
                              <w:p w14:paraId="44D0874D" w14:textId="12315002" w:rsidR="008039C1" w:rsidRDefault="008039C1" w:rsidP="008039C1">
                                <w:pPr>
                                  <w:pStyle w:val="NoSpacing"/>
                                  <w:jc w:val="right"/>
                                  <w:rPr>
                                    <w:b/>
                                    <w:bCs/>
                                    <w:color w:val="7F7F7F" w:themeColor="text1" w:themeTint="80"/>
                                    <w:sz w:val="28"/>
                                    <w:szCs w:val="28"/>
                                    <w:lang w:val="es-GT"/>
                                  </w:rPr>
                                </w:pPr>
                                <w:r>
                                  <w:rPr>
                                    <w:b/>
                                    <w:bCs/>
                                    <w:color w:val="7F7F7F" w:themeColor="text1" w:themeTint="80"/>
                                    <w:sz w:val="28"/>
                                    <w:szCs w:val="28"/>
                                    <w:lang w:val="es-GT"/>
                                  </w:rPr>
                                  <w:t xml:space="preserve">Brenda Magali Cano Dávila </w:t>
                                </w:r>
                              </w:p>
                              <w:p w14:paraId="788A5F94" w14:textId="26D35A99" w:rsidR="008039C1" w:rsidRDefault="008C5444" w:rsidP="008039C1">
                                <w:pPr>
                                  <w:pStyle w:val="NoSpacing"/>
                                  <w:jc w:val="right"/>
                                  <w:rPr>
                                    <w:b/>
                                    <w:bCs/>
                                    <w:color w:val="7F7F7F" w:themeColor="text1" w:themeTint="80"/>
                                    <w:sz w:val="28"/>
                                    <w:szCs w:val="28"/>
                                    <w:lang w:val="es-GT"/>
                                  </w:rPr>
                                </w:pPr>
                                <w:hyperlink r:id="rId10" w:history="1">
                                  <w:r w:rsidR="00246D84" w:rsidRPr="007E5A53">
                                    <w:rPr>
                                      <w:rStyle w:val="Hyperlink"/>
                                      <w:b/>
                                      <w:bCs/>
                                      <w:sz w:val="28"/>
                                      <w:szCs w:val="28"/>
                                      <w:lang w:val="es-GT"/>
                                    </w:rPr>
                                    <w:t>guatemalasinhambre@gmail.com</w:t>
                                  </w:r>
                                </w:hyperlink>
                              </w:p>
                              <w:p w14:paraId="6F81B2B0" w14:textId="51ED22E4" w:rsidR="008039C1" w:rsidRPr="00B10A4F" w:rsidRDefault="008039C1" w:rsidP="008039C1">
                                <w:pPr>
                                  <w:pStyle w:val="NoSpacing"/>
                                  <w:jc w:val="right"/>
                                  <w:rPr>
                                    <w:b/>
                                    <w:bCs/>
                                    <w:color w:val="7F7F7F" w:themeColor="text1" w:themeTint="80"/>
                                    <w:sz w:val="28"/>
                                    <w:szCs w:val="28"/>
                                    <w:lang w:val="es-GT"/>
                                  </w:rPr>
                                </w:pPr>
                                <w:r>
                                  <w:rPr>
                                    <w:b/>
                                    <w:bCs/>
                                    <w:color w:val="7F7F7F" w:themeColor="text1" w:themeTint="80"/>
                                    <w:sz w:val="28"/>
                                    <w:szCs w:val="28"/>
                                    <w:lang w:val="es-GT"/>
                                  </w:rPr>
                                  <w:t>(502) 42344182</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5D7D1F4B" id="_x0000_t202" coordsize="21600,21600" o:spt="202" path="m,l,21600r21600,l21600,xe">
                    <v:stroke joinstyle="miter"/>
                    <v:path gradientshapeok="t" o:connecttype="rect"/>
                  </v:shapetype>
                  <v:shape id="Cuadro de texto 128" o:spid="_x0000_s1026" type="#_x0000_t202" style="position:absolute;left:0;text-align:left;margin-left:3pt;margin-top:586.7pt;width:453pt;height:65.2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" filled="f" stroked="f" strokeweight=".5pt">
                    <v:textbox inset="1in,0,86.4pt,0">
                      <w:txbxContent>
                        <w:p w14:paraId="56EFB3C6" w14:textId="25E5DE69" w:rsidR="008039C1" w:rsidRDefault="00855822" w:rsidP="008039C1">
                          <w:pPr>
                            <w:pStyle w:val="NoSpacing"/>
                            <w:jc w:val="right"/>
                            <w:rPr>
                              <w:b/>
                              <w:bCs/>
                              <w:color w:val="7F7F7F" w:themeColor="text1" w:themeTint="80"/>
                              <w:sz w:val="28"/>
                              <w:szCs w:val="28"/>
                              <w:lang w:val="es-GT"/>
                            </w:rPr>
                          </w:pPr>
                          <w:r>
                            <w:rPr>
                              <w:b/>
                              <w:bCs/>
                              <w:color w:val="7F7F7F" w:themeColor="text1" w:themeTint="80"/>
                              <w:sz w:val="28"/>
                              <w:szCs w:val="28"/>
                              <w:lang w:val="es-GT"/>
                            </w:rPr>
                            <w:t>C</w:t>
                          </w:r>
                          <w:r w:rsidR="008039C1">
                            <w:rPr>
                              <w:b/>
                              <w:bCs/>
                              <w:color w:val="7F7F7F" w:themeColor="text1" w:themeTint="80"/>
                              <w:sz w:val="28"/>
                              <w:szCs w:val="28"/>
                              <w:lang w:val="es-GT"/>
                            </w:rPr>
                            <w:t xml:space="preserve">ontacto: </w:t>
                          </w:r>
                        </w:p>
                        <w:p w14:paraId="44D0874D" w14:textId="12315002" w:rsidR="008039C1" w:rsidRDefault="008039C1" w:rsidP="008039C1">
                          <w:pPr>
                            <w:pStyle w:val="NoSpacing"/>
                            <w:jc w:val="right"/>
                            <w:rPr>
                              <w:b/>
                              <w:bCs/>
                              <w:color w:val="7F7F7F" w:themeColor="text1" w:themeTint="80"/>
                              <w:sz w:val="28"/>
                              <w:szCs w:val="28"/>
                              <w:lang w:val="es-GT"/>
                            </w:rPr>
                          </w:pPr>
                          <w:r>
                            <w:rPr>
                              <w:b/>
                              <w:bCs/>
                              <w:color w:val="7F7F7F" w:themeColor="text1" w:themeTint="80"/>
                              <w:sz w:val="28"/>
                              <w:szCs w:val="28"/>
                              <w:lang w:val="es-GT"/>
                            </w:rPr>
                            <w:t xml:space="preserve">Brenda Magali Cano Dávila </w:t>
                          </w:r>
                        </w:p>
                        <w:p w14:paraId="788A5F94" w14:textId="26D35A99" w:rsidR="008039C1" w:rsidRDefault="008C5444" w:rsidP="008039C1">
                          <w:pPr>
                            <w:pStyle w:val="NoSpacing"/>
                            <w:jc w:val="right"/>
                            <w:rPr>
                              <w:b/>
                              <w:bCs/>
                              <w:color w:val="7F7F7F" w:themeColor="text1" w:themeTint="80"/>
                              <w:sz w:val="28"/>
                              <w:szCs w:val="28"/>
                              <w:lang w:val="es-GT"/>
                            </w:rPr>
                          </w:pPr>
                          <w:hyperlink r:id="rId11" w:history="1">
                            <w:r w:rsidR="00246D84" w:rsidRPr="007E5A53">
                              <w:rPr>
                                <w:rStyle w:val="Hyperlink"/>
                                <w:b/>
                                <w:bCs/>
                                <w:sz w:val="28"/>
                                <w:szCs w:val="28"/>
                                <w:lang w:val="es-GT"/>
                              </w:rPr>
                              <w:t>guatemalasinhambre@gmail.com</w:t>
                            </w:r>
                          </w:hyperlink>
                        </w:p>
                        <w:p w14:paraId="6F81B2B0" w14:textId="51ED22E4" w:rsidR="008039C1" w:rsidRPr="00B10A4F" w:rsidRDefault="008039C1" w:rsidP="008039C1">
                          <w:pPr>
                            <w:pStyle w:val="NoSpacing"/>
                            <w:jc w:val="right"/>
                            <w:rPr>
                              <w:b/>
                              <w:bCs/>
                              <w:color w:val="7F7F7F" w:themeColor="text1" w:themeTint="80"/>
                              <w:sz w:val="28"/>
                              <w:szCs w:val="28"/>
                              <w:lang w:val="es-GT"/>
                            </w:rPr>
                          </w:pPr>
                          <w:r>
                            <w:rPr>
                              <w:b/>
                              <w:bCs/>
                              <w:color w:val="7F7F7F" w:themeColor="text1" w:themeTint="80"/>
                              <w:sz w:val="28"/>
                              <w:szCs w:val="28"/>
                              <w:lang w:val="es-GT"/>
                            </w:rPr>
                            <w:t>(502) 42344182</w:t>
                          </w:r>
                        </w:p>
                      </w:txbxContent>
                    </v:textbox>
                    <w10:wrap type="square" anchorx="page" anchory="margin"/>
                  </v:shape>
                </w:pict>
              </mc:Fallback>
            </mc:AlternateContent>
          </w:r>
          <w:r w:rsidR="00B10A4F">
            <w:rPr>
              <w:noProof/>
              <w:lang w:val="en-GB" w:eastAsia="en-GB"/>
            </w:rPr>
            <mc:AlternateContent>
              <mc:Choice Requires="wps">
                <w:drawing>
                  <wp:anchor distT="0" distB="0" distL="114300" distR="114300" simplePos="0" relativeHeight="251661312" behindDoc="0" locked="0" layoutInCell="1" allowOverlap="1" wp14:anchorId="6FC21F7F" wp14:editId="77C6C9A5">
                    <wp:simplePos x="0" y="0"/>
                    <wp:positionH relativeFrom="page">
                      <wp:posOffset>400050</wp:posOffset>
                    </wp:positionH>
                    <wp:positionV relativeFrom="page">
                      <wp:posOffset>7639050</wp:posOffset>
                    </wp:positionV>
                    <wp:extent cx="5753100" cy="579120"/>
                    <wp:effectExtent l="0" t="0" r="0" b="11430"/>
                    <wp:wrapSquare wrapText="bothSides"/>
                    <wp:docPr id="129" name="Cuadro de texto 129"/>
                    <wp:cNvGraphicFramePr/>
                    <a:graphic xmlns:a="http://schemas.openxmlformats.org/drawingml/2006/main">
                      <a:graphicData uri="http://schemas.microsoft.com/office/word/2010/wordprocessingShape">
                        <wps:wsp>
                          <wps:cNvSpPr txBox="1"/>
                          <wps:spPr>
                            <a:xfrm>
                              <a:off x="0" y="0"/>
                              <a:ext cx="5753100" cy="579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FE7B3" w14:textId="386A0EF6" w:rsidR="00B10A4F" w:rsidRPr="00B10A4F" w:rsidRDefault="00B10A4F" w:rsidP="00B10A4F">
                                <w:pPr>
                                  <w:pStyle w:val="NoSpacing"/>
                                  <w:spacing w:before="40" w:after="40"/>
                                  <w:jc w:val="center"/>
                                  <w:rPr>
                                    <w:caps/>
                                    <w:color w:val="4472C4" w:themeColor="accent1"/>
                                    <w:sz w:val="32"/>
                                    <w:szCs w:val="32"/>
                                    <w:lang w:val="es-GT"/>
                                  </w:rPr>
                                </w:pPr>
                                <w:r w:rsidRPr="00B10A4F">
                                  <w:rPr>
                                    <w:caps/>
                                    <w:color w:val="4472C4" w:themeColor="accent1"/>
                                    <w:sz w:val="32"/>
                                    <w:szCs w:val="32"/>
                                    <w:lang w:val="es-GT"/>
                                  </w:rPr>
                                  <w:t xml:space="preserve">Derecho </w:t>
                                </w:r>
                                <w:r w:rsidR="007D071D">
                                  <w:rPr>
                                    <w:caps/>
                                    <w:color w:val="4472C4" w:themeColor="accent1"/>
                                    <w:sz w:val="32"/>
                                    <w:szCs w:val="32"/>
                                    <w:lang w:val="es-GT"/>
                                  </w:rPr>
                                  <w:t>H</w:t>
                                </w:r>
                                <w:r w:rsidRPr="00B10A4F">
                                  <w:rPr>
                                    <w:caps/>
                                    <w:color w:val="4472C4" w:themeColor="accent1"/>
                                    <w:sz w:val="32"/>
                                    <w:szCs w:val="32"/>
                                    <w:lang w:val="es-GT"/>
                                  </w:rPr>
                                  <w:t>umano a la alimentaci</w:t>
                                </w:r>
                                <w:r w:rsidR="007D071D">
                                  <w:rPr>
                                    <w:caps/>
                                    <w:color w:val="4472C4" w:themeColor="accent1"/>
                                    <w:sz w:val="32"/>
                                    <w:szCs w:val="32"/>
                                    <w:lang w:val="es-GT"/>
                                  </w:rPr>
                                  <w:t>Ó</w:t>
                                </w:r>
                                <w:r w:rsidRPr="00B10A4F">
                                  <w:rPr>
                                    <w:caps/>
                                    <w:color w:val="4472C4" w:themeColor="accent1"/>
                                    <w:sz w:val="32"/>
                                    <w:szCs w:val="32"/>
                                    <w:lang w:val="es-GT"/>
                                  </w:rPr>
                                  <w:t>n en guatemala</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6FC21F7F" id="Cuadro de texto 129" o:spid="_x0000_s1027" type="#_x0000_t202" style="position:absolute;left:0;text-align:left;margin-left:31.5pt;margin-top:601.5pt;width:453pt;height:45.6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" filled="f" stroked="f" strokeweight=".5pt">
                    <v:textbox inset="1in,0,86.4pt,0">
                      <w:txbxContent>
                        <w:p w14:paraId="7A8FE7B3" w14:textId="386A0EF6" w:rsidR="00B10A4F" w:rsidRPr="00B10A4F" w:rsidRDefault="00B10A4F" w:rsidP="00B10A4F">
                          <w:pPr>
                            <w:pStyle w:val="NoSpacing"/>
                            <w:spacing w:before="40" w:after="40"/>
                            <w:jc w:val="center"/>
                            <w:rPr>
                              <w:caps/>
                              <w:color w:val="4472C4" w:themeColor="accent1"/>
                              <w:sz w:val="32"/>
                              <w:szCs w:val="32"/>
                              <w:lang w:val="es-GT"/>
                            </w:rPr>
                          </w:pPr>
                          <w:r w:rsidRPr="00B10A4F">
                            <w:rPr>
                              <w:caps/>
                              <w:color w:val="4472C4" w:themeColor="accent1"/>
                              <w:sz w:val="32"/>
                              <w:szCs w:val="32"/>
                              <w:lang w:val="es-GT"/>
                            </w:rPr>
                            <w:t xml:space="preserve">Derecho </w:t>
                          </w:r>
                          <w:r w:rsidR="007D071D">
                            <w:rPr>
                              <w:caps/>
                              <w:color w:val="4472C4" w:themeColor="accent1"/>
                              <w:sz w:val="32"/>
                              <w:szCs w:val="32"/>
                              <w:lang w:val="es-GT"/>
                            </w:rPr>
                            <w:t>H</w:t>
                          </w:r>
                          <w:r w:rsidRPr="00B10A4F">
                            <w:rPr>
                              <w:caps/>
                              <w:color w:val="4472C4" w:themeColor="accent1"/>
                              <w:sz w:val="32"/>
                              <w:szCs w:val="32"/>
                              <w:lang w:val="es-GT"/>
                            </w:rPr>
                            <w:t>umano a la alimentaci</w:t>
                          </w:r>
                          <w:r w:rsidR="007D071D">
                            <w:rPr>
                              <w:caps/>
                              <w:color w:val="4472C4" w:themeColor="accent1"/>
                              <w:sz w:val="32"/>
                              <w:szCs w:val="32"/>
                              <w:lang w:val="es-GT"/>
                            </w:rPr>
                            <w:t>Ó</w:t>
                          </w:r>
                          <w:r w:rsidRPr="00B10A4F">
                            <w:rPr>
                              <w:caps/>
                              <w:color w:val="4472C4" w:themeColor="accent1"/>
                              <w:sz w:val="32"/>
                              <w:szCs w:val="32"/>
                              <w:lang w:val="es-GT"/>
                            </w:rPr>
                            <w:t>n en guatemala</w:t>
                          </w:r>
                        </w:p>
                      </w:txbxContent>
                    </v:textbox>
                    <w10:wrap type="square" anchorx="page" anchory="page"/>
                  </v:shape>
                </w:pict>
              </mc:Fallback>
            </mc:AlternateContent>
          </w:r>
          <w:r w:rsidR="00B10A4F">
            <w:rPr>
              <w:noProof/>
              <w:lang w:val="en-GB" w:eastAsia="en-GB"/>
            </w:rPr>
            <mc:AlternateContent>
              <mc:Choice Requires="wpg">
                <w:drawing>
                  <wp:anchor distT="0" distB="0" distL="114300" distR="114300" simplePos="0" relativeHeight="251659264" behindDoc="1" locked="0" layoutInCell="1" allowOverlap="1" wp14:anchorId="3E6891E5" wp14:editId="09444DF6">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upo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orma libre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9FBF8E7" w14:textId="3BDF6FBD" w:rsidR="00B10A4F" w:rsidRDefault="008C5444" w:rsidP="007D071D">
                                  <w:pPr>
                                    <w:jc w:val="center"/>
                                    <w:rPr>
                                      <w:color w:val="FFFFFF" w:themeColor="background1"/>
                                      <w:sz w:val="72"/>
                                      <w:szCs w:val="72"/>
                                    </w:rPr>
                                  </w:pPr>
                                  <w:sdt>
                                    <w:sdtPr>
                                      <w:rPr>
                                        <w:color w:val="FFFFFF" w:themeColor="background1"/>
                                        <w:sz w:val="72"/>
                                        <w:szCs w:val="72"/>
                                      </w:rPr>
                                      <w:alias w:val="Título"/>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10A4F">
                                        <w:rPr>
                                          <w:color w:val="FFFFFF" w:themeColor="background1"/>
                                          <w:sz w:val="72"/>
                                          <w:szCs w:val="72"/>
                                        </w:rPr>
                                        <w:t>Informe alternativo</w:t>
                                      </w:r>
                                    </w:sdtContent>
                                  </w:sdt>
                                  <w:r w:rsidR="00B10A4F">
                                    <w:rPr>
                                      <w:color w:val="FFFFFF" w:themeColor="background1"/>
                                      <w:sz w:val="72"/>
                                      <w:szCs w:val="72"/>
                                    </w:rPr>
                                    <w:t xml:space="preserve"> para el Comité </w:t>
                                  </w:r>
                                  <w:r w:rsidR="007D071D">
                                    <w:rPr>
                                      <w:color w:val="FFFFFF" w:themeColor="background1"/>
                                      <w:sz w:val="72"/>
                                      <w:szCs w:val="72"/>
                                    </w:rPr>
                                    <w:t>Derechos</w:t>
                                  </w:r>
                                  <w:r w:rsidR="00B10A4F">
                                    <w:rPr>
                                      <w:color w:val="FFFFFF" w:themeColor="background1"/>
                                      <w:sz w:val="72"/>
                                      <w:szCs w:val="72"/>
                                    </w:rPr>
                                    <w:t xml:space="preserve"> </w:t>
                                  </w:r>
                                  <w:r w:rsidR="007D071D">
                                    <w:rPr>
                                      <w:color w:val="FFFFFF" w:themeColor="background1"/>
                                      <w:sz w:val="72"/>
                                      <w:szCs w:val="72"/>
                                    </w:rPr>
                                    <w:t>Económicos</w:t>
                                  </w:r>
                                  <w:r w:rsidR="00B10A4F">
                                    <w:rPr>
                                      <w:color w:val="FFFFFF" w:themeColor="background1"/>
                                      <w:sz w:val="72"/>
                                      <w:szCs w:val="72"/>
                                    </w:rPr>
                                    <w:t xml:space="preserve">, </w:t>
                                  </w:r>
                                  <w:r w:rsidR="007D071D">
                                    <w:rPr>
                                      <w:color w:val="FFFFFF" w:themeColor="background1"/>
                                      <w:sz w:val="72"/>
                                      <w:szCs w:val="72"/>
                                    </w:rPr>
                                    <w:t>Sociales</w:t>
                                  </w:r>
                                  <w:r w:rsidR="00B10A4F">
                                    <w:rPr>
                                      <w:color w:val="FFFFFF" w:themeColor="background1"/>
                                      <w:sz w:val="72"/>
                                      <w:szCs w:val="72"/>
                                    </w:rPr>
                                    <w:t xml:space="preserve">, Culturales y </w:t>
                                  </w:r>
                                  <w:r w:rsidR="007D071D">
                                    <w:rPr>
                                      <w:color w:val="FFFFFF" w:themeColor="background1"/>
                                      <w:sz w:val="72"/>
                                      <w:szCs w:val="72"/>
                                    </w:rPr>
                                    <w:t>Ambientales</w:t>
                                  </w:r>
                                </w:p>
                              </w:txbxContent>
                            </wps:txbx>
                            <wps:bodyPr rot="0" vert="horz" wrap="square" lIns="914400" tIns="1097280" rIns="1097280" bIns="1097280" anchor="b" anchorCtr="0" upright="1">
                              <a:noAutofit/>
                            </wps:bodyPr>
                          </wps:wsp>
                          <wps:wsp>
                            <wps:cNvPr id="127" name="Forma libre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E6891E5" id="Grupo 125" o:spid="_x0000_s1028"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">
                    <o:lock v:ext="edit" aspectratio="t"/>
                    <v:shape id="Forma libre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9FBF8E7" w14:textId="3BDF6FBD" w:rsidR="00B10A4F" w:rsidRDefault="008C5444" w:rsidP="007D071D">
                            <w:pPr>
                              <w:jc w:val="center"/>
                              <w:rPr>
                                <w:color w:val="FFFFFF" w:themeColor="background1"/>
                                <w:sz w:val="72"/>
                                <w:szCs w:val="72"/>
                              </w:rPr>
                            </w:pPr>
                            <w:sdt>
                              <w:sdtPr>
                                <w:rPr>
                                  <w:color w:val="FFFFFF" w:themeColor="background1"/>
                                  <w:sz w:val="72"/>
                                  <w:szCs w:val="72"/>
                                </w:rPr>
                                <w:alias w:val="Título"/>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10A4F">
                                  <w:rPr>
                                    <w:color w:val="FFFFFF" w:themeColor="background1"/>
                                    <w:sz w:val="72"/>
                                    <w:szCs w:val="72"/>
                                  </w:rPr>
                                  <w:t>Informe alternativo</w:t>
                                </w:r>
                              </w:sdtContent>
                            </w:sdt>
                            <w:r w:rsidR="00B10A4F">
                              <w:rPr>
                                <w:color w:val="FFFFFF" w:themeColor="background1"/>
                                <w:sz w:val="72"/>
                                <w:szCs w:val="72"/>
                              </w:rPr>
                              <w:t xml:space="preserve"> para el Comité </w:t>
                            </w:r>
                            <w:r w:rsidR="007D071D">
                              <w:rPr>
                                <w:color w:val="FFFFFF" w:themeColor="background1"/>
                                <w:sz w:val="72"/>
                                <w:szCs w:val="72"/>
                              </w:rPr>
                              <w:t>Derechos</w:t>
                            </w:r>
                            <w:r w:rsidR="00B10A4F">
                              <w:rPr>
                                <w:color w:val="FFFFFF" w:themeColor="background1"/>
                                <w:sz w:val="72"/>
                                <w:szCs w:val="72"/>
                              </w:rPr>
                              <w:t xml:space="preserve"> </w:t>
                            </w:r>
                            <w:r w:rsidR="007D071D">
                              <w:rPr>
                                <w:color w:val="FFFFFF" w:themeColor="background1"/>
                                <w:sz w:val="72"/>
                                <w:szCs w:val="72"/>
                              </w:rPr>
                              <w:t>Económicos</w:t>
                            </w:r>
                            <w:r w:rsidR="00B10A4F">
                              <w:rPr>
                                <w:color w:val="FFFFFF" w:themeColor="background1"/>
                                <w:sz w:val="72"/>
                                <w:szCs w:val="72"/>
                              </w:rPr>
                              <w:t xml:space="preserve">, </w:t>
                            </w:r>
                            <w:r w:rsidR="007D071D">
                              <w:rPr>
                                <w:color w:val="FFFFFF" w:themeColor="background1"/>
                                <w:sz w:val="72"/>
                                <w:szCs w:val="72"/>
                              </w:rPr>
                              <w:t>Sociales</w:t>
                            </w:r>
                            <w:r w:rsidR="00B10A4F">
                              <w:rPr>
                                <w:color w:val="FFFFFF" w:themeColor="background1"/>
                                <w:sz w:val="72"/>
                                <w:szCs w:val="72"/>
                              </w:rPr>
                              <w:t xml:space="preserve">, Culturales y </w:t>
                            </w:r>
                            <w:r w:rsidR="007D071D">
                              <w:rPr>
                                <w:color w:val="FFFFFF" w:themeColor="background1"/>
                                <w:sz w:val="72"/>
                                <w:szCs w:val="72"/>
                              </w:rPr>
                              <w:t>Ambientales</w:t>
                            </w:r>
                          </w:p>
                        </w:txbxContent>
                      </v:textbox>
                    </v:shape>
                    <v:shape id="Forma libre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B10A4F">
            <w:rPr>
              <w:noProof/>
              <w:lang w:val="en-GB" w:eastAsia="en-GB"/>
            </w:rPr>
            <mc:AlternateContent>
              <mc:Choice Requires="wps">
                <w:drawing>
                  <wp:anchor distT="0" distB="0" distL="114300" distR="114300" simplePos="0" relativeHeight="251660288" behindDoc="0" locked="0" layoutInCell="1" allowOverlap="1" wp14:anchorId="65B35786" wp14:editId="2C319D87">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ángulo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ño"/>
                                  <w:tag w:val=""/>
                                  <w:id w:val="1595126926"/>
                                  <w:dataBinding w:prefixMappings="xmlns:ns0='http://schemas.microsoft.com/office/2006/coverPageProps' " w:xpath="/ns0:CoverPageProperties[1]/ns0:PublishDate[1]" w:storeItemID="{55AF091B-3C7A-41E3-B477-F2FDAA23CFDA}"/>
                                  <w:date w:fullDate="2022-01-01T00:00:00Z">
                                    <w:dateFormat w:val="yyyy"/>
                                    <w:lid w:val="es-ES"/>
                                    <w:storeMappedDataAs w:val="dateTime"/>
                                    <w:calendar w:val="gregorian"/>
                                  </w:date>
                                </w:sdtPr>
                                <w:sdtEndPr/>
                                <w:sdtContent>
                                  <w:p w14:paraId="290CBE94" w14:textId="58801653" w:rsidR="00B10A4F" w:rsidRPr="00B10A4F" w:rsidRDefault="00B10A4F">
                                    <w:pPr>
                                      <w:pStyle w:val="NoSpacing"/>
                                      <w:jc w:val="right"/>
                                      <w:rPr>
                                        <w:color w:val="FFFFFF" w:themeColor="background1"/>
                                        <w:sz w:val="28"/>
                                        <w:szCs w:val="28"/>
                                      </w:rPr>
                                    </w:pPr>
                                    <w:r w:rsidRPr="00B10A4F">
                                      <w:rPr>
                                        <w:color w:val="FFFFFF" w:themeColor="background1"/>
                                        <w:sz w:val="28"/>
                                        <w:szCs w:val="28"/>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5B35786" id="Rectángulo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" fillcolor="#4472c4 [3204]" stroked="f" strokeweight="1pt">
                    <v:path arrowok="t"/>
                    <o:lock v:ext="edit" aspectratio="t"/>
                    <v:textbox inset="3.6pt,,3.6pt">
                      <w:txbxContent>
                        <w:sdt>
                          <w:sdtPr>
                            <w:rPr>
                              <w:color w:val="FFFFFF" w:themeColor="background1"/>
                              <w:sz w:val="28"/>
                              <w:szCs w:val="28"/>
                            </w:rPr>
                            <w:alias w:val="Año"/>
                            <w:tag w:val=""/>
                            <w:id w:val="1595126926"/>
                            <w:dataBinding w:prefixMappings="xmlns:ns0='http://schemas.microsoft.com/office/2006/coverPageProps' " w:xpath="/ns0:CoverPageProperties[1]/ns0:PublishDate[1]" w:storeItemID="{55AF091B-3C7A-41E3-B477-F2FDAA23CFDA}"/>
                            <w:date w:fullDate="2022-01-01T00:00:00Z">
                              <w:dateFormat w:val="yyyy"/>
                              <w:lid w:val="es-ES"/>
                              <w:storeMappedDataAs w:val="dateTime"/>
                              <w:calendar w:val="gregorian"/>
                            </w:date>
                          </w:sdtPr>
                          <w:sdtEndPr/>
                          <w:sdtContent>
                            <w:p w14:paraId="290CBE94" w14:textId="58801653" w:rsidR="00B10A4F" w:rsidRPr="00B10A4F" w:rsidRDefault="00B10A4F">
                              <w:pPr>
                                <w:pStyle w:val="NoSpacing"/>
                                <w:jc w:val="right"/>
                                <w:rPr>
                                  <w:color w:val="FFFFFF" w:themeColor="background1"/>
                                  <w:sz w:val="28"/>
                                  <w:szCs w:val="28"/>
                                </w:rPr>
                              </w:pPr>
                              <w:r w:rsidRPr="00B10A4F">
                                <w:rPr>
                                  <w:color w:val="FFFFFF" w:themeColor="background1"/>
                                  <w:sz w:val="28"/>
                                  <w:szCs w:val="28"/>
                                </w:rPr>
                                <w:t>2022</w:t>
                              </w:r>
                            </w:p>
                          </w:sdtContent>
                        </w:sdt>
                      </w:txbxContent>
                    </v:textbox>
                    <w10:wrap anchorx="margin" anchory="page"/>
                  </v:rect>
                </w:pict>
              </mc:Fallback>
            </mc:AlternateContent>
          </w:r>
          <w:r w:rsidR="00B10A4F">
            <w:rPr>
              <w:rFonts w:asciiTheme="majorHAnsi" w:eastAsiaTheme="majorEastAsia" w:hAnsiTheme="majorHAnsi" w:cstheme="majorBidi"/>
              <w:caps/>
              <w:color w:val="FFFFFF" w:themeColor="background1"/>
              <w:sz w:val="64"/>
              <w:szCs w:val="64"/>
              <w:lang w:eastAsia="en-US"/>
            </w:rPr>
            <w:br w:type="page"/>
          </w:r>
        </w:p>
      </w:sdtContent>
    </w:sdt>
    <w:p w14:paraId="499CA893" w14:textId="22D939E6" w:rsidR="00B10A4F" w:rsidRPr="00855822" w:rsidRDefault="00B10A4F" w:rsidP="00855822">
      <w:pPr>
        <w:spacing w:line="276" w:lineRule="auto"/>
        <w:rPr>
          <w:b/>
          <w:bCs/>
        </w:rPr>
      </w:pPr>
      <w:r w:rsidRPr="00855822">
        <w:rPr>
          <w:b/>
          <w:bCs/>
        </w:rPr>
        <w:lastRenderedPageBreak/>
        <w:t xml:space="preserve">Presentación: </w:t>
      </w:r>
    </w:p>
    <w:p w14:paraId="028EEEDF" w14:textId="4551CFB2" w:rsidR="007D071D" w:rsidRPr="00855822" w:rsidRDefault="007D071D" w:rsidP="00855822">
      <w:pPr>
        <w:spacing w:line="276" w:lineRule="auto"/>
      </w:pPr>
      <w:r w:rsidRPr="00855822">
        <w:t>Desde el año 20</w:t>
      </w:r>
      <w:r w:rsidR="00AC091B" w:rsidRPr="00855822">
        <w:t>0</w:t>
      </w:r>
      <w:r w:rsidR="00493CCE" w:rsidRPr="00855822">
        <w:t xml:space="preserve">7 </w:t>
      </w:r>
      <w:r w:rsidRPr="00855822">
        <w:t xml:space="preserve"> el Colectivo Social por el Derecho Hu</w:t>
      </w:r>
      <w:r w:rsidR="00493CCE" w:rsidRPr="00855822">
        <w:t>mano a la Alimentación viene</w:t>
      </w:r>
      <w:r w:rsidRPr="00855822">
        <w:t xml:space="preserve"> elaborando informes alternativos sobre la situación de los DESCA en Guatemala, en esta oportunidad </w:t>
      </w:r>
      <w:r w:rsidR="00493CCE" w:rsidRPr="00855822">
        <w:t xml:space="preserve"> </w:t>
      </w:r>
      <w:r w:rsidRPr="00855822">
        <w:t xml:space="preserve">presentamos ante al comité una </w:t>
      </w:r>
      <w:r w:rsidR="00B06F1F" w:rsidRPr="00855822">
        <w:t>contribución con</w:t>
      </w:r>
      <w:r w:rsidR="008039C1" w:rsidRPr="00855822">
        <w:t xml:space="preserve"> información importante </w:t>
      </w:r>
      <w:r w:rsidRPr="00855822">
        <w:t xml:space="preserve"> que marca la situación en Guatemala sobre alimentación, tierra, desarrollo rural</w:t>
      </w:r>
      <w:r w:rsidR="00330E5E" w:rsidRPr="00855822">
        <w:t xml:space="preserve"> </w:t>
      </w:r>
      <w:r w:rsidR="00B42260" w:rsidRPr="00855822">
        <w:t>y la</w:t>
      </w:r>
      <w:r w:rsidR="00B06F1F" w:rsidRPr="00855822">
        <w:t xml:space="preserve"> jurisprudencia</w:t>
      </w:r>
      <w:r w:rsidRPr="00855822">
        <w:t xml:space="preserve"> en materia DESC</w:t>
      </w:r>
      <w:r w:rsidR="008039C1" w:rsidRPr="00855822">
        <w:t xml:space="preserve">, esta última </w:t>
      </w:r>
      <w:r w:rsidR="00FC7543" w:rsidRPr="00855822">
        <w:t xml:space="preserve">sentada a partir de los casos de Camotán. </w:t>
      </w:r>
    </w:p>
    <w:p w14:paraId="3E36379E" w14:textId="6C6FCB3E" w:rsidR="007D071D" w:rsidRPr="00855822" w:rsidRDefault="007D071D" w:rsidP="00855822">
      <w:pPr>
        <w:spacing w:line="276" w:lineRule="auto"/>
      </w:pPr>
      <w:r w:rsidRPr="00855822">
        <w:t xml:space="preserve">El presente informe es el resultado del trabajo </w:t>
      </w:r>
      <w:r w:rsidR="00E92258" w:rsidRPr="00855822">
        <w:t>realizad</w:t>
      </w:r>
      <w:r w:rsidR="00B42260" w:rsidRPr="00855822">
        <w:t>o</w:t>
      </w:r>
      <w:r w:rsidR="00E92258" w:rsidRPr="00855822">
        <w:t xml:space="preserve"> en el marco de </w:t>
      </w:r>
      <w:r w:rsidR="00B42260" w:rsidRPr="00855822">
        <w:t>Colectivo</w:t>
      </w:r>
      <w:r w:rsidR="00E92258" w:rsidRPr="00855822">
        <w:t xml:space="preserve"> Social por el Derecho Human</w:t>
      </w:r>
      <w:r w:rsidR="00B42260" w:rsidRPr="00855822">
        <w:t>o</w:t>
      </w:r>
      <w:r w:rsidR="008039C1" w:rsidRPr="00855822">
        <w:t xml:space="preserve"> a la Alimentación, </w:t>
      </w:r>
      <w:r w:rsidR="00A261F0" w:rsidRPr="00855822">
        <w:t xml:space="preserve"> </w:t>
      </w:r>
      <w:r w:rsidRPr="00855822">
        <w:t>la</w:t>
      </w:r>
      <w:r w:rsidR="008039C1" w:rsidRPr="00855822">
        <w:t xml:space="preserve"> Campaña Guatemala sin Hambre, </w:t>
      </w:r>
      <w:r w:rsidRPr="00855822">
        <w:t xml:space="preserve">el colectivo CER Ixim, y de la </w:t>
      </w:r>
      <w:r w:rsidR="00B06F1F" w:rsidRPr="00855822">
        <w:t>Fundación</w:t>
      </w:r>
      <w:r w:rsidRPr="00855822">
        <w:t xml:space="preserve"> Tierra Nuestra</w:t>
      </w:r>
      <w:r w:rsidR="00B06F1F" w:rsidRPr="00855822">
        <w:t>.</w:t>
      </w:r>
    </w:p>
    <w:p w14:paraId="23CC1D21" w14:textId="77777777" w:rsidR="007100DE" w:rsidRPr="00855822" w:rsidRDefault="007100DE" w:rsidP="00855822">
      <w:pPr>
        <w:spacing w:line="276" w:lineRule="auto"/>
      </w:pPr>
      <w:r w:rsidRPr="00855822">
        <w:rPr>
          <w:b/>
          <w:bCs/>
        </w:rPr>
        <w:t>Colectivo Social por el Derecho a la alimentación -CSDA</w:t>
      </w:r>
      <w:r w:rsidRPr="00855822">
        <w:t xml:space="preserve">- Convergencia de organizaciones sociales y expertos en temáticas vinculadas al derecho a la alimentación, a la seguridad alimentaria y nutricional y la Soberanía alimentaria. Se constituye desde el año 2007 como un grupo de trabajo para le monitoreo de las políticas y programas alimentarios en el marco del establecimiento del SINASAN. </w:t>
      </w:r>
    </w:p>
    <w:p w14:paraId="688630B6" w14:textId="77777777" w:rsidR="007100DE" w:rsidRPr="00855822" w:rsidRDefault="007100DE" w:rsidP="00855822">
      <w:pPr>
        <w:spacing w:line="276" w:lineRule="auto"/>
      </w:pPr>
      <w:r w:rsidRPr="00855822">
        <w:rPr>
          <w:b/>
          <w:bCs/>
        </w:rPr>
        <w:t>Campaña Guatemala sin Hambre -CGSH</w:t>
      </w:r>
      <w:r w:rsidRPr="00855822">
        <w:t xml:space="preserve">- Nace en el año 2007, es un movimiento de organizaciones campesinas, indígenas, y sociales que impulsan acciones de incidencia política, de lucha y denuncia contra la desnutrición y la crisis alimentaria que padecen las comunidades, desarrollando acciones para la defensa de los Derechos Económicos, Sociales Culturales y Ambientales. </w:t>
      </w:r>
    </w:p>
    <w:p w14:paraId="7F079905" w14:textId="77777777" w:rsidR="007100DE" w:rsidRPr="00855822" w:rsidRDefault="007100DE" w:rsidP="00855822">
      <w:pPr>
        <w:spacing w:line="276" w:lineRule="auto"/>
      </w:pPr>
      <w:r w:rsidRPr="00855822">
        <w:rPr>
          <w:b/>
          <w:bCs/>
        </w:rPr>
        <w:t>Colectivo de Estudios Rurales -IXIM</w:t>
      </w:r>
      <w:r w:rsidRPr="00855822">
        <w:t>- Colectivo multidisciplinario de investigadoras e investigadores enfocada en la problemática rural de Guatemala.</w:t>
      </w:r>
    </w:p>
    <w:p w14:paraId="61864C07" w14:textId="77777777" w:rsidR="007100DE" w:rsidRPr="00855822" w:rsidRDefault="007100DE" w:rsidP="00855822">
      <w:pPr>
        <w:spacing w:line="276" w:lineRule="auto"/>
      </w:pPr>
      <w:r w:rsidRPr="00855822">
        <w:rPr>
          <w:b/>
          <w:bCs/>
        </w:rPr>
        <w:t>Fundación Tierra Nuestra -FTN</w:t>
      </w:r>
      <w:r w:rsidRPr="00855822">
        <w:t>- Acompaña desde el año 2013 la construcción de estrategias de cambio y de formación de sujetos políticos en territorios campesinos, indígenas y rurales empobrecidos en el Occidente de Guatemala. Participó en 2014 en informe alternativo sobre aplicación del PIDESC.</w:t>
      </w:r>
    </w:p>
    <w:p w14:paraId="0264FE02" w14:textId="6E93D997" w:rsidR="00B06F1F" w:rsidRPr="00855822" w:rsidRDefault="00B06F1F" w:rsidP="00855822">
      <w:pPr>
        <w:spacing w:line="276" w:lineRule="auto"/>
      </w:pPr>
      <w:r w:rsidRPr="00855822">
        <w:t>Para su elaboración de tomo en cuenta las recomendaciones emitidas por el Comité en el año 2014</w:t>
      </w:r>
      <w:r w:rsidR="00366548" w:rsidRPr="00855822">
        <w:t xml:space="preserve"> y </w:t>
      </w:r>
      <w:r w:rsidRPr="00855822">
        <w:t xml:space="preserve">lo establecido en la lista de cuestiones </w:t>
      </w:r>
      <w:r w:rsidR="00CC32C2" w:rsidRPr="00855822">
        <w:t>respectivamente</w:t>
      </w:r>
      <w:r w:rsidRPr="00855822">
        <w:t xml:space="preserve">. </w:t>
      </w:r>
    </w:p>
    <w:p w14:paraId="29126425" w14:textId="77777777" w:rsidR="00B10A4F" w:rsidRPr="00855822" w:rsidRDefault="00B10A4F" w:rsidP="00855822">
      <w:pPr>
        <w:spacing w:line="276" w:lineRule="auto"/>
        <w:rPr>
          <w:highlight w:val="yellow"/>
        </w:rPr>
      </w:pPr>
    </w:p>
    <w:p w14:paraId="17D4EDDB" w14:textId="77777777" w:rsidR="008039C1" w:rsidRPr="00855822" w:rsidRDefault="008039C1" w:rsidP="00855822">
      <w:pPr>
        <w:spacing w:line="276" w:lineRule="auto"/>
        <w:rPr>
          <w:highlight w:val="yellow"/>
        </w:rPr>
      </w:pPr>
    </w:p>
    <w:p w14:paraId="5EB5A66D" w14:textId="77777777" w:rsidR="008039C1" w:rsidRPr="00855822" w:rsidRDefault="008039C1" w:rsidP="00855822">
      <w:pPr>
        <w:spacing w:line="276" w:lineRule="auto"/>
        <w:rPr>
          <w:highlight w:val="yellow"/>
        </w:rPr>
      </w:pPr>
    </w:p>
    <w:p w14:paraId="79BE8274" w14:textId="77777777" w:rsidR="008039C1" w:rsidRPr="00855822" w:rsidRDefault="008039C1" w:rsidP="00855822">
      <w:pPr>
        <w:spacing w:line="276" w:lineRule="auto"/>
        <w:rPr>
          <w:highlight w:val="yellow"/>
        </w:rPr>
      </w:pPr>
    </w:p>
    <w:p w14:paraId="28BA4247" w14:textId="77777777" w:rsidR="00B10A4F" w:rsidRPr="00855822" w:rsidRDefault="00B10A4F" w:rsidP="00855822">
      <w:pPr>
        <w:spacing w:line="276" w:lineRule="auto"/>
        <w:rPr>
          <w:highlight w:val="yellow"/>
        </w:rPr>
      </w:pPr>
    </w:p>
    <w:p w14:paraId="29CEB80D" w14:textId="77777777" w:rsidR="00B10A4F" w:rsidRPr="00855822" w:rsidRDefault="00B10A4F" w:rsidP="00855822">
      <w:pPr>
        <w:spacing w:line="276" w:lineRule="auto"/>
        <w:rPr>
          <w:highlight w:val="yellow"/>
        </w:rPr>
      </w:pPr>
    </w:p>
    <w:p w14:paraId="597E2AAB" w14:textId="77777777" w:rsidR="00B10A4F" w:rsidRPr="00855822" w:rsidRDefault="00B10A4F" w:rsidP="00855822">
      <w:pPr>
        <w:spacing w:line="276" w:lineRule="auto"/>
        <w:rPr>
          <w:highlight w:val="yellow"/>
        </w:rPr>
      </w:pPr>
    </w:p>
    <w:p w14:paraId="2E18987F" w14:textId="2BB3013E" w:rsidR="000A705A" w:rsidRPr="00855822" w:rsidRDefault="000A705A" w:rsidP="00855822">
      <w:pPr>
        <w:pStyle w:val="ListParagraph"/>
        <w:shd w:val="clear" w:color="auto" w:fill="F2F2F2" w:themeFill="background1" w:themeFillShade="F2"/>
        <w:spacing w:line="276" w:lineRule="auto"/>
        <w:ind w:left="720"/>
        <w:rPr>
          <w:b/>
        </w:rPr>
      </w:pPr>
      <w:r w:rsidRPr="00855822">
        <w:rPr>
          <w:b/>
        </w:rPr>
        <w:lastRenderedPageBreak/>
        <w:t>Contexto</w:t>
      </w:r>
      <w:r w:rsidR="00905621" w:rsidRPr="00855822">
        <w:rPr>
          <w:b/>
        </w:rPr>
        <w:t>:</w:t>
      </w:r>
    </w:p>
    <w:p w14:paraId="269E68DA" w14:textId="4C564BCF" w:rsidR="00CF347C" w:rsidRPr="00855822" w:rsidRDefault="00CF347C" w:rsidP="00855822">
      <w:pPr>
        <w:shd w:val="clear" w:color="auto" w:fill="F2F2F2" w:themeFill="background1" w:themeFillShade="F2"/>
        <w:spacing w:line="276" w:lineRule="auto"/>
        <w:ind w:left="720"/>
        <w:rPr>
          <w:b/>
        </w:rPr>
      </w:pPr>
      <w:r w:rsidRPr="00855822">
        <w:rPr>
          <w:b/>
        </w:rPr>
        <w:t xml:space="preserve">El Derecho a la Alimentación de la población guatemalteca es violado por el Gobierno de Alejandro </w:t>
      </w:r>
      <w:r w:rsidR="008039C1" w:rsidRPr="00855822">
        <w:rPr>
          <w:b/>
        </w:rPr>
        <w:t xml:space="preserve">Giammantei. </w:t>
      </w:r>
    </w:p>
    <w:p w14:paraId="26294BC3" w14:textId="6FC27028" w:rsidR="00CF347C" w:rsidRPr="00855822" w:rsidRDefault="00CF347C" w:rsidP="00855822">
      <w:pPr>
        <w:pStyle w:val="ListParagraph"/>
        <w:numPr>
          <w:ilvl w:val="0"/>
          <w:numId w:val="6"/>
        </w:numPr>
        <w:spacing w:line="276" w:lineRule="auto"/>
      </w:pPr>
      <w:r w:rsidRPr="00855822">
        <w:t xml:space="preserve">Guatemala se caracteriza por ser el país americano más vulnerable frente a la </w:t>
      </w:r>
      <w:r w:rsidR="008039C1" w:rsidRPr="00855822">
        <w:t>S</w:t>
      </w:r>
      <w:r w:rsidRPr="00855822">
        <w:t xml:space="preserve">eguridad </w:t>
      </w:r>
      <w:r w:rsidR="008039C1" w:rsidRPr="00855822">
        <w:t xml:space="preserve">Alimentaria y Nutricional y la desnutrición, </w:t>
      </w:r>
      <w:r w:rsidRPr="00855822">
        <w:t>no solamente por las desigualdades históricas que sufre, sino además por sufrir de una constante amenaza de grupos nacionales e internacionales que violentan sus medios de vida para beneficiarse económicamente. Previo a la situación de crisis provocada por la pandemia SARS-CoV-2 (COVID-19) ya se reconocía que Guatemala ocupaba el primer lugar del continente americano en cuanto a Desnutrición Crónica y el tercero a nivel mundial, con la mitad de su población infantil en esta situación</w:t>
      </w:r>
      <w:r w:rsidRPr="00855822">
        <w:rPr>
          <w:rStyle w:val="FootnoteReference"/>
        </w:rPr>
        <w:footnoteReference w:id="1"/>
      </w:r>
      <w:r w:rsidRPr="00855822">
        <w:t xml:space="preserve">. A pesar de los esfuerzos de organizaciones sociales y populares por apoyar el establecimiento del Sistema Nacional de Seguridad Alimentaria y Nutricional, SINASAN (Decreto 32-2005), el Gobierno de Alejandro </w:t>
      </w:r>
      <w:r w:rsidR="00246D84" w:rsidRPr="00855822">
        <w:t>Giammantei</w:t>
      </w:r>
      <w:r w:rsidRPr="00855822">
        <w:t xml:space="preserve"> implementa acciones que atentan contra los derechos de la población guatemalteca, al debilitar las entidades que componen el SINASAN, como el </w:t>
      </w:r>
      <w:bookmarkStart w:id="1" w:name="_Hlk85407510"/>
      <w:r w:rsidRPr="00855822">
        <w:t>Ministerio de Agricultura, Ganadería y Alimentación (MAGA) el Ministerio de Salud Pública y Asistencia y Social (MSPAS), o el Ministerio de Trabajo y Previsión Social.</w:t>
      </w:r>
    </w:p>
    <w:p w14:paraId="1B17DF2C" w14:textId="77777777" w:rsidR="00796593" w:rsidRPr="00855822" w:rsidRDefault="00796593" w:rsidP="00855822">
      <w:pPr>
        <w:pStyle w:val="ListParagraph"/>
        <w:spacing w:line="276" w:lineRule="auto"/>
        <w:ind w:left="720"/>
      </w:pPr>
    </w:p>
    <w:bookmarkEnd w:id="1"/>
    <w:p w14:paraId="6E7DCCA6" w14:textId="77777777" w:rsidR="00796593" w:rsidRPr="00855822" w:rsidRDefault="00CF347C" w:rsidP="00855822">
      <w:pPr>
        <w:pStyle w:val="ListParagraph"/>
        <w:numPr>
          <w:ilvl w:val="0"/>
          <w:numId w:val="6"/>
        </w:numPr>
        <w:spacing w:line="276" w:lineRule="auto"/>
      </w:pPr>
      <w:r w:rsidRPr="00855822">
        <w:t>La aplicación de un modelo económico desigual que busca privilegiar los intereses de la minoría oligárquica, arrincona al 71% de la población a la informalidad en el empleo, al 59% a la pobreza general y al 23.4% a la pobreza extrema</w:t>
      </w:r>
      <w:r w:rsidRPr="00855822">
        <w:rPr>
          <w:rStyle w:val="FootnoteReference"/>
        </w:rPr>
        <w:footnoteReference w:id="2"/>
      </w:r>
      <w:r w:rsidRPr="00855822">
        <w:t xml:space="preserve">. Si bien no se realiza un esfuerzo por actualizar estos datos, se estima que sólo como un efecto de la Pandemia, un millón de “nuevos pobres” se suman a estas cifras. Por cuatro años consecutivos el Salario Mínimo prácticamente se mantiene estancado para favorecer al sector empresarial, en detrimento de la población trabajadora. El balance entre la Canasta Básica Alimentaria y el Salario Mínimo se perdió en la última década, y en especial a partir de una clara política antipopular y proempresarial en que el Gobierno de Guatemala se ha atrevido a trastocar los sistemas de información oficial para manipular el estancamiento de los salarios. </w:t>
      </w:r>
    </w:p>
    <w:p w14:paraId="6B20EF9E" w14:textId="77777777" w:rsidR="00796593" w:rsidRPr="00855822" w:rsidRDefault="00796593" w:rsidP="00855822">
      <w:pPr>
        <w:pStyle w:val="ListParagraph"/>
        <w:spacing w:line="276" w:lineRule="auto"/>
        <w:ind w:left="360"/>
      </w:pPr>
    </w:p>
    <w:p w14:paraId="117F6EBE" w14:textId="5E1D4470" w:rsidR="00796593" w:rsidRPr="00855822" w:rsidRDefault="00CF347C" w:rsidP="00855822">
      <w:pPr>
        <w:pStyle w:val="ListParagraph"/>
        <w:numPr>
          <w:ilvl w:val="0"/>
          <w:numId w:val="6"/>
        </w:numPr>
        <w:spacing w:line="276" w:lineRule="auto"/>
      </w:pPr>
      <w:r w:rsidRPr="00855822">
        <w:t>La Canasta Básica Alimentaria sufre de varios cambios en su definición y se manipula la metodología para “adecuarla” según los intereses empresariales. Es justamente durante las administraciones de</w:t>
      </w:r>
      <w:r w:rsidR="00246D84" w:rsidRPr="00855822">
        <w:t xml:space="preserve">l ex presidente </w:t>
      </w:r>
      <w:r w:rsidRPr="00855822">
        <w:t xml:space="preserve">Morales y </w:t>
      </w:r>
      <w:r w:rsidR="00246D84" w:rsidRPr="00855822">
        <w:t xml:space="preserve">el actual presidente </w:t>
      </w:r>
      <w:r w:rsidRPr="00855822">
        <w:t xml:space="preserve">Giammattei que el Salario Mínimo se estanca a niveles sin precedentes. La Canasta Básica utilizada desde hace más de una década previa al 2017 se “ajusta” en dos ocasiones primero, durante el Gobierno de Jimmy Morales y nuevamente en el Gobierno de Alejandro Giammattei. Es un proceso tan poco técnico que en cada “revisión” se logra reducir en casi Q700 el costo de la Canasta Básica Alimentaria. Esto ha llevado a que, en el mes de junio de 2022 incluso </w:t>
      </w:r>
      <w:r w:rsidRPr="00855822">
        <w:lastRenderedPageBreak/>
        <w:t>sea una cifra similar a la de hace más de 8 años, cuando casi al mismo tiempo se reconoce que es uno de los momentos más difíciles de la economía nacional en la última década. Durante la administración de Morales (2016-2019) el Salario Mínimo Agrícola y no agrícola apenas se incrementa en Q347.97; mientras que el Salario Mínimo del Sector exportador: Q307.21. Durante la administración Giammattei (2020-2022) el Salario Agrícola y no agrícola apenas se incrementa en Q216.87, mientras que el Salario del Sector exportador se incrementa Q196.19. Es necesario incrementar todas las definiciones de Salario Mínimo a un nivel suficiente para acceder al menos, a una Canasta Básica Alimentaria, con el objeto de garantizar que las familias más impactadas por la pobreza logren subsistir sin necesidad de apoyos alimentarios. En complemento es necesario buscar mecanismos para la protección de los alimentos que componen la Canasta Básica Alimentaria, que garanticen la disponibilidad de los mismos y mantengan sus precios accesibles a la población.</w:t>
      </w:r>
    </w:p>
    <w:p w14:paraId="263A4707" w14:textId="77777777" w:rsidR="00796593" w:rsidRPr="00855822" w:rsidRDefault="00796593" w:rsidP="00855822">
      <w:pPr>
        <w:pStyle w:val="ListParagraph"/>
        <w:spacing w:line="276" w:lineRule="auto"/>
        <w:ind w:left="720"/>
      </w:pPr>
    </w:p>
    <w:p w14:paraId="4015A45F" w14:textId="77777777" w:rsidR="00796593" w:rsidRPr="00855822" w:rsidRDefault="00CF347C" w:rsidP="00855822">
      <w:pPr>
        <w:pStyle w:val="ListParagraph"/>
        <w:numPr>
          <w:ilvl w:val="0"/>
          <w:numId w:val="6"/>
        </w:numPr>
        <w:spacing w:line="276" w:lineRule="auto"/>
      </w:pPr>
      <w:r w:rsidRPr="00855822">
        <w:t>Los Estados de Emergencia de 2020 frente a la emergencia del COVID-19 provocaron el cierre temporal de las pequeñas y medianas empresas, así como del empleo informal que sustenta a dos terceras partes de la Población Económicamente Activa; situación que llevó a la pérdida de al menos 90 mil empleos formales en apenas el primer mes de la crisis. Las restricciones impactaron al obstaculizar el funcionamiento del pequeño comercio, especialmente agrícola, y llevó a que miles de productores perdieran sus cosechas y no lograran completar sus ciclos productivos. Entre otros efectos, miles de familias se han quedado insolventes para responder a sus créditos, alquiler de vivienda o servicios básicos. La pérdida de oportunidades llevó a que miles de familias asumieran deudas con la banca privada para enviar a sus integrantes más jóvenes a buscar opciones de sobrevivencia en el extranjero.</w:t>
      </w:r>
    </w:p>
    <w:p w14:paraId="1EEE1FE3" w14:textId="77777777" w:rsidR="00796593" w:rsidRPr="00855822" w:rsidRDefault="00796593" w:rsidP="00855822">
      <w:pPr>
        <w:pStyle w:val="ListParagraph"/>
        <w:spacing w:line="276" w:lineRule="auto"/>
        <w:ind w:left="720"/>
      </w:pPr>
    </w:p>
    <w:p w14:paraId="5C4658A3" w14:textId="77777777" w:rsidR="00796593" w:rsidRPr="00855822" w:rsidRDefault="00CF347C" w:rsidP="00855822">
      <w:pPr>
        <w:pStyle w:val="ListParagraph"/>
        <w:numPr>
          <w:ilvl w:val="0"/>
          <w:numId w:val="6"/>
        </w:numPr>
        <w:spacing w:line="276" w:lineRule="auto"/>
        <w:rPr>
          <w:rStyle w:val="FootnoteReference"/>
          <w:vertAlign w:val="baseline"/>
        </w:rPr>
      </w:pPr>
      <w:r w:rsidRPr="00855822">
        <w:rPr>
          <w:lang w:val="es-ES"/>
        </w:rPr>
        <w:t>En cuanto a la Desnutrición Aguda se observa que en tan solo un año prácticamente se duplicó como un efecto directo de las restricciones frente a la Pandemia del COVID. En la Semana Epidemiológica 52 (diciembre) de 2020 se registraron 26,959 casos; el pico más alto registrado desde la existencia del SINASAN. En el año 2021 la disminución fue muy baja y no se retorna a los índices de los años previos, cerrándose el año con 22,416. Para inicios de junio de 2022, en la semana epidemiológica 22, ya se está a punto de alcanzar los 10,000 casos.</w:t>
      </w:r>
      <w:r w:rsidRPr="00855822">
        <w:rPr>
          <w:rStyle w:val="FootnoteReference"/>
        </w:rPr>
        <w:t xml:space="preserve"> </w:t>
      </w:r>
      <w:r w:rsidRPr="00855822">
        <w:rPr>
          <w:rStyle w:val="FootnoteReference"/>
        </w:rPr>
        <w:footnoteReference w:id="3"/>
      </w:r>
    </w:p>
    <w:p w14:paraId="11C35490" w14:textId="77777777" w:rsidR="00796593" w:rsidRPr="00855822" w:rsidRDefault="00796593" w:rsidP="00855822">
      <w:pPr>
        <w:pStyle w:val="ListParagraph"/>
        <w:spacing w:line="276" w:lineRule="auto"/>
        <w:ind w:left="360"/>
      </w:pPr>
    </w:p>
    <w:p w14:paraId="5E4B3DA5" w14:textId="77777777" w:rsidR="00796593" w:rsidRPr="00855822" w:rsidRDefault="00CF347C" w:rsidP="00855822">
      <w:pPr>
        <w:pStyle w:val="ListParagraph"/>
        <w:numPr>
          <w:ilvl w:val="0"/>
          <w:numId w:val="6"/>
        </w:numPr>
        <w:spacing w:line="276" w:lineRule="auto"/>
      </w:pPr>
      <w:r w:rsidRPr="00855822">
        <w:t xml:space="preserve">Por otra parte, siendo la agricultura familiar y campesina la proveedora de más del 80% de los alimentos para la población, los programas del gobierno en esta materia e implementados por el Ministerio de Agricultura, Ganadería y Alimentación son débiles y han sufrido una disminución sistemática desde años atrás. De igual manera, siendo el maíz y el frijol la base de la alimentación en Guatemala, los cuales han sido ancestralmente </w:t>
      </w:r>
      <w:r w:rsidRPr="00855822">
        <w:lastRenderedPageBreak/>
        <w:t>protegidos, preservados y evolucionados por los pueblos indígenas y campesinos a través de su ciencia agrícola, estos se ven seriamente amenazadas por la introducción de semillas  transgénicas en el país a través del Reglamento Técnico de Bioseguridad de Organismos Vivos Modificados para usos agropecuarios. Semillas alteradas genéticamente que profundizarán el hambre puesto que no son sostenible a largo plazo, como lo demuestran innumerables estudios ya que son semillas dependientes de los agrotóxicos que progresivamente matan el suelo y además causan enfermedades en los consumidores por los químicos utilizados.</w:t>
      </w:r>
    </w:p>
    <w:p w14:paraId="0788BF8E" w14:textId="77777777" w:rsidR="00796593" w:rsidRPr="00855822" w:rsidRDefault="00796593" w:rsidP="00855822">
      <w:pPr>
        <w:pStyle w:val="ListParagraph"/>
        <w:spacing w:line="276" w:lineRule="auto"/>
        <w:ind w:left="360"/>
      </w:pPr>
    </w:p>
    <w:p w14:paraId="79BF1B92" w14:textId="46D7C271" w:rsidR="00CF347C" w:rsidRPr="00855822" w:rsidRDefault="00CF347C" w:rsidP="00855822">
      <w:pPr>
        <w:pStyle w:val="ListParagraph"/>
        <w:numPr>
          <w:ilvl w:val="0"/>
          <w:numId w:val="6"/>
        </w:numPr>
        <w:spacing w:line="276" w:lineRule="auto"/>
      </w:pPr>
      <w:r w:rsidRPr="00855822">
        <w:t>Teniendo presente la importancia del derecho humano al agua potable y saneamiento, especialmente en el contexto de la pandemia COVID-19, se observa con preocupación que la institucionalidad pública no vela por un marco normativo que garantice este derecho según mandata el Art.127 de la Constitución Política de la República, aprobando una Ley específica de Agua que respeta los derechos de los pueblos indígenas y su cosmovisión y el respeto al sagrado agua. En años pasados varios acuerdos gubernativos fueron declarados inconstitucionales por la Corte de Constitucionalidad. Preocupa que, a pesar de ello, nuevamente se vuelvan a aprobar acuerdos gubernativos similares, incluyendo la creación de un Viceministerio del Agua en el MARN (AG 18, 19 y 73-2021).</w:t>
      </w:r>
    </w:p>
    <w:p w14:paraId="71B53FC0" w14:textId="74014E8B" w:rsidR="009A2167" w:rsidRPr="00855822" w:rsidRDefault="009A2167" w:rsidP="00855822">
      <w:pPr>
        <w:pStyle w:val="Title"/>
        <w:shd w:val="clear" w:color="auto" w:fill="F2F2F2" w:themeFill="background1" w:themeFillShade="F2"/>
        <w:spacing w:line="276" w:lineRule="auto"/>
        <w:ind w:left="720"/>
        <w:rPr>
          <w:sz w:val="24"/>
          <w:szCs w:val="24"/>
        </w:rPr>
      </w:pPr>
      <w:r w:rsidRPr="00855822">
        <w:rPr>
          <w:sz w:val="24"/>
          <w:szCs w:val="24"/>
        </w:rPr>
        <w:t>Derecho al recurso tierra y desarrollo rural integral</w:t>
      </w:r>
    </w:p>
    <w:p w14:paraId="7D10388A" w14:textId="7FDE1989" w:rsidR="00133647" w:rsidRPr="00855822" w:rsidRDefault="00A96C6A" w:rsidP="00855822">
      <w:pPr>
        <w:pStyle w:val="ListParagraph"/>
        <w:numPr>
          <w:ilvl w:val="0"/>
          <w:numId w:val="6"/>
        </w:numPr>
        <w:pBdr>
          <w:top w:val="nil"/>
          <w:left w:val="nil"/>
          <w:bottom w:val="nil"/>
          <w:right w:val="nil"/>
          <w:between w:val="nil"/>
        </w:pBdr>
        <w:spacing w:line="276" w:lineRule="auto"/>
      </w:pPr>
      <w:r w:rsidRPr="00855822">
        <w:t>A pesar del esfuerzo de varias organizaciones sociales, falta la</w:t>
      </w:r>
      <w:r w:rsidR="00133647" w:rsidRPr="00855822">
        <w:t xml:space="preserve"> legislación a favor del desarrollo rural integral: El 11 de agosto de 2009 fue presentada al pleno del Congreso de la República de Guatemala la iniciativa de ley número 4084, que plantea la ley del Sistema Nacional de Desarrollo Rural Integral. En dos oportunidades el pleno pidió dictámenes de la Comisión legislativa de Agricultura, Ganadería y Pesca, ambos dictámenes (años 2009 y 2016) fueron favorables y con modificaciones. Sin embargo, la iniciativa de ley no fue aprobad</w:t>
      </w:r>
      <w:r w:rsidR="00865EED" w:rsidRPr="00855822">
        <w:t>a</w:t>
      </w:r>
      <w:r w:rsidR="00133647" w:rsidRPr="00855822">
        <w:t>, hasta hoy en día Guatemala carece de adecuada legislación a favor del desarrollo rural integral</w:t>
      </w:r>
      <w:r w:rsidR="00133647" w:rsidRPr="00855822">
        <w:rPr>
          <w:rStyle w:val="FootnoteReference"/>
        </w:rPr>
        <w:footnoteReference w:id="4"/>
      </w:r>
      <w:r w:rsidR="00133647" w:rsidRPr="00855822">
        <w:t xml:space="preserve">. </w:t>
      </w:r>
    </w:p>
    <w:p w14:paraId="72560668" w14:textId="1F942D58" w:rsidR="00133647" w:rsidRPr="00855822" w:rsidRDefault="00A96C6A" w:rsidP="00855822">
      <w:pPr>
        <w:numPr>
          <w:ilvl w:val="0"/>
          <w:numId w:val="6"/>
        </w:numPr>
        <w:pBdr>
          <w:top w:val="nil"/>
          <w:left w:val="nil"/>
          <w:bottom w:val="nil"/>
          <w:right w:val="nil"/>
          <w:between w:val="nil"/>
        </w:pBdr>
        <w:spacing w:line="276" w:lineRule="auto"/>
      </w:pPr>
      <w:r w:rsidRPr="00855822">
        <w:t>Así también, falta una</w:t>
      </w:r>
      <w:r w:rsidR="00133647" w:rsidRPr="00855822">
        <w:t xml:space="preserve"> legislación a favor de la agricultura familiar: la iniciativa de ley número 4947 que dispone aprobar la Ley de Agricultura Familiar ingresó al Congreso de la República el 9 de marzo de 2015, logró un dictamen favorable con modificaciones el 10 de mayo de 2017. Sin embargo, a pesar de haber pasado segundo debate, el Congreso de la República ya no dio seguimiento al trámite, la iniciative de ley no se aprobó. No se cuenta con un marco legal a favor de la agricultura familiar</w:t>
      </w:r>
      <w:r w:rsidR="007F4E21" w:rsidRPr="00855822">
        <w:rPr>
          <w:rStyle w:val="FootnoteReference"/>
        </w:rPr>
        <w:t xml:space="preserve"> </w:t>
      </w:r>
      <w:r w:rsidR="007F4E21" w:rsidRPr="00855822">
        <w:rPr>
          <w:rStyle w:val="FootnoteReference"/>
        </w:rPr>
        <w:footnoteReference w:id="5"/>
      </w:r>
      <w:r w:rsidR="00133647" w:rsidRPr="00855822">
        <w:t>.</w:t>
      </w:r>
    </w:p>
    <w:p w14:paraId="6940C2C8" w14:textId="02207B99" w:rsidR="00133647" w:rsidRPr="00855822" w:rsidRDefault="00133647" w:rsidP="00855822">
      <w:pPr>
        <w:numPr>
          <w:ilvl w:val="0"/>
          <w:numId w:val="6"/>
        </w:numPr>
        <w:pBdr>
          <w:top w:val="nil"/>
          <w:left w:val="nil"/>
          <w:bottom w:val="nil"/>
          <w:right w:val="nil"/>
          <w:between w:val="nil"/>
        </w:pBdr>
        <w:spacing w:line="276" w:lineRule="auto"/>
      </w:pPr>
      <w:r w:rsidRPr="00855822">
        <w:t>Otras iniciativas de ley que podría crear oportunidades para la agricultura familiar, es una reforma a la Ley de Alimentación Escolar (iniciativa de ley número 5829</w:t>
      </w:r>
      <w:r w:rsidR="007F4E21" w:rsidRPr="00855822">
        <w:t xml:space="preserve">, presentada en </w:t>
      </w:r>
      <w:r w:rsidR="007F4E21" w:rsidRPr="00855822">
        <w:lastRenderedPageBreak/>
        <w:t>agosto 2020</w:t>
      </w:r>
      <w:r w:rsidRPr="00855822">
        <w:t>), no fue aprobada</w:t>
      </w:r>
      <w:r w:rsidR="007F4E21" w:rsidRPr="00855822">
        <w:rPr>
          <w:rStyle w:val="FootnoteReference"/>
        </w:rPr>
        <w:footnoteReference w:id="6"/>
      </w:r>
      <w:r w:rsidRPr="00855822">
        <w:t>, sigue un modelo de alimentación escolar que no crea condiciones idóneas para</w:t>
      </w:r>
      <w:r w:rsidR="00865EED" w:rsidRPr="00855822">
        <w:t xml:space="preserve"> personas </w:t>
      </w:r>
      <w:r w:rsidRPr="00855822">
        <w:t>pequeñ</w:t>
      </w:r>
      <w:r w:rsidR="00865EED" w:rsidRPr="00855822">
        <w:t>a</w:t>
      </w:r>
      <w:r w:rsidRPr="00855822">
        <w:t>s productor</w:t>
      </w:r>
      <w:r w:rsidR="00865EED" w:rsidRPr="00855822">
        <w:t>a</w:t>
      </w:r>
      <w:r w:rsidRPr="00855822">
        <w:t>s, quiénes muchas veces están en condiciones de pobreza, tampoco se ha aprovechado la oportunidad para</w:t>
      </w:r>
      <w:r w:rsidR="00865EED" w:rsidRPr="00855822">
        <w:t xml:space="preserve"> la población </w:t>
      </w:r>
      <w:r w:rsidRPr="00855822">
        <w:t>escolar de contar con acceso a alimentos saludables.</w:t>
      </w:r>
    </w:p>
    <w:p w14:paraId="747D6E5C" w14:textId="00EF06EC" w:rsidR="00133647" w:rsidRPr="00855822" w:rsidRDefault="00133647" w:rsidP="00855822">
      <w:pPr>
        <w:numPr>
          <w:ilvl w:val="0"/>
          <w:numId w:val="6"/>
        </w:numPr>
        <w:pBdr>
          <w:top w:val="nil"/>
          <w:left w:val="nil"/>
          <w:bottom w:val="nil"/>
          <w:right w:val="nil"/>
          <w:between w:val="nil"/>
        </w:pBdr>
        <w:spacing w:line="276" w:lineRule="auto"/>
      </w:pPr>
      <w:r w:rsidRPr="00855822">
        <w:t>Falta de legislación y jurisdicción agraria: La actual Política Agraria</w:t>
      </w:r>
      <w:r w:rsidR="00BE7684" w:rsidRPr="00855822">
        <w:t xml:space="preserve"> (aprobado en octubre 2014 mediante Acuerdo Gubernativo No. 372-2014)</w:t>
      </w:r>
      <w:r w:rsidRPr="00855822">
        <w:t xml:space="preserve">, en vinculación a los Acuerdos de Paz, contempla la creación y aprobación de un Código Agrario y un Código Procesal Agrario, la instalación de juzgados, tribunales y salas agrarias, la instalación de una Fiscalía Agraria </w:t>
      </w:r>
      <w:r w:rsidR="00865EED" w:rsidRPr="00855822">
        <w:t>en el Ministerio Público-</w:t>
      </w:r>
      <w:r w:rsidRPr="00855822">
        <w:t>MP, y una Procuraduría Agraria. Nada de ello ha avanzado. En vez de contar con un marco normativo institucional que facilite certeza y seguridad jurídica, y que recono</w:t>
      </w:r>
      <w:r w:rsidR="00865EED" w:rsidRPr="00855822">
        <w:t>zca los</w:t>
      </w:r>
      <w:r w:rsidRPr="00855822">
        <w:t xml:space="preserve"> derechos históricos de comunidades y pueblos indígenas, en octubre 2021 el </w:t>
      </w:r>
      <w:r w:rsidR="00865EED" w:rsidRPr="00855822">
        <w:t xml:space="preserve">MP </w:t>
      </w:r>
      <w:r w:rsidRPr="00855822">
        <w:t>instaló una Fiscalía Especializada contra los Delitos de Usurpación para la persecución penal de los delitos de usurpación, usurpación agravada</w:t>
      </w:r>
      <w:r w:rsidRPr="00855822">
        <w:rPr>
          <w:rStyle w:val="FootnoteReference"/>
        </w:rPr>
        <w:footnoteReference w:id="7"/>
      </w:r>
      <w:r w:rsidRPr="00855822">
        <w:t xml:space="preserve"> – desprovist</w:t>
      </w:r>
      <w:r w:rsidR="003A2731" w:rsidRPr="00855822">
        <w:t>a</w:t>
      </w:r>
      <w:r w:rsidRPr="00855822">
        <w:t xml:space="preserve"> de una mirada integral busca persecución penal de quiénes no tienen títulos </w:t>
      </w:r>
      <w:r w:rsidR="00BE7684" w:rsidRPr="00855822">
        <w:t xml:space="preserve">de propiedad </w:t>
      </w:r>
      <w:r w:rsidRPr="00855822">
        <w:t>registrados</w:t>
      </w:r>
      <w:r w:rsidR="00BE7684" w:rsidRPr="00855822">
        <w:t xml:space="preserve"> en el Registro General de la Propiedad (RGP)</w:t>
      </w:r>
      <w:r w:rsidRPr="00855822">
        <w:t>, en varias ocasiones se trata de comunidades indígenas que históricamente habitan territorios</w:t>
      </w:r>
      <w:r w:rsidR="00865EED" w:rsidRPr="00855822">
        <w:t xml:space="preserve"> ance</w:t>
      </w:r>
      <w:r w:rsidR="00E83CB5" w:rsidRPr="00855822">
        <w:t>s</w:t>
      </w:r>
      <w:r w:rsidR="00865EED" w:rsidRPr="00855822">
        <w:t>trales</w:t>
      </w:r>
      <w:r w:rsidRPr="00855822">
        <w:t>.</w:t>
      </w:r>
    </w:p>
    <w:p w14:paraId="60339C3C" w14:textId="65D857C4" w:rsidR="00E83CB5" w:rsidRPr="00855822" w:rsidRDefault="00A96C6A" w:rsidP="00855822">
      <w:pPr>
        <w:numPr>
          <w:ilvl w:val="0"/>
          <w:numId w:val="6"/>
        </w:numPr>
        <w:pBdr>
          <w:top w:val="nil"/>
          <w:left w:val="nil"/>
          <w:bottom w:val="nil"/>
          <w:right w:val="nil"/>
          <w:between w:val="nil"/>
        </w:pBdr>
        <w:spacing w:line="276" w:lineRule="auto"/>
      </w:pPr>
      <w:r w:rsidRPr="00855822">
        <w:t>Según la lista de cuestiones párrafo 06, se puede informar que e</w:t>
      </w:r>
      <w:r w:rsidR="004C14C7" w:rsidRPr="00855822">
        <w:t xml:space="preserve">n octubre 2016 </w:t>
      </w:r>
      <w:r w:rsidR="00E83CB5" w:rsidRPr="00855822">
        <w:t xml:space="preserve">se presentó la iniciativa de ley número No. 5188 “Ley de Regularización de la Tenencia de la Tierra”. Mientras que expresa tener </w:t>
      </w:r>
      <w:r w:rsidR="004C14C7" w:rsidRPr="00855822">
        <w:t>por objeto normar los procedimientos dirigidos a la regularización de la tenencia de la tierra</w:t>
      </w:r>
      <w:r w:rsidR="00E83CB5" w:rsidRPr="00855822">
        <w:t>, sin embargo, se observa</w:t>
      </w:r>
      <w:r w:rsidR="00616C82" w:rsidRPr="00855822">
        <w:t xml:space="preserve"> una total ausencia del tema de las tierras comunales de los pueblos indígenas. En ninguno de los procedimientos propuestos se considera la participación de autoridades ancestrales o de pueblos indígenas. </w:t>
      </w:r>
      <w:r w:rsidR="003852E2" w:rsidRPr="00855822">
        <w:t xml:space="preserve">No se contemplan los derechos colectivos de pueblos indígenas y posibles legítimos reclamos de reconocer sus derechos históricos/ancestrales. </w:t>
      </w:r>
      <w:r w:rsidR="00616C82" w:rsidRPr="00855822">
        <w:t xml:space="preserve">Aparte, el abordaje de los excesos de fincas rústicas, favorece a terratenientes, en vez de priorizar soluciones </w:t>
      </w:r>
      <w:r w:rsidR="003852E2" w:rsidRPr="00855822">
        <w:t xml:space="preserve">con justicia social que permitirían al Estado atender a </w:t>
      </w:r>
      <w:r w:rsidR="00616C82" w:rsidRPr="00855822">
        <w:t>campesinos sin tierras</w:t>
      </w:r>
      <w:r w:rsidR="002E65EB" w:rsidRPr="00855822">
        <w:t xml:space="preserve">. Tras críticas a la referida iniciativa de ley y su dictamen favorable, la iniciativa de ley estancó en el año 2016, sin que </w:t>
      </w:r>
      <w:r w:rsidR="002A66B3" w:rsidRPr="00855822">
        <w:t xml:space="preserve">haya </w:t>
      </w:r>
      <w:r w:rsidR="00803B5F" w:rsidRPr="00855822">
        <w:t xml:space="preserve">otra </w:t>
      </w:r>
      <w:r w:rsidR="002E65EB" w:rsidRPr="00855822">
        <w:t xml:space="preserve">iniciativa </w:t>
      </w:r>
      <w:r w:rsidR="002A66B3" w:rsidRPr="00855822">
        <w:t xml:space="preserve">de ley basada en </w:t>
      </w:r>
      <w:r w:rsidR="00CE4780" w:rsidRPr="00855822">
        <w:t xml:space="preserve">el </w:t>
      </w:r>
      <w:r w:rsidR="00803B5F" w:rsidRPr="00855822">
        <w:t>derecho internacional de los derechos humanos</w:t>
      </w:r>
      <w:r w:rsidR="00CE4780" w:rsidRPr="00855822">
        <w:t>, especialmente de los pueblos indígenas</w:t>
      </w:r>
      <w:r w:rsidR="00616C82" w:rsidRPr="00855822">
        <w:t xml:space="preserve">. </w:t>
      </w:r>
    </w:p>
    <w:p w14:paraId="4453EBEB" w14:textId="77777777" w:rsidR="009A29FE" w:rsidRPr="00855822" w:rsidRDefault="00133647" w:rsidP="00855822">
      <w:pPr>
        <w:numPr>
          <w:ilvl w:val="0"/>
          <w:numId w:val="6"/>
        </w:numPr>
        <w:pBdr>
          <w:top w:val="nil"/>
          <w:left w:val="nil"/>
          <w:bottom w:val="nil"/>
          <w:right w:val="nil"/>
          <w:between w:val="nil"/>
        </w:pBdr>
        <w:spacing w:line="276" w:lineRule="auto"/>
      </w:pPr>
      <w:r w:rsidRPr="00855822">
        <w:t>En el año 2014 se aprobó la Política Agraria con la Secretaría de Asuntos Agrarios (SAA) como principal institución rectora. Sin embargo, en el año 2020 el presidente de la República cerró la SAA (Acuerdo Gubernativo 97-2020 del 30 de julio de 2020</w:t>
      </w:r>
      <w:r w:rsidR="00EE2A49" w:rsidRPr="00855822">
        <w:t xml:space="preserve"> </w:t>
      </w:r>
      <w:r w:rsidR="00EE2A49" w:rsidRPr="00855822">
        <w:rPr>
          <w:rStyle w:val="FootnoteReference"/>
        </w:rPr>
        <w:footnoteReference w:id="8"/>
      </w:r>
      <w:r w:rsidRPr="00855822">
        <w:t>) y con ello dejó la Política Agraria sin la principal entidad responsable</w:t>
      </w:r>
      <w:r w:rsidR="00774FB2" w:rsidRPr="00855822">
        <w:t>, la mayoría de la normativa queda sin impulso para su implementación</w:t>
      </w:r>
      <w:r w:rsidRPr="00855822">
        <w:t>.</w:t>
      </w:r>
    </w:p>
    <w:p w14:paraId="5D9E89D4" w14:textId="6964350C" w:rsidR="00295107" w:rsidRPr="00855822" w:rsidRDefault="00295107" w:rsidP="00855822">
      <w:pPr>
        <w:numPr>
          <w:ilvl w:val="0"/>
          <w:numId w:val="6"/>
        </w:numPr>
        <w:pBdr>
          <w:top w:val="nil"/>
          <w:left w:val="nil"/>
          <w:bottom w:val="nil"/>
          <w:right w:val="nil"/>
          <w:between w:val="nil"/>
        </w:pBdr>
        <w:spacing w:line="276" w:lineRule="auto"/>
      </w:pPr>
      <w:r w:rsidRPr="00855822">
        <w:lastRenderedPageBreak/>
        <w:t>En diciembre 2018 el Estado de Guatemala votó en la Asamblea General de las Naciones Unidas en contra de la “Declaración sobre los derechos de los campesinos y de otras personas que trabajan en las zonas rurales”, también conocida como “Declaración de Derechos Campesinos” - cuando se aprobó la declaración con una importante mayoría de países. Desde entonces se nota la falta de compromiso del Estado de Guatemala con los derechos de la población campesina.</w:t>
      </w:r>
    </w:p>
    <w:p w14:paraId="53D34D79" w14:textId="2BBAC016" w:rsidR="00133647" w:rsidRPr="00855822" w:rsidRDefault="00133647" w:rsidP="00855822">
      <w:pPr>
        <w:numPr>
          <w:ilvl w:val="0"/>
          <w:numId w:val="6"/>
        </w:numPr>
        <w:pBdr>
          <w:top w:val="nil"/>
          <w:left w:val="nil"/>
          <w:bottom w:val="nil"/>
          <w:right w:val="nil"/>
          <w:between w:val="nil"/>
        </w:pBdr>
        <w:spacing w:line="276" w:lineRule="auto"/>
      </w:pPr>
      <w:r w:rsidRPr="00855822">
        <w:t xml:space="preserve">Tampoco se observa importante compromiso con la Política Nacional de Desarrollo Rural Integral (PNDRI) aprobada en el año 2009 mediante Acuerdo Gubernativo 196-2009. A pesar de </w:t>
      </w:r>
      <w:r w:rsidR="00AA388E" w:rsidRPr="00855822">
        <w:t xml:space="preserve">estar </w:t>
      </w:r>
      <w:r w:rsidRPr="00855822">
        <w:t>vigen</w:t>
      </w:r>
      <w:r w:rsidR="00AA388E" w:rsidRPr="00855822">
        <w:t>te desde entonces</w:t>
      </w:r>
      <w:r w:rsidRPr="00855822">
        <w:t>, los cuatro últimos gobiernos no han asumido el compromiso político de crear la estructura institucional y asignar el presupuesto que se necesitan para su implementación</w:t>
      </w:r>
      <w:r w:rsidR="00A96C6A" w:rsidRPr="00855822">
        <w:t xml:space="preserve">; lo que se ejemplifica con la </w:t>
      </w:r>
      <w:r w:rsidR="00715C26" w:rsidRPr="00855822">
        <w:t>desaparición</w:t>
      </w:r>
      <w:r w:rsidR="00A96C6A" w:rsidRPr="00855822">
        <w:t xml:space="preserve"> </w:t>
      </w:r>
      <w:r w:rsidR="00715C26" w:rsidRPr="00855822">
        <w:t xml:space="preserve">del PAFFEC. </w:t>
      </w:r>
      <w:r w:rsidR="00733EA6" w:rsidRPr="00855822">
        <w:t xml:space="preserve"> </w:t>
      </w:r>
    </w:p>
    <w:p w14:paraId="6C4FF1F2" w14:textId="305DE229" w:rsidR="00133647" w:rsidRPr="00855822" w:rsidRDefault="00133647" w:rsidP="00855822">
      <w:pPr>
        <w:pStyle w:val="Heading2"/>
        <w:shd w:val="clear" w:color="auto" w:fill="F2F2F2" w:themeFill="background1" w:themeFillShade="F2"/>
        <w:spacing w:line="276" w:lineRule="auto"/>
        <w:ind w:left="720"/>
        <w:rPr>
          <w:rFonts w:cs="Times New Roman"/>
          <w:b/>
          <w:bCs/>
          <w:szCs w:val="24"/>
          <w:u w:val="none"/>
        </w:rPr>
      </w:pPr>
      <w:r w:rsidRPr="00855822">
        <w:rPr>
          <w:rFonts w:cs="Times New Roman"/>
          <w:b/>
          <w:bCs/>
          <w:szCs w:val="24"/>
          <w:u w:val="none"/>
        </w:rPr>
        <w:t>Derecho al recurso tierra y desarrollo rural integral – gestión gubernamental</w:t>
      </w:r>
    </w:p>
    <w:p w14:paraId="5201CCB2" w14:textId="3B36F4D3" w:rsidR="00133647" w:rsidRPr="00855822" w:rsidRDefault="00715C26" w:rsidP="00855822">
      <w:pPr>
        <w:numPr>
          <w:ilvl w:val="0"/>
          <w:numId w:val="6"/>
        </w:numPr>
        <w:pBdr>
          <w:top w:val="nil"/>
          <w:left w:val="nil"/>
          <w:bottom w:val="nil"/>
          <w:right w:val="nil"/>
          <w:between w:val="nil"/>
        </w:pBdr>
        <w:spacing w:line="276" w:lineRule="auto"/>
      </w:pPr>
      <w:r w:rsidRPr="00855822">
        <w:t>Según la lista de cuestiones, párrafo 10; p</w:t>
      </w:r>
      <w:r w:rsidR="00133647" w:rsidRPr="00855822">
        <w:t xml:space="preserve">or mandato legal, el Fondo de Tierras (FONTIERRAS) es la entidad encargada a facilitar el acceso a la tierra </w:t>
      </w:r>
      <w:r w:rsidR="00533F34" w:rsidRPr="00855822">
        <w:t xml:space="preserve">de la población </w:t>
      </w:r>
      <w:r w:rsidR="00133647" w:rsidRPr="00855822">
        <w:t>campesina</w:t>
      </w:r>
      <w:r w:rsidR="00133647" w:rsidRPr="00855822">
        <w:rPr>
          <w:rStyle w:val="FootnoteReference"/>
        </w:rPr>
        <w:footnoteReference w:id="9"/>
      </w:r>
      <w:r w:rsidR="00133647" w:rsidRPr="00855822">
        <w:t>. Para ello cuenta con una Política de Acceso a la Tierra Vía Créditos Subsidiados</w:t>
      </w:r>
      <w:r w:rsidR="00133647" w:rsidRPr="00855822">
        <w:rPr>
          <w:rStyle w:val="FootnoteReference"/>
        </w:rPr>
        <w:footnoteReference w:id="10"/>
      </w:r>
      <w:r w:rsidR="00133647" w:rsidRPr="00855822">
        <w:t xml:space="preserve">. Hace 9 años las políticas del FONTIERRAS mejoraron y prevén mayores subsidios y mejores condiciones iniciales. Sin embargo, se observa poca voluntad política para destinar presupuesto al Programa de Acceso a Tierras del FONTIERRAS. Ello tiene consecuencias preocupantes con tendencias negativas: A lo largo de la vida institucional de FONTIERRAS, desde el año 1998 hasta la fecha, se ha facilitado un total de 306 accesos a tierra. Mientras que en los primeros 8 años se entregó un promedio de 27.5 fincas por año, </w:t>
      </w:r>
      <w:r w:rsidR="005B504C" w:rsidRPr="00855822">
        <w:t>entre 2017 y 2021</w:t>
      </w:r>
      <w:r w:rsidR="00133647" w:rsidRPr="00855822">
        <w:t>, se redujo a un promedio de 4</w:t>
      </w:r>
      <w:r w:rsidR="005B504C" w:rsidRPr="00855822">
        <w:t>.8</w:t>
      </w:r>
      <w:r w:rsidR="00133647" w:rsidRPr="00855822">
        <w:t xml:space="preserve"> fincas facilitadas. Aunque el FONTIERRAS promueve el arrendamiento de tierras</w:t>
      </w:r>
      <w:r w:rsidR="000028B9" w:rsidRPr="00855822">
        <w:t xml:space="preserve"> para la población </w:t>
      </w:r>
      <w:r w:rsidR="009A4C96" w:rsidRPr="00855822">
        <w:t>campesina</w:t>
      </w:r>
      <w:r w:rsidR="00133647" w:rsidRPr="00855822">
        <w:t>, este mecanismo no permite la implementación de estrategias de economía campesina de mediano o largo plazo, sino limita a cultivos anuales, sin lugares para instalar casas.</w:t>
      </w:r>
    </w:p>
    <w:p w14:paraId="2A16A534" w14:textId="4F1ECAF1" w:rsidR="00133647" w:rsidRPr="00855822" w:rsidRDefault="00715C26" w:rsidP="00855822">
      <w:pPr>
        <w:numPr>
          <w:ilvl w:val="0"/>
          <w:numId w:val="6"/>
        </w:numPr>
        <w:pBdr>
          <w:top w:val="nil"/>
          <w:left w:val="nil"/>
          <w:bottom w:val="nil"/>
          <w:right w:val="nil"/>
          <w:between w:val="nil"/>
        </w:pBdr>
        <w:spacing w:line="276" w:lineRule="auto"/>
      </w:pPr>
      <w:r w:rsidRPr="00855822">
        <w:t>En la lista de cuestiones en el párrafo 07, se puede informar que e</w:t>
      </w:r>
      <w:r w:rsidR="00133647" w:rsidRPr="00855822">
        <w:t xml:space="preserve">l FONTIERRAS cuenta con una política de “Política para Facilitar a las Mujeres Campesinas, Mayas, Xinkas, Garífunas y Mestizas el Acceso a la Propiedad y Otros Activos Productivos” (Punto Resolutivo 99-2016 del Consejo Directivo de FONTIERRAS). En la práctica, sólo </w:t>
      </w:r>
      <w:r w:rsidR="008E3F40" w:rsidRPr="00855822">
        <w:t xml:space="preserve">una asociación de mujeres agrícolas logró acceso </w:t>
      </w:r>
      <w:r w:rsidR="00133647" w:rsidRPr="00855822">
        <w:t>a tierra en el marco de esta política</w:t>
      </w:r>
      <w:r w:rsidR="008E3F40" w:rsidRPr="00855822">
        <w:t>, en el año 2019</w:t>
      </w:r>
      <w:r w:rsidR="00133647" w:rsidRPr="00855822">
        <w:rPr>
          <w:rStyle w:val="FootnoteReference"/>
        </w:rPr>
        <w:footnoteReference w:id="11"/>
      </w:r>
      <w:r w:rsidR="00133647" w:rsidRPr="00855822">
        <w:t>.</w:t>
      </w:r>
      <w:r w:rsidR="00B032AD" w:rsidRPr="00855822">
        <w:t xml:space="preserve"> Por falta de voluntad política, en los últimos seis años</w:t>
      </w:r>
      <w:r w:rsidR="002A66B3" w:rsidRPr="00855822">
        <w:t>,</w:t>
      </w:r>
      <w:r w:rsidR="00B032AD" w:rsidRPr="00855822">
        <w:t xml:space="preserve"> desde la aprobación del referido punto resolutivo</w:t>
      </w:r>
      <w:r w:rsidR="002A66B3" w:rsidRPr="00855822">
        <w:t>,</w:t>
      </w:r>
      <w:r w:rsidR="00B032AD" w:rsidRPr="00855822">
        <w:t xml:space="preserve"> la disposición prácticamente no ha logrado materialización concreta.</w:t>
      </w:r>
    </w:p>
    <w:p w14:paraId="41CC7BE1" w14:textId="681A7FA8" w:rsidR="00133647" w:rsidRPr="00855822" w:rsidRDefault="00133647" w:rsidP="00855822">
      <w:pPr>
        <w:numPr>
          <w:ilvl w:val="0"/>
          <w:numId w:val="6"/>
        </w:numPr>
        <w:pBdr>
          <w:top w:val="nil"/>
          <w:left w:val="nil"/>
          <w:bottom w:val="nil"/>
          <w:right w:val="nil"/>
          <w:between w:val="nil"/>
        </w:pBdr>
        <w:spacing w:line="276" w:lineRule="auto"/>
        <w:rPr>
          <w:strike/>
        </w:rPr>
      </w:pPr>
      <w:r w:rsidRPr="00855822">
        <w:lastRenderedPageBreak/>
        <w:t xml:space="preserve">En el contexto de falta de voluntad de destinar mayor presupuesto para el acceso a tierra, </w:t>
      </w:r>
      <w:r w:rsidR="000028B9" w:rsidRPr="00855822">
        <w:t xml:space="preserve">las </w:t>
      </w:r>
      <w:r w:rsidRPr="00855822">
        <w:t xml:space="preserve">organizaciones campesinas propusieron al Organismo Ejecutivo aprovechar las fincas rústicas que pasaron a ser propiedad del Estado tras proceso de extinción de dominio y entregarlas a </w:t>
      </w:r>
      <w:r w:rsidR="00CE2367" w:rsidRPr="00855822">
        <w:t xml:space="preserve">la población campesina </w:t>
      </w:r>
      <w:r w:rsidRPr="00855822">
        <w:t>necesitad</w:t>
      </w:r>
      <w:r w:rsidR="00CE2367" w:rsidRPr="00855822">
        <w:t>a</w:t>
      </w:r>
      <w:r w:rsidRPr="00855822">
        <w:t>s</w:t>
      </w:r>
      <w:r w:rsidRPr="00855822">
        <w:rPr>
          <w:rStyle w:val="FootnoteReference"/>
        </w:rPr>
        <w:footnoteReference w:id="12"/>
      </w:r>
      <w:r w:rsidRPr="00855822">
        <w:t>. Pasaron varios años hasta en el año 2018 el FONTIERRAS aprobó el “Procedimiento para Aplicar en el Fondo de Tierras en los Casos de Donación de Inmuebles Provenientes de Extinción de Dominio” (Punto Resolutivo 33-2018 del Consejo Directivo de FONTIERRAS, del 17/4/2018). A principios del año 2022 sólo de una finca rústica extinguida se había desmembrado a favor de un grupo de familias refugiadas en México, en el contexto de la guerra interna en Guatemala.</w:t>
      </w:r>
    </w:p>
    <w:p w14:paraId="5CB94539" w14:textId="2BCF5286" w:rsidR="00133647" w:rsidRPr="00855822" w:rsidRDefault="00715C26" w:rsidP="00855822">
      <w:pPr>
        <w:numPr>
          <w:ilvl w:val="0"/>
          <w:numId w:val="6"/>
        </w:numPr>
        <w:pBdr>
          <w:top w:val="nil"/>
          <w:left w:val="nil"/>
          <w:bottom w:val="nil"/>
          <w:right w:val="nil"/>
          <w:between w:val="nil"/>
        </w:pBdr>
        <w:spacing w:line="276" w:lineRule="auto"/>
      </w:pPr>
      <w:r w:rsidRPr="00855822">
        <w:t xml:space="preserve">Relativo a la lisa de cuestiones  en el párrafo 06: </w:t>
      </w:r>
      <w:r w:rsidR="00133647" w:rsidRPr="00855822">
        <w:t>El Registro de Información Catastral (RIC) se fundamenta en la Ley del RIC (Decreto 41-2005). En casi 12 años de existencia del RIC ha finalizado el proceso de catastro en tan sólo 15 municipios del total de 340 municipios a nivel de país, otros 39 se encuentran en proceso catastral</w:t>
      </w:r>
      <w:r w:rsidR="00133647" w:rsidRPr="00855822">
        <w:rPr>
          <w:rStyle w:val="FootnoteReference"/>
        </w:rPr>
        <w:footnoteReference w:id="13"/>
      </w:r>
      <w:r w:rsidR="00133647" w:rsidRPr="00855822">
        <w:t>. Hasta la fecha – desde el año 201</w:t>
      </w:r>
      <w:r w:rsidR="00A8352F" w:rsidRPr="00855822">
        <w:t>7</w:t>
      </w:r>
      <w:r w:rsidR="00133647" w:rsidRPr="00855822">
        <w:t xml:space="preserve"> a 2022 – solo 2</w:t>
      </w:r>
      <w:r w:rsidR="00A8352F" w:rsidRPr="00855822">
        <w:t>0</w:t>
      </w:r>
      <w:r w:rsidR="00133647" w:rsidRPr="00855822">
        <w:t xml:space="preserve"> comunidades fueron declaradas como tierras comunales con un total de 12,270 </w:t>
      </w:r>
      <w:r w:rsidR="00CE2367" w:rsidRPr="00855822">
        <w:t xml:space="preserve">personas </w:t>
      </w:r>
      <w:r w:rsidR="00133647" w:rsidRPr="00855822">
        <w:t>beneficiari</w:t>
      </w:r>
      <w:r w:rsidR="00CE2367" w:rsidRPr="00855822">
        <w:t>a</w:t>
      </w:r>
      <w:r w:rsidR="00133647" w:rsidRPr="00855822">
        <w:t>s. En promedio las declaratorias de tierras comunales tardan 2 años y 8 meses</w:t>
      </w:r>
      <w:r w:rsidR="00133647" w:rsidRPr="00855822">
        <w:rPr>
          <w:rStyle w:val="FootnoteReference"/>
        </w:rPr>
        <w:footnoteReference w:id="14"/>
      </w:r>
      <w:r w:rsidR="00133647" w:rsidRPr="00855822">
        <w:t>.</w:t>
      </w:r>
      <w:r w:rsidR="009F2F7F" w:rsidRPr="00855822">
        <w:t xml:space="preserve"> Se observa que los mecanismos del RIC, incluyendo lo relativo a la declaratoria de tierras comunales, en la mayoría de casos induce a </w:t>
      </w:r>
      <w:r w:rsidR="000C533A" w:rsidRPr="00855822">
        <w:t xml:space="preserve">las personas a registrar las </w:t>
      </w:r>
      <w:r w:rsidR="009F2F7F" w:rsidRPr="00855822">
        <w:t xml:space="preserve">tierras como propiedades individuales, </w:t>
      </w:r>
      <w:r w:rsidR="00EF1F9F" w:rsidRPr="00855822">
        <w:t xml:space="preserve">sólo escasas tierras indígenas se registran como tierras comunales, es decir, el RIC se convierte en un mecanismo de individualización que casi extingue las </w:t>
      </w:r>
      <w:r w:rsidR="009F2F7F" w:rsidRPr="00855822">
        <w:t>tierras colectivas de pueblos indígenas.</w:t>
      </w:r>
    </w:p>
    <w:p w14:paraId="4AA1776B" w14:textId="7FB00EFC" w:rsidR="00133647" w:rsidRPr="00855822" w:rsidRDefault="00133647" w:rsidP="00855822">
      <w:pPr>
        <w:numPr>
          <w:ilvl w:val="0"/>
          <w:numId w:val="6"/>
        </w:numPr>
        <w:pBdr>
          <w:top w:val="nil"/>
          <w:left w:val="nil"/>
          <w:bottom w:val="nil"/>
          <w:right w:val="nil"/>
          <w:between w:val="nil"/>
        </w:pBdr>
        <w:spacing w:line="276" w:lineRule="auto"/>
      </w:pPr>
      <w:r w:rsidRPr="00855822">
        <w:t>La institucionalidad agraria no ha sido exenta de señalamientos de corrupción</w:t>
      </w:r>
      <w:r w:rsidR="00AF152E" w:rsidRPr="00855822">
        <w:t>: E</w:t>
      </w:r>
      <w:r w:rsidRPr="00855822">
        <w:t xml:space="preserve">n el año 2017 se </w:t>
      </w:r>
      <w:r w:rsidR="00C724FD" w:rsidRPr="00855822">
        <w:t xml:space="preserve">denunció </w:t>
      </w:r>
      <w:r w:rsidRPr="00855822">
        <w:t xml:space="preserve">una estructura criminal, incluyendo </w:t>
      </w:r>
      <w:r w:rsidR="00E94936" w:rsidRPr="00855822">
        <w:t xml:space="preserve">funcionariado público </w:t>
      </w:r>
      <w:r w:rsidRPr="00855822">
        <w:t>de</w:t>
      </w:r>
      <w:r w:rsidR="00AF152E" w:rsidRPr="00855822">
        <w:t>l</w:t>
      </w:r>
      <w:r w:rsidRPr="00855822">
        <w:t xml:space="preserve"> </w:t>
      </w:r>
      <w:r w:rsidR="00AF152E" w:rsidRPr="00855822">
        <w:t>FONTIERRAS</w:t>
      </w:r>
      <w:r w:rsidRPr="00855822">
        <w:t xml:space="preserve">, que despojaron por lo menos 28 fincas de </w:t>
      </w:r>
      <w:r w:rsidR="00E94936" w:rsidRPr="00855822">
        <w:t xml:space="preserve">población </w:t>
      </w:r>
      <w:r w:rsidR="005E44AA" w:rsidRPr="00855822">
        <w:t>campesina</w:t>
      </w:r>
      <w:r w:rsidR="00E94936" w:rsidRPr="00855822">
        <w:t xml:space="preserve"> </w:t>
      </w:r>
      <w:r w:rsidRPr="00855822">
        <w:t>beneficiari</w:t>
      </w:r>
      <w:r w:rsidR="00E94936" w:rsidRPr="00855822">
        <w:t>a</w:t>
      </w:r>
      <w:r w:rsidRPr="00855822">
        <w:t>s de</w:t>
      </w:r>
      <w:r w:rsidR="00AF152E" w:rsidRPr="00855822">
        <w:t xml:space="preserve"> esta institución</w:t>
      </w:r>
      <w:r w:rsidRPr="00855822">
        <w:rPr>
          <w:rStyle w:val="FootnoteReference"/>
        </w:rPr>
        <w:footnoteReference w:id="15"/>
      </w:r>
      <w:r w:rsidRPr="00855822">
        <w:t>. Al RIC se le señaló en mayo 2018 como “Caja de Pagos RIC” por contratos anómalos y plazas fantasmas por un monto de cas</w:t>
      </w:r>
      <w:r w:rsidR="00E74D6B" w:rsidRPr="00855822">
        <w:t>i</w:t>
      </w:r>
      <w:r w:rsidRPr="00855822">
        <w:t xml:space="preserve"> Q 5 millones</w:t>
      </w:r>
      <w:r w:rsidRPr="00855822">
        <w:rPr>
          <w:rStyle w:val="FootnoteReference"/>
        </w:rPr>
        <w:footnoteReference w:id="16"/>
      </w:r>
      <w:r w:rsidRPr="00855822">
        <w:t>.</w:t>
      </w:r>
    </w:p>
    <w:p w14:paraId="39F26905" w14:textId="77777777" w:rsidR="000B5D01" w:rsidRPr="00855822" w:rsidRDefault="00133647" w:rsidP="00855822">
      <w:pPr>
        <w:numPr>
          <w:ilvl w:val="0"/>
          <w:numId w:val="6"/>
        </w:numPr>
        <w:pBdr>
          <w:top w:val="nil"/>
          <w:left w:val="nil"/>
          <w:bottom w:val="nil"/>
          <w:right w:val="nil"/>
          <w:between w:val="nil"/>
        </w:pBdr>
        <w:spacing w:line="276" w:lineRule="auto"/>
      </w:pPr>
      <w:r w:rsidRPr="00855822">
        <w:t xml:space="preserve">Entre 1997 y marzo 2020 la Secretaría de Asuntos Agrarios (SAA) atendió 9,647 casos de conflictos agrarios y facilitó la resolución de un 84.6% de los conflictos por tierra (8,161) por medio de mediación y conciliación. En los años 2010 a 2019 ingresó un promedio </w:t>
      </w:r>
      <w:r w:rsidRPr="00855822">
        <w:lastRenderedPageBreak/>
        <w:t>anual de 466 conflictos, mientras que un promedio de 456 conflictos finalizó. En junio 2020 la SAA calificó 35 conflictos de alto impacto por suponer un alto riesgo a la gobernabilidad del territorio y por poner en riesgo la pérdida de vidas humanas</w:t>
      </w:r>
      <w:r w:rsidRPr="00855822">
        <w:rPr>
          <w:rStyle w:val="FootnoteReference"/>
        </w:rPr>
        <w:footnoteReference w:id="17"/>
      </w:r>
      <w:r w:rsidRPr="00855822">
        <w:t>.</w:t>
      </w:r>
    </w:p>
    <w:p w14:paraId="56B68B10" w14:textId="5724CDA7" w:rsidR="00133647" w:rsidRPr="00855822" w:rsidRDefault="00133647" w:rsidP="00855822">
      <w:pPr>
        <w:numPr>
          <w:ilvl w:val="0"/>
          <w:numId w:val="6"/>
        </w:numPr>
        <w:pBdr>
          <w:top w:val="nil"/>
          <w:left w:val="nil"/>
          <w:bottom w:val="nil"/>
          <w:right w:val="nil"/>
          <w:between w:val="nil"/>
        </w:pBdr>
        <w:spacing w:line="276" w:lineRule="auto"/>
      </w:pPr>
      <w:r w:rsidRPr="00855822">
        <w:t>El 30 de julio de 2020 el presidente de la República cerró la SAA (Acuerdo Gubernativo 97-2020), junto con dos importancias instituciones más en tema de derechos humanos. A cambio de las referidas tres instituciones se creó para un plazo de 4 años la Comisión Presidencial por la Paz y los Derechos Humanos (COPADEH, a través del Acuerdo Gubernativo 100-2020). Con esta decisión desapareció la principal institución en temática agraria, incomprensible al entender que el tema agrario es una de las problemáticas claves del país que debería atenderse de manera adecuada, según r</w:t>
      </w:r>
      <w:r w:rsidR="00E94936" w:rsidRPr="00855822">
        <w:t>efieren</w:t>
      </w:r>
      <w:r w:rsidRPr="00855822">
        <w:t xml:space="preserve"> los Acuerdos de Paz.</w:t>
      </w:r>
    </w:p>
    <w:p w14:paraId="3401BC68" w14:textId="0A2F590C" w:rsidR="00133647" w:rsidRPr="00855822" w:rsidRDefault="00133647" w:rsidP="00855822">
      <w:pPr>
        <w:numPr>
          <w:ilvl w:val="0"/>
          <w:numId w:val="6"/>
        </w:numPr>
        <w:pBdr>
          <w:top w:val="nil"/>
          <w:left w:val="nil"/>
          <w:bottom w:val="nil"/>
          <w:right w:val="nil"/>
          <w:between w:val="nil"/>
        </w:pBdr>
        <w:spacing w:line="276" w:lineRule="auto"/>
      </w:pPr>
      <w:r w:rsidRPr="00855822">
        <w:t xml:space="preserve">A lo interno de COPADEH la Dirección de Atención a la Conflictividad (DIDAC) atendió en el 2021 un total de </w:t>
      </w:r>
      <w:r w:rsidR="00925726" w:rsidRPr="00855822">
        <w:t>63</w:t>
      </w:r>
      <w:r w:rsidRPr="00855822">
        <w:t xml:space="preserve"> conflictos sociales. Lo que representa una mínima fracción del número de casos que había atendido la SAA, y representa que hoy en día un 90% de los conflictos están desatendidos.</w:t>
      </w:r>
      <w:r w:rsidR="00925726" w:rsidRPr="00855822">
        <w:rPr>
          <w:rStyle w:val="FootnoteReference"/>
        </w:rPr>
        <w:footnoteReference w:id="18"/>
      </w:r>
    </w:p>
    <w:p w14:paraId="04FAB607" w14:textId="77777777" w:rsidR="00715C26" w:rsidRPr="00855822" w:rsidRDefault="00133647" w:rsidP="00855822">
      <w:pPr>
        <w:numPr>
          <w:ilvl w:val="0"/>
          <w:numId w:val="6"/>
        </w:numPr>
        <w:pBdr>
          <w:top w:val="nil"/>
          <w:left w:val="nil"/>
          <w:bottom w:val="nil"/>
          <w:right w:val="nil"/>
          <w:between w:val="nil"/>
        </w:pBdr>
        <w:spacing w:line="276" w:lineRule="auto"/>
      </w:pPr>
      <w:r w:rsidRPr="00855822">
        <w:t xml:space="preserve">Hasta </w:t>
      </w:r>
      <w:r w:rsidR="00A361B4" w:rsidRPr="00855822">
        <w:t>agosto</w:t>
      </w:r>
      <w:r w:rsidRPr="00855822">
        <w:t xml:space="preserve"> 2022 varios conflictos importantes no logran resolverse, por ejemplo, los conflictos entre los municipios de Nahualá y de Santa Catarina Ixtahuacán, en el departamento de Sololá, y entre Ixchiguán y Tajumulco en el departamento de San Marcos. En varias ocasiones – incluyendo de disputas de derechos entre comunidades indígenas y empresas extractivas de minería o agroindustrias, de palma aceitera, entre otros – el actual gobierno decretó suspensiones de derechos constitucionales (estados de sitio, estado de prevención), acompañado de la militarización de amplias zonas. A la vez, se registran desalojos violentos, por ejemplo, el 16 de noviembre de 2021 la PNC realizó un desalojo en la finca Chabiland, en el sur de El Estor, Izabal, quedando viviendas incendiadas</w:t>
      </w:r>
      <w:r w:rsidRPr="00855822">
        <w:rPr>
          <w:rStyle w:val="FootnoteReference"/>
        </w:rPr>
        <w:footnoteReference w:id="19"/>
      </w:r>
      <w:r w:rsidRPr="00855822">
        <w:t>.</w:t>
      </w:r>
      <w:r w:rsidR="00147AF4" w:rsidRPr="00855822">
        <w:t xml:space="preserve"> </w:t>
      </w:r>
    </w:p>
    <w:p w14:paraId="41A5A238" w14:textId="1E5E97FF" w:rsidR="00133647" w:rsidRPr="00855822" w:rsidRDefault="00715C26" w:rsidP="00855822">
      <w:pPr>
        <w:numPr>
          <w:ilvl w:val="0"/>
          <w:numId w:val="6"/>
        </w:numPr>
        <w:pBdr>
          <w:top w:val="nil"/>
          <w:left w:val="nil"/>
          <w:bottom w:val="nil"/>
          <w:right w:val="nil"/>
          <w:between w:val="nil"/>
        </w:pBdr>
        <w:spacing w:line="276" w:lineRule="auto"/>
      </w:pPr>
      <w:r w:rsidRPr="00855822">
        <w:t xml:space="preserve">En lo relativo a la lista de cuestiones en el párrafo 24: Es </w:t>
      </w:r>
      <w:r w:rsidR="00147AF4" w:rsidRPr="00855822">
        <w:t xml:space="preserve">importante observar que </w:t>
      </w:r>
      <w:r w:rsidR="00E339EF" w:rsidRPr="00855822">
        <w:t xml:space="preserve">los </w:t>
      </w:r>
      <w:r w:rsidR="00147AF4" w:rsidRPr="00855822">
        <w:t xml:space="preserve">monocultivos de exportación </w:t>
      </w:r>
      <w:r w:rsidR="00E339EF" w:rsidRPr="00855822">
        <w:t xml:space="preserve">están afectando </w:t>
      </w:r>
      <w:r w:rsidR="008F1E02" w:rsidRPr="00855822">
        <w:t xml:space="preserve">de diversas maneras </w:t>
      </w:r>
      <w:r w:rsidR="00147AF4" w:rsidRPr="00855822">
        <w:t>a comunidades de pueblos indígenas</w:t>
      </w:r>
      <w:r w:rsidR="008F1E02" w:rsidRPr="00855822">
        <w:t>, incluyendo</w:t>
      </w:r>
      <w:r w:rsidR="00147AF4" w:rsidRPr="00855822">
        <w:t xml:space="preserve"> </w:t>
      </w:r>
      <w:r w:rsidR="008F1E02" w:rsidRPr="00855822">
        <w:t>desalojos, criminalizaciones de autoridades y liderazgos, así como, competencia desleal por agua, entre otros.</w:t>
      </w:r>
    </w:p>
    <w:p w14:paraId="1DC01C50" w14:textId="4FFA9A16" w:rsidR="00205FAA" w:rsidRPr="00855822" w:rsidRDefault="00C65340" w:rsidP="00855822">
      <w:pPr>
        <w:numPr>
          <w:ilvl w:val="0"/>
          <w:numId w:val="6"/>
        </w:numPr>
        <w:pBdr>
          <w:top w:val="nil"/>
          <w:left w:val="nil"/>
          <w:bottom w:val="nil"/>
          <w:right w:val="nil"/>
          <w:between w:val="nil"/>
        </w:pBdr>
        <w:spacing w:line="276" w:lineRule="auto"/>
      </w:pPr>
      <w:r w:rsidRPr="00855822">
        <w:t xml:space="preserve">En muchas situaciones conocidos por la institucionalidad pública, se trata de reclamos de derechos por tierra y territorio, que tienen como reacción la utilización </w:t>
      </w:r>
      <w:r w:rsidR="00205FAA" w:rsidRPr="00855822">
        <w:t xml:space="preserve">de patrones de violencia en el marco de megaproyectos, con el uso de recursos ilícitos por medio de estigmatización y manipulación de la justicia, militarización, la declaración de estados de </w:t>
      </w:r>
      <w:r w:rsidR="00205FAA" w:rsidRPr="00855822">
        <w:lastRenderedPageBreak/>
        <w:t>sitio y el asesinato de personas defensoras, documentados de manera amplia por mecanismos nacionales e internacionales de derechos humanos.</w:t>
      </w:r>
    </w:p>
    <w:p w14:paraId="3ECA520A" w14:textId="367E5880" w:rsidR="00205FAA" w:rsidRPr="00855822" w:rsidRDefault="00205FAA" w:rsidP="00855822">
      <w:pPr>
        <w:numPr>
          <w:ilvl w:val="0"/>
          <w:numId w:val="6"/>
        </w:numPr>
        <w:pBdr>
          <w:top w:val="nil"/>
          <w:left w:val="nil"/>
          <w:bottom w:val="nil"/>
          <w:right w:val="nil"/>
          <w:between w:val="nil"/>
        </w:pBdr>
        <w:spacing w:line="276" w:lineRule="auto"/>
      </w:pPr>
      <w:r w:rsidRPr="00855822">
        <w:t>De acuerdo a la Unidad de Protección a Defensoras y Defensores de Derechos Humanos de Guatemala (UDEFEGUA), en el año 2021 se registraron 1002 agresiones (348 defensoras, 535 defensores y 119 organizaciones) incluyendo 11 asesinatos. UDEFEGUA observa al menos las siguientes condiciones características del Estado autoritario: captura institucional, alineación de los tres poderes del Estado, desmantelamiento de la institucionalidad pública, incremento de la violencia y la represión, militarización de la vida civil y conservadurismo. Según el tipo de persona defensora de derechos humanos, quiénes mayor cantidad de agresiones sufrieron durante 2021 fueron operadores y operadoras de justicia, personal del Ministerio Público y del Organismo Judicial. Mientras que el informe no detalla defensores de</w:t>
      </w:r>
      <w:r w:rsidR="002A66B3" w:rsidRPr="00855822">
        <w:t xml:space="preserve"> </w:t>
      </w:r>
      <w:r w:rsidRPr="00855822">
        <w:t>l</w:t>
      </w:r>
      <w:r w:rsidR="002A66B3" w:rsidRPr="00855822">
        <w:t>a</w:t>
      </w:r>
      <w:r w:rsidRPr="00855822">
        <w:t xml:space="preserve"> </w:t>
      </w:r>
      <w:r w:rsidR="002A66B3" w:rsidRPr="00855822">
        <w:t>tierra y el agua</w:t>
      </w:r>
      <w:r w:rsidRPr="00855822">
        <w:t>, los defensores comúnmente son campesinos (83), defensa de territorio (64), ambientalistas (32), desarrollo (27) y pueblos indígenas (19). Los principales tipos de agresiones fueron difamación, hostigamiento y denuncia jurídica sin fundamento</w:t>
      </w:r>
      <w:r w:rsidRPr="00855822">
        <w:rPr>
          <w:rStyle w:val="FootnoteReference"/>
        </w:rPr>
        <w:footnoteReference w:id="20"/>
      </w:r>
      <w:r w:rsidRPr="00855822">
        <w:t>.</w:t>
      </w:r>
    </w:p>
    <w:p w14:paraId="569EF29A" w14:textId="168993E0" w:rsidR="00B60022" w:rsidRPr="00855822" w:rsidRDefault="001C18BA" w:rsidP="00855822">
      <w:pPr>
        <w:numPr>
          <w:ilvl w:val="0"/>
          <w:numId w:val="6"/>
        </w:numPr>
        <w:pBdr>
          <w:top w:val="nil"/>
          <w:left w:val="nil"/>
          <w:bottom w:val="nil"/>
          <w:right w:val="nil"/>
          <w:between w:val="nil"/>
        </w:pBdr>
        <w:spacing w:line="276" w:lineRule="auto"/>
      </w:pPr>
      <w:r w:rsidRPr="00855822">
        <w:t xml:space="preserve">En respuesta a la lista de cuestiones párrafo 03: </w:t>
      </w:r>
      <w:r w:rsidR="00B60022" w:rsidRPr="00855822">
        <w:t xml:space="preserve">La Corte Interamericana de Derechos Humanos sentenció </w:t>
      </w:r>
      <w:r w:rsidR="002A66B3" w:rsidRPr="00855822">
        <w:t>a</w:t>
      </w:r>
      <w:r w:rsidR="00B60022" w:rsidRPr="00855822">
        <w:t>l Estado de Guatemala en el año 2014 a la implementación</w:t>
      </w:r>
      <w:r w:rsidR="002A66B3" w:rsidRPr="00855822">
        <w:t>,</w:t>
      </w:r>
      <w:r w:rsidR="00B60022" w:rsidRPr="00855822">
        <w:t xml:space="preserve"> “</w:t>
      </w:r>
      <w:r w:rsidR="00B60022" w:rsidRPr="00855822">
        <w:rPr>
          <w:i/>
          <w:iCs/>
        </w:rPr>
        <w:t>en un plazo razonable, una política pública para la protección de las defensoras y los defensores de derechos humanos, tomando en cuenta, al menos</w:t>
      </w:r>
      <w:r w:rsidR="00B60022" w:rsidRPr="00855822">
        <w:t xml:space="preserve">”, </w:t>
      </w:r>
      <w:r w:rsidR="002A66B3" w:rsidRPr="00855822">
        <w:t>cumpliendo</w:t>
      </w:r>
      <w:r w:rsidR="00B60022" w:rsidRPr="00855822">
        <w:t xml:space="preserve"> siete requisitos: que la elaboración sea participativa, que la problemática se aborde de manera integral e interinstitucional, que se crea un modelo de análisis de riesgo de defensores, que se crea un sistema de gestión de información, </w:t>
      </w:r>
      <w:r w:rsidR="00EE663C" w:rsidRPr="00855822">
        <w:t>que se diseñen planes particulares para cada defensor, que se promocione una cultura de legitimación y protección de los defensores, que haya dotación de recursos humanos y financieros suficientes.</w:t>
      </w:r>
      <w:r w:rsidR="00CB4AA8" w:rsidRPr="00855822">
        <w:rPr>
          <w:rStyle w:val="FootnoteReference"/>
        </w:rPr>
        <w:footnoteReference w:id="21"/>
      </w:r>
      <w:r w:rsidR="00CB4AA8" w:rsidRPr="00855822">
        <w:t xml:space="preserve"> A pesar de haber pasado más de </w:t>
      </w:r>
      <w:r w:rsidR="002A66B3" w:rsidRPr="00855822">
        <w:t>7</w:t>
      </w:r>
      <w:r w:rsidR="00CB4AA8" w:rsidRPr="00855822">
        <w:t xml:space="preserve"> años desde la sentencia, un informe de la PDH concluyó, entre otros</w:t>
      </w:r>
      <w:r w:rsidR="002A66B3" w:rsidRPr="00855822">
        <w:t>,</w:t>
      </w:r>
      <w:r w:rsidR="00CB4AA8" w:rsidRPr="00855822">
        <w:t xml:space="preserve"> con los siguientes hallazgos: “</w:t>
      </w:r>
      <w:r w:rsidR="00CB4AA8" w:rsidRPr="00855822">
        <w:rPr>
          <w:i/>
          <w:iCs/>
        </w:rPr>
        <w:t>La supresión de la COPREDEH dejó en impase el proceso de aprobación de la Política Pública para la Protección de Defensoras y Defensores de Derechos Humanos</w:t>
      </w:r>
      <w:r w:rsidR="00CB4AA8" w:rsidRPr="00855822">
        <w:t>.”, así como, “</w:t>
      </w:r>
      <w:r w:rsidR="00CB4AA8" w:rsidRPr="00855822">
        <w:rPr>
          <w:i/>
          <w:iCs/>
        </w:rPr>
        <w:t>No está claro el futuro del proceso de aprobación de la política.</w:t>
      </w:r>
      <w:r w:rsidR="00CB4AA8" w:rsidRPr="00855822">
        <w:t>”</w:t>
      </w:r>
      <w:r w:rsidR="00CB4AA8" w:rsidRPr="00855822">
        <w:rPr>
          <w:rStyle w:val="FootnoteReference"/>
        </w:rPr>
        <w:footnoteReference w:id="22"/>
      </w:r>
    </w:p>
    <w:p w14:paraId="3A039AAE" w14:textId="3954050A" w:rsidR="00855822" w:rsidRPr="00855822" w:rsidRDefault="00855822" w:rsidP="00855822">
      <w:pPr>
        <w:numPr>
          <w:ilvl w:val="0"/>
          <w:numId w:val="6"/>
        </w:numPr>
        <w:pBdr>
          <w:top w:val="nil"/>
          <w:left w:val="nil"/>
          <w:bottom w:val="nil"/>
          <w:right w:val="nil"/>
          <w:between w:val="nil"/>
        </w:pBdr>
        <w:spacing w:line="276" w:lineRule="auto"/>
      </w:pPr>
      <w:r w:rsidRPr="00855822">
        <w:t xml:space="preserve">Por su parte, la Política Nacional de Desarrollo Rural Integral (PNDRI) continúa vigente  pero ha perdido importancia en el quehacer concreto de la política pública. De hecho, el Programa de Fortalecimiento de la  Agricultura Familiar para el Fortalecimiento de la Economía Campesina (PAFFEC), que se planteó como una de las concreciones de la PNDRI y que debía atender al sujeto priorizado (población rural en situación de pobreza y </w:t>
      </w:r>
      <w:r w:rsidRPr="00855822">
        <w:lastRenderedPageBreak/>
        <w:t>en extrema pobreza, con prioridad en los pueblos y comunidades indígenas y campesinas; asalariados permanente o temporales; artesanos; pequeños productores rurales; micro y pequeños empresarios rurales),  fue dado por concluido por el MAGA en el 2020.</w:t>
      </w:r>
    </w:p>
    <w:p w14:paraId="1D709BF3" w14:textId="5864CBE1" w:rsidR="001C18BA" w:rsidRPr="00855822" w:rsidRDefault="00855822" w:rsidP="00855822">
      <w:pPr>
        <w:numPr>
          <w:ilvl w:val="0"/>
          <w:numId w:val="6"/>
        </w:numPr>
        <w:pBdr>
          <w:top w:val="nil"/>
          <w:left w:val="nil"/>
          <w:bottom w:val="nil"/>
          <w:right w:val="nil"/>
          <w:between w:val="nil"/>
        </w:pBdr>
        <w:spacing w:line="276" w:lineRule="auto"/>
      </w:pPr>
      <w:r w:rsidRPr="00855822">
        <w:t>El haber terminado con la vigencia del PAFFEC, es una es acción contradictoria con la vigencia del Decenio de la Agricultura Familiar y con el cumplimiento de los compromisos asumidos por Guatemala en el ámbito centroamericano para la ejecución de la Política de Agricultura Familiar, Campesina y Afrodescendiente (PAFCIA) 2018 – 2030, elaborada por el Consejo Agropecuario Centroamericano en el marco del Sistema de la Integración Centroamericana (SICA).</w:t>
      </w:r>
    </w:p>
    <w:p w14:paraId="44CE0458" w14:textId="51A045E0" w:rsidR="00145560" w:rsidRPr="00855822" w:rsidRDefault="00AC091B" w:rsidP="00855822">
      <w:pPr>
        <w:pStyle w:val="ListParagraph"/>
        <w:pBdr>
          <w:top w:val="nil"/>
          <w:left w:val="nil"/>
          <w:bottom w:val="nil"/>
          <w:right w:val="nil"/>
          <w:between w:val="nil"/>
        </w:pBdr>
        <w:shd w:val="clear" w:color="auto" w:fill="F2F2F2" w:themeFill="background1" w:themeFillShade="F2"/>
        <w:spacing w:line="276" w:lineRule="auto"/>
        <w:ind w:left="720"/>
        <w:rPr>
          <w:b/>
          <w:bCs/>
        </w:rPr>
      </w:pPr>
      <w:r w:rsidRPr="00855822">
        <w:rPr>
          <w:b/>
          <w:bCs/>
        </w:rPr>
        <w:t xml:space="preserve">Situación de </w:t>
      </w:r>
      <w:r w:rsidR="00173A8F" w:rsidRPr="00855822">
        <w:rPr>
          <w:b/>
          <w:bCs/>
        </w:rPr>
        <w:t>las sentencias de Camotán ratificadas por la Corte de Constitucionalidad.</w:t>
      </w:r>
      <w:r w:rsidR="006F5FFB" w:rsidRPr="00855822">
        <w:rPr>
          <w:rStyle w:val="FootnoteReference"/>
          <w:b/>
          <w:bCs/>
        </w:rPr>
        <w:footnoteReference w:id="23"/>
      </w:r>
    </w:p>
    <w:p w14:paraId="36FAB7D7" w14:textId="77777777" w:rsidR="001C18BA" w:rsidRPr="00855822" w:rsidRDefault="001C18BA" w:rsidP="00855822">
      <w:pPr>
        <w:pStyle w:val="ListParagraph"/>
        <w:spacing w:line="276" w:lineRule="auto"/>
        <w:ind w:left="720"/>
      </w:pPr>
    </w:p>
    <w:p w14:paraId="5863AB3C" w14:textId="569DF0D0" w:rsidR="0098204E" w:rsidRPr="00855822" w:rsidRDefault="00756104" w:rsidP="00855822">
      <w:pPr>
        <w:pStyle w:val="ListParagraph"/>
        <w:numPr>
          <w:ilvl w:val="0"/>
          <w:numId w:val="6"/>
        </w:numPr>
        <w:spacing w:line="276" w:lineRule="auto"/>
      </w:pPr>
      <w:r w:rsidRPr="00855822">
        <w:t xml:space="preserve">Una de las obligaciones del Estado es adoptar las medidas para lograr progresivamente el pleno ejercicio del derecho a una alimentación adecuada e ir avanzando para alcanzar este </w:t>
      </w:r>
      <w:r w:rsidR="00660DB4" w:rsidRPr="00855822">
        <w:t>objetivo. Todas</w:t>
      </w:r>
      <w:r w:rsidRPr="00855822">
        <w:t xml:space="preserve"> las niñas y los niños tiene derecho a vivir, a desarrollarse y alcanzar el máximo potencial en la vida, esto incluye entro otros el derecho humano a la alimentación adecuada, al agua potable, a la educación, a la atención sanitaria</w:t>
      </w:r>
      <w:r w:rsidR="00660DB4" w:rsidRPr="00855822">
        <w:t xml:space="preserve">, entre otros. </w:t>
      </w:r>
    </w:p>
    <w:p w14:paraId="2F05F36D" w14:textId="77777777" w:rsidR="00C31D92" w:rsidRPr="00855822" w:rsidRDefault="00C31D92" w:rsidP="00855822">
      <w:pPr>
        <w:pStyle w:val="ListParagraph"/>
        <w:spacing w:line="276" w:lineRule="auto"/>
        <w:ind w:left="720"/>
      </w:pPr>
    </w:p>
    <w:p w14:paraId="13C199CD" w14:textId="77777777" w:rsidR="001B72CF" w:rsidRPr="00855822" w:rsidRDefault="00756104" w:rsidP="00855822">
      <w:pPr>
        <w:pStyle w:val="ListParagraph"/>
        <w:numPr>
          <w:ilvl w:val="0"/>
          <w:numId w:val="6"/>
        </w:numPr>
        <w:spacing w:line="276" w:lineRule="auto"/>
      </w:pPr>
      <w:r w:rsidRPr="00855822">
        <w:t>Para eso el Estado debe de adoptar las medidas necesarias para proteger a la niñez y adolescentes, asegurando el acceso a los sistemas de salud, a proporcionar una alimentación adecuada, agua potable y asegurar una vivienda, creando un entorno que garantice la supervivencia y desarrollo de la niñez tanto física, mental, espiritual, moral, psicológica y socialmente en condiciones compatibles con la dignidad humana.</w:t>
      </w:r>
    </w:p>
    <w:p w14:paraId="2930B580" w14:textId="77777777" w:rsidR="004F7324" w:rsidRPr="00855822" w:rsidRDefault="004F7324" w:rsidP="00855822">
      <w:pPr>
        <w:pStyle w:val="ListParagraph"/>
        <w:spacing w:line="276" w:lineRule="auto"/>
      </w:pPr>
    </w:p>
    <w:p w14:paraId="5B92675E" w14:textId="61D159D8" w:rsidR="002F607D" w:rsidRPr="00855822" w:rsidRDefault="002F607D" w:rsidP="00855822">
      <w:pPr>
        <w:pStyle w:val="ListParagraph"/>
        <w:numPr>
          <w:ilvl w:val="0"/>
          <w:numId w:val="6"/>
        </w:numPr>
        <w:spacing w:after="0" w:line="276" w:lineRule="auto"/>
      </w:pPr>
      <w:r w:rsidRPr="00855822">
        <w:t>Las</w:t>
      </w:r>
      <w:r w:rsidR="00BD7482" w:rsidRPr="00855822">
        <w:t xml:space="preserve"> sentencias contemplan más de 28</w:t>
      </w:r>
      <w:r w:rsidRPr="00855822">
        <w:t xml:space="preserve"> acciones que diferentes instancias gubernamentales deben de cumplir, sin embargo a pesar del trabajo realizado desde la Campaña Guatemala sin hambre y las organizaciones aliadas para la exigibilidad del cumplimiento de las sentencias al estado, las familias no ven reparados sus derechos, por lo tanto sus Derechos Económicos Sociales, Culturales y Ambientales siguen siendo violados, por la falta de voluntad política de los últimos  cuatro gobiernos de turno  de no querer reparar</w:t>
      </w:r>
      <w:r w:rsidR="00BD7482" w:rsidRPr="00855822">
        <w:t xml:space="preserve"> el daño causado a las familias y la total ausencia del actual gobierno para atenderlas. </w:t>
      </w:r>
    </w:p>
    <w:p w14:paraId="1A945D03" w14:textId="77777777" w:rsidR="002F607D" w:rsidRPr="00855822" w:rsidRDefault="002F607D" w:rsidP="00855822">
      <w:pPr>
        <w:pStyle w:val="ListParagraph"/>
        <w:spacing w:after="0" w:line="276" w:lineRule="auto"/>
        <w:ind w:left="360"/>
        <w:rPr>
          <w:rFonts w:eastAsiaTheme="minorHAnsi"/>
          <w:bCs/>
          <w:color w:val="000000"/>
        </w:rPr>
      </w:pPr>
    </w:p>
    <w:p w14:paraId="30ACF191" w14:textId="61554D16" w:rsidR="002F607D" w:rsidRPr="00855822" w:rsidRDefault="002F607D" w:rsidP="00855822">
      <w:pPr>
        <w:pStyle w:val="ListParagraph"/>
        <w:numPr>
          <w:ilvl w:val="0"/>
          <w:numId w:val="6"/>
        </w:numPr>
        <w:spacing w:after="0" w:line="276" w:lineRule="auto"/>
      </w:pPr>
      <w:r w:rsidRPr="00855822">
        <w:rPr>
          <w:lang w:eastAsia="es-ES"/>
        </w:rPr>
        <w:t>Las medidas ordenadas por el Juez de Zacapa a favor de los niños desnutridos de Camotán, corresponden a las obligaciones ya existentes de las distintas instituciones del Estado, en cumplimiento con lo que estipulan la legislación interna y el derecho internacional de derecho</w:t>
      </w:r>
      <w:r w:rsidR="00BD7482" w:rsidRPr="00855822">
        <w:rPr>
          <w:lang w:eastAsia="es-ES"/>
        </w:rPr>
        <w:t xml:space="preserve">s humanos vigente en Guatemala. </w:t>
      </w:r>
    </w:p>
    <w:p w14:paraId="7C468D7D" w14:textId="77777777" w:rsidR="00736F5C" w:rsidRPr="00855822" w:rsidRDefault="00736F5C" w:rsidP="00855822">
      <w:pPr>
        <w:pStyle w:val="ListParagraph"/>
        <w:spacing w:line="276" w:lineRule="auto"/>
      </w:pPr>
    </w:p>
    <w:p w14:paraId="75BC2003" w14:textId="2F0CF209" w:rsidR="002F607D" w:rsidRPr="00855822" w:rsidRDefault="002F607D" w:rsidP="00855822">
      <w:pPr>
        <w:pStyle w:val="ListParagraph"/>
        <w:numPr>
          <w:ilvl w:val="0"/>
          <w:numId w:val="6"/>
        </w:numPr>
        <w:spacing w:before="100" w:beforeAutospacing="1" w:after="100" w:afterAutospacing="1" w:line="276" w:lineRule="auto"/>
      </w:pPr>
      <w:r w:rsidRPr="00855822">
        <w:lastRenderedPageBreak/>
        <w:t>Los estándares creados en las sentencias, potencian la intervención coordinada y articulada en cada caso, con un enfoque sistémico y obliga al Estado a realizar intervenciones integrales, con enfoque de derechos, no asistencialistas, cuya protección originada en una niña o niño, tiene un efecto expansivo protector hacia toda su familia, comunidad y país, en tal sentido, es muy importante identificar cada estándar y su alcance para que sean utilizados en la justiciabilidad de otros derechos que potencien el desarrollo de la p</w:t>
      </w:r>
      <w:r w:rsidR="00BD7482" w:rsidRPr="00855822">
        <w:t>oblación más vulnerable (pobre)</w:t>
      </w:r>
      <w:r w:rsidRPr="00855822">
        <w:t xml:space="preserve">, en cuanto a sus derechos económicos, sociales y culturales. </w:t>
      </w:r>
    </w:p>
    <w:p w14:paraId="5F939847" w14:textId="5F6866AD" w:rsidR="00EC69FC" w:rsidRPr="00855822" w:rsidRDefault="00AA64B5" w:rsidP="00855822">
      <w:pPr>
        <w:pStyle w:val="NoSpacing"/>
        <w:numPr>
          <w:ilvl w:val="0"/>
          <w:numId w:val="6"/>
        </w:numPr>
        <w:spacing w:before="240" w:after="240" w:line="276" w:lineRule="auto"/>
        <w:jc w:val="both"/>
        <w:rPr>
          <w:rFonts w:ascii="Times New Roman" w:hAnsi="Times New Roman" w:cs="Times New Roman"/>
          <w:sz w:val="24"/>
          <w:szCs w:val="24"/>
          <w:lang w:val="es-GT"/>
        </w:rPr>
      </w:pPr>
      <w:r w:rsidRPr="00855822">
        <w:rPr>
          <w:rFonts w:ascii="Times New Roman" w:hAnsi="Times New Roman" w:cs="Times New Roman"/>
          <w:sz w:val="24"/>
          <w:szCs w:val="24"/>
          <w:lang w:val="es-GT"/>
        </w:rPr>
        <w:t>Estos casos</w:t>
      </w:r>
      <w:r w:rsidR="00EC69FC" w:rsidRPr="00855822">
        <w:rPr>
          <w:rFonts w:ascii="Times New Roman" w:hAnsi="Times New Roman" w:cs="Times New Roman"/>
          <w:sz w:val="24"/>
          <w:szCs w:val="24"/>
          <w:lang w:val="es-GT"/>
        </w:rPr>
        <w:t xml:space="preserve"> se reconoce</w:t>
      </w:r>
      <w:r w:rsidR="005A1B81" w:rsidRPr="00855822">
        <w:rPr>
          <w:rFonts w:ascii="Times New Roman" w:hAnsi="Times New Roman" w:cs="Times New Roman"/>
          <w:sz w:val="24"/>
          <w:szCs w:val="24"/>
          <w:lang w:val="es-GT"/>
        </w:rPr>
        <w:t>n</w:t>
      </w:r>
      <w:r w:rsidR="00EC69FC" w:rsidRPr="00855822">
        <w:rPr>
          <w:rFonts w:ascii="Times New Roman" w:hAnsi="Times New Roman" w:cs="Times New Roman"/>
          <w:sz w:val="24"/>
          <w:szCs w:val="24"/>
          <w:lang w:val="es-GT"/>
        </w:rPr>
        <w:t xml:space="preserve"> como un hito de jurisprudencia en Guatemala por el reconocimiento de que los Derechos Económicos, Sociales, Culturales y Ambientales son materia jurídica y no solamente buenas intenciones que se derivan de otros derechos. Constituyen el reconocimiento político sobre la integralidad de los Derechos Humanos, que se vinculan de forma interdependiente para que la persona se desarrolle plenamente y no solamente a partir de acciones aisladas. En reconocimiento que el Estado de Guatemala no cumplió con su deber constitucional de proteger la vida y la integridad de este grupo de niñas y niños, y que por lo tanto se encuentran en una situación de vulnerabilidad que pone en riesgo su vida, se establece la sentencia que ordena al Estado de Guatemala para que por medio de sus instituciones restituya los Derechos Humanos que fueron violentados; y que le informe periódicamente sobre la situación de las niñas y los niños, así como sobre esfuerzos y desafíos que se dan por parte del Estado para reparar el daño causado</w:t>
      </w:r>
      <w:r w:rsidR="002F249E" w:rsidRPr="00855822">
        <w:rPr>
          <w:rFonts w:ascii="Times New Roman" w:hAnsi="Times New Roman" w:cs="Times New Roman"/>
          <w:sz w:val="24"/>
          <w:szCs w:val="24"/>
          <w:lang w:val="es-GT"/>
        </w:rPr>
        <w:t xml:space="preserve">, situación que hasta la fecha no se la cumplido integralmente, ya que las acciones que realizan algunas </w:t>
      </w:r>
      <w:r w:rsidR="0044280E" w:rsidRPr="00855822">
        <w:rPr>
          <w:rFonts w:ascii="Times New Roman" w:hAnsi="Times New Roman" w:cs="Times New Roman"/>
          <w:sz w:val="24"/>
          <w:szCs w:val="24"/>
          <w:lang w:val="es-GT"/>
        </w:rPr>
        <w:t>instancias</w:t>
      </w:r>
      <w:r w:rsidR="002F249E" w:rsidRPr="00855822">
        <w:rPr>
          <w:rFonts w:ascii="Times New Roman" w:hAnsi="Times New Roman" w:cs="Times New Roman"/>
          <w:sz w:val="24"/>
          <w:szCs w:val="24"/>
          <w:lang w:val="es-GT"/>
        </w:rPr>
        <w:t xml:space="preserve"> </w:t>
      </w:r>
      <w:r w:rsidR="00770B20" w:rsidRPr="00855822">
        <w:rPr>
          <w:rFonts w:ascii="Times New Roman" w:hAnsi="Times New Roman" w:cs="Times New Roman"/>
          <w:sz w:val="24"/>
          <w:szCs w:val="24"/>
          <w:lang w:val="es-GT"/>
        </w:rPr>
        <w:t>estatales</w:t>
      </w:r>
      <w:r w:rsidR="00BD7482" w:rsidRPr="00855822">
        <w:rPr>
          <w:rFonts w:ascii="Times New Roman" w:hAnsi="Times New Roman" w:cs="Times New Roman"/>
          <w:sz w:val="24"/>
          <w:szCs w:val="24"/>
          <w:lang w:val="es-GT"/>
        </w:rPr>
        <w:t xml:space="preserve">, </w:t>
      </w:r>
      <w:r w:rsidR="002F249E" w:rsidRPr="00855822">
        <w:rPr>
          <w:rFonts w:ascii="Times New Roman" w:hAnsi="Times New Roman" w:cs="Times New Roman"/>
          <w:sz w:val="24"/>
          <w:szCs w:val="24"/>
          <w:lang w:val="es-GT"/>
        </w:rPr>
        <w:t xml:space="preserve">son aisladas y ninguna responde a la </w:t>
      </w:r>
      <w:r w:rsidR="001B7A39" w:rsidRPr="00855822">
        <w:rPr>
          <w:rFonts w:ascii="Times New Roman" w:hAnsi="Times New Roman" w:cs="Times New Roman"/>
          <w:sz w:val="24"/>
          <w:szCs w:val="24"/>
          <w:lang w:val="es-GT"/>
        </w:rPr>
        <w:t xml:space="preserve">atención integral y </w:t>
      </w:r>
      <w:r w:rsidR="002F249E" w:rsidRPr="00855822">
        <w:rPr>
          <w:rFonts w:ascii="Times New Roman" w:hAnsi="Times New Roman" w:cs="Times New Roman"/>
          <w:sz w:val="24"/>
          <w:szCs w:val="24"/>
          <w:lang w:val="es-GT"/>
        </w:rPr>
        <w:t xml:space="preserve">reparación de los daños causados a las cuatro familias. </w:t>
      </w:r>
    </w:p>
    <w:p w14:paraId="1CBA1127" w14:textId="713E6138" w:rsidR="004F7324" w:rsidRPr="00855822" w:rsidRDefault="00EF3F35" w:rsidP="00855822">
      <w:pPr>
        <w:pStyle w:val="ListParagraph"/>
        <w:numPr>
          <w:ilvl w:val="0"/>
          <w:numId w:val="6"/>
        </w:numPr>
        <w:spacing w:line="276" w:lineRule="auto"/>
      </w:pPr>
      <w:r w:rsidRPr="00855822">
        <w:t>Esto se trad</w:t>
      </w:r>
      <w:r w:rsidR="00650EEE" w:rsidRPr="00855822">
        <w:t>uce</w:t>
      </w:r>
      <w:r w:rsidR="000B50A8" w:rsidRPr="00855822">
        <w:t xml:space="preserve"> en que</w:t>
      </w:r>
      <w:r w:rsidRPr="00855822">
        <w:t xml:space="preserve"> la vida de estos niños y niñas, a pesar de ser “beneficiarios de medidas cautelares”</w:t>
      </w:r>
      <w:r w:rsidR="00855E80" w:rsidRPr="00855822">
        <w:t xml:space="preserve"> y de protección, </w:t>
      </w:r>
      <w:r w:rsidRPr="00855822">
        <w:t>prevalecieran las tendencias de hambre que históricamente se vinculan a las familias en extrema pobreza: la muerte temprana de Mavelita</w:t>
      </w:r>
      <w:r w:rsidR="00650EEE" w:rsidRPr="00855822">
        <w:t xml:space="preserve"> en el 2017 por una parasitosis</w:t>
      </w:r>
      <w:r w:rsidR="00855E80" w:rsidRPr="00855822">
        <w:t xml:space="preserve"> que pudo ser pre</w:t>
      </w:r>
      <w:r w:rsidR="00F85396" w:rsidRPr="00855822">
        <w:t>ve</w:t>
      </w:r>
      <w:r w:rsidR="00A07859" w:rsidRPr="00855822">
        <w:t xml:space="preserve">nible si las </w:t>
      </w:r>
      <w:r w:rsidR="00F85396" w:rsidRPr="00855822">
        <w:t>instancias</w:t>
      </w:r>
      <w:r w:rsidR="00A07859" w:rsidRPr="00855822">
        <w:t xml:space="preserve"> del </w:t>
      </w:r>
      <w:r w:rsidR="00F85396" w:rsidRPr="00855822">
        <w:t>Estado</w:t>
      </w:r>
      <w:r w:rsidR="00A07859" w:rsidRPr="00855822">
        <w:t xml:space="preserve"> correspondiente</w:t>
      </w:r>
      <w:r w:rsidR="00F85396" w:rsidRPr="00855822">
        <w:t>s</w:t>
      </w:r>
      <w:r w:rsidR="00A07859" w:rsidRPr="00855822">
        <w:t xml:space="preserve"> le hubieran dado la atención</w:t>
      </w:r>
      <w:r w:rsidR="00F85396" w:rsidRPr="00855822">
        <w:t xml:space="preserve"> necesaria </w:t>
      </w:r>
      <w:r w:rsidR="00413B51" w:rsidRPr="00855822">
        <w:t xml:space="preserve">ya que </w:t>
      </w:r>
      <w:r w:rsidR="00650EEE" w:rsidRPr="00855822">
        <w:t>esta</w:t>
      </w:r>
      <w:r w:rsidR="00A07859" w:rsidRPr="00855822">
        <w:t>ba</w:t>
      </w:r>
      <w:r w:rsidR="00650EEE" w:rsidRPr="00855822">
        <w:t xml:space="preserve"> protegida por el Estado a través de las sentencias</w:t>
      </w:r>
      <w:r w:rsidR="00B81F2A" w:rsidRPr="00855822">
        <w:t>.</w:t>
      </w:r>
      <w:r w:rsidR="00650EEE" w:rsidRPr="00855822">
        <w:t xml:space="preserve"> </w:t>
      </w:r>
    </w:p>
    <w:p w14:paraId="252E0E65" w14:textId="77777777" w:rsidR="00B81F2A" w:rsidRPr="00855822" w:rsidRDefault="00B81F2A" w:rsidP="00855822">
      <w:pPr>
        <w:pStyle w:val="ListParagraph"/>
        <w:spacing w:line="276" w:lineRule="auto"/>
        <w:ind w:left="720"/>
      </w:pPr>
    </w:p>
    <w:p w14:paraId="12AA2CF1" w14:textId="6382811F" w:rsidR="00B459BB" w:rsidRPr="00855822" w:rsidRDefault="00B81F2A" w:rsidP="00855822">
      <w:pPr>
        <w:pStyle w:val="ListParagraph"/>
        <w:numPr>
          <w:ilvl w:val="0"/>
          <w:numId w:val="6"/>
        </w:numPr>
        <w:spacing w:before="240" w:after="240" w:line="276" w:lineRule="auto"/>
      </w:pPr>
      <w:r w:rsidRPr="00855822">
        <w:t xml:space="preserve">Se considera que las sentencias son ejecutables y no implican una carga extra a las funciones de las instituciones. Se ha observado que la obstaculización de los procesos graficó la falta de voluntad política de los funcionarios de turno para buscar respuestas, así como la falta de empatía con las familias de los casos que viven en pobreza. Se considera que las sentencias pretenden dar respuesta al espíritu de la iniciativa, bajo el principio de aplicación que lleva a utilizar el </w:t>
      </w:r>
      <w:r w:rsidRPr="00855822">
        <w:rPr>
          <w:b/>
        </w:rPr>
        <w:t>máximo de los recursos disponibles</w:t>
      </w:r>
      <w:r w:rsidRPr="00855822">
        <w:t>, explíc</w:t>
      </w:r>
      <w:r w:rsidR="000B50A8" w:rsidRPr="00855822">
        <w:t>itamente planteado en el PIDESC.</w:t>
      </w:r>
    </w:p>
    <w:p w14:paraId="20A06CBD" w14:textId="77777777" w:rsidR="000B50A8" w:rsidRPr="00855822" w:rsidRDefault="000B50A8" w:rsidP="00855822">
      <w:pPr>
        <w:pStyle w:val="ListParagraph"/>
        <w:spacing w:line="276" w:lineRule="auto"/>
      </w:pPr>
    </w:p>
    <w:p w14:paraId="02B2389E" w14:textId="02EE59DF" w:rsidR="00B81F2A" w:rsidRPr="00855822" w:rsidRDefault="000B50A8" w:rsidP="00855822">
      <w:pPr>
        <w:pStyle w:val="ListParagraph"/>
        <w:numPr>
          <w:ilvl w:val="0"/>
          <w:numId w:val="6"/>
        </w:numPr>
        <w:spacing w:line="276" w:lineRule="auto"/>
      </w:pPr>
      <w:r w:rsidRPr="00855822">
        <w:t>En el caso de las sentencias</w:t>
      </w:r>
      <w:r w:rsidR="00B459BB" w:rsidRPr="00855822">
        <w:t xml:space="preserve"> no solamente era de hacer una acción aislada, era de realizar múltiples</w:t>
      </w:r>
      <w:r w:rsidR="005B3803" w:rsidRPr="00855822">
        <w:t xml:space="preserve"> </w:t>
      </w:r>
      <w:r w:rsidRPr="00855822">
        <w:t>esfuerzos</w:t>
      </w:r>
      <w:r w:rsidR="005B3803" w:rsidRPr="00855822">
        <w:t xml:space="preserve"> y acciones y el est</w:t>
      </w:r>
      <w:r w:rsidRPr="00855822">
        <w:t>a</w:t>
      </w:r>
      <w:r w:rsidR="005B3803" w:rsidRPr="00855822">
        <w:t xml:space="preserve">do no </w:t>
      </w:r>
      <w:r w:rsidRPr="00855822">
        <w:t>está</w:t>
      </w:r>
      <w:r w:rsidR="005B3803" w:rsidRPr="00855822">
        <w:t xml:space="preserve"> </w:t>
      </w:r>
      <w:r w:rsidR="00B459BB" w:rsidRPr="00855822">
        <w:t xml:space="preserve">acostumbrado a abordar” El grado de </w:t>
      </w:r>
      <w:r w:rsidR="00B459BB" w:rsidRPr="00855822">
        <w:lastRenderedPageBreak/>
        <w:t>complejidad para cada entidad e</w:t>
      </w:r>
      <w:r w:rsidR="005B3803" w:rsidRPr="00855822">
        <w:t>s</w:t>
      </w:r>
      <w:r w:rsidR="00B459BB" w:rsidRPr="00855822">
        <w:t xml:space="preserve"> diverso, pero sin embargo, no se trazó una ruta para su abordaje y finalmente se quedaron con lo más básico, las entregas de alimentos, las transferencias monetarias, algunos monitoreos nutricionales, sin embargo, no hubo algo extraordinario en tanto que se trataba de un caso especial</w:t>
      </w:r>
      <w:r w:rsidR="005B3803" w:rsidRPr="00855822">
        <w:t>, l</w:t>
      </w:r>
      <w:r w:rsidR="00B459BB" w:rsidRPr="00855822">
        <w:t>os esfuerzos se quedaron en lo mínimo:</w:t>
      </w:r>
      <w:r w:rsidRPr="00855822">
        <w:t xml:space="preserve"> “L</w:t>
      </w:r>
      <w:r w:rsidR="00B459BB" w:rsidRPr="00855822">
        <w:t>a realidad de las familias finalmente no cambió substancialment</w:t>
      </w:r>
      <w:r w:rsidR="005B3803" w:rsidRPr="00855822">
        <w:t xml:space="preserve">e. </w:t>
      </w:r>
      <w:r w:rsidR="00B459BB" w:rsidRPr="00855822">
        <w:t xml:space="preserve">. Este es un reto de jurisprudencia, sobre los “abordajes integrales” </w:t>
      </w:r>
      <w:r w:rsidRPr="00855822">
        <w:t xml:space="preserve">pero  hasta la fecha </w:t>
      </w:r>
      <w:r w:rsidR="005B3803" w:rsidRPr="00855822">
        <w:t xml:space="preserve">el </w:t>
      </w:r>
      <w:r w:rsidR="00B459BB" w:rsidRPr="00855822">
        <w:t xml:space="preserve">resultado es </w:t>
      </w:r>
      <w:r w:rsidRPr="00855822">
        <w:t>que la reparación no se cumplió</w:t>
      </w:r>
      <w:r w:rsidR="00B459BB" w:rsidRPr="00855822">
        <w:t xml:space="preserve"> y las familias no variaron su situación”</w:t>
      </w:r>
      <w:r w:rsidRPr="00855822">
        <w:t xml:space="preserve">, siguen esperando la atención y el cumplimiento de las sentencias. </w:t>
      </w:r>
    </w:p>
    <w:p w14:paraId="6C86B60A" w14:textId="77777777" w:rsidR="00145560" w:rsidRPr="00855822" w:rsidRDefault="00145560" w:rsidP="00855822">
      <w:pPr>
        <w:pBdr>
          <w:top w:val="nil"/>
          <w:left w:val="nil"/>
          <w:bottom w:val="nil"/>
          <w:right w:val="nil"/>
          <w:between w:val="nil"/>
        </w:pBdr>
        <w:spacing w:line="276" w:lineRule="auto"/>
      </w:pPr>
    </w:p>
    <w:p w14:paraId="0A4D2047" w14:textId="078CA716" w:rsidR="00133647" w:rsidRPr="00855822" w:rsidRDefault="00133647" w:rsidP="00855822">
      <w:pPr>
        <w:pStyle w:val="Heading1"/>
        <w:shd w:val="clear" w:color="auto" w:fill="F2F2F2" w:themeFill="background1" w:themeFillShade="F2"/>
        <w:spacing w:line="276" w:lineRule="auto"/>
        <w:rPr>
          <w:rFonts w:cs="Times New Roman"/>
          <w:szCs w:val="24"/>
        </w:rPr>
      </w:pPr>
      <w:r w:rsidRPr="00855822">
        <w:rPr>
          <w:rFonts w:cs="Times New Roman"/>
          <w:szCs w:val="24"/>
        </w:rPr>
        <w:t xml:space="preserve">Recomendaciones </w:t>
      </w:r>
    </w:p>
    <w:p w14:paraId="74198515" w14:textId="77777777" w:rsidR="00111353" w:rsidRPr="00855822" w:rsidRDefault="00111353" w:rsidP="00855822">
      <w:pPr>
        <w:pStyle w:val="ListParagraph"/>
        <w:spacing w:line="276" w:lineRule="auto"/>
      </w:pPr>
    </w:p>
    <w:p w14:paraId="20AF4F1B" w14:textId="6902C2A6" w:rsidR="0061149C" w:rsidRPr="00855822" w:rsidRDefault="0061149C" w:rsidP="0085152F">
      <w:pPr>
        <w:pStyle w:val="ListParagraph"/>
        <w:numPr>
          <w:ilvl w:val="0"/>
          <w:numId w:val="5"/>
        </w:numPr>
        <w:spacing w:line="276" w:lineRule="auto"/>
      </w:pPr>
      <w:r w:rsidRPr="00855822">
        <w:t xml:space="preserve">Priorizar la atención a tema agrario y desarrollo rural integral, aprobando normas correspondientes importantes a consensuar ampliamente, entre estas, la iniciativa 4084 Ley de Desarrollo rural Integral; la Ley de Agricultura Familiar Campesina, así como, la asignación presupuestaria para la </w:t>
      </w:r>
      <w:r w:rsidR="009A41CE" w:rsidRPr="00855822">
        <w:t xml:space="preserve">implementación de la </w:t>
      </w:r>
      <w:r w:rsidRPr="00855822">
        <w:t>Política de Desarro</w:t>
      </w:r>
      <w:r w:rsidR="000B50A8" w:rsidRPr="00855822">
        <w:t>llo Rural (PNDRI),</w:t>
      </w:r>
      <w:r w:rsidRPr="00855822">
        <w:t xml:space="preserve"> el programa de agricultura familiar, a fin de garantizar a toda la población rural, especialmente </w:t>
      </w:r>
      <w:r w:rsidR="009A41CE" w:rsidRPr="00855822">
        <w:t xml:space="preserve">que la población campesina e </w:t>
      </w:r>
      <w:r w:rsidR="002C094F" w:rsidRPr="00855822">
        <w:t>indígena</w:t>
      </w:r>
      <w:r w:rsidR="009A41CE" w:rsidRPr="00855822">
        <w:t xml:space="preserve"> goce</w:t>
      </w:r>
      <w:r w:rsidR="001728A0" w:rsidRPr="00855822">
        <w:t>n de sus derechos humanos.</w:t>
      </w:r>
    </w:p>
    <w:p w14:paraId="3A9C79D4" w14:textId="77777777" w:rsidR="002D11F5" w:rsidRPr="00855822" w:rsidRDefault="002D11F5" w:rsidP="0085152F">
      <w:pPr>
        <w:pStyle w:val="ListParagraph"/>
        <w:spacing w:line="276" w:lineRule="auto"/>
        <w:ind w:left="720"/>
      </w:pPr>
    </w:p>
    <w:p w14:paraId="6C3CBE7B" w14:textId="5E050242" w:rsidR="002D11F5" w:rsidRPr="00855822" w:rsidRDefault="000B50A8" w:rsidP="0085152F">
      <w:pPr>
        <w:pStyle w:val="ListParagraph"/>
        <w:numPr>
          <w:ilvl w:val="0"/>
          <w:numId w:val="5"/>
        </w:numPr>
        <w:spacing w:line="276" w:lineRule="auto"/>
      </w:pPr>
      <w:r w:rsidRPr="00855822">
        <w:rPr>
          <w:lang w:eastAsia="es-ES"/>
        </w:rPr>
        <w:t xml:space="preserve">Que el </w:t>
      </w:r>
      <w:r w:rsidR="002D11F5" w:rsidRPr="00855822">
        <w:rPr>
          <w:lang w:eastAsia="es-ES"/>
        </w:rPr>
        <w:t xml:space="preserve">Estado tome en consideración y cumpla con las recomendaciones que diferentes mecanismos de NNUU han realizado para </w:t>
      </w:r>
      <w:r w:rsidR="002D11F5" w:rsidRPr="00855822">
        <w:rPr>
          <w:bCs/>
        </w:rPr>
        <w:t xml:space="preserve">prevenir y combatir la desnutrición infantil, especialmente la que afecta a los niños que viven en zonas rurales;  y cumpla con el mandato </w:t>
      </w:r>
      <w:r w:rsidRPr="00855822">
        <w:rPr>
          <w:bCs/>
        </w:rPr>
        <w:t xml:space="preserve">legal de respetar, garantizar y </w:t>
      </w:r>
      <w:r w:rsidR="002D11F5" w:rsidRPr="00855822">
        <w:rPr>
          <w:bCs/>
        </w:rPr>
        <w:t>cumplir con el derecho a la alimentación de población</w:t>
      </w:r>
      <w:r w:rsidR="00F854F8" w:rsidRPr="00855822">
        <w:rPr>
          <w:bCs/>
        </w:rPr>
        <w:t>.</w:t>
      </w:r>
    </w:p>
    <w:p w14:paraId="0BB9DFA9" w14:textId="77777777" w:rsidR="00F854F8" w:rsidRPr="00855822" w:rsidRDefault="00F854F8" w:rsidP="0085152F">
      <w:pPr>
        <w:pStyle w:val="ListParagraph"/>
        <w:spacing w:line="276" w:lineRule="auto"/>
      </w:pPr>
    </w:p>
    <w:p w14:paraId="34EFE550" w14:textId="2743B73A" w:rsidR="00F854F8" w:rsidRPr="00855822" w:rsidRDefault="00F854F8" w:rsidP="0085152F">
      <w:pPr>
        <w:pStyle w:val="ListParagraph"/>
        <w:numPr>
          <w:ilvl w:val="0"/>
          <w:numId w:val="5"/>
        </w:numPr>
        <w:spacing w:line="276" w:lineRule="auto"/>
      </w:pPr>
      <w:r w:rsidRPr="00855822">
        <w:t>Que el Estado a través de las instituciones responsable</w:t>
      </w:r>
      <w:r w:rsidR="000B50A8" w:rsidRPr="00855822">
        <w:t>s, proteja y repare a las cuatro</w:t>
      </w:r>
      <w:r w:rsidRPr="00855822">
        <w:t xml:space="preserve"> familias indígenas Chortís por la violación del Derecho Humano a la alimentación cumpliendo con las sentencias que se encuentran  firmes según expedientes 638-2011, 640-2011, 637-2011, 641-2011 emitidas por el Juzgado de Niñez y Adolescencia y Adolescentes en conflicto de la Ley Penal del municipio de Zacapa y ratificadas por la Corte de Constitucionalidad según </w:t>
      </w:r>
      <w:bookmarkStart w:id="2" w:name="_Hlk108522979"/>
      <w:r w:rsidRPr="00855822">
        <w:t xml:space="preserve">expedientes 5962-2014, 3380-2014, 4474-2014, 277-2015. </w:t>
      </w:r>
    </w:p>
    <w:p w14:paraId="4B2CB394" w14:textId="77777777" w:rsidR="00153299" w:rsidRPr="00855822" w:rsidRDefault="00153299" w:rsidP="0085152F">
      <w:pPr>
        <w:pStyle w:val="ListParagraph"/>
        <w:spacing w:line="276" w:lineRule="auto"/>
      </w:pPr>
    </w:p>
    <w:p w14:paraId="0B49C4A2" w14:textId="47E20066" w:rsidR="00153299" w:rsidRPr="00855822" w:rsidRDefault="00855822" w:rsidP="0085152F">
      <w:pPr>
        <w:pStyle w:val="ListParagraph"/>
        <w:numPr>
          <w:ilvl w:val="0"/>
          <w:numId w:val="5"/>
        </w:numPr>
        <w:spacing w:line="276" w:lineRule="auto"/>
      </w:pPr>
      <w:r w:rsidRPr="00855822">
        <w:t xml:space="preserve">Se debe </w:t>
      </w:r>
      <w:r w:rsidR="00153299" w:rsidRPr="00855822">
        <w:t xml:space="preserve"> de institucionalizar la Política de Desarrollo Rural Integral y el programa de agricultura</w:t>
      </w:r>
      <w:r w:rsidRPr="00855822">
        <w:t xml:space="preserve"> </w:t>
      </w:r>
      <w:r w:rsidR="00153299" w:rsidRPr="00855822">
        <w:t>familiar con presupuesto y recursos públicos, para que tenga un alcance de política pública</w:t>
      </w:r>
      <w:r w:rsidRPr="00855822">
        <w:t xml:space="preserve"> </w:t>
      </w:r>
      <w:r w:rsidR="00153299" w:rsidRPr="00855822">
        <w:t>nacional, e impulsar alternativas de desarrollo integral para la población más pobre y vulnerable del</w:t>
      </w:r>
      <w:r w:rsidRPr="00855822">
        <w:t xml:space="preserve"> </w:t>
      </w:r>
      <w:r w:rsidR="00153299" w:rsidRPr="00855822">
        <w:t>país.</w:t>
      </w:r>
    </w:p>
    <w:p w14:paraId="04553D05" w14:textId="77777777" w:rsidR="00855822" w:rsidRPr="00855822" w:rsidRDefault="00855822" w:rsidP="0085152F">
      <w:pPr>
        <w:pStyle w:val="ListParagraph"/>
        <w:spacing w:line="276" w:lineRule="auto"/>
      </w:pPr>
    </w:p>
    <w:p w14:paraId="5E4FD077" w14:textId="2D78F13E" w:rsidR="00153299" w:rsidRPr="00855822" w:rsidRDefault="00153299" w:rsidP="0085152F">
      <w:pPr>
        <w:pStyle w:val="ListParagraph"/>
        <w:numPr>
          <w:ilvl w:val="0"/>
          <w:numId w:val="5"/>
        </w:numPr>
        <w:spacing w:line="276" w:lineRule="auto"/>
      </w:pPr>
      <w:r w:rsidRPr="00855822">
        <w:t>Es necesario dotar de mayores recursos al Ministerio de Agricultura, Ganadería y Alimentación</w:t>
      </w:r>
      <w:r w:rsidR="00855822" w:rsidRPr="00855822">
        <w:t xml:space="preserve"> </w:t>
      </w:r>
      <w:r w:rsidRPr="00855822">
        <w:t xml:space="preserve">dada la importancia y características de la población a quienes dirige su </w:t>
      </w:r>
      <w:r w:rsidRPr="00855822">
        <w:lastRenderedPageBreak/>
        <w:t>acción, para gastos de</w:t>
      </w:r>
      <w:r w:rsidR="00855822" w:rsidRPr="00855822">
        <w:t xml:space="preserve"> </w:t>
      </w:r>
      <w:r w:rsidRPr="00855822">
        <w:t>inversión en formación, capacitación y organización comunitaria para la producción y la</w:t>
      </w:r>
      <w:r w:rsidR="00855822" w:rsidRPr="00855822">
        <w:t xml:space="preserve"> </w:t>
      </w:r>
      <w:r w:rsidRPr="00855822">
        <w:t>comercialización.</w:t>
      </w:r>
    </w:p>
    <w:p w14:paraId="08153294" w14:textId="77777777" w:rsidR="00855822" w:rsidRPr="00855822" w:rsidRDefault="00855822" w:rsidP="0085152F">
      <w:pPr>
        <w:pStyle w:val="ListParagraph"/>
        <w:spacing w:line="276" w:lineRule="auto"/>
      </w:pPr>
    </w:p>
    <w:p w14:paraId="3F2A7332" w14:textId="059B832A" w:rsidR="00855822" w:rsidRPr="00855822" w:rsidRDefault="00855822" w:rsidP="0085152F">
      <w:pPr>
        <w:pStyle w:val="ListParagraph"/>
        <w:numPr>
          <w:ilvl w:val="0"/>
          <w:numId w:val="5"/>
        </w:numPr>
        <w:spacing w:line="276" w:lineRule="auto"/>
      </w:pPr>
      <w:r w:rsidRPr="00855822">
        <w:t>Actualizar el Sistema de información en materia de Seguridad alimentaria fortaleciendo el Instituto Nacional de Estadística para que ejerza la función de generar información estratégica.</w:t>
      </w:r>
    </w:p>
    <w:p w14:paraId="5AD640B7" w14:textId="0287D782" w:rsidR="00855822" w:rsidRPr="00855822" w:rsidRDefault="00855822" w:rsidP="0085152F">
      <w:pPr>
        <w:pStyle w:val="ListParagraph"/>
        <w:spacing w:line="276" w:lineRule="auto"/>
        <w:ind w:left="720"/>
      </w:pPr>
    </w:p>
    <w:bookmarkEnd w:id="2"/>
    <w:p w14:paraId="258F764B" w14:textId="77777777" w:rsidR="00F854F8" w:rsidRPr="00855822" w:rsidRDefault="00F854F8" w:rsidP="0085152F">
      <w:pPr>
        <w:pStyle w:val="ListParagraph"/>
        <w:spacing w:line="276" w:lineRule="auto"/>
        <w:ind w:left="720"/>
      </w:pPr>
    </w:p>
    <w:p w14:paraId="6F59CBB9" w14:textId="77777777" w:rsidR="00111353" w:rsidRPr="00855822" w:rsidRDefault="00111353" w:rsidP="0085152F">
      <w:pPr>
        <w:pStyle w:val="ListParagraph"/>
        <w:spacing w:line="276" w:lineRule="auto"/>
      </w:pPr>
    </w:p>
    <w:p w14:paraId="3B6C5823" w14:textId="77777777" w:rsidR="00133647" w:rsidRPr="00855822" w:rsidRDefault="00133647" w:rsidP="0085152F">
      <w:pPr>
        <w:spacing w:line="276" w:lineRule="auto"/>
      </w:pPr>
    </w:p>
    <w:sectPr w:rsidR="00133647" w:rsidRPr="00855822" w:rsidSect="00B10A4F">
      <w:headerReference w:type="even" r:id="rId12"/>
      <w:headerReference w:type="default" r:id="rId13"/>
      <w:footerReference w:type="even" r:id="rId14"/>
      <w:footerReference w:type="default" r:id="rId15"/>
      <w:headerReference w:type="first" r:id="rId16"/>
      <w:footerReference w:type="first" r:id="rId17"/>
      <w:pgSz w:w="12240" w:h="15840"/>
      <w:pgMar w:top="1361" w:right="1361" w:bottom="1361" w:left="1361" w:header="708" w:footer="708" w:gutter="0"/>
      <w:pgNumType w:start="0"/>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12297" w16cex:dateUtc="2022-08-25T04: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FEA0DF" w16cid:durableId="26B1229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0A969" w14:textId="77777777" w:rsidR="00AF411B" w:rsidRDefault="00AF411B">
      <w:pPr>
        <w:spacing w:after="0"/>
      </w:pPr>
      <w:r>
        <w:separator/>
      </w:r>
    </w:p>
  </w:endnote>
  <w:endnote w:type="continuationSeparator" w:id="0">
    <w:p w14:paraId="1B4B08CA" w14:textId="77777777" w:rsidR="00AF411B" w:rsidRDefault="00AF41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51D58" w14:textId="77777777" w:rsidR="00E94936" w:rsidRDefault="00E949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B81A6" w14:textId="77777777" w:rsidR="00E94936" w:rsidRDefault="00E949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8F985" w14:textId="77777777" w:rsidR="00E94936" w:rsidRDefault="00E94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05EBD6" w14:textId="77777777" w:rsidR="00AF411B" w:rsidRDefault="00AF411B">
      <w:pPr>
        <w:spacing w:after="0"/>
      </w:pPr>
      <w:r>
        <w:separator/>
      </w:r>
    </w:p>
  </w:footnote>
  <w:footnote w:type="continuationSeparator" w:id="0">
    <w:p w14:paraId="2F2F462E" w14:textId="77777777" w:rsidR="00AF411B" w:rsidRDefault="00AF411B">
      <w:pPr>
        <w:spacing w:after="0"/>
      </w:pPr>
      <w:r>
        <w:continuationSeparator/>
      </w:r>
    </w:p>
  </w:footnote>
  <w:footnote w:id="1">
    <w:p w14:paraId="3391AA53" w14:textId="77777777" w:rsidR="00CF347C" w:rsidRPr="00602511" w:rsidRDefault="00CF347C" w:rsidP="00CF347C">
      <w:pPr>
        <w:pStyle w:val="FootnoteText"/>
        <w:rPr>
          <w:rFonts w:asciiTheme="minorHAnsi" w:hAnsiTheme="minorHAnsi" w:cstheme="minorHAnsi"/>
          <w:lang w:val="es-ES"/>
        </w:rPr>
      </w:pPr>
      <w:r w:rsidRPr="00602511">
        <w:rPr>
          <w:rStyle w:val="FootnoteReference"/>
          <w:rFonts w:asciiTheme="minorHAnsi" w:hAnsiTheme="minorHAnsi" w:cstheme="minorHAnsi"/>
        </w:rPr>
        <w:footnoteRef/>
      </w:r>
      <w:r w:rsidRPr="00602511">
        <w:rPr>
          <w:rFonts w:asciiTheme="minorHAnsi" w:hAnsiTheme="minorHAnsi" w:cstheme="minorHAnsi"/>
        </w:rPr>
        <w:t xml:space="preserve"> La Encuesta Nacional de Salud Materno Infantil (ENSMI) de 2015 registra que el 46.5% de la niñez menor de cinco años sufría Desnutrición Crónica.</w:t>
      </w:r>
    </w:p>
  </w:footnote>
  <w:footnote w:id="2">
    <w:p w14:paraId="763FF669" w14:textId="77777777" w:rsidR="00CF347C" w:rsidRPr="00602511" w:rsidRDefault="00CF347C" w:rsidP="00CF347C">
      <w:pPr>
        <w:pStyle w:val="FootnoteText"/>
        <w:rPr>
          <w:rFonts w:asciiTheme="minorHAnsi" w:hAnsiTheme="minorHAnsi" w:cstheme="minorHAnsi"/>
        </w:rPr>
      </w:pPr>
      <w:r w:rsidRPr="00602511">
        <w:rPr>
          <w:rStyle w:val="FootnoteReference"/>
          <w:rFonts w:asciiTheme="minorHAnsi" w:hAnsiTheme="minorHAnsi" w:cstheme="minorHAnsi"/>
        </w:rPr>
        <w:footnoteRef/>
      </w:r>
      <w:r w:rsidRPr="00602511">
        <w:rPr>
          <w:rFonts w:asciiTheme="minorHAnsi" w:hAnsiTheme="minorHAnsi" w:cstheme="minorHAnsi"/>
          <w:lang w:val="es-ES"/>
        </w:rPr>
        <w:t xml:space="preserve"> </w:t>
      </w:r>
      <w:r w:rsidRPr="00602511">
        <w:rPr>
          <w:rFonts w:asciiTheme="minorHAnsi" w:hAnsiTheme="minorHAnsi" w:cstheme="minorHAnsi"/>
        </w:rPr>
        <w:t xml:space="preserve">Instituto Nacional de Estadística (INE): pobreza año 2014, empleo año 2018. </w:t>
      </w:r>
    </w:p>
  </w:footnote>
  <w:footnote w:id="3">
    <w:p w14:paraId="0EDD0632" w14:textId="77777777" w:rsidR="00CF347C" w:rsidRPr="00602511" w:rsidRDefault="00CF347C" w:rsidP="00CF347C">
      <w:pPr>
        <w:pStyle w:val="FootnoteText"/>
        <w:rPr>
          <w:rFonts w:asciiTheme="minorHAnsi" w:hAnsiTheme="minorHAnsi" w:cstheme="minorHAnsi"/>
        </w:rPr>
      </w:pPr>
      <w:r w:rsidRPr="00602511">
        <w:rPr>
          <w:rStyle w:val="FootnoteReference"/>
          <w:rFonts w:asciiTheme="minorHAnsi" w:hAnsiTheme="minorHAnsi" w:cstheme="minorHAnsi"/>
        </w:rPr>
        <w:footnoteRef/>
      </w:r>
      <w:r w:rsidRPr="00602511">
        <w:rPr>
          <w:rFonts w:asciiTheme="minorHAnsi" w:hAnsiTheme="minorHAnsi" w:cstheme="minorHAnsi"/>
          <w:lang w:val="es-ES"/>
        </w:rPr>
        <w:t xml:space="preserve"> MSPAS. Departamento de Epidemiología. Situación epidemiológica de la Desnutrición Aguda (DA) Moderada y Severa en niños menores de 5 años.</w:t>
      </w:r>
    </w:p>
  </w:footnote>
  <w:footnote w:id="4">
    <w:p w14:paraId="52FCE8F8" w14:textId="77777777" w:rsidR="00E94936" w:rsidRDefault="00E94936" w:rsidP="00133647">
      <w:pPr>
        <w:pStyle w:val="FootnoteText"/>
      </w:pPr>
      <w:r>
        <w:rPr>
          <w:rStyle w:val="FootnoteReference"/>
        </w:rPr>
        <w:footnoteRef/>
      </w:r>
      <w:r>
        <w:t xml:space="preserve"> </w:t>
      </w:r>
      <w:hyperlink r:id="rId1" w:history="1">
        <w:r w:rsidRPr="00582AA5">
          <w:rPr>
            <w:rStyle w:val="Hyperlink"/>
          </w:rPr>
          <w:t>https://www.congreso.gob.gt/detalle_pdf/iniciativas/2231</w:t>
        </w:r>
      </w:hyperlink>
      <w:r>
        <w:t xml:space="preserve"> , consultado 10/5/2022</w:t>
      </w:r>
    </w:p>
  </w:footnote>
  <w:footnote w:id="5">
    <w:p w14:paraId="531B4D15" w14:textId="514A6247" w:rsidR="007F4E21" w:rsidRDefault="007F4E21" w:rsidP="007F4E21">
      <w:pPr>
        <w:pStyle w:val="FootnoteText"/>
      </w:pPr>
      <w:r>
        <w:rPr>
          <w:rStyle w:val="FootnoteReference"/>
        </w:rPr>
        <w:footnoteRef/>
      </w:r>
      <w:r>
        <w:t xml:space="preserve"> </w:t>
      </w:r>
      <w:hyperlink r:id="rId2" w:history="1">
        <w:r w:rsidRPr="00CC5144">
          <w:rPr>
            <w:rStyle w:val="Hyperlink"/>
          </w:rPr>
          <w:t>https://www.congreso.gob.gt/detalle_pdf/iniciativas/3824</w:t>
        </w:r>
      </w:hyperlink>
      <w:r>
        <w:t xml:space="preserve"> , consultado 10/5/2022</w:t>
      </w:r>
    </w:p>
  </w:footnote>
  <w:footnote w:id="6">
    <w:p w14:paraId="33324F16" w14:textId="666D06B0" w:rsidR="007F4E21" w:rsidRDefault="007F4E21" w:rsidP="007F4E21">
      <w:pPr>
        <w:pStyle w:val="FootnoteText"/>
      </w:pPr>
      <w:r>
        <w:rPr>
          <w:rStyle w:val="FootnoteReference"/>
        </w:rPr>
        <w:footnoteRef/>
      </w:r>
      <w:r>
        <w:t xml:space="preserve"> </w:t>
      </w:r>
      <w:hyperlink r:id="rId3" w:history="1">
        <w:r w:rsidRPr="00CC5144">
          <w:rPr>
            <w:rStyle w:val="Hyperlink"/>
          </w:rPr>
          <w:t>https://www.congreso.gob.gt/detalle_pdf/iniciativas/5685</w:t>
        </w:r>
      </w:hyperlink>
      <w:r>
        <w:t xml:space="preserve"> , consultado 10/5/2022</w:t>
      </w:r>
    </w:p>
  </w:footnote>
  <w:footnote w:id="7">
    <w:p w14:paraId="4B82426B" w14:textId="77777777" w:rsidR="00E94936" w:rsidRDefault="00E94936" w:rsidP="00133647">
      <w:pPr>
        <w:pStyle w:val="FootnoteText"/>
      </w:pPr>
      <w:r>
        <w:rPr>
          <w:rStyle w:val="FootnoteReference"/>
        </w:rPr>
        <w:footnoteRef/>
      </w:r>
      <w:r>
        <w:t xml:space="preserve"> Ministerio Público, “</w:t>
      </w:r>
      <w:r w:rsidRPr="0078182E">
        <w:t>Ministerio Público inaugura Fiscalía contra el Delito de Usurpación</w:t>
      </w:r>
      <w:r>
        <w:t xml:space="preserve">”, </w:t>
      </w:r>
      <w:hyperlink r:id="rId4" w:history="1">
        <w:r w:rsidRPr="003D3330">
          <w:rPr>
            <w:rStyle w:val="Hyperlink"/>
          </w:rPr>
          <w:t>https://www.mp.gob.gt/noticia/ministerio-publico-inaugura-fiscalia-contra-el-delito-de-usurpacion/</w:t>
        </w:r>
      </w:hyperlink>
      <w:r>
        <w:t xml:space="preserve"> (consultado el 10 de mayo de 2022)</w:t>
      </w:r>
    </w:p>
  </w:footnote>
  <w:footnote w:id="8">
    <w:p w14:paraId="20883E9A" w14:textId="109752B3" w:rsidR="00EE2A49" w:rsidRPr="00EE2A49" w:rsidRDefault="00EE2A49">
      <w:pPr>
        <w:pStyle w:val="FootnoteText"/>
        <w:rPr>
          <w:lang w:val="es-ES"/>
        </w:rPr>
      </w:pPr>
      <w:r>
        <w:rPr>
          <w:rStyle w:val="FootnoteReference"/>
        </w:rPr>
        <w:footnoteRef/>
      </w:r>
      <w:r>
        <w:t xml:space="preserve"> </w:t>
      </w:r>
      <w:hyperlink r:id="rId5" w:history="1">
        <w:r w:rsidRPr="00CC5144">
          <w:rPr>
            <w:rStyle w:val="Hyperlink"/>
          </w:rPr>
          <w:t>https://sgp.gob.gt/wp-content/uploads/2020/07/AG-097-2020.pdf</w:t>
        </w:r>
      </w:hyperlink>
      <w:r>
        <w:t xml:space="preserve"> , consultado 10/5/2022</w:t>
      </w:r>
    </w:p>
  </w:footnote>
  <w:footnote w:id="9">
    <w:p w14:paraId="5F3AD1EB" w14:textId="77777777" w:rsidR="00E94936" w:rsidRDefault="00E94936" w:rsidP="00133647">
      <w:pPr>
        <w:pStyle w:val="FootnoteText"/>
      </w:pPr>
      <w:r>
        <w:rPr>
          <w:rStyle w:val="FootnoteReference"/>
        </w:rPr>
        <w:footnoteRef/>
      </w:r>
      <w:r>
        <w:t xml:space="preserve"> Ley del Fondo de Tierras, Decreto 24-99 y sus reformas. </w:t>
      </w:r>
      <w:hyperlink r:id="rId6" w:history="1">
        <w:r w:rsidRPr="0017448F">
          <w:rPr>
            <w:rStyle w:val="Hyperlink"/>
          </w:rPr>
          <w:t>https://www.fontierras.gob.gt/ip/1Estructura_Organica/Marco_Normativo/Ley-del-Fondo-de-Tierras-y-su-Reforma.pdf</w:t>
        </w:r>
      </w:hyperlink>
      <w:r>
        <w:t xml:space="preserve"> , consultado 10 de mayo de 2022</w:t>
      </w:r>
    </w:p>
  </w:footnote>
  <w:footnote w:id="10">
    <w:p w14:paraId="6E941669" w14:textId="77777777" w:rsidR="00E94936" w:rsidRDefault="00E94936" w:rsidP="00133647">
      <w:pPr>
        <w:pStyle w:val="FootnoteText"/>
      </w:pPr>
      <w:r>
        <w:rPr>
          <w:rStyle w:val="FootnoteReference"/>
        </w:rPr>
        <w:footnoteRef/>
      </w:r>
      <w:r>
        <w:t xml:space="preserve"> Consejo Directivo del Fondo de Tierras, Punto Resolutivo 49-2020, del 16 de junio de 2020</w:t>
      </w:r>
    </w:p>
  </w:footnote>
  <w:footnote w:id="11">
    <w:p w14:paraId="422CA584" w14:textId="77777777" w:rsidR="00E94936" w:rsidRDefault="00E94936" w:rsidP="00133647">
      <w:pPr>
        <w:pStyle w:val="FootnoteText"/>
      </w:pPr>
      <w:r>
        <w:rPr>
          <w:rStyle w:val="FootnoteReference"/>
        </w:rPr>
        <w:footnoteRef/>
      </w:r>
      <w:r>
        <w:t xml:space="preserve"> Fuente: Respuesta a la solicitud de información pública número 365-2021, Resolución FT-UIP Número 409-2021-365 de 20 de mayo de 2021.</w:t>
      </w:r>
    </w:p>
  </w:footnote>
  <w:footnote w:id="12">
    <w:p w14:paraId="45D69E08" w14:textId="77777777" w:rsidR="00E94936" w:rsidRDefault="00E94936" w:rsidP="00133647">
      <w:pPr>
        <w:pStyle w:val="FootnoteText"/>
      </w:pPr>
      <w:r>
        <w:rPr>
          <w:rStyle w:val="FootnoteReference"/>
        </w:rPr>
        <w:footnoteRef/>
      </w:r>
      <w:r>
        <w:t xml:space="preserve"> La Ley de Extinción de Dominio (Decreto Número 55-2010) tiene como objetivo la recuperación y repatriación de derechos relativos al dominio de origen y procedencia ilícita o delictiva, a favor del Estado.</w:t>
      </w:r>
    </w:p>
  </w:footnote>
  <w:footnote w:id="13">
    <w:p w14:paraId="55797405" w14:textId="77777777" w:rsidR="00E94936" w:rsidRDefault="00E94936" w:rsidP="00133647">
      <w:pPr>
        <w:pStyle w:val="FootnoteText"/>
      </w:pPr>
      <w:r>
        <w:rPr>
          <w:rStyle w:val="FootnoteReference"/>
        </w:rPr>
        <w:footnoteRef/>
      </w:r>
      <w:r>
        <w:t xml:space="preserve"> Registro de Información Catastral, “</w:t>
      </w:r>
      <w:r w:rsidRPr="0078182E">
        <w:t>Zonas Declaradas Catastradas</w:t>
      </w:r>
      <w:r>
        <w:t>” y “</w:t>
      </w:r>
      <w:r w:rsidRPr="0078182E">
        <w:t xml:space="preserve">Zonas </w:t>
      </w:r>
      <w:r>
        <w:t>e</w:t>
      </w:r>
      <w:r w:rsidRPr="0078182E">
        <w:t>n Proceso Catastral</w:t>
      </w:r>
      <w:r>
        <w:t xml:space="preserve">”, </w:t>
      </w:r>
      <w:hyperlink r:id="rId7" w:history="1">
        <w:r w:rsidRPr="003D3330">
          <w:rPr>
            <w:rStyle w:val="Hyperlink"/>
          </w:rPr>
          <w:t>https://portal.ric.gob.gt/zonas_declaradas_catastradas</w:t>
        </w:r>
      </w:hyperlink>
      <w:r>
        <w:t xml:space="preserve"> y </w:t>
      </w:r>
      <w:hyperlink r:id="rId8" w:history="1">
        <w:r w:rsidRPr="002471ED">
          <w:rPr>
            <w:rStyle w:val="Hyperlink"/>
          </w:rPr>
          <w:t>https://portal.ric.gob.gt/zonas_en_proceso_catastral</w:t>
        </w:r>
      </w:hyperlink>
      <w:r>
        <w:t xml:space="preserve"> (consultados el 10 de mayo de 2022).</w:t>
      </w:r>
    </w:p>
  </w:footnote>
  <w:footnote w:id="14">
    <w:p w14:paraId="2F64B8DD" w14:textId="77777777" w:rsidR="00E94936" w:rsidRDefault="00E94936" w:rsidP="00133647">
      <w:pPr>
        <w:pStyle w:val="FootnoteText"/>
      </w:pPr>
      <w:r>
        <w:rPr>
          <w:rStyle w:val="FootnoteReference"/>
        </w:rPr>
        <w:footnoteRef/>
      </w:r>
      <w:r>
        <w:t xml:space="preserve"> Fuente: Respuesta a la solicitud de información pública número 125-2022, Resolución UAIP-DEN-RIC-127-2022 de 10 de mayo de 2021.</w:t>
      </w:r>
    </w:p>
  </w:footnote>
  <w:footnote w:id="15">
    <w:p w14:paraId="4614AFFB" w14:textId="77777777" w:rsidR="00E94936" w:rsidRDefault="00E94936" w:rsidP="00133647">
      <w:pPr>
        <w:pStyle w:val="FootnoteText"/>
      </w:pPr>
      <w:r>
        <w:rPr>
          <w:rStyle w:val="FootnoteReference"/>
        </w:rPr>
        <w:footnoteRef/>
      </w:r>
      <w:r>
        <w:t xml:space="preserve"> Ministerio Público, “</w:t>
      </w:r>
      <w:r w:rsidRPr="00266174">
        <w:t>Caso Génesis: MP coordina aprehensión de 14 integrantes de una estructura criminal dedicada al despojo de bienes inmuebles</w:t>
      </w:r>
      <w:r>
        <w:t xml:space="preserve">”, </w:t>
      </w:r>
      <w:hyperlink r:id="rId9" w:history="1">
        <w:r w:rsidRPr="003D3330">
          <w:rPr>
            <w:rStyle w:val="Hyperlink"/>
          </w:rPr>
          <w:t>https://www.mp.gob.gt/noticia/caso-genesis-mp-coordina-aprehension-de-14-integrantes-de-una-estructura-criminal-dedicada-al-despojo-de-bienes-inmuebles/</w:t>
        </w:r>
      </w:hyperlink>
      <w:r>
        <w:t xml:space="preserve"> (consultado el 10 de mayo de 2022).</w:t>
      </w:r>
    </w:p>
  </w:footnote>
  <w:footnote w:id="16">
    <w:p w14:paraId="22B004C8" w14:textId="77777777" w:rsidR="00E94936" w:rsidRDefault="00E94936" w:rsidP="00133647">
      <w:pPr>
        <w:pStyle w:val="FootnoteText"/>
      </w:pPr>
      <w:r>
        <w:rPr>
          <w:rStyle w:val="FootnoteReference"/>
        </w:rPr>
        <w:footnoteRef/>
      </w:r>
      <w:r>
        <w:t xml:space="preserve"> Prensa Libre, “</w:t>
      </w:r>
      <w:r w:rsidRPr="00266174">
        <w:t>MP y Cicig revelan que el Registro de Información Catastral gastó casi Q5 millones en plazas fantasma</w:t>
      </w:r>
      <w:r>
        <w:t xml:space="preserve">”, </w:t>
      </w:r>
      <w:hyperlink r:id="rId10" w:history="1">
        <w:r w:rsidRPr="003D3330">
          <w:rPr>
            <w:rStyle w:val="Hyperlink"/>
          </w:rPr>
          <w:t>https://www.prensalibre.com/guatemala/justicia/mp-y-cicig-revelan-caso-de-corrupcion-en-el-registro-de-informacion-catastral/</w:t>
        </w:r>
      </w:hyperlink>
      <w:r>
        <w:t xml:space="preserve"> (consultado el 10 de mayo de 2022)</w:t>
      </w:r>
    </w:p>
  </w:footnote>
  <w:footnote w:id="17">
    <w:p w14:paraId="55B422E7" w14:textId="77777777" w:rsidR="00E94936" w:rsidRPr="00B962D7" w:rsidRDefault="00E94936" w:rsidP="00133647">
      <w:pPr>
        <w:pStyle w:val="FootnoteText"/>
        <w:rPr>
          <w:lang w:val="es-ES"/>
        </w:rPr>
      </w:pPr>
      <w:r>
        <w:rPr>
          <w:rStyle w:val="FootnoteReference"/>
        </w:rPr>
        <w:footnoteRef/>
      </w:r>
      <w:r>
        <w:t xml:space="preserve"> </w:t>
      </w:r>
      <w:r w:rsidRPr="00F21148">
        <w:t xml:space="preserve">Proyecto Tejiendo Paz </w:t>
      </w:r>
      <w:r>
        <w:t>-</w:t>
      </w:r>
      <w:r w:rsidRPr="00F21148">
        <w:t xml:space="preserve"> Creative Associates</w:t>
      </w:r>
      <w:r>
        <w:t xml:space="preserve">, </w:t>
      </w:r>
      <w:r w:rsidRPr="00F21148">
        <w:rPr>
          <w:i/>
          <w:iCs/>
        </w:rPr>
        <w:t>Boletín sobre conflictividad en Guatemala: Breve panorama de la conflictividad social y agraria (2019-2020)</w:t>
      </w:r>
      <w:r>
        <w:t>, (Guatemala: Proyecto Tejiendo Paz, 2020), páginas 8 y 9.</w:t>
      </w:r>
    </w:p>
  </w:footnote>
  <w:footnote w:id="18">
    <w:p w14:paraId="0913DDD3" w14:textId="46159BEB" w:rsidR="00925726" w:rsidRPr="00925726" w:rsidRDefault="00925726">
      <w:pPr>
        <w:pStyle w:val="FootnoteText"/>
        <w:rPr>
          <w:lang w:val="es-ES"/>
        </w:rPr>
      </w:pPr>
      <w:r>
        <w:rPr>
          <w:rStyle w:val="FootnoteReference"/>
        </w:rPr>
        <w:footnoteRef/>
      </w:r>
      <w:r>
        <w:t xml:space="preserve"> Fuente: Respuesta a la solicitud de información, Resolución </w:t>
      </w:r>
      <w:r w:rsidRPr="00925726">
        <w:t>UAIP 61-2021/COPADEH/VP</w:t>
      </w:r>
      <w:r>
        <w:t xml:space="preserve"> de 8 de julio de 2021.</w:t>
      </w:r>
    </w:p>
  </w:footnote>
  <w:footnote w:id="19">
    <w:p w14:paraId="7AABE53C" w14:textId="77777777" w:rsidR="00E94936" w:rsidRPr="004A77A4" w:rsidRDefault="00E94936" w:rsidP="00133647">
      <w:pPr>
        <w:pStyle w:val="FootnoteText"/>
        <w:rPr>
          <w:lang w:val="es-ES"/>
        </w:rPr>
      </w:pPr>
      <w:r>
        <w:rPr>
          <w:rStyle w:val="FootnoteReference"/>
        </w:rPr>
        <w:footnoteRef/>
      </w:r>
      <w:r>
        <w:t xml:space="preserve"> </w:t>
      </w:r>
      <w:r>
        <w:rPr>
          <w:lang w:val="es-ES"/>
        </w:rPr>
        <w:t>Prensa Libre, “</w:t>
      </w:r>
      <w:r w:rsidRPr="004A77A4">
        <w:rPr>
          <w:lang w:val="es-ES"/>
        </w:rPr>
        <w:t>Desalojo en El Estor: PDH recomienda usar protocolos internacionales y la PNC da postura de los hechos</w:t>
      </w:r>
      <w:r>
        <w:rPr>
          <w:lang w:val="es-ES"/>
        </w:rPr>
        <w:t xml:space="preserve">”, </w:t>
      </w:r>
      <w:hyperlink r:id="rId11" w:history="1">
        <w:r w:rsidRPr="00A81E11">
          <w:rPr>
            <w:rStyle w:val="Hyperlink"/>
            <w:lang w:val="es-ES"/>
          </w:rPr>
          <w:t>https://www.prensalibre.com/ciudades/izabal/desalojo-en-el-estor-pdh-recomienda-usar-protocolos-internacionales-y-la-pnc-da-postura-de-los-hechos-breaking/</w:t>
        </w:r>
      </w:hyperlink>
      <w:r>
        <w:rPr>
          <w:lang w:val="es-ES"/>
        </w:rPr>
        <w:t xml:space="preserve"> (consultado 11 de mayo de 2022). Prensa Comunitaria, “</w:t>
      </w:r>
      <w:r w:rsidRPr="009B095E">
        <w:rPr>
          <w:lang w:val="es-ES"/>
        </w:rPr>
        <w:t>Horror y fuego en Chinebal, el desalojo que favoreció a los palmeros en El Estor</w:t>
      </w:r>
      <w:r>
        <w:rPr>
          <w:lang w:val="es-ES"/>
        </w:rPr>
        <w:t xml:space="preserve">”, </w:t>
      </w:r>
      <w:hyperlink r:id="rId12" w:history="1">
        <w:r w:rsidRPr="005B5719">
          <w:rPr>
            <w:rStyle w:val="Hyperlink"/>
            <w:lang w:val="es-ES"/>
          </w:rPr>
          <w:t>https://www.prensacomunitaria.org/2021/11/horror-y-fuego-en-chinebal-el-desalojo-que-favorecio-a-los-palmeros-en-el-estor/</w:t>
        </w:r>
      </w:hyperlink>
      <w:r>
        <w:rPr>
          <w:lang w:val="es-ES"/>
        </w:rPr>
        <w:t xml:space="preserve"> (consultado el 10 de mayo de 2022).</w:t>
      </w:r>
    </w:p>
  </w:footnote>
  <w:footnote w:id="20">
    <w:p w14:paraId="3C347EF9" w14:textId="1AA7884B" w:rsidR="00205FAA" w:rsidRDefault="00205FAA">
      <w:pPr>
        <w:pStyle w:val="FootnoteText"/>
      </w:pPr>
      <w:r>
        <w:rPr>
          <w:rStyle w:val="FootnoteReference"/>
        </w:rPr>
        <w:footnoteRef/>
      </w:r>
      <w:r>
        <w:t xml:space="preserve"> </w:t>
      </w:r>
      <w:r w:rsidRPr="00205FAA">
        <w:t>Unidad de Protección a Defensoras y Defensores de Derechos Humanos de Guatemala (2022): INFORME Situación de personas, organizaciones y comunidades defensoras de derechos humanos en Guatemala, 2021</w:t>
      </w:r>
    </w:p>
  </w:footnote>
  <w:footnote w:id="21">
    <w:p w14:paraId="53167A26" w14:textId="1752D5A5" w:rsidR="00CB4AA8" w:rsidRDefault="00CB4AA8">
      <w:pPr>
        <w:pStyle w:val="FootnoteText"/>
      </w:pPr>
      <w:r>
        <w:rPr>
          <w:rStyle w:val="FootnoteReference"/>
        </w:rPr>
        <w:footnoteRef/>
      </w:r>
      <w:r>
        <w:t xml:space="preserve"> Corte Interamericana de Derechos Humanos (28 de agosto de 2014): Sentencia de Caso </w:t>
      </w:r>
      <w:r w:rsidRPr="00CB4AA8">
        <w:t xml:space="preserve">Defensor </w:t>
      </w:r>
      <w:r>
        <w:t>d</w:t>
      </w:r>
      <w:r w:rsidRPr="00CB4AA8">
        <w:t xml:space="preserve">e Derechos Humanos </w:t>
      </w:r>
      <w:r>
        <w:t>y</w:t>
      </w:r>
      <w:r w:rsidRPr="00CB4AA8">
        <w:t xml:space="preserve"> Otros </w:t>
      </w:r>
      <w:r>
        <w:t>v</w:t>
      </w:r>
      <w:r w:rsidRPr="00CB4AA8">
        <w:t>s. Guatemala</w:t>
      </w:r>
      <w:r>
        <w:t xml:space="preserve"> </w:t>
      </w:r>
      <w:r w:rsidRPr="00CB4AA8">
        <w:t>(Excepciones Preliminares, Fondo, Reparaciones y Costas)</w:t>
      </w:r>
      <w:r w:rsidR="006D300E" w:rsidRPr="006D300E">
        <w:t xml:space="preserve"> </w:t>
      </w:r>
      <w:r w:rsidR="006D300E">
        <w:t>, párrafo 263</w:t>
      </w:r>
      <w:r>
        <w:t>.</w:t>
      </w:r>
    </w:p>
  </w:footnote>
  <w:footnote w:id="22">
    <w:p w14:paraId="50AA11C8" w14:textId="475696C4" w:rsidR="00CB4AA8" w:rsidRDefault="00CB4AA8" w:rsidP="00DC2551">
      <w:pPr>
        <w:pStyle w:val="FootnoteText"/>
      </w:pPr>
      <w:r>
        <w:rPr>
          <w:rStyle w:val="FootnoteReference"/>
        </w:rPr>
        <w:footnoteRef/>
      </w:r>
      <w:r>
        <w:t xml:space="preserve"> </w:t>
      </w:r>
      <w:r w:rsidR="00DC2551">
        <w:t>Procurador de los Derechos Humanos, Defensoría de las Personas Defensoras de Derechos Humanos y Periodistas (junio 2021): Informe de supervisión a Comisión Presidencial por la Paz y los Derechos Humanos, Secretaría de Planificación y Programación de la Presidencia y Ministerio de Gobernación sobre la Política Pública para la Protección de Defensoras y Defensores de Derechos Humanos.</w:t>
      </w:r>
    </w:p>
  </w:footnote>
  <w:footnote w:id="23">
    <w:p w14:paraId="3C02585D" w14:textId="1F3D22BF" w:rsidR="006F5FFB" w:rsidRDefault="006F5FFB">
      <w:pPr>
        <w:pStyle w:val="FootnoteText"/>
      </w:pPr>
      <w:r>
        <w:rPr>
          <w:rStyle w:val="FootnoteReference"/>
        </w:rPr>
        <w:footnoteRef/>
      </w:r>
      <w:r>
        <w:t xml:space="preserve"> Relativo a la lista de cuestiones </w:t>
      </w:r>
      <w:r w:rsidR="00AC091B">
        <w:t xml:space="preserve">número 22” sírvase informar sobre las medidas tomadas para el cumplimiento de las sentencias de Camotán ratificadas por la Corte de Constitucionalidad”.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21FF2" w14:textId="3FD73E9F" w:rsidR="00E94936" w:rsidRDefault="00E94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A418B" w14:textId="3F8A394C" w:rsidR="00E94936" w:rsidRDefault="00E949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80C9A" w14:textId="43CA381B" w:rsidR="00E94936" w:rsidRDefault="00E94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E3E29"/>
    <w:multiLevelType w:val="hybridMultilevel"/>
    <w:tmpl w:val="F79E264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F2737E2"/>
    <w:multiLevelType w:val="hybridMultilevel"/>
    <w:tmpl w:val="578C17AC"/>
    <w:lvl w:ilvl="0" w:tplc="A7BEABC0">
      <w:start w:val="1"/>
      <w:numFmt w:val="decimal"/>
      <w:lvlText w:val="%1."/>
      <w:lvlJc w:val="left"/>
      <w:pPr>
        <w:ind w:left="720" w:hanging="360"/>
      </w:pPr>
      <w:rPr>
        <w:rFonts w:hint="default"/>
        <w:strike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33D827C6"/>
    <w:multiLevelType w:val="hybridMultilevel"/>
    <w:tmpl w:val="2E26D11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405D6DFF"/>
    <w:multiLevelType w:val="multilevel"/>
    <w:tmpl w:val="4AD2A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82755A2"/>
    <w:multiLevelType w:val="hybridMultilevel"/>
    <w:tmpl w:val="0D0CEB64"/>
    <w:lvl w:ilvl="0" w:tplc="1A6641BC">
      <w:start w:val="1"/>
      <w:numFmt w:val="decimal"/>
      <w:lvlText w:val="%1."/>
      <w:lvlJc w:val="left"/>
      <w:pPr>
        <w:ind w:left="720" w:hanging="360"/>
      </w:pPr>
      <w:rPr>
        <w:rFonts w:hint="default"/>
        <w:strike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58742496"/>
    <w:multiLevelType w:val="hybridMultilevel"/>
    <w:tmpl w:val="5CCC6528"/>
    <w:lvl w:ilvl="0" w:tplc="0D862896">
      <w:start w:val="1"/>
      <w:numFmt w:val="decimal"/>
      <w:lvlText w:val="%1."/>
      <w:lvlJc w:val="left"/>
      <w:pPr>
        <w:ind w:left="360" w:hanging="360"/>
      </w:pPr>
      <w:rPr>
        <w:rFonts w:ascii="Times New Roman" w:hAnsi="Times New Roman" w:cs="Times New Roman" w:hint="default"/>
        <w:b w:val="0"/>
        <w:bCs w:val="0"/>
        <w:strike w:val="0"/>
        <w:sz w:val="24"/>
        <w:szCs w:val="24"/>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6" w15:restartNumberingAfterBreak="0">
    <w:nsid w:val="6D843C69"/>
    <w:multiLevelType w:val="multilevel"/>
    <w:tmpl w:val="B2169D9A"/>
    <w:lvl w:ilvl="0">
      <w:start w:val="1"/>
      <w:numFmt w:val="decimal"/>
      <w:pStyle w:val="Norm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6"/>
  </w:num>
  <w:num w:numId="3">
    <w:abstractNumId w:val="5"/>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EF2"/>
    <w:rsid w:val="00002501"/>
    <w:rsid w:val="000028B9"/>
    <w:rsid w:val="0000413A"/>
    <w:rsid w:val="00016755"/>
    <w:rsid w:val="00020BF2"/>
    <w:rsid w:val="00025FAC"/>
    <w:rsid w:val="000458CF"/>
    <w:rsid w:val="0004687F"/>
    <w:rsid w:val="00047659"/>
    <w:rsid w:val="00057F53"/>
    <w:rsid w:val="00067CAC"/>
    <w:rsid w:val="0007427B"/>
    <w:rsid w:val="00083012"/>
    <w:rsid w:val="00083311"/>
    <w:rsid w:val="00083BF1"/>
    <w:rsid w:val="00085859"/>
    <w:rsid w:val="00090339"/>
    <w:rsid w:val="000A0365"/>
    <w:rsid w:val="000A705A"/>
    <w:rsid w:val="000B50A8"/>
    <w:rsid w:val="000B5D01"/>
    <w:rsid w:val="000C51FE"/>
    <w:rsid w:val="000C533A"/>
    <w:rsid w:val="000C5605"/>
    <w:rsid w:val="000F0F88"/>
    <w:rsid w:val="000F7A43"/>
    <w:rsid w:val="000F7C0C"/>
    <w:rsid w:val="00111353"/>
    <w:rsid w:val="00124C57"/>
    <w:rsid w:val="00133647"/>
    <w:rsid w:val="00134739"/>
    <w:rsid w:val="00145560"/>
    <w:rsid w:val="001458B9"/>
    <w:rsid w:val="00147AF4"/>
    <w:rsid w:val="00153299"/>
    <w:rsid w:val="001728A0"/>
    <w:rsid w:val="00173A8F"/>
    <w:rsid w:val="00177151"/>
    <w:rsid w:val="001908C9"/>
    <w:rsid w:val="001B72CF"/>
    <w:rsid w:val="001B7A39"/>
    <w:rsid w:val="001C18BA"/>
    <w:rsid w:val="001E5ABA"/>
    <w:rsid w:val="001E661F"/>
    <w:rsid w:val="001F0275"/>
    <w:rsid w:val="001F3D24"/>
    <w:rsid w:val="00205FAA"/>
    <w:rsid w:val="00213124"/>
    <w:rsid w:val="002246C2"/>
    <w:rsid w:val="002340F6"/>
    <w:rsid w:val="002362C2"/>
    <w:rsid w:val="00246D84"/>
    <w:rsid w:val="00252932"/>
    <w:rsid w:val="00283D1E"/>
    <w:rsid w:val="0028447E"/>
    <w:rsid w:val="00284B76"/>
    <w:rsid w:val="00286856"/>
    <w:rsid w:val="00295107"/>
    <w:rsid w:val="002A2824"/>
    <w:rsid w:val="002A5490"/>
    <w:rsid w:val="002A6647"/>
    <w:rsid w:val="002A66B3"/>
    <w:rsid w:val="002B1FFC"/>
    <w:rsid w:val="002B37C5"/>
    <w:rsid w:val="002C094F"/>
    <w:rsid w:val="002C587D"/>
    <w:rsid w:val="002D11F5"/>
    <w:rsid w:val="002E044E"/>
    <w:rsid w:val="002E65EB"/>
    <w:rsid w:val="002E6E4A"/>
    <w:rsid w:val="002F03AA"/>
    <w:rsid w:val="002F249E"/>
    <w:rsid w:val="002F4A81"/>
    <w:rsid w:val="002F607D"/>
    <w:rsid w:val="00303EFD"/>
    <w:rsid w:val="00304516"/>
    <w:rsid w:val="003062FF"/>
    <w:rsid w:val="00315738"/>
    <w:rsid w:val="00330E5E"/>
    <w:rsid w:val="003362E9"/>
    <w:rsid w:val="00337BF6"/>
    <w:rsid w:val="003433CA"/>
    <w:rsid w:val="00366548"/>
    <w:rsid w:val="00373654"/>
    <w:rsid w:val="003852E2"/>
    <w:rsid w:val="00390D17"/>
    <w:rsid w:val="003A2731"/>
    <w:rsid w:val="003D019D"/>
    <w:rsid w:val="003D32A3"/>
    <w:rsid w:val="003E596B"/>
    <w:rsid w:val="003E78D5"/>
    <w:rsid w:val="003F4089"/>
    <w:rsid w:val="003F51FA"/>
    <w:rsid w:val="00404CBF"/>
    <w:rsid w:val="00407627"/>
    <w:rsid w:val="00407647"/>
    <w:rsid w:val="00413B51"/>
    <w:rsid w:val="00416CAB"/>
    <w:rsid w:val="00435D4D"/>
    <w:rsid w:val="0044280E"/>
    <w:rsid w:val="00450EB5"/>
    <w:rsid w:val="00451079"/>
    <w:rsid w:val="00457477"/>
    <w:rsid w:val="004576D7"/>
    <w:rsid w:val="004608E9"/>
    <w:rsid w:val="00467243"/>
    <w:rsid w:val="004872D0"/>
    <w:rsid w:val="00493CCE"/>
    <w:rsid w:val="004A6FCC"/>
    <w:rsid w:val="004B177B"/>
    <w:rsid w:val="004C14C7"/>
    <w:rsid w:val="004C6DA0"/>
    <w:rsid w:val="004D1E5A"/>
    <w:rsid w:val="004D2D9A"/>
    <w:rsid w:val="004D2FC7"/>
    <w:rsid w:val="004F615C"/>
    <w:rsid w:val="004F7324"/>
    <w:rsid w:val="00501DF5"/>
    <w:rsid w:val="005056F8"/>
    <w:rsid w:val="00505AE1"/>
    <w:rsid w:val="005072C1"/>
    <w:rsid w:val="005158CE"/>
    <w:rsid w:val="00521BC4"/>
    <w:rsid w:val="00524A9C"/>
    <w:rsid w:val="00526905"/>
    <w:rsid w:val="005271BF"/>
    <w:rsid w:val="00533F34"/>
    <w:rsid w:val="00536223"/>
    <w:rsid w:val="005415F0"/>
    <w:rsid w:val="00552A2B"/>
    <w:rsid w:val="00562FAA"/>
    <w:rsid w:val="00563DD8"/>
    <w:rsid w:val="00577E63"/>
    <w:rsid w:val="0058495C"/>
    <w:rsid w:val="00586D77"/>
    <w:rsid w:val="005A1B81"/>
    <w:rsid w:val="005A7230"/>
    <w:rsid w:val="005B3803"/>
    <w:rsid w:val="005B504C"/>
    <w:rsid w:val="005C64EF"/>
    <w:rsid w:val="005D29E6"/>
    <w:rsid w:val="005E44AA"/>
    <w:rsid w:val="005F487A"/>
    <w:rsid w:val="005F4E51"/>
    <w:rsid w:val="005F745E"/>
    <w:rsid w:val="00610A59"/>
    <w:rsid w:val="0061149C"/>
    <w:rsid w:val="00616C82"/>
    <w:rsid w:val="006227DD"/>
    <w:rsid w:val="006249AF"/>
    <w:rsid w:val="0062756E"/>
    <w:rsid w:val="00627B13"/>
    <w:rsid w:val="00633CF7"/>
    <w:rsid w:val="00640F54"/>
    <w:rsid w:val="00650EEE"/>
    <w:rsid w:val="00660DB4"/>
    <w:rsid w:val="00661BD8"/>
    <w:rsid w:val="006729EA"/>
    <w:rsid w:val="0068346F"/>
    <w:rsid w:val="006A29E1"/>
    <w:rsid w:val="006A44A0"/>
    <w:rsid w:val="006A7FD8"/>
    <w:rsid w:val="006B0E86"/>
    <w:rsid w:val="006B1E4A"/>
    <w:rsid w:val="006B798D"/>
    <w:rsid w:val="006C2AE7"/>
    <w:rsid w:val="006D0897"/>
    <w:rsid w:val="006D300E"/>
    <w:rsid w:val="006E3785"/>
    <w:rsid w:val="006F5FFB"/>
    <w:rsid w:val="00703CF1"/>
    <w:rsid w:val="007100DE"/>
    <w:rsid w:val="00715C26"/>
    <w:rsid w:val="00733EA6"/>
    <w:rsid w:val="00736F5C"/>
    <w:rsid w:val="00756104"/>
    <w:rsid w:val="00760985"/>
    <w:rsid w:val="00761DB9"/>
    <w:rsid w:val="00770B20"/>
    <w:rsid w:val="00774FB2"/>
    <w:rsid w:val="0078208D"/>
    <w:rsid w:val="00796593"/>
    <w:rsid w:val="007A79B0"/>
    <w:rsid w:val="007B5232"/>
    <w:rsid w:val="007D071D"/>
    <w:rsid w:val="007F4E21"/>
    <w:rsid w:val="008039C1"/>
    <w:rsid w:val="00803B5F"/>
    <w:rsid w:val="00806A7D"/>
    <w:rsid w:val="008259F3"/>
    <w:rsid w:val="00834B93"/>
    <w:rsid w:val="00845C55"/>
    <w:rsid w:val="0085141C"/>
    <w:rsid w:val="0085152F"/>
    <w:rsid w:val="00851840"/>
    <w:rsid w:val="0085552D"/>
    <w:rsid w:val="00855822"/>
    <w:rsid w:val="00855E80"/>
    <w:rsid w:val="00856578"/>
    <w:rsid w:val="00865EED"/>
    <w:rsid w:val="008805F2"/>
    <w:rsid w:val="00883582"/>
    <w:rsid w:val="00885CBA"/>
    <w:rsid w:val="0089432C"/>
    <w:rsid w:val="00894429"/>
    <w:rsid w:val="008A569B"/>
    <w:rsid w:val="008A5EF2"/>
    <w:rsid w:val="008C27F0"/>
    <w:rsid w:val="008C5444"/>
    <w:rsid w:val="008E3F40"/>
    <w:rsid w:val="008E3FA7"/>
    <w:rsid w:val="008E4B4B"/>
    <w:rsid w:val="008F18C2"/>
    <w:rsid w:val="008F1E02"/>
    <w:rsid w:val="008F21E4"/>
    <w:rsid w:val="00902F45"/>
    <w:rsid w:val="00905621"/>
    <w:rsid w:val="00910C09"/>
    <w:rsid w:val="00925726"/>
    <w:rsid w:val="00926515"/>
    <w:rsid w:val="00934069"/>
    <w:rsid w:val="009473B1"/>
    <w:rsid w:val="009564A0"/>
    <w:rsid w:val="00961CE3"/>
    <w:rsid w:val="00965E0A"/>
    <w:rsid w:val="00976390"/>
    <w:rsid w:val="0098204E"/>
    <w:rsid w:val="00991A71"/>
    <w:rsid w:val="009966FF"/>
    <w:rsid w:val="00997249"/>
    <w:rsid w:val="009A2167"/>
    <w:rsid w:val="009A29FE"/>
    <w:rsid w:val="009A41CE"/>
    <w:rsid w:val="009A4C96"/>
    <w:rsid w:val="009A636C"/>
    <w:rsid w:val="009E7AEF"/>
    <w:rsid w:val="009F2F7F"/>
    <w:rsid w:val="009F7A51"/>
    <w:rsid w:val="009F7D05"/>
    <w:rsid w:val="00A00088"/>
    <w:rsid w:val="00A02F2C"/>
    <w:rsid w:val="00A04B01"/>
    <w:rsid w:val="00A06955"/>
    <w:rsid w:val="00A07859"/>
    <w:rsid w:val="00A15642"/>
    <w:rsid w:val="00A261F0"/>
    <w:rsid w:val="00A27141"/>
    <w:rsid w:val="00A31293"/>
    <w:rsid w:val="00A361B4"/>
    <w:rsid w:val="00A36DB6"/>
    <w:rsid w:val="00A45641"/>
    <w:rsid w:val="00A45C35"/>
    <w:rsid w:val="00A71535"/>
    <w:rsid w:val="00A8327A"/>
    <w:rsid w:val="00A8352F"/>
    <w:rsid w:val="00A8704F"/>
    <w:rsid w:val="00A96C6A"/>
    <w:rsid w:val="00AA388E"/>
    <w:rsid w:val="00AA64B5"/>
    <w:rsid w:val="00AB40C1"/>
    <w:rsid w:val="00AC091B"/>
    <w:rsid w:val="00AD17F0"/>
    <w:rsid w:val="00AD2FEB"/>
    <w:rsid w:val="00AD62D2"/>
    <w:rsid w:val="00AF152E"/>
    <w:rsid w:val="00AF411B"/>
    <w:rsid w:val="00B032AD"/>
    <w:rsid w:val="00B0416F"/>
    <w:rsid w:val="00B06F1F"/>
    <w:rsid w:val="00B10A4F"/>
    <w:rsid w:val="00B131BA"/>
    <w:rsid w:val="00B3632D"/>
    <w:rsid w:val="00B41D1C"/>
    <w:rsid w:val="00B42260"/>
    <w:rsid w:val="00B459BB"/>
    <w:rsid w:val="00B45FF3"/>
    <w:rsid w:val="00B47A33"/>
    <w:rsid w:val="00B60022"/>
    <w:rsid w:val="00B66B28"/>
    <w:rsid w:val="00B67B92"/>
    <w:rsid w:val="00B74A63"/>
    <w:rsid w:val="00B81F2A"/>
    <w:rsid w:val="00B85CC2"/>
    <w:rsid w:val="00B91080"/>
    <w:rsid w:val="00BA3024"/>
    <w:rsid w:val="00BB0453"/>
    <w:rsid w:val="00BC3262"/>
    <w:rsid w:val="00BD7482"/>
    <w:rsid w:val="00BE7684"/>
    <w:rsid w:val="00C02F38"/>
    <w:rsid w:val="00C146C6"/>
    <w:rsid w:val="00C24B80"/>
    <w:rsid w:val="00C31D92"/>
    <w:rsid w:val="00C35A74"/>
    <w:rsid w:val="00C61A82"/>
    <w:rsid w:val="00C65340"/>
    <w:rsid w:val="00C724FD"/>
    <w:rsid w:val="00C85405"/>
    <w:rsid w:val="00C86BCF"/>
    <w:rsid w:val="00C964E1"/>
    <w:rsid w:val="00CB2EA1"/>
    <w:rsid w:val="00CB4AA8"/>
    <w:rsid w:val="00CC32C2"/>
    <w:rsid w:val="00CC6280"/>
    <w:rsid w:val="00CC7732"/>
    <w:rsid w:val="00CD0650"/>
    <w:rsid w:val="00CD283C"/>
    <w:rsid w:val="00CD48D2"/>
    <w:rsid w:val="00CD5428"/>
    <w:rsid w:val="00CE2367"/>
    <w:rsid w:val="00CE4780"/>
    <w:rsid w:val="00CE49F6"/>
    <w:rsid w:val="00CE5C63"/>
    <w:rsid w:val="00CF2D58"/>
    <w:rsid w:val="00CF347C"/>
    <w:rsid w:val="00D03334"/>
    <w:rsid w:val="00D04387"/>
    <w:rsid w:val="00D05D03"/>
    <w:rsid w:val="00D15CF4"/>
    <w:rsid w:val="00D20944"/>
    <w:rsid w:val="00D245CF"/>
    <w:rsid w:val="00D25028"/>
    <w:rsid w:val="00D268C0"/>
    <w:rsid w:val="00D421FD"/>
    <w:rsid w:val="00D5066D"/>
    <w:rsid w:val="00D56C5B"/>
    <w:rsid w:val="00D57299"/>
    <w:rsid w:val="00D66FD4"/>
    <w:rsid w:val="00D673D8"/>
    <w:rsid w:val="00D77DE5"/>
    <w:rsid w:val="00DB1670"/>
    <w:rsid w:val="00DC2551"/>
    <w:rsid w:val="00DC3578"/>
    <w:rsid w:val="00DE49FF"/>
    <w:rsid w:val="00DF0345"/>
    <w:rsid w:val="00E16FEC"/>
    <w:rsid w:val="00E172C9"/>
    <w:rsid w:val="00E21E44"/>
    <w:rsid w:val="00E2399A"/>
    <w:rsid w:val="00E33001"/>
    <w:rsid w:val="00E339EF"/>
    <w:rsid w:val="00E4102C"/>
    <w:rsid w:val="00E56563"/>
    <w:rsid w:val="00E668CE"/>
    <w:rsid w:val="00E74D6B"/>
    <w:rsid w:val="00E76948"/>
    <w:rsid w:val="00E82644"/>
    <w:rsid w:val="00E83CB5"/>
    <w:rsid w:val="00E84F78"/>
    <w:rsid w:val="00E92258"/>
    <w:rsid w:val="00E94936"/>
    <w:rsid w:val="00EA04DC"/>
    <w:rsid w:val="00EA6B36"/>
    <w:rsid w:val="00EB22A2"/>
    <w:rsid w:val="00EC0B8F"/>
    <w:rsid w:val="00EC5EA4"/>
    <w:rsid w:val="00EC69FC"/>
    <w:rsid w:val="00ED0653"/>
    <w:rsid w:val="00ED373D"/>
    <w:rsid w:val="00EE2A49"/>
    <w:rsid w:val="00EE632C"/>
    <w:rsid w:val="00EE663C"/>
    <w:rsid w:val="00EE772B"/>
    <w:rsid w:val="00EF1F9F"/>
    <w:rsid w:val="00EF298A"/>
    <w:rsid w:val="00EF3F35"/>
    <w:rsid w:val="00EF531B"/>
    <w:rsid w:val="00F048BB"/>
    <w:rsid w:val="00F2465F"/>
    <w:rsid w:val="00F253B9"/>
    <w:rsid w:val="00F322CF"/>
    <w:rsid w:val="00F35DC2"/>
    <w:rsid w:val="00F4169C"/>
    <w:rsid w:val="00F45A1F"/>
    <w:rsid w:val="00F85396"/>
    <w:rsid w:val="00F854F8"/>
    <w:rsid w:val="00FA3E7D"/>
    <w:rsid w:val="00FA58DC"/>
    <w:rsid w:val="00FC55F3"/>
    <w:rsid w:val="00FC7543"/>
    <w:rsid w:val="00FD07B9"/>
    <w:rsid w:val="00FF09BB"/>
    <w:rsid w:val="00FF210A"/>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9D266A"/>
  <w15:docId w15:val="{6712EEA2-68E6-4A41-816D-DF4D2392C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GT" w:eastAsia="es-GT"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24A"/>
  </w:style>
  <w:style w:type="paragraph" w:styleId="Heading1">
    <w:name w:val="heading 1"/>
    <w:basedOn w:val="Normal"/>
    <w:next w:val="Normal"/>
    <w:link w:val="Heading1Char"/>
    <w:uiPriority w:val="9"/>
    <w:qFormat/>
    <w:rsid w:val="00414CE8"/>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14CE8"/>
    <w:pPr>
      <w:keepNext/>
      <w:keepLines/>
      <w:spacing w:before="40"/>
      <w:outlineLvl w:val="1"/>
    </w:pPr>
    <w:rPr>
      <w:rFonts w:eastAsiaTheme="majorEastAsia" w:cstheme="majorBidi"/>
      <w:szCs w:val="26"/>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9A2167"/>
    <w:pPr>
      <w:keepNext/>
      <w:keepLines/>
      <w:spacing w:before="480" w:after="120"/>
    </w:pPr>
    <w:rPr>
      <w:b/>
      <w:sz w:val="40"/>
      <w:szCs w:val="72"/>
    </w:rPr>
  </w:style>
  <w:style w:type="character" w:customStyle="1" w:styleId="Heading1Char">
    <w:name w:val="Heading 1 Char"/>
    <w:basedOn w:val="DefaultParagraphFont"/>
    <w:link w:val="Heading1"/>
    <w:uiPriority w:val="9"/>
    <w:rsid w:val="00E00AE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0AE8"/>
    <w:rPr>
      <w:rFonts w:ascii="Times New Roman" w:eastAsiaTheme="majorEastAsia" w:hAnsi="Times New Roman" w:cstheme="majorBidi"/>
      <w:sz w:val="24"/>
      <w:szCs w:val="26"/>
      <w:u w:val="single"/>
    </w:rPr>
  </w:style>
  <w:style w:type="paragraph" w:styleId="ListParagraph">
    <w:name w:val="List Paragraph"/>
    <w:basedOn w:val="Normal"/>
    <w:link w:val="ListParagraphChar"/>
    <w:uiPriority w:val="34"/>
    <w:qFormat/>
    <w:rsid w:val="00414CE8"/>
    <w:pPr>
      <w:contextualSpacing/>
    </w:pPr>
  </w:style>
  <w:style w:type="paragraph" w:styleId="FootnoteText">
    <w:name w:val="footnote text"/>
    <w:aliases w:val="Texto nota pie Car Car Car,Texto nota pie Car Car,Footnote Text Char1 Char,Footnote Text Char2 Char Char,Footnote Text Char Char1 Char Char,Footnote Text Char1 Char Char Char Char,Footnote Text Char1 Char1 Char Char,5_G,FA Fu,Ca,C,ft"/>
    <w:basedOn w:val="Normal"/>
    <w:link w:val="FootnoteTextChar"/>
    <w:uiPriority w:val="99"/>
    <w:unhideWhenUsed/>
    <w:qFormat/>
    <w:rsid w:val="00010C0B"/>
    <w:pPr>
      <w:spacing w:after="0"/>
      <w:jc w:val="left"/>
    </w:pPr>
    <w:rPr>
      <w:sz w:val="20"/>
      <w:szCs w:val="20"/>
    </w:rPr>
  </w:style>
  <w:style w:type="character" w:customStyle="1" w:styleId="FootnoteTextChar">
    <w:name w:val="Footnote Text Char"/>
    <w:aliases w:val="Texto nota pie Car Car Car Char,Texto nota pie Car Car Char,Footnote Text Char1 Char Char,Footnote Text Char2 Char Char Char,Footnote Text Char Char1 Char Char Char,Footnote Text Char1 Char Char Char Char Char,5_G Char,FA Fu Char"/>
    <w:basedOn w:val="DefaultParagraphFont"/>
    <w:link w:val="FootnoteText"/>
    <w:uiPriority w:val="99"/>
    <w:rsid w:val="00010C0B"/>
    <w:rPr>
      <w:rFonts w:ascii="Times New Roman" w:hAnsi="Times New Roman"/>
      <w:sz w:val="20"/>
      <w:szCs w:val="20"/>
    </w:rPr>
  </w:style>
  <w:style w:type="character" w:styleId="FootnoteReference">
    <w:name w:val="footnote reference"/>
    <w:aliases w:val="16 Point,Superscript 6 Point,4_G,callout,Fago Fußnotenzeichen,Texto de nota al pie,Appel note de bas de page,Footnotes refss,f,Footnote number,referencia nota al pie,BVI fnr,Footnotes refss Char,Texto de nota al pie Char,4_G Car,Ref"/>
    <w:basedOn w:val="DefaultParagraphFont"/>
    <w:link w:val="BVIfnrCharCar"/>
    <w:unhideWhenUsed/>
    <w:qFormat/>
    <w:rsid w:val="0042024A"/>
    <w:rPr>
      <w:vertAlign w:val="superscript"/>
    </w:rPr>
  </w:style>
  <w:style w:type="paragraph" w:customStyle="1" w:styleId="Normal2">
    <w:name w:val="Normal 2"/>
    <w:basedOn w:val="ListParagraph"/>
    <w:link w:val="Normal2Car"/>
    <w:qFormat/>
    <w:rsid w:val="0042024A"/>
    <w:pPr>
      <w:numPr>
        <w:numId w:val="2"/>
      </w:numPr>
      <w:ind w:left="714" w:hanging="357"/>
      <w:contextualSpacing w:val="0"/>
    </w:pPr>
  </w:style>
  <w:style w:type="character" w:customStyle="1" w:styleId="ListParagraphChar">
    <w:name w:val="List Paragraph Char"/>
    <w:basedOn w:val="DefaultParagraphFont"/>
    <w:link w:val="ListParagraph"/>
    <w:uiPriority w:val="34"/>
    <w:rsid w:val="0042024A"/>
    <w:rPr>
      <w:rFonts w:ascii="Times New Roman" w:hAnsi="Times New Roman"/>
      <w:sz w:val="24"/>
    </w:rPr>
  </w:style>
  <w:style w:type="character" w:customStyle="1" w:styleId="Normal2Car">
    <w:name w:val="Normal 2 Car"/>
    <w:basedOn w:val="ListParagraphChar"/>
    <w:link w:val="Normal2"/>
    <w:rsid w:val="0042024A"/>
    <w:rPr>
      <w:rFonts w:ascii="Times New Roman" w:hAnsi="Times New Roman"/>
      <w:sz w:val="24"/>
    </w:rPr>
  </w:style>
  <w:style w:type="character" w:styleId="CommentReference">
    <w:name w:val="annotation reference"/>
    <w:basedOn w:val="DefaultParagraphFont"/>
    <w:uiPriority w:val="99"/>
    <w:semiHidden/>
    <w:unhideWhenUsed/>
    <w:rsid w:val="0076214A"/>
    <w:rPr>
      <w:sz w:val="16"/>
      <w:szCs w:val="16"/>
    </w:rPr>
  </w:style>
  <w:style w:type="paragraph" w:styleId="CommentText">
    <w:name w:val="annotation text"/>
    <w:basedOn w:val="Normal"/>
    <w:link w:val="CommentTextChar"/>
    <w:uiPriority w:val="99"/>
    <w:unhideWhenUsed/>
    <w:rsid w:val="0076214A"/>
    <w:rPr>
      <w:sz w:val="20"/>
      <w:szCs w:val="20"/>
    </w:rPr>
  </w:style>
  <w:style w:type="character" w:customStyle="1" w:styleId="CommentTextChar">
    <w:name w:val="Comment Text Char"/>
    <w:basedOn w:val="DefaultParagraphFont"/>
    <w:link w:val="CommentText"/>
    <w:uiPriority w:val="99"/>
    <w:rsid w:val="0076214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6214A"/>
    <w:rPr>
      <w:b/>
      <w:bCs/>
    </w:rPr>
  </w:style>
  <w:style w:type="character" w:customStyle="1" w:styleId="CommentSubjectChar">
    <w:name w:val="Comment Subject Char"/>
    <w:basedOn w:val="CommentTextChar"/>
    <w:link w:val="CommentSubject"/>
    <w:uiPriority w:val="99"/>
    <w:semiHidden/>
    <w:rsid w:val="0076214A"/>
    <w:rPr>
      <w:rFonts w:ascii="Times New Roman" w:hAnsi="Times New Roman"/>
      <w:b/>
      <w:bCs/>
      <w:sz w:val="20"/>
      <w:szCs w:val="20"/>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1F3D24"/>
    <w:rPr>
      <w:color w:val="0563C1" w:themeColor="hyperlink"/>
      <w:u w:val="single"/>
    </w:rPr>
  </w:style>
  <w:style w:type="character" w:customStyle="1" w:styleId="UnresolvedMention">
    <w:name w:val="Unresolved Mention"/>
    <w:basedOn w:val="DefaultParagraphFont"/>
    <w:uiPriority w:val="99"/>
    <w:semiHidden/>
    <w:unhideWhenUsed/>
    <w:rsid w:val="001F3D24"/>
    <w:rPr>
      <w:color w:val="605E5C"/>
      <w:shd w:val="clear" w:color="auto" w:fill="E1DFDD"/>
    </w:rPr>
  </w:style>
  <w:style w:type="paragraph" w:styleId="Header">
    <w:name w:val="header"/>
    <w:basedOn w:val="Normal"/>
    <w:link w:val="HeaderChar"/>
    <w:uiPriority w:val="99"/>
    <w:unhideWhenUsed/>
    <w:rsid w:val="00633CF7"/>
    <w:pPr>
      <w:tabs>
        <w:tab w:val="center" w:pos="4419"/>
        <w:tab w:val="right" w:pos="8838"/>
      </w:tabs>
      <w:spacing w:after="0"/>
    </w:pPr>
  </w:style>
  <w:style w:type="character" w:customStyle="1" w:styleId="HeaderChar">
    <w:name w:val="Header Char"/>
    <w:basedOn w:val="DefaultParagraphFont"/>
    <w:link w:val="Header"/>
    <w:uiPriority w:val="99"/>
    <w:rsid w:val="00633CF7"/>
  </w:style>
  <w:style w:type="paragraph" w:styleId="Footer">
    <w:name w:val="footer"/>
    <w:basedOn w:val="Normal"/>
    <w:link w:val="FooterChar"/>
    <w:uiPriority w:val="99"/>
    <w:unhideWhenUsed/>
    <w:rsid w:val="00633CF7"/>
    <w:pPr>
      <w:tabs>
        <w:tab w:val="center" w:pos="4419"/>
        <w:tab w:val="right" w:pos="8838"/>
      </w:tabs>
      <w:spacing w:after="0"/>
    </w:pPr>
  </w:style>
  <w:style w:type="character" w:customStyle="1" w:styleId="FooterChar">
    <w:name w:val="Footer Char"/>
    <w:basedOn w:val="DefaultParagraphFont"/>
    <w:link w:val="Footer"/>
    <w:uiPriority w:val="99"/>
    <w:rsid w:val="00633CF7"/>
  </w:style>
  <w:style w:type="paragraph" w:styleId="NoSpacing">
    <w:name w:val="No Spacing"/>
    <w:link w:val="NoSpacingChar"/>
    <w:uiPriority w:val="1"/>
    <w:qFormat/>
    <w:rsid w:val="002A2824"/>
    <w:pPr>
      <w:spacing w:after="0"/>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A2824"/>
    <w:rPr>
      <w:rFonts w:asciiTheme="minorHAnsi" w:eastAsiaTheme="minorEastAsia" w:hAnsiTheme="minorHAnsi" w:cstheme="minorBidi"/>
      <w:sz w:val="22"/>
      <w:szCs w:val="22"/>
      <w:lang w:val="en-US" w:eastAsia="en-US"/>
    </w:rPr>
  </w:style>
  <w:style w:type="paragraph" w:customStyle="1" w:styleId="Default">
    <w:name w:val="Default"/>
    <w:rsid w:val="00E668CE"/>
    <w:pPr>
      <w:autoSpaceDE w:val="0"/>
      <w:autoSpaceDN w:val="0"/>
      <w:adjustRightInd w:val="0"/>
      <w:spacing w:after="0"/>
      <w:jc w:val="left"/>
    </w:pPr>
    <w:rPr>
      <w:rFonts w:eastAsiaTheme="minorHAnsi"/>
      <w:color w:val="000000"/>
      <w:lang w:eastAsia="en-US"/>
    </w:rPr>
  </w:style>
  <w:style w:type="paragraph" w:customStyle="1" w:styleId="BVIfnrCharCar">
    <w:name w:val="BVI fnr Char Car"/>
    <w:aliases w:val=" BVI fnr Car Car Char Car,BVI fnr Car Char Car, BVI fnr Car Car Car Car Char Car, BVI fnr Car Car Car Car Char Char Car,BVI fnr Car Car Char Car,BVI fnr Car Car Car Car Char Car,ref. de nota al pie, BVI fnr Char Car"/>
    <w:basedOn w:val="Normal"/>
    <w:link w:val="FootnoteReference"/>
    <w:uiPriority w:val="99"/>
    <w:rsid w:val="00E668CE"/>
    <w:pPr>
      <w:spacing w:line="240" w:lineRule="exact"/>
      <w:jc w:val="left"/>
    </w:pPr>
    <w:rPr>
      <w:vertAlign w:val="superscript"/>
    </w:rPr>
  </w:style>
  <w:style w:type="paragraph" w:styleId="BalloonText">
    <w:name w:val="Balloon Text"/>
    <w:basedOn w:val="Normal"/>
    <w:link w:val="BalloonTextChar"/>
    <w:uiPriority w:val="99"/>
    <w:semiHidden/>
    <w:unhideWhenUsed/>
    <w:rsid w:val="00002501"/>
    <w:pPr>
      <w:spacing w:after="0"/>
    </w:pPr>
    <w:rPr>
      <w:sz w:val="18"/>
      <w:szCs w:val="18"/>
    </w:rPr>
  </w:style>
  <w:style w:type="character" w:customStyle="1" w:styleId="BalloonTextChar">
    <w:name w:val="Balloon Text Char"/>
    <w:basedOn w:val="DefaultParagraphFont"/>
    <w:link w:val="BalloonText"/>
    <w:uiPriority w:val="99"/>
    <w:semiHidden/>
    <w:rsid w:val="00002501"/>
    <w:rPr>
      <w:sz w:val="18"/>
      <w:szCs w:val="18"/>
    </w:rPr>
  </w:style>
  <w:style w:type="paragraph" w:styleId="Revision">
    <w:name w:val="Revision"/>
    <w:hidden/>
    <w:uiPriority w:val="99"/>
    <w:semiHidden/>
    <w:rsid w:val="004D1E5A"/>
    <w:pPr>
      <w:spacing w:after="0"/>
      <w:jc w:val="left"/>
    </w:pPr>
  </w:style>
  <w:style w:type="character" w:customStyle="1" w:styleId="TitleChar">
    <w:name w:val="Title Char"/>
    <w:basedOn w:val="DefaultParagraphFont"/>
    <w:link w:val="Title"/>
    <w:uiPriority w:val="10"/>
    <w:rsid w:val="00B10A4F"/>
    <w:rPr>
      <w:b/>
      <w:sz w:val="40"/>
      <w:szCs w:val="72"/>
    </w:rPr>
  </w:style>
  <w:style w:type="character" w:customStyle="1" w:styleId="SubtitleChar">
    <w:name w:val="Subtitle Char"/>
    <w:basedOn w:val="DefaultParagraphFont"/>
    <w:link w:val="Subtitle"/>
    <w:uiPriority w:val="11"/>
    <w:rsid w:val="00B10A4F"/>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26" Type="http://schemas.openxmlformats.org/officeDocument/2006/relationships/customXml" Target="../customXml/item6.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uatemalasinhambre@gmail.com" TargetMode="External"/><Relationship Id="rId24" Type="http://schemas.openxmlformats.org/officeDocument/2006/relationships/customXml" Target="../customXml/item4.xml"/><Relationship Id="rId5" Type="http://schemas.openxmlformats.org/officeDocument/2006/relationships/styles" Target="styles.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hyperlink" Target="mailto:guatemalasinhambre@gmail.com"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portal.ric.gob.gt/zonas_en_proceso_catastral" TargetMode="External"/><Relationship Id="rId3" Type="http://schemas.openxmlformats.org/officeDocument/2006/relationships/hyperlink" Target="https://www.congreso.gob.gt/detalle_pdf/iniciativas/5685" TargetMode="External"/><Relationship Id="rId7" Type="http://schemas.openxmlformats.org/officeDocument/2006/relationships/hyperlink" Target="https://portal.ric.gob.gt/zonas_declaradas_catastradas" TargetMode="External"/><Relationship Id="rId12" Type="http://schemas.openxmlformats.org/officeDocument/2006/relationships/hyperlink" Target="https://www.prensacomunitaria.org/2021/11/horror-y-fuego-en-chinebal-el-desalojo-que-favorecio-a-los-palmeros-en-el-estor/" TargetMode="External"/><Relationship Id="rId2" Type="http://schemas.openxmlformats.org/officeDocument/2006/relationships/hyperlink" Target="https://www.congreso.gob.gt/detalle_pdf/iniciativas/3824" TargetMode="External"/><Relationship Id="rId1" Type="http://schemas.openxmlformats.org/officeDocument/2006/relationships/hyperlink" Target="https://www.congreso.gob.gt/detalle_pdf/iniciativas/2231" TargetMode="External"/><Relationship Id="rId6" Type="http://schemas.openxmlformats.org/officeDocument/2006/relationships/hyperlink" Target="https://www.fontierras.gob.gt/ip/1Estructura_Organica/Marco_Normativo/Ley-del-Fondo-de-Tierras-y-su-Reforma.pdf" TargetMode="External"/><Relationship Id="rId11" Type="http://schemas.openxmlformats.org/officeDocument/2006/relationships/hyperlink" Target="https://www.prensalibre.com/ciudades/izabal/desalojo-en-el-estor-pdh-recomienda-usar-protocolos-internacionales-y-la-pnc-da-postura-de-los-hechos-breaking/" TargetMode="External"/><Relationship Id="rId5" Type="http://schemas.openxmlformats.org/officeDocument/2006/relationships/hyperlink" Target="https://sgp.gob.gt/wp-content/uploads/2020/07/AG-097-2020.pdf" TargetMode="External"/><Relationship Id="rId10" Type="http://schemas.openxmlformats.org/officeDocument/2006/relationships/hyperlink" Target="https://www.prensalibre.com/guatemala/justicia/mp-y-cicig-revelan-caso-de-corrupcion-en-el-registro-de-informacion-catastral/" TargetMode="External"/><Relationship Id="rId4" Type="http://schemas.openxmlformats.org/officeDocument/2006/relationships/hyperlink" Target="https://www.mp.gob.gt/noticia/ministerio-publico-inaugura-fiscalia-contra-el-delito-de-usurpacion/" TargetMode="External"/><Relationship Id="rId9" Type="http://schemas.openxmlformats.org/officeDocument/2006/relationships/hyperlink" Target="https://www.mp.gob.gt/noticia/caso-genesis-mp-coordina-aprehension-de-14-integrantes-de-una-estructura-criminal-dedicada-al-despojo-de-bienes-inmueb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kHqbJhuZn0jKyD4WNiQIe3H/I3Q==">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</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E66D5E8-6099-4378-8BAB-07BF53A9F23D}">
  <ds:schemaRefs>
    <ds:schemaRef ds:uri="http://schemas.openxmlformats.org/officeDocument/2006/bibliography"/>
  </ds:schemaRefs>
</ds:datastoreItem>
</file>

<file path=customXml/itemProps4.xml><?xml version="1.0" encoding="utf-8"?>
<ds:datastoreItem xmlns:ds="http://schemas.openxmlformats.org/officeDocument/2006/customXml" ds:itemID="{E060C3B2-6F6F-4899-ACDE-A4ED0B209417}"/>
</file>

<file path=customXml/itemProps5.xml><?xml version="1.0" encoding="utf-8"?>
<ds:datastoreItem xmlns:ds="http://schemas.openxmlformats.org/officeDocument/2006/customXml" ds:itemID="{FA6D5DC4-480D-407E-B922-CFCD2FF6BAC6}"/>
</file>

<file path=customXml/itemProps6.xml><?xml version="1.0" encoding="utf-8"?>
<ds:datastoreItem xmlns:ds="http://schemas.openxmlformats.org/officeDocument/2006/customXml" ds:itemID="{47FBE6E0-3F32-4D94-8B89-4E8EEC876947}"/>
</file>

<file path=docProps/app.xml><?xml version="1.0" encoding="utf-8"?>
<Properties xmlns="http://schemas.openxmlformats.org/officeDocument/2006/extended-properties" xmlns:vt="http://schemas.openxmlformats.org/officeDocument/2006/docPropsVTypes">
  <Template>Normal.dotm</Template>
  <TotalTime>0</TotalTime>
  <Pages>14</Pages>
  <Words>4852</Words>
  <Characters>27660</Characters>
  <Application>Microsoft Office Word</Application>
  <DocSecurity>0</DocSecurity>
  <Lines>230</Lines>
  <Paragraphs>64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Informe alternativo</vt:lpstr>
      <vt:lpstr>Informe alternativo</vt:lpstr>
    </vt:vector>
  </TitlesOfParts>
  <Company/>
  <LinksUpToDate>false</LinksUpToDate>
  <CharactersWithSpaces>32448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dc:title>
  <dc:subject>Derecho a la alimentación, Desarrollo rural y tierra</dc:subject>
  <dc:creator>Wolfgang Krenmayr</dc:creator>
  <cp:lastModifiedBy>REYNAUD Céline</cp:lastModifiedBy>
  <cp:revision>2</cp:revision>
  <cp:lastPrinted>2022-05-11T14:15:00Z</cp:lastPrinted>
  <dcterms:created xsi:type="dcterms:W3CDTF">2022-08-29T07:21:00Z</dcterms:created>
  <dcterms:modified xsi:type="dcterms:W3CDTF">2022-08-29T07:21:00Z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