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word/styles.xml" ContentType="application/vnd.openxmlformats-officedocument.wordprocessingml.styles+xml"/>
  <Override PartName="/docProps/custom.xml" ContentType="application/vnd.openxmlformats-officedocument.custom-properties+xml"/>
  <Override PartName="/docProps/core.xml" ContentType="application/vnd.openxmlformats-package.core-properties+xml"/>
  <Override PartName="/word/numbering.xml" ContentType="application/vnd.openxmlformats-officedocument.wordprocessingml.numbering+xml"/>
  <Override PartName="/word/fontTable.xml" ContentType="application/vnd.openxmlformats-officedocument.wordprocessingml.fontTable+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ackground w:color="FFFFFF"/>
  <w:body>
    <w:p w:rsidR="00000000" w:rsidRDefault="00B97F96">
      <w:pPr>
        <w:spacing w:before="69" w:line="360" w:lineRule="auto"/>
        <w:ind w:left="2243"/>
        <w:rPr>
          <w:sz w:val="21"/>
        </w:rPr>
      </w:pPr>
      <w:bookmarkStart w:id="0" w:name="_GoBack"/>
      <w:bookmarkEnd w:id="0"/>
      <w:r>
        <w:rPr>
          <w:i/>
          <w:color w:val="0066CC"/>
          <w:sz w:val="20"/>
        </w:rPr>
        <w:t>France disability (</w:t>
      </w:r>
      <w:hyperlink r:id="rId5" w:history="1">
        <w:r>
          <w:rPr>
            <w:rStyle w:val="Hyperlink"/>
            <w:color w:val="00007F"/>
            <w:sz w:val="20"/>
            <w:u w:color="000000"/>
          </w:rPr>
          <w:t>www.francedisability.com</w:t>
        </w:r>
      </w:hyperlink>
      <w:r>
        <w:rPr>
          <w:i/>
          <w:color w:val="0066CC"/>
          <w:sz w:val="20"/>
        </w:rPr>
        <w:t xml:space="preserve">) </w:t>
      </w:r>
      <w:r>
        <w:rPr>
          <w:sz w:val="20"/>
        </w:rPr>
        <w:t>est une initiative de la société civile fondée en 2019 et dédiée à la recherche et au plaidoyer dans le domaine des droits des personnes handicapées ainsi qu'à l'</w:t>
      </w:r>
      <w:r>
        <w:rPr>
          <w:sz w:val="20"/>
        </w:rPr>
        <w:t>information juridique et au soutien des personnes aves des altérations cognitives et l'autisme.</w:t>
      </w:r>
      <w:r>
        <w:rPr>
          <w:noProof/>
          <w:lang w:val="en-GB" w:eastAsia="en-GB"/>
        </w:rPr>
        <w:drawing>
          <wp:anchor distT="0" distB="0" distL="0" distR="0" simplePos="0" relativeHeight="251657728" behindDoc="0" locked="0" layoutInCell="1" allowOverlap="1">
            <wp:simplePos x="0" y="0"/>
            <wp:positionH relativeFrom="page">
              <wp:posOffset>736600</wp:posOffset>
            </wp:positionH>
            <wp:positionV relativeFrom="paragraph">
              <wp:posOffset>-1270</wp:posOffset>
            </wp:positionV>
            <wp:extent cx="542290" cy="480695"/>
            <wp:effectExtent l="0" t="0" r="0" b="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542290" cy="480695"/>
                    </a:xfrm>
                    <a:prstGeom prst="rect">
                      <a:avLst/>
                    </a:prstGeom>
                    <a:solidFill>
                      <a:srgbClr val="FFFFFF"/>
                    </a:solidFill>
                    <a:ln>
                      <a:noFill/>
                    </a:ln>
                  </pic:spPr>
                </pic:pic>
              </a:graphicData>
            </a:graphic>
            <wp14:sizeRelH relativeFrom="page">
              <wp14:pctWidth>0</wp14:pctWidth>
            </wp14:sizeRelH>
            <wp14:sizeRelV relativeFrom="page">
              <wp14:pctHeight>0</wp14:pctHeight>
            </wp14:sizeRelV>
          </wp:anchor>
        </w:drawing>
      </w:r>
    </w:p>
    <w:p w:rsidR="00000000" w:rsidRDefault="00B97F96">
      <w:pPr>
        <w:pStyle w:val="BodyText"/>
        <w:spacing w:before="4"/>
        <w:rPr>
          <w:sz w:val="21"/>
        </w:rPr>
      </w:pPr>
    </w:p>
    <w:p w:rsidR="00000000" w:rsidRDefault="00B97F96">
      <w:pPr>
        <w:pStyle w:val="BodyText"/>
        <w:spacing w:before="10"/>
        <w:rPr>
          <w:sz w:val="28"/>
        </w:rPr>
      </w:pPr>
    </w:p>
    <w:p w:rsidR="00000000" w:rsidRDefault="00B97F96">
      <w:pPr>
        <w:pStyle w:val="Heading1"/>
        <w:spacing w:before="91"/>
        <w:ind w:left="607" w:right="657" w:firstLine="0"/>
        <w:jc w:val="center"/>
      </w:pPr>
      <w:r>
        <w:t>Contribution sur les points de la liste des questions relatives au rapport initial de la France.</w:t>
      </w:r>
    </w:p>
    <w:p w:rsidR="00000000" w:rsidRDefault="00B97F96">
      <w:pPr>
        <w:spacing w:before="125" w:line="360" w:lineRule="auto"/>
        <w:ind w:left="1297" w:right="1296"/>
        <w:jc w:val="center"/>
        <w:rPr>
          <w:b/>
          <w:sz w:val="33"/>
        </w:rPr>
      </w:pPr>
      <w:r>
        <w:rPr>
          <w:b/>
        </w:rPr>
        <w:t>Convention des Nations Unies relative aux Droits des Personn</w:t>
      </w:r>
      <w:r>
        <w:rPr>
          <w:b/>
        </w:rPr>
        <w:t>es Handicapées session 25 du Comité de l'ONU (16 août 2021 - 10 septembre 2021)</w:t>
      </w:r>
    </w:p>
    <w:p w:rsidR="00000000" w:rsidRDefault="00B97F96">
      <w:pPr>
        <w:pStyle w:val="BodyText"/>
        <w:rPr>
          <w:b/>
          <w:sz w:val="33"/>
        </w:rPr>
      </w:pPr>
    </w:p>
    <w:p w:rsidR="00000000" w:rsidRDefault="00B97F96">
      <w:pPr>
        <w:spacing w:line="355" w:lineRule="auto"/>
        <w:ind w:left="826" w:right="967"/>
        <w:rPr>
          <w:b/>
        </w:rPr>
      </w:pPr>
      <w:r>
        <w:rPr>
          <w:b/>
        </w:rPr>
        <w:t>Reconnaissance de la personnalité juridique dans des conditions d’égalité (art 12) L'accès à la justice (art 13)</w:t>
      </w:r>
    </w:p>
    <w:p w:rsidR="00000000" w:rsidRDefault="00B97F96">
      <w:pPr>
        <w:spacing w:before="4"/>
        <w:ind w:left="826"/>
        <w:rPr>
          <w:b/>
        </w:rPr>
      </w:pPr>
      <w:r>
        <w:rPr>
          <w:b/>
        </w:rPr>
        <w:t>Liberté et sécurité de la personne (art 14)</w:t>
      </w:r>
    </w:p>
    <w:p w:rsidR="00000000" w:rsidRDefault="00B97F96">
      <w:pPr>
        <w:spacing w:before="125" w:line="360" w:lineRule="auto"/>
        <w:ind w:left="826"/>
        <w:rPr>
          <w:b/>
        </w:rPr>
      </w:pPr>
      <w:r>
        <w:rPr>
          <w:b/>
        </w:rPr>
        <w:t>Droit de ne pas êt</w:t>
      </w:r>
      <w:r>
        <w:rPr>
          <w:b/>
        </w:rPr>
        <w:t>re soumis à la torture ni à des peines ou traitements cruels, inhumains ou dégradants (art 15)</w:t>
      </w:r>
    </w:p>
    <w:p w:rsidR="00000000" w:rsidRDefault="00B97F96">
      <w:pPr>
        <w:spacing w:line="360" w:lineRule="auto"/>
        <w:ind w:left="826" w:right="3439"/>
        <w:rPr>
          <w:b/>
          <w:sz w:val="32"/>
        </w:rPr>
      </w:pPr>
      <w:r>
        <w:rPr>
          <w:b/>
        </w:rPr>
        <w:t>Droit de circuler librement et nationalité (art 18) Autonomie de vie et inclusion dans la société (art 19)</w:t>
      </w:r>
    </w:p>
    <w:p w:rsidR="00000000" w:rsidRDefault="00B97F96">
      <w:pPr>
        <w:pStyle w:val="BodyText"/>
        <w:spacing w:before="10"/>
        <w:rPr>
          <w:b/>
          <w:sz w:val="32"/>
        </w:rPr>
      </w:pPr>
    </w:p>
    <w:p w:rsidR="00000000" w:rsidRDefault="00B97F96">
      <w:pPr>
        <w:pStyle w:val="BodyText"/>
        <w:spacing w:line="360" w:lineRule="auto"/>
        <w:ind w:left="115" w:right="105" w:firstLine="710"/>
      </w:pPr>
    </w:p>
    <w:p w:rsidR="00000000" w:rsidRDefault="00B97F96">
      <w:pPr>
        <w:pStyle w:val="BodyText"/>
        <w:spacing w:line="360" w:lineRule="auto"/>
        <w:ind w:left="115" w:right="105" w:firstLine="710"/>
      </w:pPr>
    </w:p>
    <w:p w:rsidR="00000000" w:rsidRDefault="00B97F96">
      <w:pPr>
        <w:pStyle w:val="BodyText"/>
        <w:spacing w:line="360" w:lineRule="auto"/>
        <w:ind w:left="115" w:right="105" w:firstLine="710"/>
      </w:pPr>
    </w:p>
    <w:p w:rsidR="00000000" w:rsidRDefault="00B97F96">
      <w:pPr>
        <w:pStyle w:val="BodyText"/>
        <w:spacing w:line="360" w:lineRule="auto"/>
        <w:ind w:left="115" w:right="105" w:firstLine="710"/>
      </w:pPr>
    </w:p>
    <w:p w:rsidR="00000000" w:rsidRDefault="00B97F96">
      <w:pPr>
        <w:pStyle w:val="BodyText"/>
        <w:spacing w:line="360" w:lineRule="auto"/>
        <w:ind w:left="115" w:right="105" w:firstLine="710"/>
      </w:pPr>
    </w:p>
    <w:p w:rsidR="00000000" w:rsidRDefault="00B97F96">
      <w:pPr>
        <w:pStyle w:val="BodyText"/>
        <w:spacing w:line="360" w:lineRule="auto"/>
        <w:ind w:left="115" w:right="105" w:firstLine="710"/>
      </w:pPr>
    </w:p>
    <w:p w:rsidR="00000000" w:rsidRDefault="00B97F96">
      <w:pPr>
        <w:pStyle w:val="BodyText"/>
        <w:spacing w:line="360" w:lineRule="auto"/>
        <w:ind w:left="115" w:right="105" w:firstLine="710"/>
      </w:pPr>
    </w:p>
    <w:p w:rsidR="00000000" w:rsidRDefault="00B97F96">
      <w:pPr>
        <w:pStyle w:val="BodyText"/>
        <w:spacing w:line="360" w:lineRule="auto"/>
        <w:ind w:left="115" w:right="105" w:firstLine="710"/>
      </w:pPr>
    </w:p>
    <w:p w:rsidR="00000000" w:rsidRDefault="00B97F96">
      <w:pPr>
        <w:pStyle w:val="BodyText"/>
        <w:spacing w:line="360" w:lineRule="auto"/>
        <w:ind w:left="115" w:right="105" w:firstLine="710"/>
      </w:pPr>
    </w:p>
    <w:p w:rsidR="00000000" w:rsidRDefault="00B97F96">
      <w:pPr>
        <w:pStyle w:val="BodyText"/>
        <w:spacing w:line="360" w:lineRule="auto"/>
        <w:ind w:left="115" w:right="105" w:firstLine="710"/>
      </w:pPr>
    </w:p>
    <w:p w:rsidR="00000000" w:rsidRDefault="00B97F96">
      <w:pPr>
        <w:pStyle w:val="BodyText"/>
        <w:spacing w:line="360" w:lineRule="auto"/>
        <w:ind w:left="115" w:right="105" w:firstLine="710"/>
      </w:pPr>
    </w:p>
    <w:p w:rsidR="00000000" w:rsidRDefault="00B97F96">
      <w:pPr>
        <w:pStyle w:val="BodyText"/>
        <w:spacing w:line="360" w:lineRule="auto"/>
        <w:ind w:left="115" w:right="105" w:firstLine="710"/>
      </w:pPr>
    </w:p>
    <w:p w:rsidR="00000000" w:rsidRDefault="00B97F96">
      <w:pPr>
        <w:pStyle w:val="BodyText"/>
        <w:spacing w:line="360" w:lineRule="auto"/>
        <w:ind w:left="115" w:right="105" w:firstLine="710"/>
      </w:pPr>
    </w:p>
    <w:p w:rsidR="00000000" w:rsidRDefault="00B97F96">
      <w:pPr>
        <w:pStyle w:val="BodyText"/>
        <w:spacing w:line="360" w:lineRule="auto"/>
        <w:ind w:left="115" w:right="105" w:firstLine="710"/>
      </w:pPr>
    </w:p>
    <w:p w:rsidR="00000000" w:rsidRDefault="00B97F96">
      <w:pPr>
        <w:pStyle w:val="BodyText"/>
        <w:spacing w:line="360" w:lineRule="auto"/>
        <w:ind w:left="115" w:right="105" w:firstLine="710"/>
      </w:pPr>
    </w:p>
    <w:p w:rsidR="00000000" w:rsidRDefault="00B97F96">
      <w:pPr>
        <w:pStyle w:val="BodyText"/>
        <w:spacing w:line="360" w:lineRule="auto"/>
        <w:ind w:left="115" w:right="105" w:firstLine="710"/>
      </w:pPr>
    </w:p>
    <w:p w:rsidR="00000000" w:rsidRDefault="00B97F96">
      <w:pPr>
        <w:pStyle w:val="BodyText"/>
        <w:spacing w:line="360" w:lineRule="auto"/>
        <w:ind w:left="115" w:right="105" w:firstLine="710"/>
      </w:pPr>
    </w:p>
    <w:p w:rsidR="00000000" w:rsidRDefault="00B97F96">
      <w:pPr>
        <w:pStyle w:val="BodyText"/>
        <w:spacing w:line="360" w:lineRule="auto"/>
        <w:ind w:left="115" w:right="105" w:firstLine="710"/>
      </w:pPr>
    </w:p>
    <w:p w:rsidR="00000000" w:rsidRDefault="00B97F96">
      <w:pPr>
        <w:pStyle w:val="BodyText"/>
        <w:spacing w:line="360" w:lineRule="auto"/>
        <w:ind w:left="115" w:right="105" w:firstLine="710"/>
        <w:rPr>
          <w:sz w:val="32"/>
        </w:rPr>
      </w:pPr>
      <w:r>
        <w:lastRenderedPageBreak/>
        <w:t>Nous souhaitons porter à l'attentio</w:t>
      </w:r>
      <w:r>
        <w:t>n du Comité nos observations relatives à la liste des points à traiter établie après le rapport initial de la France. Nous tenons à souligner que les personnes avec des altérations cognitives sont parmi celles qui souffrent des plus graves violations de dr</w:t>
      </w:r>
      <w:r>
        <w:t>oits en France. Elles, en reprenant l'expression de H. Arendt en n'ont pas le droit d'avoir des droits : en d'autres termes, elles ne bénéficient pas de l'égalité devant la loi.</w:t>
      </w:r>
    </w:p>
    <w:p w:rsidR="00000000" w:rsidRDefault="00B97F96">
      <w:pPr>
        <w:pStyle w:val="BodyText"/>
        <w:spacing w:before="9"/>
        <w:rPr>
          <w:sz w:val="32"/>
        </w:rPr>
      </w:pPr>
    </w:p>
    <w:p w:rsidR="00000000" w:rsidRDefault="00B97F96">
      <w:pPr>
        <w:pStyle w:val="BodyText"/>
        <w:spacing w:line="360" w:lineRule="auto"/>
        <w:ind w:left="115" w:right="129" w:firstLine="710"/>
        <w:rPr>
          <w:sz w:val="32"/>
        </w:rPr>
      </w:pPr>
      <w:r>
        <w:t>Nous pensons que la reconnaissance égale devant la loi est un élément pivot d</w:t>
      </w:r>
      <w:r>
        <w:t>u modèle des droits humains apporté par la Convention. C'est pourquoi nous plaçons l'article 12 au centre de nos observations,</w:t>
      </w:r>
      <w:r>
        <w:rPr>
          <w:spacing w:val="-34"/>
        </w:rPr>
        <w:t xml:space="preserve"> </w:t>
      </w:r>
      <w:r>
        <w:t>en liant les violations des droits affirmés dans les articles 13, 14, 15, 18 et 19 à la domination du modèle de prise de décision</w:t>
      </w:r>
      <w:r>
        <w:t xml:space="preserve"> substituée en France. L'article 12 § 3 de la CDPH stipule que les Etats parties prennent des mesures appropriées pour permettre aux personnes handicapées d'avoir accès à l'accompagnement dont elles peuvent avoir besoin pour exercer leur capacité juridique</w:t>
      </w:r>
      <w:r>
        <w:t>. Ce soutien N'EST PAS une substitution. Nous pensons que l'égalité substantielle ne peut être garantie que par le soutien - l'aménagement, qui permettrait aux personnes avec des altérations cognitives de devenir les acteurs de leur vie. Le refus d'un amén</w:t>
      </w:r>
      <w:r>
        <w:t>agement nécessaire constitue une discrimination, conformément à l'article 2 de la</w:t>
      </w:r>
      <w:r>
        <w:rPr>
          <w:spacing w:val="-13"/>
        </w:rPr>
        <w:t xml:space="preserve"> </w:t>
      </w:r>
      <w:r>
        <w:t>Convention.</w:t>
      </w:r>
    </w:p>
    <w:p w:rsidR="00000000" w:rsidRDefault="00B97F96">
      <w:pPr>
        <w:pStyle w:val="BodyText"/>
        <w:spacing w:before="7"/>
        <w:rPr>
          <w:sz w:val="32"/>
        </w:rPr>
      </w:pPr>
    </w:p>
    <w:p w:rsidR="00000000" w:rsidRDefault="00B97F96">
      <w:pPr>
        <w:pStyle w:val="BodyText"/>
        <w:spacing w:line="360" w:lineRule="auto"/>
        <w:ind w:left="115" w:right="535" w:firstLine="710"/>
        <w:jc w:val="both"/>
        <w:rPr>
          <w:sz w:val="33"/>
        </w:rPr>
        <w:sectPr w:rsidR="00000000">
          <w:type w:val="continuous"/>
          <w:pgSz w:w="11906" w:h="16838"/>
          <w:pgMar w:top="1134" w:right="1134" w:bottom="1134" w:left="1134" w:header="720" w:footer="720" w:gutter="0"/>
          <w:cols w:space="720"/>
          <w:docGrid w:linePitch="312" w:charSpace="-2049"/>
        </w:sectPr>
      </w:pPr>
      <w:r>
        <w:t>A dessein, nous n'abordons pas la question de la médicalisation forcée (traitement inhumain)</w:t>
      </w:r>
      <w:r>
        <w:rPr>
          <w:spacing w:val="-37"/>
        </w:rPr>
        <w:t xml:space="preserve"> </w:t>
      </w:r>
      <w:r>
        <w:t>des personnes handicapées comme une question distincte, car ce probl</w:t>
      </w:r>
      <w:r>
        <w:t>ème est une conséquence directe de la privation - permanente ou temporaire - de la capacité juridique. Par conséquent, nous soutenons que</w:t>
      </w:r>
      <w:r>
        <w:rPr>
          <w:spacing w:val="-31"/>
        </w:rPr>
        <w:t xml:space="preserve"> </w:t>
      </w:r>
      <w:r>
        <w:t>la question de la médicalisation forcée ne peut être traitée en dehors d'un changement radical de l'approche globale d</w:t>
      </w:r>
      <w:r>
        <w:t>u processus décisionnel.</w:t>
      </w:r>
    </w:p>
    <w:p w:rsidR="00000000" w:rsidRDefault="00B97F96">
      <w:pPr>
        <w:pStyle w:val="BodyText"/>
        <w:rPr>
          <w:sz w:val="33"/>
        </w:rPr>
      </w:pPr>
    </w:p>
    <w:p w:rsidR="00000000" w:rsidRDefault="00B97F96">
      <w:pPr>
        <w:pStyle w:val="BodyText"/>
        <w:spacing w:line="360" w:lineRule="auto"/>
        <w:ind w:left="115" w:right="105" w:firstLine="710"/>
        <w:rPr>
          <w:sz w:val="32"/>
        </w:rPr>
      </w:pPr>
      <w:r>
        <w:t>Nos observations sont basées sur la confrontation des dispositions légales existantes, des décisions judiciaires et des statistiques disponibles concernant la capacité juridique et la ségrégation des personnes handicapées avec des</w:t>
      </w:r>
      <w:r>
        <w:t xml:space="preserve"> obligations découlant de la Convention. Les audiences devant les Juges des Tutelles n'étant pas publiques et peu d'entre elles ayant été publiées à ce jour, nous nous référerons aux décisions publiées et à celles - non publiées - qui sont en notre possess</w:t>
      </w:r>
      <w:r>
        <w:t>ion et dont des copies ont été récemment adressées au Comité avec une plainte individuelle.</w:t>
      </w:r>
    </w:p>
    <w:p w:rsidR="00000000" w:rsidRDefault="00B97F96">
      <w:pPr>
        <w:pStyle w:val="BodyText"/>
        <w:spacing w:before="7"/>
        <w:rPr>
          <w:sz w:val="32"/>
        </w:rPr>
      </w:pPr>
    </w:p>
    <w:p w:rsidR="00000000" w:rsidRDefault="00B97F96">
      <w:pPr>
        <w:pStyle w:val="ListParagraph"/>
        <w:numPr>
          <w:ilvl w:val="0"/>
          <w:numId w:val="12"/>
        </w:numPr>
        <w:tabs>
          <w:tab w:val="left" w:pos="1046"/>
        </w:tabs>
        <w:rPr>
          <w:sz w:val="20"/>
        </w:rPr>
      </w:pPr>
      <w:r>
        <w:rPr>
          <w:u w:val="single"/>
        </w:rPr>
        <w:t>Absence de disposition explicite sur</w:t>
      </w:r>
      <w:r>
        <w:rPr>
          <w:spacing w:val="-3"/>
          <w:u w:val="single"/>
        </w:rPr>
        <w:t xml:space="preserve"> </w:t>
      </w:r>
      <w:r>
        <w:rPr>
          <w:u w:val="single"/>
        </w:rPr>
        <w:t>l'égalité</w:t>
      </w:r>
    </w:p>
    <w:p w:rsidR="00000000" w:rsidRDefault="00B97F96">
      <w:pPr>
        <w:pStyle w:val="BodyText"/>
        <w:rPr>
          <w:sz w:val="20"/>
        </w:rPr>
      </w:pPr>
    </w:p>
    <w:p w:rsidR="00000000" w:rsidRDefault="00B97F96">
      <w:pPr>
        <w:pStyle w:val="BodyText"/>
        <w:rPr>
          <w:sz w:val="16"/>
        </w:rPr>
      </w:pPr>
    </w:p>
    <w:p w:rsidR="00000000" w:rsidRDefault="00B97F96">
      <w:pPr>
        <w:pStyle w:val="BodyText"/>
        <w:spacing w:before="91" w:line="360" w:lineRule="auto"/>
        <w:ind w:left="115" w:firstLine="710"/>
      </w:pPr>
      <w:r>
        <w:t>Aucun texte constitutionnel français ne contient de mention de limitation des droits sur la base du handicap, mais</w:t>
      </w:r>
      <w:r>
        <w:t xml:space="preserve"> aucun d'entre eux n'affirme le droit de ne pas être discriminé sur la base du handicap.</w:t>
      </w:r>
    </w:p>
    <w:p w:rsidR="00000000" w:rsidRDefault="00B97F96">
      <w:pPr>
        <w:spacing w:line="360" w:lineRule="auto"/>
        <w:ind w:left="115"/>
        <w:rPr>
          <w:sz w:val="32"/>
        </w:rPr>
      </w:pPr>
      <w:r>
        <w:t>L'actuelle Constitution française de 1958 ne mentionne le handicap dans aucun contexte. L'article 1 déclare "</w:t>
      </w:r>
      <w:r>
        <w:rPr>
          <w:i/>
        </w:rPr>
        <w:t>l'égalité devant la loi de tous les citoyens sans distinct</w:t>
      </w:r>
      <w:r>
        <w:rPr>
          <w:i/>
        </w:rPr>
        <w:t>ion d'origine, de race ou de religion</w:t>
      </w:r>
      <w:r>
        <w:t>".</w:t>
      </w:r>
    </w:p>
    <w:p w:rsidR="00000000" w:rsidRDefault="00B97F96">
      <w:pPr>
        <w:pStyle w:val="BodyText"/>
        <w:spacing w:before="10"/>
        <w:rPr>
          <w:sz w:val="32"/>
        </w:rPr>
      </w:pPr>
    </w:p>
    <w:p w:rsidR="00000000" w:rsidRDefault="00B97F96">
      <w:pPr>
        <w:sectPr w:rsidR="00000000">
          <w:type w:val="continuous"/>
          <w:pgSz w:w="11906" w:h="16838"/>
          <w:pgMar w:top="1134" w:right="1134" w:bottom="1134" w:left="1134" w:header="720" w:footer="720" w:gutter="0"/>
          <w:cols w:space="720"/>
          <w:docGrid w:linePitch="312" w:charSpace="-2049"/>
        </w:sectPr>
      </w:pPr>
    </w:p>
    <w:p w:rsidR="00000000" w:rsidRDefault="00B97F96">
      <w:pPr>
        <w:pStyle w:val="BodyText"/>
        <w:spacing w:line="360" w:lineRule="auto"/>
        <w:ind w:left="115" w:right="105" w:firstLine="710"/>
        <w:rPr>
          <w:sz w:val="32"/>
        </w:rPr>
      </w:pPr>
      <w:r>
        <w:lastRenderedPageBreak/>
        <w:t>La loi du 11 février 2005 (Loi d'égalité des chances), bien que largement considérée en France comme une mesure progressiste et malgré son titre ambitieux, ne contient aucune référence aux droits civils tels que la</w:t>
      </w:r>
      <w:r>
        <w:t xml:space="preserve"> liberté et l'égalité</w:t>
      </w:r>
      <w:hyperlink w:anchor="_bookmark0" w:history="1">
        <w:r>
          <w:rPr>
            <w:rStyle w:val="Hyperlink"/>
            <w:vertAlign w:val="superscript"/>
          </w:rPr>
          <w:t>1</w:t>
        </w:r>
      </w:hyperlink>
      <w:r>
        <w:t>.</w:t>
      </w:r>
    </w:p>
    <w:p w:rsidR="00000000" w:rsidRDefault="00B97F96">
      <w:pPr>
        <w:pStyle w:val="BodyText"/>
        <w:spacing w:before="10"/>
        <w:rPr>
          <w:sz w:val="32"/>
        </w:rPr>
      </w:pPr>
    </w:p>
    <w:p w:rsidR="00000000" w:rsidRDefault="00B97F96">
      <w:pPr>
        <w:spacing w:line="360" w:lineRule="auto"/>
        <w:ind w:left="115" w:firstLine="710"/>
        <w:rPr>
          <w:sz w:val="32"/>
        </w:rPr>
      </w:pPr>
      <w:r>
        <w:t xml:space="preserve">Par sa déclaration lors de la signature de la CDPH, et dans plusieurs de ses observations, la France a réaffirmé sa forte adhésion à la prise de décision substituée </w:t>
      </w:r>
      <w:hyperlink w:anchor="_bookmark1" w:history="1">
        <w:r>
          <w:rPr>
            <w:rStyle w:val="Hyperlink"/>
            <w:vertAlign w:val="superscript"/>
          </w:rPr>
          <w:t>2</w:t>
        </w:r>
        <w:r>
          <w:rPr>
            <w:rStyle w:val="Hyperlink"/>
          </w:rPr>
          <w:t xml:space="preserve"> </w:t>
        </w:r>
      </w:hyperlink>
      <w:hyperlink w:anchor="_bookmark2" w:history="1">
        <w:r>
          <w:rPr>
            <w:rStyle w:val="Hyperlink"/>
            <w:vertAlign w:val="superscript"/>
          </w:rPr>
          <w:t>3</w:t>
        </w:r>
      </w:hyperlink>
      <w:r>
        <w:t>, rappelant que, selon son point de vue, "</w:t>
      </w:r>
      <w:r>
        <w:rPr>
          <w:i/>
        </w:rPr>
        <w:t xml:space="preserve">la Convention n'a pas vocation à régir spécifiquement le domaine de la protection juridique des personnes incapables </w:t>
      </w:r>
      <w:r>
        <w:t>"</w:t>
      </w:r>
      <w:hyperlink w:anchor="_bookmark3" w:history="1">
        <w:r>
          <w:rPr>
            <w:rStyle w:val="Hyperlink"/>
            <w:vertAlign w:val="superscript"/>
          </w:rPr>
          <w:t>4</w:t>
        </w:r>
      </w:hyperlink>
      <w:r>
        <w:t>. La France a refusé jusqu'à prése</w:t>
      </w:r>
      <w:r>
        <w:t>nt d'adopter une position critique à l'égard de son modèle de tutelle et de ses dispositions légales.</w:t>
      </w:r>
    </w:p>
    <w:p w:rsidR="00000000" w:rsidRDefault="00B97F96">
      <w:pPr>
        <w:pStyle w:val="BodyText"/>
        <w:spacing w:before="8"/>
        <w:rPr>
          <w:sz w:val="32"/>
        </w:rPr>
      </w:pPr>
    </w:p>
    <w:p w:rsidR="00000000" w:rsidRDefault="00B97F96">
      <w:pPr>
        <w:pStyle w:val="Heading1"/>
        <w:spacing w:before="1" w:line="355" w:lineRule="auto"/>
        <w:rPr>
          <w:sz w:val="33"/>
        </w:rPr>
      </w:pPr>
      <w:r>
        <w:t>L'absence d'affirmation de l'égalité des personnes handicapées dans la Constitution française conduit à l'absence d'une base solide pour un cadre juridiq</w:t>
      </w:r>
      <w:r>
        <w:t>ue conforme à la Convention.</w:t>
      </w:r>
    </w:p>
    <w:p w:rsidR="00000000" w:rsidRDefault="00B97F96">
      <w:pPr>
        <w:pStyle w:val="BodyText"/>
        <w:spacing w:before="2"/>
        <w:rPr>
          <w:b/>
          <w:sz w:val="33"/>
        </w:rPr>
      </w:pPr>
    </w:p>
    <w:p w:rsidR="00000000" w:rsidRDefault="00B97F96">
      <w:pPr>
        <w:pStyle w:val="ListParagraph"/>
        <w:numPr>
          <w:ilvl w:val="0"/>
          <w:numId w:val="12"/>
        </w:numPr>
        <w:tabs>
          <w:tab w:val="left" w:pos="1046"/>
        </w:tabs>
        <w:spacing w:line="360" w:lineRule="auto"/>
        <w:ind w:left="1534" w:right="1832" w:hanging="708"/>
        <w:rPr>
          <w:sz w:val="25"/>
        </w:rPr>
      </w:pPr>
      <w:r>
        <w:rPr>
          <w:u w:val="single"/>
        </w:rPr>
        <w:t>Le cadre tutélaire français et le non-accès à la justice des personnes</w:t>
      </w:r>
      <w:r>
        <w:rPr>
          <w:spacing w:val="-26"/>
          <w:u w:val="single"/>
        </w:rPr>
        <w:t xml:space="preserve"> </w:t>
      </w:r>
      <w:r>
        <w:rPr>
          <w:u w:val="single"/>
        </w:rPr>
        <w:t>'</w:t>
      </w:r>
      <w:r>
        <w:rPr>
          <w:i/>
          <w:u w:val="single"/>
        </w:rPr>
        <w:t>protégées</w:t>
      </w:r>
      <w:r>
        <w:rPr>
          <w:u w:val="single"/>
        </w:rPr>
        <w:t>': 2.1. Les critères et le processus de privation de la capacité</w:t>
      </w:r>
      <w:r>
        <w:rPr>
          <w:spacing w:val="-21"/>
          <w:u w:val="single"/>
        </w:rPr>
        <w:t xml:space="preserve"> </w:t>
      </w:r>
      <w:r>
        <w:rPr>
          <w:u w:val="single"/>
        </w:rPr>
        <w:t>juridique:</w:t>
      </w:r>
    </w:p>
    <w:p w:rsidR="00000000" w:rsidRDefault="00B97F96">
      <w:pPr>
        <w:pStyle w:val="BodyText"/>
        <w:spacing w:before="1"/>
        <w:rPr>
          <w:sz w:val="25"/>
        </w:rPr>
      </w:pPr>
    </w:p>
    <w:p w:rsidR="00000000" w:rsidRDefault="00B97F96">
      <w:pPr>
        <w:pStyle w:val="BodyText"/>
        <w:spacing w:before="91" w:line="355" w:lineRule="auto"/>
        <w:ind w:left="115" w:firstLine="710"/>
      </w:pPr>
      <w:r>
        <w:t>Le code civil français (ci-après CC) compte actuellement 102 article</w:t>
      </w:r>
      <w:r>
        <w:t>s concernant la restriction des droits civils et la tutelle, ainsi qu'un grand nombre de dispositions spéciales supplémentaires dans d'autres codes du droit public. Une codification substantielle des dispositions relatives à la tutelle a été accomplie en 1</w:t>
      </w:r>
      <w:r>
        <w:t>968</w:t>
      </w:r>
      <w:hyperlink w:anchor="_bookmark4" w:history="1">
        <w:r>
          <w:rPr>
            <w:rStyle w:val="Hyperlink"/>
            <w:vertAlign w:val="superscript"/>
          </w:rPr>
          <w:t>5</w:t>
        </w:r>
        <w:r>
          <w:rPr>
            <w:rStyle w:val="Hyperlink"/>
          </w:rPr>
          <w:t xml:space="preserve"> </w:t>
        </w:r>
      </w:hyperlink>
      <w:r>
        <w:t>et modifiée - mais pas en substance comme l'affirme l'État - par des réformes successives en 2007</w:t>
      </w:r>
      <w:hyperlink w:anchor="_bookmark5" w:history="1">
        <w:r>
          <w:rPr>
            <w:rStyle w:val="Hyperlink"/>
            <w:vertAlign w:val="superscript"/>
          </w:rPr>
          <w:t>6</w:t>
        </w:r>
      </w:hyperlink>
      <w:r>
        <w:t>, 2016</w:t>
      </w:r>
      <w:hyperlink w:anchor="_bookmark6" w:history="1">
        <w:r>
          <w:rPr>
            <w:rStyle w:val="Hyperlink"/>
            <w:vertAlign w:val="superscript"/>
          </w:rPr>
          <w:t>7</w:t>
        </w:r>
        <w:r>
          <w:rPr>
            <w:rStyle w:val="Hyperlink"/>
          </w:rPr>
          <w:t xml:space="preserve"> </w:t>
        </w:r>
      </w:hyperlink>
      <w:r>
        <w:t>et 2019</w:t>
      </w:r>
      <w:hyperlink w:anchor="_bookmark7" w:history="1">
        <w:r>
          <w:rPr>
            <w:rStyle w:val="Hyperlink"/>
            <w:vertAlign w:val="superscript"/>
          </w:rPr>
          <w:t>8</w:t>
        </w:r>
      </w:hyperlink>
      <w:r>
        <w:t>. Il en résul</w:t>
      </w:r>
      <w:r>
        <w:t>te un cadre juridique très disparate, redondant et souvent contradictoire - un terrain idéal pour l'arbitraire des magistrats qui, pour la plupart, ne sont pas formés à la CDPH (contrairement à ce qu'affirme l'État)</w:t>
      </w:r>
      <w:hyperlink w:anchor="_bookmark8" w:history="1">
        <w:r>
          <w:rPr>
            <w:rStyle w:val="Hyperlink"/>
            <w:vertAlign w:val="superscript"/>
          </w:rPr>
          <w:t>9</w:t>
        </w:r>
        <w:r>
          <w:rPr>
            <w:rStyle w:val="Hyperlink"/>
          </w:rPr>
          <w:t xml:space="preserve"> </w:t>
        </w:r>
      </w:hyperlink>
      <w:r>
        <w:t>et qui l</w:t>
      </w:r>
      <w:r>
        <w:t>'interprètent mal ou l'ignorent tout simplement dans leurs décisions, comme démontré ci-dessous.</w:t>
      </w:r>
    </w:p>
    <w:p w:rsidR="00000000" w:rsidRDefault="00B97F96">
      <w:pPr>
        <w:pStyle w:val="BodyText"/>
        <w:spacing w:before="91" w:line="355" w:lineRule="auto"/>
        <w:ind w:left="115" w:firstLine="710"/>
      </w:pPr>
    </w:p>
    <w:p w:rsidR="00000000" w:rsidRDefault="00B97F96">
      <w:pPr>
        <w:spacing w:before="1" w:line="360" w:lineRule="auto"/>
        <w:ind w:left="115" w:right="105" w:firstLine="710"/>
      </w:pPr>
      <w:r>
        <w:t>L'article 414 du CC fixe un seuil '</w:t>
      </w:r>
      <w:r>
        <w:rPr>
          <w:i/>
        </w:rPr>
        <w:t>d'esprit sain</w:t>
      </w:r>
      <w:r>
        <w:t>' dont l'absence justifie une mesure de '</w:t>
      </w:r>
      <w:r>
        <w:rPr>
          <w:i/>
        </w:rPr>
        <w:t>protection</w:t>
      </w:r>
      <w:r>
        <w:t>'</w:t>
      </w:r>
      <w:hyperlink w:anchor="_bookmark9" w:history="1">
        <w:r>
          <w:rPr>
            <w:rStyle w:val="Hyperlink"/>
            <w:vertAlign w:val="superscript"/>
          </w:rPr>
          <w:t>10</w:t>
        </w:r>
      </w:hyperlink>
      <w:r>
        <w:t>. L'article 425 définit e</w:t>
      </w:r>
      <w:r>
        <w:t xml:space="preserve">n outre les critères requis pour le placement sous tutelle : l'existence d'une </w:t>
      </w:r>
      <w:r>
        <w:rPr>
          <w:i/>
        </w:rPr>
        <w:t>'altération des facultés mentales ou corporelles de nature à empêcher l'expression de la volonté de la personne'</w:t>
      </w:r>
      <w:r>
        <w:t>. Les déficiences doivent être '</w:t>
      </w:r>
      <w:r>
        <w:rPr>
          <w:i/>
        </w:rPr>
        <w:t>médicalement constatées</w:t>
      </w:r>
      <w:r>
        <w:t>'. Toutefo</w:t>
      </w:r>
      <w:r>
        <w:t>is, l'article 459, modifié par la réforme de 2007, a établi le critère supplémentaire - celle de prendre une '</w:t>
      </w:r>
      <w:r>
        <w:rPr>
          <w:i/>
        </w:rPr>
        <w:t>décision personnelle éclairée</w:t>
      </w:r>
      <w:r>
        <w:t>'</w:t>
      </w:r>
      <w:hyperlink w:anchor="_bookmark10" w:history="1">
        <w:r>
          <w:rPr>
            <w:rStyle w:val="Hyperlink"/>
            <w:vertAlign w:val="superscript"/>
          </w:rPr>
          <w:t>11</w:t>
        </w:r>
      </w:hyperlink>
      <w:r>
        <w:t>.</w:t>
      </w:r>
    </w:p>
    <w:p w:rsidR="00000000" w:rsidRDefault="00B97F96">
      <w:pPr>
        <w:pStyle w:val="BodyText"/>
        <w:spacing w:before="91" w:line="355" w:lineRule="auto"/>
        <w:ind w:left="115" w:firstLine="710"/>
      </w:pPr>
    </w:p>
    <w:p w:rsidR="00000000" w:rsidRDefault="00B97F96">
      <w:pPr>
        <w:pStyle w:val="BodyText"/>
        <w:spacing w:before="91" w:line="355" w:lineRule="auto"/>
        <w:ind w:left="115" w:firstLine="710"/>
      </w:pPr>
    </w:p>
    <w:p w:rsidR="00000000" w:rsidRDefault="00B97F96">
      <w:pPr>
        <w:spacing w:before="17"/>
        <w:ind w:left="115"/>
        <w:rPr>
          <w:sz w:val="18"/>
          <w:szCs w:val="18"/>
        </w:rPr>
      </w:pPr>
      <w:r>
        <w:rPr>
          <w:sz w:val="18"/>
          <w:szCs w:val="18"/>
        </w:rPr>
        <w:t>1 A/HRC/40/54/Add.1 para18</w:t>
      </w:r>
    </w:p>
    <w:p w:rsidR="00000000" w:rsidRDefault="00B97F96">
      <w:pPr>
        <w:pStyle w:val="ListParagraph"/>
        <w:numPr>
          <w:ilvl w:val="0"/>
          <w:numId w:val="11"/>
        </w:numPr>
        <w:tabs>
          <w:tab w:val="left" w:pos="266"/>
        </w:tabs>
        <w:spacing w:before="1"/>
        <w:ind w:hanging="151"/>
        <w:rPr>
          <w:sz w:val="18"/>
          <w:szCs w:val="18"/>
        </w:rPr>
      </w:pPr>
      <w:bookmarkStart w:id="1" w:name="_bookmark11"/>
      <w:bookmarkStart w:id="2" w:name="_bookmark1"/>
      <w:bookmarkEnd w:id="1"/>
      <w:bookmarkEnd w:id="2"/>
      <w:r>
        <w:rPr>
          <w:sz w:val="18"/>
          <w:szCs w:val="18"/>
        </w:rPr>
        <w:t xml:space="preserve">CDPH, </w:t>
      </w:r>
      <w:r>
        <w:rPr>
          <w:i/>
          <w:sz w:val="18"/>
          <w:szCs w:val="18"/>
        </w:rPr>
        <w:t>Declarations et</w:t>
      </w:r>
      <w:r>
        <w:rPr>
          <w:i/>
          <w:spacing w:val="1"/>
          <w:sz w:val="18"/>
          <w:szCs w:val="18"/>
        </w:rPr>
        <w:t xml:space="preserve"> </w:t>
      </w:r>
      <w:r>
        <w:rPr>
          <w:i/>
          <w:sz w:val="18"/>
          <w:szCs w:val="18"/>
        </w:rPr>
        <w:t>Réservations</w:t>
      </w:r>
    </w:p>
    <w:p w:rsidR="00000000" w:rsidRDefault="00B97F96">
      <w:pPr>
        <w:pStyle w:val="ListParagraph"/>
        <w:numPr>
          <w:ilvl w:val="0"/>
          <w:numId w:val="11"/>
        </w:numPr>
        <w:tabs>
          <w:tab w:val="left" w:pos="286"/>
        </w:tabs>
        <w:spacing w:before="1"/>
        <w:ind w:left="286" w:hanging="171"/>
        <w:rPr>
          <w:i/>
          <w:sz w:val="18"/>
          <w:szCs w:val="18"/>
        </w:rPr>
      </w:pPr>
      <w:bookmarkStart w:id="3" w:name="_bookmark21"/>
      <w:bookmarkStart w:id="4" w:name="_bookmark2"/>
      <w:bookmarkEnd w:id="3"/>
      <w:bookmarkEnd w:id="4"/>
      <w:r>
        <w:rPr>
          <w:sz w:val="18"/>
          <w:szCs w:val="18"/>
        </w:rPr>
        <w:t xml:space="preserve">CRPD </w:t>
      </w:r>
      <w:r>
        <w:rPr>
          <w:i/>
          <w:sz w:val="18"/>
          <w:szCs w:val="18"/>
        </w:rPr>
        <w:t>Rapport ini</w:t>
      </w:r>
      <w:r>
        <w:rPr>
          <w:i/>
          <w:sz w:val="18"/>
          <w:szCs w:val="18"/>
        </w:rPr>
        <w:t xml:space="preserve">tial du Gouvernement Francais </w:t>
      </w:r>
      <w:r>
        <w:rPr>
          <w:sz w:val="18"/>
          <w:szCs w:val="18"/>
        </w:rPr>
        <w:t>(2016)</w:t>
      </w:r>
      <w:r>
        <w:rPr>
          <w:spacing w:val="-2"/>
          <w:sz w:val="18"/>
          <w:szCs w:val="18"/>
        </w:rPr>
        <w:t xml:space="preserve"> </w:t>
      </w:r>
      <w:r>
        <w:rPr>
          <w:sz w:val="18"/>
          <w:szCs w:val="18"/>
        </w:rPr>
        <w:t>22-25</w:t>
      </w:r>
    </w:p>
    <w:p w:rsidR="00000000" w:rsidRDefault="00B97F96">
      <w:pPr>
        <w:pStyle w:val="ListParagraph"/>
        <w:numPr>
          <w:ilvl w:val="0"/>
          <w:numId w:val="11"/>
        </w:numPr>
        <w:tabs>
          <w:tab w:val="left" w:pos="286"/>
        </w:tabs>
        <w:spacing w:before="1"/>
        <w:ind w:left="286" w:hanging="171"/>
        <w:rPr>
          <w:i/>
          <w:sz w:val="18"/>
          <w:szCs w:val="18"/>
        </w:rPr>
      </w:pPr>
      <w:bookmarkStart w:id="5" w:name="_bookmark31"/>
      <w:bookmarkStart w:id="6" w:name="_bookmark3"/>
      <w:bookmarkEnd w:id="5"/>
      <w:bookmarkEnd w:id="6"/>
      <w:r>
        <w:rPr>
          <w:i/>
          <w:sz w:val="18"/>
          <w:szCs w:val="18"/>
        </w:rPr>
        <w:t xml:space="preserve">French State's submission for the draft of the CRPD's General Comment </w:t>
      </w:r>
      <w:r>
        <w:rPr>
          <w:i/>
          <w:spacing w:val="2"/>
          <w:sz w:val="18"/>
          <w:szCs w:val="18"/>
        </w:rPr>
        <w:t>1</w:t>
      </w:r>
      <w:r>
        <w:rPr>
          <w:spacing w:val="2"/>
          <w:sz w:val="18"/>
          <w:szCs w:val="18"/>
        </w:rPr>
        <w:t>,</w:t>
      </w:r>
      <w:r>
        <w:rPr>
          <w:spacing w:val="39"/>
          <w:sz w:val="18"/>
          <w:szCs w:val="18"/>
        </w:rPr>
        <w:t xml:space="preserve"> </w:t>
      </w:r>
      <w:r>
        <w:rPr>
          <w:sz w:val="18"/>
          <w:szCs w:val="18"/>
        </w:rPr>
        <w:t>3</w:t>
      </w:r>
    </w:p>
    <w:p w:rsidR="00000000" w:rsidRDefault="00B97F96">
      <w:pPr>
        <w:pStyle w:val="ListParagraph"/>
        <w:numPr>
          <w:ilvl w:val="0"/>
          <w:numId w:val="11"/>
        </w:numPr>
        <w:tabs>
          <w:tab w:val="left" w:pos="266"/>
        </w:tabs>
        <w:spacing w:before="18"/>
        <w:rPr>
          <w:i/>
          <w:sz w:val="18"/>
          <w:szCs w:val="18"/>
        </w:rPr>
      </w:pPr>
      <w:r>
        <w:rPr>
          <w:i/>
          <w:sz w:val="18"/>
          <w:szCs w:val="18"/>
        </w:rPr>
        <w:t xml:space="preserve">Loi n° 68-5 du 3 janvier 1968 </w:t>
      </w:r>
      <w:r>
        <w:rPr>
          <w:sz w:val="18"/>
          <w:szCs w:val="18"/>
        </w:rPr>
        <w:t>portant réforme du droit des incapables</w:t>
      </w:r>
      <w:r>
        <w:rPr>
          <w:spacing w:val="-5"/>
          <w:sz w:val="18"/>
          <w:szCs w:val="18"/>
        </w:rPr>
        <w:t xml:space="preserve"> </w:t>
      </w:r>
      <w:r>
        <w:rPr>
          <w:sz w:val="18"/>
          <w:szCs w:val="18"/>
        </w:rPr>
        <w:t>majeurs</w:t>
      </w:r>
    </w:p>
    <w:p w:rsidR="00000000" w:rsidRDefault="00B97F96">
      <w:pPr>
        <w:pStyle w:val="ListParagraph"/>
        <w:numPr>
          <w:ilvl w:val="0"/>
          <w:numId w:val="11"/>
        </w:numPr>
        <w:tabs>
          <w:tab w:val="left" w:pos="266"/>
        </w:tabs>
        <w:spacing w:before="2"/>
        <w:rPr>
          <w:i/>
          <w:sz w:val="18"/>
          <w:szCs w:val="18"/>
        </w:rPr>
      </w:pPr>
      <w:bookmarkStart w:id="7" w:name="_bookmark512"/>
      <w:bookmarkStart w:id="8" w:name="_bookmark56"/>
      <w:bookmarkEnd w:id="7"/>
      <w:bookmarkEnd w:id="8"/>
      <w:r>
        <w:rPr>
          <w:i/>
          <w:sz w:val="18"/>
          <w:szCs w:val="18"/>
        </w:rPr>
        <w:t xml:space="preserve">Loi n° 2007-308 du 5 mars 2007 </w:t>
      </w:r>
      <w:r>
        <w:rPr>
          <w:sz w:val="18"/>
          <w:szCs w:val="18"/>
        </w:rPr>
        <w:t>portant réforme de la protect</w:t>
      </w:r>
      <w:r>
        <w:rPr>
          <w:sz w:val="18"/>
          <w:szCs w:val="18"/>
        </w:rPr>
        <w:t>ion juridique des</w:t>
      </w:r>
      <w:r>
        <w:rPr>
          <w:spacing w:val="-3"/>
          <w:sz w:val="18"/>
          <w:szCs w:val="18"/>
        </w:rPr>
        <w:t xml:space="preserve"> </w:t>
      </w:r>
      <w:r>
        <w:rPr>
          <w:sz w:val="18"/>
          <w:szCs w:val="18"/>
        </w:rPr>
        <w:t>majeurs</w:t>
      </w:r>
    </w:p>
    <w:p w:rsidR="00000000" w:rsidRDefault="00B97F96">
      <w:pPr>
        <w:pStyle w:val="ListParagraph"/>
        <w:numPr>
          <w:ilvl w:val="0"/>
          <w:numId w:val="11"/>
        </w:numPr>
        <w:tabs>
          <w:tab w:val="left" w:pos="266"/>
        </w:tabs>
        <w:rPr>
          <w:i/>
          <w:sz w:val="18"/>
          <w:szCs w:val="18"/>
        </w:rPr>
      </w:pPr>
      <w:bookmarkStart w:id="9" w:name="_bookmark611"/>
      <w:bookmarkStart w:id="10" w:name="_bookmark62"/>
      <w:bookmarkEnd w:id="9"/>
      <w:bookmarkEnd w:id="10"/>
      <w:r>
        <w:rPr>
          <w:i/>
          <w:sz w:val="18"/>
          <w:szCs w:val="18"/>
        </w:rPr>
        <w:t xml:space="preserve">Décret n° 2016-1896 du 27 décembre 2016 </w:t>
      </w:r>
      <w:r>
        <w:rPr>
          <w:sz w:val="18"/>
          <w:szCs w:val="18"/>
        </w:rPr>
        <w:t>portant diverses dispositions relatives aux mandataires judiciaires à</w:t>
      </w:r>
      <w:r>
        <w:rPr>
          <w:spacing w:val="-29"/>
          <w:sz w:val="18"/>
          <w:szCs w:val="18"/>
        </w:rPr>
        <w:t xml:space="preserve"> </w:t>
      </w:r>
      <w:r>
        <w:rPr>
          <w:sz w:val="18"/>
          <w:szCs w:val="18"/>
        </w:rPr>
        <w:t>la protection des</w:t>
      </w:r>
      <w:r>
        <w:rPr>
          <w:spacing w:val="-2"/>
          <w:sz w:val="18"/>
          <w:szCs w:val="18"/>
        </w:rPr>
        <w:t xml:space="preserve"> </w:t>
      </w:r>
      <w:r>
        <w:rPr>
          <w:sz w:val="18"/>
          <w:szCs w:val="18"/>
        </w:rPr>
        <w:t>majeurs</w:t>
      </w:r>
    </w:p>
    <w:p w:rsidR="00000000" w:rsidRDefault="00B97F96">
      <w:pPr>
        <w:pStyle w:val="ListParagraph"/>
        <w:numPr>
          <w:ilvl w:val="0"/>
          <w:numId w:val="11"/>
        </w:numPr>
        <w:tabs>
          <w:tab w:val="left" w:pos="266"/>
        </w:tabs>
        <w:rPr>
          <w:sz w:val="18"/>
          <w:szCs w:val="18"/>
        </w:rPr>
      </w:pPr>
      <w:bookmarkStart w:id="11" w:name="_bookmark711"/>
      <w:bookmarkStart w:id="12" w:name="_bookmark72"/>
      <w:bookmarkEnd w:id="11"/>
      <w:bookmarkEnd w:id="12"/>
      <w:r>
        <w:rPr>
          <w:i/>
          <w:sz w:val="18"/>
          <w:szCs w:val="18"/>
        </w:rPr>
        <w:t xml:space="preserve">Loi n°2019-222 du 23 mars 2019 </w:t>
      </w:r>
      <w:r>
        <w:rPr>
          <w:sz w:val="18"/>
          <w:szCs w:val="18"/>
        </w:rPr>
        <w:t>de programmation 2018-2022 et de réforme pour la justice art 11</w:t>
      </w:r>
      <w:bookmarkStart w:id="13" w:name="_bookmark81"/>
      <w:bookmarkEnd w:id="13"/>
      <w:r>
        <w:rPr>
          <w:sz w:val="18"/>
          <w:szCs w:val="18"/>
        </w:rPr>
        <w:t xml:space="preserve"> </w:t>
      </w:r>
    </w:p>
    <w:p w:rsidR="00000000" w:rsidRDefault="00B97F96">
      <w:pPr>
        <w:pStyle w:val="ListParagraph"/>
        <w:numPr>
          <w:ilvl w:val="0"/>
          <w:numId w:val="11"/>
        </w:numPr>
        <w:tabs>
          <w:tab w:val="left" w:pos="266"/>
        </w:tabs>
        <w:rPr>
          <w:sz w:val="18"/>
          <w:szCs w:val="18"/>
        </w:rPr>
      </w:pPr>
      <w:r>
        <w:rPr>
          <w:sz w:val="18"/>
          <w:szCs w:val="18"/>
        </w:rPr>
        <w:t>9A/HRC/40/54/Add.1</w:t>
      </w:r>
      <w:r>
        <w:rPr>
          <w:spacing w:val="-3"/>
          <w:sz w:val="18"/>
          <w:szCs w:val="18"/>
        </w:rPr>
        <w:t xml:space="preserve"> </w:t>
      </w:r>
      <w:r>
        <w:rPr>
          <w:i/>
          <w:sz w:val="18"/>
          <w:szCs w:val="18"/>
        </w:rPr>
        <w:t>Visit</w:t>
      </w:r>
      <w:r>
        <w:rPr>
          <w:i/>
          <w:spacing w:val="-2"/>
          <w:sz w:val="18"/>
          <w:szCs w:val="18"/>
        </w:rPr>
        <w:t xml:space="preserve"> </w:t>
      </w:r>
      <w:r>
        <w:rPr>
          <w:i/>
          <w:sz w:val="18"/>
          <w:szCs w:val="18"/>
        </w:rPr>
        <w:t>to</w:t>
      </w:r>
      <w:r>
        <w:rPr>
          <w:i/>
          <w:spacing w:val="-3"/>
          <w:sz w:val="18"/>
          <w:szCs w:val="18"/>
        </w:rPr>
        <w:t xml:space="preserve"> </w:t>
      </w:r>
      <w:r>
        <w:rPr>
          <w:i/>
          <w:sz w:val="18"/>
          <w:szCs w:val="18"/>
        </w:rPr>
        <w:t>France:</w:t>
      </w:r>
      <w:r>
        <w:rPr>
          <w:i/>
          <w:spacing w:val="-1"/>
          <w:sz w:val="18"/>
          <w:szCs w:val="18"/>
        </w:rPr>
        <w:t xml:space="preserve"> </w:t>
      </w:r>
      <w:r>
        <w:rPr>
          <w:i/>
          <w:sz w:val="18"/>
          <w:szCs w:val="18"/>
        </w:rPr>
        <w:t>report</w:t>
      </w:r>
      <w:r>
        <w:rPr>
          <w:i/>
          <w:spacing w:val="-2"/>
          <w:sz w:val="18"/>
          <w:szCs w:val="18"/>
        </w:rPr>
        <w:t xml:space="preserve"> </w:t>
      </w:r>
      <w:r>
        <w:rPr>
          <w:i/>
          <w:sz w:val="18"/>
          <w:szCs w:val="18"/>
        </w:rPr>
        <w:t>of</w:t>
      </w:r>
      <w:r>
        <w:rPr>
          <w:i/>
          <w:spacing w:val="-5"/>
          <w:sz w:val="18"/>
          <w:szCs w:val="18"/>
        </w:rPr>
        <w:t xml:space="preserve"> </w:t>
      </w:r>
      <w:r>
        <w:rPr>
          <w:i/>
          <w:sz w:val="18"/>
          <w:szCs w:val="18"/>
        </w:rPr>
        <w:t>UN</w:t>
      </w:r>
      <w:r>
        <w:rPr>
          <w:i/>
          <w:spacing w:val="-4"/>
          <w:sz w:val="18"/>
          <w:szCs w:val="18"/>
        </w:rPr>
        <w:t xml:space="preserve"> </w:t>
      </w:r>
      <w:r>
        <w:rPr>
          <w:i/>
          <w:sz w:val="18"/>
          <w:szCs w:val="18"/>
        </w:rPr>
        <w:t>Special</w:t>
      </w:r>
      <w:r>
        <w:rPr>
          <w:i/>
          <w:spacing w:val="-2"/>
          <w:sz w:val="18"/>
          <w:szCs w:val="18"/>
        </w:rPr>
        <w:t xml:space="preserve"> </w:t>
      </w:r>
      <w:r>
        <w:rPr>
          <w:i/>
          <w:sz w:val="18"/>
          <w:szCs w:val="18"/>
        </w:rPr>
        <w:t>Rapporteur</w:t>
      </w:r>
      <w:r>
        <w:rPr>
          <w:i/>
          <w:spacing w:val="2"/>
          <w:sz w:val="18"/>
          <w:szCs w:val="18"/>
        </w:rPr>
        <w:t xml:space="preserve"> </w:t>
      </w:r>
      <w:r>
        <w:rPr>
          <w:i/>
          <w:sz w:val="18"/>
          <w:szCs w:val="18"/>
        </w:rPr>
        <w:t>on</w:t>
      </w:r>
      <w:r>
        <w:rPr>
          <w:i/>
          <w:spacing w:val="-2"/>
          <w:sz w:val="18"/>
          <w:szCs w:val="18"/>
        </w:rPr>
        <w:t xml:space="preserve"> </w:t>
      </w:r>
      <w:r>
        <w:rPr>
          <w:i/>
          <w:sz w:val="18"/>
          <w:szCs w:val="18"/>
        </w:rPr>
        <w:t>the</w:t>
      </w:r>
      <w:r>
        <w:rPr>
          <w:i/>
          <w:spacing w:val="-1"/>
          <w:sz w:val="18"/>
          <w:szCs w:val="18"/>
        </w:rPr>
        <w:t xml:space="preserve"> </w:t>
      </w:r>
      <w:r>
        <w:rPr>
          <w:i/>
          <w:sz w:val="18"/>
          <w:szCs w:val="18"/>
        </w:rPr>
        <w:t>rights</w:t>
      </w:r>
      <w:r>
        <w:rPr>
          <w:i/>
          <w:spacing w:val="-4"/>
          <w:sz w:val="18"/>
          <w:szCs w:val="18"/>
        </w:rPr>
        <w:t xml:space="preserve"> </w:t>
      </w:r>
      <w:r>
        <w:rPr>
          <w:i/>
          <w:sz w:val="18"/>
          <w:szCs w:val="18"/>
        </w:rPr>
        <w:t>of</w:t>
      </w:r>
      <w:r>
        <w:rPr>
          <w:i/>
          <w:spacing w:val="-2"/>
          <w:sz w:val="18"/>
          <w:szCs w:val="18"/>
        </w:rPr>
        <w:t xml:space="preserve"> </w:t>
      </w:r>
      <w:r>
        <w:rPr>
          <w:i/>
          <w:sz w:val="18"/>
          <w:szCs w:val="18"/>
        </w:rPr>
        <w:t>persons</w:t>
      </w:r>
      <w:r>
        <w:rPr>
          <w:i/>
          <w:spacing w:val="-3"/>
          <w:sz w:val="18"/>
          <w:szCs w:val="18"/>
        </w:rPr>
        <w:t xml:space="preserve"> </w:t>
      </w:r>
      <w:r>
        <w:rPr>
          <w:i/>
          <w:sz w:val="18"/>
          <w:szCs w:val="18"/>
        </w:rPr>
        <w:t>with</w:t>
      </w:r>
      <w:r>
        <w:rPr>
          <w:i/>
          <w:spacing w:val="-3"/>
          <w:sz w:val="18"/>
          <w:szCs w:val="18"/>
        </w:rPr>
        <w:t xml:space="preserve"> </w:t>
      </w:r>
      <w:r>
        <w:rPr>
          <w:i/>
          <w:sz w:val="18"/>
          <w:szCs w:val="18"/>
        </w:rPr>
        <w:t>disabilities,</w:t>
      </w:r>
      <w:r>
        <w:rPr>
          <w:i/>
          <w:spacing w:val="-3"/>
          <w:sz w:val="18"/>
          <w:szCs w:val="18"/>
        </w:rPr>
        <w:t xml:space="preserve"> </w:t>
      </w:r>
      <w:r>
        <w:rPr>
          <w:i/>
          <w:sz w:val="18"/>
          <w:szCs w:val="18"/>
        </w:rPr>
        <w:t>§</w:t>
      </w:r>
      <w:r>
        <w:rPr>
          <w:i/>
          <w:spacing w:val="-1"/>
          <w:sz w:val="18"/>
          <w:szCs w:val="18"/>
        </w:rPr>
        <w:t xml:space="preserve"> </w:t>
      </w:r>
      <w:r>
        <w:rPr>
          <w:sz w:val="18"/>
          <w:szCs w:val="18"/>
        </w:rPr>
        <w:t>69</w:t>
      </w:r>
    </w:p>
    <w:p w:rsidR="00000000" w:rsidRDefault="00B97F96">
      <w:pPr>
        <w:pStyle w:val="ListParagraph"/>
        <w:numPr>
          <w:ilvl w:val="0"/>
          <w:numId w:val="11"/>
        </w:numPr>
        <w:tabs>
          <w:tab w:val="left" w:pos="266"/>
        </w:tabs>
        <w:rPr>
          <w:sz w:val="18"/>
          <w:szCs w:val="18"/>
        </w:rPr>
      </w:pPr>
      <w:r>
        <w:rPr>
          <w:sz w:val="18"/>
          <w:szCs w:val="18"/>
        </w:rPr>
        <w:t>CC art</w:t>
      </w:r>
      <w:r>
        <w:rPr>
          <w:spacing w:val="-17"/>
          <w:sz w:val="18"/>
          <w:szCs w:val="18"/>
        </w:rPr>
        <w:t xml:space="preserve"> </w:t>
      </w:r>
      <w:r>
        <w:rPr>
          <w:sz w:val="18"/>
          <w:szCs w:val="18"/>
        </w:rPr>
        <w:t>414-1</w:t>
      </w:r>
    </w:p>
    <w:p w:rsidR="00000000" w:rsidRDefault="00B97F96">
      <w:pPr>
        <w:pStyle w:val="ListParagraph"/>
        <w:numPr>
          <w:ilvl w:val="0"/>
          <w:numId w:val="11"/>
        </w:numPr>
        <w:tabs>
          <w:tab w:val="left" w:pos="266"/>
        </w:tabs>
        <w:rPr>
          <w:sz w:val="18"/>
          <w:szCs w:val="18"/>
        </w:rPr>
      </w:pPr>
      <w:bookmarkStart w:id="14" w:name="_bookmark10"/>
      <w:bookmarkEnd w:id="14"/>
      <w:r>
        <w:rPr>
          <w:sz w:val="18"/>
          <w:szCs w:val="18"/>
        </w:rPr>
        <w:t>CC art</w:t>
      </w:r>
      <w:r>
        <w:rPr>
          <w:spacing w:val="-3"/>
          <w:sz w:val="18"/>
          <w:szCs w:val="18"/>
        </w:rPr>
        <w:t xml:space="preserve"> </w:t>
      </w:r>
      <w:r>
        <w:rPr>
          <w:sz w:val="18"/>
          <w:szCs w:val="18"/>
        </w:rPr>
        <w:t>459</w:t>
      </w:r>
    </w:p>
    <w:p w:rsidR="00000000" w:rsidRDefault="00B97F96">
      <w:pPr>
        <w:pStyle w:val="ListParagraph"/>
        <w:tabs>
          <w:tab w:val="left" w:pos="266"/>
        </w:tabs>
        <w:ind w:left="115" w:firstLine="0"/>
        <w:rPr>
          <w:sz w:val="18"/>
          <w:szCs w:val="18"/>
        </w:rPr>
      </w:pPr>
    </w:p>
    <w:p w:rsidR="00000000" w:rsidRDefault="00B97F96">
      <w:pPr>
        <w:pStyle w:val="BodyText"/>
        <w:spacing w:before="91" w:line="355" w:lineRule="auto"/>
        <w:ind w:left="115" w:firstLine="710"/>
      </w:pPr>
    </w:p>
    <w:p w:rsidR="00000000" w:rsidRDefault="00B97F96">
      <w:pPr>
        <w:pStyle w:val="BodyText"/>
        <w:spacing w:before="8"/>
        <w:rPr>
          <w:sz w:val="32"/>
        </w:rPr>
      </w:pPr>
    </w:p>
    <w:p w:rsidR="00000000" w:rsidRDefault="00B97F96">
      <w:pPr>
        <w:pStyle w:val="BodyText"/>
        <w:ind w:left="826"/>
        <w:rPr>
          <w:sz w:val="24"/>
        </w:rPr>
      </w:pPr>
      <w:r>
        <w:t>L'évaluation de '</w:t>
      </w:r>
      <w:r>
        <w:rPr>
          <w:i/>
        </w:rPr>
        <w:t>l'insanité d'esprit</w:t>
      </w:r>
      <w:r>
        <w:t>' est discriminatoire en soi et viole la Convention. De plus :</w:t>
      </w:r>
    </w:p>
    <w:p w:rsidR="00000000" w:rsidRDefault="00B97F96">
      <w:pPr>
        <w:pStyle w:val="BodyText"/>
        <w:rPr>
          <w:sz w:val="24"/>
        </w:rPr>
      </w:pPr>
    </w:p>
    <w:p w:rsidR="00000000" w:rsidRDefault="00B97F96">
      <w:pPr>
        <w:pStyle w:val="BodyText"/>
        <w:spacing w:before="11"/>
        <w:rPr>
          <w:sz w:val="19"/>
        </w:rPr>
      </w:pPr>
    </w:p>
    <w:p w:rsidR="00000000" w:rsidRDefault="00B97F96">
      <w:pPr>
        <w:pStyle w:val="ListParagraph"/>
        <w:numPr>
          <w:ilvl w:val="0"/>
          <w:numId w:val="10"/>
        </w:numPr>
        <w:tabs>
          <w:tab w:val="left" w:pos="244"/>
        </w:tabs>
        <w:spacing w:line="355" w:lineRule="auto"/>
        <w:ind w:left="115" w:right="133" w:firstLine="0"/>
      </w:pPr>
      <w:r>
        <w:t>les</w:t>
      </w:r>
      <w:r>
        <w:rPr>
          <w:spacing w:val="-3"/>
        </w:rPr>
        <w:t xml:space="preserve"> </w:t>
      </w:r>
      <w:r>
        <w:t>modal</w:t>
      </w:r>
      <w:r>
        <w:t>ités</w:t>
      </w:r>
      <w:r>
        <w:rPr>
          <w:spacing w:val="-1"/>
        </w:rPr>
        <w:t xml:space="preserve"> </w:t>
      </w:r>
      <w:r>
        <w:t>du</w:t>
      </w:r>
      <w:r>
        <w:rPr>
          <w:spacing w:val="-3"/>
        </w:rPr>
        <w:t xml:space="preserve"> </w:t>
      </w:r>
      <w:r>
        <w:t>test</w:t>
      </w:r>
      <w:r>
        <w:rPr>
          <w:spacing w:val="-3"/>
        </w:rPr>
        <w:t xml:space="preserve"> </w:t>
      </w:r>
      <w:r>
        <w:t>médical</w:t>
      </w:r>
      <w:r>
        <w:rPr>
          <w:spacing w:val="-2"/>
        </w:rPr>
        <w:t xml:space="preserve"> </w:t>
      </w:r>
      <w:r>
        <w:t>ne</w:t>
      </w:r>
      <w:r>
        <w:rPr>
          <w:spacing w:val="-3"/>
        </w:rPr>
        <w:t xml:space="preserve"> </w:t>
      </w:r>
      <w:r>
        <w:t>sont</w:t>
      </w:r>
      <w:r>
        <w:rPr>
          <w:spacing w:val="-3"/>
        </w:rPr>
        <w:t xml:space="preserve"> </w:t>
      </w:r>
      <w:r>
        <w:t>pas</w:t>
      </w:r>
      <w:r>
        <w:rPr>
          <w:spacing w:val="-2"/>
        </w:rPr>
        <w:t xml:space="preserve"> </w:t>
      </w:r>
      <w:r>
        <w:t>détaillées</w:t>
      </w:r>
      <w:r>
        <w:rPr>
          <w:spacing w:val="-3"/>
        </w:rPr>
        <w:t xml:space="preserve"> </w:t>
      </w:r>
      <w:r>
        <w:t>et</w:t>
      </w:r>
      <w:r>
        <w:rPr>
          <w:spacing w:val="-2"/>
        </w:rPr>
        <w:t xml:space="preserve"> </w:t>
      </w:r>
      <w:r>
        <w:t>sont</w:t>
      </w:r>
      <w:r>
        <w:rPr>
          <w:spacing w:val="-2"/>
        </w:rPr>
        <w:t xml:space="preserve"> </w:t>
      </w:r>
      <w:r>
        <w:t>laissées</w:t>
      </w:r>
      <w:r>
        <w:rPr>
          <w:spacing w:val="-3"/>
        </w:rPr>
        <w:t xml:space="preserve"> </w:t>
      </w:r>
      <w:r>
        <w:t>à</w:t>
      </w:r>
      <w:r>
        <w:rPr>
          <w:spacing w:val="-1"/>
        </w:rPr>
        <w:t xml:space="preserve"> </w:t>
      </w:r>
      <w:r>
        <w:t>l'entière</w:t>
      </w:r>
      <w:r>
        <w:rPr>
          <w:spacing w:val="-2"/>
        </w:rPr>
        <w:t xml:space="preserve"> </w:t>
      </w:r>
      <w:r>
        <w:t>discrétion</w:t>
      </w:r>
      <w:r>
        <w:rPr>
          <w:spacing w:val="-3"/>
        </w:rPr>
        <w:t xml:space="preserve"> </w:t>
      </w:r>
      <w:r>
        <w:t>d'expert</w:t>
      </w:r>
      <w:r>
        <w:rPr>
          <w:spacing w:val="-3"/>
        </w:rPr>
        <w:t xml:space="preserve"> </w:t>
      </w:r>
      <w:r>
        <w:t>médical</w:t>
      </w:r>
      <w:r>
        <w:rPr>
          <w:spacing w:val="-3"/>
        </w:rPr>
        <w:t xml:space="preserve"> </w:t>
      </w:r>
      <w:r>
        <w:t>qui n'a aucune obligation de suivre un quelconque cadre</w:t>
      </w:r>
      <w:r>
        <w:rPr>
          <w:spacing w:val="-7"/>
        </w:rPr>
        <w:t xml:space="preserve"> </w:t>
      </w:r>
      <w:r>
        <w:t>;</w:t>
      </w:r>
    </w:p>
    <w:p w:rsidR="00000000" w:rsidRDefault="00B97F96">
      <w:pPr>
        <w:pStyle w:val="ListParagraph"/>
        <w:numPr>
          <w:ilvl w:val="0"/>
          <w:numId w:val="10"/>
        </w:numPr>
        <w:tabs>
          <w:tab w:val="left" w:pos="244"/>
        </w:tabs>
        <w:spacing w:before="4" w:line="355" w:lineRule="auto"/>
        <w:ind w:left="115" w:right="304" w:firstLine="0"/>
      </w:pPr>
      <w:r>
        <w:t>il</w:t>
      </w:r>
      <w:r>
        <w:rPr>
          <w:spacing w:val="-3"/>
        </w:rPr>
        <w:t xml:space="preserve"> </w:t>
      </w:r>
      <w:r>
        <w:t>n'y</w:t>
      </w:r>
      <w:r>
        <w:rPr>
          <w:spacing w:val="-1"/>
        </w:rPr>
        <w:t xml:space="preserve"> </w:t>
      </w:r>
      <w:r>
        <w:t>a</w:t>
      </w:r>
      <w:r>
        <w:rPr>
          <w:spacing w:val="-2"/>
        </w:rPr>
        <w:t xml:space="preserve"> </w:t>
      </w:r>
      <w:r>
        <w:t>qu'un</w:t>
      </w:r>
      <w:r>
        <w:rPr>
          <w:spacing w:val="-4"/>
        </w:rPr>
        <w:t xml:space="preserve"> </w:t>
      </w:r>
      <w:r>
        <w:t>seul</w:t>
      </w:r>
      <w:r>
        <w:rPr>
          <w:spacing w:val="-1"/>
        </w:rPr>
        <w:t xml:space="preserve"> </w:t>
      </w:r>
      <w:r>
        <w:t>expert</w:t>
      </w:r>
      <w:r>
        <w:rPr>
          <w:spacing w:val="-2"/>
        </w:rPr>
        <w:t xml:space="preserve"> </w:t>
      </w:r>
      <w:r>
        <w:t>:</w:t>
      </w:r>
      <w:r>
        <w:rPr>
          <w:spacing w:val="-2"/>
        </w:rPr>
        <w:t xml:space="preserve"> </w:t>
      </w:r>
      <w:r>
        <w:t>alors</w:t>
      </w:r>
      <w:r>
        <w:rPr>
          <w:spacing w:val="-1"/>
        </w:rPr>
        <w:t xml:space="preserve"> </w:t>
      </w:r>
      <w:r>
        <w:t>que</w:t>
      </w:r>
      <w:r>
        <w:rPr>
          <w:spacing w:val="-2"/>
        </w:rPr>
        <w:t xml:space="preserve"> </w:t>
      </w:r>
      <w:r>
        <w:t>pour</w:t>
      </w:r>
      <w:r>
        <w:rPr>
          <w:spacing w:val="-2"/>
        </w:rPr>
        <w:t xml:space="preserve"> </w:t>
      </w:r>
      <w:r>
        <w:t>l'hospitalisation</w:t>
      </w:r>
      <w:r>
        <w:rPr>
          <w:spacing w:val="-1"/>
        </w:rPr>
        <w:t xml:space="preserve"> </w:t>
      </w:r>
      <w:r>
        <w:t>forcée,</w:t>
      </w:r>
      <w:r>
        <w:rPr>
          <w:spacing w:val="-3"/>
        </w:rPr>
        <w:t xml:space="preserve"> </w:t>
      </w:r>
      <w:r>
        <w:t>selon</w:t>
      </w:r>
      <w:r>
        <w:rPr>
          <w:spacing w:val="-3"/>
        </w:rPr>
        <w:t xml:space="preserve"> </w:t>
      </w:r>
      <w:r>
        <w:t>la</w:t>
      </w:r>
      <w:r>
        <w:rPr>
          <w:spacing w:val="-2"/>
        </w:rPr>
        <w:t xml:space="preserve"> </w:t>
      </w:r>
      <w:r>
        <w:t>loi française,</w:t>
      </w:r>
      <w:r>
        <w:rPr>
          <w:spacing w:val="-3"/>
        </w:rPr>
        <w:t xml:space="preserve"> </w:t>
      </w:r>
      <w:r>
        <w:t>il</w:t>
      </w:r>
      <w:r>
        <w:rPr>
          <w:spacing w:val="-2"/>
        </w:rPr>
        <w:t xml:space="preserve"> </w:t>
      </w:r>
      <w:r>
        <w:t>doit</w:t>
      </w:r>
      <w:r>
        <w:rPr>
          <w:spacing w:val="-2"/>
        </w:rPr>
        <w:t xml:space="preserve"> </w:t>
      </w:r>
      <w:r>
        <w:t>y</w:t>
      </w:r>
      <w:r>
        <w:rPr>
          <w:spacing w:val="-3"/>
        </w:rPr>
        <w:t xml:space="preserve"> </w:t>
      </w:r>
      <w:r>
        <w:t>avoir</w:t>
      </w:r>
      <w:r>
        <w:rPr>
          <w:spacing w:val="-3"/>
        </w:rPr>
        <w:t xml:space="preserve"> </w:t>
      </w:r>
      <w:r>
        <w:t>deux avis médicaux, pour la privation de la capacité juridique un seul est jugé suffisant</w:t>
      </w:r>
      <w:r>
        <w:rPr>
          <w:spacing w:val="-16"/>
        </w:rPr>
        <w:t xml:space="preserve"> </w:t>
      </w:r>
      <w:r>
        <w:t>;</w:t>
      </w:r>
    </w:p>
    <w:p w:rsidR="00000000" w:rsidRDefault="00B97F96">
      <w:pPr>
        <w:pStyle w:val="ListParagraph"/>
        <w:numPr>
          <w:ilvl w:val="0"/>
          <w:numId w:val="10"/>
        </w:numPr>
        <w:tabs>
          <w:tab w:val="left" w:pos="244"/>
        </w:tabs>
        <w:spacing w:before="4" w:line="360" w:lineRule="auto"/>
        <w:ind w:left="115" w:right="224" w:firstLine="0"/>
      </w:pPr>
      <w:r>
        <w:t>l'expression de volontés et de préférences ne semble pas suffisante en soi pour être prise en compte si le doute subsiste que ces volontés et préférenc</w:t>
      </w:r>
      <w:r>
        <w:t>es n'ont pas été précédées d'un processus cognitif indépendant et '</w:t>
      </w:r>
      <w:r>
        <w:rPr>
          <w:i/>
        </w:rPr>
        <w:t>informé</w:t>
      </w:r>
      <w:r>
        <w:t xml:space="preserve">'. L'affaire </w:t>
      </w:r>
      <w:r>
        <w:rPr>
          <w:i/>
        </w:rPr>
        <w:t xml:space="preserve">Delecolle c. France </w:t>
      </w:r>
      <w:r>
        <w:t>en est un exemple : le requérant, dont l'expression n'était pas altérée, s'est</w:t>
      </w:r>
      <w:r>
        <w:rPr>
          <w:spacing w:val="-3"/>
        </w:rPr>
        <w:t xml:space="preserve"> </w:t>
      </w:r>
      <w:r>
        <w:t>vu</w:t>
      </w:r>
      <w:r>
        <w:rPr>
          <w:spacing w:val="-3"/>
        </w:rPr>
        <w:t xml:space="preserve"> </w:t>
      </w:r>
      <w:r>
        <w:t>refuser</w:t>
      </w:r>
      <w:r>
        <w:rPr>
          <w:spacing w:val="-2"/>
        </w:rPr>
        <w:t xml:space="preserve"> </w:t>
      </w:r>
      <w:r>
        <w:t>le</w:t>
      </w:r>
      <w:r>
        <w:rPr>
          <w:spacing w:val="-3"/>
        </w:rPr>
        <w:t xml:space="preserve"> </w:t>
      </w:r>
      <w:r>
        <w:t>droit</w:t>
      </w:r>
      <w:r>
        <w:rPr>
          <w:spacing w:val="-3"/>
        </w:rPr>
        <w:t xml:space="preserve"> </w:t>
      </w:r>
      <w:r>
        <w:t>de se</w:t>
      </w:r>
      <w:r>
        <w:rPr>
          <w:spacing w:val="-1"/>
        </w:rPr>
        <w:t xml:space="preserve"> </w:t>
      </w:r>
      <w:r>
        <w:t>marier</w:t>
      </w:r>
      <w:r>
        <w:rPr>
          <w:spacing w:val="-2"/>
        </w:rPr>
        <w:t xml:space="preserve"> </w:t>
      </w:r>
      <w:r>
        <w:t>par</w:t>
      </w:r>
      <w:r>
        <w:rPr>
          <w:spacing w:val="-3"/>
        </w:rPr>
        <w:t xml:space="preserve"> </w:t>
      </w:r>
      <w:r>
        <w:t>les</w:t>
      </w:r>
      <w:r>
        <w:rPr>
          <w:spacing w:val="-2"/>
        </w:rPr>
        <w:t xml:space="preserve"> </w:t>
      </w:r>
      <w:r>
        <w:t>tribunaux</w:t>
      </w:r>
      <w:r>
        <w:rPr>
          <w:spacing w:val="-3"/>
        </w:rPr>
        <w:t xml:space="preserve"> </w:t>
      </w:r>
      <w:r>
        <w:t>français parce</w:t>
      </w:r>
      <w:r>
        <w:rPr>
          <w:spacing w:val="-4"/>
        </w:rPr>
        <w:t xml:space="preserve"> </w:t>
      </w:r>
      <w:r>
        <w:t>qu'i</w:t>
      </w:r>
      <w:r>
        <w:t>l</w:t>
      </w:r>
      <w:r>
        <w:rPr>
          <w:spacing w:val="-2"/>
        </w:rPr>
        <w:t xml:space="preserve"> </w:t>
      </w:r>
      <w:r>
        <w:t>était</w:t>
      </w:r>
      <w:r>
        <w:rPr>
          <w:spacing w:val="-2"/>
        </w:rPr>
        <w:t xml:space="preserve"> </w:t>
      </w:r>
      <w:r>
        <w:t>jugé</w:t>
      </w:r>
      <w:r>
        <w:rPr>
          <w:spacing w:val="-2"/>
        </w:rPr>
        <w:t xml:space="preserve"> </w:t>
      </w:r>
      <w:r>
        <w:rPr>
          <w:spacing w:val="4"/>
        </w:rPr>
        <w:t>'</w:t>
      </w:r>
      <w:r>
        <w:rPr>
          <w:i/>
          <w:spacing w:val="4"/>
        </w:rPr>
        <w:t>ne</w:t>
      </w:r>
      <w:r>
        <w:rPr>
          <w:i/>
          <w:spacing w:val="-3"/>
        </w:rPr>
        <w:t xml:space="preserve"> </w:t>
      </w:r>
      <w:r>
        <w:rPr>
          <w:i/>
        </w:rPr>
        <w:t>pas</w:t>
      </w:r>
      <w:r>
        <w:rPr>
          <w:i/>
          <w:spacing w:val="-2"/>
        </w:rPr>
        <w:t xml:space="preserve"> </w:t>
      </w:r>
      <w:r>
        <w:rPr>
          <w:i/>
        </w:rPr>
        <w:t>être</w:t>
      </w:r>
      <w:r>
        <w:rPr>
          <w:i/>
          <w:spacing w:val="-1"/>
        </w:rPr>
        <w:t xml:space="preserve"> </w:t>
      </w:r>
      <w:r>
        <w:rPr>
          <w:i/>
        </w:rPr>
        <w:t>en</w:t>
      </w:r>
      <w:r>
        <w:rPr>
          <w:i/>
          <w:spacing w:val="-1"/>
        </w:rPr>
        <w:t xml:space="preserve"> </w:t>
      </w:r>
      <w:r>
        <w:rPr>
          <w:i/>
        </w:rPr>
        <w:t>mesure</w:t>
      </w:r>
      <w:r>
        <w:rPr>
          <w:i/>
          <w:spacing w:val="-4"/>
        </w:rPr>
        <w:t xml:space="preserve"> </w:t>
      </w:r>
      <w:r>
        <w:rPr>
          <w:i/>
        </w:rPr>
        <w:t>de contrôler les conséquences' de sa décision</w:t>
      </w:r>
      <w:hyperlink w:anchor="_bookmark11" w:history="1">
        <w:r>
          <w:rPr>
            <w:rStyle w:val="Hyperlink"/>
            <w:vertAlign w:val="superscript"/>
          </w:rPr>
          <w:t>12</w:t>
        </w:r>
      </w:hyperlink>
      <w:r>
        <w:t>. Comme l'a conclu le juge Nussenberger dans son opinion dissidente, "</w:t>
      </w:r>
      <w:r>
        <w:rPr>
          <w:i/>
        </w:rPr>
        <w:t>[le requérant] a été entendu mais pas écouté</w:t>
      </w:r>
      <w:r>
        <w:rPr>
          <w:i/>
          <w:spacing w:val="-7"/>
        </w:rPr>
        <w:t xml:space="preserve"> </w:t>
      </w:r>
      <w:r>
        <w:rPr>
          <w:i/>
        </w:rPr>
        <w:t>“</w:t>
      </w:r>
      <w:hyperlink w:anchor="_bookmark12" w:history="1">
        <w:r>
          <w:rPr>
            <w:rStyle w:val="Hyperlink"/>
            <w:i/>
            <w:vertAlign w:val="superscript"/>
          </w:rPr>
          <w:t>13</w:t>
        </w:r>
      </w:hyperlink>
      <w:r>
        <w:t>;</w:t>
      </w:r>
    </w:p>
    <w:p w:rsidR="00000000" w:rsidRDefault="00B97F96">
      <w:pPr>
        <w:pStyle w:val="ListParagraph"/>
        <w:numPr>
          <w:ilvl w:val="0"/>
          <w:numId w:val="10"/>
        </w:numPr>
        <w:tabs>
          <w:tab w:val="left" w:pos="244"/>
        </w:tabs>
        <w:spacing w:line="355" w:lineRule="auto"/>
        <w:ind w:left="115" w:right="670" w:firstLine="0"/>
        <w:rPr>
          <w:sz w:val="33"/>
        </w:rPr>
      </w:pPr>
      <w:r>
        <w:t>il n'y a aucune mention d'un quelconque aménagement raisonnable visant à soutenir l'expression de</w:t>
      </w:r>
      <w:r>
        <w:rPr>
          <w:spacing w:val="-33"/>
        </w:rPr>
        <w:t xml:space="preserve"> </w:t>
      </w:r>
      <w:r>
        <w:t>la volonté de la</w:t>
      </w:r>
      <w:r>
        <w:rPr>
          <w:spacing w:val="-5"/>
        </w:rPr>
        <w:t xml:space="preserve"> </w:t>
      </w:r>
      <w:r>
        <w:t>personne.</w:t>
      </w:r>
    </w:p>
    <w:p w:rsidR="00000000" w:rsidRDefault="00B97F96">
      <w:pPr>
        <w:pStyle w:val="BodyText"/>
        <w:rPr>
          <w:sz w:val="33"/>
        </w:rPr>
      </w:pPr>
    </w:p>
    <w:p w:rsidR="00000000" w:rsidRDefault="00B97F96">
      <w:pPr>
        <w:spacing w:line="360" w:lineRule="auto"/>
        <w:ind w:left="826"/>
        <w:rPr>
          <w:i/>
        </w:rPr>
      </w:pPr>
      <w:r>
        <w:t>L'article 415 dispose que "</w:t>
      </w:r>
      <w:r>
        <w:rPr>
          <w:i/>
        </w:rPr>
        <w:t>[la] protection est instaurée et assurée dans le respect des libertés individuelles, des dro</w:t>
      </w:r>
      <w:r>
        <w:rPr>
          <w:i/>
        </w:rPr>
        <w:t>its fondamentaux et de la dignité de la personne.</w:t>
      </w:r>
    </w:p>
    <w:p w:rsidR="00000000" w:rsidRDefault="00B97F96">
      <w:pPr>
        <w:spacing w:line="360" w:lineRule="auto"/>
        <w:ind w:left="826"/>
      </w:pPr>
      <w:r>
        <w:rPr>
          <w:i/>
        </w:rPr>
        <w:t xml:space="preserve">Elle est dans l'intérêt de la personne protégée. Elle favorise, dans la mesure du possible, l'autonomie de la personne protégée </w:t>
      </w:r>
      <w:r>
        <w:t>".</w:t>
      </w:r>
    </w:p>
    <w:p w:rsidR="00000000" w:rsidRDefault="00B97F96">
      <w:pPr>
        <w:spacing w:line="360" w:lineRule="auto"/>
        <w:ind w:left="826"/>
      </w:pPr>
    </w:p>
    <w:p w:rsidR="00000000" w:rsidRDefault="00B97F96">
      <w:pPr>
        <w:pStyle w:val="BodyText"/>
        <w:spacing w:before="64" w:line="360" w:lineRule="auto"/>
        <w:ind w:right="145"/>
        <w:rPr>
          <w:sz w:val="32"/>
        </w:rPr>
      </w:pPr>
      <w:r>
        <w:tab/>
      </w:r>
      <w:r>
        <w:t>Parallèlement à l'absence de garanties claires des droits des personnes '</w:t>
      </w:r>
      <w:r>
        <w:rPr>
          <w:i/>
        </w:rPr>
        <w:t>protégées</w:t>
      </w:r>
      <w:r>
        <w:t>', l'expression '</w:t>
      </w:r>
      <w:r>
        <w:rPr>
          <w:i/>
        </w:rPr>
        <w:t>dans la mesure du possible</w:t>
      </w:r>
      <w:r>
        <w:t>' est la porte ouverte à l'arbitraire. Cette expression est largement utilisée dans le rapport du groupe sous la direction de A. Caron-Deglise (2019) mandaté par l'Etat</w:t>
      </w:r>
      <w:hyperlink w:anchor="_bookmark13" w:history="1">
        <w:r>
          <w:rPr>
            <w:rStyle w:val="Hyperlink"/>
            <w:vertAlign w:val="superscript"/>
          </w:rPr>
          <w:t>14</w:t>
        </w:r>
      </w:hyperlink>
      <w:r>
        <w:t xml:space="preserve">, </w:t>
      </w:r>
      <w:r>
        <w:t>dont la mission était d'indiquer la voie de l'amélioration du cadre tutélaire. Le rapport consacre près de 300 pages à la réaffirmation du principe de la décision substituée. La seule proposition - prendre en compte la volonté et les préférences de la pers</w:t>
      </w:r>
      <w:r>
        <w:t>onne - a été abandonnée et même si elle ne l'était pas, une telle disposition serait inefficace étant donné l'approche discriminatoire générale décrite ci-dessus.</w:t>
      </w:r>
    </w:p>
    <w:p w:rsidR="00000000" w:rsidRDefault="00B97F96">
      <w:pPr>
        <w:pStyle w:val="BodyText"/>
        <w:spacing w:before="8"/>
        <w:rPr>
          <w:sz w:val="32"/>
        </w:rPr>
      </w:pPr>
    </w:p>
    <w:p w:rsidR="00000000" w:rsidRDefault="00B97F96">
      <w:pPr>
        <w:pStyle w:val="Heading1"/>
        <w:spacing w:line="355" w:lineRule="auto"/>
      </w:pPr>
      <w:r>
        <w:t>Le cadre juridique de la tutelle en France, fondé sur la conception dépassée de la personnal</w:t>
      </w:r>
      <w:r>
        <w:t>ité juridique divisible (celle qui détient et celle qui agit en droit), ne peut être amélioré en tant que tel.</w:t>
      </w:r>
    </w:p>
    <w:p w:rsidR="00000000" w:rsidRDefault="00B97F96">
      <w:pPr>
        <w:spacing w:before="4" w:line="355" w:lineRule="auto"/>
        <w:ind w:left="115" w:right="105"/>
        <w:rPr>
          <w:b/>
        </w:rPr>
      </w:pPr>
      <w:r>
        <w:rPr>
          <w:b/>
        </w:rPr>
        <w:t>L'évaluation</w:t>
      </w:r>
      <w:r>
        <w:rPr>
          <w:b/>
          <w:spacing w:val="-4"/>
        </w:rPr>
        <w:t xml:space="preserve"> </w:t>
      </w:r>
      <w:r>
        <w:rPr>
          <w:b/>
        </w:rPr>
        <w:t>de</w:t>
      </w:r>
      <w:r>
        <w:rPr>
          <w:b/>
          <w:spacing w:val="-5"/>
        </w:rPr>
        <w:t xml:space="preserve"> </w:t>
      </w:r>
      <w:r>
        <w:rPr>
          <w:b/>
        </w:rPr>
        <w:t>l''</w:t>
      </w:r>
      <w:r>
        <w:rPr>
          <w:b/>
          <w:i/>
        </w:rPr>
        <w:t>insanité</w:t>
      </w:r>
      <w:r>
        <w:rPr>
          <w:b/>
          <w:i/>
          <w:spacing w:val="-3"/>
        </w:rPr>
        <w:t xml:space="preserve"> </w:t>
      </w:r>
      <w:r>
        <w:rPr>
          <w:b/>
          <w:i/>
        </w:rPr>
        <w:t>d'esprit</w:t>
      </w:r>
      <w:r>
        <w:rPr>
          <w:b/>
        </w:rPr>
        <w:t>'</w:t>
      </w:r>
      <w:r>
        <w:rPr>
          <w:b/>
          <w:spacing w:val="-4"/>
        </w:rPr>
        <w:t xml:space="preserve"> </w:t>
      </w:r>
      <w:r>
        <w:rPr>
          <w:b/>
        </w:rPr>
        <w:t>est</w:t>
      </w:r>
      <w:r>
        <w:rPr>
          <w:b/>
          <w:spacing w:val="-5"/>
        </w:rPr>
        <w:t xml:space="preserve"> </w:t>
      </w:r>
      <w:r>
        <w:rPr>
          <w:b/>
        </w:rPr>
        <w:t>totalement</w:t>
      </w:r>
      <w:r>
        <w:rPr>
          <w:b/>
          <w:spacing w:val="-4"/>
        </w:rPr>
        <w:t xml:space="preserve"> </w:t>
      </w:r>
      <w:r>
        <w:rPr>
          <w:b/>
        </w:rPr>
        <w:t>discriminatoire</w:t>
      </w:r>
      <w:r>
        <w:rPr>
          <w:b/>
          <w:spacing w:val="-5"/>
        </w:rPr>
        <w:t xml:space="preserve"> </w:t>
      </w:r>
      <w:r>
        <w:rPr>
          <w:b/>
        </w:rPr>
        <w:t>et</w:t>
      </w:r>
      <w:r>
        <w:rPr>
          <w:b/>
          <w:spacing w:val="-4"/>
        </w:rPr>
        <w:t xml:space="preserve"> </w:t>
      </w:r>
      <w:r>
        <w:rPr>
          <w:b/>
        </w:rPr>
        <w:t>arbitraire.</w:t>
      </w:r>
      <w:r>
        <w:rPr>
          <w:b/>
          <w:spacing w:val="-4"/>
        </w:rPr>
        <w:t xml:space="preserve"> </w:t>
      </w:r>
      <w:r>
        <w:rPr>
          <w:b/>
        </w:rPr>
        <w:t>L'idéal</w:t>
      </w:r>
      <w:r>
        <w:rPr>
          <w:b/>
          <w:spacing w:val="-4"/>
        </w:rPr>
        <w:t xml:space="preserve"> </w:t>
      </w:r>
      <w:r>
        <w:rPr>
          <w:b/>
        </w:rPr>
        <w:t>de</w:t>
      </w:r>
      <w:r>
        <w:rPr>
          <w:b/>
          <w:spacing w:val="-5"/>
        </w:rPr>
        <w:t xml:space="preserve"> </w:t>
      </w:r>
      <w:r>
        <w:rPr>
          <w:b/>
        </w:rPr>
        <w:t>l'autonomie est une abstraction, ignorant l'import</w:t>
      </w:r>
      <w:r>
        <w:rPr>
          <w:b/>
        </w:rPr>
        <w:t>ance de l'interdépendance humaine et des liens</w:t>
      </w:r>
      <w:r>
        <w:rPr>
          <w:b/>
          <w:spacing w:val="-26"/>
        </w:rPr>
        <w:t xml:space="preserve"> </w:t>
      </w:r>
      <w:r>
        <w:rPr>
          <w:b/>
        </w:rPr>
        <w:t>sociaux.</w:t>
      </w:r>
    </w:p>
    <w:p w:rsidR="00000000" w:rsidRDefault="00B97F96">
      <w:pPr>
        <w:spacing w:before="4" w:line="355" w:lineRule="auto"/>
        <w:ind w:left="115"/>
      </w:pPr>
      <w:r>
        <w:rPr>
          <w:b/>
        </w:rPr>
        <w:t>L'absence</w:t>
      </w:r>
      <w:r>
        <w:rPr>
          <w:b/>
          <w:spacing w:val="-2"/>
        </w:rPr>
        <w:t xml:space="preserve"> </w:t>
      </w:r>
      <w:r>
        <w:rPr>
          <w:b/>
        </w:rPr>
        <w:t>de</w:t>
      </w:r>
      <w:r>
        <w:rPr>
          <w:b/>
          <w:spacing w:val="-4"/>
        </w:rPr>
        <w:t xml:space="preserve"> </w:t>
      </w:r>
      <w:r>
        <w:rPr>
          <w:b/>
        </w:rPr>
        <w:t>garanties</w:t>
      </w:r>
      <w:r>
        <w:rPr>
          <w:b/>
          <w:spacing w:val="-3"/>
        </w:rPr>
        <w:t xml:space="preserve"> </w:t>
      </w:r>
      <w:r>
        <w:rPr>
          <w:b/>
        </w:rPr>
        <w:t>solides</w:t>
      </w:r>
      <w:r>
        <w:rPr>
          <w:b/>
          <w:spacing w:val="-1"/>
        </w:rPr>
        <w:t xml:space="preserve"> </w:t>
      </w:r>
      <w:r>
        <w:rPr>
          <w:b/>
        </w:rPr>
        <w:t>en</w:t>
      </w:r>
      <w:r>
        <w:rPr>
          <w:b/>
          <w:spacing w:val="-2"/>
        </w:rPr>
        <w:t xml:space="preserve"> </w:t>
      </w:r>
      <w:r>
        <w:rPr>
          <w:b/>
        </w:rPr>
        <w:t>matière</w:t>
      </w:r>
      <w:r>
        <w:rPr>
          <w:b/>
          <w:spacing w:val="-3"/>
        </w:rPr>
        <w:t xml:space="preserve"> </w:t>
      </w:r>
      <w:r>
        <w:rPr>
          <w:b/>
        </w:rPr>
        <w:t>de</w:t>
      </w:r>
      <w:r>
        <w:rPr>
          <w:b/>
          <w:spacing w:val="-4"/>
        </w:rPr>
        <w:t xml:space="preserve"> </w:t>
      </w:r>
      <w:r>
        <w:rPr>
          <w:b/>
        </w:rPr>
        <w:t>droits</w:t>
      </w:r>
      <w:r>
        <w:rPr>
          <w:b/>
          <w:spacing w:val="-3"/>
        </w:rPr>
        <w:t xml:space="preserve"> </w:t>
      </w:r>
      <w:r>
        <w:rPr>
          <w:b/>
        </w:rPr>
        <w:t>civils</w:t>
      </w:r>
      <w:r>
        <w:rPr>
          <w:b/>
          <w:spacing w:val="-1"/>
        </w:rPr>
        <w:t xml:space="preserve"> </w:t>
      </w:r>
      <w:r>
        <w:rPr>
          <w:b/>
        </w:rPr>
        <w:t>-</w:t>
      </w:r>
      <w:r>
        <w:rPr>
          <w:b/>
          <w:spacing w:val="-3"/>
        </w:rPr>
        <w:t xml:space="preserve"> </w:t>
      </w:r>
      <w:r>
        <w:rPr>
          <w:b/>
        </w:rPr>
        <w:t>en</w:t>
      </w:r>
      <w:r>
        <w:rPr>
          <w:b/>
          <w:spacing w:val="-4"/>
        </w:rPr>
        <w:t xml:space="preserve"> </w:t>
      </w:r>
      <w:r>
        <w:rPr>
          <w:b/>
        </w:rPr>
        <w:t>premier</w:t>
      </w:r>
      <w:r>
        <w:rPr>
          <w:b/>
          <w:spacing w:val="-2"/>
        </w:rPr>
        <w:t xml:space="preserve"> </w:t>
      </w:r>
      <w:r>
        <w:rPr>
          <w:b/>
        </w:rPr>
        <w:t>lieu,</w:t>
      </w:r>
      <w:r>
        <w:rPr>
          <w:b/>
          <w:spacing w:val="-3"/>
        </w:rPr>
        <w:t xml:space="preserve"> </w:t>
      </w:r>
      <w:r>
        <w:rPr>
          <w:b/>
        </w:rPr>
        <w:t>le</w:t>
      </w:r>
      <w:r>
        <w:rPr>
          <w:b/>
          <w:spacing w:val="-2"/>
        </w:rPr>
        <w:t xml:space="preserve"> </w:t>
      </w:r>
      <w:r>
        <w:rPr>
          <w:b/>
        </w:rPr>
        <w:t>droit</w:t>
      </w:r>
      <w:r>
        <w:rPr>
          <w:b/>
          <w:spacing w:val="-3"/>
        </w:rPr>
        <w:t xml:space="preserve"> </w:t>
      </w:r>
      <w:r>
        <w:rPr>
          <w:b/>
        </w:rPr>
        <w:t>à</w:t>
      </w:r>
      <w:r>
        <w:rPr>
          <w:b/>
          <w:spacing w:val="-2"/>
        </w:rPr>
        <w:t xml:space="preserve"> </w:t>
      </w:r>
      <w:r>
        <w:rPr>
          <w:b/>
        </w:rPr>
        <w:t>l'égalité</w:t>
      </w:r>
      <w:r>
        <w:rPr>
          <w:b/>
          <w:spacing w:val="-2"/>
        </w:rPr>
        <w:t xml:space="preserve"> </w:t>
      </w:r>
      <w:r>
        <w:rPr>
          <w:b/>
        </w:rPr>
        <w:t>et</w:t>
      </w:r>
      <w:r>
        <w:rPr>
          <w:b/>
          <w:spacing w:val="-3"/>
        </w:rPr>
        <w:t xml:space="preserve"> </w:t>
      </w:r>
      <w:r>
        <w:rPr>
          <w:b/>
        </w:rPr>
        <w:t>à l'aménagement raisonnable - est le principal obstacle à la réalisation d'une véritable</w:t>
      </w:r>
      <w:r>
        <w:rPr>
          <w:b/>
          <w:spacing w:val="-34"/>
        </w:rPr>
        <w:t xml:space="preserve"> </w:t>
      </w:r>
      <w:r>
        <w:rPr>
          <w:b/>
        </w:rPr>
        <w:t>réforme.</w:t>
      </w:r>
    </w:p>
    <w:p w:rsidR="00000000" w:rsidRDefault="00B97F96">
      <w:pPr>
        <w:spacing w:before="4" w:line="355" w:lineRule="auto"/>
        <w:ind w:left="115"/>
      </w:pPr>
    </w:p>
    <w:p w:rsidR="00000000" w:rsidRDefault="00B97F96">
      <w:pPr>
        <w:spacing w:before="4" w:line="355" w:lineRule="auto"/>
        <w:ind w:left="115"/>
      </w:pPr>
    </w:p>
    <w:p w:rsidR="00000000" w:rsidRDefault="00B97F96">
      <w:pPr>
        <w:spacing w:before="4" w:line="355" w:lineRule="auto"/>
        <w:ind w:left="115"/>
      </w:pPr>
    </w:p>
    <w:p w:rsidR="00000000" w:rsidRDefault="00B97F96">
      <w:pPr>
        <w:pStyle w:val="ListParagraph"/>
        <w:tabs>
          <w:tab w:val="left" w:pos="266"/>
        </w:tabs>
        <w:spacing w:before="18"/>
        <w:ind w:left="266" w:hanging="151"/>
        <w:rPr>
          <w:sz w:val="18"/>
          <w:szCs w:val="18"/>
        </w:rPr>
      </w:pPr>
    </w:p>
    <w:p w:rsidR="00000000" w:rsidRDefault="00B97F96">
      <w:pPr>
        <w:pStyle w:val="ListParagraph"/>
        <w:tabs>
          <w:tab w:val="left" w:pos="266"/>
        </w:tabs>
        <w:ind w:left="0" w:right="249" w:firstLine="0"/>
        <w:rPr>
          <w:sz w:val="18"/>
          <w:szCs w:val="18"/>
        </w:rPr>
      </w:pPr>
    </w:p>
    <w:p w:rsidR="00000000" w:rsidRDefault="00B97F96">
      <w:pPr>
        <w:pStyle w:val="ListParagraph"/>
        <w:numPr>
          <w:ilvl w:val="0"/>
          <w:numId w:val="11"/>
        </w:numPr>
        <w:tabs>
          <w:tab w:val="left" w:pos="266"/>
        </w:tabs>
        <w:ind w:left="115" w:right="249" w:firstLine="0"/>
        <w:rPr>
          <w:sz w:val="18"/>
          <w:szCs w:val="18"/>
        </w:rPr>
      </w:pPr>
      <w:bookmarkStart w:id="15" w:name="_bookmark112"/>
      <w:bookmarkStart w:id="16" w:name="_bookmark111"/>
      <w:bookmarkEnd w:id="15"/>
      <w:bookmarkEnd w:id="16"/>
      <w:r>
        <w:rPr>
          <w:i/>
          <w:sz w:val="18"/>
          <w:szCs w:val="18"/>
        </w:rPr>
        <w:t xml:space="preserve">Delecolle v France </w:t>
      </w:r>
      <w:r>
        <w:rPr>
          <w:sz w:val="18"/>
          <w:szCs w:val="18"/>
        </w:rPr>
        <w:t>(ECtHR) app 37646/13, 25 October 2018; §</w:t>
      </w:r>
      <w:r>
        <w:rPr>
          <w:spacing w:val="-14"/>
          <w:sz w:val="18"/>
          <w:szCs w:val="18"/>
        </w:rPr>
        <w:t xml:space="preserve"> </w:t>
      </w:r>
      <w:r>
        <w:rPr>
          <w:sz w:val="18"/>
          <w:szCs w:val="18"/>
        </w:rPr>
        <w:t>60</w:t>
      </w:r>
    </w:p>
    <w:p w:rsidR="00000000" w:rsidRDefault="00B97F96">
      <w:pPr>
        <w:pStyle w:val="ListParagraph"/>
        <w:numPr>
          <w:ilvl w:val="0"/>
          <w:numId w:val="11"/>
        </w:numPr>
        <w:tabs>
          <w:tab w:val="left" w:pos="266"/>
        </w:tabs>
        <w:ind w:left="115" w:right="249" w:firstLine="0"/>
        <w:rPr>
          <w:i/>
          <w:sz w:val="18"/>
          <w:szCs w:val="18"/>
        </w:rPr>
      </w:pPr>
      <w:bookmarkStart w:id="17" w:name="_bookmark12"/>
      <w:bookmarkEnd w:id="17"/>
      <w:r>
        <w:rPr>
          <w:sz w:val="18"/>
          <w:szCs w:val="18"/>
        </w:rPr>
        <w:t xml:space="preserve">Ibid, </w:t>
      </w:r>
      <w:r>
        <w:rPr>
          <w:i/>
          <w:sz w:val="18"/>
          <w:szCs w:val="18"/>
        </w:rPr>
        <w:t>opinion séparée de juge</w:t>
      </w:r>
      <w:r>
        <w:rPr>
          <w:i/>
          <w:spacing w:val="-19"/>
          <w:sz w:val="18"/>
          <w:szCs w:val="18"/>
        </w:rPr>
        <w:t xml:space="preserve"> </w:t>
      </w:r>
      <w:r>
        <w:rPr>
          <w:i/>
          <w:sz w:val="18"/>
          <w:szCs w:val="18"/>
        </w:rPr>
        <w:t>Nussenberger</w:t>
      </w:r>
    </w:p>
    <w:p w:rsidR="00000000" w:rsidRDefault="00B97F96">
      <w:pPr>
        <w:pStyle w:val="ListParagraph"/>
        <w:numPr>
          <w:ilvl w:val="0"/>
          <w:numId w:val="11"/>
        </w:numPr>
        <w:tabs>
          <w:tab w:val="left" w:pos="266"/>
        </w:tabs>
        <w:ind w:left="115" w:right="249" w:firstLine="0"/>
        <w:rPr>
          <w:b/>
          <w:sz w:val="33"/>
        </w:rPr>
      </w:pPr>
      <w:r>
        <w:rPr>
          <w:i/>
          <w:sz w:val="18"/>
          <w:szCs w:val="18"/>
        </w:rPr>
        <w:t>Anne Caron- Déglise, L’évolution de la protection juridique des personnes: reconnaître, soutenir et protéger</w:t>
      </w:r>
      <w:r>
        <w:rPr>
          <w:i/>
          <w:spacing w:val="-35"/>
          <w:sz w:val="18"/>
          <w:szCs w:val="18"/>
        </w:rPr>
        <w:t xml:space="preserve"> </w:t>
      </w:r>
      <w:r>
        <w:rPr>
          <w:i/>
          <w:sz w:val="18"/>
          <w:szCs w:val="18"/>
        </w:rPr>
        <w:t xml:space="preserve">les personnes les plus vulnérables, </w:t>
      </w:r>
      <w:r>
        <w:rPr>
          <w:i/>
          <w:sz w:val="18"/>
          <w:szCs w:val="18"/>
        </w:rPr>
        <w:t>Rapport de mission interministérielle</w:t>
      </w:r>
      <w:r>
        <w:rPr>
          <w:i/>
          <w:spacing w:val="-3"/>
          <w:sz w:val="18"/>
          <w:szCs w:val="18"/>
        </w:rPr>
        <w:t xml:space="preserve"> </w:t>
      </w:r>
      <w:r>
        <w:rPr>
          <w:i/>
          <w:sz w:val="18"/>
          <w:szCs w:val="18"/>
        </w:rPr>
        <w:t>(2018)</w:t>
      </w:r>
    </w:p>
    <w:p w:rsidR="00000000" w:rsidRDefault="00B97F96">
      <w:pPr>
        <w:pStyle w:val="BodyText"/>
        <w:spacing w:before="3"/>
        <w:rPr>
          <w:b/>
          <w:sz w:val="33"/>
        </w:rPr>
      </w:pPr>
    </w:p>
    <w:p w:rsidR="00000000" w:rsidRDefault="00B97F96">
      <w:pPr>
        <w:pStyle w:val="BodyText"/>
        <w:ind w:left="826"/>
        <w:rPr>
          <w:sz w:val="20"/>
        </w:rPr>
      </w:pPr>
      <w:r>
        <w:rPr>
          <w:u w:val="single"/>
        </w:rPr>
        <w:t>2.2. Le déni d'accès à la justice.</w:t>
      </w:r>
    </w:p>
    <w:p w:rsidR="00000000" w:rsidRDefault="00B97F96">
      <w:pPr>
        <w:pStyle w:val="BodyText"/>
        <w:rPr>
          <w:sz w:val="20"/>
        </w:rPr>
      </w:pPr>
    </w:p>
    <w:p w:rsidR="00000000" w:rsidRDefault="00B97F96">
      <w:pPr>
        <w:pStyle w:val="BodyText"/>
        <w:rPr>
          <w:sz w:val="16"/>
        </w:rPr>
      </w:pPr>
    </w:p>
    <w:p w:rsidR="00000000" w:rsidRDefault="00B97F96">
      <w:pPr>
        <w:pStyle w:val="BodyText"/>
        <w:spacing w:before="91" w:line="360" w:lineRule="auto"/>
        <w:ind w:left="115" w:right="141" w:firstLine="710"/>
      </w:pPr>
      <w:r>
        <w:t>Le même expert médical décide si l'audition de la personne par le tribunal est appropriée ou pas</w:t>
      </w:r>
      <w:hyperlink w:anchor="_bookmark14" w:history="1">
        <w:r>
          <w:rPr>
            <w:rStyle w:val="Hyperlink"/>
            <w:vertAlign w:val="superscript"/>
          </w:rPr>
          <w:t>15</w:t>
        </w:r>
      </w:hyperlink>
      <w:r>
        <w:t xml:space="preserve">. </w:t>
      </w:r>
      <w:r>
        <w:rPr>
          <w:spacing w:val="-10"/>
        </w:rPr>
        <w:t xml:space="preserve">La </w:t>
      </w:r>
      <w:r>
        <w:t>plupart des personnes qui seront placé</w:t>
      </w:r>
      <w:r>
        <w:t>es sous '</w:t>
      </w:r>
      <w:r>
        <w:rPr>
          <w:i/>
        </w:rPr>
        <w:t>protection</w:t>
      </w:r>
      <w:r>
        <w:t>' ne seront jamais présentes, ni représentées devant le juge qui leur enlèvera leur capacité juridique. L'avis médical ne peut pas être contesté. La décision de la Cour est susceptible d'appel mais il existe de sérieux obstacles, notamme</w:t>
      </w:r>
      <w:r>
        <w:t>nt :</w:t>
      </w:r>
    </w:p>
    <w:p w:rsidR="00000000" w:rsidRDefault="00B97F96">
      <w:pPr>
        <w:pStyle w:val="ListParagraph"/>
        <w:numPr>
          <w:ilvl w:val="0"/>
          <w:numId w:val="10"/>
        </w:numPr>
        <w:tabs>
          <w:tab w:val="left" w:pos="244"/>
        </w:tabs>
        <w:spacing w:line="360" w:lineRule="auto"/>
        <w:ind w:left="115" w:right="180" w:firstLine="0"/>
      </w:pPr>
      <w:r>
        <w:t>le juge a toute latitude pour décider de communiquer ou non la décision à la personne '</w:t>
      </w:r>
      <w:r>
        <w:rPr>
          <w:i/>
        </w:rPr>
        <w:t>protégée</w:t>
      </w:r>
      <w:r>
        <w:t>' et à ses proches</w:t>
      </w:r>
      <w:r>
        <w:rPr>
          <w:spacing w:val="-3"/>
        </w:rPr>
        <w:t xml:space="preserve"> </w:t>
      </w:r>
      <w:r>
        <w:t>alors</w:t>
      </w:r>
      <w:r>
        <w:rPr>
          <w:spacing w:val="-2"/>
        </w:rPr>
        <w:t xml:space="preserve"> </w:t>
      </w:r>
      <w:r>
        <w:t>que le</w:t>
      </w:r>
      <w:r>
        <w:rPr>
          <w:spacing w:val="-1"/>
        </w:rPr>
        <w:t xml:space="preserve"> </w:t>
      </w:r>
      <w:r>
        <w:t>délai</w:t>
      </w:r>
      <w:r>
        <w:rPr>
          <w:spacing w:val="-3"/>
        </w:rPr>
        <w:t xml:space="preserve"> </w:t>
      </w:r>
      <w:r>
        <w:t>d'appel</w:t>
      </w:r>
      <w:r>
        <w:rPr>
          <w:spacing w:val="-2"/>
        </w:rPr>
        <w:t xml:space="preserve"> </w:t>
      </w:r>
      <w:r>
        <w:t>(15</w:t>
      </w:r>
      <w:r>
        <w:rPr>
          <w:spacing w:val="-1"/>
        </w:rPr>
        <w:t xml:space="preserve"> </w:t>
      </w:r>
      <w:r>
        <w:t>jours)</w:t>
      </w:r>
      <w:r>
        <w:rPr>
          <w:spacing w:val="-2"/>
        </w:rPr>
        <w:t xml:space="preserve"> </w:t>
      </w:r>
      <w:r>
        <w:t>court</w:t>
      </w:r>
      <w:r>
        <w:rPr>
          <w:spacing w:val="-2"/>
        </w:rPr>
        <w:t xml:space="preserve"> </w:t>
      </w:r>
      <w:r>
        <w:t>à</w:t>
      </w:r>
      <w:r>
        <w:rPr>
          <w:spacing w:val="-2"/>
        </w:rPr>
        <w:t xml:space="preserve"> </w:t>
      </w:r>
      <w:r>
        <w:t>partir</w:t>
      </w:r>
      <w:r>
        <w:rPr>
          <w:spacing w:val="-2"/>
        </w:rPr>
        <w:t xml:space="preserve"> </w:t>
      </w:r>
      <w:r>
        <w:t>de la</w:t>
      </w:r>
      <w:r>
        <w:rPr>
          <w:spacing w:val="-3"/>
        </w:rPr>
        <w:t xml:space="preserve"> </w:t>
      </w:r>
      <w:r>
        <w:t>date</w:t>
      </w:r>
      <w:r>
        <w:rPr>
          <w:spacing w:val="-4"/>
        </w:rPr>
        <w:t xml:space="preserve"> </w:t>
      </w:r>
      <w:r>
        <w:t>de</w:t>
      </w:r>
      <w:r>
        <w:rPr>
          <w:spacing w:val="-2"/>
        </w:rPr>
        <w:t xml:space="preserve"> </w:t>
      </w:r>
      <w:r>
        <w:t>la</w:t>
      </w:r>
      <w:r>
        <w:rPr>
          <w:spacing w:val="-3"/>
        </w:rPr>
        <w:t xml:space="preserve"> </w:t>
      </w:r>
      <w:r>
        <w:t>décision,</w:t>
      </w:r>
      <w:r>
        <w:rPr>
          <w:spacing w:val="-2"/>
        </w:rPr>
        <w:t xml:space="preserve"> </w:t>
      </w:r>
      <w:r>
        <w:t>et</w:t>
      </w:r>
      <w:r>
        <w:rPr>
          <w:spacing w:val="-2"/>
        </w:rPr>
        <w:t xml:space="preserve"> </w:t>
      </w:r>
      <w:r>
        <w:t>non</w:t>
      </w:r>
      <w:r>
        <w:rPr>
          <w:spacing w:val="-4"/>
        </w:rPr>
        <w:t xml:space="preserve"> </w:t>
      </w:r>
      <w:r>
        <w:t>à</w:t>
      </w:r>
      <w:r>
        <w:rPr>
          <w:spacing w:val="-1"/>
        </w:rPr>
        <w:t xml:space="preserve"> </w:t>
      </w:r>
      <w:r>
        <w:t>partir</w:t>
      </w:r>
      <w:r>
        <w:rPr>
          <w:spacing w:val="-2"/>
        </w:rPr>
        <w:t xml:space="preserve"> </w:t>
      </w:r>
      <w:r>
        <w:t>de la</w:t>
      </w:r>
      <w:r>
        <w:rPr>
          <w:spacing w:val="-1"/>
        </w:rPr>
        <w:t xml:space="preserve"> </w:t>
      </w:r>
      <w:r>
        <w:t>date</w:t>
      </w:r>
      <w:r>
        <w:rPr>
          <w:spacing w:val="-4"/>
        </w:rPr>
        <w:t xml:space="preserve"> </w:t>
      </w:r>
      <w:r>
        <w:t xml:space="preserve">à laquelle les parties ont pu </w:t>
      </w:r>
      <w:r>
        <w:t>en prendre la connaissance</w:t>
      </w:r>
      <w:r>
        <w:rPr>
          <w:spacing w:val="-7"/>
        </w:rPr>
        <w:t xml:space="preserve"> </w:t>
      </w:r>
      <w:r>
        <w:t>;</w:t>
      </w:r>
      <w:hyperlink w:anchor="_bookmark15" w:history="1">
        <w:r>
          <w:rPr>
            <w:rStyle w:val="Hyperlink"/>
            <w:vertAlign w:val="superscript"/>
          </w:rPr>
          <w:t>16</w:t>
        </w:r>
      </w:hyperlink>
    </w:p>
    <w:p w:rsidR="00000000" w:rsidRDefault="00B97F96">
      <w:pPr>
        <w:pStyle w:val="ListParagraph"/>
        <w:numPr>
          <w:ilvl w:val="0"/>
          <w:numId w:val="10"/>
        </w:numPr>
        <w:tabs>
          <w:tab w:val="left" w:pos="244"/>
        </w:tabs>
        <w:spacing w:line="360" w:lineRule="auto"/>
        <w:ind w:left="115" w:right="159" w:firstLine="0"/>
        <w:rPr>
          <w:sz w:val="32"/>
        </w:rPr>
      </w:pPr>
      <w:r>
        <w:t>devant la Cour qui examine le recours en tutelle ou toute autre décision concernant la personne '</w:t>
      </w:r>
      <w:r>
        <w:rPr>
          <w:i/>
        </w:rPr>
        <w:t>protégée</w:t>
      </w:r>
      <w:r>
        <w:t>', cette dernière ne sera représentée que par son tuteur, conformément à l'article 475 d</w:t>
      </w:r>
      <w:r>
        <w:t>u CC. Aucune représentation légale n'est garantie à la personne à qui l'accès à la Cour est refusé. L'arrêt de la Cour d'appel de Lyon du 21 janvier 2021 stipule que '</w:t>
      </w:r>
      <w:r>
        <w:rPr>
          <w:i/>
        </w:rPr>
        <w:t>ni le droit français ni les conventions internationales n'imposent</w:t>
      </w:r>
      <w:r>
        <w:rPr>
          <w:i/>
          <w:spacing w:val="-33"/>
        </w:rPr>
        <w:t xml:space="preserve"> </w:t>
      </w:r>
      <w:r>
        <w:rPr>
          <w:i/>
        </w:rPr>
        <w:t xml:space="preserve">que le majeur protégé </w:t>
      </w:r>
      <w:r>
        <w:rPr>
          <w:i/>
        </w:rPr>
        <w:t>soit représenté légalement</w:t>
      </w:r>
      <w:r>
        <w:t>'</w:t>
      </w:r>
      <w:r>
        <w:rPr>
          <w:spacing w:val="-6"/>
        </w:rPr>
        <w:t xml:space="preserve"> </w:t>
      </w:r>
      <w:hyperlink w:anchor="_bookmark16" w:history="1">
        <w:r>
          <w:rPr>
            <w:rStyle w:val="Hyperlink"/>
            <w:vertAlign w:val="superscript"/>
          </w:rPr>
          <w:t>17</w:t>
        </w:r>
      </w:hyperlink>
      <w:r>
        <w:t>.</w:t>
      </w:r>
    </w:p>
    <w:p w:rsidR="00000000" w:rsidRDefault="00B97F96">
      <w:pPr>
        <w:pStyle w:val="BodyText"/>
        <w:spacing w:before="6"/>
        <w:rPr>
          <w:sz w:val="32"/>
        </w:rPr>
      </w:pPr>
    </w:p>
    <w:p w:rsidR="00000000" w:rsidRDefault="00B97F96">
      <w:pPr>
        <w:pStyle w:val="BodyText"/>
        <w:spacing w:line="360" w:lineRule="auto"/>
        <w:ind w:left="115" w:right="64" w:firstLine="710"/>
      </w:pPr>
      <w:r>
        <w:t>Il n'existe pas en France de services pour garantir aux personnes avec des altérations cognitives un soutien juridique et un accès effectif à des avocats indépendants. L'accès à l'aide juridi</w:t>
      </w:r>
      <w:r>
        <w:t xml:space="preserve">que n'est d'aucune utilité pour ces personnes car elles ne disposent d'aucun soutien pour les aider à traverser une procédure aussi complexe. Tout soutien et démarche sont suspendus au bon vouloir du tuteur. En conjonction avec l'article 475, cela empêche </w:t>
      </w:r>
      <w:r>
        <w:t>la personne privée de sa capacité juridique de se défendre devant la Cour et d'initier la procédure contre son tuteur, même dans le cas où ce dernier viole ses droits (ce qui est une pratique courante).</w:t>
      </w:r>
    </w:p>
    <w:p w:rsidR="00000000" w:rsidRDefault="00B97F96">
      <w:pPr>
        <w:pStyle w:val="BodyText"/>
        <w:spacing w:line="360" w:lineRule="auto"/>
        <w:ind w:left="115" w:right="64" w:firstLine="710"/>
      </w:pPr>
    </w:p>
    <w:p w:rsidR="00000000" w:rsidRDefault="00B97F96">
      <w:pPr>
        <w:pStyle w:val="BodyText"/>
        <w:spacing w:line="360" w:lineRule="auto"/>
        <w:ind w:left="115" w:right="64" w:firstLine="710"/>
      </w:pPr>
    </w:p>
    <w:p w:rsidR="00000000" w:rsidRDefault="00B97F96">
      <w:pPr>
        <w:pStyle w:val="BodyText"/>
        <w:spacing w:line="360" w:lineRule="auto"/>
        <w:ind w:left="115" w:right="64" w:firstLine="710"/>
      </w:pPr>
    </w:p>
    <w:p w:rsidR="00000000" w:rsidRDefault="00B97F96">
      <w:pPr>
        <w:pStyle w:val="BodyText"/>
        <w:spacing w:line="360" w:lineRule="auto"/>
        <w:ind w:left="115" w:right="64" w:firstLine="710"/>
      </w:pPr>
    </w:p>
    <w:p w:rsidR="00000000" w:rsidRDefault="00B97F96">
      <w:pPr>
        <w:pStyle w:val="BodyText"/>
        <w:spacing w:line="360" w:lineRule="auto"/>
        <w:ind w:left="115" w:right="64" w:firstLine="710"/>
      </w:pPr>
    </w:p>
    <w:p w:rsidR="00000000" w:rsidRDefault="00B97F96">
      <w:pPr>
        <w:pStyle w:val="BodyText"/>
        <w:spacing w:line="360" w:lineRule="auto"/>
        <w:ind w:left="115" w:right="64" w:firstLine="710"/>
      </w:pPr>
    </w:p>
    <w:p w:rsidR="00000000" w:rsidRDefault="00B97F96">
      <w:pPr>
        <w:pStyle w:val="BodyText"/>
        <w:spacing w:line="360" w:lineRule="auto"/>
        <w:ind w:left="115" w:right="64" w:firstLine="710"/>
      </w:pPr>
    </w:p>
    <w:p w:rsidR="00000000" w:rsidRDefault="00B97F96">
      <w:pPr>
        <w:pStyle w:val="BodyText"/>
        <w:spacing w:line="360" w:lineRule="auto"/>
        <w:ind w:left="115" w:right="64" w:firstLine="710"/>
      </w:pPr>
    </w:p>
    <w:p w:rsidR="00000000" w:rsidRDefault="00B97F96">
      <w:pPr>
        <w:pStyle w:val="BodyText"/>
        <w:spacing w:line="360" w:lineRule="auto"/>
        <w:ind w:left="115" w:right="64" w:firstLine="710"/>
      </w:pPr>
    </w:p>
    <w:p w:rsidR="00000000" w:rsidRDefault="00B97F96">
      <w:pPr>
        <w:pStyle w:val="BodyText"/>
        <w:spacing w:line="360" w:lineRule="auto"/>
        <w:ind w:left="115" w:right="64" w:firstLine="710"/>
      </w:pPr>
    </w:p>
    <w:p w:rsidR="00000000" w:rsidRDefault="00B97F96">
      <w:pPr>
        <w:pStyle w:val="BodyText"/>
        <w:spacing w:line="360" w:lineRule="auto"/>
        <w:ind w:left="115" w:right="64" w:firstLine="710"/>
      </w:pPr>
    </w:p>
    <w:p w:rsidR="00000000" w:rsidRDefault="00B97F96">
      <w:pPr>
        <w:pStyle w:val="BodyText"/>
        <w:spacing w:line="360" w:lineRule="auto"/>
        <w:ind w:left="115" w:right="64" w:firstLine="710"/>
      </w:pPr>
    </w:p>
    <w:p w:rsidR="00000000" w:rsidRDefault="00B97F96">
      <w:pPr>
        <w:pStyle w:val="BodyText"/>
        <w:spacing w:line="360" w:lineRule="auto"/>
        <w:ind w:left="115" w:right="64" w:firstLine="710"/>
      </w:pPr>
    </w:p>
    <w:p w:rsidR="00000000" w:rsidRDefault="00B97F96">
      <w:pPr>
        <w:pStyle w:val="BodyText"/>
        <w:spacing w:line="360" w:lineRule="auto"/>
        <w:ind w:left="115" w:right="64" w:firstLine="710"/>
        <w:rPr>
          <w:sz w:val="18"/>
          <w:szCs w:val="18"/>
        </w:rPr>
      </w:pPr>
    </w:p>
    <w:p w:rsidR="00000000" w:rsidRDefault="00B97F96">
      <w:pPr>
        <w:pStyle w:val="ListParagraph"/>
        <w:tabs>
          <w:tab w:val="left" w:pos="400"/>
        </w:tabs>
        <w:spacing w:before="20"/>
        <w:ind w:right="453" w:hanging="284"/>
        <w:rPr>
          <w:sz w:val="18"/>
          <w:szCs w:val="18"/>
        </w:rPr>
      </w:pPr>
    </w:p>
    <w:p w:rsidR="00000000" w:rsidRDefault="00B97F96">
      <w:pPr>
        <w:pStyle w:val="ListParagraph"/>
        <w:tabs>
          <w:tab w:val="left" w:pos="400"/>
        </w:tabs>
        <w:spacing w:before="2"/>
        <w:ind w:left="115" w:right="6367" w:firstLine="0"/>
        <w:rPr>
          <w:sz w:val="18"/>
          <w:szCs w:val="18"/>
        </w:rPr>
      </w:pPr>
      <w:bookmarkStart w:id="18" w:name="_bookmark14"/>
      <w:bookmarkEnd w:id="18"/>
      <w:r>
        <w:rPr>
          <w:sz w:val="18"/>
          <w:szCs w:val="18"/>
        </w:rPr>
        <w:t>15 Code Procedure Civile (CPC) art</w:t>
      </w:r>
      <w:r>
        <w:rPr>
          <w:spacing w:val="-11"/>
          <w:sz w:val="18"/>
          <w:szCs w:val="18"/>
        </w:rPr>
        <w:t xml:space="preserve"> </w:t>
      </w:r>
      <w:r>
        <w:rPr>
          <w:sz w:val="18"/>
          <w:szCs w:val="18"/>
        </w:rPr>
        <w:t>121</w:t>
      </w:r>
      <w:r>
        <w:rPr>
          <w:sz w:val="18"/>
          <w:szCs w:val="18"/>
        </w:rPr>
        <w:t>9</w:t>
      </w:r>
    </w:p>
    <w:p w:rsidR="00000000" w:rsidRDefault="00B97F96">
      <w:pPr>
        <w:pStyle w:val="ListParagraph"/>
        <w:tabs>
          <w:tab w:val="left" w:pos="400"/>
        </w:tabs>
        <w:spacing w:before="2"/>
        <w:ind w:left="115" w:right="6367" w:firstLine="0"/>
        <w:rPr>
          <w:i/>
          <w:sz w:val="18"/>
          <w:szCs w:val="18"/>
        </w:rPr>
      </w:pPr>
      <w:bookmarkStart w:id="19" w:name="_bookmark15"/>
      <w:bookmarkEnd w:id="19"/>
      <w:r>
        <w:rPr>
          <w:sz w:val="18"/>
          <w:szCs w:val="18"/>
        </w:rPr>
        <w:t>16 CPC art</w:t>
      </w:r>
      <w:r>
        <w:rPr>
          <w:spacing w:val="-17"/>
          <w:sz w:val="18"/>
          <w:szCs w:val="18"/>
        </w:rPr>
        <w:t xml:space="preserve"> </w:t>
      </w:r>
      <w:r>
        <w:rPr>
          <w:sz w:val="18"/>
          <w:szCs w:val="18"/>
        </w:rPr>
        <w:t>1230-1</w:t>
      </w:r>
    </w:p>
    <w:p w:rsidR="00000000" w:rsidRDefault="00B97F96">
      <w:pPr>
        <w:pStyle w:val="ListParagraph"/>
        <w:numPr>
          <w:ilvl w:val="0"/>
          <w:numId w:val="8"/>
        </w:numPr>
        <w:tabs>
          <w:tab w:val="left" w:pos="400"/>
        </w:tabs>
        <w:spacing w:before="2"/>
        <w:ind w:hanging="285"/>
        <w:rPr>
          <w:sz w:val="32"/>
        </w:rPr>
        <w:sectPr w:rsidR="00000000">
          <w:pgSz w:w="11906" w:h="16838"/>
          <w:pgMar w:top="1060" w:right="1020" w:bottom="280" w:left="1020" w:header="720" w:footer="720" w:gutter="0"/>
          <w:cols w:space="720"/>
          <w:docGrid w:linePitch="240" w:charSpace="-2049"/>
        </w:sectPr>
      </w:pPr>
      <w:bookmarkStart w:id="20" w:name="_bookmark161"/>
      <w:bookmarkStart w:id="21" w:name="_bookmark16"/>
      <w:bookmarkEnd w:id="20"/>
      <w:bookmarkEnd w:id="21"/>
      <w:r>
        <w:rPr>
          <w:i/>
          <w:sz w:val="18"/>
          <w:szCs w:val="18"/>
        </w:rPr>
        <w:t>6</w:t>
      </w:r>
      <w:r>
        <w:rPr>
          <w:i/>
          <w:sz w:val="18"/>
          <w:szCs w:val="18"/>
          <w:vertAlign w:val="superscript"/>
        </w:rPr>
        <w:t>ème</w:t>
      </w:r>
      <w:r>
        <w:rPr>
          <w:i/>
          <w:sz w:val="18"/>
          <w:szCs w:val="18"/>
        </w:rPr>
        <w:t xml:space="preserve"> Chambre, Cour d'Appel de Lyon, </w:t>
      </w:r>
      <w:r>
        <w:rPr>
          <w:sz w:val="18"/>
          <w:szCs w:val="18"/>
        </w:rPr>
        <w:t>27/01/2021, reg. number 20/04951 (non publiée) p.</w:t>
      </w:r>
      <w:r>
        <w:rPr>
          <w:spacing w:val="9"/>
          <w:sz w:val="18"/>
          <w:szCs w:val="18"/>
        </w:rPr>
        <w:t xml:space="preserve"> </w:t>
      </w:r>
      <w:r>
        <w:rPr>
          <w:sz w:val="18"/>
          <w:szCs w:val="18"/>
        </w:rPr>
        <w:t>10</w:t>
      </w:r>
    </w:p>
    <w:p w:rsidR="00000000" w:rsidRDefault="00B97F96">
      <w:pPr>
        <w:pStyle w:val="BodyText"/>
        <w:spacing w:before="64" w:line="360" w:lineRule="auto"/>
        <w:ind w:left="115" w:right="145"/>
        <w:rPr>
          <w:sz w:val="32"/>
        </w:rPr>
      </w:pPr>
    </w:p>
    <w:p w:rsidR="00000000" w:rsidRDefault="00B97F96">
      <w:pPr>
        <w:pStyle w:val="Heading1"/>
        <w:ind w:left="880" w:firstLine="0"/>
        <w:rPr>
          <w:sz w:val="24"/>
        </w:rPr>
      </w:pPr>
      <w:r>
        <w:t>Une personne sous tutelle est totalement privée d'accès à la justice en France.</w:t>
      </w:r>
    </w:p>
    <w:p w:rsidR="00000000" w:rsidRDefault="00B97F96">
      <w:pPr>
        <w:pStyle w:val="BodyText"/>
        <w:rPr>
          <w:b/>
          <w:sz w:val="24"/>
        </w:rPr>
      </w:pPr>
    </w:p>
    <w:p w:rsidR="00000000" w:rsidRDefault="00B97F96">
      <w:pPr>
        <w:pStyle w:val="BodyText"/>
        <w:spacing w:before="10"/>
        <w:rPr>
          <w:b/>
          <w:sz w:val="19"/>
        </w:rPr>
      </w:pPr>
    </w:p>
    <w:p w:rsidR="00000000" w:rsidRDefault="00B97F96">
      <w:pPr>
        <w:pStyle w:val="BodyText"/>
        <w:spacing w:before="1"/>
        <w:ind w:left="826"/>
        <w:rPr>
          <w:sz w:val="20"/>
        </w:rPr>
      </w:pPr>
      <w:r>
        <w:rPr>
          <w:u w:val="single"/>
        </w:rPr>
        <w:t>2.3 Les degrés de "protection" et la forte prévalence de la priv</w:t>
      </w:r>
      <w:r>
        <w:rPr>
          <w:u w:val="single"/>
        </w:rPr>
        <w:t>ation totale de capacité juridique :</w:t>
      </w:r>
    </w:p>
    <w:p w:rsidR="00000000" w:rsidRDefault="00B97F96">
      <w:pPr>
        <w:pStyle w:val="BodyText"/>
        <w:rPr>
          <w:sz w:val="20"/>
        </w:rPr>
      </w:pPr>
    </w:p>
    <w:p w:rsidR="00000000" w:rsidRDefault="00B97F96">
      <w:pPr>
        <w:pStyle w:val="BodyText"/>
        <w:rPr>
          <w:sz w:val="16"/>
        </w:rPr>
      </w:pPr>
    </w:p>
    <w:p w:rsidR="00000000" w:rsidRDefault="00B97F96">
      <w:pPr>
        <w:pStyle w:val="BodyText"/>
        <w:spacing w:before="91" w:line="360" w:lineRule="auto"/>
        <w:ind w:left="115" w:right="132" w:firstLine="710"/>
        <w:rPr>
          <w:sz w:val="32"/>
        </w:rPr>
      </w:pPr>
      <w:r>
        <w:t xml:space="preserve">Il existe différents degrés de limitation de la capacité juridique dans la loi Française. La </w:t>
      </w:r>
      <w:r>
        <w:rPr>
          <w:i/>
        </w:rPr>
        <w:t xml:space="preserve">tutelle </w:t>
      </w:r>
      <w:r>
        <w:t>donne lieu à la représentation de la "</w:t>
      </w:r>
      <w:r>
        <w:rPr>
          <w:i/>
        </w:rPr>
        <w:t>personne protégée</w:t>
      </w:r>
      <w:r>
        <w:t>" pour tous les actes civils par un tuteur désigné</w:t>
      </w:r>
      <w:hyperlink w:anchor="_bookmark17" w:history="1">
        <w:r>
          <w:rPr>
            <w:rStyle w:val="Hyperlink"/>
            <w:vertAlign w:val="superscript"/>
          </w:rPr>
          <w:t>18</w:t>
        </w:r>
      </w:hyperlink>
      <w:r>
        <w:t>, "</w:t>
      </w:r>
      <w:r>
        <w:rPr>
          <w:i/>
        </w:rPr>
        <w:t xml:space="preserve">y compris pour les actes qui ont pour effet de porter gravement atteinte à l'intégrité physique </w:t>
      </w:r>
      <w:r>
        <w:t>[de la personne protégée]"</w:t>
      </w:r>
      <w:hyperlink w:anchor="_bookmark18" w:history="1">
        <w:r>
          <w:rPr>
            <w:rStyle w:val="Hyperlink"/>
            <w:vertAlign w:val="superscript"/>
          </w:rPr>
          <w:t>19</w:t>
        </w:r>
      </w:hyperlink>
      <w:r>
        <w:t>. Cette disposition suspend, de facto, tous les droits fondamentaux et per</w:t>
      </w:r>
      <w:r>
        <w:t>met explicitement une violation du droit à la vie et à la sécurité en supprimant le contrôle judiciaire (aussi partial qu'il puisse être) des décisions les plus importantes et ayant un impact sur la vie. La contention chimique et la stérilisation des perso</w:t>
      </w:r>
      <w:r>
        <w:t>nnes atteintes de troubles cognitifs ne rencontrent aucun obstacle juridique. Le risque est grand que ces personnes se trouvent sans aucune protection juridique contre l'euthanasie forcée, les modifications cérébrales et les technologies de surveillance, q</w:t>
      </w:r>
      <w:r>
        <w:t>ui pourront être introduites en</w:t>
      </w:r>
      <w:r>
        <w:rPr>
          <w:spacing w:val="-11"/>
        </w:rPr>
        <w:t xml:space="preserve"> </w:t>
      </w:r>
      <w:r>
        <w:t>France.</w:t>
      </w:r>
    </w:p>
    <w:p w:rsidR="00000000" w:rsidRDefault="00B97F96">
      <w:pPr>
        <w:pStyle w:val="BodyText"/>
        <w:spacing w:before="6"/>
        <w:rPr>
          <w:sz w:val="32"/>
        </w:rPr>
      </w:pPr>
    </w:p>
    <w:p w:rsidR="00000000" w:rsidRDefault="00B97F96">
      <w:pPr>
        <w:pStyle w:val="BodyText"/>
        <w:spacing w:line="360" w:lineRule="auto"/>
        <w:ind w:left="115" w:firstLine="710"/>
        <w:rPr>
          <w:sz w:val="32"/>
        </w:rPr>
      </w:pPr>
      <w:r>
        <w:t>Une mesure moins restrictive, la curatelle, peut être 's</w:t>
      </w:r>
      <w:r>
        <w:rPr>
          <w:i/>
        </w:rPr>
        <w:t>imple</w:t>
      </w:r>
      <w:r>
        <w:t>' (la personne conserve ses droits mais ne peut pas signer de contrat de prêt)</w:t>
      </w:r>
      <w:hyperlink w:anchor="_bookmark19" w:history="1">
        <w:r>
          <w:rPr>
            <w:rStyle w:val="Hyperlink"/>
            <w:vertAlign w:val="superscript"/>
          </w:rPr>
          <w:t>20</w:t>
        </w:r>
      </w:hyperlink>
      <w:r>
        <w:t>, '</w:t>
      </w:r>
      <w:r>
        <w:rPr>
          <w:i/>
        </w:rPr>
        <w:t>aménagée</w:t>
      </w:r>
      <w:r>
        <w:t>' - avec une liste limitée, par</w:t>
      </w:r>
      <w:r>
        <w:t xml:space="preserve"> le juge, d'actes pour lesquels la personne doit être assistée - ou '</w:t>
      </w:r>
      <w:r>
        <w:rPr>
          <w:i/>
        </w:rPr>
        <w:t>renforcée</w:t>
      </w:r>
      <w:r>
        <w:t>' - lorsque les revenus, les dépenses, les biens et tous les contrats impliquant un aspect financier, y compris le droit de se marier, sont entièrement sous le contrôle du tuteur</w:t>
      </w:r>
      <w:hyperlink w:anchor="_bookmark20" w:history="1">
        <w:r>
          <w:rPr>
            <w:rStyle w:val="Hyperlink"/>
            <w:vertAlign w:val="superscript"/>
          </w:rPr>
          <w:t>21</w:t>
        </w:r>
      </w:hyperlink>
      <w:r>
        <w:t>.</w:t>
      </w:r>
    </w:p>
    <w:p w:rsidR="00000000" w:rsidRDefault="00B97F96">
      <w:pPr>
        <w:pStyle w:val="BodyText"/>
        <w:spacing w:before="10"/>
        <w:rPr>
          <w:sz w:val="32"/>
        </w:rPr>
      </w:pPr>
    </w:p>
    <w:p w:rsidR="00000000" w:rsidRDefault="00B97F96">
      <w:pPr>
        <w:pStyle w:val="BodyText"/>
        <w:spacing w:before="1" w:line="360" w:lineRule="auto"/>
        <w:ind w:left="115" w:firstLine="710"/>
        <w:rPr>
          <w:sz w:val="32"/>
        </w:rPr>
      </w:pPr>
      <w:r>
        <w:t>Le mandat de protection future est probablement la mesure qui se rapproche le plus des normes de la CDPH, mais il ne concerne que les personnes qui ont eu la jouissance de la pleine capacité juridique dans le passé et q</w:t>
      </w:r>
      <w:r>
        <w:t>ui ont anticipé le moment où celle-ci pourrait être limitée</w:t>
      </w:r>
      <w:hyperlink w:anchor="_bookmark21" w:history="1">
        <w:r>
          <w:rPr>
            <w:rStyle w:val="Hyperlink"/>
            <w:vertAlign w:val="superscript"/>
          </w:rPr>
          <w:t>22</w:t>
        </w:r>
      </w:hyperlink>
      <w:r>
        <w:t>. Toutefois, la Cour peut révoquer ce pouvoir si elle estime qu'une telle mesure est "</w:t>
      </w:r>
      <w:r>
        <w:rPr>
          <w:i/>
        </w:rPr>
        <w:t xml:space="preserve">contraire aux intérêts de la personne protégée </w:t>
      </w:r>
      <w:r>
        <w:t>"</w:t>
      </w:r>
      <w:hyperlink w:anchor="_bookmark22" w:history="1">
        <w:r>
          <w:rPr>
            <w:rStyle w:val="Hyperlink"/>
            <w:vertAlign w:val="superscript"/>
          </w:rPr>
          <w:t>23</w:t>
        </w:r>
      </w:hyperlink>
      <w:r>
        <w:t>.</w:t>
      </w:r>
    </w:p>
    <w:p w:rsidR="00000000" w:rsidRDefault="00B97F96">
      <w:pPr>
        <w:pStyle w:val="BodyText"/>
        <w:spacing w:before="8"/>
        <w:rPr>
          <w:sz w:val="32"/>
        </w:rPr>
      </w:pPr>
    </w:p>
    <w:p w:rsidR="00000000" w:rsidRDefault="00B97F96">
      <w:pPr>
        <w:pStyle w:val="BodyText"/>
        <w:spacing w:line="360" w:lineRule="auto"/>
        <w:ind w:left="115" w:firstLine="710"/>
        <w:rPr>
          <w:sz w:val="32"/>
        </w:rPr>
      </w:pPr>
      <w:r>
        <w:t>Selon les statistiques officielles disponibles, environ 53% de toutes les mesures prononcées sont des tutelles et 43% - des curatelles renforcées</w:t>
      </w:r>
      <w:hyperlink w:anchor="_bookmark23" w:history="1">
        <w:r>
          <w:rPr>
            <w:rStyle w:val="Hyperlink"/>
            <w:vertAlign w:val="superscript"/>
          </w:rPr>
          <w:t>24</w:t>
        </w:r>
      </w:hyperlink>
      <w:r>
        <w:t>.</w:t>
      </w:r>
    </w:p>
    <w:p w:rsidR="00000000" w:rsidRDefault="00B97F96">
      <w:pPr>
        <w:pStyle w:val="BodyText"/>
        <w:spacing w:before="11"/>
        <w:rPr>
          <w:sz w:val="32"/>
        </w:rPr>
      </w:pPr>
    </w:p>
    <w:p w:rsidR="00000000" w:rsidRDefault="00B97F96">
      <w:pPr>
        <w:pStyle w:val="BodyText"/>
        <w:spacing w:line="355" w:lineRule="auto"/>
        <w:ind w:left="115" w:firstLine="710"/>
        <w:rPr>
          <w:sz w:val="18"/>
          <w:szCs w:val="18"/>
        </w:rPr>
      </w:pPr>
      <w:r>
        <w:t>La mesure d'habilitation familiale, récemment introduite, était ce</w:t>
      </w:r>
      <w:r>
        <w:t>nsée freiner les dépenses publiques incontrôlées pour les mesures de "protection" : elle correspond au plein pouvoir de représentation confié à un membre de la famille qui, une fois désigné par le tribunal, n'est contrôlé par aucun organisme extérieur</w:t>
      </w:r>
      <w:hyperlink w:anchor="_bookmark24" w:history="1">
        <w:r>
          <w:rPr>
            <w:rStyle w:val="Hyperlink"/>
            <w:vertAlign w:val="superscript"/>
          </w:rPr>
          <w:t>25</w:t>
        </w:r>
      </w:hyperlink>
      <w:r>
        <w:t>. Cette dé-judiciarisation, censée mettre fin à l'engorgement des tribunaux, chroniquement débordés en France (un tribunal de protection est en charge d'un nombre moyen de 3500 dossiers), ne va clairement pas dans le sens de l'</w:t>
      </w:r>
      <w:r>
        <w:t>effectivité de l'égalité devant la loi et reflète l'approche paternaliste dominante.</w:t>
      </w:r>
    </w:p>
    <w:p w:rsidR="00000000" w:rsidRDefault="00B97F96">
      <w:pPr>
        <w:pStyle w:val="BodyText"/>
        <w:rPr>
          <w:sz w:val="18"/>
          <w:szCs w:val="18"/>
        </w:rPr>
      </w:pPr>
    </w:p>
    <w:p w:rsidR="00000000" w:rsidRDefault="00B97F96">
      <w:pPr>
        <w:pStyle w:val="BodyText"/>
        <w:spacing w:before="7"/>
        <w:rPr>
          <w:sz w:val="18"/>
          <w:szCs w:val="18"/>
        </w:rPr>
      </w:pPr>
    </w:p>
    <w:p w:rsidR="00000000" w:rsidRDefault="00B97F96">
      <w:pPr>
        <w:pStyle w:val="ListParagraph"/>
        <w:numPr>
          <w:ilvl w:val="0"/>
          <w:numId w:val="8"/>
        </w:numPr>
        <w:tabs>
          <w:tab w:val="left" w:pos="400"/>
        </w:tabs>
        <w:spacing w:before="20"/>
        <w:ind w:hanging="285"/>
        <w:rPr>
          <w:sz w:val="18"/>
          <w:szCs w:val="18"/>
        </w:rPr>
      </w:pPr>
      <w:bookmarkStart w:id="22" w:name="_bookmark17"/>
      <w:bookmarkEnd w:id="22"/>
      <w:r>
        <w:rPr>
          <w:sz w:val="18"/>
          <w:szCs w:val="18"/>
        </w:rPr>
        <w:t>CC art</w:t>
      </w:r>
      <w:r>
        <w:rPr>
          <w:spacing w:val="49"/>
          <w:sz w:val="18"/>
          <w:szCs w:val="18"/>
        </w:rPr>
        <w:t xml:space="preserve"> </w:t>
      </w:r>
      <w:r>
        <w:rPr>
          <w:sz w:val="18"/>
          <w:szCs w:val="18"/>
        </w:rPr>
        <w:t>473</w:t>
      </w:r>
    </w:p>
    <w:p w:rsidR="00000000" w:rsidRDefault="00B97F96">
      <w:pPr>
        <w:pStyle w:val="ListParagraph"/>
        <w:numPr>
          <w:ilvl w:val="0"/>
          <w:numId w:val="8"/>
        </w:numPr>
        <w:tabs>
          <w:tab w:val="left" w:pos="400"/>
        </w:tabs>
        <w:ind w:hanging="285"/>
        <w:rPr>
          <w:sz w:val="18"/>
          <w:szCs w:val="18"/>
        </w:rPr>
      </w:pPr>
      <w:bookmarkStart w:id="23" w:name="_bookmark18"/>
      <w:bookmarkEnd w:id="23"/>
      <w:r>
        <w:rPr>
          <w:sz w:val="18"/>
          <w:szCs w:val="18"/>
        </w:rPr>
        <w:t>CC art</w:t>
      </w:r>
      <w:r>
        <w:rPr>
          <w:spacing w:val="-1"/>
          <w:sz w:val="18"/>
          <w:szCs w:val="18"/>
        </w:rPr>
        <w:t xml:space="preserve"> </w:t>
      </w:r>
      <w:r>
        <w:rPr>
          <w:sz w:val="18"/>
          <w:szCs w:val="18"/>
        </w:rPr>
        <w:t>459</w:t>
      </w:r>
    </w:p>
    <w:p w:rsidR="00000000" w:rsidRDefault="00B97F96">
      <w:pPr>
        <w:pStyle w:val="ListParagraph"/>
        <w:numPr>
          <w:ilvl w:val="0"/>
          <w:numId w:val="8"/>
        </w:numPr>
        <w:tabs>
          <w:tab w:val="left" w:pos="400"/>
        </w:tabs>
        <w:spacing w:before="2"/>
        <w:ind w:hanging="285"/>
        <w:rPr>
          <w:sz w:val="18"/>
          <w:szCs w:val="18"/>
        </w:rPr>
      </w:pPr>
      <w:bookmarkStart w:id="24" w:name="_bookmark19"/>
      <w:bookmarkEnd w:id="24"/>
      <w:r>
        <w:rPr>
          <w:sz w:val="18"/>
          <w:szCs w:val="18"/>
        </w:rPr>
        <w:t>CC  art</w:t>
      </w:r>
      <w:r>
        <w:rPr>
          <w:spacing w:val="-4"/>
          <w:sz w:val="18"/>
          <w:szCs w:val="18"/>
        </w:rPr>
        <w:t xml:space="preserve"> </w:t>
      </w:r>
      <w:r>
        <w:rPr>
          <w:sz w:val="18"/>
          <w:szCs w:val="18"/>
        </w:rPr>
        <w:t>440</w:t>
      </w:r>
    </w:p>
    <w:p w:rsidR="00000000" w:rsidRDefault="00B97F96">
      <w:pPr>
        <w:pStyle w:val="ListParagraph"/>
        <w:numPr>
          <w:ilvl w:val="0"/>
          <w:numId w:val="8"/>
        </w:numPr>
        <w:tabs>
          <w:tab w:val="left" w:pos="400"/>
        </w:tabs>
        <w:ind w:hanging="285"/>
        <w:rPr>
          <w:sz w:val="18"/>
          <w:szCs w:val="18"/>
        </w:rPr>
      </w:pPr>
      <w:bookmarkStart w:id="25" w:name="_bookmark20"/>
      <w:bookmarkEnd w:id="25"/>
      <w:r>
        <w:rPr>
          <w:sz w:val="18"/>
          <w:szCs w:val="18"/>
        </w:rPr>
        <w:t>CC  art</w:t>
      </w:r>
      <w:r>
        <w:rPr>
          <w:spacing w:val="-4"/>
          <w:sz w:val="18"/>
          <w:szCs w:val="18"/>
        </w:rPr>
        <w:t xml:space="preserve"> </w:t>
      </w:r>
      <w:r>
        <w:rPr>
          <w:sz w:val="18"/>
          <w:szCs w:val="18"/>
        </w:rPr>
        <w:t>472</w:t>
      </w:r>
    </w:p>
    <w:p w:rsidR="00000000" w:rsidRDefault="00B97F96">
      <w:pPr>
        <w:spacing w:before="2"/>
        <w:ind w:left="115"/>
        <w:rPr>
          <w:sz w:val="18"/>
          <w:szCs w:val="18"/>
        </w:rPr>
      </w:pPr>
      <w:r>
        <w:rPr>
          <w:sz w:val="18"/>
          <w:szCs w:val="18"/>
        </w:rPr>
        <w:t xml:space="preserve">22  </w:t>
      </w:r>
      <w:bookmarkStart w:id="26" w:name="_bookmark211"/>
      <w:bookmarkEnd w:id="26"/>
      <w:r>
        <w:rPr>
          <w:sz w:val="18"/>
          <w:szCs w:val="18"/>
        </w:rPr>
        <w:t>CC art 477 -</w:t>
      </w:r>
      <w:r>
        <w:rPr>
          <w:spacing w:val="-21"/>
          <w:sz w:val="18"/>
          <w:szCs w:val="18"/>
        </w:rPr>
        <w:t xml:space="preserve"> </w:t>
      </w:r>
      <w:r>
        <w:rPr>
          <w:sz w:val="18"/>
          <w:szCs w:val="18"/>
        </w:rPr>
        <w:t>488</w:t>
      </w:r>
    </w:p>
    <w:p w:rsidR="00000000" w:rsidRDefault="00B97F96">
      <w:pPr>
        <w:pStyle w:val="ListParagraph"/>
        <w:numPr>
          <w:ilvl w:val="0"/>
          <w:numId w:val="7"/>
        </w:numPr>
        <w:tabs>
          <w:tab w:val="left" w:pos="400"/>
        </w:tabs>
        <w:ind w:hanging="285"/>
        <w:rPr>
          <w:sz w:val="18"/>
          <w:szCs w:val="18"/>
        </w:rPr>
      </w:pPr>
      <w:bookmarkStart w:id="27" w:name="_bookmark22"/>
      <w:bookmarkEnd w:id="27"/>
      <w:r>
        <w:rPr>
          <w:sz w:val="18"/>
          <w:szCs w:val="18"/>
        </w:rPr>
        <w:t>CC art</w:t>
      </w:r>
      <w:r>
        <w:rPr>
          <w:spacing w:val="-1"/>
          <w:sz w:val="18"/>
          <w:szCs w:val="18"/>
        </w:rPr>
        <w:t xml:space="preserve"> </w:t>
      </w:r>
      <w:r>
        <w:rPr>
          <w:sz w:val="18"/>
          <w:szCs w:val="18"/>
        </w:rPr>
        <w:t>483</w:t>
      </w:r>
    </w:p>
    <w:p w:rsidR="00000000" w:rsidRDefault="00B97F96">
      <w:pPr>
        <w:pStyle w:val="ListParagraph"/>
        <w:numPr>
          <w:ilvl w:val="0"/>
          <w:numId w:val="7"/>
        </w:numPr>
        <w:tabs>
          <w:tab w:val="left" w:pos="400"/>
        </w:tabs>
        <w:spacing w:before="2"/>
        <w:ind w:hanging="285"/>
        <w:rPr>
          <w:spacing w:val="-4"/>
          <w:sz w:val="18"/>
          <w:szCs w:val="18"/>
        </w:rPr>
      </w:pPr>
      <w:bookmarkStart w:id="28" w:name="_bookmark23"/>
      <w:bookmarkEnd w:id="28"/>
      <w:r>
        <w:rPr>
          <w:sz w:val="18"/>
          <w:szCs w:val="18"/>
        </w:rPr>
        <w:t xml:space="preserve">Cour de Comptes </w:t>
      </w:r>
      <w:r>
        <w:rPr>
          <w:i/>
          <w:sz w:val="18"/>
          <w:szCs w:val="18"/>
        </w:rPr>
        <w:t xml:space="preserve">Rapport sur la protection juridique des majeurs </w:t>
      </w:r>
      <w:r>
        <w:rPr>
          <w:sz w:val="18"/>
          <w:szCs w:val="18"/>
        </w:rPr>
        <w:t>(2016)</w:t>
      </w:r>
      <w:r>
        <w:rPr>
          <w:spacing w:val="-4"/>
          <w:sz w:val="18"/>
          <w:szCs w:val="18"/>
        </w:rPr>
        <w:t xml:space="preserve"> </w:t>
      </w:r>
    </w:p>
    <w:p w:rsidR="00000000" w:rsidRDefault="00B97F96">
      <w:pPr>
        <w:numPr>
          <w:ilvl w:val="0"/>
          <w:numId w:val="7"/>
        </w:numPr>
        <w:tabs>
          <w:tab w:val="left" w:pos="400"/>
        </w:tabs>
        <w:spacing w:before="18"/>
        <w:rPr>
          <w:sz w:val="32"/>
        </w:rPr>
        <w:sectPr w:rsidR="00000000">
          <w:pgSz w:w="11906" w:h="16838"/>
          <w:pgMar w:top="1060" w:right="1020" w:bottom="280" w:left="1020" w:header="720" w:footer="720" w:gutter="0"/>
          <w:cols w:space="720"/>
          <w:docGrid w:linePitch="240" w:charSpace="-2049"/>
        </w:sectPr>
      </w:pPr>
      <w:bookmarkStart w:id="29" w:name="_bookmark24"/>
      <w:bookmarkEnd w:id="29"/>
      <w:r>
        <w:rPr>
          <w:spacing w:val="-4"/>
          <w:sz w:val="18"/>
          <w:szCs w:val="18"/>
        </w:rPr>
        <w:t>CC art 494-1 to 494</w:t>
      </w:r>
      <w:r>
        <w:rPr>
          <w:spacing w:val="-4"/>
          <w:sz w:val="18"/>
          <w:szCs w:val="18"/>
        </w:rPr>
        <w:t>-12</w:t>
      </w:r>
    </w:p>
    <w:p w:rsidR="00000000" w:rsidRDefault="00B97F96">
      <w:pPr>
        <w:pStyle w:val="BodyText"/>
        <w:spacing w:before="64" w:line="360" w:lineRule="auto"/>
        <w:ind w:right="105"/>
        <w:rPr>
          <w:sz w:val="32"/>
        </w:rPr>
      </w:pPr>
    </w:p>
    <w:p w:rsidR="00000000" w:rsidRDefault="00B97F96">
      <w:pPr>
        <w:pStyle w:val="Heading1"/>
        <w:spacing w:line="360" w:lineRule="auto"/>
        <w:ind w:right="105"/>
        <w:rPr>
          <w:sz w:val="32"/>
        </w:rPr>
      </w:pPr>
      <w:r>
        <w:t>Si la gradation des mesures existe en droit français, la tendance à un contrôle total de la vie des "</w:t>
      </w:r>
      <w:r>
        <w:rPr>
          <w:i/>
        </w:rPr>
        <w:t>personnes vulnérables</w:t>
      </w:r>
      <w:r>
        <w:t>" prévaut fortement. Cela rend non pertinent l'argument de la "</w:t>
      </w:r>
      <w:r>
        <w:rPr>
          <w:i/>
        </w:rPr>
        <w:t>proportionnalité</w:t>
      </w:r>
      <w:r>
        <w:t>" prétendument appliqué par les cours de protectio</w:t>
      </w:r>
      <w:r>
        <w:t>n.</w:t>
      </w:r>
    </w:p>
    <w:p w:rsidR="00000000" w:rsidRDefault="00B97F96">
      <w:pPr>
        <w:pStyle w:val="BodyText"/>
        <w:spacing w:before="10"/>
        <w:rPr>
          <w:b/>
          <w:sz w:val="32"/>
        </w:rPr>
      </w:pPr>
    </w:p>
    <w:p w:rsidR="00000000" w:rsidRDefault="00B97F96">
      <w:pPr>
        <w:pStyle w:val="ListParagraph"/>
        <w:numPr>
          <w:ilvl w:val="1"/>
          <w:numId w:val="6"/>
        </w:numPr>
        <w:tabs>
          <w:tab w:val="left" w:pos="1210"/>
        </w:tabs>
        <w:rPr>
          <w:sz w:val="20"/>
        </w:rPr>
      </w:pPr>
      <w:r>
        <w:rPr>
          <w:u w:val="single"/>
        </w:rPr>
        <w:t>Les récents amendements et leur</w:t>
      </w:r>
      <w:r>
        <w:rPr>
          <w:spacing w:val="-4"/>
          <w:u w:val="single"/>
        </w:rPr>
        <w:t xml:space="preserve"> </w:t>
      </w:r>
      <w:r>
        <w:rPr>
          <w:u w:val="single"/>
        </w:rPr>
        <w:t>inefficacité</w:t>
      </w:r>
    </w:p>
    <w:p w:rsidR="00000000" w:rsidRDefault="00B97F96">
      <w:pPr>
        <w:pStyle w:val="BodyText"/>
        <w:rPr>
          <w:sz w:val="20"/>
        </w:rPr>
      </w:pPr>
    </w:p>
    <w:p w:rsidR="00000000" w:rsidRDefault="00B97F96">
      <w:pPr>
        <w:pStyle w:val="BodyText"/>
        <w:rPr>
          <w:sz w:val="16"/>
        </w:rPr>
      </w:pPr>
    </w:p>
    <w:p w:rsidR="00000000" w:rsidRDefault="00B97F96">
      <w:pPr>
        <w:pStyle w:val="BodyText"/>
        <w:spacing w:before="91" w:line="360" w:lineRule="auto"/>
        <w:ind w:left="115" w:right="147" w:firstLine="710"/>
        <w:rPr>
          <w:sz w:val="32"/>
        </w:rPr>
      </w:pPr>
      <w:r>
        <w:t>Les amendements de 2019 mentionnés par l'Etat dans sa réponse au Comité ont formellement rétabli le droit de vote de toutes les personnes handicapées en France, en modifiant l'article 5 du Code électoral</w:t>
      </w:r>
      <w:hyperlink w:anchor="_bookmark25" w:history="1">
        <w:r>
          <w:rPr>
            <w:rStyle w:val="Hyperlink"/>
            <w:vertAlign w:val="superscript"/>
          </w:rPr>
          <w:t>26</w:t>
        </w:r>
      </w:hyperlink>
      <w:r>
        <w:t>, et le droit au mariage pour les personnes sous tutelle et curatelle, en supprimant l'obligation de demander l'autorisation de la Cour</w:t>
      </w:r>
      <w:hyperlink w:anchor="_bookmark26" w:history="1">
        <w:r>
          <w:rPr>
            <w:rStyle w:val="Hyperlink"/>
            <w:vertAlign w:val="superscript"/>
          </w:rPr>
          <w:t>27</w:t>
        </w:r>
      </w:hyperlink>
      <w:r>
        <w:t>. Cependant, il y a de fortes raisons d'être au moins s</w:t>
      </w:r>
      <w:r>
        <w:t>ceptique. Pour pouvoir voter, la personne doit demander, de sa propre initiative, l'inscription sur les listes électorales; or, aucune information facilitée ou autre aménagement pour accomplir cette démarche n'est requise par la même loi</w:t>
      </w:r>
      <w:hyperlink w:anchor="_bookmark27" w:history="1">
        <w:r>
          <w:rPr>
            <w:rStyle w:val="Hyperlink"/>
            <w:vertAlign w:val="superscript"/>
          </w:rPr>
          <w:t>28</w:t>
        </w:r>
      </w:hyperlink>
      <w:r>
        <w:t>. Il est facile de comprendre qu'une grande majorité des personnes qui étaient privées du droit de vote auparavant, ne pourront de toute façon pas y accéder. Quant au droit de se marier, il reste suspendu au pouvoir étendu du tuteur (qui doi</w:t>
      </w:r>
      <w:r>
        <w:t>t être informé par la personne de ses intentions) d'empêcher le mariage</w:t>
      </w:r>
      <w:hyperlink w:anchor="_bookmark28" w:history="1">
        <w:r>
          <w:rPr>
            <w:rStyle w:val="Hyperlink"/>
            <w:vertAlign w:val="superscript"/>
          </w:rPr>
          <w:t>29</w:t>
        </w:r>
      </w:hyperlink>
      <w:r>
        <w:t>.</w:t>
      </w:r>
    </w:p>
    <w:p w:rsidR="00000000" w:rsidRDefault="00B97F96">
      <w:pPr>
        <w:pStyle w:val="BodyText"/>
        <w:spacing w:before="7"/>
        <w:rPr>
          <w:sz w:val="32"/>
        </w:rPr>
      </w:pPr>
    </w:p>
    <w:p w:rsidR="00000000" w:rsidRDefault="00B97F96">
      <w:pPr>
        <w:pStyle w:val="BodyText"/>
        <w:spacing w:line="360" w:lineRule="auto"/>
        <w:ind w:left="115" w:right="240" w:firstLine="710"/>
        <w:jc w:val="both"/>
        <w:rPr>
          <w:sz w:val="32"/>
        </w:rPr>
      </w:pPr>
      <w:r>
        <w:t>En outre, le Juge des Tutelles peut, selon ces amendements, établir une mesure de "</w:t>
      </w:r>
      <w:r>
        <w:rPr>
          <w:i/>
        </w:rPr>
        <w:t>protection</w:t>
      </w:r>
      <w:r>
        <w:t>"</w:t>
      </w:r>
      <w:r>
        <w:rPr>
          <w:spacing w:val="-27"/>
        </w:rPr>
        <w:t xml:space="preserve"> </w:t>
      </w:r>
      <w:r>
        <w:t>pour 10</w:t>
      </w:r>
      <w:r>
        <w:rPr>
          <w:spacing w:val="-4"/>
        </w:rPr>
        <w:t xml:space="preserve"> </w:t>
      </w:r>
      <w:r>
        <w:t>ans,</w:t>
      </w:r>
      <w:r>
        <w:rPr>
          <w:spacing w:val="-2"/>
        </w:rPr>
        <w:t xml:space="preserve"> </w:t>
      </w:r>
      <w:r>
        <w:t>au</w:t>
      </w:r>
      <w:r>
        <w:rPr>
          <w:spacing w:val="-1"/>
        </w:rPr>
        <w:t xml:space="preserve"> </w:t>
      </w:r>
      <w:r>
        <w:t>lieu</w:t>
      </w:r>
      <w:r>
        <w:rPr>
          <w:spacing w:val="-4"/>
        </w:rPr>
        <w:t xml:space="preserve"> </w:t>
      </w:r>
      <w:r>
        <w:t>de 5</w:t>
      </w:r>
      <w:r>
        <w:rPr>
          <w:spacing w:val="-3"/>
        </w:rPr>
        <w:t xml:space="preserve"> </w:t>
      </w:r>
      <w:r>
        <w:t>auparavant.</w:t>
      </w:r>
      <w:r>
        <w:rPr>
          <w:spacing w:val="-3"/>
        </w:rPr>
        <w:t xml:space="preserve"> </w:t>
      </w:r>
      <w:r>
        <w:t>En</w:t>
      </w:r>
      <w:r>
        <w:rPr>
          <w:spacing w:val="-3"/>
        </w:rPr>
        <w:t xml:space="preserve"> </w:t>
      </w:r>
      <w:r>
        <w:t>sachant</w:t>
      </w:r>
      <w:r>
        <w:rPr>
          <w:spacing w:val="-1"/>
        </w:rPr>
        <w:t xml:space="preserve"> </w:t>
      </w:r>
      <w:r>
        <w:t>que</w:t>
      </w:r>
      <w:r>
        <w:rPr>
          <w:spacing w:val="-3"/>
        </w:rPr>
        <w:t xml:space="preserve"> </w:t>
      </w:r>
      <w:r>
        <w:t>la</w:t>
      </w:r>
      <w:r>
        <w:rPr>
          <w:spacing w:val="-2"/>
        </w:rPr>
        <w:t xml:space="preserve"> </w:t>
      </w:r>
      <w:r>
        <w:t>mesure,</w:t>
      </w:r>
      <w:r>
        <w:rPr>
          <w:spacing w:val="-2"/>
        </w:rPr>
        <w:t xml:space="preserve"> </w:t>
      </w:r>
      <w:r>
        <w:t>à</w:t>
      </w:r>
      <w:r>
        <w:rPr>
          <w:spacing w:val="-2"/>
        </w:rPr>
        <w:t xml:space="preserve"> </w:t>
      </w:r>
      <w:r>
        <w:t>de</w:t>
      </w:r>
      <w:r>
        <w:rPr>
          <w:spacing w:val="-3"/>
        </w:rPr>
        <w:t xml:space="preserve"> </w:t>
      </w:r>
      <w:r>
        <w:t>très rares exceptions</w:t>
      </w:r>
      <w:r>
        <w:rPr>
          <w:spacing w:val="-1"/>
        </w:rPr>
        <w:t xml:space="preserve"> </w:t>
      </w:r>
      <w:r>
        <w:t>près,</w:t>
      </w:r>
      <w:r>
        <w:rPr>
          <w:spacing w:val="-2"/>
        </w:rPr>
        <w:t xml:space="preserve"> </w:t>
      </w:r>
      <w:r>
        <w:t>n'est</w:t>
      </w:r>
      <w:r>
        <w:rPr>
          <w:spacing w:val="-2"/>
        </w:rPr>
        <w:t xml:space="preserve"> </w:t>
      </w:r>
      <w:r>
        <w:t>jamais</w:t>
      </w:r>
      <w:r>
        <w:rPr>
          <w:spacing w:val="-3"/>
        </w:rPr>
        <w:t xml:space="preserve"> </w:t>
      </w:r>
      <w:r>
        <w:t>levée, sa réévaluation est alors considérée comme une perte de temps pour les</w:t>
      </w:r>
      <w:r>
        <w:rPr>
          <w:spacing w:val="-12"/>
        </w:rPr>
        <w:t xml:space="preserve"> </w:t>
      </w:r>
      <w:r>
        <w:t>tribunaux.</w:t>
      </w:r>
    </w:p>
    <w:p w:rsidR="00000000" w:rsidRDefault="00B97F96">
      <w:pPr>
        <w:pStyle w:val="BodyText"/>
        <w:spacing w:before="9"/>
        <w:rPr>
          <w:sz w:val="32"/>
        </w:rPr>
      </w:pPr>
    </w:p>
    <w:p w:rsidR="00000000" w:rsidRDefault="00B97F96">
      <w:pPr>
        <w:pStyle w:val="Heading1"/>
        <w:spacing w:before="1" w:line="355" w:lineRule="auto"/>
        <w:rPr>
          <w:sz w:val="33"/>
        </w:rPr>
      </w:pPr>
      <w:r>
        <w:t>Toutes les modifications du cadre tutélaire français, surtout les plus récentes, sont purement décoratives, i</w:t>
      </w:r>
      <w:r>
        <w:t>nefficaces et, pour certaines d'entre elles, régressives.</w:t>
      </w:r>
    </w:p>
    <w:p w:rsidR="00000000" w:rsidRDefault="00B97F96">
      <w:pPr>
        <w:pStyle w:val="BodyText"/>
        <w:spacing w:before="2"/>
        <w:rPr>
          <w:b/>
          <w:sz w:val="33"/>
        </w:rPr>
      </w:pPr>
    </w:p>
    <w:p w:rsidR="00000000" w:rsidRDefault="00B97F96">
      <w:pPr>
        <w:pStyle w:val="ListParagraph"/>
        <w:numPr>
          <w:ilvl w:val="1"/>
          <w:numId w:val="6"/>
        </w:numPr>
        <w:tabs>
          <w:tab w:val="left" w:pos="1210"/>
        </w:tabs>
        <w:rPr>
          <w:sz w:val="20"/>
        </w:rPr>
      </w:pPr>
      <w:r>
        <w:rPr>
          <w:u w:val="single"/>
        </w:rPr>
        <w:t>L'incompatibilité entre le droit à la liberté et la prise de décision</w:t>
      </w:r>
      <w:r>
        <w:rPr>
          <w:spacing w:val="-19"/>
          <w:u w:val="single"/>
        </w:rPr>
        <w:t xml:space="preserve"> </w:t>
      </w:r>
      <w:r>
        <w:rPr>
          <w:u w:val="single"/>
        </w:rPr>
        <w:t>substituée</w:t>
      </w:r>
    </w:p>
    <w:p w:rsidR="00000000" w:rsidRDefault="00B97F96">
      <w:pPr>
        <w:pStyle w:val="BodyText"/>
        <w:rPr>
          <w:sz w:val="20"/>
        </w:rPr>
      </w:pPr>
    </w:p>
    <w:p w:rsidR="00000000" w:rsidRDefault="00B97F96">
      <w:pPr>
        <w:pStyle w:val="BodyText"/>
        <w:rPr>
          <w:sz w:val="16"/>
        </w:rPr>
      </w:pPr>
    </w:p>
    <w:p w:rsidR="00000000" w:rsidRDefault="00B97F96">
      <w:pPr>
        <w:pStyle w:val="BodyText"/>
        <w:spacing w:before="91" w:line="360" w:lineRule="auto"/>
        <w:ind w:left="115" w:firstLine="710"/>
        <w:rPr>
          <w:sz w:val="17"/>
        </w:rPr>
      </w:pPr>
      <w:r>
        <w:t>La disposition de l'article 459-2, introduite par la réforme en 2007 accorde le droit de la personne "protégée" de</w:t>
      </w:r>
      <w:r>
        <w:t xml:space="preserve"> choisir son lieu de vie et ses relations personnelles. Il n'y a aucune allusion à une quelconque évaluation fonctionnelle de la capacité de choisir, le droit étant ouvert à tous, sans exception explicite. Mais, étant en contradiction ouverte avec l'ensemb</w:t>
      </w:r>
      <w:r>
        <w:t xml:space="preserve">le du cadre tutélaire, cette disposition s'est vue attribuer une </w:t>
      </w:r>
      <w:r>
        <w:t>'sortie de secours' : la dernière phrase dit que "</w:t>
      </w:r>
      <w:r>
        <w:rPr>
          <w:i/>
        </w:rPr>
        <w:t>[e]n cas de difficulté, le juge ou le conseil de famille, s'il a été constitué, statue</w:t>
      </w:r>
      <w:r>
        <w:t>"</w:t>
      </w:r>
      <w:hyperlink w:anchor="_bookmark29" w:history="1">
        <w:r>
          <w:rPr>
            <w:rStyle w:val="Hyperlink"/>
            <w:vertAlign w:val="superscript"/>
          </w:rPr>
          <w:t>30</w:t>
        </w:r>
      </w:hyperlink>
      <w:r>
        <w:t>.</w:t>
      </w:r>
    </w:p>
    <w:p w:rsidR="00000000" w:rsidRDefault="00B97F96">
      <w:pPr>
        <w:pStyle w:val="BodyText"/>
        <w:spacing w:before="5"/>
        <w:rPr>
          <w:sz w:val="17"/>
        </w:rPr>
      </w:pPr>
    </w:p>
    <w:p w:rsidR="00000000" w:rsidRDefault="00B97F96">
      <w:pPr>
        <w:pStyle w:val="BodyText"/>
        <w:spacing w:before="5"/>
        <w:rPr>
          <w:sz w:val="17"/>
        </w:rPr>
      </w:pPr>
    </w:p>
    <w:p w:rsidR="00000000" w:rsidRDefault="00B97F96">
      <w:pPr>
        <w:pStyle w:val="BodyText"/>
        <w:spacing w:before="5"/>
        <w:rPr>
          <w:sz w:val="17"/>
        </w:rPr>
      </w:pPr>
    </w:p>
    <w:p w:rsidR="00000000" w:rsidRDefault="00B97F96">
      <w:pPr>
        <w:pStyle w:val="BodyText"/>
        <w:spacing w:before="5"/>
        <w:rPr>
          <w:sz w:val="17"/>
        </w:rPr>
      </w:pPr>
    </w:p>
    <w:p w:rsidR="00000000" w:rsidRDefault="00B97F96">
      <w:pPr>
        <w:pStyle w:val="BodyText"/>
        <w:spacing w:before="5"/>
        <w:rPr>
          <w:sz w:val="17"/>
        </w:rPr>
      </w:pPr>
    </w:p>
    <w:p w:rsidR="00000000" w:rsidRDefault="00B97F96">
      <w:pPr>
        <w:pStyle w:val="BodyText"/>
        <w:spacing w:before="5"/>
        <w:rPr>
          <w:sz w:val="17"/>
        </w:rPr>
      </w:pPr>
    </w:p>
    <w:p w:rsidR="00000000" w:rsidRDefault="00B97F96">
      <w:pPr>
        <w:spacing w:before="18"/>
        <w:ind w:left="115"/>
        <w:rPr>
          <w:sz w:val="18"/>
          <w:szCs w:val="18"/>
        </w:rPr>
      </w:pPr>
    </w:p>
    <w:p w:rsidR="00000000" w:rsidRDefault="00B97F96">
      <w:pPr>
        <w:spacing w:before="2"/>
        <w:ind w:left="115"/>
        <w:rPr>
          <w:sz w:val="18"/>
          <w:szCs w:val="18"/>
        </w:rPr>
      </w:pPr>
      <w:r>
        <w:rPr>
          <w:sz w:val="18"/>
          <w:szCs w:val="18"/>
        </w:rPr>
        <w:t>26</w:t>
      </w:r>
      <w:bookmarkStart w:id="30" w:name="_bookmark25"/>
      <w:bookmarkEnd w:id="30"/>
      <w:r>
        <w:rPr>
          <w:sz w:val="18"/>
          <w:szCs w:val="18"/>
        </w:rPr>
        <w:t xml:space="preserve"> </w:t>
      </w:r>
      <w:r>
        <w:rPr>
          <w:i/>
          <w:sz w:val="18"/>
          <w:szCs w:val="18"/>
        </w:rPr>
        <w:t>Loi n°20</w:t>
      </w:r>
      <w:r>
        <w:rPr>
          <w:i/>
          <w:sz w:val="18"/>
          <w:szCs w:val="18"/>
        </w:rPr>
        <w:t xml:space="preserve">19-222 </w:t>
      </w:r>
      <w:r>
        <w:rPr>
          <w:sz w:val="18"/>
          <w:szCs w:val="18"/>
        </w:rPr>
        <w:t>(n 62) art 11</w:t>
      </w:r>
    </w:p>
    <w:p w:rsidR="00000000" w:rsidRDefault="00B97F96">
      <w:pPr>
        <w:pStyle w:val="ListParagraph"/>
        <w:numPr>
          <w:ilvl w:val="0"/>
          <w:numId w:val="5"/>
        </w:numPr>
        <w:tabs>
          <w:tab w:val="left" w:pos="400"/>
        </w:tabs>
        <w:ind w:hanging="285"/>
        <w:rPr>
          <w:sz w:val="18"/>
          <w:szCs w:val="18"/>
        </w:rPr>
      </w:pPr>
      <w:bookmarkStart w:id="31" w:name="_bookmark26"/>
      <w:bookmarkEnd w:id="31"/>
      <w:r>
        <w:rPr>
          <w:sz w:val="18"/>
          <w:szCs w:val="18"/>
        </w:rPr>
        <w:t>ibid art</w:t>
      </w:r>
      <w:r>
        <w:rPr>
          <w:spacing w:val="-1"/>
          <w:sz w:val="18"/>
          <w:szCs w:val="18"/>
        </w:rPr>
        <w:t xml:space="preserve"> </w:t>
      </w:r>
      <w:r>
        <w:rPr>
          <w:sz w:val="18"/>
          <w:szCs w:val="18"/>
        </w:rPr>
        <w:t>10</w:t>
      </w:r>
    </w:p>
    <w:p w:rsidR="00000000" w:rsidRDefault="00B97F96">
      <w:pPr>
        <w:pStyle w:val="ListParagraph"/>
        <w:numPr>
          <w:ilvl w:val="0"/>
          <w:numId w:val="5"/>
        </w:numPr>
        <w:tabs>
          <w:tab w:val="left" w:pos="400"/>
        </w:tabs>
        <w:spacing w:before="2"/>
        <w:ind w:right="443"/>
        <w:rPr>
          <w:sz w:val="18"/>
          <w:szCs w:val="18"/>
        </w:rPr>
      </w:pPr>
      <w:bookmarkStart w:id="32" w:name="_bookmark27"/>
      <w:bookmarkEnd w:id="32"/>
      <w:r>
        <w:rPr>
          <w:sz w:val="18"/>
          <w:szCs w:val="18"/>
        </w:rPr>
        <w:t xml:space="preserve">Ministère de l'Intérieur </w:t>
      </w:r>
      <w:r>
        <w:rPr>
          <w:i/>
          <w:sz w:val="18"/>
          <w:szCs w:val="18"/>
        </w:rPr>
        <w:t xml:space="preserve">Le vote des personnes handicapées </w:t>
      </w:r>
      <w:r>
        <w:rPr>
          <w:sz w:val="18"/>
          <w:szCs w:val="18"/>
        </w:rPr>
        <w:t>&lt;</w:t>
      </w:r>
      <w:hyperlink r:id="rId7" w:history="1">
        <w:r>
          <w:rPr>
            <w:rStyle w:val="Hyperlink"/>
            <w:color w:val="00007F"/>
            <w:sz w:val="18"/>
            <w:szCs w:val="18"/>
            <w:u w:color="000000"/>
          </w:rPr>
          <w:t>https://www.interieur.gouv.fr/Elections/Comment-</w:t>
        </w:r>
      </w:hyperlink>
      <w:hyperlink r:id="rId8" w:history="1">
        <w:r>
          <w:rPr>
            <w:rStyle w:val="Hyperlink"/>
            <w:color w:val="00007F"/>
            <w:sz w:val="18"/>
            <w:szCs w:val="18"/>
            <w:u w:color="000000"/>
          </w:rPr>
          <w:t xml:space="preserve"> voter/Le-vote-des-personnes-handicapees</w:t>
        </w:r>
      </w:hyperlink>
      <w:r>
        <w:rPr>
          <w:sz w:val="18"/>
          <w:szCs w:val="18"/>
        </w:rPr>
        <w:t>&gt;</w:t>
      </w:r>
    </w:p>
    <w:p w:rsidR="00000000" w:rsidRDefault="00B97F96">
      <w:pPr>
        <w:pStyle w:val="ListParagraph"/>
        <w:numPr>
          <w:ilvl w:val="0"/>
          <w:numId w:val="5"/>
        </w:numPr>
        <w:tabs>
          <w:tab w:val="left" w:pos="400"/>
        </w:tabs>
        <w:spacing w:before="2"/>
        <w:ind w:hanging="285"/>
        <w:rPr>
          <w:sz w:val="18"/>
          <w:szCs w:val="18"/>
        </w:rPr>
      </w:pPr>
      <w:bookmarkStart w:id="33" w:name="_bookmark28"/>
      <w:bookmarkEnd w:id="33"/>
      <w:r>
        <w:rPr>
          <w:sz w:val="18"/>
          <w:szCs w:val="18"/>
        </w:rPr>
        <w:t>CC art</w:t>
      </w:r>
      <w:r>
        <w:rPr>
          <w:spacing w:val="-1"/>
          <w:sz w:val="18"/>
          <w:szCs w:val="18"/>
        </w:rPr>
        <w:t xml:space="preserve"> </w:t>
      </w:r>
      <w:r>
        <w:rPr>
          <w:sz w:val="18"/>
          <w:szCs w:val="18"/>
        </w:rPr>
        <w:t>175</w:t>
      </w:r>
    </w:p>
    <w:p w:rsidR="00000000" w:rsidRDefault="00B97F96">
      <w:pPr>
        <w:pStyle w:val="ListParagraph"/>
        <w:numPr>
          <w:ilvl w:val="0"/>
          <w:numId w:val="5"/>
        </w:numPr>
        <w:tabs>
          <w:tab w:val="left" w:pos="400"/>
        </w:tabs>
        <w:spacing w:before="2"/>
        <w:ind w:hanging="285"/>
        <w:rPr>
          <w:sz w:val="33"/>
        </w:rPr>
      </w:pPr>
      <w:bookmarkStart w:id="34" w:name="_bookmark29"/>
      <w:bookmarkEnd w:id="34"/>
      <w:r>
        <w:rPr>
          <w:sz w:val="18"/>
          <w:szCs w:val="18"/>
        </w:rPr>
        <w:t>CC art</w:t>
      </w:r>
      <w:r>
        <w:rPr>
          <w:spacing w:val="-1"/>
          <w:sz w:val="18"/>
          <w:szCs w:val="18"/>
        </w:rPr>
        <w:t xml:space="preserve"> </w:t>
      </w:r>
      <w:r>
        <w:rPr>
          <w:sz w:val="18"/>
          <w:szCs w:val="18"/>
        </w:rPr>
        <w:t>459-2</w:t>
      </w:r>
    </w:p>
    <w:p w:rsidR="00000000" w:rsidRDefault="00B97F96">
      <w:pPr>
        <w:pStyle w:val="BodyText"/>
        <w:rPr>
          <w:sz w:val="33"/>
        </w:rPr>
      </w:pPr>
    </w:p>
    <w:p w:rsidR="00000000" w:rsidRDefault="00B97F96">
      <w:pPr>
        <w:pStyle w:val="BodyText"/>
        <w:spacing w:line="360" w:lineRule="auto"/>
        <w:ind w:left="115" w:right="95" w:firstLine="710"/>
        <w:rPr>
          <w:sz w:val="32"/>
        </w:rPr>
      </w:pPr>
      <w:r>
        <w:t>Très vite après la réforme de 2007, il a fallu " harmoniser " les contradictions : par un décret</w:t>
      </w:r>
      <w:r>
        <w:t xml:space="preserve"> spécial, le 31 décembre 2008, en toute discrétion et sans aucun débat, a été adoptée, par le Parlement, la Charte des droits et libertés de la personne protégée, placée dans l'annexe 4-3 du Code de l'action sociale et des familles (CASF)</w:t>
      </w:r>
      <w:hyperlink w:anchor="_bookmark30" w:history="1">
        <w:r>
          <w:rPr>
            <w:rStyle w:val="Hyperlink"/>
            <w:vertAlign w:val="superscript"/>
          </w:rPr>
          <w:t>31</w:t>
        </w:r>
      </w:hyperlink>
      <w:r>
        <w:t>. L'annexe, tout en réaffirmant officiellement le respect des droits des "</w:t>
      </w:r>
      <w:r>
        <w:rPr>
          <w:i/>
        </w:rPr>
        <w:t>personnes protégées</w:t>
      </w:r>
      <w:r>
        <w:t>", établit en fait une sorte de norme d'interprétation des dispositions réparties dans différents codes relatifs à la situation des personnes '</w:t>
      </w:r>
      <w:r>
        <w:rPr>
          <w:i/>
        </w:rPr>
        <w:t>prot</w:t>
      </w:r>
      <w:r>
        <w:rPr>
          <w:i/>
        </w:rPr>
        <w:t>égées</w:t>
      </w:r>
      <w:r>
        <w:t>'. L'article 4 (liberté des relations personnelles) et 7 (droit à l'autonomie) interprètent l'article 459-2 de la manière suivante : la personne a le droit de visiter et de séjourner chez les parents et amis de son choix et de choisir son lieu de rési</w:t>
      </w:r>
      <w:r>
        <w:t>dence "</w:t>
      </w:r>
      <w:r>
        <w:rPr>
          <w:b/>
          <w:i/>
        </w:rPr>
        <w:t xml:space="preserve">sauf décision contraire </w:t>
      </w:r>
      <w:r>
        <w:rPr>
          <w:i/>
        </w:rPr>
        <w:t xml:space="preserve">du conseil de famille ou du juge en cas de difficulté </w:t>
      </w:r>
      <w:r>
        <w:t>"</w:t>
      </w:r>
      <w:hyperlink w:anchor="_bookmark31" w:history="1">
        <w:r>
          <w:rPr>
            <w:rStyle w:val="Hyperlink"/>
            <w:vertAlign w:val="superscript"/>
          </w:rPr>
          <w:t>32</w:t>
        </w:r>
      </w:hyperlink>
      <w:r>
        <w:t>. L'objectif de la Charte n'est rien d'autre que l'affirmation du plein contrôle du juge sur le droit à l'autonomie, sans qu'aucun cadre</w:t>
      </w:r>
      <w:r>
        <w:t xml:space="preserve"> ne vienne réglementer ce pouvoir. La disposition de l'article 459-2 devient un droit sous condition et facilement dérogeable.</w:t>
      </w:r>
    </w:p>
    <w:p w:rsidR="00000000" w:rsidRDefault="00B97F96">
      <w:pPr>
        <w:pStyle w:val="BodyText"/>
        <w:spacing w:before="6"/>
        <w:rPr>
          <w:sz w:val="32"/>
        </w:rPr>
      </w:pPr>
    </w:p>
    <w:p w:rsidR="00000000" w:rsidRDefault="00B97F96">
      <w:pPr>
        <w:pStyle w:val="BodyText"/>
        <w:spacing w:line="360" w:lineRule="auto"/>
        <w:ind w:left="115" w:right="140" w:firstLine="710"/>
        <w:rPr>
          <w:sz w:val="32"/>
        </w:rPr>
      </w:pPr>
      <w:r>
        <w:t>L'arrêt de la Cour d'Appel de Douai du 17 avril 2014, non publié mais connu par la décision de la Cour de cassation devant laque</w:t>
      </w:r>
      <w:r>
        <w:t xml:space="preserve">lle il a été contesté par la requérante, a interprété l'article 459-2 comme permettant au tuteur de placer la personne dans un milieu segrégué " </w:t>
      </w:r>
      <w:r>
        <w:rPr>
          <w:i/>
        </w:rPr>
        <w:t xml:space="preserve">lorsque l'état de la personne protégée ne lui permet pas de prendre seule une décision personnelle éclairée </w:t>
      </w:r>
      <w:r>
        <w:t>"</w:t>
      </w:r>
      <w:hyperlink w:anchor="_bookmark32" w:history="1">
        <w:r>
          <w:rPr>
            <w:rStyle w:val="Hyperlink"/>
            <w:vertAlign w:val="superscript"/>
          </w:rPr>
          <w:t>33</w:t>
        </w:r>
      </w:hyperlink>
      <w:r>
        <w:t>. Une fois encore, la personne est censée être "i</w:t>
      </w:r>
      <w:r>
        <w:rPr>
          <w:i/>
        </w:rPr>
        <w:t xml:space="preserve">nformée </w:t>
      </w:r>
      <w:r>
        <w:t xml:space="preserve">" et prendre " </w:t>
      </w:r>
      <w:r>
        <w:rPr>
          <w:i/>
        </w:rPr>
        <w:t xml:space="preserve">seule </w:t>
      </w:r>
      <w:r>
        <w:t>" une décision, malgré la contradiction évidente de ce double impératif. Le même article a servi de base pour donner "</w:t>
      </w:r>
      <w:r>
        <w:rPr>
          <w:i/>
        </w:rPr>
        <w:t xml:space="preserve">le droit de visite </w:t>
      </w:r>
      <w:r>
        <w:t>[à la per</w:t>
      </w:r>
      <w:r>
        <w:t>sonne protégée]" à un tiers (le père de la personne). Une telle interprétation, sans aucun fondement juridique, est loin d'être isolée</w:t>
      </w:r>
      <w:hyperlink w:anchor="_bookmark33" w:history="1">
        <w:r>
          <w:rPr>
            <w:rStyle w:val="Hyperlink"/>
            <w:vertAlign w:val="superscript"/>
          </w:rPr>
          <w:t>34</w:t>
        </w:r>
        <w:r>
          <w:rPr>
            <w:rStyle w:val="Hyperlink"/>
          </w:rPr>
          <w:t xml:space="preserve"> </w:t>
        </w:r>
      </w:hyperlink>
      <w:r>
        <w:t>et témoigne de la persistance de l'approche paternaliste : le droit de visite, en effet</w:t>
      </w:r>
      <w:r>
        <w:t>, n'existe que pour les enfants en droit français.</w:t>
      </w:r>
    </w:p>
    <w:p w:rsidR="00000000" w:rsidRDefault="00B97F96">
      <w:pPr>
        <w:pStyle w:val="BodyText"/>
        <w:spacing w:before="6"/>
        <w:rPr>
          <w:sz w:val="32"/>
        </w:rPr>
      </w:pPr>
    </w:p>
    <w:p w:rsidR="00000000" w:rsidRDefault="00B97F96">
      <w:pPr>
        <w:pStyle w:val="BodyText"/>
        <w:spacing w:before="1" w:line="360" w:lineRule="auto"/>
        <w:ind w:left="115" w:right="105" w:firstLine="710"/>
        <w:rPr>
          <w:b/>
          <w:bCs/>
        </w:rPr>
      </w:pPr>
      <w:r>
        <w:t xml:space="preserve">Le récent arrêt de la Cour d'appel de Lyon suspend explicitement l'exercice des droits garantis par l'article 459-2 du CC à la condition de la capacité de la personne à former et exprimer " </w:t>
      </w:r>
      <w:r>
        <w:rPr>
          <w:i/>
        </w:rPr>
        <w:t>une opinion li</w:t>
      </w:r>
      <w:r>
        <w:rPr>
          <w:i/>
        </w:rPr>
        <w:t xml:space="preserve">bre et pertinente </w:t>
      </w:r>
      <w:r>
        <w:t>"</w:t>
      </w:r>
      <w:hyperlink w:anchor="_bookmark34" w:history="1">
        <w:r>
          <w:rPr>
            <w:rStyle w:val="Hyperlink"/>
            <w:vertAlign w:val="superscript"/>
          </w:rPr>
          <w:t>35</w:t>
        </w:r>
      </w:hyperlink>
      <w:r>
        <w:t xml:space="preserve">. Dans la mesure où la mesure de " </w:t>
      </w:r>
      <w:r>
        <w:rPr>
          <w:i/>
        </w:rPr>
        <w:t xml:space="preserve">protection </w:t>
      </w:r>
      <w:r>
        <w:t xml:space="preserve">" est décidée précisément lorsque la personne est réputée ne pas avoir cette capacité, toutes les garanties des droits de la personne " </w:t>
      </w:r>
      <w:r>
        <w:rPr>
          <w:i/>
        </w:rPr>
        <w:t xml:space="preserve">protégée </w:t>
      </w:r>
      <w:r>
        <w:t>" deviennent</w:t>
      </w:r>
      <w:r>
        <w:t xml:space="preserve"> une pure fiction puisque le seuil de " </w:t>
      </w:r>
      <w:r>
        <w:rPr>
          <w:i/>
        </w:rPr>
        <w:t xml:space="preserve">l'insanité d'esprit </w:t>
      </w:r>
      <w:r>
        <w:t xml:space="preserve">" qui permet l'établissement d'une tutelle, empêche en même temps l'exercice des droits civils par la personne " </w:t>
      </w:r>
      <w:r>
        <w:rPr>
          <w:i/>
        </w:rPr>
        <w:t xml:space="preserve">protégée </w:t>
      </w:r>
      <w:r>
        <w:t xml:space="preserve">". </w:t>
      </w:r>
    </w:p>
    <w:p w:rsidR="00000000" w:rsidRDefault="00B97F96">
      <w:pPr>
        <w:pStyle w:val="BodyText"/>
        <w:spacing w:before="1" w:line="360" w:lineRule="auto"/>
        <w:ind w:left="115" w:right="105" w:firstLine="710"/>
        <w:rPr>
          <w:b/>
          <w:bCs/>
        </w:rPr>
      </w:pPr>
    </w:p>
    <w:p w:rsidR="00000000" w:rsidRDefault="00B97F96">
      <w:pPr>
        <w:pStyle w:val="BodyText"/>
        <w:spacing w:before="1" w:line="360" w:lineRule="auto"/>
        <w:ind w:left="115" w:right="105" w:firstLine="710"/>
        <w:rPr>
          <w:sz w:val="20"/>
        </w:rPr>
      </w:pPr>
      <w:r>
        <w:rPr>
          <w:b/>
          <w:bCs/>
        </w:rPr>
        <w:t>En France, la personne avec des altérations cognitives doit prouver s</w:t>
      </w:r>
      <w:r>
        <w:rPr>
          <w:b/>
          <w:bCs/>
        </w:rPr>
        <w:t>a capacité à être actrice de sa propre vie, au lieu d'être soutenue dans l'exercice de sa capacité juridique. Cette exigence et l'absence de soutien rendent inopérantes toutes les déclarations décoratives sur les droits fondamentaux de la personne.</w:t>
      </w:r>
    </w:p>
    <w:p w:rsidR="00000000" w:rsidRDefault="00B97F96">
      <w:pPr>
        <w:pStyle w:val="BodyText"/>
        <w:rPr>
          <w:sz w:val="20"/>
        </w:rPr>
      </w:pPr>
    </w:p>
    <w:p w:rsidR="00000000" w:rsidRDefault="00B97F96">
      <w:pPr>
        <w:pStyle w:val="BodyText"/>
        <w:spacing w:before="9"/>
        <w:rPr>
          <w:sz w:val="18"/>
          <w:szCs w:val="18"/>
        </w:rPr>
      </w:pPr>
    </w:p>
    <w:p w:rsidR="00000000" w:rsidRDefault="00B97F96">
      <w:pPr>
        <w:pStyle w:val="ListParagraph"/>
        <w:numPr>
          <w:ilvl w:val="0"/>
          <w:numId w:val="5"/>
        </w:numPr>
        <w:tabs>
          <w:tab w:val="left" w:pos="400"/>
        </w:tabs>
        <w:ind w:hanging="285"/>
        <w:rPr>
          <w:sz w:val="18"/>
          <w:szCs w:val="18"/>
        </w:rPr>
      </w:pPr>
      <w:bookmarkStart w:id="35" w:name="_bookmark30"/>
      <w:bookmarkEnd w:id="35"/>
      <w:r>
        <w:rPr>
          <w:sz w:val="18"/>
          <w:szCs w:val="18"/>
        </w:rPr>
        <w:t xml:space="preserve">CASF </w:t>
      </w:r>
      <w:r>
        <w:rPr>
          <w:sz w:val="18"/>
          <w:szCs w:val="18"/>
        </w:rPr>
        <w:t>annexe 4-3</w:t>
      </w:r>
    </w:p>
    <w:p w:rsidR="00000000" w:rsidRDefault="00B97F96">
      <w:pPr>
        <w:pStyle w:val="ListParagraph"/>
        <w:numPr>
          <w:ilvl w:val="0"/>
          <w:numId w:val="5"/>
        </w:numPr>
        <w:tabs>
          <w:tab w:val="left" w:pos="400"/>
        </w:tabs>
        <w:spacing w:before="2"/>
        <w:ind w:hanging="285"/>
        <w:rPr>
          <w:i/>
          <w:sz w:val="18"/>
          <w:szCs w:val="18"/>
        </w:rPr>
      </w:pPr>
      <w:bookmarkStart w:id="36" w:name="_bookmark311"/>
      <w:bookmarkEnd w:id="36"/>
      <w:r>
        <w:rPr>
          <w:sz w:val="18"/>
          <w:szCs w:val="18"/>
        </w:rPr>
        <w:t>ibid, art 4,</w:t>
      </w:r>
      <w:r>
        <w:rPr>
          <w:spacing w:val="-1"/>
          <w:sz w:val="18"/>
          <w:szCs w:val="18"/>
        </w:rPr>
        <w:t xml:space="preserve"> </w:t>
      </w:r>
      <w:r>
        <w:rPr>
          <w:sz w:val="18"/>
          <w:szCs w:val="18"/>
        </w:rPr>
        <w:t>7</w:t>
      </w:r>
    </w:p>
    <w:p w:rsidR="00000000" w:rsidRDefault="00B97F96">
      <w:pPr>
        <w:pStyle w:val="ListParagraph"/>
        <w:numPr>
          <w:ilvl w:val="0"/>
          <w:numId w:val="5"/>
        </w:numPr>
        <w:tabs>
          <w:tab w:val="left" w:pos="400"/>
        </w:tabs>
        <w:ind w:hanging="285"/>
        <w:rPr>
          <w:sz w:val="18"/>
          <w:szCs w:val="18"/>
        </w:rPr>
      </w:pPr>
      <w:bookmarkStart w:id="37" w:name="_bookmark321"/>
      <w:bookmarkStart w:id="38" w:name="_bookmark32"/>
      <w:bookmarkEnd w:id="37"/>
      <w:bookmarkEnd w:id="38"/>
      <w:r>
        <w:rPr>
          <w:i/>
          <w:sz w:val="18"/>
          <w:szCs w:val="18"/>
        </w:rPr>
        <w:t xml:space="preserve">Cour de Cassation </w:t>
      </w:r>
      <w:r>
        <w:rPr>
          <w:sz w:val="18"/>
          <w:szCs w:val="18"/>
        </w:rPr>
        <w:t>14-17735, 9 November</w:t>
      </w:r>
      <w:r>
        <w:rPr>
          <w:spacing w:val="-1"/>
          <w:sz w:val="18"/>
          <w:szCs w:val="18"/>
        </w:rPr>
        <w:t xml:space="preserve"> </w:t>
      </w:r>
      <w:r>
        <w:rPr>
          <w:sz w:val="18"/>
          <w:szCs w:val="18"/>
        </w:rPr>
        <w:t>2016</w:t>
      </w:r>
    </w:p>
    <w:p w:rsidR="00000000" w:rsidRDefault="00B97F96">
      <w:pPr>
        <w:pStyle w:val="ListParagraph"/>
        <w:numPr>
          <w:ilvl w:val="0"/>
          <w:numId w:val="5"/>
        </w:numPr>
        <w:tabs>
          <w:tab w:val="left" w:pos="400"/>
        </w:tabs>
        <w:spacing w:before="2"/>
        <w:ind w:right="239"/>
        <w:rPr>
          <w:sz w:val="18"/>
          <w:szCs w:val="18"/>
        </w:rPr>
      </w:pPr>
      <w:bookmarkStart w:id="39" w:name="_bookmark33"/>
      <w:bookmarkEnd w:id="39"/>
      <w:r>
        <w:rPr>
          <w:sz w:val="18"/>
          <w:szCs w:val="18"/>
        </w:rPr>
        <w:t>Il est impossible de citer toutes les affaires dans lesquelles le "droit de visite et d'hébergement" d'une "personne protégée" est en jeu, d'autant plus que la plupart des affaires franç</w:t>
      </w:r>
      <w:r>
        <w:rPr>
          <w:sz w:val="18"/>
          <w:szCs w:val="18"/>
        </w:rPr>
        <w:t>aises de première instance et une grande partie</w:t>
      </w:r>
      <w:r>
        <w:rPr>
          <w:spacing w:val="-28"/>
          <w:sz w:val="18"/>
          <w:szCs w:val="18"/>
        </w:rPr>
        <w:t xml:space="preserve"> </w:t>
      </w:r>
      <w:r>
        <w:rPr>
          <w:sz w:val="18"/>
          <w:szCs w:val="18"/>
        </w:rPr>
        <w:t>de celles de la Cour d'appel ne sont jamais publiées ; c'est une pratique très courante, acceptée tant par des juges que par l'ensemble des justiciables et des</w:t>
      </w:r>
      <w:r>
        <w:rPr>
          <w:spacing w:val="-4"/>
          <w:sz w:val="18"/>
          <w:szCs w:val="18"/>
        </w:rPr>
        <w:t xml:space="preserve"> </w:t>
      </w:r>
      <w:r>
        <w:rPr>
          <w:sz w:val="18"/>
          <w:szCs w:val="18"/>
        </w:rPr>
        <w:t>avocats</w:t>
      </w:r>
    </w:p>
    <w:p w:rsidR="00000000" w:rsidRDefault="00B97F96">
      <w:pPr>
        <w:pStyle w:val="ListParagraph"/>
        <w:numPr>
          <w:ilvl w:val="0"/>
          <w:numId w:val="5"/>
        </w:numPr>
        <w:tabs>
          <w:tab w:val="left" w:pos="400"/>
        </w:tabs>
        <w:spacing w:before="4"/>
        <w:ind w:hanging="285"/>
        <w:sectPr w:rsidR="00000000">
          <w:pgSz w:w="11906" w:h="16838"/>
          <w:pgMar w:top="1060" w:right="1020" w:bottom="280" w:left="1020" w:header="720" w:footer="720" w:gutter="0"/>
          <w:cols w:space="720"/>
          <w:docGrid w:linePitch="240" w:charSpace="-2049"/>
        </w:sectPr>
      </w:pPr>
      <w:bookmarkStart w:id="40" w:name="_bookmark34"/>
      <w:bookmarkEnd w:id="40"/>
      <w:r>
        <w:rPr>
          <w:sz w:val="18"/>
          <w:szCs w:val="18"/>
        </w:rPr>
        <w:t>Arrêt de la 6</w:t>
      </w:r>
      <w:r>
        <w:rPr>
          <w:sz w:val="18"/>
          <w:szCs w:val="18"/>
          <w:vertAlign w:val="superscript"/>
        </w:rPr>
        <w:t>ème</w:t>
      </w:r>
      <w:r>
        <w:rPr>
          <w:sz w:val="18"/>
          <w:szCs w:val="18"/>
        </w:rPr>
        <w:t xml:space="preserve"> Chambre de la Cour d'Ap</w:t>
      </w:r>
      <w:r>
        <w:rPr>
          <w:sz w:val="18"/>
          <w:szCs w:val="18"/>
        </w:rPr>
        <w:t>pel de Lyon, RN 18/05076 (non-publié), 3 Mai</w:t>
      </w:r>
      <w:r>
        <w:rPr>
          <w:spacing w:val="2"/>
          <w:sz w:val="18"/>
          <w:szCs w:val="18"/>
        </w:rPr>
        <w:t xml:space="preserve"> </w:t>
      </w:r>
      <w:r>
        <w:rPr>
          <w:sz w:val="18"/>
          <w:szCs w:val="18"/>
        </w:rPr>
        <w:t>2019</w:t>
      </w:r>
    </w:p>
    <w:p w:rsidR="00000000" w:rsidRDefault="00B97F96">
      <w:pPr>
        <w:pStyle w:val="Heading1"/>
        <w:spacing w:before="64" w:line="360" w:lineRule="auto"/>
        <w:ind w:right="103"/>
      </w:pPr>
    </w:p>
    <w:p w:rsidR="00000000" w:rsidRDefault="00B97F96">
      <w:pPr>
        <w:pStyle w:val="BodyText"/>
        <w:spacing w:before="10"/>
        <w:rPr>
          <w:b/>
          <w:sz w:val="32"/>
        </w:rPr>
      </w:pPr>
    </w:p>
    <w:p w:rsidR="00000000" w:rsidRDefault="00B97F96">
      <w:pPr>
        <w:pStyle w:val="ListParagraph"/>
        <w:numPr>
          <w:ilvl w:val="1"/>
          <w:numId w:val="6"/>
        </w:numPr>
        <w:tabs>
          <w:tab w:val="left" w:pos="1210"/>
        </w:tabs>
        <w:rPr>
          <w:sz w:val="20"/>
        </w:rPr>
      </w:pPr>
      <w:r>
        <w:rPr>
          <w:u w:val="single"/>
        </w:rPr>
        <w:t>Le modèle de tutelle comme source de</w:t>
      </w:r>
      <w:r>
        <w:rPr>
          <w:spacing w:val="-4"/>
          <w:u w:val="single"/>
        </w:rPr>
        <w:t xml:space="preserve"> </w:t>
      </w:r>
      <w:r>
        <w:rPr>
          <w:u w:val="single"/>
        </w:rPr>
        <w:t>profit.</w:t>
      </w:r>
    </w:p>
    <w:p w:rsidR="00000000" w:rsidRDefault="00B97F96">
      <w:pPr>
        <w:pStyle w:val="BodyText"/>
        <w:rPr>
          <w:sz w:val="20"/>
        </w:rPr>
      </w:pPr>
    </w:p>
    <w:p w:rsidR="00000000" w:rsidRDefault="00B97F96">
      <w:pPr>
        <w:pStyle w:val="BodyText"/>
        <w:spacing w:before="1"/>
        <w:rPr>
          <w:sz w:val="16"/>
        </w:rPr>
      </w:pPr>
    </w:p>
    <w:p w:rsidR="00000000" w:rsidRDefault="00B97F96">
      <w:pPr>
        <w:pStyle w:val="BodyText"/>
        <w:spacing w:before="91" w:line="360" w:lineRule="auto"/>
        <w:ind w:left="115" w:right="105" w:firstLine="710"/>
        <w:rPr>
          <w:sz w:val="32"/>
        </w:rPr>
      </w:pPr>
      <w:r>
        <w:t>L'État évite de produire les statistiques et de partager celles qui sont disponibles. La Cour des Comptes a pourtant alerté, en 2016, sur l'augmentation inco</w:t>
      </w:r>
      <w:r>
        <w:t>ntrôlée du coût de la tutelle (700 millions d'euros en 2015, majoritairement à la charge de l'État)</w:t>
      </w:r>
      <w:hyperlink w:anchor="_bookmark35" w:history="1">
        <w:r>
          <w:rPr>
            <w:rStyle w:val="Hyperlink"/>
            <w:vertAlign w:val="superscript"/>
          </w:rPr>
          <w:t>36</w:t>
        </w:r>
        <w:r>
          <w:rPr>
            <w:rStyle w:val="Hyperlink"/>
          </w:rPr>
          <w:t xml:space="preserve"> </w:t>
        </w:r>
      </w:hyperlink>
      <w:r>
        <w:t>ainsi que sur l'accélération du nombre de nouvelles mesures depuis l'adoption de la loi de 2007, dont l'ambition était pré</w:t>
      </w:r>
      <w:r>
        <w:t>cisément de freiner cette croissance. Ce rapport mentionne le "</w:t>
      </w:r>
      <w:r>
        <w:rPr>
          <w:i/>
        </w:rPr>
        <w:t>risque pour les droits</w:t>
      </w:r>
      <w:r>
        <w:t>" et la "</w:t>
      </w:r>
      <w:r>
        <w:rPr>
          <w:i/>
        </w:rPr>
        <w:t>privation de liberté</w:t>
      </w:r>
      <w:r>
        <w:t>" des personnes sous tutelle et suggère que l'ensemble du système de tutelle est devenu une machine à profit avec une part toujours plus impor</w:t>
      </w:r>
      <w:r>
        <w:t>tante de mesures confiées aux "</w:t>
      </w:r>
      <w:r>
        <w:rPr>
          <w:i/>
        </w:rPr>
        <w:t>tuteurs professionnels</w:t>
      </w:r>
      <w:r>
        <w:t>", payés presque entièrement par l'État</w:t>
      </w:r>
      <w:hyperlink w:anchor="_bookmark36" w:history="1">
        <w:r>
          <w:rPr>
            <w:rStyle w:val="Hyperlink"/>
            <w:vertAlign w:val="superscript"/>
          </w:rPr>
          <w:t>37</w:t>
        </w:r>
      </w:hyperlink>
      <w:r>
        <w:t>.</w:t>
      </w:r>
    </w:p>
    <w:p w:rsidR="00000000" w:rsidRDefault="00B97F96">
      <w:pPr>
        <w:pStyle w:val="BodyText"/>
        <w:spacing w:before="7"/>
        <w:rPr>
          <w:sz w:val="32"/>
        </w:rPr>
      </w:pPr>
    </w:p>
    <w:p w:rsidR="00000000" w:rsidRDefault="00B97F96">
      <w:pPr>
        <w:pStyle w:val="ListParagraph"/>
        <w:numPr>
          <w:ilvl w:val="0"/>
          <w:numId w:val="12"/>
        </w:numPr>
        <w:tabs>
          <w:tab w:val="left" w:pos="1046"/>
        </w:tabs>
        <w:rPr>
          <w:sz w:val="20"/>
        </w:rPr>
      </w:pPr>
      <w:r>
        <w:rPr>
          <w:u w:val="single"/>
        </w:rPr>
        <w:t>Privation de liberté fondée sur le</w:t>
      </w:r>
      <w:r>
        <w:rPr>
          <w:spacing w:val="-6"/>
          <w:u w:val="single"/>
        </w:rPr>
        <w:t xml:space="preserve"> </w:t>
      </w:r>
      <w:r>
        <w:rPr>
          <w:u w:val="single"/>
        </w:rPr>
        <w:t>handicap</w:t>
      </w:r>
    </w:p>
    <w:p w:rsidR="00000000" w:rsidRDefault="00B97F96">
      <w:pPr>
        <w:pStyle w:val="BodyText"/>
        <w:rPr>
          <w:sz w:val="20"/>
        </w:rPr>
      </w:pPr>
    </w:p>
    <w:p w:rsidR="00000000" w:rsidRDefault="00B97F96">
      <w:pPr>
        <w:pStyle w:val="BodyText"/>
        <w:rPr>
          <w:sz w:val="16"/>
        </w:rPr>
      </w:pPr>
    </w:p>
    <w:p w:rsidR="00000000" w:rsidRDefault="00B97F96">
      <w:pPr>
        <w:pStyle w:val="BodyText"/>
        <w:spacing w:before="91" w:line="360" w:lineRule="auto"/>
        <w:ind w:left="115" w:right="128" w:firstLine="710"/>
        <w:rPr>
          <w:i/>
        </w:rPr>
      </w:pPr>
      <w:r>
        <w:t>La conséquence de la privation de la capacité juridique est une privation de libe</w:t>
      </w:r>
      <w:r>
        <w:t>rté à cause du handicap, comme indiqué dans l'Observation Générale n1 (§40). Bien que cela ne concerne pas uniquement la France, à la différence d'autres États européens, la France refuse de reconnaître les établissements médico- sociaux (EMS) comme des li</w:t>
      </w:r>
      <w:r>
        <w:t xml:space="preserve">eux de privation de liberté : la présentation du Contrôleur Général des lieux de privation de liberté le confirme. Les EMS sont souvent situés à la périphérie des villes, dans des zones reculées, avec accès sécurisé par des grilles. Bien que la liberté de </w:t>
      </w:r>
      <w:r>
        <w:t>mouvement soit garantie aux résidents des EMS</w:t>
      </w:r>
      <w:hyperlink w:anchor="_bookmark37" w:history="1">
        <w:r>
          <w:rPr>
            <w:rStyle w:val="Hyperlink"/>
            <w:vertAlign w:val="superscript"/>
          </w:rPr>
          <w:t>38</w:t>
        </w:r>
      </w:hyperlink>
      <w:r>
        <w:t>, dans la pratique, l'argument de la sécurité prévaut et pratiquement toutes les personnes avec des altérations cognitives dans les lieux segrégués en France subissent une priva</w:t>
      </w:r>
      <w:r>
        <w:t>tion de liberté au sens établi par la jurisprudence internationale. Contrairement aux hôpitaux psychiatriques, les EMS échappent à tout contrôle, étant relégués dans une zone juridique grise. Les EMS représentent un véritable angle mort : ni la société civ</w:t>
      </w:r>
      <w:r>
        <w:t>ile ni le Défenseur des Droits n'ont jamais manifesté le moindre intérêt pour ce qui se passe dans ces lieux, malgré un certain nombre d'alertes adressées par des familles des personnes et certains professionnels. Alors qu'au cours de la pandémie, une cert</w:t>
      </w:r>
      <w:r>
        <w:t>aine attention a été portée aux établissements d'hébergement pour personnes âgées (EHPAD) et aux problèmes liés à la restriction de la liberté de leurs résidents, il n'y a rien eu de semblable en ce qui concerne les établissements réservés aux personnes ha</w:t>
      </w:r>
      <w:r>
        <w:t>ndicapées.</w:t>
      </w:r>
    </w:p>
    <w:p w:rsidR="00000000" w:rsidRDefault="00B97F96">
      <w:pPr>
        <w:pStyle w:val="BodyText"/>
        <w:spacing w:before="91" w:line="360" w:lineRule="auto"/>
        <w:ind w:left="115" w:right="128" w:firstLine="710"/>
      </w:pPr>
      <w:r>
        <w:rPr>
          <w:i/>
        </w:rPr>
        <w:t xml:space="preserve">France disability </w:t>
      </w:r>
      <w:r>
        <w:t xml:space="preserve">avait introduit, au nom de l'association </w:t>
      </w:r>
      <w:r>
        <w:rPr>
          <w:i/>
        </w:rPr>
        <w:t>CLE-Autistes</w:t>
      </w:r>
      <w:r>
        <w:t>, un recours devant le Conseil  d'Etat contre la privation arbitraire de liberté des personnes en EMS lors du premier confinement en Mars 2020</w:t>
      </w:r>
      <w:hyperlink w:anchor="_bookmark38" w:history="1">
        <w:r>
          <w:rPr>
            <w:rStyle w:val="Hyperlink"/>
            <w:vertAlign w:val="superscript"/>
          </w:rPr>
          <w:t>3</w:t>
        </w:r>
        <w:r>
          <w:rPr>
            <w:rStyle w:val="Hyperlink"/>
            <w:vertAlign w:val="superscript"/>
          </w:rPr>
          <w:t>9</w:t>
        </w:r>
      </w:hyperlink>
      <w:r>
        <w:t xml:space="preserve">. </w:t>
      </w:r>
    </w:p>
    <w:p w:rsidR="00000000" w:rsidRDefault="00B97F96">
      <w:pPr>
        <w:ind w:left="826"/>
      </w:pPr>
    </w:p>
    <w:p w:rsidR="00000000" w:rsidRDefault="00B97F96">
      <w:pPr>
        <w:ind w:left="826"/>
      </w:pPr>
    </w:p>
    <w:p w:rsidR="00000000" w:rsidRDefault="00B97F96">
      <w:pPr>
        <w:ind w:left="826"/>
      </w:pPr>
    </w:p>
    <w:p w:rsidR="00000000" w:rsidRDefault="00B97F96">
      <w:pPr>
        <w:pStyle w:val="BodyText"/>
        <w:spacing w:before="7"/>
        <w:rPr>
          <w:sz w:val="15"/>
        </w:rPr>
      </w:pPr>
    </w:p>
    <w:p w:rsidR="00000000" w:rsidRDefault="00B97F96">
      <w:pPr>
        <w:pStyle w:val="ListParagraph"/>
        <w:numPr>
          <w:ilvl w:val="0"/>
          <w:numId w:val="5"/>
        </w:numPr>
        <w:tabs>
          <w:tab w:val="left" w:pos="400"/>
        </w:tabs>
        <w:spacing w:before="20"/>
        <w:ind w:right="545"/>
        <w:jc w:val="both"/>
        <w:rPr>
          <w:sz w:val="18"/>
          <w:szCs w:val="18"/>
        </w:rPr>
      </w:pPr>
      <w:bookmarkStart w:id="41" w:name="_bookmark35"/>
      <w:bookmarkEnd w:id="41"/>
      <w:r>
        <w:rPr>
          <w:sz w:val="18"/>
          <w:szCs w:val="18"/>
        </w:rPr>
        <w:t xml:space="preserve">Court des Comptes </w:t>
      </w:r>
      <w:r>
        <w:rPr>
          <w:i/>
          <w:sz w:val="18"/>
          <w:szCs w:val="18"/>
        </w:rPr>
        <w:t xml:space="preserve">Rapport: La protection juridique des majeurs: Une réforme ambitieuse, une mise en œuvre défaillante, </w:t>
      </w:r>
      <w:r>
        <w:rPr>
          <w:sz w:val="18"/>
          <w:szCs w:val="18"/>
        </w:rPr>
        <w:t>Communication à la Commission des finances, de l’économie générale et du contrôle budgétaire</w:t>
      </w:r>
      <w:r>
        <w:rPr>
          <w:spacing w:val="-28"/>
          <w:sz w:val="18"/>
          <w:szCs w:val="18"/>
        </w:rPr>
        <w:t xml:space="preserve"> </w:t>
      </w:r>
      <w:r>
        <w:rPr>
          <w:sz w:val="18"/>
          <w:szCs w:val="18"/>
        </w:rPr>
        <w:t>de l’Assemblée nationale (2016),</w:t>
      </w:r>
      <w:r>
        <w:rPr>
          <w:spacing w:val="-1"/>
          <w:sz w:val="18"/>
          <w:szCs w:val="18"/>
        </w:rPr>
        <w:t xml:space="preserve"> </w:t>
      </w:r>
      <w:r>
        <w:rPr>
          <w:sz w:val="18"/>
          <w:szCs w:val="18"/>
        </w:rPr>
        <w:t>10</w:t>
      </w:r>
    </w:p>
    <w:p w:rsidR="00000000" w:rsidRDefault="00B97F96">
      <w:pPr>
        <w:pStyle w:val="ListParagraph"/>
        <w:numPr>
          <w:ilvl w:val="0"/>
          <w:numId w:val="5"/>
        </w:numPr>
        <w:tabs>
          <w:tab w:val="left" w:pos="400"/>
        </w:tabs>
        <w:spacing w:before="2"/>
        <w:ind w:hanging="285"/>
        <w:jc w:val="both"/>
        <w:rPr>
          <w:sz w:val="18"/>
          <w:szCs w:val="18"/>
        </w:rPr>
      </w:pPr>
      <w:bookmarkStart w:id="42" w:name="_bookmark36"/>
      <w:bookmarkEnd w:id="42"/>
      <w:r>
        <w:rPr>
          <w:sz w:val="18"/>
          <w:szCs w:val="18"/>
        </w:rPr>
        <w:t>ibid</w:t>
      </w:r>
      <w:r>
        <w:rPr>
          <w:spacing w:val="-1"/>
          <w:sz w:val="18"/>
          <w:szCs w:val="18"/>
        </w:rPr>
        <w:t xml:space="preserve"> </w:t>
      </w:r>
      <w:r>
        <w:rPr>
          <w:sz w:val="18"/>
          <w:szCs w:val="18"/>
        </w:rPr>
        <w:t>11</w:t>
      </w:r>
    </w:p>
    <w:p w:rsidR="00000000" w:rsidRDefault="00B97F96">
      <w:pPr>
        <w:pStyle w:val="ListParagraph"/>
        <w:numPr>
          <w:ilvl w:val="0"/>
          <w:numId w:val="5"/>
        </w:numPr>
        <w:tabs>
          <w:tab w:val="left" w:pos="400"/>
        </w:tabs>
        <w:spacing w:before="2"/>
        <w:ind w:hanging="285"/>
        <w:jc w:val="both"/>
        <w:rPr>
          <w:i/>
          <w:sz w:val="18"/>
          <w:szCs w:val="18"/>
        </w:rPr>
      </w:pPr>
      <w:bookmarkStart w:id="43" w:name="_bookmark37"/>
      <w:bookmarkEnd w:id="43"/>
      <w:r>
        <w:rPr>
          <w:sz w:val="18"/>
          <w:szCs w:val="18"/>
        </w:rPr>
        <w:t>CASF art L.</w:t>
      </w:r>
      <w:r>
        <w:rPr>
          <w:spacing w:val="-2"/>
          <w:sz w:val="18"/>
          <w:szCs w:val="18"/>
        </w:rPr>
        <w:t xml:space="preserve"> </w:t>
      </w:r>
      <w:r>
        <w:rPr>
          <w:sz w:val="18"/>
          <w:szCs w:val="18"/>
        </w:rPr>
        <w:t>311–3</w:t>
      </w:r>
    </w:p>
    <w:p w:rsidR="00000000" w:rsidRDefault="00B97F96">
      <w:pPr>
        <w:pStyle w:val="ListParagraph"/>
        <w:numPr>
          <w:ilvl w:val="0"/>
          <w:numId w:val="5"/>
        </w:numPr>
        <w:tabs>
          <w:tab w:val="left" w:pos="400"/>
        </w:tabs>
        <w:spacing w:before="18"/>
        <w:sectPr w:rsidR="00000000">
          <w:pgSz w:w="11906" w:h="16838"/>
          <w:pgMar w:top="1060" w:right="1020" w:bottom="280" w:left="1020" w:header="720" w:footer="720" w:gutter="0"/>
          <w:cols w:space="720"/>
          <w:docGrid w:linePitch="240" w:charSpace="-2049"/>
        </w:sectPr>
      </w:pPr>
      <w:r>
        <w:rPr>
          <w:i/>
          <w:sz w:val="18"/>
          <w:szCs w:val="18"/>
        </w:rPr>
        <w:t xml:space="preserve">Conseil d'Etat </w:t>
      </w:r>
      <w:r>
        <w:rPr>
          <w:sz w:val="18"/>
          <w:szCs w:val="18"/>
        </w:rPr>
        <w:t>N 439822 &lt;</w:t>
      </w:r>
      <w:hyperlink r:id="rId9" w:history="1">
        <w:r>
          <w:rPr>
            <w:rStyle w:val="Hyperlink"/>
            <w:color w:val="00007F"/>
            <w:sz w:val="18"/>
            <w:szCs w:val="18"/>
            <w:u w:color="000000"/>
          </w:rPr>
          <w:t>https://www.legifrance.gouv.fr/affichJuriAdmin.do?</w:t>
        </w:r>
      </w:hyperlink>
      <w:hyperlink r:id="rId10" w:history="1">
        <w:r>
          <w:rPr>
            <w:rStyle w:val="Hyperlink"/>
            <w:color w:val="00007F"/>
            <w:sz w:val="18"/>
            <w:szCs w:val="18"/>
            <w:u w:color="000000"/>
          </w:rPr>
          <w:t xml:space="preserve"> </w:t>
        </w:r>
        <w:r>
          <w:rPr>
            <w:rStyle w:val="Hyperlink"/>
            <w:color w:val="00007F"/>
            <w:spacing w:val="-1"/>
            <w:sz w:val="18"/>
            <w:szCs w:val="18"/>
            <w:u w:color="000000"/>
          </w:rPr>
          <w:t>oldAction=rechJuriAdmin&amp;idTexte=CETATEXT000041808375&amp;fastReqId=1888570292&amp;fastPos=1</w:t>
        </w:r>
      </w:hyperlink>
      <w:r>
        <w:rPr>
          <w:spacing w:val="-1"/>
          <w:sz w:val="18"/>
          <w:szCs w:val="18"/>
        </w:rPr>
        <w:t>&gt;</w:t>
      </w:r>
    </w:p>
    <w:p w:rsidR="00000000" w:rsidRDefault="00B97F96">
      <w:pPr>
        <w:pStyle w:val="BodyText"/>
        <w:spacing w:before="64" w:line="360" w:lineRule="auto"/>
        <w:ind w:left="115" w:right="105"/>
        <w:rPr>
          <w:sz w:val="32"/>
        </w:rPr>
      </w:pPr>
      <w:r>
        <w:tab/>
        <w:t>Notre plainte a été rej</w:t>
      </w:r>
      <w:r>
        <w:t>etée au motif que cette privation n'a pas été décidée officiellement (par un acte de loi) mais sous forme de "</w:t>
      </w:r>
      <w:r>
        <w:rPr>
          <w:i/>
        </w:rPr>
        <w:t>recommandations</w:t>
      </w:r>
      <w:r>
        <w:t>" données aux directeurs des EMS. Nous fournissons, en annexe, la réponse du défendeur - le Ministre français de la santé Olivier V</w:t>
      </w:r>
      <w:r>
        <w:t>éran - qui déclare que l'enfermement des personnes en EMS (sans aucun droit de sortir à l'extérieur ni de contact direct avec la famille) a été "</w:t>
      </w:r>
      <w:r>
        <w:rPr>
          <w:i/>
        </w:rPr>
        <w:t xml:space="preserve">consenti </w:t>
      </w:r>
      <w:r>
        <w:t>": il explique ensuite qu'il a été demandé à chaque famille si elle souhaitait ou non accueillir son p</w:t>
      </w:r>
      <w:r>
        <w:t>arent handicapé pendant le confinement. Cette explication est une illustration flagrante de la manière dont la prise de décision substituée conduit à la privation de liberté, qui, de surcroît, ne peut pas être contestée juridiquement.</w:t>
      </w:r>
    </w:p>
    <w:p w:rsidR="00000000" w:rsidRDefault="00B97F96">
      <w:pPr>
        <w:pStyle w:val="BodyText"/>
        <w:spacing w:before="7"/>
        <w:rPr>
          <w:sz w:val="32"/>
        </w:rPr>
      </w:pPr>
    </w:p>
    <w:p w:rsidR="00000000" w:rsidRDefault="00B97F96">
      <w:pPr>
        <w:pStyle w:val="BodyText"/>
        <w:spacing w:line="360" w:lineRule="auto"/>
        <w:ind w:left="115" w:right="204" w:firstLine="710"/>
        <w:jc w:val="both"/>
      </w:pPr>
      <w:r>
        <w:t>Nous ne présenterons</w:t>
      </w:r>
      <w:r>
        <w:t xml:space="preserve"> pas ici en détail la question de l'institutionnalisation des enfants handicapés</w:t>
      </w:r>
      <w:r>
        <w:rPr>
          <w:spacing w:val="-36"/>
        </w:rPr>
        <w:t xml:space="preserve"> </w:t>
      </w:r>
      <w:r>
        <w:t>en France, mais nous reconnaissons que la tendance à la ségrégation et à l'exclusion de la société</w:t>
      </w:r>
      <w:r>
        <w:rPr>
          <w:spacing w:val="-35"/>
        </w:rPr>
        <w:t xml:space="preserve"> </w:t>
      </w:r>
      <w:r>
        <w:t>commence</w:t>
      </w:r>
    </w:p>
    <w:p w:rsidR="00000000" w:rsidRDefault="00B97F96">
      <w:pPr>
        <w:pStyle w:val="BodyText"/>
        <w:spacing w:line="360" w:lineRule="auto"/>
        <w:ind w:left="115" w:right="200"/>
        <w:jc w:val="both"/>
        <w:rPr>
          <w:i/>
        </w:rPr>
      </w:pPr>
      <w:r>
        <w:t>tôt</w:t>
      </w:r>
      <w:r>
        <w:rPr>
          <w:spacing w:val="-3"/>
        </w:rPr>
        <w:t xml:space="preserve"> </w:t>
      </w:r>
      <w:r>
        <w:t>:</w:t>
      </w:r>
      <w:r>
        <w:rPr>
          <w:spacing w:val="-2"/>
        </w:rPr>
        <w:t xml:space="preserve"> </w:t>
      </w:r>
      <w:r>
        <w:t>dès</w:t>
      </w:r>
      <w:r>
        <w:rPr>
          <w:spacing w:val="-3"/>
        </w:rPr>
        <w:t xml:space="preserve"> </w:t>
      </w:r>
      <w:r>
        <w:t>que l'enfant</w:t>
      </w:r>
      <w:r>
        <w:rPr>
          <w:spacing w:val="-3"/>
        </w:rPr>
        <w:t xml:space="preserve"> </w:t>
      </w:r>
      <w:r>
        <w:t>est</w:t>
      </w:r>
      <w:r>
        <w:rPr>
          <w:spacing w:val="-2"/>
        </w:rPr>
        <w:t xml:space="preserve"> </w:t>
      </w:r>
      <w:r>
        <w:t>considéré</w:t>
      </w:r>
      <w:r>
        <w:rPr>
          <w:spacing w:val="-4"/>
        </w:rPr>
        <w:t xml:space="preserve"> </w:t>
      </w:r>
      <w:r>
        <w:t>comme</w:t>
      </w:r>
      <w:r>
        <w:rPr>
          <w:spacing w:val="-3"/>
        </w:rPr>
        <w:t xml:space="preserve"> </w:t>
      </w:r>
      <w:r>
        <w:t>incapable</w:t>
      </w:r>
      <w:r>
        <w:rPr>
          <w:spacing w:val="-3"/>
        </w:rPr>
        <w:t xml:space="preserve"> </w:t>
      </w:r>
      <w:r>
        <w:t>de</w:t>
      </w:r>
      <w:r>
        <w:rPr>
          <w:spacing w:val="-1"/>
        </w:rPr>
        <w:t xml:space="preserve"> </w:t>
      </w:r>
      <w:r>
        <w:t>s'adapter</w:t>
      </w:r>
      <w:r>
        <w:rPr>
          <w:spacing w:val="-2"/>
        </w:rPr>
        <w:t xml:space="preserve"> </w:t>
      </w:r>
      <w:r>
        <w:t>à</w:t>
      </w:r>
      <w:r>
        <w:rPr>
          <w:spacing w:val="-2"/>
        </w:rPr>
        <w:t xml:space="preserve"> </w:t>
      </w:r>
      <w:r>
        <w:t>la</w:t>
      </w:r>
      <w:r>
        <w:rPr>
          <w:spacing w:val="-1"/>
        </w:rPr>
        <w:t xml:space="preserve"> </w:t>
      </w:r>
      <w:r>
        <w:t>société,</w:t>
      </w:r>
      <w:r>
        <w:rPr>
          <w:spacing w:val="-3"/>
        </w:rPr>
        <w:t xml:space="preserve"> </w:t>
      </w:r>
      <w:r>
        <w:t>lui trouver</w:t>
      </w:r>
      <w:r>
        <w:rPr>
          <w:spacing w:val="-3"/>
        </w:rPr>
        <w:t xml:space="preserve"> </w:t>
      </w:r>
      <w:r>
        <w:t>une</w:t>
      </w:r>
      <w:r>
        <w:rPr>
          <w:spacing w:val="-2"/>
        </w:rPr>
        <w:t xml:space="preserve"> </w:t>
      </w:r>
      <w:r>
        <w:t>"place"</w:t>
      </w:r>
      <w:r>
        <w:rPr>
          <w:spacing w:val="-4"/>
        </w:rPr>
        <w:t xml:space="preserve"> </w:t>
      </w:r>
      <w:r>
        <w:t>quelque part dans une structure "spécialisée" devient une préoccupation première. Comme l'admission des enfants</w:t>
      </w:r>
      <w:r>
        <w:rPr>
          <w:spacing w:val="-39"/>
        </w:rPr>
        <w:t xml:space="preserve"> </w:t>
      </w:r>
      <w:r>
        <w:t>en milieu spécialisé ne se fait qu'avec l'accord des parents, ceux (rares) qui résistent, voient souvent le</w:t>
      </w:r>
      <w:r>
        <w:t xml:space="preserve">urs droits parentaux restreints et perdent leur combat en même temps que leur enfant : la récente affaire </w:t>
      </w:r>
      <w:r>
        <w:rPr>
          <w:i/>
        </w:rPr>
        <w:t>Dupin</w:t>
      </w:r>
      <w:r>
        <w:rPr>
          <w:i/>
          <w:spacing w:val="-17"/>
        </w:rPr>
        <w:t xml:space="preserve"> </w:t>
      </w:r>
      <w:r>
        <w:rPr>
          <w:i/>
        </w:rPr>
        <w:t>c.</w:t>
      </w:r>
    </w:p>
    <w:p w:rsidR="00000000" w:rsidRDefault="00B97F96">
      <w:pPr>
        <w:pStyle w:val="BodyText"/>
        <w:spacing w:line="251" w:lineRule="exact"/>
        <w:ind w:left="115"/>
        <w:jc w:val="both"/>
        <w:rPr>
          <w:sz w:val="24"/>
        </w:rPr>
      </w:pPr>
      <w:r>
        <w:rPr>
          <w:i/>
        </w:rPr>
        <w:t xml:space="preserve">France </w:t>
      </w:r>
      <w:r>
        <w:t>présente un exemple très explicite de cette tendance</w:t>
      </w:r>
      <w:hyperlink w:anchor="_bookmark39" w:history="1">
        <w:r>
          <w:rPr>
            <w:rStyle w:val="Hyperlink"/>
            <w:vertAlign w:val="superscript"/>
          </w:rPr>
          <w:t>40</w:t>
        </w:r>
      </w:hyperlink>
      <w:r>
        <w:t>.</w:t>
      </w:r>
    </w:p>
    <w:p w:rsidR="00000000" w:rsidRDefault="00B97F96">
      <w:pPr>
        <w:pStyle w:val="BodyText"/>
        <w:rPr>
          <w:sz w:val="24"/>
        </w:rPr>
      </w:pPr>
    </w:p>
    <w:p w:rsidR="00000000" w:rsidRDefault="00B97F96">
      <w:pPr>
        <w:pStyle w:val="BodyText"/>
        <w:spacing w:before="10"/>
        <w:rPr>
          <w:sz w:val="19"/>
        </w:rPr>
      </w:pPr>
    </w:p>
    <w:p w:rsidR="00000000" w:rsidRDefault="00B97F96">
      <w:pPr>
        <w:pStyle w:val="BodyText"/>
        <w:spacing w:line="360" w:lineRule="auto"/>
        <w:ind w:left="115" w:right="149" w:firstLine="710"/>
        <w:rPr>
          <w:sz w:val="32"/>
        </w:rPr>
      </w:pPr>
      <w:r>
        <w:t xml:space="preserve">Le placement des majeurs " </w:t>
      </w:r>
      <w:r>
        <w:rPr>
          <w:i/>
        </w:rPr>
        <w:t xml:space="preserve">protégés </w:t>
      </w:r>
      <w:r>
        <w:t>" en dét</w:t>
      </w:r>
      <w:r>
        <w:t>ention se fait par simple accord du tuteur, sans décision judiciaire, suite à l'offre de "</w:t>
      </w:r>
      <w:r>
        <w:rPr>
          <w:i/>
        </w:rPr>
        <w:t xml:space="preserve">place </w:t>
      </w:r>
      <w:r>
        <w:t>" de la Commission de l'Autonomie (CDAPH) qui n'est pas une instance judiciaire et dont les décisions sont considérées comme une attribution de avantages sociau</w:t>
      </w:r>
      <w:r>
        <w:t>x. Elle ne peut être contestée comme une décision de privation de liberté, au-delà même du fait que la personne elle-même n'a pas la possibilité de le faire sans son tuteur et encore moins - contre son tuteur.</w:t>
      </w:r>
    </w:p>
    <w:p w:rsidR="00000000" w:rsidRDefault="00B97F96">
      <w:pPr>
        <w:pStyle w:val="BodyText"/>
        <w:spacing w:before="8"/>
        <w:rPr>
          <w:sz w:val="32"/>
        </w:rPr>
      </w:pPr>
    </w:p>
    <w:p w:rsidR="00000000" w:rsidRDefault="00B97F96">
      <w:pPr>
        <w:pStyle w:val="BodyText"/>
        <w:spacing w:line="360" w:lineRule="auto"/>
        <w:ind w:left="115" w:right="124" w:firstLine="710"/>
        <w:rPr>
          <w:sz w:val="32"/>
        </w:rPr>
      </w:pPr>
      <w:r>
        <w:t>Lorsque la famille qui n'est pas désignée com</w:t>
      </w:r>
      <w:r>
        <w:t>me tuteur parvient à contester un placement décidé par un tuteur professionnel, elle échoue parce que les juges français considèrent l'institutionnalisation comme une norme, et non comme une privation de liberté. Récemment, la Cour d'Appel de Lyon a été ob</w:t>
      </w:r>
      <w:r>
        <w:t>ligée de reconnaître le fait que la situation de T. placé par son tuteur, l'association GRIM (Lyon) dans la Maison d'Accueil Spécialisée (MAS Michel Chapuis, à Décines, dans la région de Lyon) équivaut à une privation de liberté.</w:t>
      </w:r>
      <w:r>
        <w:rPr>
          <w:spacing w:val="-3"/>
        </w:rPr>
        <w:t xml:space="preserve"> </w:t>
      </w:r>
      <w:r>
        <w:t>Cependant,</w:t>
      </w:r>
      <w:r>
        <w:rPr>
          <w:spacing w:val="-3"/>
        </w:rPr>
        <w:t xml:space="preserve"> </w:t>
      </w:r>
      <w:r>
        <w:t>au</w:t>
      </w:r>
      <w:r>
        <w:rPr>
          <w:spacing w:val="-4"/>
        </w:rPr>
        <w:t xml:space="preserve"> </w:t>
      </w:r>
      <w:r>
        <w:t>lieu</w:t>
      </w:r>
      <w:r>
        <w:rPr>
          <w:spacing w:val="-2"/>
        </w:rPr>
        <w:t xml:space="preserve"> </w:t>
      </w:r>
      <w:r>
        <w:t>d'ordon</w:t>
      </w:r>
      <w:r>
        <w:t>ner</w:t>
      </w:r>
      <w:r>
        <w:rPr>
          <w:spacing w:val="-3"/>
        </w:rPr>
        <w:t xml:space="preserve"> </w:t>
      </w:r>
      <w:r>
        <w:t>la</w:t>
      </w:r>
      <w:r>
        <w:rPr>
          <w:spacing w:val="-3"/>
        </w:rPr>
        <w:t xml:space="preserve"> </w:t>
      </w:r>
      <w:r>
        <w:t>libération</w:t>
      </w:r>
      <w:r>
        <w:rPr>
          <w:spacing w:val="-2"/>
        </w:rPr>
        <w:t xml:space="preserve"> </w:t>
      </w:r>
      <w:r>
        <w:t>T.,</w:t>
      </w:r>
      <w:r>
        <w:rPr>
          <w:spacing w:val="2"/>
        </w:rPr>
        <w:t xml:space="preserve"> </w:t>
      </w:r>
      <w:r>
        <w:rPr>
          <w:u w:val="single"/>
        </w:rPr>
        <w:t>la</w:t>
      </w:r>
      <w:r>
        <w:rPr>
          <w:spacing w:val="-4"/>
          <w:u w:val="single"/>
        </w:rPr>
        <w:t xml:space="preserve"> </w:t>
      </w:r>
      <w:r>
        <w:rPr>
          <w:u w:val="single"/>
        </w:rPr>
        <w:t>Cour</w:t>
      </w:r>
      <w:r>
        <w:rPr>
          <w:spacing w:val="-3"/>
          <w:u w:val="single"/>
        </w:rPr>
        <w:t xml:space="preserve"> </w:t>
      </w:r>
      <w:r>
        <w:rPr>
          <w:u w:val="single"/>
        </w:rPr>
        <w:t>a</w:t>
      </w:r>
      <w:r>
        <w:rPr>
          <w:spacing w:val="-4"/>
          <w:u w:val="single"/>
        </w:rPr>
        <w:t xml:space="preserve"> </w:t>
      </w:r>
      <w:r>
        <w:rPr>
          <w:u w:val="single"/>
        </w:rPr>
        <w:t>déclaré</w:t>
      </w:r>
      <w:r>
        <w:rPr>
          <w:spacing w:val="-4"/>
          <w:u w:val="single"/>
        </w:rPr>
        <w:t xml:space="preserve"> </w:t>
      </w:r>
      <w:r>
        <w:rPr>
          <w:u w:val="single"/>
        </w:rPr>
        <w:t>que</w:t>
      </w:r>
      <w:r>
        <w:rPr>
          <w:spacing w:val="-1"/>
          <w:u w:val="single"/>
        </w:rPr>
        <w:t xml:space="preserve"> </w:t>
      </w:r>
      <w:r>
        <w:rPr>
          <w:u w:val="single"/>
        </w:rPr>
        <w:t>cette</w:t>
      </w:r>
      <w:r>
        <w:rPr>
          <w:spacing w:val="-2"/>
          <w:u w:val="single"/>
        </w:rPr>
        <w:t xml:space="preserve"> </w:t>
      </w:r>
      <w:r>
        <w:rPr>
          <w:u w:val="single"/>
        </w:rPr>
        <w:t>privation</w:t>
      </w:r>
      <w:r>
        <w:rPr>
          <w:spacing w:val="-4"/>
          <w:u w:val="single"/>
        </w:rPr>
        <w:t xml:space="preserve"> </w:t>
      </w:r>
      <w:r>
        <w:rPr>
          <w:u w:val="single"/>
        </w:rPr>
        <w:t>n'est</w:t>
      </w:r>
      <w:r>
        <w:rPr>
          <w:spacing w:val="-3"/>
          <w:u w:val="single"/>
        </w:rPr>
        <w:t xml:space="preserve"> </w:t>
      </w:r>
      <w:r>
        <w:rPr>
          <w:u w:val="single"/>
        </w:rPr>
        <w:t>pas</w:t>
      </w:r>
      <w:r>
        <w:rPr>
          <w:spacing w:val="-3"/>
          <w:u w:val="single"/>
        </w:rPr>
        <w:t xml:space="preserve"> </w:t>
      </w:r>
      <w:r>
        <w:rPr>
          <w:u w:val="single"/>
        </w:rPr>
        <w:t>arbitraire</w:t>
      </w:r>
      <w:r>
        <w:t xml:space="preserve"> </w:t>
      </w:r>
      <w:r>
        <w:rPr>
          <w:u w:val="single"/>
        </w:rPr>
        <w:t>"</w:t>
      </w:r>
      <w:r>
        <w:rPr>
          <w:i/>
          <w:u w:val="single"/>
        </w:rPr>
        <w:t>car elle est consécutive à la pathologie de</w:t>
      </w:r>
      <w:r>
        <w:rPr>
          <w:i/>
          <w:spacing w:val="-4"/>
          <w:u w:val="single"/>
        </w:rPr>
        <w:t xml:space="preserve"> </w:t>
      </w:r>
      <w:r>
        <w:rPr>
          <w:i/>
          <w:u w:val="single"/>
        </w:rPr>
        <w:t>T</w:t>
      </w:r>
      <w:r>
        <w:rPr>
          <w:u w:val="single"/>
        </w:rPr>
        <w:t>"</w:t>
      </w:r>
      <w:hyperlink w:anchor="_bookmark40" w:history="1">
        <w:r>
          <w:rPr>
            <w:rStyle w:val="Hyperlink"/>
            <w:vertAlign w:val="superscript"/>
          </w:rPr>
          <w:t>41</w:t>
        </w:r>
      </w:hyperlink>
      <w:r>
        <w:t>.</w:t>
      </w:r>
    </w:p>
    <w:p w:rsidR="00000000" w:rsidRDefault="00B97F96">
      <w:pPr>
        <w:pStyle w:val="BodyText"/>
        <w:spacing w:before="8"/>
        <w:rPr>
          <w:sz w:val="32"/>
        </w:rPr>
      </w:pPr>
    </w:p>
    <w:p w:rsidR="00000000" w:rsidRDefault="00B97F96">
      <w:pPr>
        <w:pStyle w:val="BodyText"/>
        <w:spacing w:line="360" w:lineRule="auto"/>
        <w:ind w:left="115" w:firstLine="710"/>
      </w:pPr>
      <w:r>
        <w:t xml:space="preserve">Dans le "projet de vie" (sic !) de T. rédigé par l'équipe de la MAS, il est indiqué que T. </w:t>
      </w:r>
      <w:r>
        <w:t>est enfermé chaque nuit dans sa chambre, conformément à une "prescription médicale". Interrogé par les parents de T., le directeur de la MAS a déclaré que "c</w:t>
      </w:r>
      <w:r>
        <w:rPr>
          <w:i/>
        </w:rPr>
        <w:t>'est pour le bien de T</w:t>
      </w:r>
      <w:r>
        <w:t>.". Ni lui, ni l'avocat de la MAS, présent à la</w:t>
      </w:r>
    </w:p>
    <w:p w:rsidR="00000000" w:rsidRDefault="00B97F96">
      <w:pPr>
        <w:pStyle w:val="BodyText"/>
        <w:spacing w:before="9"/>
      </w:pPr>
    </w:p>
    <w:p w:rsidR="00000000" w:rsidRDefault="00B97F96">
      <w:pPr>
        <w:pStyle w:val="ListParagraph"/>
        <w:tabs>
          <w:tab w:val="left" w:pos="400"/>
        </w:tabs>
        <w:spacing w:before="18"/>
        <w:ind w:left="0" w:right="1129" w:firstLine="0"/>
      </w:pPr>
    </w:p>
    <w:p w:rsidR="00000000" w:rsidRDefault="00B97F96">
      <w:pPr>
        <w:pStyle w:val="ListParagraph"/>
        <w:tabs>
          <w:tab w:val="left" w:pos="400"/>
        </w:tabs>
        <w:spacing w:before="18"/>
        <w:ind w:left="0" w:right="1129" w:firstLine="0"/>
      </w:pPr>
    </w:p>
    <w:p w:rsidR="00000000" w:rsidRDefault="00B97F96">
      <w:pPr>
        <w:pStyle w:val="ListParagraph"/>
        <w:tabs>
          <w:tab w:val="left" w:pos="400"/>
        </w:tabs>
        <w:spacing w:before="18"/>
        <w:ind w:left="0" w:right="1129" w:firstLine="0"/>
        <w:rPr>
          <w:sz w:val="18"/>
          <w:szCs w:val="18"/>
        </w:rPr>
      </w:pPr>
    </w:p>
    <w:p w:rsidR="00000000" w:rsidRDefault="00B97F96">
      <w:pPr>
        <w:pStyle w:val="ListParagraph"/>
        <w:numPr>
          <w:ilvl w:val="0"/>
          <w:numId w:val="5"/>
        </w:numPr>
        <w:tabs>
          <w:tab w:val="left" w:pos="400"/>
        </w:tabs>
        <w:spacing w:line="250" w:lineRule="exact"/>
        <w:ind w:hanging="285"/>
        <w:rPr>
          <w:i/>
          <w:sz w:val="18"/>
          <w:szCs w:val="18"/>
        </w:rPr>
      </w:pPr>
      <w:bookmarkStart w:id="44" w:name="_bookmark391"/>
      <w:bookmarkStart w:id="45" w:name="_bookmark39"/>
      <w:bookmarkEnd w:id="44"/>
      <w:bookmarkEnd w:id="45"/>
      <w:r>
        <w:rPr>
          <w:i/>
          <w:sz w:val="18"/>
          <w:szCs w:val="18"/>
        </w:rPr>
        <w:t>Dupin v France</w:t>
      </w:r>
      <w:r>
        <w:rPr>
          <w:sz w:val="18"/>
          <w:szCs w:val="18"/>
        </w:rPr>
        <w:t xml:space="preserve">, CEDH app </w:t>
      </w:r>
      <w:r>
        <w:rPr>
          <w:sz w:val="18"/>
          <w:szCs w:val="18"/>
        </w:rPr>
        <w:t>no. 2282/17 , 18 Décembre</w:t>
      </w:r>
      <w:r>
        <w:rPr>
          <w:spacing w:val="-8"/>
          <w:sz w:val="18"/>
          <w:szCs w:val="18"/>
        </w:rPr>
        <w:t xml:space="preserve"> </w:t>
      </w:r>
      <w:r>
        <w:rPr>
          <w:sz w:val="18"/>
          <w:szCs w:val="18"/>
        </w:rPr>
        <w:t>2018</w:t>
      </w:r>
    </w:p>
    <w:p w:rsidR="00000000" w:rsidRDefault="00B97F96">
      <w:pPr>
        <w:pStyle w:val="ListParagraph"/>
        <w:numPr>
          <w:ilvl w:val="0"/>
          <w:numId w:val="5"/>
        </w:numPr>
        <w:tabs>
          <w:tab w:val="left" w:pos="400"/>
        </w:tabs>
        <w:spacing w:before="2"/>
        <w:ind w:hanging="285"/>
        <w:sectPr w:rsidR="00000000">
          <w:pgSz w:w="11906" w:h="16838"/>
          <w:pgMar w:top="1060" w:right="1020" w:bottom="280" w:left="1020" w:header="720" w:footer="720" w:gutter="0"/>
          <w:cols w:space="720"/>
          <w:docGrid w:linePitch="240" w:charSpace="-2049"/>
        </w:sectPr>
      </w:pPr>
      <w:bookmarkStart w:id="46" w:name="_bookmark401"/>
      <w:bookmarkStart w:id="47" w:name="_bookmark40"/>
      <w:bookmarkEnd w:id="46"/>
      <w:bookmarkEnd w:id="47"/>
      <w:r>
        <w:rPr>
          <w:i/>
          <w:sz w:val="18"/>
          <w:szCs w:val="18"/>
        </w:rPr>
        <w:t>6</w:t>
      </w:r>
      <w:r>
        <w:rPr>
          <w:i/>
          <w:sz w:val="18"/>
          <w:szCs w:val="18"/>
          <w:vertAlign w:val="superscript"/>
        </w:rPr>
        <w:t>th</w:t>
      </w:r>
      <w:r>
        <w:rPr>
          <w:i/>
          <w:sz w:val="18"/>
          <w:szCs w:val="18"/>
        </w:rPr>
        <w:t xml:space="preserve"> Chambre Cour d'Appel de Lyon, 27/01/2021, reg. number 20/04951 </w:t>
      </w:r>
      <w:r>
        <w:rPr>
          <w:sz w:val="18"/>
          <w:szCs w:val="18"/>
        </w:rPr>
        <w:t>(non published), p.</w:t>
      </w:r>
      <w:r>
        <w:rPr>
          <w:spacing w:val="1"/>
          <w:sz w:val="18"/>
          <w:szCs w:val="18"/>
        </w:rPr>
        <w:t xml:space="preserve"> </w:t>
      </w:r>
      <w:r>
        <w:rPr>
          <w:sz w:val="18"/>
          <w:szCs w:val="18"/>
        </w:rPr>
        <w:t>12</w:t>
      </w:r>
    </w:p>
    <w:p w:rsidR="00000000" w:rsidRDefault="00B97F96">
      <w:pPr>
        <w:pStyle w:val="BodyText"/>
        <w:spacing w:before="64" w:line="360" w:lineRule="auto"/>
        <w:ind w:left="115" w:right="105"/>
        <w:rPr>
          <w:sz w:val="32"/>
        </w:rPr>
      </w:pPr>
      <w:r>
        <w:t xml:space="preserve">réunion, ne savaient que l'isolement en dehors des établissements hospitaliers est illégal en France. Les nombreuses plaintes déposées </w:t>
      </w:r>
      <w:r>
        <w:t>par la famille de T. auprès de la juge des tutelles Mme Chaigne sont restées sans réponse, tout comme les plaintes déposées par T. lui-même, avec le soutien de sa famille, auprès du Procureur de la République. Le Défenseur des droits, saisi de l'affaire, n</w:t>
      </w:r>
      <w:r>
        <w:t>'est pas intervenu et a répondu, en substance, un an après, que seul le juge est compétent en la matière.</w:t>
      </w:r>
    </w:p>
    <w:p w:rsidR="00000000" w:rsidRDefault="00B97F96">
      <w:pPr>
        <w:pStyle w:val="BodyText"/>
        <w:spacing w:before="9"/>
        <w:rPr>
          <w:sz w:val="32"/>
        </w:rPr>
      </w:pPr>
    </w:p>
    <w:p w:rsidR="00000000" w:rsidRDefault="00B97F96">
      <w:pPr>
        <w:pStyle w:val="BodyText"/>
        <w:spacing w:line="360" w:lineRule="auto"/>
        <w:ind w:left="115" w:right="105" w:firstLine="710"/>
        <w:rPr>
          <w:sz w:val="32"/>
        </w:rPr>
      </w:pPr>
      <w:r>
        <w:t>La privation de liberté aggravée par un traitement dégradant (isolement de T. dans sa chambre, sans accès aux toilettes) se poursuit depuis plus de d</w:t>
      </w:r>
      <w:r>
        <w:t>eux ans et a même été 'formalisée' par le document (projet de vie), signé par le 'tuteur professionnel' de T. et donné à signer à T. lui-même, sans expliquer ce qu'il contient. Un tel cynisme fait partie intégrante du fonctionnement du système de "protecti</w:t>
      </w:r>
      <w:r>
        <w:t xml:space="preserve">on". Toutes les protestations que T. exprime contre sa situation conduisent à la répétition des 'sessions' d'isolement et à l'augmentation de sa contention chimique : il est actuellement sous médication forcée (sédation, neuroleptiques et antidépresseurs) </w:t>
      </w:r>
      <w:r>
        <w:t>qui est extrêmement lourde et dangereuse par les effets secondaires et en combinaison, et détruit la santé de T. chaque jour.</w:t>
      </w:r>
    </w:p>
    <w:p w:rsidR="00000000" w:rsidRDefault="00B97F96">
      <w:pPr>
        <w:pStyle w:val="BodyText"/>
        <w:spacing w:before="8"/>
        <w:rPr>
          <w:sz w:val="32"/>
        </w:rPr>
      </w:pPr>
    </w:p>
    <w:p w:rsidR="00000000" w:rsidRDefault="00B97F96">
      <w:pPr>
        <w:pStyle w:val="Heading1"/>
        <w:spacing w:line="360" w:lineRule="auto"/>
        <w:ind w:right="105"/>
        <w:rPr>
          <w:sz w:val="32"/>
        </w:rPr>
      </w:pPr>
      <w:r>
        <w:t>La France applique la privation de liberté fondée sur le handicap et le traitement inhumain en milieu isolé. En outre, et contrai</w:t>
      </w:r>
      <w:r>
        <w:t>rement au droit international et à la jurisprudence, le droit français n'offre aucune possibilité de contester la privation de liberté et le traitement inhumain. Les juges français ignorent non seulement la Convention mais aussi le sens juridique du mot "a</w:t>
      </w:r>
      <w:r>
        <w:t>rbitraire" appliqué à la privation de liberté.</w:t>
      </w:r>
    </w:p>
    <w:p w:rsidR="00000000" w:rsidRDefault="00B97F96">
      <w:pPr>
        <w:pStyle w:val="BodyText"/>
        <w:spacing w:before="9"/>
        <w:rPr>
          <w:b/>
          <w:sz w:val="32"/>
        </w:rPr>
      </w:pPr>
    </w:p>
    <w:p w:rsidR="00000000" w:rsidRDefault="00B97F96">
      <w:pPr>
        <w:pStyle w:val="ListParagraph"/>
        <w:numPr>
          <w:ilvl w:val="0"/>
          <w:numId w:val="12"/>
        </w:numPr>
        <w:tabs>
          <w:tab w:val="left" w:pos="1046"/>
        </w:tabs>
        <w:rPr>
          <w:sz w:val="20"/>
        </w:rPr>
      </w:pPr>
      <w:r>
        <w:rPr>
          <w:u w:val="single"/>
        </w:rPr>
        <w:t>Institutionnalisation</w:t>
      </w:r>
      <w:r>
        <w:rPr>
          <w:spacing w:val="-1"/>
          <w:u w:val="single"/>
        </w:rPr>
        <w:t xml:space="preserve"> </w:t>
      </w:r>
      <w:r>
        <w:rPr>
          <w:u w:val="single"/>
        </w:rPr>
        <w:t>dominante</w:t>
      </w:r>
    </w:p>
    <w:p w:rsidR="00000000" w:rsidRDefault="00B97F96">
      <w:pPr>
        <w:pStyle w:val="BodyText"/>
        <w:rPr>
          <w:sz w:val="20"/>
        </w:rPr>
      </w:pPr>
    </w:p>
    <w:p w:rsidR="00000000" w:rsidRDefault="00B97F96">
      <w:pPr>
        <w:pStyle w:val="BodyText"/>
        <w:rPr>
          <w:sz w:val="16"/>
        </w:rPr>
      </w:pPr>
    </w:p>
    <w:p w:rsidR="00000000" w:rsidRDefault="00B97F96">
      <w:pPr>
        <w:pStyle w:val="BodyText"/>
        <w:spacing w:before="91" w:line="360" w:lineRule="auto"/>
        <w:ind w:left="115" w:right="122" w:firstLine="710"/>
      </w:pPr>
      <w:r>
        <w:t>Jusqu'à présent, il n'existe pas de rapport officiel détaillé sur l'institutionnalisation des personnes handicapées</w:t>
      </w:r>
      <w:r>
        <w:rPr>
          <w:spacing w:val="-3"/>
        </w:rPr>
        <w:t xml:space="preserve"> </w:t>
      </w:r>
      <w:r>
        <w:t>en</w:t>
      </w:r>
      <w:r>
        <w:rPr>
          <w:spacing w:val="-2"/>
        </w:rPr>
        <w:t xml:space="preserve"> </w:t>
      </w:r>
      <w:r>
        <w:t>France.</w:t>
      </w:r>
      <w:r>
        <w:rPr>
          <w:spacing w:val="-3"/>
        </w:rPr>
        <w:t xml:space="preserve"> </w:t>
      </w:r>
      <w:r>
        <w:t>Ce</w:t>
      </w:r>
      <w:r>
        <w:rPr>
          <w:spacing w:val="-2"/>
        </w:rPr>
        <w:t xml:space="preserve"> </w:t>
      </w:r>
      <w:r>
        <w:t>simple</w:t>
      </w:r>
      <w:r>
        <w:rPr>
          <w:spacing w:val="-2"/>
        </w:rPr>
        <w:t xml:space="preserve"> </w:t>
      </w:r>
      <w:r>
        <w:t>fait</w:t>
      </w:r>
      <w:r>
        <w:rPr>
          <w:spacing w:val="-3"/>
        </w:rPr>
        <w:t xml:space="preserve"> </w:t>
      </w:r>
      <w:r>
        <w:t>est</w:t>
      </w:r>
      <w:r>
        <w:rPr>
          <w:spacing w:val="-3"/>
        </w:rPr>
        <w:t xml:space="preserve"> </w:t>
      </w:r>
      <w:r>
        <w:t>éloquent,</w:t>
      </w:r>
      <w:r>
        <w:rPr>
          <w:spacing w:val="-3"/>
        </w:rPr>
        <w:t xml:space="preserve"> </w:t>
      </w:r>
      <w:r>
        <w:t>car</w:t>
      </w:r>
      <w:r>
        <w:rPr>
          <w:spacing w:val="-3"/>
        </w:rPr>
        <w:t xml:space="preserve"> </w:t>
      </w:r>
      <w:r>
        <w:t>il</w:t>
      </w:r>
      <w:r>
        <w:rPr>
          <w:spacing w:val="-1"/>
        </w:rPr>
        <w:t xml:space="preserve"> </w:t>
      </w:r>
      <w:r>
        <w:t>suggère</w:t>
      </w:r>
      <w:r>
        <w:rPr>
          <w:spacing w:val="-4"/>
        </w:rPr>
        <w:t xml:space="preserve"> </w:t>
      </w:r>
      <w:r>
        <w:t>que</w:t>
      </w:r>
      <w:r>
        <w:rPr>
          <w:spacing w:val="-3"/>
        </w:rPr>
        <w:t xml:space="preserve"> </w:t>
      </w:r>
      <w:r>
        <w:t>la</w:t>
      </w:r>
      <w:r>
        <w:rPr>
          <w:spacing w:val="-4"/>
        </w:rPr>
        <w:t xml:space="preserve"> </w:t>
      </w:r>
      <w:r>
        <w:t>réalité,</w:t>
      </w:r>
      <w:r>
        <w:rPr>
          <w:spacing w:val="-3"/>
        </w:rPr>
        <w:t xml:space="preserve"> </w:t>
      </w:r>
      <w:r>
        <w:t>privée</w:t>
      </w:r>
      <w:r>
        <w:rPr>
          <w:spacing w:val="-4"/>
        </w:rPr>
        <w:t xml:space="preserve"> </w:t>
      </w:r>
      <w:r>
        <w:t>de</w:t>
      </w:r>
      <w:r>
        <w:rPr>
          <w:spacing w:val="-1"/>
        </w:rPr>
        <w:t xml:space="preserve"> </w:t>
      </w:r>
      <w:r>
        <w:t>la</w:t>
      </w:r>
      <w:r>
        <w:rPr>
          <w:spacing w:val="-2"/>
        </w:rPr>
        <w:t xml:space="preserve"> </w:t>
      </w:r>
      <w:r>
        <w:t>forme</w:t>
      </w:r>
      <w:r>
        <w:rPr>
          <w:spacing w:val="-2"/>
        </w:rPr>
        <w:t xml:space="preserve"> </w:t>
      </w:r>
      <w:r>
        <w:t>saisissable des faits, est reléguée à la lisière de l'intérêt et de la connaissance de la société. Les statistiques officielles les plus récentes indiquent qu'environ 5,2 milliards d'euros ont été dépensés en 2017 par les bu</w:t>
      </w:r>
      <w:r>
        <w:t>dgets régionaux pour le coût de " l'aide au logement "</w:t>
      </w:r>
      <w:hyperlink w:anchor="_bookmark41" w:history="1">
        <w:r>
          <w:rPr>
            <w:rStyle w:val="Hyperlink"/>
            <w:vertAlign w:val="superscript"/>
          </w:rPr>
          <w:t>42</w:t>
        </w:r>
        <w:r>
          <w:rPr>
            <w:rStyle w:val="Hyperlink"/>
          </w:rPr>
          <w:t xml:space="preserve"> </w:t>
        </w:r>
      </w:hyperlink>
      <w:r>
        <w:t>(comprenant uniquement le coût de l'entretien mais pas l'investissement dans de nouveaux bâtiments). Outre les collectivités régionales, il existe quatre autres instit</w:t>
      </w:r>
      <w:r>
        <w:t>utions de financement de ces coûts : L'État, la Sécurité sociale, la Caisse nationale pour l'autonomie et l'Association pour l'insertion professionnelle des personnes handicapées</w:t>
      </w:r>
      <w:hyperlink w:anchor="_bookmark42" w:history="1">
        <w:r>
          <w:rPr>
            <w:rStyle w:val="Hyperlink"/>
            <w:vertAlign w:val="superscript"/>
          </w:rPr>
          <w:t>43</w:t>
        </w:r>
      </w:hyperlink>
      <w:r>
        <w:t>. Le budget annuel total consacré aux établi</w:t>
      </w:r>
      <w:r>
        <w:t>ssements est donc difficile à chiffrer, car aucune de ces instances ne publie de statistiques complètes sur leurs dépenses. Comme le financement régional représente généralement la moitié des dépenses totales</w:t>
      </w:r>
      <w:hyperlink w:anchor="_bookmark43" w:history="1">
        <w:r>
          <w:rPr>
            <w:rStyle w:val="Hyperlink"/>
            <w:vertAlign w:val="superscript"/>
          </w:rPr>
          <w:t>44</w:t>
        </w:r>
      </w:hyperlink>
      <w:r>
        <w:t xml:space="preserve">, il y a lieu </w:t>
      </w:r>
      <w:r>
        <w:t>de penser que le budget annuel dépasse les 10 milliards d'euros. Sur les 5,2 milliards mentionnés, environ 5,13 ont été alloués à des structures ségréguées, laissant le 0,07 restant</w:t>
      </w:r>
      <w:r>
        <w:rPr>
          <w:spacing w:val="-34"/>
        </w:rPr>
        <w:t xml:space="preserve"> </w:t>
      </w:r>
      <w:r>
        <w:t>pour</w:t>
      </w:r>
    </w:p>
    <w:p w:rsidR="00000000" w:rsidRDefault="00B97F96">
      <w:pPr>
        <w:pStyle w:val="BodyText"/>
        <w:spacing w:before="91" w:line="360" w:lineRule="auto"/>
        <w:ind w:left="115" w:right="122" w:firstLine="710"/>
      </w:pPr>
    </w:p>
    <w:p w:rsidR="00000000" w:rsidRDefault="00B97F96">
      <w:pPr>
        <w:pStyle w:val="ListParagraph"/>
        <w:numPr>
          <w:ilvl w:val="0"/>
          <w:numId w:val="5"/>
        </w:numPr>
        <w:tabs>
          <w:tab w:val="left" w:pos="500"/>
        </w:tabs>
        <w:spacing w:before="20"/>
        <w:ind w:left="500" w:hanging="385"/>
        <w:rPr>
          <w:sz w:val="18"/>
          <w:szCs w:val="18"/>
        </w:rPr>
      </w:pPr>
      <w:bookmarkStart w:id="48" w:name="_bookmark411"/>
      <w:bookmarkEnd w:id="48"/>
      <w:r>
        <w:rPr>
          <w:sz w:val="18"/>
          <w:szCs w:val="18"/>
        </w:rPr>
        <w:t xml:space="preserve">Ministère des Solidarités et de santé </w:t>
      </w:r>
      <w:r>
        <w:rPr>
          <w:i/>
          <w:sz w:val="18"/>
          <w:szCs w:val="18"/>
        </w:rPr>
        <w:t xml:space="preserve">L’aide sociale départementale </w:t>
      </w:r>
      <w:r>
        <w:rPr>
          <w:i/>
          <w:sz w:val="18"/>
          <w:szCs w:val="18"/>
        </w:rPr>
        <w:t>aux personnes</w:t>
      </w:r>
      <w:r>
        <w:rPr>
          <w:i/>
          <w:spacing w:val="-5"/>
          <w:sz w:val="18"/>
          <w:szCs w:val="18"/>
        </w:rPr>
        <w:t xml:space="preserve"> </w:t>
      </w:r>
      <w:r>
        <w:rPr>
          <w:i/>
          <w:sz w:val="18"/>
          <w:szCs w:val="18"/>
        </w:rPr>
        <w:t>handicapées</w:t>
      </w:r>
    </w:p>
    <w:p w:rsidR="00000000" w:rsidRDefault="00B97F96">
      <w:pPr>
        <w:ind w:left="400"/>
        <w:rPr>
          <w:i/>
          <w:sz w:val="18"/>
          <w:szCs w:val="18"/>
        </w:rPr>
      </w:pPr>
      <w:r>
        <w:rPr>
          <w:sz w:val="18"/>
          <w:szCs w:val="18"/>
        </w:rPr>
        <w:t>&lt;</w:t>
      </w:r>
      <w:hyperlink r:id="rId11" w:history="1">
        <w:r>
          <w:rPr>
            <w:rStyle w:val="Hyperlink"/>
            <w:color w:val="00007F"/>
            <w:sz w:val="18"/>
            <w:szCs w:val="18"/>
          </w:rPr>
          <w:t>https://drees.solidarites-sante.gouv.fr/IMG/pdf/20-17.pdf</w:t>
        </w:r>
      </w:hyperlink>
      <w:r>
        <w:rPr>
          <w:sz w:val="18"/>
          <w:szCs w:val="18"/>
        </w:rPr>
        <w:t>&gt;</w:t>
      </w:r>
    </w:p>
    <w:p w:rsidR="00000000" w:rsidRDefault="00B97F96">
      <w:pPr>
        <w:pStyle w:val="ListParagraph"/>
        <w:numPr>
          <w:ilvl w:val="0"/>
          <w:numId w:val="5"/>
        </w:numPr>
        <w:tabs>
          <w:tab w:val="left" w:pos="400"/>
        </w:tabs>
        <w:spacing w:before="2"/>
        <w:ind w:hanging="285"/>
        <w:rPr>
          <w:sz w:val="18"/>
          <w:szCs w:val="18"/>
        </w:rPr>
      </w:pPr>
      <w:bookmarkStart w:id="49" w:name="_bookmark421"/>
      <w:bookmarkStart w:id="50" w:name="_bookmark42"/>
      <w:bookmarkEnd w:id="49"/>
      <w:bookmarkEnd w:id="50"/>
      <w:r>
        <w:rPr>
          <w:i/>
          <w:sz w:val="18"/>
          <w:szCs w:val="18"/>
        </w:rPr>
        <w:t xml:space="preserve">Qui finance la prise en charge du handicap et de la dépendence? Fiche thématique </w:t>
      </w:r>
      <w:r>
        <w:rPr>
          <w:sz w:val="18"/>
          <w:szCs w:val="18"/>
        </w:rPr>
        <w:t>(17 June</w:t>
      </w:r>
      <w:r>
        <w:rPr>
          <w:spacing w:val="-5"/>
          <w:sz w:val="18"/>
          <w:szCs w:val="18"/>
        </w:rPr>
        <w:t xml:space="preserve"> </w:t>
      </w:r>
      <w:r>
        <w:rPr>
          <w:sz w:val="18"/>
          <w:szCs w:val="18"/>
        </w:rPr>
        <w:t>2016)</w:t>
      </w:r>
    </w:p>
    <w:p w:rsidR="00000000" w:rsidRDefault="00B97F96">
      <w:pPr>
        <w:ind w:left="115" w:right="392" w:firstLine="284"/>
        <w:sectPr w:rsidR="00000000">
          <w:pgSz w:w="11906" w:h="16838"/>
          <w:pgMar w:top="1060" w:right="1020" w:bottom="280" w:left="1020" w:header="720" w:footer="720" w:gutter="0"/>
          <w:cols w:space="720"/>
          <w:docGrid w:linePitch="240" w:charSpace="-2049"/>
        </w:sectPr>
      </w:pPr>
      <w:r>
        <w:rPr>
          <w:sz w:val="18"/>
          <w:szCs w:val="18"/>
        </w:rPr>
        <w:t>&lt;</w:t>
      </w:r>
      <w:hyperlink r:id="rId12" w:history="1">
        <w:r>
          <w:rPr>
            <w:rStyle w:val="Hyperlink"/>
            <w:color w:val="00007F"/>
            <w:sz w:val="18"/>
            <w:szCs w:val="18"/>
            <w:u w:color="000000"/>
          </w:rPr>
          <w:t>https://www.vie-publique.fr/fiches/262485-qui-finance-la-prise-en-charge-du-handicap-et-de-la-dependance</w:t>
        </w:r>
      </w:hyperlink>
      <w:r>
        <w:rPr>
          <w:sz w:val="18"/>
          <w:szCs w:val="18"/>
        </w:rPr>
        <w:t>&gt; 44</w:t>
      </w:r>
      <w:bookmarkStart w:id="51" w:name="_bookmark43"/>
      <w:bookmarkEnd w:id="51"/>
      <w:r>
        <w:rPr>
          <w:sz w:val="18"/>
          <w:szCs w:val="18"/>
        </w:rPr>
        <w:t xml:space="preserve"> </w:t>
      </w:r>
      <w:r>
        <w:rPr>
          <w:color w:val="101010"/>
          <w:sz w:val="18"/>
          <w:szCs w:val="18"/>
        </w:rPr>
        <w:t xml:space="preserve">Alain Piffaretti </w:t>
      </w:r>
      <w:r>
        <w:rPr>
          <w:i/>
          <w:color w:val="101010"/>
          <w:sz w:val="18"/>
          <w:szCs w:val="18"/>
        </w:rPr>
        <w:t>'Les Mur</w:t>
      </w:r>
      <w:r>
        <w:rPr>
          <w:i/>
          <w:color w:val="101010"/>
          <w:sz w:val="18"/>
          <w:szCs w:val="18"/>
        </w:rPr>
        <w:t>eaux : une plate-forme innovante pour adultes autistes</w:t>
      </w:r>
      <w:r>
        <w:rPr>
          <w:color w:val="101010"/>
          <w:sz w:val="18"/>
          <w:szCs w:val="18"/>
        </w:rPr>
        <w:t xml:space="preserve">' </w:t>
      </w:r>
      <w:r>
        <w:rPr>
          <w:i/>
          <w:color w:val="101010"/>
          <w:sz w:val="18"/>
          <w:szCs w:val="18"/>
        </w:rPr>
        <w:t>Les Echos</w:t>
      </w:r>
      <w:r>
        <w:rPr>
          <w:color w:val="101010"/>
          <w:sz w:val="18"/>
          <w:szCs w:val="18"/>
        </w:rPr>
        <w:t>(12 Novembre 2019)</w:t>
      </w:r>
    </w:p>
    <w:p w:rsidR="00000000" w:rsidRDefault="00B97F96">
      <w:pPr>
        <w:pStyle w:val="BodyText"/>
        <w:spacing w:before="64" w:line="360" w:lineRule="auto"/>
        <w:ind w:left="115"/>
      </w:pPr>
      <w:r>
        <w:t>les personnes vivant dans la communauté</w:t>
      </w:r>
      <w:hyperlink w:anchor="_bookmark44" w:history="1">
        <w:r>
          <w:rPr>
            <w:rStyle w:val="Hyperlink"/>
            <w:vertAlign w:val="superscript"/>
          </w:rPr>
          <w:t>45</w:t>
        </w:r>
      </w:hyperlink>
      <w:r>
        <w:t>. Le montant annuel alloué par personne varie entre 3000€ et 8000€</w:t>
      </w:r>
      <w:hyperlink w:anchor="_bookmark45" w:history="1">
        <w:r>
          <w:rPr>
            <w:rStyle w:val="Hyperlink"/>
            <w:vertAlign w:val="superscript"/>
          </w:rPr>
          <w:t>46</w:t>
        </w:r>
      </w:hyperlink>
      <w:r>
        <w:t>: une telle “générosité” exclut d'emblée les personnes ayant des besoins complexes de ces projets.</w:t>
      </w:r>
    </w:p>
    <w:p w:rsidR="00000000" w:rsidRDefault="00B97F96">
      <w:pPr>
        <w:pStyle w:val="BodyText"/>
        <w:spacing w:before="64" w:line="360" w:lineRule="auto"/>
        <w:ind w:left="115"/>
      </w:pPr>
    </w:p>
    <w:p w:rsidR="00000000" w:rsidRDefault="00B97F96">
      <w:pPr>
        <w:pStyle w:val="BodyText"/>
        <w:spacing w:line="360" w:lineRule="auto"/>
        <w:ind w:left="115" w:right="93" w:firstLine="710"/>
        <w:rPr>
          <w:sz w:val="32"/>
        </w:rPr>
      </w:pPr>
      <w:r>
        <w:t>Les établissements spécialisés représentent une part très importante de l'économie française, générant des centaines de milliers d'emplois ; la presse nati</w:t>
      </w:r>
      <w:r>
        <w:t>onale présente les futures institutions pour personnes handicapées avant tout comme source d'emplois pour les personnes non handicapées. C'est le cas de l'article dans '</w:t>
      </w:r>
      <w:r>
        <w:rPr>
          <w:i/>
        </w:rPr>
        <w:t xml:space="preserve">Les Echos' </w:t>
      </w:r>
      <w:r>
        <w:t>qui mentionne, en sous-titre, les 250 emplois qui seront créés sur la "</w:t>
      </w:r>
      <w:r>
        <w:rPr>
          <w:i/>
        </w:rPr>
        <w:t>plate</w:t>
      </w:r>
      <w:r>
        <w:rPr>
          <w:i/>
        </w:rPr>
        <w:t>forme innovante pour adultes autistes</w:t>
      </w:r>
      <w:r>
        <w:t>", vaste institution de plus de 150 places qui ouvrira ses portes en 2021. Son ouverture est justifiée, selon l'article, par l'objectif "</w:t>
      </w:r>
      <w:r>
        <w:rPr>
          <w:i/>
        </w:rPr>
        <w:t xml:space="preserve">d'éviter le départ </w:t>
      </w:r>
      <w:r>
        <w:t xml:space="preserve">[des personnes handicapées] </w:t>
      </w:r>
      <w:r>
        <w:rPr>
          <w:i/>
        </w:rPr>
        <w:t>en Belgique</w:t>
      </w:r>
      <w:r>
        <w:t>"</w:t>
      </w:r>
      <w:hyperlink w:anchor="_bookmark46" w:history="1">
        <w:r>
          <w:rPr>
            <w:rStyle w:val="Hyperlink"/>
            <w:vertAlign w:val="superscript"/>
          </w:rPr>
          <w:t>47</w:t>
        </w:r>
      </w:hyperlink>
      <w:r>
        <w:t>. En réalité, le nombre de Français placés dans des établissements belges, au lieu de diminuer, augmente : leur nombre est passé de 1575 en 2005, à 7892 en 2018</w:t>
      </w:r>
      <w:hyperlink w:anchor="_bookmark47" w:history="1">
        <w:r>
          <w:rPr>
            <w:rStyle w:val="Hyperlink"/>
            <w:vertAlign w:val="superscript"/>
          </w:rPr>
          <w:t>48</w:t>
        </w:r>
        <w:r>
          <w:rPr>
            <w:rStyle w:val="Hyperlink"/>
          </w:rPr>
          <w:t xml:space="preserve"> </w:t>
        </w:r>
      </w:hyperlink>
      <w:hyperlink w:anchor="_bookmark48" w:history="1">
        <w:r>
          <w:rPr>
            <w:rStyle w:val="Hyperlink"/>
            <w:vertAlign w:val="superscript"/>
          </w:rPr>
          <w:t>49</w:t>
        </w:r>
      </w:hyperlink>
      <w:r>
        <w:t>. Sur la même pé</w:t>
      </w:r>
      <w:r>
        <w:t>riode, le nombre de places en institutions a doublé en France</w:t>
      </w:r>
      <w:hyperlink w:anchor="_bookmark49" w:history="1">
        <w:r>
          <w:rPr>
            <w:rStyle w:val="Hyperlink"/>
            <w:vertAlign w:val="superscript"/>
          </w:rPr>
          <w:t>50</w:t>
        </w:r>
      </w:hyperlink>
      <w:r>
        <w:t xml:space="preserve">. En décembre 2018, il y avait, selon les statistiques officielles, environ 21 741 structures à travers le pays, avec 877 146 places pour les personnes âgées et </w:t>
      </w:r>
      <w:r>
        <w:t>494 000 pour les personnes handicapées</w:t>
      </w:r>
      <w:hyperlink w:anchor="_bookmark50" w:history="1">
        <w:r>
          <w:rPr>
            <w:rStyle w:val="Hyperlink"/>
            <w:vertAlign w:val="superscript"/>
          </w:rPr>
          <w:t>51</w:t>
        </w:r>
      </w:hyperlink>
      <w:r>
        <w:t>.</w:t>
      </w:r>
    </w:p>
    <w:p w:rsidR="00000000" w:rsidRDefault="00B97F96">
      <w:pPr>
        <w:pStyle w:val="BodyText"/>
        <w:spacing w:before="5"/>
        <w:rPr>
          <w:sz w:val="32"/>
        </w:rPr>
      </w:pPr>
    </w:p>
    <w:p w:rsidR="00000000" w:rsidRDefault="00B97F96">
      <w:pPr>
        <w:pStyle w:val="BodyText"/>
        <w:spacing w:line="360" w:lineRule="auto"/>
        <w:ind w:left="115" w:right="105" w:firstLine="710"/>
      </w:pPr>
      <w:r>
        <w:t>La plupart des institutions en France sont gérées par des associations-gestionnaires, telles que l'UNAPEI, qui détiennent également une majorité de sièges au sein de l'influente Com</w:t>
      </w:r>
      <w:r>
        <w:t>mission Nationale Consultative des Personnes Handicapées (CNCPH). Elles fournissent, ou chapeautent des associations fournissant la tutelle dite 'professionnelle' aux personnes 'protégées' et aux enfants placés</w:t>
      </w:r>
      <w:hyperlink w:anchor="_bookmark51" w:history="1">
        <w:r>
          <w:rPr>
            <w:rStyle w:val="Hyperlink"/>
            <w:vertAlign w:val="superscript"/>
          </w:rPr>
          <w:t>52</w:t>
        </w:r>
      </w:hyperlink>
      <w:r>
        <w:t>. Ayant un l</w:t>
      </w:r>
      <w:r>
        <w:t>arge monopole sur la gestion des institutions</w:t>
      </w:r>
      <w:hyperlink w:anchor="_bookmark52" w:history="1">
        <w:r>
          <w:rPr>
            <w:rStyle w:val="Hyperlink"/>
            <w:vertAlign w:val="superscript"/>
          </w:rPr>
          <w:t>53</w:t>
        </w:r>
        <w:r>
          <w:rPr>
            <w:rStyle w:val="Hyperlink"/>
          </w:rPr>
          <w:t xml:space="preserve"> </w:t>
        </w:r>
      </w:hyperlink>
      <w:r>
        <w:t>et le service de tutelle</w:t>
      </w:r>
      <w:hyperlink w:anchor="_bookmark53" w:history="1">
        <w:r>
          <w:rPr>
            <w:rStyle w:val="Hyperlink"/>
            <w:vertAlign w:val="superscript"/>
          </w:rPr>
          <w:t>54</w:t>
        </w:r>
      </w:hyperlink>
      <w:r>
        <w:t>, ces associations influencent l'approche générale dans le domaine. Par exemple, l'UNAPEI assure la formation avec cer</w:t>
      </w:r>
      <w:r>
        <w:t>tification pour les futurs tuteurs professionnels. Dans le récent programme , il y a un nouveau module : l'accompagnement à l'autodétermination en institution "</w:t>
      </w:r>
      <w:hyperlink w:anchor="_bookmark54" w:history="1">
        <w:r>
          <w:rPr>
            <w:rStyle w:val="Hyperlink"/>
            <w:vertAlign w:val="superscript"/>
          </w:rPr>
          <w:t>55</w:t>
        </w:r>
      </w:hyperlink>
      <w:r>
        <w:t>. Cette formulation apparemment absurde reflète toutefois le p</w:t>
      </w:r>
      <w:r>
        <w:t>aradigme promu par l'UNAPEI qui tente de concilier la désinstitutionnalisation imposée par les engagements internationaux avec la poursuite de l'institutionnalisation. L'UNAPEI tente de convaincre qu'en France, ces engagements peuvent être compris différem</w:t>
      </w:r>
      <w:r>
        <w:t>ment :</w:t>
      </w:r>
    </w:p>
    <w:p w:rsidR="00000000" w:rsidRDefault="00B97F96">
      <w:pPr>
        <w:pStyle w:val="BodyText"/>
        <w:spacing w:line="360" w:lineRule="auto"/>
        <w:ind w:left="115" w:right="105" w:firstLine="710"/>
      </w:pPr>
    </w:p>
    <w:p w:rsidR="00000000" w:rsidRDefault="00B97F96">
      <w:pPr>
        <w:pStyle w:val="ListParagraph"/>
        <w:numPr>
          <w:ilvl w:val="0"/>
          <w:numId w:val="4"/>
        </w:numPr>
        <w:tabs>
          <w:tab w:val="left" w:pos="400"/>
        </w:tabs>
        <w:spacing w:before="20"/>
        <w:ind w:hanging="285"/>
        <w:rPr>
          <w:i/>
          <w:sz w:val="18"/>
          <w:szCs w:val="18"/>
        </w:rPr>
      </w:pPr>
      <w:bookmarkStart w:id="52" w:name="_bookmark44"/>
      <w:bookmarkEnd w:id="52"/>
      <w:r>
        <w:rPr>
          <w:sz w:val="18"/>
          <w:szCs w:val="18"/>
        </w:rPr>
        <w:t>Ministère des Solidarités et de santé (n 103)</w:t>
      </w:r>
      <w:r>
        <w:rPr>
          <w:spacing w:val="-3"/>
          <w:sz w:val="18"/>
          <w:szCs w:val="18"/>
        </w:rPr>
        <w:t xml:space="preserve"> </w:t>
      </w:r>
      <w:r>
        <w:rPr>
          <w:sz w:val="18"/>
          <w:szCs w:val="18"/>
        </w:rPr>
        <w:t>126</w:t>
      </w:r>
    </w:p>
    <w:p w:rsidR="00000000" w:rsidRDefault="00B97F96">
      <w:pPr>
        <w:pStyle w:val="ListParagraph"/>
        <w:numPr>
          <w:ilvl w:val="0"/>
          <w:numId w:val="4"/>
        </w:numPr>
        <w:tabs>
          <w:tab w:val="left" w:pos="400"/>
        </w:tabs>
        <w:ind w:right="571"/>
        <w:rPr>
          <w:color w:val="101010"/>
          <w:sz w:val="18"/>
          <w:szCs w:val="18"/>
        </w:rPr>
      </w:pPr>
      <w:bookmarkStart w:id="53" w:name="_bookmark451"/>
      <w:bookmarkStart w:id="54" w:name="_bookmark45"/>
      <w:bookmarkEnd w:id="53"/>
      <w:bookmarkEnd w:id="54"/>
      <w:r>
        <w:rPr>
          <w:i/>
          <w:sz w:val="18"/>
          <w:szCs w:val="18"/>
        </w:rPr>
        <w:t xml:space="preserve">Les propositions du CNH </w:t>
      </w:r>
      <w:r>
        <w:rPr>
          <w:sz w:val="18"/>
          <w:szCs w:val="18"/>
        </w:rPr>
        <w:t>(11 February 2020) &lt;</w:t>
      </w:r>
      <w:hyperlink r:id="rId13" w:history="1">
        <w:r>
          <w:rPr>
            <w:rStyle w:val="Hyperlink"/>
            <w:color w:val="00007F"/>
            <w:sz w:val="18"/>
            <w:szCs w:val="18"/>
            <w:u w:color="000000"/>
          </w:rPr>
          <w:t>https://handicap.gouv.fr/le-secretariat-d-etat/acteurs/comite-</w:t>
        </w:r>
      </w:hyperlink>
      <w:hyperlink r:id="rId14" w:history="1">
        <w:r>
          <w:rPr>
            <w:rStyle w:val="Hyperlink"/>
            <w:color w:val="00007F"/>
            <w:sz w:val="18"/>
            <w:szCs w:val="18"/>
            <w:u w:color="000000"/>
          </w:rPr>
          <w:t xml:space="preserve"> interministeriel-du-handicap</w:t>
        </w:r>
      </w:hyperlink>
      <w:r>
        <w:rPr>
          <w:color w:val="00007F"/>
          <w:sz w:val="18"/>
          <w:szCs w:val="18"/>
          <w:u w:val="single" w:color="000000"/>
        </w:rPr>
        <w:t>-</w:t>
      </w:r>
      <w:r>
        <w:rPr>
          <w:color w:val="00007F"/>
          <w:spacing w:val="-18"/>
          <w:sz w:val="18"/>
          <w:szCs w:val="18"/>
          <w:u w:val="single" w:color="000000"/>
        </w:rPr>
        <w:t xml:space="preserve"> </w:t>
      </w:r>
      <w:hyperlink r:id="rId15" w:history="1">
        <w:r>
          <w:rPr>
            <w:rStyle w:val="Hyperlink"/>
            <w:color w:val="00007F"/>
            <w:sz w:val="18"/>
            <w:szCs w:val="18"/>
            <w:u w:color="000000"/>
          </w:rPr>
          <w:t>cih/la-conference-nationale-du-handicap/article/les-propositions-de-la-cnh-le-11-</w:t>
        </w:r>
      </w:hyperlink>
      <w:hyperlink r:id="rId16" w:history="1">
        <w:r>
          <w:rPr>
            <w:rStyle w:val="Hyperlink"/>
            <w:color w:val="00007F"/>
            <w:sz w:val="18"/>
            <w:szCs w:val="18"/>
            <w:u w:color="000000"/>
          </w:rPr>
          <w:t xml:space="preserve"> fevrier-202</w:t>
        </w:r>
      </w:hyperlink>
      <w:r>
        <w:rPr>
          <w:color w:val="00007F"/>
          <w:sz w:val="18"/>
          <w:szCs w:val="18"/>
          <w:u w:val="single" w:color="000000"/>
        </w:rPr>
        <w:t>0</w:t>
      </w:r>
      <w:r>
        <w:rPr>
          <w:color w:val="00007F"/>
          <w:sz w:val="18"/>
          <w:szCs w:val="18"/>
        </w:rPr>
        <w:t>&gt;</w:t>
      </w:r>
    </w:p>
    <w:p w:rsidR="00000000" w:rsidRDefault="00B97F96">
      <w:pPr>
        <w:pStyle w:val="ListParagraph"/>
        <w:numPr>
          <w:ilvl w:val="0"/>
          <w:numId w:val="4"/>
        </w:numPr>
        <w:tabs>
          <w:tab w:val="left" w:pos="450"/>
        </w:tabs>
        <w:spacing w:before="4"/>
        <w:ind w:left="115" w:right="327" w:firstLine="0"/>
        <w:rPr>
          <w:sz w:val="18"/>
          <w:szCs w:val="18"/>
        </w:rPr>
      </w:pPr>
      <w:bookmarkStart w:id="55" w:name="_bookmark461"/>
      <w:bookmarkStart w:id="56" w:name="_bookmark46"/>
      <w:bookmarkEnd w:id="55"/>
      <w:bookmarkEnd w:id="56"/>
      <w:r>
        <w:rPr>
          <w:color w:val="101010"/>
          <w:sz w:val="18"/>
          <w:szCs w:val="18"/>
        </w:rPr>
        <w:t xml:space="preserve">Alain Piffaretti </w:t>
      </w:r>
      <w:r>
        <w:rPr>
          <w:i/>
          <w:color w:val="101010"/>
          <w:sz w:val="18"/>
          <w:szCs w:val="18"/>
        </w:rPr>
        <w:t>'Les Mureaux : une plate-forme innovante pour adultes autistes</w:t>
      </w:r>
      <w:r>
        <w:rPr>
          <w:color w:val="101010"/>
          <w:sz w:val="18"/>
          <w:szCs w:val="18"/>
        </w:rPr>
        <w:t xml:space="preserve">' </w:t>
      </w:r>
      <w:r>
        <w:rPr>
          <w:i/>
          <w:color w:val="101010"/>
          <w:sz w:val="18"/>
          <w:szCs w:val="18"/>
        </w:rPr>
        <w:t>Les Echos</w:t>
      </w:r>
      <w:r>
        <w:rPr>
          <w:color w:val="101010"/>
          <w:sz w:val="18"/>
          <w:szCs w:val="18"/>
        </w:rPr>
        <w:t>(12 Novembre 2019)</w:t>
      </w:r>
      <w:r>
        <w:rPr>
          <w:sz w:val="18"/>
          <w:szCs w:val="18"/>
        </w:rPr>
        <w:t xml:space="preserve"> 48</w:t>
      </w:r>
      <w:bookmarkStart w:id="57" w:name="_bookmark47"/>
      <w:bookmarkEnd w:id="57"/>
      <w:r>
        <w:rPr>
          <w:sz w:val="18"/>
          <w:szCs w:val="18"/>
        </w:rPr>
        <w:t xml:space="preserve"> Cécile Gallez </w:t>
      </w:r>
      <w:r>
        <w:rPr>
          <w:i/>
          <w:sz w:val="18"/>
          <w:szCs w:val="18"/>
        </w:rPr>
        <w:t>Rapport sur l</w:t>
      </w:r>
      <w:r>
        <w:rPr>
          <w:i/>
          <w:sz w:val="18"/>
          <w:szCs w:val="18"/>
        </w:rPr>
        <w:t>'hébergement des personnes âgées et handicapée</w:t>
      </w:r>
      <w:r>
        <w:rPr>
          <w:i/>
          <w:sz w:val="18"/>
          <w:szCs w:val="18"/>
        </w:rPr>
        <w:t xml:space="preserve">s en Belgique </w:t>
      </w:r>
      <w:r>
        <w:rPr>
          <w:sz w:val="18"/>
          <w:szCs w:val="18"/>
        </w:rPr>
        <w:t>(February 2009)</w:t>
      </w:r>
      <w:r>
        <w:rPr>
          <w:spacing w:val="-38"/>
          <w:sz w:val="18"/>
          <w:szCs w:val="18"/>
        </w:rPr>
        <w:t xml:space="preserve"> </w:t>
      </w:r>
      <w:r>
        <w:rPr>
          <w:sz w:val="18"/>
          <w:szCs w:val="18"/>
        </w:rPr>
        <w:t>7</w:t>
      </w:r>
    </w:p>
    <w:p w:rsidR="00000000" w:rsidRDefault="00B97F96">
      <w:pPr>
        <w:ind w:left="115" w:right="373" w:firstLine="284"/>
        <w:rPr>
          <w:sz w:val="18"/>
          <w:szCs w:val="18"/>
        </w:rPr>
      </w:pPr>
      <w:r>
        <w:rPr>
          <w:sz w:val="18"/>
          <w:szCs w:val="18"/>
        </w:rPr>
        <w:t>(</w:t>
      </w:r>
      <w:r>
        <w:rPr>
          <w:i/>
          <w:sz w:val="18"/>
          <w:szCs w:val="18"/>
        </w:rPr>
        <w:t>&lt;</w:t>
      </w:r>
      <w:hyperlink r:id="rId17" w:history="1">
        <w:r>
          <w:rPr>
            <w:rStyle w:val="Hyperlink"/>
            <w:color w:val="00007F"/>
            <w:sz w:val="18"/>
            <w:szCs w:val="18"/>
            <w:u w:color="000000"/>
          </w:rPr>
          <w:t>http://www.cra-rhone-alpes.org/IMG/pdf_hebergement-des-personnes-agees-et-handicapees-en-Belgique.pdf</w:t>
        </w:r>
      </w:hyperlink>
      <w:r>
        <w:rPr>
          <w:sz w:val="18"/>
          <w:szCs w:val="18"/>
        </w:rPr>
        <w:t>&gt; 4</w:t>
      </w:r>
      <w:r>
        <w:rPr>
          <w:sz w:val="18"/>
          <w:szCs w:val="18"/>
        </w:rPr>
        <w:t xml:space="preserve">9 </w:t>
      </w:r>
      <w:bookmarkStart w:id="58" w:name="_bookmark48"/>
      <w:bookmarkEnd w:id="58"/>
      <w:r>
        <w:rPr>
          <w:sz w:val="18"/>
          <w:szCs w:val="18"/>
        </w:rPr>
        <w:t xml:space="preserve">4ème commission mixte de l’accord franco-wallon </w:t>
      </w:r>
      <w:r>
        <w:rPr>
          <w:i/>
          <w:sz w:val="18"/>
          <w:szCs w:val="18"/>
        </w:rPr>
        <w:t xml:space="preserve">Maitrise des départs vers la Belgique </w:t>
      </w:r>
      <w:r>
        <w:rPr>
          <w:sz w:val="18"/>
          <w:szCs w:val="18"/>
        </w:rPr>
        <w:t>(16 décembre 2019)</w:t>
      </w:r>
    </w:p>
    <w:p w:rsidR="00000000" w:rsidRDefault="00B97F96">
      <w:pPr>
        <w:spacing w:before="2"/>
        <w:ind w:left="400" w:right="967"/>
        <w:rPr>
          <w:i/>
          <w:sz w:val="18"/>
          <w:szCs w:val="18"/>
        </w:rPr>
      </w:pPr>
      <w:r>
        <w:rPr>
          <w:sz w:val="18"/>
          <w:szCs w:val="18"/>
        </w:rPr>
        <w:t>&lt;</w:t>
      </w:r>
      <w:hyperlink r:id="rId18" w:history="1">
        <w:r>
          <w:rPr>
            <w:rStyle w:val="Hyperlink"/>
            <w:color w:val="00007F"/>
            <w:sz w:val="18"/>
            <w:szCs w:val="18"/>
            <w:u w:color="000000"/>
          </w:rPr>
          <w:t>https://handicap.gouv.fr/presse/communiques-de-presse/article/maitrise-des-departs-vers-la-belgique-et-</w:t>
        </w:r>
      </w:hyperlink>
      <w:r>
        <w:rPr>
          <w:color w:val="00007F"/>
          <w:sz w:val="18"/>
          <w:szCs w:val="18"/>
        </w:rPr>
        <w:t xml:space="preserve"> </w:t>
      </w:r>
      <w:hyperlink r:id="rId19" w:history="1">
        <w:r>
          <w:rPr>
            <w:rStyle w:val="Hyperlink"/>
            <w:color w:val="00007F"/>
            <w:sz w:val="18"/>
            <w:szCs w:val="18"/>
            <w:u w:color="000000"/>
          </w:rPr>
          <w:t>renforcement-de-la-qualite-de-l</w:t>
        </w:r>
      </w:hyperlink>
      <w:r>
        <w:rPr>
          <w:sz w:val="18"/>
          <w:szCs w:val="18"/>
        </w:rPr>
        <w:t>&gt;</w:t>
      </w:r>
    </w:p>
    <w:p w:rsidR="00000000" w:rsidRDefault="00B97F96">
      <w:pPr>
        <w:pStyle w:val="ListParagraph"/>
        <w:numPr>
          <w:ilvl w:val="0"/>
          <w:numId w:val="3"/>
        </w:numPr>
        <w:tabs>
          <w:tab w:val="left" w:pos="450"/>
        </w:tabs>
        <w:spacing w:before="2"/>
        <w:ind w:hanging="335"/>
        <w:rPr>
          <w:sz w:val="18"/>
          <w:szCs w:val="18"/>
        </w:rPr>
      </w:pPr>
      <w:bookmarkStart w:id="59" w:name="_bookmark491"/>
      <w:bookmarkStart w:id="60" w:name="_bookmark49"/>
      <w:bookmarkEnd w:id="59"/>
      <w:bookmarkEnd w:id="60"/>
      <w:r>
        <w:rPr>
          <w:i/>
          <w:sz w:val="18"/>
          <w:szCs w:val="18"/>
        </w:rPr>
        <w:t>'</w:t>
      </w:r>
      <w:r>
        <w:rPr>
          <w:sz w:val="18"/>
          <w:szCs w:val="18"/>
        </w:rPr>
        <w:t xml:space="preserve">Caisse Nationale de Solidarité pour l'Autonomie (CNSA) </w:t>
      </w:r>
      <w:r>
        <w:rPr>
          <w:i/>
          <w:sz w:val="18"/>
          <w:szCs w:val="18"/>
        </w:rPr>
        <w:t xml:space="preserve">Le bilan des plans </w:t>
      </w:r>
      <w:r>
        <w:rPr>
          <w:sz w:val="18"/>
          <w:szCs w:val="18"/>
        </w:rPr>
        <w:t>(17</w:t>
      </w:r>
      <w:r>
        <w:rPr>
          <w:sz w:val="18"/>
          <w:szCs w:val="18"/>
          <w:vertAlign w:val="superscript"/>
        </w:rPr>
        <w:t>th</w:t>
      </w:r>
      <w:r>
        <w:rPr>
          <w:sz w:val="18"/>
          <w:szCs w:val="18"/>
        </w:rPr>
        <w:t xml:space="preserve"> January</w:t>
      </w:r>
      <w:r>
        <w:rPr>
          <w:spacing w:val="2"/>
          <w:sz w:val="18"/>
          <w:szCs w:val="18"/>
        </w:rPr>
        <w:t xml:space="preserve"> </w:t>
      </w:r>
      <w:r>
        <w:rPr>
          <w:sz w:val="18"/>
          <w:szCs w:val="18"/>
        </w:rPr>
        <w:t>2019)</w:t>
      </w:r>
    </w:p>
    <w:p w:rsidR="00000000" w:rsidRDefault="00B97F96">
      <w:pPr>
        <w:ind w:left="400" w:right="169"/>
        <w:rPr>
          <w:sz w:val="18"/>
          <w:szCs w:val="18"/>
        </w:rPr>
      </w:pPr>
      <w:r>
        <w:rPr>
          <w:sz w:val="18"/>
          <w:szCs w:val="18"/>
        </w:rPr>
        <w:t>&lt;</w:t>
      </w:r>
      <w:hyperlink r:id="rId20" w:history="1">
        <w:r>
          <w:rPr>
            <w:rStyle w:val="Hyperlink"/>
            <w:color w:val="00007F"/>
            <w:sz w:val="18"/>
            <w:szCs w:val="18"/>
            <w:u w:color="000000"/>
          </w:rPr>
          <w:t>https://www.cnsa.fr/outils-methodes-et-territoires-organisation-de-loffre/programmation-et-creation-de-places-en-</w:t>
        </w:r>
      </w:hyperlink>
      <w:r>
        <w:rPr>
          <w:color w:val="00007F"/>
          <w:sz w:val="18"/>
          <w:szCs w:val="18"/>
        </w:rPr>
        <w:t xml:space="preserve"> </w:t>
      </w:r>
      <w:hyperlink r:id="rId21" w:history="1">
        <w:r>
          <w:rPr>
            <w:rStyle w:val="Hyperlink"/>
            <w:color w:val="00007F"/>
            <w:sz w:val="18"/>
            <w:szCs w:val="18"/>
            <w:u w:color="000000"/>
          </w:rPr>
          <w:t>etablissement-ou-service/le-bilan-des-plans</w:t>
        </w:r>
      </w:hyperlink>
      <w:r>
        <w:rPr>
          <w:sz w:val="18"/>
          <w:szCs w:val="18"/>
        </w:rPr>
        <w:t>&gt;</w:t>
      </w:r>
    </w:p>
    <w:p w:rsidR="00000000" w:rsidRDefault="00B97F96">
      <w:pPr>
        <w:pStyle w:val="ListParagraph"/>
        <w:numPr>
          <w:ilvl w:val="0"/>
          <w:numId w:val="3"/>
        </w:numPr>
        <w:tabs>
          <w:tab w:val="left" w:pos="400"/>
        </w:tabs>
        <w:spacing w:line="227" w:lineRule="exact"/>
        <w:ind w:left="400" w:hanging="285"/>
        <w:rPr>
          <w:sz w:val="18"/>
          <w:szCs w:val="18"/>
        </w:rPr>
      </w:pPr>
      <w:bookmarkStart w:id="61" w:name="_bookmark50"/>
      <w:bookmarkEnd w:id="61"/>
      <w:r>
        <w:rPr>
          <w:sz w:val="18"/>
          <w:szCs w:val="18"/>
        </w:rPr>
        <w:t>Ibid</w:t>
      </w:r>
    </w:p>
    <w:p w:rsidR="00000000" w:rsidRDefault="00B97F96">
      <w:pPr>
        <w:pStyle w:val="ListParagraph"/>
        <w:numPr>
          <w:ilvl w:val="0"/>
          <w:numId w:val="3"/>
        </w:numPr>
        <w:tabs>
          <w:tab w:val="left" w:pos="400"/>
        </w:tabs>
        <w:spacing w:before="2"/>
        <w:ind w:left="400" w:hanging="285"/>
        <w:rPr>
          <w:sz w:val="18"/>
          <w:szCs w:val="18"/>
        </w:rPr>
      </w:pPr>
      <w:bookmarkStart w:id="62" w:name="_bookmark511"/>
      <w:bookmarkEnd w:id="62"/>
      <w:r>
        <w:rPr>
          <w:sz w:val="18"/>
          <w:szCs w:val="18"/>
        </w:rPr>
        <w:t xml:space="preserve">UNAPEI </w:t>
      </w:r>
      <w:r>
        <w:rPr>
          <w:i/>
          <w:sz w:val="18"/>
          <w:szCs w:val="18"/>
        </w:rPr>
        <w:t>Charte pour les associations mandataires judiciaires à la protection des</w:t>
      </w:r>
      <w:r>
        <w:rPr>
          <w:i/>
          <w:spacing w:val="-10"/>
          <w:sz w:val="18"/>
          <w:szCs w:val="18"/>
        </w:rPr>
        <w:t xml:space="preserve"> </w:t>
      </w:r>
      <w:r>
        <w:rPr>
          <w:i/>
          <w:sz w:val="18"/>
          <w:szCs w:val="18"/>
        </w:rPr>
        <w:t>majeurs</w:t>
      </w:r>
    </w:p>
    <w:p w:rsidR="00000000" w:rsidRDefault="00B97F96">
      <w:pPr>
        <w:ind w:left="400" w:right="2301"/>
        <w:rPr>
          <w:sz w:val="18"/>
          <w:szCs w:val="18"/>
        </w:rPr>
      </w:pPr>
      <w:r>
        <w:rPr>
          <w:sz w:val="18"/>
          <w:szCs w:val="18"/>
        </w:rPr>
        <w:t>&lt;</w:t>
      </w:r>
      <w:hyperlink r:id="rId22" w:history="1">
        <w:r>
          <w:rPr>
            <w:rStyle w:val="Hyperlink"/>
            <w:color w:val="00007F"/>
            <w:sz w:val="18"/>
            <w:szCs w:val="18"/>
            <w:u w:color="000000"/>
          </w:rPr>
          <w:t>https://www.unapei.org/wp-</w:t>
        </w:r>
      </w:hyperlink>
      <w:r>
        <w:rPr>
          <w:color w:val="00007F"/>
          <w:sz w:val="18"/>
          <w:szCs w:val="18"/>
        </w:rPr>
        <w:t xml:space="preserve"> </w:t>
      </w:r>
      <w:hyperlink r:id="rId23" w:history="1">
        <w:r>
          <w:rPr>
            <w:rStyle w:val="Hyperlink"/>
            <w:color w:val="00007F"/>
            <w:sz w:val="18"/>
            <w:szCs w:val="18"/>
            <w:u w:color="000000"/>
          </w:rPr>
          <w:t>content/uploads/20</w:t>
        </w:r>
        <w:r>
          <w:rPr>
            <w:rStyle w:val="Hyperlink"/>
            <w:color w:val="00007F"/>
            <w:sz w:val="18"/>
            <w:szCs w:val="18"/>
            <w:u w:color="000000"/>
          </w:rPr>
          <w:t>18/09/CharteAssociationsMadatairesJudiciairesUnapei_couleur_.pdf</w:t>
        </w:r>
      </w:hyperlink>
      <w:r>
        <w:rPr>
          <w:sz w:val="18"/>
          <w:szCs w:val="18"/>
        </w:rPr>
        <w:t>&gt;</w:t>
      </w:r>
    </w:p>
    <w:p w:rsidR="00000000" w:rsidRDefault="00B97F96">
      <w:pPr>
        <w:pStyle w:val="ListParagraph"/>
        <w:numPr>
          <w:ilvl w:val="0"/>
          <w:numId w:val="3"/>
        </w:numPr>
        <w:tabs>
          <w:tab w:val="left" w:pos="400"/>
        </w:tabs>
        <w:ind w:left="115" w:right="243" w:firstLine="0"/>
        <w:rPr>
          <w:sz w:val="18"/>
          <w:szCs w:val="18"/>
        </w:rPr>
      </w:pPr>
      <w:bookmarkStart w:id="63" w:name="_bookmark52"/>
      <w:bookmarkEnd w:id="63"/>
      <w:r>
        <w:rPr>
          <w:sz w:val="18"/>
          <w:szCs w:val="18"/>
        </w:rPr>
        <w:t>Plus de 3000 structures sont gérées seulement par l'UNAPEI &lt;</w:t>
      </w:r>
      <w:hyperlink r:id="rId24" w:history="1">
        <w:r>
          <w:rPr>
            <w:rStyle w:val="Hyperlink"/>
            <w:color w:val="00007F"/>
            <w:sz w:val="18"/>
            <w:szCs w:val="18"/>
            <w:u w:color="000000"/>
          </w:rPr>
          <w:t>https://www.unapei.org/actions/qui-sommes-nous/</w:t>
        </w:r>
      </w:hyperlink>
      <w:r>
        <w:rPr>
          <w:sz w:val="18"/>
          <w:szCs w:val="18"/>
        </w:rPr>
        <w:t xml:space="preserve">&gt; 54 </w:t>
      </w:r>
      <w:bookmarkStart w:id="64" w:name="_bookmark53"/>
      <w:bookmarkEnd w:id="64"/>
      <w:r>
        <w:rPr>
          <w:sz w:val="18"/>
          <w:szCs w:val="18"/>
        </w:rPr>
        <w:t xml:space="preserve">Ibid (86 000 </w:t>
      </w:r>
      <w:r>
        <w:rPr>
          <w:sz w:val="18"/>
          <w:szCs w:val="18"/>
        </w:rPr>
        <w:t>mesures confiées à l'UNAPEI selon le même</w:t>
      </w:r>
      <w:r>
        <w:rPr>
          <w:spacing w:val="-21"/>
          <w:sz w:val="18"/>
          <w:szCs w:val="18"/>
        </w:rPr>
        <w:t xml:space="preserve"> </w:t>
      </w:r>
      <w:r>
        <w:rPr>
          <w:sz w:val="18"/>
          <w:szCs w:val="18"/>
        </w:rPr>
        <w:t>source)</w:t>
      </w:r>
    </w:p>
    <w:p w:rsidR="00000000" w:rsidRDefault="00B97F96">
      <w:pPr>
        <w:pStyle w:val="ListParagraph"/>
        <w:numPr>
          <w:ilvl w:val="0"/>
          <w:numId w:val="2"/>
        </w:numPr>
        <w:tabs>
          <w:tab w:val="left" w:pos="450"/>
        </w:tabs>
        <w:ind w:right="691" w:hanging="284"/>
        <w:sectPr w:rsidR="00000000">
          <w:pgSz w:w="11906" w:h="16838"/>
          <w:pgMar w:top="1060" w:right="1020" w:bottom="280" w:left="1020" w:header="720" w:footer="720" w:gutter="0"/>
          <w:cols w:space="720"/>
          <w:docGrid w:linePitch="240" w:charSpace="-2049"/>
        </w:sectPr>
      </w:pPr>
      <w:r>
        <w:rPr>
          <w:sz w:val="18"/>
          <w:szCs w:val="18"/>
        </w:rPr>
        <w:tab/>
      </w:r>
      <w:bookmarkStart w:id="65" w:name="_bookmark54"/>
      <w:bookmarkEnd w:id="65"/>
      <w:r>
        <w:rPr>
          <w:sz w:val="18"/>
          <w:szCs w:val="18"/>
        </w:rPr>
        <w:t xml:space="preserve">UNAPEI </w:t>
      </w:r>
      <w:r>
        <w:rPr>
          <w:i/>
          <w:sz w:val="18"/>
          <w:szCs w:val="18"/>
        </w:rPr>
        <w:t>Offre de la Formation 2020</w:t>
      </w:r>
      <w:r>
        <w:rPr>
          <w:i/>
          <w:spacing w:val="-31"/>
          <w:sz w:val="18"/>
          <w:szCs w:val="18"/>
        </w:rPr>
        <w:t xml:space="preserve"> </w:t>
      </w:r>
      <w:r>
        <w:rPr>
          <w:sz w:val="18"/>
          <w:szCs w:val="18"/>
        </w:rPr>
        <w:t>&lt;</w:t>
      </w:r>
      <w:hyperlink r:id="rId25" w:history="1">
        <w:r>
          <w:rPr>
            <w:rStyle w:val="Hyperlink"/>
            <w:color w:val="00007F"/>
            <w:sz w:val="18"/>
            <w:szCs w:val="18"/>
            <w:u w:color="000000"/>
          </w:rPr>
          <w:t>http://formation.unapei.org/associations-mandataires-judiciair</w:t>
        </w:r>
        <w:r>
          <w:rPr>
            <w:rStyle w:val="Hyperlink"/>
            <w:color w:val="00007F"/>
            <w:sz w:val="18"/>
            <w:szCs w:val="18"/>
            <w:u w:color="000000"/>
          </w:rPr>
          <w:t>es-a-la-</w:t>
        </w:r>
      </w:hyperlink>
      <w:hyperlink r:id="rId26" w:history="1">
        <w:r>
          <w:rPr>
            <w:rStyle w:val="Hyperlink"/>
            <w:color w:val="00007F"/>
            <w:sz w:val="18"/>
            <w:szCs w:val="18"/>
            <w:u w:color="000000"/>
          </w:rPr>
          <w:t xml:space="preserve"> protection-des-majeurs</w:t>
        </w:r>
      </w:hyperlink>
      <w:r>
        <w:rPr>
          <w:sz w:val="18"/>
          <w:szCs w:val="18"/>
        </w:rPr>
        <w:t>&gt;</w:t>
      </w:r>
    </w:p>
    <w:p w:rsidR="00000000" w:rsidRDefault="00B97F96">
      <w:pPr>
        <w:spacing w:before="64" w:line="360" w:lineRule="auto"/>
        <w:ind w:left="826"/>
        <w:rPr>
          <w:sz w:val="32"/>
        </w:rPr>
      </w:pPr>
      <w:r>
        <w:t xml:space="preserve">" </w:t>
      </w:r>
      <w:r>
        <w:rPr>
          <w:i/>
        </w:rPr>
        <w:t xml:space="preserve">Le concept de désinstitutionnalisation a pu signifier dans certains pays, ou dans l'esprit de certains </w:t>
      </w:r>
      <w:r>
        <w:t>(sic !)</w:t>
      </w:r>
      <w:r>
        <w:rPr>
          <w:i/>
        </w:rPr>
        <w:t>,</w:t>
      </w:r>
      <w:r>
        <w:rPr>
          <w:i/>
        </w:rPr>
        <w:t xml:space="preserve"> la fermeture de toutes les institutions accueillant des personnes handicapées [...]. Une telle conception ne peut se justifier au regard de l'histoire de la politique du handicap en France, de la manière dont les institutions accueillent et accompagnent l</w:t>
      </w:r>
      <w:r>
        <w:rPr>
          <w:i/>
        </w:rPr>
        <w:t>es personnes handicapées et de la réalité des besoins et des attentes des personnes et de leurs familles "</w:t>
      </w:r>
      <w:hyperlink w:anchor="_bookmark55" w:history="1">
        <w:r>
          <w:rPr>
            <w:rStyle w:val="Hyperlink"/>
            <w:i/>
            <w:vertAlign w:val="superscript"/>
          </w:rPr>
          <w:t>56</w:t>
        </w:r>
      </w:hyperlink>
      <w:r>
        <w:t>.</w:t>
      </w:r>
    </w:p>
    <w:p w:rsidR="00000000" w:rsidRDefault="00B97F96">
      <w:pPr>
        <w:pStyle w:val="BodyText"/>
        <w:spacing w:before="9"/>
        <w:rPr>
          <w:sz w:val="32"/>
        </w:rPr>
      </w:pPr>
    </w:p>
    <w:p w:rsidR="00000000" w:rsidRDefault="00B97F96">
      <w:pPr>
        <w:pStyle w:val="BodyText"/>
        <w:spacing w:line="360" w:lineRule="auto"/>
        <w:ind w:left="115" w:right="105" w:firstLine="710"/>
        <w:rPr>
          <w:sz w:val="32"/>
        </w:rPr>
      </w:pPr>
      <w:r>
        <w:t>L'UNAPEI et les associations similaires prétendent savoir quelles sont les attentes des familles. En réalité, les</w:t>
      </w:r>
      <w:r>
        <w:t xml:space="preserve"> familles qui agissent en tant que tuteurs sont souvent laissées sans alternative : les parents qui décident d'accompagner leur enfant handicapé 'en milieu ouvert' le font au prix d'énormes sacrifices et d'exclusion sociale. Mais lorsque cela devient physi</w:t>
      </w:r>
      <w:r>
        <w:t xml:space="preserve">quement impossible avec l'âge, ces parents sont finalement contraints d'envoyer leur enfant en institution, car il n'existe aucune autre option. Jusqu'à présent, aucun service public d'aide à la vie autonome dans la communauté pour les personnes ayant des </w:t>
      </w:r>
      <w:r>
        <w:t>besoins complexes et un handicap cognitif n'a été développé en France.</w:t>
      </w:r>
    </w:p>
    <w:p w:rsidR="00000000" w:rsidRDefault="00B97F96">
      <w:pPr>
        <w:pStyle w:val="BodyText"/>
        <w:spacing w:before="8"/>
        <w:rPr>
          <w:sz w:val="32"/>
        </w:rPr>
      </w:pPr>
    </w:p>
    <w:p w:rsidR="00000000" w:rsidRDefault="00B97F96">
      <w:pPr>
        <w:pStyle w:val="BodyText"/>
        <w:spacing w:line="360" w:lineRule="auto"/>
        <w:ind w:left="115" w:right="145" w:firstLine="710"/>
        <w:rPr>
          <w:sz w:val="32"/>
        </w:rPr>
      </w:pPr>
      <w:r>
        <w:t>La tendance actuelle en France est, comme ailleurs, celle des 'petites structures' : en réalité, les espaces des grandes institutions sont simplement divisés en plus petites unités. La</w:t>
      </w:r>
      <w:r>
        <w:t xml:space="preserve"> MAS Michel Chapuis, dans la région lyonnaise, en est un bel exemple : gérée par la fondation O.V.E. et ouverte en 2018, elle contient 3 unités de 10 personnes chacune, derrière les portes magnétiques et enceinte grillagée. Cela s'appelle 'l'inclusion' : l</w:t>
      </w:r>
      <w:r>
        <w:t>'établissement, comme beaucoup d'autres, a sa propre déclaration sur l'inclusion, disponible pour les visiteurs. La déformation des termes est une tendance générale, et rares sont ceux qui, en France, questionnent ce qu'est derrière le mot 'inclusion'.</w:t>
      </w:r>
    </w:p>
    <w:p w:rsidR="00000000" w:rsidRDefault="00B97F96">
      <w:pPr>
        <w:pStyle w:val="BodyText"/>
        <w:spacing w:before="7"/>
        <w:rPr>
          <w:sz w:val="32"/>
        </w:rPr>
      </w:pPr>
    </w:p>
    <w:p w:rsidR="00000000" w:rsidRDefault="00B97F96">
      <w:pPr>
        <w:pStyle w:val="Heading1"/>
        <w:spacing w:before="1" w:line="360" w:lineRule="auto"/>
        <w:ind w:right="177"/>
        <w:rPr>
          <w:sz w:val="32"/>
        </w:rPr>
      </w:pPr>
      <w:r>
        <w:t>No</w:t>
      </w:r>
      <w:r>
        <w:t xml:space="preserve">us sommes fermement convaincus que toutes les discussions sur l''amélioration' des lieux ségrégués ne sont pas pertinentes. Ce modèle est basé sur le paradigme de la prise de décision substituée qui rejoint une mentalité </w:t>
      </w:r>
      <w:r>
        <w:rPr>
          <w:i/>
        </w:rPr>
        <w:t xml:space="preserve">ableiste </w:t>
      </w:r>
      <w:r>
        <w:t>persistante en France. Auc</w:t>
      </w:r>
      <w:r>
        <w:t>un changement n'est possible sans une évolution radicale vers le modèle de prise de décision accompagnée qui, dans les circonstances actuelles, ne peut être promulgué que par le haut, avec l'initiative et le soutien financier de l'État.</w:t>
      </w:r>
    </w:p>
    <w:p w:rsidR="00000000" w:rsidRDefault="00B97F96">
      <w:pPr>
        <w:pStyle w:val="BodyText"/>
        <w:spacing w:before="7"/>
        <w:rPr>
          <w:b/>
          <w:sz w:val="32"/>
        </w:rPr>
      </w:pPr>
    </w:p>
    <w:p w:rsidR="00000000" w:rsidRDefault="00B97F96">
      <w:pPr>
        <w:pStyle w:val="BodyText"/>
        <w:ind w:left="826"/>
        <w:rPr>
          <w:sz w:val="20"/>
        </w:rPr>
      </w:pPr>
      <w:r>
        <w:rPr>
          <w:u w:val="single"/>
        </w:rPr>
        <w:t>Conclusion</w:t>
      </w:r>
    </w:p>
    <w:p w:rsidR="00000000" w:rsidRDefault="00B97F96">
      <w:pPr>
        <w:pStyle w:val="BodyText"/>
        <w:rPr>
          <w:sz w:val="20"/>
        </w:rPr>
      </w:pPr>
    </w:p>
    <w:p w:rsidR="00000000" w:rsidRDefault="00B97F96">
      <w:pPr>
        <w:pStyle w:val="BodyText"/>
        <w:rPr>
          <w:sz w:val="16"/>
        </w:rPr>
      </w:pPr>
    </w:p>
    <w:p w:rsidR="00000000" w:rsidRDefault="00B97F96">
      <w:pPr>
        <w:pStyle w:val="BodyText"/>
        <w:spacing w:before="91" w:line="360" w:lineRule="auto"/>
        <w:ind w:left="115" w:right="105" w:firstLine="763"/>
        <w:rPr>
          <w:sz w:val="18"/>
          <w:szCs w:val="18"/>
        </w:rPr>
      </w:pPr>
      <w:r>
        <w:t>La Fr</w:t>
      </w:r>
      <w:r>
        <w:t>ance n'a entrepris aucune démarche pour réviser son cadre juridique et adopter le modèle de prise de décision soutenue. Tout en refusant explicitement d'accepter l'interprétation de l'article 12 donnée dans la CG n1, la France tente d'ignorer le fait que l</w:t>
      </w:r>
      <w:r>
        <w:t xml:space="preserve">e modèle de prise de décision substituée, auquel elle s'en tient, conduit inévitablement à la violation des droits énoncés dans les articles 13, 14, 15, 18 et 19. Il n'existe en France aucune disposition légale ni politique visant à faciliter l'expression </w:t>
      </w:r>
      <w:r>
        <w:t>des souhaits et préférences des</w:t>
      </w:r>
    </w:p>
    <w:p w:rsidR="00000000" w:rsidRDefault="00B97F96">
      <w:pPr>
        <w:pStyle w:val="BodyText"/>
        <w:spacing w:before="91" w:line="360" w:lineRule="auto"/>
        <w:ind w:left="115" w:right="105" w:firstLine="763"/>
        <w:rPr>
          <w:sz w:val="18"/>
          <w:szCs w:val="18"/>
        </w:rPr>
      </w:pPr>
    </w:p>
    <w:p w:rsidR="00000000" w:rsidRDefault="00B97F96">
      <w:pPr>
        <w:pStyle w:val="ListParagraph"/>
        <w:numPr>
          <w:ilvl w:val="0"/>
          <w:numId w:val="2"/>
        </w:numPr>
        <w:tabs>
          <w:tab w:val="left" w:pos="400"/>
        </w:tabs>
        <w:spacing w:before="18"/>
        <w:ind w:right="216" w:hanging="284"/>
        <w:sectPr w:rsidR="00000000">
          <w:pgSz w:w="11906" w:h="16838"/>
          <w:pgMar w:top="1440" w:right="1020" w:bottom="280" w:left="1020" w:header="720" w:footer="720" w:gutter="0"/>
          <w:cols w:space="720"/>
          <w:docGrid w:linePitch="240" w:charSpace="-2049"/>
        </w:sectPr>
      </w:pPr>
      <w:bookmarkStart w:id="66" w:name="_bookmark55"/>
      <w:bookmarkEnd w:id="66"/>
      <w:r>
        <w:rPr>
          <w:sz w:val="18"/>
          <w:szCs w:val="18"/>
        </w:rPr>
        <w:t xml:space="preserve">UNAPEI, </w:t>
      </w:r>
      <w:r>
        <w:rPr>
          <w:i/>
          <w:sz w:val="18"/>
          <w:szCs w:val="18"/>
        </w:rPr>
        <w:t xml:space="preserve">Pour une société inclusive, un levier :la désinstitutionnalisation, </w:t>
      </w:r>
      <w:r>
        <w:rPr>
          <w:sz w:val="18"/>
          <w:szCs w:val="18"/>
        </w:rPr>
        <w:t>preface</w:t>
      </w:r>
      <w:r>
        <w:rPr>
          <w:spacing w:val="-30"/>
          <w:sz w:val="18"/>
          <w:szCs w:val="18"/>
        </w:rPr>
        <w:t xml:space="preserve"> </w:t>
      </w:r>
      <w:r>
        <w:rPr>
          <w:i/>
          <w:sz w:val="18"/>
          <w:szCs w:val="18"/>
        </w:rPr>
        <w:t>&lt;</w:t>
      </w:r>
      <w:hyperlink r:id="rId27" w:history="1">
        <w:r>
          <w:rPr>
            <w:rStyle w:val="Hyperlink"/>
            <w:color w:val="00007F"/>
            <w:sz w:val="18"/>
            <w:szCs w:val="18"/>
            <w:u w:color="000000"/>
          </w:rPr>
          <w:t>http://inclusi</w:t>
        </w:r>
        <w:r>
          <w:rPr>
            <w:rStyle w:val="Hyperlink"/>
            <w:color w:val="00007F"/>
            <w:sz w:val="18"/>
            <w:szCs w:val="18"/>
            <w:u w:color="000000"/>
          </w:rPr>
          <w:t>on-europe.eu/wp-</w:t>
        </w:r>
      </w:hyperlink>
      <w:hyperlink r:id="rId28" w:history="1">
        <w:r>
          <w:rPr>
            <w:rStyle w:val="Hyperlink"/>
            <w:color w:val="00007F"/>
            <w:sz w:val="18"/>
            <w:szCs w:val="18"/>
            <w:u w:color="000000"/>
          </w:rPr>
          <w:t xml:space="preserve"> content/uploads/2015/03/Unapei.Desinstitutionnalisation.Document.politique.pdf</w:t>
        </w:r>
      </w:hyperlink>
      <w:r>
        <w:rPr>
          <w:i/>
          <w:sz w:val="18"/>
          <w:szCs w:val="18"/>
        </w:rPr>
        <w:t>&gt;</w:t>
      </w:r>
    </w:p>
    <w:p w:rsidR="00000000" w:rsidRDefault="00B97F96">
      <w:pPr>
        <w:pStyle w:val="BodyText"/>
        <w:spacing w:before="64" w:line="360" w:lineRule="auto"/>
        <w:ind w:left="115"/>
        <w:rPr>
          <w:sz w:val="32"/>
        </w:rPr>
      </w:pPr>
      <w:r>
        <w:t>personnes. Pas une seule décision</w:t>
      </w:r>
      <w:r>
        <w:t xml:space="preserve"> judiciaire ne démontre une préoccupation pour ce qu'une personne sous tutelle souhaiterait ou préférerait. La France continue de violer la disposition fondamentale de non- discrimination (de l'article 2) en refusant l'aménagement raisonnable et en réduisa</w:t>
      </w:r>
      <w:r>
        <w:t>nt à une simple existence physique la majorité des personnes qui sont privées ou risquent d'être privées de leur capacité juridique. La prise de décision substituée entraîne la privation de liberté fondée sur le handicap de centaines de milliers de personn</w:t>
      </w:r>
      <w:r>
        <w:t>es handicapées.</w:t>
      </w:r>
    </w:p>
    <w:p w:rsidR="00000000" w:rsidRDefault="00B97F96">
      <w:pPr>
        <w:pStyle w:val="BodyText"/>
        <w:spacing w:before="9"/>
        <w:rPr>
          <w:sz w:val="32"/>
        </w:rPr>
      </w:pPr>
    </w:p>
    <w:p w:rsidR="00000000" w:rsidRDefault="00B97F96">
      <w:pPr>
        <w:pStyle w:val="BodyText"/>
        <w:spacing w:before="1" w:line="360" w:lineRule="auto"/>
        <w:ind w:left="115" w:right="145" w:firstLine="710"/>
        <w:rPr>
          <w:sz w:val="32"/>
        </w:rPr>
      </w:pPr>
      <w:r>
        <w:rPr>
          <w:i/>
        </w:rPr>
        <w:t xml:space="preserve">France disability </w:t>
      </w:r>
      <w:r>
        <w:t>souligne que la situation des personnes avec altérations cognitives et mentales est extrêmement alarmante en France, où elles sont presque toujours soumises à des mesures de 'protection' qui les exposent à la violation de</w:t>
      </w:r>
      <w:r>
        <w:t xml:space="preserve"> leurs droits, à la privation de liberté et à la torture. Leur situation équivaut à un régime d'exception aux cadres communs des droits : ces personnes ne sont pas considérées comme des acteurs de leurs droits et, étant donné que les droits subjectifs tels</w:t>
      </w:r>
      <w:r>
        <w:t xml:space="preserve"> que la liberté et la sécurité ne peuvent être exercés par une personne de substitution, elles sont simplement privées de ces droits. La situation de ce groupe particulier doit être considérée avec une attention particulière et surtout ne pas être oubliée </w:t>
      </w:r>
      <w:r>
        <w:t xml:space="preserve">dans le brouillard général que l'État tente de créer sur la situation des personnes handicapées en refusant de discuter les problèmes particuliers de ce groupe. Le risque réel existe que la France continue à adopter les amendements jouant le rôle de « </w:t>
      </w:r>
      <w:r>
        <w:rPr>
          <w:i/>
        </w:rPr>
        <w:t>vill</w:t>
      </w:r>
      <w:r>
        <w:rPr>
          <w:i/>
        </w:rPr>
        <w:t xml:space="preserve">ages Potemkine </w:t>
      </w:r>
      <w:r>
        <w:t>» qui n'apportent aucun changement réel mais contribuent à l'invisibilité du problème.</w:t>
      </w:r>
    </w:p>
    <w:p w:rsidR="00000000" w:rsidRDefault="00B97F96">
      <w:pPr>
        <w:pStyle w:val="BodyText"/>
        <w:spacing w:before="5"/>
        <w:rPr>
          <w:sz w:val="32"/>
        </w:rPr>
      </w:pPr>
    </w:p>
    <w:p w:rsidR="00000000" w:rsidRDefault="00B97F96">
      <w:pPr>
        <w:pStyle w:val="Heading1"/>
        <w:spacing w:line="360" w:lineRule="auto"/>
        <w:ind w:right="105"/>
        <w:rPr>
          <w:sz w:val="32"/>
        </w:rPr>
      </w:pPr>
      <w:r>
        <w:rPr>
          <w:i/>
        </w:rPr>
        <w:t xml:space="preserve">France disability </w:t>
      </w:r>
      <w:r>
        <w:t>sollicite une attention particulière du Comité sur cette question, en insistant sur le fait qu'il n'y a pas d'ONG en France qui défendr</w:t>
      </w:r>
      <w:r>
        <w:t>ait les droits des personnes avec des altérations cognitives, qui restent dans l'angle mort de la société française.</w:t>
      </w:r>
    </w:p>
    <w:p w:rsidR="00000000" w:rsidRDefault="00B97F96">
      <w:pPr>
        <w:pStyle w:val="BodyText"/>
        <w:spacing w:before="10"/>
        <w:rPr>
          <w:b/>
          <w:sz w:val="32"/>
        </w:rPr>
      </w:pPr>
    </w:p>
    <w:p w:rsidR="00000000" w:rsidRDefault="00B97F96">
      <w:pPr>
        <w:spacing w:line="360" w:lineRule="auto"/>
        <w:ind w:left="115" w:firstLine="710"/>
        <w:rPr>
          <w:b/>
          <w:sz w:val="32"/>
        </w:rPr>
      </w:pPr>
      <w:r>
        <w:rPr>
          <w:b/>
        </w:rPr>
        <w:t>La privation de la capacité juridique et la prise de décision substituée sont au cœur de la violation des droits des personnes handicapées</w:t>
      </w:r>
      <w:r>
        <w:rPr>
          <w:b/>
        </w:rPr>
        <w:t xml:space="preserve"> en France et doivent être abordées en premier lieu et de manière urgente. Le cadre de la tutelle française doit être aboli et remplacé par un cadre basé sur le modèle de prise de décision accompagnée, faisant de la personne le sujet - et non l'objet - de </w:t>
      </w:r>
      <w:r>
        <w:rPr>
          <w:b/>
        </w:rPr>
        <w:t>la loi. Ce changement ne peut se produire que si le droit à un aménagement raisonnable est clairement énoncé comme un droit civil fondamental.</w:t>
      </w:r>
    </w:p>
    <w:p w:rsidR="00000000" w:rsidRDefault="00B97F96">
      <w:pPr>
        <w:pStyle w:val="BodyText"/>
        <w:spacing w:before="7"/>
        <w:rPr>
          <w:b/>
          <w:sz w:val="32"/>
        </w:rPr>
      </w:pPr>
    </w:p>
    <w:p w:rsidR="00000000" w:rsidRDefault="00B97F96">
      <w:pPr>
        <w:spacing w:line="360" w:lineRule="auto"/>
        <w:ind w:left="115" w:right="145" w:firstLine="710"/>
        <w:rPr>
          <w:b/>
          <w:sz w:val="32"/>
        </w:rPr>
      </w:pPr>
      <w:r>
        <w:rPr>
          <w:b/>
        </w:rPr>
        <w:t>L'inclusion de la personne dans la société doit être le principe, libéré du flou du "</w:t>
      </w:r>
      <w:r>
        <w:rPr>
          <w:b/>
          <w:i/>
        </w:rPr>
        <w:t>dans la mesure du possible</w:t>
      </w:r>
      <w:r>
        <w:rPr>
          <w:b/>
        </w:rPr>
        <w:t>"</w:t>
      </w:r>
      <w:r>
        <w:rPr>
          <w:b/>
        </w:rPr>
        <w:t>. Une personne exclue de la société risque fort d'être maltraitée et oubliée. Tous les moyens doivent être mis en œuvre pour que la personne avec des altérations cognitives vive au sein de la communauté.</w:t>
      </w:r>
    </w:p>
    <w:p w:rsidR="00000000" w:rsidRDefault="00B97F96">
      <w:pPr>
        <w:pStyle w:val="BodyText"/>
        <w:spacing w:before="10"/>
        <w:rPr>
          <w:b/>
          <w:sz w:val="32"/>
        </w:rPr>
      </w:pPr>
    </w:p>
    <w:p w:rsidR="00000000" w:rsidRDefault="00B97F96">
      <w:pPr>
        <w:spacing w:line="360" w:lineRule="auto"/>
        <w:ind w:left="115" w:right="105" w:firstLine="710"/>
        <w:sectPr w:rsidR="00000000">
          <w:pgSz w:w="11906" w:h="16838"/>
          <w:pgMar w:top="1060" w:right="1020" w:bottom="280" w:left="1020" w:header="720" w:footer="720" w:gutter="0"/>
          <w:cols w:space="720"/>
          <w:docGrid w:linePitch="240" w:charSpace="-2049"/>
        </w:sectPr>
      </w:pPr>
      <w:r>
        <w:rPr>
          <w:b/>
        </w:rPr>
        <w:t>Tous les efforts doivent être déployés pour compren</w:t>
      </w:r>
      <w:r>
        <w:rPr>
          <w:b/>
        </w:rPr>
        <w:t>dre les volontés et les préférences de la personne. Dans l'impossibilité d'avoir l'opinion de la personne, l'approche de la meilleure interprétation, basé sur l'engagement de la communauté, doit être retenue.</w:t>
      </w:r>
    </w:p>
    <w:p w:rsidR="00000000" w:rsidRDefault="00B97F96">
      <w:pPr>
        <w:spacing w:before="64"/>
        <w:ind w:left="115"/>
      </w:pPr>
    </w:p>
    <w:sectPr w:rsidR="00000000">
      <w:pgSz w:w="11906" w:h="16838"/>
      <w:pgMar w:top="1440" w:right="1020" w:bottom="280" w:left="1020" w:header="720" w:footer="720" w:gutter="0"/>
      <w:cols w:space="720"/>
      <w:docGrid w:linePitch="240" w:charSpace="-2049"/>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Calibri Light">
    <w:panose1 w:val="020F0302020204030204"/>
    <w:charset w:val="00"/>
    <w:family w:val="swiss"/>
    <w:pitch w:val="variable"/>
    <w:sig w:usb0="E0002AFF" w:usb1="C000247B" w:usb2="00000009" w:usb3="00000000" w:csb0="000001FF" w:csb1="00000000"/>
  </w:font>
  <w:font w:name="Calibri">
    <w:panose1 w:val="020F05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00001"/>
    <w:multiLevelType w:val="multilevel"/>
    <w:tmpl w:val="00000001"/>
    <w:lvl w:ilvl="0">
      <w:start w:val="1"/>
      <w:numFmt w:val="none"/>
      <w:suff w:val="nothing"/>
      <w:lvlText w:val=""/>
      <w:lvlJc w:val="left"/>
      <w:pPr>
        <w:tabs>
          <w:tab w:val="num" w:pos="432"/>
        </w:tabs>
        <w:ind w:left="432" w:hanging="432"/>
      </w:pPr>
    </w:lvl>
    <w:lvl w:ilvl="1">
      <w:start w:val="1"/>
      <w:numFmt w:val="none"/>
      <w:suff w:val="nothing"/>
      <w:lvlText w:val=""/>
      <w:lvlJc w:val="left"/>
      <w:pPr>
        <w:tabs>
          <w:tab w:val="num" w:pos="576"/>
        </w:tabs>
        <w:ind w:left="576" w:hanging="576"/>
      </w:pPr>
    </w:lvl>
    <w:lvl w:ilvl="2">
      <w:start w:val="1"/>
      <w:numFmt w:val="none"/>
      <w:suff w:val="nothing"/>
      <w:lvlText w:val=""/>
      <w:lvlJc w:val="left"/>
      <w:pPr>
        <w:tabs>
          <w:tab w:val="num" w:pos="72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abstractNum w:abstractNumId="1" w15:restartNumberingAfterBreak="0">
    <w:nsid w:val="00000002"/>
    <w:multiLevelType w:val="multilevel"/>
    <w:tmpl w:val="00000002"/>
    <w:name w:val="WWNum12"/>
    <w:lvl w:ilvl="0">
      <w:start w:val="55"/>
      <w:numFmt w:val="decimal"/>
      <w:lvlText w:val="%1"/>
      <w:lvlJc w:val="left"/>
      <w:pPr>
        <w:tabs>
          <w:tab w:val="num" w:pos="0"/>
        </w:tabs>
        <w:ind w:left="400" w:hanging="334"/>
      </w:pPr>
      <w:rPr>
        <w:rFonts w:eastAsia="Times New Roman" w:cs="Times New Roman"/>
        <w:spacing w:val="-16"/>
        <w:w w:val="100"/>
        <w:sz w:val="20"/>
        <w:szCs w:val="20"/>
        <w:lang w:val="fr-FR" w:eastAsia="ar-SA" w:bidi="ar-SA"/>
      </w:rPr>
    </w:lvl>
    <w:lvl w:ilvl="1">
      <w:numFmt w:val="bullet"/>
      <w:lvlText w:val=""/>
      <w:lvlJc w:val="left"/>
      <w:pPr>
        <w:tabs>
          <w:tab w:val="num" w:pos="0"/>
        </w:tabs>
        <w:ind w:left="820" w:hanging="334"/>
      </w:pPr>
      <w:rPr>
        <w:rFonts w:ascii="Symbol" w:hAnsi="Symbol"/>
        <w:lang w:val="fr-FR" w:eastAsia="ar-SA" w:bidi="ar-SA"/>
      </w:rPr>
    </w:lvl>
    <w:lvl w:ilvl="2">
      <w:numFmt w:val="bullet"/>
      <w:lvlText w:val=""/>
      <w:lvlJc w:val="left"/>
      <w:pPr>
        <w:tabs>
          <w:tab w:val="num" w:pos="0"/>
        </w:tabs>
        <w:ind w:left="1824" w:hanging="334"/>
      </w:pPr>
      <w:rPr>
        <w:rFonts w:ascii="Symbol" w:hAnsi="Symbol"/>
        <w:lang w:val="fr-FR" w:eastAsia="ar-SA" w:bidi="ar-SA"/>
      </w:rPr>
    </w:lvl>
    <w:lvl w:ilvl="3">
      <w:numFmt w:val="bullet"/>
      <w:lvlText w:val=""/>
      <w:lvlJc w:val="left"/>
      <w:pPr>
        <w:tabs>
          <w:tab w:val="num" w:pos="0"/>
        </w:tabs>
        <w:ind w:left="2828" w:hanging="334"/>
      </w:pPr>
      <w:rPr>
        <w:rFonts w:ascii="Symbol" w:hAnsi="Symbol"/>
        <w:lang w:val="fr-FR" w:eastAsia="ar-SA" w:bidi="ar-SA"/>
      </w:rPr>
    </w:lvl>
    <w:lvl w:ilvl="4">
      <w:numFmt w:val="bullet"/>
      <w:lvlText w:val=""/>
      <w:lvlJc w:val="left"/>
      <w:pPr>
        <w:tabs>
          <w:tab w:val="num" w:pos="0"/>
        </w:tabs>
        <w:ind w:left="3833" w:hanging="334"/>
      </w:pPr>
      <w:rPr>
        <w:rFonts w:ascii="Symbol" w:hAnsi="Symbol"/>
        <w:lang w:val="fr-FR" w:eastAsia="ar-SA" w:bidi="ar-SA"/>
      </w:rPr>
    </w:lvl>
    <w:lvl w:ilvl="5">
      <w:numFmt w:val="bullet"/>
      <w:lvlText w:val=""/>
      <w:lvlJc w:val="left"/>
      <w:pPr>
        <w:tabs>
          <w:tab w:val="num" w:pos="0"/>
        </w:tabs>
        <w:ind w:left="4837" w:hanging="334"/>
      </w:pPr>
      <w:rPr>
        <w:rFonts w:ascii="Symbol" w:hAnsi="Symbol"/>
        <w:lang w:val="fr-FR" w:eastAsia="ar-SA" w:bidi="ar-SA"/>
      </w:rPr>
    </w:lvl>
    <w:lvl w:ilvl="6">
      <w:numFmt w:val="bullet"/>
      <w:lvlText w:val=""/>
      <w:lvlJc w:val="left"/>
      <w:pPr>
        <w:tabs>
          <w:tab w:val="num" w:pos="0"/>
        </w:tabs>
        <w:ind w:left="5842" w:hanging="334"/>
      </w:pPr>
      <w:rPr>
        <w:rFonts w:ascii="Symbol" w:hAnsi="Symbol"/>
        <w:lang w:val="fr-FR" w:eastAsia="ar-SA" w:bidi="ar-SA"/>
      </w:rPr>
    </w:lvl>
    <w:lvl w:ilvl="7">
      <w:numFmt w:val="bullet"/>
      <w:lvlText w:val=""/>
      <w:lvlJc w:val="left"/>
      <w:pPr>
        <w:tabs>
          <w:tab w:val="num" w:pos="0"/>
        </w:tabs>
        <w:ind w:left="6846" w:hanging="334"/>
      </w:pPr>
      <w:rPr>
        <w:rFonts w:ascii="Symbol" w:hAnsi="Symbol"/>
        <w:lang w:val="fr-FR" w:eastAsia="ar-SA" w:bidi="ar-SA"/>
      </w:rPr>
    </w:lvl>
    <w:lvl w:ilvl="8">
      <w:numFmt w:val="bullet"/>
      <w:lvlText w:val=""/>
      <w:lvlJc w:val="left"/>
      <w:pPr>
        <w:tabs>
          <w:tab w:val="num" w:pos="0"/>
        </w:tabs>
        <w:ind w:left="7851" w:hanging="334"/>
      </w:pPr>
      <w:rPr>
        <w:rFonts w:ascii="Symbol" w:hAnsi="Symbol"/>
        <w:lang w:val="fr-FR" w:eastAsia="ar-SA" w:bidi="ar-SA"/>
      </w:rPr>
    </w:lvl>
  </w:abstractNum>
  <w:abstractNum w:abstractNumId="2" w15:restartNumberingAfterBreak="0">
    <w:nsid w:val="00000003"/>
    <w:multiLevelType w:val="multilevel"/>
    <w:tmpl w:val="00000003"/>
    <w:name w:val="WWNum11"/>
    <w:lvl w:ilvl="0">
      <w:start w:val="50"/>
      <w:numFmt w:val="decimal"/>
      <w:lvlText w:val="%1"/>
      <w:lvlJc w:val="left"/>
      <w:pPr>
        <w:tabs>
          <w:tab w:val="num" w:pos="0"/>
        </w:tabs>
        <w:ind w:left="450" w:hanging="334"/>
      </w:pPr>
      <w:rPr>
        <w:rFonts w:eastAsia="Times New Roman" w:cs="Times New Roman"/>
        <w:spacing w:val="-16"/>
        <w:w w:val="100"/>
        <w:sz w:val="20"/>
        <w:szCs w:val="20"/>
        <w:lang w:val="fr-FR" w:eastAsia="ar-SA" w:bidi="ar-SA"/>
      </w:rPr>
    </w:lvl>
    <w:lvl w:ilvl="1">
      <w:numFmt w:val="bullet"/>
      <w:lvlText w:val=""/>
      <w:lvlJc w:val="left"/>
      <w:pPr>
        <w:tabs>
          <w:tab w:val="num" w:pos="0"/>
        </w:tabs>
        <w:ind w:left="1400" w:hanging="334"/>
      </w:pPr>
      <w:rPr>
        <w:rFonts w:ascii="Symbol" w:hAnsi="Symbol"/>
        <w:lang w:val="fr-FR" w:eastAsia="ar-SA" w:bidi="ar-SA"/>
      </w:rPr>
    </w:lvl>
    <w:lvl w:ilvl="2">
      <w:numFmt w:val="bullet"/>
      <w:lvlText w:val=""/>
      <w:lvlJc w:val="left"/>
      <w:pPr>
        <w:tabs>
          <w:tab w:val="num" w:pos="0"/>
        </w:tabs>
        <w:ind w:left="2340" w:hanging="334"/>
      </w:pPr>
      <w:rPr>
        <w:rFonts w:ascii="Symbol" w:hAnsi="Symbol"/>
        <w:lang w:val="fr-FR" w:eastAsia="ar-SA" w:bidi="ar-SA"/>
      </w:rPr>
    </w:lvl>
    <w:lvl w:ilvl="3">
      <w:numFmt w:val="bullet"/>
      <w:lvlText w:val=""/>
      <w:lvlJc w:val="left"/>
      <w:pPr>
        <w:tabs>
          <w:tab w:val="num" w:pos="0"/>
        </w:tabs>
        <w:ind w:left="3280" w:hanging="334"/>
      </w:pPr>
      <w:rPr>
        <w:rFonts w:ascii="Symbol" w:hAnsi="Symbol"/>
        <w:lang w:val="fr-FR" w:eastAsia="ar-SA" w:bidi="ar-SA"/>
      </w:rPr>
    </w:lvl>
    <w:lvl w:ilvl="4">
      <w:numFmt w:val="bullet"/>
      <w:lvlText w:val=""/>
      <w:lvlJc w:val="left"/>
      <w:pPr>
        <w:tabs>
          <w:tab w:val="num" w:pos="0"/>
        </w:tabs>
        <w:ind w:left="4220" w:hanging="334"/>
      </w:pPr>
      <w:rPr>
        <w:rFonts w:ascii="Symbol" w:hAnsi="Symbol"/>
        <w:lang w:val="fr-FR" w:eastAsia="ar-SA" w:bidi="ar-SA"/>
      </w:rPr>
    </w:lvl>
    <w:lvl w:ilvl="5">
      <w:numFmt w:val="bullet"/>
      <w:lvlText w:val=""/>
      <w:lvlJc w:val="left"/>
      <w:pPr>
        <w:tabs>
          <w:tab w:val="num" w:pos="0"/>
        </w:tabs>
        <w:ind w:left="5160" w:hanging="334"/>
      </w:pPr>
      <w:rPr>
        <w:rFonts w:ascii="Symbol" w:hAnsi="Symbol"/>
        <w:lang w:val="fr-FR" w:eastAsia="ar-SA" w:bidi="ar-SA"/>
      </w:rPr>
    </w:lvl>
    <w:lvl w:ilvl="6">
      <w:numFmt w:val="bullet"/>
      <w:lvlText w:val=""/>
      <w:lvlJc w:val="left"/>
      <w:pPr>
        <w:tabs>
          <w:tab w:val="num" w:pos="0"/>
        </w:tabs>
        <w:ind w:left="6100" w:hanging="334"/>
      </w:pPr>
      <w:rPr>
        <w:rFonts w:ascii="Symbol" w:hAnsi="Symbol"/>
        <w:lang w:val="fr-FR" w:eastAsia="ar-SA" w:bidi="ar-SA"/>
      </w:rPr>
    </w:lvl>
    <w:lvl w:ilvl="7">
      <w:numFmt w:val="bullet"/>
      <w:lvlText w:val=""/>
      <w:lvlJc w:val="left"/>
      <w:pPr>
        <w:tabs>
          <w:tab w:val="num" w:pos="0"/>
        </w:tabs>
        <w:ind w:left="7040" w:hanging="334"/>
      </w:pPr>
      <w:rPr>
        <w:rFonts w:ascii="Symbol" w:hAnsi="Symbol"/>
        <w:lang w:val="fr-FR" w:eastAsia="ar-SA" w:bidi="ar-SA"/>
      </w:rPr>
    </w:lvl>
    <w:lvl w:ilvl="8">
      <w:numFmt w:val="bullet"/>
      <w:lvlText w:val=""/>
      <w:lvlJc w:val="left"/>
      <w:pPr>
        <w:tabs>
          <w:tab w:val="num" w:pos="0"/>
        </w:tabs>
        <w:ind w:left="7980" w:hanging="334"/>
      </w:pPr>
      <w:rPr>
        <w:rFonts w:ascii="Symbol" w:hAnsi="Symbol"/>
        <w:lang w:val="fr-FR" w:eastAsia="ar-SA" w:bidi="ar-SA"/>
      </w:rPr>
    </w:lvl>
  </w:abstractNum>
  <w:abstractNum w:abstractNumId="3" w15:restartNumberingAfterBreak="0">
    <w:nsid w:val="00000004"/>
    <w:multiLevelType w:val="multilevel"/>
    <w:tmpl w:val="00000004"/>
    <w:name w:val="WWNum10"/>
    <w:lvl w:ilvl="0">
      <w:start w:val="45"/>
      <w:numFmt w:val="decimal"/>
      <w:lvlText w:val="%1"/>
      <w:lvlJc w:val="left"/>
      <w:pPr>
        <w:tabs>
          <w:tab w:val="num" w:pos="0"/>
        </w:tabs>
        <w:ind w:left="400" w:hanging="284"/>
      </w:pPr>
      <w:rPr>
        <w:rFonts w:eastAsia="Times New Roman" w:cs="Times New Roman"/>
        <w:spacing w:val="-16"/>
        <w:w w:val="100"/>
        <w:sz w:val="20"/>
        <w:szCs w:val="20"/>
        <w:lang w:val="fr-FR" w:eastAsia="ar-SA" w:bidi="ar-SA"/>
      </w:rPr>
    </w:lvl>
    <w:lvl w:ilvl="1">
      <w:numFmt w:val="bullet"/>
      <w:lvlText w:val=""/>
      <w:lvlJc w:val="left"/>
      <w:pPr>
        <w:tabs>
          <w:tab w:val="num" w:pos="0"/>
        </w:tabs>
        <w:ind w:left="1346" w:hanging="284"/>
      </w:pPr>
      <w:rPr>
        <w:rFonts w:ascii="Symbol" w:hAnsi="Symbol"/>
        <w:lang w:val="fr-FR" w:eastAsia="ar-SA" w:bidi="ar-SA"/>
      </w:rPr>
    </w:lvl>
    <w:lvl w:ilvl="2">
      <w:numFmt w:val="bullet"/>
      <w:lvlText w:val=""/>
      <w:lvlJc w:val="left"/>
      <w:pPr>
        <w:tabs>
          <w:tab w:val="num" w:pos="0"/>
        </w:tabs>
        <w:ind w:left="2292" w:hanging="284"/>
      </w:pPr>
      <w:rPr>
        <w:rFonts w:ascii="Symbol" w:hAnsi="Symbol"/>
        <w:lang w:val="fr-FR" w:eastAsia="ar-SA" w:bidi="ar-SA"/>
      </w:rPr>
    </w:lvl>
    <w:lvl w:ilvl="3">
      <w:numFmt w:val="bullet"/>
      <w:lvlText w:val=""/>
      <w:lvlJc w:val="left"/>
      <w:pPr>
        <w:tabs>
          <w:tab w:val="num" w:pos="0"/>
        </w:tabs>
        <w:ind w:left="3238" w:hanging="284"/>
      </w:pPr>
      <w:rPr>
        <w:rFonts w:ascii="Symbol" w:hAnsi="Symbol"/>
        <w:lang w:val="fr-FR" w:eastAsia="ar-SA" w:bidi="ar-SA"/>
      </w:rPr>
    </w:lvl>
    <w:lvl w:ilvl="4">
      <w:numFmt w:val="bullet"/>
      <w:lvlText w:val=""/>
      <w:lvlJc w:val="left"/>
      <w:pPr>
        <w:tabs>
          <w:tab w:val="num" w:pos="0"/>
        </w:tabs>
        <w:ind w:left="4184" w:hanging="284"/>
      </w:pPr>
      <w:rPr>
        <w:rFonts w:ascii="Symbol" w:hAnsi="Symbol"/>
        <w:lang w:val="fr-FR" w:eastAsia="ar-SA" w:bidi="ar-SA"/>
      </w:rPr>
    </w:lvl>
    <w:lvl w:ilvl="5">
      <w:numFmt w:val="bullet"/>
      <w:lvlText w:val=""/>
      <w:lvlJc w:val="left"/>
      <w:pPr>
        <w:tabs>
          <w:tab w:val="num" w:pos="0"/>
        </w:tabs>
        <w:ind w:left="5130" w:hanging="284"/>
      </w:pPr>
      <w:rPr>
        <w:rFonts w:ascii="Symbol" w:hAnsi="Symbol"/>
        <w:lang w:val="fr-FR" w:eastAsia="ar-SA" w:bidi="ar-SA"/>
      </w:rPr>
    </w:lvl>
    <w:lvl w:ilvl="6">
      <w:numFmt w:val="bullet"/>
      <w:lvlText w:val=""/>
      <w:lvlJc w:val="left"/>
      <w:pPr>
        <w:tabs>
          <w:tab w:val="num" w:pos="0"/>
        </w:tabs>
        <w:ind w:left="6076" w:hanging="284"/>
      </w:pPr>
      <w:rPr>
        <w:rFonts w:ascii="Symbol" w:hAnsi="Symbol"/>
        <w:lang w:val="fr-FR" w:eastAsia="ar-SA" w:bidi="ar-SA"/>
      </w:rPr>
    </w:lvl>
    <w:lvl w:ilvl="7">
      <w:numFmt w:val="bullet"/>
      <w:lvlText w:val=""/>
      <w:lvlJc w:val="left"/>
      <w:pPr>
        <w:tabs>
          <w:tab w:val="num" w:pos="0"/>
        </w:tabs>
        <w:ind w:left="7022" w:hanging="284"/>
      </w:pPr>
      <w:rPr>
        <w:rFonts w:ascii="Symbol" w:hAnsi="Symbol"/>
        <w:lang w:val="fr-FR" w:eastAsia="ar-SA" w:bidi="ar-SA"/>
      </w:rPr>
    </w:lvl>
    <w:lvl w:ilvl="8">
      <w:numFmt w:val="bullet"/>
      <w:lvlText w:val=""/>
      <w:lvlJc w:val="left"/>
      <w:pPr>
        <w:tabs>
          <w:tab w:val="num" w:pos="0"/>
        </w:tabs>
        <w:ind w:left="7968" w:hanging="284"/>
      </w:pPr>
      <w:rPr>
        <w:rFonts w:ascii="Symbol" w:hAnsi="Symbol"/>
        <w:lang w:val="fr-FR" w:eastAsia="ar-SA" w:bidi="ar-SA"/>
      </w:rPr>
    </w:lvl>
  </w:abstractNum>
  <w:abstractNum w:abstractNumId="4" w15:restartNumberingAfterBreak="0">
    <w:nsid w:val="00000005"/>
    <w:multiLevelType w:val="multilevel"/>
    <w:tmpl w:val="00000005"/>
    <w:name w:val="WWNum9"/>
    <w:lvl w:ilvl="0">
      <w:start w:val="27"/>
      <w:numFmt w:val="decimal"/>
      <w:lvlText w:val="%1"/>
      <w:lvlJc w:val="left"/>
      <w:pPr>
        <w:tabs>
          <w:tab w:val="num" w:pos="0"/>
        </w:tabs>
        <w:ind w:left="400" w:hanging="284"/>
      </w:pPr>
      <w:rPr>
        <w:rFonts w:eastAsia="Times New Roman" w:cs="Times New Roman"/>
        <w:spacing w:val="-16"/>
        <w:w w:val="100"/>
        <w:sz w:val="20"/>
        <w:szCs w:val="20"/>
        <w:lang w:val="fr-FR" w:eastAsia="ar-SA" w:bidi="ar-SA"/>
      </w:rPr>
    </w:lvl>
    <w:lvl w:ilvl="1">
      <w:numFmt w:val="bullet"/>
      <w:lvlText w:val=""/>
      <w:lvlJc w:val="left"/>
      <w:pPr>
        <w:tabs>
          <w:tab w:val="num" w:pos="0"/>
        </w:tabs>
        <w:ind w:left="1346" w:hanging="284"/>
      </w:pPr>
      <w:rPr>
        <w:rFonts w:ascii="Symbol" w:hAnsi="Symbol"/>
        <w:lang w:val="fr-FR" w:eastAsia="ar-SA" w:bidi="ar-SA"/>
      </w:rPr>
    </w:lvl>
    <w:lvl w:ilvl="2">
      <w:numFmt w:val="bullet"/>
      <w:lvlText w:val=""/>
      <w:lvlJc w:val="left"/>
      <w:pPr>
        <w:tabs>
          <w:tab w:val="num" w:pos="0"/>
        </w:tabs>
        <w:ind w:left="2292" w:hanging="284"/>
      </w:pPr>
      <w:rPr>
        <w:rFonts w:ascii="Symbol" w:hAnsi="Symbol"/>
        <w:lang w:val="fr-FR" w:eastAsia="ar-SA" w:bidi="ar-SA"/>
      </w:rPr>
    </w:lvl>
    <w:lvl w:ilvl="3">
      <w:numFmt w:val="bullet"/>
      <w:lvlText w:val=""/>
      <w:lvlJc w:val="left"/>
      <w:pPr>
        <w:tabs>
          <w:tab w:val="num" w:pos="0"/>
        </w:tabs>
        <w:ind w:left="3238" w:hanging="284"/>
      </w:pPr>
      <w:rPr>
        <w:rFonts w:ascii="Symbol" w:hAnsi="Symbol"/>
        <w:lang w:val="fr-FR" w:eastAsia="ar-SA" w:bidi="ar-SA"/>
      </w:rPr>
    </w:lvl>
    <w:lvl w:ilvl="4">
      <w:numFmt w:val="bullet"/>
      <w:lvlText w:val=""/>
      <w:lvlJc w:val="left"/>
      <w:pPr>
        <w:tabs>
          <w:tab w:val="num" w:pos="0"/>
        </w:tabs>
        <w:ind w:left="4184" w:hanging="284"/>
      </w:pPr>
      <w:rPr>
        <w:rFonts w:ascii="Symbol" w:hAnsi="Symbol"/>
        <w:lang w:val="fr-FR" w:eastAsia="ar-SA" w:bidi="ar-SA"/>
      </w:rPr>
    </w:lvl>
    <w:lvl w:ilvl="5">
      <w:numFmt w:val="bullet"/>
      <w:lvlText w:val=""/>
      <w:lvlJc w:val="left"/>
      <w:pPr>
        <w:tabs>
          <w:tab w:val="num" w:pos="0"/>
        </w:tabs>
        <w:ind w:left="5130" w:hanging="284"/>
      </w:pPr>
      <w:rPr>
        <w:rFonts w:ascii="Symbol" w:hAnsi="Symbol"/>
        <w:lang w:val="fr-FR" w:eastAsia="ar-SA" w:bidi="ar-SA"/>
      </w:rPr>
    </w:lvl>
    <w:lvl w:ilvl="6">
      <w:numFmt w:val="bullet"/>
      <w:lvlText w:val=""/>
      <w:lvlJc w:val="left"/>
      <w:pPr>
        <w:tabs>
          <w:tab w:val="num" w:pos="0"/>
        </w:tabs>
        <w:ind w:left="6076" w:hanging="284"/>
      </w:pPr>
      <w:rPr>
        <w:rFonts w:ascii="Symbol" w:hAnsi="Symbol"/>
        <w:lang w:val="fr-FR" w:eastAsia="ar-SA" w:bidi="ar-SA"/>
      </w:rPr>
    </w:lvl>
    <w:lvl w:ilvl="7">
      <w:numFmt w:val="bullet"/>
      <w:lvlText w:val=""/>
      <w:lvlJc w:val="left"/>
      <w:pPr>
        <w:tabs>
          <w:tab w:val="num" w:pos="0"/>
        </w:tabs>
        <w:ind w:left="7022" w:hanging="284"/>
      </w:pPr>
      <w:rPr>
        <w:rFonts w:ascii="Symbol" w:hAnsi="Symbol"/>
        <w:lang w:val="fr-FR" w:eastAsia="ar-SA" w:bidi="ar-SA"/>
      </w:rPr>
    </w:lvl>
    <w:lvl w:ilvl="8">
      <w:numFmt w:val="bullet"/>
      <w:lvlText w:val=""/>
      <w:lvlJc w:val="left"/>
      <w:pPr>
        <w:tabs>
          <w:tab w:val="num" w:pos="0"/>
        </w:tabs>
        <w:ind w:left="7968" w:hanging="284"/>
      </w:pPr>
      <w:rPr>
        <w:rFonts w:ascii="Symbol" w:hAnsi="Symbol"/>
        <w:lang w:val="fr-FR" w:eastAsia="ar-SA" w:bidi="ar-SA"/>
      </w:rPr>
    </w:lvl>
  </w:abstractNum>
  <w:abstractNum w:abstractNumId="5" w15:restartNumberingAfterBreak="0">
    <w:nsid w:val="00000006"/>
    <w:multiLevelType w:val="multilevel"/>
    <w:tmpl w:val="00000006"/>
    <w:name w:val="WWNum8"/>
    <w:lvl w:ilvl="0">
      <w:start w:val="2"/>
      <w:numFmt w:val="decimal"/>
      <w:lvlText w:val="%1"/>
      <w:lvlJc w:val="left"/>
      <w:pPr>
        <w:tabs>
          <w:tab w:val="num" w:pos="0"/>
        </w:tabs>
        <w:ind w:left="1209" w:hanging="384"/>
      </w:pPr>
      <w:rPr>
        <w:lang w:val="fr-FR" w:eastAsia="ar-SA" w:bidi="ar-SA"/>
      </w:rPr>
    </w:lvl>
    <w:lvl w:ilvl="1">
      <w:start w:val="4"/>
      <w:numFmt w:val="decimal"/>
      <w:lvlText w:val="%1.%2."/>
      <w:lvlJc w:val="left"/>
      <w:pPr>
        <w:tabs>
          <w:tab w:val="num" w:pos="0"/>
        </w:tabs>
        <w:ind w:left="1209" w:hanging="384"/>
      </w:pPr>
      <w:rPr>
        <w:rFonts w:eastAsia="Times New Roman" w:cs="Times New Roman"/>
        <w:spacing w:val="-2"/>
        <w:w w:val="100"/>
        <w:sz w:val="22"/>
        <w:szCs w:val="22"/>
        <w:u w:val="single" w:color="000000"/>
        <w:lang w:val="fr-FR" w:eastAsia="ar-SA" w:bidi="ar-SA"/>
      </w:rPr>
    </w:lvl>
    <w:lvl w:ilvl="2">
      <w:numFmt w:val="bullet"/>
      <w:lvlText w:val=""/>
      <w:lvlJc w:val="left"/>
      <w:pPr>
        <w:tabs>
          <w:tab w:val="num" w:pos="0"/>
        </w:tabs>
        <w:ind w:left="2932" w:hanging="384"/>
      </w:pPr>
      <w:rPr>
        <w:rFonts w:ascii="Symbol" w:hAnsi="Symbol"/>
        <w:lang w:val="fr-FR" w:eastAsia="ar-SA" w:bidi="ar-SA"/>
      </w:rPr>
    </w:lvl>
    <w:lvl w:ilvl="3">
      <w:numFmt w:val="bullet"/>
      <w:lvlText w:val=""/>
      <w:lvlJc w:val="left"/>
      <w:pPr>
        <w:tabs>
          <w:tab w:val="num" w:pos="0"/>
        </w:tabs>
        <w:ind w:left="3798" w:hanging="384"/>
      </w:pPr>
      <w:rPr>
        <w:rFonts w:ascii="Symbol" w:hAnsi="Symbol"/>
        <w:lang w:val="fr-FR" w:eastAsia="ar-SA" w:bidi="ar-SA"/>
      </w:rPr>
    </w:lvl>
    <w:lvl w:ilvl="4">
      <w:numFmt w:val="bullet"/>
      <w:lvlText w:val=""/>
      <w:lvlJc w:val="left"/>
      <w:pPr>
        <w:tabs>
          <w:tab w:val="num" w:pos="0"/>
        </w:tabs>
        <w:ind w:left="4664" w:hanging="384"/>
      </w:pPr>
      <w:rPr>
        <w:rFonts w:ascii="Symbol" w:hAnsi="Symbol"/>
        <w:lang w:val="fr-FR" w:eastAsia="ar-SA" w:bidi="ar-SA"/>
      </w:rPr>
    </w:lvl>
    <w:lvl w:ilvl="5">
      <w:numFmt w:val="bullet"/>
      <w:lvlText w:val=""/>
      <w:lvlJc w:val="left"/>
      <w:pPr>
        <w:tabs>
          <w:tab w:val="num" w:pos="0"/>
        </w:tabs>
        <w:ind w:left="5530" w:hanging="384"/>
      </w:pPr>
      <w:rPr>
        <w:rFonts w:ascii="Symbol" w:hAnsi="Symbol"/>
        <w:lang w:val="fr-FR" w:eastAsia="ar-SA" w:bidi="ar-SA"/>
      </w:rPr>
    </w:lvl>
    <w:lvl w:ilvl="6">
      <w:numFmt w:val="bullet"/>
      <w:lvlText w:val=""/>
      <w:lvlJc w:val="left"/>
      <w:pPr>
        <w:tabs>
          <w:tab w:val="num" w:pos="0"/>
        </w:tabs>
        <w:ind w:left="6396" w:hanging="384"/>
      </w:pPr>
      <w:rPr>
        <w:rFonts w:ascii="Symbol" w:hAnsi="Symbol"/>
        <w:lang w:val="fr-FR" w:eastAsia="ar-SA" w:bidi="ar-SA"/>
      </w:rPr>
    </w:lvl>
    <w:lvl w:ilvl="7">
      <w:numFmt w:val="bullet"/>
      <w:lvlText w:val=""/>
      <w:lvlJc w:val="left"/>
      <w:pPr>
        <w:tabs>
          <w:tab w:val="num" w:pos="0"/>
        </w:tabs>
        <w:ind w:left="7262" w:hanging="384"/>
      </w:pPr>
      <w:rPr>
        <w:rFonts w:ascii="Symbol" w:hAnsi="Symbol"/>
        <w:lang w:val="fr-FR" w:eastAsia="ar-SA" w:bidi="ar-SA"/>
      </w:rPr>
    </w:lvl>
    <w:lvl w:ilvl="8">
      <w:numFmt w:val="bullet"/>
      <w:lvlText w:val=""/>
      <w:lvlJc w:val="left"/>
      <w:pPr>
        <w:tabs>
          <w:tab w:val="num" w:pos="0"/>
        </w:tabs>
        <w:ind w:left="8128" w:hanging="384"/>
      </w:pPr>
      <w:rPr>
        <w:rFonts w:ascii="Symbol" w:hAnsi="Symbol"/>
        <w:lang w:val="fr-FR" w:eastAsia="ar-SA" w:bidi="ar-SA"/>
      </w:rPr>
    </w:lvl>
  </w:abstractNum>
  <w:abstractNum w:abstractNumId="6" w15:restartNumberingAfterBreak="0">
    <w:nsid w:val="00000007"/>
    <w:multiLevelType w:val="multilevel"/>
    <w:tmpl w:val="00000007"/>
    <w:name w:val="WWNum7"/>
    <w:lvl w:ilvl="0">
      <w:start w:val="23"/>
      <w:numFmt w:val="decimal"/>
      <w:lvlText w:val="%1"/>
      <w:lvlJc w:val="left"/>
      <w:pPr>
        <w:tabs>
          <w:tab w:val="num" w:pos="0"/>
        </w:tabs>
        <w:ind w:left="400" w:hanging="284"/>
      </w:pPr>
      <w:rPr>
        <w:rFonts w:eastAsia="Times New Roman" w:cs="Times New Roman"/>
        <w:spacing w:val="-16"/>
        <w:w w:val="100"/>
        <w:sz w:val="20"/>
        <w:szCs w:val="20"/>
        <w:lang w:val="fr-FR" w:eastAsia="ar-SA" w:bidi="ar-SA"/>
      </w:rPr>
    </w:lvl>
    <w:lvl w:ilvl="1">
      <w:numFmt w:val="bullet"/>
      <w:lvlText w:val=""/>
      <w:lvlJc w:val="left"/>
      <w:pPr>
        <w:tabs>
          <w:tab w:val="num" w:pos="0"/>
        </w:tabs>
        <w:ind w:left="1346" w:hanging="284"/>
      </w:pPr>
      <w:rPr>
        <w:rFonts w:ascii="Symbol" w:hAnsi="Symbol"/>
        <w:lang w:val="fr-FR" w:eastAsia="ar-SA" w:bidi="ar-SA"/>
      </w:rPr>
    </w:lvl>
    <w:lvl w:ilvl="2">
      <w:numFmt w:val="bullet"/>
      <w:lvlText w:val=""/>
      <w:lvlJc w:val="left"/>
      <w:pPr>
        <w:tabs>
          <w:tab w:val="num" w:pos="0"/>
        </w:tabs>
        <w:ind w:left="2292" w:hanging="284"/>
      </w:pPr>
      <w:rPr>
        <w:rFonts w:ascii="Symbol" w:hAnsi="Symbol"/>
        <w:lang w:val="fr-FR" w:eastAsia="ar-SA" w:bidi="ar-SA"/>
      </w:rPr>
    </w:lvl>
    <w:lvl w:ilvl="3">
      <w:numFmt w:val="bullet"/>
      <w:lvlText w:val=""/>
      <w:lvlJc w:val="left"/>
      <w:pPr>
        <w:tabs>
          <w:tab w:val="num" w:pos="0"/>
        </w:tabs>
        <w:ind w:left="3238" w:hanging="284"/>
      </w:pPr>
      <w:rPr>
        <w:rFonts w:ascii="Symbol" w:hAnsi="Symbol"/>
        <w:lang w:val="fr-FR" w:eastAsia="ar-SA" w:bidi="ar-SA"/>
      </w:rPr>
    </w:lvl>
    <w:lvl w:ilvl="4">
      <w:numFmt w:val="bullet"/>
      <w:lvlText w:val=""/>
      <w:lvlJc w:val="left"/>
      <w:pPr>
        <w:tabs>
          <w:tab w:val="num" w:pos="0"/>
        </w:tabs>
        <w:ind w:left="4184" w:hanging="284"/>
      </w:pPr>
      <w:rPr>
        <w:rFonts w:ascii="Symbol" w:hAnsi="Symbol"/>
        <w:lang w:val="fr-FR" w:eastAsia="ar-SA" w:bidi="ar-SA"/>
      </w:rPr>
    </w:lvl>
    <w:lvl w:ilvl="5">
      <w:numFmt w:val="bullet"/>
      <w:lvlText w:val=""/>
      <w:lvlJc w:val="left"/>
      <w:pPr>
        <w:tabs>
          <w:tab w:val="num" w:pos="0"/>
        </w:tabs>
        <w:ind w:left="5130" w:hanging="284"/>
      </w:pPr>
      <w:rPr>
        <w:rFonts w:ascii="Symbol" w:hAnsi="Symbol"/>
        <w:lang w:val="fr-FR" w:eastAsia="ar-SA" w:bidi="ar-SA"/>
      </w:rPr>
    </w:lvl>
    <w:lvl w:ilvl="6">
      <w:numFmt w:val="bullet"/>
      <w:lvlText w:val=""/>
      <w:lvlJc w:val="left"/>
      <w:pPr>
        <w:tabs>
          <w:tab w:val="num" w:pos="0"/>
        </w:tabs>
        <w:ind w:left="6076" w:hanging="284"/>
      </w:pPr>
      <w:rPr>
        <w:rFonts w:ascii="Symbol" w:hAnsi="Symbol"/>
        <w:lang w:val="fr-FR" w:eastAsia="ar-SA" w:bidi="ar-SA"/>
      </w:rPr>
    </w:lvl>
    <w:lvl w:ilvl="7">
      <w:numFmt w:val="bullet"/>
      <w:lvlText w:val=""/>
      <w:lvlJc w:val="left"/>
      <w:pPr>
        <w:tabs>
          <w:tab w:val="num" w:pos="0"/>
        </w:tabs>
        <w:ind w:left="7022" w:hanging="284"/>
      </w:pPr>
      <w:rPr>
        <w:rFonts w:ascii="Symbol" w:hAnsi="Symbol"/>
        <w:lang w:val="fr-FR" w:eastAsia="ar-SA" w:bidi="ar-SA"/>
      </w:rPr>
    </w:lvl>
    <w:lvl w:ilvl="8">
      <w:numFmt w:val="bullet"/>
      <w:lvlText w:val=""/>
      <w:lvlJc w:val="left"/>
      <w:pPr>
        <w:tabs>
          <w:tab w:val="num" w:pos="0"/>
        </w:tabs>
        <w:ind w:left="7968" w:hanging="284"/>
      </w:pPr>
      <w:rPr>
        <w:rFonts w:ascii="Symbol" w:hAnsi="Symbol"/>
        <w:lang w:val="fr-FR" w:eastAsia="ar-SA" w:bidi="ar-SA"/>
      </w:rPr>
    </w:lvl>
  </w:abstractNum>
  <w:abstractNum w:abstractNumId="7" w15:restartNumberingAfterBreak="0">
    <w:nsid w:val="00000008"/>
    <w:multiLevelType w:val="multilevel"/>
    <w:tmpl w:val="00000008"/>
    <w:name w:val="WWNum6"/>
    <w:lvl w:ilvl="0">
      <w:start w:val="17"/>
      <w:numFmt w:val="decimal"/>
      <w:lvlText w:val="%1"/>
      <w:lvlJc w:val="left"/>
      <w:pPr>
        <w:tabs>
          <w:tab w:val="num" w:pos="0"/>
        </w:tabs>
        <w:ind w:left="400" w:hanging="284"/>
      </w:pPr>
      <w:rPr>
        <w:rFonts w:eastAsia="Times New Roman" w:cs="Times New Roman"/>
        <w:spacing w:val="-16"/>
        <w:w w:val="100"/>
        <w:sz w:val="20"/>
        <w:szCs w:val="20"/>
        <w:lang w:val="fr-FR" w:eastAsia="ar-SA" w:bidi="ar-SA"/>
      </w:rPr>
    </w:lvl>
    <w:lvl w:ilvl="1">
      <w:numFmt w:val="bullet"/>
      <w:lvlText w:val=""/>
      <w:lvlJc w:val="left"/>
      <w:pPr>
        <w:tabs>
          <w:tab w:val="num" w:pos="0"/>
        </w:tabs>
        <w:ind w:left="1346" w:hanging="284"/>
      </w:pPr>
      <w:rPr>
        <w:rFonts w:ascii="Symbol" w:hAnsi="Symbol"/>
        <w:lang w:val="fr-FR" w:eastAsia="ar-SA" w:bidi="ar-SA"/>
      </w:rPr>
    </w:lvl>
    <w:lvl w:ilvl="2">
      <w:numFmt w:val="bullet"/>
      <w:lvlText w:val=""/>
      <w:lvlJc w:val="left"/>
      <w:pPr>
        <w:tabs>
          <w:tab w:val="num" w:pos="0"/>
        </w:tabs>
        <w:ind w:left="2292" w:hanging="284"/>
      </w:pPr>
      <w:rPr>
        <w:rFonts w:ascii="Symbol" w:hAnsi="Symbol"/>
        <w:lang w:val="fr-FR" w:eastAsia="ar-SA" w:bidi="ar-SA"/>
      </w:rPr>
    </w:lvl>
    <w:lvl w:ilvl="3">
      <w:numFmt w:val="bullet"/>
      <w:lvlText w:val=""/>
      <w:lvlJc w:val="left"/>
      <w:pPr>
        <w:tabs>
          <w:tab w:val="num" w:pos="0"/>
        </w:tabs>
        <w:ind w:left="3238" w:hanging="284"/>
      </w:pPr>
      <w:rPr>
        <w:rFonts w:ascii="Symbol" w:hAnsi="Symbol"/>
        <w:lang w:val="fr-FR" w:eastAsia="ar-SA" w:bidi="ar-SA"/>
      </w:rPr>
    </w:lvl>
    <w:lvl w:ilvl="4">
      <w:numFmt w:val="bullet"/>
      <w:lvlText w:val=""/>
      <w:lvlJc w:val="left"/>
      <w:pPr>
        <w:tabs>
          <w:tab w:val="num" w:pos="0"/>
        </w:tabs>
        <w:ind w:left="4184" w:hanging="284"/>
      </w:pPr>
      <w:rPr>
        <w:rFonts w:ascii="Symbol" w:hAnsi="Symbol"/>
        <w:lang w:val="fr-FR" w:eastAsia="ar-SA" w:bidi="ar-SA"/>
      </w:rPr>
    </w:lvl>
    <w:lvl w:ilvl="5">
      <w:numFmt w:val="bullet"/>
      <w:lvlText w:val=""/>
      <w:lvlJc w:val="left"/>
      <w:pPr>
        <w:tabs>
          <w:tab w:val="num" w:pos="0"/>
        </w:tabs>
        <w:ind w:left="5130" w:hanging="284"/>
      </w:pPr>
      <w:rPr>
        <w:rFonts w:ascii="Symbol" w:hAnsi="Symbol"/>
        <w:lang w:val="fr-FR" w:eastAsia="ar-SA" w:bidi="ar-SA"/>
      </w:rPr>
    </w:lvl>
    <w:lvl w:ilvl="6">
      <w:numFmt w:val="bullet"/>
      <w:lvlText w:val=""/>
      <w:lvlJc w:val="left"/>
      <w:pPr>
        <w:tabs>
          <w:tab w:val="num" w:pos="0"/>
        </w:tabs>
        <w:ind w:left="6076" w:hanging="284"/>
      </w:pPr>
      <w:rPr>
        <w:rFonts w:ascii="Symbol" w:hAnsi="Symbol"/>
        <w:lang w:val="fr-FR" w:eastAsia="ar-SA" w:bidi="ar-SA"/>
      </w:rPr>
    </w:lvl>
    <w:lvl w:ilvl="7">
      <w:numFmt w:val="bullet"/>
      <w:lvlText w:val=""/>
      <w:lvlJc w:val="left"/>
      <w:pPr>
        <w:tabs>
          <w:tab w:val="num" w:pos="0"/>
        </w:tabs>
        <w:ind w:left="7022" w:hanging="284"/>
      </w:pPr>
      <w:rPr>
        <w:rFonts w:ascii="Symbol" w:hAnsi="Symbol"/>
        <w:lang w:val="fr-FR" w:eastAsia="ar-SA" w:bidi="ar-SA"/>
      </w:rPr>
    </w:lvl>
    <w:lvl w:ilvl="8">
      <w:numFmt w:val="bullet"/>
      <w:lvlText w:val=""/>
      <w:lvlJc w:val="left"/>
      <w:pPr>
        <w:tabs>
          <w:tab w:val="num" w:pos="0"/>
        </w:tabs>
        <w:ind w:left="7968" w:hanging="284"/>
      </w:pPr>
      <w:rPr>
        <w:rFonts w:ascii="Symbol" w:hAnsi="Symbol"/>
        <w:lang w:val="fr-FR" w:eastAsia="ar-SA" w:bidi="ar-SA"/>
      </w:rPr>
    </w:lvl>
  </w:abstractNum>
  <w:abstractNum w:abstractNumId="8" w15:restartNumberingAfterBreak="0">
    <w:nsid w:val="00000009"/>
    <w:multiLevelType w:val="multilevel"/>
    <w:tmpl w:val="00000009"/>
    <w:name w:val="WWNum5"/>
    <w:lvl w:ilvl="0">
      <w:start w:val="14"/>
      <w:numFmt w:val="decimal"/>
      <w:lvlText w:val="%1"/>
      <w:lvlJc w:val="left"/>
      <w:pPr>
        <w:tabs>
          <w:tab w:val="num" w:pos="0"/>
        </w:tabs>
        <w:ind w:left="400" w:hanging="284"/>
      </w:pPr>
      <w:rPr>
        <w:rFonts w:eastAsia="Times New Roman" w:cs="Times New Roman"/>
        <w:spacing w:val="-16"/>
        <w:w w:val="100"/>
        <w:sz w:val="20"/>
        <w:szCs w:val="20"/>
        <w:lang w:val="fr-FR" w:eastAsia="ar-SA" w:bidi="ar-SA"/>
      </w:rPr>
    </w:lvl>
    <w:lvl w:ilvl="1">
      <w:numFmt w:val="bullet"/>
      <w:lvlText w:val=""/>
      <w:lvlJc w:val="left"/>
      <w:pPr>
        <w:tabs>
          <w:tab w:val="num" w:pos="0"/>
        </w:tabs>
        <w:ind w:left="1346" w:hanging="284"/>
      </w:pPr>
      <w:rPr>
        <w:rFonts w:ascii="Symbol" w:hAnsi="Symbol"/>
        <w:lang w:val="fr-FR" w:eastAsia="ar-SA" w:bidi="ar-SA"/>
      </w:rPr>
    </w:lvl>
    <w:lvl w:ilvl="2">
      <w:numFmt w:val="bullet"/>
      <w:lvlText w:val=""/>
      <w:lvlJc w:val="left"/>
      <w:pPr>
        <w:tabs>
          <w:tab w:val="num" w:pos="0"/>
        </w:tabs>
        <w:ind w:left="2292" w:hanging="284"/>
      </w:pPr>
      <w:rPr>
        <w:rFonts w:ascii="Symbol" w:hAnsi="Symbol"/>
        <w:lang w:val="fr-FR" w:eastAsia="ar-SA" w:bidi="ar-SA"/>
      </w:rPr>
    </w:lvl>
    <w:lvl w:ilvl="3">
      <w:numFmt w:val="bullet"/>
      <w:lvlText w:val=""/>
      <w:lvlJc w:val="left"/>
      <w:pPr>
        <w:tabs>
          <w:tab w:val="num" w:pos="0"/>
        </w:tabs>
        <w:ind w:left="3238" w:hanging="284"/>
      </w:pPr>
      <w:rPr>
        <w:rFonts w:ascii="Symbol" w:hAnsi="Symbol"/>
        <w:lang w:val="fr-FR" w:eastAsia="ar-SA" w:bidi="ar-SA"/>
      </w:rPr>
    </w:lvl>
    <w:lvl w:ilvl="4">
      <w:numFmt w:val="bullet"/>
      <w:lvlText w:val=""/>
      <w:lvlJc w:val="left"/>
      <w:pPr>
        <w:tabs>
          <w:tab w:val="num" w:pos="0"/>
        </w:tabs>
        <w:ind w:left="4184" w:hanging="284"/>
      </w:pPr>
      <w:rPr>
        <w:rFonts w:ascii="Symbol" w:hAnsi="Symbol"/>
        <w:lang w:val="fr-FR" w:eastAsia="ar-SA" w:bidi="ar-SA"/>
      </w:rPr>
    </w:lvl>
    <w:lvl w:ilvl="5">
      <w:numFmt w:val="bullet"/>
      <w:lvlText w:val=""/>
      <w:lvlJc w:val="left"/>
      <w:pPr>
        <w:tabs>
          <w:tab w:val="num" w:pos="0"/>
        </w:tabs>
        <w:ind w:left="5130" w:hanging="284"/>
      </w:pPr>
      <w:rPr>
        <w:rFonts w:ascii="Symbol" w:hAnsi="Symbol"/>
        <w:lang w:val="fr-FR" w:eastAsia="ar-SA" w:bidi="ar-SA"/>
      </w:rPr>
    </w:lvl>
    <w:lvl w:ilvl="6">
      <w:numFmt w:val="bullet"/>
      <w:lvlText w:val=""/>
      <w:lvlJc w:val="left"/>
      <w:pPr>
        <w:tabs>
          <w:tab w:val="num" w:pos="0"/>
        </w:tabs>
        <w:ind w:left="6076" w:hanging="284"/>
      </w:pPr>
      <w:rPr>
        <w:rFonts w:ascii="Symbol" w:hAnsi="Symbol"/>
        <w:lang w:val="fr-FR" w:eastAsia="ar-SA" w:bidi="ar-SA"/>
      </w:rPr>
    </w:lvl>
    <w:lvl w:ilvl="7">
      <w:numFmt w:val="bullet"/>
      <w:lvlText w:val=""/>
      <w:lvlJc w:val="left"/>
      <w:pPr>
        <w:tabs>
          <w:tab w:val="num" w:pos="0"/>
        </w:tabs>
        <w:ind w:left="7022" w:hanging="284"/>
      </w:pPr>
      <w:rPr>
        <w:rFonts w:ascii="Symbol" w:hAnsi="Symbol"/>
        <w:lang w:val="fr-FR" w:eastAsia="ar-SA" w:bidi="ar-SA"/>
      </w:rPr>
    </w:lvl>
    <w:lvl w:ilvl="8">
      <w:numFmt w:val="bullet"/>
      <w:lvlText w:val=""/>
      <w:lvlJc w:val="left"/>
      <w:pPr>
        <w:tabs>
          <w:tab w:val="num" w:pos="0"/>
        </w:tabs>
        <w:ind w:left="7968" w:hanging="284"/>
      </w:pPr>
      <w:rPr>
        <w:rFonts w:ascii="Symbol" w:hAnsi="Symbol"/>
        <w:lang w:val="fr-FR" w:eastAsia="ar-SA" w:bidi="ar-SA"/>
      </w:rPr>
    </w:lvl>
  </w:abstractNum>
  <w:abstractNum w:abstractNumId="9" w15:restartNumberingAfterBreak="0">
    <w:nsid w:val="0000000A"/>
    <w:multiLevelType w:val="multilevel"/>
    <w:tmpl w:val="0000000A"/>
    <w:name w:val="WWNum3"/>
    <w:lvl w:ilvl="0">
      <w:numFmt w:val="bullet"/>
      <w:lvlText w:val="-"/>
      <w:lvlJc w:val="left"/>
      <w:pPr>
        <w:tabs>
          <w:tab w:val="num" w:pos="0"/>
        </w:tabs>
        <w:ind w:left="116" w:hanging="128"/>
      </w:pPr>
      <w:rPr>
        <w:rFonts w:ascii="Times New Roman" w:hAnsi="Times New Roman" w:cs="Times New Roman"/>
        <w:w w:val="100"/>
        <w:sz w:val="22"/>
        <w:szCs w:val="22"/>
        <w:lang w:val="fr-FR" w:eastAsia="ar-SA" w:bidi="ar-SA"/>
      </w:rPr>
    </w:lvl>
    <w:lvl w:ilvl="1">
      <w:numFmt w:val="bullet"/>
      <w:lvlText w:val=""/>
      <w:lvlJc w:val="left"/>
      <w:pPr>
        <w:tabs>
          <w:tab w:val="num" w:pos="0"/>
        </w:tabs>
        <w:ind w:left="1094" w:hanging="128"/>
      </w:pPr>
      <w:rPr>
        <w:rFonts w:ascii="Symbol" w:hAnsi="Symbol"/>
        <w:lang w:val="fr-FR" w:eastAsia="ar-SA" w:bidi="ar-SA"/>
      </w:rPr>
    </w:lvl>
    <w:lvl w:ilvl="2">
      <w:numFmt w:val="bullet"/>
      <w:lvlText w:val=""/>
      <w:lvlJc w:val="left"/>
      <w:pPr>
        <w:tabs>
          <w:tab w:val="num" w:pos="0"/>
        </w:tabs>
        <w:ind w:left="2068" w:hanging="128"/>
      </w:pPr>
      <w:rPr>
        <w:rFonts w:ascii="Symbol" w:hAnsi="Symbol"/>
        <w:lang w:val="fr-FR" w:eastAsia="ar-SA" w:bidi="ar-SA"/>
      </w:rPr>
    </w:lvl>
    <w:lvl w:ilvl="3">
      <w:numFmt w:val="bullet"/>
      <w:lvlText w:val=""/>
      <w:lvlJc w:val="left"/>
      <w:pPr>
        <w:tabs>
          <w:tab w:val="num" w:pos="0"/>
        </w:tabs>
        <w:ind w:left="3042" w:hanging="128"/>
      </w:pPr>
      <w:rPr>
        <w:rFonts w:ascii="Symbol" w:hAnsi="Symbol"/>
        <w:lang w:val="fr-FR" w:eastAsia="ar-SA" w:bidi="ar-SA"/>
      </w:rPr>
    </w:lvl>
    <w:lvl w:ilvl="4">
      <w:numFmt w:val="bullet"/>
      <w:lvlText w:val=""/>
      <w:lvlJc w:val="left"/>
      <w:pPr>
        <w:tabs>
          <w:tab w:val="num" w:pos="0"/>
        </w:tabs>
        <w:ind w:left="4016" w:hanging="128"/>
      </w:pPr>
      <w:rPr>
        <w:rFonts w:ascii="Symbol" w:hAnsi="Symbol"/>
        <w:lang w:val="fr-FR" w:eastAsia="ar-SA" w:bidi="ar-SA"/>
      </w:rPr>
    </w:lvl>
    <w:lvl w:ilvl="5">
      <w:numFmt w:val="bullet"/>
      <w:lvlText w:val=""/>
      <w:lvlJc w:val="left"/>
      <w:pPr>
        <w:tabs>
          <w:tab w:val="num" w:pos="0"/>
        </w:tabs>
        <w:ind w:left="4990" w:hanging="128"/>
      </w:pPr>
      <w:rPr>
        <w:rFonts w:ascii="Symbol" w:hAnsi="Symbol"/>
        <w:lang w:val="fr-FR" w:eastAsia="ar-SA" w:bidi="ar-SA"/>
      </w:rPr>
    </w:lvl>
    <w:lvl w:ilvl="6">
      <w:numFmt w:val="bullet"/>
      <w:lvlText w:val=""/>
      <w:lvlJc w:val="left"/>
      <w:pPr>
        <w:tabs>
          <w:tab w:val="num" w:pos="0"/>
        </w:tabs>
        <w:ind w:left="5964" w:hanging="128"/>
      </w:pPr>
      <w:rPr>
        <w:rFonts w:ascii="Symbol" w:hAnsi="Symbol"/>
        <w:lang w:val="fr-FR" w:eastAsia="ar-SA" w:bidi="ar-SA"/>
      </w:rPr>
    </w:lvl>
    <w:lvl w:ilvl="7">
      <w:numFmt w:val="bullet"/>
      <w:lvlText w:val=""/>
      <w:lvlJc w:val="left"/>
      <w:pPr>
        <w:tabs>
          <w:tab w:val="num" w:pos="0"/>
        </w:tabs>
        <w:ind w:left="6938" w:hanging="128"/>
      </w:pPr>
      <w:rPr>
        <w:rFonts w:ascii="Symbol" w:hAnsi="Symbol"/>
        <w:lang w:val="fr-FR" w:eastAsia="ar-SA" w:bidi="ar-SA"/>
      </w:rPr>
    </w:lvl>
    <w:lvl w:ilvl="8">
      <w:numFmt w:val="bullet"/>
      <w:lvlText w:val=""/>
      <w:lvlJc w:val="left"/>
      <w:pPr>
        <w:tabs>
          <w:tab w:val="num" w:pos="0"/>
        </w:tabs>
        <w:ind w:left="7912" w:hanging="128"/>
      </w:pPr>
      <w:rPr>
        <w:rFonts w:ascii="Symbol" w:hAnsi="Symbol"/>
        <w:lang w:val="fr-FR" w:eastAsia="ar-SA" w:bidi="ar-SA"/>
      </w:rPr>
    </w:lvl>
  </w:abstractNum>
  <w:abstractNum w:abstractNumId="10" w15:restartNumberingAfterBreak="0">
    <w:nsid w:val="0000000B"/>
    <w:multiLevelType w:val="multilevel"/>
    <w:tmpl w:val="0000000B"/>
    <w:name w:val="WWNum2"/>
    <w:lvl w:ilvl="0">
      <w:start w:val="2"/>
      <w:numFmt w:val="decimal"/>
      <w:lvlText w:val="%1"/>
      <w:lvlJc w:val="left"/>
      <w:pPr>
        <w:tabs>
          <w:tab w:val="num" w:pos="0"/>
        </w:tabs>
        <w:ind w:left="266" w:hanging="150"/>
      </w:pPr>
      <w:rPr>
        <w:spacing w:val="-2"/>
        <w:w w:val="100"/>
        <w:lang w:val="fr-FR" w:eastAsia="ar-SA" w:bidi="ar-SA"/>
      </w:rPr>
    </w:lvl>
    <w:lvl w:ilvl="1">
      <w:numFmt w:val="bullet"/>
      <w:lvlText w:val=""/>
      <w:lvlJc w:val="left"/>
      <w:pPr>
        <w:tabs>
          <w:tab w:val="num" w:pos="0"/>
        </w:tabs>
        <w:ind w:left="1220" w:hanging="150"/>
      </w:pPr>
      <w:rPr>
        <w:rFonts w:ascii="Symbol" w:hAnsi="Symbol"/>
        <w:lang w:val="fr-FR" w:eastAsia="ar-SA" w:bidi="ar-SA"/>
      </w:rPr>
    </w:lvl>
    <w:lvl w:ilvl="2">
      <w:numFmt w:val="bullet"/>
      <w:lvlText w:val=""/>
      <w:lvlJc w:val="left"/>
      <w:pPr>
        <w:tabs>
          <w:tab w:val="num" w:pos="0"/>
        </w:tabs>
        <w:ind w:left="2180" w:hanging="150"/>
      </w:pPr>
      <w:rPr>
        <w:rFonts w:ascii="Symbol" w:hAnsi="Symbol"/>
        <w:lang w:val="fr-FR" w:eastAsia="ar-SA" w:bidi="ar-SA"/>
      </w:rPr>
    </w:lvl>
    <w:lvl w:ilvl="3">
      <w:numFmt w:val="bullet"/>
      <w:lvlText w:val=""/>
      <w:lvlJc w:val="left"/>
      <w:pPr>
        <w:tabs>
          <w:tab w:val="num" w:pos="0"/>
        </w:tabs>
        <w:ind w:left="3140" w:hanging="150"/>
      </w:pPr>
      <w:rPr>
        <w:rFonts w:ascii="Symbol" w:hAnsi="Symbol"/>
        <w:lang w:val="fr-FR" w:eastAsia="ar-SA" w:bidi="ar-SA"/>
      </w:rPr>
    </w:lvl>
    <w:lvl w:ilvl="4">
      <w:numFmt w:val="bullet"/>
      <w:lvlText w:val=""/>
      <w:lvlJc w:val="left"/>
      <w:pPr>
        <w:tabs>
          <w:tab w:val="num" w:pos="0"/>
        </w:tabs>
        <w:ind w:left="4100" w:hanging="150"/>
      </w:pPr>
      <w:rPr>
        <w:rFonts w:ascii="Symbol" w:hAnsi="Symbol"/>
        <w:lang w:val="fr-FR" w:eastAsia="ar-SA" w:bidi="ar-SA"/>
      </w:rPr>
    </w:lvl>
    <w:lvl w:ilvl="5">
      <w:numFmt w:val="bullet"/>
      <w:lvlText w:val=""/>
      <w:lvlJc w:val="left"/>
      <w:pPr>
        <w:tabs>
          <w:tab w:val="num" w:pos="0"/>
        </w:tabs>
        <w:ind w:left="5060" w:hanging="150"/>
      </w:pPr>
      <w:rPr>
        <w:rFonts w:ascii="Symbol" w:hAnsi="Symbol"/>
        <w:lang w:val="fr-FR" w:eastAsia="ar-SA" w:bidi="ar-SA"/>
      </w:rPr>
    </w:lvl>
    <w:lvl w:ilvl="6">
      <w:numFmt w:val="bullet"/>
      <w:lvlText w:val=""/>
      <w:lvlJc w:val="left"/>
      <w:pPr>
        <w:tabs>
          <w:tab w:val="num" w:pos="0"/>
        </w:tabs>
        <w:ind w:left="6020" w:hanging="150"/>
      </w:pPr>
      <w:rPr>
        <w:rFonts w:ascii="Symbol" w:hAnsi="Symbol"/>
        <w:lang w:val="fr-FR" w:eastAsia="ar-SA" w:bidi="ar-SA"/>
      </w:rPr>
    </w:lvl>
    <w:lvl w:ilvl="7">
      <w:numFmt w:val="bullet"/>
      <w:lvlText w:val=""/>
      <w:lvlJc w:val="left"/>
      <w:pPr>
        <w:tabs>
          <w:tab w:val="num" w:pos="0"/>
        </w:tabs>
        <w:ind w:left="6980" w:hanging="150"/>
      </w:pPr>
      <w:rPr>
        <w:rFonts w:ascii="Symbol" w:hAnsi="Symbol"/>
        <w:lang w:val="fr-FR" w:eastAsia="ar-SA" w:bidi="ar-SA"/>
      </w:rPr>
    </w:lvl>
    <w:lvl w:ilvl="8">
      <w:numFmt w:val="bullet"/>
      <w:lvlText w:val=""/>
      <w:lvlJc w:val="left"/>
      <w:pPr>
        <w:tabs>
          <w:tab w:val="num" w:pos="0"/>
        </w:tabs>
        <w:ind w:left="7940" w:hanging="150"/>
      </w:pPr>
      <w:rPr>
        <w:rFonts w:ascii="Symbol" w:hAnsi="Symbol"/>
        <w:lang w:val="fr-FR" w:eastAsia="ar-SA" w:bidi="ar-SA"/>
      </w:rPr>
    </w:lvl>
  </w:abstractNum>
  <w:abstractNum w:abstractNumId="11" w15:restartNumberingAfterBreak="0">
    <w:nsid w:val="0000000C"/>
    <w:multiLevelType w:val="multilevel"/>
    <w:tmpl w:val="0000000C"/>
    <w:name w:val="WWNum1"/>
    <w:lvl w:ilvl="0">
      <w:start w:val="1"/>
      <w:numFmt w:val="decimal"/>
      <w:lvlText w:val="%1."/>
      <w:lvlJc w:val="left"/>
      <w:pPr>
        <w:tabs>
          <w:tab w:val="num" w:pos="0"/>
        </w:tabs>
        <w:ind w:left="1045" w:hanging="220"/>
      </w:pPr>
      <w:rPr>
        <w:rFonts w:eastAsia="Times New Roman" w:cs="Times New Roman"/>
        <w:w w:val="100"/>
        <w:sz w:val="22"/>
        <w:szCs w:val="22"/>
        <w:u w:val="single" w:color="000000"/>
        <w:lang w:val="fr-FR" w:eastAsia="ar-SA" w:bidi="ar-SA"/>
      </w:rPr>
    </w:lvl>
    <w:lvl w:ilvl="1">
      <w:numFmt w:val="bullet"/>
      <w:lvlText w:val=""/>
      <w:lvlJc w:val="left"/>
      <w:pPr>
        <w:tabs>
          <w:tab w:val="num" w:pos="0"/>
        </w:tabs>
        <w:ind w:left="1922" w:hanging="220"/>
      </w:pPr>
      <w:rPr>
        <w:rFonts w:ascii="Symbol" w:hAnsi="Symbol"/>
        <w:lang w:val="fr-FR" w:eastAsia="ar-SA" w:bidi="ar-SA"/>
      </w:rPr>
    </w:lvl>
    <w:lvl w:ilvl="2">
      <w:numFmt w:val="bullet"/>
      <w:lvlText w:val=""/>
      <w:lvlJc w:val="left"/>
      <w:pPr>
        <w:tabs>
          <w:tab w:val="num" w:pos="0"/>
        </w:tabs>
        <w:ind w:left="2804" w:hanging="220"/>
      </w:pPr>
      <w:rPr>
        <w:rFonts w:ascii="Symbol" w:hAnsi="Symbol"/>
        <w:lang w:val="fr-FR" w:eastAsia="ar-SA" w:bidi="ar-SA"/>
      </w:rPr>
    </w:lvl>
    <w:lvl w:ilvl="3">
      <w:numFmt w:val="bullet"/>
      <w:lvlText w:val=""/>
      <w:lvlJc w:val="left"/>
      <w:pPr>
        <w:tabs>
          <w:tab w:val="num" w:pos="0"/>
        </w:tabs>
        <w:ind w:left="3686" w:hanging="220"/>
      </w:pPr>
      <w:rPr>
        <w:rFonts w:ascii="Symbol" w:hAnsi="Symbol"/>
        <w:lang w:val="fr-FR" w:eastAsia="ar-SA" w:bidi="ar-SA"/>
      </w:rPr>
    </w:lvl>
    <w:lvl w:ilvl="4">
      <w:numFmt w:val="bullet"/>
      <w:lvlText w:val=""/>
      <w:lvlJc w:val="left"/>
      <w:pPr>
        <w:tabs>
          <w:tab w:val="num" w:pos="0"/>
        </w:tabs>
        <w:ind w:left="4568" w:hanging="220"/>
      </w:pPr>
      <w:rPr>
        <w:rFonts w:ascii="Symbol" w:hAnsi="Symbol"/>
        <w:lang w:val="fr-FR" w:eastAsia="ar-SA" w:bidi="ar-SA"/>
      </w:rPr>
    </w:lvl>
    <w:lvl w:ilvl="5">
      <w:numFmt w:val="bullet"/>
      <w:lvlText w:val=""/>
      <w:lvlJc w:val="left"/>
      <w:pPr>
        <w:tabs>
          <w:tab w:val="num" w:pos="0"/>
        </w:tabs>
        <w:ind w:left="5450" w:hanging="220"/>
      </w:pPr>
      <w:rPr>
        <w:rFonts w:ascii="Symbol" w:hAnsi="Symbol"/>
        <w:lang w:val="fr-FR" w:eastAsia="ar-SA" w:bidi="ar-SA"/>
      </w:rPr>
    </w:lvl>
    <w:lvl w:ilvl="6">
      <w:numFmt w:val="bullet"/>
      <w:lvlText w:val=""/>
      <w:lvlJc w:val="left"/>
      <w:pPr>
        <w:tabs>
          <w:tab w:val="num" w:pos="0"/>
        </w:tabs>
        <w:ind w:left="6332" w:hanging="220"/>
      </w:pPr>
      <w:rPr>
        <w:rFonts w:ascii="Symbol" w:hAnsi="Symbol"/>
        <w:lang w:val="fr-FR" w:eastAsia="ar-SA" w:bidi="ar-SA"/>
      </w:rPr>
    </w:lvl>
    <w:lvl w:ilvl="7">
      <w:numFmt w:val="bullet"/>
      <w:lvlText w:val=""/>
      <w:lvlJc w:val="left"/>
      <w:pPr>
        <w:tabs>
          <w:tab w:val="num" w:pos="0"/>
        </w:tabs>
        <w:ind w:left="7214" w:hanging="220"/>
      </w:pPr>
      <w:rPr>
        <w:rFonts w:ascii="Symbol" w:hAnsi="Symbol"/>
        <w:lang w:val="fr-FR" w:eastAsia="ar-SA" w:bidi="ar-SA"/>
      </w:rPr>
    </w:lvl>
    <w:lvl w:ilvl="8">
      <w:numFmt w:val="bullet"/>
      <w:lvlText w:val=""/>
      <w:lvlJc w:val="left"/>
      <w:pPr>
        <w:tabs>
          <w:tab w:val="num" w:pos="0"/>
        </w:tabs>
        <w:ind w:left="8096" w:hanging="220"/>
      </w:pPr>
      <w:rPr>
        <w:rFonts w:ascii="Symbol" w:hAnsi="Symbol"/>
        <w:lang w:val="fr-FR" w:eastAsia="ar-SA" w:bidi="ar-SA"/>
      </w:rPr>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view w:val="normal"/>
  <w:zoom w:percent="100"/>
  <w:displayBackgroundShape/>
  <w:embedSystemFonts/>
  <w:stylePaneFormatFilter w:val="0000" w:allStyles="0"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revisionView w:inkAnnotations="0"/>
  <w:defaultTabStop w:val="720"/>
  <w:defaultTableStyle w:val="Normal"/>
  <w:drawingGridHorizontalSpacing w:val="0"/>
  <w:drawingGridVerticalSpacing w:val="0"/>
  <w:displayHorizontalDrawingGridEvery w:val="0"/>
  <w:displayVerticalDrawingGridEvery w:val="0"/>
  <w:doNotUseMarginsForDrawingGridOrigin/>
  <w:drawingGridHorizontalOrigin w:val="0"/>
  <w:drawingGridVerticalOrigin w:val="0"/>
  <w:noPunctuationKerning/>
  <w:characterSpacingControl w:val="doNotCompress"/>
  <w:strictFirstAndLastChars/>
  <w:compat>
    <w:spaceForUL/>
    <w:balanceSingleByteDoubleByteWidth/>
    <w:doNotLeaveBackslashAlone/>
    <w:ulTrailSpace/>
    <w:adjustLineHeightInTabl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97F96"/>
    <w:rsid w:val="00B97F9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colormenu v:ext="edit" fillcolor="none [4]" strokecolor="none [1]" shadowcolor="none [2]"/>
    </o:shapedefaults>
    <o:shapelayout v:ext="edit">
      <o:idmap v:ext="edit" data="1"/>
    </o:shapelayout>
  </w:shapeDefaults>
  <w:doNotEmbedSmartTags/>
  <w:decimalSymbol w:val="."/>
  <w:listSeparator w:val=","/>
  <w15:chartTrackingRefBased/>
  <w15:docId w15:val="{909A3014-3A57-45C7-91AF-F8858B177A9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pPr>
      <w:suppressAutoHyphens/>
      <w:spacing w:line="100" w:lineRule="atLeast"/>
    </w:pPr>
    <w:rPr>
      <w:sz w:val="22"/>
      <w:szCs w:val="22"/>
      <w:lang w:val="fr-FR" w:eastAsia="ar-SA"/>
    </w:rPr>
  </w:style>
  <w:style w:type="paragraph" w:styleId="Heading1">
    <w:name w:val="heading 1"/>
    <w:basedOn w:val="Normal"/>
    <w:next w:val="BodyText"/>
    <w:qFormat/>
    <w:pPr>
      <w:numPr>
        <w:numId w:val="1"/>
      </w:numPr>
      <w:ind w:left="115" w:firstLine="710"/>
      <w:outlineLvl w:val="0"/>
    </w:pPr>
    <w:rPr>
      <w:b/>
      <w:b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DefaultParagraphFont0">
    <w:name w:val="Default Paragraph Font"/>
  </w:style>
  <w:style w:type="character" w:customStyle="1" w:styleId="ListLabel1">
    <w:name w:val="ListLabel 1"/>
    <w:rPr>
      <w:rFonts w:eastAsia="Times New Roman" w:cs="Times New Roman"/>
      <w:spacing w:val="-16"/>
      <w:w w:val="100"/>
      <w:sz w:val="20"/>
      <w:szCs w:val="20"/>
      <w:lang w:val="fr-FR" w:eastAsia="ar-SA" w:bidi="ar-SA"/>
    </w:rPr>
  </w:style>
  <w:style w:type="character" w:customStyle="1" w:styleId="ListLabel2">
    <w:name w:val="ListLabel 2"/>
    <w:rPr>
      <w:lang w:val="fr-FR" w:eastAsia="ar-SA" w:bidi="ar-SA"/>
    </w:rPr>
  </w:style>
  <w:style w:type="character" w:customStyle="1" w:styleId="ListLabel3">
    <w:name w:val="ListLabel 3"/>
    <w:rPr>
      <w:lang w:val="fr-FR" w:eastAsia="ar-SA" w:bidi="ar-SA"/>
    </w:rPr>
  </w:style>
  <w:style w:type="character" w:customStyle="1" w:styleId="ListLabel4">
    <w:name w:val="ListLabel 4"/>
    <w:rPr>
      <w:rFonts w:eastAsia="Times New Roman" w:cs="Times New Roman"/>
      <w:spacing w:val="-2"/>
      <w:w w:val="100"/>
      <w:sz w:val="22"/>
      <w:szCs w:val="22"/>
      <w:u w:val="single" w:color="000000"/>
      <w:lang w:val="fr-FR" w:eastAsia="ar-SA" w:bidi="ar-SA"/>
    </w:rPr>
  </w:style>
  <w:style w:type="character" w:customStyle="1" w:styleId="ListLabel5">
    <w:name w:val="ListLabel 5"/>
    <w:rPr>
      <w:rFonts w:eastAsia="Times New Roman" w:cs="Times New Roman"/>
      <w:w w:val="100"/>
      <w:sz w:val="22"/>
      <w:szCs w:val="22"/>
      <w:lang w:val="fr-FR" w:eastAsia="ar-SA" w:bidi="ar-SA"/>
    </w:rPr>
  </w:style>
  <w:style w:type="character" w:customStyle="1" w:styleId="ListLabel6">
    <w:name w:val="ListLabel 6"/>
    <w:rPr>
      <w:spacing w:val="-2"/>
      <w:w w:val="100"/>
      <w:lang w:val="fr-FR" w:eastAsia="ar-SA" w:bidi="ar-SA"/>
    </w:rPr>
  </w:style>
  <w:style w:type="character" w:customStyle="1" w:styleId="ListLabel7">
    <w:name w:val="ListLabel 7"/>
    <w:rPr>
      <w:rFonts w:eastAsia="Times New Roman" w:cs="Times New Roman"/>
      <w:w w:val="100"/>
      <w:sz w:val="22"/>
      <w:szCs w:val="22"/>
      <w:u w:val="single" w:color="000000"/>
      <w:lang w:val="fr-FR" w:eastAsia="ar-SA" w:bidi="ar-SA"/>
    </w:rPr>
  </w:style>
  <w:style w:type="character" w:styleId="Hyperlink">
    <w:name w:val="Hyperlink"/>
    <w:rPr>
      <w:color w:val="000080"/>
      <w:u w:val="single"/>
      <w:lang/>
    </w:rPr>
  </w:style>
  <w:style w:type="paragraph" w:customStyle="1" w:styleId="Heading">
    <w:name w:val="Heading"/>
    <w:basedOn w:val="Normal"/>
    <w:next w:val="BodyText"/>
    <w:pPr>
      <w:keepNext/>
      <w:spacing w:before="240" w:after="120"/>
    </w:pPr>
    <w:rPr>
      <w:rFonts w:ascii="Arial" w:eastAsia="Arial Unicode MS" w:hAnsi="Arial" w:cs="Arial Unicode MS"/>
      <w:sz w:val="28"/>
      <w:szCs w:val="28"/>
    </w:rPr>
  </w:style>
  <w:style w:type="paragraph" w:styleId="BodyText">
    <w:name w:val="Body Text"/>
    <w:basedOn w:val="Normal"/>
  </w:style>
  <w:style w:type="paragraph" w:styleId="List">
    <w:name w:val="List"/>
    <w:basedOn w:val="BodyText"/>
  </w:style>
  <w:style w:type="paragraph" w:styleId="Caption">
    <w:name w:val="caption"/>
    <w:basedOn w:val="Normal"/>
    <w:qFormat/>
    <w:pPr>
      <w:suppressLineNumbers/>
      <w:spacing w:before="120" w:after="120"/>
    </w:pPr>
    <w:rPr>
      <w:i/>
      <w:iCs/>
      <w:sz w:val="24"/>
      <w:szCs w:val="24"/>
    </w:rPr>
  </w:style>
  <w:style w:type="paragraph" w:customStyle="1" w:styleId="Index">
    <w:name w:val="Index"/>
    <w:basedOn w:val="Normal"/>
    <w:pPr>
      <w:suppressLineNumbers/>
    </w:pPr>
  </w:style>
  <w:style w:type="paragraph" w:styleId="ListParagraph">
    <w:name w:val="List Paragraph"/>
    <w:basedOn w:val="Normal"/>
    <w:qFormat/>
    <w:pPr>
      <w:ind w:left="400" w:hanging="285"/>
    </w:pPr>
  </w:style>
  <w:style w:type="paragraph" w:customStyle="1" w:styleId="TableParagraph">
    <w:name w:val="Table Paragraph"/>
    <w:basedOn w:val="Normal"/>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handicap.gouv.fr/le-secretariat-d-etat/acteurs/comite-interministeriel-du-handicap-cih/la-conference-nationale-du-handicap/article/les-propositions-de-la-cnh-le-11-fevrier-2020" TargetMode="External"/><Relationship Id="rId18" Type="http://schemas.openxmlformats.org/officeDocument/2006/relationships/hyperlink" Target="https://handicap.gouv.fr/presse/communiques-de-presse/article/maitrise-des-departs-vers-la-belgique-et-renforcement-de-la-qualite-de-l" TargetMode="External"/><Relationship Id="rId26" Type="http://schemas.openxmlformats.org/officeDocument/2006/relationships/hyperlink" Target="http://formation.unapei.org/associations-mandataires-judiciaires-a-la-protection-des-majeurs" TargetMode="External"/><Relationship Id="rId3" Type="http://schemas.openxmlformats.org/officeDocument/2006/relationships/settings" Target="settings.xml"/><Relationship Id="rId21" Type="http://schemas.openxmlformats.org/officeDocument/2006/relationships/hyperlink" Target="https://www.cnsa.fr/outils-methodes-et-territoires-organisation-de-loffre/programmation-et-creation-de-places-en-etablissement-ou-service/le-bilan-des-plans" TargetMode="External"/><Relationship Id="rId7" Type="http://schemas.openxmlformats.org/officeDocument/2006/relationships/hyperlink" Target="https://www.interieur.gouv.fr/Elections/Comment-voter/Le-vote-des-personnes-handicapees" TargetMode="External"/><Relationship Id="rId12" Type="http://schemas.openxmlformats.org/officeDocument/2006/relationships/hyperlink" Target="https://www.vie-publique.fr/fiches/262485-qui-finance-la-prise-en-charge-du-handicap-et-de-la-dependance" TargetMode="External"/><Relationship Id="rId17" Type="http://schemas.openxmlformats.org/officeDocument/2006/relationships/hyperlink" Target="http://www.cra-rhone-alpes.org/IMG/pdf_hebergement-des-personnes-agees-et-handicapees-en-Belgique.pdf" TargetMode="External"/><Relationship Id="rId25" Type="http://schemas.openxmlformats.org/officeDocument/2006/relationships/hyperlink" Target="http://formation.unapei.org/associations-mandataires-judiciaires-a-la-protection-des-majeurs" TargetMode="External"/><Relationship Id="rId33" Type="http://schemas.openxmlformats.org/officeDocument/2006/relationships/customXml" Target="../customXml/item3.xml"/><Relationship Id="rId2" Type="http://schemas.openxmlformats.org/officeDocument/2006/relationships/styles" Target="styles.xml"/><Relationship Id="rId16" Type="http://schemas.openxmlformats.org/officeDocument/2006/relationships/hyperlink" Target="https://handicap.gouv.fr/le-secretariat-d-etat/acteurs/comite-interministeriel-du-handicap-cih/la-conference-nationale-du-handicap/article/les-propositions-de-la-cnh-le-11-fevrier-2020" TargetMode="External"/><Relationship Id="rId20" Type="http://schemas.openxmlformats.org/officeDocument/2006/relationships/hyperlink" Target="https://www.cnsa.fr/outils-methodes-et-territoires-organisation-de-loffre/programmation-et-creation-de-places-en-etablissement-ou-service/le-bilan-des-plans" TargetMode="External"/><Relationship Id="rId29"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image" Target="media/image1.jpeg"/><Relationship Id="rId11" Type="http://schemas.openxmlformats.org/officeDocument/2006/relationships/hyperlink" Target="https://drees.solidarites-sante.gouv.fr/IMG/pdf/20-17.pdf" TargetMode="External"/><Relationship Id="rId24" Type="http://schemas.openxmlformats.org/officeDocument/2006/relationships/hyperlink" Target="https://www.unapei.org/actions/qui-sommes-nous/" TargetMode="External"/><Relationship Id="rId32" Type="http://schemas.openxmlformats.org/officeDocument/2006/relationships/customXml" Target="../customXml/item2.xml"/><Relationship Id="rId5" Type="http://schemas.openxmlformats.org/officeDocument/2006/relationships/hyperlink" Target="http://www.francedisability.com/" TargetMode="External"/><Relationship Id="rId15" Type="http://schemas.openxmlformats.org/officeDocument/2006/relationships/hyperlink" Target="https://handicap.gouv.fr/le-secretariat-d-etat/acteurs/comite-interministeriel-du-handicap-cih/la-conference-nationale-du-handicap/article/les-propositions-de-la-cnh-le-11-fevrier-2020" TargetMode="External"/><Relationship Id="rId23" Type="http://schemas.openxmlformats.org/officeDocument/2006/relationships/hyperlink" Target="https://www.unapei.org/wp-content/uploads/2018/09/CharteAssociationsMadatairesJudiciairesUnapei_couleur_.pdf" TargetMode="External"/><Relationship Id="rId28" Type="http://schemas.openxmlformats.org/officeDocument/2006/relationships/hyperlink" Target="http://inclusion-europe.eu/wp-content/uploads/2015/03/Unapei.Desinstitutionnalisation.Document.politique.pdf" TargetMode="External"/><Relationship Id="rId10" Type="http://schemas.openxmlformats.org/officeDocument/2006/relationships/hyperlink" Target="https://www.legifrance.gouv.fr/affichJuriAdmin.do?oldAction=rechJuriAdmin&amp;idTexte=CETATEXT000041808375&amp;fastReqId=1888570292&amp;fastPos=1" TargetMode="External"/><Relationship Id="rId19" Type="http://schemas.openxmlformats.org/officeDocument/2006/relationships/hyperlink" Target="https://handicap.gouv.fr/presse/communiques-de-presse/article/maitrise-des-departs-vers-la-belgique-et-renforcement-de-la-qualite-de-l" TargetMode="External"/><Relationship Id="rId31" Type="http://schemas.openxmlformats.org/officeDocument/2006/relationships/customXml" Target="../customXml/item1.xml"/><Relationship Id="rId4" Type="http://schemas.openxmlformats.org/officeDocument/2006/relationships/webSettings" Target="webSettings.xml"/><Relationship Id="rId9" Type="http://schemas.openxmlformats.org/officeDocument/2006/relationships/hyperlink" Target="https://www.legifrance.gouv.fr/affichJuriAdmin.do?oldAction=rechJuriAdmin&amp;idTexte=CETATEXT000041808375&amp;fastReqId=1888570292&amp;fastPos=1" TargetMode="External"/><Relationship Id="rId14" Type="http://schemas.openxmlformats.org/officeDocument/2006/relationships/hyperlink" Target="https://handicap.gouv.fr/le-secretariat-d-etat/acteurs/comite-interministeriel-du-handicap-cih/la-conference-nationale-du-handicap/article/les-propositions-de-la-cnh-le-11-fevrier-2020" TargetMode="External"/><Relationship Id="rId22" Type="http://schemas.openxmlformats.org/officeDocument/2006/relationships/hyperlink" Target="https://www.unapei.org/wp-content/uploads/2018/09/CharteAssociationsMadatairesJudiciairesUnapei_couleur_.pdf" TargetMode="External"/><Relationship Id="rId27" Type="http://schemas.openxmlformats.org/officeDocument/2006/relationships/hyperlink" Target="http://inclusion-europe.eu/wp-content/uploads/2015/03/Unapei.Desinstitutionnalisation.Document.politique.pdf" TargetMode="External"/><Relationship Id="rId30" Type="http://schemas.openxmlformats.org/officeDocument/2006/relationships/theme" Target="theme/theme1.xml"/><Relationship Id="rId8" Type="http://schemas.openxmlformats.org/officeDocument/2006/relationships/hyperlink" Target="https://www.interieur.gouv.fr/Elections/Comment-voter/Le-vote-des-personnes-handicapee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A55E3C1D809DFD4CA245D0C6A65A453A" ma:contentTypeVersion="0" ma:contentTypeDescription="Create a new document." ma:contentTypeScope="" ma:versionID="5479f60d7a3ae3a79036c00fc1192cba">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625F9139-151F-435D-818B-9E0A14533314}"/>
</file>

<file path=customXml/itemProps2.xml><?xml version="1.0" encoding="utf-8"?>
<ds:datastoreItem xmlns:ds="http://schemas.openxmlformats.org/officeDocument/2006/customXml" ds:itemID="{2A56A13A-A2E4-4739-8454-45BD09DB62DC}"/>
</file>

<file path=customXml/itemProps3.xml><?xml version="1.0" encoding="utf-8"?>
<ds:datastoreItem xmlns:ds="http://schemas.openxmlformats.org/officeDocument/2006/customXml" ds:itemID="{70A1DFAC-AB77-4CB7-A682-483D75ABAB77}"/>
</file>

<file path=docProps/app.xml><?xml version="1.0" encoding="utf-8"?>
<Properties xmlns="http://schemas.openxmlformats.org/officeDocument/2006/extended-properties" xmlns:vt="http://schemas.openxmlformats.org/officeDocument/2006/docPropsVTypes">
  <Template>Normal.dotm</Template>
  <TotalTime>0</TotalTime>
  <Pages>32</Pages>
  <Words>6870</Words>
  <Characters>39164</Characters>
  <Application>Microsoft Office Word</Application>
  <DocSecurity>4</DocSecurity>
  <Lines>326</Lines>
  <Paragraphs>91</Paragraphs>
  <ScaleCrop>false</ScaleCrop>
  <HeadingPairs>
    <vt:vector size="2" baseType="variant">
      <vt:variant>
        <vt:lpstr>Title</vt:lpstr>
      </vt:variant>
      <vt:variant>
        <vt:i4>1</vt:i4>
      </vt:variant>
    </vt:vector>
  </HeadingPairs>
  <TitlesOfParts>
    <vt:vector size="1" baseType="lpstr">
      <vt:lpstr/>
    </vt:vector>
  </TitlesOfParts>
  <Company>OHCHR</Company>
  <LinksUpToDate>false</LinksUpToDate>
  <CharactersWithSpaces>45943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maryna py</dc:creator>
  <cp:keywords/>
  <cp:lastModifiedBy>OUKO Robert</cp:lastModifiedBy>
  <cp:revision>2</cp:revision>
  <cp:lastPrinted>1601-01-01T00:00:00Z</cp:lastPrinted>
  <dcterms:created xsi:type="dcterms:W3CDTF">2021-08-12T10:26:00Z</dcterms:created>
  <dcterms:modified xsi:type="dcterms:W3CDTF">2021-08-12T10:26:00Z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12.0000</vt:lpwstr>
  </property>
  <property fmtid="{D5CDD505-2E9C-101B-9397-08002B2CF9AE}" pid="3" name="DocSecurity">
    <vt:i4>0</vt:i4>
  </property>
  <property fmtid="{D5CDD505-2E9C-101B-9397-08002B2CF9AE}" pid="4" name="HyperlinksChanged">
    <vt:bool>false</vt:bool>
  </property>
  <property fmtid="{D5CDD505-2E9C-101B-9397-08002B2CF9AE}" pid="5" name="LinksUpToDate">
    <vt:bool>false</vt:bool>
  </property>
  <property fmtid="{D5CDD505-2E9C-101B-9397-08002B2CF9AE}" pid="6" name="ScaleCrop">
    <vt:bool>false</vt:bool>
  </property>
  <property fmtid="{D5CDD505-2E9C-101B-9397-08002B2CF9AE}" pid="7" name="ShareDoc">
    <vt:bool>false</vt:bool>
  </property>
  <property fmtid="{D5CDD505-2E9C-101B-9397-08002B2CF9AE}" pid="8" name="ContentTypeId">
    <vt:lpwstr>0x010100A55E3C1D809DFD4CA245D0C6A65A453A</vt:lpwstr>
  </property>
</Properties>
</file>