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8EF" w:rsidRPr="00A30A93" w:rsidRDefault="00AB28EF" w:rsidP="00AB28EF">
      <w:pPr>
        <w:jc w:val="center"/>
        <w:rPr>
          <w:b/>
        </w:rPr>
      </w:pPr>
      <w:r w:rsidRPr="00A30A93">
        <w:rPr>
          <w:b/>
        </w:rPr>
        <w:t>REPÚBLICA DE COSTA RICA</w:t>
      </w:r>
    </w:p>
    <w:p w:rsidR="00AB28EF" w:rsidRPr="00A30A93" w:rsidRDefault="00AB28EF" w:rsidP="00AB28EF">
      <w:pPr>
        <w:jc w:val="center"/>
        <w:rPr>
          <w:b/>
        </w:rPr>
      </w:pPr>
      <w:r w:rsidRPr="00A30A93">
        <w:rPr>
          <w:b/>
        </w:rPr>
        <w:t xml:space="preserve">DIÁLOGO CON EL COMITÉ </w:t>
      </w:r>
      <w:r>
        <w:rPr>
          <w:b/>
        </w:rPr>
        <w:t xml:space="preserve">DE EXPERTAS DE LA CONVENCIÓN </w:t>
      </w:r>
      <w:r w:rsidRPr="00A30A93">
        <w:rPr>
          <w:b/>
        </w:rPr>
        <w:t>CEDAW</w:t>
      </w:r>
    </w:p>
    <w:p w:rsidR="00AB28EF" w:rsidRPr="00A30A93" w:rsidRDefault="00AB28EF" w:rsidP="00AB28EF">
      <w:pPr>
        <w:jc w:val="center"/>
        <w:rPr>
          <w:b/>
        </w:rPr>
      </w:pPr>
      <w:r w:rsidRPr="00A30A93">
        <w:rPr>
          <w:b/>
        </w:rPr>
        <w:t>20-21 DE FEBRERO DE 2023</w:t>
      </w:r>
    </w:p>
    <w:p w:rsidR="00AB28EF" w:rsidRPr="00A30A93" w:rsidRDefault="00AB28EF" w:rsidP="00AB28EF">
      <w:pPr>
        <w:jc w:val="center"/>
        <w:rPr>
          <w:b/>
        </w:rPr>
      </w:pPr>
      <w:r>
        <w:rPr>
          <w:b/>
        </w:rPr>
        <w:t>AMPLIACIÓN DE TEMAS</w:t>
      </w:r>
    </w:p>
    <w:p w:rsidR="00AB28EF" w:rsidRDefault="00AB28EF"/>
    <w:p w:rsidR="00AB28EF" w:rsidRPr="003B37FD" w:rsidRDefault="00AB28EF"/>
    <w:p w:rsidR="00AB28EF" w:rsidRPr="003B37FD" w:rsidRDefault="003B37FD" w:rsidP="00AB28EF">
      <w:pPr>
        <w:rPr>
          <w:b/>
          <w:i/>
        </w:rPr>
      </w:pPr>
      <w:r w:rsidRPr="003B37FD">
        <w:rPr>
          <w:b/>
          <w:i/>
        </w:rPr>
        <w:t>Denuncias y s</w:t>
      </w:r>
      <w:r w:rsidR="00AB28EF" w:rsidRPr="003B37FD">
        <w:rPr>
          <w:b/>
          <w:i/>
        </w:rPr>
        <w:t>entencias de casos de violencia</w:t>
      </w:r>
      <w:r w:rsidRPr="003B37FD">
        <w:rPr>
          <w:b/>
          <w:i/>
        </w:rPr>
        <w:t xml:space="preserve"> sexual de niñas y adolescentes</w:t>
      </w:r>
    </w:p>
    <w:p w:rsidR="00A171F3" w:rsidRPr="003B37FD" w:rsidRDefault="00A171F3" w:rsidP="00A171F3">
      <w:pPr>
        <w:pStyle w:val="Default"/>
        <w:rPr>
          <w:color w:val="auto"/>
          <w:sz w:val="23"/>
          <w:szCs w:val="23"/>
        </w:rPr>
      </w:pPr>
    </w:p>
    <w:p w:rsidR="00A171F3" w:rsidRDefault="00A171F3" w:rsidP="003B37FD">
      <w:pPr>
        <w:pStyle w:val="Default"/>
        <w:jc w:val="both"/>
        <w:rPr>
          <w:sz w:val="23"/>
          <w:szCs w:val="23"/>
        </w:rPr>
      </w:pPr>
      <w:r>
        <w:rPr>
          <w:sz w:val="23"/>
          <w:szCs w:val="23"/>
        </w:rPr>
        <w:t xml:space="preserve">Según datos del Subproceso de Estadísticas del Poder Judicial, anualmente se registran más de </w:t>
      </w:r>
      <w:r w:rsidR="003B37FD">
        <w:rPr>
          <w:sz w:val="23"/>
          <w:szCs w:val="23"/>
        </w:rPr>
        <w:t>12.000 d</w:t>
      </w:r>
      <w:r>
        <w:rPr>
          <w:sz w:val="23"/>
          <w:szCs w:val="23"/>
        </w:rPr>
        <w:t>elitos sexuales denunciados ante el Ministerio Público</w:t>
      </w:r>
      <w:r>
        <w:rPr>
          <w:sz w:val="23"/>
          <w:szCs w:val="23"/>
        </w:rPr>
        <w:t>. E</w:t>
      </w:r>
      <w:r>
        <w:rPr>
          <w:sz w:val="23"/>
          <w:szCs w:val="23"/>
        </w:rPr>
        <w:t xml:space="preserve">sta cifra bajó </w:t>
      </w:r>
      <w:r w:rsidR="008769FA">
        <w:rPr>
          <w:sz w:val="23"/>
          <w:szCs w:val="23"/>
        </w:rPr>
        <w:t>25%</w:t>
      </w:r>
      <w:r>
        <w:rPr>
          <w:sz w:val="23"/>
          <w:szCs w:val="23"/>
        </w:rPr>
        <w:t xml:space="preserve"> en 2020 debido al efecto de</w:t>
      </w:r>
      <w:r w:rsidR="002D1B38">
        <w:rPr>
          <w:sz w:val="23"/>
          <w:szCs w:val="23"/>
        </w:rPr>
        <w:t xml:space="preserve"> la virtualidad</w:t>
      </w:r>
      <w:r>
        <w:rPr>
          <w:sz w:val="23"/>
          <w:szCs w:val="23"/>
        </w:rPr>
        <w:t xml:space="preserve"> de</w:t>
      </w:r>
      <w:r w:rsidR="008769FA">
        <w:rPr>
          <w:sz w:val="23"/>
          <w:szCs w:val="23"/>
        </w:rPr>
        <w:t>l sistema educativo</w:t>
      </w:r>
      <w:r>
        <w:rPr>
          <w:sz w:val="23"/>
          <w:szCs w:val="23"/>
        </w:rPr>
        <w:t xml:space="preserve"> </w:t>
      </w:r>
      <w:r>
        <w:rPr>
          <w:sz w:val="23"/>
          <w:szCs w:val="23"/>
        </w:rPr>
        <w:t>durante la pandemia</w:t>
      </w:r>
      <w:r>
        <w:rPr>
          <w:sz w:val="23"/>
          <w:szCs w:val="23"/>
        </w:rPr>
        <w:t xml:space="preserve">, </w:t>
      </w:r>
      <w:r>
        <w:rPr>
          <w:sz w:val="23"/>
          <w:szCs w:val="23"/>
        </w:rPr>
        <w:t>en donde se proveen herramientas adecuadas para que personas menores de edad víctimas de delitos sexuales</w:t>
      </w:r>
      <w:r w:rsidR="002D1B38">
        <w:rPr>
          <w:sz w:val="23"/>
          <w:szCs w:val="23"/>
        </w:rPr>
        <w:t xml:space="preserve"> denuncien</w:t>
      </w:r>
      <w:r w:rsidR="008769FA">
        <w:rPr>
          <w:sz w:val="23"/>
          <w:szCs w:val="23"/>
        </w:rPr>
        <w:t>.</w:t>
      </w:r>
    </w:p>
    <w:p w:rsidR="00A171F3" w:rsidRDefault="00A171F3" w:rsidP="003B37FD">
      <w:pPr>
        <w:pStyle w:val="Default"/>
        <w:jc w:val="both"/>
        <w:rPr>
          <w:sz w:val="23"/>
          <w:szCs w:val="23"/>
        </w:rPr>
      </w:pPr>
    </w:p>
    <w:p w:rsidR="00A171F3" w:rsidRDefault="00A171F3" w:rsidP="002D1B38">
      <w:pPr>
        <w:pStyle w:val="Default"/>
        <w:jc w:val="both"/>
        <w:outlineLvl w:val="0"/>
        <w:rPr>
          <w:sz w:val="23"/>
          <w:szCs w:val="23"/>
        </w:rPr>
      </w:pPr>
      <w:r>
        <w:rPr>
          <w:sz w:val="23"/>
          <w:szCs w:val="23"/>
        </w:rPr>
        <w:t>Del total de delitos sexuales denunciados, casi dos terceras partes son cometidos en perjuic</w:t>
      </w:r>
      <w:r w:rsidR="002654E7">
        <w:rPr>
          <w:sz w:val="23"/>
          <w:szCs w:val="23"/>
        </w:rPr>
        <w:t>i</w:t>
      </w:r>
      <w:r w:rsidR="002D1B38">
        <w:rPr>
          <w:sz w:val="23"/>
          <w:szCs w:val="23"/>
        </w:rPr>
        <w:t xml:space="preserve">o de una persona menor de edad. </w:t>
      </w:r>
      <w:r w:rsidR="007D0794">
        <w:rPr>
          <w:sz w:val="23"/>
          <w:szCs w:val="23"/>
        </w:rPr>
        <w:t>M</w:t>
      </w:r>
      <w:r>
        <w:rPr>
          <w:sz w:val="23"/>
          <w:szCs w:val="23"/>
        </w:rPr>
        <w:t xml:space="preserve">ás de 64% de </w:t>
      </w:r>
      <w:r w:rsidR="00D94061">
        <w:rPr>
          <w:sz w:val="23"/>
          <w:szCs w:val="23"/>
        </w:rPr>
        <w:t xml:space="preserve">ellos </w:t>
      </w:r>
      <w:r>
        <w:rPr>
          <w:sz w:val="23"/>
          <w:szCs w:val="23"/>
        </w:rPr>
        <w:t xml:space="preserve">terminan con desestimación o sobreseimiento, mientras que los pocos casos que pasan a los Tribunales Penales con acusación y auto de apertura a juicio, </w:t>
      </w:r>
      <w:r w:rsidR="002654E7">
        <w:rPr>
          <w:sz w:val="23"/>
          <w:szCs w:val="23"/>
        </w:rPr>
        <w:t xml:space="preserve">presentan </w:t>
      </w:r>
      <w:r>
        <w:rPr>
          <w:sz w:val="23"/>
          <w:szCs w:val="23"/>
        </w:rPr>
        <w:t xml:space="preserve">más de 40% </w:t>
      </w:r>
      <w:r w:rsidR="00D94061">
        <w:rPr>
          <w:sz w:val="23"/>
          <w:szCs w:val="23"/>
        </w:rPr>
        <w:t>de</w:t>
      </w:r>
      <w:r>
        <w:rPr>
          <w:sz w:val="23"/>
          <w:szCs w:val="23"/>
        </w:rPr>
        <w:t xml:space="preserve"> absolutorias y sobresei</w:t>
      </w:r>
      <w:r w:rsidR="008769FA">
        <w:rPr>
          <w:sz w:val="23"/>
          <w:szCs w:val="23"/>
        </w:rPr>
        <w:t>mientos.</w:t>
      </w:r>
    </w:p>
    <w:p w:rsidR="002654E7" w:rsidRDefault="002654E7" w:rsidP="003B37FD">
      <w:pPr>
        <w:pStyle w:val="Default"/>
        <w:jc w:val="both"/>
        <w:rPr>
          <w:sz w:val="23"/>
          <w:szCs w:val="23"/>
        </w:rPr>
      </w:pPr>
    </w:p>
    <w:p w:rsidR="00A171F3" w:rsidRDefault="00A171F3" w:rsidP="003B37FD">
      <w:pPr>
        <w:pStyle w:val="Default"/>
        <w:jc w:val="both"/>
        <w:rPr>
          <w:sz w:val="23"/>
          <w:szCs w:val="23"/>
        </w:rPr>
      </w:pPr>
      <w:r>
        <w:rPr>
          <w:sz w:val="23"/>
          <w:szCs w:val="23"/>
        </w:rPr>
        <w:t xml:space="preserve">La situación es compleja y multifactorial, </w:t>
      </w:r>
      <w:r w:rsidR="00D94061">
        <w:rPr>
          <w:sz w:val="23"/>
          <w:szCs w:val="23"/>
        </w:rPr>
        <w:t>pero</w:t>
      </w:r>
      <w:r>
        <w:rPr>
          <w:sz w:val="23"/>
          <w:szCs w:val="23"/>
        </w:rPr>
        <w:t xml:space="preserve"> entre las causas </w:t>
      </w:r>
      <w:r w:rsidR="008769FA">
        <w:rPr>
          <w:sz w:val="23"/>
          <w:szCs w:val="23"/>
        </w:rPr>
        <w:t xml:space="preserve">posibles de </w:t>
      </w:r>
      <w:r>
        <w:rPr>
          <w:sz w:val="23"/>
          <w:szCs w:val="23"/>
        </w:rPr>
        <w:t>esta situación se identifica la extensa duración de los procesos, la falta de representación penal gratuita mediante el ejercicio de la querella y la necesidad de que la víctima regrese en múltiples ocasiones a dar su declaración, incluyendo la etapa de juicio, generalmente años después de haber interpuesto la denuncia</w:t>
      </w:r>
      <w:r w:rsidR="007D0794">
        <w:rPr>
          <w:sz w:val="23"/>
          <w:szCs w:val="23"/>
        </w:rPr>
        <w:t>,</w:t>
      </w:r>
      <w:r>
        <w:rPr>
          <w:sz w:val="23"/>
          <w:szCs w:val="23"/>
        </w:rPr>
        <w:t xml:space="preserve"> </w:t>
      </w:r>
      <w:r w:rsidR="00D94061">
        <w:rPr>
          <w:sz w:val="23"/>
          <w:szCs w:val="23"/>
        </w:rPr>
        <w:t xml:space="preserve">cuando </w:t>
      </w:r>
      <w:r>
        <w:rPr>
          <w:sz w:val="23"/>
          <w:szCs w:val="23"/>
        </w:rPr>
        <w:t>muchas de las víctimas han o</w:t>
      </w:r>
      <w:r w:rsidR="002654E7">
        <w:rPr>
          <w:sz w:val="23"/>
          <w:szCs w:val="23"/>
        </w:rPr>
        <w:t>ptado por abandonar el proceso.</w:t>
      </w:r>
    </w:p>
    <w:p w:rsidR="002654E7" w:rsidRDefault="002654E7" w:rsidP="003B37FD">
      <w:pPr>
        <w:pStyle w:val="Default"/>
        <w:jc w:val="both"/>
        <w:rPr>
          <w:sz w:val="23"/>
          <w:szCs w:val="23"/>
        </w:rPr>
      </w:pPr>
    </w:p>
    <w:p w:rsidR="00A171F3" w:rsidRDefault="00A171F3" w:rsidP="00AF04C5">
      <w:pPr>
        <w:pStyle w:val="Default"/>
        <w:jc w:val="both"/>
        <w:rPr>
          <w:sz w:val="23"/>
          <w:szCs w:val="23"/>
        </w:rPr>
      </w:pPr>
      <w:r>
        <w:rPr>
          <w:sz w:val="23"/>
          <w:szCs w:val="23"/>
        </w:rPr>
        <w:t xml:space="preserve">En razón de </w:t>
      </w:r>
      <w:r w:rsidR="008769FA">
        <w:rPr>
          <w:sz w:val="23"/>
          <w:szCs w:val="23"/>
        </w:rPr>
        <w:t>el</w:t>
      </w:r>
      <w:r>
        <w:rPr>
          <w:sz w:val="23"/>
          <w:szCs w:val="23"/>
        </w:rPr>
        <w:t xml:space="preserve">lo, </w:t>
      </w:r>
      <w:r w:rsidR="00D94061">
        <w:rPr>
          <w:sz w:val="23"/>
          <w:szCs w:val="23"/>
        </w:rPr>
        <w:t xml:space="preserve">la Magistrada Presidenta de la Comisión de Género del Poder Judicial y la Secretaría Técnica de Género, estarán presentando a la Comisión Especial de la Mujer de la Asamblea Legislativa en marzo, un proyecto de ley para reformar </w:t>
      </w:r>
      <w:r w:rsidR="00D94061">
        <w:rPr>
          <w:sz w:val="23"/>
          <w:szCs w:val="23"/>
        </w:rPr>
        <w:t>e</w:t>
      </w:r>
      <w:r>
        <w:rPr>
          <w:sz w:val="23"/>
          <w:szCs w:val="23"/>
        </w:rPr>
        <w:t>l artícul</w:t>
      </w:r>
      <w:r w:rsidR="002654E7">
        <w:rPr>
          <w:sz w:val="23"/>
          <w:szCs w:val="23"/>
        </w:rPr>
        <w:t xml:space="preserve">o 293 del Código Procesal Penal </w:t>
      </w:r>
      <w:r w:rsidR="00D94061">
        <w:rPr>
          <w:sz w:val="23"/>
          <w:szCs w:val="23"/>
        </w:rPr>
        <w:t>y conv</w:t>
      </w:r>
      <w:r w:rsidR="002654E7">
        <w:rPr>
          <w:sz w:val="23"/>
          <w:szCs w:val="23"/>
        </w:rPr>
        <w:t>ert</w:t>
      </w:r>
      <w:r w:rsidR="00D94061">
        <w:rPr>
          <w:sz w:val="23"/>
          <w:szCs w:val="23"/>
        </w:rPr>
        <w:t>ir</w:t>
      </w:r>
      <w:r w:rsidR="002654E7">
        <w:rPr>
          <w:sz w:val="23"/>
          <w:szCs w:val="23"/>
        </w:rPr>
        <w:t xml:space="preserve"> </w:t>
      </w:r>
      <w:r>
        <w:rPr>
          <w:sz w:val="23"/>
          <w:szCs w:val="23"/>
        </w:rPr>
        <w:t>en obligatorio el anticipo jurisdiccional de prueba</w:t>
      </w:r>
      <w:r w:rsidR="002654E7">
        <w:rPr>
          <w:sz w:val="23"/>
          <w:szCs w:val="23"/>
        </w:rPr>
        <w:t>.</w:t>
      </w:r>
    </w:p>
    <w:p w:rsidR="002654E7" w:rsidRDefault="002654E7" w:rsidP="00AF04C5">
      <w:pPr>
        <w:pStyle w:val="Default"/>
        <w:jc w:val="both"/>
        <w:rPr>
          <w:sz w:val="23"/>
          <w:szCs w:val="23"/>
        </w:rPr>
      </w:pPr>
    </w:p>
    <w:p w:rsidR="00A171F3" w:rsidRDefault="002654E7" w:rsidP="00AF04C5">
      <w:pPr>
        <w:pStyle w:val="Default"/>
        <w:jc w:val="both"/>
        <w:rPr>
          <w:sz w:val="23"/>
          <w:szCs w:val="23"/>
        </w:rPr>
      </w:pPr>
      <w:r>
        <w:rPr>
          <w:color w:val="232323"/>
          <w:sz w:val="23"/>
          <w:szCs w:val="23"/>
        </w:rPr>
        <w:t xml:space="preserve">Con respecto a los casos que en efecto llegan a la etapa procesal de juicio, </w:t>
      </w:r>
      <w:r w:rsidR="00A171F3">
        <w:rPr>
          <w:color w:val="232323"/>
          <w:sz w:val="23"/>
          <w:szCs w:val="23"/>
        </w:rPr>
        <w:t>en el año 2017 fueron condenados 714 hombres y 12 mujeres</w:t>
      </w:r>
      <w:r>
        <w:rPr>
          <w:color w:val="232323"/>
          <w:sz w:val="23"/>
          <w:szCs w:val="23"/>
        </w:rPr>
        <w:t>;</w:t>
      </w:r>
      <w:r w:rsidR="00A171F3">
        <w:rPr>
          <w:color w:val="232323"/>
          <w:sz w:val="23"/>
          <w:szCs w:val="23"/>
        </w:rPr>
        <w:t xml:space="preserve"> en el 2018 fueron condenados 846 hombres y 9 mujeres</w:t>
      </w:r>
      <w:r>
        <w:rPr>
          <w:color w:val="232323"/>
          <w:sz w:val="23"/>
          <w:szCs w:val="23"/>
        </w:rPr>
        <w:t>;</w:t>
      </w:r>
      <w:r w:rsidR="00A171F3">
        <w:rPr>
          <w:color w:val="232323"/>
          <w:sz w:val="23"/>
          <w:szCs w:val="23"/>
        </w:rPr>
        <w:t xml:space="preserve"> en el 2019</w:t>
      </w:r>
      <w:r>
        <w:rPr>
          <w:color w:val="232323"/>
          <w:sz w:val="23"/>
          <w:szCs w:val="23"/>
        </w:rPr>
        <w:t>,</w:t>
      </w:r>
      <w:r w:rsidR="00A171F3">
        <w:rPr>
          <w:color w:val="232323"/>
          <w:sz w:val="23"/>
          <w:szCs w:val="23"/>
        </w:rPr>
        <w:t xml:space="preserve"> 888 hombres y 17 mujeres</w:t>
      </w:r>
      <w:r>
        <w:rPr>
          <w:color w:val="232323"/>
          <w:sz w:val="23"/>
          <w:szCs w:val="23"/>
        </w:rPr>
        <w:t>;</w:t>
      </w:r>
      <w:r w:rsidR="00A171F3">
        <w:rPr>
          <w:color w:val="232323"/>
          <w:sz w:val="23"/>
          <w:szCs w:val="23"/>
        </w:rPr>
        <w:t xml:space="preserve"> en el 2020</w:t>
      </w:r>
      <w:r w:rsidR="008769FA">
        <w:rPr>
          <w:color w:val="232323"/>
          <w:sz w:val="23"/>
          <w:szCs w:val="23"/>
        </w:rPr>
        <w:t>,</w:t>
      </w:r>
      <w:r w:rsidR="00A171F3">
        <w:rPr>
          <w:color w:val="232323"/>
          <w:sz w:val="23"/>
          <w:szCs w:val="23"/>
        </w:rPr>
        <w:t xml:space="preserve"> 625 hombres y 12 mujeres</w:t>
      </w:r>
      <w:r w:rsidR="008769FA">
        <w:rPr>
          <w:color w:val="232323"/>
          <w:sz w:val="23"/>
          <w:szCs w:val="23"/>
        </w:rPr>
        <w:t>;</w:t>
      </w:r>
      <w:r w:rsidR="00A171F3">
        <w:rPr>
          <w:color w:val="232323"/>
          <w:sz w:val="23"/>
          <w:szCs w:val="23"/>
        </w:rPr>
        <w:t xml:space="preserve"> y en el  2021 fueron condenados 725 hombres y 34 mujeres. </w:t>
      </w:r>
    </w:p>
    <w:p w:rsidR="00AB28EF" w:rsidRDefault="00AB28EF" w:rsidP="00AF04C5">
      <w:pPr>
        <w:jc w:val="both"/>
      </w:pPr>
    </w:p>
    <w:p w:rsidR="00A171F3" w:rsidRDefault="00A171F3" w:rsidP="00AF04C5">
      <w:pPr>
        <w:jc w:val="both"/>
      </w:pPr>
    </w:p>
    <w:p w:rsidR="00A171F3" w:rsidRPr="008769FA" w:rsidRDefault="008769FA" w:rsidP="00AF04C5">
      <w:pPr>
        <w:jc w:val="both"/>
        <w:rPr>
          <w:b/>
          <w:i/>
        </w:rPr>
      </w:pPr>
      <w:r w:rsidRPr="008769FA">
        <w:rPr>
          <w:b/>
          <w:i/>
        </w:rPr>
        <w:t>Sobre la prevención de los casos de explotación sexual comercial infantil para turismo sexual</w:t>
      </w:r>
    </w:p>
    <w:p w:rsidR="00A171F3" w:rsidRDefault="00A171F3" w:rsidP="00AF04C5">
      <w:pPr>
        <w:jc w:val="both"/>
      </w:pPr>
    </w:p>
    <w:p w:rsidR="008769FA" w:rsidRDefault="008769FA" w:rsidP="00AF04C5">
      <w:pPr>
        <w:jc w:val="both"/>
      </w:pPr>
      <w:r>
        <w:t>En Costa Rica funciona la Comisión Nacional contra la Explotación Sexual Comercial de Niñas Niños y Ado</w:t>
      </w:r>
      <w:r>
        <w:t xml:space="preserve">lescentes (CONACOES) desde 1996, la cual está integrada al </w:t>
      </w:r>
      <w:r>
        <w:t>Consejo Nacional de Niñez y Adolescencia como una Comisión permanente. La CONACOES cuenta con un plan de acción nacional que incluye los ejes de Promoción y Prevención; Atención Integral a las Víctimas; y Defensa y Protección de derechos. El INAMU forma parte de esta Comisión, junto con otras 19 instancias y las municipalidades.</w:t>
      </w:r>
    </w:p>
    <w:p w:rsidR="008769FA" w:rsidRDefault="008769FA" w:rsidP="00AF04C5">
      <w:pPr>
        <w:jc w:val="both"/>
      </w:pPr>
    </w:p>
    <w:p w:rsidR="008769FA" w:rsidRDefault="008769FA" w:rsidP="00AF04C5">
      <w:pPr>
        <w:jc w:val="both"/>
      </w:pPr>
      <w:r>
        <w:lastRenderedPageBreak/>
        <w:t xml:space="preserve">Entre las acciones de prevención desarrolladas por la CONACOES cabe destacar la campaña realizada en conjunto con el Instituto Costarricense de Turismo </w:t>
      </w:r>
      <w:r>
        <w:t xml:space="preserve">(ICT) </w:t>
      </w:r>
      <w:r>
        <w:t>en procura de disuadir el turismo sexual (Campaña SUCEDE)</w:t>
      </w:r>
      <w:r>
        <w:t>,</w:t>
      </w:r>
      <w:r>
        <w:t xml:space="preserve"> </w:t>
      </w:r>
      <w:proofErr w:type="gramStart"/>
      <w:r>
        <w:t>desarrollada</w:t>
      </w:r>
      <w:proofErr w:type="gramEnd"/>
      <w:r>
        <w:t xml:space="preserve"> como parte de la estrategia Código de Conducta (2019).</w:t>
      </w:r>
    </w:p>
    <w:p w:rsidR="008769FA" w:rsidRDefault="008769FA" w:rsidP="00AF04C5">
      <w:pPr>
        <w:jc w:val="both"/>
      </w:pPr>
    </w:p>
    <w:p w:rsidR="008769FA" w:rsidRDefault="008769FA" w:rsidP="00AF04C5">
      <w:pPr>
        <w:jc w:val="both"/>
      </w:pPr>
      <w:r>
        <w:t xml:space="preserve">A nivel de políticas nacionales, el eje 5 de </w:t>
      </w:r>
      <w:r>
        <w:t xml:space="preserve">PLANOVI </w:t>
      </w:r>
      <w:r>
        <w:t>busca colocar en el centro de atención de las políticas e inversión públicas la prevención, la atención especializada y la sanción efectiva de la violencia sexual</w:t>
      </w:r>
      <w:r>
        <w:t xml:space="preserve">, incluyendo </w:t>
      </w:r>
      <w:r>
        <w:t>acoso sexual en los espacios de docencia, empleo y también en los espacios públicos o de acceso público.</w:t>
      </w:r>
      <w:r>
        <w:t xml:space="preserve"> </w:t>
      </w:r>
    </w:p>
    <w:p w:rsidR="008769FA" w:rsidRDefault="008769FA" w:rsidP="00AF04C5">
      <w:pPr>
        <w:jc w:val="both"/>
      </w:pPr>
    </w:p>
    <w:p w:rsidR="008769FA" w:rsidRDefault="008769FA" w:rsidP="00AF04C5">
      <w:pPr>
        <w:jc w:val="both"/>
      </w:pPr>
      <w:r>
        <w:t>R</w:t>
      </w:r>
      <w:r>
        <w:t xml:space="preserve">ecientemente (2021), el INAMU firmó un convenio de cooperación con el Instituto Costarricense de Turismo, con el fin de promover la igualdad de género en la industria turística costarricense, la prevención de la violencia contra las mujeres y la construcción de ambientes turísticos seguros para mujeres que viajan solas. </w:t>
      </w:r>
      <w:r>
        <w:t>E</w:t>
      </w:r>
      <w:r>
        <w:t>xiste un plan de acción elaborado de forma conjunta entre el ICT y el INAMU, que incluye acciones de capacitación y de prevención para fomentar la igualdad entre l</w:t>
      </w:r>
      <w:r>
        <w:t>os géneros, así como para la ide</w:t>
      </w:r>
      <w:r>
        <w:t>ntificación de riesgos asociados a la violencia</w:t>
      </w:r>
      <w:r>
        <w:t xml:space="preserve"> de género contra las mujeres.</w:t>
      </w:r>
    </w:p>
    <w:p w:rsidR="008769FA" w:rsidRDefault="008769FA" w:rsidP="00AF04C5">
      <w:pPr>
        <w:jc w:val="both"/>
      </w:pPr>
    </w:p>
    <w:p w:rsidR="008769FA" w:rsidRDefault="008769FA" w:rsidP="00AF04C5">
      <w:pPr>
        <w:jc w:val="both"/>
      </w:pPr>
      <w:r>
        <w:t xml:space="preserve">Por otro lado, </w:t>
      </w:r>
      <w:r>
        <w:t xml:space="preserve">RED SOFIA </w:t>
      </w:r>
      <w:r>
        <w:t>es</w:t>
      </w:r>
      <w:r>
        <w:t xml:space="preserve"> un programa que promueve la equidad de género en la industria turística, las buenas prácticas de seguridad turística, fomenta el ingreso y la grata permanencia las turistas en el destino. Nace en el marco de un convenio de apoyo institucional entre el ICT y el INAMU, con el apoyo y participación de la Comisión Nacional de Seguridad Turística (CONSETUR). Mediante </w:t>
      </w:r>
      <w:r>
        <w:t xml:space="preserve">este programa </w:t>
      </w:r>
      <w:r>
        <w:t>se realiza</w:t>
      </w:r>
      <w:r>
        <w:t>n</w:t>
      </w:r>
      <w:r>
        <w:t xml:space="preserve"> capacitaciones a operadores de turismo y policías turísticas </w:t>
      </w:r>
      <w:r w:rsidR="00AF04C5">
        <w:t xml:space="preserve">para </w:t>
      </w:r>
      <w:r>
        <w:t>que puedan detectar y prevenir riesgos de violencias, incluida la violencia sexual. El programa promueve la seguridad ciudadana y se enfoca en la población turista, pero contempla un enfoque de género que permite distinguir el impacto diferenciado de la inseguridad c</w:t>
      </w:r>
      <w:r w:rsidR="00AF04C5">
        <w:t>iudadana en mujeres y hombres.</w:t>
      </w:r>
    </w:p>
    <w:p w:rsidR="008769FA" w:rsidRDefault="008769FA" w:rsidP="002654E7"/>
    <w:p w:rsidR="00302068" w:rsidRDefault="00302068" w:rsidP="002654E7"/>
    <w:p w:rsidR="00302068" w:rsidRPr="00302068" w:rsidRDefault="00302068" w:rsidP="002654E7">
      <w:pPr>
        <w:rPr>
          <w:b/>
          <w:i/>
        </w:rPr>
      </w:pPr>
      <w:r w:rsidRPr="00302068">
        <w:rPr>
          <w:b/>
          <w:i/>
        </w:rPr>
        <w:t>Sobre empleo de las mujeres</w:t>
      </w:r>
    </w:p>
    <w:p w:rsidR="00302068" w:rsidRDefault="00302068" w:rsidP="002654E7"/>
    <w:p w:rsidR="002D1B38" w:rsidRDefault="002D1B38" w:rsidP="002D1B38">
      <w:pPr>
        <w:pStyle w:val="xmsonormal"/>
        <w:shd w:val="clear" w:color="auto" w:fill="FFFFFF"/>
        <w:spacing w:before="0" w:beforeAutospacing="0" w:after="0" w:afterAutospacing="0"/>
        <w:jc w:val="both"/>
        <w:rPr>
          <w:rFonts w:ascii="Calibri" w:hAnsi="Calibri" w:cs="Calibri"/>
          <w:color w:val="242424"/>
          <w:sz w:val="22"/>
          <w:szCs w:val="22"/>
        </w:rPr>
      </w:pPr>
      <w:r>
        <w:rPr>
          <w:rFonts w:ascii="Calibri" w:hAnsi="Calibri" w:cs="Calibri"/>
          <w:color w:val="242424"/>
          <w:sz w:val="22"/>
          <w:szCs w:val="22"/>
        </w:rPr>
        <w:t>Las directrices han sido claves para la institucionalización del proceso</w:t>
      </w:r>
      <w:r>
        <w:rPr>
          <w:rFonts w:ascii="Calibri" w:hAnsi="Calibri" w:cs="Calibri"/>
          <w:color w:val="242424"/>
          <w:sz w:val="22"/>
          <w:szCs w:val="22"/>
        </w:rPr>
        <w:t xml:space="preserve"> y sostenibilidad de este.</w:t>
      </w:r>
      <w:r>
        <w:rPr>
          <w:rFonts w:ascii="Calibri" w:hAnsi="Calibri" w:cs="Calibri"/>
          <w:color w:val="242424"/>
          <w:sz w:val="22"/>
          <w:szCs w:val="22"/>
        </w:rPr>
        <w:t xml:space="preserve"> Han sido emitidas en diferentes momentos</w:t>
      </w:r>
      <w:r>
        <w:rPr>
          <w:rFonts w:ascii="Calibri" w:hAnsi="Calibri" w:cs="Calibri"/>
          <w:color w:val="242424"/>
          <w:sz w:val="22"/>
          <w:szCs w:val="22"/>
        </w:rPr>
        <w:t xml:space="preserve"> </w:t>
      </w:r>
      <w:r>
        <w:rPr>
          <w:rFonts w:ascii="Calibri" w:hAnsi="Calibri" w:cs="Calibri"/>
          <w:color w:val="242424"/>
          <w:sz w:val="22"/>
          <w:szCs w:val="22"/>
        </w:rPr>
        <w:t>desde la dirección Nacional de la Inspección del Trabajo del MTSS y</w:t>
      </w:r>
      <w:r>
        <w:rPr>
          <w:rFonts w:ascii="Calibri" w:hAnsi="Calibri" w:cs="Calibri"/>
          <w:color w:val="242424"/>
          <w:sz w:val="22"/>
          <w:szCs w:val="22"/>
        </w:rPr>
        <w:t xml:space="preserve"> </w:t>
      </w:r>
      <w:r>
        <w:rPr>
          <w:rFonts w:ascii="Calibri" w:hAnsi="Calibri" w:cs="Calibri"/>
          <w:color w:val="242424"/>
          <w:sz w:val="22"/>
          <w:szCs w:val="22"/>
        </w:rPr>
        <w:t>han permitido constituir al equipo especializado en inspecciones con</w:t>
      </w:r>
      <w:r>
        <w:rPr>
          <w:rFonts w:ascii="Calibri" w:hAnsi="Calibri" w:cs="Calibri"/>
          <w:color w:val="242424"/>
          <w:sz w:val="22"/>
          <w:szCs w:val="22"/>
        </w:rPr>
        <w:t xml:space="preserve"> </w:t>
      </w:r>
      <w:r>
        <w:rPr>
          <w:rFonts w:ascii="Calibri" w:hAnsi="Calibri" w:cs="Calibri"/>
          <w:color w:val="242424"/>
          <w:sz w:val="22"/>
          <w:szCs w:val="22"/>
        </w:rPr>
        <w:t>enfoque de género.</w:t>
      </w:r>
      <w:r>
        <w:rPr>
          <w:rFonts w:ascii="Calibri" w:hAnsi="Calibri" w:cs="Calibri"/>
          <w:color w:val="242424"/>
          <w:sz w:val="22"/>
          <w:szCs w:val="22"/>
        </w:rPr>
        <w:t xml:space="preserve"> </w:t>
      </w:r>
      <w:r>
        <w:rPr>
          <w:rFonts w:ascii="Calibri" w:hAnsi="Calibri" w:cs="Calibri"/>
          <w:color w:val="242424"/>
          <w:sz w:val="22"/>
          <w:szCs w:val="22"/>
        </w:rPr>
        <w:t>La Inspección del trabajo tiene oficinas regionales distribuidas en todo el país,</w:t>
      </w:r>
      <w:r>
        <w:rPr>
          <w:rFonts w:ascii="Calibri" w:hAnsi="Calibri" w:cs="Calibri"/>
          <w:color w:val="242424"/>
          <w:sz w:val="22"/>
          <w:szCs w:val="22"/>
        </w:rPr>
        <w:t xml:space="preserve"> </w:t>
      </w:r>
      <w:r>
        <w:rPr>
          <w:rFonts w:ascii="Calibri" w:hAnsi="Calibri" w:cs="Calibri"/>
          <w:color w:val="242424"/>
          <w:sz w:val="22"/>
          <w:szCs w:val="22"/>
        </w:rPr>
        <w:t>lo que cubre el ámbito rural y urbano</w:t>
      </w:r>
      <w:r>
        <w:rPr>
          <w:rFonts w:ascii="Calibri" w:hAnsi="Calibri" w:cs="Calibri"/>
          <w:color w:val="242424"/>
          <w:sz w:val="22"/>
          <w:szCs w:val="22"/>
        </w:rPr>
        <w:t xml:space="preserve">. Entre marzo y diciembre de 2022 se llevaron a cabo 318 visitas </w:t>
      </w:r>
      <w:proofErr w:type="spellStart"/>
      <w:r>
        <w:rPr>
          <w:rFonts w:ascii="Calibri" w:hAnsi="Calibri" w:cs="Calibri"/>
          <w:color w:val="242424"/>
          <w:sz w:val="22"/>
          <w:szCs w:val="22"/>
        </w:rPr>
        <w:t>inspectivas</w:t>
      </w:r>
      <w:proofErr w:type="spellEnd"/>
      <w:r>
        <w:rPr>
          <w:rFonts w:ascii="Calibri" w:hAnsi="Calibri" w:cs="Calibri"/>
          <w:color w:val="242424"/>
          <w:sz w:val="22"/>
          <w:szCs w:val="22"/>
        </w:rPr>
        <w:t xml:space="preserve"> con perspectiva de género en todo el país.</w:t>
      </w:r>
    </w:p>
    <w:p w:rsidR="002D1B38" w:rsidRDefault="002D1B38" w:rsidP="002654E7"/>
    <w:p w:rsidR="002D1B38" w:rsidRDefault="002D1B38" w:rsidP="002654E7"/>
    <w:p w:rsidR="00AB28EF" w:rsidRPr="00AF04C5" w:rsidRDefault="00AB28EF" w:rsidP="002654E7">
      <w:pPr>
        <w:rPr>
          <w:b/>
          <w:i/>
        </w:rPr>
      </w:pPr>
      <w:r w:rsidRPr="00AF04C5">
        <w:rPr>
          <w:b/>
          <w:i/>
        </w:rPr>
        <w:t>Grupos desfavorecidos</w:t>
      </w:r>
      <w:r w:rsidR="00AF04C5" w:rsidRPr="00AF04C5">
        <w:rPr>
          <w:b/>
          <w:i/>
        </w:rPr>
        <w:t xml:space="preserve"> de mujeres</w:t>
      </w:r>
    </w:p>
    <w:p w:rsidR="00AF04C5" w:rsidRPr="00AF04C5" w:rsidRDefault="00AF04C5" w:rsidP="002654E7"/>
    <w:p w:rsidR="00AF04C5" w:rsidRPr="00AF04C5" w:rsidRDefault="00AF04C5" w:rsidP="00302068">
      <w:pPr>
        <w:jc w:val="both"/>
      </w:pPr>
      <w:r w:rsidRPr="00AF04C5">
        <w:t>Los “Lineamientos para incorporar la perspectiva de género en la producción y divulgación de las estadísticas del Sistema Estadístico Nacional” (2015) y su respectiva Guía de implementación (2018) incluyen el enfoque de interseccionalidad, por lo que cada institución debe incorporarlo tanto en sus registros administrativos como en otras operaciones estadísticas desarrolladas. No hay un presupuesto asignado específicamente para ello.</w:t>
      </w:r>
    </w:p>
    <w:p w:rsidR="00AB28EF" w:rsidRDefault="00AB28EF" w:rsidP="002654E7"/>
    <w:p w:rsidR="00AF04C5" w:rsidRDefault="00AF04C5" w:rsidP="002654E7"/>
    <w:p w:rsidR="00AB28EF" w:rsidRPr="00AF04C5" w:rsidRDefault="00AF04C5" w:rsidP="002654E7">
      <w:pPr>
        <w:rPr>
          <w:b/>
          <w:i/>
        </w:rPr>
      </w:pPr>
      <w:r w:rsidRPr="00AF04C5">
        <w:rPr>
          <w:b/>
          <w:i/>
        </w:rPr>
        <w:lastRenderedPageBreak/>
        <w:t>Sobre la ley de conectividad</w:t>
      </w:r>
    </w:p>
    <w:p w:rsidR="00AF04C5" w:rsidRDefault="00AF04C5" w:rsidP="002654E7"/>
    <w:p w:rsidR="00AF04C5" w:rsidRDefault="00AF04C5" w:rsidP="00AF04C5">
      <w:pPr>
        <w:jc w:val="both"/>
      </w:pPr>
      <w:r w:rsidRPr="00AC7ACA">
        <w:t>Para reducir las barreras de conectividad, las fracciones legislativas han alcanzado un importante acuerdo político y el pasado 1 de febrero de 2023, votaron favorablemente el expediente N° 22.617 que adiciona un párrafo al artículo 33 de la Constitución Política para reconocer como derecho humano la conectividad, las tecnologías de información y telecomunicaciones, con acceso universal en todo el territorio nacional. Para que sea finalmente aprobada, esta reforma debe ser votada de nuevo en una nueva legislatura, la cual va del 1 de mayo al 30 de abril, por lo que esperamos que antes de que finalice este año, se convierta en una realidad.</w:t>
      </w:r>
    </w:p>
    <w:p w:rsidR="00AF04C5" w:rsidRDefault="00AF04C5" w:rsidP="002654E7"/>
    <w:p w:rsidR="00302068" w:rsidRDefault="00302068" w:rsidP="002654E7"/>
    <w:p w:rsidR="00AF04C5" w:rsidRPr="00AF04C5" w:rsidRDefault="00AF04C5" w:rsidP="002654E7">
      <w:pPr>
        <w:rPr>
          <w:b/>
          <w:i/>
        </w:rPr>
      </w:pPr>
      <w:r w:rsidRPr="00AF04C5">
        <w:rPr>
          <w:b/>
          <w:i/>
        </w:rPr>
        <w:t>Sobre salud sexual y reproductiva</w:t>
      </w:r>
    </w:p>
    <w:p w:rsidR="00AF04C5" w:rsidRDefault="00AF04C5" w:rsidP="002654E7"/>
    <w:p w:rsidR="00AF04C5" w:rsidRPr="00302068" w:rsidRDefault="00302068" w:rsidP="00302068">
      <w:pPr>
        <w:jc w:val="both"/>
        <w:rPr>
          <w:lang w:val="es-MX"/>
        </w:rPr>
      </w:pPr>
      <w:r>
        <w:t xml:space="preserve">En el país se aprobó en 2020 </w:t>
      </w:r>
      <w:r w:rsidR="00AF04C5">
        <w:rPr>
          <w:lang w:val="es-MX"/>
        </w:rPr>
        <w:t xml:space="preserve">el </w:t>
      </w:r>
      <w:r w:rsidR="00AF04C5" w:rsidRPr="003E5B96">
        <w:rPr>
          <w:lang w:val="es-MX"/>
        </w:rPr>
        <w:t>“Lineamiento para la Prescripción de la</w:t>
      </w:r>
      <w:r w:rsidR="00AF04C5">
        <w:rPr>
          <w:lang w:val="es-MX"/>
        </w:rPr>
        <w:t xml:space="preserve"> </w:t>
      </w:r>
      <w:r w:rsidR="00AF04C5" w:rsidRPr="003E5B96">
        <w:rPr>
          <w:lang w:val="es-MX"/>
        </w:rPr>
        <w:t xml:space="preserve">Anticoncepción de emergencia </w:t>
      </w:r>
      <w:r w:rsidR="00AF04C5">
        <w:rPr>
          <w:lang w:val="es-MX"/>
        </w:rPr>
        <w:t xml:space="preserve">mediante la aplicación de terapia con </w:t>
      </w:r>
      <w:proofErr w:type="spellStart"/>
      <w:r w:rsidR="00AF04C5">
        <w:rPr>
          <w:lang w:val="es-MX"/>
        </w:rPr>
        <w:t>Levonorgestgrel</w:t>
      </w:r>
      <w:proofErr w:type="spellEnd"/>
      <w:r w:rsidR="00AF04C5">
        <w:rPr>
          <w:lang w:val="es-MX"/>
        </w:rPr>
        <w:t xml:space="preserve"> 1.5 mg o con tabletas anticonceptivas combinadas (Método </w:t>
      </w:r>
      <w:proofErr w:type="spellStart"/>
      <w:r w:rsidR="00AF04C5">
        <w:rPr>
          <w:lang w:val="es-MX"/>
        </w:rPr>
        <w:t>Yuzpe</w:t>
      </w:r>
      <w:proofErr w:type="spellEnd"/>
      <w:r w:rsidR="00AF04C5">
        <w:rPr>
          <w:lang w:val="es-MX"/>
        </w:rPr>
        <w:t xml:space="preserve">) en todos los niveles de atención de la Caja Costarricense de Seguro Social. Código </w:t>
      </w:r>
      <w:r w:rsidR="00AF04C5" w:rsidRPr="003E5B96">
        <w:rPr>
          <w:lang w:val="es-MX"/>
        </w:rPr>
        <w:t>L.GM.DDSS.AAIP.PSM.051120-2020 Versión N° 1”.</w:t>
      </w:r>
      <w:r>
        <w:rPr>
          <w:lang w:val="es-MX"/>
        </w:rPr>
        <w:t xml:space="preserve"> </w:t>
      </w:r>
      <w:r w:rsidR="00AF04C5" w:rsidRPr="00302068">
        <w:rPr>
          <w:lang w:val="es-MX"/>
        </w:rPr>
        <w:t>Este lineamiento está vigente y se prescribe sin restricción a todas las mujeres que lo solicit</w:t>
      </w:r>
      <w:r w:rsidR="002D1B38">
        <w:rPr>
          <w:lang w:val="es-MX"/>
        </w:rPr>
        <w:t>e</w:t>
      </w:r>
      <w:r w:rsidR="00AF04C5" w:rsidRPr="00302068">
        <w:rPr>
          <w:lang w:val="es-MX"/>
        </w:rPr>
        <w:t>n en los tres niveles de atención de la institución.</w:t>
      </w:r>
      <w:r>
        <w:rPr>
          <w:lang w:val="es-MX"/>
        </w:rPr>
        <w:t xml:space="preserve"> </w:t>
      </w:r>
      <w:r w:rsidR="002D1B38">
        <w:rPr>
          <w:lang w:val="es-MX"/>
        </w:rPr>
        <w:t>U</w:t>
      </w:r>
      <w:r w:rsidR="00AF04C5">
        <w:rPr>
          <w:lang w:val="es-MX"/>
        </w:rPr>
        <w:t>n año después de la entrada en vigencia del lineamiento</w:t>
      </w:r>
      <w:r w:rsidR="002D1B38">
        <w:rPr>
          <w:lang w:val="es-MX"/>
        </w:rPr>
        <w:t>,</w:t>
      </w:r>
      <w:r w:rsidR="00AF04C5">
        <w:rPr>
          <w:lang w:val="es-MX"/>
        </w:rPr>
        <w:t xml:space="preserve"> 572 usuarias solicitaron la anticoncepción de emergencia.</w:t>
      </w:r>
      <w:r>
        <w:rPr>
          <w:lang w:val="es-MX"/>
        </w:rPr>
        <w:t xml:space="preserve"> </w:t>
      </w:r>
      <w:r w:rsidR="00AF04C5" w:rsidRPr="00302068">
        <w:rPr>
          <w:lang w:val="es-MX"/>
        </w:rPr>
        <w:t xml:space="preserve">El </w:t>
      </w:r>
      <w:proofErr w:type="spellStart"/>
      <w:r>
        <w:rPr>
          <w:lang w:val="es-MX"/>
        </w:rPr>
        <w:t>L</w:t>
      </w:r>
      <w:r w:rsidR="00AF04C5" w:rsidRPr="00302068">
        <w:rPr>
          <w:lang w:val="es-MX"/>
        </w:rPr>
        <w:t>evonorgestrel</w:t>
      </w:r>
      <w:proofErr w:type="spellEnd"/>
      <w:r w:rsidR="00AF04C5" w:rsidRPr="00302068">
        <w:rPr>
          <w:lang w:val="es-MX"/>
        </w:rPr>
        <w:t xml:space="preserve"> 1.5 mg también se encuentra disponible para las víctim</w:t>
      </w:r>
      <w:r>
        <w:rPr>
          <w:lang w:val="es-MX"/>
        </w:rPr>
        <w:t xml:space="preserve">as de violencia sexual en el marco del Protocolo de </w:t>
      </w:r>
      <w:r w:rsidR="00AF04C5" w:rsidRPr="00302068">
        <w:rPr>
          <w:lang w:val="es-MX"/>
        </w:rPr>
        <w:t>72 horas</w:t>
      </w:r>
      <w:r>
        <w:rPr>
          <w:lang w:val="es-MX"/>
        </w:rPr>
        <w:t xml:space="preserve"> (atención inmediata</w:t>
      </w:r>
      <w:r w:rsidR="00AF04C5" w:rsidRPr="00302068">
        <w:rPr>
          <w:lang w:val="es-MX"/>
        </w:rPr>
        <w:t xml:space="preserve"> del evento</w:t>
      </w:r>
      <w:r>
        <w:rPr>
          <w:lang w:val="es-MX"/>
        </w:rPr>
        <w:t>)</w:t>
      </w:r>
      <w:r w:rsidR="00AF04C5" w:rsidRPr="00302068">
        <w:rPr>
          <w:lang w:val="es-MX"/>
        </w:rPr>
        <w:t>.</w:t>
      </w:r>
    </w:p>
    <w:p w:rsidR="00AF04C5" w:rsidRDefault="00AF04C5" w:rsidP="00302068">
      <w:pPr>
        <w:jc w:val="both"/>
        <w:rPr>
          <w:lang w:val="es-MX"/>
        </w:rPr>
      </w:pPr>
    </w:p>
    <w:p w:rsidR="00AF04C5" w:rsidRDefault="00302068" w:rsidP="002D1B38">
      <w:pPr>
        <w:jc w:val="both"/>
        <w:rPr>
          <w:lang w:val="es-MX"/>
        </w:rPr>
      </w:pPr>
      <w:r>
        <w:rPr>
          <w:lang w:val="es-MX"/>
        </w:rPr>
        <w:t xml:space="preserve">Con respecto a los servicios de atención de la salud sexual y reproductiva de las mujeres con discapacidad, </w:t>
      </w:r>
      <w:r w:rsidR="00AF04C5">
        <w:rPr>
          <w:lang w:val="es-MX"/>
        </w:rPr>
        <w:t xml:space="preserve">se realizó </w:t>
      </w:r>
      <w:r>
        <w:rPr>
          <w:lang w:val="es-MX"/>
        </w:rPr>
        <w:t xml:space="preserve">una </w:t>
      </w:r>
      <w:r w:rsidR="00AF04C5">
        <w:rPr>
          <w:lang w:val="es-MX"/>
        </w:rPr>
        <w:t xml:space="preserve">compra institucional de camas ginecológicas para </w:t>
      </w:r>
      <w:r w:rsidR="002D1B38">
        <w:rPr>
          <w:lang w:val="es-MX"/>
        </w:rPr>
        <w:t>ellas</w:t>
      </w:r>
      <w:r>
        <w:rPr>
          <w:lang w:val="es-MX"/>
        </w:rPr>
        <w:t>,</w:t>
      </w:r>
      <w:r w:rsidR="00AF04C5">
        <w:rPr>
          <w:lang w:val="es-MX"/>
        </w:rPr>
        <w:t xml:space="preserve"> las cuales se ubicaron en el Hospital de las Mujeres Adolfo </w:t>
      </w:r>
      <w:proofErr w:type="spellStart"/>
      <w:r w:rsidR="00AF04C5">
        <w:rPr>
          <w:lang w:val="es-MX"/>
        </w:rPr>
        <w:t>Carit</w:t>
      </w:r>
      <w:proofErr w:type="spellEnd"/>
      <w:r w:rsidR="00AF04C5">
        <w:rPr>
          <w:lang w:val="es-MX"/>
        </w:rPr>
        <w:t xml:space="preserve"> Eva</w:t>
      </w:r>
      <w:r>
        <w:rPr>
          <w:lang w:val="es-MX"/>
        </w:rPr>
        <w:t>. A</w:t>
      </w:r>
      <w:r w:rsidR="00AF04C5">
        <w:rPr>
          <w:lang w:val="es-MX"/>
        </w:rPr>
        <w:t>ctualmente</w:t>
      </w:r>
      <w:r>
        <w:rPr>
          <w:lang w:val="es-MX"/>
        </w:rPr>
        <w:t>,</w:t>
      </w:r>
      <w:r w:rsidR="00AF04C5">
        <w:rPr>
          <w:lang w:val="es-MX"/>
        </w:rPr>
        <w:t xml:space="preserve"> a través de una fuerza de trabajo gerencial llamada “Atención Calificada”</w:t>
      </w:r>
      <w:r>
        <w:rPr>
          <w:lang w:val="es-MX"/>
        </w:rPr>
        <w:t>,</w:t>
      </w:r>
      <w:r w:rsidR="00AF04C5">
        <w:rPr>
          <w:lang w:val="es-MX"/>
        </w:rPr>
        <w:t xml:space="preserve"> se está trabajando en el análisis del proceso de regionalización de la atención. Ya el CENARE se encuentra abierto y habilitado completamente.</w:t>
      </w:r>
    </w:p>
    <w:p w:rsidR="00AF04C5" w:rsidRDefault="00AF04C5" w:rsidP="00302068">
      <w:pPr>
        <w:jc w:val="both"/>
        <w:rPr>
          <w:lang w:val="es-MX"/>
        </w:rPr>
      </w:pPr>
    </w:p>
    <w:p w:rsidR="00AF04C5" w:rsidRDefault="00302068" w:rsidP="00302068">
      <w:pPr>
        <w:jc w:val="both"/>
        <w:rPr>
          <w:lang w:val="es-MX"/>
        </w:rPr>
      </w:pPr>
      <w:r>
        <w:rPr>
          <w:lang w:val="es-MX"/>
        </w:rPr>
        <w:t>Con respecto a la sanción de profesionales por mala praxis en caso de violencia obstétrica, la L</w:t>
      </w:r>
      <w:r w:rsidR="00AF04C5">
        <w:rPr>
          <w:lang w:val="es-MX"/>
        </w:rPr>
        <w:t xml:space="preserve">ey 10081 “Ley derechos de la mujer durante la atención calificada, digna y respetuosa y la atención del recién nacido, publicada en enero del 2022” </w:t>
      </w:r>
      <w:r>
        <w:rPr>
          <w:lang w:val="es-MX"/>
        </w:rPr>
        <w:t xml:space="preserve">contempla </w:t>
      </w:r>
      <w:r w:rsidR="00AF04C5">
        <w:rPr>
          <w:lang w:val="es-MX"/>
        </w:rPr>
        <w:t>un régimen sancionatorio para las quejas sobre violencia obstétrica o la transgresión de los derechos reconocidos.</w:t>
      </w:r>
    </w:p>
    <w:p w:rsidR="00AF04C5" w:rsidRDefault="00AF04C5" w:rsidP="00302068">
      <w:pPr>
        <w:jc w:val="both"/>
        <w:rPr>
          <w:lang w:val="es-MX"/>
        </w:rPr>
      </w:pPr>
    </w:p>
    <w:p w:rsidR="002D1B38" w:rsidRDefault="002D1B38" w:rsidP="002D1B38">
      <w:pPr>
        <w:jc w:val="both"/>
        <w:rPr>
          <w:lang w:val="es-MX"/>
        </w:rPr>
      </w:pPr>
      <w:r>
        <w:rPr>
          <w:lang w:val="es-MX"/>
        </w:rPr>
        <w:t xml:space="preserve">En materia de atención de las personas </w:t>
      </w:r>
      <w:proofErr w:type="spellStart"/>
      <w:r>
        <w:rPr>
          <w:lang w:val="es-MX"/>
        </w:rPr>
        <w:t>trans</w:t>
      </w:r>
      <w:proofErr w:type="spellEnd"/>
      <w:r w:rsidRPr="002D1B38">
        <w:rPr>
          <w:lang w:val="es-MX"/>
        </w:rPr>
        <w:t xml:space="preserve">, </w:t>
      </w:r>
      <w:r w:rsidRPr="002D1B38">
        <w:rPr>
          <w:bCs/>
          <w:lang w:val="es-MX"/>
        </w:rPr>
        <w:t>s</w:t>
      </w:r>
      <w:r w:rsidR="00AF04C5" w:rsidRPr="002D1B38">
        <w:rPr>
          <w:lang w:val="es-MX"/>
        </w:rPr>
        <w:t>e</w:t>
      </w:r>
      <w:r w:rsidR="00AF04C5">
        <w:rPr>
          <w:lang w:val="es-MX"/>
        </w:rPr>
        <w:t xml:space="preserve"> formuló </w:t>
      </w:r>
      <w:r>
        <w:rPr>
          <w:lang w:val="es-MX"/>
        </w:rPr>
        <w:t xml:space="preserve">en 2019 </w:t>
      </w:r>
      <w:r w:rsidR="00AF04C5">
        <w:rPr>
          <w:lang w:val="es-MX"/>
        </w:rPr>
        <w:t>el d</w:t>
      </w:r>
      <w:r w:rsidR="00AF04C5" w:rsidRPr="005B56AC">
        <w:rPr>
          <w:lang w:val="es-MX"/>
        </w:rPr>
        <w:t>ocumento técnico</w:t>
      </w:r>
      <w:r w:rsidR="00AF04C5">
        <w:rPr>
          <w:lang w:val="es-MX"/>
        </w:rPr>
        <w:t xml:space="preserve"> </w:t>
      </w:r>
      <w:r>
        <w:rPr>
          <w:lang w:val="es-MX"/>
        </w:rPr>
        <w:t>“</w:t>
      </w:r>
      <w:r w:rsidR="00AF04C5">
        <w:rPr>
          <w:lang w:val="es-MX"/>
        </w:rPr>
        <w:t>A</w:t>
      </w:r>
      <w:r w:rsidR="00AF04C5" w:rsidRPr="005B56AC">
        <w:rPr>
          <w:lang w:val="es-MX"/>
        </w:rPr>
        <w:t xml:space="preserve">tención </w:t>
      </w:r>
      <w:r w:rsidR="00AF04C5">
        <w:rPr>
          <w:lang w:val="es-MX"/>
        </w:rPr>
        <w:t>I</w:t>
      </w:r>
      <w:r w:rsidR="00AF04C5" w:rsidRPr="005B56AC">
        <w:rPr>
          <w:lang w:val="es-MX"/>
        </w:rPr>
        <w:t>ntegral de personas transgénero para la</w:t>
      </w:r>
      <w:r w:rsidR="00AF04C5">
        <w:rPr>
          <w:lang w:val="es-MX"/>
        </w:rPr>
        <w:t xml:space="preserve"> </w:t>
      </w:r>
      <w:proofErr w:type="spellStart"/>
      <w:r w:rsidR="00AF04C5" w:rsidRPr="005B56AC">
        <w:rPr>
          <w:lang w:val="es-MX"/>
        </w:rPr>
        <w:t>hormonización</w:t>
      </w:r>
      <w:proofErr w:type="spellEnd"/>
      <w:r w:rsidR="00AF04C5" w:rsidRPr="005B56AC">
        <w:rPr>
          <w:lang w:val="es-MX"/>
        </w:rPr>
        <w:t xml:space="preserve"> en la red de servicios de salud</w:t>
      </w:r>
      <w:r w:rsidR="00AF04C5">
        <w:rPr>
          <w:lang w:val="es-MX"/>
        </w:rPr>
        <w:t>. C</w:t>
      </w:r>
      <w:r w:rsidR="00AF04C5" w:rsidRPr="005B56AC">
        <w:rPr>
          <w:lang w:val="es-MX"/>
        </w:rPr>
        <w:t>ódigo: DT.GM.DDSS.AAIP.2311</w:t>
      </w:r>
      <w:r w:rsidR="00AF04C5">
        <w:rPr>
          <w:lang w:val="es-MX"/>
        </w:rPr>
        <w:t>18</w:t>
      </w:r>
      <w:r>
        <w:rPr>
          <w:lang w:val="es-MX"/>
        </w:rPr>
        <w:t>”</w:t>
      </w:r>
      <w:r w:rsidR="00AF04C5">
        <w:rPr>
          <w:lang w:val="es-MX"/>
        </w:rPr>
        <w:t xml:space="preserve"> para</w:t>
      </w:r>
      <w:r w:rsidR="00AF04C5" w:rsidRPr="00BB7C0E">
        <w:rPr>
          <w:lang w:val="es-MX"/>
        </w:rPr>
        <w:t xml:space="preserve"> </w:t>
      </w:r>
      <w:r w:rsidR="00AF04C5">
        <w:rPr>
          <w:lang w:val="es-MX"/>
        </w:rPr>
        <w:t>m</w:t>
      </w:r>
      <w:r w:rsidR="00AF04C5" w:rsidRPr="00BB7C0E">
        <w:rPr>
          <w:lang w:val="es-MX"/>
        </w:rPr>
        <w:t>ejorar la oferta de</w:t>
      </w:r>
      <w:r w:rsidR="00AF04C5">
        <w:rPr>
          <w:lang w:val="es-MX"/>
        </w:rPr>
        <w:t xml:space="preserve"> </w:t>
      </w:r>
      <w:r w:rsidR="00AF04C5" w:rsidRPr="00BB7C0E">
        <w:rPr>
          <w:lang w:val="es-MX"/>
        </w:rPr>
        <w:t>servicios</w:t>
      </w:r>
      <w:r w:rsidR="00AF04C5">
        <w:rPr>
          <w:lang w:val="es-MX"/>
        </w:rPr>
        <w:t>.</w:t>
      </w:r>
      <w:r>
        <w:rPr>
          <w:lang w:val="es-MX"/>
        </w:rPr>
        <w:t xml:space="preserve"> </w:t>
      </w:r>
      <w:r>
        <w:rPr>
          <w:lang w:val="es-MX"/>
        </w:rPr>
        <w:t>Se realizó un proceso de socialización y capacitación a nivel institucional para la aplicación de este documento normativo durante el 2020 a toda la red de servicios de salud en el que han participado más de 3 mil personas en el total de las capacitaciones realizadas.</w:t>
      </w:r>
    </w:p>
    <w:p w:rsidR="00D94061" w:rsidRDefault="00D94061" w:rsidP="002D1B38">
      <w:pPr>
        <w:jc w:val="both"/>
        <w:rPr>
          <w:lang w:val="es-MX"/>
        </w:rPr>
      </w:pPr>
    </w:p>
    <w:p w:rsidR="00AF04C5" w:rsidRDefault="002D1B38" w:rsidP="002D1B38">
      <w:pPr>
        <w:jc w:val="both"/>
        <w:rPr>
          <w:lang w:val="es-MX"/>
        </w:rPr>
      </w:pPr>
      <w:r>
        <w:rPr>
          <w:lang w:val="es-MX"/>
        </w:rPr>
        <w:t>Se reconocen como retos la a</w:t>
      </w:r>
      <w:r w:rsidR="00AF04C5" w:rsidRPr="002D1B38">
        <w:rPr>
          <w:lang w:val="es-MX"/>
        </w:rPr>
        <w:t>ctualización de la norma para el abordaje y el tami</w:t>
      </w:r>
      <w:r>
        <w:rPr>
          <w:lang w:val="es-MX"/>
        </w:rPr>
        <w:t xml:space="preserve">zaje del cáncer </w:t>
      </w:r>
      <w:proofErr w:type="spellStart"/>
      <w:r>
        <w:rPr>
          <w:lang w:val="es-MX"/>
        </w:rPr>
        <w:t>cérvico</w:t>
      </w:r>
      <w:proofErr w:type="spellEnd"/>
      <w:r>
        <w:rPr>
          <w:lang w:val="es-MX"/>
        </w:rPr>
        <w:t xml:space="preserve"> uterino, el realizar incidencia p</w:t>
      </w:r>
      <w:r w:rsidR="00AF04C5">
        <w:rPr>
          <w:lang w:val="es-MX"/>
        </w:rPr>
        <w:t>olítica para la inclusión en el diseño curricular de los estudiantes de pregrado y de posgrado en ciencias de la salud de l</w:t>
      </w:r>
      <w:r>
        <w:rPr>
          <w:lang w:val="es-MX"/>
        </w:rPr>
        <w:t>a perspectiva de género</w:t>
      </w:r>
      <w:r w:rsidR="00AF04C5">
        <w:rPr>
          <w:lang w:val="es-MX"/>
        </w:rPr>
        <w:t xml:space="preserve"> y salud, humanización de los servicios, pertinencia cultural en salud, calidad y calidez en la prestación de los servicios, masculinidades positivas y lo contemplado en el Modelo de Atención Calificada y la Ley 10081</w:t>
      </w:r>
      <w:r>
        <w:rPr>
          <w:lang w:val="es-MX"/>
        </w:rPr>
        <w:t>; así como la h</w:t>
      </w:r>
      <w:r w:rsidR="00AF04C5">
        <w:rPr>
          <w:lang w:val="es-MX"/>
        </w:rPr>
        <w:t>omogenización del Modelo de Atención Calificada y la ley 10081</w:t>
      </w:r>
      <w:r>
        <w:rPr>
          <w:lang w:val="es-MX"/>
        </w:rPr>
        <w:t>.</w:t>
      </w:r>
    </w:p>
    <w:p w:rsidR="00D94061" w:rsidRPr="00302068" w:rsidRDefault="00D94061" w:rsidP="002D1B38">
      <w:pPr>
        <w:jc w:val="both"/>
        <w:rPr>
          <w:lang w:val="es-MX"/>
        </w:rPr>
      </w:pPr>
      <w:bookmarkStart w:id="0" w:name="_GoBack"/>
      <w:bookmarkEnd w:id="0"/>
    </w:p>
    <w:sectPr w:rsidR="00D94061" w:rsidRPr="0030206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196D3B"/>
    <w:multiLevelType w:val="hybridMultilevel"/>
    <w:tmpl w:val="6FBCFF5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49F740CF"/>
    <w:multiLevelType w:val="hybridMultilevel"/>
    <w:tmpl w:val="A0A45CD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8EF"/>
    <w:rsid w:val="00056CEC"/>
    <w:rsid w:val="000D62F3"/>
    <w:rsid w:val="002654E7"/>
    <w:rsid w:val="002D1B38"/>
    <w:rsid w:val="00302068"/>
    <w:rsid w:val="003B37FD"/>
    <w:rsid w:val="004868F1"/>
    <w:rsid w:val="007D0794"/>
    <w:rsid w:val="008769FA"/>
    <w:rsid w:val="00A171F3"/>
    <w:rsid w:val="00AB28EF"/>
    <w:rsid w:val="00AF04C5"/>
    <w:rsid w:val="00D94061"/>
    <w:rsid w:val="00E717AC"/>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8AE823-1609-4232-912E-63F304E11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2F3"/>
    <w:pPr>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A171F3"/>
    <w:pPr>
      <w:autoSpaceDE w:val="0"/>
      <w:autoSpaceDN w:val="0"/>
      <w:adjustRightInd w:val="0"/>
      <w:spacing w:after="0" w:line="240" w:lineRule="auto"/>
    </w:pPr>
    <w:rPr>
      <w:rFonts w:ascii="Calibri" w:hAnsi="Calibri" w:cs="Calibri"/>
      <w:color w:val="000000"/>
      <w:sz w:val="24"/>
      <w:szCs w:val="24"/>
    </w:rPr>
  </w:style>
  <w:style w:type="paragraph" w:styleId="Textodeglobo">
    <w:name w:val="Balloon Text"/>
    <w:basedOn w:val="Normal"/>
    <w:link w:val="TextodegloboCar"/>
    <w:uiPriority w:val="99"/>
    <w:semiHidden/>
    <w:unhideWhenUsed/>
    <w:rsid w:val="00A171F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71F3"/>
    <w:rPr>
      <w:rFonts w:ascii="Segoe UI" w:hAnsi="Segoe UI" w:cs="Segoe UI"/>
      <w:sz w:val="18"/>
      <w:szCs w:val="18"/>
    </w:rPr>
  </w:style>
  <w:style w:type="paragraph" w:styleId="Prrafodelista">
    <w:name w:val="List Paragraph"/>
    <w:basedOn w:val="Normal"/>
    <w:uiPriority w:val="34"/>
    <w:qFormat/>
    <w:rsid w:val="00AF04C5"/>
    <w:pPr>
      <w:spacing w:after="160" w:line="259" w:lineRule="auto"/>
      <w:ind w:left="720"/>
      <w:contextualSpacing/>
    </w:pPr>
  </w:style>
  <w:style w:type="paragraph" w:customStyle="1" w:styleId="xmsonormal">
    <w:name w:val="x_msonormal"/>
    <w:basedOn w:val="Normal"/>
    <w:rsid w:val="002D1B38"/>
    <w:pPr>
      <w:spacing w:before="100" w:beforeAutospacing="1" w:after="100" w:afterAutospacing="1"/>
    </w:pPr>
    <w:rPr>
      <w:rFonts w:ascii="Times New Roman" w:eastAsia="Times New Roman" w:hAnsi="Times New Roman" w:cs="Times New Roman"/>
      <w:sz w:val="24"/>
      <w:szCs w:val="24"/>
      <w:lang w:eastAsia="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56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1410</Words>
  <Characters>7761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Salas Calderon</dc:creator>
  <cp:keywords/>
  <dc:description/>
  <cp:lastModifiedBy>Saskia Salas Calderon</cp:lastModifiedBy>
  <cp:revision>3</cp:revision>
  <dcterms:created xsi:type="dcterms:W3CDTF">2023-02-22T13:07:00Z</dcterms:created>
  <dcterms:modified xsi:type="dcterms:W3CDTF">2023-02-22T15:07:00Z</dcterms:modified>
</cp:coreProperties>
</file>