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180" w:rsidRDefault="00FF6180">
      <w:pPr>
        <w:rPr>
          <w:b/>
          <w:sz w:val="28"/>
          <w:szCs w:val="28"/>
        </w:rPr>
      </w:pPr>
    </w:p>
    <w:p w:rsidR="00A67761" w:rsidRDefault="00A67761">
      <w:pPr>
        <w:rPr>
          <w:b/>
          <w:sz w:val="28"/>
          <w:szCs w:val="28"/>
        </w:rPr>
      </w:pPr>
    </w:p>
    <w:p w:rsidR="00881C45" w:rsidRPr="00E303BF" w:rsidRDefault="00F92625">
      <w:pPr>
        <w:rPr>
          <w:b/>
          <w:sz w:val="28"/>
          <w:szCs w:val="28"/>
        </w:rPr>
      </w:pPr>
      <w:r w:rsidRPr="00E303BF">
        <w:rPr>
          <w:b/>
          <w:sz w:val="28"/>
          <w:szCs w:val="28"/>
        </w:rPr>
        <w:t xml:space="preserve">Informe  </w:t>
      </w:r>
      <w:r w:rsidR="00820DA3" w:rsidRPr="00E303BF">
        <w:rPr>
          <w:b/>
          <w:sz w:val="28"/>
          <w:szCs w:val="28"/>
        </w:rPr>
        <w:t>de Seguimiento de Organizaciones de la Sociedad Civil</w:t>
      </w:r>
      <w:r w:rsidR="00741601" w:rsidRPr="00E303BF">
        <w:rPr>
          <w:b/>
          <w:sz w:val="28"/>
          <w:szCs w:val="28"/>
        </w:rPr>
        <w:t xml:space="preserve"> a las Observaciones Finales sobre el Segundo Informe Periódico presentado por el Estado de Honduras </w:t>
      </w:r>
      <w:r w:rsidRPr="00E303BF">
        <w:rPr>
          <w:b/>
          <w:sz w:val="28"/>
          <w:szCs w:val="28"/>
        </w:rPr>
        <w:t>an</w:t>
      </w:r>
      <w:r w:rsidR="00741601" w:rsidRPr="00E303BF">
        <w:rPr>
          <w:b/>
          <w:sz w:val="28"/>
          <w:szCs w:val="28"/>
        </w:rPr>
        <w:t xml:space="preserve">te el Comité de Derechos </w:t>
      </w:r>
      <w:r w:rsidR="001542A0">
        <w:rPr>
          <w:b/>
          <w:sz w:val="28"/>
          <w:szCs w:val="28"/>
        </w:rPr>
        <w:t>Humanos</w:t>
      </w:r>
      <w:r w:rsidRPr="00E303BF">
        <w:rPr>
          <w:b/>
          <w:sz w:val="28"/>
          <w:szCs w:val="28"/>
        </w:rPr>
        <w:t xml:space="preserve"> de la Organización de las </w:t>
      </w:r>
      <w:r w:rsidR="00741601" w:rsidRPr="00E303BF">
        <w:rPr>
          <w:b/>
          <w:sz w:val="28"/>
          <w:szCs w:val="28"/>
        </w:rPr>
        <w:t>Naciones Unidas</w:t>
      </w:r>
    </w:p>
    <w:p w:rsidR="00F92625" w:rsidRDefault="00F92625">
      <w:r>
        <w:t xml:space="preserve"> Las organizaciones de la sociedad civil que conformamos el Grupo Estratégico de la Píldora de Anti</w:t>
      </w:r>
      <w:r w:rsidR="00820DA3">
        <w:t>concepción de Emergencia (GE-PAE)</w:t>
      </w:r>
      <w:r>
        <w:rPr>
          <w:rStyle w:val="Refdenotaalpie"/>
        </w:rPr>
        <w:footnoteReference w:id="1"/>
      </w:r>
      <w:r w:rsidR="005C6320">
        <w:t xml:space="preserve"> </w:t>
      </w:r>
      <w:r w:rsidR="00820DA3">
        <w:t>de Honduras presentamos informe de seguimiento</w:t>
      </w:r>
      <w:r w:rsidR="00C56677">
        <w:rPr>
          <w:rStyle w:val="Refdenotaalpie"/>
        </w:rPr>
        <w:footnoteReference w:id="2"/>
      </w:r>
      <w:r w:rsidR="00820DA3">
        <w:t xml:space="preserve"> a la implementación por parte del Estado de Honduras de las Observaciones Finales </w:t>
      </w:r>
      <w:r w:rsidR="00741601">
        <w:t xml:space="preserve">específicamente </w:t>
      </w:r>
      <w:r w:rsidR="00C56677">
        <w:t xml:space="preserve">en relación a la píldora de anticoncepción de emergencia, </w:t>
      </w:r>
      <w:r w:rsidR="00820DA3">
        <w:t>emitidas p</w:t>
      </w:r>
      <w:r w:rsidR="00741601">
        <w:t xml:space="preserve">or el Comité de Derechos </w:t>
      </w:r>
      <w:r w:rsidR="001542A0">
        <w:t>Humanos</w:t>
      </w:r>
      <w:r w:rsidR="00741601">
        <w:t xml:space="preserve"> por presentación </w:t>
      </w:r>
      <w:r w:rsidR="00820DA3">
        <w:t xml:space="preserve">del segundo informe periódico, </w:t>
      </w:r>
      <w:r w:rsidR="001542A0" w:rsidRPr="001542A0">
        <w:t>CCPR/C/HND/CO/2</w:t>
      </w:r>
      <w:r w:rsidR="00C56677">
        <w:t>.</w:t>
      </w:r>
    </w:p>
    <w:p w:rsidR="00741601" w:rsidRDefault="005C22ED">
      <w:pPr>
        <w:rPr>
          <w:b/>
        </w:rPr>
      </w:pPr>
      <w:r>
        <w:t>El Comité, en sus Observacione</w:t>
      </w:r>
      <w:r w:rsidR="001542A0">
        <w:t>s Finales, en concreto en la N°16</w:t>
      </w:r>
      <w:r w:rsidR="00E45D72">
        <w:t xml:space="preserve"> </w:t>
      </w:r>
      <w:r w:rsidR="001542A0" w:rsidRPr="001542A0">
        <w:t xml:space="preserve">Interrupción voluntaria del embarazo y derechos reproductivos </w:t>
      </w:r>
      <w:r w:rsidR="00E303BF">
        <w:t xml:space="preserve">expresa su preocupación por </w:t>
      </w:r>
      <w:r w:rsidR="001542A0" w:rsidRPr="001542A0">
        <w:rPr>
          <w:b/>
        </w:rPr>
        <w:t>“la prohibición absoluta de anticonceptivos de emergencia, incluso en los casos de violación e incesto; y las altas tasas de embarazo adolescente no deseado (arts. 3, 6, 7, 17 y 26)”</w:t>
      </w:r>
      <w:r w:rsidR="00E303BF">
        <w:rPr>
          <w:color w:val="000000"/>
        </w:rPr>
        <w:t>y por lo tanto, recomienda al Estado de Honduras, en su Observación N°</w:t>
      </w:r>
      <w:r w:rsidR="001542A0">
        <w:rPr>
          <w:color w:val="000000"/>
        </w:rPr>
        <w:t>17 que “…</w:t>
      </w:r>
      <w:r w:rsidR="001542A0" w:rsidRPr="001542A0">
        <w:rPr>
          <w:b/>
          <w:color w:val="000000"/>
        </w:rPr>
        <w:t>debería eliminar la prohibición de la píldora anticonceptiva de emergencia. Debería también mantener estadísticas precisas sobre el impacto de las restricciones sobre el aborto y la píldora anticonceptiva de emergencia, sobre la vida y</w:t>
      </w:r>
      <w:r w:rsidR="007D28AD">
        <w:rPr>
          <w:b/>
          <w:color w:val="000000"/>
        </w:rPr>
        <w:t xml:space="preserve"> </w:t>
      </w:r>
      <w:r w:rsidR="001542A0" w:rsidRPr="001542A0">
        <w:rPr>
          <w:b/>
          <w:color w:val="000000"/>
        </w:rPr>
        <w:t>la salud de las mujeres y las niñas, y multiplicar los programas que aseguren el acceso pleno a la salud sexual y reproductiva, a los anticonceptivos y a la educación para sensibilizar a hombres y mujeres, y niños y niñas en todo el país.</w:t>
      </w:r>
      <w:r w:rsidR="00E303BF" w:rsidRPr="001542A0">
        <w:rPr>
          <w:b/>
        </w:rPr>
        <w:t>”.</w:t>
      </w:r>
    </w:p>
    <w:p w:rsidR="00FF6180" w:rsidRDefault="00FF6180"/>
    <w:p w:rsidR="0006458F" w:rsidRDefault="00CD1C8C">
      <w:r>
        <w:t>Este inform</w:t>
      </w:r>
      <w:r w:rsidR="006B79DF">
        <w:t>e de seguimiento hace mención del</w:t>
      </w:r>
      <w:r>
        <w:t xml:space="preserve"> incumplimiento</w:t>
      </w:r>
      <w:r w:rsidR="007E0E89">
        <w:t xml:space="preserve"> </w:t>
      </w:r>
      <w:r w:rsidR="006B79DF">
        <w:t>de parte del</w:t>
      </w:r>
      <w:r>
        <w:t xml:space="preserve"> Estado de Honduras </w:t>
      </w:r>
      <w:r w:rsidR="006B79DF">
        <w:t>frente a</w:t>
      </w:r>
      <w:r>
        <w:t xml:space="preserve"> las </w:t>
      </w:r>
      <w:r w:rsidR="00AC137A">
        <w:t xml:space="preserve">últimas </w:t>
      </w:r>
      <w:r>
        <w:t>Observaciones Finales</w:t>
      </w:r>
      <w:r w:rsidR="00AC137A">
        <w:t xml:space="preserve"> del Comité</w:t>
      </w:r>
      <w:r w:rsidR="006B79DF">
        <w:t xml:space="preserve"> en relación al acceso a la contracepción de emergencia</w:t>
      </w:r>
      <w:r w:rsidR="00AC137A">
        <w:t xml:space="preserve">. </w:t>
      </w:r>
    </w:p>
    <w:p w:rsidR="00FB53E5" w:rsidRDefault="00FB53E5" w:rsidP="00C23A73">
      <w:pPr>
        <w:rPr>
          <w:b/>
        </w:rPr>
      </w:pPr>
    </w:p>
    <w:p w:rsidR="00C23A73" w:rsidRPr="00C23A73" w:rsidRDefault="00C23A73" w:rsidP="00C23A73">
      <w:pPr>
        <w:rPr>
          <w:b/>
        </w:rPr>
      </w:pPr>
      <w:r w:rsidRPr="00C23A73">
        <w:rPr>
          <w:b/>
        </w:rPr>
        <w:t>Sobre la Píldora de Anticoncepción de Emergencia</w:t>
      </w:r>
    </w:p>
    <w:p w:rsidR="00C23A73" w:rsidRDefault="00C23A73" w:rsidP="00C23A73">
      <w:r>
        <w:t xml:space="preserve">Distintas organizaciones de la sociedad civil de Latinoamérica presentaron el </w:t>
      </w:r>
      <w:r w:rsidRPr="00C23A73">
        <w:t xml:space="preserve">Informe </w:t>
      </w:r>
      <w:r>
        <w:t>sobre el Acceso a la Anticoncepción de Emergencia en la Región.</w:t>
      </w:r>
      <w:r w:rsidR="007E0E89">
        <w:t xml:space="preserve"> </w:t>
      </w:r>
      <w:r>
        <w:t>Análisis de u</w:t>
      </w:r>
      <w:r w:rsidRPr="00C23A73">
        <w:t>na Tendenc</w:t>
      </w:r>
      <w:r>
        <w:t>ia Jurisprudencial Restrictiva e</w:t>
      </w:r>
      <w:r w:rsidRPr="00C23A73">
        <w:t xml:space="preserve">n </w:t>
      </w:r>
      <w:r>
        <w:t>Chile, Ecuador, Perú, Honduras y</w:t>
      </w:r>
      <w:r w:rsidRPr="00C23A73">
        <w:t xml:space="preserve"> Costa Rica</w:t>
      </w:r>
      <w:r>
        <w:t xml:space="preserve"> en </w:t>
      </w:r>
      <w:r w:rsidR="00715189">
        <w:t xml:space="preserve">Audiencia Pública del </w:t>
      </w:r>
      <w:r w:rsidRPr="00C23A73">
        <w:t>149 Periodo de Sesiones de la Comisión Inte</w:t>
      </w:r>
      <w:r>
        <w:t>ramericana de Derechos Humanos  (</w:t>
      </w:r>
      <w:r w:rsidRPr="00C23A73">
        <w:t>2013</w:t>
      </w:r>
      <w:r w:rsidR="00715189">
        <w:t xml:space="preserve">). En este informe se expusieron importantes consideraciones sobre la píldora de anticoncepción de emergencia, entre las cuales se encuentran las siguientes: </w:t>
      </w:r>
    </w:p>
    <w:p w:rsidR="00715189" w:rsidRDefault="00C23A73" w:rsidP="00C23A73">
      <w:r w:rsidRPr="00715189">
        <w:rPr>
          <w:i/>
        </w:rPr>
        <w:t>La anticoncepción oral de emergencia, es un método anticonceptivo hormonal. Sin embargo, este método anticonceptivo tiene una importancia fundamental en los servicios de salud reproductiva, pues es el único método que puede prevenir un embarazo después de una relación sexual desprotegida, cuando ha ocurrido una falla o un uso incorrecto del método anticonceptivo regular, o cuando una mujer ha sido violada. En esta medida, la PAE es especialmente necesaria en situaciones y lugares donde existe violencia sexual contra la mujer, ya que puede evitar un embarazo fruto de violación, lo que muchas veces conlleva a la realización de abortos inseguros y clandestinos, especialmente en estos países donde se criminaliza la interrupción de un embarazo producto de una violación sexual. Sin duda, la PAE hace parte del progreso científico hecho por la humanidad, en beneficio de la salud</w:t>
      </w:r>
      <w:r w:rsidR="00715189">
        <w:rPr>
          <w:i/>
        </w:rPr>
        <w:t>.</w:t>
      </w:r>
    </w:p>
    <w:p w:rsidR="00C23A73" w:rsidRPr="00C23A73" w:rsidRDefault="00715189" w:rsidP="00715189">
      <w:pPr>
        <w:spacing w:line="240" w:lineRule="auto"/>
        <w:contextualSpacing/>
      </w:pPr>
      <w:r>
        <w:t>Más adelante el Informe describe el mecanismo de acción de la anticoncepción de emergencia:</w:t>
      </w:r>
    </w:p>
    <w:p w:rsidR="00C23A73" w:rsidRPr="00715189" w:rsidRDefault="00C23A73" w:rsidP="00C23A73">
      <w:pPr>
        <w:rPr>
          <w:i/>
        </w:rPr>
      </w:pPr>
      <w:r w:rsidRPr="00715189">
        <w:rPr>
          <w:i/>
        </w:rPr>
        <w:t xml:space="preserve">Los mecanismos de acción de la PAE impiden el encuentro entre óvulo y espermatozoide, de </w:t>
      </w:r>
      <w:r w:rsidR="00715189" w:rsidRPr="00715189">
        <w:rPr>
          <w:i/>
        </w:rPr>
        <w:t>i</w:t>
      </w:r>
      <w:r w:rsidRPr="00715189">
        <w:rPr>
          <w:i/>
        </w:rPr>
        <w:t>gual forma que lo hacen otros métodos anticonceptivos mediante otros mecanismos (el condón, mediante la barrera “física”; la anticoncepción oral regular, inhibiendo regularmente la ovulación, etc.). La PAE interfiere con el proceso de la ovulación. Si se toma antes del inicio del alza pre-</w:t>
      </w:r>
      <w:proofErr w:type="spellStart"/>
      <w:r w:rsidRPr="00715189">
        <w:rPr>
          <w:i/>
        </w:rPr>
        <w:t>ovulatoria</w:t>
      </w:r>
      <w:proofErr w:type="spellEnd"/>
      <w:r w:rsidRPr="00715189">
        <w:rPr>
          <w:i/>
        </w:rPr>
        <w:t xml:space="preserve"> de la hormona </w:t>
      </w:r>
      <w:proofErr w:type="spellStart"/>
      <w:r w:rsidRPr="00715189">
        <w:rPr>
          <w:i/>
        </w:rPr>
        <w:t>luteinizante</w:t>
      </w:r>
      <w:proofErr w:type="spellEnd"/>
      <w:r w:rsidRPr="00715189">
        <w:rPr>
          <w:i/>
        </w:rPr>
        <w:t xml:space="preserve"> (LH), la PAE puede inhibir dicha alza, impidiendo así el desarrollo folicular y la maduración y/</w:t>
      </w:r>
      <w:r w:rsidR="00715189">
        <w:rPr>
          <w:i/>
        </w:rPr>
        <w:t>o liberación del óvulo (</w:t>
      </w:r>
      <w:proofErr w:type="spellStart"/>
      <w:r w:rsidR="00715189">
        <w:rPr>
          <w:i/>
        </w:rPr>
        <w:t>oocito</w:t>
      </w:r>
      <w:proofErr w:type="spellEnd"/>
      <w:r w:rsidR="00715189">
        <w:rPr>
          <w:i/>
        </w:rPr>
        <w:t>)</w:t>
      </w:r>
      <w:r w:rsidRPr="00715189">
        <w:rPr>
          <w:i/>
        </w:rPr>
        <w:t xml:space="preserve">. De acuerdo a la Organización Mundial de la Salud (OMS), la PAE de </w:t>
      </w:r>
      <w:proofErr w:type="spellStart"/>
      <w:r w:rsidRPr="00715189">
        <w:rPr>
          <w:i/>
        </w:rPr>
        <w:t>Levonorgestrel</w:t>
      </w:r>
      <w:proofErr w:type="spellEnd"/>
      <w:r w:rsidRPr="00715189">
        <w:rPr>
          <w:i/>
        </w:rPr>
        <w:t xml:space="preserve"> de 1.5 mg. es un anticonceptivo seguro para la salud de las mujeres. No puede interrumpir un embarazo en curso, ni dañar a un embrión en desarrollo. Como también lo establece claramente la OMS, la PAE no tiene la capacidad de impedir que un óvulo ya fertiliza</w:t>
      </w:r>
      <w:r w:rsidR="00715189">
        <w:rPr>
          <w:i/>
        </w:rPr>
        <w:t>do se implante en el endometrio</w:t>
      </w:r>
      <w:r w:rsidRPr="00715189">
        <w:rPr>
          <w:i/>
        </w:rPr>
        <w:t>. Es decir, la PAE no tiene efecto anti-</w:t>
      </w:r>
      <w:proofErr w:type="spellStart"/>
      <w:r w:rsidRPr="00715189">
        <w:rPr>
          <w:i/>
        </w:rPr>
        <w:t>implantatorio</w:t>
      </w:r>
      <w:proofErr w:type="spellEnd"/>
      <w:r w:rsidRPr="00715189">
        <w:rPr>
          <w:i/>
        </w:rPr>
        <w:t xml:space="preserve"> para los óvulos ya fertilizados, ni mucho menos es un mecanismo abortivo. El aborto es un proceso de interrupción del embarazo, y el embarazo sólo se inicia cuando el proceso de implantación en el útero de un</w:t>
      </w:r>
      <w:r w:rsidR="00715189">
        <w:rPr>
          <w:i/>
        </w:rPr>
        <w:t xml:space="preserve"> óvulo fertilizado ha culminado</w:t>
      </w:r>
      <w:r w:rsidRPr="00715189">
        <w:rPr>
          <w:i/>
        </w:rPr>
        <w:t xml:space="preserve">, lo </w:t>
      </w:r>
      <w:r w:rsidRPr="00715189">
        <w:rPr>
          <w:i/>
        </w:rPr>
        <w:lastRenderedPageBreak/>
        <w:t>que permite establecer la conexión biológica mediante la cual el cuerpo de la mujer sustentará y</w:t>
      </w:r>
      <w:r w:rsidR="007E0E89">
        <w:rPr>
          <w:i/>
        </w:rPr>
        <w:t xml:space="preserve"> </w:t>
      </w:r>
      <w:r w:rsidRPr="00715189">
        <w:rPr>
          <w:i/>
        </w:rPr>
        <w:t>desarrollará el embrión en un feto, y más adelante, en una persona. Ya que la PAE tampoco tiene un efecto sobre aquellos óvulos fertilizados ya implantados, su efecto no puede ser equiparable a un aborto. Es por ello que la OMS incluye la PAE en la guía Criterios Médicos de Elegibilidad</w:t>
      </w:r>
      <w:r w:rsidR="00715189">
        <w:rPr>
          <w:i/>
        </w:rPr>
        <w:t xml:space="preserve"> para el Uso de Anticonceptivos</w:t>
      </w:r>
      <w:r w:rsidRPr="00715189">
        <w:rPr>
          <w:i/>
        </w:rPr>
        <w:t>, y aún más importante, la incluye en la L</w:t>
      </w:r>
      <w:r w:rsidR="00715189">
        <w:rPr>
          <w:i/>
        </w:rPr>
        <w:t>ista de Medicamentos Esenciales</w:t>
      </w:r>
      <w:r w:rsidRPr="00715189">
        <w:rPr>
          <w:i/>
        </w:rPr>
        <w:t xml:space="preserve"> que todo sistema público de salud debe ofrecer.</w:t>
      </w:r>
    </w:p>
    <w:p w:rsidR="00FB53E5" w:rsidRDefault="00FB53E5">
      <w:pPr>
        <w:rPr>
          <w:b/>
        </w:rPr>
      </w:pPr>
    </w:p>
    <w:p w:rsidR="00074BC6" w:rsidRPr="0006458F" w:rsidRDefault="0006458F">
      <w:r w:rsidRPr="0006458F">
        <w:rPr>
          <w:b/>
        </w:rPr>
        <w:t>La Ruta de la Prohibición de la</w:t>
      </w:r>
      <w:r w:rsidR="007E0E89">
        <w:rPr>
          <w:b/>
        </w:rPr>
        <w:t xml:space="preserve"> </w:t>
      </w:r>
      <w:r w:rsidR="00074BC6" w:rsidRPr="00074BC6">
        <w:rPr>
          <w:b/>
        </w:rPr>
        <w:t>Píldora de Anti Concepción de Emergencia en Honduras</w:t>
      </w:r>
    </w:p>
    <w:p w:rsidR="00074BC6" w:rsidRDefault="00762D88">
      <w:r w:rsidRPr="00074BC6">
        <w:rPr>
          <w:b/>
        </w:rPr>
        <w:t>1999</w:t>
      </w:r>
      <w:r w:rsidR="00074BC6">
        <w:t>: En este</w:t>
      </w:r>
      <w:r>
        <w:t xml:space="preserve"> la Secretaría de Salud Pública de Honduras aprobó las Normas de Atención Integral a la Mujer</w:t>
      </w:r>
      <w:r w:rsidR="00074BC6">
        <w:t xml:space="preserve"> e incluye la distribución y suministro a usuarias de las píldoras de anti concepción de emergencia.</w:t>
      </w:r>
      <w:r w:rsidR="00185233">
        <w:t xml:space="preserve"> Además de las necesidades de la población meta de las Normas, la PAE es incluida en las políticas públicas de salud bajo la certeza científica de expertos en esta área que al tomar en cuenta la penalización total del aborto en Honduras consideran </w:t>
      </w:r>
      <w:r w:rsidR="007D5A0C">
        <w:t xml:space="preserve">básico ofrecer una alternativa </w:t>
      </w:r>
      <w:r w:rsidR="00185233">
        <w:t>en la prevención de embarazos no deseados.</w:t>
      </w:r>
    </w:p>
    <w:p w:rsidR="00762D88" w:rsidRDefault="00762D88">
      <w:r w:rsidRPr="00074BC6">
        <w:rPr>
          <w:b/>
        </w:rPr>
        <w:t>2003</w:t>
      </w:r>
      <w:r w:rsidR="00074BC6">
        <w:t>: la Secretaría de Salud Pública aprueba</w:t>
      </w:r>
      <w:r>
        <w:t xml:space="preserve"> las Normas de Atención Integral a los y las Adolescentes</w:t>
      </w:r>
      <w:r w:rsidR="00074BC6">
        <w:t xml:space="preserve"> entre las cuales se encuentra la utilización de la </w:t>
      </w:r>
      <w:r>
        <w:t xml:space="preserve">píldora de anti concepción de emergencia para </w:t>
      </w:r>
      <w:r w:rsidR="00074BC6">
        <w:t>adolescentes. Esta normativa es una estrategia desde el Estado</w:t>
      </w:r>
      <w:r w:rsidR="007D5A0C">
        <w:t xml:space="preserve"> diseñada, entre otras razones, por</w:t>
      </w:r>
      <w:r w:rsidR="00074BC6">
        <w:t xml:space="preserve"> el alto índice de embarazos en niñas y adolescentes causados en un importante porcentaje por actos de violencia sexual.</w:t>
      </w:r>
    </w:p>
    <w:p w:rsidR="00074BC6" w:rsidRDefault="00074BC6">
      <w:r w:rsidRPr="00074BC6">
        <w:rPr>
          <w:b/>
        </w:rPr>
        <w:t>2005:</w:t>
      </w:r>
      <w:r>
        <w:t xml:space="preserve"> Grupos </w:t>
      </w:r>
      <w:r w:rsidR="001F1925">
        <w:t>religiosos conservadores</w:t>
      </w:r>
      <w:r>
        <w:t xml:space="preserve"> representados por el Opus Dei,  piden a la Fiscalía Especial de la Niñez y Adolescencia del Ministerio Público que se investigue sobre la distribución y uso de las PAE porque consideran</w:t>
      </w:r>
      <w:r w:rsidR="00185233">
        <w:t xml:space="preserve"> que</w:t>
      </w:r>
      <w:r>
        <w:t xml:space="preserve"> este mecanismo de prevención de un embarazo</w:t>
      </w:r>
      <w:r w:rsidR="00185233">
        <w:t xml:space="preserve"> es abortivo. El expediente </w:t>
      </w:r>
      <w:r w:rsidR="007D5A0C">
        <w:t xml:space="preserve">formado a raíz de esta petición </w:t>
      </w:r>
      <w:r w:rsidR="00185233">
        <w:t>es remitido a</w:t>
      </w:r>
      <w:r>
        <w:t xml:space="preserve"> la Dirección General de Medicina Forense </w:t>
      </w:r>
      <w:r w:rsidR="00185233">
        <w:t xml:space="preserve">que </w:t>
      </w:r>
      <w:r>
        <w:t>emi</w:t>
      </w:r>
      <w:r w:rsidR="00185233">
        <w:t xml:space="preserve">te </w:t>
      </w:r>
      <w:r w:rsidR="007D5A0C">
        <w:t xml:space="preserve">dictamen </w:t>
      </w:r>
      <w:r w:rsidR="00185233">
        <w:t>a favor de considerar a las PAE con efectos abortivos.</w:t>
      </w:r>
      <w:r w:rsidR="007E0E89">
        <w:t xml:space="preserve"> </w:t>
      </w:r>
      <w:r w:rsidR="00185233">
        <w:t>L</w:t>
      </w:r>
      <w:r>
        <w:t xml:space="preserve">a Fiscalía Especial responsable </w:t>
      </w:r>
      <w:r w:rsidR="00185233">
        <w:t xml:space="preserve">de este expediente </w:t>
      </w:r>
      <w:r>
        <w:t xml:space="preserve">no continuó con un proceso que </w:t>
      </w:r>
      <w:r w:rsidR="00185233">
        <w:t xml:space="preserve">después de un mínimo de 5 años sin accionar y </w:t>
      </w:r>
      <w:r>
        <w:t>de ac</w:t>
      </w:r>
      <w:r w:rsidR="00185233">
        <w:t>uerdo al proceso penal hondureño</w:t>
      </w:r>
      <w:r>
        <w:t xml:space="preserve"> se encuentra caducado o cerrado.</w:t>
      </w:r>
    </w:p>
    <w:p w:rsidR="00185233" w:rsidRDefault="001F1925">
      <w:r>
        <w:rPr>
          <w:b/>
        </w:rPr>
        <w:t>2009</w:t>
      </w:r>
      <w:r w:rsidR="007D5A0C" w:rsidRPr="001F1925">
        <w:rPr>
          <w:b/>
        </w:rPr>
        <w:t>:</w:t>
      </w:r>
      <w:r w:rsidR="007E0E89">
        <w:rPr>
          <w:b/>
        </w:rPr>
        <w:t xml:space="preserve"> </w:t>
      </w:r>
      <w:r>
        <w:t>Ante los resultados anteriores, diputadas del Cong</w:t>
      </w:r>
      <w:r w:rsidR="00D653A5">
        <w:t>reso Nacional movidas</w:t>
      </w:r>
      <w:r w:rsidR="00BA1C16">
        <w:t xml:space="preserve"> por </w:t>
      </w:r>
      <w:r>
        <w:t>convicciones religiosas, logran que se apruebe el Decreto N°54-2009 prohibiendo la promoción, distribución</w:t>
      </w:r>
      <w:r w:rsidR="00BA1C16">
        <w:t>, venta</w:t>
      </w:r>
      <w:r>
        <w:t xml:space="preserve"> y uso de la anti concepción de emergencia. Además de la prohibición establecen una pena equivalente a la del delito de aborto para la contravención a estas disposiciones. </w:t>
      </w:r>
    </w:p>
    <w:p w:rsidR="00FF6180" w:rsidRDefault="001F1925">
      <w:r w:rsidRPr="001F1925">
        <w:rPr>
          <w:b/>
        </w:rPr>
        <w:t>2009:</w:t>
      </w:r>
      <w:r>
        <w:t xml:space="preserve"> El Decreto N°54-2009 es vetado por la presidencia de la república</w:t>
      </w:r>
      <w:r w:rsidR="00BA1C16">
        <w:t xml:space="preserve"> por considerarlo inconstitucional. Este veto presidencial, entre distintas razones de índole jurídico, expone que la prohibición contraviene garantías fundamentales establecidas en la Constitución de </w:t>
      </w:r>
    </w:p>
    <w:p w:rsidR="00FF6180" w:rsidRDefault="00FF6180"/>
    <w:p w:rsidR="00973F4D" w:rsidRDefault="00BA1C16">
      <w:r>
        <w:t>Honduras</w:t>
      </w:r>
      <w:r w:rsidR="007E6CCD">
        <w:t xml:space="preserve"> como el principio a la igualdad y no discriminación, el derecho a la intimidad personal, a la libertad de conciencia y religión sin preeminencias y el derecho a la salud. </w:t>
      </w:r>
    </w:p>
    <w:p w:rsidR="001F1925" w:rsidRDefault="00973F4D" w:rsidP="00973F4D">
      <w:r>
        <w:t xml:space="preserve">La exposición del veto presidencial </w:t>
      </w:r>
      <w:r w:rsidR="007E6CCD">
        <w:t xml:space="preserve">suma a estas garantías el hecho de que la Constitución hondureña establece que </w:t>
      </w:r>
      <w:r w:rsidR="004F6D57">
        <w:t xml:space="preserve">los convenios </w:t>
      </w:r>
      <w:r w:rsidR="007E6CCD">
        <w:t>internacionales suscri</w:t>
      </w:r>
      <w:r w:rsidR="004F6D57">
        <w:t>tos forman parte de su derecho interno</w:t>
      </w:r>
      <w:r w:rsidR="007E6CCD">
        <w:t xml:space="preserve"> y que en caso de conflicto</w:t>
      </w:r>
      <w:r w:rsidR="004F6D57">
        <w:t xml:space="preserve">, prevalecerán los primeros. </w:t>
      </w:r>
      <w:r w:rsidR="004F6D57">
        <w:rPr>
          <w:rStyle w:val="Refdenotaalpie"/>
        </w:rPr>
        <w:footnoteReference w:id="3"/>
      </w:r>
      <w:r w:rsidR="004F6D57">
        <w:t xml:space="preserve"> En este sentido, </w:t>
      </w:r>
      <w:r w:rsidR="00AF646F">
        <w:t xml:space="preserve">recuerda el veto presidencial, </w:t>
      </w:r>
      <w:r w:rsidR="004F6D57">
        <w:t>el Comité para la Eliminación de la Discriminación contra la Mujer</w:t>
      </w:r>
      <w:r>
        <w:t>, en sus Observaciones Finales al Estado de Honduras</w:t>
      </w:r>
      <w:r>
        <w:rPr>
          <w:rStyle w:val="Refdenotaalpie"/>
        </w:rPr>
        <w:footnoteReference w:id="4"/>
      </w:r>
      <w:r>
        <w:t xml:space="preserve"> (2007)</w:t>
      </w:r>
      <w:r w:rsidR="00D653A5">
        <w:t xml:space="preserve">, exhorta </w:t>
      </w:r>
      <w:r>
        <w:t>a “</w:t>
      </w:r>
      <w:r w:rsidRPr="00AF646F">
        <w:rPr>
          <w:i/>
        </w:rPr>
        <w:t xml:space="preserve">que </w:t>
      </w:r>
      <w:r w:rsidR="00AF646F">
        <w:rPr>
          <w:i/>
        </w:rPr>
        <w:t>m</w:t>
      </w:r>
      <w:r w:rsidRPr="00AF646F">
        <w:rPr>
          <w:i/>
        </w:rPr>
        <w:t>ejore la información sobre la planificación de la familia y los servicios conexos para las mujeres y las niñas, en particular en materia de salud reproductiva y métodos anticonceptivos asequibles, y a que amplíe los cursos de educación sexual focalizados en los niños de ambos sexos, con especial hincapié en la prevención del embarazo en la adolescencia. El Comité insta al Estado Parte a garantizar que sus políticas y decisiones públicas estén de conformidad con su Constitución, que establece el carácter laico del Estado”</w:t>
      </w:r>
      <w:r>
        <w:t>.</w:t>
      </w:r>
    </w:p>
    <w:p w:rsidR="00AF646F" w:rsidRDefault="00AF646F" w:rsidP="00973F4D">
      <w:r>
        <w:t>A la cita anterior se suman disposiciones como las que incluyen la Convención Internacional sobre los Derechos del Niño</w:t>
      </w:r>
      <w:r>
        <w:rPr>
          <w:rStyle w:val="Refdenotaalpie"/>
        </w:rPr>
        <w:footnoteReference w:id="5"/>
      </w:r>
      <w:r>
        <w:t>, las Observaciones Finales del Comité de Derechos Económico</w:t>
      </w:r>
      <w:r w:rsidR="008E7C21">
        <w:t xml:space="preserve">s, Sociales y Culturales (2001) </w:t>
      </w:r>
      <w:r w:rsidR="00267D3F">
        <w:rPr>
          <w:rStyle w:val="Refdenotaalpie"/>
        </w:rPr>
        <w:footnoteReference w:id="6"/>
      </w:r>
      <w:r w:rsidR="008E7C21">
        <w:t>y</w:t>
      </w:r>
      <w:r>
        <w:t xml:space="preserve"> las Observaciones Finales del Comité de Derechos Humanos (2006)</w:t>
      </w:r>
      <w:r w:rsidR="008E7C21">
        <w:rPr>
          <w:rStyle w:val="Refdenotaalpie"/>
        </w:rPr>
        <w:footnoteReference w:id="7"/>
      </w:r>
      <w:r w:rsidR="008E7C21">
        <w:t>. Estas últimas Observaciones piden al Estado “…</w:t>
      </w:r>
      <w:r w:rsidR="008E7C21" w:rsidRPr="008E7C21">
        <w:rPr>
          <w:i/>
        </w:rPr>
        <w:t>modificar su legislación de forma que se ayude a las mujeres a evitar embarazos no deseados y que éstas no tengan que recurrir a abortos clandestinos que podrían poner en peligro sus vidas</w:t>
      </w:r>
      <w:r w:rsidR="008E7C21">
        <w:t>”</w:t>
      </w:r>
      <w:r w:rsidR="008E7C21" w:rsidRPr="00457002">
        <w:rPr>
          <w:rStyle w:val="Refdenotaalpie"/>
        </w:rPr>
        <w:footnoteReference w:id="8"/>
      </w:r>
      <w:r w:rsidR="008E7C21" w:rsidRPr="008E7C21">
        <w:t>.</w:t>
      </w:r>
    </w:p>
    <w:p w:rsidR="008E7C21" w:rsidRDefault="00D653A5" w:rsidP="00973F4D">
      <w:r>
        <w:lastRenderedPageBreak/>
        <w:t>A los fundamentos estrictamente</w:t>
      </w:r>
      <w:r w:rsidR="00DD7B1B">
        <w:t xml:space="preserve"> jurídico</w:t>
      </w:r>
      <w:r>
        <w:t>s</w:t>
      </w:r>
      <w:r w:rsidR="001E6594">
        <w:t xml:space="preserve"> </w:t>
      </w:r>
      <w:r w:rsidR="00DD7B1B">
        <w:t>se une la opinión</w:t>
      </w:r>
      <w:r w:rsidR="00B74175">
        <w:t xml:space="preserve"> emitida por el Comisionado Nacional de los Derechos Humanos (Ombudsman) </w:t>
      </w:r>
      <w:r w:rsidR="00DD7B1B">
        <w:t xml:space="preserve">advirtiendo </w:t>
      </w:r>
      <w:r w:rsidR="00B74175">
        <w:t>a la presidencia del poder ejecutivo de que la sanción (aprobación) del</w:t>
      </w:r>
      <w:r w:rsidR="00DD7B1B">
        <w:t xml:space="preserve"> Decreto 54-2009, “</w:t>
      </w:r>
      <w:r w:rsidR="00DD7B1B" w:rsidRPr="00DD7B1B">
        <w:rPr>
          <w:i/>
        </w:rPr>
        <w:t>constituiría una clara violación al Estado laico y a los derechos humanos de las mujeres y las adolescentes reconocidos en tratados y convenios internacionales…”</w:t>
      </w:r>
      <w:r w:rsidR="00DD7B1B">
        <w:t xml:space="preserve">. </w:t>
      </w:r>
    </w:p>
    <w:p w:rsidR="00DD7B1B" w:rsidRDefault="00DD7B1B" w:rsidP="00973F4D">
      <w:r w:rsidRPr="00DD7B1B">
        <w:rPr>
          <w:b/>
        </w:rPr>
        <w:t>2009</w:t>
      </w:r>
      <w:r>
        <w:rPr>
          <w:b/>
        </w:rPr>
        <w:t xml:space="preserve">: </w:t>
      </w:r>
      <w:r>
        <w:t>El 28 de jun</w:t>
      </w:r>
      <w:r w:rsidR="005E2A24">
        <w:t xml:space="preserve">io del 2009 se </w:t>
      </w:r>
      <w:r w:rsidR="00D94291">
        <w:t>produjo una ruptura del orden constitucional</w:t>
      </w:r>
      <w:r w:rsidR="00013C05">
        <w:t xml:space="preserve"> </w:t>
      </w:r>
      <w:r w:rsidR="00D653A5">
        <w:t>en Honduras</w:t>
      </w:r>
      <w:r w:rsidR="005E2A24">
        <w:t xml:space="preserve"> mediante un golpe de Estado</w:t>
      </w:r>
      <w:r w:rsidR="00D94291">
        <w:t xml:space="preserve"> reconocido como tal por la Comisión Interamericana de Derechos Humanos</w:t>
      </w:r>
      <w:r w:rsidR="00D94291">
        <w:rPr>
          <w:rStyle w:val="Refdenotaalpie"/>
        </w:rPr>
        <w:footnoteReference w:id="9"/>
      </w:r>
      <w:r w:rsidR="00D94291">
        <w:t xml:space="preserve">. </w:t>
      </w:r>
    </w:p>
    <w:p w:rsidR="00D94291" w:rsidRDefault="00D94291" w:rsidP="00973F4D">
      <w:r w:rsidRPr="00D94291">
        <w:rPr>
          <w:b/>
        </w:rPr>
        <w:t>2009:</w:t>
      </w:r>
      <w:r>
        <w:t xml:space="preserve"> En el contexto de un gobierno </w:t>
      </w:r>
      <w:r w:rsidRPr="00D94291">
        <w:rPr>
          <w:i/>
        </w:rPr>
        <w:t>de facto</w:t>
      </w:r>
      <w:r>
        <w:rPr>
          <w:i/>
        </w:rPr>
        <w:t xml:space="preserve">, </w:t>
      </w:r>
      <w:r>
        <w:t>de graves violaciones a los derechos humanos</w:t>
      </w:r>
      <w:r>
        <w:rPr>
          <w:rStyle w:val="Refdenotaalpie"/>
        </w:rPr>
        <w:footnoteReference w:id="10"/>
      </w:r>
      <w:r w:rsidR="00761879">
        <w:t xml:space="preserve"> y del ascenso a la administración pública</w:t>
      </w:r>
      <w:r>
        <w:t xml:space="preserve"> de funcionarios ligados a grupos religiosos fundamentalistas, la Secretaría de Salud Pública, emite y publica el 20 de Octubre del 2009, el Acuerdo </w:t>
      </w:r>
      <w:r w:rsidR="007E0E89">
        <w:t xml:space="preserve">Ministerial </w:t>
      </w:r>
      <w:r>
        <w:t>N°</w:t>
      </w:r>
      <w:r w:rsidR="00761879">
        <w:t>2744</w:t>
      </w:r>
      <w:r w:rsidR="0053179C">
        <w:rPr>
          <w:rStyle w:val="Refdenotaalpie"/>
        </w:rPr>
        <w:footnoteReference w:id="11"/>
      </w:r>
      <w:r w:rsidR="00C25C41">
        <w:t xml:space="preserve"> que ordena “</w:t>
      </w:r>
      <w:r w:rsidR="00C25C41">
        <w:rPr>
          <w:i/>
        </w:rPr>
        <w:t xml:space="preserve">prohibir la promoción, el uso, venta y compra relacionada con la Píldora de Anti concepción de Emergencia” </w:t>
      </w:r>
      <w:r w:rsidR="00C25C41">
        <w:t xml:space="preserve">así como su distribución y comercialización. </w:t>
      </w:r>
    </w:p>
    <w:p w:rsidR="00BF58F3" w:rsidRDefault="00BF58F3" w:rsidP="00973F4D">
      <w:r w:rsidRPr="00BF58F3">
        <w:rPr>
          <w:b/>
        </w:rPr>
        <w:t>2009:</w:t>
      </w:r>
      <w:r>
        <w:t xml:space="preserve"> El 30 de Diciembre, la Comisión Interamericana de Derechos Humanos emite el Informe “Honduras: Derechos Humanos y Golpe de Estado”</w:t>
      </w:r>
      <w:r>
        <w:rPr>
          <w:rStyle w:val="Refdenotaalpie"/>
        </w:rPr>
        <w:footnoteReference w:id="12"/>
      </w:r>
      <w:r>
        <w:t xml:space="preserve"> . En el Capítulo V sobre Violaciones a los Derechos Humanos, literal G Derechos de las Mujeres, numeral 527, se constata haber recibido información sobre “…</w:t>
      </w:r>
      <w:r w:rsidRPr="00BF58F3">
        <w:rPr>
          <w:i/>
        </w:rPr>
        <w:t>fuertes retrocesos en  materias tales como derechos reproductivos y salud materna</w:t>
      </w:r>
      <w:r>
        <w:t>”.</w:t>
      </w:r>
    </w:p>
    <w:p w:rsidR="0006458F" w:rsidRDefault="00E35E26" w:rsidP="00973F4D">
      <w:r w:rsidRPr="00E35E26">
        <w:rPr>
          <w:b/>
        </w:rPr>
        <w:t>2011</w:t>
      </w:r>
      <w:r w:rsidR="00C25C41" w:rsidRPr="00E35E26">
        <w:rPr>
          <w:b/>
        </w:rPr>
        <w:t>:</w:t>
      </w:r>
      <w:r w:rsidR="00EF32BE">
        <w:rPr>
          <w:b/>
        </w:rPr>
        <w:t xml:space="preserve"> </w:t>
      </w:r>
      <w:r>
        <w:t>El Centro de Derechos de Mujeres</w:t>
      </w:r>
      <w:r>
        <w:rPr>
          <w:rStyle w:val="Refdenotaalpie"/>
        </w:rPr>
        <w:footnoteReference w:id="13"/>
      </w:r>
      <w:r>
        <w:t xml:space="preserve"> presentó el “Informe ante</w:t>
      </w:r>
      <w:r w:rsidR="00BF58F3">
        <w:t xml:space="preserve"> la</w:t>
      </w:r>
      <w:r>
        <w:t xml:space="preserve"> Comisión Interamericana de Derechos Humanos sobre la Prohibición de la Píldora de Anticoncepción de Emergencia como Consecuencia del Golpe Militar. Enero 2011.”</w:t>
      </w:r>
    </w:p>
    <w:p w:rsidR="003E0DB9" w:rsidRDefault="003E0DB9" w:rsidP="00973F4D">
      <w:r>
        <w:rPr>
          <w:b/>
        </w:rPr>
        <w:t xml:space="preserve">2012: </w:t>
      </w:r>
      <w:r>
        <w:t>L</w:t>
      </w:r>
      <w:r w:rsidRPr="003E0DB9">
        <w:t>a C</w:t>
      </w:r>
      <w:r>
        <w:t xml:space="preserve">orte </w:t>
      </w:r>
      <w:r w:rsidRPr="003E0DB9">
        <w:t>S</w:t>
      </w:r>
      <w:r>
        <w:t xml:space="preserve">uprema de </w:t>
      </w:r>
      <w:r w:rsidRPr="003E0DB9">
        <w:t>J</w:t>
      </w:r>
      <w:r>
        <w:t>usticia, después de 3 años emite su opinión no vinculante, dirigida al Congreso Nacional, en la que es del criterio que el Decreto 54-2009 no viola ningún derecho humano</w:t>
      </w:r>
      <w:r w:rsidR="00A67761">
        <w:rPr>
          <w:rStyle w:val="Refdenotaalpie"/>
        </w:rPr>
        <w:footnoteReference w:id="14"/>
      </w:r>
      <w:r w:rsidR="00A67761">
        <w:t>.</w:t>
      </w:r>
    </w:p>
    <w:p w:rsidR="003E0DB9" w:rsidRDefault="003E0DB9" w:rsidP="00973F4D">
      <w:r>
        <w:rPr>
          <w:b/>
        </w:rPr>
        <w:t xml:space="preserve">2014: </w:t>
      </w:r>
      <w:r>
        <w:t>El diputado doctor Antonio Leva Bulnes introduce al Congreso Nacional un proyecto para Le</w:t>
      </w:r>
      <w:r w:rsidR="00821194">
        <w:t xml:space="preserve">y para suspender la </w:t>
      </w:r>
      <w:r w:rsidRPr="003E0DB9">
        <w:t>prohibición</w:t>
      </w:r>
      <w:r w:rsidR="00821194">
        <w:t xml:space="preserve"> de la promoción y el uso de la anticoncepción de </w:t>
      </w:r>
      <w:r w:rsidR="00821194">
        <w:lastRenderedPageBreak/>
        <w:t>emergencia. El proyecto fue derivado a la Comisión de Salud del Congreso Nacional</w:t>
      </w:r>
      <w:r w:rsidRPr="003E0DB9">
        <w:t xml:space="preserve">, </w:t>
      </w:r>
      <w:r w:rsidR="00821194">
        <w:t>quien nunca emitió dictamen</w:t>
      </w:r>
      <w:r w:rsidR="00821194">
        <w:rPr>
          <w:rStyle w:val="Refdenotaalpie"/>
        </w:rPr>
        <w:footnoteReference w:id="15"/>
      </w:r>
      <w:r w:rsidR="00821194">
        <w:t xml:space="preserve">. </w:t>
      </w:r>
    </w:p>
    <w:p w:rsidR="007D28AD" w:rsidRPr="007D28AD" w:rsidRDefault="007D28AD" w:rsidP="007D28AD">
      <w:r>
        <w:rPr>
          <w:b/>
        </w:rPr>
        <w:t>201</w:t>
      </w:r>
      <w:r>
        <w:rPr>
          <w:b/>
        </w:rPr>
        <w:t>6</w:t>
      </w:r>
      <w:r>
        <w:rPr>
          <w:b/>
        </w:rPr>
        <w:t>:</w:t>
      </w:r>
      <w:r>
        <w:rPr>
          <w:b/>
        </w:rPr>
        <w:t xml:space="preserve"> </w:t>
      </w:r>
      <w:r>
        <w:t xml:space="preserve">La Secretaría de Salud </w:t>
      </w:r>
      <w:r w:rsidRPr="007D28AD">
        <w:t xml:space="preserve">constituyó el Comité de Apoyo Técnico Multidisciplinario integrado por expertos en la temática, quienes elaboraron </w:t>
      </w:r>
      <w:r w:rsidRPr="007D28AD">
        <w:t>Protocolo de atención integral a víctimas/sobrevivientes de violencia sexual para el primer nivel de atención</w:t>
      </w:r>
      <w:r>
        <w:t xml:space="preserve">, con el fin de </w:t>
      </w:r>
      <w:r w:rsidRPr="007D28AD">
        <w:t xml:space="preserve">  estandarizar y orientar la atención de las víctimas y sobrevivientes de violencia sexual por parte de los proveedores de servicios  de salud públicos y no públicos</w:t>
      </w:r>
      <w:r>
        <w:t>. Este Comité incluyó la prevención del embarazo como parte del protocolo y lo entregó a las autoridades de la Secretaría de Salud en octubre de 2017.</w:t>
      </w:r>
    </w:p>
    <w:p w:rsidR="007D28AD" w:rsidRPr="007D28AD" w:rsidRDefault="007D28AD" w:rsidP="007D28AD">
      <w:r>
        <w:rPr>
          <w:b/>
        </w:rPr>
        <w:t>201</w:t>
      </w:r>
      <w:r>
        <w:rPr>
          <w:b/>
        </w:rPr>
        <w:t>8</w:t>
      </w:r>
      <w:r>
        <w:rPr>
          <w:b/>
        </w:rPr>
        <w:t>:</w:t>
      </w:r>
      <w:r>
        <w:rPr>
          <w:b/>
        </w:rPr>
        <w:t xml:space="preserve"> </w:t>
      </w:r>
      <w:r>
        <w:t xml:space="preserve">Al momento de elaborar este informe, la Secretaría de Salud no ha aprobado dicho protocolo y </w:t>
      </w:r>
      <w:r w:rsidR="00FB53E5">
        <w:t>mediante oficio 053-DGN-SS-2018 dirigido al Comité de Apoyo Técnico, las autoridades indicaron que son del criterio que el lineamiento sobre prevención de embarazo debe ser eliminado del mismo.</w:t>
      </w:r>
    </w:p>
    <w:p w:rsidR="00FB53E5" w:rsidRDefault="00FB53E5" w:rsidP="00973F4D">
      <w:pPr>
        <w:rPr>
          <w:b/>
        </w:rPr>
      </w:pPr>
    </w:p>
    <w:p w:rsidR="00C25C41" w:rsidRPr="00FC6747" w:rsidRDefault="0006458F" w:rsidP="00973F4D">
      <w:pPr>
        <w:rPr>
          <w:b/>
        </w:rPr>
      </w:pPr>
      <w:r w:rsidRPr="00FC6747">
        <w:rPr>
          <w:b/>
        </w:rPr>
        <w:t>Consecuencias de la Prohibición de la Píldora de Anticoncepción de Emergencia</w:t>
      </w:r>
    </w:p>
    <w:p w:rsidR="00FC6747" w:rsidRDefault="00FC6747" w:rsidP="00A41241">
      <w:r>
        <w:t xml:space="preserve">La negativa y pasividad de parte del Estado de Honduras para derogar un acto administrativo emitido ilegalmente dentro del contexto de un gobierno </w:t>
      </w:r>
      <w:r w:rsidRPr="00FC6747">
        <w:rPr>
          <w:i/>
        </w:rPr>
        <w:t>de facto</w:t>
      </w:r>
      <w:r>
        <w:t xml:space="preserve">  y que lesiona el acceso a derechos sexuales y reproductivos, continúa manifestándose en su impacto sobre las vidas de miles de jóvenes, con especial afectación en las niñas y mujeres.</w:t>
      </w:r>
    </w:p>
    <w:p w:rsidR="00F92625" w:rsidRDefault="00A41241" w:rsidP="00A41241">
      <w:r>
        <w:t xml:space="preserve">En la </w:t>
      </w:r>
      <w:r w:rsidR="00957C06">
        <w:t>Estrategia Nacional para la Prevención del Embarazo de Adolescentes</w:t>
      </w:r>
      <w:r w:rsidR="00957C06">
        <w:rPr>
          <w:rStyle w:val="Refdenotaalpie"/>
        </w:rPr>
        <w:footnoteReference w:id="16"/>
      </w:r>
      <w:r w:rsidR="00957C06">
        <w:t xml:space="preserve"> (2012)</w:t>
      </w:r>
      <w:r>
        <w:t xml:space="preserve"> de la Secretaría de Salud de Honduras se establece que Honduras es el </w:t>
      </w:r>
      <w:r w:rsidRPr="00A41241">
        <w:rPr>
          <w:i/>
        </w:rPr>
        <w:t>segundo país de Latinoamérica con mayor fecundidad entre adolescentes, con una tasa de 102 por 100,000 nacidos vivos</w:t>
      </w:r>
      <w:r>
        <w:t xml:space="preserve">  y resalta </w:t>
      </w:r>
      <w:r w:rsidRPr="00A41241">
        <w:rPr>
          <w:i/>
        </w:rPr>
        <w:t>que el embarazo en el grupo de 10 - 14 años merece especial atención, mientras menor es la edad de las niñas que han tenido relaciones sexuales, mayor es la probabilidad de que se hayan enfrentado a una relación sexual obligada</w:t>
      </w:r>
      <w:r>
        <w:t>.</w:t>
      </w:r>
    </w:p>
    <w:p w:rsidR="00A41241" w:rsidRDefault="00310CD3" w:rsidP="00A41241">
      <w:r>
        <w:t>La</w:t>
      </w:r>
      <w:r w:rsidR="00490852">
        <w:t>s cifras oficiales de la Secretaría Salud indican que en el 201</w:t>
      </w:r>
      <w:r w:rsidR="007E0E89">
        <w:t>6</w:t>
      </w:r>
      <w:r w:rsidR="00490852">
        <w:t xml:space="preserve"> 775 niñas entre los 10 y 14 años parieron en los centros de salud pública y que estos embarazos fueron producto de violencia sexual</w:t>
      </w:r>
      <w:r w:rsidR="00490852">
        <w:rPr>
          <w:rStyle w:val="Refdenotaalpie"/>
        </w:rPr>
        <w:footnoteReference w:id="17"/>
      </w:r>
      <w:r w:rsidR="00490852">
        <w:t>. Siguiendo este patrón, a</w:t>
      </w:r>
      <w:r>
        <w:t xml:space="preserve"> julio 2018, l</w:t>
      </w:r>
      <w:r w:rsidR="00A41241">
        <w:t xml:space="preserve">os medios de comunicación de </w:t>
      </w:r>
      <w:r w:rsidR="00A41241">
        <w:lastRenderedPageBreak/>
        <w:t xml:space="preserve">Honduras dan cuenta de noticias </w:t>
      </w:r>
      <w:r>
        <w:t>alarmantes en las que un hospital del servicio público de salud informa que atiende diariamente 21 partos donde las madres son menores de edad. Entre estas menores se encuentran niñas de 12 y 14 años que, según la nota periodística, tienen como pareja a hombres que les triplican la edad</w:t>
      </w:r>
      <w:r>
        <w:rPr>
          <w:rStyle w:val="Refdenotaalpie"/>
        </w:rPr>
        <w:footnoteReference w:id="18"/>
      </w:r>
      <w:r>
        <w:t xml:space="preserve">. </w:t>
      </w:r>
    </w:p>
    <w:p w:rsidR="00490852" w:rsidRDefault="00CF3F55" w:rsidP="00A41241">
      <w:r>
        <w:t>La Universidad Nacional Autónoma de Honduras, a través del Observatorio de la Violencia, apunta que en el 2017 el 58.0% de las denuncias penales por violencia sexual tenían como víctimas a niñas y mujeres entre los 10 y 19 años</w:t>
      </w:r>
      <w:r>
        <w:rPr>
          <w:rStyle w:val="Refdenotaalpie"/>
        </w:rPr>
        <w:footnoteReference w:id="19"/>
      </w:r>
      <w:r>
        <w:t>.</w:t>
      </w:r>
      <w:r w:rsidR="0080537A">
        <w:t xml:space="preserve"> </w:t>
      </w:r>
      <w:r w:rsidR="00224611">
        <w:t xml:space="preserve">Asimismo da cuenta que desde la prohibición de la anticoncepción de emergencia, más de 21,000 niñas y mujeres </w:t>
      </w:r>
      <w:r w:rsidR="00224611" w:rsidRPr="00224611">
        <w:t xml:space="preserve">han denunciado </w:t>
      </w:r>
      <w:r w:rsidR="00224611">
        <w:t>violencia sexual, el 54% de esas</w:t>
      </w:r>
      <w:r w:rsidR="00192A94">
        <w:t xml:space="preserve"> denuncias proviene de niñas de 14 años o menos y </w:t>
      </w:r>
      <w:r w:rsidR="00224611">
        <w:t>todas ellas</w:t>
      </w:r>
      <w:r w:rsidR="00192A94">
        <w:t xml:space="preserve"> han estado</w:t>
      </w:r>
      <w:r w:rsidR="00224611">
        <w:t xml:space="preserve"> expuestas a un embarazo forzado o impuesto</w:t>
      </w:r>
      <w:r w:rsidR="00192A94">
        <w:t>.</w:t>
      </w:r>
      <w:r w:rsidR="0080537A">
        <w:t xml:space="preserve"> </w:t>
      </w:r>
      <w:r w:rsidR="00192A94">
        <w:t>Hay que resaltar que en el mismo período 45 niñas de entre 10 y 14 años se han suicidado, situación que podría estar vinculada a un acto de violencia sexual y a un embarazo no deseado</w:t>
      </w:r>
      <w:r w:rsidR="00192A94">
        <w:rPr>
          <w:rStyle w:val="Refdenotaalpie"/>
        </w:rPr>
        <w:footnoteReference w:id="20"/>
      </w:r>
      <w:r w:rsidR="00192A94">
        <w:t>.</w:t>
      </w:r>
    </w:p>
    <w:p w:rsidR="00FB53E5" w:rsidRDefault="00FB53E5" w:rsidP="00A41241">
      <w:pPr>
        <w:rPr>
          <w:b/>
        </w:rPr>
      </w:pPr>
    </w:p>
    <w:p w:rsidR="00FC6747" w:rsidRPr="00D05D95" w:rsidRDefault="006C5CA6" w:rsidP="00A41241">
      <w:pPr>
        <w:rPr>
          <w:b/>
        </w:rPr>
      </w:pPr>
      <w:bookmarkStart w:id="0" w:name="_GoBack"/>
      <w:bookmarkEnd w:id="0"/>
      <w:r>
        <w:rPr>
          <w:b/>
        </w:rPr>
        <w:t>Recomendación</w:t>
      </w:r>
    </w:p>
    <w:p w:rsidR="006C5CA6" w:rsidRDefault="00A72156" w:rsidP="00A41241">
      <w:r w:rsidRPr="00A72156">
        <w:rPr>
          <w:b/>
        </w:rPr>
        <w:t>Derogar Acuerdo de Prohibición</w:t>
      </w:r>
      <w:r>
        <w:rPr>
          <w:b/>
        </w:rPr>
        <w:t xml:space="preserve"> de la Píldora de Anticoncepción de Emergencia</w:t>
      </w:r>
      <w:r w:rsidRPr="00A72156">
        <w:rPr>
          <w:b/>
        </w:rPr>
        <w:t>:</w:t>
      </w:r>
      <w:r w:rsidR="00013C05">
        <w:rPr>
          <w:b/>
        </w:rPr>
        <w:t xml:space="preserve"> </w:t>
      </w:r>
      <w:r w:rsidR="00D05D95">
        <w:t xml:space="preserve">El Grupo Estratégico de la Píldora de Anticoncepción de Emergencia, </w:t>
      </w:r>
      <w:r>
        <w:t xml:space="preserve">considera que </w:t>
      </w:r>
      <w:r w:rsidR="00D05D95">
        <w:t xml:space="preserve">esta </w:t>
      </w:r>
      <w:r>
        <w:t xml:space="preserve">prohibición obstaculiza el acceso a derechos sexuales y reproductivos de las niñas y mujeres de Honduras y que obvia el contexto </w:t>
      </w:r>
      <w:r w:rsidR="006C5CA6">
        <w:t xml:space="preserve">de desigualdad y </w:t>
      </w:r>
      <w:r>
        <w:t>de alto riesgo por violencia sexual</w:t>
      </w:r>
      <w:r w:rsidR="006C5CA6">
        <w:t>, entre otras formas de violencia,</w:t>
      </w:r>
      <w:r>
        <w:t xml:space="preserve"> en el que se encuentra este sector. </w:t>
      </w:r>
    </w:p>
    <w:p w:rsidR="006C5CA6" w:rsidRDefault="00A72156" w:rsidP="00A41241">
      <w:r>
        <w:t>Adem</w:t>
      </w:r>
      <w:r w:rsidR="006C5CA6">
        <w:t>ás, recapitula</w:t>
      </w:r>
      <w:r>
        <w:t xml:space="preserve"> que el Acuerdo 2744 del 2009 fue emitido por un gobierno </w:t>
      </w:r>
      <w:r w:rsidRPr="00A72156">
        <w:rPr>
          <w:i/>
        </w:rPr>
        <w:t>de facto</w:t>
      </w:r>
      <w:r>
        <w:t xml:space="preserve"> que accedió al poder mediante una ruptura del orden constitucional y que, por lo tanto, este acto administrativo </w:t>
      </w:r>
      <w:r w:rsidR="00EA6A7A">
        <w:t xml:space="preserve">carece de </w:t>
      </w:r>
      <w:r>
        <w:t xml:space="preserve">legalidad y legitimidad. </w:t>
      </w:r>
    </w:p>
    <w:p w:rsidR="00FC6747" w:rsidRDefault="006C5CA6" w:rsidP="00A41241">
      <w:r>
        <w:t>Por lo anterior</w:t>
      </w:r>
      <w:r w:rsidR="00EA6A7A">
        <w:t xml:space="preserve"> y</w:t>
      </w:r>
      <w:r w:rsidR="0080537A">
        <w:t xml:space="preserve"> </w:t>
      </w:r>
      <w:r>
        <w:t xml:space="preserve">sustentándose en </w:t>
      </w:r>
      <w:r w:rsidR="00D05D95">
        <w:t>la legislación nacional</w:t>
      </w:r>
      <w:r w:rsidR="009F44B3">
        <w:t>,</w:t>
      </w:r>
      <w:r w:rsidR="0080537A">
        <w:t xml:space="preserve"> </w:t>
      </w:r>
      <w:r w:rsidR="00EA6A7A">
        <w:t xml:space="preserve">el acto administrativo de carácter violatorio </w:t>
      </w:r>
      <w:r w:rsidR="00D05D95">
        <w:t>puede enmendarse mediante un acuerdo mi</w:t>
      </w:r>
      <w:r w:rsidR="00EA6A7A">
        <w:t xml:space="preserve">nisterial </w:t>
      </w:r>
      <w:r w:rsidR="00D05D95">
        <w:t>sin requerir más trámite que la voluntad del poder ejecutivo.</w:t>
      </w:r>
    </w:p>
    <w:p w:rsidR="00EA6A7A" w:rsidRDefault="002224AE" w:rsidP="00A41241">
      <w:r>
        <w:t>Honduras,</w:t>
      </w:r>
      <w:r w:rsidR="007E0E89">
        <w:t xml:space="preserve"> Agosto de 2018</w:t>
      </w:r>
    </w:p>
    <w:p w:rsidR="007E0E89" w:rsidRDefault="007E0E89" w:rsidP="00A41241">
      <w:r>
        <w:t>Acción Joven</w:t>
      </w:r>
      <w:r w:rsidR="00A67761">
        <w:tab/>
      </w:r>
      <w:r w:rsidR="00A67761">
        <w:tab/>
      </w:r>
      <w:r w:rsidR="00A67761">
        <w:tab/>
      </w:r>
      <w:r w:rsidR="00A67761">
        <w:tab/>
      </w:r>
      <w:r w:rsidR="00A67761">
        <w:tab/>
      </w:r>
      <w:r w:rsidR="00A67761">
        <w:tab/>
        <w:t>Centro de Derechos de Mujeres</w:t>
      </w:r>
      <w:r w:rsidR="00A67761" w:rsidRPr="007E0E89">
        <w:t xml:space="preserve"> </w:t>
      </w:r>
    </w:p>
    <w:p w:rsidR="007E0E89" w:rsidRDefault="007E0E89" w:rsidP="007E0E89">
      <w:r>
        <w:lastRenderedPageBreak/>
        <w:t xml:space="preserve">Centro de Estudios de la Mujer </w:t>
      </w:r>
      <w:r w:rsidRPr="007E0E89">
        <w:t xml:space="preserve"> </w:t>
      </w:r>
      <w:r w:rsidR="00A67761">
        <w:tab/>
      </w:r>
      <w:r w:rsidR="00A67761">
        <w:tab/>
      </w:r>
      <w:r w:rsidR="00A67761">
        <w:tab/>
        <w:t>CLADEM Honduras</w:t>
      </w:r>
    </w:p>
    <w:p w:rsidR="003C4F56" w:rsidRDefault="003C4F56" w:rsidP="007E0E89">
      <w:r w:rsidRPr="003C4F56">
        <w:t>Colectivo Interdisciplina</w:t>
      </w:r>
      <w:r>
        <w:t xml:space="preserve">rio de Investigación  </w:t>
      </w:r>
      <w:r w:rsidR="00A67761">
        <w:tab/>
      </w:r>
      <w:r w:rsidR="00A67761">
        <w:tab/>
      </w:r>
      <w:r w:rsidR="00A67761" w:rsidRPr="007E0E89">
        <w:t>Ecum</w:t>
      </w:r>
      <w:r w:rsidR="00A67761">
        <w:t>énicas por el Derecho a Decidir</w:t>
      </w:r>
    </w:p>
    <w:p w:rsidR="00A67761" w:rsidRDefault="00A67761" w:rsidP="00A67761">
      <w:proofErr w:type="spellStart"/>
      <w:r>
        <w:t>GoJoven</w:t>
      </w:r>
      <w:proofErr w:type="spellEnd"/>
      <w:r>
        <w:t xml:space="preserve"> Honduras</w:t>
      </w:r>
      <w:r w:rsidRPr="007E0E89">
        <w:t xml:space="preserve"> </w:t>
      </w:r>
      <w:r>
        <w:tab/>
      </w:r>
      <w:r>
        <w:tab/>
      </w:r>
      <w:r>
        <w:tab/>
      </w:r>
      <w:r>
        <w:tab/>
      </w:r>
      <w:r>
        <w:tab/>
        <w:t>Médicos Sin Fronteras</w:t>
      </w:r>
    </w:p>
    <w:p w:rsidR="007E0E89" w:rsidRDefault="00A67761" w:rsidP="00A41241">
      <w:r>
        <w:t>Plataforma Derechos Aquí y Ahora</w:t>
      </w:r>
      <w:r w:rsidRPr="007E0E89">
        <w:t xml:space="preserve"> </w:t>
      </w:r>
    </w:p>
    <w:p w:rsidR="007E0E89" w:rsidRDefault="007E0E89" w:rsidP="00A41241">
      <w:r w:rsidRPr="007E0E89">
        <w:t xml:space="preserve">Plataforma de </w:t>
      </w:r>
      <w:r>
        <w:t xml:space="preserve">Jóvenes y Adolescentes por los </w:t>
      </w:r>
      <w:r w:rsidRPr="007E0E89">
        <w:t>Derechos Sexuales y Derechos Reproductivos</w:t>
      </w:r>
    </w:p>
    <w:sectPr w:rsidR="007E0E89" w:rsidSect="00136B5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832" w:rsidRDefault="00E65832" w:rsidP="00F92625">
      <w:pPr>
        <w:spacing w:after="0" w:line="240" w:lineRule="auto"/>
      </w:pPr>
      <w:r>
        <w:separator/>
      </w:r>
    </w:p>
  </w:endnote>
  <w:endnote w:type="continuationSeparator" w:id="0">
    <w:p w:rsidR="00E65832" w:rsidRDefault="00E65832" w:rsidP="00F92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832" w:rsidRDefault="00E65832" w:rsidP="00F92625">
      <w:pPr>
        <w:spacing w:after="0" w:line="240" w:lineRule="auto"/>
      </w:pPr>
      <w:r>
        <w:separator/>
      </w:r>
    </w:p>
  </w:footnote>
  <w:footnote w:type="continuationSeparator" w:id="0">
    <w:p w:rsidR="00E65832" w:rsidRDefault="00E65832" w:rsidP="00F92625">
      <w:pPr>
        <w:spacing w:after="0" w:line="240" w:lineRule="auto"/>
      </w:pPr>
      <w:r>
        <w:continuationSeparator/>
      </w:r>
    </w:p>
  </w:footnote>
  <w:footnote w:id="1">
    <w:p w:rsidR="00F92625" w:rsidRDefault="00F92625">
      <w:pPr>
        <w:pStyle w:val="Textonotapie"/>
      </w:pPr>
      <w:r>
        <w:rPr>
          <w:rStyle w:val="Refdenotaalpie"/>
        </w:rPr>
        <w:footnoteRef/>
      </w:r>
      <w:r w:rsidRPr="00F92625">
        <w:t xml:space="preserve">En el GE-PAE participan Médicos Sin Fronteras, CLADEM Honduras, Derechos Aquí y Ahora, </w:t>
      </w:r>
      <w:proofErr w:type="spellStart"/>
      <w:r w:rsidRPr="00F92625">
        <w:t>GoJoven</w:t>
      </w:r>
      <w:proofErr w:type="spellEnd"/>
      <w:r w:rsidRPr="00F92625">
        <w:t xml:space="preserve"> Honduras, Centro de Derechos de Mujeres, Ecuménicas por el Derecho a Decidir, Centro de Estudios de la Mujer y Plataforma de Derechos Sexuales y Derechos Reproductivos</w:t>
      </w:r>
      <w:r w:rsidR="0012536A">
        <w:t>.</w:t>
      </w:r>
    </w:p>
  </w:footnote>
  <w:footnote w:id="2">
    <w:p w:rsidR="00C56677" w:rsidRDefault="00C56677" w:rsidP="00C56677">
      <w:pPr>
        <w:pStyle w:val="Textonotapie"/>
      </w:pPr>
      <w:r>
        <w:rPr>
          <w:rStyle w:val="Refdenotaalpie"/>
        </w:rPr>
        <w:footnoteRef/>
      </w:r>
      <w:r>
        <w:t xml:space="preserve"> "Presentación de informes de las organizaciones no gubernamentales</w:t>
      </w:r>
      <w:r w:rsidR="007E0E89">
        <w:t xml:space="preserve"> </w:t>
      </w:r>
      <w:r>
        <w:t>en el marco del procedimiento de seguimiento de las observaciones</w:t>
      </w:r>
      <w:r w:rsidR="007E0E89">
        <w:t xml:space="preserve"> </w:t>
      </w:r>
      <w:r>
        <w:t>finales del Comité: 11. El Comité alienta a las ONG a que contribuyan a su procedimiento de seguimiento de las observaciones finales. Las ONG pueden aportar al Comité información por escrito en la que pueden incluir una evaluación de las medidas adoptadas por el Estado parte para aplicar las observaciones finales seleccionadas por el Comité para el proceso de seguimiento. Esta información debe presentarse en el plazo previsto para la presentación del informe de seguimiento del Estado parte (un año tras la aprobación de las observaciones finales), o cuando se haga público el informe de seguimiento del Estado parte. Esa información debe referirse únicamente a la aplicación de las recomendaciones destacadas en las observaciones finales para su examen durante el proceso de seguimiento."</w:t>
      </w:r>
    </w:p>
  </w:footnote>
  <w:footnote w:id="3">
    <w:p w:rsidR="004F6D57" w:rsidRDefault="004F6D57" w:rsidP="004F6D57">
      <w:pPr>
        <w:pStyle w:val="Textonotapie"/>
      </w:pPr>
      <w:r>
        <w:rPr>
          <w:rStyle w:val="Refdenotaalpie"/>
        </w:rPr>
        <w:footnoteRef/>
      </w:r>
      <w:r>
        <w:t xml:space="preserve"> Constitución de la República de Honduras. Artículo 15. Honduras hace suyos los principios y prácticas del derecho internacional que propenden a la solidaridad humana, al respeto de la autodeterminación de los pueblos, a la no intervención y al afianzamiento de la paz y la democracia universal.   Honduras proclama como ineludible la validez y obligatoria  ejecución de las sentencias arbítrales y judiciales de carácter internacional.  Artículo 16. Todos los tratados internacionales deben ser aprobados por el Congreso Nacional antes de su ratificación por el Poder Ejecutivo.  Los tratados internacionales celebrados por Honduras con otros Estados, una vez que entran en vigor, forman parte del derecho interno. Artículo 18. En caso de conflicto entre el tratado o convención y la ley, prevalecerá el primero.</w:t>
      </w:r>
    </w:p>
  </w:footnote>
  <w:footnote w:id="4">
    <w:p w:rsidR="00973F4D" w:rsidRDefault="00973F4D">
      <w:pPr>
        <w:pStyle w:val="Textonotapie"/>
      </w:pPr>
      <w:r>
        <w:rPr>
          <w:rStyle w:val="Refdenotaalpie"/>
        </w:rPr>
        <w:footnoteRef/>
      </w:r>
      <w:hyperlink r:id="rId1" w:history="1">
        <w:r w:rsidRPr="003F1B8C">
          <w:rPr>
            <w:rStyle w:val="Hipervnculo"/>
          </w:rPr>
          <w:t>http://www.un.org/womenwatch/daw/cedaw/cedaw25years/content/spanish/CONCLUDING_COMMENTS/Honduras/Honduras-CO-6.pdf</w:t>
        </w:r>
      </w:hyperlink>
    </w:p>
  </w:footnote>
  <w:footnote w:id="5">
    <w:p w:rsidR="009F62A5" w:rsidRPr="009F62A5" w:rsidRDefault="00EF32BE" w:rsidP="007E0E89">
      <w:pPr>
        <w:pStyle w:val="Sinespaciado"/>
        <w:rPr>
          <w:lang w:val="es-ES"/>
        </w:rPr>
      </w:pPr>
      <w:r w:rsidRPr="007E0E89">
        <w:rPr>
          <w:vertAlign w:val="superscript"/>
          <w:lang w:val="es-ES"/>
        </w:rPr>
        <w:t>5</w:t>
      </w:r>
      <w:r w:rsidRPr="007E0E89">
        <w:rPr>
          <w:lang w:val="es-ES"/>
        </w:rPr>
        <w:t xml:space="preserve"> </w:t>
      </w:r>
      <w:hyperlink r:id="rId2" w:history="1">
        <w:r w:rsidR="009F62A5" w:rsidRPr="009F62A5">
          <w:rPr>
            <w:rStyle w:val="Hipervnculo"/>
            <w:sz w:val="20"/>
            <w:szCs w:val="20"/>
            <w:lang w:val="es-ES"/>
          </w:rPr>
          <w:t>http://www2.ohchr.org/english/bodies/crc/docs/co/CRC.C.HND.CO.3_sp.pdf</w:t>
        </w:r>
      </w:hyperlink>
      <w:r w:rsidR="009F62A5" w:rsidRPr="009F62A5">
        <w:rPr>
          <w:sz w:val="20"/>
          <w:szCs w:val="20"/>
          <w:lang w:val="es-ES"/>
        </w:rPr>
        <w:t xml:space="preserve">  recomendación 60 </w:t>
      </w:r>
    </w:p>
    <w:p w:rsidR="00AF646F" w:rsidRPr="009F62A5" w:rsidRDefault="00E65832" w:rsidP="007E0E89">
      <w:pPr>
        <w:pStyle w:val="Sinespaciado"/>
      </w:pPr>
      <w:hyperlink r:id="rId3" w:history="1">
        <w:r w:rsidR="009F62A5" w:rsidRPr="009F62A5">
          <w:rPr>
            <w:rStyle w:val="Hipervnculo"/>
            <w:sz w:val="20"/>
            <w:szCs w:val="20"/>
          </w:rPr>
          <w:t>http://www.un.org/es/events/childrenday/pdf/derechos.pdf</w:t>
        </w:r>
      </w:hyperlink>
      <w:r w:rsidR="009F62A5" w:rsidRPr="009F62A5">
        <w:rPr>
          <w:sz w:val="20"/>
          <w:szCs w:val="20"/>
        </w:rPr>
        <w:t xml:space="preserve">   artículo 24.f</w:t>
      </w:r>
    </w:p>
  </w:footnote>
  <w:footnote w:id="6">
    <w:p w:rsidR="00267D3F" w:rsidRPr="00267D3F" w:rsidRDefault="00267D3F">
      <w:pPr>
        <w:pStyle w:val="Textonotapie"/>
      </w:pPr>
      <w:r>
        <w:rPr>
          <w:rStyle w:val="Refdenotaalpie"/>
        </w:rPr>
        <w:footnoteRef/>
      </w:r>
      <w:r>
        <w:t xml:space="preserve"> </w:t>
      </w:r>
      <w:r w:rsidR="00EE7739" w:rsidRPr="00EE7739">
        <w:t>E/C.12/1/Add.57</w:t>
      </w:r>
      <w:r w:rsidR="00EE7739">
        <w:t xml:space="preserve"> </w:t>
      </w:r>
      <w:hyperlink r:id="rId4" w:history="1">
        <w:r w:rsidR="00EE7739" w:rsidRPr="00DD5689">
          <w:rPr>
            <w:rStyle w:val="Hipervnculo"/>
          </w:rPr>
          <w:t>https://goo.gl/fb39zw</w:t>
        </w:r>
      </w:hyperlink>
      <w:r w:rsidR="00EE7739">
        <w:t xml:space="preserve"> </w:t>
      </w:r>
    </w:p>
  </w:footnote>
  <w:footnote w:id="7">
    <w:p w:rsidR="008E7C21" w:rsidRDefault="008E7C21">
      <w:pPr>
        <w:pStyle w:val="Textonotapie"/>
      </w:pPr>
      <w:r>
        <w:rPr>
          <w:rStyle w:val="Refdenotaalpie"/>
        </w:rPr>
        <w:footnoteRef/>
      </w:r>
      <w:r w:rsidRPr="008E7C21">
        <w:t>El Comité examinó el informe inicial de Honduras (CCPR/C/HND/2005/1) y HRI/CORE/1/Add.96/Rev.1) en sus sesiones 2398ª, 2399ª y 2400ª (CCPR/C/SR.2398, 2399 y 2400), celebradas el 16 y 17 de octubre de 2006, y aprobó,</w:t>
      </w:r>
      <w:r>
        <w:t xml:space="preserve"> Observaciones finales</w:t>
      </w:r>
      <w:r w:rsidRPr="008E7C21">
        <w:t xml:space="preserve"> en su sesión 2414ª (CCPR/C/SR.2414), celebrada el 27 de octubre</w:t>
      </w:r>
      <w:r>
        <w:t xml:space="preserve"> de 2006.</w:t>
      </w:r>
    </w:p>
    <w:p w:rsidR="001E6594" w:rsidRPr="007E0E89" w:rsidRDefault="001E6594">
      <w:pPr>
        <w:pStyle w:val="Textonotapie"/>
        <w:rPr>
          <w:rFonts w:asciiTheme="majorHAnsi" w:hAnsiTheme="majorHAnsi"/>
          <w:lang w:val="en-US"/>
        </w:rPr>
      </w:pPr>
      <w:r w:rsidRPr="007E0E89">
        <w:rPr>
          <w:rFonts w:asciiTheme="majorHAnsi" w:hAnsiTheme="majorHAnsi"/>
          <w:vertAlign w:val="superscript"/>
          <w:lang w:val="en-US"/>
        </w:rPr>
        <w:t>8</w:t>
      </w:r>
      <w:r w:rsidRPr="007E0E89">
        <w:rPr>
          <w:rFonts w:asciiTheme="majorHAnsi" w:hAnsiTheme="majorHAnsi"/>
          <w:lang w:val="en-US"/>
        </w:rPr>
        <w:t xml:space="preserve"> </w:t>
      </w:r>
      <w:r w:rsidR="00457002" w:rsidRPr="007E0E89">
        <w:rPr>
          <w:rFonts w:asciiTheme="majorHAnsi" w:hAnsiTheme="majorHAnsi" w:cs="Times New Roman"/>
          <w:lang w:val="en-US"/>
        </w:rPr>
        <w:t xml:space="preserve">CCPR/C/HND/CO/1  </w:t>
      </w:r>
      <w:hyperlink r:id="rId5" w:history="1">
        <w:r w:rsidR="00457002" w:rsidRPr="007E0E89">
          <w:rPr>
            <w:rStyle w:val="Hipervnculo"/>
            <w:rFonts w:asciiTheme="majorHAnsi" w:hAnsiTheme="majorHAnsi"/>
            <w:lang w:val="en-US"/>
          </w:rPr>
          <w:t>https://goo.gl/2N5WRC</w:t>
        </w:r>
      </w:hyperlink>
      <w:r w:rsidR="00457002" w:rsidRPr="007E0E89">
        <w:rPr>
          <w:rFonts w:asciiTheme="majorHAnsi" w:hAnsiTheme="majorHAnsi"/>
          <w:lang w:val="en-US"/>
        </w:rPr>
        <w:t xml:space="preserve"> </w:t>
      </w:r>
    </w:p>
  </w:footnote>
  <w:footnote w:id="8">
    <w:p w:rsidR="008E7C21" w:rsidRPr="007E0E89" w:rsidRDefault="008E7C21">
      <w:pPr>
        <w:pStyle w:val="Textonotapie"/>
        <w:rPr>
          <w:lang w:val="en-US"/>
        </w:rPr>
      </w:pPr>
    </w:p>
  </w:footnote>
  <w:footnote w:id="9">
    <w:p w:rsidR="00D94291" w:rsidRDefault="00D94291">
      <w:pPr>
        <w:pStyle w:val="Textonotapie"/>
      </w:pPr>
      <w:r>
        <w:rPr>
          <w:rStyle w:val="Refdenotaalpie"/>
        </w:rPr>
        <w:footnoteRef/>
      </w:r>
      <w:hyperlink r:id="rId6" w:history="1">
        <w:r w:rsidRPr="003F1B8C">
          <w:rPr>
            <w:rStyle w:val="Hipervnculo"/>
          </w:rPr>
          <w:t>http://www.cidh.org/countryrep/Honduras09sp/Cap.2.htm</w:t>
        </w:r>
      </w:hyperlink>
    </w:p>
  </w:footnote>
  <w:footnote w:id="10">
    <w:p w:rsidR="00D94291" w:rsidRDefault="00D94291">
      <w:pPr>
        <w:pStyle w:val="Textonotapie"/>
      </w:pPr>
      <w:r>
        <w:rPr>
          <w:rStyle w:val="Refdenotaalpie"/>
        </w:rPr>
        <w:footnoteRef/>
      </w:r>
      <w:hyperlink r:id="rId7" w:history="1">
        <w:r w:rsidRPr="003F1B8C">
          <w:rPr>
            <w:rStyle w:val="Hipervnculo"/>
          </w:rPr>
          <w:t>http://www.cidh.org/countryrep/Honduras09sp/Cap.2.htm</w:t>
        </w:r>
      </w:hyperlink>
    </w:p>
  </w:footnote>
  <w:footnote w:id="11">
    <w:p w:rsidR="0053179C" w:rsidRPr="007E0E89" w:rsidRDefault="0053179C">
      <w:pPr>
        <w:pStyle w:val="Textonotapie"/>
        <w:rPr>
          <w:lang w:val="es-ES"/>
        </w:rPr>
      </w:pPr>
      <w:r>
        <w:rPr>
          <w:rStyle w:val="Refdenotaalpie"/>
        </w:rPr>
        <w:footnoteRef/>
      </w:r>
      <w:r>
        <w:t xml:space="preserve"> </w:t>
      </w:r>
      <w:hyperlink r:id="rId8" w:history="1">
        <w:r w:rsidRPr="00DD5689">
          <w:rPr>
            <w:rStyle w:val="Hipervnculo"/>
          </w:rPr>
          <w:t>https://goo.gl/eUtPtB</w:t>
        </w:r>
      </w:hyperlink>
      <w:r>
        <w:t xml:space="preserve"> </w:t>
      </w:r>
    </w:p>
  </w:footnote>
  <w:footnote w:id="12">
    <w:p w:rsidR="00BF58F3" w:rsidRDefault="00BF58F3">
      <w:pPr>
        <w:pStyle w:val="Textonotapie"/>
      </w:pPr>
      <w:r>
        <w:rPr>
          <w:rStyle w:val="Refdenotaalpie"/>
        </w:rPr>
        <w:footnoteRef/>
      </w:r>
      <w:r>
        <w:t xml:space="preserve"> OEA/</w:t>
      </w:r>
      <w:proofErr w:type="spellStart"/>
      <w:r>
        <w:t>Ser.L</w:t>
      </w:r>
      <w:proofErr w:type="spellEnd"/>
      <w:r>
        <w:t xml:space="preserve">/II. Doc. 55.  </w:t>
      </w:r>
      <w:hyperlink r:id="rId9" w:history="1">
        <w:r w:rsidRPr="00842F53">
          <w:rPr>
            <w:rStyle w:val="Hipervnculo"/>
          </w:rPr>
          <w:t>http://www.cidh.org/countryrep/Honduras09sp/Indice.htm</w:t>
        </w:r>
      </w:hyperlink>
    </w:p>
  </w:footnote>
  <w:footnote w:id="13">
    <w:p w:rsidR="00E35E26" w:rsidRDefault="00E35E26">
      <w:pPr>
        <w:pStyle w:val="Textonotapie"/>
      </w:pPr>
      <w:r>
        <w:rPr>
          <w:rStyle w:val="Refdenotaalpie"/>
        </w:rPr>
        <w:footnoteRef/>
      </w:r>
      <w:r>
        <w:t xml:space="preserve"> Organización no gubernamental de derechos humanos de las mujeres. Honduras. </w:t>
      </w:r>
      <w:hyperlink r:id="rId10" w:history="1">
        <w:r w:rsidRPr="00842F53">
          <w:rPr>
            <w:rStyle w:val="Hipervnculo"/>
          </w:rPr>
          <w:t>www.derechosdelamujer.org</w:t>
        </w:r>
      </w:hyperlink>
    </w:p>
  </w:footnote>
  <w:footnote w:id="14">
    <w:p w:rsidR="00A67761" w:rsidRPr="00A67761" w:rsidRDefault="00A67761">
      <w:pPr>
        <w:pStyle w:val="Textonotapie"/>
        <w:rPr>
          <w:lang w:val="es-ES_tradnl"/>
        </w:rPr>
      </w:pPr>
      <w:r>
        <w:rPr>
          <w:rStyle w:val="Refdenotaalpie"/>
        </w:rPr>
        <w:footnoteRef/>
      </w:r>
      <w:r>
        <w:t xml:space="preserve"> </w:t>
      </w:r>
      <w:hyperlink r:id="rId11" w:history="1">
        <w:r w:rsidRPr="00F63961">
          <w:rPr>
            <w:rStyle w:val="Hipervnculo"/>
          </w:rPr>
          <w:t>http://archive.wgnrr.org/news/dictamen-de-la-corte-suprema-de-justicia-de-honduras-reafirma-prohibici%C3%B3n-de-venta-distribuci%C3%B3n</w:t>
        </w:r>
      </w:hyperlink>
      <w:r>
        <w:t xml:space="preserve"> </w:t>
      </w:r>
    </w:p>
  </w:footnote>
  <w:footnote w:id="15">
    <w:p w:rsidR="00821194" w:rsidRPr="00821194" w:rsidRDefault="00821194">
      <w:pPr>
        <w:pStyle w:val="Textonotapie"/>
        <w:rPr>
          <w:lang w:val="es-ES_tradnl"/>
        </w:rPr>
      </w:pPr>
      <w:r>
        <w:rPr>
          <w:rStyle w:val="Refdenotaalpie"/>
        </w:rPr>
        <w:footnoteRef/>
      </w:r>
      <w:r>
        <w:t xml:space="preserve"> </w:t>
      </w:r>
      <w:hyperlink r:id="rId12" w:history="1">
        <w:r w:rsidRPr="00F63961">
          <w:rPr>
            <w:rStyle w:val="Hipervnculo"/>
          </w:rPr>
          <w:t>http://www.laprensa.hn/deportes/760082-410/piden-al-congreso-nacional-reabrir-debate-sobre-la-pae</w:t>
        </w:r>
      </w:hyperlink>
      <w:r>
        <w:t xml:space="preserve"> </w:t>
      </w:r>
    </w:p>
  </w:footnote>
  <w:footnote w:id="16">
    <w:p w:rsidR="00957C06" w:rsidRDefault="00957C06">
      <w:pPr>
        <w:pStyle w:val="Textonotapie"/>
      </w:pPr>
      <w:r>
        <w:rPr>
          <w:rStyle w:val="Refdenotaalpie"/>
        </w:rPr>
        <w:footnoteRef/>
      </w:r>
      <w:hyperlink r:id="rId13" w:history="1">
        <w:r w:rsidRPr="00842F53">
          <w:rPr>
            <w:rStyle w:val="Hipervnculo"/>
          </w:rPr>
          <w:t>www.paho.org/hon/index.php?option=com_docman&amp;view=download&amp;category_slug=salud-materna-nino-y-adolescente&amp;alias=332-estrategia-nacional-para-la-prevencion-del-embarazo-en-adolescentes-en-honduras&amp;Itemid=211</w:t>
        </w:r>
      </w:hyperlink>
    </w:p>
  </w:footnote>
  <w:footnote w:id="17">
    <w:p w:rsidR="00490852" w:rsidRDefault="00490852">
      <w:pPr>
        <w:pStyle w:val="Textonotapie"/>
      </w:pPr>
      <w:r>
        <w:rPr>
          <w:rStyle w:val="Refdenotaalpie"/>
        </w:rPr>
        <w:footnoteRef/>
      </w:r>
      <w:hyperlink r:id="rId14" w:history="1">
        <w:r w:rsidRPr="00842F53">
          <w:rPr>
            <w:rStyle w:val="Hipervnculo"/>
          </w:rPr>
          <w:t>http://derechosdelamujer.org/pronunciamiento-del-grupo-estrategico-por-las-pae-en-el-dia-internacional-de-la-salud-de-las-mujeres/</w:t>
        </w:r>
      </w:hyperlink>
    </w:p>
  </w:footnote>
  <w:footnote w:id="18">
    <w:p w:rsidR="00310CD3" w:rsidRDefault="00310CD3">
      <w:pPr>
        <w:pStyle w:val="Textonotapie"/>
      </w:pPr>
      <w:r>
        <w:rPr>
          <w:rStyle w:val="Refdenotaalpie"/>
        </w:rPr>
        <w:footnoteRef/>
      </w:r>
      <w:hyperlink r:id="rId15" w:history="1">
        <w:r w:rsidRPr="00842F53">
          <w:rPr>
            <w:rStyle w:val="Hipervnculo"/>
          </w:rPr>
          <w:t>http://www.laprensa.hn/honduras/1194216-410/embarazos-adolescentes-honduras-partos-menores-edad-hospital-leonardo-martinez</w:t>
        </w:r>
      </w:hyperlink>
    </w:p>
  </w:footnote>
  <w:footnote w:id="19">
    <w:p w:rsidR="00CF3F55" w:rsidRDefault="00CF3F55">
      <w:pPr>
        <w:pStyle w:val="Textonotapie"/>
      </w:pPr>
      <w:r>
        <w:rPr>
          <w:rStyle w:val="Refdenotaalpie"/>
        </w:rPr>
        <w:footnoteRef/>
      </w:r>
      <w:hyperlink r:id="rId16" w:history="1"/>
    </w:p>
    <w:p w:rsidR="00CF3F55" w:rsidRDefault="00E65832">
      <w:pPr>
        <w:pStyle w:val="Textonotapie"/>
      </w:pPr>
      <w:hyperlink r:id="rId17" w:history="1">
        <w:r w:rsidR="00CF3F55" w:rsidRPr="00842F53">
          <w:rPr>
            <w:rStyle w:val="Hipervnculo"/>
          </w:rPr>
          <w:t>https://iudpas.unah.edu.hn/observatorio-de-la-violencia/boletines-del-observatorio-2/boletines-nacionales/</w:t>
        </w:r>
      </w:hyperlink>
    </w:p>
  </w:footnote>
  <w:footnote w:id="20">
    <w:p w:rsidR="00192A94" w:rsidRPr="00192A94" w:rsidRDefault="00192A94">
      <w:pPr>
        <w:pStyle w:val="Textonotapie"/>
        <w:rPr>
          <w:lang w:val="es-ES_tradnl"/>
        </w:rPr>
      </w:pPr>
      <w:r>
        <w:rPr>
          <w:rStyle w:val="Refdenotaalpie"/>
        </w:rPr>
        <w:footnoteRef/>
      </w:r>
      <w:r>
        <w:rPr>
          <w:lang w:val="es-ES_tradnl"/>
        </w:rPr>
        <w:t xml:space="preserve">Cálculos propios a partir de los boletines del IUDPAS. En </w:t>
      </w:r>
      <w:hyperlink r:id="rId18" w:history="1">
        <w:r w:rsidR="00013C05" w:rsidRPr="00DD5689">
          <w:rPr>
            <w:rStyle w:val="Hipervnculo"/>
            <w:lang w:val="es-ES_tradnl"/>
          </w:rPr>
          <w:t>https://iudpas.unah.edu.hn/observatorio-de-la-violencia/boletines-del-observatorio-2/boletines-nacionales/</w:t>
        </w:r>
      </w:hyperlink>
      <w:r w:rsidR="00013C05">
        <w:rPr>
          <w:lang w:val="es-ES_tradn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6180" w:rsidRDefault="00FF6180" w:rsidP="00FF6180">
    <w:pPr>
      <w:pStyle w:val="Encabezado"/>
      <w:jc w:val="center"/>
    </w:pPr>
    <w:r w:rsidRPr="00FF6180">
      <w:rPr>
        <w:noProof/>
        <w:lang w:eastAsia="es-HN"/>
      </w:rPr>
      <w:drawing>
        <wp:anchor distT="0" distB="0" distL="114300" distR="114300" simplePos="0" relativeHeight="251657216" behindDoc="0" locked="0" layoutInCell="1" allowOverlap="1">
          <wp:simplePos x="0" y="0"/>
          <wp:positionH relativeFrom="column">
            <wp:posOffset>-3810</wp:posOffset>
          </wp:positionH>
          <wp:positionV relativeFrom="paragraph">
            <wp:posOffset>7620</wp:posOffset>
          </wp:positionV>
          <wp:extent cx="1038225" cy="1038225"/>
          <wp:effectExtent l="0" t="0" r="9525" b="9525"/>
          <wp:wrapThrough wrapText="bothSides">
            <wp:wrapPolygon edited="0">
              <wp:start x="0" y="0"/>
              <wp:lineTo x="0" y="21402"/>
              <wp:lineTo x="21402" y="21402"/>
              <wp:lineTo x="21402" y="0"/>
              <wp:lineTo x="0" y="0"/>
            </wp:wrapPolygon>
          </wp:wrapThrough>
          <wp:docPr id="2" name="Imagen 2" descr="C:\Users\Regina\Documents\2018\logos\P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egina\Documents\2018\logos\PA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anchor>
      </w:drawing>
    </w:r>
    <w:r>
      <w:tab/>
    </w:r>
    <w:r>
      <w:tab/>
    </w:r>
    <w:r w:rsidRPr="00FF6180">
      <w:rPr>
        <w:noProof/>
        <w:lang w:eastAsia="es-HN"/>
      </w:rPr>
      <w:drawing>
        <wp:inline distT="0" distB="0" distL="0" distR="0">
          <wp:extent cx="845820" cy="1178399"/>
          <wp:effectExtent l="0" t="0" r="0" b="3175"/>
          <wp:docPr id="1" name="Imagen 1" descr="C:\Users\Regina\Documents\2018\logos\LOGO CLADEM Hondu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gina\Documents\2018\logos\LOGO CLADEM Honduras.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820" cy="1178399"/>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BBC"/>
    <w:rsid w:val="000014AF"/>
    <w:rsid w:val="00001F2A"/>
    <w:rsid w:val="00002C87"/>
    <w:rsid w:val="00010E1D"/>
    <w:rsid w:val="00013C05"/>
    <w:rsid w:val="00021320"/>
    <w:rsid w:val="00030F16"/>
    <w:rsid w:val="00031AF1"/>
    <w:rsid w:val="00052F62"/>
    <w:rsid w:val="000530E0"/>
    <w:rsid w:val="00056FE7"/>
    <w:rsid w:val="00057A87"/>
    <w:rsid w:val="00060B20"/>
    <w:rsid w:val="00062273"/>
    <w:rsid w:val="0006458F"/>
    <w:rsid w:val="00070FA7"/>
    <w:rsid w:val="00071304"/>
    <w:rsid w:val="00074BC6"/>
    <w:rsid w:val="000822E6"/>
    <w:rsid w:val="000A2736"/>
    <w:rsid w:val="000A7BE1"/>
    <w:rsid w:val="000B3BF4"/>
    <w:rsid w:val="000C1D5D"/>
    <w:rsid w:val="000C4C9C"/>
    <w:rsid w:val="000C61D0"/>
    <w:rsid w:val="000C6B83"/>
    <w:rsid w:val="000C74E4"/>
    <w:rsid w:val="000C7957"/>
    <w:rsid w:val="000D363E"/>
    <w:rsid w:val="000D5269"/>
    <w:rsid w:val="000E2624"/>
    <w:rsid w:val="000E3701"/>
    <w:rsid w:val="000E5F38"/>
    <w:rsid w:val="000F26AF"/>
    <w:rsid w:val="000F613E"/>
    <w:rsid w:val="001114B7"/>
    <w:rsid w:val="00111E41"/>
    <w:rsid w:val="00113452"/>
    <w:rsid w:val="0011473E"/>
    <w:rsid w:val="0012536A"/>
    <w:rsid w:val="00136B57"/>
    <w:rsid w:val="00145D6F"/>
    <w:rsid w:val="001542A0"/>
    <w:rsid w:val="0016277B"/>
    <w:rsid w:val="00181E98"/>
    <w:rsid w:val="00185233"/>
    <w:rsid w:val="001858C0"/>
    <w:rsid w:val="00192A94"/>
    <w:rsid w:val="001B2D37"/>
    <w:rsid w:val="001B5A5E"/>
    <w:rsid w:val="001C2804"/>
    <w:rsid w:val="001D01E2"/>
    <w:rsid w:val="001D53DF"/>
    <w:rsid w:val="001D5D5F"/>
    <w:rsid w:val="001D6CF8"/>
    <w:rsid w:val="001E5E81"/>
    <w:rsid w:val="001E6594"/>
    <w:rsid w:val="001E67C3"/>
    <w:rsid w:val="001F06D3"/>
    <w:rsid w:val="001F15CA"/>
    <w:rsid w:val="001F1925"/>
    <w:rsid w:val="001F1D7B"/>
    <w:rsid w:val="001F3055"/>
    <w:rsid w:val="001F37E4"/>
    <w:rsid w:val="001F418E"/>
    <w:rsid w:val="002175E4"/>
    <w:rsid w:val="002221C5"/>
    <w:rsid w:val="002224AE"/>
    <w:rsid w:val="002229C2"/>
    <w:rsid w:val="00224611"/>
    <w:rsid w:val="00225B0D"/>
    <w:rsid w:val="00230C2E"/>
    <w:rsid w:val="00240A7E"/>
    <w:rsid w:val="00251296"/>
    <w:rsid w:val="00267D3F"/>
    <w:rsid w:val="00270AB8"/>
    <w:rsid w:val="00282286"/>
    <w:rsid w:val="00290560"/>
    <w:rsid w:val="002B28CE"/>
    <w:rsid w:val="002B59B2"/>
    <w:rsid w:val="002C2FA9"/>
    <w:rsid w:val="002C3A88"/>
    <w:rsid w:val="002C734F"/>
    <w:rsid w:val="002D3041"/>
    <w:rsid w:val="002D5117"/>
    <w:rsid w:val="002D78BD"/>
    <w:rsid w:val="002F4973"/>
    <w:rsid w:val="003039EB"/>
    <w:rsid w:val="00310CD3"/>
    <w:rsid w:val="00313F7F"/>
    <w:rsid w:val="003149B6"/>
    <w:rsid w:val="00317617"/>
    <w:rsid w:val="00321035"/>
    <w:rsid w:val="0032356D"/>
    <w:rsid w:val="003235A8"/>
    <w:rsid w:val="003319A7"/>
    <w:rsid w:val="00340207"/>
    <w:rsid w:val="00340DF0"/>
    <w:rsid w:val="003410D9"/>
    <w:rsid w:val="003421D6"/>
    <w:rsid w:val="00344D10"/>
    <w:rsid w:val="0034616A"/>
    <w:rsid w:val="0035273C"/>
    <w:rsid w:val="003527D4"/>
    <w:rsid w:val="00354262"/>
    <w:rsid w:val="00360187"/>
    <w:rsid w:val="00363E3D"/>
    <w:rsid w:val="00363F5B"/>
    <w:rsid w:val="00370C22"/>
    <w:rsid w:val="0037253B"/>
    <w:rsid w:val="00372C2F"/>
    <w:rsid w:val="0037360E"/>
    <w:rsid w:val="00376FA3"/>
    <w:rsid w:val="00392561"/>
    <w:rsid w:val="003A5938"/>
    <w:rsid w:val="003A6194"/>
    <w:rsid w:val="003A62D1"/>
    <w:rsid w:val="003A72E5"/>
    <w:rsid w:val="003B0702"/>
    <w:rsid w:val="003B07D1"/>
    <w:rsid w:val="003B6A08"/>
    <w:rsid w:val="003C4F56"/>
    <w:rsid w:val="003D6EDF"/>
    <w:rsid w:val="003D7231"/>
    <w:rsid w:val="003D7647"/>
    <w:rsid w:val="003E0DB9"/>
    <w:rsid w:val="003F5B60"/>
    <w:rsid w:val="003F68D1"/>
    <w:rsid w:val="00404D48"/>
    <w:rsid w:val="00414858"/>
    <w:rsid w:val="00422E3E"/>
    <w:rsid w:val="00423594"/>
    <w:rsid w:val="0042650B"/>
    <w:rsid w:val="004270CA"/>
    <w:rsid w:val="00436765"/>
    <w:rsid w:val="00452A76"/>
    <w:rsid w:val="00455D23"/>
    <w:rsid w:val="00457002"/>
    <w:rsid w:val="0046009D"/>
    <w:rsid w:val="004663B1"/>
    <w:rsid w:val="00477B20"/>
    <w:rsid w:val="004836DE"/>
    <w:rsid w:val="004863E1"/>
    <w:rsid w:val="004879D9"/>
    <w:rsid w:val="00490852"/>
    <w:rsid w:val="004918A7"/>
    <w:rsid w:val="004B1A7D"/>
    <w:rsid w:val="004B1E46"/>
    <w:rsid w:val="004B63A6"/>
    <w:rsid w:val="004B7866"/>
    <w:rsid w:val="004C3528"/>
    <w:rsid w:val="004E5B2D"/>
    <w:rsid w:val="004F6D57"/>
    <w:rsid w:val="005036AB"/>
    <w:rsid w:val="00507ECF"/>
    <w:rsid w:val="005130FF"/>
    <w:rsid w:val="005140DC"/>
    <w:rsid w:val="005151F9"/>
    <w:rsid w:val="00520945"/>
    <w:rsid w:val="00526509"/>
    <w:rsid w:val="00527052"/>
    <w:rsid w:val="0053179C"/>
    <w:rsid w:val="00535EA9"/>
    <w:rsid w:val="00537EB1"/>
    <w:rsid w:val="00545B61"/>
    <w:rsid w:val="005534A6"/>
    <w:rsid w:val="0055398B"/>
    <w:rsid w:val="005635CD"/>
    <w:rsid w:val="0056433B"/>
    <w:rsid w:val="00573911"/>
    <w:rsid w:val="0057734D"/>
    <w:rsid w:val="00593C16"/>
    <w:rsid w:val="0059427C"/>
    <w:rsid w:val="00595072"/>
    <w:rsid w:val="005952D1"/>
    <w:rsid w:val="005A261C"/>
    <w:rsid w:val="005A4A04"/>
    <w:rsid w:val="005B48D9"/>
    <w:rsid w:val="005C0AFD"/>
    <w:rsid w:val="005C0E37"/>
    <w:rsid w:val="005C22ED"/>
    <w:rsid w:val="005C6320"/>
    <w:rsid w:val="005E2A24"/>
    <w:rsid w:val="005E5600"/>
    <w:rsid w:val="005F387A"/>
    <w:rsid w:val="005F4068"/>
    <w:rsid w:val="005F4510"/>
    <w:rsid w:val="00610673"/>
    <w:rsid w:val="006250E3"/>
    <w:rsid w:val="006466C5"/>
    <w:rsid w:val="00655157"/>
    <w:rsid w:val="00663005"/>
    <w:rsid w:val="00671091"/>
    <w:rsid w:val="00673E2B"/>
    <w:rsid w:val="00680163"/>
    <w:rsid w:val="00681D97"/>
    <w:rsid w:val="00685B9F"/>
    <w:rsid w:val="00686BEE"/>
    <w:rsid w:val="00690A4B"/>
    <w:rsid w:val="00693718"/>
    <w:rsid w:val="00697E7C"/>
    <w:rsid w:val="006A0563"/>
    <w:rsid w:val="006A1650"/>
    <w:rsid w:val="006A5430"/>
    <w:rsid w:val="006B4E48"/>
    <w:rsid w:val="006B69A0"/>
    <w:rsid w:val="006B79DF"/>
    <w:rsid w:val="006C2025"/>
    <w:rsid w:val="006C5CA6"/>
    <w:rsid w:val="006C7529"/>
    <w:rsid w:val="006D276E"/>
    <w:rsid w:val="006D2894"/>
    <w:rsid w:val="006D3322"/>
    <w:rsid w:val="006D4F1A"/>
    <w:rsid w:val="006E2770"/>
    <w:rsid w:val="006E3419"/>
    <w:rsid w:val="006E5C71"/>
    <w:rsid w:val="006E7D7F"/>
    <w:rsid w:val="007015BD"/>
    <w:rsid w:val="00701604"/>
    <w:rsid w:val="00715189"/>
    <w:rsid w:val="007156E9"/>
    <w:rsid w:val="007206A4"/>
    <w:rsid w:val="0072289B"/>
    <w:rsid w:val="007275EB"/>
    <w:rsid w:val="00735C91"/>
    <w:rsid w:val="00736603"/>
    <w:rsid w:val="00741601"/>
    <w:rsid w:val="00744AEE"/>
    <w:rsid w:val="00751AE1"/>
    <w:rsid w:val="00752C0D"/>
    <w:rsid w:val="00757187"/>
    <w:rsid w:val="00761879"/>
    <w:rsid w:val="00762D88"/>
    <w:rsid w:val="00763C9D"/>
    <w:rsid w:val="007649CA"/>
    <w:rsid w:val="007733BD"/>
    <w:rsid w:val="00777C2F"/>
    <w:rsid w:val="0078346E"/>
    <w:rsid w:val="00784AD2"/>
    <w:rsid w:val="00784F12"/>
    <w:rsid w:val="00784FEF"/>
    <w:rsid w:val="00787CC4"/>
    <w:rsid w:val="0079336A"/>
    <w:rsid w:val="00793486"/>
    <w:rsid w:val="00794B05"/>
    <w:rsid w:val="007953CF"/>
    <w:rsid w:val="00796FF4"/>
    <w:rsid w:val="007A5FD8"/>
    <w:rsid w:val="007B495A"/>
    <w:rsid w:val="007B5502"/>
    <w:rsid w:val="007C2F42"/>
    <w:rsid w:val="007C65D1"/>
    <w:rsid w:val="007D28AD"/>
    <w:rsid w:val="007D5A0C"/>
    <w:rsid w:val="007D78FD"/>
    <w:rsid w:val="007E0E89"/>
    <w:rsid w:val="007E5EFB"/>
    <w:rsid w:val="007E62BC"/>
    <w:rsid w:val="007E6CCD"/>
    <w:rsid w:val="007F5A70"/>
    <w:rsid w:val="007F72DA"/>
    <w:rsid w:val="0080537A"/>
    <w:rsid w:val="008068D0"/>
    <w:rsid w:val="00806BA6"/>
    <w:rsid w:val="008135AF"/>
    <w:rsid w:val="00820DA3"/>
    <w:rsid w:val="00821194"/>
    <w:rsid w:val="00837A02"/>
    <w:rsid w:val="008507C0"/>
    <w:rsid w:val="00855379"/>
    <w:rsid w:val="00855FAD"/>
    <w:rsid w:val="0086184D"/>
    <w:rsid w:val="00861D86"/>
    <w:rsid w:val="00862862"/>
    <w:rsid w:val="0086316E"/>
    <w:rsid w:val="00871B1E"/>
    <w:rsid w:val="00875431"/>
    <w:rsid w:val="00881C45"/>
    <w:rsid w:val="008863C8"/>
    <w:rsid w:val="00886430"/>
    <w:rsid w:val="00893F7A"/>
    <w:rsid w:val="00895B27"/>
    <w:rsid w:val="008A06AF"/>
    <w:rsid w:val="008A50AF"/>
    <w:rsid w:val="008C6309"/>
    <w:rsid w:val="008E2904"/>
    <w:rsid w:val="008E7C21"/>
    <w:rsid w:val="008F03F3"/>
    <w:rsid w:val="008F0BBC"/>
    <w:rsid w:val="008F1D5E"/>
    <w:rsid w:val="00914F0A"/>
    <w:rsid w:val="00915023"/>
    <w:rsid w:val="009208AA"/>
    <w:rsid w:val="00925C6F"/>
    <w:rsid w:val="009261D3"/>
    <w:rsid w:val="009310E8"/>
    <w:rsid w:val="00940077"/>
    <w:rsid w:val="00942ED8"/>
    <w:rsid w:val="0094345C"/>
    <w:rsid w:val="009444FA"/>
    <w:rsid w:val="009473BB"/>
    <w:rsid w:val="009507FF"/>
    <w:rsid w:val="009527B5"/>
    <w:rsid w:val="00957C06"/>
    <w:rsid w:val="00964611"/>
    <w:rsid w:val="00970724"/>
    <w:rsid w:val="0097218F"/>
    <w:rsid w:val="0097337F"/>
    <w:rsid w:val="00973F4D"/>
    <w:rsid w:val="009932EA"/>
    <w:rsid w:val="009A4426"/>
    <w:rsid w:val="009A5B7F"/>
    <w:rsid w:val="009A751A"/>
    <w:rsid w:val="009B3EE8"/>
    <w:rsid w:val="009B7E14"/>
    <w:rsid w:val="009C030C"/>
    <w:rsid w:val="009C08CB"/>
    <w:rsid w:val="009C394E"/>
    <w:rsid w:val="009D1FD0"/>
    <w:rsid w:val="009E7144"/>
    <w:rsid w:val="009F44B3"/>
    <w:rsid w:val="009F62A5"/>
    <w:rsid w:val="00A00B3E"/>
    <w:rsid w:val="00A018C2"/>
    <w:rsid w:val="00A060A8"/>
    <w:rsid w:val="00A1156E"/>
    <w:rsid w:val="00A2192D"/>
    <w:rsid w:val="00A41241"/>
    <w:rsid w:val="00A418D3"/>
    <w:rsid w:val="00A445C7"/>
    <w:rsid w:val="00A51C0F"/>
    <w:rsid w:val="00A60E46"/>
    <w:rsid w:val="00A62141"/>
    <w:rsid w:val="00A648C7"/>
    <w:rsid w:val="00A67761"/>
    <w:rsid w:val="00A71245"/>
    <w:rsid w:val="00A72156"/>
    <w:rsid w:val="00A746DC"/>
    <w:rsid w:val="00A75376"/>
    <w:rsid w:val="00A835A3"/>
    <w:rsid w:val="00A8464C"/>
    <w:rsid w:val="00A93796"/>
    <w:rsid w:val="00A9538E"/>
    <w:rsid w:val="00A96EB6"/>
    <w:rsid w:val="00AA3B9B"/>
    <w:rsid w:val="00AB0898"/>
    <w:rsid w:val="00AB1072"/>
    <w:rsid w:val="00AB2AB3"/>
    <w:rsid w:val="00AB5649"/>
    <w:rsid w:val="00AC137A"/>
    <w:rsid w:val="00AC4EB1"/>
    <w:rsid w:val="00AC6F3B"/>
    <w:rsid w:val="00AD1763"/>
    <w:rsid w:val="00AF257D"/>
    <w:rsid w:val="00AF646F"/>
    <w:rsid w:val="00B01FE0"/>
    <w:rsid w:val="00B022B1"/>
    <w:rsid w:val="00B03D96"/>
    <w:rsid w:val="00B0777A"/>
    <w:rsid w:val="00B23CB2"/>
    <w:rsid w:val="00B30FD1"/>
    <w:rsid w:val="00B3111A"/>
    <w:rsid w:val="00B41E85"/>
    <w:rsid w:val="00B4366C"/>
    <w:rsid w:val="00B44BBF"/>
    <w:rsid w:val="00B50219"/>
    <w:rsid w:val="00B52F85"/>
    <w:rsid w:val="00B537E1"/>
    <w:rsid w:val="00B56D97"/>
    <w:rsid w:val="00B62273"/>
    <w:rsid w:val="00B73AA3"/>
    <w:rsid w:val="00B74175"/>
    <w:rsid w:val="00B802D5"/>
    <w:rsid w:val="00B91E21"/>
    <w:rsid w:val="00B93859"/>
    <w:rsid w:val="00BA195F"/>
    <w:rsid w:val="00BA1C16"/>
    <w:rsid w:val="00BA3FFD"/>
    <w:rsid w:val="00BC1C35"/>
    <w:rsid w:val="00BC7AA7"/>
    <w:rsid w:val="00BD068D"/>
    <w:rsid w:val="00BD448A"/>
    <w:rsid w:val="00BE48EB"/>
    <w:rsid w:val="00BE6D68"/>
    <w:rsid w:val="00BF405B"/>
    <w:rsid w:val="00BF58F3"/>
    <w:rsid w:val="00C04612"/>
    <w:rsid w:val="00C124C7"/>
    <w:rsid w:val="00C12555"/>
    <w:rsid w:val="00C16DCB"/>
    <w:rsid w:val="00C23A73"/>
    <w:rsid w:val="00C25C41"/>
    <w:rsid w:val="00C33EAE"/>
    <w:rsid w:val="00C409CE"/>
    <w:rsid w:val="00C40B9B"/>
    <w:rsid w:val="00C426CE"/>
    <w:rsid w:val="00C43397"/>
    <w:rsid w:val="00C45B9E"/>
    <w:rsid w:val="00C45F28"/>
    <w:rsid w:val="00C529A9"/>
    <w:rsid w:val="00C56677"/>
    <w:rsid w:val="00C5683C"/>
    <w:rsid w:val="00C65086"/>
    <w:rsid w:val="00C7461C"/>
    <w:rsid w:val="00C748E1"/>
    <w:rsid w:val="00C8087E"/>
    <w:rsid w:val="00C81F3D"/>
    <w:rsid w:val="00C86316"/>
    <w:rsid w:val="00C866B0"/>
    <w:rsid w:val="00CA0592"/>
    <w:rsid w:val="00CA0927"/>
    <w:rsid w:val="00CB3029"/>
    <w:rsid w:val="00CB382E"/>
    <w:rsid w:val="00CB434D"/>
    <w:rsid w:val="00CC48CD"/>
    <w:rsid w:val="00CD01E1"/>
    <w:rsid w:val="00CD112B"/>
    <w:rsid w:val="00CD1C8C"/>
    <w:rsid w:val="00CD42FE"/>
    <w:rsid w:val="00CE1FAF"/>
    <w:rsid w:val="00CF3F55"/>
    <w:rsid w:val="00D007ED"/>
    <w:rsid w:val="00D03804"/>
    <w:rsid w:val="00D04FC1"/>
    <w:rsid w:val="00D05D95"/>
    <w:rsid w:val="00D10214"/>
    <w:rsid w:val="00D1092D"/>
    <w:rsid w:val="00D17580"/>
    <w:rsid w:val="00D20AD9"/>
    <w:rsid w:val="00D25D3F"/>
    <w:rsid w:val="00D326AA"/>
    <w:rsid w:val="00D41BDD"/>
    <w:rsid w:val="00D46C08"/>
    <w:rsid w:val="00D568F1"/>
    <w:rsid w:val="00D6237A"/>
    <w:rsid w:val="00D64400"/>
    <w:rsid w:val="00D653A5"/>
    <w:rsid w:val="00D67223"/>
    <w:rsid w:val="00D737DF"/>
    <w:rsid w:val="00D823B1"/>
    <w:rsid w:val="00D94291"/>
    <w:rsid w:val="00D94409"/>
    <w:rsid w:val="00D97824"/>
    <w:rsid w:val="00DA250A"/>
    <w:rsid w:val="00DA6A97"/>
    <w:rsid w:val="00DB3E0B"/>
    <w:rsid w:val="00DB4B72"/>
    <w:rsid w:val="00DB6057"/>
    <w:rsid w:val="00DB7036"/>
    <w:rsid w:val="00DC32D3"/>
    <w:rsid w:val="00DC53E4"/>
    <w:rsid w:val="00DC6EB5"/>
    <w:rsid w:val="00DC7433"/>
    <w:rsid w:val="00DD3D91"/>
    <w:rsid w:val="00DD7B1B"/>
    <w:rsid w:val="00DE085D"/>
    <w:rsid w:val="00DE5348"/>
    <w:rsid w:val="00DF06C9"/>
    <w:rsid w:val="00DF4609"/>
    <w:rsid w:val="00E00288"/>
    <w:rsid w:val="00E02A6B"/>
    <w:rsid w:val="00E07E52"/>
    <w:rsid w:val="00E258D0"/>
    <w:rsid w:val="00E303BF"/>
    <w:rsid w:val="00E35E26"/>
    <w:rsid w:val="00E445DD"/>
    <w:rsid w:val="00E44F56"/>
    <w:rsid w:val="00E45D72"/>
    <w:rsid w:val="00E46C53"/>
    <w:rsid w:val="00E65832"/>
    <w:rsid w:val="00E662AD"/>
    <w:rsid w:val="00E66692"/>
    <w:rsid w:val="00E70294"/>
    <w:rsid w:val="00E70D9C"/>
    <w:rsid w:val="00E71433"/>
    <w:rsid w:val="00E71E5C"/>
    <w:rsid w:val="00E75ACD"/>
    <w:rsid w:val="00E842E1"/>
    <w:rsid w:val="00E862F6"/>
    <w:rsid w:val="00E90858"/>
    <w:rsid w:val="00EA160B"/>
    <w:rsid w:val="00EA5E2F"/>
    <w:rsid w:val="00EA6A7A"/>
    <w:rsid w:val="00EB4FC6"/>
    <w:rsid w:val="00EC4A0F"/>
    <w:rsid w:val="00ED3FB5"/>
    <w:rsid w:val="00ED4831"/>
    <w:rsid w:val="00ED796F"/>
    <w:rsid w:val="00EE0A35"/>
    <w:rsid w:val="00EE39F1"/>
    <w:rsid w:val="00EE7739"/>
    <w:rsid w:val="00EF1D8D"/>
    <w:rsid w:val="00EF32BE"/>
    <w:rsid w:val="00EF4441"/>
    <w:rsid w:val="00EF5CB4"/>
    <w:rsid w:val="00F00556"/>
    <w:rsid w:val="00F0101E"/>
    <w:rsid w:val="00F0231B"/>
    <w:rsid w:val="00F06121"/>
    <w:rsid w:val="00F13016"/>
    <w:rsid w:val="00F154C8"/>
    <w:rsid w:val="00F20478"/>
    <w:rsid w:val="00F20DEC"/>
    <w:rsid w:val="00F25D31"/>
    <w:rsid w:val="00F2681E"/>
    <w:rsid w:val="00F32F2B"/>
    <w:rsid w:val="00F36BC2"/>
    <w:rsid w:val="00F373D4"/>
    <w:rsid w:val="00F47361"/>
    <w:rsid w:val="00F57261"/>
    <w:rsid w:val="00F62C18"/>
    <w:rsid w:val="00F740E2"/>
    <w:rsid w:val="00F86AB9"/>
    <w:rsid w:val="00F90AF9"/>
    <w:rsid w:val="00F92625"/>
    <w:rsid w:val="00F928AA"/>
    <w:rsid w:val="00FA3265"/>
    <w:rsid w:val="00FA6340"/>
    <w:rsid w:val="00FA7714"/>
    <w:rsid w:val="00FA7A13"/>
    <w:rsid w:val="00FB4757"/>
    <w:rsid w:val="00FB53E5"/>
    <w:rsid w:val="00FC6747"/>
    <w:rsid w:val="00FC7616"/>
    <w:rsid w:val="00FD26DC"/>
    <w:rsid w:val="00FD3271"/>
    <w:rsid w:val="00FD74C4"/>
    <w:rsid w:val="00FE356A"/>
    <w:rsid w:val="00FF5FB0"/>
    <w:rsid w:val="00FF618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9426A91-D3AD-4687-93F2-C0A169313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heme="minorHAnsi" w:hAnsi="Cambria" w:cstheme="minorHAnsi"/>
        <w:sz w:val="22"/>
        <w:szCs w:val="22"/>
        <w:lang w:val="es-H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B5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9262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92625"/>
    <w:rPr>
      <w:sz w:val="20"/>
      <w:szCs w:val="20"/>
    </w:rPr>
  </w:style>
  <w:style w:type="character" w:styleId="Refdenotaalpie">
    <w:name w:val="footnote reference"/>
    <w:basedOn w:val="Fuentedeprrafopredeter"/>
    <w:uiPriority w:val="99"/>
    <w:semiHidden/>
    <w:unhideWhenUsed/>
    <w:rsid w:val="00F92625"/>
    <w:rPr>
      <w:vertAlign w:val="superscript"/>
    </w:rPr>
  </w:style>
  <w:style w:type="character" w:styleId="Hipervnculo">
    <w:name w:val="Hyperlink"/>
    <w:basedOn w:val="Fuentedeprrafopredeter"/>
    <w:uiPriority w:val="99"/>
    <w:unhideWhenUsed/>
    <w:rsid w:val="00973F4D"/>
    <w:rPr>
      <w:color w:val="0000FF" w:themeColor="hyperlink"/>
      <w:u w:val="single"/>
    </w:rPr>
  </w:style>
  <w:style w:type="paragraph" w:styleId="Textodeglobo">
    <w:name w:val="Balloon Text"/>
    <w:basedOn w:val="Normal"/>
    <w:link w:val="TextodegloboCar"/>
    <w:uiPriority w:val="99"/>
    <w:semiHidden/>
    <w:unhideWhenUsed/>
    <w:rsid w:val="0076187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61879"/>
    <w:rPr>
      <w:rFonts w:ascii="Tahoma" w:hAnsi="Tahoma" w:cs="Tahoma"/>
      <w:sz w:val="16"/>
      <w:szCs w:val="16"/>
    </w:rPr>
  </w:style>
  <w:style w:type="character" w:styleId="Refdecomentario">
    <w:name w:val="annotation reference"/>
    <w:basedOn w:val="Fuentedeprrafopredeter"/>
    <w:uiPriority w:val="99"/>
    <w:semiHidden/>
    <w:unhideWhenUsed/>
    <w:rsid w:val="00FC6747"/>
    <w:rPr>
      <w:sz w:val="16"/>
      <w:szCs w:val="16"/>
    </w:rPr>
  </w:style>
  <w:style w:type="paragraph" w:styleId="Textocomentario">
    <w:name w:val="annotation text"/>
    <w:basedOn w:val="Normal"/>
    <w:link w:val="TextocomentarioCar"/>
    <w:uiPriority w:val="99"/>
    <w:semiHidden/>
    <w:unhideWhenUsed/>
    <w:rsid w:val="00FC674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6747"/>
    <w:rPr>
      <w:sz w:val="20"/>
      <w:szCs w:val="20"/>
    </w:rPr>
  </w:style>
  <w:style w:type="paragraph" w:styleId="Asuntodelcomentario">
    <w:name w:val="annotation subject"/>
    <w:basedOn w:val="Textocomentario"/>
    <w:next w:val="Textocomentario"/>
    <w:link w:val="AsuntodelcomentarioCar"/>
    <w:uiPriority w:val="99"/>
    <w:semiHidden/>
    <w:unhideWhenUsed/>
    <w:rsid w:val="00FC6747"/>
    <w:rPr>
      <w:b/>
      <w:bCs/>
    </w:rPr>
  </w:style>
  <w:style w:type="character" w:customStyle="1" w:styleId="AsuntodelcomentarioCar">
    <w:name w:val="Asunto del comentario Car"/>
    <w:basedOn w:val="TextocomentarioCar"/>
    <w:link w:val="Asuntodelcomentario"/>
    <w:uiPriority w:val="99"/>
    <w:semiHidden/>
    <w:rsid w:val="00FC6747"/>
    <w:rPr>
      <w:b/>
      <w:bCs/>
      <w:sz w:val="20"/>
      <w:szCs w:val="20"/>
    </w:rPr>
  </w:style>
  <w:style w:type="paragraph" w:styleId="Encabezado">
    <w:name w:val="header"/>
    <w:basedOn w:val="Normal"/>
    <w:link w:val="EncabezadoCar"/>
    <w:uiPriority w:val="99"/>
    <w:unhideWhenUsed/>
    <w:rsid w:val="00FF618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6180"/>
  </w:style>
  <w:style w:type="paragraph" w:styleId="Piedepgina">
    <w:name w:val="footer"/>
    <w:basedOn w:val="Normal"/>
    <w:link w:val="PiedepginaCar"/>
    <w:uiPriority w:val="99"/>
    <w:unhideWhenUsed/>
    <w:rsid w:val="00FF618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6180"/>
  </w:style>
  <w:style w:type="paragraph" w:styleId="Sinespaciado">
    <w:name w:val="No Spacing"/>
    <w:uiPriority w:val="1"/>
    <w:qFormat/>
    <w:rsid w:val="009F62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goo.gl/eUtPtB" TargetMode="External"/><Relationship Id="rId13" Type="http://schemas.openxmlformats.org/officeDocument/2006/relationships/hyperlink" Target="http://www.paho.org/hon/index.php?option=com_docman&amp;view=download&amp;category_slug=salud-materna-nino-y-adolescente&amp;alias=332-estrategia-nacional-para-la-prevencion-del-embarazo-en-adolescentes-en-honduras&amp;Itemid=211" TargetMode="External"/><Relationship Id="rId18" Type="http://schemas.openxmlformats.org/officeDocument/2006/relationships/hyperlink" Target="https://iudpas.unah.edu.hn/observatorio-de-la-violencia/boletines-del-observatorio-2/boletines-nacionales/" TargetMode="External"/><Relationship Id="rId3" Type="http://schemas.openxmlformats.org/officeDocument/2006/relationships/hyperlink" Target="http://www.un.org/es/events/childrenday/pdf/derechos.pdf" TargetMode="External"/><Relationship Id="rId7" Type="http://schemas.openxmlformats.org/officeDocument/2006/relationships/hyperlink" Target="http://www.cidh.org/countryrep/Honduras09sp/Cap.2.htm" TargetMode="External"/><Relationship Id="rId12" Type="http://schemas.openxmlformats.org/officeDocument/2006/relationships/hyperlink" Target="http://www.laprensa.hn/deportes/760082-410/piden-al-congreso-nacional-reabrir-debate-sobre-la-pae" TargetMode="External"/><Relationship Id="rId17" Type="http://schemas.openxmlformats.org/officeDocument/2006/relationships/hyperlink" Target="https://iudpas.unah.edu.hn/observatorio-de-la-violencia/boletines-del-observatorio-2/boletines-nacionales/" TargetMode="External"/><Relationship Id="rId2" Type="http://schemas.openxmlformats.org/officeDocument/2006/relationships/hyperlink" Target="http://www2.ohchr.org/english/bodies/crc/docs/co/CRC.C.HND.CO.3_sp.pdf" TargetMode="External"/><Relationship Id="rId16" Type="http://schemas.openxmlformats.org/officeDocument/2006/relationships/hyperlink" Target="file:///C:/Users/marco%20burgos/Downloads/BoletinNacionalEneroDiciembre2017.pdf" TargetMode="External"/><Relationship Id="rId1" Type="http://schemas.openxmlformats.org/officeDocument/2006/relationships/hyperlink" Target="http://www.un.org/womenwatch/daw/cedaw/cedaw25years/content/spanish/CONCLUDING_COMMENTS/Honduras/Honduras-CO-6.pdf" TargetMode="External"/><Relationship Id="rId6" Type="http://schemas.openxmlformats.org/officeDocument/2006/relationships/hyperlink" Target="http://www.cidh.org/countryrep/Honduras09sp/Cap.2.htm" TargetMode="External"/><Relationship Id="rId11" Type="http://schemas.openxmlformats.org/officeDocument/2006/relationships/hyperlink" Target="http://archive.wgnrr.org/news/dictamen-de-la-corte-suprema-de-justicia-de-honduras-reafirma-prohibici%C3%B3n-de-venta-distribuci%C3%B3n" TargetMode="External"/><Relationship Id="rId5" Type="http://schemas.openxmlformats.org/officeDocument/2006/relationships/hyperlink" Target="https://goo.gl/2N5WRC" TargetMode="External"/><Relationship Id="rId15" Type="http://schemas.openxmlformats.org/officeDocument/2006/relationships/hyperlink" Target="http://www.laprensa.hn/honduras/1194216-410/embarazos-adolescentes-honduras-partos-menores-edad-hospital-leonardo-martinez" TargetMode="External"/><Relationship Id="rId10" Type="http://schemas.openxmlformats.org/officeDocument/2006/relationships/hyperlink" Target="http://www.derechosdelamujer.org" TargetMode="External"/><Relationship Id="rId4" Type="http://schemas.openxmlformats.org/officeDocument/2006/relationships/hyperlink" Target="https://goo.gl/fb39zw" TargetMode="External"/><Relationship Id="rId9" Type="http://schemas.openxmlformats.org/officeDocument/2006/relationships/hyperlink" Target="http://www.cidh.org/countryrep/Honduras09sp/Indice.htm" TargetMode="External"/><Relationship Id="rId14" Type="http://schemas.openxmlformats.org/officeDocument/2006/relationships/hyperlink" Target="http://derechosdelamujer.org/pronunciamiento-del-grupo-estrategico-por-las-pae-en-el-dia-internacional-de-la-salud-de-las-mujer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30F969-A736-41E0-A2E6-2867CFBD80E7}"/>
</file>

<file path=customXml/itemProps2.xml><?xml version="1.0" encoding="utf-8"?>
<ds:datastoreItem xmlns:ds="http://schemas.openxmlformats.org/officeDocument/2006/customXml" ds:itemID="{864C7021-28EF-4D0F-A30D-33F2A20253E8}"/>
</file>

<file path=customXml/itemProps3.xml><?xml version="1.0" encoding="utf-8"?>
<ds:datastoreItem xmlns:ds="http://schemas.openxmlformats.org/officeDocument/2006/customXml" ds:itemID="{28ED7B35-E395-4015-A6CA-02271D358704}"/>
</file>

<file path=customXml/itemProps4.xml><?xml version="1.0" encoding="utf-8"?>
<ds:datastoreItem xmlns:ds="http://schemas.openxmlformats.org/officeDocument/2006/customXml" ds:itemID="{7EFD482D-AF92-48E7-8684-76D6AEEE176C}"/>
</file>

<file path=docProps/app.xml><?xml version="1.0" encoding="utf-8"?>
<Properties xmlns="http://schemas.openxmlformats.org/officeDocument/2006/extended-properties" xmlns:vt="http://schemas.openxmlformats.org/officeDocument/2006/docPropsVTypes">
  <Template>Normal</Template>
  <TotalTime>117</TotalTime>
  <Pages>8</Pages>
  <Words>2397</Words>
  <Characters>13184</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Herrmannsdorfer</dc:creator>
  <cp:lastModifiedBy>Regina</cp:lastModifiedBy>
  <cp:revision>5</cp:revision>
  <dcterms:created xsi:type="dcterms:W3CDTF">2018-08-16T01:48:00Z</dcterms:created>
  <dcterms:modified xsi:type="dcterms:W3CDTF">2018-08-25T00:31:00Z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